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49DD" w:rsidRPr="004C33D1" w:rsidRDefault="009C203B" w:rsidP="00242DBF">
      <w:pPr>
        <w:rPr>
          <w:noProof/>
        </w:rPr>
      </w:pPr>
      <w:r w:rsidRPr="004C33D1">
        <w:rPr>
          <w:noProof/>
          <w:lang w:eastAsia="en-NZ"/>
        </w:rPr>
        <w:drawing>
          <wp:anchor distT="0" distB="0" distL="114300" distR="114300" simplePos="0" relativeHeight="251685888" behindDoc="1" locked="0" layoutInCell="1" allowOverlap="1" wp14:anchorId="00AC6009" wp14:editId="6FECE16E">
            <wp:simplePos x="0" y="0"/>
            <wp:positionH relativeFrom="column">
              <wp:posOffset>0</wp:posOffset>
            </wp:positionH>
            <wp:positionV relativeFrom="paragraph">
              <wp:posOffset>0</wp:posOffset>
            </wp:positionV>
            <wp:extent cx="6641465" cy="1000125"/>
            <wp:effectExtent l="0" t="0" r="6985" b="9525"/>
            <wp:wrapNone/>
            <wp:docPr id="27" name="Picture 9" descr="report_thick bar.png"/>
            <wp:cNvGraphicFramePr/>
            <a:graphic xmlns:a="http://schemas.openxmlformats.org/drawingml/2006/main">
              <a:graphicData uri="http://schemas.openxmlformats.org/drawingml/2006/picture">
                <pic:pic xmlns:pic="http://schemas.openxmlformats.org/drawingml/2006/picture">
                  <pic:nvPicPr>
                    <pic:cNvPr id="27" name="Picture 9" descr="report_thick bar.png"/>
                    <pic:cNvPicPr/>
                  </pic:nvPicPr>
                  <pic:blipFill>
                    <a:blip r:embed="rId9" cstate="print"/>
                    <a:srcRect/>
                    <a:stretch>
                      <a:fillRect/>
                    </a:stretch>
                  </pic:blipFill>
                  <pic:spPr>
                    <a:xfrm>
                      <a:off x="0" y="0"/>
                      <a:ext cx="6641465" cy="1000125"/>
                    </a:xfrm>
                    <a:prstGeom prst="rect">
                      <a:avLst/>
                    </a:prstGeom>
                  </pic:spPr>
                </pic:pic>
              </a:graphicData>
            </a:graphic>
          </wp:anchor>
        </w:drawing>
      </w:r>
    </w:p>
    <w:p w:rsidR="00FD49DD" w:rsidRPr="004C33D1" w:rsidRDefault="00FD49DD" w:rsidP="00242DBF">
      <w:pPr>
        <w:rPr>
          <w:noProof/>
        </w:rPr>
      </w:pPr>
    </w:p>
    <w:p w:rsidR="00FD49DD" w:rsidRPr="004C33D1" w:rsidRDefault="009C203B" w:rsidP="00242DBF">
      <w:pPr>
        <w:rPr>
          <w:noProof/>
        </w:rPr>
      </w:pPr>
      <w:r w:rsidRPr="004C33D1">
        <w:rPr>
          <w:noProof/>
          <w:lang w:eastAsia="en-NZ"/>
        </w:rPr>
        <w:drawing>
          <wp:anchor distT="0" distB="0" distL="114300" distR="114300" simplePos="0" relativeHeight="251686912" behindDoc="1" locked="0" layoutInCell="1" allowOverlap="1" wp14:anchorId="6D912096" wp14:editId="739C07F6">
            <wp:simplePos x="0" y="0"/>
            <wp:positionH relativeFrom="column">
              <wp:posOffset>142917</wp:posOffset>
            </wp:positionH>
            <wp:positionV relativeFrom="paragraph">
              <wp:posOffset>27388</wp:posOffset>
            </wp:positionV>
            <wp:extent cx="1466850" cy="400050"/>
            <wp:effectExtent l="0" t="0" r="0" b="0"/>
            <wp:wrapNone/>
            <wp:docPr id="28" name="Picture 11" descr="covec_white logo.png"/>
            <wp:cNvGraphicFramePr/>
            <a:graphic xmlns:a="http://schemas.openxmlformats.org/drawingml/2006/main">
              <a:graphicData uri="http://schemas.openxmlformats.org/drawingml/2006/picture">
                <pic:pic xmlns:pic="http://schemas.openxmlformats.org/drawingml/2006/picture">
                  <pic:nvPicPr>
                    <pic:cNvPr id="28" name="Picture 11" descr="covec_white logo.png"/>
                    <pic:cNvPicPr/>
                  </pic:nvPicPr>
                  <pic:blipFill>
                    <a:blip r:embed="rId10" cstate="print"/>
                    <a:stretch>
                      <a:fillRect/>
                    </a:stretch>
                  </pic:blipFill>
                  <pic:spPr>
                    <a:xfrm>
                      <a:off x="0" y="0"/>
                      <a:ext cx="1466850" cy="400050"/>
                    </a:xfrm>
                    <a:prstGeom prst="rect">
                      <a:avLst/>
                    </a:prstGeom>
                  </pic:spPr>
                </pic:pic>
              </a:graphicData>
            </a:graphic>
          </wp:anchor>
        </w:drawing>
      </w:r>
    </w:p>
    <w:tbl>
      <w:tblPr>
        <w:tblStyle w:val="TableGrid"/>
        <w:tblpPr w:leftFromText="180" w:rightFromText="180" w:vertAnchor="text" w:horzAnchor="margin" w:tblpXSpec="right" w:tblpY="2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142" w:type="dxa"/>
        </w:tblCellMar>
        <w:tblLook w:val="04A0" w:firstRow="1" w:lastRow="0" w:firstColumn="1" w:lastColumn="0" w:noHBand="0" w:noVBand="1"/>
      </w:tblPr>
      <w:tblGrid>
        <w:gridCol w:w="1616"/>
        <w:gridCol w:w="2333"/>
      </w:tblGrid>
      <w:tr w:rsidR="009C203B" w:rsidRPr="004C33D1" w:rsidTr="009C203B">
        <w:trPr>
          <w:trHeight w:val="421"/>
        </w:trPr>
        <w:tc>
          <w:tcPr>
            <w:tcW w:w="0" w:type="auto"/>
            <w:tcBorders>
              <w:right w:val="single" w:sz="4" w:space="0" w:color="FFFFFF" w:themeColor="background1"/>
            </w:tcBorders>
            <w:vAlign w:val="center"/>
          </w:tcPr>
          <w:p w:rsidR="009C203B" w:rsidRPr="004C33D1" w:rsidRDefault="00A24ACF" w:rsidP="009C203B">
            <w:pPr>
              <w:jc w:val="right"/>
              <w:rPr>
                <w:rFonts w:ascii="Century Gothic" w:hAnsi="Century Gothic"/>
                <w:color w:val="FFFFFF" w:themeColor="background1"/>
                <w:sz w:val="24"/>
              </w:rPr>
            </w:pPr>
            <w:r w:rsidRPr="004C33D1">
              <w:rPr>
                <w:rFonts w:ascii="Century Gothic" w:hAnsi="Century Gothic"/>
                <w:color w:val="FFFFFF" w:themeColor="background1"/>
                <w:sz w:val="24"/>
              </w:rPr>
              <w:t xml:space="preserve">Final </w:t>
            </w:r>
            <w:r w:rsidR="009C203B" w:rsidRPr="004C33D1">
              <w:rPr>
                <w:rFonts w:ascii="Century Gothic" w:hAnsi="Century Gothic"/>
                <w:color w:val="FFFFFF" w:themeColor="background1"/>
                <w:sz w:val="24"/>
              </w:rPr>
              <w:t>Report</w:t>
            </w:r>
          </w:p>
        </w:tc>
        <w:tc>
          <w:tcPr>
            <w:tcW w:w="0" w:type="auto"/>
            <w:tcBorders>
              <w:left w:val="single" w:sz="4" w:space="0" w:color="FFFFFF" w:themeColor="background1"/>
            </w:tcBorders>
            <w:vAlign w:val="center"/>
          </w:tcPr>
          <w:p w:rsidR="009C203B" w:rsidRPr="004C33D1" w:rsidRDefault="00F3798D" w:rsidP="0059793C">
            <w:pPr>
              <w:ind w:right="157"/>
              <w:rPr>
                <w:rFonts w:ascii="Century Gothic" w:hAnsi="Century Gothic"/>
                <w:color w:val="FFFFFF" w:themeColor="background1"/>
                <w:sz w:val="24"/>
              </w:rPr>
            </w:pPr>
            <w:r>
              <w:rPr>
                <w:rFonts w:ascii="Century Gothic" w:hAnsi="Century Gothic"/>
                <w:color w:val="FFFFFF" w:themeColor="background1"/>
                <w:sz w:val="24"/>
              </w:rPr>
              <w:t>25 October</w:t>
            </w:r>
            <w:r w:rsidR="00FA609B" w:rsidRPr="004C33D1">
              <w:rPr>
                <w:rFonts w:ascii="Century Gothic" w:hAnsi="Century Gothic"/>
                <w:color w:val="FFFFFF" w:themeColor="background1"/>
                <w:sz w:val="24"/>
              </w:rPr>
              <w:t xml:space="preserve"> 2016</w:t>
            </w:r>
          </w:p>
        </w:tc>
      </w:tr>
    </w:tbl>
    <w:p w:rsidR="00BC6C6F" w:rsidRPr="004C33D1" w:rsidRDefault="00BC6C6F" w:rsidP="00242DBF">
      <w:pPr>
        <w:rPr>
          <w:noProof/>
        </w:rPr>
      </w:pPr>
    </w:p>
    <w:p w:rsidR="00FD49DD" w:rsidRPr="004C33D1" w:rsidRDefault="00FD49DD" w:rsidP="00242DBF">
      <w:pPr>
        <w:rPr>
          <w:noProof/>
        </w:rPr>
      </w:pPr>
    </w:p>
    <w:p w:rsidR="00FD49DD" w:rsidRPr="004C33D1" w:rsidRDefault="00FA609B" w:rsidP="00242DBF">
      <w:pPr>
        <w:rPr>
          <w:noProof/>
        </w:rPr>
      </w:pPr>
      <w:r w:rsidRPr="004C33D1">
        <w:rPr>
          <w:noProof/>
          <w:lang w:eastAsia="en-NZ"/>
        </w:rPr>
        <w:drawing>
          <wp:anchor distT="0" distB="0" distL="114300" distR="114300" simplePos="0" relativeHeight="251688960" behindDoc="0" locked="0" layoutInCell="0" allowOverlap="1" wp14:anchorId="43EA50BE" wp14:editId="0F2863EA">
            <wp:simplePos x="0" y="0"/>
            <wp:positionH relativeFrom="page">
              <wp:posOffset>457200</wp:posOffset>
            </wp:positionH>
            <wp:positionV relativeFrom="page">
              <wp:posOffset>1504950</wp:posOffset>
            </wp:positionV>
            <wp:extent cx="1239520" cy="842645"/>
            <wp:effectExtent l="0" t="0" r="0" b="0"/>
            <wp:wrapNone/>
            <wp:docPr id="13" name="Picture 2" descr="MRC Logo - High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C Logo - HighRes.tif"/>
                    <pic:cNvPicPr/>
                  </pic:nvPicPr>
                  <pic:blipFill>
                    <a:blip r:embed="rId11"/>
                    <a:stretch>
                      <a:fillRect/>
                    </a:stretch>
                  </pic:blipFill>
                  <pic:spPr>
                    <a:xfrm>
                      <a:off x="0" y="0"/>
                      <a:ext cx="1239520" cy="842645"/>
                    </a:xfrm>
                    <a:prstGeom prst="rect">
                      <a:avLst/>
                    </a:prstGeom>
                  </pic:spPr>
                </pic:pic>
              </a:graphicData>
            </a:graphic>
          </wp:anchor>
        </w:drawing>
      </w:r>
    </w:p>
    <w:p w:rsidR="00FD49DD" w:rsidRPr="004C33D1" w:rsidRDefault="00FD49DD" w:rsidP="00242DBF">
      <w:pPr>
        <w:rPr>
          <w:noProof/>
        </w:rPr>
      </w:pPr>
    </w:p>
    <w:p w:rsidR="00FD49DD" w:rsidRPr="004C33D1" w:rsidRDefault="00FD49DD" w:rsidP="00242DBF">
      <w:pPr>
        <w:rPr>
          <w:noProof/>
        </w:rPr>
      </w:pPr>
    </w:p>
    <w:p w:rsidR="007E710E" w:rsidRPr="004C33D1" w:rsidRDefault="007E710E" w:rsidP="00242DBF">
      <w:pPr>
        <w:rPr>
          <w:noProof/>
        </w:rPr>
      </w:pPr>
    </w:p>
    <w:p w:rsidR="00FD49DD" w:rsidRPr="004C33D1" w:rsidRDefault="00FD49DD" w:rsidP="00242DBF">
      <w:pPr>
        <w:rPr>
          <w:noProof/>
        </w:rPr>
      </w:pPr>
    </w:p>
    <w:p w:rsidR="007E710E" w:rsidRPr="004C33D1" w:rsidRDefault="007E710E" w:rsidP="00242DBF"/>
    <w:p w:rsidR="007E710E" w:rsidRPr="004C33D1" w:rsidRDefault="007E710E" w:rsidP="00242DBF"/>
    <w:p w:rsidR="007E710E" w:rsidRPr="004C33D1" w:rsidRDefault="00FA609B" w:rsidP="00242DBF">
      <w:r w:rsidRPr="004C33D1">
        <w:rPr>
          <w:noProof/>
          <w:lang w:eastAsia="en-NZ"/>
        </w:rPr>
        <mc:AlternateContent>
          <mc:Choice Requires="wps">
            <w:drawing>
              <wp:anchor distT="0" distB="0" distL="114300" distR="114300" simplePos="0" relativeHeight="251672576" behindDoc="0" locked="0" layoutInCell="1" allowOverlap="1" wp14:anchorId="1B8DC826" wp14:editId="29441FDD">
                <wp:simplePos x="0" y="0"/>
                <wp:positionH relativeFrom="column">
                  <wp:posOffset>971549</wp:posOffset>
                </wp:positionH>
                <wp:positionV relativeFrom="paragraph">
                  <wp:posOffset>12700</wp:posOffset>
                </wp:positionV>
                <wp:extent cx="5671185" cy="2662555"/>
                <wp:effectExtent l="0" t="0" r="5715" b="4445"/>
                <wp:wrapNone/>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1185" cy="2662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6805" w:rsidRPr="00D23421" w:rsidRDefault="000B6805" w:rsidP="00E858D5">
                            <w:pPr>
                              <w:pStyle w:val="Title"/>
                              <w:rPr>
                                <w:sz w:val="72"/>
                                <w:szCs w:val="72"/>
                              </w:rPr>
                            </w:pPr>
                            <w:r>
                              <w:rPr>
                                <w:sz w:val="72"/>
                                <w:szCs w:val="72"/>
                              </w:rPr>
                              <w:t xml:space="preserve">Signals of Under-Capacity: </w:t>
                            </w:r>
                            <w:r>
                              <w:rPr>
                                <w:i/>
                                <w:sz w:val="52"/>
                                <w:szCs w:val="52"/>
                              </w:rPr>
                              <w:t>the practicalities</w:t>
                            </w:r>
                            <w:r w:rsidRPr="00E8250A">
                              <w:rPr>
                                <w:i/>
                                <w:sz w:val="52"/>
                                <w:szCs w:val="52"/>
                              </w:rPr>
                              <w:t xml:space="preserve"> of </w:t>
                            </w:r>
                            <w:r>
                              <w:rPr>
                                <w:i/>
                                <w:sz w:val="52"/>
                                <w:szCs w:val="52"/>
                              </w:rPr>
                              <w:t>monitoring</w:t>
                            </w:r>
                            <w:r w:rsidRPr="00E8250A">
                              <w:rPr>
                                <w:i/>
                                <w:sz w:val="52"/>
                                <w:szCs w:val="52"/>
                              </w:rPr>
                              <w:t xml:space="preserve"> Price Signals under the National Policy Statement on Urban Development Capacity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1B8DC826" id="_x0000_t202" coordsize="21600,21600" o:spt="202" path="m,l,21600r21600,l21600,xe">
                <v:stroke joinstyle="miter"/>
                <v:path gradientshapeok="t" o:connecttype="rect"/>
              </v:shapetype>
              <v:shape id="Text Box 19" o:spid="_x0000_s1026" type="#_x0000_t202" style="position:absolute;margin-left:76.5pt;margin-top:1pt;width:446.55pt;height:209.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" stroked="f">
                <v:textbox>
                  <w:txbxContent>
                    <w:p w:rsidR="000B6805" w:rsidRPr="00D23421" w:rsidRDefault="000B6805" w:rsidP="00E858D5">
                      <w:pPr>
                        <w:pStyle w:val="Title"/>
                        <w:rPr>
                          <w:sz w:val="72"/>
                          <w:szCs w:val="72"/>
                        </w:rPr>
                      </w:pPr>
                      <w:r>
                        <w:rPr>
                          <w:sz w:val="72"/>
                          <w:szCs w:val="72"/>
                        </w:rPr>
                        <w:t xml:space="preserve">Signals of Under-Capacity: </w:t>
                      </w:r>
                      <w:r>
                        <w:rPr>
                          <w:i/>
                          <w:sz w:val="52"/>
                          <w:szCs w:val="52"/>
                        </w:rPr>
                        <w:t>the practicalities</w:t>
                      </w:r>
                      <w:r w:rsidRPr="00E8250A">
                        <w:rPr>
                          <w:i/>
                          <w:sz w:val="52"/>
                          <w:szCs w:val="52"/>
                        </w:rPr>
                        <w:t xml:space="preserve"> of </w:t>
                      </w:r>
                      <w:r>
                        <w:rPr>
                          <w:i/>
                          <w:sz w:val="52"/>
                          <w:szCs w:val="52"/>
                        </w:rPr>
                        <w:t>monitoring</w:t>
                      </w:r>
                      <w:r w:rsidRPr="00E8250A">
                        <w:rPr>
                          <w:i/>
                          <w:sz w:val="52"/>
                          <w:szCs w:val="52"/>
                        </w:rPr>
                        <w:t xml:space="preserve"> Price Signals under the National Policy Statement on Urban Development Capacity</w:t>
                      </w:r>
                    </w:p>
                  </w:txbxContent>
                </v:textbox>
              </v:shape>
            </w:pict>
          </mc:Fallback>
        </mc:AlternateContent>
      </w:r>
    </w:p>
    <w:p w:rsidR="007E710E" w:rsidRPr="004C33D1" w:rsidRDefault="007E710E" w:rsidP="00242DBF"/>
    <w:p w:rsidR="007E710E" w:rsidRPr="004C33D1" w:rsidRDefault="007E710E" w:rsidP="00242DBF"/>
    <w:p w:rsidR="007E710E" w:rsidRPr="004C33D1" w:rsidRDefault="007E710E" w:rsidP="00242DBF"/>
    <w:p w:rsidR="007E710E" w:rsidRPr="004C33D1" w:rsidRDefault="007E710E" w:rsidP="00242DBF"/>
    <w:p w:rsidR="007E710E" w:rsidRPr="004C33D1" w:rsidRDefault="007E710E" w:rsidP="00242DBF"/>
    <w:p w:rsidR="007E710E" w:rsidRPr="004C33D1" w:rsidRDefault="007E710E" w:rsidP="00242DBF"/>
    <w:p w:rsidR="007E710E" w:rsidRPr="004C33D1" w:rsidRDefault="007E710E" w:rsidP="00242DBF"/>
    <w:p w:rsidR="007E710E" w:rsidRPr="004C33D1" w:rsidRDefault="007E710E" w:rsidP="00242DBF"/>
    <w:p w:rsidR="007E710E" w:rsidRPr="004C33D1" w:rsidRDefault="007E710E" w:rsidP="00242DBF"/>
    <w:p w:rsidR="007E710E" w:rsidRPr="004C33D1" w:rsidRDefault="007E710E" w:rsidP="00242DBF"/>
    <w:p w:rsidR="007E710E" w:rsidRPr="004C33D1" w:rsidRDefault="007E710E" w:rsidP="00242DBF"/>
    <w:p w:rsidR="007E710E" w:rsidRPr="004C33D1" w:rsidRDefault="007E710E" w:rsidP="00242DBF"/>
    <w:p w:rsidR="007E710E" w:rsidRPr="004C33D1" w:rsidRDefault="007E710E" w:rsidP="00242DBF"/>
    <w:p w:rsidR="007E710E" w:rsidRPr="004C33D1" w:rsidRDefault="007E710E" w:rsidP="00242DBF"/>
    <w:p w:rsidR="007E710E" w:rsidRPr="004C33D1" w:rsidRDefault="007E710E" w:rsidP="00242DBF"/>
    <w:p w:rsidR="007E710E" w:rsidRPr="004C33D1" w:rsidRDefault="007E710E" w:rsidP="00242DBF"/>
    <w:p w:rsidR="007E710E" w:rsidRPr="004C33D1" w:rsidRDefault="007E710E" w:rsidP="00242DBF"/>
    <w:p w:rsidR="00D23421" w:rsidRPr="004C33D1" w:rsidRDefault="00D23421" w:rsidP="00242DBF"/>
    <w:p w:rsidR="00D23421" w:rsidRPr="004C33D1" w:rsidRDefault="00D23421" w:rsidP="00242DBF"/>
    <w:p w:rsidR="00C7728F" w:rsidRPr="004C33D1" w:rsidRDefault="00C7728F" w:rsidP="00242DBF"/>
    <w:p w:rsidR="00D23421" w:rsidRPr="004C33D1" w:rsidRDefault="00D23421" w:rsidP="00242DBF"/>
    <w:p w:rsidR="00D23421" w:rsidRPr="004C33D1" w:rsidRDefault="00D23421" w:rsidP="00242DBF"/>
    <w:p w:rsidR="00D23421" w:rsidRPr="004C33D1" w:rsidRDefault="00D23421" w:rsidP="00242DBF"/>
    <w:p w:rsidR="00D23421" w:rsidRPr="004C33D1" w:rsidRDefault="00D23421" w:rsidP="00242DBF"/>
    <w:p w:rsidR="00D23421" w:rsidRPr="004C33D1" w:rsidRDefault="00D23421" w:rsidP="00242DBF"/>
    <w:p w:rsidR="007E710E" w:rsidRPr="004C33D1" w:rsidRDefault="007E710E" w:rsidP="00242DBF"/>
    <w:p w:rsidR="007E710E" w:rsidRPr="004C33D1" w:rsidRDefault="007E710E" w:rsidP="00242DBF"/>
    <w:p w:rsidR="007E710E" w:rsidRPr="004C33D1" w:rsidRDefault="007E710E" w:rsidP="00242DBF"/>
    <w:p w:rsidR="00C7454B" w:rsidRPr="004C33D1" w:rsidRDefault="00C7454B" w:rsidP="00242DBF"/>
    <w:p w:rsidR="00C7454B" w:rsidRPr="004C33D1" w:rsidRDefault="00C7454B" w:rsidP="00242DBF"/>
    <w:p w:rsidR="00C7454B" w:rsidRPr="004C33D1" w:rsidRDefault="00C7454B" w:rsidP="00242DBF"/>
    <w:p w:rsidR="00C7454B" w:rsidRPr="004C33D1" w:rsidRDefault="00C7454B" w:rsidP="00242DBF"/>
    <w:p w:rsidR="00F17C93" w:rsidRPr="004C33D1" w:rsidRDefault="00F17C93" w:rsidP="00242DBF"/>
    <w:p w:rsidR="00F17C93" w:rsidRPr="004C33D1" w:rsidRDefault="00F17C93" w:rsidP="00242DBF"/>
    <w:p w:rsidR="00F17C93" w:rsidRPr="004C33D1" w:rsidRDefault="00F17C93" w:rsidP="00242DBF"/>
    <w:p w:rsidR="00C7454B" w:rsidRPr="004C33D1" w:rsidRDefault="00C7454B" w:rsidP="00242DBF"/>
    <w:p w:rsidR="007E710E" w:rsidRPr="004C33D1" w:rsidRDefault="00663D30" w:rsidP="00242DBF">
      <w:r w:rsidRPr="004C33D1">
        <w:rPr>
          <w:noProof/>
          <w:lang w:eastAsia="en-NZ"/>
        </w:rPr>
        <mc:AlternateContent>
          <mc:Choice Requires="wps">
            <w:drawing>
              <wp:anchor distT="0" distB="0" distL="114300" distR="114300" simplePos="0" relativeHeight="251680768" behindDoc="0" locked="0" layoutInCell="1" allowOverlap="1" wp14:anchorId="358734C2" wp14:editId="1EFFB74B">
                <wp:simplePos x="0" y="0"/>
                <wp:positionH relativeFrom="column">
                  <wp:posOffset>1019810</wp:posOffset>
                </wp:positionH>
                <wp:positionV relativeFrom="paragraph">
                  <wp:posOffset>36195</wp:posOffset>
                </wp:positionV>
                <wp:extent cx="2838450" cy="317500"/>
                <wp:effectExtent l="0" t="0" r="0" b="6350"/>
                <wp:wrapSquare wrapText="bothSides"/>
                <wp:docPr id="2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6805" w:rsidRPr="00F3798D" w:rsidRDefault="000B6805" w:rsidP="00FC61C8">
                            <w:pPr>
                              <w:pStyle w:val="Coverdate"/>
                              <w:jc w:val="left"/>
                              <w:rPr>
                                <w:b w:val="0"/>
                                <w:noProof/>
                                <w:sz w:val="24"/>
                                <w:szCs w:val="24"/>
                                <w:lang w:val="en-US"/>
                              </w:rPr>
                            </w:pPr>
                            <w:bookmarkStart w:id="0" w:name="_Toc462582152"/>
                            <w:r w:rsidRPr="00F3798D">
                              <w:rPr>
                                <w:rFonts w:cs="Futura"/>
                                <w:b w:val="0"/>
                                <w:color w:val="64635B"/>
                                <w:sz w:val="24"/>
                                <w:szCs w:val="24"/>
                                <w:lang w:val="en-US"/>
                              </w:rPr>
                              <w:t>Prepared for</w:t>
                            </w:r>
                          </w:p>
                          <w:p w:rsidR="000B6805" w:rsidRPr="00E858D5" w:rsidRDefault="000B6805" w:rsidP="00FC61C8">
                            <w:pPr>
                              <w:spacing w:after="100" w:afterAutospacing="1"/>
                            </w:pPr>
                          </w:p>
                          <w:p w:rsidR="000B6805" w:rsidRDefault="000B6805"/>
                          <w:p w:rsidR="000B6805" w:rsidRDefault="000B6805" w:rsidP="00FC61C8">
                            <w:pPr>
                              <w:pStyle w:val="Coverdate"/>
                              <w:jc w:val="left"/>
                              <w:rPr>
                                <w:b w:val="0"/>
                                <w:noProof/>
                                <w:lang w:val="en-US"/>
                              </w:rPr>
                            </w:pPr>
                            <w:r w:rsidRPr="00A87F1D">
                              <w:rPr>
                                <w:rFonts w:cs="Futura"/>
                                <w:b w:val="0"/>
                                <w:color w:val="64635B"/>
                                <w:sz w:val="29"/>
                                <w:szCs w:val="29"/>
                                <w:lang w:val="en-US"/>
                              </w:rPr>
                              <w:t>Prepared for</w:t>
                            </w:r>
                          </w:p>
                          <w:p w:rsidR="000B6805" w:rsidRPr="00E858D5" w:rsidRDefault="000B6805" w:rsidP="00FC61C8">
                            <w:pPr>
                              <w:spacing w:after="100" w:afterAutospacing="1"/>
                            </w:pPr>
                          </w:p>
                          <w:p w:rsidR="000B6805" w:rsidRDefault="000B6805"/>
                          <w:p w:rsidR="000B6805" w:rsidRPr="00F3798D" w:rsidRDefault="000B6805" w:rsidP="00FC61C8">
                            <w:pPr>
                              <w:pStyle w:val="Coverdate"/>
                              <w:jc w:val="left"/>
                              <w:rPr>
                                <w:b w:val="0"/>
                                <w:noProof/>
                                <w:sz w:val="24"/>
                                <w:szCs w:val="24"/>
                                <w:lang w:val="en-US"/>
                              </w:rPr>
                            </w:pPr>
                            <w:r w:rsidRPr="00F3798D">
                              <w:rPr>
                                <w:rFonts w:cs="Futura"/>
                                <w:b w:val="0"/>
                                <w:color w:val="64635B"/>
                                <w:sz w:val="24"/>
                                <w:szCs w:val="24"/>
                                <w:lang w:val="en-US"/>
                              </w:rPr>
                              <w:t>Prepared for</w:t>
                            </w:r>
                            <w:bookmarkEnd w:id="0"/>
                          </w:p>
                          <w:p w:rsidR="000B6805" w:rsidRPr="00E858D5" w:rsidRDefault="000B6805" w:rsidP="00FC61C8">
                            <w:pPr>
                              <w:spacing w:after="100" w:afterAutospacing="1"/>
                            </w:pPr>
                          </w:p>
                          <w:p w:rsidR="000B6805" w:rsidRDefault="000B6805"/>
                          <w:p w:rsidR="000B6805" w:rsidRDefault="000B6805" w:rsidP="00FC61C8">
                            <w:pPr>
                              <w:pStyle w:val="Coverdate"/>
                              <w:jc w:val="left"/>
                              <w:rPr>
                                <w:b w:val="0"/>
                                <w:noProof/>
                                <w:lang w:val="en-US"/>
                              </w:rPr>
                            </w:pPr>
                            <w:bookmarkStart w:id="1" w:name="_Toc458178976"/>
                            <w:bookmarkStart w:id="2" w:name="_Toc458464531"/>
                            <w:bookmarkStart w:id="3" w:name="_Toc458489752"/>
                            <w:bookmarkStart w:id="4" w:name="_Toc462404956"/>
                            <w:bookmarkStart w:id="5" w:name="_Toc462413601"/>
                            <w:bookmarkStart w:id="6" w:name="_Toc462582153"/>
                            <w:r w:rsidRPr="00A87F1D">
                              <w:rPr>
                                <w:rFonts w:cs="Futura"/>
                                <w:b w:val="0"/>
                                <w:color w:val="64635B"/>
                                <w:sz w:val="29"/>
                                <w:szCs w:val="29"/>
                                <w:lang w:val="en-US"/>
                              </w:rPr>
                              <w:t>Prepared for</w:t>
                            </w:r>
                            <w:bookmarkEnd w:id="1"/>
                            <w:bookmarkEnd w:id="2"/>
                            <w:bookmarkEnd w:id="3"/>
                            <w:bookmarkEnd w:id="4"/>
                            <w:bookmarkEnd w:id="5"/>
                            <w:bookmarkEnd w:id="6"/>
                          </w:p>
                          <w:p w:rsidR="000B6805" w:rsidRPr="00E858D5" w:rsidRDefault="000B6805" w:rsidP="00FC61C8">
                            <w:pPr>
                              <w:spacing w:after="100" w:afterAutospacing="1"/>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58734C2" id="Text Box 35" o:spid="_x0000_s1027" type="#_x0000_t202" style="position:absolute;margin-left:80.3pt;margin-top:2.85pt;width:223.5pt;height: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" stroked="f">
                <v:textbox>
                  <w:txbxContent>
                    <w:p w:rsidR="000B6805" w:rsidRPr="00F3798D" w:rsidRDefault="000B6805" w:rsidP="00FC61C8">
                      <w:pPr>
                        <w:pStyle w:val="Coverdate"/>
                        <w:jc w:val="left"/>
                        <w:rPr>
                          <w:b w:val="0"/>
                          <w:noProof/>
                          <w:sz w:val="24"/>
                          <w:szCs w:val="24"/>
                          <w:lang w:val="en-US"/>
                        </w:rPr>
                      </w:pPr>
                      <w:bookmarkStart w:id="7" w:name="_Toc462582152"/>
                      <w:r w:rsidRPr="00F3798D">
                        <w:rPr>
                          <w:rFonts w:cs="Futura"/>
                          <w:b w:val="0"/>
                          <w:color w:val="64635B"/>
                          <w:sz w:val="24"/>
                          <w:szCs w:val="24"/>
                          <w:lang w:val="en-US"/>
                        </w:rPr>
                        <w:t>Prepared for</w:t>
                      </w:r>
                    </w:p>
                    <w:p w:rsidR="000B6805" w:rsidRPr="00E858D5" w:rsidRDefault="000B6805" w:rsidP="00FC61C8">
                      <w:pPr>
                        <w:spacing w:after="100" w:afterAutospacing="1"/>
                      </w:pPr>
                    </w:p>
                    <w:p w:rsidR="000B6805" w:rsidRDefault="000B6805"/>
                    <w:p w:rsidR="000B6805" w:rsidRDefault="000B6805" w:rsidP="00FC61C8">
                      <w:pPr>
                        <w:pStyle w:val="Coverdate"/>
                        <w:jc w:val="left"/>
                        <w:rPr>
                          <w:b w:val="0"/>
                          <w:noProof/>
                          <w:lang w:val="en-US"/>
                        </w:rPr>
                      </w:pPr>
                      <w:r w:rsidRPr="00A87F1D">
                        <w:rPr>
                          <w:rFonts w:cs="Futura"/>
                          <w:b w:val="0"/>
                          <w:color w:val="64635B"/>
                          <w:sz w:val="29"/>
                          <w:szCs w:val="29"/>
                          <w:lang w:val="en-US"/>
                        </w:rPr>
                        <w:t>Prepared for</w:t>
                      </w:r>
                    </w:p>
                    <w:p w:rsidR="000B6805" w:rsidRPr="00E858D5" w:rsidRDefault="000B6805" w:rsidP="00FC61C8">
                      <w:pPr>
                        <w:spacing w:after="100" w:afterAutospacing="1"/>
                      </w:pPr>
                    </w:p>
                    <w:p w:rsidR="000B6805" w:rsidRDefault="000B6805"/>
                    <w:p w:rsidR="000B6805" w:rsidRPr="00F3798D" w:rsidRDefault="000B6805" w:rsidP="00FC61C8">
                      <w:pPr>
                        <w:pStyle w:val="Coverdate"/>
                        <w:jc w:val="left"/>
                        <w:rPr>
                          <w:b w:val="0"/>
                          <w:noProof/>
                          <w:sz w:val="24"/>
                          <w:szCs w:val="24"/>
                          <w:lang w:val="en-US"/>
                        </w:rPr>
                      </w:pPr>
                      <w:r w:rsidRPr="00F3798D">
                        <w:rPr>
                          <w:rFonts w:cs="Futura"/>
                          <w:b w:val="0"/>
                          <w:color w:val="64635B"/>
                          <w:sz w:val="24"/>
                          <w:szCs w:val="24"/>
                          <w:lang w:val="en-US"/>
                        </w:rPr>
                        <w:t>Prepared for</w:t>
                      </w:r>
                      <w:bookmarkEnd w:id="7"/>
                    </w:p>
                    <w:p w:rsidR="000B6805" w:rsidRPr="00E858D5" w:rsidRDefault="000B6805" w:rsidP="00FC61C8">
                      <w:pPr>
                        <w:spacing w:after="100" w:afterAutospacing="1"/>
                      </w:pPr>
                    </w:p>
                    <w:p w:rsidR="000B6805" w:rsidRDefault="000B6805"/>
                    <w:p w:rsidR="000B6805" w:rsidRDefault="000B6805" w:rsidP="00FC61C8">
                      <w:pPr>
                        <w:pStyle w:val="Coverdate"/>
                        <w:jc w:val="left"/>
                        <w:rPr>
                          <w:b w:val="0"/>
                          <w:noProof/>
                          <w:lang w:val="en-US"/>
                        </w:rPr>
                      </w:pPr>
                      <w:bookmarkStart w:id="8" w:name="_Toc458178976"/>
                      <w:bookmarkStart w:id="9" w:name="_Toc458464531"/>
                      <w:bookmarkStart w:id="10" w:name="_Toc458489752"/>
                      <w:bookmarkStart w:id="11" w:name="_Toc462404956"/>
                      <w:bookmarkStart w:id="12" w:name="_Toc462413601"/>
                      <w:bookmarkStart w:id="13" w:name="_Toc462582153"/>
                      <w:r w:rsidRPr="00A87F1D">
                        <w:rPr>
                          <w:rFonts w:cs="Futura"/>
                          <w:b w:val="0"/>
                          <w:color w:val="64635B"/>
                          <w:sz w:val="29"/>
                          <w:szCs w:val="29"/>
                          <w:lang w:val="en-US"/>
                        </w:rPr>
                        <w:t>Prepared for</w:t>
                      </w:r>
                      <w:bookmarkEnd w:id="8"/>
                      <w:bookmarkEnd w:id="9"/>
                      <w:bookmarkEnd w:id="10"/>
                      <w:bookmarkEnd w:id="11"/>
                      <w:bookmarkEnd w:id="12"/>
                      <w:bookmarkEnd w:id="13"/>
                    </w:p>
                    <w:p w:rsidR="000B6805" w:rsidRPr="00E858D5" w:rsidRDefault="000B6805" w:rsidP="00FC61C8">
                      <w:pPr>
                        <w:spacing w:after="100" w:afterAutospacing="1"/>
                      </w:pPr>
                    </w:p>
                  </w:txbxContent>
                </v:textbox>
                <w10:wrap type="square"/>
              </v:shape>
            </w:pict>
          </mc:Fallback>
        </mc:AlternateContent>
      </w:r>
    </w:p>
    <w:p w:rsidR="007E710E" w:rsidRPr="004C33D1" w:rsidRDefault="00663D30" w:rsidP="00242DBF">
      <w:r w:rsidRPr="004C33D1">
        <w:rPr>
          <w:noProof/>
          <w:lang w:eastAsia="en-NZ"/>
        </w:rPr>
        <mc:AlternateContent>
          <mc:Choice Requires="wps">
            <w:drawing>
              <wp:anchor distT="0" distB="0" distL="114300" distR="114300" simplePos="0" relativeHeight="251681792" behindDoc="1" locked="0" layoutInCell="1" allowOverlap="1" wp14:anchorId="5327704B" wp14:editId="2B0BC1FE">
                <wp:simplePos x="0" y="0"/>
                <wp:positionH relativeFrom="column">
                  <wp:posOffset>1019175</wp:posOffset>
                </wp:positionH>
                <wp:positionV relativeFrom="paragraph">
                  <wp:posOffset>165735</wp:posOffset>
                </wp:positionV>
                <wp:extent cx="5622290" cy="607695"/>
                <wp:effectExtent l="0" t="0" r="0" b="1905"/>
                <wp:wrapSquare wrapText="bothSides"/>
                <wp:docPr id="2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2290" cy="607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6805" w:rsidRPr="00F269CB" w:rsidRDefault="000B6805" w:rsidP="00FC61C8">
                            <w:pPr>
                              <w:spacing w:before="240" w:after="100" w:afterAutospacing="1" w:line="240" w:lineRule="auto"/>
                              <w:rPr>
                                <w:rFonts w:ascii="Century Gothic" w:hAnsi="Century Gothic"/>
                                <w:sz w:val="24"/>
                              </w:rPr>
                            </w:pPr>
                            <w:r w:rsidRPr="00F3798D">
                              <w:rPr>
                                <w:rFonts w:ascii="Century Gothic" w:hAnsi="Century Gothic" w:cs="Futura"/>
                                <w:noProof/>
                                <w:color w:val="64635B"/>
                                <w:kern w:val="44"/>
                                <w:sz w:val="24"/>
                                <w:lang w:val="en-US"/>
                              </w:rPr>
                              <w:t xml:space="preserve">Ministry of Business, Innovation &amp; </w:t>
                            </w:r>
                            <w:r w:rsidRPr="00F269CB">
                              <w:rPr>
                                <w:rFonts w:ascii="Century Gothic" w:hAnsi="Century Gothic" w:cs="Futura"/>
                                <w:noProof/>
                                <w:color w:val="64635B"/>
                                <w:kern w:val="44"/>
                                <w:sz w:val="24"/>
                                <w:lang w:val="en-US"/>
                              </w:rPr>
                              <w:t>Employment and the Ministry for the Environment</w:t>
                            </w:r>
                          </w:p>
                          <w:p w:rsidR="000B6805" w:rsidRDefault="000B6805"/>
                          <w:p w:rsidR="000B6805" w:rsidRPr="00F53512" w:rsidRDefault="000B6805" w:rsidP="00FC61C8">
                            <w:pPr>
                              <w:spacing w:before="240" w:after="100" w:afterAutospacing="1" w:line="240" w:lineRule="auto"/>
                              <w:rPr>
                                <w:rFonts w:ascii="Century Gothic" w:hAnsi="Century Gothic"/>
                                <w:sz w:val="36"/>
                                <w:szCs w:val="36"/>
                              </w:rPr>
                            </w:pPr>
                            <w:r w:rsidRPr="00F53512">
                              <w:rPr>
                                <w:rFonts w:ascii="Century Gothic" w:hAnsi="Century Gothic" w:cs="Futura"/>
                                <w:noProof/>
                                <w:color w:val="64635B"/>
                                <w:kern w:val="44"/>
                                <w:sz w:val="36"/>
                                <w:szCs w:val="36"/>
                                <w:lang w:val="en-US"/>
                              </w:rPr>
                              <w:t>Ministry of Business, Innovation &amp; Employment</w:t>
                            </w:r>
                          </w:p>
                          <w:p w:rsidR="000B6805" w:rsidRDefault="000B6805"/>
                          <w:p w:rsidR="000B6805" w:rsidRPr="00F269CB" w:rsidRDefault="000B6805" w:rsidP="00FC61C8">
                            <w:pPr>
                              <w:spacing w:before="240" w:after="100" w:afterAutospacing="1" w:line="240" w:lineRule="auto"/>
                              <w:rPr>
                                <w:rFonts w:ascii="Century Gothic" w:hAnsi="Century Gothic"/>
                                <w:sz w:val="24"/>
                              </w:rPr>
                            </w:pPr>
                            <w:r w:rsidRPr="00F3798D">
                              <w:rPr>
                                <w:rFonts w:ascii="Century Gothic" w:hAnsi="Century Gothic" w:cs="Futura"/>
                                <w:noProof/>
                                <w:color w:val="64635B"/>
                                <w:kern w:val="44"/>
                                <w:sz w:val="24"/>
                                <w:lang w:val="en-US"/>
                              </w:rPr>
                              <w:t xml:space="preserve">Ministry of Business, Innovation &amp; </w:t>
                            </w:r>
                            <w:r w:rsidRPr="00F269CB">
                              <w:rPr>
                                <w:rFonts w:ascii="Century Gothic" w:hAnsi="Century Gothic" w:cs="Futura"/>
                                <w:noProof/>
                                <w:color w:val="64635B"/>
                                <w:kern w:val="44"/>
                                <w:sz w:val="24"/>
                                <w:lang w:val="en-US"/>
                              </w:rPr>
                              <w:t>Employment and the Ministry for the Environment</w:t>
                            </w:r>
                          </w:p>
                          <w:p w:rsidR="000B6805" w:rsidRDefault="000B6805"/>
                          <w:p w:rsidR="000B6805" w:rsidRPr="00F53512" w:rsidRDefault="000B6805" w:rsidP="00FC61C8">
                            <w:pPr>
                              <w:spacing w:before="240" w:after="100" w:afterAutospacing="1" w:line="240" w:lineRule="auto"/>
                              <w:rPr>
                                <w:rFonts w:ascii="Century Gothic" w:hAnsi="Century Gothic"/>
                                <w:sz w:val="36"/>
                                <w:szCs w:val="36"/>
                              </w:rPr>
                            </w:pPr>
                            <w:r w:rsidRPr="00F53512">
                              <w:rPr>
                                <w:rFonts w:ascii="Century Gothic" w:hAnsi="Century Gothic" w:cs="Futura"/>
                                <w:noProof/>
                                <w:color w:val="64635B"/>
                                <w:kern w:val="44"/>
                                <w:sz w:val="36"/>
                                <w:szCs w:val="36"/>
                                <w:lang w:val="en-US"/>
                              </w:rPr>
                              <w:t>Ministry of Business, Innovation &amp; Employment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327704B" id="Text Box 36" o:spid="_x0000_s1028" type="#_x0000_t202" style="position:absolute;margin-left:80.25pt;margin-top:13.05pt;width:442.7pt;height:47.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" stroked="f">
                <v:textbox>
                  <w:txbxContent>
                    <w:p w:rsidR="000B6805" w:rsidRPr="00F269CB" w:rsidRDefault="000B6805" w:rsidP="00FC61C8">
                      <w:pPr>
                        <w:spacing w:before="240" w:after="100" w:afterAutospacing="1" w:line="240" w:lineRule="auto"/>
                        <w:rPr>
                          <w:rFonts w:ascii="Century Gothic" w:hAnsi="Century Gothic"/>
                          <w:sz w:val="24"/>
                        </w:rPr>
                      </w:pPr>
                      <w:r w:rsidRPr="00F3798D">
                        <w:rPr>
                          <w:rFonts w:ascii="Century Gothic" w:hAnsi="Century Gothic" w:cs="Futura"/>
                          <w:noProof/>
                          <w:color w:val="64635B"/>
                          <w:kern w:val="44"/>
                          <w:sz w:val="24"/>
                          <w:lang w:val="en-US"/>
                        </w:rPr>
                        <w:t xml:space="preserve">Ministry of Business, Innovation &amp; </w:t>
                      </w:r>
                      <w:r w:rsidRPr="00F269CB">
                        <w:rPr>
                          <w:rFonts w:ascii="Century Gothic" w:hAnsi="Century Gothic" w:cs="Futura"/>
                          <w:noProof/>
                          <w:color w:val="64635B"/>
                          <w:kern w:val="44"/>
                          <w:sz w:val="24"/>
                          <w:lang w:val="en-US"/>
                        </w:rPr>
                        <w:t>Employment and the Ministry for the Environment</w:t>
                      </w:r>
                    </w:p>
                    <w:p w:rsidR="000B6805" w:rsidRDefault="000B6805"/>
                    <w:p w:rsidR="000B6805" w:rsidRPr="00F53512" w:rsidRDefault="000B6805" w:rsidP="00FC61C8">
                      <w:pPr>
                        <w:spacing w:before="240" w:after="100" w:afterAutospacing="1" w:line="240" w:lineRule="auto"/>
                        <w:rPr>
                          <w:rFonts w:ascii="Century Gothic" w:hAnsi="Century Gothic"/>
                          <w:sz w:val="36"/>
                          <w:szCs w:val="36"/>
                        </w:rPr>
                      </w:pPr>
                      <w:r w:rsidRPr="00F53512">
                        <w:rPr>
                          <w:rFonts w:ascii="Century Gothic" w:hAnsi="Century Gothic" w:cs="Futura"/>
                          <w:noProof/>
                          <w:color w:val="64635B"/>
                          <w:kern w:val="44"/>
                          <w:sz w:val="36"/>
                          <w:szCs w:val="36"/>
                          <w:lang w:val="en-US"/>
                        </w:rPr>
                        <w:t>Ministry of Business, Innovation &amp; Employment</w:t>
                      </w:r>
                    </w:p>
                    <w:p w:rsidR="000B6805" w:rsidRDefault="000B6805"/>
                    <w:p w:rsidR="000B6805" w:rsidRPr="00F269CB" w:rsidRDefault="000B6805" w:rsidP="00FC61C8">
                      <w:pPr>
                        <w:spacing w:before="240" w:after="100" w:afterAutospacing="1" w:line="240" w:lineRule="auto"/>
                        <w:rPr>
                          <w:rFonts w:ascii="Century Gothic" w:hAnsi="Century Gothic"/>
                          <w:sz w:val="24"/>
                        </w:rPr>
                      </w:pPr>
                      <w:r w:rsidRPr="00F3798D">
                        <w:rPr>
                          <w:rFonts w:ascii="Century Gothic" w:hAnsi="Century Gothic" w:cs="Futura"/>
                          <w:noProof/>
                          <w:color w:val="64635B"/>
                          <w:kern w:val="44"/>
                          <w:sz w:val="24"/>
                          <w:lang w:val="en-US"/>
                        </w:rPr>
                        <w:t xml:space="preserve">Ministry of Business, Innovation &amp; </w:t>
                      </w:r>
                      <w:r w:rsidRPr="00F269CB">
                        <w:rPr>
                          <w:rFonts w:ascii="Century Gothic" w:hAnsi="Century Gothic" w:cs="Futura"/>
                          <w:noProof/>
                          <w:color w:val="64635B"/>
                          <w:kern w:val="44"/>
                          <w:sz w:val="24"/>
                          <w:lang w:val="en-US"/>
                        </w:rPr>
                        <w:t>Employment and the Ministry for the Environment</w:t>
                      </w:r>
                    </w:p>
                    <w:p w:rsidR="000B6805" w:rsidRDefault="000B6805"/>
                    <w:p w:rsidR="000B6805" w:rsidRPr="00F53512" w:rsidRDefault="000B6805" w:rsidP="00FC61C8">
                      <w:pPr>
                        <w:spacing w:before="240" w:after="100" w:afterAutospacing="1" w:line="240" w:lineRule="auto"/>
                        <w:rPr>
                          <w:rFonts w:ascii="Century Gothic" w:hAnsi="Century Gothic"/>
                          <w:sz w:val="36"/>
                          <w:szCs w:val="36"/>
                        </w:rPr>
                      </w:pPr>
                      <w:r w:rsidRPr="00F53512">
                        <w:rPr>
                          <w:rFonts w:ascii="Century Gothic" w:hAnsi="Century Gothic" w:cs="Futura"/>
                          <w:noProof/>
                          <w:color w:val="64635B"/>
                          <w:kern w:val="44"/>
                          <w:sz w:val="36"/>
                          <w:szCs w:val="36"/>
                          <w:lang w:val="en-US"/>
                        </w:rPr>
                        <w:t>Ministry of Business, Innovation &amp; Employment</w:t>
                      </w:r>
                    </w:p>
                  </w:txbxContent>
                </v:textbox>
                <w10:wrap type="square"/>
              </v:shape>
            </w:pict>
          </mc:Fallback>
        </mc:AlternateContent>
      </w:r>
      <w:r w:rsidRPr="004C33D1">
        <w:rPr>
          <w:noProof/>
          <w:lang w:eastAsia="en-NZ"/>
        </w:rPr>
        <mc:AlternateContent>
          <mc:Choice Requires="wps">
            <w:drawing>
              <wp:anchor distT="4294967295" distB="4294967295" distL="114300" distR="114300" simplePos="0" relativeHeight="251684864" behindDoc="0" locked="0" layoutInCell="1" allowOverlap="1" wp14:anchorId="7D1DF174" wp14:editId="00C4FA96">
                <wp:simplePos x="0" y="0"/>
                <wp:positionH relativeFrom="margin">
                  <wp:posOffset>1133475</wp:posOffset>
                </wp:positionH>
                <wp:positionV relativeFrom="paragraph">
                  <wp:posOffset>198119</wp:posOffset>
                </wp:positionV>
                <wp:extent cx="5471795" cy="0"/>
                <wp:effectExtent l="0" t="0" r="14605" b="19050"/>
                <wp:wrapNone/>
                <wp:docPr id="22"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1795" cy="0"/>
                        </a:xfrm>
                        <a:prstGeom prst="straightConnector1">
                          <a:avLst/>
                        </a:prstGeom>
                        <a:noFill/>
                        <a:ln w="9525">
                          <a:solidFill>
                            <a:srgbClr val="64635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1FCB3175" id="_x0000_t32" coordsize="21600,21600" o:spt="32" o:oned="t" path="m,l21600,21600e" filled="f">
                <v:path arrowok="t" fillok="f" o:connecttype="none"/>
                <o:lock v:ext="edit" shapetype="t"/>
              </v:shapetype>
              <v:shape id="AutoShape 40" o:spid="_x0000_s1026" type="#_x0000_t32" style="position:absolute;margin-left:89.25pt;margin-top:15.6pt;width:430.85pt;height:0;z-index:2516848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" strokecolor="#64635b">
                <w10:wrap anchorx="margin"/>
              </v:shape>
            </w:pict>
          </mc:Fallback>
        </mc:AlternateContent>
      </w:r>
    </w:p>
    <w:p w:rsidR="003D0E4E" w:rsidRPr="004C33D1" w:rsidRDefault="003D0E4E" w:rsidP="00242DBF">
      <w:pPr>
        <w:sectPr w:rsidR="003D0E4E" w:rsidRPr="004C33D1" w:rsidSect="00564E54">
          <w:footerReference w:type="even" r:id="rId12"/>
          <w:footerReference w:type="first" r:id="rId13"/>
          <w:pgSz w:w="11907" w:h="16840" w:code="9"/>
          <w:pgMar w:top="720" w:right="720" w:bottom="720" w:left="720" w:header="720" w:footer="284" w:gutter="0"/>
          <w:cols w:space="720"/>
          <w:docGrid w:linePitch="360"/>
        </w:sectPr>
      </w:pPr>
    </w:p>
    <w:p w:rsidR="00733C4D" w:rsidRPr="004C33D1" w:rsidRDefault="00733C4D" w:rsidP="005231A6">
      <w:pPr>
        <w:sectPr w:rsidR="00733C4D" w:rsidRPr="004C33D1" w:rsidSect="00ED5B04">
          <w:headerReference w:type="default" r:id="rId14"/>
          <w:footerReference w:type="default" r:id="rId15"/>
          <w:footerReference w:type="first" r:id="rId16"/>
          <w:pgSz w:w="11907" w:h="16840" w:code="9"/>
          <w:pgMar w:top="1701" w:right="1701" w:bottom="1701" w:left="1985" w:header="720" w:footer="851" w:gutter="0"/>
          <w:cols w:space="720"/>
          <w:titlePg/>
          <w:docGrid w:linePitch="360"/>
        </w:sectPr>
      </w:pPr>
    </w:p>
    <w:p w:rsidR="001C7BA8" w:rsidRPr="004C33D1" w:rsidRDefault="00733C4D" w:rsidP="001C7BA8">
      <w:pPr>
        <w:pStyle w:val="Copyrighttext"/>
        <w:rPr>
          <w:b/>
        </w:rPr>
      </w:pPr>
      <w:r w:rsidRPr="004C33D1">
        <w:rPr>
          <w:b/>
        </w:rPr>
        <w:lastRenderedPageBreak/>
        <w:t>A</w:t>
      </w:r>
      <w:r w:rsidR="001C7BA8" w:rsidRPr="004C33D1">
        <w:rPr>
          <w:b/>
        </w:rPr>
        <w:t>uthorship</w:t>
      </w:r>
    </w:p>
    <w:p w:rsidR="001C7BA8" w:rsidRDefault="00D2475B" w:rsidP="001C7BA8">
      <w:pPr>
        <w:pStyle w:val="Copyrighttext"/>
        <w:rPr>
          <w:vertAlign w:val="superscript"/>
        </w:rPr>
      </w:pPr>
      <w:r w:rsidRPr="004C33D1">
        <w:t>Tim Denne</w:t>
      </w:r>
      <w:r w:rsidR="004B64F8" w:rsidRPr="004C33D1">
        <w:rPr>
          <w:vertAlign w:val="superscript"/>
        </w:rPr>
        <w:t>1</w:t>
      </w:r>
      <w:r w:rsidRPr="004C33D1">
        <w:t>, Peter Nunns</w:t>
      </w:r>
      <w:r w:rsidR="004B64F8" w:rsidRPr="004C33D1">
        <w:rPr>
          <w:vertAlign w:val="superscript"/>
        </w:rPr>
        <w:t>2</w:t>
      </w:r>
      <w:r w:rsidR="008D2EAE" w:rsidRPr="004C33D1">
        <w:t>,</w:t>
      </w:r>
      <w:r w:rsidRPr="004C33D1">
        <w:t xml:space="preserve"> Louis Wright</w:t>
      </w:r>
      <w:r w:rsidR="004B64F8" w:rsidRPr="004C33D1">
        <w:rPr>
          <w:vertAlign w:val="superscript"/>
        </w:rPr>
        <w:t>1</w:t>
      </w:r>
      <w:r w:rsidR="008D2EAE" w:rsidRPr="004C33D1">
        <w:t xml:space="preserve"> and Phil Donovan</w:t>
      </w:r>
      <w:r w:rsidR="004B64F8" w:rsidRPr="004C33D1">
        <w:rPr>
          <w:vertAlign w:val="superscript"/>
        </w:rPr>
        <w:t>2</w:t>
      </w:r>
    </w:p>
    <w:p w:rsidR="0089576B" w:rsidRDefault="0089576B" w:rsidP="001C7BA8">
      <w:pPr>
        <w:pStyle w:val="Copyrighttext"/>
        <w:rPr>
          <w:vertAlign w:val="superscript"/>
        </w:rPr>
      </w:pPr>
    </w:p>
    <w:p w:rsidR="0089576B" w:rsidRDefault="0089576B" w:rsidP="001C7BA8">
      <w:pPr>
        <w:pStyle w:val="Copyrighttext"/>
        <w:rPr>
          <w:vertAlign w:val="superscript"/>
        </w:rPr>
      </w:pPr>
    </w:p>
    <w:p w:rsidR="0089576B" w:rsidRPr="00E45124" w:rsidRDefault="0089576B" w:rsidP="0089576B">
      <w:pPr>
        <w:pStyle w:val="Imprint"/>
      </w:pPr>
      <w:r w:rsidRPr="006B77BB">
        <w:t xml:space="preserve">This </w:t>
      </w:r>
      <w:r>
        <w:t>repor</w:t>
      </w:r>
      <w:r w:rsidRPr="006B77BB">
        <w:t>t may be cited as:</w:t>
      </w:r>
      <w:r w:rsidR="00E45124">
        <w:t xml:space="preserve"> </w:t>
      </w:r>
    </w:p>
    <w:p w:rsidR="0089576B" w:rsidRPr="006B77BB" w:rsidRDefault="00E45124" w:rsidP="0089576B">
      <w:pPr>
        <w:pStyle w:val="Imprint"/>
      </w:pPr>
      <w:r>
        <w:t>Covec</w:t>
      </w:r>
      <w:r w:rsidR="00F269CB">
        <w:t xml:space="preserve"> and </w:t>
      </w:r>
      <w:r w:rsidR="0089576B">
        <w:t>MRCagney</w:t>
      </w:r>
      <w:r>
        <w:t xml:space="preserve">. 2016. </w:t>
      </w:r>
      <w:r w:rsidR="0089576B">
        <w:t xml:space="preserve"> </w:t>
      </w:r>
      <w:r>
        <w:rPr>
          <w:i/>
        </w:rPr>
        <w:t xml:space="preserve">Signals of Under-Capacity: the practicalities of monitoring Price Signals under the National Policy Statement on Urban Development Capacity. </w:t>
      </w:r>
      <w:r>
        <w:t xml:space="preserve">Prepared for the </w:t>
      </w:r>
      <w:r w:rsidR="0089576B" w:rsidRPr="006B77BB">
        <w:t>Ministry for the Environment</w:t>
      </w:r>
      <w:r w:rsidR="0089576B">
        <w:t xml:space="preserve"> and Ministry of Business, Innovation and Employment</w:t>
      </w:r>
      <w:r w:rsidR="0089576B" w:rsidRPr="006B77BB">
        <w:t xml:space="preserve">. </w:t>
      </w:r>
      <w:r w:rsidR="00B65F1A" w:rsidRPr="00BD69F8">
        <w:rPr>
          <w:rFonts w:eastAsia="Times New Roman" w:cs="Times New Roman"/>
        </w:rPr>
        <w:t>Wellington: Ministry for the Environment and Ministry of Business, Innovation and Employment.</w:t>
      </w:r>
      <w:r w:rsidR="00B65F1A">
        <w:t xml:space="preserve"> </w:t>
      </w:r>
    </w:p>
    <w:p w:rsidR="0089576B" w:rsidRDefault="0089576B" w:rsidP="001C7BA8">
      <w:pPr>
        <w:pStyle w:val="Copyrighttext"/>
        <w:rPr>
          <w:vertAlign w:val="superscript"/>
        </w:rPr>
      </w:pPr>
    </w:p>
    <w:p w:rsidR="0089576B" w:rsidRDefault="0089576B" w:rsidP="001C7BA8">
      <w:pPr>
        <w:pStyle w:val="Copyrighttext"/>
        <w:rPr>
          <w:vertAlign w:val="superscript"/>
        </w:rPr>
      </w:pPr>
    </w:p>
    <w:p w:rsidR="001C7BA8" w:rsidRPr="004C33D1" w:rsidRDefault="001C7BA8" w:rsidP="001C7BA8">
      <w:pPr>
        <w:pStyle w:val="Copyrighttext"/>
      </w:pPr>
    </w:p>
    <w:p w:rsidR="001C7BA8" w:rsidRPr="004C33D1" w:rsidRDefault="004B64F8" w:rsidP="001C7BA8">
      <w:pPr>
        <w:pStyle w:val="Copyrighttext"/>
        <w:rPr>
          <w:bCs/>
        </w:rPr>
      </w:pPr>
      <w:proofErr w:type="gramStart"/>
      <w:r w:rsidRPr="004C33D1">
        <w:rPr>
          <w:bCs/>
          <w:vertAlign w:val="superscript"/>
        </w:rPr>
        <w:t>1</w:t>
      </w:r>
      <w:proofErr w:type="gramEnd"/>
      <w:r w:rsidRPr="004C33D1">
        <w:rPr>
          <w:bCs/>
        </w:rPr>
        <w:t xml:space="preserve"> Covec; </w:t>
      </w:r>
      <w:r w:rsidRPr="004C33D1">
        <w:rPr>
          <w:bCs/>
          <w:vertAlign w:val="superscript"/>
        </w:rPr>
        <w:t>2</w:t>
      </w:r>
      <w:r w:rsidRPr="004C33D1">
        <w:rPr>
          <w:bCs/>
        </w:rPr>
        <w:t xml:space="preserve"> MRCagney</w:t>
      </w:r>
    </w:p>
    <w:p w:rsidR="00F60F58" w:rsidRPr="004C33D1" w:rsidRDefault="00F60F58" w:rsidP="00255688">
      <w:pPr>
        <w:rPr>
          <w:rFonts w:ascii="Century Gothic" w:hAnsi="Century Gothic"/>
          <w:sz w:val="18"/>
          <w:szCs w:val="18"/>
        </w:rPr>
      </w:pPr>
    </w:p>
    <w:p w:rsidR="001C7BA8" w:rsidRPr="004C33D1" w:rsidRDefault="001C7BA8" w:rsidP="00255688">
      <w:pPr>
        <w:rPr>
          <w:rFonts w:ascii="Century Gothic" w:hAnsi="Century Gothic"/>
          <w:sz w:val="18"/>
          <w:szCs w:val="18"/>
        </w:rPr>
      </w:pPr>
      <w:r w:rsidRPr="004C33D1">
        <w:rPr>
          <w:rFonts w:ascii="Century Gothic" w:hAnsi="Century Gothic"/>
          <w:sz w:val="18"/>
          <w:szCs w:val="18"/>
        </w:rPr>
        <w:t>© Covec Ltd</w:t>
      </w:r>
      <w:r w:rsidR="00F60F58" w:rsidRPr="004C33D1">
        <w:rPr>
          <w:rFonts w:ascii="Century Gothic" w:hAnsi="Century Gothic"/>
          <w:sz w:val="18"/>
          <w:szCs w:val="18"/>
        </w:rPr>
        <w:t>,</w:t>
      </w:r>
      <w:r w:rsidRPr="004C33D1">
        <w:rPr>
          <w:rFonts w:ascii="Century Gothic" w:hAnsi="Century Gothic"/>
          <w:sz w:val="18"/>
          <w:szCs w:val="18"/>
        </w:rPr>
        <w:t xml:space="preserve"> </w:t>
      </w:r>
      <w:r w:rsidR="002A7BD2" w:rsidRPr="004C33D1">
        <w:rPr>
          <w:rFonts w:ascii="Century Gothic" w:hAnsi="Century Gothic"/>
          <w:sz w:val="18"/>
          <w:szCs w:val="18"/>
        </w:rPr>
        <w:fldChar w:fldCharType="begin"/>
      </w:r>
      <w:r w:rsidR="00445DA2" w:rsidRPr="004C33D1">
        <w:rPr>
          <w:rFonts w:ascii="Century Gothic" w:hAnsi="Century Gothic"/>
          <w:sz w:val="18"/>
          <w:szCs w:val="18"/>
        </w:rPr>
        <w:instrText xml:space="preserve"> DATE  \@ "yyyy" </w:instrText>
      </w:r>
      <w:r w:rsidR="002A7BD2" w:rsidRPr="004C33D1">
        <w:rPr>
          <w:rFonts w:ascii="Century Gothic" w:hAnsi="Century Gothic"/>
          <w:sz w:val="18"/>
          <w:szCs w:val="18"/>
        </w:rPr>
        <w:fldChar w:fldCharType="separate"/>
      </w:r>
      <w:r w:rsidR="00B65F1A">
        <w:rPr>
          <w:rFonts w:ascii="Century Gothic" w:hAnsi="Century Gothic"/>
          <w:noProof/>
          <w:sz w:val="18"/>
          <w:szCs w:val="18"/>
        </w:rPr>
        <w:t>2016</w:t>
      </w:r>
      <w:r w:rsidR="002A7BD2" w:rsidRPr="004C33D1">
        <w:rPr>
          <w:rFonts w:ascii="Century Gothic" w:hAnsi="Century Gothic"/>
          <w:sz w:val="18"/>
          <w:szCs w:val="18"/>
        </w:rPr>
        <w:fldChar w:fldCharType="end"/>
      </w:r>
      <w:r w:rsidRPr="004C33D1">
        <w:rPr>
          <w:rFonts w:ascii="Century Gothic" w:hAnsi="Century Gothic"/>
          <w:sz w:val="18"/>
          <w:szCs w:val="18"/>
        </w:rPr>
        <w:t>. All rights reserved.</w:t>
      </w:r>
    </w:p>
    <w:p w:rsidR="00ED74D9" w:rsidRPr="004C33D1" w:rsidRDefault="00ED74D9" w:rsidP="00DF131C">
      <w:pPr>
        <w:pStyle w:val="Copyrighttext"/>
      </w:pPr>
    </w:p>
    <w:p w:rsidR="00DA1788" w:rsidRPr="004C33D1" w:rsidRDefault="00DA1788" w:rsidP="00DF131C">
      <w:pPr>
        <w:pStyle w:val="Copyrighttext"/>
      </w:pPr>
    </w:p>
    <w:p w:rsidR="001C7BA8" w:rsidRPr="004C33D1" w:rsidRDefault="00663D30" w:rsidP="001C7BA8">
      <w:pPr>
        <w:rPr>
          <w:rFonts w:ascii="Century Gothic" w:hAnsi="Century Gothic"/>
          <w:sz w:val="18"/>
          <w:szCs w:val="18"/>
        </w:rPr>
      </w:pPr>
      <w:r w:rsidRPr="004C33D1">
        <w:rPr>
          <w:noProof/>
          <w:lang w:eastAsia="en-NZ"/>
        </w:rPr>
        <mc:AlternateContent>
          <mc:Choice Requires="wps">
            <w:drawing>
              <wp:anchor distT="0" distB="0" distL="114300" distR="114300" simplePos="0" relativeHeight="251657216" behindDoc="1" locked="0" layoutInCell="1" allowOverlap="1" wp14:anchorId="5F512E00" wp14:editId="485EA3C5">
                <wp:simplePos x="0" y="0"/>
                <wp:positionH relativeFrom="column">
                  <wp:posOffset>-74295</wp:posOffset>
                </wp:positionH>
                <wp:positionV relativeFrom="margin">
                  <wp:posOffset>8174311</wp:posOffset>
                </wp:positionV>
                <wp:extent cx="5424170" cy="1151255"/>
                <wp:effectExtent l="0" t="0" r="5080" b="0"/>
                <wp:wrapNone/>
                <wp:docPr id="1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170" cy="1151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6805" w:rsidRPr="003D0E4E" w:rsidRDefault="000B6805" w:rsidP="00255688">
                            <w:pPr>
                              <w:pStyle w:val="Copyrighttext"/>
                            </w:pPr>
                            <w:r w:rsidRPr="003D0E4E">
                              <w:rPr>
                                <w:b/>
                              </w:rPr>
                              <w:t>Disclaimer</w:t>
                            </w:r>
                          </w:p>
                          <w:p w:rsidR="000B6805" w:rsidRPr="003D0E4E" w:rsidRDefault="000B6805" w:rsidP="00255688">
                            <w:pPr>
                              <w:rPr>
                                <w:rFonts w:ascii="Century Gothic" w:hAnsi="Century Gothic"/>
                                <w:sz w:val="18"/>
                                <w:szCs w:val="18"/>
                                <w:lang w:val="en-US"/>
                              </w:rPr>
                            </w:pPr>
                            <w:r w:rsidRPr="003D0E4E">
                              <w:rPr>
                                <w:rFonts w:ascii="Century Gothic" w:hAnsi="Century Gothic"/>
                                <w:sz w:val="18"/>
                                <w:szCs w:val="18"/>
                                <w:lang w:val="en-US"/>
                              </w:rPr>
                              <w:t xml:space="preserve">Although every effort has been made to ensure the accuracy of the material and the integrity of the analysis presented herein, Covec Ltd accepts no liability for any actions taken </w:t>
                            </w:r>
                            <w:proofErr w:type="gramStart"/>
                            <w:r w:rsidRPr="003D0E4E">
                              <w:rPr>
                                <w:rFonts w:ascii="Century Gothic" w:hAnsi="Century Gothic"/>
                                <w:sz w:val="18"/>
                                <w:szCs w:val="18"/>
                                <w:lang w:val="en-US"/>
                              </w:rPr>
                              <w:t>on the basis of</w:t>
                            </w:r>
                            <w:proofErr w:type="gramEnd"/>
                            <w:r w:rsidRPr="003D0E4E">
                              <w:rPr>
                                <w:rFonts w:ascii="Century Gothic" w:hAnsi="Century Gothic"/>
                                <w:sz w:val="18"/>
                                <w:szCs w:val="18"/>
                                <w:lang w:val="en-US"/>
                              </w:rPr>
                              <w:t xml:space="preserve"> its contents</w:t>
                            </w:r>
                            <w:r>
                              <w:rPr>
                                <w:rFonts w:ascii="Century Gothic" w:hAnsi="Century Gothic"/>
                                <w:sz w:val="18"/>
                                <w:szCs w:val="18"/>
                                <w:lang w:val="en-US"/>
                              </w:rPr>
                              <w:t>.</w:t>
                            </w:r>
                          </w:p>
                          <w:p w:rsidR="000B6805" w:rsidRDefault="000B6805"/>
                          <w:p w:rsidR="000B6805" w:rsidRDefault="000B6805"/>
                          <w:p w:rsidR="000B6805" w:rsidRPr="003D0E4E" w:rsidRDefault="000B6805" w:rsidP="00255688">
                            <w:pPr>
                              <w:pStyle w:val="Copyrighttext"/>
                            </w:pPr>
                            <w:r w:rsidRPr="003D0E4E">
                              <w:rPr>
                                <w:b/>
                              </w:rPr>
                              <w:t>Disclaimer</w:t>
                            </w:r>
                          </w:p>
                          <w:p w:rsidR="000B6805" w:rsidRPr="003D0E4E" w:rsidRDefault="000B6805" w:rsidP="00255688">
                            <w:pPr>
                              <w:rPr>
                                <w:rFonts w:ascii="Century Gothic" w:hAnsi="Century Gothic"/>
                                <w:sz w:val="18"/>
                                <w:szCs w:val="18"/>
                                <w:lang w:val="en-US"/>
                              </w:rPr>
                            </w:pPr>
                            <w:r w:rsidRPr="003D0E4E">
                              <w:rPr>
                                <w:rFonts w:ascii="Century Gothic" w:hAnsi="Century Gothic"/>
                                <w:sz w:val="18"/>
                                <w:szCs w:val="18"/>
                                <w:lang w:val="en-US"/>
                              </w:rPr>
                              <w:t>Although every effort has been made to ensure the accuracy of the material and the int</w:t>
                            </w:r>
                            <w:r>
                              <w:rPr>
                                <w:rFonts w:ascii="Century Gothic" w:hAnsi="Century Gothic"/>
                                <w:sz w:val="18"/>
                                <w:szCs w:val="18"/>
                                <w:lang w:val="en-US"/>
                              </w:rPr>
                              <w:t>eg</w:t>
                            </w:r>
                            <w:r w:rsidRPr="003D0E4E">
                              <w:rPr>
                                <w:rFonts w:ascii="Century Gothic" w:hAnsi="Century Gothic"/>
                                <w:sz w:val="18"/>
                                <w:szCs w:val="18"/>
                                <w:lang w:val="en-US"/>
                              </w:rPr>
                              <w:t xml:space="preserve">rity of the analysis presented herein, Covec Ltd accepts no liability for any actions taken </w:t>
                            </w:r>
                            <w:proofErr w:type="gramStart"/>
                            <w:r w:rsidRPr="003D0E4E">
                              <w:rPr>
                                <w:rFonts w:ascii="Century Gothic" w:hAnsi="Century Gothic"/>
                                <w:sz w:val="18"/>
                                <w:szCs w:val="18"/>
                                <w:lang w:val="en-US"/>
                              </w:rPr>
                              <w:t>on the basis of</w:t>
                            </w:r>
                            <w:proofErr w:type="gramEnd"/>
                            <w:r w:rsidRPr="003D0E4E">
                              <w:rPr>
                                <w:rFonts w:ascii="Century Gothic" w:hAnsi="Century Gothic"/>
                                <w:sz w:val="18"/>
                                <w:szCs w:val="18"/>
                                <w:lang w:val="en-US"/>
                              </w:rPr>
                              <w:t xml:space="preserve"> its contents</w:t>
                            </w:r>
                            <w:r>
                              <w:rPr>
                                <w:rFonts w:ascii="Century Gothic" w:hAnsi="Century Gothic"/>
                                <w:sz w:val="18"/>
                                <w:szCs w:val="18"/>
                                <w:lang w:val="en-US"/>
                              </w:rPr>
                              <w:t>.</w:t>
                            </w:r>
                          </w:p>
                          <w:p w:rsidR="000B6805" w:rsidRDefault="000B6805"/>
                          <w:p w:rsidR="000B6805" w:rsidRDefault="000B6805"/>
                          <w:p w:rsidR="000B6805" w:rsidRPr="003D0E4E" w:rsidRDefault="000B6805" w:rsidP="00255688">
                            <w:pPr>
                              <w:pStyle w:val="Copyrighttext"/>
                            </w:pPr>
                            <w:r w:rsidRPr="003D0E4E">
                              <w:rPr>
                                <w:b/>
                              </w:rPr>
                              <w:t>Disclaimer</w:t>
                            </w:r>
                          </w:p>
                          <w:p w:rsidR="000B6805" w:rsidRPr="003D0E4E" w:rsidRDefault="000B6805" w:rsidP="00255688">
                            <w:pPr>
                              <w:rPr>
                                <w:rFonts w:ascii="Century Gothic" w:hAnsi="Century Gothic"/>
                                <w:sz w:val="18"/>
                                <w:szCs w:val="18"/>
                                <w:lang w:val="en-US"/>
                              </w:rPr>
                            </w:pPr>
                            <w:r w:rsidRPr="003D0E4E">
                              <w:rPr>
                                <w:rFonts w:ascii="Century Gothic" w:hAnsi="Century Gothic"/>
                                <w:sz w:val="18"/>
                                <w:szCs w:val="18"/>
                                <w:lang w:val="en-US"/>
                              </w:rPr>
                              <w:t xml:space="preserve">Although every effort has been made to ensure the accuracy of the material and the integrity of the analysis presented herein, Covec Ltd accepts no liability for any actions taken </w:t>
                            </w:r>
                            <w:proofErr w:type="gramStart"/>
                            <w:r w:rsidRPr="003D0E4E">
                              <w:rPr>
                                <w:rFonts w:ascii="Century Gothic" w:hAnsi="Century Gothic"/>
                                <w:sz w:val="18"/>
                                <w:szCs w:val="18"/>
                                <w:lang w:val="en-US"/>
                              </w:rPr>
                              <w:t>on the basis of</w:t>
                            </w:r>
                            <w:proofErr w:type="gramEnd"/>
                            <w:r w:rsidRPr="003D0E4E">
                              <w:rPr>
                                <w:rFonts w:ascii="Century Gothic" w:hAnsi="Century Gothic"/>
                                <w:sz w:val="18"/>
                                <w:szCs w:val="18"/>
                                <w:lang w:val="en-US"/>
                              </w:rPr>
                              <w:t xml:space="preserve"> its contents</w:t>
                            </w:r>
                            <w:r>
                              <w:rPr>
                                <w:rFonts w:ascii="Century Gothic" w:hAnsi="Century Gothic"/>
                                <w:sz w:val="18"/>
                                <w:szCs w:val="18"/>
                                <w:lang w:val="en-US"/>
                              </w:rPr>
                              <w:t>.</w:t>
                            </w:r>
                          </w:p>
                          <w:p w:rsidR="000B6805" w:rsidRDefault="000B6805"/>
                          <w:p w:rsidR="000B6805" w:rsidRDefault="000B6805"/>
                          <w:p w:rsidR="000B6805" w:rsidRPr="003D0E4E" w:rsidRDefault="000B6805" w:rsidP="00255688">
                            <w:pPr>
                              <w:pStyle w:val="Copyrighttext"/>
                            </w:pPr>
                            <w:r w:rsidRPr="003D0E4E">
                              <w:rPr>
                                <w:b/>
                              </w:rPr>
                              <w:t>Disclaimer</w:t>
                            </w:r>
                          </w:p>
                          <w:p w:rsidR="000B6805" w:rsidRPr="003D0E4E" w:rsidRDefault="000B6805" w:rsidP="00255688">
                            <w:pPr>
                              <w:rPr>
                                <w:rFonts w:ascii="Century Gothic" w:hAnsi="Century Gothic"/>
                                <w:sz w:val="18"/>
                                <w:szCs w:val="18"/>
                                <w:lang w:val="en-US"/>
                              </w:rPr>
                            </w:pPr>
                            <w:r w:rsidRPr="003D0E4E">
                              <w:rPr>
                                <w:rFonts w:ascii="Century Gothic" w:hAnsi="Century Gothic"/>
                                <w:sz w:val="18"/>
                                <w:szCs w:val="18"/>
                                <w:lang w:val="en-US"/>
                              </w:rPr>
                              <w:t>Although every effort has been made to ensure the accuracy of the material and the int</w:t>
                            </w:r>
                            <w:r>
                              <w:rPr>
                                <w:rFonts w:ascii="Century Gothic" w:hAnsi="Century Gothic"/>
                                <w:sz w:val="18"/>
                                <w:szCs w:val="18"/>
                                <w:lang w:val="en-US"/>
                              </w:rPr>
                              <w:t>eg</w:t>
                            </w:r>
                            <w:r w:rsidRPr="003D0E4E">
                              <w:rPr>
                                <w:rFonts w:ascii="Century Gothic" w:hAnsi="Century Gothic"/>
                                <w:sz w:val="18"/>
                                <w:szCs w:val="18"/>
                                <w:lang w:val="en-US"/>
                              </w:rPr>
                              <w:t xml:space="preserve">rity of the analysis presented herein, Covec Ltd accepts no liability for any actions taken </w:t>
                            </w:r>
                            <w:proofErr w:type="gramStart"/>
                            <w:r w:rsidRPr="003D0E4E">
                              <w:rPr>
                                <w:rFonts w:ascii="Century Gothic" w:hAnsi="Century Gothic"/>
                                <w:sz w:val="18"/>
                                <w:szCs w:val="18"/>
                                <w:lang w:val="en-US"/>
                              </w:rPr>
                              <w:t>on the basis of</w:t>
                            </w:r>
                            <w:proofErr w:type="gramEnd"/>
                            <w:r w:rsidRPr="003D0E4E">
                              <w:rPr>
                                <w:rFonts w:ascii="Century Gothic" w:hAnsi="Century Gothic"/>
                                <w:sz w:val="18"/>
                                <w:szCs w:val="18"/>
                                <w:lang w:val="en-US"/>
                              </w:rPr>
                              <w:t xml:space="preserve"> its contents</w:t>
                            </w:r>
                            <w:r>
                              <w:rPr>
                                <w:rFonts w:ascii="Century Gothic" w:hAnsi="Century Gothic"/>
                                <w:sz w:val="18"/>
                                <w:szCs w:val="18"/>
                                <w:lang w:val="en-US"/>
                              </w:rPr>
                              <w:t>.</w:t>
                            </w:r>
                          </w:p>
                          <w:p w:rsidR="000B6805" w:rsidRDefault="000B680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FCE0152" id="Text Box 24" o:spid="_x0000_s1029" type="#_x0000_t202" style="position:absolute;margin-left:-5.85pt;margin-top:643.65pt;width:427.1pt;height:9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" stroked="f">
                <v:textbox>
                  <w:txbxContent>
                    <w:p w:rsidR="000B6805" w:rsidRPr="003D0E4E" w:rsidRDefault="000B6805" w:rsidP="00255688">
                      <w:pPr>
                        <w:pStyle w:val="Copyrighttext"/>
                      </w:pPr>
                      <w:r w:rsidRPr="003D0E4E">
                        <w:rPr>
                          <w:b/>
                        </w:rPr>
                        <w:t>Disclaimer</w:t>
                      </w:r>
                    </w:p>
                    <w:p w:rsidR="000B6805" w:rsidRPr="003D0E4E" w:rsidRDefault="000B6805" w:rsidP="00255688">
                      <w:pPr>
                        <w:rPr>
                          <w:rFonts w:ascii="Century Gothic" w:hAnsi="Century Gothic"/>
                          <w:sz w:val="18"/>
                          <w:szCs w:val="18"/>
                          <w:lang w:val="en-US"/>
                        </w:rPr>
                      </w:pPr>
                      <w:r w:rsidRPr="003D0E4E">
                        <w:rPr>
                          <w:rFonts w:ascii="Century Gothic" w:hAnsi="Century Gothic"/>
                          <w:sz w:val="18"/>
                          <w:szCs w:val="18"/>
                          <w:lang w:val="en-US"/>
                        </w:rPr>
                        <w:t>Although every effort has been made to ensure the accuracy of the material and the integrity of the analysis presented herein, Covec Ltd accepts no liability for any actions taken on the basis of its contents</w:t>
                      </w:r>
                      <w:r>
                        <w:rPr>
                          <w:rFonts w:ascii="Century Gothic" w:hAnsi="Century Gothic"/>
                          <w:sz w:val="18"/>
                          <w:szCs w:val="18"/>
                          <w:lang w:val="en-US"/>
                        </w:rPr>
                        <w:t>.</w:t>
                      </w:r>
                    </w:p>
                    <w:p w:rsidR="000B6805" w:rsidRDefault="000B6805"/>
                    <w:p w:rsidR="000B6805" w:rsidRDefault="000B6805"/>
                    <w:p w:rsidR="000B6805" w:rsidRPr="003D0E4E" w:rsidRDefault="000B6805" w:rsidP="00255688">
                      <w:pPr>
                        <w:pStyle w:val="Copyrighttext"/>
                      </w:pPr>
                      <w:r w:rsidRPr="003D0E4E">
                        <w:rPr>
                          <w:b/>
                        </w:rPr>
                        <w:t>Disclaimer</w:t>
                      </w:r>
                    </w:p>
                    <w:p w:rsidR="000B6805" w:rsidRPr="003D0E4E" w:rsidRDefault="000B6805" w:rsidP="00255688">
                      <w:pPr>
                        <w:rPr>
                          <w:rFonts w:ascii="Century Gothic" w:hAnsi="Century Gothic"/>
                          <w:sz w:val="18"/>
                          <w:szCs w:val="18"/>
                          <w:lang w:val="en-US"/>
                        </w:rPr>
                      </w:pPr>
                      <w:r w:rsidRPr="003D0E4E">
                        <w:rPr>
                          <w:rFonts w:ascii="Century Gothic" w:hAnsi="Century Gothic"/>
                          <w:sz w:val="18"/>
                          <w:szCs w:val="18"/>
                          <w:lang w:val="en-US"/>
                        </w:rPr>
                        <w:t>Although every effort has been made to ensure the accuracy of the material and the int</w:t>
                      </w:r>
                      <w:r>
                        <w:rPr>
                          <w:rFonts w:ascii="Century Gothic" w:hAnsi="Century Gothic"/>
                          <w:sz w:val="18"/>
                          <w:szCs w:val="18"/>
                          <w:lang w:val="en-US"/>
                        </w:rPr>
                        <w:t>eg</w:t>
                      </w:r>
                      <w:r w:rsidRPr="003D0E4E">
                        <w:rPr>
                          <w:rFonts w:ascii="Century Gothic" w:hAnsi="Century Gothic"/>
                          <w:sz w:val="18"/>
                          <w:szCs w:val="18"/>
                          <w:lang w:val="en-US"/>
                        </w:rPr>
                        <w:t>rity of the analysis presented herein, Covec Ltd accepts no liability for any actions taken on the basis of its contents</w:t>
                      </w:r>
                      <w:r>
                        <w:rPr>
                          <w:rFonts w:ascii="Century Gothic" w:hAnsi="Century Gothic"/>
                          <w:sz w:val="18"/>
                          <w:szCs w:val="18"/>
                          <w:lang w:val="en-US"/>
                        </w:rPr>
                        <w:t>.</w:t>
                      </w:r>
                    </w:p>
                    <w:p w:rsidR="000B6805" w:rsidRDefault="000B6805"/>
                    <w:p w:rsidR="000B6805" w:rsidRDefault="000B6805"/>
                    <w:p w:rsidR="000B6805" w:rsidRPr="003D0E4E" w:rsidRDefault="000B6805" w:rsidP="00255688">
                      <w:pPr>
                        <w:pStyle w:val="Copyrighttext"/>
                      </w:pPr>
                      <w:r w:rsidRPr="003D0E4E">
                        <w:rPr>
                          <w:b/>
                        </w:rPr>
                        <w:t>Disclaimer</w:t>
                      </w:r>
                    </w:p>
                    <w:p w:rsidR="000B6805" w:rsidRPr="003D0E4E" w:rsidRDefault="000B6805" w:rsidP="00255688">
                      <w:pPr>
                        <w:rPr>
                          <w:rFonts w:ascii="Century Gothic" w:hAnsi="Century Gothic"/>
                          <w:sz w:val="18"/>
                          <w:szCs w:val="18"/>
                          <w:lang w:val="en-US"/>
                        </w:rPr>
                      </w:pPr>
                      <w:r w:rsidRPr="003D0E4E">
                        <w:rPr>
                          <w:rFonts w:ascii="Century Gothic" w:hAnsi="Century Gothic"/>
                          <w:sz w:val="18"/>
                          <w:szCs w:val="18"/>
                          <w:lang w:val="en-US"/>
                        </w:rPr>
                        <w:t>Although every effort has been made to ensure the accuracy of the material and the integrity of the analysis presented herein, Covec Ltd accepts no liability for any actions taken on the basis of its contents</w:t>
                      </w:r>
                      <w:r>
                        <w:rPr>
                          <w:rFonts w:ascii="Century Gothic" w:hAnsi="Century Gothic"/>
                          <w:sz w:val="18"/>
                          <w:szCs w:val="18"/>
                          <w:lang w:val="en-US"/>
                        </w:rPr>
                        <w:t>.</w:t>
                      </w:r>
                    </w:p>
                    <w:p w:rsidR="000B6805" w:rsidRDefault="000B6805"/>
                    <w:p w:rsidR="000B6805" w:rsidRDefault="000B6805"/>
                    <w:p w:rsidR="000B6805" w:rsidRPr="003D0E4E" w:rsidRDefault="000B6805" w:rsidP="00255688">
                      <w:pPr>
                        <w:pStyle w:val="Copyrighttext"/>
                      </w:pPr>
                      <w:r w:rsidRPr="003D0E4E">
                        <w:rPr>
                          <w:b/>
                        </w:rPr>
                        <w:t>Disclaimer</w:t>
                      </w:r>
                    </w:p>
                    <w:p w:rsidR="000B6805" w:rsidRPr="003D0E4E" w:rsidRDefault="000B6805" w:rsidP="00255688">
                      <w:pPr>
                        <w:rPr>
                          <w:rFonts w:ascii="Century Gothic" w:hAnsi="Century Gothic"/>
                          <w:sz w:val="18"/>
                          <w:szCs w:val="18"/>
                          <w:lang w:val="en-US"/>
                        </w:rPr>
                      </w:pPr>
                      <w:r w:rsidRPr="003D0E4E">
                        <w:rPr>
                          <w:rFonts w:ascii="Century Gothic" w:hAnsi="Century Gothic"/>
                          <w:sz w:val="18"/>
                          <w:szCs w:val="18"/>
                          <w:lang w:val="en-US"/>
                        </w:rPr>
                        <w:t>Although every effort has been made to ensure the accuracy of the material and the int</w:t>
                      </w:r>
                      <w:r>
                        <w:rPr>
                          <w:rFonts w:ascii="Century Gothic" w:hAnsi="Century Gothic"/>
                          <w:sz w:val="18"/>
                          <w:szCs w:val="18"/>
                          <w:lang w:val="en-US"/>
                        </w:rPr>
                        <w:t>eg</w:t>
                      </w:r>
                      <w:r w:rsidRPr="003D0E4E">
                        <w:rPr>
                          <w:rFonts w:ascii="Century Gothic" w:hAnsi="Century Gothic"/>
                          <w:sz w:val="18"/>
                          <w:szCs w:val="18"/>
                          <w:lang w:val="en-US"/>
                        </w:rPr>
                        <w:t>rity of the analysis presented herein, Covec Ltd accepts no liability for any actions taken on the basis of its contents</w:t>
                      </w:r>
                      <w:r>
                        <w:rPr>
                          <w:rFonts w:ascii="Century Gothic" w:hAnsi="Century Gothic"/>
                          <w:sz w:val="18"/>
                          <w:szCs w:val="18"/>
                          <w:lang w:val="en-US"/>
                        </w:rPr>
                        <w:t>.</w:t>
                      </w:r>
                    </w:p>
                    <w:p w:rsidR="000B6805" w:rsidRDefault="000B6805"/>
                  </w:txbxContent>
                </v:textbox>
                <w10:wrap anchory="margin"/>
              </v:shape>
            </w:pict>
          </mc:Fallback>
        </mc:AlternateContent>
      </w:r>
    </w:p>
    <w:p w:rsidR="00D419BD" w:rsidRPr="004C33D1" w:rsidRDefault="00D419BD" w:rsidP="00DF131C">
      <w:pPr>
        <w:pStyle w:val="Copyrighttext"/>
        <w:jc w:val="center"/>
        <w:sectPr w:rsidR="00D419BD" w:rsidRPr="004C33D1" w:rsidSect="00733C4D">
          <w:type w:val="continuous"/>
          <w:pgSz w:w="11907" w:h="16840" w:code="9"/>
          <w:pgMar w:top="1701" w:right="1701" w:bottom="1701" w:left="1985" w:header="720" w:footer="851" w:gutter="0"/>
          <w:cols w:space="720"/>
          <w:titlePg/>
          <w:docGrid w:linePitch="360"/>
        </w:sectPr>
      </w:pPr>
      <w:bookmarkStart w:id="7" w:name="_GoBack"/>
      <w:bookmarkEnd w:id="7"/>
    </w:p>
    <w:p w:rsidR="00B8671A" w:rsidRDefault="000F657E" w:rsidP="00F156E7">
      <w:pPr>
        <w:pStyle w:val="Heading1"/>
        <w:numPr>
          <w:ilvl w:val="0"/>
          <w:numId w:val="0"/>
        </w:numPr>
        <w:rPr>
          <w:noProof/>
        </w:rPr>
      </w:pPr>
      <w:bookmarkStart w:id="8" w:name="_Toc458178977"/>
      <w:bookmarkStart w:id="9" w:name="_Toc458464532"/>
      <w:bookmarkStart w:id="10" w:name="_Toc458489753"/>
      <w:bookmarkStart w:id="11" w:name="_Toc462404957"/>
      <w:bookmarkStart w:id="12" w:name="_Toc462413602"/>
      <w:bookmarkStart w:id="13" w:name="_Toc462582154"/>
      <w:r w:rsidRPr="004C33D1">
        <w:lastRenderedPageBreak/>
        <w:t>Contents</w:t>
      </w:r>
      <w:bookmarkStart w:id="14" w:name="_Toc458178975"/>
      <w:bookmarkStart w:id="15" w:name="_Toc458464530"/>
      <w:bookmarkStart w:id="16" w:name="_Toc458489751"/>
      <w:bookmarkStart w:id="17" w:name="_Toc462404955"/>
      <w:bookmarkStart w:id="18" w:name="_Toc462413600"/>
      <w:bookmarkEnd w:id="8"/>
      <w:bookmarkEnd w:id="9"/>
      <w:bookmarkEnd w:id="10"/>
      <w:bookmarkEnd w:id="11"/>
      <w:bookmarkEnd w:id="12"/>
      <w:bookmarkEnd w:id="13"/>
      <w:r w:rsidR="00B8671A">
        <w:rPr>
          <w:sz w:val="18"/>
        </w:rPr>
        <w:fldChar w:fldCharType="begin"/>
      </w:r>
      <w:r w:rsidR="00B8671A">
        <w:rPr>
          <w:sz w:val="18"/>
        </w:rPr>
        <w:instrText xml:space="preserve"> TOC \o "1-2" \h \z \u </w:instrText>
      </w:r>
      <w:r w:rsidR="00B8671A">
        <w:rPr>
          <w:sz w:val="18"/>
        </w:rPr>
        <w:fldChar w:fldCharType="separate"/>
      </w:r>
    </w:p>
    <w:p w:rsidR="00B8671A" w:rsidRDefault="00B65F1A" w:rsidP="00F156E7">
      <w:pPr>
        <w:pStyle w:val="TOC1"/>
        <w:rPr>
          <w:rFonts w:asciiTheme="minorHAnsi" w:eastAsiaTheme="minorEastAsia" w:hAnsiTheme="minorHAnsi" w:cstheme="minorBidi"/>
          <w:noProof/>
          <w:sz w:val="22"/>
          <w:szCs w:val="22"/>
          <w:lang w:val="en-US"/>
        </w:rPr>
      </w:pPr>
      <w:hyperlink w:anchor="_Toc462582155" w:history="1">
        <w:r w:rsidR="00B8671A" w:rsidRPr="00482767">
          <w:rPr>
            <w:rStyle w:val="Hyperlink"/>
            <w:noProof/>
          </w:rPr>
          <w:t>Executive Summary</w:t>
        </w:r>
        <w:r w:rsidR="00B8671A">
          <w:rPr>
            <w:noProof/>
            <w:webHidden/>
          </w:rPr>
          <w:tab/>
        </w:r>
        <w:r w:rsidR="00B8671A">
          <w:rPr>
            <w:noProof/>
            <w:webHidden/>
          </w:rPr>
          <w:fldChar w:fldCharType="begin"/>
        </w:r>
        <w:r w:rsidR="00B8671A">
          <w:rPr>
            <w:noProof/>
            <w:webHidden/>
          </w:rPr>
          <w:instrText xml:space="preserve"> PAGEREF _Toc462582155 \h </w:instrText>
        </w:r>
        <w:r w:rsidR="00B8671A">
          <w:rPr>
            <w:noProof/>
            <w:webHidden/>
          </w:rPr>
        </w:r>
        <w:r w:rsidR="00B8671A">
          <w:rPr>
            <w:noProof/>
            <w:webHidden/>
          </w:rPr>
          <w:fldChar w:fldCharType="separate"/>
        </w:r>
        <w:r w:rsidR="000B6805">
          <w:rPr>
            <w:noProof/>
            <w:webHidden/>
          </w:rPr>
          <w:t>i</w:t>
        </w:r>
        <w:r w:rsidR="00B8671A">
          <w:rPr>
            <w:noProof/>
            <w:webHidden/>
          </w:rPr>
          <w:fldChar w:fldCharType="end"/>
        </w:r>
      </w:hyperlink>
    </w:p>
    <w:p w:rsidR="00B8671A" w:rsidRDefault="00B65F1A" w:rsidP="00F156E7">
      <w:pPr>
        <w:pStyle w:val="TOC1"/>
        <w:rPr>
          <w:rFonts w:asciiTheme="minorHAnsi" w:eastAsiaTheme="minorEastAsia" w:hAnsiTheme="minorHAnsi" w:cstheme="minorBidi"/>
          <w:noProof/>
          <w:sz w:val="22"/>
          <w:szCs w:val="22"/>
          <w:lang w:val="en-US"/>
        </w:rPr>
      </w:pPr>
      <w:hyperlink w:anchor="_Toc462582159" w:history="1">
        <w:r w:rsidR="00B8671A" w:rsidRPr="00482767">
          <w:rPr>
            <w:rStyle w:val="Hyperlink"/>
            <w:noProof/>
          </w:rPr>
          <w:t>1</w:t>
        </w:r>
        <w:r w:rsidR="00B8671A">
          <w:rPr>
            <w:rFonts w:asciiTheme="minorHAnsi" w:eastAsiaTheme="minorEastAsia" w:hAnsiTheme="minorHAnsi" w:cstheme="minorBidi"/>
            <w:noProof/>
            <w:sz w:val="22"/>
            <w:szCs w:val="22"/>
            <w:lang w:val="en-US"/>
          </w:rPr>
          <w:tab/>
        </w:r>
        <w:r w:rsidR="00B8671A" w:rsidRPr="00482767">
          <w:rPr>
            <w:rStyle w:val="Hyperlink"/>
            <w:noProof/>
          </w:rPr>
          <w:t>Introduction</w:t>
        </w:r>
        <w:r w:rsidR="00B8671A">
          <w:rPr>
            <w:noProof/>
            <w:webHidden/>
          </w:rPr>
          <w:tab/>
        </w:r>
        <w:r w:rsidR="00B8671A">
          <w:rPr>
            <w:noProof/>
            <w:webHidden/>
          </w:rPr>
          <w:fldChar w:fldCharType="begin"/>
        </w:r>
        <w:r w:rsidR="00B8671A">
          <w:rPr>
            <w:noProof/>
            <w:webHidden/>
          </w:rPr>
          <w:instrText xml:space="preserve"> PAGEREF _Toc462582159 \h </w:instrText>
        </w:r>
        <w:r w:rsidR="00B8671A">
          <w:rPr>
            <w:noProof/>
            <w:webHidden/>
          </w:rPr>
        </w:r>
        <w:r w:rsidR="00B8671A">
          <w:rPr>
            <w:noProof/>
            <w:webHidden/>
          </w:rPr>
          <w:fldChar w:fldCharType="separate"/>
        </w:r>
        <w:r w:rsidR="000B6805">
          <w:rPr>
            <w:noProof/>
            <w:webHidden/>
          </w:rPr>
          <w:t>1</w:t>
        </w:r>
        <w:r w:rsidR="00B8671A">
          <w:rPr>
            <w:noProof/>
            <w:webHidden/>
          </w:rPr>
          <w:fldChar w:fldCharType="end"/>
        </w:r>
      </w:hyperlink>
    </w:p>
    <w:p w:rsidR="00B8671A" w:rsidRDefault="00B65F1A" w:rsidP="00F156E7">
      <w:pPr>
        <w:pStyle w:val="TOC2"/>
        <w:tabs>
          <w:tab w:val="left" w:pos="880"/>
          <w:tab w:val="right" w:pos="8211"/>
        </w:tabs>
        <w:rPr>
          <w:rFonts w:asciiTheme="minorHAnsi" w:eastAsiaTheme="minorEastAsia" w:hAnsiTheme="minorHAnsi" w:cstheme="minorBidi"/>
          <w:noProof/>
          <w:sz w:val="22"/>
          <w:szCs w:val="22"/>
          <w:lang w:val="en-US"/>
        </w:rPr>
      </w:pPr>
      <w:hyperlink w:anchor="_Toc462582160" w:history="1">
        <w:r w:rsidR="00B8671A" w:rsidRPr="00482767">
          <w:rPr>
            <w:rStyle w:val="Hyperlink"/>
            <w:noProof/>
          </w:rPr>
          <w:t>1.1</w:t>
        </w:r>
        <w:r w:rsidR="00B8671A">
          <w:rPr>
            <w:rFonts w:asciiTheme="minorHAnsi" w:eastAsiaTheme="minorEastAsia" w:hAnsiTheme="minorHAnsi" w:cstheme="minorBidi"/>
            <w:noProof/>
            <w:sz w:val="22"/>
            <w:szCs w:val="22"/>
            <w:lang w:val="en-US"/>
          </w:rPr>
          <w:tab/>
        </w:r>
        <w:r w:rsidR="00B8671A" w:rsidRPr="00482767">
          <w:rPr>
            <w:rStyle w:val="Hyperlink"/>
            <w:noProof/>
          </w:rPr>
          <w:t>Background</w:t>
        </w:r>
        <w:r w:rsidR="00B8671A">
          <w:rPr>
            <w:noProof/>
            <w:webHidden/>
          </w:rPr>
          <w:tab/>
        </w:r>
        <w:r w:rsidR="00B8671A">
          <w:rPr>
            <w:noProof/>
            <w:webHidden/>
          </w:rPr>
          <w:fldChar w:fldCharType="begin"/>
        </w:r>
        <w:r w:rsidR="00B8671A">
          <w:rPr>
            <w:noProof/>
            <w:webHidden/>
          </w:rPr>
          <w:instrText xml:space="preserve"> PAGEREF _Toc462582160 \h </w:instrText>
        </w:r>
        <w:r w:rsidR="00B8671A">
          <w:rPr>
            <w:noProof/>
            <w:webHidden/>
          </w:rPr>
        </w:r>
        <w:r w:rsidR="00B8671A">
          <w:rPr>
            <w:noProof/>
            <w:webHidden/>
          </w:rPr>
          <w:fldChar w:fldCharType="separate"/>
        </w:r>
        <w:r w:rsidR="000B6805">
          <w:rPr>
            <w:noProof/>
            <w:webHidden/>
          </w:rPr>
          <w:t>1</w:t>
        </w:r>
        <w:r w:rsidR="00B8671A">
          <w:rPr>
            <w:noProof/>
            <w:webHidden/>
          </w:rPr>
          <w:fldChar w:fldCharType="end"/>
        </w:r>
      </w:hyperlink>
    </w:p>
    <w:p w:rsidR="00B8671A" w:rsidRDefault="00B65F1A" w:rsidP="00F156E7">
      <w:pPr>
        <w:pStyle w:val="TOC2"/>
        <w:tabs>
          <w:tab w:val="left" w:pos="880"/>
          <w:tab w:val="right" w:pos="8211"/>
        </w:tabs>
        <w:rPr>
          <w:rFonts w:asciiTheme="minorHAnsi" w:eastAsiaTheme="minorEastAsia" w:hAnsiTheme="minorHAnsi" w:cstheme="minorBidi"/>
          <w:noProof/>
          <w:sz w:val="22"/>
          <w:szCs w:val="22"/>
          <w:lang w:val="en-US"/>
        </w:rPr>
      </w:pPr>
      <w:hyperlink w:anchor="_Toc462582161" w:history="1">
        <w:r w:rsidR="00B8671A" w:rsidRPr="00482767">
          <w:rPr>
            <w:rStyle w:val="Hyperlink"/>
            <w:noProof/>
          </w:rPr>
          <w:t>1.2</w:t>
        </w:r>
        <w:r w:rsidR="00B8671A">
          <w:rPr>
            <w:rFonts w:asciiTheme="minorHAnsi" w:eastAsiaTheme="minorEastAsia" w:hAnsiTheme="minorHAnsi" w:cstheme="minorBidi"/>
            <w:noProof/>
            <w:sz w:val="22"/>
            <w:szCs w:val="22"/>
            <w:lang w:val="en-US"/>
          </w:rPr>
          <w:tab/>
        </w:r>
        <w:r w:rsidR="00B8671A" w:rsidRPr="00482767">
          <w:rPr>
            <w:rStyle w:val="Hyperlink"/>
            <w:noProof/>
          </w:rPr>
          <w:t>Previous Reports</w:t>
        </w:r>
        <w:r w:rsidR="00B8671A">
          <w:rPr>
            <w:noProof/>
            <w:webHidden/>
          </w:rPr>
          <w:tab/>
        </w:r>
        <w:r w:rsidR="00B8671A">
          <w:rPr>
            <w:noProof/>
            <w:webHidden/>
          </w:rPr>
          <w:fldChar w:fldCharType="begin"/>
        </w:r>
        <w:r w:rsidR="00B8671A">
          <w:rPr>
            <w:noProof/>
            <w:webHidden/>
          </w:rPr>
          <w:instrText xml:space="preserve"> PAGEREF _Toc462582161 \h </w:instrText>
        </w:r>
        <w:r w:rsidR="00B8671A">
          <w:rPr>
            <w:noProof/>
            <w:webHidden/>
          </w:rPr>
        </w:r>
        <w:r w:rsidR="00B8671A">
          <w:rPr>
            <w:noProof/>
            <w:webHidden/>
          </w:rPr>
          <w:fldChar w:fldCharType="separate"/>
        </w:r>
        <w:r w:rsidR="000B6805">
          <w:rPr>
            <w:noProof/>
            <w:webHidden/>
          </w:rPr>
          <w:t>3</w:t>
        </w:r>
        <w:r w:rsidR="00B8671A">
          <w:rPr>
            <w:noProof/>
            <w:webHidden/>
          </w:rPr>
          <w:fldChar w:fldCharType="end"/>
        </w:r>
      </w:hyperlink>
    </w:p>
    <w:p w:rsidR="00B8671A" w:rsidRDefault="00B65F1A" w:rsidP="00F156E7">
      <w:pPr>
        <w:pStyle w:val="TOC2"/>
        <w:tabs>
          <w:tab w:val="left" w:pos="880"/>
          <w:tab w:val="right" w:pos="8211"/>
        </w:tabs>
        <w:rPr>
          <w:rFonts w:asciiTheme="minorHAnsi" w:eastAsiaTheme="minorEastAsia" w:hAnsiTheme="minorHAnsi" w:cstheme="minorBidi"/>
          <w:noProof/>
          <w:sz w:val="22"/>
          <w:szCs w:val="22"/>
          <w:lang w:val="en-US"/>
        </w:rPr>
      </w:pPr>
      <w:hyperlink w:anchor="_Toc462582162" w:history="1">
        <w:r w:rsidR="00B8671A" w:rsidRPr="00482767">
          <w:rPr>
            <w:rStyle w:val="Hyperlink"/>
            <w:noProof/>
          </w:rPr>
          <w:t>1.3</w:t>
        </w:r>
        <w:r w:rsidR="00B8671A">
          <w:rPr>
            <w:rFonts w:asciiTheme="minorHAnsi" w:eastAsiaTheme="minorEastAsia" w:hAnsiTheme="minorHAnsi" w:cstheme="minorBidi"/>
            <w:noProof/>
            <w:sz w:val="22"/>
            <w:szCs w:val="22"/>
            <w:lang w:val="en-US"/>
          </w:rPr>
          <w:tab/>
        </w:r>
        <w:r w:rsidR="00B8671A" w:rsidRPr="00482767">
          <w:rPr>
            <w:rStyle w:val="Hyperlink"/>
            <w:noProof/>
          </w:rPr>
          <w:t>This Report</w:t>
        </w:r>
        <w:r w:rsidR="00B8671A">
          <w:rPr>
            <w:noProof/>
            <w:webHidden/>
          </w:rPr>
          <w:tab/>
        </w:r>
        <w:r w:rsidR="00B8671A">
          <w:rPr>
            <w:noProof/>
            <w:webHidden/>
          </w:rPr>
          <w:fldChar w:fldCharType="begin"/>
        </w:r>
        <w:r w:rsidR="00B8671A">
          <w:rPr>
            <w:noProof/>
            <w:webHidden/>
          </w:rPr>
          <w:instrText xml:space="preserve"> PAGEREF _Toc462582162 \h </w:instrText>
        </w:r>
        <w:r w:rsidR="00B8671A">
          <w:rPr>
            <w:noProof/>
            <w:webHidden/>
          </w:rPr>
        </w:r>
        <w:r w:rsidR="00B8671A">
          <w:rPr>
            <w:noProof/>
            <w:webHidden/>
          </w:rPr>
          <w:fldChar w:fldCharType="separate"/>
        </w:r>
        <w:r w:rsidR="000B6805">
          <w:rPr>
            <w:noProof/>
            <w:webHidden/>
          </w:rPr>
          <w:t>7</w:t>
        </w:r>
        <w:r w:rsidR="00B8671A">
          <w:rPr>
            <w:noProof/>
            <w:webHidden/>
          </w:rPr>
          <w:fldChar w:fldCharType="end"/>
        </w:r>
      </w:hyperlink>
    </w:p>
    <w:p w:rsidR="00B8671A" w:rsidRDefault="00B65F1A" w:rsidP="00F156E7">
      <w:pPr>
        <w:pStyle w:val="TOC1"/>
        <w:rPr>
          <w:rFonts w:asciiTheme="minorHAnsi" w:eastAsiaTheme="minorEastAsia" w:hAnsiTheme="minorHAnsi" w:cstheme="minorBidi"/>
          <w:noProof/>
          <w:sz w:val="22"/>
          <w:szCs w:val="22"/>
          <w:lang w:val="en-US"/>
        </w:rPr>
      </w:pPr>
      <w:hyperlink w:anchor="_Toc462582163" w:history="1">
        <w:r w:rsidR="00B8671A" w:rsidRPr="00482767">
          <w:rPr>
            <w:rStyle w:val="Hyperlink"/>
            <w:noProof/>
          </w:rPr>
          <w:t>2</w:t>
        </w:r>
        <w:r w:rsidR="00B8671A">
          <w:rPr>
            <w:rFonts w:asciiTheme="minorHAnsi" w:eastAsiaTheme="minorEastAsia" w:hAnsiTheme="minorHAnsi" w:cstheme="minorBidi"/>
            <w:noProof/>
            <w:sz w:val="22"/>
            <w:szCs w:val="22"/>
            <w:lang w:val="en-US"/>
          </w:rPr>
          <w:tab/>
        </w:r>
        <w:r w:rsidR="00B8671A" w:rsidRPr="00482767">
          <w:rPr>
            <w:rStyle w:val="Hyperlink"/>
            <w:noProof/>
          </w:rPr>
          <w:t>Identifying the Problem</w:t>
        </w:r>
        <w:r w:rsidR="00B8671A">
          <w:rPr>
            <w:noProof/>
            <w:webHidden/>
          </w:rPr>
          <w:tab/>
        </w:r>
        <w:r w:rsidR="00B8671A">
          <w:rPr>
            <w:noProof/>
            <w:webHidden/>
          </w:rPr>
          <w:fldChar w:fldCharType="begin"/>
        </w:r>
        <w:r w:rsidR="00B8671A">
          <w:rPr>
            <w:noProof/>
            <w:webHidden/>
          </w:rPr>
          <w:instrText xml:space="preserve"> PAGEREF _Toc462582163 \h </w:instrText>
        </w:r>
        <w:r w:rsidR="00B8671A">
          <w:rPr>
            <w:noProof/>
            <w:webHidden/>
          </w:rPr>
        </w:r>
        <w:r w:rsidR="00B8671A">
          <w:rPr>
            <w:noProof/>
            <w:webHidden/>
          </w:rPr>
          <w:fldChar w:fldCharType="separate"/>
        </w:r>
        <w:r w:rsidR="000B6805">
          <w:rPr>
            <w:noProof/>
            <w:webHidden/>
          </w:rPr>
          <w:t>9</w:t>
        </w:r>
        <w:r w:rsidR="00B8671A">
          <w:rPr>
            <w:noProof/>
            <w:webHidden/>
          </w:rPr>
          <w:fldChar w:fldCharType="end"/>
        </w:r>
      </w:hyperlink>
    </w:p>
    <w:p w:rsidR="00B8671A" w:rsidRDefault="00B65F1A" w:rsidP="00F156E7">
      <w:pPr>
        <w:pStyle w:val="TOC2"/>
        <w:tabs>
          <w:tab w:val="left" w:pos="880"/>
          <w:tab w:val="right" w:pos="8211"/>
        </w:tabs>
        <w:rPr>
          <w:rFonts w:asciiTheme="minorHAnsi" w:eastAsiaTheme="minorEastAsia" w:hAnsiTheme="minorHAnsi" w:cstheme="minorBidi"/>
          <w:noProof/>
          <w:sz w:val="22"/>
          <w:szCs w:val="22"/>
          <w:lang w:val="en-US"/>
        </w:rPr>
      </w:pPr>
      <w:hyperlink w:anchor="_Toc462582164" w:history="1">
        <w:r w:rsidR="00B8671A" w:rsidRPr="00482767">
          <w:rPr>
            <w:rStyle w:val="Hyperlink"/>
            <w:noProof/>
          </w:rPr>
          <w:t>2.1</w:t>
        </w:r>
        <w:r w:rsidR="00B8671A">
          <w:rPr>
            <w:rFonts w:asciiTheme="minorHAnsi" w:eastAsiaTheme="minorEastAsia" w:hAnsiTheme="minorHAnsi" w:cstheme="minorBidi"/>
            <w:noProof/>
            <w:sz w:val="22"/>
            <w:szCs w:val="22"/>
            <w:lang w:val="en-US"/>
          </w:rPr>
          <w:tab/>
        </w:r>
        <w:r w:rsidR="00B8671A" w:rsidRPr="00482767">
          <w:rPr>
            <w:rStyle w:val="Hyperlink"/>
            <w:noProof/>
          </w:rPr>
          <w:t>Market Definition</w:t>
        </w:r>
        <w:r w:rsidR="00B8671A">
          <w:rPr>
            <w:noProof/>
            <w:webHidden/>
          </w:rPr>
          <w:tab/>
        </w:r>
        <w:r w:rsidR="00B8671A">
          <w:rPr>
            <w:noProof/>
            <w:webHidden/>
          </w:rPr>
          <w:fldChar w:fldCharType="begin"/>
        </w:r>
        <w:r w:rsidR="00B8671A">
          <w:rPr>
            <w:noProof/>
            <w:webHidden/>
          </w:rPr>
          <w:instrText xml:space="preserve"> PAGEREF _Toc462582164 \h </w:instrText>
        </w:r>
        <w:r w:rsidR="00B8671A">
          <w:rPr>
            <w:noProof/>
            <w:webHidden/>
          </w:rPr>
        </w:r>
        <w:r w:rsidR="00B8671A">
          <w:rPr>
            <w:noProof/>
            <w:webHidden/>
          </w:rPr>
          <w:fldChar w:fldCharType="separate"/>
        </w:r>
        <w:r w:rsidR="000B6805">
          <w:rPr>
            <w:noProof/>
            <w:webHidden/>
          </w:rPr>
          <w:t>9</w:t>
        </w:r>
        <w:r w:rsidR="00B8671A">
          <w:rPr>
            <w:noProof/>
            <w:webHidden/>
          </w:rPr>
          <w:fldChar w:fldCharType="end"/>
        </w:r>
      </w:hyperlink>
    </w:p>
    <w:p w:rsidR="00B8671A" w:rsidRDefault="00B65F1A" w:rsidP="00F156E7">
      <w:pPr>
        <w:pStyle w:val="TOC2"/>
        <w:tabs>
          <w:tab w:val="left" w:pos="880"/>
          <w:tab w:val="right" w:pos="8211"/>
        </w:tabs>
        <w:rPr>
          <w:rFonts w:asciiTheme="minorHAnsi" w:eastAsiaTheme="minorEastAsia" w:hAnsiTheme="minorHAnsi" w:cstheme="minorBidi"/>
          <w:noProof/>
          <w:sz w:val="22"/>
          <w:szCs w:val="22"/>
          <w:lang w:val="en-US"/>
        </w:rPr>
      </w:pPr>
      <w:hyperlink w:anchor="_Toc462582165" w:history="1">
        <w:r w:rsidR="00B8671A" w:rsidRPr="00482767">
          <w:rPr>
            <w:rStyle w:val="Hyperlink"/>
            <w:noProof/>
          </w:rPr>
          <w:t>2.2</w:t>
        </w:r>
        <w:r w:rsidR="00B8671A">
          <w:rPr>
            <w:rFonts w:asciiTheme="minorHAnsi" w:eastAsiaTheme="minorEastAsia" w:hAnsiTheme="minorHAnsi" w:cstheme="minorBidi"/>
            <w:noProof/>
            <w:sz w:val="22"/>
            <w:szCs w:val="22"/>
            <w:lang w:val="en-US"/>
          </w:rPr>
          <w:tab/>
        </w:r>
        <w:r w:rsidR="00B8671A" w:rsidRPr="00482767">
          <w:rPr>
            <w:rStyle w:val="Hyperlink"/>
            <w:noProof/>
          </w:rPr>
          <w:t>Competitive Markets for Land and Development</w:t>
        </w:r>
        <w:r w:rsidR="00B8671A">
          <w:rPr>
            <w:noProof/>
            <w:webHidden/>
          </w:rPr>
          <w:tab/>
        </w:r>
        <w:r w:rsidR="00B8671A">
          <w:rPr>
            <w:noProof/>
            <w:webHidden/>
          </w:rPr>
          <w:fldChar w:fldCharType="begin"/>
        </w:r>
        <w:r w:rsidR="00B8671A">
          <w:rPr>
            <w:noProof/>
            <w:webHidden/>
          </w:rPr>
          <w:instrText xml:space="preserve"> PAGEREF _Toc462582165 \h </w:instrText>
        </w:r>
        <w:r w:rsidR="00B8671A">
          <w:rPr>
            <w:noProof/>
            <w:webHidden/>
          </w:rPr>
        </w:r>
        <w:r w:rsidR="00B8671A">
          <w:rPr>
            <w:noProof/>
            <w:webHidden/>
          </w:rPr>
          <w:fldChar w:fldCharType="separate"/>
        </w:r>
        <w:r w:rsidR="000B6805">
          <w:rPr>
            <w:noProof/>
            <w:webHidden/>
          </w:rPr>
          <w:t>11</w:t>
        </w:r>
        <w:r w:rsidR="00B8671A">
          <w:rPr>
            <w:noProof/>
            <w:webHidden/>
          </w:rPr>
          <w:fldChar w:fldCharType="end"/>
        </w:r>
      </w:hyperlink>
    </w:p>
    <w:p w:rsidR="00B8671A" w:rsidRDefault="00B65F1A" w:rsidP="00F156E7">
      <w:pPr>
        <w:pStyle w:val="TOC2"/>
        <w:tabs>
          <w:tab w:val="left" w:pos="880"/>
          <w:tab w:val="right" w:pos="8211"/>
        </w:tabs>
        <w:rPr>
          <w:rFonts w:asciiTheme="minorHAnsi" w:eastAsiaTheme="minorEastAsia" w:hAnsiTheme="minorHAnsi" w:cstheme="minorBidi"/>
          <w:noProof/>
          <w:sz w:val="22"/>
          <w:szCs w:val="22"/>
          <w:lang w:val="en-US"/>
        </w:rPr>
      </w:pPr>
      <w:hyperlink w:anchor="_Toc462582166" w:history="1">
        <w:r w:rsidR="00B8671A" w:rsidRPr="00482767">
          <w:rPr>
            <w:rStyle w:val="Hyperlink"/>
            <w:noProof/>
          </w:rPr>
          <w:t>2.3</w:t>
        </w:r>
        <w:r w:rsidR="00B8671A">
          <w:rPr>
            <w:rFonts w:asciiTheme="minorHAnsi" w:eastAsiaTheme="minorEastAsia" w:hAnsiTheme="minorHAnsi" w:cstheme="minorBidi"/>
            <w:noProof/>
            <w:sz w:val="22"/>
            <w:szCs w:val="22"/>
            <w:lang w:val="en-US"/>
          </w:rPr>
          <w:tab/>
        </w:r>
        <w:r w:rsidR="00B8671A" w:rsidRPr="00482767">
          <w:rPr>
            <w:rStyle w:val="Hyperlink"/>
            <w:noProof/>
          </w:rPr>
          <w:t>Efficient Pricing (or What Prices Ideally Should Be)</w:t>
        </w:r>
        <w:r w:rsidR="00B8671A">
          <w:rPr>
            <w:noProof/>
            <w:webHidden/>
          </w:rPr>
          <w:tab/>
        </w:r>
        <w:r w:rsidR="00B8671A">
          <w:rPr>
            <w:noProof/>
            <w:webHidden/>
          </w:rPr>
          <w:fldChar w:fldCharType="begin"/>
        </w:r>
        <w:r w:rsidR="00B8671A">
          <w:rPr>
            <w:noProof/>
            <w:webHidden/>
          </w:rPr>
          <w:instrText xml:space="preserve"> PAGEREF _Toc462582166 \h </w:instrText>
        </w:r>
        <w:r w:rsidR="00B8671A">
          <w:rPr>
            <w:noProof/>
            <w:webHidden/>
          </w:rPr>
        </w:r>
        <w:r w:rsidR="00B8671A">
          <w:rPr>
            <w:noProof/>
            <w:webHidden/>
          </w:rPr>
          <w:fldChar w:fldCharType="separate"/>
        </w:r>
        <w:r w:rsidR="000B6805">
          <w:rPr>
            <w:noProof/>
            <w:webHidden/>
          </w:rPr>
          <w:t>20</w:t>
        </w:r>
        <w:r w:rsidR="00B8671A">
          <w:rPr>
            <w:noProof/>
            <w:webHidden/>
          </w:rPr>
          <w:fldChar w:fldCharType="end"/>
        </w:r>
      </w:hyperlink>
    </w:p>
    <w:p w:rsidR="00B8671A" w:rsidRDefault="00B65F1A" w:rsidP="00F156E7">
      <w:pPr>
        <w:pStyle w:val="TOC2"/>
        <w:tabs>
          <w:tab w:val="left" w:pos="880"/>
          <w:tab w:val="right" w:pos="8211"/>
        </w:tabs>
        <w:rPr>
          <w:rFonts w:asciiTheme="minorHAnsi" w:eastAsiaTheme="minorEastAsia" w:hAnsiTheme="minorHAnsi" w:cstheme="minorBidi"/>
          <w:noProof/>
          <w:sz w:val="22"/>
          <w:szCs w:val="22"/>
          <w:lang w:val="en-US"/>
        </w:rPr>
      </w:pPr>
      <w:hyperlink w:anchor="_Toc462582167" w:history="1">
        <w:r w:rsidR="00B8671A" w:rsidRPr="00482767">
          <w:rPr>
            <w:rStyle w:val="Hyperlink"/>
            <w:noProof/>
          </w:rPr>
          <w:t>2.4</w:t>
        </w:r>
        <w:r w:rsidR="00B8671A">
          <w:rPr>
            <w:rFonts w:asciiTheme="minorHAnsi" w:eastAsiaTheme="minorEastAsia" w:hAnsiTheme="minorHAnsi" w:cstheme="minorBidi"/>
            <w:noProof/>
            <w:sz w:val="22"/>
            <w:szCs w:val="22"/>
            <w:lang w:val="en-US"/>
          </w:rPr>
          <w:tab/>
        </w:r>
        <w:r w:rsidR="00B8671A" w:rsidRPr="00482767">
          <w:rPr>
            <w:rStyle w:val="Hyperlink"/>
            <w:noProof/>
          </w:rPr>
          <w:t>Undesirable Outcomes of Unaffordable Housing</w:t>
        </w:r>
        <w:r w:rsidR="00B8671A">
          <w:rPr>
            <w:noProof/>
            <w:webHidden/>
          </w:rPr>
          <w:tab/>
        </w:r>
        <w:r w:rsidR="00B8671A">
          <w:rPr>
            <w:noProof/>
            <w:webHidden/>
          </w:rPr>
          <w:fldChar w:fldCharType="begin"/>
        </w:r>
        <w:r w:rsidR="00B8671A">
          <w:rPr>
            <w:noProof/>
            <w:webHidden/>
          </w:rPr>
          <w:instrText xml:space="preserve"> PAGEREF _Toc462582167 \h </w:instrText>
        </w:r>
        <w:r w:rsidR="00B8671A">
          <w:rPr>
            <w:noProof/>
            <w:webHidden/>
          </w:rPr>
        </w:r>
        <w:r w:rsidR="00B8671A">
          <w:rPr>
            <w:noProof/>
            <w:webHidden/>
          </w:rPr>
          <w:fldChar w:fldCharType="separate"/>
        </w:r>
        <w:r w:rsidR="000B6805">
          <w:rPr>
            <w:noProof/>
            <w:webHidden/>
          </w:rPr>
          <w:t>22</w:t>
        </w:r>
        <w:r w:rsidR="00B8671A">
          <w:rPr>
            <w:noProof/>
            <w:webHidden/>
          </w:rPr>
          <w:fldChar w:fldCharType="end"/>
        </w:r>
      </w:hyperlink>
    </w:p>
    <w:p w:rsidR="00B8671A" w:rsidRDefault="00B65F1A" w:rsidP="00F156E7">
      <w:pPr>
        <w:pStyle w:val="TOC2"/>
        <w:tabs>
          <w:tab w:val="left" w:pos="880"/>
          <w:tab w:val="right" w:pos="8211"/>
        </w:tabs>
        <w:rPr>
          <w:rFonts w:asciiTheme="minorHAnsi" w:eastAsiaTheme="minorEastAsia" w:hAnsiTheme="minorHAnsi" w:cstheme="minorBidi"/>
          <w:noProof/>
          <w:sz w:val="22"/>
          <w:szCs w:val="22"/>
          <w:lang w:val="en-US"/>
        </w:rPr>
      </w:pPr>
      <w:hyperlink w:anchor="_Toc462582168" w:history="1">
        <w:r w:rsidR="00B8671A" w:rsidRPr="00482767">
          <w:rPr>
            <w:rStyle w:val="Hyperlink"/>
            <w:noProof/>
          </w:rPr>
          <w:t>2.5</w:t>
        </w:r>
        <w:r w:rsidR="00B8671A">
          <w:rPr>
            <w:rFonts w:asciiTheme="minorHAnsi" w:eastAsiaTheme="minorEastAsia" w:hAnsiTheme="minorHAnsi" w:cstheme="minorBidi"/>
            <w:noProof/>
            <w:sz w:val="22"/>
            <w:szCs w:val="22"/>
            <w:lang w:val="en-US"/>
          </w:rPr>
          <w:tab/>
        </w:r>
        <w:r w:rsidR="00B8671A" w:rsidRPr="00482767">
          <w:rPr>
            <w:rStyle w:val="Hyperlink"/>
            <w:noProof/>
          </w:rPr>
          <w:t>The role of Councils</w:t>
        </w:r>
        <w:r w:rsidR="00B8671A">
          <w:rPr>
            <w:noProof/>
            <w:webHidden/>
          </w:rPr>
          <w:tab/>
        </w:r>
        <w:r w:rsidR="00B8671A">
          <w:rPr>
            <w:noProof/>
            <w:webHidden/>
          </w:rPr>
          <w:fldChar w:fldCharType="begin"/>
        </w:r>
        <w:r w:rsidR="00B8671A">
          <w:rPr>
            <w:noProof/>
            <w:webHidden/>
          </w:rPr>
          <w:instrText xml:space="preserve"> PAGEREF _Toc462582168 \h </w:instrText>
        </w:r>
        <w:r w:rsidR="00B8671A">
          <w:rPr>
            <w:noProof/>
            <w:webHidden/>
          </w:rPr>
        </w:r>
        <w:r w:rsidR="00B8671A">
          <w:rPr>
            <w:noProof/>
            <w:webHidden/>
          </w:rPr>
          <w:fldChar w:fldCharType="separate"/>
        </w:r>
        <w:r w:rsidR="000B6805">
          <w:rPr>
            <w:noProof/>
            <w:webHidden/>
          </w:rPr>
          <w:t>25</w:t>
        </w:r>
        <w:r w:rsidR="00B8671A">
          <w:rPr>
            <w:noProof/>
            <w:webHidden/>
          </w:rPr>
          <w:fldChar w:fldCharType="end"/>
        </w:r>
      </w:hyperlink>
    </w:p>
    <w:p w:rsidR="00B8671A" w:rsidRDefault="00B65F1A" w:rsidP="00F156E7">
      <w:pPr>
        <w:pStyle w:val="TOC2"/>
        <w:tabs>
          <w:tab w:val="left" w:pos="880"/>
          <w:tab w:val="right" w:pos="8211"/>
        </w:tabs>
        <w:rPr>
          <w:rFonts w:asciiTheme="minorHAnsi" w:eastAsiaTheme="minorEastAsia" w:hAnsiTheme="minorHAnsi" w:cstheme="minorBidi"/>
          <w:noProof/>
          <w:sz w:val="22"/>
          <w:szCs w:val="22"/>
          <w:lang w:val="en-US"/>
        </w:rPr>
      </w:pPr>
      <w:hyperlink w:anchor="_Toc462582169" w:history="1">
        <w:r w:rsidR="00B8671A" w:rsidRPr="00482767">
          <w:rPr>
            <w:rStyle w:val="Hyperlink"/>
            <w:noProof/>
          </w:rPr>
          <w:t>2.6</w:t>
        </w:r>
        <w:r w:rsidR="00B8671A">
          <w:rPr>
            <w:rFonts w:asciiTheme="minorHAnsi" w:eastAsiaTheme="minorEastAsia" w:hAnsiTheme="minorHAnsi" w:cstheme="minorBidi"/>
            <w:noProof/>
            <w:sz w:val="22"/>
            <w:szCs w:val="22"/>
            <w:lang w:val="en-US"/>
          </w:rPr>
          <w:tab/>
        </w:r>
        <w:r w:rsidR="00B8671A" w:rsidRPr="00482767">
          <w:rPr>
            <w:rStyle w:val="Hyperlink"/>
            <w:noProof/>
          </w:rPr>
          <w:t>The Role of Indicators</w:t>
        </w:r>
        <w:r w:rsidR="00B8671A">
          <w:rPr>
            <w:noProof/>
            <w:webHidden/>
          </w:rPr>
          <w:tab/>
        </w:r>
        <w:r w:rsidR="00B8671A">
          <w:rPr>
            <w:noProof/>
            <w:webHidden/>
          </w:rPr>
          <w:fldChar w:fldCharType="begin"/>
        </w:r>
        <w:r w:rsidR="00B8671A">
          <w:rPr>
            <w:noProof/>
            <w:webHidden/>
          </w:rPr>
          <w:instrText xml:space="preserve"> PAGEREF _Toc462582169 \h </w:instrText>
        </w:r>
        <w:r w:rsidR="00B8671A">
          <w:rPr>
            <w:noProof/>
            <w:webHidden/>
          </w:rPr>
        </w:r>
        <w:r w:rsidR="00B8671A">
          <w:rPr>
            <w:noProof/>
            <w:webHidden/>
          </w:rPr>
          <w:fldChar w:fldCharType="separate"/>
        </w:r>
        <w:r w:rsidR="000B6805">
          <w:rPr>
            <w:noProof/>
            <w:webHidden/>
          </w:rPr>
          <w:t>27</w:t>
        </w:r>
        <w:r w:rsidR="00B8671A">
          <w:rPr>
            <w:noProof/>
            <w:webHidden/>
          </w:rPr>
          <w:fldChar w:fldCharType="end"/>
        </w:r>
      </w:hyperlink>
    </w:p>
    <w:p w:rsidR="00B8671A" w:rsidRDefault="00B65F1A" w:rsidP="00F156E7">
      <w:pPr>
        <w:pStyle w:val="TOC1"/>
        <w:rPr>
          <w:rFonts w:asciiTheme="minorHAnsi" w:eastAsiaTheme="minorEastAsia" w:hAnsiTheme="minorHAnsi" w:cstheme="minorBidi"/>
          <w:noProof/>
          <w:sz w:val="22"/>
          <w:szCs w:val="22"/>
          <w:lang w:val="en-US"/>
        </w:rPr>
      </w:pPr>
      <w:hyperlink w:anchor="_Toc462582170" w:history="1">
        <w:r w:rsidR="00B8671A" w:rsidRPr="00482767">
          <w:rPr>
            <w:rStyle w:val="Hyperlink"/>
            <w:noProof/>
          </w:rPr>
          <w:t>3</w:t>
        </w:r>
        <w:r w:rsidR="00B8671A">
          <w:rPr>
            <w:rFonts w:asciiTheme="minorHAnsi" w:eastAsiaTheme="minorEastAsia" w:hAnsiTheme="minorHAnsi" w:cstheme="minorBidi"/>
            <w:noProof/>
            <w:sz w:val="22"/>
            <w:szCs w:val="22"/>
            <w:lang w:val="en-US"/>
          </w:rPr>
          <w:tab/>
        </w:r>
        <w:r w:rsidR="00B8671A" w:rsidRPr="00482767">
          <w:rPr>
            <w:rStyle w:val="Hyperlink"/>
            <w:noProof/>
          </w:rPr>
          <w:t>General Market Indicators</w:t>
        </w:r>
        <w:r w:rsidR="00B8671A">
          <w:rPr>
            <w:noProof/>
            <w:webHidden/>
          </w:rPr>
          <w:tab/>
        </w:r>
        <w:r w:rsidR="00B8671A">
          <w:rPr>
            <w:noProof/>
            <w:webHidden/>
          </w:rPr>
          <w:fldChar w:fldCharType="begin"/>
        </w:r>
        <w:r w:rsidR="00B8671A">
          <w:rPr>
            <w:noProof/>
            <w:webHidden/>
          </w:rPr>
          <w:instrText xml:space="preserve"> PAGEREF _Toc462582170 \h </w:instrText>
        </w:r>
        <w:r w:rsidR="00B8671A">
          <w:rPr>
            <w:noProof/>
            <w:webHidden/>
          </w:rPr>
        </w:r>
        <w:r w:rsidR="00B8671A">
          <w:rPr>
            <w:noProof/>
            <w:webHidden/>
          </w:rPr>
          <w:fldChar w:fldCharType="separate"/>
        </w:r>
        <w:r w:rsidR="000B6805">
          <w:rPr>
            <w:noProof/>
            <w:webHidden/>
          </w:rPr>
          <w:t>29</w:t>
        </w:r>
        <w:r w:rsidR="00B8671A">
          <w:rPr>
            <w:noProof/>
            <w:webHidden/>
          </w:rPr>
          <w:fldChar w:fldCharType="end"/>
        </w:r>
      </w:hyperlink>
    </w:p>
    <w:p w:rsidR="00B8671A" w:rsidRDefault="00B65F1A" w:rsidP="00F156E7">
      <w:pPr>
        <w:pStyle w:val="TOC2"/>
        <w:tabs>
          <w:tab w:val="left" w:pos="880"/>
          <w:tab w:val="right" w:pos="8211"/>
        </w:tabs>
        <w:rPr>
          <w:rFonts w:asciiTheme="minorHAnsi" w:eastAsiaTheme="minorEastAsia" w:hAnsiTheme="minorHAnsi" w:cstheme="minorBidi"/>
          <w:noProof/>
          <w:sz w:val="22"/>
          <w:szCs w:val="22"/>
          <w:lang w:val="en-US"/>
        </w:rPr>
      </w:pPr>
      <w:hyperlink w:anchor="_Toc462582171" w:history="1">
        <w:r w:rsidR="00B8671A" w:rsidRPr="00482767">
          <w:rPr>
            <w:rStyle w:val="Hyperlink"/>
            <w:noProof/>
          </w:rPr>
          <w:t>3.1</w:t>
        </w:r>
        <w:r w:rsidR="00B8671A">
          <w:rPr>
            <w:rFonts w:asciiTheme="minorHAnsi" w:eastAsiaTheme="minorEastAsia" w:hAnsiTheme="minorHAnsi" w:cstheme="minorBidi"/>
            <w:noProof/>
            <w:sz w:val="22"/>
            <w:szCs w:val="22"/>
            <w:lang w:val="en-US"/>
          </w:rPr>
          <w:tab/>
        </w:r>
        <w:r w:rsidR="00B8671A" w:rsidRPr="00482767">
          <w:rPr>
            <w:rStyle w:val="Hyperlink"/>
            <w:noProof/>
          </w:rPr>
          <w:t>Introduction</w:t>
        </w:r>
        <w:r w:rsidR="00B8671A">
          <w:rPr>
            <w:noProof/>
            <w:webHidden/>
          </w:rPr>
          <w:tab/>
        </w:r>
        <w:r w:rsidR="00B8671A">
          <w:rPr>
            <w:noProof/>
            <w:webHidden/>
          </w:rPr>
          <w:fldChar w:fldCharType="begin"/>
        </w:r>
        <w:r w:rsidR="00B8671A">
          <w:rPr>
            <w:noProof/>
            <w:webHidden/>
          </w:rPr>
          <w:instrText xml:space="preserve"> PAGEREF _Toc462582171 \h </w:instrText>
        </w:r>
        <w:r w:rsidR="00B8671A">
          <w:rPr>
            <w:noProof/>
            <w:webHidden/>
          </w:rPr>
        </w:r>
        <w:r w:rsidR="00B8671A">
          <w:rPr>
            <w:noProof/>
            <w:webHidden/>
          </w:rPr>
          <w:fldChar w:fldCharType="separate"/>
        </w:r>
        <w:r w:rsidR="000B6805">
          <w:rPr>
            <w:noProof/>
            <w:webHidden/>
          </w:rPr>
          <w:t>29</w:t>
        </w:r>
        <w:r w:rsidR="00B8671A">
          <w:rPr>
            <w:noProof/>
            <w:webHidden/>
          </w:rPr>
          <w:fldChar w:fldCharType="end"/>
        </w:r>
      </w:hyperlink>
    </w:p>
    <w:p w:rsidR="00B8671A" w:rsidRDefault="00B65F1A" w:rsidP="00F156E7">
      <w:pPr>
        <w:pStyle w:val="TOC2"/>
        <w:tabs>
          <w:tab w:val="left" w:pos="880"/>
          <w:tab w:val="right" w:pos="8211"/>
        </w:tabs>
        <w:rPr>
          <w:rFonts w:asciiTheme="minorHAnsi" w:eastAsiaTheme="minorEastAsia" w:hAnsiTheme="minorHAnsi" w:cstheme="minorBidi"/>
          <w:noProof/>
          <w:sz w:val="22"/>
          <w:szCs w:val="22"/>
          <w:lang w:val="en-US"/>
        </w:rPr>
      </w:pPr>
      <w:hyperlink w:anchor="_Toc462582172" w:history="1">
        <w:r w:rsidR="00B8671A" w:rsidRPr="00482767">
          <w:rPr>
            <w:rStyle w:val="Hyperlink"/>
            <w:noProof/>
          </w:rPr>
          <w:t>3.2</w:t>
        </w:r>
        <w:r w:rsidR="00B8671A">
          <w:rPr>
            <w:rFonts w:asciiTheme="minorHAnsi" w:eastAsiaTheme="minorEastAsia" w:hAnsiTheme="minorHAnsi" w:cstheme="minorBidi"/>
            <w:noProof/>
            <w:sz w:val="22"/>
            <w:szCs w:val="22"/>
            <w:lang w:val="en-US"/>
          </w:rPr>
          <w:tab/>
        </w:r>
        <w:r w:rsidR="00B8671A" w:rsidRPr="00482767">
          <w:rPr>
            <w:rStyle w:val="Hyperlink"/>
            <w:noProof/>
          </w:rPr>
          <w:t>House Prices</w:t>
        </w:r>
        <w:r w:rsidR="00B8671A">
          <w:rPr>
            <w:noProof/>
            <w:webHidden/>
          </w:rPr>
          <w:tab/>
        </w:r>
        <w:r w:rsidR="00B8671A">
          <w:rPr>
            <w:noProof/>
            <w:webHidden/>
          </w:rPr>
          <w:fldChar w:fldCharType="begin"/>
        </w:r>
        <w:r w:rsidR="00B8671A">
          <w:rPr>
            <w:noProof/>
            <w:webHidden/>
          </w:rPr>
          <w:instrText xml:space="preserve"> PAGEREF _Toc462582172 \h </w:instrText>
        </w:r>
        <w:r w:rsidR="00B8671A">
          <w:rPr>
            <w:noProof/>
            <w:webHidden/>
          </w:rPr>
        </w:r>
        <w:r w:rsidR="00B8671A">
          <w:rPr>
            <w:noProof/>
            <w:webHidden/>
          </w:rPr>
          <w:fldChar w:fldCharType="separate"/>
        </w:r>
        <w:r w:rsidR="000B6805">
          <w:rPr>
            <w:noProof/>
            <w:webHidden/>
          </w:rPr>
          <w:t>29</w:t>
        </w:r>
        <w:r w:rsidR="00B8671A">
          <w:rPr>
            <w:noProof/>
            <w:webHidden/>
          </w:rPr>
          <w:fldChar w:fldCharType="end"/>
        </w:r>
      </w:hyperlink>
    </w:p>
    <w:p w:rsidR="00B8671A" w:rsidRDefault="00B65F1A" w:rsidP="00F156E7">
      <w:pPr>
        <w:pStyle w:val="TOC2"/>
        <w:tabs>
          <w:tab w:val="left" w:pos="880"/>
          <w:tab w:val="right" w:pos="8211"/>
        </w:tabs>
        <w:rPr>
          <w:rFonts w:asciiTheme="minorHAnsi" w:eastAsiaTheme="minorEastAsia" w:hAnsiTheme="minorHAnsi" w:cstheme="minorBidi"/>
          <w:noProof/>
          <w:sz w:val="22"/>
          <w:szCs w:val="22"/>
          <w:lang w:val="en-US"/>
        </w:rPr>
      </w:pPr>
      <w:hyperlink w:anchor="_Toc462582173" w:history="1">
        <w:r w:rsidR="00B8671A" w:rsidRPr="00482767">
          <w:rPr>
            <w:rStyle w:val="Hyperlink"/>
            <w:noProof/>
          </w:rPr>
          <w:t>3.3</w:t>
        </w:r>
        <w:r w:rsidR="00B8671A">
          <w:rPr>
            <w:rFonts w:asciiTheme="minorHAnsi" w:eastAsiaTheme="minorEastAsia" w:hAnsiTheme="minorHAnsi" w:cstheme="minorBidi"/>
            <w:noProof/>
            <w:sz w:val="22"/>
            <w:szCs w:val="22"/>
            <w:lang w:val="en-US"/>
          </w:rPr>
          <w:tab/>
        </w:r>
        <w:r w:rsidR="00B8671A" w:rsidRPr="00482767">
          <w:rPr>
            <w:rStyle w:val="Hyperlink"/>
            <w:noProof/>
          </w:rPr>
          <w:t>Land values</w:t>
        </w:r>
        <w:r w:rsidR="00B8671A">
          <w:rPr>
            <w:noProof/>
            <w:webHidden/>
          </w:rPr>
          <w:tab/>
        </w:r>
        <w:r w:rsidR="00B8671A">
          <w:rPr>
            <w:noProof/>
            <w:webHidden/>
          </w:rPr>
          <w:fldChar w:fldCharType="begin"/>
        </w:r>
        <w:r w:rsidR="00B8671A">
          <w:rPr>
            <w:noProof/>
            <w:webHidden/>
          </w:rPr>
          <w:instrText xml:space="preserve"> PAGEREF _Toc462582173 \h </w:instrText>
        </w:r>
        <w:r w:rsidR="00B8671A">
          <w:rPr>
            <w:noProof/>
            <w:webHidden/>
          </w:rPr>
        </w:r>
        <w:r w:rsidR="00B8671A">
          <w:rPr>
            <w:noProof/>
            <w:webHidden/>
          </w:rPr>
          <w:fldChar w:fldCharType="separate"/>
        </w:r>
        <w:r w:rsidR="000B6805">
          <w:rPr>
            <w:noProof/>
            <w:webHidden/>
          </w:rPr>
          <w:t>31</w:t>
        </w:r>
        <w:r w:rsidR="00B8671A">
          <w:rPr>
            <w:noProof/>
            <w:webHidden/>
          </w:rPr>
          <w:fldChar w:fldCharType="end"/>
        </w:r>
      </w:hyperlink>
    </w:p>
    <w:p w:rsidR="00B8671A" w:rsidRDefault="00B65F1A" w:rsidP="00F156E7">
      <w:pPr>
        <w:pStyle w:val="TOC2"/>
        <w:tabs>
          <w:tab w:val="left" w:pos="880"/>
          <w:tab w:val="right" w:pos="8211"/>
        </w:tabs>
        <w:rPr>
          <w:rFonts w:asciiTheme="minorHAnsi" w:eastAsiaTheme="minorEastAsia" w:hAnsiTheme="minorHAnsi" w:cstheme="minorBidi"/>
          <w:noProof/>
          <w:sz w:val="22"/>
          <w:szCs w:val="22"/>
          <w:lang w:val="en-US"/>
        </w:rPr>
      </w:pPr>
      <w:hyperlink w:anchor="_Toc462582174" w:history="1">
        <w:r w:rsidR="00B8671A" w:rsidRPr="00482767">
          <w:rPr>
            <w:rStyle w:val="Hyperlink"/>
            <w:noProof/>
          </w:rPr>
          <w:t>3.4</w:t>
        </w:r>
        <w:r w:rsidR="00B8671A">
          <w:rPr>
            <w:rFonts w:asciiTheme="minorHAnsi" w:eastAsiaTheme="minorEastAsia" w:hAnsiTheme="minorHAnsi" w:cstheme="minorBidi"/>
            <w:noProof/>
            <w:sz w:val="22"/>
            <w:szCs w:val="22"/>
            <w:lang w:val="en-US"/>
          </w:rPr>
          <w:tab/>
        </w:r>
        <w:r w:rsidR="00B8671A" w:rsidRPr="00482767">
          <w:rPr>
            <w:rStyle w:val="Hyperlink"/>
            <w:noProof/>
          </w:rPr>
          <w:t>Rents</w:t>
        </w:r>
        <w:r w:rsidR="00B8671A">
          <w:rPr>
            <w:noProof/>
            <w:webHidden/>
          </w:rPr>
          <w:tab/>
        </w:r>
        <w:r w:rsidR="00B8671A">
          <w:rPr>
            <w:noProof/>
            <w:webHidden/>
          </w:rPr>
          <w:fldChar w:fldCharType="begin"/>
        </w:r>
        <w:r w:rsidR="00B8671A">
          <w:rPr>
            <w:noProof/>
            <w:webHidden/>
          </w:rPr>
          <w:instrText xml:space="preserve"> PAGEREF _Toc462582174 \h </w:instrText>
        </w:r>
        <w:r w:rsidR="00B8671A">
          <w:rPr>
            <w:noProof/>
            <w:webHidden/>
          </w:rPr>
        </w:r>
        <w:r w:rsidR="00B8671A">
          <w:rPr>
            <w:noProof/>
            <w:webHidden/>
          </w:rPr>
          <w:fldChar w:fldCharType="separate"/>
        </w:r>
        <w:r w:rsidR="000B6805">
          <w:rPr>
            <w:noProof/>
            <w:webHidden/>
          </w:rPr>
          <w:t>33</w:t>
        </w:r>
        <w:r w:rsidR="00B8671A">
          <w:rPr>
            <w:noProof/>
            <w:webHidden/>
          </w:rPr>
          <w:fldChar w:fldCharType="end"/>
        </w:r>
      </w:hyperlink>
    </w:p>
    <w:p w:rsidR="00B8671A" w:rsidRDefault="00B65F1A" w:rsidP="00F156E7">
      <w:pPr>
        <w:pStyle w:val="TOC2"/>
        <w:tabs>
          <w:tab w:val="left" w:pos="880"/>
          <w:tab w:val="right" w:pos="8211"/>
        </w:tabs>
        <w:rPr>
          <w:rFonts w:asciiTheme="minorHAnsi" w:eastAsiaTheme="minorEastAsia" w:hAnsiTheme="minorHAnsi" w:cstheme="minorBidi"/>
          <w:noProof/>
          <w:sz w:val="22"/>
          <w:szCs w:val="22"/>
          <w:lang w:val="en-US"/>
        </w:rPr>
      </w:pPr>
      <w:hyperlink w:anchor="_Toc462582175" w:history="1">
        <w:r w:rsidR="00B8671A" w:rsidRPr="00482767">
          <w:rPr>
            <w:rStyle w:val="Hyperlink"/>
            <w:noProof/>
          </w:rPr>
          <w:t>3.5</w:t>
        </w:r>
        <w:r w:rsidR="00B8671A">
          <w:rPr>
            <w:rFonts w:asciiTheme="minorHAnsi" w:eastAsiaTheme="minorEastAsia" w:hAnsiTheme="minorHAnsi" w:cstheme="minorBidi"/>
            <w:noProof/>
            <w:sz w:val="22"/>
            <w:szCs w:val="22"/>
            <w:lang w:val="en-US"/>
          </w:rPr>
          <w:tab/>
        </w:r>
        <w:r w:rsidR="00B8671A" w:rsidRPr="00482767">
          <w:rPr>
            <w:rStyle w:val="Hyperlink"/>
            <w:noProof/>
          </w:rPr>
          <w:t>Business Land Trends</w:t>
        </w:r>
        <w:r w:rsidR="00B8671A">
          <w:rPr>
            <w:noProof/>
            <w:webHidden/>
          </w:rPr>
          <w:tab/>
        </w:r>
        <w:r w:rsidR="00B8671A">
          <w:rPr>
            <w:noProof/>
            <w:webHidden/>
          </w:rPr>
          <w:fldChar w:fldCharType="begin"/>
        </w:r>
        <w:r w:rsidR="00B8671A">
          <w:rPr>
            <w:noProof/>
            <w:webHidden/>
          </w:rPr>
          <w:instrText xml:space="preserve"> PAGEREF _Toc462582175 \h </w:instrText>
        </w:r>
        <w:r w:rsidR="00B8671A">
          <w:rPr>
            <w:noProof/>
            <w:webHidden/>
          </w:rPr>
        </w:r>
        <w:r w:rsidR="00B8671A">
          <w:rPr>
            <w:noProof/>
            <w:webHidden/>
          </w:rPr>
          <w:fldChar w:fldCharType="separate"/>
        </w:r>
        <w:r w:rsidR="000B6805">
          <w:rPr>
            <w:noProof/>
            <w:webHidden/>
          </w:rPr>
          <w:t>37</w:t>
        </w:r>
        <w:r w:rsidR="00B8671A">
          <w:rPr>
            <w:noProof/>
            <w:webHidden/>
          </w:rPr>
          <w:fldChar w:fldCharType="end"/>
        </w:r>
      </w:hyperlink>
    </w:p>
    <w:p w:rsidR="00B8671A" w:rsidRDefault="00B65F1A" w:rsidP="00F156E7">
      <w:pPr>
        <w:pStyle w:val="TOC2"/>
        <w:tabs>
          <w:tab w:val="left" w:pos="880"/>
          <w:tab w:val="right" w:pos="8211"/>
        </w:tabs>
        <w:rPr>
          <w:rFonts w:asciiTheme="minorHAnsi" w:eastAsiaTheme="minorEastAsia" w:hAnsiTheme="minorHAnsi" w:cstheme="minorBidi"/>
          <w:noProof/>
          <w:sz w:val="22"/>
          <w:szCs w:val="22"/>
          <w:lang w:val="en-US"/>
        </w:rPr>
      </w:pPr>
      <w:hyperlink w:anchor="_Toc462582176" w:history="1">
        <w:r w:rsidR="00B8671A" w:rsidRPr="00482767">
          <w:rPr>
            <w:rStyle w:val="Hyperlink"/>
            <w:noProof/>
          </w:rPr>
          <w:t>3.6</w:t>
        </w:r>
        <w:r w:rsidR="00B8671A">
          <w:rPr>
            <w:rFonts w:asciiTheme="minorHAnsi" w:eastAsiaTheme="minorEastAsia" w:hAnsiTheme="minorHAnsi" w:cstheme="minorBidi"/>
            <w:noProof/>
            <w:sz w:val="22"/>
            <w:szCs w:val="22"/>
            <w:lang w:val="en-US"/>
          </w:rPr>
          <w:tab/>
        </w:r>
        <w:r w:rsidR="00B8671A" w:rsidRPr="00482767">
          <w:rPr>
            <w:rStyle w:val="Hyperlink"/>
            <w:noProof/>
          </w:rPr>
          <w:t>Conclusions</w:t>
        </w:r>
        <w:r w:rsidR="00B8671A">
          <w:rPr>
            <w:noProof/>
            <w:webHidden/>
          </w:rPr>
          <w:tab/>
        </w:r>
        <w:r w:rsidR="00B8671A">
          <w:rPr>
            <w:noProof/>
            <w:webHidden/>
          </w:rPr>
          <w:fldChar w:fldCharType="begin"/>
        </w:r>
        <w:r w:rsidR="00B8671A">
          <w:rPr>
            <w:noProof/>
            <w:webHidden/>
          </w:rPr>
          <w:instrText xml:space="preserve"> PAGEREF _Toc462582176 \h </w:instrText>
        </w:r>
        <w:r w:rsidR="00B8671A">
          <w:rPr>
            <w:noProof/>
            <w:webHidden/>
          </w:rPr>
        </w:r>
        <w:r w:rsidR="00B8671A">
          <w:rPr>
            <w:noProof/>
            <w:webHidden/>
          </w:rPr>
          <w:fldChar w:fldCharType="separate"/>
        </w:r>
        <w:r w:rsidR="000B6805">
          <w:rPr>
            <w:noProof/>
            <w:webHidden/>
          </w:rPr>
          <w:t>37</w:t>
        </w:r>
        <w:r w:rsidR="00B8671A">
          <w:rPr>
            <w:noProof/>
            <w:webHidden/>
          </w:rPr>
          <w:fldChar w:fldCharType="end"/>
        </w:r>
      </w:hyperlink>
    </w:p>
    <w:p w:rsidR="00B8671A" w:rsidRDefault="00B65F1A" w:rsidP="00F156E7">
      <w:pPr>
        <w:pStyle w:val="TOC1"/>
        <w:rPr>
          <w:rFonts w:asciiTheme="minorHAnsi" w:eastAsiaTheme="minorEastAsia" w:hAnsiTheme="minorHAnsi" w:cstheme="minorBidi"/>
          <w:noProof/>
          <w:sz w:val="22"/>
          <w:szCs w:val="22"/>
          <w:lang w:val="en-US"/>
        </w:rPr>
      </w:pPr>
      <w:hyperlink w:anchor="_Toc462582177" w:history="1">
        <w:r w:rsidR="00B8671A" w:rsidRPr="00482767">
          <w:rPr>
            <w:rStyle w:val="Hyperlink"/>
            <w:noProof/>
          </w:rPr>
          <w:t>4</w:t>
        </w:r>
        <w:r w:rsidR="00B8671A">
          <w:rPr>
            <w:rFonts w:asciiTheme="minorHAnsi" w:eastAsiaTheme="minorEastAsia" w:hAnsiTheme="minorHAnsi" w:cstheme="minorBidi"/>
            <w:noProof/>
            <w:sz w:val="22"/>
            <w:szCs w:val="22"/>
            <w:lang w:val="en-US"/>
          </w:rPr>
          <w:tab/>
        </w:r>
        <w:r w:rsidR="00B8671A" w:rsidRPr="00482767">
          <w:rPr>
            <w:rStyle w:val="Hyperlink"/>
            <w:noProof/>
          </w:rPr>
          <w:t>Supply-Demand Indicators</w:t>
        </w:r>
        <w:r w:rsidR="00B8671A">
          <w:rPr>
            <w:noProof/>
            <w:webHidden/>
          </w:rPr>
          <w:tab/>
        </w:r>
        <w:r w:rsidR="00B8671A">
          <w:rPr>
            <w:noProof/>
            <w:webHidden/>
          </w:rPr>
          <w:fldChar w:fldCharType="begin"/>
        </w:r>
        <w:r w:rsidR="00B8671A">
          <w:rPr>
            <w:noProof/>
            <w:webHidden/>
          </w:rPr>
          <w:instrText xml:space="preserve"> PAGEREF _Toc462582177 \h </w:instrText>
        </w:r>
        <w:r w:rsidR="00B8671A">
          <w:rPr>
            <w:noProof/>
            <w:webHidden/>
          </w:rPr>
        </w:r>
        <w:r w:rsidR="00B8671A">
          <w:rPr>
            <w:noProof/>
            <w:webHidden/>
          </w:rPr>
          <w:fldChar w:fldCharType="separate"/>
        </w:r>
        <w:r w:rsidR="000B6805">
          <w:rPr>
            <w:noProof/>
            <w:webHidden/>
          </w:rPr>
          <w:t>38</w:t>
        </w:r>
        <w:r w:rsidR="00B8671A">
          <w:rPr>
            <w:noProof/>
            <w:webHidden/>
          </w:rPr>
          <w:fldChar w:fldCharType="end"/>
        </w:r>
      </w:hyperlink>
    </w:p>
    <w:p w:rsidR="00B8671A" w:rsidRDefault="00B65F1A" w:rsidP="00F156E7">
      <w:pPr>
        <w:pStyle w:val="TOC2"/>
        <w:tabs>
          <w:tab w:val="left" w:pos="880"/>
          <w:tab w:val="right" w:pos="8211"/>
        </w:tabs>
        <w:rPr>
          <w:rFonts w:asciiTheme="minorHAnsi" w:eastAsiaTheme="minorEastAsia" w:hAnsiTheme="minorHAnsi" w:cstheme="minorBidi"/>
          <w:noProof/>
          <w:sz w:val="22"/>
          <w:szCs w:val="22"/>
          <w:lang w:val="en-US"/>
        </w:rPr>
      </w:pPr>
      <w:hyperlink w:anchor="_Toc462582178" w:history="1">
        <w:r w:rsidR="00B8671A" w:rsidRPr="00482767">
          <w:rPr>
            <w:rStyle w:val="Hyperlink"/>
            <w:noProof/>
          </w:rPr>
          <w:t>4.1</w:t>
        </w:r>
        <w:r w:rsidR="00B8671A">
          <w:rPr>
            <w:rFonts w:asciiTheme="minorHAnsi" w:eastAsiaTheme="minorEastAsia" w:hAnsiTheme="minorHAnsi" w:cstheme="minorBidi"/>
            <w:noProof/>
            <w:sz w:val="22"/>
            <w:szCs w:val="22"/>
            <w:lang w:val="en-US"/>
          </w:rPr>
          <w:tab/>
        </w:r>
        <w:r w:rsidR="00B8671A" w:rsidRPr="00482767">
          <w:rPr>
            <w:rStyle w:val="Hyperlink"/>
            <w:noProof/>
          </w:rPr>
          <w:t>Introduction</w:t>
        </w:r>
        <w:r w:rsidR="00B8671A">
          <w:rPr>
            <w:noProof/>
            <w:webHidden/>
          </w:rPr>
          <w:tab/>
        </w:r>
        <w:r w:rsidR="00B8671A">
          <w:rPr>
            <w:noProof/>
            <w:webHidden/>
          </w:rPr>
          <w:fldChar w:fldCharType="begin"/>
        </w:r>
        <w:r w:rsidR="00B8671A">
          <w:rPr>
            <w:noProof/>
            <w:webHidden/>
          </w:rPr>
          <w:instrText xml:space="preserve"> PAGEREF _Toc462582178 \h </w:instrText>
        </w:r>
        <w:r w:rsidR="00B8671A">
          <w:rPr>
            <w:noProof/>
            <w:webHidden/>
          </w:rPr>
        </w:r>
        <w:r w:rsidR="00B8671A">
          <w:rPr>
            <w:noProof/>
            <w:webHidden/>
          </w:rPr>
          <w:fldChar w:fldCharType="separate"/>
        </w:r>
        <w:r w:rsidR="000B6805">
          <w:rPr>
            <w:noProof/>
            <w:webHidden/>
          </w:rPr>
          <w:t>38</w:t>
        </w:r>
        <w:r w:rsidR="00B8671A">
          <w:rPr>
            <w:noProof/>
            <w:webHidden/>
          </w:rPr>
          <w:fldChar w:fldCharType="end"/>
        </w:r>
      </w:hyperlink>
    </w:p>
    <w:p w:rsidR="00B8671A" w:rsidRDefault="00B65F1A" w:rsidP="00F156E7">
      <w:pPr>
        <w:pStyle w:val="TOC2"/>
        <w:tabs>
          <w:tab w:val="left" w:pos="880"/>
          <w:tab w:val="right" w:pos="8211"/>
        </w:tabs>
        <w:rPr>
          <w:rFonts w:asciiTheme="minorHAnsi" w:eastAsiaTheme="minorEastAsia" w:hAnsiTheme="minorHAnsi" w:cstheme="minorBidi"/>
          <w:noProof/>
          <w:sz w:val="22"/>
          <w:szCs w:val="22"/>
          <w:lang w:val="en-US"/>
        </w:rPr>
      </w:pPr>
      <w:hyperlink w:anchor="_Toc462582179" w:history="1">
        <w:r w:rsidR="00B8671A" w:rsidRPr="00482767">
          <w:rPr>
            <w:rStyle w:val="Hyperlink"/>
            <w:noProof/>
          </w:rPr>
          <w:t>4.2</w:t>
        </w:r>
        <w:r w:rsidR="00B8671A">
          <w:rPr>
            <w:rFonts w:asciiTheme="minorHAnsi" w:eastAsiaTheme="minorEastAsia" w:hAnsiTheme="minorHAnsi" w:cstheme="minorBidi"/>
            <w:noProof/>
            <w:sz w:val="22"/>
            <w:szCs w:val="22"/>
            <w:lang w:val="en-US"/>
          </w:rPr>
          <w:tab/>
        </w:r>
        <w:r w:rsidR="00B8671A" w:rsidRPr="00482767">
          <w:rPr>
            <w:rStyle w:val="Hyperlink"/>
            <w:noProof/>
          </w:rPr>
          <w:t>Modelling Demand</w:t>
        </w:r>
        <w:r w:rsidR="00B8671A">
          <w:rPr>
            <w:noProof/>
            <w:webHidden/>
          </w:rPr>
          <w:tab/>
        </w:r>
        <w:r w:rsidR="00B8671A">
          <w:rPr>
            <w:noProof/>
            <w:webHidden/>
          </w:rPr>
          <w:fldChar w:fldCharType="begin"/>
        </w:r>
        <w:r w:rsidR="00B8671A">
          <w:rPr>
            <w:noProof/>
            <w:webHidden/>
          </w:rPr>
          <w:instrText xml:space="preserve"> PAGEREF _Toc462582179 \h </w:instrText>
        </w:r>
        <w:r w:rsidR="00B8671A">
          <w:rPr>
            <w:noProof/>
            <w:webHidden/>
          </w:rPr>
        </w:r>
        <w:r w:rsidR="00B8671A">
          <w:rPr>
            <w:noProof/>
            <w:webHidden/>
          </w:rPr>
          <w:fldChar w:fldCharType="separate"/>
        </w:r>
        <w:r w:rsidR="000B6805">
          <w:rPr>
            <w:noProof/>
            <w:webHidden/>
          </w:rPr>
          <w:t>38</w:t>
        </w:r>
        <w:r w:rsidR="00B8671A">
          <w:rPr>
            <w:noProof/>
            <w:webHidden/>
          </w:rPr>
          <w:fldChar w:fldCharType="end"/>
        </w:r>
      </w:hyperlink>
    </w:p>
    <w:p w:rsidR="00B8671A" w:rsidRDefault="00B65F1A" w:rsidP="00F156E7">
      <w:pPr>
        <w:pStyle w:val="TOC2"/>
        <w:tabs>
          <w:tab w:val="left" w:pos="880"/>
          <w:tab w:val="right" w:pos="8211"/>
        </w:tabs>
        <w:rPr>
          <w:rFonts w:asciiTheme="minorHAnsi" w:eastAsiaTheme="minorEastAsia" w:hAnsiTheme="minorHAnsi" w:cstheme="minorBidi"/>
          <w:noProof/>
          <w:sz w:val="22"/>
          <w:szCs w:val="22"/>
          <w:lang w:val="en-US"/>
        </w:rPr>
      </w:pPr>
      <w:hyperlink w:anchor="_Toc462582180" w:history="1">
        <w:r w:rsidR="00B8671A" w:rsidRPr="00482767">
          <w:rPr>
            <w:rStyle w:val="Hyperlink"/>
            <w:noProof/>
          </w:rPr>
          <w:t>4.3</w:t>
        </w:r>
        <w:r w:rsidR="00B8671A">
          <w:rPr>
            <w:rFonts w:asciiTheme="minorHAnsi" w:eastAsiaTheme="minorEastAsia" w:hAnsiTheme="minorHAnsi" w:cstheme="minorBidi"/>
            <w:noProof/>
            <w:sz w:val="22"/>
            <w:szCs w:val="22"/>
            <w:lang w:val="en-US"/>
          </w:rPr>
          <w:tab/>
        </w:r>
        <w:r w:rsidR="00B8671A" w:rsidRPr="00482767">
          <w:rPr>
            <w:rStyle w:val="Hyperlink"/>
            <w:noProof/>
          </w:rPr>
          <w:t>Ratios of New Build to Population Growth</w:t>
        </w:r>
        <w:r w:rsidR="00B8671A">
          <w:rPr>
            <w:noProof/>
            <w:webHidden/>
          </w:rPr>
          <w:tab/>
        </w:r>
        <w:r w:rsidR="00B8671A">
          <w:rPr>
            <w:noProof/>
            <w:webHidden/>
          </w:rPr>
          <w:fldChar w:fldCharType="begin"/>
        </w:r>
        <w:r w:rsidR="00B8671A">
          <w:rPr>
            <w:noProof/>
            <w:webHidden/>
          </w:rPr>
          <w:instrText xml:space="preserve"> PAGEREF _Toc462582180 \h </w:instrText>
        </w:r>
        <w:r w:rsidR="00B8671A">
          <w:rPr>
            <w:noProof/>
            <w:webHidden/>
          </w:rPr>
        </w:r>
        <w:r w:rsidR="00B8671A">
          <w:rPr>
            <w:noProof/>
            <w:webHidden/>
          </w:rPr>
          <w:fldChar w:fldCharType="separate"/>
        </w:r>
        <w:r w:rsidR="000B6805">
          <w:rPr>
            <w:noProof/>
            <w:webHidden/>
          </w:rPr>
          <w:t>40</w:t>
        </w:r>
        <w:r w:rsidR="00B8671A">
          <w:rPr>
            <w:noProof/>
            <w:webHidden/>
          </w:rPr>
          <w:fldChar w:fldCharType="end"/>
        </w:r>
      </w:hyperlink>
    </w:p>
    <w:p w:rsidR="00B8671A" w:rsidRDefault="00B65F1A" w:rsidP="00F156E7">
      <w:pPr>
        <w:pStyle w:val="TOC2"/>
        <w:tabs>
          <w:tab w:val="left" w:pos="880"/>
          <w:tab w:val="right" w:pos="8211"/>
        </w:tabs>
        <w:rPr>
          <w:rFonts w:asciiTheme="minorHAnsi" w:eastAsiaTheme="minorEastAsia" w:hAnsiTheme="minorHAnsi" w:cstheme="minorBidi"/>
          <w:noProof/>
          <w:sz w:val="22"/>
          <w:szCs w:val="22"/>
          <w:lang w:val="en-US"/>
        </w:rPr>
      </w:pPr>
      <w:hyperlink w:anchor="_Toc462582181" w:history="1">
        <w:r w:rsidR="00B8671A" w:rsidRPr="00482767">
          <w:rPr>
            <w:rStyle w:val="Hyperlink"/>
            <w:noProof/>
          </w:rPr>
          <w:t>4.4</w:t>
        </w:r>
        <w:r w:rsidR="00B8671A">
          <w:rPr>
            <w:rFonts w:asciiTheme="minorHAnsi" w:eastAsiaTheme="minorEastAsia" w:hAnsiTheme="minorHAnsi" w:cstheme="minorBidi"/>
            <w:noProof/>
            <w:sz w:val="22"/>
            <w:szCs w:val="22"/>
            <w:lang w:val="en-US"/>
          </w:rPr>
          <w:tab/>
        </w:r>
        <w:r w:rsidR="00B8671A" w:rsidRPr="00482767">
          <w:rPr>
            <w:rStyle w:val="Hyperlink"/>
            <w:noProof/>
          </w:rPr>
          <w:t>Land leverage Ratio</w:t>
        </w:r>
        <w:r w:rsidR="00B8671A">
          <w:rPr>
            <w:noProof/>
            <w:webHidden/>
          </w:rPr>
          <w:tab/>
        </w:r>
        <w:r w:rsidR="00B8671A">
          <w:rPr>
            <w:noProof/>
            <w:webHidden/>
          </w:rPr>
          <w:fldChar w:fldCharType="begin"/>
        </w:r>
        <w:r w:rsidR="00B8671A">
          <w:rPr>
            <w:noProof/>
            <w:webHidden/>
          </w:rPr>
          <w:instrText xml:space="preserve"> PAGEREF _Toc462582181 \h </w:instrText>
        </w:r>
        <w:r w:rsidR="00B8671A">
          <w:rPr>
            <w:noProof/>
            <w:webHidden/>
          </w:rPr>
        </w:r>
        <w:r w:rsidR="00B8671A">
          <w:rPr>
            <w:noProof/>
            <w:webHidden/>
          </w:rPr>
          <w:fldChar w:fldCharType="separate"/>
        </w:r>
        <w:r w:rsidR="000B6805">
          <w:rPr>
            <w:noProof/>
            <w:webHidden/>
          </w:rPr>
          <w:t>43</w:t>
        </w:r>
        <w:r w:rsidR="00B8671A">
          <w:rPr>
            <w:noProof/>
            <w:webHidden/>
          </w:rPr>
          <w:fldChar w:fldCharType="end"/>
        </w:r>
      </w:hyperlink>
    </w:p>
    <w:p w:rsidR="00B8671A" w:rsidRDefault="00B65F1A" w:rsidP="00F156E7">
      <w:pPr>
        <w:pStyle w:val="TOC2"/>
        <w:tabs>
          <w:tab w:val="left" w:pos="880"/>
          <w:tab w:val="right" w:pos="8211"/>
        </w:tabs>
        <w:rPr>
          <w:rFonts w:asciiTheme="minorHAnsi" w:eastAsiaTheme="minorEastAsia" w:hAnsiTheme="minorHAnsi" w:cstheme="minorBidi"/>
          <w:noProof/>
          <w:sz w:val="22"/>
          <w:szCs w:val="22"/>
          <w:lang w:val="en-US"/>
        </w:rPr>
      </w:pPr>
      <w:hyperlink w:anchor="_Toc462582182" w:history="1">
        <w:r w:rsidR="00B8671A" w:rsidRPr="00482767">
          <w:rPr>
            <w:rStyle w:val="Hyperlink"/>
            <w:noProof/>
          </w:rPr>
          <w:t>4.5</w:t>
        </w:r>
        <w:r w:rsidR="00B8671A">
          <w:rPr>
            <w:rFonts w:asciiTheme="minorHAnsi" w:eastAsiaTheme="minorEastAsia" w:hAnsiTheme="minorHAnsi" w:cstheme="minorBidi"/>
            <w:noProof/>
            <w:sz w:val="22"/>
            <w:szCs w:val="22"/>
            <w:lang w:val="en-US"/>
          </w:rPr>
          <w:tab/>
        </w:r>
        <w:r w:rsidR="00B8671A" w:rsidRPr="00482767">
          <w:rPr>
            <w:rStyle w:val="Hyperlink"/>
            <w:noProof/>
          </w:rPr>
          <w:t>Rent:Property Price Ratios</w:t>
        </w:r>
        <w:r w:rsidR="00B8671A">
          <w:rPr>
            <w:noProof/>
            <w:webHidden/>
          </w:rPr>
          <w:tab/>
        </w:r>
        <w:r w:rsidR="00B8671A">
          <w:rPr>
            <w:noProof/>
            <w:webHidden/>
          </w:rPr>
          <w:fldChar w:fldCharType="begin"/>
        </w:r>
        <w:r w:rsidR="00B8671A">
          <w:rPr>
            <w:noProof/>
            <w:webHidden/>
          </w:rPr>
          <w:instrText xml:space="preserve"> PAGEREF _Toc462582182 \h </w:instrText>
        </w:r>
        <w:r w:rsidR="00B8671A">
          <w:rPr>
            <w:noProof/>
            <w:webHidden/>
          </w:rPr>
        </w:r>
        <w:r w:rsidR="00B8671A">
          <w:rPr>
            <w:noProof/>
            <w:webHidden/>
          </w:rPr>
          <w:fldChar w:fldCharType="separate"/>
        </w:r>
        <w:r w:rsidR="000B6805">
          <w:rPr>
            <w:noProof/>
            <w:webHidden/>
          </w:rPr>
          <w:t>44</w:t>
        </w:r>
        <w:r w:rsidR="00B8671A">
          <w:rPr>
            <w:noProof/>
            <w:webHidden/>
          </w:rPr>
          <w:fldChar w:fldCharType="end"/>
        </w:r>
      </w:hyperlink>
    </w:p>
    <w:p w:rsidR="00B8671A" w:rsidRDefault="00B65F1A" w:rsidP="00F156E7">
      <w:pPr>
        <w:pStyle w:val="TOC2"/>
        <w:tabs>
          <w:tab w:val="left" w:pos="880"/>
          <w:tab w:val="right" w:pos="8211"/>
        </w:tabs>
        <w:rPr>
          <w:rFonts w:asciiTheme="minorHAnsi" w:eastAsiaTheme="minorEastAsia" w:hAnsiTheme="minorHAnsi" w:cstheme="minorBidi"/>
          <w:noProof/>
          <w:sz w:val="22"/>
          <w:szCs w:val="22"/>
          <w:lang w:val="en-US"/>
        </w:rPr>
      </w:pPr>
      <w:hyperlink w:anchor="_Toc462582183" w:history="1">
        <w:r w:rsidR="00B8671A" w:rsidRPr="00482767">
          <w:rPr>
            <w:rStyle w:val="Hyperlink"/>
            <w:noProof/>
          </w:rPr>
          <w:t>4.6</w:t>
        </w:r>
        <w:r w:rsidR="00B8671A">
          <w:rPr>
            <w:rFonts w:asciiTheme="minorHAnsi" w:eastAsiaTheme="minorEastAsia" w:hAnsiTheme="minorHAnsi" w:cstheme="minorBidi"/>
            <w:noProof/>
            <w:sz w:val="22"/>
            <w:szCs w:val="22"/>
            <w:lang w:val="en-US"/>
          </w:rPr>
          <w:tab/>
        </w:r>
        <w:r w:rsidR="00B8671A" w:rsidRPr="00482767">
          <w:rPr>
            <w:rStyle w:val="Hyperlink"/>
            <w:noProof/>
          </w:rPr>
          <w:t>Modelling Supply: Development capacity models</w:t>
        </w:r>
        <w:r w:rsidR="00B8671A">
          <w:rPr>
            <w:noProof/>
            <w:webHidden/>
          </w:rPr>
          <w:tab/>
        </w:r>
        <w:r w:rsidR="00B8671A">
          <w:rPr>
            <w:noProof/>
            <w:webHidden/>
          </w:rPr>
          <w:fldChar w:fldCharType="begin"/>
        </w:r>
        <w:r w:rsidR="00B8671A">
          <w:rPr>
            <w:noProof/>
            <w:webHidden/>
          </w:rPr>
          <w:instrText xml:space="preserve"> PAGEREF _Toc462582183 \h </w:instrText>
        </w:r>
        <w:r w:rsidR="00B8671A">
          <w:rPr>
            <w:noProof/>
            <w:webHidden/>
          </w:rPr>
        </w:r>
        <w:r w:rsidR="00B8671A">
          <w:rPr>
            <w:noProof/>
            <w:webHidden/>
          </w:rPr>
          <w:fldChar w:fldCharType="separate"/>
        </w:r>
        <w:r w:rsidR="000B6805">
          <w:rPr>
            <w:noProof/>
            <w:webHidden/>
          </w:rPr>
          <w:t>45</w:t>
        </w:r>
        <w:r w:rsidR="00B8671A">
          <w:rPr>
            <w:noProof/>
            <w:webHidden/>
          </w:rPr>
          <w:fldChar w:fldCharType="end"/>
        </w:r>
      </w:hyperlink>
    </w:p>
    <w:p w:rsidR="00B8671A" w:rsidRDefault="00B65F1A" w:rsidP="00F156E7">
      <w:pPr>
        <w:pStyle w:val="TOC2"/>
        <w:tabs>
          <w:tab w:val="left" w:pos="880"/>
          <w:tab w:val="right" w:pos="8211"/>
        </w:tabs>
        <w:rPr>
          <w:rFonts w:asciiTheme="minorHAnsi" w:eastAsiaTheme="minorEastAsia" w:hAnsiTheme="minorHAnsi" w:cstheme="minorBidi"/>
          <w:noProof/>
          <w:sz w:val="22"/>
          <w:szCs w:val="22"/>
          <w:lang w:val="en-US"/>
        </w:rPr>
      </w:pPr>
      <w:hyperlink w:anchor="_Toc462582184" w:history="1">
        <w:r w:rsidR="00B8671A" w:rsidRPr="00482767">
          <w:rPr>
            <w:rStyle w:val="Hyperlink"/>
            <w:noProof/>
          </w:rPr>
          <w:t>4.7</w:t>
        </w:r>
        <w:r w:rsidR="00B8671A">
          <w:rPr>
            <w:rFonts w:asciiTheme="minorHAnsi" w:eastAsiaTheme="minorEastAsia" w:hAnsiTheme="minorHAnsi" w:cstheme="minorBidi"/>
            <w:noProof/>
            <w:sz w:val="22"/>
            <w:szCs w:val="22"/>
            <w:lang w:val="en-US"/>
          </w:rPr>
          <w:tab/>
        </w:r>
        <w:r w:rsidR="00B8671A" w:rsidRPr="00482767">
          <w:rPr>
            <w:rStyle w:val="Hyperlink"/>
            <w:noProof/>
          </w:rPr>
          <w:t>Vacancy Rates</w:t>
        </w:r>
        <w:r w:rsidR="00B8671A">
          <w:rPr>
            <w:noProof/>
            <w:webHidden/>
          </w:rPr>
          <w:tab/>
        </w:r>
        <w:r w:rsidR="00B8671A">
          <w:rPr>
            <w:noProof/>
            <w:webHidden/>
          </w:rPr>
          <w:fldChar w:fldCharType="begin"/>
        </w:r>
        <w:r w:rsidR="00B8671A">
          <w:rPr>
            <w:noProof/>
            <w:webHidden/>
          </w:rPr>
          <w:instrText xml:space="preserve"> PAGEREF _Toc462582184 \h </w:instrText>
        </w:r>
        <w:r w:rsidR="00B8671A">
          <w:rPr>
            <w:noProof/>
            <w:webHidden/>
          </w:rPr>
        </w:r>
        <w:r w:rsidR="00B8671A">
          <w:rPr>
            <w:noProof/>
            <w:webHidden/>
          </w:rPr>
          <w:fldChar w:fldCharType="separate"/>
        </w:r>
        <w:r w:rsidR="000B6805">
          <w:rPr>
            <w:noProof/>
            <w:webHidden/>
          </w:rPr>
          <w:t>47</w:t>
        </w:r>
        <w:r w:rsidR="00B8671A">
          <w:rPr>
            <w:noProof/>
            <w:webHidden/>
          </w:rPr>
          <w:fldChar w:fldCharType="end"/>
        </w:r>
      </w:hyperlink>
    </w:p>
    <w:p w:rsidR="00B8671A" w:rsidRDefault="00B65F1A" w:rsidP="00F156E7">
      <w:pPr>
        <w:pStyle w:val="TOC2"/>
        <w:tabs>
          <w:tab w:val="left" w:pos="880"/>
          <w:tab w:val="right" w:pos="8211"/>
        </w:tabs>
        <w:rPr>
          <w:rFonts w:asciiTheme="minorHAnsi" w:eastAsiaTheme="minorEastAsia" w:hAnsiTheme="minorHAnsi" w:cstheme="minorBidi"/>
          <w:noProof/>
          <w:sz w:val="22"/>
          <w:szCs w:val="22"/>
          <w:lang w:val="en-US"/>
        </w:rPr>
      </w:pPr>
      <w:hyperlink w:anchor="_Toc462582185" w:history="1">
        <w:r w:rsidR="00B8671A" w:rsidRPr="00482767">
          <w:rPr>
            <w:rStyle w:val="Hyperlink"/>
            <w:noProof/>
          </w:rPr>
          <w:t>4.8</w:t>
        </w:r>
        <w:r w:rsidR="00B8671A">
          <w:rPr>
            <w:rFonts w:asciiTheme="minorHAnsi" w:eastAsiaTheme="minorEastAsia" w:hAnsiTheme="minorHAnsi" w:cstheme="minorBidi"/>
            <w:noProof/>
            <w:sz w:val="22"/>
            <w:szCs w:val="22"/>
            <w:lang w:val="en-US"/>
          </w:rPr>
          <w:tab/>
        </w:r>
        <w:r w:rsidR="00B8671A" w:rsidRPr="00482767">
          <w:rPr>
            <w:rStyle w:val="Hyperlink"/>
            <w:noProof/>
          </w:rPr>
          <w:t>Business Land Indicators</w:t>
        </w:r>
        <w:r w:rsidR="00B8671A">
          <w:rPr>
            <w:noProof/>
            <w:webHidden/>
          </w:rPr>
          <w:tab/>
        </w:r>
        <w:r w:rsidR="00B8671A">
          <w:rPr>
            <w:noProof/>
            <w:webHidden/>
          </w:rPr>
          <w:fldChar w:fldCharType="begin"/>
        </w:r>
        <w:r w:rsidR="00B8671A">
          <w:rPr>
            <w:noProof/>
            <w:webHidden/>
          </w:rPr>
          <w:instrText xml:space="preserve"> PAGEREF _Toc462582185 \h </w:instrText>
        </w:r>
        <w:r w:rsidR="00B8671A">
          <w:rPr>
            <w:noProof/>
            <w:webHidden/>
          </w:rPr>
        </w:r>
        <w:r w:rsidR="00B8671A">
          <w:rPr>
            <w:noProof/>
            <w:webHidden/>
          </w:rPr>
          <w:fldChar w:fldCharType="separate"/>
        </w:r>
        <w:r w:rsidR="000B6805">
          <w:rPr>
            <w:noProof/>
            <w:webHidden/>
          </w:rPr>
          <w:t>49</w:t>
        </w:r>
        <w:r w:rsidR="00B8671A">
          <w:rPr>
            <w:noProof/>
            <w:webHidden/>
          </w:rPr>
          <w:fldChar w:fldCharType="end"/>
        </w:r>
      </w:hyperlink>
    </w:p>
    <w:p w:rsidR="00B8671A" w:rsidRDefault="00B65F1A" w:rsidP="00F156E7">
      <w:pPr>
        <w:pStyle w:val="TOC2"/>
        <w:tabs>
          <w:tab w:val="left" w:pos="880"/>
          <w:tab w:val="right" w:pos="8211"/>
        </w:tabs>
        <w:rPr>
          <w:rStyle w:val="Hyperlink"/>
          <w:noProof/>
        </w:rPr>
      </w:pPr>
      <w:hyperlink w:anchor="_Toc462582186" w:history="1">
        <w:r w:rsidR="00B8671A" w:rsidRPr="00482767">
          <w:rPr>
            <w:rStyle w:val="Hyperlink"/>
            <w:noProof/>
          </w:rPr>
          <w:t>4.9</w:t>
        </w:r>
        <w:r w:rsidR="00B8671A">
          <w:rPr>
            <w:rFonts w:asciiTheme="minorHAnsi" w:eastAsiaTheme="minorEastAsia" w:hAnsiTheme="minorHAnsi" w:cstheme="minorBidi"/>
            <w:noProof/>
            <w:sz w:val="22"/>
            <w:szCs w:val="22"/>
            <w:lang w:val="en-US"/>
          </w:rPr>
          <w:tab/>
        </w:r>
        <w:r w:rsidR="00B8671A" w:rsidRPr="00482767">
          <w:rPr>
            <w:rStyle w:val="Hyperlink"/>
            <w:noProof/>
          </w:rPr>
          <w:t>Conclusions</w:t>
        </w:r>
        <w:r w:rsidR="00B8671A">
          <w:rPr>
            <w:noProof/>
            <w:webHidden/>
          </w:rPr>
          <w:tab/>
        </w:r>
        <w:r w:rsidR="00B8671A">
          <w:rPr>
            <w:noProof/>
            <w:webHidden/>
          </w:rPr>
          <w:fldChar w:fldCharType="begin"/>
        </w:r>
        <w:r w:rsidR="00B8671A">
          <w:rPr>
            <w:noProof/>
            <w:webHidden/>
          </w:rPr>
          <w:instrText xml:space="preserve"> PAGEREF _Toc462582186 \h </w:instrText>
        </w:r>
        <w:r w:rsidR="00B8671A">
          <w:rPr>
            <w:noProof/>
            <w:webHidden/>
          </w:rPr>
        </w:r>
        <w:r w:rsidR="00B8671A">
          <w:rPr>
            <w:noProof/>
            <w:webHidden/>
          </w:rPr>
          <w:fldChar w:fldCharType="separate"/>
        </w:r>
        <w:r w:rsidR="000B6805">
          <w:rPr>
            <w:noProof/>
            <w:webHidden/>
          </w:rPr>
          <w:t>52</w:t>
        </w:r>
        <w:r w:rsidR="00B8671A">
          <w:rPr>
            <w:noProof/>
            <w:webHidden/>
          </w:rPr>
          <w:fldChar w:fldCharType="end"/>
        </w:r>
      </w:hyperlink>
    </w:p>
    <w:p w:rsidR="00F156E7" w:rsidRPr="00F156E7" w:rsidRDefault="00F156E7" w:rsidP="00F156E7">
      <w:pPr>
        <w:rPr>
          <w:rFonts w:eastAsiaTheme="minorEastAsia"/>
          <w:noProof/>
        </w:rPr>
      </w:pPr>
    </w:p>
    <w:p w:rsidR="00B8671A" w:rsidRDefault="00B65F1A" w:rsidP="00F156E7">
      <w:pPr>
        <w:pStyle w:val="TOC1"/>
        <w:rPr>
          <w:rFonts w:asciiTheme="minorHAnsi" w:eastAsiaTheme="minorEastAsia" w:hAnsiTheme="minorHAnsi" w:cstheme="minorBidi"/>
          <w:noProof/>
          <w:sz w:val="22"/>
          <w:szCs w:val="22"/>
          <w:lang w:val="en-US"/>
        </w:rPr>
      </w:pPr>
      <w:hyperlink w:anchor="_Toc462582187" w:history="1">
        <w:r w:rsidR="00B8671A" w:rsidRPr="00482767">
          <w:rPr>
            <w:rStyle w:val="Hyperlink"/>
            <w:noProof/>
          </w:rPr>
          <w:t>5</w:t>
        </w:r>
        <w:r w:rsidR="00B8671A">
          <w:rPr>
            <w:rFonts w:asciiTheme="minorHAnsi" w:eastAsiaTheme="minorEastAsia" w:hAnsiTheme="minorHAnsi" w:cstheme="minorBidi"/>
            <w:noProof/>
            <w:sz w:val="22"/>
            <w:szCs w:val="22"/>
            <w:lang w:val="en-US"/>
          </w:rPr>
          <w:tab/>
        </w:r>
        <w:r w:rsidR="00B8671A" w:rsidRPr="00482767">
          <w:rPr>
            <w:rStyle w:val="Hyperlink"/>
            <w:noProof/>
          </w:rPr>
          <w:t>Competitiveness Indicators</w:t>
        </w:r>
        <w:r w:rsidR="00B8671A">
          <w:rPr>
            <w:noProof/>
            <w:webHidden/>
          </w:rPr>
          <w:tab/>
        </w:r>
        <w:r w:rsidR="00B8671A">
          <w:rPr>
            <w:noProof/>
            <w:webHidden/>
          </w:rPr>
          <w:fldChar w:fldCharType="begin"/>
        </w:r>
        <w:r w:rsidR="00B8671A">
          <w:rPr>
            <w:noProof/>
            <w:webHidden/>
          </w:rPr>
          <w:instrText xml:space="preserve"> PAGEREF _Toc462582187 \h </w:instrText>
        </w:r>
        <w:r w:rsidR="00B8671A">
          <w:rPr>
            <w:noProof/>
            <w:webHidden/>
          </w:rPr>
        </w:r>
        <w:r w:rsidR="00B8671A">
          <w:rPr>
            <w:noProof/>
            <w:webHidden/>
          </w:rPr>
          <w:fldChar w:fldCharType="separate"/>
        </w:r>
        <w:r w:rsidR="000B6805">
          <w:rPr>
            <w:noProof/>
            <w:webHidden/>
          </w:rPr>
          <w:t>53</w:t>
        </w:r>
        <w:r w:rsidR="00B8671A">
          <w:rPr>
            <w:noProof/>
            <w:webHidden/>
          </w:rPr>
          <w:fldChar w:fldCharType="end"/>
        </w:r>
      </w:hyperlink>
    </w:p>
    <w:p w:rsidR="00B8671A" w:rsidRDefault="00B65F1A" w:rsidP="00F156E7">
      <w:pPr>
        <w:pStyle w:val="TOC2"/>
        <w:tabs>
          <w:tab w:val="left" w:pos="880"/>
          <w:tab w:val="right" w:pos="8211"/>
        </w:tabs>
        <w:rPr>
          <w:rFonts w:asciiTheme="minorHAnsi" w:eastAsiaTheme="minorEastAsia" w:hAnsiTheme="minorHAnsi" w:cstheme="minorBidi"/>
          <w:noProof/>
          <w:sz w:val="22"/>
          <w:szCs w:val="22"/>
          <w:lang w:val="en-US"/>
        </w:rPr>
      </w:pPr>
      <w:hyperlink w:anchor="_Toc462582188" w:history="1">
        <w:r w:rsidR="00B8671A" w:rsidRPr="00482767">
          <w:rPr>
            <w:rStyle w:val="Hyperlink"/>
            <w:noProof/>
          </w:rPr>
          <w:t>5.1</w:t>
        </w:r>
        <w:r w:rsidR="00B8671A">
          <w:rPr>
            <w:rFonts w:asciiTheme="minorHAnsi" w:eastAsiaTheme="minorEastAsia" w:hAnsiTheme="minorHAnsi" w:cstheme="minorBidi"/>
            <w:noProof/>
            <w:sz w:val="22"/>
            <w:szCs w:val="22"/>
            <w:lang w:val="en-US"/>
          </w:rPr>
          <w:tab/>
        </w:r>
        <w:r w:rsidR="00B8671A" w:rsidRPr="00482767">
          <w:rPr>
            <w:rStyle w:val="Hyperlink"/>
            <w:noProof/>
          </w:rPr>
          <w:t>Introduction</w:t>
        </w:r>
        <w:r w:rsidR="00B8671A">
          <w:rPr>
            <w:noProof/>
            <w:webHidden/>
          </w:rPr>
          <w:tab/>
        </w:r>
        <w:r w:rsidR="00B8671A">
          <w:rPr>
            <w:noProof/>
            <w:webHidden/>
          </w:rPr>
          <w:fldChar w:fldCharType="begin"/>
        </w:r>
        <w:r w:rsidR="00B8671A">
          <w:rPr>
            <w:noProof/>
            <w:webHidden/>
          </w:rPr>
          <w:instrText xml:space="preserve"> PAGEREF _Toc462582188 \h </w:instrText>
        </w:r>
        <w:r w:rsidR="00B8671A">
          <w:rPr>
            <w:noProof/>
            <w:webHidden/>
          </w:rPr>
        </w:r>
        <w:r w:rsidR="00B8671A">
          <w:rPr>
            <w:noProof/>
            <w:webHidden/>
          </w:rPr>
          <w:fldChar w:fldCharType="separate"/>
        </w:r>
        <w:r w:rsidR="000B6805">
          <w:rPr>
            <w:noProof/>
            <w:webHidden/>
          </w:rPr>
          <w:t>53</w:t>
        </w:r>
        <w:r w:rsidR="00B8671A">
          <w:rPr>
            <w:noProof/>
            <w:webHidden/>
          </w:rPr>
          <w:fldChar w:fldCharType="end"/>
        </w:r>
      </w:hyperlink>
    </w:p>
    <w:p w:rsidR="00B8671A" w:rsidRDefault="00B65F1A" w:rsidP="00F156E7">
      <w:pPr>
        <w:pStyle w:val="TOC2"/>
        <w:tabs>
          <w:tab w:val="left" w:pos="880"/>
          <w:tab w:val="right" w:pos="8211"/>
        </w:tabs>
        <w:rPr>
          <w:rFonts w:asciiTheme="minorHAnsi" w:eastAsiaTheme="minorEastAsia" w:hAnsiTheme="minorHAnsi" w:cstheme="minorBidi"/>
          <w:noProof/>
          <w:sz w:val="22"/>
          <w:szCs w:val="22"/>
          <w:lang w:val="en-US"/>
        </w:rPr>
      </w:pPr>
      <w:hyperlink w:anchor="_Toc462582189" w:history="1">
        <w:r w:rsidR="00B8671A" w:rsidRPr="00482767">
          <w:rPr>
            <w:rStyle w:val="Hyperlink"/>
            <w:noProof/>
          </w:rPr>
          <w:t>5.2</w:t>
        </w:r>
        <w:r w:rsidR="00B8671A">
          <w:rPr>
            <w:rFonts w:asciiTheme="minorHAnsi" w:eastAsiaTheme="minorEastAsia" w:hAnsiTheme="minorHAnsi" w:cstheme="minorBidi"/>
            <w:noProof/>
            <w:sz w:val="22"/>
            <w:szCs w:val="22"/>
            <w:lang w:val="en-US"/>
          </w:rPr>
          <w:tab/>
        </w:r>
        <w:r w:rsidR="00B8671A" w:rsidRPr="00482767">
          <w:rPr>
            <w:rStyle w:val="Hyperlink"/>
            <w:noProof/>
          </w:rPr>
          <w:t>Market Concentration</w:t>
        </w:r>
        <w:r w:rsidR="00B8671A">
          <w:rPr>
            <w:noProof/>
            <w:webHidden/>
          </w:rPr>
          <w:tab/>
        </w:r>
        <w:r w:rsidR="00B8671A">
          <w:rPr>
            <w:noProof/>
            <w:webHidden/>
          </w:rPr>
          <w:fldChar w:fldCharType="begin"/>
        </w:r>
        <w:r w:rsidR="00B8671A">
          <w:rPr>
            <w:noProof/>
            <w:webHidden/>
          </w:rPr>
          <w:instrText xml:space="preserve"> PAGEREF _Toc462582189 \h </w:instrText>
        </w:r>
        <w:r w:rsidR="00B8671A">
          <w:rPr>
            <w:noProof/>
            <w:webHidden/>
          </w:rPr>
        </w:r>
        <w:r w:rsidR="00B8671A">
          <w:rPr>
            <w:noProof/>
            <w:webHidden/>
          </w:rPr>
          <w:fldChar w:fldCharType="separate"/>
        </w:r>
        <w:r w:rsidR="000B6805">
          <w:rPr>
            <w:noProof/>
            <w:webHidden/>
          </w:rPr>
          <w:t>53</w:t>
        </w:r>
        <w:r w:rsidR="00B8671A">
          <w:rPr>
            <w:noProof/>
            <w:webHidden/>
          </w:rPr>
          <w:fldChar w:fldCharType="end"/>
        </w:r>
      </w:hyperlink>
    </w:p>
    <w:p w:rsidR="00B8671A" w:rsidRDefault="00B65F1A" w:rsidP="00F156E7">
      <w:pPr>
        <w:pStyle w:val="TOC2"/>
        <w:tabs>
          <w:tab w:val="left" w:pos="880"/>
          <w:tab w:val="right" w:pos="8211"/>
        </w:tabs>
        <w:rPr>
          <w:rFonts w:asciiTheme="minorHAnsi" w:eastAsiaTheme="minorEastAsia" w:hAnsiTheme="minorHAnsi" w:cstheme="minorBidi"/>
          <w:noProof/>
          <w:sz w:val="22"/>
          <w:szCs w:val="22"/>
          <w:lang w:val="en-US"/>
        </w:rPr>
      </w:pPr>
      <w:hyperlink w:anchor="_Toc462582190" w:history="1">
        <w:r w:rsidR="00B8671A" w:rsidRPr="00482767">
          <w:rPr>
            <w:rStyle w:val="Hyperlink"/>
            <w:noProof/>
          </w:rPr>
          <w:t>5.3</w:t>
        </w:r>
        <w:r w:rsidR="00B8671A">
          <w:rPr>
            <w:rFonts w:asciiTheme="minorHAnsi" w:eastAsiaTheme="minorEastAsia" w:hAnsiTheme="minorHAnsi" w:cstheme="minorBidi"/>
            <w:noProof/>
            <w:sz w:val="22"/>
            <w:szCs w:val="22"/>
            <w:lang w:val="en-US"/>
          </w:rPr>
          <w:tab/>
        </w:r>
        <w:r w:rsidR="00B8671A" w:rsidRPr="00482767">
          <w:rPr>
            <w:rStyle w:val="Hyperlink"/>
            <w:noProof/>
          </w:rPr>
          <w:t>Information Problems</w:t>
        </w:r>
        <w:r w:rsidR="00B8671A">
          <w:rPr>
            <w:noProof/>
            <w:webHidden/>
          </w:rPr>
          <w:tab/>
        </w:r>
        <w:r w:rsidR="00B8671A">
          <w:rPr>
            <w:noProof/>
            <w:webHidden/>
          </w:rPr>
          <w:fldChar w:fldCharType="begin"/>
        </w:r>
        <w:r w:rsidR="00B8671A">
          <w:rPr>
            <w:noProof/>
            <w:webHidden/>
          </w:rPr>
          <w:instrText xml:space="preserve"> PAGEREF _Toc462582190 \h </w:instrText>
        </w:r>
        <w:r w:rsidR="00B8671A">
          <w:rPr>
            <w:noProof/>
            <w:webHidden/>
          </w:rPr>
        </w:r>
        <w:r w:rsidR="00B8671A">
          <w:rPr>
            <w:noProof/>
            <w:webHidden/>
          </w:rPr>
          <w:fldChar w:fldCharType="separate"/>
        </w:r>
        <w:r w:rsidR="000B6805">
          <w:rPr>
            <w:noProof/>
            <w:webHidden/>
          </w:rPr>
          <w:t>55</w:t>
        </w:r>
        <w:r w:rsidR="00B8671A">
          <w:rPr>
            <w:noProof/>
            <w:webHidden/>
          </w:rPr>
          <w:fldChar w:fldCharType="end"/>
        </w:r>
      </w:hyperlink>
    </w:p>
    <w:p w:rsidR="00B8671A" w:rsidRDefault="00B65F1A" w:rsidP="00F156E7">
      <w:pPr>
        <w:pStyle w:val="TOC2"/>
        <w:tabs>
          <w:tab w:val="left" w:pos="880"/>
          <w:tab w:val="right" w:pos="8211"/>
        </w:tabs>
        <w:rPr>
          <w:rFonts w:asciiTheme="minorHAnsi" w:eastAsiaTheme="minorEastAsia" w:hAnsiTheme="minorHAnsi" w:cstheme="minorBidi"/>
          <w:noProof/>
          <w:sz w:val="22"/>
          <w:szCs w:val="22"/>
          <w:lang w:val="en-US"/>
        </w:rPr>
      </w:pPr>
      <w:hyperlink w:anchor="_Toc462582191" w:history="1">
        <w:r w:rsidR="00B8671A" w:rsidRPr="00482767">
          <w:rPr>
            <w:rStyle w:val="Hyperlink"/>
            <w:noProof/>
          </w:rPr>
          <w:t>5.4</w:t>
        </w:r>
        <w:r w:rsidR="00B8671A">
          <w:rPr>
            <w:rFonts w:asciiTheme="minorHAnsi" w:eastAsiaTheme="minorEastAsia" w:hAnsiTheme="minorHAnsi" w:cstheme="minorBidi"/>
            <w:noProof/>
            <w:sz w:val="22"/>
            <w:szCs w:val="22"/>
            <w:lang w:val="en-US"/>
          </w:rPr>
          <w:tab/>
        </w:r>
        <w:r w:rsidR="00B8671A" w:rsidRPr="00482767">
          <w:rPr>
            <w:rStyle w:val="Hyperlink"/>
            <w:noProof/>
          </w:rPr>
          <w:t>Transaction Costs</w:t>
        </w:r>
        <w:r w:rsidR="00B8671A">
          <w:rPr>
            <w:noProof/>
            <w:webHidden/>
          </w:rPr>
          <w:tab/>
        </w:r>
        <w:r w:rsidR="00B8671A">
          <w:rPr>
            <w:noProof/>
            <w:webHidden/>
          </w:rPr>
          <w:fldChar w:fldCharType="begin"/>
        </w:r>
        <w:r w:rsidR="00B8671A">
          <w:rPr>
            <w:noProof/>
            <w:webHidden/>
          </w:rPr>
          <w:instrText xml:space="preserve"> PAGEREF _Toc462582191 \h </w:instrText>
        </w:r>
        <w:r w:rsidR="00B8671A">
          <w:rPr>
            <w:noProof/>
            <w:webHidden/>
          </w:rPr>
        </w:r>
        <w:r w:rsidR="00B8671A">
          <w:rPr>
            <w:noProof/>
            <w:webHidden/>
          </w:rPr>
          <w:fldChar w:fldCharType="separate"/>
        </w:r>
        <w:r w:rsidR="000B6805">
          <w:rPr>
            <w:noProof/>
            <w:webHidden/>
          </w:rPr>
          <w:t>55</w:t>
        </w:r>
        <w:r w:rsidR="00B8671A">
          <w:rPr>
            <w:noProof/>
            <w:webHidden/>
          </w:rPr>
          <w:fldChar w:fldCharType="end"/>
        </w:r>
      </w:hyperlink>
    </w:p>
    <w:p w:rsidR="00B8671A" w:rsidRDefault="00B65F1A" w:rsidP="00F156E7">
      <w:pPr>
        <w:pStyle w:val="TOC2"/>
        <w:tabs>
          <w:tab w:val="left" w:pos="880"/>
          <w:tab w:val="right" w:pos="8211"/>
        </w:tabs>
        <w:rPr>
          <w:rFonts w:asciiTheme="minorHAnsi" w:eastAsiaTheme="minorEastAsia" w:hAnsiTheme="minorHAnsi" w:cstheme="minorBidi"/>
          <w:noProof/>
          <w:sz w:val="22"/>
          <w:szCs w:val="22"/>
          <w:lang w:val="en-US"/>
        </w:rPr>
      </w:pPr>
      <w:hyperlink w:anchor="_Toc462582192" w:history="1">
        <w:r w:rsidR="00B8671A" w:rsidRPr="00482767">
          <w:rPr>
            <w:rStyle w:val="Hyperlink"/>
            <w:noProof/>
          </w:rPr>
          <w:t>5.5</w:t>
        </w:r>
        <w:r w:rsidR="00B8671A">
          <w:rPr>
            <w:rFonts w:asciiTheme="minorHAnsi" w:eastAsiaTheme="minorEastAsia" w:hAnsiTheme="minorHAnsi" w:cstheme="minorBidi"/>
            <w:noProof/>
            <w:sz w:val="22"/>
            <w:szCs w:val="22"/>
            <w:lang w:val="en-US"/>
          </w:rPr>
          <w:tab/>
        </w:r>
        <w:r w:rsidR="00B8671A" w:rsidRPr="00482767">
          <w:rPr>
            <w:rStyle w:val="Hyperlink"/>
            <w:noProof/>
          </w:rPr>
          <w:t>Conclusions</w:t>
        </w:r>
        <w:r w:rsidR="00B8671A">
          <w:rPr>
            <w:noProof/>
            <w:webHidden/>
          </w:rPr>
          <w:tab/>
        </w:r>
        <w:r w:rsidR="00B8671A">
          <w:rPr>
            <w:noProof/>
            <w:webHidden/>
          </w:rPr>
          <w:fldChar w:fldCharType="begin"/>
        </w:r>
        <w:r w:rsidR="00B8671A">
          <w:rPr>
            <w:noProof/>
            <w:webHidden/>
          </w:rPr>
          <w:instrText xml:space="preserve"> PAGEREF _Toc462582192 \h </w:instrText>
        </w:r>
        <w:r w:rsidR="00B8671A">
          <w:rPr>
            <w:noProof/>
            <w:webHidden/>
          </w:rPr>
        </w:r>
        <w:r w:rsidR="00B8671A">
          <w:rPr>
            <w:noProof/>
            <w:webHidden/>
          </w:rPr>
          <w:fldChar w:fldCharType="separate"/>
        </w:r>
        <w:r w:rsidR="000B6805">
          <w:rPr>
            <w:noProof/>
            <w:webHidden/>
          </w:rPr>
          <w:t>56</w:t>
        </w:r>
        <w:r w:rsidR="00B8671A">
          <w:rPr>
            <w:noProof/>
            <w:webHidden/>
          </w:rPr>
          <w:fldChar w:fldCharType="end"/>
        </w:r>
      </w:hyperlink>
    </w:p>
    <w:p w:rsidR="00B8671A" w:rsidRDefault="00B65F1A" w:rsidP="00F156E7">
      <w:pPr>
        <w:pStyle w:val="TOC1"/>
        <w:rPr>
          <w:rFonts w:asciiTheme="minorHAnsi" w:eastAsiaTheme="minorEastAsia" w:hAnsiTheme="minorHAnsi" w:cstheme="minorBidi"/>
          <w:noProof/>
          <w:sz w:val="22"/>
          <w:szCs w:val="22"/>
          <w:lang w:val="en-US"/>
        </w:rPr>
      </w:pPr>
      <w:hyperlink w:anchor="_Toc462582193" w:history="1">
        <w:r w:rsidR="00B8671A" w:rsidRPr="00482767">
          <w:rPr>
            <w:rStyle w:val="Hyperlink"/>
            <w:noProof/>
          </w:rPr>
          <w:t>6</w:t>
        </w:r>
        <w:r w:rsidR="00B8671A">
          <w:rPr>
            <w:rFonts w:asciiTheme="minorHAnsi" w:eastAsiaTheme="minorEastAsia" w:hAnsiTheme="minorHAnsi" w:cstheme="minorBidi"/>
            <w:noProof/>
            <w:sz w:val="22"/>
            <w:szCs w:val="22"/>
            <w:lang w:val="en-US"/>
          </w:rPr>
          <w:tab/>
        </w:r>
        <w:r w:rsidR="00B8671A" w:rsidRPr="00482767">
          <w:rPr>
            <w:rStyle w:val="Hyperlink"/>
            <w:noProof/>
          </w:rPr>
          <w:t>Indicators of Efficient Pricing</w:t>
        </w:r>
        <w:r w:rsidR="00B8671A">
          <w:rPr>
            <w:noProof/>
            <w:webHidden/>
          </w:rPr>
          <w:tab/>
        </w:r>
        <w:r w:rsidR="00B8671A">
          <w:rPr>
            <w:noProof/>
            <w:webHidden/>
          </w:rPr>
          <w:fldChar w:fldCharType="begin"/>
        </w:r>
        <w:r w:rsidR="00B8671A">
          <w:rPr>
            <w:noProof/>
            <w:webHidden/>
          </w:rPr>
          <w:instrText xml:space="preserve"> PAGEREF _Toc462582193 \h </w:instrText>
        </w:r>
        <w:r w:rsidR="00B8671A">
          <w:rPr>
            <w:noProof/>
            <w:webHidden/>
          </w:rPr>
        </w:r>
        <w:r w:rsidR="00B8671A">
          <w:rPr>
            <w:noProof/>
            <w:webHidden/>
          </w:rPr>
          <w:fldChar w:fldCharType="separate"/>
        </w:r>
        <w:r w:rsidR="000B6805">
          <w:rPr>
            <w:noProof/>
            <w:webHidden/>
          </w:rPr>
          <w:t>57</w:t>
        </w:r>
        <w:r w:rsidR="00B8671A">
          <w:rPr>
            <w:noProof/>
            <w:webHidden/>
          </w:rPr>
          <w:fldChar w:fldCharType="end"/>
        </w:r>
      </w:hyperlink>
    </w:p>
    <w:p w:rsidR="00B8671A" w:rsidRDefault="00B65F1A" w:rsidP="00F156E7">
      <w:pPr>
        <w:pStyle w:val="TOC2"/>
        <w:tabs>
          <w:tab w:val="left" w:pos="880"/>
          <w:tab w:val="right" w:pos="8211"/>
        </w:tabs>
        <w:rPr>
          <w:rFonts w:asciiTheme="minorHAnsi" w:eastAsiaTheme="minorEastAsia" w:hAnsiTheme="minorHAnsi" w:cstheme="minorBidi"/>
          <w:noProof/>
          <w:sz w:val="22"/>
          <w:szCs w:val="22"/>
          <w:lang w:val="en-US"/>
        </w:rPr>
      </w:pPr>
      <w:hyperlink w:anchor="_Toc462582194" w:history="1">
        <w:r w:rsidR="00B8671A" w:rsidRPr="00482767">
          <w:rPr>
            <w:rStyle w:val="Hyperlink"/>
            <w:noProof/>
          </w:rPr>
          <w:t>6.1</w:t>
        </w:r>
        <w:r w:rsidR="00B8671A">
          <w:rPr>
            <w:rFonts w:asciiTheme="minorHAnsi" w:eastAsiaTheme="minorEastAsia" w:hAnsiTheme="minorHAnsi" w:cstheme="minorBidi"/>
            <w:noProof/>
            <w:sz w:val="22"/>
            <w:szCs w:val="22"/>
            <w:lang w:val="en-US"/>
          </w:rPr>
          <w:tab/>
        </w:r>
        <w:r w:rsidR="00B8671A" w:rsidRPr="00482767">
          <w:rPr>
            <w:rStyle w:val="Hyperlink"/>
            <w:noProof/>
          </w:rPr>
          <w:t>Theory</w:t>
        </w:r>
        <w:r w:rsidR="00B8671A">
          <w:rPr>
            <w:noProof/>
            <w:webHidden/>
          </w:rPr>
          <w:tab/>
        </w:r>
        <w:r w:rsidR="00B8671A">
          <w:rPr>
            <w:noProof/>
            <w:webHidden/>
          </w:rPr>
          <w:fldChar w:fldCharType="begin"/>
        </w:r>
        <w:r w:rsidR="00B8671A">
          <w:rPr>
            <w:noProof/>
            <w:webHidden/>
          </w:rPr>
          <w:instrText xml:space="preserve"> PAGEREF _Toc462582194 \h </w:instrText>
        </w:r>
        <w:r w:rsidR="00B8671A">
          <w:rPr>
            <w:noProof/>
            <w:webHidden/>
          </w:rPr>
        </w:r>
        <w:r w:rsidR="00B8671A">
          <w:rPr>
            <w:noProof/>
            <w:webHidden/>
          </w:rPr>
          <w:fldChar w:fldCharType="separate"/>
        </w:r>
        <w:r w:rsidR="000B6805">
          <w:rPr>
            <w:noProof/>
            <w:webHidden/>
          </w:rPr>
          <w:t>57</w:t>
        </w:r>
        <w:r w:rsidR="00B8671A">
          <w:rPr>
            <w:noProof/>
            <w:webHidden/>
          </w:rPr>
          <w:fldChar w:fldCharType="end"/>
        </w:r>
      </w:hyperlink>
    </w:p>
    <w:p w:rsidR="00B8671A" w:rsidRDefault="00B65F1A" w:rsidP="00F156E7">
      <w:pPr>
        <w:pStyle w:val="TOC2"/>
        <w:tabs>
          <w:tab w:val="left" w:pos="880"/>
          <w:tab w:val="right" w:pos="8211"/>
        </w:tabs>
        <w:rPr>
          <w:rFonts w:asciiTheme="minorHAnsi" w:eastAsiaTheme="minorEastAsia" w:hAnsiTheme="minorHAnsi" w:cstheme="minorBidi"/>
          <w:noProof/>
          <w:sz w:val="22"/>
          <w:szCs w:val="22"/>
          <w:lang w:val="en-US"/>
        </w:rPr>
      </w:pPr>
      <w:hyperlink w:anchor="_Toc462582195" w:history="1">
        <w:r w:rsidR="00B8671A" w:rsidRPr="00482767">
          <w:rPr>
            <w:rStyle w:val="Hyperlink"/>
            <w:noProof/>
          </w:rPr>
          <w:t>6.2</w:t>
        </w:r>
        <w:r w:rsidR="00B8671A">
          <w:rPr>
            <w:rFonts w:asciiTheme="minorHAnsi" w:eastAsiaTheme="minorEastAsia" w:hAnsiTheme="minorHAnsi" w:cstheme="minorBidi"/>
            <w:noProof/>
            <w:sz w:val="22"/>
            <w:szCs w:val="22"/>
            <w:lang w:val="en-US"/>
          </w:rPr>
          <w:tab/>
        </w:r>
        <w:r w:rsidR="00B8671A" w:rsidRPr="00482767">
          <w:rPr>
            <w:rStyle w:val="Hyperlink"/>
            <w:noProof/>
          </w:rPr>
          <w:t>Discontinuities in Land Prices Across Zoning Boundaries</w:t>
        </w:r>
        <w:r w:rsidR="00B8671A">
          <w:rPr>
            <w:noProof/>
            <w:webHidden/>
          </w:rPr>
          <w:tab/>
        </w:r>
        <w:r w:rsidR="00B8671A">
          <w:rPr>
            <w:noProof/>
            <w:webHidden/>
          </w:rPr>
          <w:fldChar w:fldCharType="begin"/>
        </w:r>
        <w:r w:rsidR="00B8671A">
          <w:rPr>
            <w:noProof/>
            <w:webHidden/>
          </w:rPr>
          <w:instrText xml:space="preserve"> PAGEREF _Toc462582195 \h </w:instrText>
        </w:r>
        <w:r w:rsidR="00B8671A">
          <w:rPr>
            <w:noProof/>
            <w:webHidden/>
          </w:rPr>
        </w:r>
        <w:r w:rsidR="00B8671A">
          <w:rPr>
            <w:noProof/>
            <w:webHidden/>
          </w:rPr>
          <w:fldChar w:fldCharType="separate"/>
        </w:r>
        <w:r w:rsidR="000B6805">
          <w:rPr>
            <w:noProof/>
            <w:webHidden/>
          </w:rPr>
          <w:t>58</w:t>
        </w:r>
        <w:r w:rsidR="00B8671A">
          <w:rPr>
            <w:noProof/>
            <w:webHidden/>
          </w:rPr>
          <w:fldChar w:fldCharType="end"/>
        </w:r>
      </w:hyperlink>
    </w:p>
    <w:p w:rsidR="00B8671A" w:rsidRDefault="00B65F1A" w:rsidP="00F156E7">
      <w:pPr>
        <w:pStyle w:val="TOC2"/>
        <w:tabs>
          <w:tab w:val="left" w:pos="880"/>
          <w:tab w:val="right" w:pos="8211"/>
        </w:tabs>
        <w:rPr>
          <w:rFonts w:asciiTheme="minorHAnsi" w:eastAsiaTheme="minorEastAsia" w:hAnsiTheme="minorHAnsi" w:cstheme="minorBidi"/>
          <w:noProof/>
          <w:sz w:val="22"/>
          <w:szCs w:val="22"/>
          <w:lang w:val="en-US"/>
        </w:rPr>
      </w:pPr>
      <w:hyperlink w:anchor="_Toc462582196" w:history="1">
        <w:r w:rsidR="00B8671A" w:rsidRPr="00482767">
          <w:rPr>
            <w:rStyle w:val="Hyperlink"/>
            <w:noProof/>
          </w:rPr>
          <w:t>6.3</w:t>
        </w:r>
        <w:r w:rsidR="00B8671A">
          <w:rPr>
            <w:rFonts w:asciiTheme="minorHAnsi" w:eastAsiaTheme="minorEastAsia" w:hAnsiTheme="minorHAnsi" w:cstheme="minorBidi"/>
            <w:noProof/>
            <w:sz w:val="22"/>
            <w:szCs w:val="22"/>
            <w:lang w:val="en-US"/>
          </w:rPr>
          <w:tab/>
        </w:r>
        <w:r w:rsidR="00B8671A" w:rsidRPr="00482767">
          <w:rPr>
            <w:rStyle w:val="Hyperlink"/>
            <w:noProof/>
          </w:rPr>
          <w:t>Comparison of Market Prices with Marginal Costs of Supply</w:t>
        </w:r>
        <w:r w:rsidR="00B8671A">
          <w:rPr>
            <w:noProof/>
            <w:webHidden/>
          </w:rPr>
          <w:tab/>
        </w:r>
        <w:r w:rsidR="00B8671A">
          <w:rPr>
            <w:noProof/>
            <w:webHidden/>
          </w:rPr>
          <w:fldChar w:fldCharType="begin"/>
        </w:r>
        <w:r w:rsidR="00B8671A">
          <w:rPr>
            <w:noProof/>
            <w:webHidden/>
          </w:rPr>
          <w:instrText xml:space="preserve"> PAGEREF _Toc462582196 \h </w:instrText>
        </w:r>
        <w:r w:rsidR="00B8671A">
          <w:rPr>
            <w:noProof/>
            <w:webHidden/>
          </w:rPr>
        </w:r>
        <w:r w:rsidR="00B8671A">
          <w:rPr>
            <w:noProof/>
            <w:webHidden/>
          </w:rPr>
          <w:fldChar w:fldCharType="separate"/>
        </w:r>
        <w:r w:rsidR="000B6805">
          <w:rPr>
            <w:noProof/>
            <w:webHidden/>
          </w:rPr>
          <w:t>72</w:t>
        </w:r>
        <w:r w:rsidR="00B8671A">
          <w:rPr>
            <w:noProof/>
            <w:webHidden/>
          </w:rPr>
          <w:fldChar w:fldCharType="end"/>
        </w:r>
      </w:hyperlink>
    </w:p>
    <w:p w:rsidR="00B8671A" w:rsidRDefault="00B65F1A" w:rsidP="00F156E7">
      <w:pPr>
        <w:pStyle w:val="TOC2"/>
        <w:tabs>
          <w:tab w:val="left" w:pos="880"/>
          <w:tab w:val="right" w:pos="8211"/>
        </w:tabs>
        <w:rPr>
          <w:rFonts w:asciiTheme="minorHAnsi" w:eastAsiaTheme="minorEastAsia" w:hAnsiTheme="minorHAnsi" w:cstheme="minorBidi"/>
          <w:noProof/>
          <w:sz w:val="22"/>
          <w:szCs w:val="22"/>
          <w:lang w:val="en-US"/>
        </w:rPr>
      </w:pPr>
      <w:hyperlink w:anchor="_Toc462582197" w:history="1">
        <w:r w:rsidR="00B8671A" w:rsidRPr="00482767">
          <w:rPr>
            <w:rStyle w:val="Hyperlink"/>
            <w:noProof/>
          </w:rPr>
          <w:t>6.4</w:t>
        </w:r>
        <w:r w:rsidR="00B8671A">
          <w:rPr>
            <w:rFonts w:asciiTheme="minorHAnsi" w:eastAsiaTheme="minorEastAsia" w:hAnsiTheme="minorHAnsi" w:cstheme="minorBidi"/>
            <w:noProof/>
            <w:sz w:val="22"/>
            <w:szCs w:val="22"/>
            <w:lang w:val="en-US"/>
          </w:rPr>
          <w:tab/>
        </w:r>
        <w:r w:rsidR="00B8671A" w:rsidRPr="00482767">
          <w:rPr>
            <w:rStyle w:val="Hyperlink"/>
            <w:noProof/>
          </w:rPr>
          <w:t>Conclusions</w:t>
        </w:r>
        <w:r w:rsidR="00B8671A">
          <w:rPr>
            <w:noProof/>
            <w:webHidden/>
          </w:rPr>
          <w:tab/>
        </w:r>
        <w:r w:rsidR="00B8671A">
          <w:rPr>
            <w:noProof/>
            <w:webHidden/>
          </w:rPr>
          <w:fldChar w:fldCharType="begin"/>
        </w:r>
        <w:r w:rsidR="00B8671A">
          <w:rPr>
            <w:noProof/>
            <w:webHidden/>
          </w:rPr>
          <w:instrText xml:space="preserve"> PAGEREF _Toc462582197 \h </w:instrText>
        </w:r>
        <w:r w:rsidR="00B8671A">
          <w:rPr>
            <w:noProof/>
            <w:webHidden/>
          </w:rPr>
        </w:r>
        <w:r w:rsidR="00B8671A">
          <w:rPr>
            <w:noProof/>
            <w:webHidden/>
          </w:rPr>
          <w:fldChar w:fldCharType="separate"/>
        </w:r>
        <w:r w:rsidR="000B6805">
          <w:rPr>
            <w:noProof/>
            <w:webHidden/>
          </w:rPr>
          <w:t>76</w:t>
        </w:r>
        <w:r w:rsidR="00B8671A">
          <w:rPr>
            <w:noProof/>
            <w:webHidden/>
          </w:rPr>
          <w:fldChar w:fldCharType="end"/>
        </w:r>
      </w:hyperlink>
    </w:p>
    <w:p w:rsidR="00B8671A" w:rsidRDefault="00B65F1A" w:rsidP="00F156E7">
      <w:pPr>
        <w:pStyle w:val="TOC1"/>
        <w:rPr>
          <w:rFonts w:asciiTheme="minorHAnsi" w:eastAsiaTheme="minorEastAsia" w:hAnsiTheme="minorHAnsi" w:cstheme="minorBidi"/>
          <w:noProof/>
          <w:sz w:val="22"/>
          <w:szCs w:val="22"/>
          <w:lang w:val="en-US"/>
        </w:rPr>
      </w:pPr>
      <w:hyperlink w:anchor="_Toc462582198" w:history="1">
        <w:r w:rsidR="00B8671A" w:rsidRPr="00482767">
          <w:rPr>
            <w:rStyle w:val="Hyperlink"/>
            <w:noProof/>
          </w:rPr>
          <w:t>7</w:t>
        </w:r>
        <w:r w:rsidR="00B8671A">
          <w:rPr>
            <w:rFonts w:asciiTheme="minorHAnsi" w:eastAsiaTheme="minorEastAsia" w:hAnsiTheme="minorHAnsi" w:cstheme="minorBidi"/>
            <w:noProof/>
            <w:sz w:val="22"/>
            <w:szCs w:val="22"/>
            <w:lang w:val="en-US"/>
          </w:rPr>
          <w:tab/>
        </w:r>
        <w:r w:rsidR="00B8671A" w:rsidRPr="00482767">
          <w:rPr>
            <w:rStyle w:val="Hyperlink"/>
            <w:noProof/>
          </w:rPr>
          <w:t>Affordability Indicators</w:t>
        </w:r>
        <w:r w:rsidR="00B8671A">
          <w:rPr>
            <w:noProof/>
            <w:webHidden/>
          </w:rPr>
          <w:tab/>
        </w:r>
        <w:r w:rsidR="00B8671A">
          <w:rPr>
            <w:noProof/>
            <w:webHidden/>
          </w:rPr>
          <w:fldChar w:fldCharType="begin"/>
        </w:r>
        <w:r w:rsidR="00B8671A">
          <w:rPr>
            <w:noProof/>
            <w:webHidden/>
          </w:rPr>
          <w:instrText xml:space="preserve"> PAGEREF _Toc462582198 \h </w:instrText>
        </w:r>
        <w:r w:rsidR="00B8671A">
          <w:rPr>
            <w:noProof/>
            <w:webHidden/>
          </w:rPr>
        </w:r>
        <w:r w:rsidR="00B8671A">
          <w:rPr>
            <w:noProof/>
            <w:webHidden/>
          </w:rPr>
          <w:fldChar w:fldCharType="separate"/>
        </w:r>
        <w:r w:rsidR="000B6805">
          <w:rPr>
            <w:noProof/>
            <w:webHidden/>
          </w:rPr>
          <w:t>78</w:t>
        </w:r>
        <w:r w:rsidR="00B8671A">
          <w:rPr>
            <w:noProof/>
            <w:webHidden/>
          </w:rPr>
          <w:fldChar w:fldCharType="end"/>
        </w:r>
      </w:hyperlink>
    </w:p>
    <w:p w:rsidR="00B8671A" w:rsidRDefault="00B65F1A" w:rsidP="00F156E7">
      <w:pPr>
        <w:pStyle w:val="TOC2"/>
        <w:tabs>
          <w:tab w:val="left" w:pos="880"/>
          <w:tab w:val="right" w:pos="8211"/>
        </w:tabs>
        <w:rPr>
          <w:rFonts w:asciiTheme="minorHAnsi" w:eastAsiaTheme="minorEastAsia" w:hAnsiTheme="minorHAnsi" w:cstheme="minorBidi"/>
          <w:noProof/>
          <w:sz w:val="22"/>
          <w:szCs w:val="22"/>
          <w:lang w:val="en-US"/>
        </w:rPr>
      </w:pPr>
      <w:hyperlink w:anchor="_Toc462582199" w:history="1">
        <w:r w:rsidR="00B8671A" w:rsidRPr="00482767">
          <w:rPr>
            <w:rStyle w:val="Hyperlink"/>
            <w:noProof/>
          </w:rPr>
          <w:t>7.1</w:t>
        </w:r>
        <w:r w:rsidR="00B8671A">
          <w:rPr>
            <w:rFonts w:asciiTheme="minorHAnsi" w:eastAsiaTheme="minorEastAsia" w:hAnsiTheme="minorHAnsi" w:cstheme="minorBidi"/>
            <w:noProof/>
            <w:sz w:val="22"/>
            <w:szCs w:val="22"/>
            <w:lang w:val="en-US"/>
          </w:rPr>
          <w:tab/>
        </w:r>
        <w:r w:rsidR="00B8671A" w:rsidRPr="00482767">
          <w:rPr>
            <w:rStyle w:val="Hyperlink"/>
            <w:noProof/>
          </w:rPr>
          <w:t>Introduction</w:t>
        </w:r>
        <w:r w:rsidR="00B8671A">
          <w:rPr>
            <w:noProof/>
            <w:webHidden/>
          </w:rPr>
          <w:tab/>
        </w:r>
        <w:r w:rsidR="00B8671A">
          <w:rPr>
            <w:noProof/>
            <w:webHidden/>
          </w:rPr>
          <w:fldChar w:fldCharType="begin"/>
        </w:r>
        <w:r w:rsidR="00B8671A">
          <w:rPr>
            <w:noProof/>
            <w:webHidden/>
          </w:rPr>
          <w:instrText xml:space="preserve"> PAGEREF _Toc462582199 \h </w:instrText>
        </w:r>
        <w:r w:rsidR="00B8671A">
          <w:rPr>
            <w:noProof/>
            <w:webHidden/>
          </w:rPr>
        </w:r>
        <w:r w:rsidR="00B8671A">
          <w:rPr>
            <w:noProof/>
            <w:webHidden/>
          </w:rPr>
          <w:fldChar w:fldCharType="separate"/>
        </w:r>
        <w:r w:rsidR="000B6805">
          <w:rPr>
            <w:noProof/>
            <w:webHidden/>
          </w:rPr>
          <w:t>78</w:t>
        </w:r>
        <w:r w:rsidR="00B8671A">
          <w:rPr>
            <w:noProof/>
            <w:webHidden/>
          </w:rPr>
          <w:fldChar w:fldCharType="end"/>
        </w:r>
      </w:hyperlink>
    </w:p>
    <w:p w:rsidR="00B8671A" w:rsidRDefault="00B65F1A" w:rsidP="00F156E7">
      <w:pPr>
        <w:pStyle w:val="TOC2"/>
        <w:tabs>
          <w:tab w:val="left" w:pos="880"/>
          <w:tab w:val="right" w:pos="8211"/>
        </w:tabs>
        <w:rPr>
          <w:rFonts w:asciiTheme="minorHAnsi" w:eastAsiaTheme="minorEastAsia" w:hAnsiTheme="minorHAnsi" w:cstheme="minorBidi"/>
          <w:noProof/>
          <w:sz w:val="22"/>
          <w:szCs w:val="22"/>
          <w:lang w:val="en-US"/>
        </w:rPr>
      </w:pPr>
      <w:hyperlink w:anchor="_Toc462582200" w:history="1">
        <w:r w:rsidR="00B8671A" w:rsidRPr="00482767">
          <w:rPr>
            <w:rStyle w:val="Hyperlink"/>
            <w:noProof/>
          </w:rPr>
          <w:t>7.2</w:t>
        </w:r>
        <w:r w:rsidR="00B8671A">
          <w:rPr>
            <w:rFonts w:asciiTheme="minorHAnsi" w:eastAsiaTheme="minorEastAsia" w:hAnsiTheme="minorHAnsi" w:cstheme="minorBidi"/>
            <w:noProof/>
            <w:sz w:val="22"/>
            <w:szCs w:val="22"/>
            <w:lang w:val="en-US"/>
          </w:rPr>
          <w:tab/>
        </w:r>
        <w:r w:rsidR="00B8671A" w:rsidRPr="00482767">
          <w:rPr>
            <w:rStyle w:val="Hyperlink"/>
            <w:noProof/>
          </w:rPr>
          <w:t>Government Indicator Projects</w:t>
        </w:r>
        <w:r w:rsidR="00B8671A">
          <w:rPr>
            <w:noProof/>
            <w:webHidden/>
          </w:rPr>
          <w:tab/>
        </w:r>
        <w:r w:rsidR="00B8671A">
          <w:rPr>
            <w:noProof/>
            <w:webHidden/>
          </w:rPr>
          <w:fldChar w:fldCharType="begin"/>
        </w:r>
        <w:r w:rsidR="00B8671A">
          <w:rPr>
            <w:noProof/>
            <w:webHidden/>
          </w:rPr>
          <w:instrText xml:space="preserve"> PAGEREF _Toc462582200 \h </w:instrText>
        </w:r>
        <w:r w:rsidR="00B8671A">
          <w:rPr>
            <w:noProof/>
            <w:webHidden/>
          </w:rPr>
        </w:r>
        <w:r w:rsidR="00B8671A">
          <w:rPr>
            <w:noProof/>
            <w:webHidden/>
          </w:rPr>
          <w:fldChar w:fldCharType="separate"/>
        </w:r>
        <w:r w:rsidR="000B6805">
          <w:rPr>
            <w:noProof/>
            <w:webHidden/>
          </w:rPr>
          <w:t>81</w:t>
        </w:r>
        <w:r w:rsidR="00B8671A">
          <w:rPr>
            <w:noProof/>
            <w:webHidden/>
          </w:rPr>
          <w:fldChar w:fldCharType="end"/>
        </w:r>
      </w:hyperlink>
    </w:p>
    <w:p w:rsidR="00B8671A" w:rsidRDefault="00B65F1A" w:rsidP="00F156E7">
      <w:pPr>
        <w:pStyle w:val="TOC2"/>
        <w:tabs>
          <w:tab w:val="left" w:pos="880"/>
          <w:tab w:val="right" w:pos="8211"/>
        </w:tabs>
        <w:rPr>
          <w:rFonts w:asciiTheme="minorHAnsi" w:eastAsiaTheme="minorEastAsia" w:hAnsiTheme="minorHAnsi" w:cstheme="minorBidi"/>
          <w:noProof/>
          <w:sz w:val="22"/>
          <w:szCs w:val="22"/>
          <w:lang w:val="en-US"/>
        </w:rPr>
      </w:pPr>
      <w:hyperlink w:anchor="_Toc462582201" w:history="1">
        <w:r w:rsidR="00B8671A" w:rsidRPr="00482767">
          <w:rPr>
            <w:rStyle w:val="Hyperlink"/>
            <w:noProof/>
          </w:rPr>
          <w:t>7.3</w:t>
        </w:r>
        <w:r w:rsidR="00B8671A">
          <w:rPr>
            <w:rFonts w:asciiTheme="minorHAnsi" w:eastAsiaTheme="minorEastAsia" w:hAnsiTheme="minorHAnsi" w:cstheme="minorBidi"/>
            <w:noProof/>
            <w:sz w:val="22"/>
            <w:szCs w:val="22"/>
            <w:lang w:val="en-US"/>
          </w:rPr>
          <w:tab/>
        </w:r>
        <w:r w:rsidR="00B8671A" w:rsidRPr="00482767">
          <w:rPr>
            <w:rStyle w:val="Hyperlink"/>
            <w:noProof/>
          </w:rPr>
          <w:t>Possible Indicators</w:t>
        </w:r>
        <w:r w:rsidR="00B8671A">
          <w:rPr>
            <w:noProof/>
            <w:webHidden/>
          </w:rPr>
          <w:tab/>
        </w:r>
        <w:r w:rsidR="00B8671A">
          <w:rPr>
            <w:noProof/>
            <w:webHidden/>
          </w:rPr>
          <w:fldChar w:fldCharType="begin"/>
        </w:r>
        <w:r w:rsidR="00B8671A">
          <w:rPr>
            <w:noProof/>
            <w:webHidden/>
          </w:rPr>
          <w:instrText xml:space="preserve"> PAGEREF _Toc462582201 \h </w:instrText>
        </w:r>
        <w:r w:rsidR="00B8671A">
          <w:rPr>
            <w:noProof/>
            <w:webHidden/>
          </w:rPr>
        </w:r>
        <w:r w:rsidR="00B8671A">
          <w:rPr>
            <w:noProof/>
            <w:webHidden/>
          </w:rPr>
          <w:fldChar w:fldCharType="separate"/>
        </w:r>
        <w:r w:rsidR="000B6805">
          <w:rPr>
            <w:noProof/>
            <w:webHidden/>
          </w:rPr>
          <w:t>83</w:t>
        </w:r>
        <w:r w:rsidR="00B8671A">
          <w:rPr>
            <w:noProof/>
            <w:webHidden/>
          </w:rPr>
          <w:fldChar w:fldCharType="end"/>
        </w:r>
      </w:hyperlink>
    </w:p>
    <w:p w:rsidR="00B8671A" w:rsidRDefault="00B65F1A" w:rsidP="00F156E7">
      <w:pPr>
        <w:pStyle w:val="TOC2"/>
        <w:tabs>
          <w:tab w:val="left" w:pos="880"/>
          <w:tab w:val="right" w:pos="8211"/>
        </w:tabs>
        <w:rPr>
          <w:rFonts w:asciiTheme="minorHAnsi" w:eastAsiaTheme="minorEastAsia" w:hAnsiTheme="minorHAnsi" w:cstheme="minorBidi"/>
          <w:noProof/>
          <w:sz w:val="22"/>
          <w:szCs w:val="22"/>
          <w:lang w:val="en-US"/>
        </w:rPr>
      </w:pPr>
      <w:hyperlink w:anchor="_Toc462582202" w:history="1">
        <w:r w:rsidR="00B8671A" w:rsidRPr="00482767">
          <w:rPr>
            <w:rStyle w:val="Hyperlink"/>
            <w:noProof/>
          </w:rPr>
          <w:t>7.4</w:t>
        </w:r>
        <w:r w:rsidR="00B8671A">
          <w:rPr>
            <w:rFonts w:asciiTheme="minorHAnsi" w:eastAsiaTheme="minorEastAsia" w:hAnsiTheme="minorHAnsi" w:cstheme="minorBidi"/>
            <w:noProof/>
            <w:sz w:val="22"/>
            <w:szCs w:val="22"/>
            <w:lang w:val="en-US"/>
          </w:rPr>
          <w:tab/>
        </w:r>
        <w:r w:rsidR="00B8671A" w:rsidRPr="00482767">
          <w:rPr>
            <w:rStyle w:val="Hyperlink"/>
            <w:noProof/>
          </w:rPr>
          <w:t>Suggested Indicators</w:t>
        </w:r>
        <w:r w:rsidR="00B8671A">
          <w:rPr>
            <w:noProof/>
            <w:webHidden/>
          </w:rPr>
          <w:tab/>
        </w:r>
        <w:r w:rsidR="00B8671A">
          <w:rPr>
            <w:noProof/>
            <w:webHidden/>
          </w:rPr>
          <w:fldChar w:fldCharType="begin"/>
        </w:r>
        <w:r w:rsidR="00B8671A">
          <w:rPr>
            <w:noProof/>
            <w:webHidden/>
          </w:rPr>
          <w:instrText xml:space="preserve"> PAGEREF _Toc462582202 \h </w:instrText>
        </w:r>
        <w:r w:rsidR="00B8671A">
          <w:rPr>
            <w:noProof/>
            <w:webHidden/>
          </w:rPr>
        </w:r>
        <w:r w:rsidR="00B8671A">
          <w:rPr>
            <w:noProof/>
            <w:webHidden/>
          </w:rPr>
          <w:fldChar w:fldCharType="separate"/>
        </w:r>
        <w:r w:rsidR="000B6805">
          <w:rPr>
            <w:noProof/>
            <w:webHidden/>
          </w:rPr>
          <w:t>87</w:t>
        </w:r>
        <w:r w:rsidR="00B8671A">
          <w:rPr>
            <w:noProof/>
            <w:webHidden/>
          </w:rPr>
          <w:fldChar w:fldCharType="end"/>
        </w:r>
      </w:hyperlink>
    </w:p>
    <w:p w:rsidR="00B8671A" w:rsidRDefault="00B65F1A" w:rsidP="00F156E7">
      <w:pPr>
        <w:pStyle w:val="TOC1"/>
        <w:rPr>
          <w:rFonts w:asciiTheme="minorHAnsi" w:eastAsiaTheme="minorEastAsia" w:hAnsiTheme="minorHAnsi" w:cstheme="minorBidi"/>
          <w:noProof/>
          <w:sz w:val="22"/>
          <w:szCs w:val="22"/>
          <w:lang w:val="en-US"/>
        </w:rPr>
      </w:pPr>
      <w:hyperlink w:anchor="_Toc462582203" w:history="1">
        <w:r w:rsidR="00B8671A" w:rsidRPr="00482767">
          <w:rPr>
            <w:rStyle w:val="Hyperlink"/>
            <w:noProof/>
          </w:rPr>
          <w:t>8</w:t>
        </w:r>
        <w:r w:rsidR="00B8671A">
          <w:rPr>
            <w:rFonts w:asciiTheme="minorHAnsi" w:eastAsiaTheme="minorEastAsia" w:hAnsiTheme="minorHAnsi" w:cstheme="minorBidi"/>
            <w:noProof/>
            <w:sz w:val="22"/>
            <w:szCs w:val="22"/>
            <w:lang w:val="en-US"/>
          </w:rPr>
          <w:tab/>
        </w:r>
        <w:r w:rsidR="00B8671A" w:rsidRPr="00482767">
          <w:rPr>
            <w:rStyle w:val="Hyperlink"/>
            <w:noProof/>
          </w:rPr>
          <w:t>Implementation Requirements and Capabilities</w:t>
        </w:r>
        <w:r w:rsidR="00B8671A">
          <w:rPr>
            <w:noProof/>
            <w:webHidden/>
          </w:rPr>
          <w:tab/>
        </w:r>
        <w:r w:rsidR="00B8671A">
          <w:rPr>
            <w:noProof/>
            <w:webHidden/>
          </w:rPr>
          <w:fldChar w:fldCharType="begin"/>
        </w:r>
        <w:r w:rsidR="00B8671A">
          <w:rPr>
            <w:noProof/>
            <w:webHidden/>
          </w:rPr>
          <w:instrText xml:space="preserve"> PAGEREF _Toc462582203 \h </w:instrText>
        </w:r>
        <w:r w:rsidR="00B8671A">
          <w:rPr>
            <w:noProof/>
            <w:webHidden/>
          </w:rPr>
        </w:r>
        <w:r w:rsidR="00B8671A">
          <w:rPr>
            <w:noProof/>
            <w:webHidden/>
          </w:rPr>
          <w:fldChar w:fldCharType="separate"/>
        </w:r>
        <w:r w:rsidR="000B6805">
          <w:rPr>
            <w:noProof/>
            <w:webHidden/>
          </w:rPr>
          <w:t>88</w:t>
        </w:r>
        <w:r w:rsidR="00B8671A">
          <w:rPr>
            <w:noProof/>
            <w:webHidden/>
          </w:rPr>
          <w:fldChar w:fldCharType="end"/>
        </w:r>
      </w:hyperlink>
    </w:p>
    <w:p w:rsidR="00B8671A" w:rsidRDefault="00B65F1A" w:rsidP="00F156E7">
      <w:pPr>
        <w:pStyle w:val="TOC2"/>
        <w:tabs>
          <w:tab w:val="left" w:pos="880"/>
          <w:tab w:val="right" w:pos="8211"/>
        </w:tabs>
        <w:rPr>
          <w:rFonts w:asciiTheme="minorHAnsi" w:eastAsiaTheme="minorEastAsia" w:hAnsiTheme="minorHAnsi" w:cstheme="minorBidi"/>
          <w:noProof/>
          <w:sz w:val="22"/>
          <w:szCs w:val="22"/>
          <w:lang w:val="en-US"/>
        </w:rPr>
      </w:pPr>
      <w:hyperlink w:anchor="_Toc462582204" w:history="1">
        <w:r w:rsidR="00B8671A" w:rsidRPr="00482767">
          <w:rPr>
            <w:rStyle w:val="Hyperlink"/>
            <w:noProof/>
          </w:rPr>
          <w:t>8.1</w:t>
        </w:r>
        <w:r w:rsidR="00B8671A">
          <w:rPr>
            <w:rFonts w:asciiTheme="minorHAnsi" w:eastAsiaTheme="minorEastAsia" w:hAnsiTheme="minorHAnsi" w:cstheme="minorBidi"/>
            <w:noProof/>
            <w:sz w:val="22"/>
            <w:szCs w:val="22"/>
            <w:lang w:val="en-US"/>
          </w:rPr>
          <w:tab/>
        </w:r>
        <w:r w:rsidR="00B8671A" w:rsidRPr="00482767">
          <w:rPr>
            <w:rStyle w:val="Hyperlink"/>
            <w:noProof/>
          </w:rPr>
          <w:t>Data Requirements</w:t>
        </w:r>
        <w:r w:rsidR="00B8671A">
          <w:rPr>
            <w:noProof/>
            <w:webHidden/>
          </w:rPr>
          <w:tab/>
        </w:r>
        <w:r w:rsidR="00B8671A">
          <w:rPr>
            <w:noProof/>
            <w:webHidden/>
          </w:rPr>
          <w:fldChar w:fldCharType="begin"/>
        </w:r>
        <w:r w:rsidR="00B8671A">
          <w:rPr>
            <w:noProof/>
            <w:webHidden/>
          </w:rPr>
          <w:instrText xml:space="preserve"> PAGEREF _Toc462582204 \h </w:instrText>
        </w:r>
        <w:r w:rsidR="00B8671A">
          <w:rPr>
            <w:noProof/>
            <w:webHidden/>
          </w:rPr>
        </w:r>
        <w:r w:rsidR="00B8671A">
          <w:rPr>
            <w:noProof/>
            <w:webHidden/>
          </w:rPr>
          <w:fldChar w:fldCharType="separate"/>
        </w:r>
        <w:r w:rsidR="000B6805">
          <w:rPr>
            <w:noProof/>
            <w:webHidden/>
          </w:rPr>
          <w:t>88</w:t>
        </w:r>
        <w:r w:rsidR="00B8671A">
          <w:rPr>
            <w:noProof/>
            <w:webHidden/>
          </w:rPr>
          <w:fldChar w:fldCharType="end"/>
        </w:r>
      </w:hyperlink>
    </w:p>
    <w:p w:rsidR="00B8671A" w:rsidRDefault="00B65F1A" w:rsidP="00F156E7">
      <w:pPr>
        <w:pStyle w:val="TOC2"/>
        <w:tabs>
          <w:tab w:val="left" w:pos="880"/>
          <w:tab w:val="right" w:pos="8211"/>
        </w:tabs>
        <w:rPr>
          <w:rFonts w:asciiTheme="minorHAnsi" w:eastAsiaTheme="minorEastAsia" w:hAnsiTheme="minorHAnsi" w:cstheme="minorBidi"/>
          <w:noProof/>
          <w:sz w:val="22"/>
          <w:szCs w:val="22"/>
          <w:lang w:val="en-US"/>
        </w:rPr>
      </w:pPr>
      <w:hyperlink w:anchor="_Toc462582205" w:history="1">
        <w:r w:rsidR="00B8671A" w:rsidRPr="00482767">
          <w:rPr>
            <w:rStyle w:val="Hyperlink"/>
            <w:noProof/>
          </w:rPr>
          <w:t>8.2</w:t>
        </w:r>
        <w:r w:rsidR="00B8671A">
          <w:rPr>
            <w:rFonts w:asciiTheme="minorHAnsi" w:eastAsiaTheme="minorEastAsia" w:hAnsiTheme="minorHAnsi" w:cstheme="minorBidi"/>
            <w:noProof/>
            <w:sz w:val="22"/>
            <w:szCs w:val="22"/>
            <w:lang w:val="en-US"/>
          </w:rPr>
          <w:tab/>
        </w:r>
        <w:r w:rsidR="00B8671A" w:rsidRPr="00482767">
          <w:rPr>
            <w:rStyle w:val="Hyperlink"/>
            <w:noProof/>
          </w:rPr>
          <w:t>Capability Requirements</w:t>
        </w:r>
        <w:r w:rsidR="00B8671A">
          <w:rPr>
            <w:noProof/>
            <w:webHidden/>
          </w:rPr>
          <w:tab/>
        </w:r>
        <w:r w:rsidR="00B8671A">
          <w:rPr>
            <w:noProof/>
            <w:webHidden/>
          </w:rPr>
          <w:fldChar w:fldCharType="begin"/>
        </w:r>
        <w:r w:rsidR="00B8671A">
          <w:rPr>
            <w:noProof/>
            <w:webHidden/>
          </w:rPr>
          <w:instrText xml:space="preserve"> PAGEREF _Toc462582205 \h </w:instrText>
        </w:r>
        <w:r w:rsidR="00B8671A">
          <w:rPr>
            <w:noProof/>
            <w:webHidden/>
          </w:rPr>
        </w:r>
        <w:r w:rsidR="00B8671A">
          <w:rPr>
            <w:noProof/>
            <w:webHidden/>
          </w:rPr>
          <w:fldChar w:fldCharType="separate"/>
        </w:r>
        <w:r w:rsidR="000B6805">
          <w:rPr>
            <w:noProof/>
            <w:webHidden/>
          </w:rPr>
          <w:t>92</w:t>
        </w:r>
        <w:r w:rsidR="00B8671A">
          <w:rPr>
            <w:noProof/>
            <w:webHidden/>
          </w:rPr>
          <w:fldChar w:fldCharType="end"/>
        </w:r>
      </w:hyperlink>
    </w:p>
    <w:p w:rsidR="00B8671A" w:rsidRDefault="00B65F1A" w:rsidP="00F156E7">
      <w:pPr>
        <w:pStyle w:val="TOC2"/>
        <w:tabs>
          <w:tab w:val="left" w:pos="880"/>
          <w:tab w:val="right" w:pos="8211"/>
        </w:tabs>
        <w:rPr>
          <w:rFonts w:asciiTheme="minorHAnsi" w:eastAsiaTheme="minorEastAsia" w:hAnsiTheme="minorHAnsi" w:cstheme="minorBidi"/>
          <w:noProof/>
          <w:sz w:val="22"/>
          <w:szCs w:val="22"/>
          <w:lang w:val="en-US"/>
        </w:rPr>
      </w:pPr>
      <w:hyperlink w:anchor="_Toc462582206" w:history="1">
        <w:r w:rsidR="00B8671A" w:rsidRPr="00482767">
          <w:rPr>
            <w:rStyle w:val="Hyperlink"/>
            <w:noProof/>
          </w:rPr>
          <w:t>8.3</w:t>
        </w:r>
        <w:r w:rsidR="00B8671A">
          <w:rPr>
            <w:rFonts w:asciiTheme="minorHAnsi" w:eastAsiaTheme="minorEastAsia" w:hAnsiTheme="minorHAnsi" w:cstheme="minorBidi"/>
            <w:noProof/>
            <w:sz w:val="22"/>
            <w:szCs w:val="22"/>
            <w:lang w:val="en-US"/>
          </w:rPr>
          <w:tab/>
        </w:r>
        <w:r w:rsidR="00B8671A" w:rsidRPr="00482767">
          <w:rPr>
            <w:rStyle w:val="Hyperlink"/>
            <w:noProof/>
          </w:rPr>
          <w:t>Current capability</w:t>
        </w:r>
        <w:r w:rsidR="00B8671A">
          <w:rPr>
            <w:noProof/>
            <w:webHidden/>
          </w:rPr>
          <w:tab/>
        </w:r>
        <w:r w:rsidR="00B8671A">
          <w:rPr>
            <w:noProof/>
            <w:webHidden/>
          </w:rPr>
          <w:fldChar w:fldCharType="begin"/>
        </w:r>
        <w:r w:rsidR="00B8671A">
          <w:rPr>
            <w:noProof/>
            <w:webHidden/>
          </w:rPr>
          <w:instrText xml:space="preserve"> PAGEREF _Toc462582206 \h </w:instrText>
        </w:r>
        <w:r w:rsidR="00B8671A">
          <w:rPr>
            <w:noProof/>
            <w:webHidden/>
          </w:rPr>
        </w:r>
        <w:r w:rsidR="00B8671A">
          <w:rPr>
            <w:noProof/>
            <w:webHidden/>
          </w:rPr>
          <w:fldChar w:fldCharType="separate"/>
        </w:r>
        <w:r w:rsidR="000B6805">
          <w:rPr>
            <w:noProof/>
            <w:webHidden/>
          </w:rPr>
          <w:t>93</w:t>
        </w:r>
        <w:r w:rsidR="00B8671A">
          <w:rPr>
            <w:noProof/>
            <w:webHidden/>
          </w:rPr>
          <w:fldChar w:fldCharType="end"/>
        </w:r>
      </w:hyperlink>
    </w:p>
    <w:p w:rsidR="00B8671A" w:rsidRDefault="00B65F1A" w:rsidP="00F156E7">
      <w:pPr>
        <w:pStyle w:val="TOC1"/>
        <w:rPr>
          <w:rFonts w:asciiTheme="minorHAnsi" w:eastAsiaTheme="minorEastAsia" w:hAnsiTheme="minorHAnsi" w:cstheme="minorBidi"/>
          <w:noProof/>
          <w:sz w:val="22"/>
          <w:szCs w:val="22"/>
          <w:lang w:val="en-US"/>
        </w:rPr>
      </w:pPr>
      <w:hyperlink w:anchor="_Toc462582207" w:history="1">
        <w:r w:rsidR="00B8671A" w:rsidRPr="00482767">
          <w:rPr>
            <w:rStyle w:val="Hyperlink"/>
            <w:noProof/>
          </w:rPr>
          <w:t>9</w:t>
        </w:r>
        <w:r w:rsidR="00B8671A">
          <w:rPr>
            <w:rFonts w:asciiTheme="minorHAnsi" w:eastAsiaTheme="minorEastAsia" w:hAnsiTheme="minorHAnsi" w:cstheme="minorBidi"/>
            <w:noProof/>
            <w:sz w:val="22"/>
            <w:szCs w:val="22"/>
            <w:lang w:val="en-US"/>
          </w:rPr>
          <w:tab/>
        </w:r>
        <w:r w:rsidR="00B8671A" w:rsidRPr="00482767">
          <w:rPr>
            <w:rStyle w:val="Hyperlink"/>
            <w:noProof/>
          </w:rPr>
          <w:t>Conclusions and Indicator Options</w:t>
        </w:r>
        <w:r w:rsidR="00B8671A">
          <w:rPr>
            <w:noProof/>
            <w:webHidden/>
          </w:rPr>
          <w:tab/>
        </w:r>
        <w:r w:rsidR="00B8671A">
          <w:rPr>
            <w:noProof/>
            <w:webHidden/>
          </w:rPr>
          <w:fldChar w:fldCharType="begin"/>
        </w:r>
        <w:r w:rsidR="00B8671A">
          <w:rPr>
            <w:noProof/>
            <w:webHidden/>
          </w:rPr>
          <w:instrText xml:space="preserve"> PAGEREF _Toc462582207 \h </w:instrText>
        </w:r>
        <w:r w:rsidR="00B8671A">
          <w:rPr>
            <w:noProof/>
            <w:webHidden/>
          </w:rPr>
        </w:r>
        <w:r w:rsidR="00B8671A">
          <w:rPr>
            <w:noProof/>
            <w:webHidden/>
          </w:rPr>
          <w:fldChar w:fldCharType="separate"/>
        </w:r>
        <w:r w:rsidR="000B6805">
          <w:rPr>
            <w:noProof/>
            <w:webHidden/>
          </w:rPr>
          <w:t>96</w:t>
        </w:r>
        <w:r w:rsidR="00B8671A">
          <w:rPr>
            <w:noProof/>
            <w:webHidden/>
          </w:rPr>
          <w:fldChar w:fldCharType="end"/>
        </w:r>
      </w:hyperlink>
    </w:p>
    <w:p w:rsidR="00B8671A" w:rsidRDefault="00B65F1A" w:rsidP="00F156E7">
      <w:pPr>
        <w:pStyle w:val="TOC2"/>
        <w:tabs>
          <w:tab w:val="left" w:pos="880"/>
          <w:tab w:val="right" w:pos="8211"/>
        </w:tabs>
        <w:rPr>
          <w:rFonts w:asciiTheme="minorHAnsi" w:eastAsiaTheme="minorEastAsia" w:hAnsiTheme="minorHAnsi" w:cstheme="minorBidi"/>
          <w:noProof/>
          <w:sz w:val="22"/>
          <w:szCs w:val="22"/>
          <w:lang w:val="en-US"/>
        </w:rPr>
      </w:pPr>
      <w:hyperlink w:anchor="_Toc462582208" w:history="1">
        <w:r w:rsidR="00B8671A" w:rsidRPr="00482767">
          <w:rPr>
            <w:rStyle w:val="Hyperlink"/>
            <w:noProof/>
          </w:rPr>
          <w:t>9.1</w:t>
        </w:r>
        <w:r w:rsidR="00B8671A">
          <w:rPr>
            <w:rFonts w:asciiTheme="minorHAnsi" w:eastAsiaTheme="minorEastAsia" w:hAnsiTheme="minorHAnsi" w:cstheme="minorBidi"/>
            <w:noProof/>
            <w:sz w:val="22"/>
            <w:szCs w:val="22"/>
            <w:lang w:val="en-US"/>
          </w:rPr>
          <w:tab/>
        </w:r>
        <w:r w:rsidR="00B8671A" w:rsidRPr="00482767">
          <w:rPr>
            <w:rStyle w:val="Hyperlink"/>
            <w:noProof/>
          </w:rPr>
          <w:t>Long List of Indicators</w:t>
        </w:r>
        <w:r w:rsidR="00B8671A">
          <w:rPr>
            <w:noProof/>
            <w:webHidden/>
          </w:rPr>
          <w:tab/>
        </w:r>
        <w:r w:rsidR="00B8671A">
          <w:rPr>
            <w:noProof/>
            <w:webHidden/>
          </w:rPr>
          <w:fldChar w:fldCharType="begin"/>
        </w:r>
        <w:r w:rsidR="00B8671A">
          <w:rPr>
            <w:noProof/>
            <w:webHidden/>
          </w:rPr>
          <w:instrText xml:space="preserve"> PAGEREF _Toc462582208 \h </w:instrText>
        </w:r>
        <w:r w:rsidR="00B8671A">
          <w:rPr>
            <w:noProof/>
            <w:webHidden/>
          </w:rPr>
        </w:r>
        <w:r w:rsidR="00B8671A">
          <w:rPr>
            <w:noProof/>
            <w:webHidden/>
          </w:rPr>
          <w:fldChar w:fldCharType="separate"/>
        </w:r>
        <w:r w:rsidR="000B6805">
          <w:rPr>
            <w:noProof/>
            <w:webHidden/>
          </w:rPr>
          <w:t>96</w:t>
        </w:r>
        <w:r w:rsidR="00B8671A">
          <w:rPr>
            <w:noProof/>
            <w:webHidden/>
          </w:rPr>
          <w:fldChar w:fldCharType="end"/>
        </w:r>
      </w:hyperlink>
    </w:p>
    <w:p w:rsidR="00B8671A" w:rsidRDefault="00B65F1A" w:rsidP="00F156E7">
      <w:pPr>
        <w:pStyle w:val="TOC2"/>
        <w:tabs>
          <w:tab w:val="left" w:pos="880"/>
          <w:tab w:val="right" w:pos="8211"/>
        </w:tabs>
        <w:rPr>
          <w:rFonts w:asciiTheme="minorHAnsi" w:eastAsiaTheme="minorEastAsia" w:hAnsiTheme="minorHAnsi" w:cstheme="minorBidi"/>
          <w:noProof/>
          <w:sz w:val="22"/>
          <w:szCs w:val="22"/>
          <w:lang w:val="en-US"/>
        </w:rPr>
      </w:pPr>
      <w:hyperlink w:anchor="_Toc462582209" w:history="1">
        <w:r w:rsidR="00B8671A" w:rsidRPr="00482767">
          <w:rPr>
            <w:rStyle w:val="Hyperlink"/>
            <w:noProof/>
          </w:rPr>
          <w:t>9.2</w:t>
        </w:r>
        <w:r w:rsidR="00B8671A">
          <w:rPr>
            <w:rFonts w:asciiTheme="minorHAnsi" w:eastAsiaTheme="minorEastAsia" w:hAnsiTheme="minorHAnsi" w:cstheme="minorBidi"/>
            <w:noProof/>
            <w:sz w:val="22"/>
            <w:szCs w:val="22"/>
            <w:lang w:val="en-US"/>
          </w:rPr>
          <w:tab/>
        </w:r>
        <w:r w:rsidR="00B8671A" w:rsidRPr="00482767">
          <w:rPr>
            <w:rStyle w:val="Hyperlink"/>
            <w:noProof/>
          </w:rPr>
          <w:t>General Market Indicators</w:t>
        </w:r>
        <w:r w:rsidR="00B8671A">
          <w:rPr>
            <w:noProof/>
            <w:webHidden/>
          </w:rPr>
          <w:tab/>
        </w:r>
        <w:r w:rsidR="00B8671A">
          <w:rPr>
            <w:noProof/>
            <w:webHidden/>
          </w:rPr>
          <w:fldChar w:fldCharType="begin"/>
        </w:r>
        <w:r w:rsidR="00B8671A">
          <w:rPr>
            <w:noProof/>
            <w:webHidden/>
          </w:rPr>
          <w:instrText xml:space="preserve"> PAGEREF _Toc462582209 \h </w:instrText>
        </w:r>
        <w:r w:rsidR="00B8671A">
          <w:rPr>
            <w:noProof/>
            <w:webHidden/>
          </w:rPr>
        </w:r>
        <w:r w:rsidR="00B8671A">
          <w:rPr>
            <w:noProof/>
            <w:webHidden/>
          </w:rPr>
          <w:fldChar w:fldCharType="separate"/>
        </w:r>
        <w:r w:rsidR="000B6805">
          <w:rPr>
            <w:noProof/>
            <w:webHidden/>
          </w:rPr>
          <w:t>96</w:t>
        </w:r>
        <w:r w:rsidR="00B8671A">
          <w:rPr>
            <w:noProof/>
            <w:webHidden/>
          </w:rPr>
          <w:fldChar w:fldCharType="end"/>
        </w:r>
      </w:hyperlink>
    </w:p>
    <w:p w:rsidR="00B8671A" w:rsidRDefault="00B65F1A" w:rsidP="00F156E7">
      <w:pPr>
        <w:pStyle w:val="TOC2"/>
        <w:tabs>
          <w:tab w:val="left" w:pos="880"/>
          <w:tab w:val="right" w:pos="8211"/>
        </w:tabs>
        <w:rPr>
          <w:rFonts w:asciiTheme="minorHAnsi" w:eastAsiaTheme="minorEastAsia" w:hAnsiTheme="minorHAnsi" w:cstheme="minorBidi"/>
          <w:noProof/>
          <w:sz w:val="22"/>
          <w:szCs w:val="22"/>
          <w:lang w:val="en-US"/>
        </w:rPr>
      </w:pPr>
      <w:hyperlink w:anchor="_Toc462582210" w:history="1">
        <w:r w:rsidR="00B8671A" w:rsidRPr="00482767">
          <w:rPr>
            <w:rStyle w:val="Hyperlink"/>
            <w:noProof/>
          </w:rPr>
          <w:t>9.3</w:t>
        </w:r>
        <w:r w:rsidR="00B8671A">
          <w:rPr>
            <w:rFonts w:asciiTheme="minorHAnsi" w:eastAsiaTheme="minorEastAsia" w:hAnsiTheme="minorHAnsi" w:cstheme="minorBidi"/>
            <w:noProof/>
            <w:sz w:val="22"/>
            <w:szCs w:val="22"/>
            <w:lang w:val="en-US"/>
          </w:rPr>
          <w:tab/>
        </w:r>
        <w:r w:rsidR="00B8671A" w:rsidRPr="00482767">
          <w:rPr>
            <w:rStyle w:val="Hyperlink"/>
            <w:noProof/>
          </w:rPr>
          <w:t>Supply-Demand Indicators</w:t>
        </w:r>
        <w:r w:rsidR="00B8671A">
          <w:rPr>
            <w:noProof/>
            <w:webHidden/>
          </w:rPr>
          <w:tab/>
        </w:r>
        <w:r w:rsidR="00B8671A">
          <w:rPr>
            <w:noProof/>
            <w:webHidden/>
          </w:rPr>
          <w:fldChar w:fldCharType="begin"/>
        </w:r>
        <w:r w:rsidR="00B8671A">
          <w:rPr>
            <w:noProof/>
            <w:webHidden/>
          </w:rPr>
          <w:instrText xml:space="preserve"> PAGEREF _Toc462582210 \h </w:instrText>
        </w:r>
        <w:r w:rsidR="00B8671A">
          <w:rPr>
            <w:noProof/>
            <w:webHidden/>
          </w:rPr>
        </w:r>
        <w:r w:rsidR="00B8671A">
          <w:rPr>
            <w:noProof/>
            <w:webHidden/>
          </w:rPr>
          <w:fldChar w:fldCharType="separate"/>
        </w:r>
        <w:r w:rsidR="000B6805">
          <w:rPr>
            <w:noProof/>
            <w:webHidden/>
          </w:rPr>
          <w:t>100</w:t>
        </w:r>
        <w:r w:rsidR="00B8671A">
          <w:rPr>
            <w:noProof/>
            <w:webHidden/>
          </w:rPr>
          <w:fldChar w:fldCharType="end"/>
        </w:r>
      </w:hyperlink>
    </w:p>
    <w:p w:rsidR="00B8671A" w:rsidRDefault="00B65F1A" w:rsidP="00F156E7">
      <w:pPr>
        <w:pStyle w:val="TOC2"/>
        <w:tabs>
          <w:tab w:val="left" w:pos="880"/>
          <w:tab w:val="right" w:pos="8211"/>
        </w:tabs>
        <w:rPr>
          <w:rFonts w:asciiTheme="minorHAnsi" w:eastAsiaTheme="minorEastAsia" w:hAnsiTheme="minorHAnsi" w:cstheme="minorBidi"/>
          <w:noProof/>
          <w:sz w:val="22"/>
          <w:szCs w:val="22"/>
          <w:lang w:val="en-US"/>
        </w:rPr>
      </w:pPr>
      <w:hyperlink w:anchor="_Toc462582211" w:history="1">
        <w:r w:rsidR="00B8671A" w:rsidRPr="00482767">
          <w:rPr>
            <w:rStyle w:val="Hyperlink"/>
            <w:noProof/>
          </w:rPr>
          <w:t>9.4</w:t>
        </w:r>
        <w:r w:rsidR="00B8671A">
          <w:rPr>
            <w:rFonts w:asciiTheme="minorHAnsi" w:eastAsiaTheme="minorEastAsia" w:hAnsiTheme="minorHAnsi" w:cstheme="minorBidi"/>
            <w:noProof/>
            <w:sz w:val="22"/>
            <w:szCs w:val="22"/>
            <w:lang w:val="en-US"/>
          </w:rPr>
          <w:tab/>
        </w:r>
        <w:r w:rsidR="00B8671A" w:rsidRPr="00482767">
          <w:rPr>
            <w:rStyle w:val="Hyperlink"/>
            <w:noProof/>
          </w:rPr>
          <w:t>Competitiveness Indicators</w:t>
        </w:r>
        <w:r w:rsidR="00B8671A">
          <w:rPr>
            <w:noProof/>
            <w:webHidden/>
          </w:rPr>
          <w:tab/>
        </w:r>
        <w:r w:rsidR="00B8671A">
          <w:rPr>
            <w:noProof/>
            <w:webHidden/>
          </w:rPr>
          <w:fldChar w:fldCharType="begin"/>
        </w:r>
        <w:r w:rsidR="00B8671A">
          <w:rPr>
            <w:noProof/>
            <w:webHidden/>
          </w:rPr>
          <w:instrText xml:space="preserve"> PAGEREF _Toc462582211 \h </w:instrText>
        </w:r>
        <w:r w:rsidR="00B8671A">
          <w:rPr>
            <w:noProof/>
            <w:webHidden/>
          </w:rPr>
        </w:r>
        <w:r w:rsidR="00B8671A">
          <w:rPr>
            <w:noProof/>
            <w:webHidden/>
          </w:rPr>
          <w:fldChar w:fldCharType="separate"/>
        </w:r>
        <w:r w:rsidR="000B6805">
          <w:rPr>
            <w:noProof/>
            <w:webHidden/>
          </w:rPr>
          <w:t>100</w:t>
        </w:r>
        <w:r w:rsidR="00B8671A">
          <w:rPr>
            <w:noProof/>
            <w:webHidden/>
          </w:rPr>
          <w:fldChar w:fldCharType="end"/>
        </w:r>
      </w:hyperlink>
    </w:p>
    <w:p w:rsidR="00B8671A" w:rsidRDefault="00B65F1A" w:rsidP="00F156E7">
      <w:pPr>
        <w:pStyle w:val="TOC2"/>
        <w:tabs>
          <w:tab w:val="left" w:pos="880"/>
          <w:tab w:val="right" w:pos="8211"/>
        </w:tabs>
        <w:rPr>
          <w:rFonts w:asciiTheme="minorHAnsi" w:eastAsiaTheme="minorEastAsia" w:hAnsiTheme="minorHAnsi" w:cstheme="minorBidi"/>
          <w:noProof/>
          <w:sz w:val="22"/>
          <w:szCs w:val="22"/>
          <w:lang w:val="en-US"/>
        </w:rPr>
      </w:pPr>
      <w:hyperlink w:anchor="_Toc462582212" w:history="1">
        <w:r w:rsidR="00B8671A" w:rsidRPr="00482767">
          <w:rPr>
            <w:rStyle w:val="Hyperlink"/>
            <w:noProof/>
          </w:rPr>
          <w:t>9.5</w:t>
        </w:r>
        <w:r w:rsidR="00B8671A">
          <w:rPr>
            <w:rFonts w:asciiTheme="minorHAnsi" w:eastAsiaTheme="minorEastAsia" w:hAnsiTheme="minorHAnsi" w:cstheme="minorBidi"/>
            <w:noProof/>
            <w:sz w:val="22"/>
            <w:szCs w:val="22"/>
            <w:lang w:val="en-US"/>
          </w:rPr>
          <w:tab/>
        </w:r>
        <w:r w:rsidR="00B8671A" w:rsidRPr="00482767">
          <w:rPr>
            <w:rStyle w:val="Hyperlink"/>
            <w:noProof/>
          </w:rPr>
          <w:t>Indicators of Efficient Price</w:t>
        </w:r>
        <w:r w:rsidR="00B8671A">
          <w:rPr>
            <w:noProof/>
            <w:webHidden/>
          </w:rPr>
          <w:tab/>
        </w:r>
        <w:r w:rsidR="00B8671A">
          <w:rPr>
            <w:noProof/>
            <w:webHidden/>
          </w:rPr>
          <w:fldChar w:fldCharType="begin"/>
        </w:r>
        <w:r w:rsidR="00B8671A">
          <w:rPr>
            <w:noProof/>
            <w:webHidden/>
          </w:rPr>
          <w:instrText xml:space="preserve"> PAGEREF _Toc462582212 \h </w:instrText>
        </w:r>
        <w:r w:rsidR="00B8671A">
          <w:rPr>
            <w:noProof/>
            <w:webHidden/>
          </w:rPr>
        </w:r>
        <w:r w:rsidR="00B8671A">
          <w:rPr>
            <w:noProof/>
            <w:webHidden/>
          </w:rPr>
          <w:fldChar w:fldCharType="separate"/>
        </w:r>
        <w:r w:rsidR="000B6805">
          <w:rPr>
            <w:noProof/>
            <w:webHidden/>
          </w:rPr>
          <w:t>100</w:t>
        </w:r>
        <w:r w:rsidR="00B8671A">
          <w:rPr>
            <w:noProof/>
            <w:webHidden/>
          </w:rPr>
          <w:fldChar w:fldCharType="end"/>
        </w:r>
      </w:hyperlink>
    </w:p>
    <w:p w:rsidR="00B8671A" w:rsidRDefault="00B65F1A" w:rsidP="00F156E7">
      <w:pPr>
        <w:pStyle w:val="TOC2"/>
        <w:tabs>
          <w:tab w:val="left" w:pos="880"/>
          <w:tab w:val="right" w:pos="8211"/>
        </w:tabs>
        <w:rPr>
          <w:rFonts w:asciiTheme="minorHAnsi" w:eastAsiaTheme="minorEastAsia" w:hAnsiTheme="minorHAnsi" w:cstheme="minorBidi"/>
          <w:noProof/>
          <w:sz w:val="22"/>
          <w:szCs w:val="22"/>
          <w:lang w:val="en-US"/>
        </w:rPr>
      </w:pPr>
      <w:hyperlink w:anchor="_Toc462582213" w:history="1">
        <w:r w:rsidR="00B8671A" w:rsidRPr="00482767">
          <w:rPr>
            <w:rStyle w:val="Hyperlink"/>
            <w:noProof/>
          </w:rPr>
          <w:t>9.6</w:t>
        </w:r>
        <w:r w:rsidR="00B8671A">
          <w:rPr>
            <w:rFonts w:asciiTheme="minorHAnsi" w:eastAsiaTheme="minorEastAsia" w:hAnsiTheme="minorHAnsi" w:cstheme="minorBidi"/>
            <w:noProof/>
            <w:sz w:val="22"/>
            <w:szCs w:val="22"/>
            <w:lang w:val="en-US"/>
          </w:rPr>
          <w:tab/>
        </w:r>
        <w:r w:rsidR="00B8671A" w:rsidRPr="00482767">
          <w:rPr>
            <w:rStyle w:val="Hyperlink"/>
            <w:noProof/>
          </w:rPr>
          <w:t>Affordability Indicators</w:t>
        </w:r>
        <w:r w:rsidR="00B8671A">
          <w:rPr>
            <w:noProof/>
            <w:webHidden/>
          </w:rPr>
          <w:tab/>
        </w:r>
        <w:r w:rsidR="00B8671A">
          <w:rPr>
            <w:noProof/>
            <w:webHidden/>
          </w:rPr>
          <w:fldChar w:fldCharType="begin"/>
        </w:r>
        <w:r w:rsidR="00B8671A">
          <w:rPr>
            <w:noProof/>
            <w:webHidden/>
          </w:rPr>
          <w:instrText xml:space="preserve"> PAGEREF _Toc462582213 \h </w:instrText>
        </w:r>
        <w:r w:rsidR="00B8671A">
          <w:rPr>
            <w:noProof/>
            <w:webHidden/>
          </w:rPr>
        </w:r>
        <w:r w:rsidR="00B8671A">
          <w:rPr>
            <w:noProof/>
            <w:webHidden/>
          </w:rPr>
          <w:fldChar w:fldCharType="separate"/>
        </w:r>
        <w:r w:rsidR="000B6805">
          <w:rPr>
            <w:noProof/>
            <w:webHidden/>
          </w:rPr>
          <w:t>101</w:t>
        </w:r>
        <w:r w:rsidR="00B8671A">
          <w:rPr>
            <w:noProof/>
            <w:webHidden/>
          </w:rPr>
          <w:fldChar w:fldCharType="end"/>
        </w:r>
      </w:hyperlink>
    </w:p>
    <w:p w:rsidR="00B8671A" w:rsidRDefault="00B65F1A" w:rsidP="00F156E7">
      <w:pPr>
        <w:pStyle w:val="TOC2"/>
        <w:tabs>
          <w:tab w:val="left" w:pos="880"/>
          <w:tab w:val="right" w:pos="8211"/>
        </w:tabs>
        <w:rPr>
          <w:rFonts w:asciiTheme="minorHAnsi" w:eastAsiaTheme="minorEastAsia" w:hAnsiTheme="minorHAnsi" w:cstheme="minorBidi"/>
          <w:noProof/>
          <w:sz w:val="22"/>
          <w:szCs w:val="22"/>
          <w:lang w:val="en-US"/>
        </w:rPr>
      </w:pPr>
      <w:hyperlink w:anchor="_Toc462582214" w:history="1">
        <w:r w:rsidR="00B8671A" w:rsidRPr="00482767">
          <w:rPr>
            <w:rStyle w:val="Hyperlink"/>
            <w:noProof/>
          </w:rPr>
          <w:t>9.7</w:t>
        </w:r>
        <w:r w:rsidR="00B8671A">
          <w:rPr>
            <w:rFonts w:asciiTheme="minorHAnsi" w:eastAsiaTheme="minorEastAsia" w:hAnsiTheme="minorHAnsi" w:cstheme="minorBidi"/>
            <w:noProof/>
            <w:sz w:val="22"/>
            <w:szCs w:val="22"/>
            <w:lang w:val="en-US"/>
          </w:rPr>
          <w:tab/>
        </w:r>
        <w:r w:rsidR="00B8671A" w:rsidRPr="00482767">
          <w:rPr>
            <w:rStyle w:val="Hyperlink"/>
            <w:noProof/>
          </w:rPr>
          <w:t>Recommendations</w:t>
        </w:r>
        <w:r w:rsidR="00B8671A">
          <w:rPr>
            <w:noProof/>
            <w:webHidden/>
          </w:rPr>
          <w:tab/>
        </w:r>
        <w:r w:rsidR="00B8671A">
          <w:rPr>
            <w:noProof/>
            <w:webHidden/>
          </w:rPr>
          <w:fldChar w:fldCharType="begin"/>
        </w:r>
        <w:r w:rsidR="00B8671A">
          <w:rPr>
            <w:noProof/>
            <w:webHidden/>
          </w:rPr>
          <w:instrText xml:space="preserve"> PAGEREF _Toc462582214 \h </w:instrText>
        </w:r>
        <w:r w:rsidR="00B8671A">
          <w:rPr>
            <w:noProof/>
            <w:webHidden/>
          </w:rPr>
        </w:r>
        <w:r w:rsidR="00B8671A">
          <w:rPr>
            <w:noProof/>
            <w:webHidden/>
          </w:rPr>
          <w:fldChar w:fldCharType="separate"/>
        </w:r>
        <w:r w:rsidR="000B6805">
          <w:rPr>
            <w:noProof/>
            <w:webHidden/>
          </w:rPr>
          <w:t>102</w:t>
        </w:r>
        <w:r w:rsidR="00B8671A">
          <w:rPr>
            <w:noProof/>
            <w:webHidden/>
          </w:rPr>
          <w:fldChar w:fldCharType="end"/>
        </w:r>
      </w:hyperlink>
    </w:p>
    <w:p w:rsidR="00B8671A" w:rsidRDefault="00B65F1A" w:rsidP="00F156E7">
      <w:pPr>
        <w:pStyle w:val="TOC1"/>
        <w:rPr>
          <w:rFonts w:asciiTheme="minorHAnsi" w:eastAsiaTheme="minorEastAsia" w:hAnsiTheme="minorHAnsi" w:cstheme="minorBidi"/>
          <w:noProof/>
          <w:sz w:val="22"/>
          <w:szCs w:val="22"/>
          <w:lang w:val="en-US"/>
        </w:rPr>
      </w:pPr>
      <w:hyperlink w:anchor="_Toc462582215" w:history="1">
        <w:r w:rsidR="00B8671A" w:rsidRPr="00482767">
          <w:rPr>
            <w:rStyle w:val="Hyperlink"/>
            <w:noProof/>
          </w:rPr>
          <w:t>Annex: General Market Indicators</w:t>
        </w:r>
        <w:r w:rsidR="00B8671A">
          <w:rPr>
            <w:noProof/>
            <w:webHidden/>
          </w:rPr>
          <w:tab/>
        </w:r>
        <w:r w:rsidR="00B8671A">
          <w:rPr>
            <w:noProof/>
            <w:webHidden/>
          </w:rPr>
          <w:fldChar w:fldCharType="begin"/>
        </w:r>
        <w:r w:rsidR="00B8671A">
          <w:rPr>
            <w:noProof/>
            <w:webHidden/>
          </w:rPr>
          <w:instrText xml:space="preserve"> PAGEREF _Toc462582215 \h </w:instrText>
        </w:r>
        <w:r w:rsidR="00B8671A">
          <w:rPr>
            <w:noProof/>
            <w:webHidden/>
          </w:rPr>
        </w:r>
        <w:r w:rsidR="00B8671A">
          <w:rPr>
            <w:noProof/>
            <w:webHidden/>
          </w:rPr>
          <w:fldChar w:fldCharType="separate"/>
        </w:r>
        <w:r w:rsidR="000B6805">
          <w:rPr>
            <w:noProof/>
            <w:webHidden/>
          </w:rPr>
          <w:t>108</w:t>
        </w:r>
        <w:r w:rsidR="00B8671A">
          <w:rPr>
            <w:noProof/>
            <w:webHidden/>
          </w:rPr>
          <w:fldChar w:fldCharType="end"/>
        </w:r>
      </w:hyperlink>
    </w:p>
    <w:p w:rsidR="00B8671A" w:rsidRDefault="00B65F1A" w:rsidP="00F156E7">
      <w:pPr>
        <w:pStyle w:val="TOC1"/>
        <w:rPr>
          <w:rFonts w:asciiTheme="minorHAnsi" w:eastAsiaTheme="minorEastAsia" w:hAnsiTheme="minorHAnsi" w:cstheme="minorBidi"/>
          <w:noProof/>
          <w:sz w:val="22"/>
          <w:szCs w:val="22"/>
          <w:lang w:val="en-US"/>
        </w:rPr>
      </w:pPr>
      <w:hyperlink w:anchor="_Toc462582231" w:history="1">
        <w:r w:rsidR="00B8671A" w:rsidRPr="00482767">
          <w:rPr>
            <w:rStyle w:val="Hyperlink"/>
            <w:noProof/>
          </w:rPr>
          <w:t>Annex: Supply-Demand Indicators</w:t>
        </w:r>
        <w:r w:rsidR="00B8671A">
          <w:rPr>
            <w:noProof/>
            <w:webHidden/>
          </w:rPr>
          <w:tab/>
        </w:r>
        <w:r w:rsidR="00B8671A">
          <w:rPr>
            <w:noProof/>
            <w:webHidden/>
          </w:rPr>
          <w:fldChar w:fldCharType="begin"/>
        </w:r>
        <w:r w:rsidR="00B8671A">
          <w:rPr>
            <w:noProof/>
            <w:webHidden/>
          </w:rPr>
          <w:instrText xml:space="preserve"> PAGEREF _Toc462582231 \h </w:instrText>
        </w:r>
        <w:r w:rsidR="00B8671A">
          <w:rPr>
            <w:noProof/>
            <w:webHidden/>
          </w:rPr>
        </w:r>
        <w:r w:rsidR="00B8671A">
          <w:rPr>
            <w:noProof/>
            <w:webHidden/>
          </w:rPr>
          <w:fldChar w:fldCharType="separate"/>
        </w:r>
        <w:r w:rsidR="000B6805">
          <w:rPr>
            <w:noProof/>
            <w:webHidden/>
          </w:rPr>
          <w:t>114</w:t>
        </w:r>
        <w:r w:rsidR="00B8671A">
          <w:rPr>
            <w:noProof/>
            <w:webHidden/>
          </w:rPr>
          <w:fldChar w:fldCharType="end"/>
        </w:r>
      </w:hyperlink>
    </w:p>
    <w:p w:rsidR="00B8671A" w:rsidRDefault="00B65F1A" w:rsidP="00F156E7">
      <w:pPr>
        <w:pStyle w:val="TOC1"/>
        <w:rPr>
          <w:rFonts w:asciiTheme="minorHAnsi" w:eastAsiaTheme="minorEastAsia" w:hAnsiTheme="minorHAnsi" w:cstheme="minorBidi"/>
          <w:noProof/>
          <w:sz w:val="22"/>
          <w:szCs w:val="22"/>
          <w:lang w:val="en-US"/>
        </w:rPr>
      </w:pPr>
      <w:hyperlink w:anchor="_Toc462582242" w:history="1">
        <w:r w:rsidR="00B8671A" w:rsidRPr="00482767">
          <w:rPr>
            <w:rStyle w:val="Hyperlink"/>
            <w:noProof/>
          </w:rPr>
          <w:t>Annex: Indicators of Efficient Prices</w:t>
        </w:r>
        <w:r w:rsidR="00B8671A">
          <w:rPr>
            <w:noProof/>
            <w:webHidden/>
          </w:rPr>
          <w:tab/>
        </w:r>
        <w:r w:rsidR="00B8671A">
          <w:rPr>
            <w:noProof/>
            <w:webHidden/>
          </w:rPr>
          <w:fldChar w:fldCharType="begin"/>
        </w:r>
        <w:r w:rsidR="00B8671A">
          <w:rPr>
            <w:noProof/>
            <w:webHidden/>
          </w:rPr>
          <w:instrText xml:space="preserve"> PAGEREF _Toc462582242 \h </w:instrText>
        </w:r>
        <w:r w:rsidR="00B8671A">
          <w:rPr>
            <w:noProof/>
            <w:webHidden/>
          </w:rPr>
        </w:r>
        <w:r w:rsidR="00B8671A">
          <w:rPr>
            <w:noProof/>
            <w:webHidden/>
          </w:rPr>
          <w:fldChar w:fldCharType="separate"/>
        </w:r>
        <w:r w:rsidR="000B6805">
          <w:rPr>
            <w:noProof/>
            <w:webHidden/>
          </w:rPr>
          <w:t>119</w:t>
        </w:r>
        <w:r w:rsidR="00B8671A">
          <w:rPr>
            <w:noProof/>
            <w:webHidden/>
          </w:rPr>
          <w:fldChar w:fldCharType="end"/>
        </w:r>
      </w:hyperlink>
    </w:p>
    <w:p w:rsidR="00B8671A" w:rsidRDefault="00B65F1A" w:rsidP="00F156E7">
      <w:pPr>
        <w:pStyle w:val="TOC1"/>
        <w:rPr>
          <w:rStyle w:val="Hyperlink"/>
          <w:noProof/>
        </w:rPr>
      </w:pPr>
      <w:hyperlink w:anchor="_Toc462582266" w:history="1">
        <w:r w:rsidR="00B8671A" w:rsidRPr="00482767">
          <w:rPr>
            <w:rStyle w:val="Hyperlink"/>
            <w:noProof/>
          </w:rPr>
          <w:t>Annex: Affordability Indicators</w:t>
        </w:r>
        <w:r w:rsidR="00B8671A">
          <w:rPr>
            <w:noProof/>
            <w:webHidden/>
          </w:rPr>
          <w:tab/>
        </w:r>
        <w:r w:rsidR="00B8671A">
          <w:rPr>
            <w:noProof/>
            <w:webHidden/>
          </w:rPr>
          <w:fldChar w:fldCharType="begin"/>
        </w:r>
        <w:r w:rsidR="00B8671A">
          <w:rPr>
            <w:noProof/>
            <w:webHidden/>
          </w:rPr>
          <w:instrText xml:space="preserve"> PAGEREF _Toc462582266 \h </w:instrText>
        </w:r>
        <w:r w:rsidR="00B8671A">
          <w:rPr>
            <w:noProof/>
            <w:webHidden/>
          </w:rPr>
        </w:r>
        <w:r w:rsidR="00B8671A">
          <w:rPr>
            <w:noProof/>
            <w:webHidden/>
          </w:rPr>
          <w:fldChar w:fldCharType="separate"/>
        </w:r>
        <w:r w:rsidR="000B6805">
          <w:rPr>
            <w:noProof/>
            <w:webHidden/>
          </w:rPr>
          <w:t>143</w:t>
        </w:r>
        <w:r w:rsidR="00B8671A">
          <w:rPr>
            <w:noProof/>
            <w:webHidden/>
          </w:rPr>
          <w:fldChar w:fldCharType="end"/>
        </w:r>
      </w:hyperlink>
    </w:p>
    <w:p w:rsidR="00F156E7" w:rsidRPr="00F156E7" w:rsidRDefault="00B8671A" w:rsidP="00712A3C">
      <w:r>
        <w:fldChar w:fldCharType="end"/>
      </w:r>
    </w:p>
    <w:p w:rsidR="00F156E7" w:rsidRPr="00F156E7" w:rsidRDefault="00F156E7" w:rsidP="00F156E7">
      <w:pPr>
        <w:sectPr w:rsidR="00F156E7" w:rsidRPr="00F156E7" w:rsidSect="00B61CB1">
          <w:footerReference w:type="default" r:id="rId17"/>
          <w:footerReference w:type="first" r:id="rId18"/>
          <w:pgSz w:w="11907" w:h="16840" w:code="9"/>
          <w:pgMar w:top="1701" w:right="1701" w:bottom="1701" w:left="1985" w:header="720" w:footer="851" w:gutter="0"/>
          <w:cols w:space="720"/>
          <w:docGrid w:linePitch="360"/>
        </w:sectPr>
      </w:pPr>
    </w:p>
    <w:p w:rsidR="00DA1788" w:rsidRPr="004C33D1" w:rsidRDefault="00C87732" w:rsidP="00956D3F">
      <w:pPr>
        <w:pStyle w:val="Heading1"/>
        <w:numPr>
          <w:ilvl w:val="0"/>
          <w:numId w:val="0"/>
        </w:numPr>
      </w:pPr>
      <w:bookmarkStart w:id="19" w:name="_Ref237060645"/>
      <w:bookmarkStart w:id="20" w:name="_Toc462413603"/>
      <w:bookmarkStart w:id="21" w:name="_Toc462582155"/>
      <w:r w:rsidRPr="004C33D1">
        <w:lastRenderedPageBreak/>
        <w:t>Executive S</w:t>
      </w:r>
      <w:r w:rsidR="00DA1788" w:rsidRPr="004C33D1">
        <w:t>ummary</w:t>
      </w:r>
      <w:bookmarkEnd w:id="19"/>
      <w:bookmarkEnd w:id="20"/>
      <w:bookmarkEnd w:id="21"/>
    </w:p>
    <w:p w:rsidR="0072433C" w:rsidRPr="004C33D1" w:rsidRDefault="0072433C" w:rsidP="00220C7C">
      <w:pPr>
        <w:pStyle w:val="Heading2"/>
        <w:numPr>
          <w:ilvl w:val="0"/>
          <w:numId w:val="0"/>
        </w:numPr>
      </w:pPr>
      <w:bookmarkStart w:id="22" w:name="_Toc462413604"/>
      <w:bookmarkStart w:id="23" w:name="_Toc462582156"/>
      <w:r w:rsidRPr="004C33D1">
        <w:t>Introduction</w:t>
      </w:r>
      <w:bookmarkEnd w:id="22"/>
      <w:bookmarkEnd w:id="23"/>
    </w:p>
    <w:p w:rsidR="00AF517F" w:rsidRPr="004C33D1" w:rsidRDefault="00AF517F" w:rsidP="00AF517F">
      <w:r w:rsidRPr="004C33D1">
        <w:t>This stu</w:t>
      </w:r>
      <w:r w:rsidR="00842BA3">
        <w:t xml:space="preserve">dy examines possible indicators </w:t>
      </w:r>
      <w:r w:rsidRPr="004C33D1">
        <w:t>(</w:t>
      </w:r>
      <w:r>
        <w:t xml:space="preserve">or </w:t>
      </w:r>
      <w:r w:rsidRPr="004C33D1">
        <w:t xml:space="preserve">price signals) that could be used to signal a need to make more development capacity available </w:t>
      </w:r>
      <w:r>
        <w:t xml:space="preserve">in resource management plans, </w:t>
      </w:r>
      <w:r w:rsidRPr="004C33D1">
        <w:t xml:space="preserve">to meet requirements of the </w:t>
      </w:r>
      <w:r w:rsidR="0059793C">
        <w:t>draft</w:t>
      </w:r>
      <w:r w:rsidRPr="004C33D1">
        <w:t xml:space="preserve"> National Policy Statement for Urban Development Capacity (NPS-UDC).</w:t>
      </w:r>
      <w:r w:rsidRPr="004C33D1">
        <w:rPr>
          <w:rStyle w:val="FootnoteReference"/>
        </w:rPr>
        <w:footnoteReference w:id="1"/>
      </w:r>
      <w:r w:rsidRPr="004C33D1">
        <w:t xml:space="preserve"> It identifies market indicators to help councils better understand local </w:t>
      </w:r>
      <w:r>
        <w:t xml:space="preserve">land and development </w:t>
      </w:r>
      <w:r w:rsidRPr="004C33D1">
        <w:t xml:space="preserve">markets and to identify whether urban planning policies or infrastructure </w:t>
      </w:r>
      <w:r>
        <w:t>limits</w:t>
      </w:r>
      <w:r w:rsidRPr="004C33D1">
        <w:t xml:space="preserve"> are excessively constraining development </w:t>
      </w:r>
      <w:r>
        <w:t>opportunities</w:t>
      </w:r>
      <w:r w:rsidRPr="004C33D1">
        <w:t xml:space="preserve">. </w:t>
      </w:r>
      <w:r>
        <w:t>The study</w:t>
      </w:r>
      <w:r w:rsidRPr="004C33D1">
        <w:t xml:space="preserve"> also examines council capabilities and other practical requirements of the use of indicators.</w:t>
      </w:r>
      <w:r>
        <w:t xml:space="preserve"> </w:t>
      </w:r>
    </w:p>
    <w:p w:rsidR="005F6926" w:rsidRPr="004C33D1" w:rsidRDefault="005F6926" w:rsidP="005F6926"/>
    <w:p w:rsidR="00AF517F" w:rsidRPr="004C33D1" w:rsidRDefault="00AF517F" w:rsidP="00AF517F">
      <w:r w:rsidRPr="004C33D1">
        <w:t xml:space="preserve">The </w:t>
      </w:r>
      <w:r w:rsidR="0059793C">
        <w:t>draft</w:t>
      </w:r>
      <w:r w:rsidRPr="004C33D1">
        <w:t xml:space="preserve"> NPS-UDC </w:t>
      </w:r>
      <w:proofErr w:type="gramStart"/>
      <w:r>
        <w:t>was developed</w:t>
      </w:r>
      <w:proofErr w:type="gramEnd"/>
      <w:r>
        <w:t xml:space="preserve"> out of</w:t>
      </w:r>
      <w:r w:rsidRPr="004C33D1">
        <w:t xml:space="preserve"> increasing concerns over land prices in New Zealand’s major urban areas and the associated concern of housing “unaffordability.” It identifies that part of the problem is </w:t>
      </w:r>
      <w:r>
        <w:t xml:space="preserve">planning </w:t>
      </w:r>
      <w:r w:rsidRPr="004C33D1">
        <w:t xml:space="preserve">policies that </w:t>
      </w:r>
      <w:r>
        <w:t>overly</w:t>
      </w:r>
      <w:r w:rsidRPr="004C33D1">
        <w:t xml:space="preserve"> constrain development. It offers part of the solution to the problem by directing local authorities to deliver urban planning policies that provide residential and business development capacity that is sufficient to meet demand. </w:t>
      </w:r>
      <w:r w:rsidRPr="004C33D1">
        <w:rPr>
          <w:b/>
        </w:rPr>
        <w:t>Development capacity</w:t>
      </w:r>
      <w:r w:rsidRPr="004C33D1">
        <w:t xml:space="preserve"> </w:t>
      </w:r>
      <w:proofErr w:type="gramStart"/>
      <w:r w:rsidRPr="004C33D1">
        <w:t>is defined</w:t>
      </w:r>
      <w:proofErr w:type="gramEnd"/>
      <w:r w:rsidRPr="004C33D1">
        <w:t xml:space="preserve"> </w:t>
      </w:r>
      <w:r w:rsidR="00A55610">
        <w:t xml:space="preserve">as </w:t>
      </w:r>
      <w:r w:rsidR="00067595">
        <w:t>zoning and infrastructure that enables development of some amount</w:t>
      </w:r>
      <w:r w:rsidRPr="004C33D1">
        <w:t xml:space="preserve">. </w:t>
      </w:r>
      <w:r>
        <w:t xml:space="preserve">This </w:t>
      </w:r>
      <w:r w:rsidRPr="004C33D1">
        <w:t xml:space="preserve">includes </w:t>
      </w:r>
      <w:r>
        <w:t xml:space="preserve">capacity for development on </w:t>
      </w:r>
      <w:r w:rsidRPr="004C33D1">
        <w:t xml:space="preserve">new </w:t>
      </w:r>
      <w:proofErr w:type="gramStart"/>
      <w:r w:rsidRPr="004C33D1">
        <w:t>greenfield</w:t>
      </w:r>
      <w:proofErr w:type="gramEnd"/>
      <w:r w:rsidRPr="004C33D1">
        <w:t xml:space="preserve"> (bare) land and opportunities for additional development in existing urban areas</w:t>
      </w:r>
      <w:r>
        <w:t>.</w:t>
      </w:r>
    </w:p>
    <w:p w:rsidR="005F6926" w:rsidRPr="004C33D1" w:rsidRDefault="005F6926" w:rsidP="005F6926"/>
    <w:p w:rsidR="00AF517F" w:rsidRPr="004C33D1" w:rsidRDefault="00AF517F" w:rsidP="00AF517F">
      <w:r>
        <w:t>The NPS-UDC requires local authorities to provide</w:t>
      </w:r>
      <w:r w:rsidRPr="004C33D1">
        <w:t xml:space="preserve"> sufficient development capacity </w:t>
      </w:r>
      <w:r>
        <w:t xml:space="preserve">to </w:t>
      </w:r>
      <w:r w:rsidRPr="004C33D1">
        <w:t>improve the competitiveness of land and development markets in and around urban areas. Competitive markets are a key mechanism for achieving greater community wellbeing by ensuring that the resources available to the community are allocated to purposes that produce the highest value</w:t>
      </w:r>
      <w:r w:rsidRPr="00C87AB3">
        <w:t xml:space="preserve"> </w:t>
      </w:r>
      <w:r w:rsidRPr="004C33D1">
        <w:t xml:space="preserve">to the community, taking into account </w:t>
      </w:r>
      <w:r>
        <w:t>a</w:t>
      </w:r>
      <w:r w:rsidRPr="004C33D1">
        <w:t>ll costs and benefits.</w:t>
      </w:r>
    </w:p>
    <w:p w:rsidR="00AF517F" w:rsidRPr="004C33D1" w:rsidRDefault="00AF517F" w:rsidP="00AF517F"/>
    <w:p w:rsidR="001A1870" w:rsidRPr="004C33D1" w:rsidRDefault="00AF517F" w:rsidP="005F6926">
      <w:r w:rsidRPr="004C33D1">
        <w:t xml:space="preserve">Under the </w:t>
      </w:r>
      <w:r w:rsidR="0059793C">
        <w:t>draft</w:t>
      </w:r>
      <w:r w:rsidRPr="004C33D1">
        <w:t xml:space="preserve"> NPS-UDC, additional development capacity </w:t>
      </w:r>
      <w:proofErr w:type="gramStart"/>
      <w:r w:rsidRPr="004C33D1">
        <w:t>must be made</w:t>
      </w:r>
      <w:proofErr w:type="gramEnd"/>
      <w:r w:rsidRPr="004C33D1">
        <w:t xml:space="preserve"> available when</w:t>
      </w:r>
      <w:r>
        <w:t xml:space="preserve"> and where</w:t>
      </w:r>
      <w:r w:rsidRPr="004C33D1">
        <w:t xml:space="preserve"> analysis suggests it is required. </w:t>
      </w:r>
      <w:proofErr w:type="gramStart"/>
      <w:r w:rsidRPr="004C33D1">
        <w:t xml:space="preserve">The analysis would include assessments of the </w:t>
      </w:r>
      <w:r>
        <w:t xml:space="preserve">demand and supply, and the </w:t>
      </w:r>
      <w:r w:rsidRPr="004C33D1">
        <w:t>supply-demand balance for housing and business land in the short, medium and long-terms, taking account of factors that include expected population growth and changes in the size and structure of the economy, as well as regular monitoring of price signals to identify existing or emerging shortfalls of development capacity.</w:t>
      </w:r>
      <w:proofErr w:type="gramEnd"/>
    </w:p>
    <w:p w:rsidR="0072433C" w:rsidRPr="004C33D1" w:rsidRDefault="0072433C" w:rsidP="0072433C"/>
    <w:p w:rsidR="0026306F" w:rsidRDefault="0072433C" w:rsidP="0026306F">
      <w:r w:rsidRPr="004C33D1">
        <w:t xml:space="preserve">The </w:t>
      </w:r>
      <w:r w:rsidR="0059793C">
        <w:t>draft</w:t>
      </w:r>
      <w:r w:rsidRPr="004C33D1">
        <w:t xml:space="preserve"> NPS-UDC has a series of requirements for </w:t>
      </w:r>
      <w:proofErr w:type="gramStart"/>
      <w:r w:rsidRPr="004C33D1">
        <w:t>councils which</w:t>
      </w:r>
      <w:proofErr w:type="gramEnd"/>
      <w:r w:rsidRPr="004C33D1">
        <w:t xml:space="preserve"> include </w:t>
      </w:r>
      <w:r w:rsidR="00AF517F">
        <w:t xml:space="preserve">analysis </w:t>
      </w:r>
      <w:r w:rsidRPr="004C33D1">
        <w:t>of data and indicators, and the release of additional development capacity when there is a</w:t>
      </w:r>
      <w:r w:rsidR="00AF517F">
        <w:t>n</w:t>
      </w:r>
      <w:r w:rsidRPr="004C33D1">
        <w:t xml:space="preserve"> </w:t>
      </w:r>
      <w:r w:rsidR="00220C7C" w:rsidRPr="004C33D1">
        <w:t>estimated</w:t>
      </w:r>
      <w:r w:rsidRPr="004C33D1">
        <w:t xml:space="preserve"> supply gap relative to demand. The underlying logic behind the requirements </w:t>
      </w:r>
      <w:proofErr w:type="gramStart"/>
      <w:r w:rsidRPr="004C33D1">
        <w:t>might be described</w:t>
      </w:r>
      <w:proofErr w:type="gramEnd"/>
      <w:r w:rsidRPr="004C33D1">
        <w:t xml:space="preserve"> as in Figure ES1 below.</w:t>
      </w:r>
    </w:p>
    <w:p w:rsidR="005F6926" w:rsidRDefault="005F6926" w:rsidP="0026306F"/>
    <w:p w:rsidR="00AF517F" w:rsidRPr="004C33D1" w:rsidRDefault="00AF517F" w:rsidP="00AF517F">
      <w:r w:rsidRPr="004C33D1">
        <w:lastRenderedPageBreak/>
        <w:t xml:space="preserve">It sees affordable prices as being the outcome of </w:t>
      </w:r>
      <w:r>
        <w:t>well-functioning,</w:t>
      </w:r>
      <w:r w:rsidRPr="004C33D1">
        <w:t xml:space="preserve"> competitive </w:t>
      </w:r>
      <w:r>
        <w:t xml:space="preserve">land and development </w:t>
      </w:r>
      <w:r w:rsidRPr="004C33D1">
        <w:t>market</w:t>
      </w:r>
      <w:r>
        <w:t>s</w:t>
      </w:r>
      <w:r w:rsidRPr="004C33D1">
        <w:t xml:space="preserve">. Where </w:t>
      </w:r>
      <w:r>
        <w:t>plans provide</w:t>
      </w:r>
      <w:r w:rsidRPr="004C33D1">
        <w:t xml:space="preserve"> adequate development capacity, markets for land and development are more likely to be competitive, and where markets are competitive, prices would be lower and more affordable; as a result, there would be desirable social outcomes, eg the absence of over-crowding.</w:t>
      </w:r>
    </w:p>
    <w:p w:rsidR="0026306F" w:rsidRPr="004C33D1" w:rsidRDefault="0026306F" w:rsidP="0026306F"/>
    <w:p w:rsidR="0026306F" w:rsidRPr="0059793C" w:rsidRDefault="0026306F" w:rsidP="0059793C">
      <w:pPr>
        <w:spacing w:after="120"/>
        <w:rPr>
          <w:sz w:val="18"/>
          <w:szCs w:val="18"/>
        </w:rPr>
      </w:pPr>
      <w:r w:rsidRPr="004C33D1">
        <w:rPr>
          <w:sz w:val="18"/>
          <w:szCs w:val="18"/>
        </w:rPr>
        <w:t xml:space="preserve">Figure ES1 </w:t>
      </w:r>
      <w:proofErr w:type="gramStart"/>
      <w:r w:rsidRPr="004C33D1">
        <w:rPr>
          <w:sz w:val="18"/>
          <w:szCs w:val="18"/>
        </w:rPr>
        <w:t>The</w:t>
      </w:r>
      <w:proofErr w:type="gramEnd"/>
      <w:r w:rsidRPr="004C33D1">
        <w:rPr>
          <w:sz w:val="18"/>
          <w:szCs w:val="18"/>
        </w:rPr>
        <w:t xml:space="preserve"> links between adequate supply, competitive markets and affordability</w:t>
      </w:r>
    </w:p>
    <w:p w:rsidR="0026306F" w:rsidRPr="004C33D1" w:rsidRDefault="0059793C" w:rsidP="0026306F">
      <w:pPr>
        <w:jc w:val="center"/>
      </w:pPr>
      <w:r w:rsidRPr="0059793C">
        <w:rPr>
          <w:noProof/>
          <w:lang w:eastAsia="en-NZ"/>
        </w:rPr>
        <w:drawing>
          <wp:inline distT="0" distB="0" distL="0" distR="0" wp14:anchorId="71BD9A60" wp14:editId="11D83E9A">
            <wp:extent cx="4540102" cy="17106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39854" cy="1710515"/>
                    </a:xfrm>
                    <a:prstGeom prst="rect">
                      <a:avLst/>
                    </a:prstGeom>
                    <a:noFill/>
                    <a:ln>
                      <a:noFill/>
                    </a:ln>
                  </pic:spPr>
                </pic:pic>
              </a:graphicData>
            </a:graphic>
          </wp:inline>
        </w:drawing>
      </w:r>
    </w:p>
    <w:p w:rsidR="0026306F" w:rsidRPr="004C33D1" w:rsidRDefault="0026306F" w:rsidP="0026306F"/>
    <w:p w:rsidR="005F6926" w:rsidRDefault="005F6926" w:rsidP="005F6926">
      <w:r w:rsidRPr="004C33D1">
        <w:t xml:space="preserve">The housing affordability problem is not </w:t>
      </w:r>
      <w:r>
        <w:t>simply</w:t>
      </w:r>
      <w:r w:rsidRPr="004C33D1">
        <w:t xml:space="preserve"> the under-supply of “affordable housing” as a specific category, but rather the presence of </w:t>
      </w:r>
      <w:r>
        <w:t>several</w:t>
      </w:r>
      <w:r w:rsidRPr="004C33D1">
        <w:t xml:space="preserve"> factors that result in uncompetitive markets under which prices are elevated across the whole market. In this context, the solutions </w:t>
      </w:r>
      <w:proofErr w:type="gramStart"/>
      <w:r w:rsidRPr="004C33D1">
        <w:t>are seen</w:t>
      </w:r>
      <w:proofErr w:type="gramEnd"/>
      <w:r w:rsidRPr="004C33D1">
        <w:t xml:space="preserve"> as increasing the competitiveness of the market for the supply of development capacity.</w:t>
      </w:r>
    </w:p>
    <w:p w:rsidR="0072433C" w:rsidRPr="004C33D1" w:rsidRDefault="0072433C" w:rsidP="00220C7C">
      <w:pPr>
        <w:pStyle w:val="Heading2"/>
        <w:numPr>
          <w:ilvl w:val="0"/>
          <w:numId w:val="0"/>
        </w:numPr>
      </w:pPr>
      <w:bookmarkStart w:id="24" w:name="_Toc462413605"/>
      <w:bookmarkStart w:id="25" w:name="_Toc462582157"/>
      <w:r w:rsidRPr="004C33D1">
        <w:t>Possible Indicators</w:t>
      </w:r>
      <w:bookmarkEnd w:id="24"/>
      <w:bookmarkEnd w:id="25"/>
    </w:p>
    <w:p w:rsidR="0072433C" w:rsidRPr="004C33D1" w:rsidRDefault="0072433C" w:rsidP="0072433C">
      <w:r w:rsidRPr="004C33D1">
        <w:t xml:space="preserve">Indicators </w:t>
      </w:r>
      <w:proofErr w:type="gramStart"/>
      <w:r w:rsidRPr="004C33D1">
        <w:t>could be developed</w:t>
      </w:r>
      <w:proofErr w:type="gramEnd"/>
      <w:r w:rsidRPr="004C33D1">
        <w:t xml:space="preserve"> to address different steps on the chain of causality, including indicators of:</w:t>
      </w:r>
    </w:p>
    <w:p w:rsidR="0072433C" w:rsidRPr="004C33D1" w:rsidRDefault="0059793C" w:rsidP="00411653">
      <w:pPr>
        <w:pStyle w:val="ListParagraph"/>
        <w:numPr>
          <w:ilvl w:val="0"/>
          <w:numId w:val="39"/>
        </w:numPr>
      </w:pPr>
      <w:r>
        <w:t>d</w:t>
      </w:r>
      <w:r w:rsidR="009C02B2">
        <w:t xml:space="preserve">emand and supply, and any </w:t>
      </w:r>
      <w:r w:rsidR="0072433C" w:rsidRPr="004C33D1">
        <w:t>supply-demand imbalance;</w:t>
      </w:r>
    </w:p>
    <w:p w:rsidR="0072433C" w:rsidRPr="004C33D1" w:rsidRDefault="00A56718" w:rsidP="00411653">
      <w:pPr>
        <w:pStyle w:val="ListParagraph"/>
        <w:numPr>
          <w:ilvl w:val="0"/>
          <w:numId w:val="39"/>
        </w:numPr>
      </w:pPr>
      <w:r w:rsidRPr="004C33D1">
        <w:t>degree</w:t>
      </w:r>
      <w:r w:rsidR="0072433C" w:rsidRPr="004C33D1">
        <w:t xml:space="preserve"> of market competitiveness;</w:t>
      </w:r>
    </w:p>
    <w:p w:rsidR="0072433C" w:rsidRPr="004C33D1" w:rsidRDefault="0072433C" w:rsidP="00411653">
      <w:pPr>
        <w:pStyle w:val="ListParagraph"/>
        <w:numPr>
          <w:ilvl w:val="0"/>
          <w:numId w:val="39"/>
        </w:numPr>
      </w:pPr>
      <w:r w:rsidRPr="004C33D1">
        <w:t>market prices and their relationship to wellbeing-maximising prices; and/or</w:t>
      </w:r>
    </w:p>
    <w:p w:rsidR="0072433C" w:rsidRPr="004C33D1" w:rsidRDefault="0072433C" w:rsidP="00411653">
      <w:pPr>
        <w:pStyle w:val="ListParagraph"/>
        <w:numPr>
          <w:ilvl w:val="0"/>
          <w:numId w:val="39"/>
        </w:numPr>
      </w:pPr>
      <w:proofErr w:type="gramStart"/>
      <w:r w:rsidRPr="004C33D1">
        <w:t>the</w:t>
      </w:r>
      <w:proofErr w:type="gramEnd"/>
      <w:r w:rsidRPr="004C33D1">
        <w:t xml:space="preserve"> wellbeing impacts of unaffordability, eg levels of overcrowding.  </w:t>
      </w:r>
    </w:p>
    <w:p w:rsidR="0072433C" w:rsidRPr="004C33D1" w:rsidRDefault="0072433C" w:rsidP="0072433C"/>
    <w:p w:rsidR="0072433C" w:rsidRDefault="005F6926" w:rsidP="005F6926">
      <w:r>
        <w:t>We have examined a long list of indicators against criteria of usefulness, understandability, data availability and feasibility.</w:t>
      </w:r>
    </w:p>
    <w:p w:rsidR="005F6926" w:rsidRPr="004C33D1" w:rsidRDefault="005F6926" w:rsidP="005F6926">
      <w:pPr>
        <w:pStyle w:val="Heading2"/>
        <w:numPr>
          <w:ilvl w:val="0"/>
          <w:numId w:val="0"/>
        </w:numPr>
      </w:pPr>
      <w:bookmarkStart w:id="26" w:name="_Toc462413606"/>
      <w:bookmarkStart w:id="27" w:name="_Toc462582158"/>
      <w:r w:rsidRPr="004C33D1">
        <w:t>Recommendations</w:t>
      </w:r>
      <w:bookmarkEnd w:id="26"/>
      <w:bookmarkEnd w:id="27"/>
    </w:p>
    <w:p w:rsidR="005F6926" w:rsidRPr="004C33D1" w:rsidRDefault="005F6926" w:rsidP="005F6926">
      <w:pPr>
        <w:pStyle w:val="Heading3"/>
        <w:numPr>
          <w:ilvl w:val="0"/>
          <w:numId w:val="0"/>
        </w:numPr>
      </w:pPr>
      <w:r>
        <w:t>I</w:t>
      </w:r>
      <w:r w:rsidRPr="004C33D1">
        <w:t>ndicators</w:t>
      </w:r>
    </w:p>
    <w:p w:rsidR="005F6926" w:rsidRDefault="00AE73D6" w:rsidP="005F6926">
      <w:r>
        <w:t>Ideally,</w:t>
      </w:r>
      <w:r w:rsidR="005F6926">
        <w:t xml:space="preserve"> </w:t>
      </w:r>
      <w:r w:rsidR="005F6926" w:rsidRPr="004C33D1">
        <w:t xml:space="preserve">a </w:t>
      </w:r>
      <w:r w:rsidR="005F6926" w:rsidRPr="004C33D1">
        <w:rPr>
          <w:i/>
        </w:rPr>
        <w:t>package</w:t>
      </w:r>
      <w:r w:rsidR="005F6926" w:rsidRPr="004C33D1">
        <w:t xml:space="preserve"> of indicators </w:t>
      </w:r>
      <w:proofErr w:type="gramStart"/>
      <w:r w:rsidR="005F6926">
        <w:t>would be developed</w:t>
      </w:r>
      <w:proofErr w:type="gramEnd"/>
      <w:r w:rsidR="005F6926">
        <w:t xml:space="preserve"> </w:t>
      </w:r>
      <w:r w:rsidR="005F6926" w:rsidRPr="004C33D1">
        <w:t>covering</w:t>
      </w:r>
      <w:r w:rsidR="00F269CB">
        <w:t xml:space="preserve"> the following.</w:t>
      </w:r>
      <w:r w:rsidR="005F6926" w:rsidRPr="004C33D1">
        <w:t xml:space="preserve"> </w:t>
      </w:r>
    </w:p>
    <w:p w:rsidR="005F6926" w:rsidRDefault="005F6926" w:rsidP="005F6926"/>
    <w:p w:rsidR="00275852" w:rsidRDefault="00F269CB" w:rsidP="00275852">
      <w:pPr>
        <w:pStyle w:val="ListParagraph"/>
        <w:numPr>
          <w:ilvl w:val="0"/>
          <w:numId w:val="100"/>
        </w:numPr>
      </w:pPr>
      <w:r>
        <w:t>G</w:t>
      </w:r>
      <w:r w:rsidR="00842BA3">
        <w:t xml:space="preserve">eneral market </w:t>
      </w:r>
      <w:r w:rsidR="00275852">
        <w:t>information on future demand and supply and any emerging problems, such as:</w:t>
      </w:r>
    </w:p>
    <w:p w:rsidR="00275852" w:rsidRDefault="00275852" w:rsidP="00275852">
      <w:pPr>
        <w:pStyle w:val="ListParagraph"/>
        <w:numPr>
          <w:ilvl w:val="1"/>
          <w:numId w:val="100"/>
        </w:numPr>
      </w:pPr>
      <w:r>
        <w:t>trends in home prices</w:t>
      </w:r>
      <w:r w:rsidR="00F269CB">
        <w:t>;</w:t>
      </w:r>
      <w:r>
        <w:t xml:space="preserve"> </w:t>
      </w:r>
    </w:p>
    <w:p w:rsidR="00275852" w:rsidRDefault="00275852" w:rsidP="00275852">
      <w:pPr>
        <w:pStyle w:val="ListParagraph"/>
        <w:numPr>
          <w:ilvl w:val="1"/>
          <w:numId w:val="100"/>
        </w:numPr>
      </w:pPr>
      <w:r>
        <w:t>trends in rents</w:t>
      </w:r>
      <w:r w:rsidR="00F269CB">
        <w:t>; and</w:t>
      </w:r>
    </w:p>
    <w:p w:rsidR="00275852" w:rsidRDefault="00275852" w:rsidP="00275852">
      <w:pPr>
        <w:pStyle w:val="ListParagraph"/>
        <w:numPr>
          <w:ilvl w:val="1"/>
          <w:numId w:val="100"/>
        </w:numPr>
      </w:pPr>
      <w:proofErr w:type="gramStart"/>
      <w:r>
        <w:t>the</w:t>
      </w:r>
      <w:proofErr w:type="gramEnd"/>
      <w:r>
        <w:t xml:space="preserve"> ratio of new build to population growth</w:t>
      </w:r>
      <w:r w:rsidR="00F269CB">
        <w:t>.</w:t>
      </w:r>
      <w:r w:rsidR="00F269CB">
        <w:br/>
      </w:r>
    </w:p>
    <w:p w:rsidR="00275852" w:rsidRDefault="00F269CB" w:rsidP="00275852">
      <w:pPr>
        <w:pStyle w:val="ListParagraph"/>
        <w:numPr>
          <w:ilvl w:val="0"/>
          <w:numId w:val="100"/>
        </w:numPr>
      </w:pPr>
      <w:r>
        <w:t>H</w:t>
      </w:r>
      <w:r w:rsidR="00275852">
        <w:t>ousing affordability indicators, including:</w:t>
      </w:r>
    </w:p>
    <w:p w:rsidR="00275852" w:rsidRDefault="00275852" w:rsidP="00275852">
      <w:pPr>
        <w:pStyle w:val="ListParagraph"/>
        <w:numPr>
          <w:ilvl w:val="1"/>
          <w:numId w:val="100"/>
        </w:numPr>
      </w:pPr>
      <w:r>
        <w:lastRenderedPageBreak/>
        <w:t>the ratio of home price to income (new buyers)</w:t>
      </w:r>
      <w:r w:rsidR="00F269CB">
        <w:t>;</w:t>
      </w:r>
    </w:p>
    <w:p w:rsidR="00275852" w:rsidRDefault="00275852" w:rsidP="00275852">
      <w:pPr>
        <w:pStyle w:val="ListParagraph"/>
        <w:numPr>
          <w:ilvl w:val="1"/>
          <w:numId w:val="100"/>
        </w:numPr>
      </w:pPr>
      <w:r>
        <w:t>the ratio of mortgage costs to income (home owners)</w:t>
      </w:r>
      <w:r w:rsidR="00F269CB">
        <w:t>; and</w:t>
      </w:r>
    </w:p>
    <w:p w:rsidR="00275852" w:rsidRDefault="00275852" w:rsidP="00F269CB">
      <w:pPr>
        <w:pStyle w:val="ListParagraph"/>
        <w:numPr>
          <w:ilvl w:val="1"/>
          <w:numId w:val="100"/>
        </w:numPr>
      </w:pPr>
      <w:proofErr w:type="gramStart"/>
      <w:r>
        <w:t>the</w:t>
      </w:r>
      <w:proofErr w:type="gramEnd"/>
      <w:r>
        <w:t xml:space="preserve"> ratio of rental costs to income (renters)</w:t>
      </w:r>
      <w:r w:rsidR="00F269CB">
        <w:t>.</w:t>
      </w:r>
      <w:r>
        <w:br/>
      </w:r>
    </w:p>
    <w:p w:rsidR="00533D3E" w:rsidRDefault="00533D3E" w:rsidP="006277DC">
      <w:pPr>
        <w:pStyle w:val="ListParagraph"/>
        <w:numPr>
          <w:ilvl w:val="0"/>
          <w:numId w:val="100"/>
        </w:numPr>
      </w:pPr>
      <w:r>
        <w:t>Efficient price indicators, including:</w:t>
      </w:r>
    </w:p>
    <w:p w:rsidR="00533D3E" w:rsidRDefault="00533D3E" w:rsidP="00F269CB">
      <w:pPr>
        <w:pStyle w:val="ListParagraph"/>
        <w:numPr>
          <w:ilvl w:val="1"/>
          <w:numId w:val="100"/>
        </w:numPr>
      </w:pPr>
      <w:r>
        <w:t>discontinuity in land values in adjacent zones</w:t>
      </w:r>
      <w:r w:rsidR="00F269CB">
        <w:t>; and</w:t>
      </w:r>
    </w:p>
    <w:p w:rsidR="005F6926" w:rsidRPr="004C33D1" w:rsidRDefault="00533D3E" w:rsidP="00F269CB">
      <w:pPr>
        <w:pStyle w:val="ListParagraph"/>
        <w:numPr>
          <w:ilvl w:val="1"/>
          <w:numId w:val="100"/>
        </w:numPr>
      </w:pPr>
      <w:proofErr w:type="gramStart"/>
      <w:r>
        <w:t>the</w:t>
      </w:r>
      <w:proofErr w:type="gramEnd"/>
      <w:r>
        <w:t xml:space="preserve"> ratio of building costs to market price</w:t>
      </w:r>
      <w:r w:rsidR="00F269CB">
        <w:t>.</w:t>
      </w:r>
      <w:r w:rsidR="005F6926" w:rsidRPr="004C33D1">
        <w:br/>
      </w:r>
    </w:p>
    <w:p w:rsidR="005F6926" w:rsidRDefault="005F6926" w:rsidP="005F6926">
      <w:r w:rsidRPr="004C33D1">
        <w:t>Different indicators may be more appropriate in some places than others, eg apartment sale price to marginal construction cost ratio is only feasible to estimate in Auckla</w:t>
      </w:r>
      <w:r>
        <w:t xml:space="preserve">nd and Wellington (at present). </w:t>
      </w:r>
      <w:r w:rsidR="0059793C">
        <w:t>T</w:t>
      </w:r>
      <w:r>
        <w:t xml:space="preserve">he </w:t>
      </w:r>
      <w:r w:rsidRPr="004C33D1">
        <w:t xml:space="preserve">Herfindahl–Hirschman Index </w:t>
      </w:r>
      <w:r>
        <w:t>(HHI)</w:t>
      </w:r>
      <w:r w:rsidR="00533D3E">
        <w:t>, an index of competitiveness as measured by market shares,</w:t>
      </w:r>
      <w:r w:rsidR="0059793C">
        <w:t xml:space="preserve"> will sometimes be most useful as a communication device and sometimes as an analysis tool.</w:t>
      </w:r>
    </w:p>
    <w:p w:rsidR="005F6926" w:rsidRDefault="005F6926" w:rsidP="005F6926"/>
    <w:p w:rsidR="005F6926" w:rsidRDefault="005F6926" w:rsidP="005F6926">
      <w:r>
        <w:t xml:space="preserve">The preferred set of indicators </w:t>
      </w:r>
      <w:proofErr w:type="gramStart"/>
      <w:r>
        <w:t>is shown</w:t>
      </w:r>
      <w:proofErr w:type="gramEnd"/>
      <w:r>
        <w:t xml:space="preserve"> in Table ES1.</w:t>
      </w:r>
    </w:p>
    <w:p w:rsidR="005F6926" w:rsidRDefault="005F6926" w:rsidP="005F6926"/>
    <w:p w:rsidR="003C6AF9" w:rsidRPr="003C6AF9" w:rsidRDefault="005F6926" w:rsidP="003C6AF9">
      <w:pPr>
        <w:rPr>
          <w:sz w:val="18"/>
          <w:szCs w:val="18"/>
        </w:rPr>
      </w:pPr>
      <w:r>
        <w:rPr>
          <w:sz w:val="18"/>
          <w:szCs w:val="18"/>
        </w:rPr>
        <w:t xml:space="preserve">Table ES1 </w:t>
      </w:r>
      <w:r w:rsidRPr="005F6926">
        <w:rPr>
          <w:sz w:val="18"/>
          <w:szCs w:val="18"/>
        </w:rPr>
        <w:t>Suggested indicators</w:t>
      </w:r>
    </w:p>
    <w:tbl>
      <w:tblPr>
        <w:tblStyle w:val="CovecTables"/>
        <w:tblW w:w="5000" w:type="pct"/>
        <w:tblInd w:w="0" w:type="dxa"/>
        <w:tblBorders>
          <w:bottom w:val="single" w:sz="12" w:space="0" w:color="A6A6A6" w:themeColor="background1" w:themeShade="A6"/>
          <w:insideH w:val="single" w:sz="8" w:space="0" w:color="A6A6A6" w:themeColor="background1" w:themeShade="A6"/>
        </w:tblBorders>
        <w:tblCellMar>
          <w:left w:w="57" w:type="dxa"/>
          <w:right w:w="57" w:type="dxa"/>
        </w:tblCellMar>
        <w:tblLook w:val="04E0" w:firstRow="1" w:lastRow="1" w:firstColumn="1" w:lastColumn="0" w:noHBand="0" w:noVBand="1"/>
      </w:tblPr>
      <w:tblGrid>
        <w:gridCol w:w="1461"/>
        <w:gridCol w:w="1845"/>
        <w:gridCol w:w="5029"/>
      </w:tblGrid>
      <w:tr w:rsidR="003C6AF9" w:rsidTr="002758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76" w:type="pct"/>
          </w:tcPr>
          <w:p w:rsidR="003C6AF9" w:rsidRDefault="003C6AF9" w:rsidP="00275852">
            <w:pPr>
              <w:pStyle w:val="TableText"/>
            </w:pPr>
            <w:r>
              <w:t>Component</w:t>
            </w:r>
          </w:p>
        </w:tc>
        <w:tc>
          <w:tcPr>
            <w:tcW w:w="1107" w:type="pct"/>
          </w:tcPr>
          <w:p w:rsidR="003C6AF9" w:rsidRDefault="003C6AF9" w:rsidP="00275852">
            <w:pPr>
              <w:pStyle w:val="TableText"/>
              <w:jc w:val="left"/>
              <w:cnfStyle w:val="100000000000" w:firstRow="1" w:lastRow="0" w:firstColumn="0" w:lastColumn="0" w:oddVBand="0" w:evenVBand="0" w:oddHBand="0" w:evenHBand="0" w:firstRowFirstColumn="0" w:firstRowLastColumn="0" w:lastRowFirstColumn="0" w:lastRowLastColumn="0"/>
            </w:pPr>
            <w:r>
              <w:t>Preferred   indicators</w:t>
            </w:r>
          </w:p>
        </w:tc>
        <w:tc>
          <w:tcPr>
            <w:tcW w:w="3017" w:type="pct"/>
          </w:tcPr>
          <w:p w:rsidR="003C6AF9" w:rsidRDefault="003C6AF9" w:rsidP="00275852">
            <w:pPr>
              <w:pStyle w:val="TableText"/>
              <w:jc w:val="left"/>
              <w:cnfStyle w:val="100000000000" w:firstRow="1" w:lastRow="0" w:firstColumn="0" w:lastColumn="0" w:oddVBand="0" w:evenVBand="0" w:oddHBand="0" w:evenHBand="0" w:firstRowFirstColumn="0" w:firstRowLastColumn="0" w:lastRowFirstColumn="0" w:lastRowLastColumn="0"/>
            </w:pPr>
            <w:r>
              <w:t>Description</w:t>
            </w:r>
          </w:p>
        </w:tc>
      </w:tr>
      <w:tr w:rsidR="003C6AF9" w:rsidTr="00275852">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A6A6A6" w:themeColor="background1" w:themeShade="A6"/>
              <w:bottom w:val="nil"/>
            </w:tcBorders>
          </w:tcPr>
          <w:p w:rsidR="003C6AF9" w:rsidRDefault="003C6AF9" w:rsidP="00275852">
            <w:pPr>
              <w:pStyle w:val="TableText"/>
            </w:pPr>
            <w:r>
              <w:t>General market information</w:t>
            </w:r>
          </w:p>
        </w:tc>
        <w:tc>
          <w:tcPr>
            <w:tcW w:w="1107" w:type="pct"/>
            <w:vAlign w:val="top"/>
          </w:tcPr>
          <w:p w:rsidR="003C6AF9" w:rsidRDefault="003C6AF9" w:rsidP="00275852">
            <w:pPr>
              <w:pStyle w:val="TableText"/>
              <w:numPr>
                <w:ilvl w:val="0"/>
                <w:numId w:val="112"/>
              </w:numPr>
              <w:ind w:left="0" w:firstLine="0"/>
              <w:jc w:val="left"/>
              <w:cnfStyle w:val="000000000000" w:firstRow="0" w:lastRow="0" w:firstColumn="0" w:lastColumn="0" w:oddVBand="0" w:evenVBand="0" w:oddHBand="0" w:evenHBand="0" w:firstRowFirstColumn="0" w:firstRowLastColumn="0" w:lastRowFirstColumn="0" w:lastRowLastColumn="0"/>
            </w:pPr>
            <w:r>
              <w:t>Ho</w:t>
            </w:r>
            <w:r w:rsidR="00533D3E">
              <w:t>m</w:t>
            </w:r>
            <w:r>
              <w:t>e price trends</w:t>
            </w:r>
            <w:r w:rsidRPr="004C33D1">
              <w:t xml:space="preserve"> </w:t>
            </w:r>
          </w:p>
        </w:tc>
        <w:tc>
          <w:tcPr>
            <w:tcW w:w="3017" w:type="pct"/>
            <w:vAlign w:val="top"/>
          </w:tcPr>
          <w:p w:rsidR="003C6AF9" w:rsidRDefault="003C6AF9" w:rsidP="00275852">
            <w:pPr>
              <w:pStyle w:val="TableText"/>
              <w:jc w:val="left"/>
              <w:cnfStyle w:val="000000000000" w:firstRow="0" w:lastRow="0" w:firstColumn="0" w:lastColumn="0" w:oddVBand="0" w:evenVBand="0" w:oddHBand="0" w:evenHBand="0" w:firstRowFirstColumn="0" w:firstRowLastColumn="0" w:lastRowFirstColumn="0" w:lastRowLastColumn="0"/>
            </w:pPr>
            <w:r>
              <w:t>Trends in ho</w:t>
            </w:r>
            <w:r w:rsidR="00533D3E">
              <w:t>m</w:t>
            </w:r>
            <w:r>
              <w:t>e prices over time (inflation adjusted)</w:t>
            </w:r>
          </w:p>
        </w:tc>
      </w:tr>
      <w:tr w:rsidR="003C6AF9" w:rsidTr="00275852">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876" w:type="pct"/>
            <w:tcBorders>
              <w:top w:val="nil"/>
              <w:bottom w:val="nil"/>
            </w:tcBorders>
          </w:tcPr>
          <w:p w:rsidR="003C6AF9" w:rsidRDefault="003C6AF9" w:rsidP="00275852">
            <w:pPr>
              <w:pStyle w:val="TableText"/>
            </w:pPr>
          </w:p>
        </w:tc>
        <w:tc>
          <w:tcPr>
            <w:tcW w:w="1107" w:type="pct"/>
            <w:vAlign w:val="top"/>
          </w:tcPr>
          <w:p w:rsidR="003C6AF9" w:rsidRDefault="003C6AF9" w:rsidP="00275852">
            <w:pPr>
              <w:pStyle w:val="TableText"/>
              <w:numPr>
                <w:ilvl w:val="0"/>
                <w:numId w:val="112"/>
              </w:numPr>
              <w:ind w:left="0" w:firstLine="0"/>
              <w:jc w:val="left"/>
              <w:cnfStyle w:val="000000000000" w:firstRow="0" w:lastRow="0" w:firstColumn="0" w:lastColumn="0" w:oddVBand="0" w:evenVBand="0" w:oddHBand="0" w:evenHBand="0" w:firstRowFirstColumn="0" w:firstRowLastColumn="0" w:lastRowFirstColumn="0" w:lastRowLastColumn="0"/>
            </w:pPr>
            <w:r>
              <w:t>Trends in land values</w:t>
            </w:r>
          </w:p>
        </w:tc>
        <w:tc>
          <w:tcPr>
            <w:tcW w:w="3017" w:type="pct"/>
            <w:vAlign w:val="top"/>
          </w:tcPr>
          <w:p w:rsidR="003C6AF9" w:rsidRDefault="003C6AF9" w:rsidP="00275852">
            <w:pPr>
              <w:pStyle w:val="TableText"/>
              <w:jc w:val="left"/>
              <w:cnfStyle w:val="000000000000" w:firstRow="0" w:lastRow="0" w:firstColumn="0" w:lastColumn="0" w:oddVBand="0" w:evenVBand="0" w:oddHBand="0" w:evenHBand="0" w:firstRowFirstColumn="0" w:firstRowLastColumn="0" w:lastRowFirstColumn="0" w:lastRowLastColumn="0"/>
            </w:pPr>
            <w:r>
              <w:t xml:space="preserve">Changes in land values by suburb </w:t>
            </w:r>
          </w:p>
        </w:tc>
      </w:tr>
      <w:tr w:rsidR="003C6AF9" w:rsidTr="00275852">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876" w:type="pct"/>
            <w:tcBorders>
              <w:top w:val="nil"/>
              <w:bottom w:val="single" w:sz="8" w:space="0" w:color="A6A6A6" w:themeColor="background1" w:themeShade="A6"/>
            </w:tcBorders>
          </w:tcPr>
          <w:p w:rsidR="003C6AF9" w:rsidRDefault="003C6AF9" w:rsidP="00275852">
            <w:pPr>
              <w:pStyle w:val="TableText"/>
            </w:pPr>
          </w:p>
        </w:tc>
        <w:tc>
          <w:tcPr>
            <w:tcW w:w="1107" w:type="pct"/>
          </w:tcPr>
          <w:p w:rsidR="003C6AF9" w:rsidRDefault="003C6AF9" w:rsidP="00275852">
            <w:pPr>
              <w:pStyle w:val="TableText"/>
              <w:numPr>
                <w:ilvl w:val="0"/>
                <w:numId w:val="112"/>
              </w:numPr>
              <w:ind w:left="0" w:firstLine="0"/>
              <w:jc w:val="left"/>
              <w:cnfStyle w:val="000000000000" w:firstRow="0" w:lastRow="0" w:firstColumn="0" w:lastColumn="0" w:oddVBand="0" w:evenVBand="0" w:oddHBand="0" w:evenHBand="0" w:firstRowFirstColumn="0" w:firstRowLastColumn="0" w:lastRowFirstColumn="0" w:lastRowLastColumn="0"/>
            </w:pPr>
            <w:r>
              <w:t>Trends in rents</w:t>
            </w:r>
          </w:p>
        </w:tc>
        <w:tc>
          <w:tcPr>
            <w:tcW w:w="3017" w:type="pct"/>
            <w:vAlign w:val="top"/>
          </w:tcPr>
          <w:p w:rsidR="003C6AF9" w:rsidRDefault="003C6AF9" w:rsidP="00275852">
            <w:pPr>
              <w:pStyle w:val="TableText"/>
              <w:jc w:val="left"/>
              <w:cnfStyle w:val="000000000000" w:firstRow="0" w:lastRow="0" w:firstColumn="0" w:lastColumn="0" w:oddVBand="0" w:evenVBand="0" w:oddHBand="0" w:evenHBand="0" w:firstRowFirstColumn="0" w:firstRowLastColumn="0" w:lastRowFirstColumn="0" w:lastRowLastColumn="0"/>
            </w:pPr>
            <w:r>
              <w:t>Inflation-adjusted average rents by size category (1-bedroom, 3-bedroom)</w:t>
            </w:r>
          </w:p>
        </w:tc>
      </w:tr>
      <w:tr w:rsidR="003C6AF9" w:rsidTr="00275852">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876" w:type="pct"/>
            <w:tcBorders>
              <w:top w:val="nil"/>
              <w:bottom w:val="single" w:sz="6" w:space="0" w:color="A6A6A6" w:themeColor="background1" w:themeShade="A6"/>
            </w:tcBorders>
            <w:vAlign w:val="top"/>
          </w:tcPr>
          <w:p w:rsidR="003C6AF9" w:rsidRDefault="003C6AF9" w:rsidP="00275852">
            <w:pPr>
              <w:pStyle w:val="TableText"/>
            </w:pPr>
            <w:r>
              <w:t>Supply-demand balance</w:t>
            </w:r>
          </w:p>
        </w:tc>
        <w:tc>
          <w:tcPr>
            <w:tcW w:w="1107" w:type="pct"/>
            <w:tcBorders>
              <w:top w:val="single" w:sz="6" w:space="0" w:color="A6A6A6" w:themeColor="background1" w:themeShade="A6"/>
              <w:bottom w:val="single" w:sz="6" w:space="0" w:color="A6A6A6" w:themeColor="background1" w:themeShade="A6"/>
            </w:tcBorders>
            <w:vAlign w:val="top"/>
          </w:tcPr>
          <w:p w:rsidR="003C6AF9" w:rsidRDefault="003C6AF9" w:rsidP="00275852">
            <w:pPr>
              <w:pStyle w:val="TableText"/>
              <w:numPr>
                <w:ilvl w:val="0"/>
                <w:numId w:val="112"/>
              </w:numPr>
              <w:ind w:left="0" w:firstLine="0"/>
              <w:jc w:val="left"/>
              <w:cnfStyle w:val="000000000000" w:firstRow="0" w:lastRow="0" w:firstColumn="0" w:lastColumn="0" w:oddVBand="0" w:evenVBand="0" w:oddHBand="0" w:evenHBand="0" w:firstRowFirstColumn="0" w:firstRowLastColumn="0" w:lastRowFirstColumn="0" w:lastRowLastColumn="0"/>
            </w:pPr>
            <w:r>
              <w:t>New build to population growth ratio</w:t>
            </w:r>
          </w:p>
        </w:tc>
        <w:tc>
          <w:tcPr>
            <w:tcW w:w="3017" w:type="pct"/>
            <w:tcBorders>
              <w:top w:val="single" w:sz="6" w:space="0" w:color="A6A6A6" w:themeColor="background1" w:themeShade="A6"/>
              <w:bottom w:val="single" w:sz="6" w:space="0" w:color="A6A6A6" w:themeColor="background1" w:themeShade="A6"/>
            </w:tcBorders>
            <w:vAlign w:val="top"/>
          </w:tcPr>
          <w:p w:rsidR="003C6AF9" w:rsidRPr="006A5317" w:rsidRDefault="003C6AF9" w:rsidP="00275852">
            <w:pPr>
              <w:pStyle w:val="TableText"/>
              <w:jc w:val="left"/>
              <w:cnfStyle w:val="000000000000" w:firstRow="0" w:lastRow="0" w:firstColumn="0" w:lastColumn="0" w:oddVBand="0" w:evenVBand="0" w:oddHBand="0" w:evenHBand="0" w:firstRowFirstColumn="0" w:firstRowLastColumn="0" w:lastRowFirstColumn="0" w:lastRowLastColumn="0"/>
            </w:pPr>
            <w:r>
              <w:t>Ratio of population growth to: number of new build consents (supplemented by data on average size of new builds and number of buildings in different size categories</w:t>
            </w:r>
          </w:p>
        </w:tc>
      </w:tr>
      <w:tr w:rsidR="003C6AF9" w:rsidTr="00275852">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876" w:type="pct"/>
            <w:tcBorders>
              <w:top w:val="nil"/>
              <w:bottom w:val="single" w:sz="6" w:space="0" w:color="A6A6A6" w:themeColor="background1" w:themeShade="A6"/>
            </w:tcBorders>
            <w:vAlign w:val="top"/>
          </w:tcPr>
          <w:p w:rsidR="003C6AF9" w:rsidRDefault="003C6AF9" w:rsidP="00275852">
            <w:pPr>
              <w:pStyle w:val="TableText"/>
            </w:pPr>
            <w:r>
              <w:t>Competitiveness</w:t>
            </w:r>
          </w:p>
        </w:tc>
        <w:tc>
          <w:tcPr>
            <w:tcW w:w="1107" w:type="pct"/>
            <w:tcBorders>
              <w:top w:val="single" w:sz="6" w:space="0" w:color="A6A6A6" w:themeColor="background1" w:themeShade="A6"/>
              <w:bottom w:val="single" w:sz="6" w:space="0" w:color="A6A6A6" w:themeColor="background1" w:themeShade="A6"/>
            </w:tcBorders>
            <w:vAlign w:val="top"/>
          </w:tcPr>
          <w:p w:rsidR="003C6AF9" w:rsidRDefault="003C6AF9" w:rsidP="00275852">
            <w:pPr>
              <w:pStyle w:val="TableText"/>
              <w:numPr>
                <w:ilvl w:val="0"/>
                <w:numId w:val="112"/>
              </w:numPr>
              <w:ind w:left="0" w:firstLine="0"/>
              <w:jc w:val="left"/>
              <w:cnfStyle w:val="000000000000" w:firstRow="0" w:lastRow="0" w:firstColumn="0" w:lastColumn="0" w:oddVBand="0" w:evenVBand="0" w:oddHBand="0" w:evenHBand="0" w:firstRowFirstColumn="0" w:firstRowLastColumn="0" w:lastRowFirstColumn="0" w:lastRowLastColumn="0"/>
            </w:pPr>
            <w:r>
              <w:t>HHI</w:t>
            </w:r>
          </w:p>
        </w:tc>
        <w:tc>
          <w:tcPr>
            <w:tcW w:w="3017" w:type="pct"/>
            <w:tcBorders>
              <w:top w:val="single" w:sz="6" w:space="0" w:color="A6A6A6" w:themeColor="background1" w:themeShade="A6"/>
              <w:bottom w:val="single" w:sz="6" w:space="0" w:color="A6A6A6" w:themeColor="background1" w:themeShade="A6"/>
            </w:tcBorders>
            <w:vAlign w:val="top"/>
          </w:tcPr>
          <w:p w:rsidR="003C6AF9" w:rsidRDefault="00AE73D6" w:rsidP="00275852">
            <w:pPr>
              <w:pStyle w:val="TableText"/>
              <w:jc w:val="left"/>
              <w:cnfStyle w:val="000000000000" w:firstRow="0" w:lastRow="0" w:firstColumn="0" w:lastColumn="0" w:oddVBand="0" w:evenVBand="0" w:oddHBand="0" w:evenHBand="0" w:firstRowFirstColumn="0" w:firstRowLastColumn="0" w:lastRowFirstColumn="0" w:lastRowLastColumn="0"/>
            </w:pPr>
            <w:proofErr w:type="gramStart"/>
            <w:r>
              <w:t>S</w:t>
            </w:r>
            <w:r w:rsidRPr="00C06350">
              <w:t xml:space="preserve">um of the squares of market shares </w:t>
            </w:r>
            <w:r>
              <w:t xml:space="preserve">(% of development land available) </w:t>
            </w:r>
            <w:r w:rsidRPr="00C06350">
              <w:t xml:space="preserve">of each </w:t>
            </w:r>
            <w:r>
              <w:t>landowner</w:t>
            </w:r>
            <w:r w:rsidRPr="00C06350">
              <w:t xml:space="preserve"> in the market</w:t>
            </w:r>
            <w:r>
              <w:t>.</w:t>
            </w:r>
            <w:proofErr w:type="gramEnd"/>
          </w:p>
        </w:tc>
      </w:tr>
      <w:tr w:rsidR="003C6AF9" w:rsidTr="00275852">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876" w:type="pct"/>
            <w:tcBorders>
              <w:top w:val="single" w:sz="6" w:space="0" w:color="A6A6A6" w:themeColor="background1" w:themeShade="A6"/>
              <w:bottom w:val="nil"/>
            </w:tcBorders>
            <w:vAlign w:val="top"/>
          </w:tcPr>
          <w:p w:rsidR="003C6AF9" w:rsidRDefault="003C6AF9" w:rsidP="00275852">
            <w:pPr>
              <w:pStyle w:val="TableText"/>
            </w:pPr>
            <w:r>
              <w:t>Price efficiency</w:t>
            </w:r>
          </w:p>
        </w:tc>
        <w:tc>
          <w:tcPr>
            <w:tcW w:w="1107" w:type="pct"/>
            <w:tcBorders>
              <w:top w:val="single" w:sz="6" w:space="0" w:color="A6A6A6" w:themeColor="background1" w:themeShade="A6"/>
              <w:bottom w:val="single" w:sz="6" w:space="0" w:color="A6A6A6" w:themeColor="background1" w:themeShade="A6"/>
            </w:tcBorders>
            <w:vAlign w:val="top"/>
          </w:tcPr>
          <w:p w:rsidR="003C6AF9" w:rsidRDefault="003C6AF9" w:rsidP="00275852">
            <w:pPr>
              <w:pStyle w:val="TableText"/>
              <w:numPr>
                <w:ilvl w:val="0"/>
                <w:numId w:val="112"/>
              </w:numPr>
              <w:ind w:left="0" w:firstLine="0"/>
              <w:jc w:val="left"/>
              <w:cnfStyle w:val="000000000000" w:firstRow="0" w:lastRow="0" w:firstColumn="0" w:lastColumn="0" w:oddVBand="0" w:evenVBand="0" w:oddHBand="0" w:evenHBand="0" w:firstRowFirstColumn="0" w:firstRowLastColumn="0" w:lastRowFirstColumn="0" w:lastRowLastColumn="0"/>
            </w:pPr>
            <w:r>
              <w:t>Price discontinuities</w:t>
            </w:r>
          </w:p>
        </w:tc>
        <w:tc>
          <w:tcPr>
            <w:tcW w:w="3017" w:type="pct"/>
            <w:tcBorders>
              <w:top w:val="single" w:sz="6" w:space="0" w:color="A6A6A6" w:themeColor="background1" w:themeShade="A6"/>
              <w:bottom w:val="single" w:sz="6" w:space="0" w:color="A6A6A6" w:themeColor="background1" w:themeShade="A6"/>
            </w:tcBorders>
            <w:vAlign w:val="top"/>
          </w:tcPr>
          <w:p w:rsidR="003C6AF9" w:rsidRDefault="003C6AF9" w:rsidP="00275852">
            <w:pPr>
              <w:pStyle w:val="TableText"/>
              <w:jc w:val="left"/>
              <w:cnfStyle w:val="000000000000" w:firstRow="0" w:lastRow="0" w:firstColumn="0" w:lastColumn="0" w:oddVBand="0" w:evenVBand="0" w:oddHBand="0" w:evenHBand="0" w:firstRowFirstColumn="0" w:firstRowLastColumn="0" w:lastRowFirstColumn="0" w:lastRowLastColumn="0"/>
            </w:pPr>
            <w:r>
              <w:t>Discontinuities in land values: (1) either side of urban limit; (2) adjacent uses zones, eg residential &amp; industrial; (3) adjacent zones with different density potentials</w:t>
            </w:r>
          </w:p>
        </w:tc>
      </w:tr>
      <w:tr w:rsidR="003C6AF9" w:rsidTr="00275852">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876" w:type="pct"/>
            <w:tcBorders>
              <w:top w:val="nil"/>
              <w:bottom w:val="single" w:sz="6" w:space="0" w:color="A6A6A6" w:themeColor="background1" w:themeShade="A6"/>
            </w:tcBorders>
            <w:vAlign w:val="top"/>
          </w:tcPr>
          <w:p w:rsidR="003C6AF9" w:rsidRDefault="003C6AF9" w:rsidP="00275852">
            <w:pPr>
              <w:pStyle w:val="TableText"/>
            </w:pPr>
          </w:p>
        </w:tc>
        <w:tc>
          <w:tcPr>
            <w:tcW w:w="1107" w:type="pct"/>
            <w:tcBorders>
              <w:top w:val="single" w:sz="6" w:space="0" w:color="A6A6A6" w:themeColor="background1" w:themeShade="A6"/>
              <w:bottom w:val="single" w:sz="6" w:space="0" w:color="A6A6A6" w:themeColor="background1" w:themeShade="A6"/>
            </w:tcBorders>
            <w:vAlign w:val="top"/>
          </w:tcPr>
          <w:p w:rsidR="003C6AF9" w:rsidRDefault="00533D3E" w:rsidP="00533D3E">
            <w:pPr>
              <w:pStyle w:val="TableText"/>
              <w:numPr>
                <w:ilvl w:val="0"/>
                <w:numId w:val="112"/>
              </w:numPr>
              <w:ind w:left="0" w:firstLine="0"/>
              <w:jc w:val="left"/>
              <w:cnfStyle w:val="000000000000" w:firstRow="0" w:lastRow="0" w:firstColumn="0" w:lastColumn="0" w:oddVBand="0" w:evenVBand="0" w:oddHBand="0" w:evenHBand="0" w:firstRowFirstColumn="0" w:firstRowLastColumn="0" w:lastRowFirstColumn="0" w:lastRowLastColumn="0"/>
            </w:pPr>
            <w:r>
              <w:t xml:space="preserve">Cost </w:t>
            </w:r>
            <w:r w:rsidR="00AE73D6">
              <w:t>to market</w:t>
            </w:r>
            <w:r w:rsidR="003C6AF9">
              <w:t xml:space="preserve"> price ratio</w:t>
            </w:r>
          </w:p>
        </w:tc>
        <w:tc>
          <w:tcPr>
            <w:tcW w:w="3017" w:type="pct"/>
            <w:tcBorders>
              <w:top w:val="single" w:sz="6" w:space="0" w:color="A6A6A6" w:themeColor="background1" w:themeShade="A6"/>
              <w:bottom w:val="single" w:sz="6" w:space="0" w:color="A6A6A6" w:themeColor="background1" w:themeShade="A6"/>
            </w:tcBorders>
            <w:vAlign w:val="top"/>
          </w:tcPr>
          <w:p w:rsidR="003C6AF9" w:rsidRDefault="003C6AF9" w:rsidP="00275852">
            <w:pPr>
              <w:pStyle w:val="TableText"/>
              <w:jc w:val="left"/>
              <w:cnfStyle w:val="000000000000" w:firstRow="0" w:lastRow="0" w:firstColumn="0" w:lastColumn="0" w:oddVBand="0" w:evenVBand="0" w:oddHBand="0" w:evenHBand="0" w:firstRowFirstColumn="0" w:firstRowLastColumn="0" w:lastRowFirstColumn="0" w:lastRowLastColumn="0"/>
            </w:pPr>
            <w:r>
              <w:t>Ratio of estimated marginal costs of building to market price, eg for one more floor on an apartment building</w:t>
            </w:r>
          </w:p>
        </w:tc>
      </w:tr>
      <w:tr w:rsidR="003C6AF9" w:rsidTr="00275852">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876" w:type="pct"/>
            <w:tcBorders>
              <w:top w:val="single" w:sz="6" w:space="0" w:color="A6A6A6" w:themeColor="background1" w:themeShade="A6"/>
              <w:bottom w:val="nil"/>
            </w:tcBorders>
            <w:vAlign w:val="top"/>
          </w:tcPr>
          <w:p w:rsidR="003C6AF9" w:rsidRDefault="003C6AF9" w:rsidP="00275852">
            <w:pPr>
              <w:pStyle w:val="TableText"/>
            </w:pPr>
            <w:r>
              <w:t>Affordability</w:t>
            </w:r>
          </w:p>
        </w:tc>
        <w:tc>
          <w:tcPr>
            <w:tcW w:w="1107" w:type="pct"/>
            <w:tcBorders>
              <w:top w:val="single" w:sz="6" w:space="0" w:color="A6A6A6" w:themeColor="background1" w:themeShade="A6"/>
              <w:bottom w:val="single" w:sz="6" w:space="0" w:color="A6A6A6" w:themeColor="background1" w:themeShade="A6"/>
            </w:tcBorders>
            <w:vAlign w:val="top"/>
          </w:tcPr>
          <w:p w:rsidR="003C6AF9" w:rsidRDefault="003C6AF9" w:rsidP="00275852">
            <w:pPr>
              <w:pStyle w:val="TableText"/>
              <w:numPr>
                <w:ilvl w:val="0"/>
                <w:numId w:val="112"/>
              </w:numPr>
              <w:ind w:left="0" w:firstLine="0"/>
              <w:jc w:val="left"/>
              <w:cnfStyle w:val="000000000000" w:firstRow="0" w:lastRow="0" w:firstColumn="0" w:lastColumn="0" w:oddVBand="0" w:evenVBand="0" w:oddHBand="0" w:evenHBand="0" w:firstRowFirstColumn="0" w:firstRowLastColumn="0" w:lastRowFirstColumn="0" w:lastRowLastColumn="0"/>
            </w:pPr>
            <w:r>
              <w:t>Ho</w:t>
            </w:r>
            <w:r w:rsidR="00533D3E">
              <w:t>m</w:t>
            </w:r>
            <w:r>
              <w:t>e price to income ratio</w:t>
            </w:r>
          </w:p>
        </w:tc>
        <w:tc>
          <w:tcPr>
            <w:tcW w:w="3017" w:type="pct"/>
            <w:tcBorders>
              <w:top w:val="single" w:sz="6" w:space="0" w:color="A6A6A6" w:themeColor="background1" w:themeShade="A6"/>
              <w:bottom w:val="single" w:sz="6" w:space="0" w:color="A6A6A6" w:themeColor="background1" w:themeShade="A6"/>
            </w:tcBorders>
            <w:vAlign w:val="top"/>
          </w:tcPr>
          <w:p w:rsidR="003C6AF9" w:rsidRDefault="003C6AF9" w:rsidP="00275852">
            <w:pPr>
              <w:pStyle w:val="TableText"/>
              <w:jc w:val="left"/>
              <w:cnfStyle w:val="000000000000" w:firstRow="0" w:lastRow="0" w:firstColumn="0" w:lastColumn="0" w:oddVBand="0" w:evenVBand="0" w:oddHBand="0" w:evenHBand="0" w:firstRowFirstColumn="0" w:firstRowLastColumn="0" w:lastRowFirstColumn="0" w:lastRowLastColumn="0"/>
            </w:pPr>
            <w:r>
              <w:t>Ratio of lower quartile ho</w:t>
            </w:r>
            <w:r w:rsidR="00842BA3">
              <w:t>m</w:t>
            </w:r>
            <w:r>
              <w:t>e price to median household income</w:t>
            </w:r>
          </w:p>
        </w:tc>
      </w:tr>
      <w:tr w:rsidR="003C6AF9" w:rsidTr="00275852">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876" w:type="pct"/>
            <w:tcBorders>
              <w:top w:val="nil"/>
              <w:bottom w:val="nil"/>
            </w:tcBorders>
            <w:vAlign w:val="top"/>
          </w:tcPr>
          <w:p w:rsidR="003C6AF9" w:rsidRDefault="003C6AF9" w:rsidP="00275852">
            <w:pPr>
              <w:pStyle w:val="TableText"/>
            </w:pPr>
          </w:p>
        </w:tc>
        <w:tc>
          <w:tcPr>
            <w:tcW w:w="1107" w:type="pct"/>
            <w:tcBorders>
              <w:top w:val="single" w:sz="6" w:space="0" w:color="A6A6A6" w:themeColor="background1" w:themeShade="A6"/>
              <w:bottom w:val="single" w:sz="6" w:space="0" w:color="A6A6A6" w:themeColor="background1" w:themeShade="A6"/>
            </w:tcBorders>
            <w:vAlign w:val="top"/>
          </w:tcPr>
          <w:p w:rsidR="003C6AF9" w:rsidRDefault="003C6AF9" w:rsidP="00275852">
            <w:pPr>
              <w:pStyle w:val="TableText"/>
              <w:numPr>
                <w:ilvl w:val="0"/>
                <w:numId w:val="112"/>
              </w:numPr>
              <w:ind w:left="0" w:firstLine="0"/>
              <w:jc w:val="left"/>
              <w:cnfStyle w:val="000000000000" w:firstRow="0" w:lastRow="0" w:firstColumn="0" w:lastColumn="0" w:oddVBand="0" w:evenVBand="0" w:oddHBand="0" w:evenHBand="0" w:firstRowFirstColumn="0" w:firstRowLastColumn="0" w:lastRowFirstColumn="0" w:lastRowLastColumn="0"/>
            </w:pPr>
            <w:r>
              <w:t>Housing costs (owners) to income ratio</w:t>
            </w:r>
          </w:p>
        </w:tc>
        <w:tc>
          <w:tcPr>
            <w:tcW w:w="3017" w:type="pct"/>
            <w:tcBorders>
              <w:top w:val="single" w:sz="6" w:space="0" w:color="A6A6A6" w:themeColor="background1" w:themeShade="A6"/>
              <w:bottom w:val="single" w:sz="6" w:space="0" w:color="A6A6A6" w:themeColor="background1" w:themeShade="A6"/>
            </w:tcBorders>
            <w:vAlign w:val="top"/>
          </w:tcPr>
          <w:p w:rsidR="003C6AF9" w:rsidRDefault="003C6AF9" w:rsidP="00275852">
            <w:pPr>
              <w:pStyle w:val="TableText"/>
              <w:jc w:val="left"/>
              <w:cnfStyle w:val="000000000000" w:firstRow="0" w:lastRow="0" w:firstColumn="0" w:lastColumn="0" w:oddVBand="0" w:evenVBand="0" w:oddHBand="0" w:evenHBand="0" w:firstRowFirstColumn="0" w:firstRowLastColumn="0" w:lastRowFirstColumn="0" w:lastRowLastColumn="0"/>
            </w:pPr>
            <w:r>
              <w:t>Ratio of mortgage payments (100% mortgage, 30-year term, average 2-year fixed &amp; floating interest rate) for median ho</w:t>
            </w:r>
            <w:r w:rsidR="00842BA3">
              <w:t>m</w:t>
            </w:r>
            <w:r>
              <w:t>e price to median household income</w:t>
            </w:r>
          </w:p>
        </w:tc>
      </w:tr>
      <w:tr w:rsidR="003C6AF9" w:rsidTr="00275852">
        <w:tblPrEx>
          <w:tblCellMar>
            <w:top w:w="0" w:type="dxa"/>
            <w:bottom w:w="0"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876" w:type="pct"/>
            <w:tcBorders>
              <w:top w:val="nil"/>
            </w:tcBorders>
            <w:vAlign w:val="top"/>
          </w:tcPr>
          <w:p w:rsidR="003C6AF9" w:rsidRDefault="003C6AF9" w:rsidP="00275852">
            <w:pPr>
              <w:pStyle w:val="TableText"/>
            </w:pPr>
          </w:p>
        </w:tc>
        <w:tc>
          <w:tcPr>
            <w:tcW w:w="1107" w:type="pct"/>
            <w:tcBorders>
              <w:top w:val="single" w:sz="6" w:space="0" w:color="A6A6A6" w:themeColor="background1" w:themeShade="A6"/>
            </w:tcBorders>
            <w:vAlign w:val="top"/>
          </w:tcPr>
          <w:p w:rsidR="003C6AF9" w:rsidRDefault="003C6AF9" w:rsidP="00275852">
            <w:pPr>
              <w:pStyle w:val="TableText"/>
              <w:numPr>
                <w:ilvl w:val="0"/>
                <w:numId w:val="112"/>
              </w:numPr>
              <w:ind w:left="0" w:firstLine="0"/>
              <w:jc w:val="left"/>
              <w:cnfStyle w:val="010000000000" w:firstRow="0" w:lastRow="1" w:firstColumn="0" w:lastColumn="0" w:oddVBand="0" w:evenVBand="0" w:oddHBand="0" w:evenHBand="0" w:firstRowFirstColumn="0" w:firstRowLastColumn="0" w:lastRowFirstColumn="0" w:lastRowLastColumn="0"/>
            </w:pPr>
            <w:r>
              <w:t>Housing costs (renters) to income ratio</w:t>
            </w:r>
          </w:p>
        </w:tc>
        <w:tc>
          <w:tcPr>
            <w:tcW w:w="3017" w:type="pct"/>
            <w:tcBorders>
              <w:top w:val="single" w:sz="6" w:space="0" w:color="A6A6A6" w:themeColor="background1" w:themeShade="A6"/>
            </w:tcBorders>
            <w:vAlign w:val="top"/>
          </w:tcPr>
          <w:p w:rsidR="003C6AF9" w:rsidRDefault="003C6AF9" w:rsidP="00275852">
            <w:pPr>
              <w:pStyle w:val="TableText"/>
              <w:jc w:val="left"/>
              <w:cnfStyle w:val="010000000000" w:firstRow="0" w:lastRow="1" w:firstColumn="0" w:lastColumn="0" w:oddVBand="0" w:evenVBand="0" w:oddHBand="0" w:evenHBand="0" w:firstRowFirstColumn="0" w:firstRowLastColumn="0" w:lastRowFirstColumn="0" w:lastRowLastColumn="0"/>
            </w:pPr>
            <w:r>
              <w:t>Ratio of average rent payments to median household income</w:t>
            </w:r>
          </w:p>
        </w:tc>
      </w:tr>
    </w:tbl>
    <w:p w:rsidR="003C6AF9" w:rsidRDefault="003C6AF9" w:rsidP="005F6926">
      <w:pPr>
        <w:rPr>
          <w:sz w:val="18"/>
          <w:szCs w:val="18"/>
        </w:rPr>
      </w:pPr>
    </w:p>
    <w:p w:rsidR="005F6926" w:rsidRDefault="005F6926" w:rsidP="005F6926">
      <w:r w:rsidRPr="004C33D1">
        <w:t>To the extent possible, data should be published in spatial form, eg as a map of price discontinuities at different locations within the city and the edge of the city. This makes it easier for council staff to interpret the information and provides appropriate local context. Mapped data may be supplementary to numerical analysis.</w:t>
      </w:r>
    </w:p>
    <w:p w:rsidR="005F6926" w:rsidRPr="004C33D1" w:rsidRDefault="005F6926" w:rsidP="005F6926">
      <w:pPr>
        <w:pStyle w:val="Heading3"/>
        <w:numPr>
          <w:ilvl w:val="0"/>
          <w:numId w:val="0"/>
        </w:numPr>
      </w:pPr>
      <w:r w:rsidRPr="004C33D1">
        <w:lastRenderedPageBreak/>
        <w:t>Interpretation</w:t>
      </w:r>
    </w:p>
    <w:p w:rsidR="00287AE7" w:rsidRDefault="00287AE7" w:rsidP="00287AE7">
      <w:r>
        <w:t xml:space="preserve">Figure ES2 illustrates how the indicators </w:t>
      </w:r>
      <w:proofErr w:type="gramStart"/>
      <w:r>
        <w:t>might be used</w:t>
      </w:r>
      <w:proofErr w:type="gramEnd"/>
      <w:r>
        <w:t xml:space="preserve"> to analyse and interpret a problem, and provide information about the need for more development capacity in plans.</w:t>
      </w:r>
    </w:p>
    <w:p w:rsidR="005F6926" w:rsidRDefault="005F6926" w:rsidP="005F6926">
      <w:pPr>
        <w:rPr>
          <w:sz w:val="18"/>
          <w:szCs w:val="18"/>
        </w:rPr>
      </w:pPr>
    </w:p>
    <w:p w:rsidR="005F6926" w:rsidRPr="005F6926" w:rsidRDefault="005F6926" w:rsidP="00287AE7">
      <w:pPr>
        <w:keepNext/>
        <w:spacing w:after="120"/>
        <w:rPr>
          <w:sz w:val="18"/>
          <w:szCs w:val="18"/>
        </w:rPr>
      </w:pPr>
      <w:r>
        <w:rPr>
          <w:sz w:val="18"/>
          <w:szCs w:val="18"/>
        </w:rPr>
        <w:t xml:space="preserve">Figure ES2 </w:t>
      </w:r>
      <w:r w:rsidRPr="005F6926">
        <w:rPr>
          <w:sz w:val="18"/>
          <w:szCs w:val="18"/>
        </w:rPr>
        <w:t>Use of indicators to diagnose the problem</w:t>
      </w:r>
    </w:p>
    <w:p w:rsidR="005F6926" w:rsidRDefault="00DC4367" w:rsidP="005F6926">
      <w:pPr>
        <w:jc w:val="center"/>
      </w:pPr>
      <w:r w:rsidRPr="00DC4367">
        <w:rPr>
          <w:noProof/>
          <w:lang w:eastAsia="en-NZ"/>
        </w:rPr>
        <w:drawing>
          <wp:inline distT="0" distB="0" distL="0" distR="0" wp14:anchorId="2FE658D0" wp14:editId="32E9E640">
            <wp:extent cx="4160520" cy="2300377"/>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68995" cy="2305063"/>
                    </a:xfrm>
                    <a:prstGeom prst="rect">
                      <a:avLst/>
                    </a:prstGeom>
                    <a:noFill/>
                    <a:ln>
                      <a:noFill/>
                    </a:ln>
                  </pic:spPr>
                </pic:pic>
              </a:graphicData>
            </a:graphic>
          </wp:inline>
        </w:drawing>
      </w:r>
    </w:p>
    <w:p w:rsidR="005F6926" w:rsidRDefault="005F6926" w:rsidP="005F6926"/>
    <w:p w:rsidR="005F6926" w:rsidRDefault="00E8250A" w:rsidP="005F6926">
      <w:r>
        <w:t>Table ES2</w:t>
      </w:r>
      <w:r w:rsidR="005F6926">
        <w:t xml:space="preserve"> provides more detail relating to the individual recommended indicators and how they </w:t>
      </w:r>
      <w:proofErr w:type="gramStart"/>
      <w:r w:rsidR="005F6926">
        <w:t>might be interpreted</w:t>
      </w:r>
      <w:proofErr w:type="gramEnd"/>
      <w:r w:rsidR="005F6926">
        <w:t xml:space="preserve"> to assist decisions.</w:t>
      </w:r>
    </w:p>
    <w:p w:rsidR="00E8250A" w:rsidRDefault="00E8250A" w:rsidP="005F6926"/>
    <w:p w:rsidR="00E8250A" w:rsidRDefault="00E8250A" w:rsidP="00E8250A">
      <w:r>
        <w:t>The way in which the different groups of in</w:t>
      </w:r>
      <w:r w:rsidR="001838F3">
        <w:t>dicators function is as follows.</w:t>
      </w:r>
    </w:p>
    <w:p w:rsidR="00E8250A" w:rsidRDefault="00E8250A" w:rsidP="00E8250A"/>
    <w:p w:rsidR="00E8250A" w:rsidRDefault="00E8250A" w:rsidP="006277DC">
      <w:pPr>
        <w:pStyle w:val="ListParagraph"/>
        <w:numPr>
          <w:ilvl w:val="0"/>
          <w:numId w:val="92"/>
        </w:numPr>
      </w:pPr>
      <w:r>
        <w:t>The supply-demand indicators (price trends +</w:t>
      </w:r>
      <w:r w:rsidR="00DC4367">
        <w:t xml:space="preserve"> population to consents ratio) </w:t>
      </w:r>
      <w:r>
        <w:t>provide background information that helps to identify if there is an emerging problem that requires further investigation.</w:t>
      </w:r>
      <w:r>
        <w:br/>
      </w:r>
    </w:p>
    <w:p w:rsidR="00E8250A" w:rsidRDefault="00E8250A" w:rsidP="006277DC">
      <w:pPr>
        <w:pStyle w:val="ListParagraph"/>
        <w:numPr>
          <w:ilvl w:val="0"/>
          <w:numId w:val="92"/>
        </w:numPr>
      </w:pPr>
      <w:r>
        <w:t xml:space="preserve">The competitiveness indicator (HHI) can provide information on whether market concentration is a problem. </w:t>
      </w:r>
      <w:r>
        <w:br/>
      </w:r>
    </w:p>
    <w:p w:rsidR="00E8250A" w:rsidRDefault="00E8250A" w:rsidP="006277DC">
      <w:pPr>
        <w:pStyle w:val="ListParagraph"/>
        <w:numPr>
          <w:ilvl w:val="0"/>
          <w:numId w:val="92"/>
        </w:numPr>
      </w:pPr>
      <w:r>
        <w:t xml:space="preserve">The affordability indicators provide information on whether the identified trends </w:t>
      </w:r>
      <w:proofErr w:type="gramStart"/>
      <w:r>
        <w:t>are matched</w:t>
      </w:r>
      <w:proofErr w:type="gramEnd"/>
      <w:r>
        <w:t xml:space="preserve"> by increasing signs of unaffordability. They </w:t>
      </w:r>
      <w:proofErr w:type="gramStart"/>
      <w:r>
        <w:t>are best interpreted</w:t>
      </w:r>
      <w:proofErr w:type="gramEnd"/>
      <w:r>
        <w:t xml:space="preserve"> through comparisons over time and between cities. This may include NZ cities and international examples.</w:t>
      </w:r>
      <w:r>
        <w:br/>
      </w:r>
    </w:p>
    <w:p w:rsidR="00E8250A" w:rsidRDefault="00E8250A" w:rsidP="00E8250A">
      <w:r>
        <w:t xml:space="preserve">The efficient price indicators are the chief indicators to provide evidence of a problem of uncompetitive markets leading to elevated prices. They require additional information to interpret them, and specifically the costs of development and of building. </w:t>
      </w:r>
      <w:r>
        <w:br/>
      </w:r>
    </w:p>
    <w:p w:rsidR="00E8250A" w:rsidRDefault="00E8250A" w:rsidP="00E8250A">
      <w:r>
        <w:t xml:space="preserve">Where efficient price indicators suggest that there are significant price differences that are not explainable by other factors, </w:t>
      </w:r>
      <w:r w:rsidR="001838F3">
        <w:t xml:space="preserve">this information indicates that plans </w:t>
      </w:r>
      <w:r>
        <w:t xml:space="preserve">should provide additional development capacity. The indicators </w:t>
      </w:r>
      <w:proofErr w:type="gramStart"/>
      <w:r>
        <w:t>cannot by themselves lead</w:t>
      </w:r>
      <w:proofErr w:type="gramEnd"/>
      <w:r>
        <w:t xml:space="preserve"> to conclusions about exactly what kind of capacity or the location, but they are the starting point for that analysis as a matter of urgency.</w:t>
      </w:r>
    </w:p>
    <w:p w:rsidR="00DC4367" w:rsidRDefault="00DC4367" w:rsidP="00E8250A"/>
    <w:p w:rsidR="00DC4367" w:rsidRPr="004C33D1" w:rsidRDefault="00DC4367" w:rsidP="00E8250A"/>
    <w:p w:rsidR="00183668" w:rsidRPr="004C33D1" w:rsidRDefault="00E8250A" w:rsidP="00183668">
      <w:pPr>
        <w:pStyle w:val="Caption"/>
      </w:pPr>
      <w:r>
        <w:lastRenderedPageBreak/>
        <w:t xml:space="preserve">Table ES2 </w:t>
      </w:r>
      <w:r w:rsidRPr="00E8250A">
        <w:t xml:space="preserve">Interpretation of </w:t>
      </w:r>
      <w:r w:rsidRPr="00DC4367">
        <w:t>suggested</w:t>
      </w:r>
      <w:r w:rsidRPr="00E8250A">
        <w:t xml:space="preserve"> indicators</w:t>
      </w:r>
    </w:p>
    <w:tbl>
      <w:tblPr>
        <w:tblStyle w:val="CovecTables"/>
        <w:tblW w:w="5000" w:type="pct"/>
        <w:tblInd w:w="0" w:type="dxa"/>
        <w:tblCellMar>
          <w:left w:w="57" w:type="dxa"/>
          <w:right w:w="57" w:type="dxa"/>
        </w:tblCellMar>
        <w:tblLook w:val="04E0" w:firstRow="1" w:lastRow="1" w:firstColumn="1" w:lastColumn="0" w:noHBand="0" w:noVBand="1"/>
      </w:tblPr>
      <w:tblGrid>
        <w:gridCol w:w="1441"/>
        <w:gridCol w:w="1884"/>
        <w:gridCol w:w="5010"/>
      </w:tblGrid>
      <w:tr w:rsidR="00183668" w:rsidRPr="004C33D1" w:rsidTr="00876A9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5" w:type="pct"/>
            <w:tcBorders>
              <w:left w:val="single" w:sz="8" w:space="0" w:color="A6A6A6" w:themeColor="background1" w:themeShade="A6"/>
              <w:right w:val="single" w:sz="8" w:space="0" w:color="A6A6A6" w:themeColor="background1" w:themeShade="A6"/>
            </w:tcBorders>
          </w:tcPr>
          <w:p w:rsidR="00183668" w:rsidRPr="004C33D1" w:rsidRDefault="00183668" w:rsidP="00876A9A">
            <w:pPr>
              <w:pStyle w:val="TableText"/>
            </w:pPr>
            <w:r>
              <w:t>Category</w:t>
            </w:r>
          </w:p>
        </w:tc>
        <w:tc>
          <w:tcPr>
            <w:tcW w:w="1220" w:type="pct"/>
            <w:tcBorders>
              <w:left w:val="single" w:sz="8" w:space="0" w:color="A6A6A6" w:themeColor="background1" w:themeShade="A6"/>
              <w:right w:val="single" w:sz="8" w:space="0" w:color="A6A6A6" w:themeColor="background1" w:themeShade="A6"/>
            </w:tcBorders>
            <w:shd w:val="clear" w:color="auto" w:fill="auto"/>
          </w:tcPr>
          <w:p w:rsidR="00183668" w:rsidRPr="004C33D1" w:rsidRDefault="00183668" w:rsidP="00876A9A">
            <w:pPr>
              <w:pStyle w:val="TableText"/>
              <w:jc w:val="left"/>
              <w:cnfStyle w:val="100000000000" w:firstRow="1" w:lastRow="0" w:firstColumn="0" w:lastColumn="0" w:oddVBand="0" w:evenVBand="0" w:oddHBand="0" w:evenHBand="0" w:firstRowFirstColumn="0" w:firstRowLastColumn="0" w:lastRowFirstColumn="0" w:lastRowLastColumn="0"/>
            </w:pPr>
            <w:r w:rsidRPr="004C33D1">
              <w:t>Indicator</w:t>
            </w:r>
          </w:p>
        </w:tc>
        <w:tc>
          <w:tcPr>
            <w:tcW w:w="3095" w:type="pct"/>
            <w:tcBorders>
              <w:left w:val="single" w:sz="8" w:space="0" w:color="A6A6A6" w:themeColor="background1" w:themeShade="A6"/>
              <w:right w:val="single" w:sz="8" w:space="0" w:color="A6A6A6" w:themeColor="background1" w:themeShade="A6"/>
            </w:tcBorders>
            <w:shd w:val="clear" w:color="auto" w:fill="auto"/>
          </w:tcPr>
          <w:p w:rsidR="00183668" w:rsidRPr="004C33D1" w:rsidRDefault="00183668" w:rsidP="00876A9A">
            <w:pPr>
              <w:pStyle w:val="TableText"/>
              <w:jc w:val="left"/>
              <w:cnfStyle w:val="100000000000" w:firstRow="1" w:lastRow="0" w:firstColumn="0" w:lastColumn="0" w:oddVBand="0" w:evenVBand="0" w:oddHBand="0" w:evenHBand="0" w:firstRowFirstColumn="0" w:firstRowLastColumn="0" w:lastRowFirstColumn="0" w:lastRowLastColumn="0"/>
            </w:pPr>
            <w:r>
              <w:t>Interpretation</w:t>
            </w:r>
          </w:p>
        </w:tc>
      </w:tr>
      <w:tr w:rsidR="00183668" w:rsidRPr="004C33D1" w:rsidTr="00876A9A">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685" w:type="pct"/>
            <w:tcBorders>
              <w:left w:val="single" w:sz="8" w:space="0" w:color="A6A6A6" w:themeColor="background1" w:themeShade="A6"/>
              <w:right w:val="single" w:sz="8" w:space="0" w:color="A6A6A6" w:themeColor="background1" w:themeShade="A6"/>
            </w:tcBorders>
          </w:tcPr>
          <w:p w:rsidR="00183668" w:rsidRDefault="00183668" w:rsidP="00876A9A">
            <w:pPr>
              <w:pStyle w:val="TableText"/>
            </w:pPr>
            <w:r>
              <w:t>General market information</w:t>
            </w:r>
          </w:p>
        </w:tc>
        <w:tc>
          <w:tcPr>
            <w:tcW w:w="1220" w:type="pct"/>
            <w:tcBorders>
              <w:top w:val="single" w:sz="8" w:space="0" w:color="A6A6A6" w:themeColor="background1" w:themeShade="A6"/>
              <w:left w:val="single" w:sz="8" w:space="0" w:color="A6A6A6" w:themeColor="background1" w:themeShade="A6"/>
              <w:bottom w:val="single" w:sz="4" w:space="0" w:color="A6A6A6" w:themeColor="background1" w:themeShade="A6"/>
              <w:right w:val="single" w:sz="8" w:space="0" w:color="A6A6A6" w:themeColor="background1" w:themeShade="A6"/>
            </w:tcBorders>
            <w:shd w:val="clear" w:color="auto" w:fill="auto"/>
            <w:vAlign w:val="top"/>
          </w:tcPr>
          <w:p w:rsidR="00183668" w:rsidRPr="004C33D1" w:rsidRDefault="00183668" w:rsidP="00876A9A">
            <w:pPr>
              <w:pStyle w:val="TableText"/>
              <w:numPr>
                <w:ilvl w:val="0"/>
                <w:numId w:val="113"/>
              </w:numPr>
              <w:ind w:left="0" w:firstLine="0"/>
              <w:jc w:val="left"/>
              <w:cnfStyle w:val="000000000000" w:firstRow="0" w:lastRow="0" w:firstColumn="0" w:lastColumn="0" w:oddVBand="0" w:evenVBand="0" w:oddHBand="0" w:evenHBand="0" w:firstRowFirstColumn="0" w:firstRowLastColumn="0" w:lastRowFirstColumn="0" w:lastRowLastColumn="0"/>
            </w:pPr>
            <w:r w:rsidRPr="004C33D1">
              <w:t>Ho</w:t>
            </w:r>
            <w:r w:rsidR="00842BA3">
              <w:t>m</w:t>
            </w:r>
            <w:r w:rsidRPr="004C33D1">
              <w:t>e price trends: Inflation-adjusted median ho</w:t>
            </w:r>
            <w:r w:rsidR="000D3E84">
              <w:t>m</w:t>
            </w:r>
            <w:r w:rsidRPr="004C33D1">
              <w:t>e prices</w:t>
            </w:r>
          </w:p>
        </w:tc>
        <w:tc>
          <w:tcPr>
            <w:tcW w:w="3095" w:type="pct"/>
            <w:tcBorders>
              <w:top w:val="single" w:sz="8" w:space="0" w:color="A6A6A6" w:themeColor="background1" w:themeShade="A6"/>
              <w:left w:val="single" w:sz="8" w:space="0" w:color="A6A6A6" w:themeColor="background1" w:themeShade="A6"/>
              <w:bottom w:val="single" w:sz="4" w:space="0" w:color="A6A6A6" w:themeColor="background1" w:themeShade="A6"/>
              <w:right w:val="single" w:sz="8" w:space="0" w:color="A6A6A6" w:themeColor="background1" w:themeShade="A6"/>
            </w:tcBorders>
            <w:shd w:val="clear" w:color="auto" w:fill="auto"/>
            <w:vAlign w:val="top"/>
          </w:tcPr>
          <w:p w:rsidR="00183668" w:rsidRDefault="00183668" w:rsidP="00876A9A">
            <w:pPr>
              <w:pStyle w:val="TableText"/>
              <w:jc w:val="left"/>
              <w:cnfStyle w:val="000000000000" w:firstRow="0" w:lastRow="0" w:firstColumn="0" w:lastColumn="0" w:oddVBand="0" w:evenVBand="0" w:oddHBand="0" w:evenHBand="0" w:firstRowFirstColumn="0" w:firstRowLastColumn="0" w:lastRowFirstColumn="0" w:lastRowLastColumn="0"/>
            </w:pPr>
            <w:proofErr w:type="gramStart"/>
            <w:r>
              <w:t>Significantly</w:t>
            </w:r>
            <w:proofErr w:type="gramEnd"/>
            <w:r>
              <w:t xml:space="preserve"> increasing prices relative to those in other locations should signal a potential for uncompetitive land and development markets, requiring further analysis</w:t>
            </w:r>
            <w:r w:rsidR="006172B4">
              <w:t>.</w:t>
            </w:r>
          </w:p>
        </w:tc>
      </w:tr>
      <w:tr w:rsidR="00183668" w:rsidRPr="004C33D1" w:rsidTr="00876A9A">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685" w:type="pct"/>
            <w:tcBorders>
              <w:left w:val="single" w:sz="8" w:space="0" w:color="A6A6A6" w:themeColor="background1" w:themeShade="A6"/>
              <w:right w:val="single" w:sz="8" w:space="0" w:color="A6A6A6" w:themeColor="background1" w:themeShade="A6"/>
            </w:tcBorders>
          </w:tcPr>
          <w:p w:rsidR="00183668" w:rsidRDefault="00183668" w:rsidP="00876A9A">
            <w:pPr>
              <w:pStyle w:val="TableText"/>
            </w:pPr>
          </w:p>
        </w:tc>
        <w:tc>
          <w:tcPr>
            <w:tcW w:w="1220" w:type="pct"/>
            <w:tcBorders>
              <w:top w:val="single" w:sz="4" w:space="0" w:color="A6A6A6" w:themeColor="background1" w:themeShade="A6"/>
              <w:left w:val="single" w:sz="8" w:space="0" w:color="A6A6A6" w:themeColor="background1" w:themeShade="A6"/>
              <w:bottom w:val="single" w:sz="4" w:space="0" w:color="A6A6A6" w:themeColor="background1" w:themeShade="A6"/>
              <w:right w:val="single" w:sz="8" w:space="0" w:color="A6A6A6" w:themeColor="background1" w:themeShade="A6"/>
            </w:tcBorders>
            <w:shd w:val="clear" w:color="auto" w:fill="auto"/>
            <w:vAlign w:val="top"/>
          </w:tcPr>
          <w:p w:rsidR="00183668" w:rsidRPr="004C33D1" w:rsidRDefault="00183668" w:rsidP="00876A9A">
            <w:pPr>
              <w:pStyle w:val="TableText"/>
              <w:numPr>
                <w:ilvl w:val="0"/>
                <w:numId w:val="113"/>
              </w:numPr>
              <w:ind w:left="0" w:firstLine="0"/>
              <w:jc w:val="left"/>
              <w:cnfStyle w:val="000000000000" w:firstRow="0" w:lastRow="0" w:firstColumn="0" w:lastColumn="0" w:oddVBand="0" w:evenVBand="0" w:oddHBand="0" w:evenHBand="0" w:firstRowFirstColumn="0" w:firstRowLastColumn="0" w:lastRowFirstColumn="0" w:lastRowLastColumn="0"/>
            </w:pPr>
            <w:r>
              <w:t>Trends in land values</w:t>
            </w:r>
          </w:p>
        </w:tc>
        <w:tc>
          <w:tcPr>
            <w:tcW w:w="3095" w:type="pct"/>
            <w:tcBorders>
              <w:top w:val="single" w:sz="4" w:space="0" w:color="A6A6A6" w:themeColor="background1" w:themeShade="A6"/>
              <w:left w:val="single" w:sz="8" w:space="0" w:color="A6A6A6" w:themeColor="background1" w:themeShade="A6"/>
              <w:bottom w:val="single" w:sz="4" w:space="0" w:color="A6A6A6" w:themeColor="background1" w:themeShade="A6"/>
              <w:right w:val="single" w:sz="8" w:space="0" w:color="A6A6A6" w:themeColor="background1" w:themeShade="A6"/>
            </w:tcBorders>
            <w:shd w:val="clear" w:color="auto" w:fill="auto"/>
            <w:vAlign w:val="top"/>
          </w:tcPr>
          <w:p w:rsidR="00183668" w:rsidRDefault="00183668" w:rsidP="00876A9A">
            <w:pPr>
              <w:pStyle w:val="TableText"/>
              <w:jc w:val="left"/>
              <w:cnfStyle w:val="000000000000" w:firstRow="0" w:lastRow="0" w:firstColumn="0" w:lastColumn="0" w:oddVBand="0" w:evenVBand="0" w:oddHBand="0" w:evenHBand="0" w:firstRowFirstColumn="0" w:firstRowLastColumn="0" w:lastRowFirstColumn="0" w:lastRowLastColumn="0"/>
            </w:pPr>
            <w:proofErr w:type="gramStart"/>
            <w:r>
              <w:t>Significantly</w:t>
            </w:r>
            <w:proofErr w:type="gramEnd"/>
            <w:r>
              <w:t xml:space="preserve"> increasing prices can be used to identify emerging problems, as can divergence of land and property values</w:t>
            </w:r>
            <w:r w:rsidR="006172B4">
              <w:t>.</w:t>
            </w:r>
          </w:p>
        </w:tc>
      </w:tr>
      <w:tr w:rsidR="00183668" w:rsidRPr="004C33D1" w:rsidTr="00876A9A">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685" w:type="pct"/>
            <w:tcBorders>
              <w:left w:val="single" w:sz="8" w:space="0" w:color="A6A6A6" w:themeColor="background1" w:themeShade="A6"/>
              <w:right w:val="single" w:sz="8" w:space="0" w:color="A6A6A6" w:themeColor="background1" w:themeShade="A6"/>
            </w:tcBorders>
          </w:tcPr>
          <w:p w:rsidR="00183668" w:rsidRDefault="00183668" w:rsidP="00876A9A">
            <w:pPr>
              <w:pStyle w:val="TableText"/>
            </w:pPr>
          </w:p>
        </w:tc>
        <w:tc>
          <w:tcPr>
            <w:tcW w:w="1220" w:type="pct"/>
            <w:tcBorders>
              <w:top w:val="single" w:sz="4"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183668" w:rsidRPr="004C33D1" w:rsidRDefault="00183668" w:rsidP="00876A9A">
            <w:pPr>
              <w:pStyle w:val="TableText"/>
              <w:numPr>
                <w:ilvl w:val="0"/>
                <w:numId w:val="113"/>
              </w:numPr>
              <w:ind w:left="0" w:firstLine="0"/>
              <w:jc w:val="left"/>
              <w:cnfStyle w:val="000000000000" w:firstRow="0" w:lastRow="0" w:firstColumn="0" w:lastColumn="0" w:oddVBand="0" w:evenVBand="0" w:oddHBand="0" w:evenHBand="0" w:firstRowFirstColumn="0" w:firstRowLastColumn="0" w:lastRowFirstColumn="0" w:lastRowLastColumn="0"/>
            </w:pPr>
            <w:r w:rsidRPr="004C33D1">
              <w:t>Trends in rents: Inflation-adjusted mean rent values</w:t>
            </w:r>
          </w:p>
        </w:tc>
        <w:tc>
          <w:tcPr>
            <w:tcW w:w="3095" w:type="pct"/>
            <w:tcBorders>
              <w:top w:val="single" w:sz="4"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183668" w:rsidRDefault="00183668" w:rsidP="00876A9A">
            <w:pPr>
              <w:pStyle w:val="TableText"/>
              <w:jc w:val="left"/>
              <w:cnfStyle w:val="000000000000" w:firstRow="0" w:lastRow="0" w:firstColumn="0" w:lastColumn="0" w:oddVBand="0" w:evenVBand="0" w:oddHBand="0" w:evenHBand="0" w:firstRowFirstColumn="0" w:firstRowLastColumn="0" w:lastRowFirstColumn="0" w:lastRowLastColumn="0"/>
            </w:pPr>
            <w:r>
              <w:t>Significant differences between changes in price trends for rents and ho</w:t>
            </w:r>
            <w:r w:rsidR="00842BA3">
              <w:t>m</w:t>
            </w:r>
            <w:r>
              <w:t>e prices can provide further suggestions on which parts of the market are least competitive.</w:t>
            </w:r>
          </w:p>
        </w:tc>
      </w:tr>
      <w:tr w:rsidR="00183668" w:rsidRPr="004C33D1" w:rsidTr="00876A9A">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685" w:type="pct"/>
            <w:tcBorders>
              <w:top w:val="single" w:sz="8" w:space="0" w:color="A6A6A6" w:themeColor="background1" w:themeShade="A6"/>
              <w:left w:val="single" w:sz="8" w:space="0" w:color="A6A6A6" w:themeColor="background1" w:themeShade="A6"/>
              <w:right w:val="single" w:sz="8" w:space="0" w:color="A6A6A6" w:themeColor="background1" w:themeShade="A6"/>
            </w:tcBorders>
            <w:vAlign w:val="top"/>
          </w:tcPr>
          <w:p w:rsidR="00183668" w:rsidRPr="004C33D1" w:rsidRDefault="00183668" w:rsidP="00876A9A">
            <w:pPr>
              <w:pStyle w:val="TableText"/>
            </w:pPr>
            <w:r>
              <w:t>Supply-demand</w:t>
            </w:r>
          </w:p>
        </w:tc>
        <w:tc>
          <w:tcPr>
            <w:tcW w:w="1220" w:type="pct"/>
            <w:tcBorders>
              <w:top w:val="single" w:sz="8" w:space="0" w:color="A6A6A6" w:themeColor="background1" w:themeShade="A6"/>
              <w:left w:val="single" w:sz="8" w:space="0" w:color="A6A6A6" w:themeColor="background1" w:themeShade="A6"/>
              <w:right w:val="single" w:sz="8" w:space="0" w:color="A6A6A6" w:themeColor="background1" w:themeShade="A6"/>
            </w:tcBorders>
            <w:shd w:val="clear" w:color="auto" w:fill="auto"/>
            <w:vAlign w:val="top"/>
          </w:tcPr>
          <w:p w:rsidR="00183668" w:rsidRPr="004C33D1" w:rsidRDefault="00183668" w:rsidP="00876A9A">
            <w:pPr>
              <w:pStyle w:val="TableText"/>
              <w:numPr>
                <w:ilvl w:val="0"/>
                <w:numId w:val="113"/>
              </w:numPr>
              <w:ind w:left="0" w:firstLine="0"/>
              <w:jc w:val="left"/>
              <w:cnfStyle w:val="000000000000" w:firstRow="0" w:lastRow="0" w:firstColumn="0" w:lastColumn="0" w:oddVBand="0" w:evenVBand="0" w:oddHBand="0" w:evenHBand="0" w:firstRowFirstColumn="0" w:firstRowLastColumn="0" w:lastRowFirstColumn="0" w:lastRowLastColumn="0"/>
            </w:pPr>
            <w:r w:rsidRPr="004C33D1">
              <w:t>Population growth to building consents</w:t>
            </w:r>
          </w:p>
        </w:tc>
        <w:tc>
          <w:tcPr>
            <w:tcW w:w="3095"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183668" w:rsidRPr="004C33D1" w:rsidRDefault="00183668" w:rsidP="00876A9A">
            <w:pPr>
              <w:pStyle w:val="TableText"/>
              <w:jc w:val="left"/>
              <w:cnfStyle w:val="000000000000" w:firstRow="0" w:lastRow="0" w:firstColumn="0" w:lastColumn="0" w:oddVBand="0" w:evenVBand="0" w:oddHBand="0" w:evenHBand="0" w:firstRowFirstColumn="0" w:firstRowLastColumn="0" w:lastRowFirstColumn="0" w:lastRowLastColumn="0"/>
            </w:pPr>
            <w:r>
              <w:t>If ratio of population growth to new building consents is greater than average household size, it suggests that there is insufficient new building</w:t>
            </w:r>
            <w:r w:rsidR="006172B4">
              <w:t>.</w:t>
            </w:r>
          </w:p>
        </w:tc>
      </w:tr>
      <w:tr w:rsidR="00183668" w:rsidRPr="004C33D1" w:rsidTr="00876A9A">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685" w:type="pct"/>
            <w:tcBorders>
              <w:left w:val="single" w:sz="8" w:space="0" w:color="A6A6A6" w:themeColor="background1" w:themeShade="A6"/>
              <w:right w:val="single" w:sz="8" w:space="0" w:color="A6A6A6" w:themeColor="background1" w:themeShade="A6"/>
            </w:tcBorders>
            <w:vAlign w:val="top"/>
          </w:tcPr>
          <w:p w:rsidR="00183668" w:rsidRPr="004C33D1" w:rsidRDefault="00183668" w:rsidP="00876A9A">
            <w:pPr>
              <w:pStyle w:val="TableText"/>
            </w:pPr>
          </w:p>
        </w:tc>
        <w:tc>
          <w:tcPr>
            <w:tcW w:w="1220" w:type="pct"/>
            <w:tcBorders>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183668" w:rsidRPr="004C33D1" w:rsidRDefault="00183668" w:rsidP="00876A9A">
            <w:pPr>
              <w:pStyle w:val="TableText"/>
              <w:jc w:val="left"/>
              <w:cnfStyle w:val="000000000000" w:firstRow="0" w:lastRow="0" w:firstColumn="0" w:lastColumn="0" w:oddVBand="0" w:evenVBand="0" w:oddHBand="0" w:evenHBand="0" w:firstRowFirstColumn="0" w:firstRowLastColumn="0" w:lastRowFirstColumn="0" w:lastRowLastColumn="0"/>
            </w:pPr>
          </w:p>
        </w:tc>
        <w:tc>
          <w:tcPr>
            <w:tcW w:w="3095"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183668" w:rsidRPr="004C33D1" w:rsidRDefault="00183668" w:rsidP="00876A9A">
            <w:pPr>
              <w:pStyle w:val="TableText"/>
              <w:jc w:val="left"/>
              <w:cnfStyle w:val="000000000000" w:firstRow="0" w:lastRow="0" w:firstColumn="0" w:lastColumn="0" w:oddVBand="0" w:evenVBand="0" w:oddHBand="0" w:evenHBand="0" w:firstRowFirstColumn="0" w:firstRowLastColumn="0" w:lastRowFirstColumn="0" w:lastRowLastColumn="0"/>
            </w:pPr>
            <w:r>
              <w:t xml:space="preserve">Average building size for new consents and number of buildings in different size categories should be used to supplement the analysis and interpret whether: (1) there is a shift to different size categories that might provide </w:t>
            </w:r>
            <w:proofErr w:type="gramStart"/>
            <w:r>
              <w:t>more or less total</w:t>
            </w:r>
            <w:proofErr w:type="gramEnd"/>
            <w:r>
              <w:t xml:space="preserve"> residential space, or (2) if there is a shift to more or less affordable housing types, eg bigger houses</w:t>
            </w:r>
            <w:r w:rsidR="006172B4">
              <w:t>.</w:t>
            </w:r>
            <w:r>
              <w:t xml:space="preserve"> </w:t>
            </w:r>
          </w:p>
        </w:tc>
      </w:tr>
      <w:tr w:rsidR="00183668" w:rsidRPr="004C33D1" w:rsidTr="00876A9A">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685" w:type="pct"/>
            <w:tcBorders>
              <w:top w:val="single" w:sz="12" w:space="0" w:color="A6A6A6" w:themeColor="background1" w:themeShade="A6"/>
              <w:left w:val="single" w:sz="8" w:space="0" w:color="A6A6A6" w:themeColor="background1" w:themeShade="A6"/>
              <w:right w:val="single" w:sz="8" w:space="0" w:color="A6A6A6" w:themeColor="background1" w:themeShade="A6"/>
            </w:tcBorders>
            <w:vAlign w:val="top"/>
          </w:tcPr>
          <w:p w:rsidR="00183668" w:rsidRDefault="00AE73D6" w:rsidP="00876A9A">
            <w:pPr>
              <w:pStyle w:val="TableText"/>
            </w:pPr>
            <w:r>
              <w:t>Competitiveness</w:t>
            </w:r>
          </w:p>
        </w:tc>
        <w:tc>
          <w:tcPr>
            <w:tcW w:w="1220" w:type="pct"/>
            <w:tcBorders>
              <w:top w:val="single" w:sz="12"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183668" w:rsidRPr="004C33D1" w:rsidRDefault="00183668" w:rsidP="00876A9A">
            <w:pPr>
              <w:pStyle w:val="TableText"/>
              <w:numPr>
                <w:ilvl w:val="0"/>
                <w:numId w:val="113"/>
              </w:numPr>
              <w:ind w:left="0" w:firstLine="0"/>
              <w:jc w:val="left"/>
              <w:cnfStyle w:val="000000000000" w:firstRow="0" w:lastRow="0" w:firstColumn="0" w:lastColumn="0" w:oddVBand="0" w:evenVBand="0" w:oddHBand="0" w:evenHBand="0" w:firstRowFirstColumn="0" w:firstRowLastColumn="0" w:lastRowFirstColumn="0" w:lastRowLastColumn="0"/>
            </w:pPr>
            <w:r>
              <w:t>HHI</w:t>
            </w:r>
          </w:p>
        </w:tc>
        <w:tc>
          <w:tcPr>
            <w:tcW w:w="3095" w:type="pct"/>
            <w:tcBorders>
              <w:top w:val="single" w:sz="12"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183668" w:rsidRDefault="00183668" w:rsidP="00876A9A">
            <w:pPr>
              <w:pStyle w:val="TableText"/>
              <w:jc w:val="left"/>
              <w:cnfStyle w:val="000000000000" w:firstRow="0" w:lastRow="0" w:firstColumn="0" w:lastColumn="0" w:oddVBand="0" w:evenVBand="0" w:oddHBand="0" w:evenHBand="0" w:firstRowFirstColumn="0" w:firstRowLastColumn="0" w:lastRowFirstColumn="0" w:lastRowLastColumn="0"/>
            </w:pPr>
            <w:r w:rsidRPr="0066583C">
              <w:t xml:space="preserve">1,500 </w:t>
            </w:r>
            <w:r>
              <w:t xml:space="preserve">-  </w:t>
            </w:r>
            <w:r w:rsidRPr="0066583C">
              <w:t>2,500</w:t>
            </w:r>
            <w:r>
              <w:t xml:space="preserve">: </w:t>
            </w:r>
            <w:r w:rsidRPr="0066583C">
              <w:t>moderately concentrated</w:t>
            </w:r>
            <w:r>
              <w:t>;</w:t>
            </w:r>
          </w:p>
          <w:p w:rsidR="00183668" w:rsidRDefault="00183668" w:rsidP="00876A9A">
            <w:pPr>
              <w:pStyle w:val="TableText"/>
              <w:jc w:val="left"/>
              <w:cnfStyle w:val="000000000000" w:firstRow="0" w:lastRow="0" w:firstColumn="0" w:lastColumn="0" w:oddVBand="0" w:evenVBand="0" w:oddHBand="0" w:evenHBand="0" w:firstRowFirstColumn="0" w:firstRowLastColumn="0" w:lastRowFirstColumn="0" w:lastRowLastColumn="0"/>
            </w:pPr>
            <w:proofErr w:type="gramStart"/>
            <w:r>
              <w:t>&gt;</w:t>
            </w:r>
            <w:r w:rsidRPr="0066583C">
              <w:t>2,500</w:t>
            </w:r>
            <w:r>
              <w:t xml:space="preserve">: </w:t>
            </w:r>
            <w:r w:rsidRPr="0066583C">
              <w:t>highly concentrated</w:t>
            </w:r>
            <w:r w:rsidR="00712A3C">
              <w:t>.</w:t>
            </w:r>
            <w:proofErr w:type="gramEnd"/>
            <w:r w:rsidR="00712A3C">
              <w:t xml:space="preserve"> If moderate to high concentration is combined with high prices, planning rules should be investigated to see if they </w:t>
            </w:r>
            <w:proofErr w:type="gramStart"/>
            <w:r w:rsidR="00712A3C">
              <w:t>can</w:t>
            </w:r>
            <w:proofErr w:type="gramEnd"/>
            <w:r w:rsidR="00712A3C">
              <w:t xml:space="preserve"> enable greater market entry and more competition.</w:t>
            </w:r>
          </w:p>
        </w:tc>
      </w:tr>
      <w:tr w:rsidR="00183668" w:rsidRPr="004C33D1" w:rsidTr="00876A9A">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685" w:type="pct"/>
            <w:tcBorders>
              <w:top w:val="single" w:sz="12" w:space="0" w:color="A6A6A6" w:themeColor="background1" w:themeShade="A6"/>
              <w:left w:val="single" w:sz="8" w:space="0" w:color="A6A6A6" w:themeColor="background1" w:themeShade="A6"/>
              <w:right w:val="single" w:sz="8" w:space="0" w:color="A6A6A6" w:themeColor="background1" w:themeShade="A6"/>
            </w:tcBorders>
            <w:vAlign w:val="top"/>
          </w:tcPr>
          <w:p w:rsidR="00183668" w:rsidRPr="004C33D1" w:rsidRDefault="00183668" w:rsidP="00876A9A">
            <w:pPr>
              <w:pStyle w:val="TableText"/>
            </w:pPr>
            <w:r>
              <w:t>Efficient prices</w:t>
            </w:r>
          </w:p>
        </w:tc>
        <w:tc>
          <w:tcPr>
            <w:tcW w:w="1220" w:type="pct"/>
            <w:tcBorders>
              <w:top w:val="single" w:sz="12"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183668" w:rsidRPr="004C33D1" w:rsidRDefault="00183668" w:rsidP="00876A9A">
            <w:pPr>
              <w:pStyle w:val="TableText"/>
              <w:numPr>
                <w:ilvl w:val="0"/>
                <w:numId w:val="113"/>
              </w:numPr>
              <w:ind w:left="0" w:firstLine="0"/>
              <w:jc w:val="left"/>
              <w:cnfStyle w:val="000000000000" w:firstRow="0" w:lastRow="0" w:firstColumn="0" w:lastColumn="0" w:oddVBand="0" w:evenVBand="0" w:oddHBand="0" w:evenHBand="0" w:firstRowFirstColumn="0" w:firstRowLastColumn="0" w:lastRowFirstColumn="0" w:lastRowLastColumn="0"/>
            </w:pPr>
            <w:r w:rsidRPr="004C33D1">
              <w:t>Discontinuities in land values between zones or at the urban fringe</w:t>
            </w:r>
          </w:p>
        </w:tc>
        <w:tc>
          <w:tcPr>
            <w:tcW w:w="3095" w:type="pct"/>
            <w:tcBorders>
              <w:top w:val="single" w:sz="12"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183668" w:rsidRDefault="00183668" w:rsidP="00876A9A">
            <w:pPr>
              <w:pStyle w:val="TableText"/>
              <w:jc w:val="left"/>
              <w:cnfStyle w:val="000000000000" w:firstRow="0" w:lastRow="0" w:firstColumn="0" w:lastColumn="0" w:oddVBand="0" w:evenVBand="0" w:oddHBand="0" w:evenHBand="0" w:firstRowFirstColumn="0" w:firstRowLastColumn="0" w:lastRowFirstColumn="0" w:lastRowLastColumn="0"/>
            </w:pPr>
            <w:r>
              <w:t xml:space="preserve">If there are significant absolute differences in land values across </w:t>
            </w:r>
            <w:proofErr w:type="gramStart"/>
            <w:r>
              <w:t>zones which</w:t>
            </w:r>
            <w:proofErr w:type="gramEnd"/>
            <w:r>
              <w:t xml:space="preserve"> cannot be explained by an analysis of the costs of development of land, it suggests that there is a lack of competitiveness in development markets.</w:t>
            </w:r>
          </w:p>
          <w:p w:rsidR="00183668" w:rsidRPr="004C33D1" w:rsidRDefault="00183668" w:rsidP="00876A9A">
            <w:pPr>
              <w:pStyle w:val="TableText"/>
              <w:jc w:val="left"/>
              <w:cnfStyle w:val="000000000000" w:firstRow="0" w:lastRow="0" w:firstColumn="0" w:lastColumn="0" w:oddVBand="0" w:evenVBand="0" w:oddHBand="0" w:evenHBand="0" w:firstRowFirstColumn="0" w:firstRowLastColumn="0" w:lastRowFirstColumn="0" w:lastRowLastColumn="0"/>
            </w:pPr>
            <w:r>
              <w:t xml:space="preserve">Planning rules </w:t>
            </w:r>
            <w:proofErr w:type="gramStart"/>
            <w:r>
              <w:t>should be investigated</w:t>
            </w:r>
            <w:proofErr w:type="gramEnd"/>
            <w:r>
              <w:t xml:space="preserve"> to see if they are providing significant barriers to market entry.</w:t>
            </w:r>
          </w:p>
        </w:tc>
      </w:tr>
      <w:tr w:rsidR="00183668" w:rsidRPr="004C33D1" w:rsidTr="00876A9A">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685" w:type="pct"/>
            <w:tcBorders>
              <w:left w:val="single" w:sz="8" w:space="0" w:color="A6A6A6" w:themeColor="background1" w:themeShade="A6"/>
              <w:bottom w:val="single" w:sz="12" w:space="0" w:color="A6A6A6" w:themeColor="background1" w:themeShade="A6"/>
              <w:right w:val="single" w:sz="8" w:space="0" w:color="A6A6A6" w:themeColor="background1" w:themeShade="A6"/>
            </w:tcBorders>
            <w:vAlign w:val="top"/>
          </w:tcPr>
          <w:p w:rsidR="00183668" w:rsidRPr="004C33D1" w:rsidRDefault="00183668" w:rsidP="00876A9A">
            <w:pPr>
              <w:pStyle w:val="TableText"/>
            </w:pPr>
          </w:p>
        </w:tc>
        <w:tc>
          <w:tcPr>
            <w:tcW w:w="122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183668" w:rsidRPr="004C33D1" w:rsidRDefault="00183668" w:rsidP="00876A9A">
            <w:pPr>
              <w:pStyle w:val="TableText"/>
              <w:numPr>
                <w:ilvl w:val="0"/>
                <w:numId w:val="113"/>
              </w:numPr>
              <w:ind w:left="0" w:firstLine="0"/>
              <w:jc w:val="left"/>
              <w:cnfStyle w:val="000000000000" w:firstRow="0" w:lastRow="0" w:firstColumn="0" w:lastColumn="0" w:oddVBand="0" w:evenVBand="0" w:oddHBand="0" w:evenHBand="0" w:firstRowFirstColumn="0" w:firstRowLastColumn="0" w:lastRowFirstColumn="0" w:lastRowLastColumn="0"/>
            </w:pPr>
            <w:r w:rsidRPr="004C33D1">
              <w:t>High-rise apartment sale prices against marginal construction costs</w:t>
            </w:r>
          </w:p>
        </w:tc>
        <w:tc>
          <w:tcPr>
            <w:tcW w:w="3095"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183668" w:rsidRDefault="00183668" w:rsidP="00876A9A">
            <w:pPr>
              <w:pStyle w:val="TableText"/>
              <w:jc w:val="left"/>
              <w:cnfStyle w:val="000000000000" w:firstRow="0" w:lastRow="0" w:firstColumn="0" w:lastColumn="0" w:oddVBand="0" w:evenVBand="0" w:oddHBand="0" w:evenHBand="0" w:firstRowFirstColumn="0" w:firstRowLastColumn="0" w:lastRowFirstColumn="0" w:lastRowLastColumn="0"/>
            </w:pPr>
            <w:r>
              <w:t xml:space="preserve">If there are significant absolute differences </w:t>
            </w:r>
            <w:r w:rsidR="00DD6005">
              <w:t>between the price of high-rise apartments (or offices, hotels, etc) and marginal construction costs that cannot be explained by quantifiable factors, such as ‘lumpiness’ related to earthquake strengthening or building infrastructure costs</w:t>
            </w:r>
            <w:r>
              <w:t>, it suggests that there is a lack of competitiveness in development markets</w:t>
            </w:r>
            <w:r w:rsidR="00712A3C">
              <w:t>.</w:t>
            </w:r>
          </w:p>
          <w:p w:rsidR="00183668" w:rsidRPr="004C33D1" w:rsidRDefault="00183668" w:rsidP="00876A9A">
            <w:pPr>
              <w:pStyle w:val="TableText"/>
              <w:jc w:val="left"/>
              <w:cnfStyle w:val="000000000000" w:firstRow="0" w:lastRow="0" w:firstColumn="0" w:lastColumn="0" w:oddVBand="0" w:evenVBand="0" w:oddHBand="0" w:evenHBand="0" w:firstRowFirstColumn="0" w:firstRowLastColumn="0" w:lastRowFirstColumn="0" w:lastRowLastColumn="0"/>
            </w:pPr>
            <w:r>
              <w:t xml:space="preserve">Planning rules </w:t>
            </w:r>
            <w:proofErr w:type="gramStart"/>
            <w:r>
              <w:t>should be investigated</w:t>
            </w:r>
            <w:proofErr w:type="gramEnd"/>
            <w:r>
              <w:t xml:space="preserve"> to see if they are providing significant barriers to market entry.</w:t>
            </w:r>
          </w:p>
        </w:tc>
      </w:tr>
      <w:tr w:rsidR="00183668" w:rsidRPr="004C33D1" w:rsidTr="00876A9A">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685" w:type="pct"/>
            <w:tcBorders>
              <w:top w:val="single" w:sz="12" w:space="0" w:color="A6A6A6" w:themeColor="background1" w:themeShade="A6"/>
              <w:left w:val="single" w:sz="8" w:space="0" w:color="A6A6A6" w:themeColor="background1" w:themeShade="A6"/>
              <w:right w:val="single" w:sz="8" w:space="0" w:color="A6A6A6" w:themeColor="background1" w:themeShade="A6"/>
            </w:tcBorders>
            <w:vAlign w:val="top"/>
          </w:tcPr>
          <w:p w:rsidR="00183668" w:rsidRPr="004C33D1" w:rsidRDefault="00183668" w:rsidP="00876A9A">
            <w:pPr>
              <w:pStyle w:val="TableText"/>
            </w:pPr>
            <w:r>
              <w:t>Affordability</w:t>
            </w:r>
          </w:p>
        </w:tc>
        <w:tc>
          <w:tcPr>
            <w:tcW w:w="1220" w:type="pct"/>
            <w:tcBorders>
              <w:top w:val="single" w:sz="12"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183668" w:rsidRPr="004C33D1" w:rsidRDefault="000D3E84" w:rsidP="000D3E84">
            <w:pPr>
              <w:pStyle w:val="TableText"/>
              <w:numPr>
                <w:ilvl w:val="0"/>
                <w:numId w:val="113"/>
              </w:numPr>
              <w:ind w:left="0" w:firstLine="0"/>
              <w:jc w:val="left"/>
              <w:cnfStyle w:val="000000000000" w:firstRow="0" w:lastRow="0" w:firstColumn="0" w:lastColumn="0" w:oddVBand="0" w:evenVBand="0" w:oddHBand="0" w:evenHBand="0" w:firstRowFirstColumn="0" w:firstRowLastColumn="0" w:lastRowFirstColumn="0" w:lastRowLastColumn="0"/>
            </w:pPr>
            <w:r w:rsidRPr="004C33D1">
              <w:t>Ho</w:t>
            </w:r>
            <w:r>
              <w:t>m</w:t>
            </w:r>
            <w:r w:rsidRPr="004C33D1">
              <w:t xml:space="preserve">e </w:t>
            </w:r>
            <w:r w:rsidR="00183668" w:rsidRPr="004C33D1">
              <w:t>price to income: lower quartile ho</w:t>
            </w:r>
            <w:r>
              <w:t>m</w:t>
            </w:r>
            <w:r w:rsidR="00183668" w:rsidRPr="004C33D1">
              <w:t>e price to median household income</w:t>
            </w:r>
          </w:p>
        </w:tc>
        <w:tc>
          <w:tcPr>
            <w:tcW w:w="3095" w:type="pct"/>
            <w:tcBorders>
              <w:top w:val="single" w:sz="12"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183668" w:rsidRPr="004C33D1" w:rsidRDefault="00183668" w:rsidP="00876A9A">
            <w:pPr>
              <w:pStyle w:val="TableText"/>
              <w:jc w:val="left"/>
              <w:cnfStyle w:val="000000000000" w:firstRow="0" w:lastRow="0" w:firstColumn="0" w:lastColumn="0" w:oddVBand="0" w:evenVBand="0" w:oddHBand="0" w:evenHBand="0" w:firstRowFirstColumn="0" w:firstRowLastColumn="0" w:lastRowFirstColumn="0" w:lastRowLastColumn="0"/>
            </w:pPr>
            <w:r>
              <w:t xml:space="preserve">If the ratio of price to income is </w:t>
            </w:r>
            <w:proofErr w:type="gramStart"/>
            <w:r>
              <w:t>increasing</w:t>
            </w:r>
            <w:proofErr w:type="gramEnd"/>
            <w:r>
              <w:t xml:space="preserve"> it suggests an increasing affordability problem. This </w:t>
            </w:r>
            <w:proofErr w:type="gramStart"/>
            <w:r>
              <w:t>should be further investigated</w:t>
            </w:r>
            <w:proofErr w:type="gramEnd"/>
            <w:r>
              <w:t xml:space="preserve"> by examining trends in housing costs ratio (see below) and by comparing trends between cities to see if the problem is location-specific</w:t>
            </w:r>
            <w:r w:rsidR="006172B4">
              <w:t>.</w:t>
            </w:r>
          </w:p>
        </w:tc>
      </w:tr>
      <w:tr w:rsidR="00183668" w:rsidRPr="004C33D1" w:rsidTr="00876A9A">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685" w:type="pct"/>
            <w:tcBorders>
              <w:left w:val="single" w:sz="8" w:space="0" w:color="A6A6A6" w:themeColor="background1" w:themeShade="A6"/>
              <w:right w:val="single" w:sz="8" w:space="0" w:color="A6A6A6" w:themeColor="background1" w:themeShade="A6"/>
            </w:tcBorders>
            <w:vAlign w:val="top"/>
          </w:tcPr>
          <w:p w:rsidR="00183668" w:rsidRPr="004C33D1" w:rsidRDefault="00183668" w:rsidP="00876A9A">
            <w:pPr>
              <w:pStyle w:val="TableText"/>
            </w:pPr>
          </w:p>
        </w:tc>
        <w:tc>
          <w:tcPr>
            <w:tcW w:w="122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183668" w:rsidRPr="004C33D1" w:rsidRDefault="00183668" w:rsidP="00876A9A">
            <w:pPr>
              <w:pStyle w:val="TableText"/>
              <w:numPr>
                <w:ilvl w:val="0"/>
                <w:numId w:val="113"/>
              </w:numPr>
              <w:ind w:left="0" w:firstLine="0"/>
              <w:jc w:val="left"/>
              <w:cnfStyle w:val="000000000000" w:firstRow="0" w:lastRow="0" w:firstColumn="0" w:lastColumn="0" w:oddVBand="0" w:evenVBand="0" w:oddHBand="0" w:evenHBand="0" w:firstRowFirstColumn="0" w:firstRowLastColumn="0" w:lastRowFirstColumn="0" w:lastRowLastColumn="0"/>
            </w:pPr>
            <w:r w:rsidRPr="004C33D1">
              <w:t>Mortgage repayments to income ratio</w:t>
            </w:r>
          </w:p>
        </w:tc>
        <w:tc>
          <w:tcPr>
            <w:tcW w:w="3095"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183668" w:rsidRPr="004C33D1" w:rsidRDefault="00183668" w:rsidP="007B2A41">
            <w:pPr>
              <w:pStyle w:val="TableText"/>
              <w:jc w:val="left"/>
              <w:cnfStyle w:val="000000000000" w:firstRow="0" w:lastRow="0" w:firstColumn="0" w:lastColumn="0" w:oddVBand="0" w:evenVBand="0" w:oddHBand="0" w:evenHBand="0" w:firstRowFirstColumn="0" w:firstRowLastColumn="0" w:lastRowFirstColumn="0" w:lastRowLastColumn="0"/>
            </w:pPr>
            <w:r>
              <w:t xml:space="preserve">If the ratio is </w:t>
            </w:r>
            <w:proofErr w:type="gramStart"/>
            <w:r>
              <w:t>increasing</w:t>
            </w:r>
            <w:proofErr w:type="gramEnd"/>
            <w:r>
              <w:t xml:space="preserve"> it suggests an increasing affordability problem. This </w:t>
            </w:r>
            <w:proofErr w:type="gramStart"/>
            <w:r>
              <w:t>should be further investigated</w:t>
            </w:r>
            <w:proofErr w:type="gramEnd"/>
            <w:r>
              <w:t xml:space="preserve"> by separating the effects of prices versus interest rates. Additional information to assist interpretation would include trends in prices and in incomes, including by age category.</w:t>
            </w:r>
          </w:p>
        </w:tc>
      </w:tr>
      <w:tr w:rsidR="00183668" w:rsidRPr="004C33D1" w:rsidTr="00876A9A">
        <w:tblPrEx>
          <w:tblCellMar>
            <w:top w:w="0" w:type="dxa"/>
            <w:bottom w:w="0"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685" w:type="pct"/>
            <w:tcBorders>
              <w:left w:val="single" w:sz="8" w:space="0" w:color="A6A6A6" w:themeColor="background1" w:themeShade="A6"/>
              <w:right w:val="single" w:sz="8" w:space="0" w:color="A6A6A6" w:themeColor="background1" w:themeShade="A6"/>
            </w:tcBorders>
            <w:vAlign w:val="top"/>
          </w:tcPr>
          <w:p w:rsidR="00183668" w:rsidRPr="004C33D1" w:rsidRDefault="00183668" w:rsidP="00876A9A">
            <w:pPr>
              <w:pStyle w:val="TableText"/>
            </w:pPr>
          </w:p>
        </w:tc>
        <w:tc>
          <w:tcPr>
            <w:tcW w:w="1220" w:type="pct"/>
            <w:tcBorders>
              <w:top w:val="single" w:sz="8" w:space="0" w:color="A6A6A6" w:themeColor="background1" w:themeShade="A6"/>
              <w:left w:val="single" w:sz="8" w:space="0" w:color="A6A6A6" w:themeColor="background1" w:themeShade="A6"/>
              <w:right w:val="single" w:sz="8" w:space="0" w:color="A6A6A6" w:themeColor="background1" w:themeShade="A6"/>
            </w:tcBorders>
            <w:shd w:val="clear" w:color="auto" w:fill="auto"/>
            <w:vAlign w:val="top"/>
          </w:tcPr>
          <w:p w:rsidR="00183668" w:rsidRPr="004C33D1" w:rsidRDefault="00183668" w:rsidP="00876A9A">
            <w:pPr>
              <w:pStyle w:val="TableText"/>
              <w:numPr>
                <w:ilvl w:val="0"/>
                <w:numId w:val="113"/>
              </w:numPr>
              <w:ind w:left="0" w:firstLine="0"/>
              <w:jc w:val="left"/>
              <w:cnfStyle w:val="010000000000" w:firstRow="0" w:lastRow="1" w:firstColumn="0" w:lastColumn="0" w:oddVBand="0" w:evenVBand="0" w:oddHBand="0" w:evenHBand="0" w:firstRowFirstColumn="0" w:firstRowLastColumn="0" w:lastRowFirstColumn="0" w:lastRowLastColumn="0"/>
            </w:pPr>
            <w:r w:rsidRPr="004C33D1">
              <w:t>Rent payments to income</w:t>
            </w:r>
            <w:r>
              <w:t xml:space="preserve"> ratio</w:t>
            </w:r>
          </w:p>
        </w:tc>
        <w:tc>
          <w:tcPr>
            <w:tcW w:w="3095" w:type="pct"/>
            <w:tcBorders>
              <w:top w:val="single" w:sz="8" w:space="0" w:color="A6A6A6" w:themeColor="background1" w:themeShade="A6"/>
              <w:left w:val="single" w:sz="8" w:space="0" w:color="A6A6A6" w:themeColor="background1" w:themeShade="A6"/>
              <w:right w:val="single" w:sz="8" w:space="0" w:color="A6A6A6" w:themeColor="background1" w:themeShade="A6"/>
            </w:tcBorders>
            <w:shd w:val="clear" w:color="auto" w:fill="auto"/>
            <w:vAlign w:val="top"/>
          </w:tcPr>
          <w:p w:rsidR="00183668" w:rsidRPr="004C33D1" w:rsidRDefault="00183668" w:rsidP="00876A9A">
            <w:pPr>
              <w:pStyle w:val="TableText"/>
              <w:jc w:val="left"/>
              <w:cnfStyle w:val="010000000000" w:firstRow="0" w:lastRow="1" w:firstColumn="0" w:lastColumn="0" w:oddVBand="0" w:evenVBand="0" w:oddHBand="0" w:evenHBand="0" w:firstRowFirstColumn="0" w:firstRowLastColumn="0" w:lastRowFirstColumn="0" w:lastRowLastColumn="0"/>
            </w:pPr>
            <w:r>
              <w:t xml:space="preserve">If the ratio is </w:t>
            </w:r>
            <w:proofErr w:type="gramStart"/>
            <w:r>
              <w:t>increasing</w:t>
            </w:r>
            <w:proofErr w:type="gramEnd"/>
            <w:r>
              <w:t xml:space="preserve"> it suggests an increasing affordability problem. This </w:t>
            </w:r>
            <w:proofErr w:type="gramStart"/>
            <w:r>
              <w:t>should be further investigated</w:t>
            </w:r>
            <w:proofErr w:type="gramEnd"/>
            <w:r>
              <w:t xml:space="preserve"> by comparing trends in rents with trends in ho</w:t>
            </w:r>
            <w:r w:rsidR="000D3E84">
              <w:t>m</w:t>
            </w:r>
            <w:r>
              <w:t>e prices.</w:t>
            </w:r>
          </w:p>
        </w:tc>
      </w:tr>
    </w:tbl>
    <w:p w:rsidR="00183668" w:rsidRPr="004C33D1" w:rsidRDefault="00183668" w:rsidP="00183668"/>
    <w:p w:rsidR="005F6926" w:rsidRPr="004C33D1" w:rsidRDefault="005F6926" w:rsidP="00E8250A">
      <w:pPr>
        <w:pStyle w:val="Heading3"/>
        <w:numPr>
          <w:ilvl w:val="0"/>
          <w:numId w:val="0"/>
        </w:numPr>
      </w:pPr>
      <w:r w:rsidRPr="004C33D1">
        <w:lastRenderedPageBreak/>
        <w:t>Institutional Arrangements</w:t>
      </w:r>
    </w:p>
    <w:p w:rsidR="005F6926" w:rsidRPr="004C33D1" w:rsidRDefault="005F6926" w:rsidP="005F6926">
      <w:pPr>
        <w:pStyle w:val="Heading4"/>
      </w:pPr>
      <w:r w:rsidRPr="004C33D1">
        <w:t>National direction and non-statutory guidance</w:t>
      </w:r>
    </w:p>
    <w:p w:rsidR="005F6926" w:rsidRDefault="00E8250A" w:rsidP="005F6926">
      <w:r>
        <w:t xml:space="preserve">We recommend that </w:t>
      </w:r>
      <w:r w:rsidR="005F6926" w:rsidRPr="004C33D1">
        <w:t>the NPS-UDC</w:t>
      </w:r>
      <w:r>
        <w:t xml:space="preserve"> i</w:t>
      </w:r>
      <w:r w:rsidR="005F6926" w:rsidRPr="004C33D1">
        <w:t>nclude</w:t>
      </w:r>
      <w:r>
        <w:t>s</w:t>
      </w:r>
      <w:r w:rsidR="005F6926" w:rsidRPr="004C33D1">
        <w:t xml:space="preserve"> </w:t>
      </w:r>
      <w:r w:rsidR="005F6926" w:rsidRPr="004C33D1">
        <w:rPr>
          <w:i/>
        </w:rPr>
        <w:t>some</w:t>
      </w:r>
      <w:r w:rsidR="005F6926" w:rsidRPr="004C33D1">
        <w:t xml:space="preserve"> specific price signal</w:t>
      </w:r>
      <w:r>
        <w:t>s as requirements for councils</w:t>
      </w:r>
      <w:r w:rsidR="005F6926" w:rsidRPr="004C33D1">
        <w:t>, and provide guidance that includes additional price signals that are optional to measure.</w:t>
      </w:r>
      <w:r>
        <w:t xml:space="preserve"> </w:t>
      </w:r>
      <w:r w:rsidR="005F6926" w:rsidRPr="004C33D1">
        <w:t xml:space="preserve">Having a small set of indicators measured across all councils would provide the ability to make comparisons. It is also likely that a small set of indicators would be useful in most circumstances. </w:t>
      </w:r>
    </w:p>
    <w:p w:rsidR="005F6926" w:rsidRDefault="005F6926" w:rsidP="005F6926"/>
    <w:p w:rsidR="005F6926" w:rsidRDefault="005F6926" w:rsidP="005F6926">
      <w:r>
        <w:t>Of the indicators listed above, we suggest that:</w:t>
      </w:r>
    </w:p>
    <w:p w:rsidR="005F6926" w:rsidRDefault="005F6926" w:rsidP="005F6926"/>
    <w:p w:rsidR="005F6926" w:rsidRDefault="001838F3" w:rsidP="006277DC">
      <w:pPr>
        <w:pStyle w:val="ListParagraph"/>
        <w:numPr>
          <w:ilvl w:val="0"/>
          <w:numId w:val="101"/>
        </w:numPr>
      </w:pPr>
      <w:r>
        <w:t>t</w:t>
      </w:r>
      <w:r w:rsidR="005F6926">
        <w:t>he price trend indicators (</w:t>
      </w:r>
      <w:r w:rsidR="001A72CC">
        <w:t xml:space="preserve">home </w:t>
      </w:r>
      <w:r w:rsidR="005F6926">
        <w:t>prices and rents) are collected by all councils;</w:t>
      </w:r>
      <w:r>
        <w:br/>
      </w:r>
    </w:p>
    <w:p w:rsidR="005F6926" w:rsidRDefault="001838F3" w:rsidP="006277DC">
      <w:pPr>
        <w:pStyle w:val="ListParagraph"/>
        <w:numPr>
          <w:ilvl w:val="0"/>
          <w:numId w:val="101"/>
        </w:numPr>
      </w:pPr>
      <w:r>
        <w:t>t</w:t>
      </w:r>
      <w:r w:rsidR="005F6926">
        <w:t>he ratio of population growth to new consents plus data on the size of new consented dwellings are collected by all councils; and</w:t>
      </w:r>
      <w:r>
        <w:br/>
      </w:r>
    </w:p>
    <w:p w:rsidR="005F6926" w:rsidRDefault="001838F3" w:rsidP="006277DC">
      <w:pPr>
        <w:pStyle w:val="ListParagraph"/>
        <w:numPr>
          <w:ilvl w:val="0"/>
          <w:numId w:val="101"/>
        </w:numPr>
      </w:pPr>
      <w:proofErr w:type="gramStart"/>
      <w:r>
        <w:t>a</w:t>
      </w:r>
      <w:r w:rsidR="005F6926">
        <w:t>ffordability</w:t>
      </w:r>
      <w:proofErr w:type="gramEnd"/>
      <w:r w:rsidR="005F6926">
        <w:t xml:space="preserve"> indicators are published for all council areas using data from the HAM.</w:t>
      </w:r>
    </w:p>
    <w:p w:rsidR="005F6926" w:rsidRDefault="005F6926" w:rsidP="005F6926"/>
    <w:p w:rsidR="005F6926" w:rsidRDefault="005F6926" w:rsidP="005F6926">
      <w:r>
        <w:t xml:space="preserve">Efficient price indicators </w:t>
      </w:r>
      <w:proofErr w:type="gramStart"/>
      <w:r>
        <w:t>should be developed</w:t>
      </w:r>
      <w:proofErr w:type="gramEnd"/>
      <w:r>
        <w:t xml:space="preserve"> where these indicators suggest that: </w:t>
      </w:r>
    </w:p>
    <w:p w:rsidR="001838F3" w:rsidRDefault="001838F3" w:rsidP="005F6926"/>
    <w:p w:rsidR="005F6926" w:rsidRDefault="005F6926" w:rsidP="006277DC">
      <w:pPr>
        <w:pStyle w:val="ListParagraph"/>
        <w:numPr>
          <w:ilvl w:val="0"/>
          <w:numId w:val="102"/>
        </w:numPr>
      </w:pPr>
      <w:r>
        <w:t>prices are rising significantly faster than inflation rates;</w:t>
      </w:r>
      <w:r w:rsidR="001838F3">
        <w:br/>
      </w:r>
    </w:p>
    <w:p w:rsidR="005F6926" w:rsidRDefault="005F6926" w:rsidP="006277DC">
      <w:pPr>
        <w:pStyle w:val="ListParagraph"/>
        <w:numPr>
          <w:ilvl w:val="0"/>
          <w:numId w:val="102"/>
        </w:numPr>
      </w:pPr>
      <w:r>
        <w:t>new consents are not keeping pace with population growth or buildings are only meeting the requirements of certain segments of the population; or</w:t>
      </w:r>
      <w:r w:rsidR="001838F3">
        <w:br/>
      </w:r>
    </w:p>
    <w:p w:rsidR="005F6926" w:rsidRDefault="005F6926" w:rsidP="006277DC">
      <w:pPr>
        <w:pStyle w:val="ListParagraph"/>
        <w:numPr>
          <w:ilvl w:val="0"/>
          <w:numId w:val="102"/>
        </w:numPr>
      </w:pPr>
      <w:proofErr w:type="gramStart"/>
      <w:r>
        <w:t>the</w:t>
      </w:r>
      <w:proofErr w:type="gramEnd"/>
      <w:r>
        <w:t xml:space="preserve"> HAM indicators suggest that affordability is becoming significantly worse.</w:t>
      </w:r>
    </w:p>
    <w:p w:rsidR="005F6926" w:rsidRPr="004C33D1" w:rsidRDefault="005F6926" w:rsidP="005F6926">
      <w:pPr>
        <w:pStyle w:val="Heading4"/>
      </w:pPr>
      <w:r w:rsidRPr="004C33D1">
        <w:t xml:space="preserve">The role of central and local government: </w:t>
      </w:r>
    </w:p>
    <w:p w:rsidR="005F6926" w:rsidRPr="004C33D1" w:rsidRDefault="00DC4367" w:rsidP="005F6926">
      <w:r w:rsidRPr="004C33D1">
        <w:t>Central government has better access to consistent data, eg</w:t>
      </w:r>
      <w:r w:rsidR="00AE73D6">
        <w:t xml:space="preserve">, </w:t>
      </w:r>
      <w:r w:rsidR="00AE73D6" w:rsidRPr="004C33D1">
        <w:t>through</w:t>
      </w:r>
      <w:r w:rsidR="001A72CC">
        <w:t xml:space="preserve"> its</w:t>
      </w:r>
      <w:r w:rsidRPr="004C33D1">
        <w:t xml:space="preserve"> purchase arrangement with CoreLogic and access to administrative data through Statistics New Zealand’s Integrated Data Infrastructure, eg tax data. At a minimum, there is a role for central government in providing </w:t>
      </w:r>
      <w:r>
        <w:t xml:space="preserve">some </w:t>
      </w:r>
      <w:r w:rsidRPr="004C33D1">
        <w:t>data to councils</w:t>
      </w:r>
      <w:r>
        <w:t xml:space="preserve"> or facilitating this in the most efficient way</w:t>
      </w:r>
      <w:r w:rsidRPr="004C33D1">
        <w:t>.</w:t>
      </w:r>
      <w:r w:rsidR="005F6926" w:rsidRPr="004C33D1">
        <w:br/>
      </w:r>
    </w:p>
    <w:p w:rsidR="005F6926" w:rsidRPr="004C33D1" w:rsidRDefault="005F6926" w:rsidP="005F6926">
      <w:r w:rsidRPr="004C33D1">
        <w:t xml:space="preserve">Central government </w:t>
      </w:r>
      <w:r w:rsidR="00DC4367">
        <w:t>is likely also to</w:t>
      </w:r>
      <w:r w:rsidRPr="004C33D1">
        <w:t xml:space="preserve"> have better ability </w:t>
      </w:r>
      <w:proofErr w:type="gramStart"/>
      <w:r w:rsidRPr="004C33D1">
        <w:t>to</w:t>
      </w:r>
      <w:proofErr w:type="gramEnd"/>
      <w:r w:rsidR="00DC4367">
        <w:t>:</w:t>
      </w:r>
    </w:p>
    <w:p w:rsidR="005F6926" w:rsidRPr="004C33D1" w:rsidRDefault="005F6926" w:rsidP="006277DC">
      <w:pPr>
        <w:pStyle w:val="ListParagraph"/>
        <w:numPr>
          <w:ilvl w:val="0"/>
          <w:numId w:val="60"/>
        </w:numPr>
      </w:pPr>
      <w:r w:rsidRPr="004C33D1">
        <w:t>develop and implement consistent and sophisticated methodologies</w:t>
      </w:r>
      <w:r w:rsidR="00DC4367">
        <w:t>, and interpret indicators</w:t>
      </w:r>
      <w:r w:rsidRPr="004C33D1">
        <w:t>; and/or</w:t>
      </w:r>
    </w:p>
    <w:p w:rsidR="005F6926" w:rsidRPr="004C33D1" w:rsidRDefault="005F6926" w:rsidP="006277DC">
      <w:pPr>
        <w:pStyle w:val="ListParagraph"/>
        <w:numPr>
          <w:ilvl w:val="0"/>
          <w:numId w:val="60"/>
        </w:numPr>
      </w:pPr>
      <w:proofErr w:type="gramStart"/>
      <w:r w:rsidRPr="004C33D1">
        <w:t>purchase</w:t>
      </w:r>
      <w:proofErr w:type="gramEnd"/>
      <w:r w:rsidRPr="004C33D1">
        <w:t xml:space="preserve"> skills without duplicating effort. </w:t>
      </w:r>
      <w:r w:rsidRPr="004C33D1">
        <w:br/>
      </w:r>
    </w:p>
    <w:p w:rsidR="005F6926" w:rsidRPr="004C33D1" w:rsidRDefault="005F6926" w:rsidP="005F6926">
      <w:r w:rsidRPr="004C33D1">
        <w:t>Local government potentially has better local information on determinants of prices, development costs, and so on.</w:t>
      </w:r>
      <w:r>
        <w:t xml:space="preserve"> However, l</w:t>
      </w:r>
      <w:r w:rsidRPr="004C33D1">
        <w:t xml:space="preserve">ocal government capability to develop indicators </w:t>
      </w:r>
      <w:proofErr w:type="gramStart"/>
      <w:r w:rsidRPr="004C33D1">
        <w:t>is mixed</w:t>
      </w:r>
      <w:proofErr w:type="gramEnd"/>
      <w:r w:rsidRPr="004C33D1">
        <w:t>, reflecting council size and skill levels of staff.</w:t>
      </w:r>
      <w:r>
        <w:t xml:space="preserve"> Therefore</w:t>
      </w:r>
      <w:r w:rsidR="00712A3C">
        <w:t>,</w:t>
      </w:r>
      <w:r>
        <w:t xml:space="preserve"> p</w:t>
      </w:r>
      <w:r w:rsidRPr="004C33D1">
        <w:t xml:space="preserve">artnership approaches between councils, or between councils and central government, should be </w:t>
      </w:r>
      <w:r>
        <w:t>encouraged.</w:t>
      </w:r>
    </w:p>
    <w:p w:rsidR="00712A3C" w:rsidRDefault="00712A3C" w:rsidP="005F6926"/>
    <w:p w:rsidR="00F269CB" w:rsidRDefault="00F269CB" w:rsidP="005F6926"/>
    <w:p w:rsidR="00F269CB" w:rsidRDefault="00F269CB" w:rsidP="005F6926"/>
    <w:p w:rsidR="005F6926" w:rsidRDefault="005F6926" w:rsidP="005F6926">
      <w:r>
        <w:lastRenderedPageBreak/>
        <w:t xml:space="preserve">It </w:t>
      </w:r>
      <w:proofErr w:type="gramStart"/>
      <w:r>
        <w:t>is recommended</w:t>
      </w:r>
      <w:proofErr w:type="gramEnd"/>
      <w:r>
        <w:t xml:space="preserve"> that:</w:t>
      </w:r>
    </w:p>
    <w:p w:rsidR="005F6926" w:rsidRDefault="005F6926" w:rsidP="005F6926"/>
    <w:p w:rsidR="005F6926" w:rsidRDefault="005F6926" w:rsidP="006277DC">
      <w:pPr>
        <w:pStyle w:val="ListParagraph"/>
        <w:numPr>
          <w:ilvl w:val="0"/>
          <w:numId w:val="103"/>
        </w:numPr>
      </w:pPr>
      <w:r>
        <w:t>central government</w:t>
      </w:r>
    </w:p>
    <w:p w:rsidR="005F6926" w:rsidRDefault="005F6926" w:rsidP="006277DC">
      <w:pPr>
        <w:pStyle w:val="ListParagraph"/>
        <w:numPr>
          <w:ilvl w:val="1"/>
          <w:numId w:val="103"/>
        </w:numPr>
      </w:pPr>
      <w:r>
        <w:t xml:space="preserve">compiles a consistent set of data on </w:t>
      </w:r>
      <w:r w:rsidR="00476648">
        <w:t xml:space="preserve">home </w:t>
      </w:r>
      <w:r>
        <w:t>prices and rents which it provides to councils;</w:t>
      </w:r>
    </w:p>
    <w:p w:rsidR="005F6926" w:rsidRDefault="005F6926" w:rsidP="006277DC">
      <w:pPr>
        <w:pStyle w:val="ListParagraph"/>
        <w:numPr>
          <w:ilvl w:val="1"/>
          <w:numId w:val="103"/>
        </w:numPr>
      </w:pPr>
      <w:r>
        <w:t xml:space="preserve">continues to develop the HAM and provides housing affordability indicator results to councils; </w:t>
      </w:r>
    </w:p>
    <w:p w:rsidR="005F6926" w:rsidRDefault="005F6926" w:rsidP="006277DC">
      <w:pPr>
        <w:pStyle w:val="ListParagraph"/>
        <w:numPr>
          <w:ilvl w:val="1"/>
          <w:numId w:val="103"/>
        </w:numPr>
      </w:pPr>
      <w:r>
        <w:t>provides advice to councils on: (1) the development of models to analyse price discontinuities across zones and (2) the analysis of the differences between prices and marginal construction costs; and</w:t>
      </w:r>
    </w:p>
    <w:p w:rsidR="005F6926" w:rsidRDefault="005F6926" w:rsidP="006277DC">
      <w:pPr>
        <w:pStyle w:val="ListParagraph"/>
        <w:numPr>
          <w:ilvl w:val="1"/>
          <w:numId w:val="103"/>
        </w:numPr>
      </w:pPr>
      <w:r>
        <w:t>provides oth</w:t>
      </w:r>
      <w:r w:rsidR="00F269CB">
        <w:t>er technical advice as required;</w:t>
      </w:r>
      <w:r>
        <w:br/>
      </w:r>
    </w:p>
    <w:p w:rsidR="005F6926" w:rsidRDefault="005F6926" w:rsidP="006277DC">
      <w:pPr>
        <w:pStyle w:val="ListParagraph"/>
        <w:numPr>
          <w:ilvl w:val="0"/>
          <w:numId w:val="103"/>
        </w:numPr>
      </w:pPr>
      <w:r>
        <w:t>local government</w:t>
      </w:r>
    </w:p>
    <w:p w:rsidR="005F6926" w:rsidRDefault="005F6926" w:rsidP="006277DC">
      <w:pPr>
        <w:pStyle w:val="ListParagraph"/>
        <w:numPr>
          <w:ilvl w:val="1"/>
          <w:numId w:val="103"/>
        </w:numPr>
      </w:pPr>
      <w:r>
        <w:t>develops and publishes indicators of price trends, and the ratio of population increase to new building consents with building size data;</w:t>
      </w:r>
    </w:p>
    <w:p w:rsidR="005F6926" w:rsidRDefault="005F6926" w:rsidP="006277DC">
      <w:pPr>
        <w:pStyle w:val="ListParagraph"/>
        <w:numPr>
          <w:ilvl w:val="1"/>
          <w:numId w:val="103"/>
        </w:numPr>
      </w:pPr>
      <w:r>
        <w:t xml:space="preserve">analyses these data and the HAM indicators; </w:t>
      </w:r>
    </w:p>
    <w:p w:rsidR="005F6926" w:rsidRDefault="005F6926" w:rsidP="006277DC">
      <w:pPr>
        <w:pStyle w:val="ListParagraph"/>
        <w:numPr>
          <w:ilvl w:val="1"/>
          <w:numId w:val="103"/>
        </w:numPr>
      </w:pPr>
      <w:r>
        <w:t>develops efficient price indicators, as required, in response to the initial problem identification; and</w:t>
      </w:r>
    </w:p>
    <w:p w:rsidR="005F6926" w:rsidRDefault="005F6926" w:rsidP="006277DC">
      <w:pPr>
        <w:pStyle w:val="ListParagraph"/>
        <w:numPr>
          <w:ilvl w:val="1"/>
          <w:numId w:val="103"/>
        </w:numPr>
      </w:pPr>
      <w:proofErr w:type="gramStart"/>
      <w:r>
        <w:t>responds</w:t>
      </w:r>
      <w:proofErr w:type="gramEnd"/>
      <w:r>
        <w:t xml:space="preserve"> to a significant </w:t>
      </w:r>
      <w:r w:rsidR="00476648">
        <w:t xml:space="preserve">market </w:t>
      </w:r>
      <w:r>
        <w:t>problem if identified.</w:t>
      </w:r>
    </w:p>
    <w:p w:rsidR="005F6926" w:rsidRDefault="005F6926" w:rsidP="005F6926"/>
    <w:p w:rsidR="0072433C" w:rsidRPr="004C33D1" w:rsidRDefault="0072433C" w:rsidP="0072433C">
      <w:pPr>
        <w:rPr>
          <w:rFonts w:ascii="Century Gothic" w:hAnsi="Century Gothic" w:cs="Arial"/>
          <w:b/>
          <w:bCs/>
          <w:sz w:val="36"/>
          <w:szCs w:val="32"/>
        </w:rPr>
      </w:pPr>
    </w:p>
    <w:p w:rsidR="0072433C" w:rsidRPr="004C33D1" w:rsidRDefault="0072433C" w:rsidP="0072433C"/>
    <w:p w:rsidR="0072433C" w:rsidRPr="004C33D1" w:rsidRDefault="0072433C" w:rsidP="0072433C"/>
    <w:p w:rsidR="0072433C" w:rsidRPr="004C33D1" w:rsidRDefault="0072433C" w:rsidP="0072433C"/>
    <w:p w:rsidR="0072433C" w:rsidRPr="004C33D1" w:rsidRDefault="0072433C" w:rsidP="0072433C"/>
    <w:p w:rsidR="00824C1C" w:rsidRPr="004C33D1" w:rsidRDefault="00824C1C" w:rsidP="00714C55"/>
    <w:p w:rsidR="0087135F" w:rsidRPr="004C33D1" w:rsidRDefault="0087135F" w:rsidP="00714C55">
      <w:pPr>
        <w:sectPr w:rsidR="0087135F" w:rsidRPr="004C33D1" w:rsidSect="0093746D">
          <w:headerReference w:type="default" r:id="rId21"/>
          <w:footerReference w:type="default" r:id="rId22"/>
          <w:headerReference w:type="first" r:id="rId23"/>
          <w:footerReference w:type="first" r:id="rId24"/>
          <w:pgSz w:w="11907" w:h="16840" w:code="9"/>
          <w:pgMar w:top="1678" w:right="1701" w:bottom="1418" w:left="1985" w:header="720" w:footer="835" w:gutter="0"/>
          <w:pgNumType w:fmt="lowerRoman" w:start="1"/>
          <w:cols w:space="720"/>
          <w:docGrid w:linePitch="360"/>
        </w:sectPr>
      </w:pPr>
    </w:p>
    <w:p w:rsidR="00827E15" w:rsidRPr="004C33D1" w:rsidRDefault="00827E15" w:rsidP="00956D3F">
      <w:pPr>
        <w:pStyle w:val="Heading1"/>
      </w:pPr>
      <w:bookmarkStart w:id="28" w:name="_Toc462413607"/>
      <w:bookmarkStart w:id="29" w:name="_Toc462582159"/>
      <w:r w:rsidRPr="004C33D1">
        <w:lastRenderedPageBreak/>
        <w:t>Introduction</w:t>
      </w:r>
      <w:bookmarkEnd w:id="28"/>
      <w:bookmarkEnd w:id="29"/>
    </w:p>
    <w:p w:rsidR="00827E15" w:rsidRPr="004C33D1" w:rsidRDefault="00827E15" w:rsidP="00220C7C">
      <w:pPr>
        <w:pStyle w:val="Heading2"/>
      </w:pPr>
      <w:bookmarkStart w:id="30" w:name="_Toc462413608"/>
      <w:bookmarkStart w:id="31" w:name="_Toc462582160"/>
      <w:r w:rsidRPr="004C33D1">
        <w:t>Background</w:t>
      </w:r>
      <w:bookmarkEnd w:id="30"/>
      <w:bookmarkEnd w:id="31"/>
    </w:p>
    <w:p w:rsidR="00827E15" w:rsidRPr="004C33D1" w:rsidRDefault="00DC4367" w:rsidP="00827E15">
      <w:pPr>
        <w:pStyle w:val="Heading3"/>
      </w:pPr>
      <w:r>
        <w:t>The r</w:t>
      </w:r>
      <w:r w:rsidR="00827E15" w:rsidRPr="004C33D1">
        <w:t xml:space="preserve">equirement </w:t>
      </w:r>
      <w:r>
        <w:t>to monitor price s</w:t>
      </w:r>
      <w:r w:rsidR="00827E15" w:rsidRPr="004C33D1">
        <w:t>ignals</w:t>
      </w:r>
    </w:p>
    <w:p w:rsidR="00DC4367" w:rsidRPr="004C33D1" w:rsidRDefault="00DC4367" w:rsidP="00DC4367">
      <w:r w:rsidRPr="004C33D1">
        <w:t>This study examines indicators (</w:t>
      </w:r>
      <w:r>
        <w:t xml:space="preserve">or </w:t>
      </w:r>
      <w:r w:rsidRPr="004C33D1">
        <w:t xml:space="preserve">price signals) that </w:t>
      </w:r>
      <w:r>
        <w:t xml:space="preserve">provide information about demand for and supply of housing and business land, and which </w:t>
      </w:r>
      <w:r w:rsidRPr="004C33D1">
        <w:t>could signal a need to make more development capacity available</w:t>
      </w:r>
      <w:r>
        <w:t xml:space="preserve"> in resource management plans.  This is</w:t>
      </w:r>
      <w:r w:rsidRPr="004C33D1">
        <w:t xml:space="preserve"> to meet requirements of the National Policy Statement for Urban Development Capacity (NPS-UDC).</w:t>
      </w:r>
      <w:r w:rsidRPr="004C33D1">
        <w:rPr>
          <w:rStyle w:val="FootnoteReference"/>
        </w:rPr>
        <w:footnoteReference w:id="2"/>
      </w:r>
      <w:r w:rsidRPr="004C33D1">
        <w:t xml:space="preserve"> </w:t>
      </w:r>
      <w:r>
        <w:t>The study</w:t>
      </w:r>
      <w:r w:rsidRPr="004C33D1">
        <w:t xml:space="preserve"> identifies market indicators to help councils better understand local </w:t>
      </w:r>
      <w:r>
        <w:t xml:space="preserve">land and development </w:t>
      </w:r>
      <w:r w:rsidRPr="004C33D1">
        <w:t xml:space="preserve">markets and to identify whether urban planning policies or infrastructure </w:t>
      </w:r>
      <w:r>
        <w:t>limits</w:t>
      </w:r>
      <w:r w:rsidRPr="004C33D1">
        <w:t xml:space="preserve"> are excessively constraining </w:t>
      </w:r>
      <w:r>
        <w:t>supply</w:t>
      </w:r>
      <w:r w:rsidRPr="004C33D1">
        <w:t xml:space="preserve">. It also examines council capabilities and other practical requirements of the </w:t>
      </w:r>
      <w:r w:rsidR="001838F3">
        <w:t xml:space="preserve">development and </w:t>
      </w:r>
      <w:r w:rsidRPr="004C33D1">
        <w:t>use of indicators.</w:t>
      </w:r>
      <w:r>
        <w:t xml:space="preserve"> This information will inform the final NPS-UDC and </w:t>
      </w:r>
      <w:r w:rsidR="001838F3">
        <w:t xml:space="preserve">provide </w:t>
      </w:r>
      <w:r>
        <w:t>support for its implementation.</w:t>
      </w:r>
    </w:p>
    <w:p w:rsidR="00DC4367" w:rsidRPr="004C33D1" w:rsidRDefault="00DC4367" w:rsidP="00DC4367"/>
    <w:p w:rsidR="00DC4367" w:rsidRDefault="00DC4367" w:rsidP="00DC4367">
      <w:r>
        <w:t>A draft</w:t>
      </w:r>
      <w:r w:rsidRPr="004C33D1">
        <w:t xml:space="preserve"> NPS-UDC </w:t>
      </w:r>
      <w:proofErr w:type="gramStart"/>
      <w:r w:rsidRPr="004C33D1">
        <w:t>was released</w:t>
      </w:r>
      <w:proofErr w:type="gramEnd"/>
      <w:r w:rsidRPr="004C33D1">
        <w:t xml:space="preserve"> for consultation on 3</w:t>
      </w:r>
      <w:r w:rsidRPr="004C33D1">
        <w:rPr>
          <w:vertAlign w:val="superscript"/>
        </w:rPr>
        <w:t>rd</w:t>
      </w:r>
      <w:r w:rsidRPr="004C33D1">
        <w:t xml:space="preserve"> June 2016. It</w:t>
      </w:r>
      <w:r>
        <w:t xml:space="preserve">s content </w:t>
      </w:r>
      <w:proofErr w:type="gramStart"/>
      <w:r>
        <w:t>was underpinned</w:t>
      </w:r>
      <w:proofErr w:type="gramEnd"/>
      <w:r>
        <w:t xml:space="preserve"> by</w:t>
      </w:r>
      <w:r w:rsidRPr="004C33D1">
        <w:t xml:space="preserve"> increasing </w:t>
      </w:r>
      <w:r>
        <w:t xml:space="preserve">government </w:t>
      </w:r>
      <w:r w:rsidRPr="004C33D1">
        <w:t xml:space="preserve">concerns over land prices </w:t>
      </w:r>
      <w:r>
        <w:t xml:space="preserve">and “unaffordable” housing </w:t>
      </w:r>
      <w:r w:rsidRPr="004C33D1">
        <w:t>in New Zealand’s major urban areas</w:t>
      </w:r>
      <w:r>
        <w:t xml:space="preserve">. </w:t>
      </w:r>
      <w:r w:rsidRPr="004C33D1">
        <w:t xml:space="preserve">It identifies that part of the problem is </w:t>
      </w:r>
      <w:r>
        <w:t>planning</w:t>
      </w:r>
      <w:r w:rsidRPr="004C33D1">
        <w:t xml:space="preserve"> that inappropriately constrain</w:t>
      </w:r>
      <w:r>
        <w:t>s</w:t>
      </w:r>
      <w:r w:rsidRPr="004C33D1">
        <w:t xml:space="preserve"> development. It offers part of the solution to the problem, by directing local authorities to provide </w:t>
      </w:r>
      <w:r>
        <w:t xml:space="preserve">sufficient </w:t>
      </w:r>
      <w:r w:rsidRPr="004C33D1">
        <w:t xml:space="preserve">residential and business development capacity </w:t>
      </w:r>
      <w:r>
        <w:t xml:space="preserve">in their plans </w:t>
      </w:r>
      <w:r w:rsidRPr="004C33D1">
        <w:t xml:space="preserve">to meet demand. </w:t>
      </w:r>
    </w:p>
    <w:p w:rsidR="00DC4367" w:rsidRDefault="00DC4367" w:rsidP="00DC4367"/>
    <w:p w:rsidR="00DC4367" w:rsidRDefault="00DC4367" w:rsidP="006277DC">
      <w:pPr>
        <w:pStyle w:val="ListParagraph"/>
        <w:numPr>
          <w:ilvl w:val="0"/>
          <w:numId w:val="106"/>
        </w:numPr>
      </w:pPr>
      <w:r w:rsidRPr="00DC4367">
        <w:rPr>
          <w:b/>
        </w:rPr>
        <w:t>Demand</w:t>
      </w:r>
      <w:r>
        <w:t xml:space="preserve"> </w:t>
      </w:r>
      <w:proofErr w:type="gramStart"/>
      <w:r>
        <w:t>is defined</w:t>
      </w:r>
      <w:proofErr w:type="gramEnd"/>
      <w:r>
        <w:t xml:space="preserve"> in the draft NPS-UDC as both aggregate demand for housing and business space, and demands for different locations, typologies and price points. </w:t>
      </w:r>
      <w:r>
        <w:br/>
      </w:r>
    </w:p>
    <w:p w:rsidR="00DC4367" w:rsidRPr="004C33D1" w:rsidRDefault="00DC4367" w:rsidP="006277DC">
      <w:pPr>
        <w:pStyle w:val="ListParagraph"/>
        <w:numPr>
          <w:ilvl w:val="0"/>
          <w:numId w:val="106"/>
        </w:numPr>
      </w:pPr>
      <w:r w:rsidRPr="00DC4367">
        <w:rPr>
          <w:b/>
        </w:rPr>
        <w:t>Development capacity</w:t>
      </w:r>
      <w:r w:rsidRPr="004C33D1">
        <w:t xml:space="preserve"> </w:t>
      </w:r>
      <w:proofErr w:type="gramStart"/>
      <w:r w:rsidRPr="004C33D1">
        <w:t>is defined</w:t>
      </w:r>
      <w:proofErr w:type="gramEnd"/>
      <w:r w:rsidRPr="004C33D1">
        <w:t xml:space="preserve"> as </w:t>
      </w:r>
      <w:r w:rsidR="00067595">
        <w:t>zoning and infrastructure that enables development of some amount</w:t>
      </w:r>
      <w:r w:rsidR="00067595" w:rsidRPr="004C33D1">
        <w:t>.</w:t>
      </w:r>
      <w:r w:rsidRPr="004C33D1">
        <w:rPr>
          <w:rStyle w:val="FootnoteReference"/>
        </w:rPr>
        <w:footnoteReference w:id="3"/>
      </w:r>
      <w:r w:rsidRPr="004C33D1">
        <w:t xml:space="preserve"> </w:t>
      </w:r>
      <w:r>
        <w:t xml:space="preserve">This </w:t>
      </w:r>
      <w:r w:rsidRPr="004C33D1">
        <w:t xml:space="preserve">includes </w:t>
      </w:r>
      <w:r>
        <w:t xml:space="preserve">capacity for development on </w:t>
      </w:r>
      <w:r w:rsidRPr="004C33D1">
        <w:t xml:space="preserve">new </w:t>
      </w:r>
      <w:proofErr w:type="gramStart"/>
      <w:r w:rsidRPr="004C33D1">
        <w:t>greenfield</w:t>
      </w:r>
      <w:proofErr w:type="gramEnd"/>
      <w:r w:rsidRPr="004C33D1">
        <w:t xml:space="preserve"> (bare) land and opportunities for additional development in existing urban areas.</w:t>
      </w:r>
    </w:p>
    <w:p w:rsidR="00DC4367" w:rsidRPr="004C33D1" w:rsidRDefault="00DC4367" w:rsidP="00DC4367"/>
    <w:p w:rsidR="00DC4367" w:rsidRPr="004C33D1" w:rsidRDefault="00DC4367" w:rsidP="00DC4367">
      <w:r w:rsidRPr="004C33D1">
        <w:t xml:space="preserve">The </w:t>
      </w:r>
      <w:r>
        <w:t>NPS-UDC requires</w:t>
      </w:r>
      <w:r w:rsidRPr="004C33D1">
        <w:t xml:space="preserve"> </w:t>
      </w:r>
      <w:r>
        <w:t xml:space="preserve">plans to provide </w:t>
      </w:r>
      <w:r w:rsidRPr="004C33D1">
        <w:t>sufficient development capacity</w:t>
      </w:r>
      <w:r>
        <w:t>,</w:t>
      </w:r>
      <w:r w:rsidRPr="004C33D1">
        <w:t xml:space="preserve"> to improve the competitiveness of land and development markets in and around urban areas. Competitive markets are a key mechanism for achieving greater community wellbeing</w:t>
      </w:r>
      <w:r>
        <w:t>,</w:t>
      </w:r>
      <w:r w:rsidRPr="004C33D1">
        <w:t xml:space="preserve"> </w:t>
      </w:r>
      <w:r w:rsidRPr="004C33D1">
        <w:lastRenderedPageBreak/>
        <w:t xml:space="preserve">by ensuring that the resources available to the community </w:t>
      </w:r>
      <w:proofErr w:type="gramStart"/>
      <w:r w:rsidRPr="004C33D1">
        <w:t>are allocated</w:t>
      </w:r>
      <w:proofErr w:type="gramEnd"/>
      <w:r w:rsidRPr="004C33D1">
        <w:t xml:space="preserve"> to purposes that produce the highest value</w:t>
      </w:r>
      <w:r w:rsidRPr="00C87AB3">
        <w:t xml:space="preserve"> </w:t>
      </w:r>
      <w:r w:rsidRPr="004C33D1">
        <w:t xml:space="preserve">to the community, taking into account </w:t>
      </w:r>
      <w:r>
        <w:t>a</w:t>
      </w:r>
      <w:r w:rsidRPr="004C33D1">
        <w:t>ll costs and benefits.</w:t>
      </w:r>
    </w:p>
    <w:p w:rsidR="00DC4367" w:rsidRPr="004C33D1" w:rsidRDefault="00DC4367" w:rsidP="00DC4367"/>
    <w:p w:rsidR="00827E15" w:rsidRPr="004C33D1" w:rsidRDefault="00DC4367" w:rsidP="00DC4367">
      <w:r>
        <w:t>The draft</w:t>
      </w:r>
      <w:r w:rsidRPr="004C33D1">
        <w:t xml:space="preserve"> NPS-UDC</w:t>
      </w:r>
      <w:r>
        <w:t xml:space="preserve"> requires</w:t>
      </w:r>
      <w:r w:rsidRPr="004C33D1">
        <w:t xml:space="preserve"> additional development capacity </w:t>
      </w:r>
      <w:r>
        <w:t>to</w:t>
      </w:r>
      <w:r w:rsidRPr="004C33D1">
        <w:t xml:space="preserve"> </w:t>
      </w:r>
      <w:proofErr w:type="gramStart"/>
      <w:r w:rsidRPr="004C33D1">
        <w:t>be made</w:t>
      </w:r>
      <w:proofErr w:type="gramEnd"/>
      <w:r w:rsidRPr="004C33D1">
        <w:t xml:space="preserve"> available when analysis suggests it is required. The analysis would include assessments of </w:t>
      </w:r>
      <w:r>
        <w:t>demand for and supply of</w:t>
      </w:r>
      <w:r w:rsidRPr="004C33D1">
        <w:t xml:space="preserve"> housing and business land in the short, medium and long-terms, taking account of expected population growth and changes in the size and structure of the economy, as well as regular monitoring of price signals.</w:t>
      </w:r>
    </w:p>
    <w:p w:rsidR="00827E15" w:rsidRPr="004C33D1" w:rsidRDefault="00827E15" w:rsidP="00827E15">
      <w:pPr>
        <w:pStyle w:val="Heading3"/>
      </w:pPr>
      <w:r w:rsidRPr="004C33D1">
        <w:t xml:space="preserve">Relevant </w:t>
      </w:r>
      <w:r w:rsidR="00DC4367" w:rsidRPr="004C33D1">
        <w:t xml:space="preserve">policies in the </w:t>
      </w:r>
      <w:r w:rsidR="00DC4367">
        <w:t>draft</w:t>
      </w:r>
      <w:r w:rsidR="00DC4367" w:rsidRPr="004C33D1">
        <w:t xml:space="preserve"> </w:t>
      </w:r>
      <w:r w:rsidRPr="004C33D1">
        <w:t>NPS-UDC</w:t>
      </w:r>
    </w:p>
    <w:p w:rsidR="00827E15" w:rsidRPr="004C33D1" w:rsidRDefault="008F6A07" w:rsidP="00827E15">
      <w:r w:rsidRPr="004C33D1">
        <w:t xml:space="preserve">The </w:t>
      </w:r>
      <w:r w:rsidR="00DC4367">
        <w:t>draft</w:t>
      </w:r>
      <w:r w:rsidRPr="004C33D1">
        <w:t xml:space="preserve"> NPS-UDC “</w:t>
      </w:r>
      <w:r w:rsidRPr="004C33D1">
        <w:rPr>
          <w:i/>
        </w:rPr>
        <w:t>aims to help reduce regulatory barriers to the supply of housing and reduce the cost of housing relative to income.</w:t>
      </w:r>
      <w:r w:rsidRPr="004C33D1">
        <w:t>” To do so, the following policies are set out in</w:t>
      </w:r>
      <w:r w:rsidR="00827E15" w:rsidRPr="004C33D1">
        <w:t xml:space="preserve"> Section 6</w:t>
      </w:r>
      <w:r w:rsidRPr="004C33D1">
        <w:t xml:space="preserve"> of the </w:t>
      </w:r>
      <w:r w:rsidR="00DC4367">
        <w:t>draft</w:t>
      </w:r>
      <w:r w:rsidRPr="004C33D1">
        <w:t xml:space="preserve"> NPS-UDC</w:t>
      </w:r>
      <w:r w:rsidR="00827E15" w:rsidRPr="004C33D1">
        <w:t>. These include:</w:t>
      </w:r>
    </w:p>
    <w:p w:rsidR="00827E15" w:rsidRPr="004C33D1" w:rsidRDefault="00827E15" w:rsidP="00827E15"/>
    <w:p w:rsidR="00827E15" w:rsidRPr="004C33D1" w:rsidRDefault="00827E15" w:rsidP="00411653">
      <w:pPr>
        <w:pStyle w:val="ListParagraph"/>
        <w:numPr>
          <w:ilvl w:val="0"/>
          <w:numId w:val="30"/>
        </w:numPr>
      </w:pPr>
      <w:r w:rsidRPr="004C33D1">
        <w:t xml:space="preserve">Requirements for </w:t>
      </w:r>
      <w:r w:rsidRPr="004C33D1">
        <w:rPr>
          <w:b/>
        </w:rPr>
        <w:t>all councils</w:t>
      </w:r>
      <w:r w:rsidRPr="004C33D1">
        <w:t xml:space="preserve"> to: </w:t>
      </w:r>
    </w:p>
    <w:p w:rsidR="00827E15" w:rsidRPr="004C33D1" w:rsidRDefault="00827E15" w:rsidP="00411653">
      <w:pPr>
        <w:pStyle w:val="ListParagraph"/>
        <w:numPr>
          <w:ilvl w:val="1"/>
          <w:numId w:val="30"/>
        </w:numPr>
      </w:pPr>
      <w:r w:rsidRPr="004C33D1">
        <w:t>enable competitive land and development markets which help to achieve efficient use of land and infrastructure (PA1);</w:t>
      </w:r>
    </w:p>
    <w:p w:rsidR="00827E15" w:rsidRPr="004C33D1" w:rsidRDefault="00827E15" w:rsidP="00411653">
      <w:pPr>
        <w:pStyle w:val="ListParagraph"/>
        <w:numPr>
          <w:ilvl w:val="1"/>
          <w:numId w:val="30"/>
        </w:numPr>
      </w:pPr>
      <w:r w:rsidRPr="004C33D1">
        <w:t>provide sufficient residential and business development capacity for the short, medium and long terms (PA2, PA3); and</w:t>
      </w:r>
      <w:r w:rsidRPr="004C33D1">
        <w:br/>
      </w:r>
    </w:p>
    <w:p w:rsidR="00827E15" w:rsidRPr="004C33D1" w:rsidRDefault="00827E15" w:rsidP="00411653">
      <w:pPr>
        <w:pStyle w:val="ListParagraph"/>
        <w:numPr>
          <w:ilvl w:val="0"/>
          <w:numId w:val="30"/>
        </w:numPr>
      </w:pPr>
      <w:r w:rsidRPr="004C33D1">
        <w:t xml:space="preserve">Requirements for </w:t>
      </w:r>
      <w:r w:rsidRPr="004C33D1">
        <w:rPr>
          <w:b/>
        </w:rPr>
        <w:t>medium and high growth councils</w:t>
      </w:r>
      <w:r w:rsidR="00474EE8" w:rsidRPr="004C33D1">
        <w:rPr>
          <w:rStyle w:val="FootnoteReference"/>
          <w:b/>
        </w:rPr>
        <w:footnoteReference w:id="4"/>
      </w:r>
      <w:r w:rsidRPr="004C33D1">
        <w:t xml:space="preserve"> to estimate supply and demand in the short, medium and long run (PB1), and the additional development capacity needed to meet demand (PB3), for:</w:t>
      </w:r>
    </w:p>
    <w:p w:rsidR="00827E15" w:rsidRPr="004C33D1" w:rsidRDefault="00827E15" w:rsidP="00411653">
      <w:pPr>
        <w:pStyle w:val="ListParagraph"/>
        <w:numPr>
          <w:ilvl w:val="1"/>
          <w:numId w:val="30"/>
        </w:numPr>
      </w:pPr>
      <w:r w:rsidRPr="004C33D1">
        <w:t>housing, by type (of dwelling), location and price category; and</w:t>
      </w:r>
    </w:p>
    <w:p w:rsidR="00827E15" w:rsidRPr="004C33D1" w:rsidRDefault="00827E15" w:rsidP="00411653">
      <w:pPr>
        <w:pStyle w:val="ListParagraph"/>
        <w:numPr>
          <w:ilvl w:val="1"/>
          <w:numId w:val="30"/>
        </w:numPr>
      </w:pPr>
      <w:proofErr w:type="gramStart"/>
      <w:r w:rsidRPr="004C33D1">
        <w:t>business</w:t>
      </w:r>
      <w:proofErr w:type="gramEnd"/>
      <w:r w:rsidRPr="004C33D1">
        <w:t xml:space="preserve"> land by type and location.</w:t>
      </w:r>
    </w:p>
    <w:p w:rsidR="00827E15" w:rsidRPr="004C33D1" w:rsidRDefault="00827E15" w:rsidP="00827E15"/>
    <w:p w:rsidR="00827E15" w:rsidRPr="004C33D1" w:rsidRDefault="00827E15" w:rsidP="00827E15">
      <w:r w:rsidRPr="004C33D1">
        <w:t xml:space="preserve">In estimating supply and demand, councils must consult widely (PB4) and have regard to </w:t>
      </w:r>
      <w:proofErr w:type="gramStart"/>
      <w:r w:rsidRPr="004C33D1">
        <w:t>factors which</w:t>
      </w:r>
      <w:proofErr w:type="gramEnd"/>
      <w:r w:rsidRPr="004C33D1">
        <w:t xml:space="preserve"> include: </w:t>
      </w:r>
    </w:p>
    <w:p w:rsidR="00827E15" w:rsidRPr="004C33D1" w:rsidRDefault="00827E15" w:rsidP="00411653">
      <w:pPr>
        <w:pStyle w:val="ListParagraph"/>
        <w:numPr>
          <w:ilvl w:val="0"/>
          <w:numId w:val="30"/>
        </w:numPr>
      </w:pPr>
      <w:r w:rsidRPr="004C33D1">
        <w:t>underlying determinants of demand</w:t>
      </w:r>
      <w:r w:rsidR="00153384" w:rsidRPr="004C33D1">
        <w:t>—</w:t>
      </w:r>
      <w:r w:rsidRPr="004C33D1">
        <w:t>changes in demography and economic structure (PB2);</w:t>
      </w:r>
    </w:p>
    <w:p w:rsidR="00827E15" w:rsidRPr="004C33D1" w:rsidRDefault="00827E15" w:rsidP="00411653">
      <w:pPr>
        <w:pStyle w:val="ListParagraph"/>
        <w:numPr>
          <w:ilvl w:val="0"/>
          <w:numId w:val="30"/>
        </w:numPr>
      </w:pPr>
      <w:r w:rsidRPr="004C33D1">
        <w:t>the effects of the planning system on markets for housing and business land (PB2), and on development capacity (PB3);</w:t>
      </w:r>
    </w:p>
    <w:p w:rsidR="00827E15" w:rsidRPr="004C33D1" w:rsidRDefault="00827E15" w:rsidP="00411653">
      <w:pPr>
        <w:pStyle w:val="ListParagraph"/>
        <w:numPr>
          <w:ilvl w:val="0"/>
          <w:numId w:val="30"/>
        </w:numPr>
      </w:pPr>
      <w:r w:rsidRPr="004C33D1">
        <w:t>actual and likely availability of infrastructure (PB3); and</w:t>
      </w:r>
    </w:p>
    <w:p w:rsidR="00827E15" w:rsidRPr="004C33D1" w:rsidRDefault="00827E15" w:rsidP="00411653">
      <w:pPr>
        <w:pStyle w:val="ListParagraph"/>
        <w:numPr>
          <w:ilvl w:val="0"/>
          <w:numId w:val="30"/>
        </w:numPr>
      </w:pPr>
      <w:proofErr w:type="gramStart"/>
      <w:r w:rsidRPr="004C33D1">
        <w:t>market</w:t>
      </w:r>
      <w:proofErr w:type="gramEnd"/>
      <w:r w:rsidRPr="004C33D1">
        <w:t xml:space="preserve"> prices and thus the commercial feasibility of development capacity and the likelihood of development opportunities being taken up (PB3).</w:t>
      </w:r>
    </w:p>
    <w:p w:rsidR="00827E15" w:rsidRPr="004C33D1" w:rsidRDefault="00827E15" w:rsidP="00827E15"/>
    <w:p w:rsidR="00496D4E" w:rsidRPr="004C33D1" w:rsidRDefault="00496D4E" w:rsidP="00496D4E">
      <w:r w:rsidRPr="004C33D1">
        <w:t xml:space="preserve">To ensure local authorities are </w:t>
      </w:r>
      <w:proofErr w:type="gramStart"/>
      <w:r w:rsidRPr="004C33D1">
        <w:t>well-informed</w:t>
      </w:r>
      <w:proofErr w:type="gramEnd"/>
      <w:r w:rsidRPr="004C33D1">
        <w:t xml:space="preserve"> about “the market’s response to planning”, the </w:t>
      </w:r>
      <w:r>
        <w:t>draft</w:t>
      </w:r>
      <w:r w:rsidRPr="004C33D1">
        <w:t xml:space="preserve"> NPS-UDC lists </w:t>
      </w:r>
      <w:r>
        <w:t>the following</w:t>
      </w:r>
      <w:r w:rsidRPr="004C33D1">
        <w:t xml:space="preserve"> indicators which must be monitored (PB5)</w:t>
      </w:r>
      <w:r>
        <w:t>:</w:t>
      </w:r>
    </w:p>
    <w:p w:rsidR="00827E15" w:rsidRPr="004C33D1" w:rsidRDefault="001838F3" w:rsidP="0067213E">
      <w:pPr>
        <w:pStyle w:val="ListParagraph"/>
        <w:numPr>
          <w:ilvl w:val="0"/>
          <w:numId w:val="3"/>
        </w:numPr>
      </w:pPr>
      <w:r w:rsidRPr="004C33D1">
        <w:t xml:space="preserve">the </w:t>
      </w:r>
      <w:r w:rsidR="00827E15" w:rsidRPr="004C33D1">
        <w:t>relative affordability of housing, including the ratio of ho</w:t>
      </w:r>
      <w:r w:rsidR="000D3E84">
        <w:t>m</w:t>
      </w:r>
      <w:r w:rsidR="00827E15" w:rsidRPr="004C33D1">
        <w:t>e price to income and the relative cost to rent;</w:t>
      </w:r>
    </w:p>
    <w:p w:rsidR="00827E15" w:rsidRPr="004C33D1" w:rsidRDefault="001838F3" w:rsidP="0067213E">
      <w:pPr>
        <w:pStyle w:val="ListParagraph"/>
        <w:numPr>
          <w:ilvl w:val="0"/>
          <w:numId w:val="3"/>
        </w:numPr>
      </w:pPr>
      <w:r w:rsidRPr="004C33D1">
        <w:t xml:space="preserve">the </w:t>
      </w:r>
      <w:r w:rsidR="00827E15" w:rsidRPr="004C33D1">
        <w:t>increase in ho</w:t>
      </w:r>
      <w:r w:rsidR="000D3E84">
        <w:t>m</w:t>
      </w:r>
      <w:r w:rsidR="00827E15" w:rsidRPr="004C33D1">
        <w:t>e prices and rents;</w:t>
      </w:r>
    </w:p>
    <w:p w:rsidR="00827E15" w:rsidRPr="004C33D1" w:rsidRDefault="001838F3" w:rsidP="0067213E">
      <w:pPr>
        <w:pStyle w:val="ListParagraph"/>
        <w:numPr>
          <w:ilvl w:val="0"/>
          <w:numId w:val="3"/>
        </w:numPr>
      </w:pPr>
      <w:r w:rsidRPr="004C33D1">
        <w:t xml:space="preserve">the </w:t>
      </w:r>
      <w:r w:rsidR="00827E15" w:rsidRPr="004C33D1">
        <w:t xml:space="preserve">number of resource and building consents granted relative to the growth in population; </w:t>
      </w:r>
    </w:p>
    <w:p w:rsidR="00827E15" w:rsidRPr="004C33D1" w:rsidRDefault="001838F3" w:rsidP="0067213E">
      <w:pPr>
        <w:pStyle w:val="ListParagraph"/>
        <w:numPr>
          <w:ilvl w:val="0"/>
          <w:numId w:val="3"/>
        </w:numPr>
      </w:pPr>
      <w:r w:rsidRPr="004C33D1">
        <w:t xml:space="preserve">vacancy </w:t>
      </w:r>
      <w:r w:rsidR="00827E15" w:rsidRPr="004C33D1">
        <w:t xml:space="preserve">rates for business land; </w:t>
      </w:r>
    </w:p>
    <w:p w:rsidR="00827E15" w:rsidRPr="004C33D1" w:rsidRDefault="001838F3" w:rsidP="0067213E">
      <w:pPr>
        <w:pStyle w:val="ListParagraph"/>
        <w:numPr>
          <w:ilvl w:val="0"/>
          <w:numId w:val="3"/>
        </w:numPr>
      </w:pPr>
      <w:r w:rsidRPr="004C33D1">
        <w:t xml:space="preserve">the </w:t>
      </w:r>
      <w:r w:rsidR="00827E15" w:rsidRPr="004C33D1">
        <w:t>ratio of the value of land between rural and urban zoned land; and</w:t>
      </w:r>
    </w:p>
    <w:p w:rsidR="00827E15" w:rsidRPr="004C33D1" w:rsidRDefault="001838F3" w:rsidP="0067213E">
      <w:pPr>
        <w:pStyle w:val="ListParagraph"/>
        <w:numPr>
          <w:ilvl w:val="0"/>
          <w:numId w:val="3"/>
        </w:numPr>
      </w:pPr>
      <w:proofErr w:type="gramStart"/>
      <w:r w:rsidRPr="004C33D1">
        <w:lastRenderedPageBreak/>
        <w:t>the</w:t>
      </w:r>
      <w:proofErr w:type="gramEnd"/>
      <w:r w:rsidRPr="004C33D1">
        <w:t xml:space="preserve"> </w:t>
      </w:r>
      <w:r w:rsidR="00827E15" w:rsidRPr="004C33D1">
        <w:t>ratio of the value of improvements to the value of land within the urban area.</w:t>
      </w:r>
    </w:p>
    <w:p w:rsidR="00827E15" w:rsidRPr="004C33D1" w:rsidRDefault="00827E15" w:rsidP="00827E15"/>
    <w:p w:rsidR="00496D4E" w:rsidRDefault="00496D4E" w:rsidP="00496D4E">
      <w:r>
        <w:t>This report will help inform any amendments to these requirements in the final NPS-UDC, and the programme of support for implementing the requirements.</w:t>
      </w:r>
    </w:p>
    <w:p w:rsidR="00496D4E" w:rsidRDefault="00496D4E" w:rsidP="00496D4E"/>
    <w:p w:rsidR="00474EE8" w:rsidRPr="004C33D1" w:rsidRDefault="00496D4E" w:rsidP="00827E15">
      <w:r w:rsidRPr="004C33D1">
        <w:t xml:space="preserve">The underlying logic behind these requirements </w:t>
      </w:r>
      <w:proofErr w:type="gramStart"/>
      <w:r w:rsidRPr="004C33D1">
        <w:t>might be described</w:t>
      </w:r>
      <w:proofErr w:type="gramEnd"/>
      <w:r w:rsidRPr="004C33D1">
        <w:t xml:space="preserve"> as in </w:t>
      </w:r>
      <w:r w:rsidRPr="004C33D1">
        <w:fldChar w:fldCharType="begin"/>
      </w:r>
      <w:r w:rsidRPr="004C33D1">
        <w:instrText xml:space="preserve"> REF _Ref456267944 \h </w:instrText>
      </w:r>
      <w:r w:rsidRPr="004C33D1">
        <w:fldChar w:fldCharType="separate"/>
      </w:r>
      <w:r w:rsidR="004D1DDA" w:rsidRPr="004C33D1">
        <w:t xml:space="preserve">Figure </w:t>
      </w:r>
      <w:r w:rsidR="004D1DDA">
        <w:rPr>
          <w:noProof/>
        </w:rPr>
        <w:t>1</w:t>
      </w:r>
      <w:r w:rsidRPr="004C33D1">
        <w:fldChar w:fldCharType="end"/>
      </w:r>
      <w:r w:rsidRPr="004C33D1">
        <w:t xml:space="preserve">. It sees affordable prices as being the outcome of competitive </w:t>
      </w:r>
      <w:r>
        <w:t xml:space="preserve">land and development </w:t>
      </w:r>
      <w:r w:rsidRPr="004C33D1">
        <w:t>market</w:t>
      </w:r>
      <w:r>
        <w:t>s</w:t>
      </w:r>
      <w:r w:rsidRPr="004C33D1">
        <w:t xml:space="preserve">. </w:t>
      </w:r>
      <w:r>
        <w:t>Competitive markets have several characteristics</w:t>
      </w:r>
      <w:r>
        <w:rPr>
          <w:rStyle w:val="FootnoteReference"/>
        </w:rPr>
        <w:footnoteReference w:id="5"/>
      </w:r>
      <w:r>
        <w:t xml:space="preserve">, which regulation (including planning restrictions) can affect. </w:t>
      </w:r>
      <w:r w:rsidRPr="004C33D1">
        <w:t xml:space="preserve">Where there is adequate supply of development capacity </w:t>
      </w:r>
      <w:r>
        <w:t xml:space="preserve">in plans </w:t>
      </w:r>
      <w:r w:rsidRPr="004C33D1">
        <w:t>(PA2, PA3), markets for land and development are more likely to be competitive (PA1), and where markets are competitive, prices would be lower and more affordable; as a result, there would be desirable social outcomes, e</w:t>
      </w:r>
      <w:r w:rsidR="001838F3">
        <w:t>g the absence of over-crowding.</w:t>
      </w:r>
    </w:p>
    <w:p w:rsidR="00827E15" w:rsidRPr="004C33D1" w:rsidRDefault="00827E15" w:rsidP="00E02811">
      <w:pPr>
        <w:pStyle w:val="Caption"/>
      </w:pPr>
      <w:bookmarkStart w:id="32" w:name="_Ref456267944"/>
      <w:r w:rsidRPr="004C33D1">
        <w:t xml:space="preserve">Figure </w:t>
      </w:r>
      <w:r w:rsidRPr="004C33D1">
        <w:fldChar w:fldCharType="begin"/>
      </w:r>
      <w:r w:rsidRPr="004C33D1">
        <w:instrText xml:space="preserve"> SEQ Figure \* ARABIC </w:instrText>
      </w:r>
      <w:r w:rsidRPr="004C33D1">
        <w:fldChar w:fldCharType="separate"/>
      </w:r>
      <w:r w:rsidR="004D1DDA">
        <w:rPr>
          <w:noProof/>
        </w:rPr>
        <w:t>1</w:t>
      </w:r>
      <w:r w:rsidRPr="004C33D1">
        <w:fldChar w:fldCharType="end"/>
      </w:r>
      <w:bookmarkEnd w:id="32"/>
      <w:r w:rsidRPr="004C33D1">
        <w:t xml:space="preserve"> </w:t>
      </w:r>
      <w:r w:rsidR="00AE73D6" w:rsidRPr="004C33D1">
        <w:t>the</w:t>
      </w:r>
      <w:r w:rsidRPr="004C33D1">
        <w:t xml:space="preserve"> links between adequate supply, competitive markets and affordability</w:t>
      </w:r>
    </w:p>
    <w:p w:rsidR="00827E15" w:rsidRPr="004C33D1" w:rsidRDefault="001838F3" w:rsidP="00827E15">
      <w:pPr>
        <w:jc w:val="center"/>
      </w:pPr>
      <w:r w:rsidRPr="0059793C">
        <w:rPr>
          <w:noProof/>
          <w:lang w:eastAsia="en-NZ"/>
        </w:rPr>
        <w:drawing>
          <wp:inline distT="0" distB="0" distL="0" distR="0" wp14:anchorId="5232F20D" wp14:editId="077CBD89">
            <wp:extent cx="4540102" cy="171060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39854" cy="1710515"/>
                    </a:xfrm>
                    <a:prstGeom prst="rect">
                      <a:avLst/>
                    </a:prstGeom>
                    <a:noFill/>
                    <a:ln>
                      <a:noFill/>
                    </a:ln>
                  </pic:spPr>
                </pic:pic>
              </a:graphicData>
            </a:graphic>
          </wp:inline>
        </w:drawing>
      </w:r>
    </w:p>
    <w:p w:rsidR="00827E15" w:rsidRPr="004C33D1" w:rsidRDefault="00827E15" w:rsidP="00827E15"/>
    <w:p w:rsidR="00496D4E" w:rsidRDefault="00496D4E" w:rsidP="00496D4E">
      <w:r w:rsidRPr="004C33D1">
        <w:t xml:space="preserve">The housing affordability problem is not </w:t>
      </w:r>
      <w:r>
        <w:t>simply</w:t>
      </w:r>
      <w:r w:rsidRPr="004C33D1">
        <w:t xml:space="preserve"> the under-supply of “affordable housing” as a specific category, but rather the presence of </w:t>
      </w:r>
      <w:r>
        <w:t>several</w:t>
      </w:r>
      <w:r w:rsidRPr="004C33D1">
        <w:t xml:space="preserve"> factors that result in uncompetitive markets under which prices are elevated across the whole market. In this context, the solutions </w:t>
      </w:r>
      <w:proofErr w:type="gramStart"/>
      <w:r w:rsidRPr="004C33D1">
        <w:t>are seen</w:t>
      </w:r>
      <w:proofErr w:type="gramEnd"/>
      <w:r w:rsidRPr="004C33D1">
        <w:t xml:space="preserve"> as increasing the competitiveness of the market for the supply of </w:t>
      </w:r>
      <w:r>
        <w:t>development opportunities, housing and business space</w:t>
      </w:r>
      <w:r w:rsidRPr="004C33D1">
        <w:t>.</w:t>
      </w:r>
    </w:p>
    <w:p w:rsidR="00C87AB3" w:rsidRPr="004C33D1" w:rsidRDefault="00C87AB3" w:rsidP="00C87AB3"/>
    <w:p w:rsidR="00474EE8" w:rsidRPr="004C33D1" w:rsidRDefault="00827E15" w:rsidP="00827E15">
      <w:r w:rsidRPr="004C33D1">
        <w:t>We explore these issues and the logic in more detail in the sections to follow.</w:t>
      </w:r>
    </w:p>
    <w:p w:rsidR="00474EE8" w:rsidRPr="004C33D1" w:rsidRDefault="00474EE8" w:rsidP="00220C7C">
      <w:pPr>
        <w:pStyle w:val="Heading2"/>
      </w:pPr>
      <w:bookmarkStart w:id="33" w:name="_Toc462413609"/>
      <w:bookmarkStart w:id="34" w:name="_Toc462582161"/>
      <w:r w:rsidRPr="004C33D1">
        <w:t>Previous Reports</w:t>
      </w:r>
      <w:bookmarkEnd w:id="33"/>
      <w:bookmarkEnd w:id="34"/>
    </w:p>
    <w:p w:rsidR="008F6A07" w:rsidRPr="004C33D1" w:rsidRDefault="008F6A07" w:rsidP="008F6A07">
      <w:r w:rsidRPr="004C33D1">
        <w:t>Four recent studies have examined possible indicators to some extent. These are:</w:t>
      </w:r>
    </w:p>
    <w:p w:rsidR="008F6A07" w:rsidRPr="004C33D1" w:rsidRDefault="008F6A07" w:rsidP="008F6A07"/>
    <w:p w:rsidR="008F6A07" w:rsidRPr="004C33D1" w:rsidRDefault="008F6A07" w:rsidP="008F6A07">
      <w:pPr>
        <w:pStyle w:val="ListParagraph"/>
        <w:numPr>
          <w:ilvl w:val="0"/>
          <w:numId w:val="7"/>
        </w:numPr>
      </w:pPr>
      <w:r w:rsidRPr="004C33D1">
        <w:t>The cost benefit analysis of the proposed NPS-UDC;</w:t>
      </w:r>
      <w:r w:rsidRPr="004C33D1">
        <w:rPr>
          <w:rStyle w:val="FootnoteReference"/>
        </w:rPr>
        <w:footnoteReference w:id="6"/>
      </w:r>
      <w:r w:rsidRPr="004C33D1">
        <w:br/>
      </w:r>
    </w:p>
    <w:p w:rsidR="008F6A07" w:rsidRPr="004C33D1" w:rsidRDefault="008F6A07" w:rsidP="008F6A07">
      <w:pPr>
        <w:pStyle w:val="ListParagraph"/>
        <w:numPr>
          <w:ilvl w:val="0"/>
          <w:numId w:val="7"/>
        </w:numPr>
      </w:pPr>
      <w:r w:rsidRPr="004C33D1">
        <w:t>An initial report to MfE and Treasury on the use of land price indicators in guiding regulation;</w:t>
      </w:r>
      <w:r w:rsidRPr="004C33D1">
        <w:rPr>
          <w:rStyle w:val="FootnoteReference"/>
        </w:rPr>
        <w:footnoteReference w:id="7"/>
      </w:r>
    </w:p>
    <w:p w:rsidR="008F6A07" w:rsidRPr="004C33D1" w:rsidRDefault="008F6A07" w:rsidP="008F6A07">
      <w:pPr>
        <w:pStyle w:val="ListParagraph"/>
        <w:numPr>
          <w:ilvl w:val="0"/>
          <w:numId w:val="0"/>
        </w:numPr>
        <w:ind w:left="720"/>
      </w:pPr>
    </w:p>
    <w:p w:rsidR="008F6A07" w:rsidRPr="004C33D1" w:rsidRDefault="008F6A07" w:rsidP="008F6A07">
      <w:pPr>
        <w:pStyle w:val="ListParagraph"/>
        <w:numPr>
          <w:ilvl w:val="0"/>
          <w:numId w:val="7"/>
        </w:numPr>
      </w:pPr>
      <w:r w:rsidRPr="004C33D1">
        <w:t>A report on methodologies for estimating demand and development capacity for housing and business land;</w:t>
      </w:r>
      <w:r w:rsidRPr="004C33D1">
        <w:rPr>
          <w:rStyle w:val="FootnoteReference"/>
        </w:rPr>
        <w:footnoteReference w:id="8"/>
      </w:r>
      <w:r w:rsidRPr="004C33D1">
        <w:t xml:space="preserve"> and </w:t>
      </w:r>
    </w:p>
    <w:p w:rsidR="008F6A07" w:rsidRPr="004C33D1" w:rsidRDefault="008F6A07" w:rsidP="008F6A07"/>
    <w:p w:rsidR="008F6A07" w:rsidRPr="004C33D1" w:rsidRDefault="008F6A07" w:rsidP="008F6A07">
      <w:pPr>
        <w:pStyle w:val="ListParagraph"/>
        <w:numPr>
          <w:ilvl w:val="0"/>
          <w:numId w:val="7"/>
        </w:numPr>
      </w:pPr>
      <w:proofErr w:type="gramStart"/>
      <w:r w:rsidRPr="004C33D1">
        <w:t>A report on demand for and capacity to supply business land.</w:t>
      </w:r>
      <w:proofErr w:type="gramEnd"/>
      <w:r w:rsidRPr="004C33D1">
        <w:rPr>
          <w:rStyle w:val="FootnoteReference"/>
        </w:rPr>
        <w:footnoteReference w:id="9"/>
      </w:r>
    </w:p>
    <w:p w:rsidR="008F6A07" w:rsidRPr="004C33D1" w:rsidRDefault="008F6A07" w:rsidP="008F6A07"/>
    <w:p w:rsidR="008F6A07" w:rsidRPr="004C33D1" w:rsidRDefault="008F6A07" w:rsidP="008F6A07">
      <w:r w:rsidRPr="004C33D1">
        <w:t>We discuss these reports in turn below.</w:t>
      </w:r>
    </w:p>
    <w:p w:rsidR="008F6A07" w:rsidRPr="004C33D1" w:rsidRDefault="008F6A07" w:rsidP="008F6A07">
      <w:pPr>
        <w:pStyle w:val="Heading3"/>
      </w:pPr>
      <w:r w:rsidRPr="004C33D1">
        <w:t>Cost Benefit Analysis of the NPS-UDC</w:t>
      </w:r>
    </w:p>
    <w:p w:rsidR="008F6A07" w:rsidRPr="004C33D1" w:rsidRDefault="008F6A07" w:rsidP="008F6A07">
      <w:r w:rsidRPr="004C33D1">
        <w:t>The cost benefit analysis of the proposed NPS-UDC</w:t>
      </w:r>
      <w:r w:rsidRPr="004C33D1">
        <w:rPr>
          <w:rStyle w:val="FootnoteReference"/>
        </w:rPr>
        <w:footnoteReference w:id="10"/>
      </w:r>
      <w:r w:rsidRPr="004C33D1">
        <w:t xml:space="preserve"> examined a number of indicators that suggested an emerging problem of uncompetitive supply of </w:t>
      </w:r>
      <w:r w:rsidR="00496D4E">
        <w:t xml:space="preserve">land and housing </w:t>
      </w:r>
      <w:r w:rsidRPr="004C33D1">
        <w:t>in a number of New Zealand cities. These indicators of market and/or regulatory failure were:</w:t>
      </w:r>
    </w:p>
    <w:p w:rsidR="008F6A07" w:rsidRPr="004C33D1" w:rsidRDefault="008F6A07" w:rsidP="008F6A07"/>
    <w:p w:rsidR="008F6A07" w:rsidRPr="004C33D1" w:rsidRDefault="008F6A07" w:rsidP="008F6A07">
      <w:pPr>
        <w:pStyle w:val="ListParagraph"/>
        <w:numPr>
          <w:ilvl w:val="0"/>
          <w:numId w:val="8"/>
        </w:numPr>
      </w:pPr>
      <w:r w:rsidRPr="004C33D1">
        <w:t xml:space="preserve">discontinuities in land prices, including across the metropolitan urban limit (MUL)—a theoretically competitive land market would </w:t>
      </w:r>
      <w:r w:rsidR="00C87AB3">
        <w:t xml:space="preserve">be expected to </w:t>
      </w:r>
      <w:r w:rsidRPr="004C33D1">
        <w:t>show a smooth reduction in land prices with distance from the centre (or other amenities);</w:t>
      </w:r>
      <w:r w:rsidRPr="004C33D1">
        <w:br/>
      </w:r>
    </w:p>
    <w:p w:rsidR="008F6A07" w:rsidRPr="004C33D1" w:rsidRDefault="008F6A07" w:rsidP="008F6A07">
      <w:pPr>
        <w:pStyle w:val="ListParagraph"/>
        <w:numPr>
          <w:ilvl w:val="0"/>
          <w:numId w:val="8"/>
        </w:numPr>
      </w:pPr>
      <w:r w:rsidRPr="004C33D1">
        <w:t>low elasticities of housing supply to increases in demand—a competitive market would be more elastic (supply would increase more rapidly in response to increases in housing demand, resulting in lower price growth over time);</w:t>
      </w:r>
      <w:r w:rsidRPr="004C33D1">
        <w:rPr>
          <w:rFonts w:ascii="MingLiU" w:eastAsia="MingLiU" w:hAnsi="MingLiU" w:cs="MingLiU"/>
        </w:rPr>
        <w:br/>
      </w:r>
    </w:p>
    <w:p w:rsidR="008F6A07" w:rsidRPr="004C33D1" w:rsidRDefault="008F6A07" w:rsidP="008F6A07">
      <w:pPr>
        <w:pStyle w:val="ListParagraph"/>
        <w:numPr>
          <w:ilvl w:val="0"/>
          <w:numId w:val="8"/>
        </w:numPr>
      </w:pPr>
      <w:r w:rsidRPr="004C33D1">
        <w:t>the gap between marginal construction costs and sale prices of buildings—in theory prices should reflect the marginal costs of construction;</w:t>
      </w:r>
      <w:r w:rsidRPr="004C33D1">
        <w:br/>
      </w:r>
    </w:p>
    <w:p w:rsidR="008F6A07" w:rsidRPr="004C33D1" w:rsidRDefault="008F6A07" w:rsidP="008F6A07">
      <w:pPr>
        <w:pStyle w:val="ListParagraph"/>
        <w:numPr>
          <w:ilvl w:val="0"/>
          <w:numId w:val="8"/>
        </w:numPr>
      </w:pPr>
      <w:r w:rsidRPr="004C33D1">
        <w:t>land value as a proportion of total property value—land becomes more expensive when it is scarcer, but this can be offset by building up; and</w:t>
      </w:r>
      <w:r w:rsidRPr="004C33D1">
        <w:br/>
      </w:r>
    </w:p>
    <w:p w:rsidR="008F6A07" w:rsidRPr="004C33D1" w:rsidRDefault="008F6A07" w:rsidP="008F6A07">
      <w:pPr>
        <w:pStyle w:val="ListParagraph"/>
        <w:numPr>
          <w:ilvl w:val="0"/>
          <w:numId w:val="8"/>
        </w:numPr>
      </w:pPr>
      <w:proofErr w:type="gramStart"/>
      <w:r w:rsidRPr="004C33D1">
        <w:t>land</w:t>
      </w:r>
      <w:proofErr w:type="gramEnd"/>
      <w:r w:rsidRPr="004C33D1">
        <w:t xml:space="preserve"> use regulation indices which measure the extent and nature of regulatory controls.</w:t>
      </w:r>
    </w:p>
    <w:p w:rsidR="008F6A07" w:rsidRPr="004C33D1" w:rsidRDefault="008F6A07" w:rsidP="008F6A07"/>
    <w:p w:rsidR="008F6A07" w:rsidRPr="004C33D1" w:rsidRDefault="008F6A07" w:rsidP="008F6A07">
      <w:r w:rsidRPr="004C33D1">
        <w:t xml:space="preserve">Building on the problem assessment, the study examined the benefits of increasing the competitiveness of land supply and compared this with estimates of the external costs of development. The </w:t>
      </w:r>
      <w:r w:rsidR="001838F3">
        <w:t xml:space="preserve">estimated </w:t>
      </w:r>
      <w:r w:rsidRPr="004C33D1">
        <w:t>benefits exceed</w:t>
      </w:r>
      <w:r w:rsidR="001838F3">
        <w:t>ed</w:t>
      </w:r>
      <w:r w:rsidRPr="004C33D1">
        <w:t xml:space="preserve"> the costs, suggesting that there was considerable net benefit from introducing policies that moved towards increasing land use flexibility and the competitiveness of land markets in general. The benefits arise </w:t>
      </w:r>
      <w:proofErr w:type="gramStart"/>
      <w:r w:rsidRPr="004C33D1">
        <w:t>from</w:t>
      </w:r>
      <w:proofErr w:type="gramEnd"/>
      <w:r w:rsidRPr="004C33D1">
        <w:t xml:space="preserve">: </w:t>
      </w:r>
    </w:p>
    <w:p w:rsidR="008F6A07" w:rsidRPr="004C33D1" w:rsidRDefault="008F6A07" w:rsidP="008F6A07"/>
    <w:p w:rsidR="008F6A07" w:rsidRPr="004C33D1" w:rsidRDefault="008F6A07" w:rsidP="008F6A07">
      <w:pPr>
        <w:pStyle w:val="ListParagraph"/>
        <w:numPr>
          <w:ilvl w:val="0"/>
          <w:numId w:val="6"/>
        </w:numPr>
      </w:pPr>
      <w:proofErr w:type="gramStart"/>
      <w:r w:rsidRPr="004C33D1">
        <w:t>consumer</w:t>
      </w:r>
      <w:proofErr w:type="gramEnd"/>
      <w:r w:rsidRPr="004C33D1">
        <w:t xml:space="preserve"> benefits that accrue to new entrants to the housing market who are currently excluded by high prices resulting from uncompetitive markets. They currently are living in accommodation that is less desirable than owning their </w:t>
      </w:r>
      <w:r w:rsidRPr="004C33D1">
        <w:lastRenderedPageBreak/>
        <w:t>own property if it was available at a competitive market price;</w:t>
      </w:r>
      <w:r w:rsidR="001838F3">
        <w:t xml:space="preserve"> and</w:t>
      </w:r>
      <w:r w:rsidRPr="004C33D1">
        <w:br/>
      </w:r>
    </w:p>
    <w:p w:rsidR="008F6A07" w:rsidRPr="004C33D1" w:rsidRDefault="008F6A07" w:rsidP="008F6A07">
      <w:pPr>
        <w:pStyle w:val="ListParagraph"/>
        <w:numPr>
          <w:ilvl w:val="0"/>
          <w:numId w:val="6"/>
        </w:numPr>
      </w:pPr>
      <w:proofErr w:type="gramStart"/>
      <w:r w:rsidRPr="004C33D1">
        <w:t>agglomeration</w:t>
      </w:r>
      <w:proofErr w:type="gramEnd"/>
      <w:r w:rsidRPr="004C33D1">
        <w:t xml:space="preserve"> benefits from increased density of households and firms resulting in both increased productivity of economic activity and improved consumption opportunities.</w:t>
      </w:r>
    </w:p>
    <w:p w:rsidR="008F6A07" w:rsidRPr="004C33D1" w:rsidRDefault="008F6A07" w:rsidP="008F6A07"/>
    <w:p w:rsidR="008F6A07" w:rsidRPr="004C33D1" w:rsidRDefault="008F6A07" w:rsidP="008F6A07">
      <w:r w:rsidRPr="004C33D1">
        <w:t xml:space="preserve">These </w:t>
      </w:r>
      <w:proofErr w:type="gramStart"/>
      <w:r w:rsidRPr="004C33D1">
        <w:t>were offset</w:t>
      </w:r>
      <w:proofErr w:type="gramEnd"/>
      <w:r w:rsidRPr="004C33D1">
        <w:t xml:space="preserve"> by external costs of increased development. These included overshadowing, congestion and costs of infrastructure borne by existing residents.</w:t>
      </w:r>
    </w:p>
    <w:p w:rsidR="008F6A07" w:rsidRPr="004C33D1" w:rsidRDefault="008F6A07" w:rsidP="008F6A07">
      <w:pPr>
        <w:pStyle w:val="Heading3"/>
      </w:pPr>
      <w:bookmarkStart w:id="35" w:name="_Ref457985773"/>
      <w:r w:rsidRPr="004C33D1">
        <w:t>The Price is Right</w:t>
      </w:r>
      <w:bookmarkEnd w:id="35"/>
    </w:p>
    <w:p w:rsidR="008F6A07" w:rsidRPr="004C33D1" w:rsidRDefault="008F6A07" w:rsidP="008F6A07">
      <w:r w:rsidRPr="004C33D1">
        <w:t xml:space="preserve">NZIER examined whether land price differentials (variation in land prices across a city) </w:t>
      </w:r>
      <w:proofErr w:type="gramStart"/>
      <w:r w:rsidRPr="004C33D1">
        <w:t>could be used</w:t>
      </w:r>
      <w:proofErr w:type="gramEnd"/>
      <w:r w:rsidRPr="004C33D1">
        <w:t xml:space="preserve"> as a signal of land use regulation that was over-limiting supply of development capacity.</w:t>
      </w:r>
      <w:r w:rsidRPr="004C33D1">
        <w:rPr>
          <w:rStyle w:val="FootnoteReference"/>
        </w:rPr>
        <w:footnoteReference w:id="11"/>
      </w:r>
      <w:r w:rsidRPr="004C33D1">
        <w:t xml:space="preserve"> The indicators included in its study were land price differentials:</w:t>
      </w:r>
    </w:p>
    <w:p w:rsidR="008F6A07" w:rsidRPr="004C33D1" w:rsidRDefault="008F6A07" w:rsidP="008F6A07"/>
    <w:p w:rsidR="008F6A07" w:rsidRPr="004C33D1" w:rsidRDefault="008F6A07" w:rsidP="008F6A07">
      <w:pPr>
        <w:pStyle w:val="ListParagraph"/>
        <w:numPr>
          <w:ilvl w:val="0"/>
          <w:numId w:val="9"/>
        </w:numPr>
      </w:pPr>
      <w:r w:rsidRPr="004C33D1">
        <w:t>at the city limit; and</w:t>
      </w:r>
      <w:r w:rsidRPr="004C33D1">
        <w:br/>
      </w:r>
    </w:p>
    <w:p w:rsidR="008F6A07" w:rsidRPr="004C33D1" w:rsidRDefault="008F6A07" w:rsidP="008F6A07">
      <w:pPr>
        <w:pStyle w:val="ListParagraph"/>
        <w:numPr>
          <w:ilvl w:val="0"/>
          <w:numId w:val="9"/>
        </w:numPr>
      </w:pPr>
      <w:proofErr w:type="gramStart"/>
      <w:r w:rsidRPr="004C33D1">
        <w:t>across</w:t>
      </w:r>
      <w:proofErr w:type="gramEnd"/>
      <w:r w:rsidRPr="004C33D1">
        <w:t xml:space="preserve"> residential zones with different levels of control on building height, building coverage, heritage protection and so on.</w:t>
      </w:r>
      <w:r w:rsidRPr="004C33D1">
        <w:br/>
      </w:r>
    </w:p>
    <w:p w:rsidR="008F6A07" w:rsidRPr="004C33D1" w:rsidRDefault="008F6A07" w:rsidP="008F6A07">
      <w:r w:rsidRPr="004C33D1">
        <w:t xml:space="preserve">The NZIER study included three different evaluation </w:t>
      </w:r>
      <w:proofErr w:type="gramStart"/>
      <w:r w:rsidRPr="004C33D1">
        <w:t>strategies which</w:t>
      </w:r>
      <w:proofErr w:type="gramEnd"/>
      <w:r w:rsidRPr="004C33D1">
        <w:t xml:space="preserve"> they termed naïve, sophisticated and focussed. </w:t>
      </w:r>
      <w:r w:rsidRPr="004C33D1">
        <w:rPr>
          <w:rFonts w:ascii="MingLiU" w:eastAsia="MingLiU" w:hAnsi="MingLiU" w:cs="MingLiU"/>
        </w:rPr>
        <w:br/>
      </w:r>
    </w:p>
    <w:p w:rsidR="008F6A07" w:rsidRPr="004C33D1" w:rsidRDefault="008F6A07" w:rsidP="008F6A07">
      <w:pPr>
        <w:pStyle w:val="ListParagraph"/>
        <w:numPr>
          <w:ilvl w:val="0"/>
          <w:numId w:val="10"/>
        </w:numPr>
      </w:pPr>
      <w:r w:rsidRPr="004C33D1">
        <w:t xml:space="preserve">The </w:t>
      </w:r>
      <w:r w:rsidRPr="004C33D1">
        <w:rPr>
          <w:b/>
        </w:rPr>
        <w:t xml:space="preserve">naïve </w:t>
      </w:r>
      <w:r w:rsidRPr="004C33D1">
        <w:t xml:space="preserve">strategy was a simple comparison of prices across the city limit (or across zones) without adjusting for amenity values, eg land at the city edge may be desirable because of its closeness to rural areas with high amenity. </w:t>
      </w:r>
      <w:r w:rsidRPr="004C33D1">
        <w:br/>
      </w:r>
    </w:p>
    <w:p w:rsidR="008F6A07" w:rsidRPr="004C33D1" w:rsidRDefault="008F6A07" w:rsidP="008F6A07">
      <w:pPr>
        <w:pStyle w:val="ListParagraph"/>
        <w:numPr>
          <w:ilvl w:val="0"/>
          <w:numId w:val="10"/>
        </w:numPr>
      </w:pPr>
      <w:r w:rsidRPr="004C33D1">
        <w:t xml:space="preserve">The </w:t>
      </w:r>
      <w:r w:rsidRPr="004C33D1">
        <w:rPr>
          <w:b/>
        </w:rPr>
        <w:t xml:space="preserve">sophisticated </w:t>
      </w:r>
      <w:r w:rsidRPr="004C33D1">
        <w:t>approach included statistical (spatial hedonic) methods to filter out the effects on price of factors that included views, amenities and infrastructure so that comparisons are made on an equivalent basis.</w:t>
      </w:r>
      <w:r w:rsidRPr="004C33D1">
        <w:br/>
      </w:r>
    </w:p>
    <w:p w:rsidR="008F6A07" w:rsidRPr="004C33D1" w:rsidRDefault="008F6A07" w:rsidP="008F6A07">
      <w:pPr>
        <w:pStyle w:val="ListParagraph"/>
        <w:numPr>
          <w:ilvl w:val="0"/>
          <w:numId w:val="10"/>
        </w:numPr>
      </w:pPr>
      <w:r w:rsidRPr="004C33D1">
        <w:t xml:space="preserve">The </w:t>
      </w:r>
      <w:r w:rsidRPr="004C33D1">
        <w:rPr>
          <w:b/>
        </w:rPr>
        <w:t>focussed</w:t>
      </w:r>
      <w:r w:rsidRPr="004C33D1">
        <w:t xml:space="preserve"> approach uses data on price differences in a small geographical area that spans the zoning boundary (city limit) such that many of the differences, that otherwise need to </w:t>
      </w:r>
      <w:proofErr w:type="gramStart"/>
      <w:r w:rsidRPr="004C33D1">
        <w:t>be corrected</w:t>
      </w:r>
      <w:proofErr w:type="gramEnd"/>
      <w:r w:rsidRPr="004C33D1">
        <w:t xml:space="preserve"> for, do not apply.</w:t>
      </w:r>
    </w:p>
    <w:p w:rsidR="008F6A07" w:rsidRPr="004C33D1" w:rsidRDefault="008F6A07" w:rsidP="008F6A07"/>
    <w:p w:rsidR="008F6A07" w:rsidRPr="004C33D1" w:rsidRDefault="008F6A07" w:rsidP="008F6A07">
      <w:r w:rsidRPr="004C33D1">
        <w:t>This study undertook additional analysis using real data to explore some of the practical issues involved in building a set of indicators. We build on the lessons learned from this study in our analysis, making use of the sophisticated and focussed approaches.</w:t>
      </w:r>
    </w:p>
    <w:p w:rsidR="008F6A07" w:rsidRPr="004C33D1" w:rsidRDefault="008F6A07" w:rsidP="008F6A07">
      <w:pPr>
        <w:pStyle w:val="Heading3"/>
      </w:pPr>
      <w:r w:rsidRPr="004C33D1">
        <w:t>Methodologies for estimating demand and development capacity for housing and business land</w:t>
      </w:r>
    </w:p>
    <w:p w:rsidR="008F6A07" w:rsidRPr="004C33D1" w:rsidRDefault="008F6A07" w:rsidP="008F6A07">
      <w:r w:rsidRPr="004C33D1">
        <w:t xml:space="preserve">The Ministry for the Environment </w:t>
      </w:r>
      <w:r w:rsidR="00C87AB3">
        <w:t xml:space="preserve">(MfE) </w:t>
      </w:r>
      <w:r w:rsidRPr="004C33D1">
        <w:t>reviewed nine ‘high growth’ councils’ methodologies for estimating demand and development capacity for housing and business land.</w:t>
      </w:r>
      <w:r w:rsidR="009C3600">
        <w:rPr>
          <w:rStyle w:val="FootnoteReference"/>
        </w:rPr>
        <w:footnoteReference w:id="12"/>
      </w:r>
      <w:r w:rsidRPr="004C33D1">
        <w:t xml:space="preserve"> Estimates of demand and development capacity are very important </w:t>
      </w:r>
      <w:r w:rsidRPr="004C33D1">
        <w:lastRenderedPageBreak/>
        <w:t>inputs to planning decisions, especially in high growth urban areas, as they help to inform zoning and infrastructure supply decisions.</w:t>
      </w:r>
    </w:p>
    <w:p w:rsidR="008F6A07" w:rsidRPr="004C33D1" w:rsidRDefault="008F6A07" w:rsidP="008F6A07"/>
    <w:p w:rsidR="008F6A07" w:rsidRPr="004C33D1" w:rsidRDefault="008F6A07" w:rsidP="008F6A07">
      <w:r w:rsidRPr="004C33D1">
        <w:t xml:space="preserve">MfE found that all councils estimate demand and development capacity, albeit with different approaches </w:t>
      </w:r>
      <w:r w:rsidR="001838F3">
        <w:t>and to varying levels of detail.</w:t>
      </w:r>
      <w:r w:rsidRPr="004C33D1">
        <w:t xml:space="preserve"> </w:t>
      </w:r>
    </w:p>
    <w:p w:rsidR="008F6A07" w:rsidRPr="004C33D1" w:rsidRDefault="008F6A07" w:rsidP="008F6A07"/>
    <w:p w:rsidR="008F6A07" w:rsidRPr="004C33D1" w:rsidRDefault="008F6A07" w:rsidP="008F6A07">
      <w:pPr>
        <w:pStyle w:val="ListParagraph"/>
        <w:numPr>
          <w:ilvl w:val="0"/>
          <w:numId w:val="10"/>
        </w:numPr>
      </w:pPr>
      <w:r w:rsidRPr="004C33D1">
        <w:t>While all councils employ Statistics NZ population projections as a basis for estimating future demand, a number of individual councils have commissioned or undertaken additional work to modify these projections or g</w:t>
      </w:r>
      <w:r w:rsidR="001838F3">
        <w:t>enerate alternative projections.</w:t>
      </w:r>
    </w:p>
    <w:p w:rsidR="008F6A07" w:rsidRPr="004C33D1" w:rsidRDefault="008F6A07" w:rsidP="008F6A07">
      <w:pPr>
        <w:pStyle w:val="ListParagraph"/>
        <w:numPr>
          <w:ilvl w:val="0"/>
          <w:numId w:val="0"/>
        </w:numPr>
        <w:ind w:left="720"/>
      </w:pPr>
    </w:p>
    <w:p w:rsidR="008F6A07" w:rsidRPr="004C33D1" w:rsidRDefault="008F6A07" w:rsidP="008F6A07">
      <w:pPr>
        <w:pStyle w:val="ListParagraph"/>
        <w:numPr>
          <w:ilvl w:val="0"/>
          <w:numId w:val="10"/>
        </w:numPr>
      </w:pPr>
      <w:r w:rsidRPr="004C33D1">
        <w:t xml:space="preserve">Most </w:t>
      </w:r>
      <w:proofErr w:type="gramStart"/>
      <w:r w:rsidRPr="004C33D1">
        <w:t>councils</w:t>
      </w:r>
      <w:proofErr w:type="gramEnd"/>
      <w:r w:rsidRPr="004C33D1">
        <w:t xml:space="preserve"> consider how demand may be distributed spatially throughout their urban area, although most only focus on greenfield areas. Some </w:t>
      </w:r>
      <w:proofErr w:type="gramStart"/>
      <w:r w:rsidRPr="004C33D1">
        <w:t>councils</w:t>
      </w:r>
      <w:proofErr w:type="gramEnd"/>
      <w:r w:rsidRPr="004C33D1">
        <w:t xml:space="preserve"> also consider demand for dwellings in existing urban areas, as well as demand for different types of dwellings (eg a</w:t>
      </w:r>
      <w:r w:rsidR="001838F3">
        <w:t>partments vs standalone houses).</w:t>
      </w:r>
    </w:p>
    <w:p w:rsidR="008F6A07" w:rsidRPr="004C33D1" w:rsidRDefault="008F6A07" w:rsidP="008F6A07">
      <w:pPr>
        <w:pStyle w:val="ListParagraph"/>
        <w:numPr>
          <w:ilvl w:val="0"/>
          <w:numId w:val="0"/>
        </w:numPr>
        <w:ind w:left="720"/>
      </w:pPr>
    </w:p>
    <w:p w:rsidR="008F6A07" w:rsidRPr="004C33D1" w:rsidRDefault="008F6A07" w:rsidP="008F6A07">
      <w:pPr>
        <w:pStyle w:val="ListParagraph"/>
        <w:ind w:left="720"/>
      </w:pPr>
      <w:r w:rsidRPr="004C33D1">
        <w:t xml:space="preserve">All of the councils surveyed calculate the capacity for future development </w:t>
      </w:r>
      <w:r w:rsidR="00496D4E">
        <w:t xml:space="preserve">provided for in plans, </w:t>
      </w:r>
      <w:r w:rsidRPr="004C33D1">
        <w:t xml:space="preserve">usually in terms of the number of dwellings that </w:t>
      </w:r>
      <w:proofErr w:type="gramStart"/>
      <w:r w:rsidRPr="004C33D1">
        <w:t>could be developed</w:t>
      </w:r>
      <w:proofErr w:type="gramEnd"/>
      <w:r w:rsidRPr="004C33D1">
        <w:t>, or the number of ye</w:t>
      </w:r>
      <w:r w:rsidR="001838F3">
        <w:t>ars of demand that could be met.</w:t>
      </w:r>
    </w:p>
    <w:p w:rsidR="008F6A07" w:rsidRPr="004C33D1" w:rsidRDefault="008F6A07" w:rsidP="008F6A07">
      <w:pPr>
        <w:pStyle w:val="ListParagraph"/>
        <w:numPr>
          <w:ilvl w:val="0"/>
          <w:numId w:val="0"/>
        </w:numPr>
        <w:ind w:left="720"/>
      </w:pPr>
    </w:p>
    <w:p w:rsidR="008F6A07" w:rsidRPr="004C33D1" w:rsidRDefault="008F6A07" w:rsidP="008F6A07">
      <w:pPr>
        <w:pStyle w:val="ListParagraph"/>
        <w:ind w:left="720"/>
      </w:pPr>
      <w:r w:rsidRPr="004C33D1">
        <w:t xml:space="preserve">Different councils employ different approaches to estimating development capacity. Some </w:t>
      </w:r>
      <w:proofErr w:type="gramStart"/>
      <w:r w:rsidRPr="004C33D1">
        <w:t>councils</w:t>
      </w:r>
      <w:proofErr w:type="gramEnd"/>
      <w:r w:rsidRPr="004C33D1">
        <w:t xml:space="preserve"> only calculate ‘theoretical’ capacity enabled in resource management plans and serviced with infrastructure. Others apply discount factors to take account of the fact that not all plan-enabled, serviced land </w:t>
      </w:r>
      <w:proofErr w:type="gramStart"/>
      <w:r w:rsidRPr="004C33D1">
        <w:t>will be developed</w:t>
      </w:r>
      <w:proofErr w:type="gramEnd"/>
      <w:r w:rsidRPr="004C33D1">
        <w:t>. Recently, Auckland Council, Tauranga City Council, Wellington City Council and Queenstown-Lakes District Council have also begun to factor in how much plan-enabled capacity is commercially feasible to develop, to varying degrees. Christchurch City Council does this on an ad hoc basis</w:t>
      </w:r>
      <w:r w:rsidR="001838F3">
        <w:t>.</w:t>
      </w:r>
    </w:p>
    <w:p w:rsidR="008F6A07" w:rsidRPr="004C33D1" w:rsidRDefault="008F6A07" w:rsidP="008F6A07"/>
    <w:p w:rsidR="008F6A07" w:rsidRPr="004C33D1" w:rsidRDefault="008F6A07" w:rsidP="008F6A07">
      <w:pPr>
        <w:pStyle w:val="ListParagraph"/>
        <w:ind w:left="720"/>
      </w:pPr>
      <w:r w:rsidRPr="004C33D1">
        <w:t>Business land demand and development capacity is generally less of a priority for modelling and analysis than residential demand and capacity.</w:t>
      </w:r>
    </w:p>
    <w:p w:rsidR="008F6A07" w:rsidRPr="004C33D1" w:rsidRDefault="008F6A07" w:rsidP="008F6A07"/>
    <w:p w:rsidR="008F6A07" w:rsidRPr="004C33D1" w:rsidRDefault="008F6A07" w:rsidP="008F6A07">
      <w:r w:rsidRPr="004C33D1">
        <w:t>MfE used this information to identify ways that the proposed NPS-UDC could encourage councils to improve on existing practices.</w:t>
      </w:r>
    </w:p>
    <w:p w:rsidR="008F6A07" w:rsidRPr="004C33D1" w:rsidRDefault="008F6A07" w:rsidP="008F6A07">
      <w:pPr>
        <w:pStyle w:val="Heading3"/>
      </w:pPr>
      <w:r w:rsidRPr="004C33D1">
        <w:t>Demand for and capacity to supply business land</w:t>
      </w:r>
    </w:p>
    <w:p w:rsidR="008F6A07" w:rsidRPr="004C33D1" w:rsidRDefault="008F6A07" w:rsidP="008F6A07">
      <w:r w:rsidRPr="004C33D1">
        <w:t>BERL and Ascari investigated the sufficiency of the supply of business land in urban areas experiencing the highest population growth in New Zealand.</w:t>
      </w:r>
      <w:r w:rsidR="00C87AB3">
        <w:rPr>
          <w:rStyle w:val="FootnoteReference"/>
        </w:rPr>
        <w:footnoteReference w:id="13"/>
      </w:r>
      <w:r w:rsidRPr="004C33D1">
        <w:t xml:space="preserve"> They defined business land as land specifically zoned for productive uses in urban areas, including manufacturing, retail, commercial offices, hospitality and accommodation, and business services.</w:t>
      </w:r>
    </w:p>
    <w:p w:rsidR="008F6A07" w:rsidRPr="004C33D1" w:rsidRDefault="008F6A07" w:rsidP="008F6A07"/>
    <w:p w:rsidR="008F6A07" w:rsidRPr="004C33D1" w:rsidRDefault="008F6A07" w:rsidP="008F6A07">
      <w:r w:rsidRPr="004C33D1">
        <w:t xml:space="preserve">They concluded that the overall supply of business land is generally sufficient, and in some </w:t>
      </w:r>
      <w:proofErr w:type="gramStart"/>
      <w:r w:rsidRPr="004C33D1">
        <w:t>areas</w:t>
      </w:r>
      <w:proofErr w:type="gramEnd"/>
      <w:r w:rsidRPr="004C33D1">
        <w:t xml:space="preserve"> it is likely that there may be an oversupply, contributing to ‘hollowing out’ of town centres and/or an under-utilisation of infrastructure provided for development that did not occur. However, there was evidence of localised shortages of business land </w:t>
      </w:r>
      <w:r w:rsidRPr="004C33D1">
        <w:lastRenderedPageBreak/>
        <w:t>in the right locations for specific uses, including industrial land in Auckland and capacity for hotel development in Queenstown.</w:t>
      </w:r>
    </w:p>
    <w:p w:rsidR="008F6A07" w:rsidRPr="004C33D1" w:rsidRDefault="008F6A07" w:rsidP="008F6A07"/>
    <w:p w:rsidR="00474EE8" w:rsidRPr="004C33D1" w:rsidRDefault="008F6A07" w:rsidP="008F6A07">
      <w:r w:rsidRPr="004C33D1">
        <w:t>BERL and Ascari also considered the impact of current planning practices on the supply of business land. They identified some issues related to slow planning responses to increasing demand for business land (or for changes between alternative uses), as well as the potential for reverse sensitivities, or tensions between established (generally industrial) uses and new uses (generally residential) in areas zoned for multiple uses.</w:t>
      </w:r>
    </w:p>
    <w:p w:rsidR="00153384" w:rsidRPr="004C33D1" w:rsidRDefault="00153384" w:rsidP="00220C7C">
      <w:pPr>
        <w:pStyle w:val="Heading2"/>
      </w:pPr>
      <w:bookmarkStart w:id="36" w:name="_Toc462413610"/>
      <w:bookmarkStart w:id="37" w:name="_Toc462582162"/>
      <w:r w:rsidRPr="004C33D1">
        <w:t>This Report</w:t>
      </w:r>
      <w:bookmarkEnd w:id="36"/>
      <w:bookmarkEnd w:id="37"/>
    </w:p>
    <w:p w:rsidR="00153384" w:rsidRDefault="00474EE8" w:rsidP="00153384">
      <w:r w:rsidRPr="004C33D1">
        <w:t xml:space="preserve">Building on these previous studies and the requirements of the </w:t>
      </w:r>
      <w:r w:rsidR="00496D4E">
        <w:t>draft</w:t>
      </w:r>
      <w:r w:rsidRPr="004C33D1">
        <w:t xml:space="preserve"> NPS-UDC, t</w:t>
      </w:r>
      <w:r w:rsidR="00153384" w:rsidRPr="004C33D1">
        <w:t xml:space="preserve">his consultancy report assesses the benefits, costs and feasibility of local authorities monitoring the price signals included in </w:t>
      </w:r>
      <w:r w:rsidR="00496D4E">
        <w:t>the NPS-UDC</w:t>
      </w:r>
      <w:r w:rsidR="00153384" w:rsidRPr="004C33D1">
        <w:t xml:space="preserve"> and other indicators identified in this study. The brief requires it to provide recommendations </w:t>
      </w:r>
      <w:proofErr w:type="gramStart"/>
      <w:r w:rsidR="00153384" w:rsidRPr="004C33D1">
        <w:t>about</w:t>
      </w:r>
      <w:proofErr w:type="gramEnd"/>
      <w:r w:rsidR="00153384" w:rsidRPr="004C33D1">
        <w:t xml:space="preserve">: </w:t>
      </w:r>
    </w:p>
    <w:p w:rsidR="001838F3" w:rsidRPr="004C33D1" w:rsidRDefault="001838F3" w:rsidP="00153384"/>
    <w:p w:rsidR="00153384" w:rsidRPr="004C33D1" w:rsidRDefault="001838F3" w:rsidP="00153384">
      <w:pPr>
        <w:pStyle w:val="ListParagraph"/>
        <w:numPr>
          <w:ilvl w:val="0"/>
          <w:numId w:val="4"/>
        </w:numPr>
      </w:pPr>
      <w:r w:rsidRPr="004C33D1">
        <w:t xml:space="preserve">the </w:t>
      </w:r>
      <w:r w:rsidR="00153384" w:rsidRPr="004C33D1">
        <w:t>package of price signals that local authorities should monitor, and how frequently;</w:t>
      </w:r>
    </w:p>
    <w:p w:rsidR="00153384" w:rsidRPr="004C33D1" w:rsidRDefault="001838F3" w:rsidP="00153384">
      <w:pPr>
        <w:pStyle w:val="ListParagraph"/>
        <w:numPr>
          <w:ilvl w:val="0"/>
          <w:numId w:val="4"/>
        </w:numPr>
      </w:pPr>
      <w:r w:rsidRPr="004C33D1">
        <w:t xml:space="preserve">the </w:t>
      </w:r>
      <w:r w:rsidR="00153384" w:rsidRPr="004C33D1">
        <w:t xml:space="preserve">pros and cons of measures; </w:t>
      </w:r>
    </w:p>
    <w:p w:rsidR="00153384" w:rsidRPr="004C33D1" w:rsidRDefault="001838F3" w:rsidP="00153384">
      <w:pPr>
        <w:pStyle w:val="ListParagraph"/>
        <w:numPr>
          <w:ilvl w:val="0"/>
          <w:numId w:val="4"/>
        </w:numPr>
      </w:pPr>
      <w:r w:rsidRPr="004C33D1">
        <w:t xml:space="preserve">any </w:t>
      </w:r>
      <w:r w:rsidR="00153384" w:rsidRPr="004C33D1">
        <w:t>techniques that should or must be undertaken to convert data into meaningful information; and</w:t>
      </w:r>
    </w:p>
    <w:p w:rsidR="00153384" w:rsidRPr="004C33D1" w:rsidRDefault="001838F3" w:rsidP="00153384">
      <w:pPr>
        <w:pStyle w:val="ListParagraph"/>
        <w:numPr>
          <w:ilvl w:val="0"/>
          <w:numId w:val="4"/>
        </w:numPr>
      </w:pPr>
      <w:proofErr w:type="gramStart"/>
      <w:r w:rsidRPr="004C33D1">
        <w:t>desirable</w:t>
      </w:r>
      <w:proofErr w:type="gramEnd"/>
      <w:r w:rsidRPr="004C33D1">
        <w:t xml:space="preserve"> </w:t>
      </w:r>
      <w:r w:rsidR="00153384" w:rsidRPr="004C33D1">
        <w:t>local authority responses to the information provided by the price signals.</w:t>
      </w:r>
    </w:p>
    <w:p w:rsidR="00153384" w:rsidRPr="004C33D1" w:rsidRDefault="00153384" w:rsidP="00153384">
      <w:pPr>
        <w:spacing w:line="240" w:lineRule="auto"/>
      </w:pPr>
    </w:p>
    <w:p w:rsidR="00474EE8" w:rsidRPr="004C33D1" w:rsidRDefault="00C00411" w:rsidP="00D941CE">
      <w:r w:rsidRPr="004C33D1">
        <w:t xml:space="preserve">To identify and analyse suitable indicators we build on the desirable set of market characteristics as illustrated in </w:t>
      </w:r>
      <w:r w:rsidRPr="004C33D1">
        <w:fldChar w:fldCharType="begin"/>
      </w:r>
      <w:r w:rsidRPr="004C33D1">
        <w:instrText xml:space="preserve"> REF _Ref456267944 \h </w:instrText>
      </w:r>
      <w:r w:rsidRPr="004C33D1">
        <w:fldChar w:fldCharType="separate"/>
      </w:r>
      <w:r w:rsidR="004D1DDA" w:rsidRPr="004C33D1">
        <w:t xml:space="preserve">Figure </w:t>
      </w:r>
      <w:r w:rsidR="004D1DDA">
        <w:rPr>
          <w:noProof/>
        </w:rPr>
        <w:t>1</w:t>
      </w:r>
      <w:r w:rsidRPr="004C33D1">
        <w:fldChar w:fldCharType="end"/>
      </w:r>
      <w:r w:rsidR="00474EE8" w:rsidRPr="004C33D1">
        <w:t xml:space="preserve"> above</w:t>
      </w:r>
      <w:r w:rsidRPr="004C33D1">
        <w:t xml:space="preserve">. </w:t>
      </w:r>
      <w:r w:rsidR="00D941CE" w:rsidRPr="004C33D1">
        <w:t xml:space="preserve">This </w:t>
      </w:r>
      <w:proofErr w:type="gramStart"/>
      <w:r w:rsidR="00D941CE" w:rsidRPr="004C33D1">
        <w:t>is used</w:t>
      </w:r>
      <w:proofErr w:type="gramEnd"/>
      <w:r w:rsidR="00D941CE" w:rsidRPr="004C33D1">
        <w:t xml:space="preserve"> as the basis for defining the problem and for the identification of indicators</w:t>
      </w:r>
      <w:r w:rsidR="00474EE8" w:rsidRPr="004C33D1">
        <w:t xml:space="preserve"> that could be used to help councils to:</w:t>
      </w:r>
    </w:p>
    <w:p w:rsidR="00474EE8" w:rsidRPr="004C33D1" w:rsidRDefault="00474EE8" w:rsidP="00D941CE"/>
    <w:p w:rsidR="00474EE8" w:rsidRPr="004C33D1" w:rsidRDefault="00474EE8" w:rsidP="006277DC">
      <w:pPr>
        <w:pStyle w:val="ListParagraph"/>
        <w:numPr>
          <w:ilvl w:val="0"/>
          <w:numId w:val="66"/>
        </w:numPr>
      </w:pPr>
      <w:r w:rsidRPr="004C33D1">
        <w:t>better understand local markets for land, housing and development capacity;</w:t>
      </w:r>
    </w:p>
    <w:p w:rsidR="00474EE8" w:rsidRPr="004C33D1" w:rsidRDefault="00474EE8" w:rsidP="006277DC">
      <w:pPr>
        <w:pStyle w:val="ListParagraph"/>
        <w:numPr>
          <w:ilvl w:val="0"/>
          <w:numId w:val="66"/>
        </w:numPr>
      </w:pPr>
      <w:r w:rsidRPr="004C33D1">
        <w:t xml:space="preserve">identify existing and emerging problems </w:t>
      </w:r>
      <w:r w:rsidR="00496D4E">
        <w:t>that contribute to</w:t>
      </w:r>
      <w:r w:rsidRPr="004C33D1">
        <w:t xml:space="preserve"> unaffordability; and</w:t>
      </w:r>
    </w:p>
    <w:p w:rsidR="00C00411" w:rsidRPr="004C33D1" w:rsidRDefault="00474EE8" w:rsidP="006277DC">
      <w:pPr>
        <w:pStyle w:val="ListParagraph"/>
        <w:numPr>
          <w:ilvl w:val="0"/>
          <w:numId w:val="66"/>
        </w:numPr>
      </w:pPr>
      <w:proofErr w:type="gramStart"/>
      <w:r w:rsidRPr="004C33D1">
        <w:t>help</w:t>
      </w:r>
      <w:proofErr w:type="gramEnd"/>
      <w:r w:rsidRPr="004C33D1">
        <w:t xml:space="preserve"> target solutions</w:t>
      </w:r>
      <w:r w:rsidR="00D941CE" w:rsidRPr="004C33D1">
        <w:t xml:space="preserve">. </w:t>
      </w:r>
    </w:p>
    <w:p w:rsidR="00C00411" w:rsidRPr="004C33D1" w:rsidRDefault="00C00411" w:rsidP="00153384"/>
    <w:p w:rsidR="008F6A07" w:rsidRPr="004C33D1" w:rsidRDefault="00D941CE" w:rsidP="008F6A07">
      <w:r w:rsidRPr="004C33D1">
        <w:t>W</w:t>
      </w:r>
      <w:r w:rsidR="00C00411" w:rsidRPr="004C33D1">
        <w:t>e discuss the problem in more detail in Section 2</w:t>
      </w:r>
      <w:r w:rsidR="008F6A07" w:rsidRPr="004C33D1">
        <w:t xml:space="preserve">; we provide an in-principle discussion about how to identify and measure cases where current policy results in insufficient development capacity to meet demands. </w:t>
      </w:r>
      <w:r w:rsidR="00C00411" w:rsidRPr="004C33D1">
        <w:t xml:space="preserve">We next work through the different types of possible indicator </w:t>
      </w:r>
      <w:r w:rsidR="008F6A07" w:rsidRPr="004C33D1">
        <w:t>might address different steps on the chain of causality</w:t>
      </w:r>
      <w:r w:rsidR="001838F3">
        <w:t>.</w:t>
      </w:r>
    </w:p>
    <w:p w:rsidR="008F6A07" w:rsidRPr="004C33D1" w:rsidRDefault="008F6A07" w:rsidP="008F6A07">
      <w:pPr>
        <w:tabs>
          <w:tab w:val="left" w:pos="5032"/>
        </w:tabs>
      </w:pPr>
      <w:r w:rsidRPr="004C33D1">
        <w:t xml:space="preserve"> </w:t>
      </w:r>
    </w:p>
    <w:p w:rsidR="001838F3" w:rsidRPr="001838F3" w:rsidRDefault="001838F3" w:rsidP="008F6A07">
      <w:pPr>
        <w:pStyle w:val="ListParagraph"/>
        <w:numPr>
          <w:ilvl w:val="0"/>
          <w:numId w:val="15"/>
        </w:numPr>
      </w:pPr>
      <w:proofErr w:type="gramStart"/>
      <w:r>
        <w:rPr>
          <w:b/>
        </w:rPr>
        <w:t>General market conditions</w:t>
      </w:r>
      <w:r>
        <w:t xml:space="preserve"> which set the scene and suggest whether a problem is emerging</w:t>
      </w:r>
      <w:r w:rsidR="00FC5C7F">
        <w:t xml:space="preserve"> (Section 3)</w:t>
      </w:r>
      <w:r>
        <w:t>.</w:t>
      </w:r>
      <w:proofErr w:type="gramEnd"/>
      <w:r>
        <w:rPr>
          <w:b/>
        </w:rPr>
        <w:br/>
      </w:r>
    </w:p>
    <w:p w:rsidR="008F6A07" w:rsidRPr="004C33D1" w:rsidRDefault="00496D4E" w:rsidP="008F6A07">
      <w:pPr>
        <w:pStyle w:val="ListParagraph"/>
        <w:numPr>
          <w:ilvl w:val="0"/>
          <w:numId w:val="15"/>
        </w:numPr>
      </w:pPr>
      <w:r>
        <w:rPr>
          <w:b/>
        </w:rPr>
        <w:t>Demand, supply and the s</w:t>
      </w:r>
      <w:r w:rsidR="008F6A07" w:rsidRPr="004C33D1">
        <w:rPr>
          <w:b/>
        </w:rPr>
        <w:t>upply-demand balance</w:t>
      </w:r>
      <w:r w:rsidR="008F6A07" w:rsidRPr="004C33D1">
        <w:t xml:space="preserve">: </w:t>
      </w:r>
      <w:r>
        <w:t>how much demand and supply is there, where and of what type; is</w:t>
      </w:r>
      <w:r w:rsidRPr="004C33D1">
        <w:t xml:space="preserve"> there is sufficient amount of development capacity to meet growth in demand, and </w:t>
      </w:r>
      <w:r>
        <w:t>are</w:t>
      </w:r>
      <w:r w:rsidRPr="004C33D1">
        <w:t xml:space="preserve"> </w:t>
      </w:r>
      <w:proofErr w:type="gramStart"/>
      <w:r w:rsidRPr="004C33D1">
        <w:t>developers</w:t>
      </w:r>
      <w:proofErr w:type="gramEnd"/>
      <w:r w:rsidRPr="004C33D1">
        <w:t xml:space="preserve"> actually building new housing or business floorspace in response to demand </w:t>
      </w:r>
      <w:r w:rsidR="008F6A07" w:rsidRPr="004C33D1">
        <w:t xml:space="preserve">(Section </w:t>
      </w:r>
      <w:r w:rsidR="00FC5C7F">
        <w:t>4</w:t>
      </w:r>
      <w:r w:rsidR="001838F3">
        <w:t>).</w:t>
      </w:r>
      <w:r w:rsidR="008F6A07" w:rsidRPr="004C33D1">
        <w:rPr>
          <w:b/>
        </w:rPr>
        <w:br/>
      </w:r>
    </w:p>
    <w:p w:rsidR="008F6A07" w:rsidRPr="004C33D1" w:rsidRDefault="008F6A07" w:rsidP="008F6A07">
      <w:pPr>
        <w:pStyle w:val="ListParagraph"/>
        <w:numPr>
          <w:ilvl w:val="0"/>
          <w:numId w:val="15"/>
        </w:numPr>
      </w:pPr>
      <w:r w:rsidRPr="004C33D1">
        <w:rPr>
          <w:b/>
        </w:rPr>
        <w:t>Competitiveness</w:t>
      </w:r>
      <w:r w:rsidRPr="004C33D1">
        <w:t xml:space="preserve">: the extent to which the market for land (or development capacity) is competitive, setting aside constraints arising from planning or </w:t>
      </w:r>
      <w:r w:rsidRPr="004C33D1">
        <w:lastRenderedPageBreak/>
        <w:t xml:space="preserve">infrastructure supply (Section </w:t>
      </w:r>
      <w:r w:rsidRPr="004C33D1">
        <w:fldChar w:fldCharType="begin"/>
      </w:r>
      <w:r w:rsidRPr="004C33D1">
        <w:instrText xml:space="preserve"> REF _Ref456606790 \r \h </w:instrText>
      </w:r>
      <w:r w:rsidRPr="004C33D1">
        <w:fldChar w:fldCharType="separate"/>
      </w:r>
      <w:r w:rsidR="004D1DDA">
        <w:t>5</w:t>
      </w:r>
      <w:r w:rsidRPr="004C33D1">
        <w:fldChar w:fldCharType="end"/>
      </w:r>
      <w:r w:rsidR="00FC5C7F">
        <w:t>).</w:t>
      </w:r>
      <w:r w:rsidRPr="004C33D1">
        <w:br/>
      </w:r>
    </w:p>
    <w:p w:rsidR="008F6A07" w:rsidRPr="004C33D1" w:rsidRDefault="008F6A07" w:rsidP="008F6A07">
      <w:pPr>
        <w:pStyle w:val="ListParagraph"/>
        <w:numPr>
          <w:ilvl w:val="0"/>
          <w:numId w:val="15"/>
        </w:numPr>
      </w:pPr>
      <w:r w:rsidRPr="004C33D1">
        <w:rPr>
          <w:b/>
        </w:rPr>
        <w:t>Efficient prices:</w:t>
      </w:r>
      <w:r w:rsidRPr="004C33D1">
        <w:t xml:space="preserve"> the extent to which observed market prices for housing, business floorspace, or urban land diverge from prices that </w:t>
      </w:r>
      <w:proofErr w:type="gramStart"/>
      <w:r w:rsidRPr="004C33D1">
        <w:t>would be expected</w:t>
      </w:r>
      <w:proofErr w:type="gramEnd"/>
      <w:r w:rsidRPr="004C33D1">
        <w:t xml:space="preserve"> in a fully competitive market (Section </w:t>
      </w:r>
      <w:r w:rsidRPr="004C33D1">
        <w:fldChar w:fldCharType="begin"/>
      </w:r>
      <w:r w:rsidRPr="004C33D1">
        <w:instrText xml:space="preserve"> REF _Ref457978741 \r \h </w:instrText>
      </w:r>
      <w:r w:rsidRPr="004C33D1">
        <w:fldChar w:fldCharType="separate"/>
      </w:r>
      <w:r w:rsidR="004D1DDA">
        <w:t>6</w:t>
      </w:r>
      <w:r w:rsidRPr="004C33D1">
        <w:fldChar w:fldCharType="end"/>
      </w:r>
      <w:r w:rsidR="00FC5C7F">
        <w:t>).</w:t>
      </w:r>
      <w:r w:rsidRPr="004C33D1">
        <w:br/>
      </w:r>
    </w:p>
    <w:p w:rsidR="008F6A07" w:rsidRPr="004C33D1" w:rsidRDefault="008F6A07" w:rsidP="008F6A07">
      <w:pPr>
        <w:pStyle w:val="ListParagraph"/>
        <w:numPr>
          <w:ilvl w:val="0"/>
          <w:numId w:val="15"/>
        </w:numPr>
      </w:pPr>
      <w:proofErr w:type="gramStart"/>
      <w:r w:rsidRPr="004C33D1">
        <w:rPr>
          <w:b/>
        </w:rPr>
        <w:t xml:space="preserve">Market outcomes: </w:t>
      </w:r>
      <w:r w:rsidRPr="004C33D1">
        <w:t>indicators of the ultimate policy concerns, ie the degree of “unaffordability” of ho</w:t>
      </w:r>
      <w:r w:rsidR="000D3E84">
        <w:t>m</w:t>
      </w:r>
      <w:r w:rsidRPr="004C33D1">
        <w:t>es and thus low levels of ownership or of hardship in the form of over-crowding (Section</w:t>
      </w:r>
      <w:r w:rsidR="00C87AB3">
        <w:t xml:space="preserve"> </w:t>
      </w:r>
      <w:r w:rsidR="00C87AB3">
        <w:fldChar w:fldCharType="begin"/>
      </w:r>
      <w:r w:rsidR="00C87AB3">
        <w:instrText xml:space="preserve"> REF _Ref458366110 \r \h </w:instrText>
      </w:r>
      <w:r w:rsidR="00C87AB3">
        <w:fldChar w:fldCharType="separate"/>
      </w:r>
      <w:r w:rsidR="004D1DDA">
        <w:t>7</w:t>
      </w:r>
      <w:r w:rsidR="00C87AB3">
        <w:fldChar w:fldCharType="end"/>
      </w:r>
      <w:r w:rsidRPr="004C33D1">
        <w:t>).</w:t>
      </w:r>
      <w:proofErr w:type="gramEnd"/>
    </w:p>
    <w:p w:rsidR="008F6A07" w:rsidRPr="004C33D1" w:rsidRDefault="008F6A07" w:rsidP="00153384"/>
    <w:p w:rsidR="008F6A07" w:rsidRPr="004C33D1" w:rsidRDefault="008F6A07" w:rsidP="008F6A07">
      <w:r w:rsidRPr="004C33D1">
        <w:t xml:space="preserve">To conclude, we discuss data availability and capability in councils and central government to implement proposed measures (Section </w:t>
      </w:r>
      <w:r w:rsidRPr="004C33D1">
        <w:fldChar w:fldCharType="begin"/>
      </w:r>
      <w:r w:rsidRPr="004C33D1">
        <w:instrText xml:space="preserve"> REF _Ref457978775 \r \h </w:instrText>
      </w:r>
      <w:r w:rsidRPr="004C33D1">
        <w:fldChar w:fldCharType="separate"/>
      </w:r>
      <w:r w:rsidR="004D1DDA">
        <w:t>8</w:t>
      </w:r>
      <w:r w:rsidRPr="004C33D1">
        <w:fldChar w:fldCharType="end"/>
      </w:r>
      <w:r w:rsidRPr="004C33D1">
        <w:t xml:space="preserve">) and make recommendations about appropriate metrics for inclusion in the NPS-UDC and non-statutory guidelines (Section </w:t>
      </w:r>
      <w:r w:rsidRPr="004C33D1">
        <w:fldChar w:fldCharType="begin"/>
      </w:r>
      <w:r w:rsidRPr="004C33D1">
        <w:instrText xml:space="preserve"> REF _Ref457978784 \r \h </w:instrText>
      </w:r>
      <w:r w:rsidRPr="004C33D1">
        <w:fldChar w:fldCharType="separate"/>
      </w:r>
      <w:r w:rsidR="004D1DDA">
        <w:t>9</w:t>
      </w:r>
      <w:r w:rsidRPr="004C33D1">
        <w:fldChar w:fldCharType="end"/>
      </w:r>
      <w:r w:rsidRPr="004C33D1">
        <w:t xml:space="preserve">). </w:t>
      </w:r>
    </w:p>
    <w:p w:rsidR="008F6A07" w:rsidRPr="004C33D1" w:rsidRDefault="008F6A07" w:rsidP="008F6A07"/>
    <w:p w:rsidR="00153384" w:rsidRPr="004C33D1" w:rsidRDefault="00C00411" w:rsidP="00153384">
      <w:r w:rsidRPr="004C33D1">
        <w:t>We include short summaries of the recommended indicators as Annexes to the report.</w:t>
      </w:r>
    </w:p>
    <w:p w:rsidR="00153384" w:rsidRPr="004C33D1" w:rsidRDefault="00153384" w:rsidP="00153384"/>
    <w:p w:rsidR="00B87653" w:rsidRPr="004C33D1" w:rsidRDefault="00B87653">
      <w:pPr>
        <w:spacing w:line="240" w:lineRule="auto"/>
        <w:rPr>
          <w:rFonts w:ascii="Century Gothic" w:hAnsi="Century Gothic" w:cs="Arial"/>
          <w:b/>
          <w:bCs/>
          <w:sz w:val="36"/>
          <w:szCs w:val="32"/>
        </w:rPr>
      </w:pPr>
      <w:r w:rsidRPr="004C33D1">
        <w:br w:type="page"/>
      </w:r>
    </w:p>
    <w:p w:rsidR="00C01013" w:rsidRPr="004C33D1" w:rsidRDefault="0026729E" w:rsidP="00C01013">
      <w:pPr>
        <w:pStyle w:val="Heading1"/>
      </w:pPr>
      <w:bookmarkStart w:id="38" w:name="_Toc462413611"/>
      <w:bookmarkStart w:id="39" w:name="_Toc462582163"/>
      <w:r>
        <w:lastRenderedPageBreak/>
        <w:t>Identifying the</w:t>
      </w:r>
      <w:r w:rsidR="00C01013" w:rsidRPr="004C33D1">
        <w:t xml:space="preserve"> Problem</w:t>
      </w:r>
      <w:bookmarkEnd w:id="38"/>
      <w:bookmarkEnd w:id="39"/>
    </w:p>
    <w:p w:rsidR="00496D4E" w:rsidRPr="004C33D1" w:rsidRDefault="00496D4E" w:rsidP="00496D4E">
      <w:bookmarkStart w:id="40" w:name="_Ref457572692"/>
      <w:r w:rsidRPr="004C33D1">
        <w:t xml:space="preserve">This Section sets out the nature of the emerging </w:t>
      </w:r>
      <w:proofErr w:type="gramStart"/>
      <w:r w:rsidRPr="004C33D1">
        <w:t>problem which</w:t>
      </w:r>
      <w:proofErr w:type="gramEnd"/>
      <w:r w:rsidRPr="004C33D1">
        <w:t xml:space="preserve"> the </w:t>
      </w:r>
      <w:r w:rsidR="0059793C">
        <w:t>draft</w:t>
      </w:r>
      <w:r w:rsidRPr="004C33D1">
        <w:t xml:space="preserve"> NPS-UDC is addressing. Ultimately</w:t>
      </w:r>
      <w:r w:rsidR="00876A9A">
        <w:t>,</w:t>
      </w:r>
      <w:r w:rsidRPr="004C33D1">
        <w:t xml:space="preserve"> the concern is with housing affordability and the social outcomes that result. However, the thesis presented here and suggested by the </w:t>
      </w:r>
      <w:r w:rsidR="0059793C">
        <w:t>draft</w:t>
      </w:r>
      <w:r w:rsidRPr="004C33D1">
        <w:t xml:space="preserve"> NPS-UDC is that the cause is uncompetitive </w:t>
      </w:r>
      <w:r>
        <w:t xml:space="preserve">land and development </w:t>
      </w:r>
      <w:r w:rsidRPr="004C33D1">
        <w:t xml:space="preserve">markets, partly </w:t>
      </w:r>
      <w:proofErr w:type="gramStart"/>
      <w:r w:rsidRPr="004C33D1">
        <w:t>as a result</w:t>
      </w:r>
      <w:proofErr w:type="gramEnd"/>
      <w:r w:rsidRPr="004C33D1">
        <w:t xml:space="preserve"> of supply limits imposed via planning controls. We step through these components in turn, starting with the market and its participants, the characteristics of an ideal competitive market and the implications of less than full competition. </w:t>
      </w:r>
    </w:p>
    <w:p w:rsidR="00005787" w:rsidRPr="004C33D1" w:rsidRDefault="00005787" w:rsidP="00220C7C">
      <w:pPr>
        <w:pStyle w:val="Heading2"/>
      </w:pPr>
      <w:bookmarkStart w:id="41" w:name="_Toc462413612"/>
      <w:bookmarkStart w:id="42" w:name="_Ref462572584"/>
      <w:bookmarkStart w:id="43" w:name="_Toc462582164"/>
      <w:r w:rsidRPr="004C33D1">
        <w:t>Market Definition</w:t>
      </w:r>
      <w:bookmarkEnd w:id="40"/>
      <w:bookmarkEnd w:id="41"/>
      <w:bookmarkEnd w:id="42"/>
      <w:bookmarkEnd w:id="43"/>
    </w:p>
    <w:p w:rsidR="00B93A6C" w:rsidRPr="004C33D1" w:rsidRDefault="009F1188" w:rsidP="00B93A6C">
      <w:r w:rsidRPr="004C33D1">
        <w:t>Development capacity includes land zoned for development</w:t>
      </w:r>
      <w:r w:rsidR="00D75FFF" w:rsidRPr="004C33D1">
        <w:t>, eg for residential or business use,</w:t>
      </w:r>
      <w:r w:rsidRPr="004C33D1">
        <w:t xml:space="preserve"> and the associated infrastructure that allows that development. </w:t>
      </w:r>
      <w:r w:rsidR="00B93A6C" w:rsidRPr="004C33D1">
        <w:t xml:space="preserve">In the overall context of urban development, although land is the primary good that is exchanged in the market, what determines its value is the set of attributes attached to that land, including the rights to </w:t>
      </w:r>
      <w:proofErr w:type="gramStart"/>
      <w:r w:rsidR="00B93A6C" w:rsidRPr="004C33D1">
        <w:t>develop.</w:t>
      </w:r>
      <w:proofErr w:type="gramEnd"/>
      <w:r w:rsidR="00B93A6C" w:rsidRPr="004C33D1">
        <w:t xml:space="preserve"> Increasing supply of development capacity is not about increasing the </w:t>
      </w:r>
      <w:r w:rsidR="00D75FFF" w:rsidRPr="004C33D1">
        <w:t xml:space="preserve">total </w:t>
      </w:r>
      <w:r w:rsidR="00B93A6C" w:rsidRPr="004C33D1">
        <w:t>supply of land but of</w:t>
      </w:r>
      <w:r w:rsidR="002F38D1" w:rsidRPr="004C33D1">
        <w:t xml:space="preserve"> changing the zoning rules in council plans such that there is an increase in</w:t>
      </w:r>
      <w:r w:rsidR="00B93A6C" w:rsidRPr="004C33D1">
        <w:t xml:space="preserve">: </w:t>
      </w:r>
    </w:p>
    <w:p w:rsidR="00B93A6C" w:rsidRPr="004C33D1" w:rsidRDefault="00B93A6C" w:rsidP="00B93A6C"/>
    <w:p w:rsidR="00B93A6C" w:rsidRPr="004C33D1" w:rsidRDefault="00B93A6C" w:rsidP="006277DC">
      <w:pPr>
        <w:pStyle w:val="ListParagraph"/>
        <w:numPr>
          <w:ilvl w:val="0"/>
          <w:numId w:val="64"/>
        </w:numPr>
      </w:pPr>
      <w:r w:rsidRPr="004C33D1">
        <w:t xml:space="preserve">the land that is zoned for development, eg for residential or business purposes rather than rural uses (agriculture, horticulture etc); </w:t>
      </w:r>
      <w:r w:rsidR="00496D4E">
        <w:t>and/</w:t>
      </w:r>
      <w:r w:rsidRPr="004C33D1">
        <w:t xml:space="preserve">or </w:t>
      </w:r>
    </w:p>
    <w:p w:rsidR="00B93A6C" w:rsidRPr="004C33D1" w:rsidRDefault="00B93A6C" w:rsidP="00B93A6C"/>
    <w:p w:rsidR="00B93A6C" w:rsidRPr="004C33D1" w:rsidRDefault="00B93A6C" w:rsidP="006277DC">
      <w:pPr>
        <w:pStyle w:val="ListParagraph"/>
        <w:numPr>
          <w:ilvl w:val="0"/>
          <w:numId w:val="64"/>
        </w:numPr>
      </w:pPr>
      <w:proofErr w:type="gramStart"/>
      <w:r w:rsidRPr="004C33D1">
        <w:t>the</w:t>
      </w:r>
      <w:proofErr w:type="gramEnd"/>
      <w:r w:rsidRPr="004C33D1">
        <w:t xml:space="preserve"> amount of development that can occur </w:t>
      </w:r>
      <w:r w:rsidR="005A37C6" w:rsidRPr="004C33D1">
        <w:t xml:space="preserve">on any land zoned for development </w:t>
      </w:r>
      <w:r w:rsidRPr="004C33D1">
        <w:t xml:space="preserve">(building height, site coverage etc). </w:t>
      </w:r>
    </w:p>
    <w:p w:rsidR="00B93A6C" w:rsidRPr="004C33D1" w:rsidRDefault="00B93A6C" w:rsidP="00B93A6C"/>
    <w:p w:rsidR="009F1188" w:rsidRPr="004C33D1" w:rsidRDefault="00425C11" w:rsidP="005B1564">
      <w:r w:rsidRPr="004C33D1">
        <w:t xml:space="preserve">Several </w:t>
      </w:r>
      <w:r w:rsidR="0011101F" w:rsidRPr="004C33D1">
        <w:t xml:space="preserve">distinct </w:t>
      </w:r>
      <w:r w:rsidRPr="004C33D1">
        <w:t xml:space="preserve">markets are of interest. </w:t>
      </w:r>
    </w:p>
    <w:p w:rsidR="00425C11" w:rsidRPr="004C33D1" w:rsidRDefault="00425C11" w:rsidP="005B1564"/>
    <w:p w:rsidR="00C01013" w:rsidRPr="004C33D1" w:rsidRDefault="00C01013" w:rsidP="006277DC">
      <w:pPr>
        <w:pStyle w:val="ListParagraph"/>
        <w:numPr>
          <w:ilvl w:val="0"/>
          <w:numId w:val="63"/>
        </w:numPr>
      </w:pPr>
      <w:r w:rsidRPr="004C33D1">
        <w:t>Land at the edge of cities (</w:t>
      </w:r>
      <w:proofErr w:type="gramStart"/>
      <w:r w:rsidRPr="004C33D1">
        <w:t>greenfield</w:t>
      </w:r>
      <w:proofErr w:type="gramEnd"/>
      <w:r w:rsidRPr="004C33D1">
        <w:t xml:space="preserve"> land) which might otherwise be used for some other </w:t>
      </w:r>
      <w:r w:rsidR="005A37C6" w:rsidRPr="004C33D1">
        <w:t xml:space="preserve">(non-urban) </w:t>
      </w:r>
      <w:r w:rsidRPr="004C33D1">
        <w:t xml:space="preserve">use, eg agriculture or horticulture. </w:t>
      </w:r>
      <w:r w:rsidR="005A37C6" w:rsidRPr="004C33D1">
        <w:t xml:space="preserve">For development to occur it will need to be </w:t>
      </w:r>
      <w:proofErr w:type="gramStart"/>
      <w:r w:rsidR="005A37C6" w:rsidRPr="004C33D1">
        <w:t>rezoned,</w:t>
      </w:r>
      <w:proofErr w:type="gramEnd"/>
      <w:r w:rsidR="005A37C6" w:rsidRPr="004C33D1">
        <w:t xml:space="preserve"> i</w:t>
      </w:r>
      <w:r w:rsidRPr="004C33D1">
        <w:t>nfrastructure need</w:t>
      </w:r>
      <w:r w:rsidR="00D75FFF" w:rsidRPr="004C33D1">
        <w:t>s</w:t>
      </w:r>
      <w:r w:rsidRPr="004C33D1">
        <w:t xml:space="preserve"> to be supplied and land may need to be </w:t>
      </w:r>
      <w:r w:rsidR="00D75FFF" w:rsidRPr="004C33D1">
        <w:t>prepared</w:t>
      </w:r>
      <w:r w:rsidR="00474EE8" w:rsidRPr="004C33D1">
        <w:t xml:space="preserve"> (see below)</w:t>
      </w:r>
      <w:r w:rsidR="00FC5C7F">
        <w:t>.</w:t>
      </w:r>
      <w:r w:rsidRPr="004C33D1">
        <w:br/>
      </w:r>
    </w:p>
    <w:p w:rsidR="00C10A35" w:rsidRPr="004C33D1" w:rsidRDefault="00425C11" w:rsidP="006277DC">
      <w:pPr>
        <w:pStyle w:val="ListParagraph"/>
        <w:numPr>
          <w:ilvl w:val="0"/>
          <w:numId w:val="63"/>
        </w:numPr>
      </w:pPr>
      <w:r w:rsidRPr="004C33D1">
        <w:t>Land within cities which might be made available for more intensive development</w:t>
      </w:r>
      <w:r w:rsidR="003226FD" w:rsidRPr="004C33D1">
        <w:t>, including</w:t>
      </w:r>
      <w:r w:rsidR="00C10A35" w:rsidRPr="004C33D1">
        <w:t>:</w:t>
      </w:r>
      <w:r w:rsidRPr="004C33D1">
        <w:t xml:space="preserve"> </w:t>
      </w:r>
    </w:p>
    <w:p w:rsidR="00C10A35" w:rsidRPr="004C33D1" w:rsidRDefault="00425C11" w:rsidP="006277DC">
      <w:pPr>
        <w:pStyle w:val="ListParagraph"/>
        <w:numPr>
          <w:ilvl w:val="1"/>
          <w:numId w:val="63"/>
        </w:numPr>
      </w:pPr>
      <w:r w:rsidRPr="004C33D1">
        <w:t>land currently zoned for residential use but at a low(</w:t>
      </w:r>
      <w:proofErr w:type="spellStart"/>
      <w:r w:rsidRPr="004C33D1">
        <w:t>er</w:t>
      </w:r>
      <w:proofErr w:type="spellEnd"/>
      <w:r w:rsidRPr="004C33D1">
        <w:t>) density</w:t>
      </w:r>
      <w:r w:rsidR="00C10A35" w:rsidRPr="004C33D1">
        <w:t>;</w:t>
      </w:r>
      <w:r w:rsidRPr="004C33D1">
        <w:t xml:space="preserve"> </w:t>
      </w:r>
      <w:r w:rsidR="00C10A35" w:rsidRPr="004C33D1">
        <w:t>and</w:t>
      </w:r>
      <w:r w:rsidRPr="004C33D1">
        <w:t xml:space="preserve"> </w:t>
      </w:r>
    </w:p>
    <w:p w:rsidR="00C10A35" w:rsidRPr="004C33D1" w:rsidRDefault="00425C11" w:rsidP="006277DC">
      <w:pPr>
        <w:pStyle w:val="ListParagraph"/>
        <w:numPr>
          <w:ilvl w:val="1"/>
          <w:numId w:val="63"/>
        </w:numPr>
      </w:pPr>
      <w:proofErr w:type="gramStart"/>
      <w:r w:rsidRPr="004C33D1">
        <w:t>land</w:t>
      </w:r>
      <w:proofErr w:type="gramEnd"/>
      <w:r w:rsidRPr="004C33D1">
        <w:t xml:space="preserve"> currently zoned for some other use, eg commercial/industrial land which might be rezoned for residential use</w:t>
      </w:r>
      <w:r w:rsidR="00C10A35" w:rsidRPr="004C33D1">
        <w:t xml:space="preserve">. </w:t>
      </w:r>
    </w:p>
    <w:p w:rsidR="00425C11" w:rsidRPr="004C33D1" w:rsidRDefault="00C10A35" w:rsidP="00C10A35">
      <w:pPr>
        <w:ind w:left="714"/>
      </w:pPr>
      <w:r w:rsidRPr="004C33D1">
        <w:t>This land is likely to have infrastructure provided already, including roads, three waters,</w:t>
      </w:r>
      <w:r w:rsidRPr="004C33D1">
        <w:rPr>
          <w:rStyle w:val="FootnoteReference"/>
        </w:rPr>
        <w:footnoteReference w:id="14"/>
      </w:r>
      <w:r w:rsidRPr="004C33D1">
        <w:t xml:space="preserve"> energy supply and communications</w:t>
      </w:r>
      <w:r w:rsidR="00474EE8" w:rsidRPr="004C33D1">
        <w:t xml:space="preserve"> (although it may be capacity constrained)</w:t>
      </w:r>
      <w:r w:rsidR="00FC5C7F">
        <w:t>.</w:t>
      </w:r>
      <w:r w:rsidR="00425C11" w:rsidRPr="004C33D1">
        <w:br/>
      </w:r>
    </w:p>
    <w:p w:rsidR="00C10A35" w:rsidRPr="004C33D1" w:rsidRDefault="003226FD" w:rsidP="006277DC">
      <w:pPr>
        <w:pStyle w:val="ListParagraph"/>
        <w:numPr>
          <w:ilvl w:val="0"/>
          <w:numId w:val="63"/>
        </w:numPr>
      </w:pPr>
      <w:proofErr w:type="gramStart"/>
      <w:r w:rsidRPr="004C33D1">
        <w:t xml:space="preserve">Infrastructure </w:t>
      </w:r>
      <w:r w:rsidR="00474EE8" w:rsidRPr="004C33D1">
        <w:t>which</w:t>
      </w:r>
      <w:proofErr w:type="gramEnd"/>
      <w:r w:rsidR="00474EE8" w:rsidRPr="004C33D1">
        <w:t xml:space="preserve"> enables urban land use. It </w:t>
      </w:r>
      <w:proofErr w:type="gramStart"/>
      <w:r w:rsidRPr="004C33D1">
        <w:t>may be provided</w:t>
      </w:r>
      <w:proofErr w:type="gramEnd"/>
      <w:r w:rsidRPr="004C33D1">
        <w:t xml:space="preserve"> privately or </w:t>
      </w:r>
      <w:r w:rsidR="005A37C6" w:rsidRPr="004C33D1">
        <w:t xml:space="preserve">by the Government, councils and </w:t>
      </w:r>
      <w:r w:rsidRPr="004C33D1">
        <w:t>council-controlled organisations</w:t>
      </w:r>
      <w:r w:rsidR="005A37C6" w:rsidRPr="004C33D1">
        <w:t xml:space="preserve"> (CCOs)</w:t>
      </w:r>
      <w:r w:rsidR="00FC5C7F">
        <w:t>.</w:t>
      </w:r>
      <w:r w:rsidRPr="004C33D1">
        <w:br/>
      </w:r>
    </w:p>
    <w:p w:rsidR="003226FD" w:rsidRPr="004C33D1" w:rsidRDefault="003226FD" w:rsidP="006277DC">
      <w:pPr>
        <w:pStyle w:val="ListParagraph"/>
        <w:numPr>
          <w:ilvl w:val="0"/>
          <w:numId w:val="63"/>
        </w:numPr>
      </w:pPr>
      <w:r w:rsidRPr="004C33D1">
        <w:lastRenderedPageBreak/>
        <w:t>Land preparation</w:t>
      </w:r>
      <w:r w:rsidR="00396E01" w:rsidRPr="004C33D1">
        <w:t>, ie the measures taken to prepare land for residential (or business) purposes, which might include earthworks, drainage and so on</w:t>
      </w:r>
      <w:r w:rsidR="00FC5C7F">
        <w:t>.</w:t>
      </w:r>
      <w:r w:rsidR="002F38D1" w:rsidRPr="004C33D1">
        <w:br/>
      </w:r>
    </w:p>
    <w:p w:rsidR="002F38D1" w:rsidRPr="004C33D1" w:rsidRDefault="002F38D1" w:rsidP="006277DC">
      <w:pPr>
        <w:pStyle w:val="ListParagraph"/>
        <w:numPr>
          <w:ilvl w:val="0"/>
          <w:numId w:val="63"/>
        </w:numPr>
      </w:pPr>
      <w:proofErr w:type="gramStart"/>
      <w:r w:rsidRPr="004C33D1">
        <w:t>Construction markets, ie building housing and buildings for business use.</w:t>
      </w:r>
      <w:proofErr w:type="gramEnd"/>
    </w:p>
    <w:p w:rsidR="002F38D1" w:rsidRPr="004C33D1" w:rsidRDefault="002F38D1" w:rsidP="002F38D1"/>
    <w:p w:rsidR="002F38D1" w:rsidRDefault="002F38D1" w:rsidP="002F38D1">
      <w:r w:rsidRPr="004C33D1">
        <w:t xml:space="preserve">There </w:t>
      </w:r>
      <w:r w:rsidR="00474EE8" w:rsidRPr="004C33D1">
        <w:t xml:space="preserve">are a number </w:t>
      </w:r>
      <w:r w:rsidRPr="004C33D1">
        <w:t xml:space="preserve">of participants in the markets, as listed in </w:t>
      </w:r>
      <w:r w:rsidRPr="004C33D1">
        <w:fldChar w:fldCharType="begin"/>
      </w:r>
      <w:r w:rsidRPr="004C33D1">
        <w:instrText xml:space="preserve"> REF _Ref457482471 \h </w:instrText>
      </w:r>
      <w:r w:rsidRPr="004C33D1">
        <w:fldChar w:fldCharType="separate"/>
      </w:r>
      <w:r w:rsidR="004D1DDA" w:rsidRPr="004C33D1">
        <w:t xml:space="preserve">Table </w:t>
      </w:r>
      <w:r w:rsidR="004D1DDA">
        <w:rPr>
          <w:noProof/>
        </w:rPr>
        <w:t>1</w:t>
      </w:r>
      <w:r w:rsidRPr="004C33D1">
        <w:fldChar w:fldCharType="end"/>
      </w:r>
      <w:r w:rsidRPr="004C33D1">
        <w:t>.</w:t>
      </w:r>
      <w:r w:rsidR="00112504">
        <w:t xml:space="preserve"> These include those who actively participate in these markets and those that affect them directly.</w:t>
      </w:r>
    </w:p>
    <w:p w:rsidR="0029405D" w:rsidRPr="004C33D1" w:rsidRDefault="0029405D" w:rsidP="002F38D1"/>
    <w:p w:rsidR="007E6C4E" w:rsidRPr="004C33D1" w:rsidRDefault="002F38D1" w:rsidP="00E02811">
      <w:pPr>
        <w:pStyle w:val="Caption"/>
      </w:pPr>
      <w:bookmarkStart w:id="44" w:name="_Ref457482471"/>
      <w:r w:rsidRPr="004C33D1">
        <w:t xml:space="preserve">Table </w:t>
      </w:r>
      <w:r w:rsidRPr="004C33D1">
        <w:fldChar w:fldCharType="begin"/>
      </w:r>
      <w:r w:rsidRPr="004C33D1">
        <w:instrText xml:space="preserve"> SEQ Table \* ARABIC </w:instrText>
      </w:r>
      <w:r w:rsidRPr="004C33D1">
        <w:fldChar w:fldCharType="separate"/>
      </w:r>
      <w:r w:rsidR="004D1DDA">
        <w:rPr>
          <w:noProof/>
        </w:rPr>
        <w:t>1</w:t>
      </w:r>
      <w:r w:rsidRPr="004C33D1">
        <w:fldChar w:fldCharType="end"/>
      </w:r>
      <w:bookmarkEnd w:id="44"/>
      <w:r w:rsidRPr="004C33D1">
        <w:t xml:space="preserve"> Market participants in development capacity markets</w:t>
      </w:r>
    </w:p>
    <w:tbl>
      <w:tblPr>
        <w:tblStyle w:val="CovecTables"/>
        <w:tblW w:w="5000" w:type="pct"/>
        <w:tblInd w:w="0" w:type="dxa"/>
        <w:tblBorders>
          <w:bottom w:val="single" w:sz="12" w:space="0" w:color="A6A6A6" w:themeColor="background1" w:themeShade="A6"/>
          <w:insideH w:val="single" w:sz="8" w:space="0" w:color="A6A6A6" w:themeColor="background1" w:themeShade="A6"/>
          <w:insideV w:val="single" w:sz="8" w:space="0" w:color="A6A6A6" w:themeColor="background1" w:themeShade="A6"/>
        </w:tblBorders>
        <w:tblLook w:val="04E0" w:firstRow="1" w:lastRow="1" w:firstColumn="1" w:lastColumn="0" w:noHBand="0" w:noVBand="1"/>
      </w:tblPr>
      <w:tblGrid>
        <w:gridCol w:w="2281"/>
        <w:gridCol w:w="1980"/>
        <w:gridCol w:w="1980"/>
        <w:gridCol w:w="1980"/>
      </w:tblGrid>
      <w:tr w:rsidR="002F38D1" w:rsidRPr="004C33D1" w:rsidTr="002F38D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88" w:type="pct"/>
            <w:tcBorders>
              <w:bottom w:val="none" w:sz="0" w:space="0" w:color="auto"/>
            </w:tcBorders>
          </w:tcPr>
          <w:p w:rsidR="002F38D1" w:rsidRPr="004C33D1" w:rsidRDefault="002F38D1" w:rsidP="002F38D1">
            <w:pPr>
              <w:pStyle w:val="TableText"/>
            </w:pPr>
            <w:r w:rsidRPr="004C33D1">
              <w:t>Participant</w:t>
            </w:r>
          </w:p>
        </w:tc>
        <w:tc>
          <w:tcPr>
            <w:tcW w:w="1204" w:type="pct"/>
            <w:tcBorders>
              <w:bottom w:val="none" w:sz="0" w:space="0" w:color="auto"/>
            </w:tcBorders>
          </w:tcPr>
          <w:p w:rsidR="002F38D1" w:rsidRPr="004C33D1" w:rsidRDefault="002F38D1" w:rsidP="002F38D1">
            <w:pPr>
              <w:pStyle w:val="TableText"/>
              <w:jc w:val="center"/>
              <w:cnfStyle w:val="100000000000" w:firstRow="1" w:lastRow="0" w:firstColumn="0" w:lastColumn="0" w:oddVBand="0" w:evenVBand="0" w:oddHBand="0" w:evenHBand="0" w:firstRowFirstColumn="0" w:firstRowLastColumn="0" w:lastRowFirstColumn="0" w:lastRowLastColumn="0"/>
            </w:pPr>
            <w:r w:rsidRPr="004C33D1">
              <w:t>Zoning/land supply</w:t>
            </w:r>
          </w:p>
        </w:tc>
        <w:tc>
          <w:tcPr>
            <w:tcW w:w="1204" w:type="pct"/>
            <w:tcBorders>
              <w:bottom w:val="none" w:sz="0" w:space="0" w:color="auto"/>
            </w:tcBorders>
          </w:tcPr>
          <w:p w:rsidR="002F38D1" w:rsidRPr="004C33D1" w:rsidRDefault="002F38D1" w:rsidP="002F38D1">
            <w:pPr>
              <w:pStyle w:val="TableText"/>
              <w:jc w:val="center"/>
              <w:cnfStyle w:val="100000000000" w:firstRow="1" w:lastRow="0" w:firstColumn="0" w:lastColumn="0" w:oddVBand="0" w:evenVBand="0" w:oddHBand="0" w:evenHBand="0" w:firstRowFirstColumn="0" w:firstRowLastColumn="0" w:lastRowFirstColumn="0" w:lastRowLastColumn="0"/>
            </w:pPr>
            <w:r w:rsidRPr="004C33D1">
              <w:t>Infrastructure</w:t>
            </w:r>
          </w:p>
        </w:tc>
        <w:tc>
          <w:tcPr>
            <w:tcW w:w="1204" w:type="pct"/>
            <w:tcBorders>
              <w:bottom w:val="none" w:sz="0" w:space="0" w:color="auto"/>
            </w:tcBorders>
          </w:tcPr>
          <w:p w:rsidR="002F38D1" w:rsidRPr="004C33D1" w:rsidRDefault="002F38D1" w:rsidP="002F38D1">
            <w:pPr>
              <w:pStyle w:val="TableText"/>
              <w:jc w:val="center"/>
              <w:cnfStyle w:val="100000000000" w:firstRow="1" w:lastRow="0" w:firstColumn="0" w:lastColumn="0" w:oddVBand="0" w:evenVBand="0" w:oddHBand="0" w:evenHBand="0" w:firstRowFirstColumn="0" w:firstRowLastColumn="0" w:lastRowFirstColumn="0" w:lastRowLastColumn="0"/>
            </w:pPr>
            <w:r w:rsidRPr="004C33D1">
              <w:t>Land preparation &amp; construction</w:t>
            </w:r>
          </w:p>
        </w:tc>
      </w:tr>
      <w:tr w:rsidR="002F38D1" w:rsidRPr="004C33D1" w:rsidTr="002F38D1">
        <w:tblPrEx>
          <w:tblCellMar>
            <w:top w:w="0" w:type="dxa"/>
            <w:left w:w="0" w:type="dxa"/>
            <w:bottom w:w="0" w:type="dxa"/>
            <w:right w:w="0" w:type="dxa"/>
          </w:tblCellMar>
        </w:tblPrEx>
        <w:tc>
          <w:tcPr>
            <w:cnfStyle w:val="001000000000" w:firstRow="0" w:lastRow="0" w:firstColumn="1" w:lastColumn="0" w:oddVBand="0" w:evenVBand="0" w:oddHBand="0" w:evenHBand="0" w:firstRowFirstColumn="0" w:firstRowLastColumn="0" w:lastRowFirstColumn="0" w:lastRowLastColumn="0"/>
            <w:tcW w:w="1388" w:type="pct"/>
          </w:tcPr>
          <w:p w:rsidR="002F38D1" w:rsidRPr="004C33D1" w:rsidRDefault="002F38D1" w:rsidP="002F38D1">
            <w:pPr>
              <w:pStyle w:val="TableText"/>
            </w:pPr>
            <w:r w:rsidRPr="004C33D1">
              <w:t>Council</w:t>
            </w:r>
          </w:p>
        </w:tc>
        <w:tc>
          <w:tcPr>
            <w:tcW w:w="1204" w:type="pct"/>
          </w:tcPr>
          <w:p w:rsidR="002F38D1" w:rsidRPr="004C33D1" w:rsidRDefault="002F38D1" w:rsidP="002F38D1">
            <w:pPr>
              <w:pStyle w:val="TableText"/>
              <w:jc w:val="center"/>
              <w:cnfStyle w:val="000000000000" w:firstRow="0" w:lastRow="0" w:firstColumn="0" w:lastColumn="0" w:oddVBand="0" w:evenVBand="0" w:oddHBand="0" w:evenHBand="0" w:firstRowFirstColumn="0" w:firstRowLastColumn="0" w:lastRowFirstColumn="0" w:lastRowLastColumn="0"/>
            </w:pPr>
            <w:r w:rsidRPr="004C33D1">
              <w:sym w:font="Wingdings" w:char="F0FC"/>
            </w:r>
          </w:p>
        </w:tc>
        <w:tc>
          <w:tcPr>
            <w:tcW w:w="1204" w:type="pct"/>
          </w:tcPr>
          <w:p w:rsidR="002F38D1" w:rsidRPr="004C33D1" w:rsidRDefault="002F38D1" w:rsidP="002F38D1">
            <w:pPr>
              <w:pStyle w:val="TableText"/>
              <w:jc w:val="center"/>
              <w:cnfStyle w:val="000000000000" w:firstRow="0" w:lastRow="0" w:firstColumn="0" w:lastColumn="0" w:oddVBand="0" w:evenVBand="0" w:oddHBand="0" w:evenHBand="0" w:firstRowFirstColumn="0" w:firstRowLastColumn="0" w:lastRowFirstColumn="0" w:lastRowLastColumn="0"/>
            </w:pPr>
            <w:r w:rsidRPr="004C33D1">
              <w:sym w:font="Wingdings" w:char="F0FC"/>
            </w:r>
          </w:p>
        </w:tc>
        <w:tc>
          <w:tcPr>
            <w:tcW w:w="1204" w:type="pct"/>
          </w:tcPr>
          <w:p w:rsidR="002F38D1" w:rsidRPr="004C33D1" w:rsidRDefault="003B486C" w:rsidP="002F38D1">
            <w:pPr>
              <w:pStyle w:val="TableText"/>
              <w:jc w:val="center"/>
              <w:cnfStyle w:val="000000000000" w:firstRow="0" w:lastRow="0" w:firstColumn="0" w:lastColumn="0" w:oddVBand="0" w:evenVBand="0" w:oddHBand="0" w:evenHBand="0" w:firstRowFirstColumn="0" w:firstRowLastColumn="0" w:lastRowFirstColumn="0" w:lastRowLastColumn="0"/>
            </w:pPr>
            <w:r w:rsidRPr="004C33D1">
              <w:sym w:font="Wingdings" w:char="F0FC"/>
            </w:r>
          </w:p>
        </w:tc>
      </w:tr>
      <w:tr w:rsidR="002F38D1" w:rsidRPr="004C33D1" w:rsidTr="002F38D1">
        <w:tblPrEx>
          <w:tblCellMar>
            <w:top w:w="0" w:type="dxa"/>
            <w:left w:w="0" w:type="dxa"/>
            <w:bottom w:w="0" w:type="dxa"/>
            <w:right w:w="0" w:type="dxa"/>
          </w:tblCellMar>
        </w:tblPrEx>
        <w:tc>
          <w:tcPr>
            <w:cnfStyle w:val="001000000000" w:firstRow="0" w:lastRow="0" w:firstColumn="1" w:lastColumn="0" w:oddVBand="0" w:evenVBand="0" w:oddHBand="0" w:evenHBand="0" w:firstRowFirstColumn="0" w:firstRowLastColumn="0" w:lastRowFirstColumn="0" w:lastRowLastColumn="0"/>
            <w:tcW w:w="1388" w:type="pct"/>
          </w:tcPr>
          <w:p w:rsidR="002F38D1" w:rsidRPr="004C33D1" w:rsidRDefault="00EA0589" w:rsidP="002F38D1">
            <w:pPr>
              <w:pStyle w:val="TableText"/>
            </w:pPr>
            <w:r>
              <w:t>Land</w:t>
            </w:r>
            <w:r w:rsidR="002F38D1" w:rsidRPr="004C33D1">
              <w:t>owners</w:t>
            </w:r>
          </w:p>
        </w:tc>
        <w:tc>
          <w:tcPr>
            <w:tcW w:w="1204" w:type="pct"/>
          </w:tcPr>
          <w:p w:rsidR="002F38D1" w:rsidRPr="004C33D1" w:rsidRDefault="002F38D1" w:rsidP="002F38D1">
            <w:pPr>
              <w:pStyle w:val="TableText"/>
              <w:jc w:val="center"/>
              <w:cnfStyle w:val="000000000000" w:firstRow="0" w:lastRow="0" w:firstColumn="0" w:lastColumn="0" w:oddVBand="0" w:evenVBand="0" w:oddHBand="0" w:evenHBand="0" w:firstRowFirstColumn="0" w:firstRowLastColumn="0" w:lastRowFirstColumn="0" w:lastRowLastColumn="0"/>
            </w:pPr>
            <w:r w:rsidRPr="004C33D1">
              <w:sym w:font="Wingdings" w:char="F0FC"/>
            </w:r>
          </w:p>
        </w:tc>
        <w:tc>
          <w:tcPr>
            <w:tcW w:w="1204" w:type="pct"/>
          </w:tcPr>
          <w:p w:rsidR="002F38D1" w:rsidRPr="004C33D1" w:rsidRDefault="002F38D1" w:rsidP="002F38D1">
            <w:pPr>
              <w:pStyle w:val="TableText"/>
              <w:jc w:val="center"/>
              <w:cnfStyle w:val="000000000000" w:firstRow="0" w:lastRow="0" w:firstColumn="0" w:lastColumn="0" w:oddVBand="0" w:evenVBand="0" w:oddHBand="0" w:evenHBand="0" w:firstRowFirstColumn="0" w:firstRowLastColumn="0" w:lastRowFirstColumn="0" w:lastRowLastColumn="0"/>
            </w:pPr>
          </w:p>
        </w:tc>
        <w:tc>
          <w:tcPr>
            <w:tcW w:w="1204" w:type="pct"/>
          </w:tcPr>
          <w:p w:rsidR="002F38D1" w:rsidRPr="004C33D1" w:rsidRDefault="002F38D1" w:rsidP="002F38D1">
            <w:pPr>
              <w:pStyle w:val="TableText"/>
              <w:jc w:val="center"/>
              <w:cnfStyle w:val="000000000000" w:firstRow="0" w:lastRow="0" w:firstColumn="0" w:lastColumn="0" w:oddVBand="0" w:evenVBand="0" w:oddHBand="0" w:evenHBand="0" w:firstRowFirstColumn="0" w:firstRowLastColumn="0" w:lastRowFirstColumn="0" w:lastRowLastColumn="0"/>
            </w:pPr>
          </w:p>
        </w:tc>
      </w:tr>
      <w:tr w:rsidR="002F38D1" w:rsidRPr="004C33D1" w:rsidTr="002F38D1">
        <w:tblPrEx>
          <w:tblCellMar>
            <w:top w:w="0" w:type="dxa"/>
            <w:left w:w="0" w:type="dxa"/>
            <w:bottom w:w="0" w:type="dxa"/>
            <w:right w:w="0" w:type="dxa"/>
          </w:tblCellMar>
        </w:tblPrEx>
        <w:tc>
          <w:tcPr>
            <w:cnfStyle w:val="001000000000" w:firstRow="0" w:lastRow="0" w:firstColumn="1" w:lastColumn="0" w:oddVBand="0" w:evenVBand="0" w:oddHBand="0" w:evenHBand="0" w:firstRowFirstColumn="0" w:firstRowLastColumn="0" w:lastRowFirstColumn="0" w:lastRowLastColumn="0"/>
            <w:tcW w:w="1388" w:type="pct"/>
          </w:tcPr>
          <w:p w:rsidR="002F38D1" w:rsidRPr="004C33D1" w:rsidRDefault="002F38D1" w:rsidP="002F38D1">
            <w:pPr>
              <w:pStyle w:val="TableText"/>
            </w:pPr>
            <w:r w:rsidRPr="004C33D1">
              <w:t>Infrastructure supplier</w:t>
            </w:r>
          </w:p>
        </w:tc>
        <w:tc>
          <w:tcPr>
            <w:tcW w:w="1204" w:type="pct"/>
          </w:tcPr>
          <w:p w:rsidR="002F38D1" w:rsidRPr="004C33D1" w:rsidRDefault="002F38D1" w:rsidP="002F38D1">
            <w:pPr>
              <w:pStyle w:val="TableText"/>
              <w:jc w:val="center"/>
              <w:cnfStyle w:val="000000000000" w:firstRow="0" w:lastRow="0" w:firstColumn="0" w:lastColumn="0" w:oddVBand="0" w:evenVBand="0" w:oddHBand="0" w:evenHBand="0" w:firstRowFirstColumn="0" w:firstRowLastColumn="0" w:lastRowFirstColumn="0" w:lastRowLastColumn="0"/>
            </w:pPr>
          </w:p>
        </w:tc>
        <w:tc>
          <w:tcPr>
            <w:tcW w:w="1204" w:type="pct"/>
          </w:tcPr>
          <w:p w:rsidR="002F38D1" w:rsidRPr="004C33D1" w:rsidRDefault="002F38D1" w:rsidP="002F38D1">
            <w:pPr>
              <w:pStyle w:val="TableText"/>
              <w:jc w:val="center"/>
              <w:cnfStyle w:val="000000000000" w:firstRow="0" w:lastRow="0" w:firstColumn="0" w:lastColumn="0" w:oddVBand="0" w:evenVBand="0" w:oddHBand="0" w:evenHBand="0" w:firstRowFirstColumn="0" w:firstRowLastColumn="0" w:lastRowFirstColumn="0" w:lastRowLastColumn="0"/>
            </w:pPr>
            <w:r w:rsidRPr="004C33D1">
              <w:sym w:font="Wingdings" w:char="F0FC"/>
            </w:r>
          </w:p>
        </w:tc>
        <w:tc>
          <w:tcPr>
            <w:tcW w:w="1204" w:type="pct"/>
          </w:tcPr>
          <w:p w:rsidR="002F38D1" w:rsidRPr="004C33D1" w:rsidRDefault="002F38D1" w:rsidP="002F38D1">
            <w:pPr>
              <w:pStyle w:val="TableText"/>
              <w:jc w:val="center"/>
              <w:cnfStyle w:val="000000000000" w:firstRow="0" w:lastRow="0" w:firstColumn="0" w:lastColumn="0" w:oddVBand="0" w:evenVBand="0" w:oddHBand="0" w:evenHBand="0" w:firstRowFirstColumn="0" w:firstRowLastColumn="0" w:lastRowFirstColumn="0" w:lastRowLastColumn="0"/>
            </w:pPr>
          </w:p>
        </w:tc>
      </w:tr>
      <w:tr w:rsidR="002F38D1" w:rsidRPr="004C33D1" w:rsidTr="002F38D1">
        <w:tblPrEx>
          <w:tblCellMar>
            <w:top w:w="0" w:type="dxa"/>
            <w:left w:w="0" w:type="dxa"/>
            <w:bottom w:w="0" w:type="dxa"/>
            <w:right w:w="0" w:type="dxa"/>
          </w:tblCellMar>
        </w:tblPrEx>
        <w:tc>
          <w:tcPr>
            <w:cnfStyle w:val="001000000000" w:firstRow="0" w:lastRow="0" w:firstColumn="1" w:lastColumn="0" w:oddVBand="0" w:evenVBand="0" w:oddHBand="0" w:evenHBand="0" w:firstRowFirstColumn="0" w:firstRowLastColumn="0" w:lastRowFirstColumn="0" w:lastRowLastColumn="0"/>
            <w:tcW w:w="1388" w:type="pct"/>
          </w:tcPr>
          <w:p w:rsidR="002F38D1" w:rsidRPr="004C33D1" w:rsidRDefault="002F38D1" w:rsidP="002F38D1">
            <w:pPr>
              <w:pStyle w:val="TableText"/>
            </w:pPr>
            <w:r w:rsidRPr="004C33D1">
              <w:t>Land developer/builder</w:t>
            </w:r>
          </w:p>
        </w:tc>
        <w:tc>
          <w:tcPr>
            <w:tcW w:w="1204" w:type="pct"/>
          </w:tcPr>
          <w:p w:rsidR="002F38D1" w:rsidRPr="004C33D1" w:rsidRDefault="002F38D1" w:rsidP="002F38D1">
            <w:pPr>
              <w:pStyle w:val="TableText"/>
              <w:jc w:val="center"/>
              <w:cnfStyle w:val="000000000000" w:firstRow="0" w:lastRow="0" w:firstColumn="0" w:lastColumn="0" w:oddVBand="0" w:evenVBand="0" w:oddHBand="0" w:evenHBand="0" w:firstRowFirstColumn="0" w:firstRowLastColumn="0" w:lastRowFirstColumn="0" w:lastRowLastColumn="0"/>
            </w:pPr>
          </w:p>
        </w:tc>
        <w:tc>
          <w:tcPr>
            <w:tcW w:w="1204" w:type="pct"/>
          </w:tcPr>
          <w:p w:rsidR="002F38D1" w:rsidRPr="004C33D1" w:rsidRDefault="002F38D1" w:rsidP="002F38D1">
            <w:pPr>
              <w:pStyle w:val="TableText"/>
              <w:jc w:val="center"/>
              <w:cnfStyle w:val="000000000000" w:firstRow="0" w:lastRow="0" w:firstColumn="0" w:lastColumn="0" w:oddVBand="0" w:evenVBand="0" w:oddHBand="0" w:evenHBand="0" w:firstRowFirstColumn="0" w:firstRowLastColumn="0" w:lastRowFirstColumn="0" w:lastRowLastColumn="0"/>
            </w:pPr>
            <w:r w:rsidRPr="004C33D1">
              <w:sym w:font="Wingdings" w:char="F0FC"/>
            </w:r>
          </w:p>
        </w:tc>
        <w:tc>
          <w:tcPr>
            <w:tcW w:w="1204" w:type="pct"/>
          </w:tcPr>
          <w:p w:rsidR="002F38D1" w:rsidRPr="004C33D1" w:rsidRDefault="002F38D1" w:rsidP="002F38D1">
            <w:pPr>
              <w:pStyle w:val="TableText"/>
              <w:jc w:val="center"/>
              <w:cnfStyle w:val="000000000000" w:firstRow="0" w:lastRow="0" w:firstColumn="0" w:lastColumn="0" w:oddVBand="0" w:evenVBand="0" w:oddHBand="0" w:evenHBand="0" w:firstRowFirstColumn="0" w:firstRowLastColumn="0" w:lastRowFirstColumn="0" w:lastRowLastColumn="0"/>
            </w:pPr>
            <w:r w:rsidRPr="004C33D1">
              <w:sym w:font="Wingdings" w:char="F0FC"/>
            </w:r>
          </w:p>
        </w:tc>
      </w:tr>
      <w:tr w:rsidR="002F38D1" w:rsidRPr="004C33D1" w:rsidTr="002F38D1">
        <w:tblPrEx>
          <w:tblCellMar>
            <w:top w:w="0" w:type="dxa"/>
            <w:left w:w="0" w:type="dxa"/>
            <w:bottom w:w="0" w:type="dxa"/>
            <w:right w:w="0" w:type="dxa"/>
          </w:tblCellMar>
        </w:tblPrEx>
        <w:tc>
          <w:tcPr>
            <w:cnfStyle w:val="001000000000" w:firstRow="0" w:lastRow="0" w:firstColumn="1" w:lastColumn="0" w:oddVBand="0" w:evenVBand="0" w:oddHBand="0" w:evenHBand="0" w:firstRowFirstColumn="0" w:firstRowLastColumn="0" w:lastRowFirstColumn="0" w:lastRowLastColumn="0"/>
            <w:tcW w:w="1388" w:type="pct"/>
          </w:tcPr>
          <w:p w:rsidR="002F38D1" w:rsidRPr="004C33D1" w:rsidRDefault="002F38D1" w:rsidP="002F38D1">
            <w:pPr>
              <w:pStyle w:val="TableText"/>
            </w:pPr>
            <w:r w:rsidRPr="004C33D1">
              <w:t>Building material providers</w:t>
            </w:r>
          </w:p>
        </w:tc>
        <w:tc>
          <w:tcPr>
            <w:tcW w:w="1204" w:type="pct"/>
          </w:tcPr>
          <w:p w:rsidR="002F38D1" w:rsidRPr="004C33D1" w:rsidRDefault="002F38D1" w:rsidP="002F38D1">
            <w:pPr>
              <w:pStyle w:val="TableText"/>
              <w:jc w:val="center"/>
              <w:cnfStyle w:val="000000000000" w:firstRow="0" w:lastRow="0" w:firstColumn="0" w:lastColumn="0" w:oddVBand="0" w:evenVBand="0" w:oddHBand="0" w:evenHBand="0" w:firstRowFirstColumn="0" w:firstRowLastColumn="0" w:lastRowFirstColumn="0" w:lastRowLastColumn="0"/>
            </w:pPr>
          </w:p>
        </w:tc>
        <w:tc>
          <w:tcPr>
            <w:tcW w:w="1204" w:type="pct"/>
          </w:tcPr>
          <w:p w:rsidR="002F38D1" w:rsidRPr="004C33D1" w:rsidRDefault="002F38D1" w:rsidP="002F38D1">
            <w:pPr>
              <w:pStyle w:val="TableText"/>
              <w:jc w:val="center"/>
              <w:cnfStyle w:val="000000000000" w:firstRow="0" w:lastRow="0" w:firstColumn="0" w:lastColumn="0" w:oddVBand="0" w:evenVBand="0" w:oddHBand="0" w:evenHBand="0" w:firstRowFirstColumn="0" w:firstRowLastColumn="0" w:lastRowFirstColumn="0" w:lastRowLastColumn="0"/>
            </w:pPr>
          </w:p>
        </w:tc>
        <w:tc>
          <w:tcPr>
            <w:tcW w:w="1204" w:type="pct"/>
          </w:tcPr>
          <w:p w:rsidR="002F38D1" w:rsidRPr="004C33D1" w:rsidRDefault="002F38D1" w:rsidP="002F38D1">
            <w:pPr>
              <w:pStyle w:val="TableText"/>
              <w:jc w:val="center"/>
              <w:cnfStyle w:val="000000000000" w:firstRow="0" w:lastRow="0" w:firstColumn="0" w:lastColumn="0" w:oddVBand="0" w:evenVBand="0" w:oddHBand="0" w:evenHBand="0" w:firstRowFirstColumn="0" w:firstRowLastColumn="0" w:lastRowFirstColumn="0" w:lastRowLastColumn="0"/>
            </w:pPr>
            <w:r w:rsidRPr="004C33D1">
              <w:sym w:font="Wingdings" w:char="F0FC"/>
            </w:r>
          </w:p>
        </w:tc>
      </w:tr>
      <w:tr w:rsidR="002F38D1" w:rsidRPr="004C33D1" w:rsidTr="002F38D1">
        <w:tblPrEx>
          <w:tblCellMar>
            <w:top w:w="0" w:type="dxa"/>
            <w:left w:w="0" w:type="dxa"/>
            <w:bottom w:w="0" w:type="dxa"/>
            <w:right w:w="0"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388" w:type="pct"/>
          </w:tcPr>
          <w:p w:rsidR="002F38D1" w:rsidRPr="004C33D1" w:rsidRDefault="002F38D1" w:rsidP="002F38D1">
            <w:pPr>
              <w:pStyle w:val="TableText"/>
            </w:pPr>
            <w:r w:rsidRPr="004C33D1">
              <w:t>Banks/financiers</w:t>
            </w:r>
          </w:p>
        </w:tc>
        <w:tc>
          <w:tcPr>
            <w:tcW w:w="1204" w:type="pct"/>
          </w:tcPr>
          <w:p w:rsidR="002F38D1" w:rsidRPr="004C33D1" w:rsidRDefault="002F38D1" w:rsidP="002F38D1">
            <w:pPr>
              <w:pStyle w:val="TableText"/>
              <w:jc w:val="center"/>
              <w:cnfStyle w:val="010000000000" w:firstRow="0" w:lastRow="1" w:firstColumn="0" w:lastColumn="0" w:oddVBand="0" w:evenVBand="0" w:oddHBand="0" w:evenHBand="0" w:firstRowFirstColumn="0" w:firstRowLastColumn="0" w:lastRowFirstColumn="0" w:lastRowLastColumn="0"/>
            </w:pPr>
            <w:r w:rsidRPr="004C33D1">
              <w:sym w:font="Wingdings" w:char="F0FC"/>
            </w:r>
          </w:p>
        </w:tc>
        <w:tc>
          <w:tcPr>
            <w:tcW w:w="1204" w:type="pct"/>
          </w:tcPr>
          <w:p w:rsidR="002F38D1" w:rsidRPr="004C33D1" w:rsidRDefault="002F38D1" w:rsidP="002F38D1">
            <w:pPr>
              <w:pStyle w:val="TableText"/>
              <w:jc w:val="center"/>
              <w:cnfStyle w:val="010000000000" w:firstRow="0" w:lastRow="1" w:firstColumn="0" w:lastColumn="0" w:oddVBand="0" w:evenVBand="0" w:oddHBand="0" w:evenHBand="0" w:firstRowFirstColumn="0" w:firstRowLastColumn="0" w:lastRowFirstColumn="0" w:lastRowLastColumn="0"/>
            </w:pPr>
            <w:r w:rsidRPr="004C33D1">
              <w:sym w:font="Wingdings" w:char="F0FC"/>
            </w:r>
          </w:p>
        </w:tc>
        <w:tc>
          <w:tcPr>
            <w:tcW w:w="1204" w:type="pct"/>
          </w:tcPr>
          <w:p w:rsidR="002F38D1" w:rsidRPr="004C33D1" w:rsidRDefault="002F38D1" w:rsidP="002F38D1">
            <w:pPr>
              <w:pStyle w:val="TableText"/>
              <w:jc w:val="center"/>
              <w:cnfStyle w:val="010000000000" w:firstRow="0" w:lastRow="1" w:firstColumn="0" w:lastColumn="0" w:oddVBand="0" w:evenVBand="0" w:oddHBand="0" w:evenHBand="0" w:firstRowFirstColumn="0" w:firstRowLastColumn="0" w:lastRowFirstColumn="0" w:lastRowLastColumn="0"/>
            </w:pPr>
            <w:r w:rsidRPr="004C33D1">
              <w:sym w:font="Wingdings" w:char="F0FC"/>
            </w:r>
          </w:p>
        </w:tc>
      </w:tr>
    </w:tbl>
    <w:p w:rsidR="005A37C6" w:rsidRPr="004C33D1" w:rsidRDefault="005A37C6" w:rsidP="005A37C6"/>
    <w:p w:rsidR="003B486C" w:rsidRDefault="00722D6E" w:rsidP="002F38D1">
      <w:r w:rsidRPr="004C33D1">
        <w:t xml:space="preserve">All of these markets have the potential to be more or less competitive and to be more or less under-supplied. </w:t>
      </w:r>
      <w:r w:rsidR="003B486C" w:rsidRPr="004C33D1">
        <w:t xml:space="preserve">Councils </w:t>
      </w:r>
      <w:r w:rsidR="00112504">
        <w:t xml:space="preserve">interact with most </w:t>
      </w:r>
      <w:r w:rsidR="003B486C" w:rsidRPr="004C33D1">
        <w:t>markets</w:t>
      </w:r>
      <w:r w:rsidR="00474EE8" w:rsidRPr="004C33D1">
        <w:t xml:space="preserve"> and can </w:t>
      </w:r>
      <w:r w:rsidR="00C87AB3">
        <w:t xml:space="preserve">limit </w:t>
      </w:r>
      <w:r w:rsidR="00474EE8" w:rsidRPr="004C33D1">
        <w:t>levels of supply, particularly as they aim to meet multiple objectives−enabling development and managing the effects of development</w:t>
      </w:r>
      <w:r w:rsidR="003B486C" w:rsidRPr="004C33D1">
        <w:t>. They:</w:t>
      </w:r>
    </w:p>
    <w:p w:rsidR="00C87AB3" w:rsidRPr="004C33D1" w:rsidRDefault="00C87AB3" w:rsidP="002F38D1"/>
    <w:p w:rsidR="003B486C" w:rsidRDefault="003B486C" w:rsidP="006277DC">
      <w:pPr>
        <w:pStyle w:val="ListParagraph"/>
        <w:numPr>
          <w:ilvl w:val="0"/>
          <w:numId w:val="65"/>
        </w:numPr>
      </w:pPr>
      <w:r w:rsidRPr="004C33D1">
        <w:t xml:space="preserve">zone land which </w:t>
      </w:r>
      <w:r w:rsidR="00C87AB3">
        <w:t>determines total capacity</w:t>
      </w:r>
      <w:r w:rsidRPr="004C33D1">
        <w:t>;</w:t>
      </w:r>
    </w:p>
    <w:p w:rsidR="00C87AB3" w:rsidRPr="004C33D1" w:rsidRDefault="00C87AB3" w:rsidP="00C87AB3">
      <w:pPr>
        <w:pStyle w:val="ListParagraph"/>
        <w:numPr>
          <w:ilvl w:val="0"/>
          <w:numId w:val="0"/>
        </w:numPr>
        <w:ind w:left="720"/>
      </w:pPr>
    </w:p>
    <w:p w:rsidR="003B486C" w:rsidRPr="004C33D1" w:rsidRDefault="003B486C" w:rsidP="006277DC">
      <w:pPr>
        <w:pStyle w:val="ListParagraph"/>
        <w:numPr>
          <w:ilvl w:val="0"/>
          <w:numId w:val="65"/>
        </w:numPr>
      </w:pPr>
      <w:r w:rsidRPr="004C33D1">
        <w:t>are involved in infrastructure provision, either directly or via CCOs, or working with providers in planning for infrastructure; and</w:t>
      </w:r>
      <w:r w:rsidR="00C87AB3">
        <w:br/>
      </w:r>
    </w:p>
    <w:p w:rsidR="003B486C" w:rsidRPr="004C33D1" w:rsidRDefault="003B486C" w:rsidP="006277DC">
      <w:pPr>
        <w:pStyle w:val="ListParagraph"/>
        <w:numPr>
          <w:ilvl w:val="0"/>
          <w:numId w:val="65"/>
        </w:numPr>
      </w:pPr>
      <w:proofErr w:type="gramStart"/>
      <w:r w:rsidRPr="004C33D1">
        <w:t>consent</w:t>
      </w:r>
      <w:proofErr w:type="gramEnd"/>
      <w:r w:rsidRPr="004C33D1">
        <w:t xml:space="preserve"> buildings and other development activities</w:t>
      </w:r>
      <w:r w:rsidR="00112504">
        <w:t>, thus they influence land preparation and construction markets without participating directly</w:t>
      </w:r>
      <w:r w:rsidRPr="004C33D1">
        <w:t>.</w:t>
      </w:r>
    </w:p>
    <w:p w:rsidR="003B486C" w:rsidRPr="004C33D1" w:rsidRDefault="003B486C" w:rsidP="002F38D1"/>
    <w:p w:rsidR="00C87AB3" w:rsidRDefault="00474EE8" w:rsidP="002F38D1">
      <w:r w:rsidRPr="004C33D1">
        <w:t>In general, other market participants</w:t>
      </w:r>
      <w:r w:rsidR="00112504">
        <w:rPr>
          <w:rStyle w:val="FootnoteReference"/>
        </w:rPr>
        <w:footnoteReference w:id="15"/>
      </w:r>
      <w:r w:rsidRPr="004C33D1">
        <w:t xml:space="preserve"> have a narrower set of objectives, aiming to maximise their own net </w:t>
      </w:r>
      <w:proofErr w:type="gramStart"/>
      <w:r w:rsidRPr="004C33D1">
        <w:t>benefits which</w:t>
      </w:r>
      <w:proofErr w:type="gramEnd"/>
      <w:r w:rsidRPr="004C33D1">
        <w:t xml:space="preserve"> may be narrowly defined in financial terms</w:t>
      </w:r>
      <w:r w:rsidR="00651E5E" w:rsidRPr="004C33D1">
        <w:t xml:space="preserve">. </w:t>
      </w:r>
    </w:p>
    <w:p w:rsidR="00C87AB3" w:rsidRDefault="00C87AB3" w:rsidP="002F38D1"/>
    <w:p w:rsidR="00C87AB3" w:rsidRDefault="00C87AB3" w:rsidP="006277DC">
      <w:pPr>
        <w:pStyle w:val="ListParagraph"/>
        <w:numPr>
          <w:ilvl w:val="0"/>
          <w:numId w:val="86"/>
        </w:numPr>
      </w:pPr>
      <w:r>
        <w:t xml:space="preserve">Land developers and builders have incentives </w:t>
      </w:r>
      <w:r w:rsidR="00651E5E" w:rsidRPr="004C33D1">
        <w:t xml:space="preserve">to increase supply </w:t>
      </w:r>
      <w:r>
        <w:t xml:space="preserve">of land and buildings </w:t>
      </w:r>
      <w:r w:rsidR="00651E5E" w:rsidRPr="004C33D1">
        <w:t>to meet demand</w:t>
      </w:r>
      <w:r w:rsidR="00FC5C7F">
        <w:t>.</w:t>
      </w:r>
      <w:r>
        <w:br/>
      </w:r>
    </w:p>
    <w:p w:rsidR="00C87AB3" w:rsidRDefault="00AE73D6" w:rsidP="006277DC">
      <w:pPr>
        <w:pStyle w:val="ListParagraph"/>
        <w:numPr>
          <w:ilvl w:val="0"/>
          <w:numId w:val="86"/>
        </w:numPr>
      </w:pPr>
      <w:r w:rsidRPr="004C33D1">
        <w:t>Landowners</w:t>
      </w:r>
      <w:r w:rsidR="0026729E" w:rsidRPr="004C33D1">
        <w:t xml:space="preserve"> </w:t>
      </w:r>
      <w:r w:rsidR="0026729E">
        <w:t xml:space="preserve">may </w:t>
      </w:r>
      <w:r w:rsidR="0026729E" w:rsidRPr="004C33D1">
        <w:t>have mixed objectives, especially with respect to owner-occupied housing</w:t>
      </w:r>
      <w:r w:rsidR="0026729E">
        <w:t>. They may wish to retain</w:t>
      </w:r>
      <w:r w:rsidR="0026729E" w:rsidRPr="004C33D1">
        <w:t xml:space="preserve"> low density housing</w:t>
      </w:r>
      <w:r w:rsidR="0026729E">
        <w:t xml:space="preserve"> for their own use</w:t>
      </w:r>
      <w:r w:rsidR="0026729E" w:rsidRPr="004C33D1">
        <w:t xml:space="preserve"> </w:t>
      </w:r>
      <w:r w:rsidR="0026729E">
        <w:t xml:space="preserve">even though </w:t>
      </w:r>
      <w:r w:rsidR="0026729E" w:rsidRPr="004C33D1">
        <w:t>there is an option of intensi</w:t>
      </w:r>
      <w:r w:rsidR="0026729E">
        <w:t>fication, or ‘land-bank’ in the expectation that</w:t>
      </w:r>
      <w:r w:rsidR="00FC5C7F">
        <w:t xml:space="preserve"> prices will rise in the future.</w:t>
      </w:r>
      <w:r w:rsidR="00C87AB3">
        <w:br/>
      </w:r>
    </w:p>
    <w:p w:rsidR="00C87AB3" w:rsidRDefault="00651E5E" w:rsidP="006277DC">
      <w:pPr>
        <w:pStyle w:val="ListParagraph"/>
        <w:numPr>
          <w:ilvl w:val="0"/>
          <w:numId w:val="86"/>
        </w:numPr>
      </w:pPr>
      <w:r w:rsidRPr="004C33D1">
        <w:lastRenderedPageBreak/>
        <w:t xml:space="preserve">Infrastructure suppliers </w:t>
      </w:r>
      <w:r w:rsidR="00722D6E" w:rsidRPr="004C33D1">
        <w:t xml:space="preserve">are typically managed (regardless of ownership) to meet demand efficiently, taking account of economies of scale. </w:t>
      </w:r>
    </w:p>
    <w:p w:rsidR="00C87AB3" w:rsidRDefault="00C87AB3" w:rsidP="00C87AB3"/>
    <w:p w:rsidR="00474EE8" w:rsidRPr="004C33D1" w:rsidRDefault="00722D6E" w:rsidP="00C87AB3">
      <w:r w:rsidRPr="004C33D1">
        <w:t>We explore these issues below.</w:t>
      </w:r>
      <w:r w:rsidR="00651E5E" w:rsidRPr="004C33D1">
        <w:t xml:space="preserve"> </w:t>
      </w:r>
    </w:p>
    <w:p w:rsidR="002F38D1" w:rsidRPr="004C33D1" w:rsidRDefault="002F38D1" w:rsidP="00220C7C">
      <w:pPr>
        <w:pStyle w:val="Heading2"/>
      </w:pPr>
      <w:bookmarkStart w:id="45" w:name="_Ref456275729"/>
      <w:bookmarkStart w:id="46" w:name="_Toc462413613"/>
      <w:bookmarkStart w:id="47" w:name="_Toc462582165"/>
      <w:r w:rsidRPr="004C33D1">
        <w:t xml:space="preserve">Competitive Markets for </w:t>
      </w:r>
      <w:r w:rsidR="00000711" w:rsidRPr="004C33D1">
        <w:t xml:space="preserve">Land and </w:t>
      </w:r>
      <w:r w:rsidRPr="004C33D1">
        <w:t>Development</w:t>
      </w:r>
      <w:bookmarkEnd w:id="45"/>
      <w:bookmarkEnd w:id="46"/>
      <w:bookmarkEnd w:id="47"/>
    </w:p>
    <w:p w:rsidR="00C87AB3" w:rsidRDefault="002F38D1" w:rsidP="002F38D1">
      <w:r w:rsidRPr="004C33D1">
        <w:t xml:space="preserve">Maximising </w:t>
      </w:r>
      <w:r w:rsidR="004D2D12" w:rsidRPr="004C33D1">
        <w:t xml:space="preserve">total </w:t>
      </w:r>
      <w:r w:rsidRPr="004C33D1">
        <w:t xml:space="preserve">community wellbeing is </w:t>
      </w:r>
      <w:r w:rsidR="00D75FFF" w:rsidRPr="004C33D1">
        <w:t xml:space="preserve">generally the underlying </w:t>
      </w:r>
      <w:r w:rsidRPr="004C33D1">
        <w:t xml:space="preserve">concern of policy makers. Community wellbeing is maximised when all resources available to the community </w:t>
      </w:r>
      <w:proofErr w:type="gramStart"/>
      <w:r w:rsidRPr="004C33D1">
        <w:t>are allocated</w:t>
      </w:r>
      <w:proofErr w:type="gramEnd"/>
      <w:r w:rsidRPr="004C33D1">
        <w:t xml:space="preserve"> to purposes that produce the highest value (or greatest </w:t>
      </w:r>
      <w:r w:rsidR="00C87AB3">
        <w:t>net</w:t>
      </w:r>
      <w:r w:rsidR="0026729E">
        <w:t xml:space="preserve"> </w:t>
      </w:r>
      <w:r w:rsidRPr="004C33D1">
        <w:t xml:space="preserve">wellbeing). </w:t>
      </w:r>
      <w:r w:rsidR="004D2D12" w:rsidRPr="004C33D1">
        <w:t>Usually</w:t>
      </w:r>
      <w:r w:rsidRPr="004C33D1">
        <w:t xml:space="preserve">, competitive markets </w:t>
      </w:r>
      <w:proofErr w:type="gramStart"/>
      <w:r w:rsidR="00D75FFF" w:rsidRPr="004C33D1">
        <w:t>are used</w:t>
      </w:r>
      <w:proofErr w:type="gramEnd"/>
      <w:r w:rsidR="00D75FFF" w:rsidRPr="004C33D1">
        <w:t xml:space="preserve"> </w:t>
      </w:r>
      <w:r w:rsidRPr="004C33D1">
        <w:t>to achieve this outcome, because</w:t>
      </w:r>
      <w:r w:rsidR="00D75FFF" w:rsidRPr="004C33D1">
        <w:t xml:space="preserve"> it is assumed that</w:t>
      </w:r>
      <w:r w:rsidR="00402373" w:rsidRPr="004C33D1">
        <w:t xml:space="preserve">: </w:t>
      </w:r>
      <w:r w:rsidR="00C87AB3">
        <w:br/>
      </w:r>
    </w:p>
    <w:p w:rsidR="00C87AB3" w:rsidRDefault="002F38D1" w:rsidP="006277DC">
      <w:pPr>
        <w:pStyle w:val="ListParagraph"/>
        <w:numPr>
          <w:ilvl w:val="0"/>
          <w:numId w:val="87"/>
        </w:numPr>
      </w:pPr>
      <w:r w:rsidRPr="004C33D1">
        <w:t xml:space="preserve">private individuals and companies are best able to understand what gives them wellbeing, </w:t>
      </w:r>
      <w:r w:rsidR="00C87AB3">
        <w:t xml:space="preserve">which may be </w:t>
      </w:r>
      <w:r w:rsidR="00402373" w:rsidRPr="004C33D1">
        <w:t xml:space="preserve">some combination of housing </w:t>
      </w:r>
      <w:r w:rsidRPr="004C33D1">
        <w:t xml:space="preserve">security, </w:t>
      </w:r>
      <w:r w:rsidR="00402373" w:rsidRPr="004C33D1">
        <w:t xml:space="preserve">a </w:t>
      </w:r>
      <w:r w:rsidRPr="004C33D1">
        <w:t>vibrant community</w:t>
      </w:r>
      <w:r w:rsidR="00402373" w:rsidRPr="004C33D1">
        <w:t xml:space="preserve"> and environmental quality</w:t>
      </w:r>
      <w:r w:rsidRPr="004C33D1">
        <w:t xml:space="preserve">, and </w:t>
      </w:r>
      <w:r w:rsidR="00C87AB3">
        <w:br/>
      </w:r>
    </w:p>
    <w:p w:rsidR="00C87AB3" w:rsidRDefault="002F38D1" w:rsidP="006277DC">
      <w:pPr>
        <w:pStyle w:val="ListParagraph"/>
        <w:numPr>
          <w:ilvl w:val="0"/>
          <w:numId w:val="87"/>
        </w:numPr>
      </w:pPr>
      <w:proofErr w:type="gramStart"/>
      <w:r w:rsidRPr="004C33D1">
        <w:t>that</w:t>
      </w:r>
      <w:proofErr w:type="gramEnd"/>
      <w:r w:rsidRPr="004C33D1">
        <w:t xml:space="preserve"> interactions and exchange in markets can enable people to obtain what they value most</w:t>
      </w:r>
      <w:r w:rsidR="00402373" w:rsidRPr="004C33D1">
        <w:t xml:space="preserve"> within income constraints</w:t>
      </w:r>
      <w:r w:rsidRPr="004C33D1">
        <w:t xml:space="preserve">. </w:t>
      </w:r>
    </w:p>
    <w:p w:rsidR="00C87AB3" w:rsidRDefault="00C87AB3" w:rsidP="00C87AB3"/>
    <w:p w:rsidR="002F38D1" w:rsidRPr="004C33D1" w:rsidRDefault="00402373" w:rsidP="00C87AB3">
      <w:r w:rsidRPr="004C33D1">
        <w:t xml:space="preserve">However, where markets do not </w:t>
      </w:r>
      <w:proofErr w:type="gramStart"/>
      <w:r w:rsidRPr="004C33D1">
        <w:t>function</w:t>
      </w:r>
      <w:proofErr w:type="gramEnd"/>
      <w:r w:rsidRPr="004C33D1">
        <w:t xml:space="preserve"> as they should, prices can be elevated and people </w:t>
      </w:r>
      <w:r w:rsidR="00C87AB3">
        <w:t xml:space="preserve">may be </w:t>
      </w:r>
      <w:r w:rsidRPr="004C33D1">
        <w:t>unable to obtain what would best improve their wellbeing.</w:t>
      </w:r>
    </w:p>
    <w:p w:rsidR="00D75FFF" w:rsidRPr="004C33D1" w:rsidRDefault="00D75FFF" w:rsidP="002F38D1"/>
    <w:p w:rsidR="00D75FFF" w:rsidRPr="004C33D1" w:rsidRDefault="00D75FFF" w:rsidP="002F38D1">
      <w:r w:rsidRPr="004C33D1">
        <w:t xml:space="preserve">Overall community wellbeing </w:t>
      </w:r>
      <w:proofErr w:type="gramStart"/>
      <w:r w:rsidRPr="004C33D1">
        <w:t>is also affected</w:t>
      </w:r>
      <w:proofErr w:type="gramEnd"/>
      <w:r w:rsidRPr="004C33D1">
        <w:t xml:space="preserve"> by the distribution of wellbeing within it. </w:t>
      </w:r>
      <w:r w:rsidR="00C87AB3">
        <w:t>E</w:t>
      </w:r>
      <w:r w:rsidRPr="004C33D1">
        <w:t xml:space="preserve">fficient allocation </w:t>
      </w:r>
      <w:r w:rsidR="00C87AB3">
        <w:t xml:space="preserve">(to highest value uses) </w:t>
      </w:r>
      <w:r w:rsidRPr="004C33D1">
        <w:t xml:space="preserve">may result in </w:t>
      </w:r>
      <w:r w:rsidR="00C87AB3">
        <w:t xml:space="preserve">more </w:t>
      </w:r>
      <w:r w:rsidRPr="004C33D1">
        <w:t xml:space="preserve">resources </w:t>
      </w:r>
      <w:proofErr w:type="gramStart"/>
      <w:r w:rsidRPr="004C33D1">
        <w:t>being allocated</w:t>
      </w:r>
      <w:proofErr w:type="gramEnd"/>
      <w:r w:rsidRPr="004C33D1">
        <w:t xml:space="preserve"> to certain segments of the community, and separate redistribution policies </w:t>
      </w:r>
      <w:r w:rsidR="00C87AB3">
        <w:t xml:space="preserve">may be required </w:t>
      </w:r>
      <w:r w:rsidR="004D2D12" w:rsidRPr="004C33D1">
        <w:t>to meet equity concerns</w:t>
      </w:r>
      <w:r w:rsidRPr="004C33D1">
        <w:t xml:space="preserve">. </w:t>
      </w:r>
      <w:r w:rsidR="004D2D12" w:rsidRPr="004C33D1">
        <w:t xml:space="preserve">This includes targeted affordable housing policies and programmes. However, </w:t>
      </w:r>
      <w:r w:rsidRPr="004C33D1">
        <w:t xml:space="preserve">shifting towards more efficient </w:t>
      </w:r>
      <w:r w:rsidR="004D2D12" w:rsidRPr="004C33D1">
        <w:t xml:space="preserve">markets for land and development </w:t>
      </w:r>
      <w:r w:rsidRPr="004C33D1">
        <w:t>is also likely to address distributional issues</w:t>
      </w:r>
      <w:r w:rsidR="004D2D12" w:rsidRPr="004C33D1">
        <w:t xml:space="preserve"> </w:t>
      </w:r>
      <w:r w:rsidRPr="004C33D1">
        <w:t>because efficient allocation would involve lower (more affordable) prices that would broaden the incidence of benefits of ho</w:t>
      </w:r>
      <w:r w:rsidR="000D3E84">
        <w:t>m</w:t>
      </w:r>
      <w:r w:rsidRPr="004C33D1">
        <w:t>e ownership</w:t>
      </w:r>
      <w:r w:rsidR="00FE503B">
        <w:t xml:space="preserve"> and of lower cost properties more generally (lower housing costs should result in lower rent levels also)</w:t>
      </w:r>
      <w:r w:rsidRPr="004C33D1">
        <w:t>.</w:t>
      </w:r>
    </w:p>
    <w:p w:rsidR="002F38D1" w:rsidRPr="004C33D1" w:rsidRDefault="002F38D1" w:rsidP="002F38D1"/>
    <w:p w:rsidR="002F38D1" w:rsidRPr="004C33D1" w:rsidRDefault="002F38D1" w:rsidP="002F38D1">
      <w:r w:rsidRPr="004C33D1">
        <w:t xml:space="preserve">Currently </w:t>
      </w:r>
      <w:r w:rsidR="00FE503B">
        <w:t xml:space="preserve">private </w:t>
      </w:r>
      <w:r w:rsidRPr="004C33D1">
        <w:t xml:space="preserve">markets </w:t>
      </w:r>
      <w:r w:rsidR="00FE503B">
        <w:t xml:space="preserve">exist </w:t>
      </w:r>
      <w:r w:rsidRPr="004C33D1">
        <w:t>for land and property, and for most inputs to development,</w:t>
      </w:r>
      <w:r w:rsidR="00402373" w:rsidRPr="004C33D1">
        <w:t xml:space="preserve"> as discussed above,</w:t>
      </w:r>
      <w:r w:rsidRPr="004C33D1">
        <w:t xml:space="preserve"> apart from some </w:t>
      </w:r>
      <w:r w:rsidR="00402373" w:rsidRPr="004C33D1">
        <w:t xml:space="preserve">government or council (and CCO) provision of </w:t>
      </w:r>
      <w:r w:rsidRPr="004C33D1">
        <w:t>infrastructure. However, these markets do not function in a way that is consistent with the competitive ideal market</w:t>
      </w:r>
      <w:r w:rsidR="00402373" w:rsidRPr="004C33D1">
        <w:t xml:space="preserve">, defined as the </w:t>
      </w:r>
      <w:proofErr w:type="gramStart"/>
      <w:r w:rsidR="00402373" w:rsidRPr="004C33D1">
        <w:t xml:space="preserve">market </w:t>
      </w:r>
      <w:r w:rsidRPr="004C33D1">
        <w:t>which</w:t>
      </w:r>
      <w:proofErr w:type="gramEnd"/>
      <w:r w:rsidRPr="004C33D1">
        <w:t xml:space="preserve"> would allocate resources optimally</w:t>
      </w:r>
      <w:r w:rsidR="00402373" w:rsidRPr="004C33D1">
        <w:t>, ie to maximise total community wellbeing</w:t>
      </w:r>
      <w:r w:rsidRPr="004C33D1">
        <w:t xml:space="preserve">. </w:t>
      </w:r>
    </w:p>
    <w:p w:rsidR="002F38D1" w:rsidRPr="004C33D1" w:rsidRDefault="002F38D1" w:rsidP="002F38D1"/>
    <w:p w:rsidR="002F38D1" w:rsidRPr="004C33D1" w:rsidRDefault="002F38D1" w:rsidP="002F38D1">
      <w:r w:rsidRPr="004C33D1">
        <w:t xml:space="preserve">The competitive ideal market </w:t>
      </w:r>
      <w:proofErr w:type="gramStart"/>
      <w:r w:rsidRPr="004C33D1">
        <w:t>can be described</w:t>
      </w:r>
      <w:proofErr w:type="gramEnd"/>
      <w:r w:rsidRPr="004C33D1">
        <w:t xml:space="preserve"> via a number of </w:t>
      </w:r>
      <w:r w:rsidR="00402373" w:rsidRPr="004C33D1">
        <w:t>characteristics</w:t>
      </w:r>
      <w:r w:rsidRPr="004C33D1">
        <w:t>. These include:</w:t>
      </w:r>
      <w:r w:rsidRPr="004C33D1">
        <w:rPr>
          <w:rStyle w:val="FootnoteReference"/>
        </w:rPr>
        <w:t xml:space="preserve"> </w:t>
      </w:r>
    </w:p>
    <w:p w:rsidR="007E6C4E" w:rsidRPr="004C33D1" w:rsidRDefault="007E6C4E" w:rsidP="002F38D1"/>
    <w:p w:rsidR="002F38D1" w:rsidRPr="004C33D1" w:rsidRDefault="002F38D1" w:rsidP="00411653">
      <w:pPr>
        <w:pStyle w:val="ListParagraph"/>
        <w:numPr>
          <w:ilvl w:val="0"/>
          <w:numId w:val="33"/>
        </w:numPr>
      </w:pPr>
      <w:r w:rsidRPr="004C33D1">
        <w:t xml:space="preserve">no </w:t>
      </w:r>
      <w:r w:rsidR="006851C1" w:rsidRPr="004C33D1">
        <w:t>barriers to market entry</w:t>
      </w:r>
      <w:r w:rsidRPr="004C33D1">
        <w:t>;</w:t>
      </w:r>
    </w:p>
    <w:p w:rsidR="002F38D1" w:rsidRPr="004C33D1" w:rsidRDefault="002F38D1" w:rsidP="00411653">
      <w:pPr>
        <w:pStyle w:val="ListParagraph"/>
        <w:numPr>
          <w:ilvl w:val="0"/>
          <w:numId w:val="33"/>
        </w:numPr>
      </w:pPr>
      <w:r w:rsidRPr="004C33D1">
        <w:t>many buyers and sellers;</w:t>
      </w:r>
    </w:p>
    <w:p w:rsidR="002F38D1" w:rsidRPr="004C33D1" w:rsidRDefault="002F38D1" w:rsidP="00411653">
      <w:pPr>
        <w:pStyle w:val="ListParagraph"/>
        <w:numPr>
          <w:ilvl w:val="0"/>
          <w:numId w:val="33"/>
        </w:numPr>
      </w:pPr>
      <w:r w:rsidRPr="004C33D1">
        <w:t>a (relatively) uniform product;</w:t>
      </w:r>
    </w:p>
    <w:p w:rsidR="002F38D1" w:rsidRPr="004C33D1" w:rsidRDefault="002F38D1" w:rsidP="00411653">
      <w:pPr>
        <w:pStyle w:val="ListParagraph"/>
        <w:numPr>
          <w:ilvl w:val="0"/>
          <w:numId w:val="33"/>
        </w:numPr>
      </w:pPr>
      <w:r w:rsidRPr="004C33D1">
        <w:t>no externalities, ie unpriced effects on those other than the buyers and sellers;</w:t>
      </w:r>
    </w:p>
    <w:p w:rsidR="002F38D1" w:rsidRPr="004C33D1" w:rsidRDefault="002F38D1" w:rsidP="00411653">
      <w:pPr>
        <w:pStyle w:val="ListParagraph"/>
        <w:numPr>
          <w:ilvl w:val="0"/>
          <w:numId w:val="33"/>
        </w:numPr>
      </w:pPr>
      <w:r w:rsidRPr="004C33D1">
        <w:t xml:space="preserve">perfect information; and </w:t>
      </w:r>
    </w:p>
    <w:p w:rsidR="002F38D1" w:rsidRPr="004C33D1" w:rsidRDefault="002F38D1" w:rsidP="00411653">
      <w:pPr>
        <w:pStyle w:val="ListParagraph"/>
        <w:numPr>
          <w:ilvl w:val="0"/>
          <w:numId w:val="33"/>
        </w:numPr>
      </w:pPr>
      <w:proofErr w:type="gramStart"/>
      <w:r w:rsidRPr="004C33D1">
        <w:t>zero</w:t>
      </w:r>
      <w:proofErr w:type="gramEnd"/>
      <w:r w:rsidRPr="004C33D1">
        <w:t xml:space="preserve"> transaction costs.</w:t>
      </w:r>
    </w:p>
    <w:p w:rsidR="002F38D1" w:rsidRPr="004C33D1" w:rsidRDefault="002F38D1" w:rsidP="002F38D1"/>
    <w:p w:rsidR="002F38D1" w:rsidRPr="004C33D1" w:rsidRDefault="002F38D1" w:rsidP="002F38D1">
      <w:r w:rsidRPr="004C33D1">
        <w:t xml:space="preserve">We discuss these </w:t>
      </w:r>
      <w:r w:rsidR="00402373" w:rsidRPr="004C33D1">
        <w:t>components</w:t>
      </w:r>
      <w:r w:rsidRPr="004C33D1">
        <w:t xml:space="preserve"> below and the current limits to the operation of a competitive market. </w:t>
      </w:r>
    </w:p>
    <w:p w:rsidR="002F38D1" w:rsidRPr="004C33D1" w:rsidRDefault="00402373" w:rsidP="002F38D1">
      <w:pPr>
        <w:pStyle w:val="Heading3"/>
      </w:pPr>
      <w:r w:rsidRPr="004C33D1">
        <w:t>Barriers</w:t>
      </w:r>
      <w:r w:rsidR="00392152" w:rsidRPr="004C33D1">
        <w:t xml:space="preserve"> to Market Entry</w:t>
      </w:r>
    </w:p>
    <w:p w:rsidR="00112504" w:rsidRPr="004C33D1" w:rsidRDefault="002F38D1" w:rsidP="002F38D1">
      <w:r w:rsidRPr="004C33D1">
        <w:fldChar w:fldCharType="begin"/>
      </w:r>
      <w:r w:rsidRPr="004C33D1">
        <w:instrText xml:space="preserve"> REF _Ref457291517 \h </w:instrText>
      </w:r>
      <w:r w:rsidRPr="004C33D1">
        <w:fldChar w:fldCharType="separate"/>
      </w:r>
      <w:r w:rsidR="004D1DDA" w:rsidRPr="004C33D1">
        <w:t xml:space="preserve">Figure </w:t>
      </w:r>
      <w:r w:rsidR="004D1DDA">
        <w:rPr>
          <w:noProof/>
        </w:rPr>
        <w:t>2</w:t>
      </w:r>
      <w:r w:rsidRPr="004C33D1">
        <w:fldChar w:fldCharType="end"/>
      </w:r>
      <w:r w:rsidR="00884B8A" w:rsidRPr="004C33D1">
        <w:t xml:space="preserve"> </w:t>
      </w:r>
      <w:r w:rsidRPr="004C33D1">
        <w:t xml:space="preserve">is a highly stylised picture of a market for development. </w:t>
      </w:r>
      <w:r w:rsidR="00112504" w:rsidRPr="004C33D1">
        <w:t>It shows the marginal costs of supply</w:t>
      </w:r>
      <w:r w:rsidR="00112504" w:rsidRPr="004C33D1">
        <w:rPr>
          <w:rStyle w:val="FootnoteReference"/>
        </w:rPr>
        <w:footnoteReference w:id="16"/>
      </w:r>
      <w:r w:rsidR="00112504" w:rsidRPr="004C33D1">
        <w:t xml:space="preserve"> as an upward-sloping line, equivalent to the increasing costs of adding another unit of </w:t>
      </w:r>
      <w:r w:rsidR="00112504">
        <w:t xml:space="preserve">land or </w:t>
      </w:r>
      <w:r w:rsidR="00112504" w:rsidRPr="004C33D1">
        <w:t xml:space="preserve">development </w:t>
      </w:r>
      <w:r w:rsidR="00112504">
        <w:t>opportunities</w:t>
      </w:r>
      <w:r w:rsidR="00112504" w:rsidRPr="004C33D1">
        <w:t xml:space="preserve">, eg one more hectare at the edge of a city or one more allowed level of building height within a zone. It slopes upwards on the assumption that, if price is low, a small quantity of the easiest (lowest cost) land </w:t>
      </w:r>
      <w:proofErr w:type="gramStart"/>
      <w:r w:rsidR="00112504" w:rsidRPr="004C33D1">
        <w:t>is supplied</w:t>
      </w:r>
      <w:proofErr w:type="gramEnd"/>
      <w:r w:rsidR="00112504" w:rsidRPr="004C33D1">
        <w:t xml:space="preserve">, eg that which is closest to existing infrastructure networks or for which additional height will have the least impact on existing character. As price increases more </w:t>
      </w:r>
      <w:r w:rsidR="00112504">
        <w:t xml:space="preserve">land or </w:t>
      </w:r>
      <w:r w:rsidR="00112504" w:rsidRPr="004C33D1">
        <w:t xml:space="preserve">development </w:t>
      </w:r>
      <w:r w:rsidR="00112504">
        <w:t xml:space="preserve">opportunities </w:t>
      </w:r>
      <w:proofErr w:type="gramStart"/>
      <w:r w:rsidR="00112504">
        <w:t>are</w:t>
      </w:r>
      <w:r w:rsidR="00112504" w:rsidRPr="004C33D1">
        <w:t xml:space="preserve"> added</w:t>
      </w:r>
      <w:proofErr w:type="gramEnd"/>
      <w:r w:rsidR="00112504" w:rsidRPr="004C33D1">
        <w:t xml:space="preserve"> because there is more </w:t>
      </w:r>
      <w:r w:rsidR="00112504">
        <w:t>land or development opportunities</w:t>
      </w:r>
      <w:r w:rsidR="00112504" w:rsidRPr="004C33D1">
        <w:t xml:space="preserve"> that can be supplied at a cost below that price.</w:t>
      </w:r>
    </w:p>
    <w:p w:rsidR="002F38D1" w:rsidRPr="004C33D1" w:rsidRDefault="002F38D1" w:rsidP="00E02811">
      <w:pPr>
        <w:pStyle w:val="Caption"/>
      </w:pPr>
      <w:bookmarkStart w:id="48" w:name="_Ref457291517"/>
      <w:r w:rsidRPr="004C33D1">
        <w:t xml:space="preserve">Figure </w:t>
      </w:r>
      <w:r w:rsidRPr="004C33D1">
        <w:fldChar w:fldCharType="begin"/>
      </w:r>
      <w:r w:rsidRPr="004C33D1">
        <w:instrText xml:space="preserve"> SEQ Figure \* ARABIC </w:instrText>
      </w:r>
      <w:r w:rsidRPr="004C33D1">
        <w:fldChar w:fldCharType="separate"/>
      </w:r>
      <w:r w:rsidR="004D1DDA">
        <w:rPr>
          <w:noProof/>
        </w:rPr>
        <w:t>2</w:t>
      </w:r>
      <w:r w:rsidRPr="004C33D1">
        <w:fldChar w:fldCharType="end"/>
      </w:r>
      <w:bookmarkEnd w:id="48"/>
      <w:r w:rsidRPr="004C33D1">
        <w:t xml:space="preserve"> Price impacts of supply limits</w:t>
      </w:r>
    </w:p>
    <w:p w:rsidR="002F38D1" w:rsidRPr="004C33D1" w:rsidRDefault="002F38D1" w:rsidP="002F38D1">
      <w:pPr>
        <w:jc w:val="center"/>
      </w:pPr>
      <w:r w:rsidRPr="004C33D1">
        <w:rPr>
          <w:noProof/>
          <w:lang w:eastAsia="en-NZ"/>
        </w:rPr>
        <w:drawing>
          <wp:inline distT="0" distB="0" distL="0" distR="0" wp14:anchorId="577FD7F5" wp14:editId="5E8CABC4">
            <wp:extent cx="3171825" cy="261301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73566" cy="2614452"/>
                    </a:xfrm>
                    <a:prstGeom prst="rect">
                      <a:avLst/>
                    </a:prstGeom>
                    <a:noFill/>
                    <a:ln>
                      <a:noFill/>
                    </a:ln>
                  </pic:spPr>
                </pic:pic>
              </a:graphicData>
            </a:graphic>
          </wp:inline>
        </w:drawing>
      </w:r>
    </w:p>
    <w:p w:rsidR="00884B8A" w:rsidRDefault="00884B8A" w:rsidP="00884B8A">
      <w:r w:rsidRPr="004C33D1">
        <w:t xml:space="preserve">The demand line represents the marginal willingness to pay (WTP) </w:t>
      </w:r>
      <w:r w:rsidR="004D2D12" w:rsidRPr="004C33D1">
        <w:t xml:space="preserve">for </w:t>
      </w:r>
      <w:r w:rsidR="00FC5C7F">
        <w:t xml:space="preserve">land and </w:t>
      </w:r>
      <w:r w:rsidR="004D2D12" w:rsidRPr="004C33D1">
        <w:t xml:space="preserve">development </w:t>
      </w:r>
      <w:r w:rsidR="00FC5C7F">
        <w:t xml:space="preserve">opportunities </w:t>
      </w:r>
      <w:r w:rsidRPr="004C33D1">
        <w:t xml:space="preserve">of households (or developers supplying to households) or </w:t>
      </w:r>
      <w:r w:rsidR="004D2D12" w:rsidRPr="004C33D1">
        <w:t>businesses</w:t>
      </w:r>
      <w:r w:rsidR="005B2E35" w:rsidRPr="004C33D1">
        <w:t xml:space="preserve"> (</w:t>
      </w:r>
      <w:r w:rsidR="005B2E35" w:rsidRPr="004C33D1">
        <w:fldChar w:fldCharType="begin"/>
      </w:r>
      <w:r w:rsidR="005B2E35" w:rsidRPr="004C33D1">
        <w:instrText xml:space="preserve"> REF _Ref457986722 \h </w:instrText>
      </w:r>
      <w:r w:rsidR="005B2E35" w:rsidRPr="004C33D1">
        <w:fldChar w:fldCharType="separate"/>
      </w:r>
      <w:r w:rsidR="004D1DDA" w:rsidRPr="004C33D1">
        <w:t xml:space="preserve">Box </w:t>
      </w:r>
      <w:r w:rsidR="004D1DDA">
        <w:rPr>
          <w:noProof/>
        </w:rPr>
        <w:t>1</w:t>
      </w:r>
      <w:r w:rsidR="005B2E35" w:rsidRPr="004C33D1">
        <w:fldChar w:fldCharType="end"/>
      </w:r>
      <w:r w:rsidR="005B2E35" w:rsidRPr="004C33D1">
        <w:t>)</w:t>
      </w:r>
      <w:r w:rsidRPr="004C33D1">
        <w:t xml:space="preserve">. The line starts at the left with the small number of people who are willing to pay the most for </w:t>
      </w:r>
      <w:r w:rsidR="00FC5C7F">
        <w:t xml:space="preserve">land and </w:t>
      </w:r>
      <w:r w:rsidRPr="004C33D1">
        <w:t xml:space="preserve">development </w:t>
      </w:r>
      <w:r w:rsidR="00FC5C7F">
        <w:t xml:space="preserve">opportunities </w:t>
      </w:r>
      <w:r w:rsidRPr="004C33D1">
        <w:t>and, moving from left to right, as the price falls, more people are willing to purchase land and development capacity.</w:t>
      </w:r>
    </w:p>
    <w:p w:rsidR="00112504" w:rsidRDefault="00112504" w:rsidP="00884B8A"/>
    <w:p w:rsidR="00112504" w:rsidRPr="004C33D1" w:rsidRDefault="00112504" w:rsidP="00884B8A">
      <w:r w:rsidRPr="004C33D1">
        <w:t>The lines cross at Q</w:t>
      </w:r>
      <w:r w:rsidRPr="004C33D1">
        <w:rPr>
          <w:vertAlign w:val="subscript"/>
        </w:rPr>
        <w:t>0</w:t>
      </w:r>
      <w:r w:rsidRPr="004C33D1">
        <w:t xml:space="preserve"> (the equilibrium level of supply). This is the expected market supply of </w:t>
      </w:r>
      <w:r>
        <w:t xml:space="preserve">land and </w:t>
      </w:r>
      <w:r w:rsidRPr="004C33D1">
        <w:t xml:space="preserve">development </w:t>
      </w:r>
      <w:r>
        <w:t>opportunities</w:t>
      </w:r>
      <w:r w:rsidRPr="004C33D1">
        <w:t xml:space="preserve"> in a competitive market. If there </w:t>
      </w:r>
      <w:proofErr w:type="gramStart"/>
      <w:r w:rsidRPr="004C33D1">
        <w:t>was</w:t>
      </w:r>
      <w:proofErr w:type="gramEnd"/>
      <w:r w:rsidRPr="004C33D1">
        <w:t xml:space="preserve"> no barrier to market entry, suppliers would keep entering the market to meet demand until no supplier is willing to because the price obtained (limited by the WTP) would be less than the costs of supply. In a competitive market, the price of </w:t>
      </w:r>
      <w:r>
        <w:t>land and development opportunities</w:t>
      </w:r>
      <w:r w:rsidRPr="004C33D1">
        <w:t xml:space="preserve"> </w:t>
      </w:r>
      <w:proofErr w:type="gramStart"/>
      <w:r w:rsidRPr="004C33D1">
        <w:t>would be expected</w:t>
      </w:r>
      <w:proofErr w:type="gramEnd"/>
      <w:r w:rsidRPr="004C33D1">
        <w:t xml:space="preserve"> to be equal to the cost of supply (P</w:t>
      </w:r>
      <w:r w:rsidRPr="004C33D1">
        <w:rPr>
          <w:vertAlign w:val="subscript"/>
        </w:rPr>
        <w:t>0</w:t>
      </w:r>
      <w:r w:rsidRPr="004C33D1">
        <w:t>)</w:t>
      </w:r>
      <w:r w:rsidR="00FC5C7F">
        <w:t xml:space="preserve"> </w:t>
      </w:r>
      <w:r w:rsidR="00FC5C7F" w:rsidRPr="004C33D1">
        <w:t>at this equilibrium point</w:t>
      </w:r>
      <w:r w:rsidRPr="004C33D1">
        <w:t>.</w:t>
      </w:r>
    </w:p>
    <w:p w:rsidR="005B2E35" w:rsidRPr="004C33D1" w:rsidRDefault="005B2E35" w:rsidP="00E02811">
      <w:pPr>
        <w:pStyle w:val="Caption"/>
      </w:pPr>
      <w:bookmarkStart w:id="49" w:name="_Ref457986722"/>
      <w:r w:rsidRPr="004C33D1">
        <w:lastRenderedPageBreak/>
        <w:t xml:space="preserve">Box </w:t>
      </w:r>
      <w:r w:rsidRPr="004C33D1">
        <w:fldChar w:fldCharType="begin"/>
      </w:r>
      <w:r w:rsidRPr="004C33D1">
        <w:instrText xml:space="preserve"> SEQ Box \* ARABIC </w:instrText>
      </w:r>
      <w:r w:rsidRPr="004C33D1">
        <w:fldChar w:fldCharType="separate"/>
      </w:r>
      <w:r w:rsidR="004D1DDA">
        <w:rPr>
          <w:noProof/>
        </w:rPr>
        <w:t>1</w:t>
      </w:r>
      <w:r w:rsidRPr="004C33D1">
        <w:fldChar w:fldCharType="end"/>
      </w:r>
      <w:bookmarkEnd w:id="49"/>
      <w:r w:rsidRPr="004C33D1">
        <w:t xml:space="preserve"> Definition of demand in the </w:t>
      </w:r>
      <w:r w:rsidRPr="00112504">
        <w:t>proposed</w:t>
      </w:r>
      <w:r w:rsidRPr="004C33D1">
        <w:t xml:space="preserve"> NPS-UDC</w:t>
      </w:r>
    </w:p>
    <w:tbl>
      <w:tblPr>
        <w:tblStyle w:val="TableGrid"/>
        <w:tblW w:w="0" w:type="auto"/>
        <w:tblLook w:val="04A0" w:firstRow="1" w:lastRow="0" w:firstColumn="1" w:lastColumn="0" w:noHBand="0" w:noVBand="1"/>
      </w:tblPr>
      <w:tblGrid>
        <w:gridCol w:w="8211"/>
      </w:tblGrid>
      <w:tr w:rsidR="005B2E35" w:rsidRPr="004C33D1" w:rsidTr="005B2E35">
        <w:tc>
          <w:tcPr>
            <w:tcW w:w="8211" w:type="dxa"/>
          </w:tcPr>
          <w:p w:rsidR="005B2E35" w:rsidRPr="004C33D1" w:rsidRDefault="005B2E35" w:rsidP="005B2E35">
            <w:pPr>
              <w:pStyle w:val="TableText"/>
            </w:pPr>
            <w:r w:rsidRPr="004C33D1">
              <w:rPr>
                <w:b/>
                <w:i/>
              </w:rPr>
              <w:t xml:space="preserve">Demand </w:t>
            </w:r>
            <w:r w:rsidRPr="004C33D1">
              <w:t xml:space="preserve">means: </w:t>
            </w:r>
          </w:p>
          <w:p w:rsidR="005B2E35" w:rsidRPr="004C33D1" w:rsidRDefault="005B2E35" w:rsidP="005B2E35">
            <w:pPr>
              <w:pStyle w:val="TableText"/>
            </w:pPr>
            <w:r w:rsidRPr="004C33D1">
              <w:t xml:space="preserve">In relation to residential development, the demand for residential dwellings within an urban area in the short, medium and long-terms, having particular regard to: </w:t>
            </w:r>
          </w:p>
          <w:p w:rsidR="005B2E35" w:rsidRPr="004C33D1" w:rsidRDefault="005B2E35" w:rsidP="006277DC">
            <w:pPr>
              <w:pStyle w:val="TableText"/>
              <w:numPr>
                <w:ilvl w:val="0"/>
                <w:numId w:val="72"/>
              </w:numPr>
            </w:pPr>
            <w:r w:rsidRPr="004C33D1">
              <w:t xml:space="preserve">the total number of dwellings required to meet projected household growth;  </w:t>
            </w:r>
          </w:p>
          <w:p w:rsidR="005B2E35" w:rsidRPr="004C33D1" w:rsidRDefault="005B2E35" w:rsidP="006277DC">
            <w:pPr>
              <w:pStyle w:val="TableText"/>
              <w:numPr>
                <w:ilvl w:val="0"/>
                <w:numId w:val="72"/>
              </w:numPr>
            </w:pPr>
            <w:r w:rsidRPr="004C33D1">
              <w:t xml:space="preserve">demand for different types of dwellings; </w:t>
            </w:r>
          </w:p>
          <w:p w:rsidR="005B2E35" w:rsidRPr="004C33D1" w:rsidRDefault="005B2E35" w:rsidP="006277DC">
            <w:pPr>
              <w:pStyle w:val="TableText"/>
              <w:numPr>
                <w:ilvl w:val="0"/>
                <w:numId w:val="72"/>
              </w:numPr>
            </w:pPr>
            <w:r w:rsidRPr="004C33D1">
              <w:t>the demand for different locations within the urban area; and</w:t>
            </w:r>
          </w:p>
          <w:p w:rsidR="005B2E35" w:rsidRPr="004C33D1" w:rsidRDefault="005B2E35" w:rsidP="006277DC">
            <w:pPr>
              <w:pStyle w:val="TableText"/>
              <w:numPr>
                <w:ilvl w:val="0"/>
                <w:numId w:val="72"/>
              </w:numPr>
            </w:pPr>
            <w:proofErr w:type="gramStart"/>
            <w:r w:rsidRPr="004C33D1">
              <w:t>the</w:t>
            </w:r>
            <w:proofErr w:type="gramEnd"/>
            <w:r w:rsidRPr="004C33D1">
              <w:t xml:space="preserve"> demand for different price points.</w:t>
            </w:r>
          </w:p>
          <w:p w:rsidR="005B2E35" w:rsidRPr="004C33D1" w:rsidRDefault="005B2E35" w:rsidP="005B2E35">
            <w:pPr>
              <w:pStyle w:val="TableText"/>
            </w:pPr>
            <w:proofErr w:type="gramStart"/>
            <w:r w:rsidRPr="004C33D1">
              <w:t>recognising</w:t>
            </w:r>
            <w:proofErr w:type="gramEnd"/>
            <w:r w:rsidRPr="004C33D1">
              <w:t xml:space="preserve"> that people will trade off (b), (c) and (d) to meet their own needs and preferences.  </w:t>
            </w:r>
          </w:p>
          <w:p w:rsidR="00112504" w:rsidRDefault="00112504" w:rsidP="005B2E35">
            <w:pPr>
              <w:pStyle w:val="TableText"/>
            </w:pPr>
          </w:p>
          <w:p w:rsidR="005B2E35" w:rsidRPr="004C33D1" w:rsidRDefault="005B2E35" w:rsidP="005B2E35">
            <w:pPr>
              <w:pStyle w:val="TableText"/>
            </w:pPr>
            <w:r w:rsidRPr="004C33D1">
              <w:t xml:space="preserve">In relation to business land, the demand for floor area in the short, medium and long-terms, having particular regard to: </w:t>
            </w:r>
          </w:p>
          <w:p w:rsidR="005B2E35" w:rsidRPr="004C33D1" w:rsidRDefault="005B2E35" w:rsidP="006277DC">
            <w:pPr>
              <w:pStyle w:val="TableText"/>
              <w:numPr>
                <w:ilvl w:val="0"/>
                <w:numId w:val="74"/>
              </w:numPr>
            </w:pPr>
            <w:r w:rsidRPr="004C33D1">
              <w:t>the quantum of floor area to meet forecast growth in different sectors;</w:t>
            </w:r>
          </w:p>
          <w:p w:rsidR="005B2E35" w:rsidRPr="004C33D1" w:rsidRDefault="005B2E35" w:rsidP="006277DC">
            <w:pPr>
              <w:pStyle w:val="TableText"/>
              <w:numPr>
                <w:ilvl w:val="0"/>
                <w:numId w:val="74"/>
              </w:numPr>
            </w:pPr>
            <w:r w:rsidRPr="004C33D1">
              <w:t>the demands of both land extensive and intensive activities; and</w:t>
            </w:r>
          </w:p>
          <w:p w:rsidR="005B2E35" w:rsidRPr="004C33D1" w:rsidRDefault="005B2E35" w:rsidP="006277DC">
            <w:pPr>
              <w:pStyle w:val="TableText"/>
              <w:numPr>
                <w:ilvl w:val="0"/>
                <w:numId w:val="73"/>
              </w:numPr>
            </w:pPr>
            <w:proofErr w:type="gramStart"/>
            <w:r w:rsidRPr="004C33D1">
              <w:t>the</w:t>
            </w:r>
            <w:proofErr w:type="gramEnd"/>
            <w:r w:rsidRPr="004C33D1">
              <w:t xml:space="preserve"> demand for different locations within the urban area.</w:t>
            </w:r>
          </w:p>
        </w:tc>
      </w:tr>
    </w:tbl>
    <w:p w:rsidR="00884B8A" w:rsidRPr="004C33D1" w:rsidRDefault="00884B8A" w:rsidP="00884B8A"/>
    <w:p w:rsidR="002F38D1" w:rsidRPr="004C33D1" w:rsidRDefault="002F38D1" w:rsidP="002F38D1">
      <w:r w:rsidRPr="004C33D1">
        <w:t>We discuss price issues in more detail below (Section</w:t>
      </w:r>
      <w:r w:rsidR="00442DE5" w:rsidRPr="004C33D1">
        <w:t xml:space="preserve"> </w:t>
      </w:r>
      <w:r w:rsidR="00442DE5" w:rsidRPr="004C33D1">
        <w:fldChar w:fldCharType="begin"/>
      </w:r>
      <w:r w:rsidR="00442DE5" w:rsidRPr="004C33D1">
        <w:instrText xml:space="preserve"> REF _Ref457986877 \r \h </w:instrText>
      </w:r>
      <w:r w:rsidR="00442DE5" w:rsidRPr="004C33D1">
        <w:fldChar w:fldCharType="separate"/>
      </w:r>
      <w:r w:rsidR="004D1DDA">
        <w:t>2.3</w:t>
      </w:r>
      <w:r w:rsidR="00442DE5" w:rsidRPr="004C33D1">
        <w:fldChar w:fldCharType="end"/>
      </w:r>
      <w:r w:rsidRPr="004C33D1">
        <w:t xml:space="preserve">), including the issue of external costs that are part of the full social costs. </w:t>
      </w:r>
      <w:r w:rsidR="004D2D12" w:rsidRPr="004C33D1">
        <w:t>If</w:t>
      </w:r>
      <w:r w:rsidRPr="004C33D1">
        <w:t xml:space="preserve"> the supply cost </w:t>
      </w:r>
      <w:r w:rsidR="004F0118" w:rsidRPr="004C33D1">
        <w:t xml:space="preserve">equals </w:t>
      </w:r>
      <w:r w:rsidRPr="004C33D1">
        <w:t>the full costs to the community of allocating land to urban (residential or business) use</w:t>
      </w:r>
      <w:r w:rsidR="00AF47A4" w:rsidRPr="004C33D1">
        <w:t xml:space="preserve"> (</w:t>
      </w:r>
      <w:r w:rsidRPr="004C33D1">
        <w:t>including the external costs of development</w:t>
      </w:r>
      <w:r w:rsidR="00AF47A4" w:rsidRPr="004C33D1">
        <w:t>)</w:t>
      </w:r>
      <w:r w:rsidRPr="004C33D1">
        <w:t>, then th</w:t>
      </w:r>
      <w:r w:rsidR="00E27E88" w:rsidRPr="004C33D1">
        <w:t>e</w:t>
      </w:r>
      <w:r w:rsidRPr="004C33D1">
        <w:t xml:space="preserve"> equilibrium point (Q</w:t>
      </w:r>
      <w:r w:rsidRPr="004C33D1">
        <w:rPr>
          <w:vertAlign w:val="subscript"/>
        </w:rPr>
        <w:t>0</w:t>
      </w:r>
      <w:r w:rsidRPr="004C33D1">
        <w:t xml:space="preserve">) represents the optimal allocation of </w:t>
      </w:r>
      <w:r w:rsidR="00112504">
        <w:t xml:space="preserve">land </w:t>
      </w:r>
      <w:r w:rsidRPr="004C33D1">
        <w:t>to urban use</w:t>
      </w:r>
      <w:r w:rsidR="004F0118" w:rsidRPr="004C33D1">
        <w:t xml:space="preserve"> (</w:t>
      </w:r>
      <w:r w:rsidR="004D2D12" w:rsidRPr="004C33D1">
        <w:t xml:space="preserve">it is </w:t>
      </w:r>
      <w:r w:rsidRPr="004C33D1">
        <w:t>the level of supply which would maximise community wellbeing</w:t>
      </w:r>
      <w:r w:rsidR="004F0118" w:rsidRPr="004C33D1">
        <w:t>) a</w:t>
      </w:r>
      <w:r w:rsidR="00884B8A" w:rsidRPr="004C33D1">
        <w:t>nd P</w:t>
      </w:r>
      <w:r w:rsidR="00884B8A" w:rsidRPr="004C33D1">
        <w:rPr>
          <w:vertAlign w:val="subscript"/>
        </w:rPr>
        <w:t>0</w:t>
      </w:r>
      <w:r w:rsidR="00884B8A" w:rsidRPr="004C33D1">
        <w:t xml:space="preserve"> </w:t>
      </w:r>
      <w:r w:rsidR="004F0118" w:rsidRPr="004C33D1">
        <w:t xml:space="preserve">would be </w:t>
      </w:r>
      <w:r w:rsidR="00884B8A" w:rsidRPr="004C33D1">
        <w:t>the efficient (wellb</w:t>
      </w:r>
      <w:r w:rsidR="004D2D12" w:rsidRPr="004C33D1">
        <w:t>eing-</w:t>
      </w:r>
      <w:r w:rsidR="00884B8A" w:rsidRPr="004C33D1">
        <w:t>maximising) price.</w:t>
      </w:r>
    </w:p>
    <w:p w:rsidR="002F38D1" w:rsidRPr="004C33D1" w:rsidRDefault="002F38D1" w:rsidP="002F38D1"/>
    <w:p w:rsidR="002F38D1" w:rsidRPr="004C33D1" w:rsidRDefault="00E27E88" w:rsidP="002F38D1">
      <w:r w:rsidRPr="004C33D1">
        <w:t xml:space="preserve">Barriers to market entry </w:t>
      </w:r>
      <w:proofErr w:type="gramStart"/>
      <w:r w:rsidRPr="004C33D1">
        <w:t xml:space="preserve">are </w:t>
      </w:r>
      <w:r w:rsidR="002F38D1" w:rsidRPr="004C33D1">
        <w:t>represented</w:t>
      </w:r>
      <w:proofErr w:type="gramEnd"/>
      <w:r w:rsidR="002F38D1" w:rsidRPr="004C33D1">
        <w:t xml:space="preserve"> </w:t>
      </w:r>
      <w:r w:rsidRPr="004C33D1">
        <w:t xml:space="preserve">in </w:t>
      </w:r>
      <w:r w:rsidRPr="004C33D1">
        <w:fldChar w:fldCharType="begin"/>
      </w:r>
      <w:r w:rsidRPr="004C33D1">
        <w:instrText xml:space="preserve"> REF _Ref457291517 \h </w:instrText>
      </w:r>
      <w:r w:rsidRPr="004C33D1">
        <w:fldChar w:fldCharType="separate"/>
      </w:r>
      <w:r w:rsidR="004D1DDA" w:rsidRPr="004C33D1">
        <w:t xml:space="preserve">Figure </w:t>
      </w:r>
      <w:r w:rsidR="004D1DDA">
        <w:rPr>
          <w:noProof/>
        </w:rPr>
        <w:t>2</w:t>
      </w:r>
      <w:r w:rsidRPr="004C33D1">
        <w:fldChar w:fldCharType="end"/>
      </w:r>
      <w:r w:rsidRPr="004C33D1">
        <w:t xml:space="preserve"> </w:t>
      </w:r>
      <w:r w:rsidR="002F38D1" w:rsidRPr="004C33D1">
        <w:t xml:space="preserve">as </w:t>
      </w:r>
      <w:r w:rsidRPr="004C33D1">
        <w:t xml:space="preserve">an artificial limit to supply </w:t>
      </w:r>
      <w:r w:rsidR="002F38D1" w:rsidRPr="004C33D1">
        <w:t xml:space="preserve">of </w:t>
      </w:r>
      <w:r w:rsidR="00112504">
        <w:t>land and development opportunities</w:t>
      </w:r>
      <w:r w:rsidR="002F38D1" w:rsidRPr="004C33D1">
        <w:t xml:space="preserve"> </w:t>
      </w:r>
      <w:r w:rsidRPr="004C33D1">
        <w:t>(</w:t>
      </w:r>
      <w:r w:rsidR="002F38D1" w:rsidRPr="004C33D1">
        <w:t>Q</w:t>
      </w:r>
      <w:r w:rsidR="002F38D1" w:rsidRPr="004C33D1">
        <w:rPr>
          <w:vertAlign w:val="subscript"/>
        </w:rPr>
        <w:t>1</w:t>
      </w:r>
      <w:r w:rsidRPr="004C33D1">
        <w:t xml:space="preserve">). If such a limit is in place, </w:t>
      </w:r>
      <w:r w:rsidR="004D2D12" w:rsidRPr="004C33D1">
        <w:t xml:space="preserve">eg because restrictions are placed on how much land is zoned for development, </w:t>
      </w:r>
      <w:r w:rsidR="002F38D1" w:rsidRPr="004C33D1">
        <w:t xml:space="preserve">the price of </w:t>
      </w:r>
      <w:r w:rsidR="00112504">
        <w:t xml:space="preserve">land for development </w:t>
      </w:r>
      <w:r w:rsidR="002F38D1" w:rsidRPr="004C33D1">
        <w:t>would be expected to rise to a higher price (P</w:t>
      </w:r>
      <w:r w:rsidR="002F38D1" w:rsidRPr="004C33D1">
        <w:rPr>
          <w:vertAlign w:val="subscript"/>
        </w:rPr>
        <w:t>1</w:t>
      </w:r>
      <w:r w:rsidR="002F38D1" w:rsidRPr="004C33D1">
        <w:t xml:space="preserve">). This is possible because those who own the </w:t>
      </w:r>
      <w:r w:rsidR="00112504">
        <w:t>land</w:t>
      </w:r>
      <w:r w:rsidR="002F38D1" w:rsidRPr="004C33D1">
        <w:t xml:space="preserve"> are able to increase price without facing competition from other suppliers.</w:t>
      </w:r>
      <w:r w:rsidRPr="004C33D1">
        <w:t xml:space="preserve"> Supply meets demand </w:t>
      </w:r>
      <w:r w:rsidR="004F0118" w:rsidRPr="004C33D1">
        <w:t xml:space="preserve">but </w:t>
      </w:r>
      <w:r w:rsidRPr="004C33D1">
        <w:t xml:space="preserve">it does so at a higher price than if a greater level of demand </w:t>
      </w:r>
      <w:proofErr w:type="gramStart"/>
      <w:r w:rsidRPr="004C33D1">
        <w:t>was being met</w:t>
      </w:r>
      <w:proofErr w:type="gramEnd"/>
      <w:r w:rsidRPr="004C33D1">
        <w:t>.</w:t>
      </w:r>
    </w:p>
    <w:p w:rsidR="002F38D1" w:rsidRPr="004C33D1" w:rsidRDefault="002F38D1" w:rsidP="002F38D1"/>
    <w:p w:rsidR="00000711" w:rsidRPr="004C33D1" w:rsidRDefault="002F38D1" w:rsidP="00000711">
      <w:r w:rsidRPr="004C33D1">
        <w:t xml:space="preserve">This is a highly stylised picture of the market but it </w:t>
      </w:r>
      <w:proofErr w:type="gramStart"/>
      <w:r w:rsidRPr="004C33D1">
        <w:t>is used</w:t>
      </w:r>
      <w:proofErr w:type="gramEnd"/>
      <w:r w:rsidRPr="004C33D1">
        <w:t xml:space="preserve"> to make the simple point that supply restrictions are likely to result in price increases because power to set price in the market is available to anyone who owns the resource that is most scarce in the market</w:t>
      </w:r>
      <w:r w:rsidR="00E27E88" w:rsidRPr="004C33D1">
        <w:t>.</w:t>
      </w:r>
      <w:r w:rsidR="00000711" w:rsidRPr="004C33D1">
        <w:t xml:space="preserve"> </w:t>
      </w:r>
    </w:p>
    <w:p w:rsidR="00000711" w:rsidRPr="004C33D1" w:rsidRDefault="00000711" w:rsidP="00000711">
      <w:pPr>
        <w:pStyle w:val="Heading4"/>
      </w:pPr>
      <w:r w:rsidRPr="004C33D1">
        <w:t>Demand Side Factors</w:t>
      </w:r>
    </w:p>
    <w:p w:rsidR="00884B8A" w:rsidRPr="004C33D1" w:rsidRDefault="00000711" w:rsidP="00884B8A">
      <w:r w:rsidRPr="004C33D1">
        <w:t xml:space="preserve">The impacts of entry barriers </w:t>
      </w:r>
      <w:proofErr w:type="gramStart"/>
      <w:r w:rsidRPr="004C33D1">
        <w:t>are exacerbated</w:t>
      </w:r>
      <w:proofErr w:type="gramEnd"/>
      <w:r w:rsidRPr="004C33D1">
        <w:t xml:space="preserve"> by changes in levels of demand. For example, the Productivity Commission list a number of </w:t>
      </w:r>
      <w:r w:rsidR="00FE503B" w:rsidRPr="004C33D1">
        <w:t>factors that</w:t>
      </w:r>
      <w:r w:rsidRPr="004C33D1">
        <w:t xml:space="preserve"> have led to increased overall demand for residential land, resulting in high </w:t>
      </w:r>
      <w:r w:rsidR="00FE503B">
        <w:t xml:space="preserve">or increasing </w:t>
      </w:r>
      <w:r w:rsidRPr="004C33D1">
        <w:t>prices. These include easier access to capital, population growth, rising household incomes, low interest rates and a low value of the New Zealand dollar providing incentives for overseas buyers.</w:t>
      </w:r>
      <w:r w:rsidRPr="004C33D1">
        <w:rPr>
          <w:rStyle w:val="FootnoteReference"/>
        </w:rPr>
        <w:footnoteReference w:id="17"/>
      </w:r>
      <w:r w:rsidRPr="004C33D1">
        <w:t xml:space="preserve"> When demand increases, WTP increases at any given level of supply, resulting in higher prices in a supply-constrained market.</w:t>
      </w:r>
    </w:p>
    <w:p w:rsidR="00884B8A" w:rsidRPr="004C33D1" w:rsidRDefault="00E27E88" w:rsidP="00884B8A">
      <w:pPr>
        <w:pStyle w:val="Heading4"/>
      </w:pPr>
      <w:r w:rsidRPr="004C33D1">
        <w:t xml:space="preserve"> </w:t>
      </w:r>
      <w:r w:rsidR="00884B8A" w:rsidRPr="004C33D1">
        <w:t>Zoning</w:t>
      </w:r>
      <w:r w:rsidR="00680290" w:rsidRPr="004C33D1">
        <w:t xml:space="preserve"> as a Barrier to Entry</w:t>
      </w:r>
    </w:p>
    <w:p w:rsidR="00884B8A" w:rsidRPr="004C33D1" w:rsidRDefault="00884B8A" w:rsidP="00884B8A">
      <w:r w:rsidRPr="004C33D1">
        <w:t xml:space="preserve">Zoning that limits market entry gives market power to </w:t>
      </w:r>
      <w:r w:rsidR="004F0118" w:rsidRPr="004C33D1">
        <w:t xml:space="preserve">existing </w:t>
      </w:r>
      <w:r w:rsidRPr="004C33D1">
        <w:t>landowners to raise prices above the efficient competitive equilibrium price.</w:t>
      </w:r>
    </w:p>
    <w:p w:rsidR="00884B8A" w:rsidRPr="004C33D1" w:rsidRDefault="00884B8A" w:rsidP="00884B8A"/>
    <w:p w:rsidR="00884B8A" w:rsidRPr="004C33D1" w:rsidRDefault="00884B8A" w:rsidP="00884B8A">
      <w:r w:rsidRPr="004C33D1">
        <w:lastRenderedPageBreak/>
        <w:t xml:space="preserve">Supply limits can occur in any of the markets discussed above (Section </w:t>
      </w:r>
      <w:r w:rsidR="00FC5C7F">
        <w:fldChar w:fldCharType="begin"/>
      </w:r>
      <w:r w:rsidR="00FC5C7F">
        <w:instrText xml:space="preserve"> REF _Ref462572584 \r \h </w:instrText>
      </w:r>
      <w:r w:rsidR="00FC5C7F">
        <w:fldChar w:fldCharType="separate"/>
      </w:r>
      <w:r w:rsidR="004D1DDA">
        <w:t>2.1</w:t>
      </w:r>
      <w:r w:rsidR="00FC5C7F">
        <w:fldChar w:fldCharType="end"/>
      </w:r>
      <w:r w:rsidR="00FE503B">
        <w:t xml:space="preserve"> and </w:t>
      </w:r>
      <w:r w:rsidR="00FE503B">
        <w:fldChar w:fldCharType="begin"/>
      </w:r>
      <w:r w:rsidR="00FE503B">
        <w:instrText xml:space="preserve"> REF _Ref457482471 \h </w:instrText>
      </w:r>
      <w:r w:rsidR="00FE503B">
        <w:fldChar w:fldCharType="separate"/>
      </w:r>
      <w:r w:rsidR="004D1DDA" w:rsidRPr="004C33D1">
        <w:t xml:space="preserve">Table </w:t>
      </w:r>
      <w:r w:rsidR="004D1DDA">
        <w:rPr>
          <w:noProof/>
        </w:rPr>
        <w:t>1</w:t>
      </w:r>
      <w:r w:rsidR="00FE503B">
        <w:fldChar w:fldCharType="end"/>
      </w:r>
      <w:r w:rsidRPr="004C33D1">
        <w:t xml:space="preserve">) and can occur for </w:t>
      </w:r>
      <w:r w:rsidR="00FC5C7F" w:rsidRPr="004C33D1">
        <w:t>reasons that</w:t>
      </w:r>
      <w:r w:rsidRPr="004C33D1">
        <w:t xml:space="preserve"> include physical supply limits, such as when there are insufficient builders to meet a rapidly growing demand for housing. However, the chief concern in the </w:t>
      </w:r>
      <w:r w:rsidR="0059793C">
        <w:t>draft</w:t>
      </w:r>
      <w:r w:rsidRPr="004C33D1">
        <w:t xml:space="preserve"> NPS-UDC is with supply constraints </w:t>
      </w:r>
      <w:r w:rsidR="00FC5C7F">
        <w:t>from</w:t>
      </w:r>
      <w:r w:rsidRPr="004C33D1">
        <w:t xml:space="preserve"> the operation of the planning system, particularly council plans </w:t>
      </w:r>
      <w:proofErr w:type="gramStart"/>
      <w:r w:rsidRPr="004C33D1">
        <w:t>which</w:t>
      </w:r>
      <w:proofErr w:type="gramEnd"/>
      <w:r w:rsidRPr="004C33D1">
        <w:t xml:space="preserve"> zone land for different uses and different densities. </w:t>
      </w:r>
    </w:p>
    <w:p w:rsidR="00884B8A" w:rsidRPr="004C33D1" w:rsidRDefault="00884B8A" w:rsidP="00884B8A"/>
    <w:p w:rsidR="00884B8A" w:rsidRPr="004C33D1" w:rsidRDefault="00884B8A" w:rsidP="00884B8A">
      <w:r w:rsidRPr="004C33D1">
        <w:t>Zoning introduces a barrier to market entry. For example, some landowners may wish to sub-divide their properties but are unable to because of the current zoning. The zoning is a barrier to these landowners adding additional supply of housing to the market.</w:t>
      </w:r>
    </w:p>
    <w:p w:rsidR="00884B8A" w:rsidRPr="004C33D1" w:rsidRDefault="00884B8A" w:rsidP="00884B8A"/>
    <w:p w:rsidR="00884B8A" w:rsidRPr="004C33D1" w:rsidRDefault="00884B8A" w:rsidP="00884B8A">
      <w:r w:rsidRPr="004C33D1">
        <w:t xml:space="preserve">The planning system introduces these constraints partly to limit external costs and partly to ensure that infrastructure </w:t>
      </w:r>
      <w:proofErr w:type="gramStart"/>
      <w:r w:rsidRPr="004C33D1">
        <w:t>is provided</w:t>
      </w:r>
      <w:proofErr w:type="gramEnd"/>
      <w:r w:rsidRPr="004C33D1">
        <w:t xml:space="preserve"> in a coordinated and efficient way. </w:t>
      </w:r>
      <w:r w:rsidR="00000711" w:rsidRPr="004C33D1">
        <w:t>However, this system can be overly restrictive in some locations in a way that effectively limits total supply, thus limiting the competitiveness of urban land and development markets.</w:t>
      </w:r>
      <w:r w:rsidRPr="004C33D1">
        <w:t xml:space="preserve"> </w:t>
      </w:r>
      <w:r w:rsidR="004F0118" w:rsidRPr="004C33D1">
        <w:t>Thus</w:t>
      </w:r>
      <w:r w:rsidRPr="004C33D1">
        <w:t xml:space="preserve"> the Minister of Finance in a 2015 talk on housing affordability </w:t>
      </w:r>
      <w:proofErr w:type="gramStart"/>
      <w:r w:rsidRPr="004C33D1">
        <w:t>noted that</w:t>
      </w:r>
      <w:proofErr w:type="gramEnd"/>
      <w:r w:rsidRPr="004C33D1">
        <w:t xml:space="preserve"> “</w:t>
      </w:r>
      <w:r w:rsidRPr="004C33D1">
        <w:rPr>
          <w:i/>
        </w:rPr>
        <w:t xml:space="preserve">planning rules … [which] include urban limits, minimum lot sizes which prevent subdivision below a certain size, and maximum site coverage rules which prevent a house covering more than a certain proportion of the lot. … </w:t>
      </w:r>
      <w:proofErr w:type="gramStart"/>
      <w:r w:rsidRPr="004C33D1">
        <w:rPr>
          <w:i/>
        </w:rPr>
        <w:t>reduce</w:t>
      </w:r>
      <w:proofErr w:type="gramEnd"/>
      <w:r w:rsidRPr="004C33D1">
        <w:rPr>
          <w:i/>
        </w:rPr>
        <w:t xml:space="preserve"> opportunities to develop affordable homes</w:t>
      </w:r>
      <w:r w:rsidRPr="004C33D1">
        <w:t>.”</w:t>
      </w:r>
      <w:r w:rsidRPr="004C33D1">
        <w:rPr>
          <w:rStyle w:val="FootnoteReference"/>
        </w:rPr>
        <w:footnoteReference w:id="18"/>
      </w:r>
      <w:r w:rsidR="00680290" w:rsidRPr="004C33D1">
        <w:t xml:space="preserve"> </w:t>
      </w:r>
    </w:p>
    <w:p w:rsidR="00884B8A" w:rsidRPr="004C33D1" w:rsidRDefault="00884B8A" w:rsidP="00884B8A">
      <w:pPr>
        <w:pStyle w:val="Heading4"/>
      </w:pPr>
      <w:r w:rsidRPr="004C33D1">
        <w:t>Commercial viability</w:t>
      </w:r>
    </w:p>
    <w:p w:rsidR="00FC5C7F" w:rsidRDefault="00000711" w:rsidP="00884B8A">
      <w:r w:rsidRPr="004C33D1">
        <w:t xml:space="preserve">Efforts to increase the development capacity enabled by zoning and infrastructure need to </w:t>
      </w:r>
      <w:proofErr w:type="gramStart"/>
      <w:r w:rsidRPr="004C33D1">
        <w:t>be undertaken</w:t>
      </w:r>
      <w:proofErr w:type="gramEnd"/>
      <w:r w:rsidRPr="004C33D1">
        <w:t xml:space="preserve"> with an understanding of whether development capacity is commercially viable to develop. </w:t>
      </w:r>
      <w:r w:rsidR="00112504">
        <w:t>Zoning might enable development</w:t>
      </w:r>
      <w:r w:rsidRPr="004C33D1">
        <w:t xml:space="preserve">, but only some of it might have infrastructure provided and only a proportion of this will actually be profitable to develop, taking into account development costs and revenues </w:t>
      </w:r>
      <w:r w:rsidR="00884B8A" w:rsidRPr="004C33D1">
        <w:t>(</w:t>
      </w:r>
      <w:r w:rsidR="00884B8A" w:rsidRPr="004C33D1">
        <w:fldChar w:fldCharType="begin"/>
      </w:r>
      <w:r w:rsidR="00884B8A" w:rsidRPr="004C33D1">
        <w:instrText xml:space="preserve"> REF _Ref456186688 \h </w:instrText>
      </w:r>
      <w:r w:rsidR="00884B8A" w:rsidRPr="004C33D1">
        <w:fldChar w:fldCharType="separate"/>
      </w:r>
      <w:r w:rsidR="004D1DDA" w:rsidRPr="004C33D1">
        <w:t xml:space="preserve">Figure </w:t>
      </w:r>
      <w:r w:rsidR="004D1DDA">
        <w:rPr>
          <w:noProof/>
        </w:rPr>
        <w:t>3</w:t>
      </w:r>
      <w:r w:rsidR="00884B8A" w:rsidRPr="004C33D1">
        <w:fldChar w:fldCharType="end"/>
      </w:r>
      <w:r w:rsidR="00884B8A" w:rsidRPr="004C33D1">
        <w:t xml:space="preserve">). A number of councils have developed models, started dialogues with developers or collected data to help them </w:t>
      </w:r>
      <w:proofErr w:type="gramStart"/>
      <w:r w:rsidR="00884B8A" w:rsidRPr="004C33D1">
        <w:t>to better understand</w:t>
      </w:r>
      <w:proofErr w:type="gramEnd"/>
      <w:r w:rsidR="00884B8A" w:rsidRPr="004C33D1">
        <w:t xml:space="preserve"> these issues. The issues </w:t>
      </w:r>
      <w:proofErr w:type="gramStart"/>
      <w:r w:rsidR="00884B8A" w:rsidRPr="004C33D1">
        <w:t>are further discussed</w:t>
      </w:r>
      <w:proofErr w:type="gramEnd"/>
      <w:r w:rsidR="00884B8A" w:rsidRPr="004C33D1">
        <w:t xml:space="preserve"> </w:t>
      </w:r>
      <w:r w:rsidR="00884B8A" w:rsidRPr="00683134">
        <w:t xml:space="preserve">in Section </w:t>
      </w:r>
      <w:r w:rsidR="00683134" w:rsidRPr="00683134">
        <w:fldChar w:fldCharType="begin"/>
      </w:r>
      <w:r w:rsidR="00683134" w:rsidRPr="00683134">
        <w:instrText xml:space="preserve"> REF _Ref458003394 \r \h </w:instrText>
      </w:r>
      <w:r w:rsidR="00683134">
        <w:instrText xml:space="preserve"> \* MERGEFORMAT </w:instrText>
      </w:r>
      <w:r w:rsidR="00683134" w:rsidRPr="00683134">
        <w:fldChar w:fldCharType="separate"/>
      </w:r>
      <w:r w:rsidR="004D1DDA">
        <w:t>4.6</w:t>
      </w:r>
      <w:r w:rsidR="00683134" w:rsidRPr="00683134">
        <w:fldChar w:fldCharType="end"/>
      </w:r>
      <w:r w:rsidR="00884B8A" w:rsidRPr="00683134">
        <w:t>.</w:t>
      </w:r>
    </w:p>
    <w:p w:rsidR="00FC5C7F" w:rsidRPr="004C33D1" w:rsidRDefault="00FC5C7F" w:rsidP="00FC5C7F">
      <w:pPr>
        <w:pStyle w:val="Heading4"/>
      </w:pPr>
      <w:r w:rsidRPr="00683134">
        <w:t>Covenants</w:t>
      </w:r>
    </w:p>
    <w:p w:rsidR="00FC5C7F" w:rsidRDefault="00FC5C7F" w:rsidP="00FC5C7F">
      <w:r>
        <w:t xml:space="preserve">Restrictive legal covenants, eg to stop </w:t>
      </w:r>
      <w:r w:rsidRPr="00683134">
        <w:t xml:space="preserve">further subdivision or an increase </w:t>
      </w:r>
      <w:r>
        <w:t xml:space="preserve">in </w:t>
      </w:r>
      <w:r w:rsidRPr="00683134">
        <w:t>housing density</w:t>
      </w:r>
      <w:r>
        <w:t>, are commonly applied to residential subdivisions.</w:t>
      </w:r>
      <w:r>
        <w:rPr>
          <w:rStyle w:val="FootnoteReference"/>
        </w:rPr>
        <w:footnoteReference w:id="19"/>
      </w:r>
      <w:r>
        <w:t xml:space="preserve"> These covenants, often called building schemes, place restrictions on the use of land to maintain the perceived quality of the subdivision and the value of the properties subject to the covenant. The restrictions in the</w:t>
      </w:r>
      <w:r w:rsidR="00EA0589">
        <w:t xml:space="preserve"> covenant will bind future land</w:t>
      </w:r>
      <w:r>
        <w:t>owners in perpetuity, eg by all owners of land in a development that have been covenanted having enforceable rights over all other covenanted parties. In the context of uncertainty about the optimal future use of land and transaction costs to secure agreement from neighbours to adjust covenants in response to changing circumstances, covenants may become inefficient over time.</w:t>
      </w:r>
    </w:p>
    <w:p w:rsidR="00FC5C7F" w:rsidRDefault="00FC5C7F" w:rsidP="00884B8A"/>
    <w:p w:rsidR="00FC5C7F" w:rsidRPr="004C33D1" w:rsidRDefault="00FC5C7F" w:rsidP="00884B8A"/>
    <w:p w:rsidR="00884B8A" w:rsidRPr="004C33D1" w:rsidRDefault="00884B8A" w:rsidP="00E02811">
      <w:pPr>
        <w:pStyle w:val="Caption"/>
      </w:pPr>
      <w:bookmarkStart w:id="50" w:name="_Ref456186688"/>
      <w:r w:rsidRPr="004C33D1">
        <w:lastRenderedPageBreak/>
        <w:t xml:space="preserve">Figure </w:t>
      </w:r>
      <w:r w:rsidRPr="004C33D1">
        <w:fldChar w:fldCharType="begin"/>
      </w:r>
      <w:r w:rsidRPr="004C33D1">
        <w:instrText xml:space="preserve"> SEQ Figure \* ARABIC </w:instrText>
      </w:r>
      <w:r w:rsidRPr="004C33D1">
        <w:fldChar w:fldCharType="separate"/>
      </w:r>
      <w:r w:rsidR="004D1DDA">
        <w:rPr>
          <w:noProof/>
        </w:rPr>
        <w:t>3</w:t>
      </w:r>
      <w:r w:rsidRPr="004C33D1">
        <w:fldChar w:fldCharType="end"/>
      </w:r>
      <w:bookmarkEnd w:id="50"/>
      <w:r w:rsidRPr="004C33D1">
        <w:t xml:space="preserve"> Supply vs availability</w:t>
      </w:r>
    </w:p>
    <w:p w:rsidR="00884B8A" w:rsidRPr="004C33D1" w:rsidRDefault="00884B8A" w:rsidP="009C3600">
      <w:pPr>
        <w:jc w:val="center"/>
      </w:pPr>
      <w:r w:rsidRPr="004C33D1">
        <w:rPr>
          <w:noProof/>
          <w:lang w:eastAsia="en-NZ"/>
        </w:rPr>
        <w:drawing>
          <wp:inline distT="0" distB="0" distL="0" distR="0" wp14:anchorId="55A66F45" wp14:editId="6D078793">
            <wp:extent cx="2848854" cy="30289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4310" cy="3034751"/>
                    </a:xfrm>
                    <a:prstGeom prst="rect">
                      <a:avLst/>
                    </a:prstGeom>
                    <a:noFill/>
                    <a:ln>
                      <a:noFill/>
                    </a:ln>
                  </pic:spPr>
                </pic:pic>
              </a:graphicData>
            </a:graphic>
          </wp:inline>
        </w:drawing>
      </w:r>
    </w:p>
    <w:p w:rsidR="00884B8A" w:rsidRPr="009C3600" w:rsidRDefault="009C3600" w:rsidP="009C3600">
      <w:pPr>
        <w:spacing w:line="240" w:lineRule="auto"/>
        <w:rPr>
          <w:sz w:val="18"/>
          <w:szCs w:val="18"/>
        </w:rPr>
      </w:pPr>
      <w:proofErr w:type="gramStart"/>
      <w:r>
        <w:rPr>
          <w:sz w:val="18"/>
          <w:szCs w:val="18"/>
        </w:rPr>
        <w:t xml:space="preserve">Source: </w:t>
      </w:r>
      <w:r w:rsidRPr="009C3600">
        <w:rPr>
          <w:sz w:val="18"/>
          <w:szCs w:val="18"/>
        </w:rPr>
        <w:t>Ministry for the Environment</w:t>
      </w:r>
      <w:r>
        <w:rPr>
          <w:sz w:val="18"/>
          <w:szCs w:val="18"/>
        </w:rPr>
        <w:t xml:space="preserve"> (</w:t>
      </w:r>
      <w:r w:rsidRPr="009C3600">
        <w:rPr>
          <w:sz w:val="18"/>
          <w:szCs w:val="18"/>
        </w:rPr>
        <w:t>2016</w:t>
      </w:r>
      <w:r>
        <w:rPr>
          <w:sz w:val="18"/>
          <w:szCs w:val="18"/>
        </w:rPr>
        <w:t>)</w:t>
      </w:r>
      <w:r w:rsidRPr="009C3600">
        <w:rPr>
          <w:sz w:val="18"/>
          <w:szCs w:val="18"/>
        </w:rPr>
        <w:t xml:space="preserve"> How Councils Estimate</w:t>
      </w:r>
      <w:r>
        <w:rPr>
          <w:sz w:val="18"/>
          <w:szCs w:val="18"/>
        </w:rPr>
        <w:t xml:space="preserve"> </w:t>
      </w:r>
      <w:r w:rsidRPr="009C3600">
        <w:rPr>
          <w:sz w:val="18"/>
          <w:szCs w:val="18"/>
        </w:rPr>
        <w:t>Demand and Supply of Development Capacity for Housing and Business.</w:t>
      </w:r>
      <w:proofErr w:type="gramEnd"/>
      <w:r w:rsidRPr="009C3600">
        <w:rPr>
          <w:sz w:val="18"/>
          <w:szCs w:val="18"/>
        </w:rPr>
        <w:t xml:space="preserve"> Ministry for the</w:t>
      </w:r>
      <w:r>
        <w:rPr>
          <w:sz w:val="18"/>
          <w:szCs w:val="18"/>
        </w:rPr>
        <w:t xml:space="preserve"> </w:t>
      </w:r>
      <w:r w:rsidRPr="009C3600">
        <w:rPr>
          <w:sz w:val="18"/>
          <w:szCs w:val="18"/>
        </w:rPr>
        <w:t>Environment: Wellington</w:t>
      </w:r>
      <w:r w:rsidRPr="009C3600">
        <w:rPr>
          <w:sz w:val="18"/>
          <w:szCs w:val="18"/>
        </w:rPr>
        <w:cr/>
      </w:r>
    </w:p>
    <w:p w:rsidR="001B12DB" w:rsidRDefault="001B12DB" w:rsidP="0095745F"/>
    <w:p w:rsidR="00683134" w:rsidRDefault="001B12DB" w:rsidP="001A1870">
      <w:r>
        <w:t>Mead and Ryan (</w:t>
      </w:r>
      <w:r w:rsidRPr="001B12DB">
        <w:rPr>
          <w:i/>
        </w:rPr>
        <w:t xml:space="preserve">op </w:t>
      </w:r>
      <w:proofErr w:type="spellStart"/>
      <w:r w:rsidRPr="001B12DB">
        <w:rPr>
          <w:i/>
        </w:rPr>
        <w:t>cit</w:t>
      </w:r>
      <w:proofErr w:type="spellEnd"/>
      <w:r>
        <w:t xml:space="preserve">) note that The District Court may modify or extinguish a covenant under s317 of the Property Law Act 2007, but that the focus of the court is generally on the private rights of the parties affected by the covenant, rather than any public interest. Covenants may provide legal barriers to market entry and </w:t>
      </w:r>
      <w:r w:rsidR="00FE503B">
        <w:t xml:space="preserve">to </w:t>
      </w:r>
      <w:r>
        <w:t>further sub-division of land.</w:t>
      </w:r>
    </w:p>
    <w:p w:rsidR="00392152" w:rsidRPr="004C33D1" w:rsidRDefault="00392152" w:rsidP="00392152">
      <w:pPr>
        <w:pStyle w:val="Heading4"/>
      </w:pPr>
      <w:r w:rsidRPr="004C33D1">
        <w:t>Infrastructure Costs</w:t>
      </w:r>
    </w:p>
    <w:p w:rsidR="00392152" w:rsidRPr="004C33D1" w:rsidRDefault="00B777E8" w:rsidP="00392152">
      <w:r w:rsidRPr="004C33D1">
        <w:t>New developments require both network and local infrastructure to be attractive and viable to develop. Infrastructure includes network infrastructure (roads, the three waters,</w:t>
      </w:r>
      <w:r w:rsidRPr="004C33D1">
        <w:rPr>
          <w:rStyle w:val="FootnoteReference"/>
        </w:rPr>
        <w:footnoteReference w:id="20"/>
      </w:r>
      <w:r w:rsidRPr="004C33D1">
        <w:t xml:space="preserve"> energy supply and communications) and social infrastructure such as parks and reserves, leisure facilities (stadia and sports grounds, recreation centres and swimming pools), and cultural facilities (performing arts centres, museums and galleries).</w:t>
      </w:r>
      <w:r w:rsidRPr="004C33D1">
        <w:rPr>
          <w:rStyle w:val="FootnoteReference"/>
        </w:rPr>
        <w:footnoteReference w:id="21"/>
      </w:r>
      <w:r w:rsidRPr="004C33D1">
        <w:t xml:space="preserve"> When infrastructure </w:t>
      </w:r>
      <w:proofErr w:type="gramStart"/>
      <w:r w:rsidRPr="004C33D1">
        <w:t>is supplied</w:t>
      </w:r>
      <w:proofErr w:type="gramEnd"/>
      <w:r w:rsidRPr="004C33D1">
        <w:t xml:space="preserve"> at a rate, or in locations, that does not respond to demands for development, it can limit development</w:t>
      </w:r>
      <w:r>
        <w:t xml:space="preserve"> opportunities</w:t>
      </w:r>
      <w:r w:rsidRPr="004C33D1">
        <w:t>. Infrastructure provision can act as a barrier to entry for reasons that include:</w:t>
      </w:r>
    </w:p>
    <w:p w:rsidR="00392152" w:rsidRPr="004C33D1" w:rsidRDefault="00392152" w:rsidP="00392152"/>
    <w:p w:rsidR="00392152" w:rsidRPr="004C33D1" w:rsidRDefault="00FC5C7F" w:rsidP="00411653">
      <w:pPr>
        <w:pStyle w:val="ListParagraph"/>
        <w:numPr>
          <w:ilvl w:val="0"/>
          <w:numId w:val="32"/>
        </w:numPr>
      </w:pPr>
      <w:proofErr w:type="gramStart"/>
      <w:r w:rsidRPr="004C33D1">
        <w:t>the</w:t>
      </w:r>
      <w:proofErr w:type="gramEnd"/>
      <w:r w:rsidRPr="004C33D1">
        <w:t xml:space="preserve"> </w:t>
      </w:r>
      <w:r w:rsidR="00392152" w:rsidRPr="004C33D1">
        <w:rPr>
          <w:b/>
        </w:rPr>
        <w:t>high fixed costs</w:t>
      </w:r>
      <w:r w:rsidR="00392152" w:rsidRPr="004C33D1">
        <w:t xml:space="preserve"> of network infrastructure: because there are significant fixed costs of extending a network to a new suburb, these are only justifiable if they can be recovered from the developers or residents of several properties. This means that development has to be coordinated and cannot be flexible to small changes in demand;</w:t>
      </w:r>
      <w:r w:rsidR="00392152" w:rsidRPr="004C33D1">
        <w:br/>
      </w:r>
    </w:p>
    <w:p w:rsidR="00392152" w:rsidRPr="004C33D1" w:rsidRDefault="00FC5C7F" w:rsidP="00392152">
      <w:pPr>
        <w:pStyle w:val="ListParagraph"/>
        <w:numPr>
          <w:ilvl w:val="0"/>
          <w:numId w:val="5"/>
        </w:numPr>
      </w:pPr>
      <w:proofErr w:type="gramStart"/>
      <w:r w:rsidRPr="004C33D1">
        <w:rPr>
          <w:b/>
        </w:rPr>
        <w:lastRenderedPageBreak/>
        <w:t>finance</w:t>
      </w:r>
      <w:proofErr w:type="gramEnd"/>
      <w:r w:rsidRPr="004C33D1">
        <w:rPr>
          <w:b/>
        </w:rPr>
        <w:t xml:space="preserve"> </w:t>
      </w:r>
      <w:r w:rsidR="00392152" w:rsidRPr="004C33D1">
        <w:rPr>
          <w:b/>
        </w:rPr>
        <w:t>costs</w:t>
      </w:r>
      <w:r w:rsidR="00392152" w:rsidRPr="004C33D1">
        <w:t>: to achieve a competitive supply of development capacity infrastructure is best supplied ahead of demand. This increases costs and the risks of stranding, and require</w:t>
      </w:r>
      <w:r w:rsidR="00680290" w:rsidRPr="004C33D1">
        <w:t>s</w:t>
      </w:r>
      <w:r w:rsidR="00392152" w:rsidRPr="004C33D1">
        <w:t xml:space="preserve"> local councils to fund infrastructure via debt, at least in the short run. This has costs for councils (and ratepayers) and </w:t>
      </w:r>
      <w:r w:rsidR="00827199" w:rsidRPr="004C33D1">
        <w:t>will</w:t>
      </w:r>
      <w:r w:rsidR="00392152" w:rsidRPr="004C33D1">
        <w:t xml:space="preserve"> limit the use of debt for other investments where debt ceilings are at risk of being breached;</w:t>
      </w:r>
      <w:r w:rsidR="00FE503B">
        <w:t xml:space="preserve"> and</w:t>
      </w:r>
      <w:r w:rsidR="00392152" w:rsidRPr="004C33D1">
        <w:br/>
      </w:r>
    </w:p>
    <w:p w:rsidR="00392152" w:rsidRPr="004C33D1" w:rsidRDefault="00FC5C7F" w:rsidP="00392152">
      <w:pPr>
        <w:pStyle w:val="ListParagraph"/>
        <w:numPr>
          <w:ilvl w:val="0"/>
          <w:numId w:val="5"/>
        </w:numPr>
      </w:pPr>
      <w:proofErr w:type="gramStart"/>
      <w:r w:rsidRPr="004C33D1">
        <w:rPr>
          <w:b/>
        </w:rPr>
        <w:t>coordination</w:t>
      </w:r>
      <w:proofErr w:type="gramEnd"/>
      <w:r w:rsidR="00392152" w:rsidRPr="004C33D1">
        <w:t>: new residential areas represent viable and attractive communities when all infrastructure types are in place. However, achieving this may require considerable coordination amongst providers, and the involvement of local councils and private infrastructure providers.</w:t>
      </w:r>
    </w:p>
    <w:p w:rsidR="00392152" w:rsidRPr="004C33D1" w:rsidRDefault="00392152" w:rsidP="00392152"/>
    <w:p w:rsidR="00220C7C" w:rsidRPr="004C33D1" w:rsidRDefault="00392152" w:rsidP="00220C7C">
      <w:r w:rsidRPr="004C33D1">
        <w:t xml:space="preserve">These limitations are (generally) less problematic in brownfield areas where there may be spare capacity in </w:t>
      </w:r>
      <w:r w:rsidR="00000711" w:rsidRPr="004C33D1">
        <w:t>(at least some) infrastructure.</w:t>
      </w:r>
    </w:p>
    <w:p w:rsidR="002F38D1" w:rsidRPr="004C33D1" w:rsidRDefault="002F38D1" w:rsidP="004B1F15">
      <w:pPr>
        <w:pStyle w:val="Heading3"/>
      </w:pPr>
      <w:r w:rsidRPr="004C33D1">
        <w:t>Limited Buyers and Sellers</w:t>
      </w:r>
    </w:p>
    <w:p w:rsidR="002F38D1" w:rsidRPr="004C33D1" w:rsidRDefault="002F38D1" w:rsidP="002F38D1">
      <w:r w:rsidRPr="004C33D1">
        <w:t>Theory suggests that an ideal market includes many buyers and sellers such that everyone is always able to buy or sell land or ho</w:t>
      </w:r>
      <w:r w:rsidR="000D3E84">
        <w:t>m</w:t>
      </w:r>
      <w:r w:rsidRPr="004C33D1">
        <w:t>es when they want to and are willing to exchange at the market price. In addition, having many buyers and sellers would mean that no</w:t>
      </w:r>
      <w:r w:rsidR="00000711" w:rsidRPr="004C33D1">
        <w:t xml:space="preserve"> single buyer or seller </w:t>
      </w:r>
      <w:proofErr w:type="gramStart"/>
      <w:r w:rsidRPr="004C33D1">
        <w:t>can</w:t>
      </w:r>
      <w:proofErr w:type="gramEnd"/>
      <w:r w:rsidRPr="004C33D1">
        <w:t xml:space="preserve"> set price</w:t>
      </w:r>
      <w:r w:rsidR="00000711" w:rsidRPr="004C33D1">
        <w:t>(s)</w:t>
      </w:r>
      <w:r w:rsidRPr="004C33D1">
        <w:t xml:space="preserve"> in the market. A potential seller c</w:t>
      </w:r>
      <w:r w:rsidR="00000711" w:rsidRPr="004C33D1">
        <w:t xml:space="preserve">ould </w:t>
      </w:r>
      <w:r w:rsidRPr="004C33D1">
        <w:t>not</w:t>
      </w:r>
      <w:r w:rsidR="00842BA3">
        <w:t xml:space="preserve"> increase </w:t>
      </w:r>
      <w:proofErr w:type="gramStart"/>
      <w:r w:rsidR="00842BA3">
        <w:t>price</w:t>
      </w:r>
      <w:proofErr w:type="gramEnd"/>
      <w:r w:rsidR="00842BA3">
        <w:t xml:space="preserve"> as another land</w:t>
      </w:r>
      <w:r w:rsidRPr="004C33D1">
        <w:t xml:space="preserve">owner would step in and supply at a lower price, and no buyer </w:t>
      </w:r>
      <w:r w:rsidR="00000711" w:rsidRPr="004C33D1">
        <w:t>could</w:t>
      </w:r>
      <w:r w:rsidRPr="004C33D1">
        <w:t xml:space="preserve"> drive down prices as someone else </w:t>
      </w:r>
      <w:r w:rsidR="00000711" w:rsidRPr="004C33D1">
        <w:t>would</w:t>
      </w:r>
      <w:r w:rsidRPr="004C33D1">
        <w:t xml:space="preserve"> always be willing to purchase at the original price.</w:t>
      </w:r>
    </w:p>
    <w:p w:rsidR="002F38D1" w:rsidRPr="004C33D1" w:rsidRDefault="002F38D1" w:rsidP="002F38D1"/>
    <w:p w:rsidR="002F38D1" w:rsidRDefault="002F38D1" w:rsidP="002F38D1">
      <w:r w:rsidRPr="004C33D1">
        <w:t xml:space="preserve">In practice, many locations have a limited number of sellers of land and development </w:t>
      </w:r>
      <w:r w:rsidR="00B777E8">
        <w:t>opportunities</w:t>
      </w:r>
      <w:r w:rsidRPr="004C33D1">
        <w:t>. This might reflect limits on supply (</w:t>
      </w:r>
      <w:r w:rsidR="004F0118" w:rsidRPr="004C33D1">
        <w:t>barriers to entry</w:t>
      </w:r>
      <w:r w:rsidRPr="004C33D1">
        <w:t xml:space="preserve">), </w:t>
      </w:r>
      <w:r w:rsidR="004F0118" w:rsidRPr="004C33D1">
        <w:t>which</w:t>
      </w:r>
      <w:r w:rsidR="00FE503B">
        <w:t>, in turn,</w:t>
      </w:r>
      <w:r w:rsidR="004F0118" w:rsidRPr="004C33D1">
        <w:t xml:space="preserve"> might </w:t>
      </w:r>
      <w:r w:rsidRPr="004C33D1">
        <w:t>reflect</w:t>
      </w:r>
      <w:r w:rsidR="00FE503B">
        <w:t xml:space="preserve"> </w:t>
      </w:r>
      <w:r w:rsidRPr="004C33D1">
        <w:t xml:space="preserve">the limits imposed by the planning system, </w:t>
      </w:r>
      <w:r w:rsidR="00000711" w:rsidRPr="004C33D1">
        <w:t xml:space="preserve">or </w:t>
      </w:r>
      <w:r w:rsidR="00FE503B">
        <w:t xml:space="preserve">the </w:t>
      </w:r>
      <w:r w:rsidR="00000711" w:rsidRPr="004C33D1">
        <w:t xml:space="preserve">limited numbers of </w:t>
      </w:r>
      <w:r w:rsidR="0048604D" w:rsidRPr="004C33D1">
        <w:t>landowners</w:t>
      </w:r>
      <w:r w:rsidR="00000711" w:rsidRPr="004C33D1">
        <w:t xml:space="preserve"> </w:t>
      </w:r>
      <w:r w:rsidR="00FE503B">
        <w:t xml:space="preserve">who, as a result, </w:t>
      </w:r>
      <w:r w:rsidR="00B777E8">
        <w:t xml:space="preserve">are able </w:t>
      </w:r>
      <w:r w:rsidR="00000711" w:rsidRPr="004C33D1">
        <w:t>to monopolise local land markets</w:t>
      </w:r>
      <w:r w:rsidRPr="004C33D1">
        <w:t>. In these cases</w:t>
      </w:r>
      <w:r w:rsidR="00B777E8">
        <w:t>,</w:t>
      </w:r>
      <w:r w:rsidRPr="004C33D1">
        <w:t xml:space="preserve"> prices are likely to be elevated above efficient (wellbeing-maximising) levels (see Section</w:t>
      </w:r>
      <w:r w:rsidR="005E59EA">
        <w:t xml:space="preserve"> </w:t>
      </w:r>
      <w:r w:rsidR="005E59EA">
        <w:fldChar w:fldCharType="begin"/>
      </w:r>
      <w:r w:rsidR="005E59EA">
        <w:instrText xml:space="preserve"> REF _Ref457986877 \r \h </w:instrText>
      </w:r>
      <w:r w:rsidR="005E59EA">
        <w:fldChar w:fldCharType="separate"/>
      </w:r>
      <w:r w:rsidR="004D1DDA">
        <w:t>2.3</w:t>
      </w:r>
      <w:r w:rsidR="005E59EA">
        <w:fldChar w:fldCharType="end"/>
      </w:r>
      <w:r w:rsidRPr="004C33D1">
        <w:t>).</w:t>
      </w:r>
    </w:p>
    <w:p w:rsidR="005E59EA" w:rsidRDefault="005E59EA" w:rsidP="002F38D1"/>
    <w:p w:rsidR="005E59EA" w:rsidRPr="004C33D1" w:rsidRDefault="005E59EA" w:rsidP="002F38D1">
      <w:r w:rsidRPr="004C33D1">
        <w:t>There is some evidence of high costs of building reflecting a number of barriers and lack of competition in some construction markets.</w:t>
      </w:r>
      <w:r w:rsidRPr="004C33D1">
        <w:rPr>
          <w:rStyle w:val="FootnoteReference"/>
        </w:rPr>
        <w:footnoteReference w:id="22"/>
      </w:r>
      <w:r w:rsidRPr="004C33D1">
        <w:t xml:space="preserve"> Lack of competition in building supplies markets would enable building suppliers to raise prices affecting the </w:t>
      </w:r>
      <w:r w:rsidR="00FE503B">
        <w:t xml:space="preserve">costs of </w:t>
      </w:r>
      <w:r w:rsidRPr="004C33D1">
        <w:t xml:space="preserve">development of land but not the </w:t>
      </w:r>
      <w:r w:rsidR="00FE503B">
        <w:t xml:space="preserve">costs </w:t>
      </w:r>
      <w:r w:rsidRPr="004C33D1">
        <w:t xml:space="preserve">of </w:t>
      </w:r>
      <w:r w:rsidR="00FE503B">
        <w:t xml:space="preserve">the </w:t>
      </w:r>
      <w:r w:rsidR="00B777E8">
        <w:t>land</w:t>
      </w:r>
      <w:r w:rsidRPr="004C33D1">
        <w:t xml:space="preserve"> itself. These issues are beyond the scope of this study. We note that the government has stated that it is currently addressing these issues and has a programme of work to reduce or remove barriers identified.</w:t>
      </w:r>
      <w:r w:rsidRPr="004C33D1">
        <w:rPr>
          <w:rStyle w:val="FootnoteReference"/>
        </w:rPr>
        <w:footnoteReference w:id="23"/>
      </w:r>
      <w:r>
        <w:t xml:space="preserve"> </w:t>
      </w:r>
    </w:p>
    <w:p w:rsidR="002F38D1" w:rsidRPr="004C33D1" w:rsidRDefault="002F38D1" w:rsidP="004B1F15">
      <w:pPr>
        <w:pStyle w:val="Heading3"/>
      </w:pPr>
      <w:r w:rsidRPr="004C33D1">
        <w:t>Uniform Product</w:t>
      </w:r>
    </w:p>
    <w:p w:rsidR="00000711" w:rsidRPr="004C33D1" w:rsidRDefault="00000711" w:rsidP="00000711">
      <w:r w:rsidRPr="004C33D1">
        <w:t xml:space="preserve">If a product bought and sold in a market is uniform, ie the same in all attributes, the market is more competitive because participants are trading in perfect substitutes and it </w:t>
      </w:r>
      <w:r w:rsidRPr="004C33D1">
        <w:lastRenderedPageBreak/>
        <w:t xml:space="preserve">is more likely that additional buyers or sellers </w:t>
      </w:r>
      <w:proofErr w:type="gramStart"/>
      <w:r w:rsidRPr="004C33D1">
        <w:t>can be found</w:t>
      </w:r>
      <w:proofErr w:type="gramEnd"/>
      <w:r w:rsidRPr="004C33D1">
        <w:t>. In contrast, land and property markets are characterised by significant differences over space. Potential buyers are purchasing a set of attributes rather than just a ho</w:t>
      </w:r>
      <w:r w:rsidR="000D3E84">
        <w:t>m</w:t>
      </w:r>
      <w:r w:rsidRPr="004C33D1">
        <w:t>e: proximity to school or work, to family and friends, to locations they like and so on. Housing differs in terms of a number of attributes, including:</w:t>
      </w:r>
    </w:p>
    <w:p w:rsidR="00000711" w:rsidRPr="004C33D1" w:rsidRDefault="00000711" w:rsidP="00000711"/>
    <w:p w:rsidR="00000711" w:rsidRPr="004C33D1" w:rsidRDefault="00FC5C7F" w:rsidP="00000711">
      <w:pPr>
        <w:pStyle w:val="ListParagraph"/>
        <w:numPr>
          <w:ilvl w:val="0"/>
          <w:numId w:val="16"/>
        </w:numPr>
      </w:pPr>
      <w:r w:rsidRPr="004C33D1">
        <w:t xml:space="preserve">dwelling </w:t>
      </w:r>
      <w:r w:rsidR="00000711" w:rsidRPr="004C33D1">
        <w:t>characteristics, such as age, construction materials, size, and design;</w:t>
      </w:r>
    </w:p>
    <w:p w:rsidR="00000711" w:rsidRPr="004C33D1" w:rsidRDefault="00FC5C7F" w:rsidP="00000711">
      <w:pPr>
        <w:pStyle w:val="ListParagraph"/>
        <w:numPr>
          <w:ilvl w:val="0"/>
          <w:numId w:val="16"/>
        </w:numPr>
      </w:pPr>
      <w:r w:rsidRPr="004C33D1">
        <w:t xml:space="preserve">proximity </w:t>
      </w:r>
      <w:r w:rsidR="00000711" w:rsidRPr="004C33D1">
        <w:t>to employment and retail opportunities that can be widely distributed in “polycentric” cities;</w:t>
      </w:r>
    </w:p>
    <w:p w:rsidR="00000711" w:rsidRPr="004C33D1" w:rsidRDefault="00FC5C7F" w:rsidP="00000711">
      <w:pPr>
        <w:pStyle w:val="ListParagraph"/>
        <w:numPr>
          <w:ilvl w:val="0"/>
          <w:numId w:val="16"/>
        </w:numPr>
      </w:pPr>
      <w:r w:rsidRPr="004C33D1">
        <w:t xml:space="preserve">neighbourhood </w:t>
      </w:r>
      <w:r w:rsidR="00000711" w:rsidRPr="004C33D1">
        <w:t>characteristics, such as the presence of more mature trees and more amenities (local shops and so on) in older, more established suburbs;</w:t>
      </w:r>
    </w:p>
    <w:p w:rsidR="00000711" w:rsidRPr="004C33D1" w:rsidRDefault="00FC5C7F" w:rsidP="00000711">
      <w:pPr>
        <w:pStyle w:val="ListParagraph"/>
        <w:numPr>
          <w:ilvl w:val="0"/>
          <w:numId w:val="16"/>
        </w:numPr>
      </w:pPr>
      <w:r w:rsidRPr="004C33D1">
        <w:t xml:space="preserve">localised </w:t>
      </w:r>
      <w:r w:rsidR="00000711" w:rsidRPr="004C33D1">
        <w:t>amenities such as parks, specific views, access to the coast, desirable school zones, and so on; and</w:t>
      </w:r>
    </w:p>
    <w:p w:rsidR="00000711" w:rsidRPr="004C33D1" w:rsidRDefault="00FC5C7F" w:rsidP="00000711">
      <w:pPr>
        <w:pStyle w:val="ListParagraph"/>
        <w:numPr>
          <w:ilvl w:val="0"/>
          <w:numId w:val="16"/>
        </w:numPr>
      </w:pPr>
      <w:proofErr w:type="gramStart"/>
      <w:r w:rsidRPr="004C33D1">
        <w:t>some</w:t>
      </w:r>
      <w:proofErr w:type="gramEnd"/>
      <w:r w:rsidRPr="004C33D1">
        <w:t xml:space="preserve"> </w:t>
      </w:r>
      <w:r w:rsidR="00000711" w:rsidRPr="004C33D1">
        <w:t xml:space="preserve">land uses, such as industrial zones or major roads, may generate localised </w:t>
      </w:r>
      <w:proofErr w:type="spellStart"/>
      <w:r w:rsidR="00000711" w:rsidRPr="004C33D1">
        <w:t>disamenities</w:t>
      </w:r>
      <w:proofErr w:type="spellEnd"/>
      <w:r w:rsidR="00000711" w:rsidRPr="004C33D1">
        <w:t xml:space="preserve"> that lower surrounding residential property values.</w:t>
      </w:r>
    </w:p>
    <w:p w:rsidR="002F38D1" w:rsidRPr="004C33D1" w:rsidRDefault="002F38D1" w:rsidP="002F38D1"/>
    <w:p w:rsidR="002F38D1" w:rsidRDefault="002F38D1" w:rsidP="002F38D1">
      <w:r w:rsidRPr="004C33D1">
        <w:t xml:space="preserve">Some property markets get closer to a uniform market, particularly </w:t>
      </w:r>
      <w:r w:rsidR="00000711" w:rsidRPr="004C33D1">
        <w:t xml:space="preserve">city centre </w:t>
      </w:r>
      <w:r w:rsidRPr="004C33D1">
        <w:t>apartments</w:t>
      </w:r>
      <w:r w:rsidR="00FC5C7F">
        <w:t xml:space="preserve"> and suburban developments by single developers</w:t>
      </w:r>
      <w:r w:rsidRPr="004C33D1">
        <w:t xml:space="preserve">. People value property diversity, and the planning system </w:t>
      </w:r>
      <w:r w:rsidR="0026729E">
        <w:t>enables</w:t>
      </w:r>
      <w:r w:rsidRPr="004C33D1">
        <w:t xml:space="preserve"> </w:t>
      </w:r>
      <w:r w:rsidR="00FC5C7F">
        <w:t>it</w:t>
      </w:r>
      <w:r w:rsidRPr="004C33D1">
        <w:t>, but it reduces the competitiveness of property markets. It is likely that ho</w:t>
      </w:r>
      <w:r w:rsidR="000D3E84">
        <w:t>m</w:t>
      </w:r>
      <w:r w:rsidRPr="004C33D1">
        <w:t xml:space="preserve">es would be lower cost on average if they all </w:t>
      </w:r>
      <w:r w:rsidR="00FC5C7F">
        <w:t xml:space="preserve">looked the same and </w:t>
      </w:r>
      <w:r w:rsidRPr="004C33D1">
        <w:t>offered similar levels of proximity or amenity.</w:t>
      </w:r>
    </w:p>
    <w:p w:rsidR="00FE503B" w:rsidRDefault="00FE503B" w:rsidP="002F38D1"/>
    <w:p w:rsidR="00FE503B" w:rsidRPr="004C33D1" w:rsidRDefault="00FE503B" w:rsidP="002F38D1">
      <w:r>
        <w:t xml:space="preserve">We have not pursued property uniformity as a desirable policy in this report because of the perceived value placed on diversity, but it may be worthy of future consideration. </w:t>
      </w:r>
    </w:p>
    <w:p w:rsidR="002F38D1" w:rsidRPr="004C33D1" w:rsidRDefault="002F38D1" w:rsidP="004B1F15">
      <w:pPr>
        <w:pStyle w:val="Heading3"/>
      </w:pPr>
      <w:r w:rsidRPr="004C33D1">
        <w:t>Externalities</w:t>
      </w:r>
    </w:p>
    <w:p w:rsidR="002F38D1" w:rsidRPr="004C33D1" w:rsidRDefault="002F38D1" w:rsidP="002F38D1">
      <w:r w:rsidRPr="004C33D1">
        <w:t>We explain pricing issues in more detail in Section</w:t>
      </w:r>
      <w:r w:rsidR="00FE503B">
        <w:t xml:space="preserve"> </w:t>
      </w:r>
      <w:r w:rsidR="00FE503B">
        <w:fldChar w:fldCharType="begin"/>
      </w:r>
      <w:r w:rsidR="00FE503B">
        <w:instrText xml:space="preserve"> REF _Ref457986877 \r \h </w:instrText>
      </w:r>
      <w:r w:rsidR="00FE503B">
        <w:fldChar w:fldCharType="separate"/>
      </w:r>
      <w:r w:rsidR="004D1DDA">
        <w:t>2.3</w:t>
      </w:r>
      <w:r w:rsidR="00FE503B">
        <w:fldChar w:fldCharType="end"/>
      </w:r>
      <w:r w:rsidRPr="004C33D1">
        <w:t xml:space="preserve">. We briefly discuss the issue of external costs here because they are an important consideration in urban planning. </w:t>
      </w:r>
    </w:p>
    <w:p w:rsidR="002F38D1" w:rsidRPr="004C33D1" w:rsidRDefault="002F38D1" w:rsidP="002F38D1"/>
    <w:p w:rsidR="00000711" w:rsidRPr="004C33D1" w:rsidRDefault="00000711" w:rsidP="00000711">
      <w:r w:rsidRPr="004C33D1">
        <w:t xml:space="preserve">The external costs of development are the impacts on people other than those involved in a land or property transaction. </w:t>
      </w:r>
      <w:proofErr w:type="gramStart"/>
      <w:r w:rsidRPr="004C33D1">
        <w:t>If these are not taken into account by market participants (all buyers and sellers of land and property), land may be allocated and used in ways that do not produce the greatest wellbeing.</w:t>
      </w:r>
      <w:proofErr w:type="gramEnd"/>
      <w:r w:rsidRPr="004C33D1">
        <w:t xml:space="preserve"> External effects may include things like over-shadowing of other properties, additional congestion of roads and other networks and a range of other environmental and social impacts. However, not all externalities are negative. The literature on agglomeration economies suggests that there are positive economic benefits from larger and/or denser cities, reflected in higher economic productivity and greater consumption choices for residents.</w:t>
      </w:r>
      <w:r w:rsidRPr="004C33D1">
        <w:rPr>
          <w:rStyle w:val="FootnoteReference"/>
        </w:rPr>
        <w:footnoteReference w:id="24"/>
      </w:r>
      <w:r w:rsidRPr="004C33D1">
        <w:t xml:space="preserve"> </w:t>
      </w:r>
    </w:p>
    <w:p w:rsidR="00000711" w:rsidRPr="004C33D1" w:rsidRDefault="00000711" w:rsidP="00000711"/>
    <w:p w:rsidR="00000711" w:rsidRPr="004C33D1" w:rsidRDefault="009D1853" w:rsidP="00000711">
      <w:r w:rsidRPr="004C33D1">
        <w:t xml:space="preserve">In theory, there are a number of ways in which </w:t>
      </w:r>
      <w:r>
        <w:t xml:space="preserve">to </w:t>
      </w:r>
      <w:proofErr w:type="gramStart"/>
      <w:r>
        <w:t xml:space="preserve">take </w:t>
      </w:r>
      <w:r w:rsidR="00F269CB" w:rsidRPr="004C33D1">
        <w:t>external effects</w:t>
      </w:r>
      <w:r w:rsidR="00F269CB">
        <w:t xml:space="preserve"> </w:t>
      </w:r>
      <w:r>
        <w:t>into account</w:t>
      </w:r>
      <w:proofErr w:type="gramEnd"/>
      <w:r w:rsidRPr="004C33D1">
        <w:t>, including via:</w:t>
      </w:r>
    </w:p>
    <w:p w:rsidR="00000711" w:rsidRPr="004C33D1" w:rsidRDefault="00000711" w:rsidP="00000711"/>
    <w:p w:rsidR="00000711" w:rsidRPr="004C33D1" w:rsidRDefault="00FC5C7F" w:rsidP="00411653">
      <w:pPr>
        <w:pStyle w:val="ListParagraph"/>
        <w:numPr>
          <w:ilvl w:val="0"/>
          <w:numId w:val="38"/>
        </w:numPr>
      </w:pPr>
      <w:proofErr w:type="gramStart"/>
      <w:r>
        <w:t>a</w:t>
      </w:r>
      <w:proofErr w:type="gramEnd"/>
      <w:r w:rsidR="00000711" w:rsidRPr="004C33D1">
        <w:t xml:space="preserve"> charge on developers equal to the estimated external cost – this is theoretically possible, but in practice has many measurement difficulties because many external costs of development are site-specific. This approach is commonly advocated in environmental policy to require polluters to ‘internalise’ the </w:t>
      </w:r>
      <w:r w:rsidR="00000711" w:rsidRPr="004C33D1">
        <w:lastRenderedPageBreak/>
        <w:t>external costs of their activities;</w:t>
      </w:r>
      <w:r w:rsidR="00000711" w:rsidRPr="004C33D1">
        <w:rPr>
          <w:rStyle w:val="FootnoteReference"/>
        </w:rPr>
        <w:footnoteReference w:id="25"/>
      </w:r>
      <w:r w:rsidR="00000711" w:rsidRPr="004C33D1">
        <w:rPr>
          <w:rFonts w:ascii="MingLiU" w:eastAsia="MingLiU" w:hAnsi="MingLiU" w:cs="MingLiU"/>
        </w:rPr>
        <w:br/>
      </w:r>
    </w:p>
    <w:p w:rsidR="00000711" w:rsidRPr="004C33D1" w:rsidRDefault="00FC5C7F" w:rsidP="00411653">
      <w:pPr>
        <w:pStyle w:val="ListParagraph"/>
        <w:numPr>
          <w:ilvl w:val="0"/>
          <w:numId w:val="38"/>
        </w:numPr>
      </w:pPr>
      <w:proofErr w:type="gramStart"/>
      <w:r w:rsidRPr="004C33D1">
        <w:t>private</w:t>
      </w:r>
      <w:proofErr w:type="gramEnd"/>
      <w:r w:rsidRPr="004C33D1">
        <w:t xml:space="preserve"> </w:t>
      </w:r>
      <w:r w:rsidR="00842BA3">
        <w:t>bargaining – any land</w:t>
      </w:r>
      <w:r w:rsidR="00000711" w:rsidRPr="004C33D1">
        <w:t>owner wishing to change the land use might bargain with neighbours, including compensating them for losses. This suffers from potentially high transaction costs from ‘holdouts’ in addition to the potential for bullying and other methods of suasion for some vulnerable property owners;</w:t>
      </w:r>
      <w:r w:rsidR="00FE503B">
        <w:t xml:space="preserve"> and</w:t>
      </w:r>
      <w:r w:rsidR="00000711" w:rsidRPr="004C33D1">
        <w:br/>
      </w:r>
    </w:p>
    <w:p w:rsidR="00000711" w:rsidRPr="004C33D1" w:rsidRDefault="00FC5C7F" w:rsidP="00411653">
      <w:pPr>
        <w:pStyle w:val="ListParagraph"/>
        <w:numPr>
          <w:ilvl w:val="0"/>
          <w:numId w:val="38"/>
        </w:numPr>
      </w:pPr>
      <w:proofErr w:type="gramStart"/>
      <w:r>
        <w:t>a</w:t>
      </w:r>
      <w:proofErr w:type="gramEnd"/>
      <w:r w:rsidR="00000711" w:rsidRPr="004C33D1">
        <w:t xml:space="preserve"> planning system involving a mix of zoning and consents – this is the current approach to managing external costs of urban development.</w:t>
      </w:r>
    </w:p>
    <w:p w:rsidR="00000711" w:rsidRPr="004C33D1" w:rsidRDefault="00000711" w:rsidP="00000711"/>
    <w:p w:rsidR="00000711" w:rsidRPr="004C33D1" w:rsidRDefault="00000711" w:rsidP="00000711">
      <w:r w:rsidRPr="004C33D1">
        <w:t xml:space="preserve">The current system addresses external costs but may not do so efficiently. Although there are externalities and coordination failures that justify intervention, planning rules have often </w:t>
      </w:r>
      <w:proofErr w:type="gramStart"/>
      <w:r w:rsidRPr="004C33D1">
        <w:t>been introduced</w:t>
      </w:r>
      <w:proofErr w:type="gramEnd"/>
      <w:r w:rsidRPr="004C33D1">
        <w:t xml:space="preserve"> without considering all the costs and benefits of doing so. For instance, rules that apply across many properties do not necessarily account for the strength of preference locally in favour of a particular use, or the size of local adverse effects. To the extent that </w:t>
      </w:r>
      <w:r w:rsidR="001A1870" w:rsidRPr="004C33D1">
        <w:t>planning rules constraining urban development</w:t>
      </w:r>
      <w:r w:rsidRPr="004C33D1">
        <w:t xml:space="preserve"> are a significant factor in the housing unaffordability problem, the costs of these restrictions are becoming clearer. </w:t>
      </w:r>
    </w:p>
    <w:p w:rsidR="00000711" w:rsidRPr="004C33D1" w:rsidRDefault="00000711" w:rsidP="00000711"/>
    <w:p w:rsidR="00000711" w:rsidRPr="004C33D1" w:rsidRDefault="00000711" w:rsidP="00000711">
      <w:r w:rsidRPr="004C33D1">
        <w:t xml:space="preserve">For example, the recent cost benefit analysis </w:t>
      </w:r>
      <w:r w:rsidR="00FE503B">
        <w:t xml:space="preserve">(CBA) </w:t>
      </w:r>
      <w:r w:rsidRPr="004C33D1">
        <w:t>of the proposed NPS-UDC brought together existing data on the costs of the various externalities of urban land use to estimate whether current constraints on land use had costs that exceeded the benefits.</w:t>
      </w:r>
      <w:r w:rsidRPr="004C33D1">
        <w:rPr>
          <w:rStyle w:val="FootnoteReference"/>
        </w:rPr>
        <w:footnoteReference w:id="26"/>
      </w:r>
      <w:r w:rsidRPr="004C33D1">
        <w:t xml:space="preserve"> It analysed:</w:t>
      </w:r>
      <w:r w:rsidRPr="004C33D1">
        <w:br/>
      </w:r>
    </w:p>
    <w:p w:rsidR="00000711" w:rsidRPr="004C33D1" w:rsidRDefault="00000711" w:rsidP="00000711">
      <w:pPr>
        <w:pStyle w:val="ListParagraph"/>
        <w:numPr>
          <w:ilvl w:val="0"/>
          <w:numId w:val="13"/>
        </w:numPr>
      </w:pPr>
      <w:r w:rsidRPr="004C33D1">
        <w:t>losses of benefit to households wh</w:t>
      </w:r>
      <w:r w:rsidR="00FE503B">
        <w:t>o</w:t>
      </w:r>
      <w:r w:rsidRPr="004C33D1">
        <w:t xml:space="preserve"> are unable to afford housing and are choosing housing alternatives that are less desirable than ownership would be if priced at the cost of supply; and</w:t>
      </w:r>
      <w:r w:rsidRPr="004C33D1">
        <w:br/>
      </w:r>
    </w:p>
    <w:p w:rsidR="00000711" w:rsidRPr="004C33D1" w:rsidRDefault="00000711" w:rsidP="00000711">
      <w:pPr>
        <w:pStyle w:val="ListParagraph"/>
        <w:numPr>
          <w:ilvl w:val="0"/>
          <w:numId w:val="13"/>
        </w:numPr>
      </w:pPr>
      <w:proofErr w:type="gramStart"/>
      <w:r w:rsidRPr="004C33D1">
        <w:t>losses</w:t>
      </w:r>
      <w:proofErr w:type="gramEnd"/>
      <w:r w:rsidRPr="004C33D1">
        <w:t xml:space="preserve"> of agglomeration benefits that result from more intensive housing</w:t>
      </w:r>
      <w:r w:rsidRPr="004C33D1">
        <w:rPr>
          <w:rStyle w:val="FootnoteReference"/>
        </w:rPr>
        <w:footnoteReference w:id="27"/>
      </w:r>
      <w:r w:rsidRPr="004C33D1">
        <w:t xml:space="preserve"> and employment.</w:t>
      </w:r>
      <w:r w:rsidRPr="004C33D1">
        <w:rPr>
          <w:rStyle w:val="FootnoteReference"/>
        </w:rPr>
        <w:footnoteReference w:id="28"/>
      </w:r>
    </w:p>
    <w:p w:rsidR="00000711" w:rsidRPr="004C33D1" w:rsidRDefault="00000711" w:rsidP="00000711"/>
    <w:p w:rsidR="002F38D1" w:rsidRPr="004C33D1" w:rsidRDefault="00000711" w:rsidP="002F38D1">
      <w:r w:rsidRPr="004C33D1">
        <w:t xml:space="preserve">The CBA compared the potential benefits of </w:t>
      </w:r>
      <w:r w:rsidR="001A1870" w:rsidRPr="004C33D1">
        <w:t xml:space="preserve">amending planning rules to allow more urban development </w:t>
      </w:r>
      <w:r w:rsidRPr="004C33D1">
        <w:t xml:space="preserve">with the estimated costs of the additional externalities that the planning system is there to protect. It found that the potential benefits of </w:t>
      </w:r>
      <w:r w:rsidR="001A1870" w:rsidRPr="004C33D1">
        <w:t>amending planning rules</w:t>
      </w:r>
      <w:r w:rsidRPr="004C33D1">
        <w:t xml:space="preserve"> significantly exceeded the costs. However, as many external costs are location-dependent, their magnitude may vary between different sites.</w:t>
      </w:r>
    </w:p>
    <w:p w:rsidR="002F38D1" w:rsidRPr="004C33D1" w:rsidRDefault="002F38D1" w:rsidP="004B1F15">
      <w:pPr>
        <w:pStyle w:val="Heading3"/>
      </w:pPr>
      <w:r w:rsidRPr="004C33D1">
        <w:lastRenderedPageBreak/>
        <w:t>Information Limits</w:t>
      </w:r>
    </w:p>
    <w:p w:rsidR="002F38D1" w:rsidRPr="004C33D1" w:rsidRDefault="002F38D1" w:rsidP="002F38D1">
      <w:r w:rsidRPr="004C33D1">
        <w:t>Markets are most competitive when all participants have full information. They know what they are purchasing, how they will use it, the value they will obtain from it and so on. This is complicated for housing markets because ho</w:t>
      </w:r>
      <w:r w:rsidR="000D3E84">
        <w:t>m</w:t>
      </w:r>
      <w:r w:rsidRPr="004C33D1">
        <w:t>es have many functions. They fill roles as:</w:t>
      </w:r>
      <w:r w:rsidRPr="004C33D1">
        <w:rPr>
          <w:rStyle w:val="FootnoteReference"/>
        </w:rPr>
        <w:footnoteReference w:id="29"/>
      </w:r>
    </w:p>
    <w:p w:rsidR="002F38D1" w:rsidRPr="004C33D1" w:rsidRDefault="002F38D1" w:rsidP="00411653">
      <w:pPr>
        <w:pStyle w:val="ListParagraph"/>
        <w:numPr>
          <w:ilvl w:val="0"/>
          <w:numId w:val="34"/>
        </w:numPr>
      </w:pPr>
      <w:r w:rsidRPr="004C33D1">
        <w:t>shelters for individuals or groups;</w:t>
      </w:r>
    </w:p>
    <w:p w:rsidR="002F38D1" w:rsidRPr="004C33D1" w:rsidRDefault="002F38D1" w:rsidP="00411653">
      <w:pPr>
        <w:pStyle w:val="ListParagraph"/>
        <w:numPr>
          <w:ilvl w:val="0"/>
          <w:numId w:val="34"/>
        </w:numPr>
      </w:pPr>
      <w:r w:rsidRPr="004C33D1">
        <w:t>homes which provide spaces in which human relationships develop and the “backstage for personal life”; and</w:t>
      </w:r>
    </w:p>
    <w:p w:rsidR="002F38D1" w:rsidRPr="004C33D1" w:rsidRDefault="002F38D1" w:rsidP="00411653">
      <w:pPr>
        <w:pStyle w:val="ListParagraph"/>
        <w:numPr>
          <w:ilvl w:val="0"/>
          <w:numId w:val="34"/>
        </w:numPr>
      </w:pPr>
      <w:proofErr w:type="gramStart"/>
      <w:r w:rsidRPr="004C33D1">
        <w:t>investments</w:t>
      </w:r>
      <w:proofErr w:type="gramEnd"/>
      <w:r w:rsidRPr="004C33D1">
        <w:t xml:space="preserve"> from which wealth can be accumulated.</w:t>
      </w:r>
    </w:p>
    <w:p w:rsidR="002F38D1" w:rsidRPr="004C33D1" w:rsidRDefault="002F38D1" w:rsidP="002F38D1"/>
    <w:p w:rsidR="002F38D1" w:rsidRPr="004C33D1" w:rsidRDefault="002F38D1" w:rsidP="002F38D1">
      <w:r w:rsidRPr="004C33D1">
        <w:t>Because they have these very different roles, there is considerable uncertainty around how they will perform in fulfilling these roles into the future. This inclu</w:t>
      </w:r>
      <w:r w:rsidR="00C65185" w:rsidRPr="004C33D1">
        <w:t xml:space="preserve">des uncertainties relating </w:t>
      </w:r>
      <w:proofErr w:type="gramStart"/>
      <w:r w:rsidR="00C65185" w:rsidRPr="004C33D1">
        <w:t>to</w:t>
      </w:r>
      <w:proofErr w:type="gramEnd"/>
      <w:r w:rsidR="00C65185" w:rsidRPr="004C33D1">
        <w:t xml:space="preserve">: </w:t>
      </w:r>
    </w:p>
    <w:p w:rsidR="002F38D1" w:rsidRPr="004C33D1" w:rsidRDefault="002F38D1" w:rsidP="00411653">
      <w:pPr>
        <w:pStyle w:val="ListParagraph"/>
        <w:numPr>
          <w:ilvl w:val="0"/>
          <w:numId w:val="35"/>
        </w:numPr>
      </w:pPr>
      <w:r w:rsidRPr="004C33D1">
        <w:t>the location of demand, eg if people will move location in the future for employment or personal reasons;</w:t>
      </w:r>
    </w:p>
    <w:p w:rsidR="002F38D1" w:rsidRPr="004C33D1" w:rsidRDefault="002F38D1" w:rsidP="00411653">
      <w:pPr>
        <w:pStyle w:val="ListParagraph"/>
        <w:numPr>
          <w:ilvl w:val="0"/>
          <w:numId w:val="35"/>
        </w:numPr>
      </w:pPr>
      <w:r w:rsidRPr="004C33D1">
        <w:t>changes in household circumstances, eg changes in relationships, children leaving home and so on; and</w:t>
      </w:r>
    </w:p>
    <w:p w:rsidR="002F38D1" w:rsidRPr="004C33D1" w:rsidRDefault="002F38D1" w:rsidP="00411653">
      <w:pPr>
        <w:pStyle w:val="ListParagraph"/>
        <w:numPr>
          <w:ilvl w:val="0"/>
          <w:numId w:val="35"/>
        </w:numPr>
      </w:pPr>
      <w:proofErr w:type="gramStart"/>
      <w:r w:rsidRPr="004C33D1">
        <w:t>future</w:t>
      </w:r>
      <w:proofErr w:type="gramEnd"/>
      <w:r w:rsidRPr="004C33D1">
        <w:t xml:space="preserve"> shifts in prices and whether the property will continue to increase in value or not.</w:t>
      </w:r>
    </w:p>
    <w:p w:rsidR="002F38D1" w:rsidRPr="004C33D1" w:rsidRDefault="002F38D1" w:rsidP="002F38D1"/>
    <w:p w:rsidR="002F38D1" w:rsidRPr="004C33D1" w:rsidRDefault="002F38D1" w:rsidP="002F38D1">
      <w:r w:rsidRPr="004C33D1">
        <w:t xml:space="preserve">In the absence of this information, people can make inefficient decisions about the type of housing </w:t>
      </w:r>
      <w:proofErr w:type="gramStart"/>
      <w:r w:rsidRPr="004C33D1">
        <w:t>they</w:t>
      </w:r>
      <w:proofErr w:type="gramEnd"/>
      <w:r w:rsidRPr="004C33D1">
        <w:t xml:space="preserve"> need, and its location. </w:t>
      </w:r>
      <w:r w:rsidR="009D1853">
        <w:t>T</w:t>
      </w:r>
      <w:r w:rsidRPr="004C33D1">
        <w:t>his combined with high transaction costs of buying and selling ho</w:t>
      </w:r>
      <w:r w:rsidR="000D3E84">
        <w:t>m</w:t>
      </w:r>
      <w:r w:rsidRPr="004C33D1">
        <w:t>es (see below),</w:t>
      </w:r>
      <w:r w:rsidR="009D1853">
        <w:t xml:space="preserve"> creates a</w:t>
      </w:r>
      <w:r w:rsidRPr="004C33D1">
        <w:t xml:space="preserve"> market with people in a different type of property from their preference given changed circumstances. This can add to supply shortfalls, eg if people are occupying larger ho</w:t>
      </w:r>
      <w:r w:rsidR="000D3E84">
        <w:t>m</w:t>
      </w:r>
      <w:r w:rsidRPr="004C33D1">
        <w:t>es than would be their preference but are doing so because of the costs of shifting and/or the risks associated with exiting the property market as an investment.</w:t>
      </w:r>
    </w:p>
    <w:p w:rsidR="00EC386C" w:rsidRPr="004C33D1" w:rsidRDefault="00EC386C" w:rsidP="002F38D1"/>
    <w:p w:rsidR="00EC386C" w:rsidRPr="004C33D1" w:rsidRDefault="00EC386C" w:rsidP="002F38D1">
      <w:r w:rsidRPr="004C33D1">
        <w:t>The uncertainties are largely beyond council control. Councils might improve information availability in the property market through provision of information on sale prices and through analysis of factors affecting prices, taking account of data made available by private providers.</w:t>
      </w:r>
      <w:r w:rsidRPr="004C33D1">
        <w:rPr>
          <w:rStyle w:val="FootnoteReference"/>
        </w:rPr>
        <w:footnoteReference w:id="30"/>
      </w:r>
    </w:p>
    <w:p w:rsidR="002F38D1" w:rsidRPr="004C33D1" w:rsidRDefault="002F38D1" w:rsidP="004B1F15">
      <w:pPr>
        <w:pStyle w:val="Heading3"/>
      </w:pPr>
      <w:r w:rsidRPr="004C33D1">
        <w:t>Transaction Costs</w:t>
      </w:r>
    </w:p>
    <w:p w:rsidR="00000711" w:rsidRPr="004C33D1" w:rsidRDefault="00000711" w:rsidP="00000711">
      <w:bookmarkStart w:id="51" w:name="_Ref456083792"/>
      <w:r w:rsidRPr="004C33D1">
        <w:t xml:space="preserve">There are a number of transaction costs </w:t>
      </w:r>
      <w:r w:rsidR="00F23B3B">
        <w:t>of</w:t>
      </w:r>
      <w:r w:rsidRPr="004C33D1">
        <w:t xml:space="preserve"> buying and selling property and </w:t>
      </w:r>
      <w:r w:rsidR="00F23B3B">
        <w:t xml:space="preserve">of property </w:t>
      </w:r>
      <w:r w:rsidRPr="004C33D1">
        <w:t>development.</w:t>
      </w:r>
    </w:p>
    <w:p w:rsidR="00000711" w:rsidRPr="004C33D1" w:rsidRDefault="00000711" w:rsidP="00000711"/>
    <w:p w:rsidR="00000711" w:rsidRPr="004C33D1" w:rsidRDefault="00F23B3B" w:rsidP="00000711">
      <w:r>
        <w:t xml:space="preserve">These include </w:t>
      </w:r>
      <w:r w:rsidR="00000711" w:rsidRPr="004C33D1">
        <w:t>real estate agent fees plus the time, stress and other costs associated with buying and selling ho</w:t>
      </w:r>
      <w:r w:rsidR="000D3E84">
        <w:t>m</w:t>
      </w:r>
      <w:r w:rsidR="00000711" w:rsidRPr="004C33D1">
        <w:t xml:space="preserve">es. These costs </w:t>
      </w:r>
      <w:r>
        <w:t xml:space="preserve">of exchange </w:t>
      </w:r>
      <w:r w:rsidR="00000711" w:rsidRPr="004C33D1">
        <w:t>reduce the extent to which people will change ho</w:t>
      </w:r>
      <w:r w:rsidR="000D3E84">
        <w:t>m</w:t>
      </w:r>
      <w:r w:rsidR="00000711" w:rsidRPr="004C33D1">
        <w:t>es when their circumstances change</w:t>
      </w:r>
      <w:r>
        <w:t>, eg if they would otherwise move to a smaller or larger ho</w:t>
      </w:r>
      <w:r w:rsidR="000D3E84">
        <w:t>m</w:t>
      </w:r>
      <w:r>
        <w:t>e</w:t>
      </w:r>
      <w:r w:rsidR="00000711" w:rsidRPr="004C33D1">
        <w:t>.</w:t>
      </w:r>
    </w:p>
    <w:p w:rsidR="00000711" w:rsidRPr="004C33D1" w:rsidRDefault="00000711" w:rsidP="00000711"/>
    <w:p w:rsidR="00000711" w:rsidRDefault="00000711" w:rsidP="00000711">
      <w:r w:rsidRPr="004C33D1">
        <w:lastRenderedPageBreak/>
        <w:t xml:space="preserve">Transaction costs </w:t>
      </w:r>
      <w:r w:rsidR="00F23B3B">
        <w:t xml:space="preserve">of </w:t>
      </w:r>
      <w:r w:rsidRPr="004C33D1">
        <w:t xml:space="preserve">development include holding costs incurred </w:t>
      </w:r>
      <w:r w:rsidR="00F23B3B">
        <w:t xml:space="preserve">because of </w:t>
      </w:r>
      <w:r w:rsidRPr="004C33D1">
        <w:t>time lags between land purchase and sales of finished buildings,</w:t>
      </w:r>
      <w:r w:rsidRPr="004C33D1">
        <w:rPr>
          <w:rStyle w:val="FootnoteReference"/>
        </w:rPr>
        <w:footnoteReference w:id="31"/>
      </w:r>
      <w:r w:rsidRPr="004C33D1">
        <w:t xml:space="preserve"> and costs to design and consent buildings. Some of these transaction costs </w:t>
      </w:r>
      <w:proofErr w:type="gramStart"/>
      <w:r w:rsidRPr="004C33D1">
        <w:t>are influenced</w:t>
      </w:r>
      <w:proofErr w:type="gramEnd"/>
      <w:r w:rsidRPr="004C33D1">
        <w:t xml:space="preserve"> by policies in district and regional plans, </w:t>
      </w:r>
      <w:r w:rsidR="00581485">
        <w:t xml:space="preserve">eg </w:t>
      </w:r>
      <w:r w:rsidR="003E57DF">
        <w:t xml:space="preserve">the </w:t>
      </w:r>
      <w:r w:rsidRPr="004C33D1">
        <w:t>requirements to obtain resource consent for new housing, while others are not, such as costs to comply with the Building Code.</w:t>
      </w:r>
    </w:p>
    <w:p w:rsidR="00FC5C7F" w:rsidRDefault="00FC5C7F" w:rsidP="00000711"/>
    <w:p w:rsidR="00FC5C7F" w:rsidRPr="004C33D1" w:rsidRDefault="00FC5C7F" w:rsidP="00000711">
      <w:r>
        <w:t xml:space="preserve">If transaction costs were lower, property </w:t>
      </w:r>
      <w:proofErr w:type="gramStart"/>
      <w:r>
        <w:t>would be exchanged</w:t>
      </w:r>
      <w:proofErr w:type="gramEnd"/>
      <w:r>
        <w:t xml:space="preserve"> more easily and often, and it would be more likely to be owned by highest value users.</w:t>
      </w:r>
    </w:p>
    <w:p w:rsidR="00827E15" w:rsidRPr="004C33D1" w:rsidRDefault="00827E15" w:rsidP="00220C7C">
      <w:pPr>
        <w:pStyle w:val="Heading2"/>
      </w:pPr>
      <w:bookmarkStart w:id="52" w:name="_Ref457986877"/>
      <w:bookmarkStart w:id="53" w:name="_Toc462413614"/>
      <w:bookmarkStart w:id="54" w:name="_Toc462582166"/>
      <w:r w:rsidRPr="004C33D1">
        <w:t>Efficient Pricing (or What Prices Ideally Should Be)</w:t>
      </w:r>
      <w:bookmarkEnd w:id="51"/>
      <w:bookmarkEnd w:id="52"/>
      <w:bookmarkEnd w:id="53"/>
      <w:bookmarkEnd w:id="54"/>
    </w:p>
    <w:p w:rsidR="00000711" w:rsidRPr="004C33D1" w:rsidRDefault="00000711" w:rsidP="00000711">
      <w:r w:rsidRPr="004C33D1">
        <w:t xml:space="preserve">Ideally, housing and business floorspace </w:t>
      </w:r>
      <w:proofErr w:type="gramStart"/>
      <w:r w:rsidRPr="004C33D1">
        <w:t>would be supplied</w:t>
      </w:r>
      <w:proofErr w:type="gramEnd"/>
      <w:r w:rsidRPr="004C33D1">
        <w:t xml:space="preserve"> to meet all demand at the lowest price at which suppliers would be willing to supply. However, barriers to entry and other constraints on market competitiveness tend to result in prices that are higher than they would be without these constraints. </w:t>
      </w:r>
    </w:p>
    <w:p w:rsidR="00874E7C" w:rsidRPr="004C33D1" w:rsidRDefault="00874E7C" w:rsidP="00827E15"/>
    <w:p w:rsidR="00827E15" w:rsidRPr="004C33D1" w:rsidRDefault="00874E7C" w:rsidP="00827E15">
      <w:r w:rsidRPr="004C33D1">
        <w:t xml:space="preserve">In the efficient market the cost (and price) of </w:t>
      </w:r>
      <w:r w:rsidR="00B777E8">
        <w:t>land</w:t>
      </w:r>
      <w:r w:rsidRPr="004C33D1">
        <w:t xml:space="preserve"> </w:t>
      </w:r>
      <w:r w:rsidR="00B777E8">
        <w:t xml:space="preserve">for development </w:t>
      </w:r>
      <w:r w:rsidRPr="004C33D1">
        <w:t xml:space="preserve">is determined by the opportunity costs of supply of that </w:t>
      </w:r>
      <w:r w:rsidR="00B777E8">
        <w:t>land</w:t>
      </w:r>
      <w:r w:rsidRPr="004C33D1">
        <w:t xml:space="preserve">. Price </w:t>
      </w:r>
      <w:proofErr w:type="gramStart"/>
      <w:r w:rsidRPr="004C33D1">
        <w:t>is not determined</w:t>
      </w:r>
      <w:proofErr w:type="gramEnd"/>
      <w:r w:rsidRPr="004C33D1">
        <w:t xml:space="preserve"> by the higher value use of that </w:t>
      </w:r>
      <w:r w:rsidR="00B777E8">
        <w:t>land</w:t>
      </w:r>
      <w:r w:rsidRPr="004C33D1">
        <w:t xml:space="preserve"> (residential vs agricultural). </w:t>
      </w:r>
      <w:r w:rsidR="002F4A40" w:rsidRPr="004C33D1">
        <w:t xml:space="preserve">In this </w:t>
      </w:r>
      <w:r w:rsidR="009D1853" w:rsidRPr="004C33D1">
        <w:t>section,</w:t>
      </w:r>
      <w:r w:rsidR="002F4A40" w:rsidRPr="004C33D1">
        <w:t xml:space="preserve"> we discuss the concept of efficient pricing, or the lowest price at which society would be willing to supply appropriately zoned land to meet demand for development.</w:t>
      </w:r>
    </w:p>
    <w:p w:rsidR="00827E15" w:rsidRPr="004C33D1" w:rsidRDefault="00827E15" w:rsidP="00827E15"/>
    <w:p w:rsidR="00827E15" w:rsidRPr="004C33D1" w:rsidRDefault="00000711" w:rsidP="00827E15">
      <w:r w:rsidRPr="004C33D1">
        <w:t xml:space="preserve">The efficient price for land or development </w:t>
      </w:r>
      <w:proofErr w:type="gramStart"/>
      <w:r w:rsidRPr="004C33D1">
        <w:t>could be defined</w:t>
      </w:r>
      <w:proofErr w:type="gramEnd"/>
      <w:r w:rsidRPr="004C33D1">
        <w:t xml:space="preserve"> as:</w:t>
      </w:r>
    </w:p>
    <w:p w:rsidR="00827E15" w:rsidRPr="004C33D1" w:rsidRDefault="00827E15" w:rsidP="00827E15"/>
    <w:p w:rsidR="00827E15" w:rsidRPr="004C33D1" w:rsidRDefault="00827E15" w:rsidP="00827E15">
      <w:pPr>
        <w:jc w:val="center"/>
      </w:pPr>
      <w:r w:rsidRPr="004C33D1">
        <w:t xml:space="preserve">P   =   </w:t>
      </w:r>
      <w:proofErr w:type="gramStart"/>
      <w:r w:rsidRPr="004C33D1">
        <w:t>MSCS  =</w:t>
      </w:r>
      <w:proofErr w:type="gramEnd"/>
      <w:r w:rsidRPr="004C33D1">
        <w:t xml:space="preserve">  MPC + MEC</w:t>
      </w:r>
    </w:p>
    <w:p w:rsidR="00827E15" w:rsidRPr="004C33D1" w:rsidRDefault="00827E15" w:rsidP="00827E15"/>
    <w:p w:rsidR="00827E15" w:rsidRPr="004C33D1" w:rsidRDefault="00827E15" w:rsidP="00827E15">
      <w:r w:rsidRPr="004C33D1">
        <w:t>Where:</w:t>
      </w:r>
      <w:r w:rsidRPr="004C33D1">
        <w:tab/>
        <w:t xml:space="preserve">  P</w:t>
      </w:r>
      <w:r w:rsidRPr="004C33D1">
        <w:tab/>
      </w:r>
      <w:r w:rsidRPr="004C33D1">
        <w:tab/>
      </w:r>
      <w:proofErr w:type="gramStart"/>
      <w:r w:rsidRPr="004C33D1">
        <w:t>=  the</w:t>
      </w:r>
      <w:proofErr w:type="gramEnd"/>
      <w:r w:rsidRPr="004C33D1">
        <w:t xml:space="preserve"> efficient (wellbeing-maximising) price of </w:t>
      </w:r>
      <w:r w:rsidR="002F4A40" w:rsidRPr="004C33D1">
        <w:t>land or floorspace</w:t>
      </w:r>
    </w:p>
    <w:p w:rsidR="00827E15" w:rsidRPr="004C33D1" w:rsidRDefault="00827E15" w:rsidP="00827E15">
      <w:r w:rsidRPr="004C33D1">
        <w:tab/>
      </w:r>
      <w:r w:rsidRPr="004C33D1">
        <w:tab/>
        <w:t xml:space="preserve">  MSCS</w:t>
      </w:r>
      <w:r w:rsidRPr="004C33D1">
        <w:tab/>
      </w:r>
      <w:proofErr w:type="gramStart"/>
      <w:r w:rsidRPr="004C33D1">
        <w:t>=  marginal</w:t>
      </w:r>
      <w:proofErr w:type="gramEnd"/>
      <w:r w:rsidRPr="004C33D1">
        <w:t xml:space="preserve"> social cost of supply</w:t>
      </w:r>
    </w:p>
    <w:p w:rsidR="00827E15" w:rsidRPr="004C33D1" w:rsidRDefault="00827E15" w:rsidP="00827E15">
      <w:r w:rsidRPr="004C33D1">
        <w:tab/>
      </w:r>
      <w:r w:rsidRPr="004C33D1">
        <w:tab/>
        <w:t xml:space="preserve">  MPC</w:t>
      </w:r>
      <w:r w:rsidRPr="004C33D1">
        <w:tab/>
      </w:r>
      <w:proofErr w:type="gramStart"/>
      <w:r w:rsidRPr="004C33D1">
        <w:t>=  marginal</w:t>
      </w:r>
      <w:proofErr w:type="gramEnd"/>
      <w:r w:rsidRPr="004C33D1">
        <w:t xml:space="preserve"> private costs</w:t>
      </w:r>
    </w:p>
    <w:p w:rsidR="00827E15" w:rsidRPr="004C33D1" w:rsidRDefault="00827E15" w:rsidP="00827E15">
      <w:r w:rsidRPr="004C33D1">
        <w:tab/>
      </w:r>
      <w:r w:rsidRPr="004C33D1">
        <w:tab/>
        <w:t xml:space="preserve">  MEC</w:t>
      </w:r>
      <w:r w:rsidRPr="004C33D1">
        <w:tab/>
      </w:r>
      <w:proofErr w:type="gramStart"/>
      <w:r w:rsidRPr="004C33D1">
        <w:t>=  marginal</w:t>
      </w:r>
      <w:proofErr w:type="gramEnd"/>
      <w:r w:rsidRPr="004C33D1">
        <w:t xml:space="preserve"> external costs</w:t>
      </w:r>
    </w:p>
    <w:p w:rsidR="00827E15" w:rsidRPr="004C33D1" w:rsidRDefault="00827E15" w:rsidP="00827E15"/>
    <w:p w:rsidR="00827E15" w:rsidRPr="004C33D1" w:rsidRDefault="00827E15" w:rsidP="00827E15">
      <w:r w:rsidRPr="004C33D1">
        <w:t xml:space="preserve">The </w:t>
      </w:r>
      <w:r w:rsidRPr="004C33D1">
        <w:rPr>
          <w:b/>
        </w:rPr>
        <w:t>marginal social cost of supply (MSCS)</w:t>
      </w:r>
      <w:r w:rsidRPr="004C33D1">
        <w:t xml:space="preserve"> is the cost to the community of supplying one more unit of land (or, equivalently, one more unit of housing or business floorspace) by changing the existing land use and transforming it for residential use. It </w:t>
      </w:r>
      <w:proofErr w:type="gramStart"/>
      <w:r w:rsidRPr="004C33D1">
        <w:t>is made up</w:t>
      </w:r>
      <w:proofErr w:type="gramEnd"/>
      <w:r w:rsidRPr="004C33D1">
        <w:t xml:space="preserve"> of two elements: MPC and MEC.</w:t>
      </w:r>
    </w:p>
    <w:p w:rsidR="00827E15" w:rsidRPr="004C33D1" w:rsidRDefault="00827E15" w:rsidP="00827E15"/>
    <w:p w:rsidR="00827E15" w:rsidRPr="004C33D1" w:rsidRDefault="00827E15" w:rsidP="00827E15">
      <w:r w:rsidRPr="004C33D1">
        <w:t xml:space="preserve">The </w:t>
      </w:r>
      <w:r w:rsidRPr="004C33D1">
        <w:rPr>
          <w:b/>
        </w:rPr>
        <w:t>marginal private costs (MPC)</w:t>
      </w:r>
      <w:r w:rsidRPr="004C33D1">
        <w:t xml:space="preserve"> are the costs of supplying one more unit of land </w:t>
      </w:r>
      <w:r w:rsidR="002F4A40" w:rsidRPr="004C33D1">
        <w:t xml:space="preserve">(or floorspace) </w:t>
      </w:r>
      <w:r w:rsidRPr="004C33D1">
        <w:t>to private suppliers. This will include:</w:t>
      </w:r>
    </w:p>
    <w:p w:rsidR="00827E15" w:rsidRPr="004C33D1" w:rsidRDefault="00827E15" w:rsidP="00827E15"/>
    <w:p w:rsidR="002F4A40" w:rsidRPr="004C33D1" w:rsidRDefault="00FC5C7F" w:rsidP="00411653">
      <w:pPr>
        <w:pStyle w:val="ListParagraph"/>
        <w:numPr>
          <w:ilvl w:val="0"/>
          <w:numId w:val="36"/>
        </w:numPr>
      </w:pPr>
      <w:proofErr w:type="gramStart"/>
      <w:r w:rsidRPr="004C33D1">
        <w:t>the</w:t>
      </w:r>
      <w:proofErr w:type="gramEnd"/>
      <w:r w:rsidRPr="004C33D1">
        <w:t xml:space="preserve"> </w:t>
      </w:r>
      <w:r w:rsidR="002F4A40" w:rsidRPr="004C33D1">
        <w:t xml:space="preserve">opportunity costs of converting land between uses, ie the value of land for the next-best alternative use foregone </w:t>
      </w:r>
      <w:r w:rsidR="00C20D54" w:rsidRPr="004C33D1">
        <w:t>because</w:t>
      </w:r>
      <w:r w:rsidR="002F4A40" w:rsidRPr="004C33D1">
        <w:t xml:space="preserve"> of</w:t>
      </w:r>
      <w:r w:rsidR="00EA0589">
        <w:t xml:space="preserve"> development. For example, land</w:t>
      </w:r>
      <w:r w:rsidR="002F4A40" w:rsidRPr="004C33D1">
        <w:t xml:space="preserve">owners would be willing to convert agricultural land to housing land only if the value of the land for residential use exceeded the value of the land for agricultural use. When redeveloping sites with existing buildings to a higher density, the opportunity cost of supply would also include the value of existing </w:t>
      </w:r>
      <w:r w:rsidR="002F4A40" w:rsidRPr="004C33D1">
        <w:lastRenderedPageBreak/>
        <w:t>lower-density building(s);</w:t>
      </w:r>
      <w:r w:rsidR="002F4A40" w:rsidRPr="004C33D1">
        <w:br/>
      </w:r>
    </w:p>
    <w:p w:rsidR="002F4A40" w:rsidRPr="004C33D1" w:rsidRDefault="00FC5C7F" w:rsidP="00411653">
      <w:pPr>
        <w:pStyle w:val="ListParagraph"/>
        <w:numPr>
          <w:ilvl w:val="0"/>
          <w:numId w:val="36"/>
        </w:numPr>
      </w:pPr>
      <w:r w:rsidRPr="004C33D1">
        <w:t xml:space="preserve">the </w:t>
      </w:r>
      <w:r w:rsidR="002F4A40" w:rsidRPr="004C33D1">
        <w:t>costs of land development or preparation for urban uses, including costs of surveying, earthworks, subdivision consents, etc; and</w:t>
      </w:r>
      <w:r w:rsidR="002F4A40" w:rsidRPr="004C33D1">
        <w:br/>
      </w:r>
    </w:p>
    <w:p w:rsidR="00827E15" w:rsidRPr="004C33D1" w:rsidRDefault="00FC5C7F" w:rsidP="00411653">
      <w:pPr>
        <w:pStyle w:val="ListParagraph"/>
        <w:numPr>
          <w:ilvl w:val="0"/>
          <w:numId w:val="36"/>
        </w:numPr>
      </w:pPr>
      <w:r w:rsidRPr="004C33D1">
        <w:t xml:space="preserve">the </w:t>
      </w:r>
      <w:r w:rsidR="002F4A40" w:rsidRPr="004C33D1">
        <w:t>costs of infrastructure provision that are borne by developers, eg development costs for network infrastructure and costs to build local roads, local water pipes, and on-site or suburb-level stormwater schemes.</w:t>
      </w:r>
      <w:r w:rsidR="00827E15" w:rsidRPr="004C33D1">
        <w:br/>
      </w:r>
    </w:p>
    <w:p w:rsidR="00827E15" w:rsidRPr="004C33D1" w:rsidRDefault="00827E15" w:rsidP="00827E15">
      <w:r w:rsidRPr="004C33D1">
        <w:t xml:space="preserve">The </w:t>
      </w:r>
      <w:r w:rsidRPr="004C33D1">
        <w:rPr>
          <w:b/>
        </w:rPr>
        <w:t>marginal external costs (MEC)</w:t>
      </w:r>
      <w:r w:rsidRPr="004C33D1">
        <w:t xml:space="preserve"> are the costs of supplying one more unit of land that are borne by the wider community rather than the suppliers (or developers) themselves. These will include:</w:t>
      </w:r>
    </w:p>
    <w:p w:rsidR="00827E15" w:rsidRPr="004C33D1" w:rsidRDefault="00827E15" w:rsidP="00827E15"/>
    <w:p w:rsidR="00827E15" w:rsidRPr="004C33D1" w:rsidRDefault="00FC5C7F" w:rsidP="00411653">
      <w:pPr>
        <w:pStyle w:val="ListParagraph"/>
        <w:numPr>
          <w:ilvl w:val="0"/>
          <w:numId w:val="37"/>
        </w:numPr>
      </w:pPr>
      <w:r w:rsidRPr="004C33D1">
        <w:t xml:space="preserve">the </w:t>
      </w:r>
      <w:r w:rsidR="00827E15" w:rsidRPr="004C33D1">
        <w:t>costs of infrastructure provision that are not borne by developers, eg costs to build network infrastructure that are not recouped by development contributions or user charges;</w:t>
      </w:r>
      <w:r w:rsidR="00827E15" w:rsidRPr="004C33D1">
        <w:br/>
      </w:r>
    </w:p>
    <w:p w:rsidR="00827E15" w:rsidRPr="004C33D1" w:rsidRDefault="00FC5C7F" w:rsidP="00411653">
      <w:pPr>
        <w:pStyle w:val="ListParagraph"/>
        <w:numPr>
          <w:ilvl w:val="0"/>
          <w:numId w:val="37"/>
        </w:numPr>
      </w:pPr>
      <w:r w:rsidRPr="004C33D1">
        <w:t xml:space="preserve">external </w:t>
      </w:r>
      <w:r w:rsidR="00827E15" w:rsidRPr="004C33D1">
        <w:t>impacts of development on neighbours</w:t>
      </w:r>
      <w:r w:rsidR="00C65185" w:rsidRPr="004C33D1">
        <w:t xml:space="preserve"> and the wider community</w:t>
      </w:r>
      <w:r w:rsidR="00827E15" w:rsidRPr="004C33D1">
        <w:t>, eg over-shadowing effects</w:t>
      </w:r>
      <w:r w:rsidR="00C65185" w:rsidRPr="004C33D1">
        <w:t>,</w:t>
      </w:r>
      <w:r w:rsidR="00827E15" w:rsidRPr="004C33D1">
        <w:t xml:space="preserve"> foregone access to open space</w:t>
      </w:r>
      <w:r w:rsidR="00C65185" w:rsidRPr="004C33D1">
        <w:t xml:space="preserve"> and discharges to water and other environmental impacts</w:t>
      </w:r>
      <w:r w:rsidR="00827E15" w:rsidRPr="004C33D1">
        <w:t xml:space="preserve">; </w:t>
      </w:r>
      <w:r w:rsidR="00827E15" w:rsidRPr="004C33D1">
        <w:br/>
      </w:r>
    </w:p>
    <w:p w:rsidR="00827E15" w:rsidRPr="004C33D1" w:rsidRDefault="00FC5C7F" w:rsidP="00411653">
      <w:pPr>
        <w:pStyle w:val="ListParagraph"/>
        <w:numPr>
          <w:ilvl w:val="0"/>
          <w:numId w:val="37"/>
        </w:numPr>
      </w:pPr>
      <w:r w:rsidRPr="004C33D1">
        <w:t xml:space="preserve">the </w:t>
      </w:r>
      <w:r w:rsidR="00827E15" w:rsidRPr="004C33D1">
        <w:t>congestion impacts on shared net</w:t>
      </w:r>
      <w:r w:rsidR="002F4A40" w:rsidRPr="004C33D1">
        <w:t>work resources, including roads; and</w:t>
      </w:r>
    </w:p>
    <w:p w:rsidR="002F4A40" w:rsidRPr="004C33D1" w:rsidRDefault="002F4A40" w:rsidP="002F4A40"/>
    <w:p w:rsidR="002F4A40" w:rsidRPr="004C33D1" w:rsidRDefault="00FC5C7F" w:rsidP="00411653">
      <w:pPr>
        <w:pStyle w:val="ListParagraph"/>
        <w:numPr>
          <w:ilvl w:val="0"/>
          <w:numId w:val="37"/>
        </w:numPr>
      </w:pPr>
      <w:proofErr w:type="gramStart"/>
      <w:r w:rsidRPr="004C33D1">
        <w:t>environmental</w:t>
      </w:r>
      <w:proofErr w:type="gramEnd"/>
      <w:r w:rsidRPr="004C33D1">
        <w:t xml:space="preserve"> </w:t>
      </w:r>
      <w:r w:rsidR="0026729E" w:rsidRPr="004C33D1">
        <w:t>impacts, eg impacts on air, soil</w:t>
      </w:r>
      <w:r w:rsidR="0026729E">
        <w:t>,</w:t>
      </w:r>
      <w:r w:rsidR="0026729E" w:rsidRPr="004C33D1">
        <w:t xml:space="preserve"> water</w:t>
      </w:r>
      <w:r w:rsidR="0026729E">
        <w:t>, and biodiversity</w:t>
      </w:r>
      <w:r w:rsidR="0026729E" w:rsidRPr="004C33D1">
        <w:t xml:space="preserve"> that are not addressed by the design of the development and supporting infrastructure.</w:t>
      </w:r>
    </w:p>
    <w:p w:rsidR="002F4A40" w:rsidRPr="004C33D1" w:rsidRDefault="002F4A40" w:rsidP="002F4A40"/>
    <w:p w:rsidR="00827E15" w:rsidRPr="004C33D1" w:rsidRDefault="00827E15" w:rsidP="00827E15">
      <w:r w:rsidRPr="004C33D1">
        <w:t xml:space="preserve">If </w:t>
      </w:r>
      <w:r w:rsidR="00C65185" w:rsidRPr="004C33D1">
        <w:t xml:space="preserve">entry barriers </w:t>
      </w:r>
      <w:proofErr w:type="gramStart"/>
      <w:r w:rsidR="00C65185" w:rsidRPr="004C33D1">
        <w:t>are reduced</w:t>
      </w:r>
      <w:proofErr w:type="gramEnd"/>
      <w:r w:rsidR="00C65185" w:rsidRPr="004C33D1">
        <w:t xml:space="preserve"> so that </w:t>
      </w:r>
      <w:r w:rsidRPr="004C33D1">
        <w:t xml:space="preserve">sufficient </w:t>
      </w:r>
      <w:r w:rsidR="00B777E8">
        <w:t xml:space="preserve">land is </w:t>
      </w:r>
      <w:r w:rsidRPr="004C33D1">
        <w:t>available</w:t>
      </w:r>
      <w:r w:rsidR="00B777E8">
        <w:t xml:space="preserve"> for development</w:t>
      </w:r>
      <w:r w:rsidRPr="004C33D1">
        <w:t xml:space="preserve">, and if there is an efficient (wellbeing-maximising) approach to tackling external costs, </w:t>
      </w:r>
      <w:r w:rsidR="002F4A40" w:rsidRPr="004C33D1">
        <w:t xml:space="preserve">market </w:t>
      </w:r>
      <w:r w:rsidRPr="004C33D1">
        <w:t xml:space="preserve">prices would be expected to be no higher than this efficient price (MPS + MEC). </w:t>
      </w:r>
      <w:r w:rsidR="00C65185" w:rsidRPr="004C33D1">
        <w:t>S</w:t>
      </w:r>
      <w:r w:rsidRPr="004C33D1">
        <w:t xml:space="preserve">ufficient development capacity </w:t>
      </w:r>
      <w:proofErr w:type="gramStart"/>
      <w:r w:rsidRPr="004C33D1">
        <w:t>is defined</w:t>
      </w:r>
      <w:proofErr w:type="gramEnd"/>
      <w:r w:rsidRPr="004C33D1">
        <w:t xml:space="preserve"> as enough to meet all demand at that efficient price.</w:t>
      </w:r>
      <w:r w:rsidRPr="004C33D1">
        <w:rPr>
          <w:rStyle w:val="FootnoteReference"/>
        </w:rPr>
        <w:footnoteReference w:id="32"/>
      </w:r>
      <w:r w:rsidRPr="004C33D1">
        <w:t xml:space="preserve"> </w:t>
      </w:r>
    </w:p>
    <w:p w:rsidR="00827E15" w:rsidRPr="004C33D1" w:rsidRDefault="00827E15" w:rsidP="00827E15"/>
    <w:p w:rsidR="00827E15" w:rsidRPr="004C33D1" w:rsidRDefault="002F4A40" w:rsidP="00827E15">
      <w:r w:rsidRPr="004C33D1">
        <w:t xml:space="preserve">Prices will only rise above the marginal social cost of supply, or increase in response to rezoning, if there is an artificial scarcity of </w:t>
      </w:r>
      <w:r w:rsidR="00B777E8">
        <w:t xml:space="preserve">land for </w:t>
      </w:r>
      <w:r w:rsidRPr="004C33D1">
        <w:t>development. This occurs where total demand for development</w:t>
      </w:r>
      <w:r w:rsidR="00B777E8">
        <w:t xml:space="preserve"> land</w:t>
      </w:r>
      <w:r w:rsidRPr="004C33D1">
        <w:t xml:space="preserve">, if priced at MSCS, is greater than the available </w:t>
      </w:r>
      <w:r w:rsidR="00B777E8">
        <w:t>supply</w:t>
      </w:r>
      <w:r w:rsidRPr="004C33D1">
        <w:t xml:space="preserve">. </w:t>
      </w:r>
      <w:r w:rsidR="00827E15" w:rsidRPr="004C33D1">
        <w:t>In this scenario, excess demand will push up prices without provoking a countervailing supply response. This point raises two important issues relating to measuring supply and demand:</w:t>
      </w:r>
    </w:p>
    <w:p w:rsidR="00827E15" w:rsidRPr="004C33D1" w:rsidRDefault="00827E15" w:rsidP="00827E15"/>
    <w:p w:rsidR="00827E15" w:rsidRPr="00067595" w:rsidRDefault="00FC5C7F" w:rsidP="00411653">
      <w:pPr>
        <w:pStyle w:val="ListParagraph"/>
        <w:numPr>
          <w:ilvl w:val="0"/>
          <w:numId w:val="31"/>
        </w:numPr>
        <w:rPr>
          <w:b/>
        </w:rPr>
      </w:pPr>
      <w:proofErr w:type="gramStart"/>
      <w:r w:rsidRPr="00067595">
        <w:rPr>
          <w:b/>
        </w:rPr>
        <w:t>assessing</w:t>
      </w:r>
      <w:proofErr w:type="gramEnd"/>
      <w:r w:rsidRPr="00067595">
        <w:rPr>
          <w:b/>
        </w:rPr>
        <w:t xml:space="preserve"> </w:t>
      </w:r>
      <w:r w:rsidR="00827E15" w:rsidRPr="00067595">
        <w:rPr>
          <w:b/>
        </w:rPr>
        <w:t xml:space="preserve">relative supply and demand for housing and business land, as required by PB1, needs to take account of price. Specifically, levels of demand for </w:t>
      </w:r>
      <w:r w:rsidR="00B777E8" w:rsidRPr="00067595">
        <w:rPr>
          <w:b/>
        </w:rPr>
        <w:t>land and development opportunities</w:t>
      </w:r>
      <w:r w:rsidR="00827E15" w:rsidRPr="00067595">
        <w:rPr>
          <w:b/>
        </w:rPr>
        <w:t xml:space="preserve"> should ideally be estimated at a price equal to the marginal social cost of supply</w:t>
      </w:r>
      <w:r w:rsidR="00827E15" w:rsidRPr="00CA2F9E">
        <w:t>; and</w:t>
      </w:r>
      <w:r w:rsidR="00827E15" w:rsidRPr="00067595">
        <w:rPr>
          <w:b/>
        </w:rPr>
        <w:br/>
      </w:r>
    </w:p>
    <w:p w:rsidR="00827E15" w:rsidRPr="004C33D1" w:rsidRDefault="00FC5C7F" w:rsidP="00411653">
      <w:pPr>
        <w:pStyle w:val="ListParagraph"/>
        <w:numPr>
          <w:ilvl w:val="0"/>
          <w:numId w:val="31"/>
        </w:numPr>
      </w:pPr>
      <w:proofErr w:type="gramStart"/>
      <w:r w:rsidRPr="00067595">
        <w:rPr>
          <w:b/>
        </w:rPr>
        <w:lastRenderedPageBreak/>
        <w:t>comparing</w:t>
      </w:r>
      <w:proofErr w:type="gramEnd"/>
      <w:r w:rsidRPr="00067595">
        <w:rPr>
          <w:b/>
        </w:rPr>
        <w:t xml:space="preserve"> </w:t>
      </w:r>
      <w:r w:rsidR="00827E15" w:rsidRPr="00067595">
        <w:rPr>
          <w:b/>
        </w:rPr>
        <w:t>prices with the estimated costs of supply is a way to estimate whether there is a supply shortfall.</w:t>
      </w:r>
      <w:r w:rsidR="00827E15" w:rsidRPr="004C33D1">
        <w:rPr>
          <w:b/>
        </w:rPr>
        <w:t xml:space="preserve"> </w:t>
      </w:r>
      <w:r w:rsidR="00827E15" w:rsidRPr="004C33D1">
        <w:rPr>
          <w:b/>
        </w:rPr>
        <w:br/>
      </w:r>
    </w:p>
    <w:p w:rsidR="00827E15" w:rsidRPr="004C33D1" w:rsidRDefault="002F4A40" w:rsidP="00827E15">
      <w:r w:rsidRPr="004C33D1">
        <w:t>T</w:t>
      </w:r>
      <w:r w:rsidR="00827E15" w:rsidRPr="004C33D1">
        <w:t xml:space="preserve">o identify whether constraints on </w:t>
      </w:r>
      <w:r w:rsidR="00B777E8">
        <w:t xml:space="preserve">the supply of land for </w:t>
      </w:r>
      <w:r w:rsidR="00827E15" w:rsidRPr="004C33D1">
        <w:t xml:space="preserve">development are driving up prices, it is necessary to measure prices for land and floorspace and compare them against the marginal social costs of supply, ie: </w:t>
      </w:r>
    </w:p>
    <w:p w:rsidR="00827E15" w:rsidRPr="004C33D1" w:rsidRDefault="00827E15" w:rsidP="00827E15"/>
    <w:p w:rsidR="00827E15" w:rsidRPr="004C33D1" w:rsidRDefault="00827E15" w:rsidP="0067213E">
      <w:pPr>
        <w:pStyle w:val="ListParagraph"/>
        <w:numPr>
          <w:ilvl w:val="0"/>
          <w:numId w:val="14"/>
        </w:numPr>
      </w:pPr>
      <w:r w:rsidRPr="004C33D1">
        <w:t xml:space="preserve">the lost value (opportunity cost) of land in some other use; </w:t>
      </w:r>
    </w:p>
    <w:p w:rsidR="002F4A40" w:rsidRPr="004C33D1" w:rsidRDefault="002F4A40" w:rsidP="002F4A40">
      <w:pPr>
        <w:pStyle w:val="ListParagraph"/>
        <w:numPr>
          <w:ilvl w:val="0"/>
          <w:numId w:val="14"/>
        </w:numPr>
      </w:pPr>
      <w:r w:rsidRPr="004C33D1">
        <w:t xml:space="preserve">the private costs of development of that land, which includes land preparation and infrastructure costs; and </w:t>
      </w:r>
    </w:p>
    <w:p w:rsidR="00827E15" w:rsidRPr="004C33D1" w:rsidRDefault="00827E15" w:rsidP="002F4A40">
      <w:pPr>
        <w:pStyle w:val="ListParagraph"/>
        <w:numPr>
          <w:ilvl w:val="0"/>
          <w:numId w:val="14"/>
        </w:numPr>
      </w:pPr>
      <w:proofErr w:type="gramStart"/>
      <w:r w:rsidRPr="004C33D1">
        <w:t>external</w:t>
      </w:r>
      <w:proofErr w:type="gramEnd"/>
      <w:r w:rsidRPr="004C33D1">
        <w:t xml:space="preserve"> costs of development, eg the costs of environmental impacts and public infrastructure costs</w:t>
      </w:r>
      <w:r w:rsidR="002F4A40" w:rsidRPr="004C33D1">
        <w:t>.</w:t>
      </w:r>
    </w:p>
    <w:p w:rsidR="00827E15" w:rsidRPr="004C33D1" w:rsidRDefault="00827E15" w:rsidP="00220C7C">
      <w:pPr>
        <w:pStyle w:val="Heading2"/>
      </w:pPr>
      <w:bookmarkStart w:id="55" w:name="_Ref454365995"/>
      <w:bookmarkStart w:id="56" w:name="_Toc462413615"/>
      <w:bookmarkStart w:id="57" w:name="_Toc462582167"/>
      <w:r w:rsidRPr="004C33D1">
        <w:t>Undesirable Outcomes of Unaffordable Housing</w:t>
      </w:r>
      <w:bookmarkEnd w:id="55"/>
      <w:bookmarkEnd w:id="56"/>
      <w:bookmarkEnd w:id="57"/>
    </w:p>
    <w:p w:rsidR="005B1564" w:rsidRPr="004C33D1" w:rsidRDefault="005B1564" w:rsidP="00D14B4C">
      <w:pPr>
        <w:pStyle w:val="Heading3"/>
      </w:pPr>
      <w:r w:rsidRPr="004C33D1">
        <w:t>Unaffordability</w:t>
      </w:r>
    </w:p>
    <w:p w:rsidR="00B777E8" w:rsidRPr="004C33D1" w:rsidRDefault="00B777E8" w:rsidP="00B777E8">
      <w:r w:rsidRPr="004C33D1">
        <w:t xml:space="preserve">The </w:t>
      </w:r>
      <w:r w:rsidR="0059793C">
        <w:t>draft</w:t>
      </w:r>
      <w:r w:rsidRPr="004C33D1">
        <w:t xml:space="preserve"> NPS-UDC focuses on increasing the supply of development capacity </w:t>
      </w:r>
      <w:r>
        <w:t xml:space="preserve">in plans, </w:t>
      </w:r>
      <w:r w:rsidRPr="004C33D1">
        <w:t xml:space="preserve">to </w:t>
      </w:r>
      <w:r>
        <w:t xml:space="preserve">enable the market to </w:t>
      </w:r>
      <w:r w:rsidRPr="004C33D1">
        <w:t xml:space="preserve">meet demand. The aim of doing so is to reduce the undesirable consequences </w:t>
      </w:r>
      <w:r w:rsidR="00FC5C7F" w:rsidRPr="004C33D1">
        <w:t xml:space="preserve">for wellbeing outcomes </w:t>
      </w:r>
      <w:r w:rsidRPr="004C33D1">
        <w:t xml:space="preserve">of insufficient urban development. These outcomes </w:t>
      </w:r>
      <w:proofErr w:type="gramStart"/>
      <w:r w:rsidRPr="004C33D1">
        <w:t>are observed</w:t>
      </w:r>
      <w:proofErr w:type="gramEnd"/>
      <w:r w:rsidRPr="004C33D1">
        <w:t xml:space="preserve"> particularly in the housing market, although potentially problems can also arise in business land markets. </w:t>
      </w:r>
    </w:p>
    <w:p w:rsidR="00827E15" w:rsidRPr="004C33D1" w:rsidRDefault="00827E15" w:rsidP="00827E15"/>
    <w:p w:rsidR="00827E15" w:rsidRPr="004C33D1" w:rsidRDefault="00827E15" w:rsidP="00827E15">
      <w:r w:rsidRPr="004C33D1">
        <w:t>In the housing market the perceived problems are high prices of land and ho</w:t>
      </w:r>
      <w:r w:rsidR="000D3E84">
        <w:t>m</w:t>
      </w:r>
      <w:r w:rsidRPr="004C33D1">
        <w:t>es in (some) medium and high growth urban areas. The problem is often broadly described as “unaffordable housing”, ie people are unable to purchase or rent properties without getting into financial difficulty.</w:t>
      </w:r>
      <w:r w:rsidRPr="004C33D1">
        <w:rPr>
          <w:rStyle w:val="FootnoteReference"/>
        </w:rPr>
        <w:footnoteReference w:id="33"/>
      </w:r>
      <w:r w:rsidRPr="004C33D1">
        <w:t xml:space="preserve"> This </w:t>
      </w:r>
      <w:proofErr w:type="gramStart"/>
      <w:r w:rsidRPr="004C33D1">
        <w:t>is linked</w:t>
      </w:r>
      <w:proofErr w:type="gramEnd"/>
      <w:r w:rsidRPr="004C33D1">
        <w:t xml:space="preserve"> to a wider range of outcomes</w:t>
      </w:r>
      <w:r w:rsidR="00FC5C7F">
        <w:t>.</w:t>
      </w:r>
    </w:p>
    <w:p w:rsidR="00827E15" w:rsidRPr="004C33D1" w:rsidRDefault="00827E15" w:rsidP="00827E15"/>
    <w:p w:rsidR="00827E15" w:rsidRPr="004C33D1" w:rsidRDefault="00827E15" w:rsidP="0067213E">
      <w:pPr>
        <w:pStyle w:val="ListParagraph"/>
        <w:numPr>
          <w:ilvl w:val="0"/>
          <w:numId w:val="12"/>
        </w:numPr>
      </w:pPr>
      <w:r w:rsidRPr="004C33D1">
        <w:rPr>
          <w:b/>
        </w:rPr>
        <w:t>People not purchasing ho</w:t>
      </w:r>
      <w:r w:rsidR="000D3E84">
        <w:rPr>
          <w:b/>
        </w:rPr>
        <w:t>m</w:t>
      </w:r>
      <w:r w:rsidRPr="004C33D1">
        <w:rPr>
          <w:b/>
        </w:rPr>
        <w:t>es</w:t>
      </w:r>
      <w:r w:rsidRPr="004C33D1">
        <w:t xml:space="preserve"> because of high prices in certain locations resulting in:</w:t>
      </w:r>
    </w:p>
    <w:p w:rsidR="00827E15" w:rsidRPr="004C33D1" w:rsidRDefault="00827E15" w:rsidP="0067213E">
      <w:pPr>
        <w:pStyle w:val="ListParagraph"/>
        <w:numPr>
          <w:ilvl w:val="1"/>
          <w:numId w:val="12"/>
        </w:numPr>
      </w:pPr>
      <w:proofErr w:type="gramStart"/>
      <w:r w:rsidRPr="004C33D1">
        <w:rPr>
          <w:b/>
        </w:rPr>
        <w:t>reduced</w:t>
      </w:r>
      <w:proofErr w:type="gramEnd"/>
      <w:r w:rsidRPr="004C33D1">
        <w:rPr>
          <w:b/>
        </w:rPr>
        <w:t xml:space="preserve"> total rates of home ownership</w:t>
      </w:r>
      <w:r w:rsidRPr="004C33D1">
        <w:t>. The Productivity Commission notes this is of relevance to wellbeing because of a strong link between home ownership and:</w:t>
      </w:r>
      <w:r w:rsidR="00FC5C7F" w:rsidRPr="004C33D1">
        <w:rPr>
          <w:rStyle w:val="FootnoteReference"/>
        </w:rPr>
        <w:footnoteReference w:id="34"/>
      </w:r>
    </w:p>
    <w:p w:rsidR="00827E15" w:rsidRPr="004C33D1" w:rsidRDefault="00827E15" w:rsidP="0067213E">
      <w:pPr>
        <w:pStyle w:val="ListParagraph"/>
        <w:numPr>
          <w:ilvl w:val="2"/>
          <w:numId w:val="12"/>
        </w:numPr>
      </w:pPr>
      <w:r w:rsidRPr="004C33D1">
        <w:t>better educational outcomes and future income prospects for resident children;</w:t>
      </w:r>
    </w:p>
    <w:p w:rsidR="00827E15" w:rsidRPr="004C33D1" w:rsidRDefault="00827E15" w:rsidP="0067213E">
      <w:pPr>
        <w:pStyle w:val="ListParagraph"/>
        <w:numPr>
          <w:ilvl w:val="2"/>
          <w:numId w:val="12"/>
        </w:numPr>
      </w:pPr>
      <w:r w:rsidRPr="004C33D1">
        <w:t>more civic engagement;</w:t>
      </w:r>
    </w:p>
    <w:p w:rsidR="00827E15" w:rsidRPr="004C33D1" w:rsidRDefault="00827E15" w:rsidP="0067213E">
      <w:pPr>
        <w:pStyle w:val="ListParagraph"/>
        <w:numPr>
          <w:ilvl w:val="2"/>
          <w:numId w:val="12"/>
        </w:numPr>
      </w:pPr>
      <w:r w:rsidRPr="004C33D1">
        <w:t>higher trust in others and a positive sense of community;</w:t>
      </w:r>
    </w:p>
    <w:p w:rsidR="00827E15" w:rsidRPr="004C33D1" w:rsidRDefault="00827E15" w:rsidP="0067213E">
      <w:pPr>
        <w:pStyle w:val="ListParagraph"/>
        <w:numPr>
          <w:ilvl w:val="2"/>
          <w:numId w:val="12"/>
        </w:numPr>
      </w:pPr>
      <w:r w:rsidRPr="004C33D1">
        <w:t xml:space="preserve">family and social stability; and </w:t>
      </w:r>
    </w:p>
    <w:p w:rsidR="00827E15" w:rsidRPr="004C33D1" w:rsidRDefault="00827E15" w:rsidP="0067213E">
      <w:pPr>
        <w:pStyle w:val="ListParagraph"/>
        <w:numPr>
          <w:ilvl w:val="2"/>
          <w:numId w:val="12"/>
        </w:numPr>
      </w:pPr>
      <w:r w:rsidRPr="004C33D1">
        <w:t>higher average living standards in retirement;</w:t>
      </w:r>
    </w:p>
    <w:p w:rsidR="00827E15" w:rsidRPr="004C33D1" w:rsidRDefault="00827E15" w:rsidP="0067213E">
      <w:pPr>
        <w:pStyle w:val="ListParagraph"/>
        <w:numPr>
          <w:ilvl w:val="1"/>
          <w:numId w:val="12"/>
        </w:numPr>
      </w:pPr>
      <w:proofErr w:type="gramStart"/>
      <w:r w:rsidRPr="004C33D1">
        <w:rPr>
          <w:b/>
        </w:rPr>
        <w:t>shifts</w:t>
      </w:r>
      <w:proofErr w:type="gramEnd"/>
      <w:r w:rsidRPr="004C33D1">
        <w:rPr>
          <w:b/>
        </w:rPr>
        <w:t xml:space="preserve"> in location</w:t>
      </w:r>
      <w:r w:rsidRPr="004C33D1">
        <w:t xml:space="preserve"> for current and/or potential residents to other places (including in other countries) with more affordable housing. This has potential wellbeing effects when people end up living in locations that would not be their preference</w:t>
      </w:r>
      <w:r w:rsidR="00FC5C7F">
        <w:t xml:space="preserve"> if housing </w:t>
      </w:r>
      <w:proofErr w:type="gramStart"/>
      <w:r w:rsidR="00FC5C7F">
        <w:t>was</w:t>
      </w:r>
      <w:proofErr w:type="gramEnd"/>
      <w:r w:rsidR="00FC5C7F">
        <w:t xml:space="preserve"> more affordable.</w:t>
      </w:r>
      <w:r w:rsidRPr="004C33D1">
        <w:br/>
      </w:r>
    </w:p>
    <w:p w:rsidR="00827E15" w:rsidRPr="004C33D1" w:rsidRDefault="00827E15" w:rsidP="0067213E">
      <w:pPr>
        <w:pStyle w:val="ListParagraph"/>
        <w:numPr>
          <w:ilvl w:val="0"/>
          <w:numId w:val="12"/>
        </w:numPr>
      </w:pPr>
      <w:r w:rsidRPr="004C33D1">
        <w:rPr>
          <w:b/>
        </w:rPr>
        <w:lastRenderedPageBreak/>
        <w:t>People who do purchase properties and have reduced available income</w:t>
      </w:r>
      <w:r w:rsidRPr="004C33D1">
        <w:t xml:space="preserve"> after paying for housing costs, resulting in:</w:t>
      </w:r>
    </w:p>
    <w:p w:rsidR="00827E15" w:rsidRPr="004C33D1" w:rsidRDefault="00827E15" w:rsidP="0067213E">
      <w:pPr>
        <w:pStyle w:val="ListParagraph"/>
        <w:numPr>
          <w:ilvl w:val="1"/>
          <w:numId w:val="12"/>
        </w:numPr>
      </w:pPr>
      <w:r w:rsidRPr="004C33D1">
        <w:t>insufficient income to meet other basic needs such as food, clothing, transport, medical care and education;</w:t>
      </w:r>
    </w:p>
    <w:p w:rsidR="00827E15" w:rsidRPr="004C33D1" w:rsidRDefault="00827E15" w:rsidP="0067213E">
      <w:pPr>
        <w:pStyle w:val="ListParagraph"/>
        <w:numPr>
          <w:ilvl w:val="1"/>
          <w:numId w:val="12"/>
        </w:numPr>
      </w:pPr>
      <w:r w:rsidRPr="004C33D1">
        <w:t>poor quality housing, that includes damp, cold and/or draughty ho</w:t>
      </w:r>
      <w:r w:rsidR="000D3E84">
        <w:t>m</w:t>
      </w:r>
      <w:r w:rsidRPr="004C33D1">
        <w:t>es, partly as a result of unaffordability of housing repairs, maintenance and improvement;</w:t>
      </w:r>
      <w:r w:rsidRPr="004C33D1">
        <w:rPr>
          <w:rStyle w:val="FootnoteReference"/>
        </w:rPr>
        <w:footnoteReference w:id="35"/>
      </w:r>
      <w:r w:rsidRPr="004C33D1">
        <w:t xml:space="preserve"> and</w:t>
      </w:r>
    </w:p>
    <w:p w:rsidR="00827E15" w:rsidRPr="004C33D1" w:rsidRDefault="00FE503B" w:rsidP="0067213E">
      <w:pPr>
        <w:pStyle w:val="ListParagraph"/>
        <w:numPr>
          <w:ilvl w:val="1"/>
          <w:numId w:val="12"/>
        </w:numPr>
      </w:pPr>
      <w:proofErr w:type="gramStart"/>
      <w:r>
        <w:t>o</w:t>
      </w:r>
      <w:r w:rsidR="00827E15" w:rsidRPr="004C33D1">
        <w:t>vercrowding</w:t>
      </w:r>
      <w:proofErr w:type="gramEnd"/>
      <w:r w:rsidR="00827E15" w:rsidRPr="004C33D1">
        <w:t xml:space="preserve"> in which people are sharing </w:t>
      </w:r>
      <w:r w:rsidR="000D3E84">
        <w:t xml:space="preserve">a </w:t>
      </w:r>
      <w:r w:rsidR="00827E15" w:rsidRPr="004C33D1">
        <w:t>ho</w:t>
      </w:r>
      <w:r w:rsidR="000D3E84">
        <w:t>m</w:t>
      </w:r>
      <w:r w:rsidR="00827E15" w:rsidRPr="004C33D1">
        <w:t>e to reduce per person costs, with a number of related social and health impacts.</w:t>
      </w:r>
      <w:r w:rsidR="00827E15" w:rsidRPr="004C33D1">
        <w:br/>
      </w:r>
    </w:p>
    <w:p w:rsidR="00B152F7" w:rsidRPr="004C33D1" w:rsidRDefault="00B152F7" w:rsidP="00B152F7">
      <w:r w:rsidRPr="004C33D1">
        <w:t>The impacts of high housing costs also flow into the rental sector as scarcity of housing relative to demand also pushes up rents.</w:t>
      </w:r>
      <w:r w:rsidRPr="004C33D1">
        <w:rPr>
          <w:rStyle w:val="FootnoteReference"/>
        </w:rPr>
        <w:footnoteReference w:id="36"/>
      </w:r>
    </w:p>
    <w:p w:rsidR="00827E15" w:rsidRPr="004C33D1" w:rsidRDefault="00827E15" w:rsidP="00827E15"/>
    <w:p w:rsidR="00827E15" w:rsidRPr="004C33D1" w:rsidRDefault="00827E15" w:rsidP="00827E15">
      <w:r w:rsidRPr="004C33D1">
        <w:t>In business land markets, high prices in some areas may result in business closure or relocation, with consequent impacts on employment accessibility for households and economic productivity.</w:t>
      </w:r>
    </w:p>
    <w:p w:rsidR="00827E15" w:rsidRPr="004C33D1" w:rsidRDefault="00827E15" w:rsidP="00827E15"/>
    <w:p w:rsidR="00D14B4C" w:rsidRDefault="00827E15" w:rsidP="00827E15">
      <w:r w:rsidRPr="004C33D1">
        <w:t>In his recent speech, the Minister of Finance highlighted the increasing unaffordability of New Zealand housing.</w:t>
      </w:r>
      <w:r w:rsidRPr="004C33D1">
        <w:rPr>
          <w:rStyle w:val="FootnoteReference"/>
        </w:rPr>
        <w:t xml:space="preserve"> </w:t>
      </w:r>
      <w:r w:rsidRPr="004C33D1">
        <w:rPr>
          <w:rStyle w:val="FootnoteReference"/>
        </w:rPr>
        <w:footnoteReference w:id="37"/>
      </w:r>
      <w:r w:rsidRPr="004C33D1">
        <w:t xml:space="preserve"> Specifically, 25 years ago around 30% of new homes </w:t>
      </w:r>
      <w:proofErr w:type="gramStart"/>
      <w:r w:rsidRPr="004C33D1">
        <w:t>were priced</w:t>
      </w:r>
      <w:proofErr w:type="gramEnd"/>
      <w:r w:rsidRPr="004C33D1">
        <w:t xml:space="preserve"> in the bottom quartile of prices in the market as a whole, and a similar percentage in the upper quartile. Currently, only 5% of new homes </w:t>
      </w:r>
      <w:proofErr w:type="gramStart"/>
      <w:r w:rsidRPr="004C33D1">
        <w:t>are priced</w:t>
      </w:r>
      <w:proofErr w:type="gramEnd"/>
      <w:r w:rsidRPr="004C33D1">
        <w:t xml:space="preserve"> in the lowest quartile and 60% are priced in the upper quartile. He attributed this lack of supply of affordable housing as the cause of “[ho</w:t>
      </w:r>
      <w:r w:rsidR="00654CB4">
        <w:t>m</w:t>
      </w:r>
      <w:r w:rsidRPr="004C33D1">
        <w:t>e] prices and rents rising disproportionately at the bottom end [of the market]”.</w:t>
      </w:r>
    </w:p>
    <w:p w:rsidR="00FE503B" w:rsidRDefault="00FE503B" w:rsidP="00827E15"/>
    <w:p w:rsidR="00D14B4C" w:rsidRPr="004C33D1" w:rsidRDefault="0026729E" w:rsidP="00835F7F">
      <w:r>
        <w:t xml:space="preserve">This focus on higher value properties is likely to reflect overall limits to availability of </w:t>
      </w:r>
      <w:r w:rsidR="00C2068C">
        <w:t xml:space="preserve">land and </w:t>
      </w:r>
      <w:r>
        <w:t>development</w:t>
      </w:r>
      <w:r w:rsidR="00C2068C">
        <w:t xml:space="preserve"> opportunities</w:t>
      </w:r>
      <w:r>
        <w:t xml:space="preserve">. If there </w:t>
      </w:r>
      <w:proofErr w:type="gramStart"/>
      <w:r>
        <w:t>was</w:t>
      </w:r>
      <w:proofErr w:type="gramEnd"/>
      <w:r>
        <w:t xml:space="preserve"> increased total supply of </w:t>
      </w:r>
      <w:r w:rsidR="00C2068C">
        <w:t>land and development opportunities</w:t>
      </w:r>
      <w:r>
        <w:t xml:space="preserve">, property would continue to be supplied to meet the demands of households with a lower willingness to pay </w:t>
      </w:r>
      <w:r w:rsidR="00FE503B">
        <w:t>(</w:t>
      </w:r>
      <w:r w:rsidR="00FE503B">
        <w:fldChar w:fldCharType="begin"/>
      </w:r>
      <w:r w:rsidR="00FE503B">
        <w:instrText xml:space="preserve"> REF _Ref457291517 \h </w:instrText>
      </w:r>
      <w:r w:rsidR="00FE503B">
        <w:fldChar w:fldCharType="separate"/>
      </w:r>
      <w:r w:rsidR="004D1DDA" w:rsidRPr="004C33D1">
        <w:t xml:space="preserve">Figure </w:t>
      </w:r>
      <w:r w:rsidR="004D1DDA">
        <w:rPr>
          <w:noProof/>
        </w:rPr>
        <w:t>2</w:t>
      </w:r>
      <w:r w:rsidR="00FE503B">
        <w:fldChar w:fldCharType="end"/>
      </w:r>
      <w:r w:rsidR="00FE503B">
        <w:t>) and prices would be expected to be lower across the market as a whole.</w:t>
      </w:r>
    </w:p>
    <w:p w:rsidR="005B1564" w:rsidRPr="004C33D1" w:rsidRDefault="005B1564" w:rsidP="00D14B4C">
      <w:pPr>
        <w:pStyle w:val="Heading3"/>
      </w:pPr>
      <w:r w:rsidRPr="004C33D1">
        <w:t>Costs vs Income</w:t>
      </w:r>
    </w:p>
    <w:p w:rsidR="005B1564" w:rsidRPr="004C33D1" w:rsidRDefault="005B1564" w:rsidP="00827E15">
      <w:r w:rsidRPr="004C33D1">
        <w:t xml:space="preserve">Some of the problems attributed to housing unaffordability are problems more attributable to low income. Housing unaffordability is isolated from income-related problems to the extent that the price of property is higher than it should be, as discussed in Section </w:t>
      </w:r>
      <w:r w:rsidR="005E59EA">
        <w:fldChar w:fldCharType="begin"/>
      </w:r>
      <w:r w:rsidR="005E59EA">
        <w:instrText xml:space="preserve"> REF _Ref457986877 \r \h </w:instrText>
      </w:r>
      <w:r w:rsidR="005E59EA">
        <w:fldChar w:fldCharType="separate"/>
      </w:r>
      <w:r w:rsidR="004D1DDA">
        <w:t>2.3</w:t>
      </w:r>
      <w:r w:rsidR="005E59EA">
        <w:fldChar w:fldCharType="end"/>
      </w:r>
      <w:r w:rsidRPr="004C33D1">
        <w:t xml:space="preserve"> above.</w:t>
      </w:r>
    </w:p>
    <w:p w:rsidR="00603283" w:rsidRPr="004C33D1" w:rsidRDefault="00603283" w:rsidP="00D14B4C">
      <w:pPr>
        <w:pStyle w:val="Heading3"/>
      </w:pPr>
      <w:r w:rsidRPr="004C33D1">
        <w:lastRenderedPageBreak/>
        <w:t>Distribution of Effects</w:t>
      </w:r>
    </w:p>
    <w:p w:rsidR="00B152F7" w:rsidRPr="004C33D1" w:rsidRDefault="00B152F7" w:rsidP="00B152F7">
      <w:r w:rsidRPr="004C33D1">
        <w:t>Data and research on home ownership and housing affordability suggest that affordability problems are concentrated amongst particular sub-populations of New Zealand.</w:t>
      </w:r>
      <w:r w:rsidRPr="004C33D1">
        <w:rPr>
          <w:rStyle w:val="FootnoteReference"/>
        </w:rPr>
        <w:footnoteReference w:id="38"/>
      </w:r>
      <w:r w:rsidRPr="004C33D1">
        <w:t xml:space="preserve"> </w:t>
      </w:r>
    </w:p>
    <w:p w:rsidR="00B152F7" w:rsidRPr="004C33D1" w:rsidRDefault="00B152F7" w:rsidP="00B152F7"/>
    <w:p w:rsidR="007976DF" w:rsidRPr="004C33D1" w:rsidRDefault="007976DF" w:rsidP="007976DF">
      <w:pPr>
        <w:pStyle w:val="ListParagraph"/>
        <w:numPr>
          <w:ilvl w:val="0"/>
          <w:numId w:val="12"/>
        </w:numPr>
      </w:pPr>
      <w:r w:rsidRPr="004C33D1">
        <w:t>The most unaffordable areas tend to be the main urban centres (Auckland, Tauranga, New Plymouth, Palmerston North, and Wellington) or ‘holiday’ areas (Far North, Thames-Coromandel, Kaikoura, and Queenstown Lakes).</w:t>
      </w:r>
      <w:r w:rsidRPr="004C33D1">
        <w:rPr>
          <w:rStyle w:val="FootnoteReference"/>
        </w:rPr>
        <w:footnoteReference w:id="39"/>
      </w:r>
      <w:r w:rsidRPr="004C33D1">
        <w:t xml:space="preserve"> </w:t>
      </w:r>
    </w:p>
    <w:p w:rsidR="007976DF" w:rsidRDefault="007976DF" w:rsidP="007976DF">
      <w:pPr>
        <w:pStyle w:val="ListParagraph"/>
        <w:numPr>
          <w:ilvl w:val="0"/>
          <w:numId w:val="0"/>
        </w:numPr>
        <w:ind w:left="720"/>
      </w:pPr>
    </w:p>
    <w:p w:rsidR="00B152F7" w:rsidRPr="004C33D1" w:rsidRDefault="00B152F7" w:rsidP="00B152F7">
      <w:pPr>
        <w:pStyle w:val="ListParagraph"/>
        <w:numPr>
          <w:ilvl w:val="0"/>
          <w:numId w:val="12"/>
        </w:numPr>
      </w:pPr>
      <w:r w:rsidRPr="004C33D1">
        <w:t>Housing affordability outcomes are worse for lower-income New Zealanders, who are most affected by rising prices across the market</w:t>
      </w:r>
      <w:r w:rsidR="007976DF">
        <w:t xml:space="preserve"> and spend a greater proportion of their income on housing than higher income </w:t>
      </w:r>
      <w:proofErr w:type="gramStart"/>
      <w:r w:rsidR="007976DF">
        <w:t>households</w:t>
      </w:r>
      <w:proofErr w:type="gramEnd"/>
      <w:r w:rsidR="00FC5C7F">
        <w:t>.</w:t>
      </w:r>
      <w:r w:rsidR="007976DF" w:rsidRPr="004C33D1">
        <w:rPr>
          <w:rStyle w:val="FootnoteReference"/>
        </w:rPr>
        <w:footnoteReference w:id="40"/>
      </w:r>
    </w:p>
    <w:p w:rsidR="00B152F7" w:rsidRPr="004C33D1" w:rsidRDefault="00B152F7" w:rsidP="00B152F7">
      <w:pPr>
        <w:pStyle w:val="ListParagraph"/>
        <w:numPr>
          <w:ilvl w:val="0"/>
          <w:numId w:val="0"/>
        </w:numPr>
        <w:ind w:left="720"/>
      </w:pPr>
    </w:p>
    <w:p w:rsidR="00B152F7" w:rsidRPr="004C33D1" w:rsidRDefault="00B152F7" w:rsidP="00275852">
      <w:pPr>
        <w:pStyle w:val="ListParagraph"/>
        <w:numPr>
          <w:ilvl w:val="0"/>
          <w:numId w:val="12"/>
        </w:numPr>
      </w:pPr>
      <w:r w:rsidRPr="004C33D1">
        <w:t xml:space="preserve">Households living in rental accommodation spend a greater proportion of their income on housing </w:t>
      </w:r>
      <w:proofErr w:type="gramStart"/>
      <w:r w:rsidRPr="004C33D1">
        <w:t>than households</w:t>
      </w:r>
      <w:proofErr w:type="gramEnd"/>
      <w:r w:rsidRPr="004C33D1">
        <w:t xml:space="preserve"> living in owner-occupied homes (see</w:t>
      </w:r>
      <w:r w:rsidR="0025540B">
        <w:t xml:space="preserve"> </w:t>
      </w:r>
      <w:r w:rsidR="0025540B">
        <w:fldChar w:fldCharType="begin"/>
      </w:r>
      <w:r w:rsidR="0025540B">
        <w:instrText xml:space="preserve"> REF _Ref462903445 \h </w:instrText>
      </w:r>
      <w:r w:rsidR="0025540B">
        <w:fldChar w:fldCharType="separate"/>
      </w:r>
      <w:r w:rsidR="004D1DDA" w:rsidRPr="004C33D1">
        <w:t xml:space="preserve">Figure </w:t>
      </w:r>
      <w:r w:rsidR="004D1DDA">
        <w:rPr>
          <w:noProof/>
        </w:rPr>
        <w:t>4</w:t>
      </w:r>
      <w:r w:rsidR="0025540B">
        <w:fldChar w:fldCharType="end"/>
      </w:r>
      <w:r w:rsidRPr="004C33D1">
        <w:t>). In part, this reflects higher incomes a</w:t>
      </w:r>
      <w:r w:rsidR="002A4BC0">
        <w:t>mong owner-occupying households.</w:t>
      </w:r>
      <w:r w:rsidR="002A4BC0">
        <w:br/>
      </w:r>
    </w:p>
    <w:p w:rsidR="002A4BC0" w:rsidRPr="004C33D1" w:rsidRDefault="002A4BC0" w:rsidP="002A4BC0">
      <w:pPr>
        <w:pStyle w:val="ListParagraph"/>
        <w:numPr>
          <w:ilvl w:val="0"/>
          <w:numId w:val="12"/>
        </w:numPr>
      </w:pPr>
      <w:bookmarkStart w:id="58" w:name="_Ref455998978"/>
      <w:r w:rsidRPr="004C33D1">
        <w:t>There are large disparities in home ownership between people of European ethnicity and all other ethnic groups. The percentage of people living in owned homes ranges from an average of 70% for Europeans to an average of 33% for Pacific peoples and 43% for Māori. Home ownership rates have fallen for all major ethnic groups since 2001, but Pacific peoples (5.1%), Maori (3.8%) and Asian (3.6%) populations have e</w:t>
      </w:r>
      <w:r>
        <w:t>xperienced the greatest decline.</w:t>
      </w:r>
      <w:r w:rsidRPr="004C33D1">
        <w:rPr>
          <w:rStyle w:val="FootnoteReference"/>
        </w:rPr>
        <w:footnoteReference w:id="41"/>
      </w:r>
    </w:p>
    <w:p w:rsidR="002A4BC0" w:rsidRPr="004C33D1" w:rsidRDefault="002A4BC0" w:rsidP="002A4BC0"/>
    <w:p w:rsidR="002A4BC0" w:rsidRPr="004C33D1" w:rsidRDefault="002A4BC0" w:rsidP="002A4BC0">
      <w:pPr>
        <w:pStyle w:val="ListParagraph"/>
        <w:numPr>
          <w:ilvl w:val="0"/>
          <w:numId w:val="12"/>
        </w:numPr>
      </w:pPr>
      <w:r w:rsidRPr="004C33D1">
        <w:t xml:space="preserve">Households in Auckland spend a greater share of their income on </w:t>
      </w:r>
      <w:proofErr w:type="gramStart"/>
      <w:r w:rsidRPr="004C33D1">
        <w:t>housing,</w:t>
      </w:r>
      <w:proofErr w:type="gramEnd"/>
      <w:r w:rsidRPr="004C33D1">
        <w:t xml:space="preserve"> regardless of whether they are renting or living in owner-occupied dwellings (see</w:t>
      </w:r>
      <w:r w:rsidR="0025540B">
        <w:t xml:space="preserve"> </w:t>
      </w:r>
      <w:r w:rsidR="0025540B">
        <w:fldChar w:fldCharType="begin"/>
      </w:r>
      <w:r w:rsidR="0025540B">
        <w:instrText xml:space="preserve"> REF _Ref462903445 \h </w:instrText>
      </w:r>
      <w:r w:rsidR="0025540B">
        <w:fldChar w:fldCharType="separate"/>
      </w:r>
      <w:r w:rsidR="004D1DDA" w:rsidRPr="004C33D1">
        <w:t xml:space="preserve">Figure </w:t>
      </w:r>
      <w:r w:rsidR="004D1DDA">
        <w:rPr>
          <w:noProof/>
        </w:rPr>
        <w:t>4</w:t>
      </w:r>
      <w:r w:rsidR="0025540B">
        <w:fldChar w:fldCharType="end"/>
      </w:r>
      <w:r w:rsidR="0025540B">
        <w:t>)</w:t>
      </w:r>
      <w:r>
        <w:t>.</w:t>
      </w:r>
    </w:p>
    <w:p w:rsidR="002A4BC0" w:rsidRPr="004C33D1" w:rsidRDefault="002A4BC0" w:rsidP="002A4BC0"/>
    <w:p w:rsidR="002A4BC0" w:rsidRDefault="002A4BC0" w:rsidP="002A4BC0">
      <w:pPr>
        <w:pStyle w:val="ListParagraph"/>
        <w:numPr>
          <w:ilvl w:val="0"/>
          <w:numId w:val="67"/>
        </w:numPr>
      </w:pPr>
      <w:r w:rsidRPr="004C33D1">
        <w:t>Relative to European countries, residential homes form a greater proportion of New Zealand household wealth and financial asset ownership is far less common.</w:t>
      </w:r>
      <w:r w:rsidRPr="004C33D1">
        <w:rPr>
          <w:rStyle w:val="FootnoteReference"/>
        </w:rPr>
        <w:footnoteReference w:id="42"/>
      </w:r>
      <w:r w:rsidRPr="004C33D1">
        <w:t xml:space="preserve"> Thus, a continuation of greater decline in homeownership rates among certain ethnicities could further exaggerate wealth inequality between ethnic groups.</w:t>
      </w:r>
    </w:p>
    <w:p w:rsidR="0025540B" w:rsidRPr="002A4BC0" w:rsidRDefault="0025540B" w:rsidP="0025540B"/>
    <w:p w:rsidR="00827E15" w:rsidRPr="004C33D1" w:rsidRDefault="00827E15" w:rsidP="00E02811">
      <w:pPr>
        <w:pStyle w:val="Caption"/>
      </w:pPr>
      <w:bookmarkStart w:id="59" w:name="_Ref462903445"/>
      <w:r w:rsidRPr="004C33D1">
        <w:lastRenderedPageBreak/>
        <w:t xml:space="preserve">Figure </w:t>
      </w:r>
      <w:r w:rsidRPr="004C33D1">
        <w:fldChar w:fldCharType="begin"/>
      </w:r>
      <w:r w:rsidRPr="004C33D1">
        <w:instrText xml:space="preserve"> SEQ Figure \* ARABIC </w:instrText>
      </w:r>
      <w:r w:rsidRPr="004C33D1">
        <w:fldChar w:fldCharType="separate"/>
      </w:r>
      <w:r w:rsidR="004D1DDA">
        <w:rPr>
          <w:noProof/>
        </w:rPr>
        <w:t>4</w:t>
      </w:r>
      <w:r w:rsidRPr="004C33D1">
        <w:fldChar w:fldCharType="end"/>
      </w:r>
      <w:bookmarkEnd w:id="58"/>
      <w:bookmarkEnd w:id="59"/>
      <w:r w:rsidRPr="004C33D1">
        <w:t xml:space="preserve"> Housing costs as a percentage of household income 2007– 2013</w:t>
      </w:r>
    </w:p>
    <w:p w:rsidR="00827E15" w:rsidRPr="004C33D1" w:rsidRDefault="00827E15" w:rsidP="00827E15">
      <w:pPr>
        <w:jc w:val="center"/>
      </w:pPr>
      <w:r w:rsidRPr="004C33D1">
        <w:rPr>
          <w:noProof/>
          <w:lang w:eastAsia="en-NZ"/>
        </w:rPr>
        <w:drawing>
          <wp:inline distT="0" distB="0" distL="0" distR="0" wp14:anchorId="54E9069D" wp14:editId="0AAFAAC0">
            <wp:extent cx="1789219" cy="223098"/>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13023" t="-2" r="17622" b="44294"/>
                    <a:stretch/>
                  </pic:blipFill>
                  <pic:spPr bwMode="auto">
                    <a:xfrm rot="16200000">
                      <a:off x="0" y="0"/>
                      <a:ext cx="1813614" cy="226140"/>
                    </a:xfrm>
                    <a:prstGeom prst="rect">
                      <a:avLst/>
                    </a:prstGeom>
                    <a:noFill/>
                    <a:ln>
                      <a:noFill/>
                    </a:ln>
                    <a:extLst>
                      <a:ext uri="{53640926-AAD7-44D8-BBD7-CCE9431645EC}">
                        <a14:shadowObscured xmlns:a14="http://schemas.microsoft.com/office/drawing/2010/main"/>
                      </a:ext>
                    </a:extLst>
                  </pic:spPr>
                </pic:pic>
              </a:graphicData>
            </a:graphic>
          </wp:inline>
        </w:drawing>
      </w:r>
      <w:r w:rsidRPr="004C33D1">
        <w:rPr>
          <w:noProof/>
          <w:lang w:eastAsia="en-NZ"/>
        </w:rPr>
        <w:drawing>
          <wp:inline distT="0" distB="0" distL="0" distR="0" wp14:anchorId="103648F1" wp14:editId="0D98FA14">
            <wp:extent cx="3954780" cy="1764583"/>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9716"/>
                    <a:stretch/>
                  </pic:blipFill>
                  <pic:spPr bwMode="auto">
                    <a:xfrm>
                      <a:off x="0" y="0"/>
                      <a:ext cx="3954767" cy="1764577"/>
                    </a:xfrm>
                    <a:prstGeom prst="rect">
                      <a:avLst/>
                    </a:prstGeom>
                    <a:noFill/>
                    <a:ln>
                      <a:noFill/>
                    </a:ln>
                    <a:extLst>
                      <a:ext uri="{53640926-AAD7-44D8-BBD7-CCE9431645EC}">
                        <a14:shadowObscured xmlns:a14="http://schemas.microsoft.com/office/drawing/2010/main"/>
                      </a:ext>
                    </a:extLst>
                  </pic:spPr>
                </pic:pic>
              </a:graphicData>
            </a:graphic>
          </wp:inline>
        </w:drawing>
      </w:r>
    </w:p>
    <w:p w:rsidR="00827E15" w:rsidRPr="004C33D1" w:rsidRDefault="00827E15" w:rsidP="002A4BC0">
      <w:pPr>
        <w:pStyle w:val="Caption"/>
        <w:spacing w:after="0" w:line="240" w:lineRule="auto"/>
      </w:pPr>
      <w:r w:rsidRPr="004C33D1">
        <w:t xml:space="preserve">Note: use of median or mean values </w:t>
      </w:r>
      <w:proofErr w:type="gramStart"/>
      <w:r w:rsidRPr="004C33D1">
        <w:t>is not specified</w:t>
      </w:r>
      <w:proofErr w:type="gramEnd"/>
    </w:p>
    <w:p w:rsidR="002A4BC0" w:rsidRPr="004C33D1" w:rsidRDefault="00827E15" w:rsidP="002A4BC0">
      <w:pPr>
        <w:pStyle w:val="Caption"/>
        <w:spacing w:before="0" w:line="240" w:lineRule="auto"/>
      </w:pPr>
      <w:r w:rsidRPr="004C33D1">
        <w:t xml:space="preserve">Source: Goodyear R &amp; Fabian A (2014) Housing in Auckland: Trends in housing from the Census of Population and Dwellings 1991 to 2013 </w:t>
      </w:r>
    </w:p>
    <w:p w:rsidR="00392152" w:rsidRPr="004C33D1" w:rsidRDefault="00E31755" w:rsidP="00220C7C">
      <w:pPr>
        <w:pStyle w:val="Heading2"/>
      </w:pPr>
      <w:bookmarkStart w:id="60" w:name="_Toc462413616"/>
      <w:bookmarkStart w:id="61" w:name="_Toc462582168"/>
      <w:bookmarkStart w:id="62" w:name="_Ref457983737"/>
      <w:r>
        <w:t xml:space="preserve">The role of </w:t>
      </w:r>
      <w:r w:rsidR="00392152" w:rsidRPr="004C33D1">
        <w:t>Council</w:t>
      </w:r>
      <w:r>
        <w:t>s</w:t>
      </w:r>
      <w:bookmarkEnd w:id="60"/>
      <w:bookmarkEnd w:id="61"/>
      <w:r w:rsidR="00392152" w:rsidRPr="004C33D1">
        <w:t xml:space="preserve"> </w:t>
      </w:r>
      <w:bookmarkEnd w:id="62"/>
    </w:p>
    <w:p w:rsidR="00392152" w:rsidRPr="004C33D1" w:rsidRDefault="00392152" w:rsidP="00392152">
      <w:pPr>
        <w:pStyle w:val="Heading3"/>
      </w:pPr>
      <w:r w:rsidRPr="004C33D1">
        <w:t>Estimating Supply and Demand</w:t>
      </w:r>
    </w:p>
    <w:p w:rsidR="00827199" w:rsidRPr="004C33D1" w:rsidRDefault="00827199" w:rsidP="00884B8A">
      <w:r w:rsidRPr="004C33D1">
        <w:t xml:space="preserve">The </w:t>
      </w:r>
      <w:r w:rsidR="0059793C">
        <w:t>draft</w:t>
      </w:r>
      <w:r w:rsidRPr="004C33D1">
        <w:t xml:space="preserve"> NPS-UDC requires </w:t>
      </w:r>
      <w:r w:rsidR="002A4BC0">
        <w:t>councils</w:t>
      </w:r>
      <w:r w:rsidRPr="004C33D1">
        <w:t xml:space="preserve"> to estimate demand and development capacity for different land uses (residential and business use). However, the quantity of housing or business floorspace demanded will depend on the price at which it is available (</w:t>
      </w:r>
      <w:r w:rsidRPr="004C33D1">
        <w:fldChar w:fldCharType="begin"/>
      </w:r>
      <w:r w:rsidRPr="004C33D1">
        <w:instrText xml:space="preserve"> REF _Ref457291517 \h </w:instrText>
      </w:r>
      <w:r w:rsidRPr="004C33D1">
        <w:fldChar w:fldCharType="separate"/>
      </w:r>
      <w:r w:rsidR="004D1DDA" w:rsidRPr="004C33D1">
        <w:t xml:space="preserve">Figure </w:t>
      </w:r>
      <w:r w:rsidR="004D1DDA">
        <w:rPr>
          <w:noProof/>
        </w:rPr>
        <w:t>2</w:t>
      </w:r>
      <w:r w:rsidRPr="004C33D1">
        <w:fldChar w:fldCharType="end"/>
      </w:r>
      <w:r w:rsidRPr="004C33D1">
        <w:t>). For example, if house prices were lower</w:t>
      </w:r>
      <w:r w:rsidR="00835F7F">
        <w:t>,</w:t>
      </w:r>
      <w:r w:rsidRPr="004C33D1">
        <w:t xml:space="preserve"> demand would be greater as it would include people who </w:t>
      </w:r>
      <w:proofErr w:type="gramStart"/>
      <w:r w:rsidRPr="004C33D1">
        <w:t>have currently been rationed</w:t>
      </w:r>
      <w:proofErr w:type="gramEnd"/>
      <w:r w:rsidRPr="004C33D1">
        <w:t xml:space="preserve"> out of the market, eg by moving to other locations or continuing to rent rather than buy. </w:t>
      </w:r>
      <w:r w:rsidR="00C20D54" w:rsidRPr="004C33D1">
        <w:t>Therefore,</w:t>
      </w:r>
      <w:r w:rsidRPr="004C33D1">
        <w:t xml:space="preserve"> to make sense of the requirement to meet demand an understanding of this relationship is required.</w:t>
      </w:r>
    </w:p>
    <w:p w:rsidR="00827199" w:rsidRPr="004C33D1" w:rsidRDefault="00827199" w:rsidP="00884B8A"/>
    <w:p w:rsidR="00884B8A" w:rsidRDefault="00884B8A" w:rsidP="00884B8A">
      <w:r w:rsidRPr="004C33D1">
        <w:t xml:space="preserve">Adequate supply </w:t>
      </w:r>
      <w:proofErr w:type="gramStart"/>
      <w:r w:rsidRPr="004C33D1">
        <w:t>is best defined</w:t>
      </w:r>
      <w:proofErr w:type="gramEnd"/>
      <w:r w:rsidRPr="004C33D1">
        <w:t xml:space="preserve"> as sufficient to meet demand at the ideal target price (P</w:t>
      </w:r>
      <w:r w:rsidRPr="004C33D1">
        <w:rPr>
          <w:vertAlign w:val="subscript"/>
        </w:rPr>
        <w:t>0</w:t>
      </w:r>
      <w:r w:rsidRPr="004C33D1">
        <w:t xml:space="preserve"> in </w:t>
      </w:r>
      <w:r w:rsidRPr="004C33D1">
        <w:fldChar w:fldCharType="begin"/>
      </w:r>
      <w:r w:rsidRPr="004C33D1">
        <w:instrText xml:space="preserve"> REF _Ref457291517 \h </w:instrText>
      </w:r>
      <w:r w:rsidRPr="004C33D1">
        <w:fldChar w:fldCharType="separate"/>
      </w:r>
      <w:r w:rsidR="004D1DDA" w:rsidRPr="004C33D1">
        <w:t xml:space="preserve">Figure </w:t>
      </w:r>
      <w:r w:rsidR="004D1DDA">
        <w:rPr>
          <w:noProof/>
        </w:rPr>
        <w:t>2</w:t>
      </w:r>
      <w:r w:rsidRPr="004C33D1">
        <w:fldChar w:fldCharType="end"/>
      </w:r>
      <w:r w:rsidRPr="004C33D1">
        <w:t xml:space="preserve">). This is a price equal to the marginal cost of supply, ie the cost of supplying one more unit of development capacity, at the point at which demand </w:t>
      </w:r>
      <w:proofErr w:type="gramStart"/>
      <w:r w:rsidRPr="004C33D1">
        <w:t>is met</w:t>
      </w:r>
      <w:proofErr w:type="gramEnd"/>
      <w:r w:rsidRPr="004C33D1">
        <w:t xml:space="preserve">. This is obviously a somewhat circular definition: the price </w:t>
      </w:r>
      <w:proofErr w:type="gramStart"/>
      <w:r w:rsidRPr="004C33D1">
        <w:t>is determined</w:t>
      </w:r>
      <w:proofErr w:type="gramEnd"/>
      <w:r w:rsidRPr="004C33D1">
        <w:t xml:space="preserve"> by the quantity supplied and the quantity is determined by demand at that price. Defining this in practice is likely to </w:t>
      </w:r>
      <w:r w:rsidR="00BA7A66">
        <w:t>be subject to considerable uncertainty</w:t>
      </w:r>
      <w:r w:rsidRPr="004C33D1">
        <w:t xml:space="preserve">, but estimating the adequacy of supply on the basis of existing demand at elevated prices will under-estimate the supply requirements. </w:t>
      </w:r>
    </w:p>
    <w:p w:rsidR="00BA7A66" w:rsidRDefault="00BA7A66" w:rsidP="00884B8A"/>
    <w:p w:rsidR="00BA7A66" w:rsidRPr="004C33D1" w:rsidRDefault="00762DA1" w:rsidP="007D60C2">
      <w:r>
        <w:t xml:space="preserve">In Section </w:t>
      </w:r>
      <w:r>
        <w:fldChar w:fldCharType="begin"/>
      </w:r>
      <w:r>
        <w:instrText xml:space="preserve"> REF _Ref456275931 \r \h </w:instrText>
      </w:r>
      <w:r>
        <w:fldChar w:fldCharType="separate"/>
      </w:r>
      <w:proofErr w:type="gramStart"/>
      <w:r w:rsidR="004D1DDA">
        <w:t>3</w:t>
      </w:r>
      <w:proofErr w:type="gramEnd"/>
      <w:r>
        <w:fldChar w:fldCharType="end"/>
      </w:r>
      <w:r>
        <w:t xml:space="preserve"> w</w:t>
      </w:r>
      <w:r w:rsidR="007D60C2">
        <w:t xml:space="preserve">e consider some factors that might be required to model changes in demand </w:t>
      </w:r>
      <w:r w:rsidR="00BA7A66">
        <w:t>in response to price</w:t>
      </w:r>
      <w:r>
        <w:t xml:space="preserve">. However, </w:t>
      </w:r>
      <w:r w:rsidR="007D60C2">
        <w:t>detailed discussion of the modelling requirements is beyond the scope of this study.</w:t>
      </w:r>
    </w:p>
    <w:p w:rsidR="00392152" w:rsidRPr="004C33D1" w:rsidRDefault="00884B8A" w:rsidP="00392152">
      <w:pPr>
        <w:pStyle w:val="Heading3"/>
      </w:pPr>
      <w:r w:rsidRPr="004C33D1">
        <w:t xml:space="preserve">Increasing </w:t>
      </w:r>
      <w:r w:rsidR="00392152" w:rsidRPr="004C33D1">
        <w:t>Competitive</w:t>
      </w:r>
      <w:r w:rsidRPr="004C33D1">
        <w:t>ness of</w:t>
      </w:r>
      <w:r w:rsidR="00392152" w:rsidRPr="004C33D1">
        <w:t xml:space="preserve"> Markets</w:t>
      </w:r>
    </w:p>
    <w:p w:rsidR="004C2AD9" w:rsidRDefault="004C2AD9" w:rsidP="004C2AD9">
      <w:r w:rsidRPr="004C33D1">
        <w:fldChar w:fldCharType="begin"/>
      </w:r>
      <w:r w:rsidRPr="004C33D1">
        <w:instrText xml:space="preserve"> REF _Ref457982011 \h </w:instrText>
      </w:r>
      <w:r w:rsidRPr="004C33D1">
        <w:fldChar w:fldCharType="separate"/>
      </w:r>
      <w:r w:rsidR="004D1DDA" w:rsidRPr="004C33D1">
        <w:t xml:space="preserve">Table </w:t>
      </w:r>
      <w:r w:rsidR="004D1DDA">
        <w:rPr>
          <w:noProof/>
        </w:rPr>
        <w:t>2</w:t>
      </w:r>
      <w:r w:rsidRPr="004C33D1">
        <w:fldChar w:fldCharType="end"/>
      </w:r>
      <w:r w:rsidRPr="004C33D1">
        <w:t xml:space="preserve"> sets out a number of possible impacts of councils on the factors affecting the competitiveness of land and development markets. </w:t>
      </w:r>
    </w:p>
    <w:p w:rsidR="0025540B" w:rsidRDefault="0025540B" w:rsidP="004C2AD9"/>
    <w:p w:rsidR="00603832" w:rsidRPr="004C33D1" w:rsidRDefault="00603832" w:rsidP="004C2AD9"/>
    <w:p w:rsidR="004C2AD9" w:rsidRPr="004C33D1" w:rsidRDefault="004C2AD9" w:rsidP="00E02811">
      <w:pPr>
        <w:pStyle w:val="Caption"/>
      </w:pPr>
      <w:bookmarkStart w:id="63" w:name="_Ref457982011"/>
      <w:r w:rsidRPr="004C33D1">
        <w:lastRenderedPageBreak/>
        <w:t xml:space="preserve">Table </w:t>
      </w:r>
      <w:r w:rsidRPr="004C33D1">
        <w:fldChar w:fldCharType="begin"/>
      </w:r>
      <w:r w:rsidRPr="004C33D1">
        <w:instrText xml:space="preserve"> SEQ Table \* ARABIC </w:instrText>
      </w:r>
      <w:r w:rsidRPr="004C33D1">
        <w:fldChar w:fldCharType="separate"/>
      </w:r>
      <w:r w:rsidR="004D1DDA">
        <w:rPr>
          <w:noProof/>
        </w:rPr>
        <w:t>2</w:t>
      </w:r>
      <w:r w:rsidRPr="004C33D1">
        <w:fldChar w:fldCharType="end"/>
      </w:r>
      <w:bookmarkEnd w:id="63"/>
      <w:r w:rsidRPr="004C33D1">
        <w:t xml:space="preserve"> Role of councils in competitive </w:t>
      </w:r>
      <w:r w:rsidRPr="00E02811">
        <w:t>markets</w:t>
      </w:r>
      <w:r w:rsidRPr="004C33D1">
        <w:t xml:space="preserve"> for land and development</w:t>
      </w:r>
    </w:p>
    <w:tbl>
      <w:tblPr>
        <w:tblStyle w:val="CovecTables"/>
        <w:tblW w:w="0" w:type="auto"/>
        <w:tblBorders>
          <w:bottom w:val="single" w:sz="12" w:space="0" w:color="A6A6A6" w:themeColor="background1" w:themeShade="A6"/>
          <w:insideH w:val="single" w:sz="6" w:space="0" w:color="A6A6A6" w:themeColor="background1" w:themeShade="A6"/>
        </w:tblBorders>
        <w:tblLook w:val="04E0" w:firstRow="1" w:lastRow="1" w:firstColumn="1" w:lastColumn="0" w:noHBand="0" w:noVBand="1"/>
      </w:tblPr>
      <w:tblGrid>
        <w:gridCol w:w="2155"/>
        <w:gridCol w:w="5953"/>
      </w:tblGrid>
      <w:tr w:rsidR="004C2AD9" w:rsidRPr="004C33D1" w:rsidTr="00E71B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55" w:type="dxa"/>
            <w:tcBorders>
              <w:bottom w:val="none" w:sz="0" w:space="0" w:color="auto"/>
            </w:tcBorders>
          </w:tcPr>
          <w:p w:rsidR="004C2AD9" w:rsidRPr="004C33D1" w:rsidRDefault="004C2AD9" w:rsidP="00E71B09">
            <w:pPr>
              <w:pStyle w:val="TableText"/>
            </w:pPr>
            <w:r w:rsidRPr="004C33D1">
              <w:t>Issue</w:t>
            </w:r>
          </w:p>
        </w:tc>
        <w:tc>
          <w:tcPr>
            <w:tcW w:w="5953" w:type="dxa"/>
            <w:tcBorders>
              <w:bottom w:val="none" w:sz="0" w:space="0" w:color="auto"/>
            </w:tcBorders>
          </w:tcPr>
          <w:p w:rsidR="004C2AD9" w:rsidRPr="004C33D1" w:rsidRDefault="004C2AD9" w:rsidP="00E71B09">
            <w:pPr>
              <w:pStyle w:val="TableText"/>
              <w:jc w:val="left"/>
              <w:cnfStyle w:val="100000000000" w:firstRow="1" w:lastRow="0" w:firstColumn="0" w:lastColumn="0" w:oddVBand="0" w:evenVBand="0" w:oddHBand="0" w:evenHBand="0" w:firstRowFirstColumn="0" w:firstRowLastColumn="0" w:lastRowFirstColumn="0" w:lastRowLastColumn="0"/>
            </w:pPr>
            <w:r w:rsidRPr="004C33D1">
              <w:t>Council Role</w:t>
            </w:r>
          </w:p>
        </w:tc>
      </w:tr>
      <w:tr w:rsidR="004C2AD9" w:rsidRPr="004C33D1" w:rsidTr="00E71B09">
        <w:tblPrEx>
          <w:tblCellMar>
            <w:top w:w="0" w:type="dxa"/>
            <w:left w:w="0" w:type="dxa"/>
            <w:bottom w:w="0" w:type="dxa"/>
            <w:right w:w="0" w:type="dxa"/>
          </w:tblCellMar>
        </w:tblPrEx>
        <w:tc>
          <w:tcPr>
            <w:cnfStyle w:val="001000000000" w:firstRow="0" w:lastRow="0" w:firstColumn="1" w:lastColumn="0" w:oddVBand="0" w:evenVBand="0" w:oddHBand="0" w:evenHBand="0" w:firstRowFirstColumn="0" w:firstRowLastColumn="0" w:lastRowFirstColumn="0" w:lastRowLastColumn="0"/>
            <w:tcW w:w="2155" w:type="dxa"/>
            <w:vAlign w:val="top"/>
          </w:tcPr>
          <w:p w:rsidR="004C2AD9" w:rsidRPr="004C33D1" w:rsidRDefault="004C2AD9" w:rsidP="00E71B09">
            <w:pPr>
              <w:pStyle w:val="TableText"/>
            </w:pPr>
            <w:r w:rsidRPr="004C33D1">
              <w:t>Barriers to market entry</w:t>
            </w:r>
          </w:p>
        </w:tc>
        <w:tc>
          <w:tcPr>
            <w:tcW w:w="5953" w:type="dxa"/>
          </w:tcPr>
          <w:p w:rsidR="004C2AD9" w:rsidRPr="004C33D1" w:rsidRDefault="004C2AD9" w:rsidP="00E71B09">
            <w:pPr>
              <w:pStyle w:val="TableText"/>
              <w:jc w:val="left"/>
              <w:cnfStyle w:val="000000000000" w:firstRow="0" w:lastRow="0" w:firstColumn="0" w:lastColumn="0" w:oddVBand="0" w:evenVBand="0" w:oddHBand="0" w:evenHBand="0" w:firstRowFirstColumn="0" w:firstRowLastColumn="0" w:lastRowFirstColumn="0" w:lastRowLastColumn="0"/>
            </w:pPr>
            <w:proofErr w:type="gramStart"/>
            <w:r w:rsidRPr="004C33D1">
              <w:t>Zoning to restrict and use and development density functions as a barrier to entry restricting supply.</w:t>
            </w:r>
            <w:proofErr w:type="gramEnd"/>
            <w:r w:rsidRPr="004C33D1">
              <w:t xml:space="preserve"> Councils should examine if current zoning restrictions or the limits to infrastructure provision are likely to reduce competition and lead to price increases that are not justified by the benefits of zoning. </w:t>
            </w:r>
          </w:p>
        </w:tc>
      </w:tr>
      <w:tr w:rsidR="004C2AD9" w:rsidRPr="004C33D1" w:rsidTr="00E71B09">
        <w:tblPrEx>
          <w:tblCellMar>
            <w:top w:w="0" w:type="dxa"/>
            <w:left w:w="0" w:type="dxa"/>
            <w:bottom w:w="0" w:type="dxa"/>
            <w:right w:w="0" w:type="dxa"/>
          </w:tblCellMar>
        </w:tblPrEx>
        <w:tc>
          <w:tcPr>
            <w:cnfStyle w:val="001000000000" w:firstRow="0" w:lastRow="0" w:firstColumn="1" w:lastColumn="0" w:oddVBand="0" w:evenVBand="0" w:oddHBand="0" w:evenHBand="0" w:firstRowFirstColumn="0" w:firstRowLastColumn="0" w:lastRowFirstColumn="0" w:lastRowLastColumn="0"/>
            <w:tcW w:w="2155" w:type="dxa"/>
            <w:vAlign w:val="top"/>
          </w:tcPr>
          <w:p w:rsidR="004C2AD9" w:rsidRPr="004C33D1" w:rsidRDefault="004C2AD9" w:rsidP="00E71B09">
            <w:pPr>
              <w:pStyle w:val="TableText"/>
            </w:pPr>
            <w:r w:rsidRPr="004C33D1">
              <w:t>Many buyers and sellers</w:t>
            </w:r>
          </w:p>
        </w:tc>
        <w:tc>
          <w:tcPr>
            <w:tcW w:w="5953" w:type="dxa"/>
          </w:tcPr>
          <w:p w:rsidR="004C2AD9" w:rsidRPr="004C33D1" w:rsidRDefault="004C2AD9" w:rsidP="00E71B09">
            <w:pPr>
              <w:pStyle w:val="TableText"/>
              <w:jc w:val="left"/>
              <w:cnfStyle w:val="000000000000" w:firstRow="0" w:lastRow="0" w:firstColumn="0" w:lastColumn="0" w:oddVBand="0" w:evenVBand="0" w:oddHBand="0" w:evenHBand="0" w:firstRowFirstColumn="0" w:firstRowLastColumn="0" w:lastRowFirstColumn="0" w:lastRowLastColumn="0"/>
            </w:pPr>
            <w:proofErr w:type="gramStart"/>
            <w:r w:rsidRPr="004C33D1">
              <w:t>Market driven – outside council control apart from via the influence of zoning</w:t>
            </w:r>
            <w:r w:rsidR="00603832">
              <w:t>.</w:t>
            </w:r>
            <w:proofErr w:type="gramEnd"/>
          </w:p>
        </w:tc>
      </w:tr>
      <w:tr w:rsidR="004C2AD9" w:rsidRPr="004C33D1" w:rsidTr="00E71B09">
        <w:tblPrEx>
          <w:tblCellMar>
            <w:top w:w="0" w:type="dxa"/>
            <w:left w:w="0" w:type="dxa"/>
            <w:bottom w:w="0" w:type="dxa"/>
            <w:right w:w="0" w:type="dxa"/>
          </w:tblCellMar>
        </w:tblPrEx>
        <w:tc>
          <w:tcPr>
            <w:cnfStyle w:val="001000000000" w:firstRow="0" w:lastRow="0" w:firstColumn="1" w:lastColumn="0" w:oddVBand="0" w:evenVBand="0" w:oddHBand="0" w:evenHBand="0" w:firstRowFirstColumn="0" w:firstRowLastColumn="0" w:lastRowFirstColumn="0" w:lastRowLastColumn="0"/>
            <w:tcW w:w="2155" w:type="dxa"/>
            <w:vAlign w:val="top"/>
          </w:tcPr>
          <w:p w:rsidR="004C2AD9" w:rsidRPr="004C33D1" w:rsidRDefault="004C2AD9" w:rsidP="00E71B09">
            <w:pPr>
              <w:pStyle w:val="TableText"/>
            </w:pPr>
            <w:r w:rsidRPr="004C33D1">
              <w:t>Uniform product</w:t>
            </w:r>
          </w:p>
        </w:tc>
        <w:tc>
          <w:tcPr>
            <w:tcW w:w="5953" w:type="dxa"/>
          </w:tcPr>
          <w:p w:rsidR="004C2AD9" w:rsidRPr="004C33D1" w:rsidRDefault="00E02811" w:rsidP="00E71B09">
            <w:pPr>
              <w:pStyle w:val="TableText"/>
              <w:jc w:val="left"/>
              <w:cnfStyle w:val="000000000000" w:firstRow="0" w:lastRow="0" w:firstColumn="0" w:lastColumn="0" w:oddVBand="0" w:evenVBand="0" w:oddHBand="0" w:evenHBand="0" w:firstRowFirstColumn="0" w:firstRowLastColumn="0" w:lastRowFirstColumn="0" w:lastRowLastColumn="0"/>
            </w:pPr>
            <w:r>
              <w:t>The complexity and variation of planning regulations, and selective changes to these (and/or selective infrastructure improvements), can reduce the uniformity of development opportunities and create “spatial monopolies”</w:t>
            </w:r>
            <w:r w:rsidR="00603832">
              <w:t>.</w:t>
            </w:r>
          </w:p>
        </w:tc>
      </w:tr>
      <w:tr w:rsidR="004C2AD9" w:rsidRPr="004C33D1" w:rsidTr="00E71B09">
        <w:tblPrEx>
          <w:tblCellMar>
            <w:top w:w="0" w:type="dxa"/>
            <w:left w:w="0" w:type="dxa"/>
            <w:bottom w:w="0" w:type="dxa"/>
            <w:right w:w="0" w:type="dxa"/>
          </w:tblCellMar>
        </w:tblPrEx>
        <w:tc>
          <w:tcPr>
            <w:cnfStyle w:val="001000000000" w:firstRow="0" w:lastRow="0" w:firstColumn="1" w:lastColumn="0" w:oddVBand="0" w:evenVBand="0" w:oddHBand="0" w:evenHBand="0" w:firstRowFirstColumn="0" w:firstRowLastColumn="0" w:lastRowFirstColumn="0" w:lastRowLastColumn="0"/>
            <w:tcW w:w="2155" w:type="dxa"/>
            <w:vAlign w:val="top"/>
          </w:tcPr>
          <w:p w:rsidR="004C2AD9" w:rsidRPr="004C33D1" w:rsidRDefault="004C2AD9" w:rsidP="00E71B09">
            <w:pPr>
              <w:pStyle w:val="TableText"/>
            </w:pPr>
            <w:r w:rsidRPr="004C33D1">
              <w:t>Externalities</w:t>
            </w:r>
          </w:p>
        </w:tc>
        <w:tc>
          <w:tcPr>
            <w:tcW w:w="5953" w:type="dxa"/>
          </w:tcPr>
          <w:p w:rsidR="004C2AD9" w:rsidRPr="004C33D1" w:rsidRDefault="004C2AD9" w:rsidP="00E71B09">
            <w:pPr>
              <w:pStyle w:val="TableText"/>
              <w:jc w:val="left"/>
              <w:cnfStyle w:val="000000000000" w:firstRow="0" w:lastRow="0" w:firstColumn="0" w:lastColumn="0" w:oddVBand="0" w:evenVBand="0" w:oddHBand="0" w:evenHBand="0" w:firstRowFirstColumn="0" w:firstRowLastColumn="0" w:lastRowFirstColumn="0" w:lastRowLastColumn="0"/>
            </w:pPr>
            <w:proofErr w:type="gramStart"/>
            <w:r w:rsidRPr="004C33D1">
              <w:t>Addressed via planning system.</w:t>
            </w:r>
            <w:proofErr w:type="gramEnd"/>
            <w:r w:rsidRPr="004C33D1">
              <w:t xml:space="preserve"> There is a question over whether it </w:t>
            </w:r>
            <w:proofErr w:type="gramStart"/>
            <w:r w:rsidRPr="004C33D1">
              <w:t>is addressed</w:t>
            </w:r>
            <w:proofErr w:type="gramEnd"/>
            <w:r w:rsidRPr="004C33D1">
              <w:t xml:space="preserve"> efficiently. Councils should analyse whether the benefits of zoning (limiting negative externalities and increasing positive externalities) are justified by the costs.</w:t>
            </w:r>
          </w:p>
        </w:tc>
      </w:tr>
      <w:tr w:rsidR="00E02811" w:rsidRPr="004C33D1" w:rsidTr="00E71B09">
        <w:tblPrEx>
          <w:tblCellMar>
            <w:top w:w="0" w:type="dxa"/>
            <w:left w:w="0" w:type="dxa"/>
            <w:bottom w:w="0" w:type="dxa"/>
            <w:right w:w="0" w:type="dxa"/>
          </w:tblCellMar>
        </w:tblPrEx>
        <w:tc>
          <w:tcPr>
            <w:cnfStyle w:val="001000000000" w:firstRow="0" w:lastRow="0" w:firstColumn="1" w:lastColumn="0" w:oddVBand="0" w:evenVBand="0" w:oddHBand="0" w:evenHBand="0" w:firstRowFirstColumn="0" w:firstRowLastColumn="0" w:lastRowFirstColumn="0" w:lastRowLastColumn="0"/>
            <w:tcW w:w="2155" w:type="dxa"/>
            <w:vAlign w:val="top"/>
          </w:tcPr>
          <w:p w:rsidR="00E02811" w:rsidRPr="004C33D1" w:rsidRDefault="00E02811" w:rsidP="00E02811">
            <w:pPr>
              <w:pStyle w:val="TableText"/>
            </w:pPr>
            <w:r w:rsidRPr="004C33D1">
              <w:t xml:space="preserve">Perfect information </w:t>
            </w:r>
          </w:p>
        </w:tc>
        <w:tc>
          <w:tcPr>
            <w:tcW w:w="5953" w:type="dxa"/>
          </w:tcPr>
          <w:p w:rsidR="00E02811" w:rsidRPr="004C33D1" w:rsidRDefault="00E02811" w:rsidP="00E02811">
            <w:pPr>
              <w:pStyle w:val="TableText"/>
              <w:jc w:val="left"/>
              <w:cnfStyle w:val="000000000000" w:firstRow="0" w:lastRow="0" w:firstColumn="0" w:lastColumn="0" w:oddVBand="0" w:evenVBand="0" w:oddHBand="0" w:evenHBand="0" w:firstRowFirstColumn="0" w:firstRowLastColumn="0" w:lastRowFirstColumn="0" w:lastRowLastColumn="0"/>
            </w:pPr>
            <w:r w:rsidRPr="004C33D1">
              <w:t xml:space="preserve">Councils could improve availability of information </w:t>
            </w:r>
            <w:r>
              <w:t>about regulations and infrastructure</w:t>
            </w:r>
            <w:r w:rsidRPr="004C33D1">
              <w:t xml:space="preserve"> to the market through</w:t>
            </w:r>
            <w:r>
              <w:t xml:space="preserve"> providing </w:t>
            </w:r>
            <w:r w:rsidRPr="004C33D1">
              <w:t>additional releases of data on property sales prices and analysis of factors affecting prices.</w:t>
            </w:r>
          </w:p>
        </w:tc>
      </w:tr>
      <w:tr w:rsidR="00E02811" w:rsidRPr="004C33D1" w:rsidTr="00E71B09">
        <w:tblPrEx>
          <w:tblCellMar>
            <w:top w:w="0" w:type="dxa"/>
            <w:left w:w="0" w:type="dxa"/>
            <w:bottom w:w="0" w:type="dxa"/>
            <w:right w:w="0"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2155" w:type="dxa"/>
            <w:tcBorders>
              <w:bottom w:val="none" w:sz="0" w:space="0" w:color="auto"/>
            </w:tcBorders>
            <w:vAlign w:val="top"/>
          </w:tcPr>
          <w:p w:rsidR="00E02811" w:rsidRPr="004C33D1" w:rsidRDefault="00E02811" w:rsidP="00E02811">
            <w:pPr>
              <w:pStyle w:val="TableText"/>
            </w:pPr>
            <w:r w:rsidRPr="004C33D1">
              <w:t>Transaction costs</w:t>
            </w:r>
          </w:p>
        </w:tc>
        <w:tc>
          <w:tcPr>
            <w:tcW w:w="5953" w:type="dxa"/>
            <w:tcBorders>
              <w:bottom w:val="none" w:sz="0" w:space="0" w:color="auto"/>
            </w:tcBorders>
          </w:tcPr>
          <w:p w:rsidR="00E02811" w:rsidRPr="004C33D1" w:rsidRDefault="00E02811" w:rsidP="00E02811">
            <w:pPr>
              <w:pStyle w:val="TableText"/>
              <w:jc w:val="left"/>
              <w:cnfStyle w:val="010000000000" w:firstRow="0" w:lastRow="1" w:firstColumn="0" w:lastColumn="0" w:oddVBand="0" w:evenVBand="0" w:oddHBand="0" w:evenHBand="0" w:firstRowFirstColumn="0" w:firstRowLastColumn="0" w:lastRowFirstColumn="0" w:lastRowLastColumn="0"/>
            </w:pPr>
            <w:r w:rsidRPr="004C33D1">
              <w:t>Consenting requirements affect development costs, including the time taken for consents.</w:t>
            </w:r>
          </w:p>
        </w:tc>
      </w:tr>
    </w:tbl>
    <w:p w:rsidR="007D60C2" w:rsidRDefault="009C6BFD" w:rsidP="007D60C2">
      <w:pPr>
        <w:pStyle w:val="Heading4"/>
      </w:pPr>
      <w:r>
        <w:t>Reducing Barriers to Market Entry</w:t>
      </w:r>
    </w:p>
    <w:p w:rsidR="009C6BFD" w:rsidRDefault="007D60C2" w:rsidP="007D60C2">
      <w:r w:rsidRPr="004C33D1">
        <w:t xml:space="preserve">Councils can influence the competitiveness of markets by </w:t>
      </w:r>
      <w:r w:rsidR="00DB63BE">
        <w:t xml:space="preserve">the </w:t>
      </w:r>
      <w:r w:rsidR="009C6BFD">
        <w:t xml:space="preserve">extent to which </w:t>
      </w:r>
      <w:r w:rsidRPr="004C33D1">
        <w:t xml:space="preserve">zoning </w:t>
      </w:r>
      <w:r w:rsidR="009C6BFD">
        <w:t>places limits on market entry relative to demand for development capacity and through the extent to which infrastructure is planned or provided for to enable development of zoned land.</w:t>
      </w:r>
    </w:p>
    <w:p w:rsidR="009C6BFD" w:rsidRDefault="009C6BFD" w:rsidP="007D60C2"/>
    <w:p w:rsidR="00E31755" w:rsidRDefault="00E31755" w:rsidP="00E31755">
      <w:r>
        <w:t xml:space="preserve">For example, councils may limit zoning for intensification, eg through sub-division or construction of taller buildings, to narrow bands around city centres. Actual intensification will then depend on the preferences of current owners. In </w:t>
      </w:r>
      <w:proofErr w:type="gramStart"/>
      <w:r>
        <w:t>greenfield</w:t>
      </w:r>
      <w:proofErr w:type="gramEnd"/>
      <w:r>
        <w:t xml:space="preserve"> areas land may only be </w:t>
      </w:r>
      <w:r w:rsidR="00E02811">
        <w:t>zoned incrementally for more intensive development</w:t>
      </w:r>
      <w:r>
        <w:t>, rather than allowing out-of-sequence development. Councils can improve this through additional zoning or responding more dynamically and responsively to expressed market demand.</w:t>
      </w:r>
    </w:p>
    <w:p w:rsidR="007D60C2" w:rsidRDefault="007D60C2" w:rsidP="007D60C2"/>
    <w:p w:rsidR="007D60C2" w:rsidRPr="004C33D1" w:rsidRDefault="009C6BFD" w:rsidP="007D60C2">
      <w:r>
        <w:t>Some</w:t>
      </w:r>
      <w:r w:rsidR="007D60C2" w:rsidRPr="004C33D1">
        <w:t xml:space="preserve"> barriers to market entry are endemic to </w:t>
      </w:r>
      <w:r w:rsidR="00E02811">
        <w:t xml:space="preserve">land and </w:t>
      </w:r>
      <w:r w:rsidR="007D60C2" w:rsidRPr="004C33D1">
        <w:t>development market</w:t>
      </w:r>
      <w:r w:rsidR="00C92CB8">
        <w:t>s</w:t>
      </w:r>
      <w:r w:rsidR="007D60C2" w:rsidRPr="004C33D1">
        <w:t xml:space="preserve">, including </w:t>
      </w:r>
      <w:r w:rsidR="00C92CB8">
        <w:t xml:space="preserve">requirements for coordinated </w:t>
      </w:r>
      <w:r w:rsidR="007D60C2" w:rsidRPr="004C33D1">
        <w:t>infrastructure and time required for development</w:t>
      </w:r>
      <w:r w:rsidR="00C92CB8">
        <w:t xml:space="preserve">. Given this, </w:t>
      </w:r>
      <w:r w:rsidR="007D60C2" w:rsidRPr="004C33D1">
        <w:t xml:space="preserve">markets </w:t>
      </w:r>
      <w:r w:rsidR="00C92CB8">
        <w:t xml:space="preserve">are likely </w:t>
      </w:r>
      <w:proofErr w:type="gramStart"/>
      <w:r w:rsidR="00C92CB8">
        <w:t xml:space="preserve">to </w:t>
      </w:r>
      <w:r w:rsidR="007D60C2" w:rsidRPr="004C33D1">
        <w:t>only be</w:t>
      </w:r>
      <w:proofErr w:type="gramEnd"/>
      <w:r w:rsidR="007D60C2" w:rsidRPr="004C33D1">
        <w:t xml:space="preserve"> competitive through over-supply of development capacity. Over-supply trades-off the higher costs of developing ahead with the benefits of a more competitive market. The costs of building infrastructure ahead of demand was examined by MRCagney </w:t>
      </w:r>
      <w:r w:rsidR="007D60C2" w:rsidRPr="004C33D1">
        <w:rPr>
          <w:i/>
        </w:rPr>
        <w:t>et al</w:t>
      </w:r>
      <w:r w:rsidR="007D60C2" w:rsidRPr="004C33D1">
        <w:t xml:space="preserve"> in the recent cost benefit analysis (CBA) of the proposed NPS-UDC.</w:t>
      </w:r>
      <w:r w:rsidR="007D60C2" w:rsidRPr="004C33D1">
        <w:rPr>
          <w:rStyle w:val="FootnoteReference"/>
        </w:rPr>
        <w:footnoteReference w:id="43"/>
      </w:r>
      <w:r w:rsidR="007D60C2" w:rsidRPr="004C33D1">
        <w:t xml:space="preserve"> That analysis suggested relatively high benefits of more competitive market allocation.</w:t>
      </w:r>
    </w:p>
    <w:p w:rsidR="007D60C2" w:rsidRPr="004C33D1" w:rsidRDefault="007D60C2" w:rsidP="007D60C2"/>
    <w:p w:rsidR="007D60C2" w:rsidRPr="004C33D1" w:rsidRDefault="007D60C2" w:rsidP="007D60C2">
      <w:r w:rsidRPr="004C33D1">
        <w:t xml:space="preserve">Consistent with this, the </w:t>
      </w:r>
      <w:r w:rsidR="0059793C">
        <w:t>draft</w:t>
      </w:r>
      <w:r w:rsidRPr="004C33D1">
        <w:t xml:space="preserve"> NPS-UDC defines sufficient supply to include an additional margin above any estimated capacity requirement (</w:t>
      </w:r>
      <w:r w:rsidRPr="004C33D1">
        <w:fldChar w:fldCharType="begin"/>
      </w:r>
      <w:r w:rsidRPr="004C33D1">
        <w:instrText xml:space="preserve"> REF _Ref457986524 \h </w:instrText>
      </w:r>
      <w:r w:rsidRPr="004C33D1">
        <w:fldChar w:fldCharType="separate"/>
      </w:r>
      <w:r w:rsidR="004D1DDA" w:rsidRPr="004C33D1">
        <w:t xml:space="preserve">Box </w:t>
      </w:r>
      <w:r w:rsidR="004D1DDA">
        <w:rPr>
          <w:noProof/>
        </w:rPr>
        <w:t>2</w:t>
      </w:r>
      <w:r w:rsidRPr="004C33D1">
        <w:fldChar w:fldCharType="end"/>
      </w:r>
      <w:r w:rsidRPr="004C33D1">
        <w:t>).</w:t>
      </w:r>
    </w:p>
    <w:p w:rsidR="007D60C2" w:rsidRPr="004C33D1" w:rsidRDefault="007D60C2" w:rsidP="00E02811">
      <w:pPr>
        <w:pStyle w:val="Caption"/>
      </w:pPr>
      <w:bookmarkStart w:id="64" w:name="_Ref457986524"/>
      <w:r w:rsidRPr="004C33D1">
        <w:lastRenderedPageBreak/>
        <w:t xml:space="preserve">Box </w:t>
      </w:r>
      <w:r w:rsidRPr="004C33D1">
        <w:fldChar w:fldCharType="begin"/>
      </w:r>
      <w:r w:rsidRPr="004C33D1">
        <w:instrText xml:space="preserve"> SEQ Box \* ARABIC </w:instrText>
      </w:r>
      <w:r w:rsidRPr="004C33D1">
        <w:fldChar w:fldCharType="separate"/>
      </w:r>
      <w:r w:rsidR="004D1DDA">
        <w:rPr>
          <w:noProof/>
        </w:rPr>
        <w:t>2</w:t>
      </w:r>
      <w:r w:rsidRPr="004C33D1">
        <w:fldChar w:fldCharType="end"/>
      </w:r>
      <w:bookmarkEnd w:id="64"/>
      <w:r w:rsidRPr="004C33D1">
        <w:t xml:space="preserve"> Definition of Sufficient</w:t>
      </w:r>
      <w:r w:rsidRPr="004C33D1">
        <w:rPr>
          <w:noProof/>
        </w:rPr>
        <w:t xml:space="preserve"> in the proposed NPS-UDC</w:t>
      </w:r>
    </w:p>
    <w:tbl>
      <w:tblPr>
        <w:tblStyle w:val="TableGrid"/>
        <w:tblW w:w="0" w:type="auto"/>
        <w:tblLook w:val="04A0" w:firstRow="1" w:lastRow="0" w:firstColumn="1" w:lastColumn="0" w:noHBand="0" w:noVBand="1"/>
      </w:tblPr>
      <w:tblGrid>
        <w:gridCol w:w="8211"/>
      </w:tblGrid>
      <w:tr w:rsidR="007D60C2" w:rsidRPr="004C33D1" w:rsidTr="00313B16">
        <w:tc>
          <w:tcPr>
            <w:tcW w:w="8211" w:type="dxa"/>
          </w:tcPr>
          <w:p w:rsidR="007D60C2" w:rsidRPr="004C33D1" w:rsidRDefault="007D60C2" w:rsidP="00313B16">
            <w:pPr>
              <w:pStyle w:val="TableText"/>
              <w:rPr>
                <w:b/>
              </w:rPr>
            </w:pPr>
            <w:r w:rsidRPr="004C33D1">
              <w:rPr>
                <w:b/>
                <w:i/>
              </w:rPr>
              <w:t>Sufficient</w:t>
            </w:r>
            <w:r w:rsidRPr="004C33D1">
              <w:rPr>
                <w:b/>
              </w:rPr>
              <w:t xml:space="preserve"> </w:t>
            </w:r>
            <w:r w:rsidRPr="004C33D1">
              <w:t>means the provision of enough development capacity to meet residential and business demand, plus, to take account of the likelihood that not all capacity will be developed, an additional margin of at least:</w:t>
            </w:r>
          </w:p>
          <w:p w:rsidR="007D60C2" w:rsidRPr="004C33D1" w:rsidRDefault="007D60C2" w:rsidP="006277DC">
            <w:pPr>
              <w:pStyle w:val="TableText"/>
              <w:numPr>
                <w:ilvl w:val="0"/>
                <w:numId w:val="67"/>
              </w:numPr>
            </w:pPr>
            <w:r w:rsidRPr="004C33D1">
              <w:t>20% over and above projected short and medium-term residential and business demand; and</w:t>
            </w:r>
          </w:p>
          <w:p w:rsidR="007D60C2" w:rsidRPr="004C33D1" w:rsidRDefault="007D60C2" w:rsidP="006277DC">
            <w:pPr>
              <w:pStyle w:val="TableText"/>
              <w:numPr>
                <w:ilvl w:val="0"/>
                <w:numId w:val="67"/>
              </w:numPr>
            </w:pPr>
            <w:proofErr w:type="gramStart"/>
            <w:r w:rsidRPr="004C33D1">
              <w:t>15%</w:t>
            </w:r>
            <w:proofErr w:type="gramEnd"/>
            <w:r w:rsidRPr="004C33D1">
              <w:t xml:space="preserve"> over and above projected long-term residential and business demand.</w:t>
            </w:r>
          </w:p>
          <w:p w:rsidR="007D60C2" w:rsidRPr="004C33D1" w:rsidRDefault="007D60C2" w:rsidP="00313B16">
            <w:pPr>
              <w:pStyle w:val="TableText"/>
            </w:pPr>
            <w:r w:rsidRPr="004C33D1">
              <w:t>The total capacity should reflect the demands for different types and locations.</w:t>
            </w:r>
          </w:p>
        </w:tc>
      </w:tr>
    </w:tbl>
    <w:p w:rsidR="007D60C2" w:rsidRDefault="007D60C2" w:rsidP="007D60C2">
      <w:pPr>
        <w:pStyle w:val="Heading4"/>
      </w:pPr>
      <w:r>
        <w:t>Numbers of Buyers and Sellers</w:t>
      </w:r>
    </w:p>
    <w:p w:rsidR="007D60C2" w:rsidRDefault="004C2AD9" w:rsidP="004C2AD9">
      <w:r w:rsidRPr="004C33D1">
        <w:t>Councils have limited ability to influence the numbers of buyers and sellers in the marke</w:t>
      </w:r>
      <w:r w:rsidR="00C92CB8">
        <w:t>t, apart from via restrictions o</w:t>
      </w:r>
      <w:r w:rsidRPr="004C33D1">
        <w:t xml:space="preserve">n market entry. </w:t>
      </w:r>
    </w:p>
    <w:p w:rsidR="007D60C2" w:rsidRDefault="007D60C2" w:rsidP="007D60C2">
      <w:pPr>
        <w:pStyle w:val="Heading4"/>
      </w:pPr>
      <w:r>
        <w:t>Product Uniformity</w:t>
      </w:r>
    </w:p>
    <w:p w:rsidR="00E02811" w:rsidRDefault="00E02811" w:rsidP="00E02811">
      <w:r>
        <w:t xml:space="preserve">Land is not uniform; each title has unique attributes.  However, a market with many buyers and sellers should also have plenty of </w:t>
      </w:r>
      <w:r w:rsidRPr="00CC3127">
        <w:rPr>
          <w:i/>
        </w:rPr>
        <w:t>comparable</w:t>
      </w:r>
      <w:r>
        <w:t xml:space="preserve"> pieces of land or development opportunities.  </w:t>
      </w:r>
    </w:p>
    <w:p w:rsidR="00E02811" w:rsidRDefault="00E02811" w:rsidP="00E02811"/>
    <w:p w:rsidR="007D60C2" w:rsidRPr="004C33D1" w:rsidRDefault="00E02811" w:rsidP="00E02811">
      <w:r>
        <w:t>The application of complex and variegated planning regulations to these pieces of land will reduce the amount of comparable development opportunities. These regulations, or selective changes to them, can create spatial monopolies, i</w:t>
      </w:r>
      <w:r w:rsidR="002A4BC0">
        <w:t>e</w:t>
      </w:r>
      <w:r>
        <w:t xml:space="preserve"> a small number of owners that hold most of the land zoned for business, or land on which apartments of a certain height </w:t>
      </w:r>
      <w:proofErr w:type="gramStart"/>
      <w:r>
        <w:t>can be built</w:t>
      </w:r>
      <w:proofErr w:type="gramEnd"/>
      <w:r>
        <w:t>.</w:t>
      </w:r>
    </w:p>
    <w:p w:rsidR="007D60C2" w:rsidRPr="004C33D1" w:rsidRDefault="007D60C2" w:rsidP="007D60C2">
      <w:pPr>
        <w:pStyle w:val="Heading4"/>
      </w:pPr>
      <w:r>
        <w:t>Managing Externalities</w:t>
      </w:r>
    </w:p>
    <w:p w:rsidR="004C2AD9" w:rsidRPr="004C33D1" w:rsidRDefault="004C2AD9" w:rsidP="004C2AD9">
      <w:r w:rsidRPr="004C33D1">
        <w:t xml:space="preserve">The management of externalities (positive and negative) is a major activity of councils and the justification for the planning system itself. </w:t>
      </w:r>
      <w:proofErr w:type="gramStart"/>
      <w:r w:rsidRPr="004C33D1">
        <w:t>But</w:t>
      </w:r>
      <w:proofErr w:type="gramEnd"/>
      <w:r w:rsidRPr="004C33D1">
        <w:t xml:space="preserve"> this can be achieved in a more or less efficient way; greater consideration of costs and benefits of zoning controls could improve decisions. </w:t>
      </w:r>
    </w:p>
    <w:p w:rsidR="004C2AD9" w:rsidRPr="004C33D1" w:rsidRDefault="007D60C2" w:rsidP="007D60C2">
      <w:pPr>
        <w:pStyle w:val="Heading4"/>
      </w:pPr>
      <w:r>
        <w:t>Information Provision</w:t>
      </w:r>
    </w:p>
    <w:p w:rsidR="004C2AD9" w:rsidRDefault="004C2AD9" w:rsidP="004C2AD9">
      <w:r w:rsidRPr="004C33D1">
        <w:t>There are significant market uncertainties relating to prices, and future price trends in particular. Councils have a limited role in reducing such uncertainty but could improve information flow to the market by publishing available data on sales prices and the results of any analysis</w:t>
      </w:r>
      <w:r w:rsidR="00C92CB8">
        <w:t>, eg statistical models,</w:t>
      </w:r>
      <w:r w:rsidRPr="004C33D1">
        <w:t xml:space="preserve"> it undertakes on the factors influencing prices</w:t>
      </w:r>
      <w:r w:rsidR="00C92CB8">
        <w:t>.</w:t>
      </w:r>
      <w:r w:rsidR="002A4BC0">
        <w:t xml:space="preserve"> Councils can also reduce uncertainty relating to planning controls and consent requirements, plus via plans for infrastructure provision.</w:t>
      </w:r>
    </w:p>
    <w:p w:rsidR="004C2AD9" w:rsidRDefault="007D60C2" w:rsidP="007D60C2">
      <w:pPr>
        <w:pStyle w:val="Heading4"/>
      </w:pPr>
      <w:r>
        <w:t>Transaction Costs</w:t>
      </w:r>
    </w:p>
    <w:p w:rsidR="00392152" w:rsidRPr="004C33D1" w:rsidRDefault="00C92CB8" w:rsidP="00392152">
      <w:r>
        <w:t xml:space="preserve">The chief ways in which councils can affect transaction costs are through reductions in the time and costs of consents. This includes reducing the </w:t>
      </w:r>
      <w:r w:rsidRPr="00C92CB8">
        <w:t>uncertainty of consenting processes.</w:t>
      </w:r>
    </w:p>
    <w:p w:rsidR="00392152" w:rsidRPr="004C33D1" w:rsidRDefault="00392152" w:rsidP="00220C7C">
      <w:pPr>
        <w:pStyle w:val="Heading2"/>
      </w:pPr>
      <w:bookmarkStart w:id="65" w:name="_Toc462413617"/>
      <w:bookmarkStart w:id="66" w:name="_Toc462582169"/>
      <w:r w:rsidRPr="004C33D1">
        <w:t>The Role of Indicators</w:t>
      </w:r>
      <w:bookmarkEnd w:id="65"/>
      <w:bookmarkEnd w:id="66"/>
    </w:p>
    <w:p w:rsidR="00884B8A" w:rsidRDefault="00884B8A" w:rsidP="00884B8A">
      <w:r w:rsidRPr="004C33D1">
        <w:t xml:space="preserve">The purpose of this report is to examine ways in which market indicators </w:t>
      </w:r>
      <w:proofErr w:type="gramStart"/>
      <w:r w:rsidRPr="004C33D1">
        <w:t>might be used</w:t>
      </w:r>
      <w:proofErr w:type="gramEnd"/>
      <w:r w:rsidRPr="004C33D1">
        <w:t xml:space="preserve"> to help councils to better understand local markets for </w:t>
      </w:r>
      <w:r w:rsidR="001E5045">
        <w:t xml:space="preserve">land and </w:t>
      </w:r>
      <w:r w:rsidRPr="004C33D1">
        <w:t xml:space="preserve">development </w:t>
      </w:r>
      <w:r w:rsidR="001E5045">
        <w:t>opportunities</w:t>
      </w:r>
      <w:r w:rsidRPr="004C33D1">
        <w:t xml:space="preserve"> and to identify whether urban planning policies or infrastructure constraints are excessively constraining development capacity. </w:t>
      </w:r>
      <w:proofErr w:type="gramStart"/>
      <w:r w:rsidRPr="004C33D1">
        <w:t>Ideally</w:t>
      </w:r>
      <w:proofErr w:type="gramEnd"/>
      <w:r w:rsidRPr="004C33D1">
        <w:t xml:space="preserve"> indicators can be </w:t>
      </w:r>
      <w:r w:rsidRPr="004C33D1">
        <w:lastRenderedPageBreak/>
        <w:t>used to identify the factors that councils might be able to influence from those they cannot.</w:t>
      </w:r>
    </w:p>
    <w:p w:rsidR="00337D7F" w:rsidRDefault="00337D7F" w:rsidP="00884B8A"/>
    <w:p w:rsidR="00E46CE7" w:rsidRPr="004C33D1" w:rsidRDefault="00337D7F" w:rsidP="00E46CE7">
      <w:r>
        <w:t>This section</w:t>
      </w:r>
      <w:r w:rsidR="00E46CE7" w:rsidRPr="004C33D1">
        <w:t xml:space="preserve"> has </w:t>
      </w:r>
      <w:r w:rsidR="002A4BC0">
        <w:t xml:space="preserve">examined </w:t>
      </w:r>
      <w:r w:rsidR="00E46CE7" w:rsidRPr="004C33D1">
        <w:t xml:space="preserve">how the current </w:t>
      </w:r>
      <w:r w:rsidR="002A4BC0">
        <w:t xml:space="preserve">localised </w:t>
      </w:r>
      <w:r w:rsidR="00E46CE7" w:rsidRPr="004C33D1">
        <w:t xml:space="preserve">problems of housing affordability result from a series of interlocking steps that cause property prices to rise above ideal levels. The causes are broadly associated with less than fully competitive markets for </w:t>
      </w:r>
      <w:r w:rsidR="001E5045">
        <w:t xml:space="preserve">the supply of land for development </w:t>
      </w:r>
      <w:r w:rsidR="00E46CE7" w:rsidRPr="004C33D1">
        <w:t xml:space="preserve">that are, partly at least, a result of </w:t>
      </w:r>
      <w:r w:rsidR="001E5045">
        <w:t xml:space="preserve">planning and infrastructure constraints </w:t>
      </w:r>
      <w:r w:rsidR="002A4BC0">
        <w:t xml:space="preserve">to </w:t>
      </w:r>
      <w:r w:rsidR="00E46CE7" w:rsidRPr="004C33D1">
        <w:t xml:space="preserve">the supply of </w:t>
      </w:r>
      <w:r w:rsidR="001E5045">
        <w:t xml:space="preserve">developable </w:t>
      </w:r>
      <w:r w:rsidR="00E46CE7" w:rsidRPr="004C33D1">
        <w:t>land in appropriate locations.</w:t>
      </w:r>
    </w:p>
    <w:p w:rsidR="00E46CE7" w:rsidRPr="004C33D1" w:rsidRDefault="00E46CE7" w:rsidP="00E46CE7"/>
    <w:p w:rsidR="00E46CE7" w:rsidRPr="004C33D1" w:rsidRDefault="002A4BC0" w:rsidP="00E46CE7">
      <w:r>
        <w:t>T</w:t>
      </w:r>
      <w:r w:rsidR="00E46CE7" w:rsidRPr="004C33D1">
        <w:t xml:space="preserve">his report </w:t>
      </w:r>
      <w:r>
        <w:t xml:space="preserve">aims </w:t>
      </w:r>
      <w:r w:rsidR="00E46CE7" w:rsidRPr="004C33D1">
        <w:t xml:space="preserve">to identify </w:t>
      </w:r>
      <w:proofErr w:type="gramStart"/>
      <w:r w:rsidR="00E46CE7" w:rsidRPr="004C33D1">
        <w:t>indicators which</w:t>
      </w:r>
      <w:proofErr w:type="gramEnd"/>
      <w:r w:rsidR="00E46CE7" w:rsidRPr="004C33D1">
        <w:t xml:space="preserve"> might be used to better understand the problem and its causes. These indicators might address different steps on the chain of causality, including indicators </w:t>
      </w:r>
      <w:proofErr w:type="gramStart"/>
      <w:r w:rsidR="00E46CE7" w:rsidRPr="004C33D1">
        <w:t>of</w:t>
      </w:r>
      <w:proofErr w:type="gramEnd"/>
      <w:r w:rsidR="00E46CE7" w:rsidRPr="004C33D1">
        <w:t>:</w:t>
      </w:r>
    </w:p>
    <w:p w:rsidR="00E46CE7" w:rsidRPr="004C33D1" w:rsidRDefault="00E46CE7" w:rsidP="00E46CE7">
      <w:r w:rsidRPr="004C33D1">
        <w:t xml:space="preserve"> </w:t>
      </w:r>
    </w:p>
    <w:p w:rsidR="002A4BC0" w:rsidRDefault="002A4BC0" w:rsidP="00411653">
      <w:pPr>
        <w:pStyle w:val="ListParagraph"/>
        <w:numPr>
          <w:ilvl w:val="0"/>
          <w:numId w:val="39"/>
        </w:numPr>
      </w:pPr>
      <w:r>
        <w:t>general market conditions;</w:t>
      </w:r>
    </w:p>
    <w:p w:rsidR="00E46CE7" w:rsidRPr="004C33D1" w:rsidRDefault="002A4BC0" w:rsidP="00411653">
      <w:pPr>
        <w:pStyle w:val="ListParagraph"/>
        <w:numPr>
          <w:ilvl w:val="0"/>
          <w:numId w:val="39"/>
        </w:numPr>
      </w:pPr>
      <w:r>
        <w:t xml:space="preserve">demand </w:t>
      </w:r>
      <w:r w:rsidR="001E5045">
        <w:t xml:space="preserve">and supply, and </w:t>
      </w:r>
      <w:r w:rsidR="00E46CE7" w:rsidRPr="004C33D1">
        <w:t>supply-demand imbalance;</w:t>
      </w:r>
    </w:p>
    <w:p w:rsidR="00E46CE7" w:rsidRPr="004C33D1" w:rsidRDefault="00E46CE7" w:rsidP="00411653">
      <w:pPr>
        <w:pStyle w:val="ListParagraph"/>
        <w:numPr>
          <w:ilvl w:val="0"/>
          <w:numId w:val="39"/>
        </w:numPr>
      </w:pPr>
      <w:r w:rsidRPr="004C33D1">
        <w:t>extent of market competitiveness;</w:t>
      </w:r>
    </w:p>
    <w:p w:rsidR="00E46CE7" w:rsidRPr="004C33D1" w:rsidRDefault="00E46CE7" w:rsidP="00411653">
      <w:pPr>
        <w:pStyle w:val="ListParagraph"/>
        <w:numPr>
          <w:ilvl w:val="0"/>
          <w:numId w:val="39"/>
        </w:numPr>
      </w:pPr>
      <w:r w:rsidRPr="004C33D1">
        <w:t>market prices and their relationship to wellbeing-maximising prices; and/or</w:t>
      </w:r>
    </w:p>
    <w:p w:rsidR="00E46CE7" w:rsidRPr="004C33D1" w:rsidRDefault="00E46CE7" w:rsidP="00411653">
      <w:pPr>
        <w:pStyle w:val="ListParagraph"/>
        <w:numPr>
          <w:ilvl w:val="0"/>
          <w:numId w:val="39"/>
        </w:numPr>
      </w:pPr>
      <w:proofErr w:type="gramStart"/>
      <w:r w:rsidRPr="004C33D1">
        <w:t>the</w:t>
      </w:r>
      <w:proofErr w:type="gramEnd"/>
      <w:r w:rsidRPr="004C33D1">
        <w:t xml:space="preserve"> wellbeing impacts of unaffordability, eg levels of overcrowding.  </w:t>
      </w:r>
    </w:p>
    <w:p w:rsidR="00392152" w:rsidRPr="004C33D1" w:rsidRDefault="00392152" w:rsidP="00392152"/>
    <w:p w:rsidR="00392152" w:rsidRPr="004C33D1" w:rsidRDefault="00337D7F" w:rsidP="00392152">
      <w:r>
        <w:t>We address these in turn in the next sections.</w:t>
      </w:r>
    </w:p>
    <w:p w:rsidR="00392152" w:rsidRPr="004C33D1" w:rsidRDefault="00392152" w:rsidP="00392152"/>
    <w:p w:rsidR="00392152" w:rsidRPr="004C33D1" w:rsidRDefault="00392152">
      <w:pPr>
        <w:spacing w:line="240" w:lineRule="auto"/>
        <w:rPr>
          <w:rFonts w:ascii="Century Gothic" w:hAnsi="Century Gothic" w:cs="Arial"/>
          <w:b/>
          <w:bCs/>
          <w:sz w:val="36"/>
          <w:szCs w:val="32"/>
        </w:rPr>
      </w:pPr>
      <w:r w:rsidRPr="004C33D1">
        <w:br w:type="page"/>
      </w:r>
    </w:p>
    <w:p w:rsidR="003F5B57" w:rsidRDefault="007E2B7D" w:rsidP="00956D3F">
      <w:pPr>
        <w:pStyle w:val="Heading1"/>
      </w:pPr>
      <w:bookmarkStart w:id="67" w:name="_Toc462413618"/>
      <w:bookmarkStart w:id="68" w:name="_Toc462582170"/>
      <w:bookmarkStart w:id="69" w:name="_Ref456275931"/>
      <w:r>
        <w:lastRenderedPageBreak/>
        <w:t>General Market</w:t>
      </w:r>
      <w:r w:rsidR="003F5B57">
        <w:t xml:space="preserve"> Indicators</w:t>
      </w:r>
      <w:bookmarkEnd w:id="67"/>
      <w:bookmarkEnd w:id="68"/>
    </w:p>
    <w:p w:rsidR="003F5B57" w:rsidRDefault="003F5B57" w:rsidP="003F5B57">
      <w:pPr>
        <w:pStyle w:val="Heading2"/>
      </w:pPr>
      <w:bookmarkStart w:id="70" w:name="_Toc462413619"/>
      <w:bookmarkStart w:id="71" w:name="_Toc462582171"/>
      <w:r>
        <w:t>Introduction</w:t>
      </w:r>
      <w:bookmarkEnd w:id="70"/>
      <w:bookmarkEnd w:id="71"/>
    </w:p>
    <w:p w:rsidR="009D474D" w:rsidRDefault="003F5B57" w:rsidP="009D474D">
      <w:r>
        <w:t xml:space="preserve">There are a number of indicators of prices and price </w:t>
      </w:r>
      <w:proofErr w:type="gramStart"/>
      <w:r>
        <w:t>trends which</w:t>
      </w:r>
      <w:proofErr w:type="gramEnd"/>
      <w:r>
        <w:t xml:space="preserve"> can provide councils with a starting point of understanding of markets for residential and business land and development markets. Many of these </w:t>
      </w:r>
      <w:proofErr w:type="gramStart"/>
      <w:r>
        <w:t>are regularly reported on by real estate companies and/or included in press articles</w:t>
      </w:r>
      <w:proofErr w:type="gramEnd"/>
      <w:r>
        <w:t>.</w:t>
      </w:r>
      <w:r w:rsidR="009D474D" w:rsidRPr="009D474D">
        <w:t xml:space="preserve"> </w:t>
      </w:r>
    </w:p>
    <w:p w:rsidR="009D474D" w:rsidRDefault="009D474D" w:rsidP="009D474D"/>
    <w:p w:rsidR="003F5B57" w:rsidRDefault="009D474D" w:rsidP="003F5B57">
      <w:r w:rsidRPr="004C33D1">
        <w:t xml:space="preserve">Data on price trends, including dwelling prices and rents, can provide </w:t>
      </w:r>
      <w:r>
        <w:t xml:space="preserve">an understanding of market trends </w:t>
      </w:r>
      <w:r w:rsidR="003D1AB7">
        <w:t xml:space="preserve">and dynamics, </w:t>
      </w:r>
      <w:r>
        <w:t xml:space="preserve">and </w:t>
      </w:r>
      <w:r w:rsidRPr="004C33D1">
        <w:t>complementary information to help assess supply-demand imbalances</w:t>
      </w:r>
      <w:r>
        <w:t xml:space="preserve"> (see Section </w:t>
      </w:r>
      <w:r>
        <w:fldChar w:fldCharType="begin"/>
      </w:r>
      <w:r>
        <w:instrText xml:space="preserve"> REF _Ref462328627 \n \h </w:instrText>
      </w:r>
      <w:r>
        <w:fldChar w:fldCharType="separate"/>
      </w:r>
      <w:r w:rsidR="004D1DDA">
        <w:t>4</w:t>
      </w:r>
      <w:r>
        <w:fldChar w:fldCharType="end"/>
      </w:r>
      <w:r>
        <w:t>)</w:t>
      </w:r>
      <w:r w:rsidRPr="004C33D1">
        <w:t>. They also provide information to assist in calculating housing affordability indicators (Section</w:t>
      </w:r>
      <w:r>
        <w:t xml:space="preserve"> </w:t>
      </w:r>
      <w:r>
        <w:fldChar w:fldCharType="begin"/>
      </w:r>
      <w:r>
        <w:instrText xml:space="preserve"> REF _Ref458181933 \r \h </w:instrText>
      </w:r>
      <w:r>
        <w:fldChar w:fldCharType="separate"/>
      </w:r>
      <w:r w:rsidR="004D1DDA">
        <w:t>7</w:t>
      </w:r>
      <w:r>
        <w:fldChar w:fldCharType="end"/>
      </w:r>
      <w:r>
        <w:t xml:space="preserve">). </w:t>
      </w:r>
    </w:p>
    <w:p w:rsidR="009D474D" w:rsidRDefault="009D474D" w:rsidP="009D474D">
      <w:pPr>
        <w:spacing w:line="240" w:lineRule="auto"/>
      </w:pPr>
    </w:p>
    <w:p w:rsidR="009D474D" w:rsidRPr="003F5B57" w:rsidRDefault="009D474D" w:rsidP="009D474D">
      <w:pPr>
        <w:spacing w:line="240" w:lineRule="auto"/>
      </w:pPr>
      <w:r>
        <w:t>D</w:t>
      </w:r>
      <w:r w:rsidRPr="004C33D1">
        <w:t xml:space="preserve">ata on price trends </w:t>
      </w:r>
      <w:r>
        <w:t>are</w:t>
      </w:r>
      <w:r w:rsidRPr="004C33D1">
        <w:t xml:space="preserve">, by </w:t>
      </w:r>
      <w:r>
        <w:t>themselves</w:t>
      </w:r>
      <w:r w:rsidRPr="004C33D1">
        <w:t xml:space="preserve">, not sufficient to identify the cause of rising (or falling) prices, </w:t>
      </w:r>
      <w:r>
        <w:t xml:space="preserve">because of </w:t>
      </w:r>
      <w:r w:rsidRPr="004C33D1">
        <w:t xml:space="preserve">the influence of demand-side factors </w:t>
      </w:r>
      <w:r>
        <w:t xml:space="preserve">including </w:t>
      </w:r>
      <w:r w:rsidRPr="004C33D1">
        <w:t>incomes</w:t>
      </w:r>
      <w:r>
        <w:t xml:space="preserve"> and </w:t>
      </w:r>
      <w:r w:rsidRPr="004C33D1">
        <w:t>mortgage interest rates.</w:t>
      </w:r>
      <w:r>
        <w:t xml:space="preserve"> They also would need to </w:t>
      </w:r>
      <w:proofErr w:type="gramStart"/>
      <w:r>
        <w:t>be interpreted</w:t>
      </w:r>
      <w:proofErr w:type="gramEnd"/>
      <w:r>
        <w:t xml:space="preserve"> alongside estimates of efficient prices (see Section </w:t>
      </w:r>
      <w:r>
        <w:fldChar w:fldCharType="begin"/>
      </w:r>
      <w:r>
        <w:instrText xml:space="preserve"> REF _Ref457978741 \r \h </w:instrText>
      </w:r>
      <w:r>
        <w:fldChar w:fldCharType="separate"/>
      </w:r>
      <w:r w:rsidR="004D1DDA">
        <w:t>6</w:t>
      </w:r>
      <w:r>
        <w:fldChar w:fldCharType="end"/>
      </w:r>
      <w:r>
        <w:t xml:space="preserve"> below).</w:t>
      </w:r>
    </w:p>
    <w:p w:rsidR="003F5B57" w:rsidRDefault="009D474D" w:rsidP="003F5B57">
      <w:pPr>
        <w:pStyle w:val="Heading2"/>
      </w:pPr>
      <w:bookmarkStart w:id="72" w:name="_Toc456624623"/>
      <w:bookmarkStart w:id="73" w:name="_Toc462413620"/>
      <w:bookmarkStart w:id="74" w:name="_Toc462582172"/>
      <w:r>
        <w:t>House Prices</w:t>
      </w:r>
      <w:bookmarkEnd w:id="72"/>
      <w:bookmarkEnd w:id="73"/>
      <w:bookmarkEnd w:id="74"/>
    </w:p>
    <w:p w:rsidR="009D474D" w:rsidRPr="009D474D" w:rsidRDefault="009D474D" w:rsidP="009D474D">
      <w:r>
        <w:t xml:space="preserve">Rapidly rising house prices is one of the significant </w:t>
      </w:r>
      <w:proofErr w:type="gramStart"/>
      <w:r>
        <w:t>issues which</w:t>
      </w:r>
      <w:proofErr w:type="gramEnd"/>
      <w:r>
        <w:t xml:space="preserve"> is driving the development of the NPS-UDC. </w:t>
      </w:r>
      <w:proofErr w:type="gramStart"/>
      <w:r>
        <w:t>Thus</w:t>
      </w:r>
      <w:proofErr w:type="gramEnd"/>
      <w:r>
        <w:t xml:space="preserve"> indicators which provide background information on trends are a useful starting point for analysis and communication of the issues.</w:t>
      </w:r>
    </w:p>
    <w:p w:rsidR="003F5B57" w:rsidRPr="004C33D1" w:rsidRDefault="003F5B57" w:rsidP="003F5B57">
      <w:pPr>
        <w:pStyle w:val="Heading3"/>
      </w:pPr>
      <w:r>
        <w:t>Median House Prices</w:t>
      </w:r>
    </w:p>
    <w:p w:rsidR="003F5B57" w:rsidRPr="004C33D1" w:rsidRDefault="003F5B57" w:rsidP="003F5B57">
      <w:r w:rsidRPr="004C33D1">
        <w:t xml:space="preserve">Prices </w:t>
      </w:r>
      <w:proofErr w:type="gramStart"/>
      <w:r w:rsidRPr="004C33D1">
        <w:t>can be m</w:t>
      </w:r>
      <w:r>
        <w:t>easured</w:t>
      </w:r>
      <w:proofErr w:type="gramEnd"/>
      <w:r>
        <w:t xml:space="preserve"> in both nominal</w:t>
      </w:r>
      <w:r w:rsidRPr="004C33D1">
        <w:t xml:space="preserve"> and rea</w:t>
      </w:r>
      <w:r>
        <w:t>l</w:t>
      </w:r>
      <w:r w:rsidRPr="004C33D1">
        <w:t xml:space="preserve"> terms. Real prices</w:t>
      </w:r>
      <w:r>
        <w:t xml:space="preserve">, adjusted using the </w:t>
      </w:r>
      <w:r w:rsidRPr="004C33D1">
        <w:t xml:space="preserve">Consumer Price Index </w:t>
      </w:r>
      <w:r>
        <w:t>(CPI)</w:t>
      </w:r>
      <w:r w:rsidR="003D1AB7">
        <w:t>,</w:t>
      </w:r>
      <w:r>
        <w:t xml:space="preserve"> </w:t>
      </w:r>
      <w:r w:rsidRPr="004C33D1">
        <w:t>remove the effect of inflation to reveal the underlying price trends</w:t>
      </w:r>
      <w:r>
        <w:t xml:space="preserve">. </w:t>
      </w:r>
      <w:r w:rsidR="003D1AB7">
        <w:t>As an example, r</w:t>
      </w:r>
      <w:r w:rsidRPr="004C33D1">
        <w:t xml:space="preserve">eal median house price trends for high growth areas </w:t>
      </w:r>
      <w:proofErr w:type="gramStart"/>
      <w:r w:rsidRPr="004C33D1">
        <w:t>are shown</w:t>
      </w:r>
      <w:proofErr w:type="gramEnd"/>
      <w:r w:rsidRPr="004C33D1">
        <w:t xml:space="preserve"> in </w:t>
      </w:r>
      <w:r w:rsidRPr="004C33D1">
        <w:fldChar w:fldCharType="begin"/>
      </w:r>
      <w:r w:rsidRPr="004C33D1">
        <w:instrText xml:space="preserve"> REF _Ref457995982 \h </w:instrText>
      </w:r>
      <w:r w:rsidRPr="004C33D1">
        <w:fldChar w:fldCharType="separate"/>
      </w:r>
      <w:r w:rsidR="004D1DDA" w:rsidRPr="004C33D1">
        <w:t xml:space="preserve">Figure </w:t>
      </w:r>
      <w:r w:rsidR="004D1DDA">
        <w:rPr>
          <w:noProof/>
        </w:rPr>
        <w:t>5</w:t>
      </w:r>
      <w:r w:rsidRPr="004C33D1">
        <w:fldChar w:fldCharType="end"/>
      </w:r>
      <w:r w:rsidRPr="004C33D1">
        <w:t xml:space="preserve">. Changes </w:t>
      </w:r>
      <w:proofErr w:type="gramStart"/>
      <w:r w:rsidRPr="004C33D1">
        <w:t xml:space="preserve">in real median house prices from 2000 to 2015 range from </w:t>
      </w:r>
      <w:r>
        <w:t xml:space="preserve">a </w:t>
      </w:r>
      <w:r w:rsidRPr="004C33D1">
        <w:t xml:space="preserve">113% </w:t>
      </w:r>
      <w:r>
        <w:t xml:space="preserve">increase </w:t>
      </w:r>
      <w:r w:rsidRPr="004C33D1">
        <w:t xml:space="preserve">for Auckland to </w:t>
      </w:r>
      <w:r>
        <w:t xml:space="preserve">a </w:t>
      </w:r>
      <w:r w:rsidRPr="004C33D1">
        <w:t xml:space="preserve">53% </w:t>
      </w:r>
      <w:r>
        <w:t xml:space="preserve">increase </w:t>
      </w:r>
      <w:r w:rsidRPr="004C33D1">
        <w:t>for Hamilton</w:t>
      </w:r>
      <w:proofErr w:type="gramEnd"/>
      <w:r w:rsidRPr="004C33D1">
        <w:t>.</w:t>
      </w:r>
    </w:p>
    <w:p w:rsidR="003F5B57" w:rsidRPr="004C33D1" w:rsidRDefault="003F5B57" w:rsidP="003F5B57">
      <w:pPr>
        <w:pStyle w:val="Caption"/>
      </w:pPr>
      <w:bookmarkStart w:id="75" w:name="_Ref457995982"/>
      <w:r w:rsidRPr="004C33D1">
        <w:t xml:space="preserve">Figure </w:t>
      </w:r>
      <w:r w:rsidRPr="004C33D1">
        <w:fldChar w:fldCharType="begin"/>
      </w:r>
      <w:r w:rsidRPr="004C33D1">
        <w:instrText xml:space="preserve"> SEQ Figure \* ARABIC </w:instrText>
      </w:r>
      <w:r w:rsidRPr="004C33D1">
        <w:fldChar w:fldCharType="separate"/>
      </w:r>
      <w:r w:rsidR="004D1DDA">
        <w:rPr>
          <w:noProof/>
        </w:rPr>
        <w:t>5</w:t>
      </w:r>
      <w:r w:rsidRPr="004C33D1">
        <w:fldChar w:fldCharType="end"/>
      </w:r>
      <w:bookmarkEnd w:id="75"/>
      <w:r w:rsidRPr="004C33D1">
        <w:t xml:space="preserve"> Inflation-adjusted median house prices for high growth areas 2000-2015 (2015$ values)</w:t>
      </w:r>
    </w:p>
    <w:p w:rsidR="003F5B57" w:rsidRPr="004C33D1" w:rsidRDefault="003F5B57" w:rsidP="003F5B57">
      <w:pPr>
        <w:jc w:val="center"/>
      </w:pPr>
      <w:r w:rsidRPr="004C33D1">
        <w:rPr>
          <w:noProof/>
          <w:lang w:eastAsia="en-NZ"/>
        </w:rPr>
        <w:drawing>
          <wp:inline distT="0" distB="0" distL="0" distR="0" wp14:anchorId="40BE9168" wp14:editId="69DD08D6">
            <wp:extent cx="4448175" cy="2611003"/>
            <wp:effectExtent l="0" t="0" r="0" b="0"/>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71855" cy="2624903"/>
                    </a:xfrm>
                    <a:prstGeom prst="rect">
                      <a:avLst/>
                    </a:prstGeom>
                    <a:noFill/>
                    <a:ln>
                      <a:noFill/>
                    </a:ln>
                  </pic:spPr>
                </pic:pic>
              </a:graphicData>
            </a:graphic>
          </wp:inline>
        </w:drawing>
      </w:r>
    </w:p>
    <w:p w:rsidR="003F5B57" w:rsidRPr="004C33D1" w:rsidRDefault="003F5B57" w:rsidP="003F5B57">
      <w:pPr>
        <w:rPr>
          <w:sz w:val="18"/>
          <w:szCs w:val="18"/>
        </w:rPr>
      </w:pPr>
      <w:r w:rsidRPr="004C33D1">
        <w:rPr>
          <w:sz w:val="18"/>
          <w:szCs w:val="18"/>
        </w:rPr>
        <w:t>Source: QVNZ and RBNZ</w:t>
      </w:r>
    </w:p>
    <w:p w:rsidR="003F5B57" w:rsidRPr="004C33D1" w:rsidRDefault="003F5B57" w:rsidP="003F5B57">
      <w:pPr>
        <w:rPr>
          <w:sz w:val="18"/>
          <w:szCs w:val="18"/>
        </w:rPr>
      </w:pPr>
    </w:p>
    <w:p w:rsidR="003F5B57" w:rsidRDefault="003F5B57" w:rsidP="003F5B57">
      <w:r w:rsidRPr="004C33D1">
        <w:t xml:space="preserve">Rising median house prices over time </w:t>
      </w:r>
      <w:proofErr w:type="gramStart"/>
      <w:r w:rsidRPr="004C33D1">
        <w:t>could in part be attributed</w:t>
      </w:r>
      <w:proofErr w:type="gramEnd"/>
      <w:r w:rsidRPr="004C33D1">
        <w:t xml:space="preserve"> to an increasing average size of houses</w:t>
      </w:r>
      <w:r>
        <w:t xml:space="preserve"> (See discussion in Section </w:t>
      </w:r>
      <w:r>
        <w:fldChar w:fldCharType="begin"/>
      </w:r>
      <w:r>
        <w:instrText xml:space="preserve"> REF _Ref458417423 \r \h </w:instrText>
      </w:r>
      <w:r>
        <w:fldChar w:fldCharType="separate"/>
      </w:r>
      <w:r w:rsidR="004D1DDA">
        <w:t>4.3</w:t>
      </w:r>
      <w:r>
        <w:fldChar w:fldCharType="end"/>
      </w:r>
      <w:r>
        <w:t>)</w:t>
      </w:r>
      <w:r w:rsidRPr="004C33D1">
        <w:t xml:space="preserve">. Thus, ‘inflation-adjusted median house price per square metre’ may better reflect underlying house price </w:t>
      </w:r>
      <w:r w:rsidRPr="002C1A54">
        <w:t xml:space="preserve">trends through controlling for differences in house size. </w:t>
      </w:r>
    </w:p>
    <w:p w:rsidR="003F5B57" w:rsidRDefault="003F5B57" w:rsidP="003F5B57">
      <w:pPr>
        <w:pStyle w:val="Heading3"/>
      </w:pPr>
      <w:r>
        <w:t>Price per Square Metre</w:t>
      </w:r>
    </w:p>
    <w:p w:rsidR="003F5B57" w:rsidRPr="004C33D1" w:rsidRDefault="003F5B57" w:rsidP="003F5B57">
      <w:r w:rsidRPr="002C1A54">
        <w:fldChar w:fldCharType="begin"/>
      </w:r>
      <w:r w:rsidRPr="002C1A54">
        <w:instrText xml:space="preserve"> REF _Ref457895713 \h </w:instrText>
      </w:r>
      <w:r>
        <w:instrText xml:space="preserve"> \* MERGEFORMAT </w:instrText>
      </w:r>
      <w:r w:rsidRPr="002C1A54">
        <w:fldChar w:fldCharType="separate"/>
      </w:r>
      <w:proofErr w:type="gramStart"/>
      <w:r w:rsidR="004D1DDA" w:rsidRPr="004D1DDA">
        <w:t>Figure 6</w:t>
      </w:r>
      <w:r w:rsidRPr="002C1A54">
        <w:fldChar w:fldCharType="end"/>
      </w:r>
      <w:r w:rsidRPr="002C1A54">
        <w:t xml:space="preserve"> shows that</w:t>
      </w:r>
      <w:r>
        <w:t>,</w:t>
      </w:r>
      <w:r w:rsidRPr="002C1A54">
        <w:t xml:space="preserve"> for most high growth areas, price per square metre has</w:t>
      </w:r>
      <w:proofErr w:type="gramEnd"/>
      <w:r w:rsidRPr="002C1A54">
        <w:t xml:space="preserve"> tracked much the same as overall house price trends. However, median house prices in the Queenstown-Lakes District have ris</w:t>
      </w:r>
      <w:r>
        <w:t>en</w:t>
      </w:r>
      <w:r w:rsidRPr="002C1A54">
        <w:t xml:space="preserve"> since 2011 yet price per square metre (</w:t>
      </w:r>
      <w:r w:rsidRPr="002C1A54">
        <w:fldChar w:fldCharType="begin"/>
      </w:r>
      <w:r w:rsidRPr="002C1A54">
        <w:instrText xml:space="preserve"> REF _Ref457895713 \h </w:instrText>
      </w:r>
      <w:r>
        <w:instrText xml:space="preserve"> \* MERGEFORMAT </w:instrText>
      </w:r>
      <w:r w:rsidRPr="002C1A54">
        <w:fldChar w:fldCharType="separate"/>
      </w:r>
      <w:r w:rsidR="004D1DDA" w:rsidRPr="004D1DDA">
        <w:t>Figure 6</w:t>
      </w:r>
      <w:r w:rsidRPr="002C1A54">
        <w:fldChar w:fldCharType="end"/>
      </w:r>
      <w:r w:rsidRPr="002C1A54">
        <w:t>) has been relatively constant</w:t>
      </w:r>
      <w:r>
        <w:t xml:space="preserve">, reflecting </w:t>
      </w:r>
      <w:r w:rsidR="003D1AB7">
        <w:t xml:space="preserve">the </w:t>
      </w:r>
      <w:r w:rsidRPr="002C1A54">
        <w:t xml:space="preserve">increasing </w:t>
      </w:r>
      <w:r w:rsidR="003D1AB7">
        <w:t xml:space="preserve">average </w:t>
      </w:r>
      <w:r w:rsidRPr="002C1A54">
        <w:t>size of houses sold (</w:t>
      </w:r>
      <w:r w:rsidRPr="002C1A54">
        <w:fldChar w:fldCharType="begin"/>
      </w:r>
      <w:r w:rsidRPr="002C1A54">
        <w:instrText xml:space="preserve"> REF _Ref457896336 \h </w:instrText>
      </w:r>
      <w:r>
        <w:instrText xml:space="preserve"> \* MERGEFORMAT </w:instrText>
      </w:r>
      <w:r w:rsidRPr="002C1A54">
        <w:fldChar w:fldCharType="separate"/>
      </w:r>
      <w:r w:rsidR="004D1DDA" w:rsidRPr="004D1DDA">
        <w:t>Figure 7</w:t>
      </w:r>
      <w:r w:rsidRPr="002C1A54">
        <w:fldChar w:fldCharType="end"/>
      </w:r>
      <w:r w:rsidRPr="002C1A54">
        <w:t>).</w:t>
      </w:r>
    </w:p>
    <w:p w:rsidR="003F5B57" w:rsidRPr="004C33D1" w:rsidRDefault="003F5B57" w:rsidP="003F5B57">
      <w:pPr>
        <w:keepNext/>
        <w:spacing w:before="120" w:after="120"/>
        <w:rPr>
          <w:bCs/>
          <w:sz w:val="18"/>
          <w:szCs w:val="20"/>
        </w:rPr>
      </w:pPr>
      <w:bookmarkStart w:id="76" w:name="_Ref457895713"/>
      <w:r w:rsidRPr="004C33D1">
        <w:rPr>
          <w:bCs/>
          <w:sz w:val="18"/>
          <w:szCs w:val="20"/>
        </w:rPr>
        <w:t xml:space="preserve">Figure </w:t>
      </w:r>
      <w:r w:rsidRPr="004C33D1">
        <w:rPr>
          <w:bCs/>
          <w:sz w:val="18"/>
          <w:szCs w:val="20"/>
        </w:rPr>
        <w:fldChar w:fldCharType="begin"/>
      </w:r>
      <w:r w:rsidRPr="004C33D1">
        <w:rPr>
          <w:bCs/>
          <w:sz w:val="18"/>
          <w:szCs w:val="20"/>
        </w:rPr>
        <w:instrText xml:space="preserve"> SEQ Figure \* ARABIC </w:instrText>
      </w:r>
      <w:r w:rsidRPr="004C33D1">
        <w:rPr>
          <w:bCs/>
          <w:sz w:val="18"/>
          <w:szCs w:val="20"/>
        </w:rPr>
        <w:fldChar w:fldCharType="separate"/>
      </w:r>
      <w:r w:rsidR="004D1DDA">
        <w:rPr>
          <w:bCs/>
          <w:noProof/>
          <w:sz w:val="18"/>
          <w:szCs w:val="20"/>
        </w:rPr>
        <w:t>6</w:t>
      </w:r>
      <w:r w:rsidRPr="004C33D1">
        <w:rPr>
          <w:bCs/>
          <w:sz w:val="18"/>
          <w:szCs w:val="20"/>
        </w:rPr>
        <w:fldChar w:fldCharType="end"/>
      </w:r>
      <w:bookmarkEnd w:id="76"/>
      <w:r w:rsidRPr="004C33D1">
        <w:rPr>
          <w:bCs/>
          <w:sz w:val="18"/>
          <w:szCs w:val="20"/>
        </w:rPr>
        <w:t xml:space="preserve"> Inflation-adjusted median house price per m</w:t>
      </w:r>
      <w:r w:rsidRPr="004C33D1">
        <w:rPr>
          <w:bCs/>
          <w:sz w:val="18"/>
          <w:szCs w:val="20"/>
          <w:vertAlign w:val="superscript"/>
        </w:rPr>
        <w:t>2</w:t>
      </w:r>
      <w:r w:rsidRPr="004C33D1">
        <w:rPr>
          <w:bCs/>
          <w:sz w:val="18"/>
          <w:szCs w:val="20"/>
        </w:rPr>
        <w:t xml:space="preserve"> for high growth areas 2000-2015 (2015$ values)</w:t>
      </w:r>
    </w:p>
    <w:p w:rsidR="003F5B57" w:rsidRPr="004C33D1" w:rsidRDefault="003F5B57" w:rsidP="003F5B57">
      <w:pPr>
        <w:jc w:val="center"/>
      </w:pPr>
      <w:r w:rsidRPr="004C33D1">
        <w:rPr>
          <w:noProof/>
          <w:lang w:eastAsia="en-NZ"/>
        </w:rPr>
        <w:drawing>
          <wp:inline distT="0" distB="0" distL="0" distR="0" wp14:anchorId="5FA8F393" wp14:editId="6F953593">
            <wp:extent cx="4400550" cy="263179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13393" cy="2639477"/>
                    </a:xfrm>
                    <a:prstGeom prst="rect">
                      <a:avLst/>
                    </a:prstGeom>
                    <a:noFill/>
                    <a:ln>
                      <a:noFill/>
                    </a:ln>
                  </pic:spPr>
                </pic:pic>
              </a:graphicData>
            </a:graphic>
          </wp:inline>
        </w:drawing>
      </w:r>
    </w:p>
    <w:p w:rsidR="003F5B57" w:rsidRPr="004C33D1" w:rsidRDefault="003F5B57" w:rsidP="003F5B57">
      <w:pPr>
        <w:rPr>
          <w:sz w:val="18"/>
          <w:szCs w:val="18"/>
        </w:rPr>
      </w:pPr>
      <w:r w:rsidRPr="004C33D1">
        <w:rPr>
          <w:sz w:val="18"/>
          <w:szCs w:val="18"/>
        </w:rPr>
        <w:t>Source: QVNZ and RBNZ</w:t>
      </w:r>
    </w:p>
    <w:p w:rsidR="0040009E" w:rsidRDefault="0040009E" w:rsidP="003F5B57"/>
    <w:p w:rsidR="003F5B57" w:rsidRPr="004C33D1" w:rsidRDefault="003F5B57" w:rsidP="003F5B57">
      <w:pPr>
        <w:keepNext/>
        <w:spacing w:before="120" w:after="120"/>
        <w:rPr>
          <w:bCs/>
          <w:sz w:val="18"/>
          <w:szCs w:val="20"/>
        </w:rPr>
      </w:pPr>
      <w:bookmarkStart w:id="77" w:name="_Ref457896336"/>
      <w:r w:rsidRPr="004C33D1">
        <w:rPr>
          <w:bCs/>
          <w:sz w:val="18"/>
          <w:szCs w:val="20"/>
        </w:rPr>
        <w:t xml:space="preserve">Figure </w:t>
      </w:r>
      <w:r w:rsidRPr="004C33D1">
        <w:rPr>
          <w:bCs/>
          <w:sz w:val="18"/>
          <w:szCs w:val="20"/>
        </w:rPr>
        <w:fldChar w:fldCharType="begin"/>
      </w:r>
      <w:r w:rsidRPr="004C33D1">
        <w:rPr>
          <w:bCs/>
          <w:sz w:val="18"/>
          <w:szCs w:val="20"/>
        </w:rPr>
        <w:instrText xml:space="preserve"> SEQ Figure \* ARABIC </w:instrText>
      </w:r>
      <w:r w:rsidRPr="004C33D1">
        <w:rPr>
          <w:bCs/>
          <w:sz w:val="18"/>
          <w:szCs w:val="20"/>
        </w:rPr>
        <w:fldChar w:fldCharType="separate"/>
      </w:r>
      <w:r w:rsidR="004D1DDA">
        <w:rPr>
          <w:bCs/>
          <w:noProof/>
          <w:sz w:val="18"/>
          <w:szCs w:val="20"/>
        </w:rPr>
        <w:t>7</w:t>
      </w:r>
      <w:r w:rsidRPr="004C33D1">
        <w:rPr>
          <w:bCs/>
          <w:sz w:val="18"/>
          <w:szCs w:val="20"/>
        </w:rPr>
        <w:fldChar w:fldCharType="end"/>
      </w:r>
      <w:bookmarkEnd w:id="77"/>
      <w:r w:rsidRPr="004C33D1">
        <w:rPr>
          <w:bCs/>
          <w:sz w:val="18"/>
          <w:szCs w:val="20"/>
        </w:rPr>
        <w:t xml:space="preserve"> Average size of house sold in high growth areas 2000-2015</w:t>
      </w:r>
    </w:p>
    <w:p w:rsidR="003F5B57" w:rsidRPr="004C33D1" w:rsidRDefault="003F5B57" w:rsidP="003F5B57">
      <w:pPr>
        <w:jc w:val="center"/>
      </w:pPr>
      <w:r w:rsidRPr="004C33D1">
        <w:rPr>
          <w:noProof/>
          <w:lang w:eastAsia="en-NZ"/>
        </w:rPr>
        <w:drawing>
          <wp:inline distT="0" distB="0" distL="0" distR="0" wp14:anchorId="4A354D2D" wp14:editId="79DE8C17">
            <wp:extent cx="4429125" cy="265083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34990" cy="2654349"/>
                    </a:xfrm>
                    <a:prstGeom prst="rect">
                      <a:avLst/>
                    </a:prstGeom>
                    <a:noFill/>
                    <a:ln>
                      <a:noFill/>
                    </a:ln>
                  </pic:spPr>
                </pic:pic>
              </a:graphicData>
            </a:graphic>
          </wp:inline>
        </w:drawing>
      </w:r>
    </w:p>
    <w:p w:rsidR="003F5B57" w:rsidRPr="004C33D1" w:rsidRDefault="003F5B57" w:rsidP="003F5B57">
      <w:pPr>
        <w:rPr>
          <w:sz w:val="18"/>
          <w:szCs w:val="18"/>
        </w:rPr>
      </w:pPr>
      <w:r w:rsidRPr="004C33D1">
        <w:t xml:space="preserve">Source: </w:t>
      </w:r>
      <w:r w:rsidRPr="004C33D1">
        <w:rPr>
          <w:sz w:val="18"/>
          <w:szCs w:val="18"/>
        </w:rPr>
        <w:t>QVNZ</w:t>
      </w:r>
    </w:p>
    <w:p w:rsidR="0040009E" w:rsidRPr="004C33D1" w:rsidRDefault="0040009E" w:rsidP="0040009E">
      <w:proofErr w:type="gramStart"/>
      <w:r>
        <w:lastRenderedPageBreak/>
        <w:t>It is worth noting here that</w:t>
      </w:r>
      <w:r w:rsidR="003D1AB7">
        <w:t>,</w:t>
      </w:r>
      <w:r>
        <w:t xml:space="preserve"> the average size of houses sold in Queenstown and elsewhere is </w:t>
      </w:r>
      <w:r w:rsidRPr="00EF13D7">
        <w:t xml:space="preserve">smaller than </w:t>
      </w:r>
      <w:r w:rsidR="003D1AB7">
        <w:t xml:space="preserve">the </w:t>
      </w:r>
      <w:r w:rsidRPr="00EF13D7">
        <w:t>average size of new consents</w:t>
      </w:r>
      <w:r>
        <w:t xml:space="preserve"> (</w:t>
      </w:r>
      <w:r>
        <w:fldChar w:fldCharType="begin"/>
      </w:r>
      <w:r>
        <w:instrText xml:space="preserve"> REF _Ref458089557 \h </w:instrText>
      </w:r>
      <w:r>
        <w:fldChar w:fldCharType="separate"/>
      </w:r>
      <w:r w:rsidR="004D1DDA" w:rsidRPr="004C33D1">
        <w:t xml:space="preserve">Figure </w:t>
      </w:r>
      <w:r w:rsidR="004D1DDA">
        <w:rPr>
          <w:noProof/>
        </w:rPr>
        <w:t>18</w:t>
      </w:r>
      <w:r>
        <w:fldChar w:fldCharType="end"/>
      </w:r>
      <w:r w:rsidR="003D1AB7">
        <w:t xml:space="preserve"> on page </w:t>
      </w:r>
      <w:r w:rsidR="003D1AB7">
        <w:fldChar w:fldCharType="begin"/>
      </w:r>
      <w:r w:rsidR="003D1AB7">
        <w:instrText xml:space="preserve"> PAGEREF _Ref462573477 \h </w:instrText>
      </w:r>
      <w:r w:rsidR="003D1AB7">
        <w:fldChar w:fldCharType="separate"/>
      </w:r>
      <w:r w:rsidR="004D1DDA">
        <w:rPr>
          <w:noProof/>
        </w:rPr>
        <w:t>42</w:t>
      </w:r>
      <w:r w:rsidR="003D1AB7">
        <w:fldChar w:fldCharType="end"/>
      </w:r>
      <w:r>
        <w:t>)</w:t>
      </w:r>
      <w:r w:rsidRPr="00EF13D7">
        <w:t xml:space="preserve">, and the ongoing trends towards larger houses sold in </w:t>
      </w:r>
      <w:r w:rsidRPr="00EF13D7">
        <w:fldChar w:fldCharType="begin"/>
      </w:r>
      <w:r w:rsidRPr="00EF13D7">
        <w:instrText xml:space="preserve"> REF _Ref457896336 \h </w:instrText>
      </w:r>
      <w:r>
        <w:instrText xml:space="preserve"> \* MERGEFORMAT </w:instrText>
      </w:r>
      <w:r w:rsidRPr="00EF13D7">
        <w:fldChar w:fldCharType="separate"/>
      </w:r>
      <w:r w:rsidR="004D1DDA" w:rsidRPr="004D1DDA">
        <w:t>Figure 7</w:t>
      </w:r>
      <w:r w:rsidRPr="00EF13D7">
        <w:fldChar w:fldCharType="end"/>
      </w:r>
      <w:r w:rsidRPr="00EF13D7">
        <w:t xml:space="preserve"> reflects the</w:t>
      </w:r>
      <w:r>
        <w:t xml:space="preserve"> larger average size over a number of years rather than the short-turn reduction in large house consents (</w:t>
      </w:r>
      <w:r>
        <w:fldChar w:fldCharType="begin"/>
      </w:r>
      <w:r>
        <w:instrText xml:space="preserve"> REF _Ref458417856 \h </w:instrText>
      </w:r>
      <w:r>
        <w:fldChar w:fldCharType="separate"/>
      </w:r>
      <w:r w:rsidR="004D1DDA">
        <w:t xml:space="preserve">Figure </w:t>
      </w:r>
      <w:r w:rsidR="004D1DDA">
        <w:rPr>
          <w:noProof/>
        </w:rPr>
        <w:t>20</w:t>
      </w:r>
      <w:r>
        <w:fldChar w:fldCharType="end"/>
      </w:r>
      <w:r w:rsidR="003D1AB7">
        <w:t xml:space="preserve"> on page </w:t>
      </w:r>
      <w:r w:rsidR="003D1AB7">
        <w:fldChar w:fldCharType="begin"/>
      </w:r>
      <w:r w:rsidR="003D1AB7">
        <w:instrText xml:space="preserve"> PAGEREF _Ref462573489 \h </w:instrText>
      </w:r>
      <w:r w:rsidR="003D1AB7">
        <w:fldChar w:fldCharType="separate"/>
      </w:r>
      <w:r w:rsidR="004D1DDA">
        <w:rPr>
          <w:noProof/>
        </w:rPr>
        <w:t>43</w:t>
      </w:r>
      <w:r w:rsidR="003D1AB7">
        <w:fldChar w:fldCharType="end"/>
      </w:r>
      <w:r>
        <w:t>).</w:t>
      </w:r>
      <w:proofErr w:type="gramEnd"/>
    </w:p>
    <w:p w:rsidR="003F5B57" w:rsidRPr="004C33D1" w:rsidRDefault="003F5B57" w:rsidP="003F5B57"/>
    <w:p w:rsidR="003F5B57" w:rsidRDefault="003F5B57" w:rsidP="003F5B57">
      <w:r w:rsidRPr="002C1A54">
        <w:t>The average size of houses sold in other high growth areas has been relatively unchanged since 2000</w:t>
      </w:r>
      <w:r>
        <w:t xml:space="preserve">, suggesting that </w:t>
      </w:r>
      <w:r w:rsidRPr="004C33D1">
        <w:t>the inflation-adjusted median house price would be a suffici</w:t>
      </w:r>
      <w:r>
        <w:t xml:space="preserve">ent indicator for these areas. </w:t>
      </w:r>
    </w:p>
    <w:p w:rsidR="0040009E" w:rsidRDefault="0040009E" w:rsidP="0040009E">
      <w:pPr>
        <w:pStyle w:val="Heading2"/>
      </w:pPr>
      <w:bookmarkStart w:id="78" w:name="_Toc462413621"/>
      <w:bookmarkStart w:id="79" w:name="_Toc462582173"/>
      <w:r>
        <w:t>Land values</w:t>
      </w:r>
      <w:bookmarkEnd w:id="78"/>
      <w:bookmarkEnd w:id="79"/>
    </w:p>
    <w:p w:rsidR="003D1AB7" w:rsidRDefault="003D1AB7" w:rsidP="0040009E">
      <w:r>
        <w:t>Land values should be measured separately from property values, where possible, to gain an understanding of whether there is an increasing scarcity of land for development.</w:t>
      </w:r>
    </w:p>
    <w:p w:rsidR="003D1AB7" w:rsidRDefault="003D1AB7" w:rsidP="0040009E"/>
    <w:p w:rsidR="0040009E" w:rsidRDefault="0040009E" w:rsidP="0040009E">
      <w:r>
        <w:t xml:space="preserve">Changes in land prices over time </w:t>
      </w:r>
      <w:proofErr w:type="gramStart"/>
      <w:r>
        <w:t>can be used</w:t>
      </w:r>
      <w:proofErr w:type="gramEnd"/>
      <w:r>
        <w:t xml:space="preserve"> to provide insights into emerging problems</w:t>
      </w:r>
      <w:r w:rsidR="0037058D">
        <w:t>, eg rapidly rising prices,</w:t>
      </w:r>
      <w:r>
        <w:t xml:space="preserve"> </w:t>
      </w:r>
      <w:r w:rsidR="00F168CE">
        <w:t xml:space="preserve">and if analysed at a disaggregated level, can provide insights into the location of residential demand. </w:t>
      </w:r>
      <w:r w:rsidR="00F147D9">
        <w:t>The main d</w:t>
      </w:r>
      <w:r w:rsidR="00F168CE">
        <w:t xml:space="preserve">ata available </w:t>
      </w:r>
      <w:r w:rsidR="00F147D9">
        <w:t xml:space="preserve">are </w:t>
      </w:r>
      <w:r w:rsidR="00F168CE">
        <w:t xml:space="preserve">valuation data produced for councils for rating purposes based on expert assessments. Valuation data are comprehensive, and separate values into their component parts (land and improvements), but </w:t>
      </w:r>
      <w:r w:rsidR="0037058D">
        <w:t xml:space="preserve">they </w:t>
      </w:r>
      <w:r w:rsidR="00F168CE">
        <w:t xml:space="preserve">may differ from market prices and are only updated periodically. </w:t>
      </w:r>
      <w:r w:rsidR="00F147D9">
        <w:t>In contrast, s</w:t>
      </w:r>
      <w:r w:rsidR="00F168CE">
        <w:t xml:space="preserve">ales data are available whenever a property </w:t>
      </w:r>
      <w:proofErr w:type="gramStart"/>
      <w:r w:rsidR="00F168CE">
        <w:t>is sold</w:t>
      </w:r>
      <w:proofErr w:type="gramEnd"/>
      <w:r w:rsidR="0037058D">
        <w:t xml:space="preserve">, </w:t>
      </w:r>
      <w:r w:rsidR="00F147D9">
        <w:t xml:space="preserve">but </w:t>
      </w:r>
      <w:r w:rsidR="0037058D">
        <w:t xml:space="preserve">are not comprehensive and </w:t>
      </w:r>
      <w:r w:rsidR="00F168CE">
        <w:t>they do not separate out the elements of value.</w:t>
      </w:r>
      <w:r w:rsidR="00F147D9">
        <w:t xml:space="preserve"> If there are sufficient sales data, it may be possible to use statistical (econometric) analysis to identify the components of property values, including the separate contributions of land and improvements. However, the large data requirements to obtain statistically significant results may only enable this for the largest of councils.</w:t>
      </w:r>
    </w:p>
    <w:p w:rsidR="00F168CE" w:rsidRDefault="00F168CE" w:rsidP="0040009E"/>
    <w:p w:rsidR="00E54E01" w:rsidRDefault="00F168CE" w:rsidP="00E54E01">
      <w:r>
        <w:fldChar w:fldCharType="begin"/>
      </w:r>
      <w:r>
        <w:instrText xml:space="preserve"> REF _Ref462241630 \h </w:instrText>
      </w:r>
      <w:r>
        <w:fldChar w:fldCharType="separate"/>
      </w:r>
      <w:r w:rsidR="004D1DDA">
        <w:t xml:space="preserve">Figure </w:t>
      </w:r>
      <w:r w:rsidR="004D1DDA">
        <w:rPr>
          <w:noProof/>
        </w:rPr>
        <w:t>8</w:t>
      </w:r>
      <w:r>
        <w:fldChar w:fldCharType="end"/>
      </w:r>
      <w:r>
        <w:t xml:space="preserve"> </w:t>
      </w:r>
      <w:r w:rsidR="0020653B">
        <w:t>shows “</w:t>
      </w:r>
      <w:r>
        <w:t xml:space="preserve">heat maps </w:t>
      </w:r>
      <w:r w:rsidR="00E54E01">
        <w:t xml:space="preserve">for </w:t>
      </w:r>
      <w:r>
        <w:t>Auckland residential land values, generated through Auckland Council’s GIS viewer.</w:t>
      </w:r>
      <w:r w:rsidRPr="00D91B5D">
        <w:rPr>
          <w:rStyle w:val="FootnoteReference"/>
        </w:rPr>
        <w:t xml:space="preserve"> </w:t>
      </w:r>
      <w:r>
        <w:t xml:space="preserve">The left-hand side map </w:t>
      </w:r>
      <w:r w:rsidR="00E54E01">
        <w:t xml:space="preserve">(a) </w:t>
      </w:r>
      <w:r>
        <w:t>shows 2014 land values per square metre, while the right-hand side illustrates the change in values since 2011.</w:t>
      </w:r>
    </w:p>
    <w:p w:rsidR="00E54E01" w:rsidRDefault="00E54E01" w:rsidP="00E54E01"/>
    <w:p w:rsidR="00E54E01" w:rsidRDefault="00E54E01" w:rsidP="00E54E01">
      <w:r>
        <w:fldChar w:fldCharType="begin"/>
      </w:r>
      <w:r>
        <w:instrText xml:space="preserve"> REF _Ref462241630 \h </w:instrText>
      </w:r>
      <w:r>
        <w:fldChar w:fldCharType="separate"/>
      </w:r>
      <w:r w:rsidR="004D1DDA">
        <w:t xml:space="preserve">Figure </w:t>
      </w:r>
      <w:r w:rsidR="004D1DDA">
        <w:rPr>
          <w:noProof/>
        </w:rPr>
        <w:t>8</w:t>
      </w:r>
      <w:r>
        <w:fldChar w:fldCharType="end"/>
      </w:r>
      <w:r>
        <w:t xml:space="preserve">(a) illustrates that coastal land and properties in close proximity to the CBD are more valuable than land located elsewhere. </w:t>
      </w:r>
      <w:r>
        <w:fldChar w:fldCharType="begin"/>
      </w:r>
      <w:r>
        <w:instrText xml:space="preserve"> REF _Ref462241630 \h </w:instrText>
      </w:r>
      <w:r>
        <w:fldChar w:fldCharType="separate"/>
      </w:r>
      <w:r w:rsidR="004D1DDA">
        <w:t xml:space="preserve">Figure </w:t>
      </w:r>
      <w:r w:rsidR="004D1DDA">
        <w:rPr>
          <w:noProof/>
        </w:rPr>
        <w:t>8</w:t>
      </w:r>
      <w:r>
        <w:fldChar w:fldCharType="end"/>
      </w:r>
      <w:r>
        <w:t xml:space="preserve">(b) shows a diverse change in land values across the city from 2011 to 2014.  Areas such as Glenfield, Henderson/ Glen Eden, Blockhouse Bay, Epsom/ Mt Eden, and Mangere have seen the greatest increases in land values over this period. Whereas areas of relatively low growth in value </w:t>
      </w:r>
      <w:proofErr w:type="gramStart"/>
      <w:r>
        <w:t>include:</w:t>
      </w:r>
      <w:proofErr w:type="gramEnd"/>
      <w:r>
        <w:t xml:space="preserve"> North Shore coastal suburbs, Birkenhead, </w:t>
      </w:r>
      <w:r w:rsidR="00AC147B">
        <w:t xml:space="preserve">Herne Bay, Mission Bay-St </w:t>
      </w:r>
      <w:proofErr w:type="spellStart"/>
      <w:r w:rsidR="00AC147B">
        <w:t>Heliers</w:t>
      </w:r>
      <w:proofErr w:type="spellEnd"/>
      <w:r>
        <w:t xml:space="preserve">, </w:t>
      </w:r>
      <w:r w:rsidR="00AC147B">
        <w:t xml:space="preserve">Onehunga/ </w:t>
      </w:r>
      <w:proofErr w:type="spellStart"/>
      <w:r>
        <w:t>Ellerslie</w:t>
      </w:r>
      <w:proofErr w:type="spellEnd"/>
      <w:r>
        <w:t xml:space="preserve"> and </w:t>
      </w:r>
      <w:proofErr w:type="spellStart"/>
      <w:r>
        <w:t>Manukau</w:t>
      </w:r>
      <w:proofErr w:type="spellEnd"/>
      <w:r>
        <w:t xml:space="preserve">. </w:t>
      </w:r>
    </w:p>
    <w:p w:rsidR="00E54E01" w:rsidRDefault="00E54E01" w:rsidP="00E54E01"/>
    <w:p w:rsidR="00E54E01" w:rsidRDefault="00E54E01" w:rsidP="00E54E01">
      <w:r>
        <w:t xml:space="preserve">These geographic illustrations allow evaluators to examine data at a </w:t>
      </w:r>
      <w:r w:rsidR="00AC147B">
        <w:t>more</w:t>
      </w:r>
      <w:r>
        <w:t xml:space="preserve"> disaggregated level</w:t>
      </w:r>
      <w:r w:rsidR="00331100">
        <w:t xml:space="preserve"> and in a way that is easy to interpret. Statistical and/or graphical analysis can provide similar insights but not in a way that is so easily </w:t>
      </w:r>
      <w:r w:rsidR="0037058D">
        <w:t xml:space="preserve">understood or </w:t>
      </w:r>
      <w:r w:rsidR="00331100">
        <w:t xml:space="preserve">communicated. </w:t>
      </w:r>
    </w:p>
    <w:p w:rsidR="00E54E01" w:rsidRDefault="00E54E01" w:rsidP="00E54E01"/>
    <w:p w:rsidR="00F147D9" w:rsidRDefault="00F147D9" w:rsidP="00E54E01"/>
    <w:p w:rsidR="00F147D9" w:rsidRDefault="00F147D9" w:rsidP="00E54E01"/>
    <w:p w:rsidR="00F168CE" w:rsidRDefault="00F168CE" w:rsidP="00E54E01">
      <w:pPr>
        <w:pStyle w:val="Caption"/>
        <w:spacing w:after="0"/>
      </w:pPr>
      <w:bookmarkStart w:id="80" w:name="_Ref462241630"/>
      <w:r>
        <w:lastRenderedPageBreak/>
        <w:t xml:space="preserve">Figure </w:t>
      </w:r>
      <w:r>
        <w:fldChar w:fldCharType="begin"/>
      </w:r>
      <w:r>
        <w:instrText xml:space="preserve"> SEQ Figure \* ARABIC </w:instrText>
      </w:r>
      <w:r>
        <w:fldChar w:fldCharType="separate"/>
      </w:r>
      <w:r w:rsidR="004D1DDA">
        <w:rPr>
          <w:noProof/>
        </w:rPr>
        <w:t>8</w:t>
      </w:r>
      <w:r>
        <w:fldChar w:fldCharType="end"/>
      </w:r>
      <w:bookmarkEnd w:id="80"/>
      <w:r>
        <w:t xml:space="preserve"> Auckland land values</w:t>
      </w:r>
      <w:r w:rsidR="00E54E01">
        <w:t xml:space="preserve"> ($</w:t>
      </w:r>
      <w:r>
        <w:t>/m</w:t>
      </w:r>
      <w:r w:rsidRPr="00382685">
        <w:rPr>
          <w:vertAlign w:val="superscript"/>
        </w:rPr>
        <w:t>2</w:t>
      </w:r>
      <w:r w:rsidR="00E54E01">
        <w:t>)</w:t>
      </w:r>
    </w:p>
    <w:p w:rsidR="0075045E" w:rsidRPr="00E54E01" w:rsidRDefault="00E54E01" w:rsidP="00E54E01">
      <w:pPr>
        <w:pStyle w:val="ListParagraph"/>
        <w:numPr>
          <w:ilvl w:val="0"/>
          <w:numId w:val="0"/>
        </w:numPr>
        <w:ind w:left="567"/>
        <w:rPr>
          <w:sz w:val="18"/>
          <w:szCs w:val="18"/>
        </w:rPr>
      </w:pPr>
      <w:r>
        <w:rPr>
          <w:sz w:val="18"/>
          <w:szCs w:val="18"/>
        </w:rPr>
        <w:t xml:space="preserve">(a)   </w:t>
      </w:r>
      <w:r w:rsidRPr="00E54E01">
        <w:rPr>
          <w:sz w:val="18"/>
          <w:szCs w:val="18"/>
        </w:rPr>
        <w:t>2014 land values ($/m</w:t>
      </w:r>
      <w:r w:rsidRPr="00E54E01">
        <w:rPr>
          <w:sz w:val="18"/>
          <w:szCs w:val="18"/>
          <w:vertAlign w:val="superscript"/>
        </w:rPr>
        <w:t>2</w:t>
      </w:r>
      <w:r w:rsidRPr="00E54E01">
        <w:rPr>
          <w:sz w:val="18"/>
          <w:szCs w:val="18"/>
        </w:rPr>
        <w:t>)</w:t>
      </w:r>
      <w:r w:rsidRPr="00E54E01">
        <w:rPr>
          <w:sz w:val="18"/>
          <w:szCs w:val="18"/>
        </w:rPr>
        <w:tab/>
      </w:r>
      <w:r w:rsidRPr="00E54E01">
        <w:rPr>
          <w:sz w:val="18"/>
          <w:szCs w:val="18"/>
        </w:rPr>
        <w:tab/>
      </w:r>
      <w:r w:rsidRPr="00E54E01">
        <w:rPr>
          <w:sz w:val="18"/>
          <w:szCs w:val="18"/>
        </w:rPr>
        <w:tab/>
      </w:r>
      <w:r w:rsidRPr="00E54E01">
        <w:rPr>
          <w:sz w:val="18"/>
          <w:szCs w:val="18"/>
        </w:rPr>
        <w:tab/>
      </w:r>
      <w:r>
        <w:rPr>
          <w:sz w:val="18"/>
          <w:szCs w:val="18"/>
        </w:rPr>
        <w:tab/>
      </w:r>
      <w:r>
        <w:rPr>
          <w:sz w:val="18"/>
          <w:szCs w:val="18"/>
        </w:rPr>
        <w:tab/>
      </w:r>
      <w:r w:rsidRPr="00E54E01">
        <w:rPr>
          <w:sz w:val="18"/>
          <w:szCs w:val="18"/>
        </w:rPr>
        <w:t>(b)   change in land values (2011-14)</w:t>
      </w:r>
    </w:p>
    <w:p w:rsidR="00F168CE" w:rsidRPr="00DE17C0" w:rsidRDefault="0075045E" w:rsidP="00F168CE">
      <w:r>
        <w:rPr>
          <w:noProof/>
          <w:lang w:eastAsia="en-NZ"/>
        </w:rPr>
        <w:drawing>
          <wp:inline distT="0" distB="0" distL="0" distR="0" wp14:anchorId="69B138E7" wp14:editId="4EE0DAFF">
            <wp:extent cx="5220335" cy="35306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KL land values.jpg"/>
                    <pic:cNvPicPr/>
                  </pic:nvPicPr>
                  <pic:blipFill>
                    <a:blip r:embed="rId32">
                      <a:extLst>
                        <a:ext uri="{28A0092B-C50C-407E-A947-70E740481C1C}">
                          <a14:useLocalDpi xmlns:a14="http://schemas.microsoft.com/office/drawing/2010/main" val="0"/>
                        </a:ext>
                      </a:extLst>
                    </a:blip>
                    <a:stretch>
                      <a:fillRect/>
                    </a:stretch>
                  </pic:blipFill>
                  <pic:spPr>
                    <a:xfrm>
                      <a:off x="0" y="0"/>
                      <a:ext cx="5220335" cy="3530600"/>
                    </a:xfrm>
                    <a:prstGeom prst="rect">
                      <a:avLst/>
                    </a:prstGeom>
                  </pic:spPr>
                </pic:pic>
              </a:graphicData>
            </a:graphic>
          </wp:inline>
        </w:drawing>
      </w:r>
      <w:r w:rsidR="00F168CE">
        <w:rPr>
          <w:noProof/>
          <w:lang w:eastAsia="en-NZ"/>
        </w:rPr>
        <mc:AlternateContent>
          <mc:Choice Requires="wps">
            <w:drawing>
              <wp:anchor distT="0" distB="0" distL="114300" distR="114300" simplePos="0" relativeHeight="251692032" behindDoc="0" locked="0" layoutInCell="1" allowOverlap="1" wp14:anchorId="233E43C0" wp14:editId="26B9F1CC">
                <wp:simplePos x="0" y="0"/>
                <wp:positionH relativeFrom="column">
                  <wp:posOffset>2418715</wp:posOffset>
                </wp:positionH>
                <wp:positionV relativeFrom="paragraph">
                  <wp:posOffset>17145</wp:posOffset>
                </wp:positionV>
                <wp:extent cx="350520" cy="365760"/>
                <wp:effectExtent l="0" t="1905" r="1905" b="3810"/>
                <wp:wrapNone/>
                <wp:docPr id="5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805" w:rsidRPr="005371C7" w:rsidRDefault="000B6805" w:rsidP="00F168CE">
                            <w:pPr>
                              <w:rPr>
                                <w:rFonts w:ascii="Century Gothic" w:hAnsi="Century Gothic"/>
                                <w:b/>
                                <w:color w:val="FFFFFF" w:themeColor="background1"/>
                                <w:sz w:val="28"/>
                                <w:szCs w:val="28"/>
                              </w:rPr>
                            </w:pPr>
                            <w:r>
                              <w:rPr>
                                <w:rFonts w:ascii="Century Gothic" w:hAnsi="Century Gothic"/>
                                <w:b/>
                                <w:color w:val="FFFFFF" w:themeColor="background1"/>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8AAEF79" id="Text Box 3" o:spid="_x0000_s1030" type="#_x0000_t202" style="position:absolute;margin-left:190.45pt;margin-top:1.35pt;width:27.6pt;height:28.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" filled="f" stroked="f">
                <v:textbox>
                  <w:txbxContent>
                    <w:p w:rsidR="000B6805" w:rsidRPr="005371C7" w:rsidRDefault="000B6805" w:rsidP="00F168CE">
                      <w:pPr>
                        <w:rPr>
                          <w:rFonts w:ascii="Century Gothic" w:hAnsi="Century Gothic"/>
                          <w:b/>
                          <w:color w:val="FFFFFF" w:themeColor="background1"/>
                          <w:sz w:val="28"/>
                          <w:szCs w:val="28"/>
                        </w:rPr>
                      </w:pPr>
                      <w:r>
                        <w:rPr>
                          <w:rFonts w:ascii="Century Gothic" w:hAnsi="Century Gothic"/>
                          <w:b/>
                          <w:color w:val="FFFFFF" w:themeColor="background1"/>
                          <w:sz w:val="28"/>
                          <w:szCs w:val="28"/>
                        </w:rPr>
                        <w:t>B</w:t>
                      </w:r>
                    </w:p>
                  </w:txbxContent>
                </v:textbox>
              </v:shape>
            </w:pict>
          </mc:Fallback>
        </mc:AlternateContent>
      </w:r>
      <w:r w:rsidR="00F168CE">
        <w:rPr>
          <w:noProof/>
          <w:lang w:eastAsia="en-NZ"/>
        </w:rPr>
        <mc:AlternateContent>
          <mc:Choice Requires="wps">
            <w:drawing>
              <wp:anchor distT="0" distB="0" distL="114300" distR="114300" simplePos="0" relativeHeight="251691008" behindDoc="0" locked="0" layoutInCell="1" allowOverlap="1" wp14:anchorId="467DD8CE" wp14:editId="64F32B6E">
                <wp:simplePos x="0" y="0"/>
                <wp:positionH relativeFrom="column">
                  <wp:posOffset>-492125</wp:posOffset>
                </wp:positionH>
                <wp:positionV relativeFrom="paragraph">
                  <wp:posOffset>17145</wp:posOffset>
                </wp:positionV>
                <wp:extent cx="350520" cy="365760"/>
                <wp:effectExtent l="0" t="0" r="254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805" w:rsidRPr="005371C7" w:rsidRDefault="000B6805" w:rsidP="00F168CE">
                            <w:pPr>
                              <w:rPr>
                                <w:rFonts w:ascii="Century Gothic" w:hAnsi="Century Gothic"/>
                                <w:b/>
                                <w:color w:val="FFFFFF" w:themeColor="background1"/>
                                <w:sz w:val="28"/>
                                <w:szCs w:val="28"/>
                              </w:rPr>
                            </w:pPr>
                            <w:r w:rsidRPr="005371C7">
                              <w:rPr>
                                <w:rFonts w:ascii="Century Gothic" w:hAnsi="Century Gothic"/>
                                <w:b/>
                                <w:color w:val="FFFFFF" w:themeColor="background1"/>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E511917" id="Text Box 2" o:spid="_x0000_s1031" type="#_x0000_t202" style="position:absolute;margin-left:-38.75pt;margin-top:1.35pt;width:27.6pt;height:28.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WCuuQIAAMA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" filled="f" stroked="f">
                <v:textbox>
                  <w:txbxContent>
                    <w:p w:rsidR="000B6805" w:rsidRPr="005371C7" w:rsidRDefault="000B6805" w:rsidP="00F168CE">
                      <w:pPr>
                        <w:rPr>
                          <w:rFonts w:ascii="Century Gothic" w:hAnsi="Century Gothic"/>
                          <w:b/>
                          <w:color w:val="FFFFFF" w:themeColor="background1"/>
                          <w:sz w:val="28"/>
                          <w:szCs w:val="28"/>
                        </w:rPr>
                      </w:pPr>
                      <w:r w:rsidRPr="005371C7">
                        <w:rPr>
                          <w:rFonts w:ascii="Century Gothic" w:hAnsi="Century Gothic"/>
                          <w:b/>
                          <w:color w:val="FFFFFF" w:themeColor="background1"/>
                          <w:sz w:val="28"/>
                          <w:szCs w:val="28"/>
                        </w:rPr>
                        <w:t>A</w:t>
                      </w:r>
                    </w:p>
                  </w:txbxContent>
                </v:textbox>
              </v:shape>
            </w:pict>
          </mc:Fallback>
        </mc:AlternateContent>
      </w:r>
    </w:p>
    <w:p w:rsidR="00F168CE" w:rsidRPr="0086661F" w:rsidRDefault="00F168CE" w:rsidP="00E54E01">
      <w:pPr>
        <w:spacing w:line="240" w:lineRule="auto"/>
        <w:rPr>
          <w:sz w:val="18"/>
          <w:szCs w:val="18"/>
        </w:rPr>
      </w:pPr>
      <w:r w:rsidRPr="0086661F">
        <w:rPr>
          <w:sz w:val="18"/>
          <w:szCs w:val="18"/>
        </w:rPr>
        <w:t>Source: Auckland Council’s GIS viewer</w:t>
      </w:r>
      <w:r w:rsidRPr="0086661F">
        <w:rPr>
          <w:rStyle w:val="FootnoteReference"/>
          <w:sz w:val="18"/>
          <w:szCs w:val="18"/>
        </w:rPr>
        <w:t xml:space="preserve"> </w:t>
      </w:r>
      <w:r w:rsidRPr="0086661F">
        <w:rPr>
          <w:sz w:val="18"/>
          <w:szCs w:val="18"/>
        </w:rPr>
        <w:t xml:space="preserve">via </w:t>
      </w:r>
      <w:r w:rsidR="00E54E01" w:rsidRPr="00E54E01">
        <w:rPr>
          <w:sz w:val="18"/>
          <w:szCs w:val="18"/>
        </w:rPr>
        <w:t>http://transportblog.co.nz/2014/11/11/new-auckland-valuation-maps/</w:t>
      </w:r>
    </w:p>
    <w:p w:rsidR="00F168CE" w:rsidRDefault="00F168CE" w:rsidP="00F168CE"/>
    <w:p w:rsidR="00F147D9" w:rsidRDefault="00F147D9" w:rsidP="00F147D9">
      <w:r>
        <w:t>As an alternative, monthly sales data, sourced from REINZ,</w:t>
      </w:r>
      <w:r>
        <w:rPr>
          <w:rStyle w:val="FootnoteReference"/>
        </w:rPr>
        <w:footnoteReference w:id="44"/>
      </w:r>
      <w:r>
        <w:t xml:space="preserve"> </w:t>
      </w:r>
      <w:proofErr w:type="gramStart"/>
      <w:r>
        <w:t>are used</w:t>
      </w:r>
      <w:proofErr w:type="gramEnd"/>
      <w:r>
        <w:t xml:space="preserve"> to construct a time series of 3-month moving average median house prices by suburb.</w:t>
      </w:r>
      <w:r>
        <w:rPr>
          <w:rStyle w:val="FootnoteReference"/>
        </w:rPr>
        <w:footnoteReference w:id="45"/>
      </w:r>
      <w:r>
        <w:t xml:space="preserve"> These data show both similarities to and differences from to the valuation data.</w:t>
      </w:r>
    </w:p>
    <w:p w:rsidR="00F147D9" w:rsidRDefault="00F147D9" w:rsidP="00F168CE"/>
    <w:p w:rsidR="00D6160D" w:rsidRDefault="00D6160D" w:rsidP="00D6160D">
      <w:r>
        <w:fldChar w:fldCharType="begin"/>
      </w:r>
      <w:r>
        <w:instrText xml:space="preserve"> REF _Ref462308012 \h </w:instrText>
      </w:r>
      <w:r>
        <w:fldChar w:fldCharType="separate"/>
      </w:r>
      <w:r w:rsidR="004D1DDA">
        <w:t xml:space="preserve">Figure </w:t>
      </w:r>
      <w:r w:rsidR="004D1DDA">
        <w:rPr>
          <w:noProof/>
        </w:rPr>
        <w:t>9</w:t>
      </w:r>
      <w:r>
        <w:fldChar w:fldCharType="end"/>
      </w:r>
      <w:r>
        <w:t xml:space="preserve"> shows the change since mid-2011 in median house prices for a number of Auckland suburbs. The trends are </w:t>
      </w:r>
      <w:r w:rsidR="00F147D9">
        <w:t xml:space="preserve">generally </w:t>
      </w:r>
      <w:r>
        <w:t xml:space="preserve">consistent with the heat maps above. Areas with relatively high increases in land values (Glenfield and Henderson/ Glen Eden) also experienced comparatively high house price growth. Likewise, areas with relatively small changes in land values (Mount Albert and </w:t>
      </w:r>
      <w:proofErr w:type="spellStart"/>
      <w:r>
        <w:t>Manurewa</w:t>
      </w:r>
      <w:proofErr w:type="spellEnd"/>
      <w:r>
        <w:t xml:space="preserve"> coloured orange and light green respectively in </w:t>
      </w:r>
      <w:r>
        <w:fldChar w:fldCharType="begin"/>
      </w:r>
      <w:r>
        <w:instrText xml:space="preserve"> REF _Ref462241630 \h </w:instrText>
      </w:r>
      <w:r>
        <w:fldChar w:fldCharType="separate"/>
      </w:r>
      <w:r w:rsidR="004D1DDA">
        <w:t xml:space="preserve">Figure </w:t>
      </w:r>
      <w:r w:rsidR="004D1DDA">
        <w:rPr>
          <w:noProof/>
        </w:rPr>
        <w:t>8</w:t>
      </w:r>
      <w:r>
        <w:fldChar w:fldCharType="end"/>
      </w:r>
      <w:r>
        <w:t xml:space="preserve">b) also experienced smaller percentage changes in prices. </w:t>
      </w:r>
      <w:r>
        <w:fldChar w:fldCharType="begin"/>
      </w:r>
      <w:r>
        <w:instrText xml:space="preserve"> REF _Ref462308012 \h </w:instrText>
      </w:r>
      <w:r>
        <w:fldChar w:fldCharType="separate"/>
      </w:r>
      <w:r w:rsidR="004D1DDA">
        <w:t xml:space="preserve">Figure </w:t>
      </w:r>
      <w:r w:rsidR="004D1DDA">
        <w:rPr>
          <w:noProof/>
        </w:rPr>
        <w:t>9</w:t>
      </w:r>
      <w:r>
        <w:fldChar w:fldCharType="end"/>
      </w:r>
      <w:r>
        <w:t xml:space="preserve"> also suggests that these suburbs shared a similar growth rate until they began to diverge in </w:t>
      </w:r>
      <w:proofErr w:type="gramStart"/>
      <w:r>
        <w:t>late-2012</w:t>
      </w:r>
      <w:proofErr w:type="gramEnd"/>
      <w:r>
        <w:t>.</w:t>
      </w:r>
    </w:p>
    <w:p w:rsidR="00D6160D" w:rsidRDefault="00D6160D" w:rsidP="00D6160D"/>
    <w:p w:rsidR="00D6160D" w:rsidRDefault="00D6160D" w:rsidP="00D6160D">
      <w:r>
        <w:t xml:space="preserve">Not all of the house price trends are consistent with the land valuation data. For example, </w:t>
      </w:r>
      <w:r>
        <w:fldChar w:fldCharType="begin"/>
      </w:r>
      <w:r>
        <w:instrText xml:space="preserve"> REF _Ref462323710 \h </w:instrText>
      </w:r>
      <w:r>
        <w:fldChar w:fldCharType="separate"/>
      </w:r>
      <w:r w:rsidR="004D1DDA">
        <w:t xml:space="preserve">Figure </w:t>
      </w:r>
      <w:r w:rsidR="004D1DDA">
        <w:rPr>
          <w:noProof/>
        </w:rPr>
        <w:t>10</w:t>
      </w:r>
      <w:r>
        <w:fldChar w:fldCharType="end"/>
      </w:r>
      <w:r>
        <w:t xml:space="preserve"> shows that Devonport and Onehunga/Penrose experienced relatively strong growth in house prices yet comparatively little change in estimated land value, hence the light green </w:t>
      </w:r>
      <w:r w:rsidR="001F5BE3">
        <w:t xml:space="preserve">colour </w:t>
      </w:r>
      <w:r>
        <w:t xml:space="preserve">in </w:t>
      </w:r>
      <w:r>
        <w:fldChar w:fldCharType="begin"/>
      </w:r>
      <w:r>
        <w:instrText xml:space="preserve"> REF _Ref462241630 \h </w:instrText>
      </w:r>
      <w:r>
        <w:fldChar w:fldCharType="separate"/>
      </w:r>
      <w:r w:rsidR="004D1DDA">
        <w:t xml:space="preserve">Figure </w:t>
      </w:r>
      <w:r w:rsidR="004D1DDA">
        <w:rPr>
          <w:noProof/>
        </w:rPr>
        <w:t>8</w:t>
      </w:r>
      <w:r>
        <w:fldChar w:fldCharType="end"/>
      </w:r>
      <w:r>
        <w:t>b.</w:t>
      </w:r>
      <w:r w:rsidR="00342A96">
        <w:t xml:space="preserve"> This might be because of differences in values of land versus properties, </w:t>
      </w:r>
      <w:r w:rsidR="001F5BE3">
        <w:t xml:space="preserve">differences between the average type of property in each area versus what has sold and/or </w:t>
      </w:r>
      <w:r w:rsidR="00342A96">
        <w:t>problems with the valuation estimates.</w:t>
      </w:r>
      <w:r w:rsidR="001F5BE3">
        <w:t xml:space="preserve"> Valuation data are not a consistent proxy for sales prices and vice versa.</w:t>
      </w:r>
    </w:p>
    <w:p w:rsidR="00F168CE" w:rsidRDefault="00F168CE" w:rsidP="00D6160D">
      <w:pPr>
        <w:pStyle w:val="Caption"/>
      </w:pPr>
      <w:bookmarkStart w:id="81" w:name="_Ref462308012"/>
      <w:r>
        <w:lastRenderedPageBreak/>
        <w:t xml:space="preserve">Figure </w:t>
      </w:r>
      <w:r>
        <w:fldChar w:fldCharType="begin"/>
      </w:r>
      <w:r>
        <w:instrText xml:space="preserve"> SEQ Figure \* ARABIC </w:instrText>
      </w:r>
      <w:r>
        <w:fldChar w:fldCharType="separate"/>
      </w:r>
      <w:r w:rsidR="004D1DDA">
        <w:rPr>
          <w:noProof/>
        </w:rPr>
        <w:t>9</w:t>
      </w:r>
      <w:r>
        <w:fldChar w:fldCharType="end"/>
      </w:r>
      <w:bookmarkEnd w:id="81"/>
      <w:r>
        <w:t xml:space="preserve"> Median house prices by Auckland suburb </w:t>
      </w:r>
      <w:r w:rsidR="002E7321">
        <w:t xml:space="preserve">since </w:t>
      </w:r>
      <w:r>
        <w:t>2011 (</w:t>
      </w:r>
      <w:proofErr w:type="gramStart"/>
      <w:r>
        <w:t>three month</w:t>
      </w:r>
      <w:proofErr w:type="gramEnd"/>
      <w:r>
        <w:t xml:space="preserve"> moving average)</w:t>
      </w:r>
    </w:p>
    <w:p w:rsidR="00F168CE" w:rsidRDefault="00D6160D" w:rsidP="002E7321">
      <w:pPr>
        <w:jc w:val="center"/>
      </w:pPr>
      <w:r w:rsidRPr="00D6160D">
        <w:rPr>
          <w:noProof/>
          <w:lang w:eastAsia="en-NZ"/>
        </w:rPr>
        <w:drawing>
          <wp:inline distT="0" distB="0" distL="0" distR="0" wp14:anchorId="5FD5F792" wp14:editId="2E87895C">
            <wp:extent cx="4191000" cy="2928060"/>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4725" cy="2930663"/>
                    </a:xfrm>
                    <a:prstGeom prst="rect">
                      <a:avLst/>
                    </a:prstGeom>
                    <a:noFill/>
                    <a:ln>
                      <a:noFill/>
                    </a:ln>
                  </pic:spPr>
                </pic:pic>
              </a:graphicData>
            </a:graphic>
          </wp:inline>
        </w:drawing>
      </w:r>
    </w:p>
    <w:p w:rsidR="00F168CE" w:rsidRPr="002E7321" w:rsidRDefault="00F168CE" w:rsidP="00F168CE">
      <w:pPr>
        <w:rPr>
          <w:sz w:val="18"/>
          <w:szCs w:val="18"/>
        </w:rPr>
      </w:pPr>
      <w:r w:rsidRPr="002E7321">
        <w:rPr>
          <w:sz w:val="18"/>
          <w:szCs w:val="18"/>
        </w:rPr>
        <w:t>Source: REINZ</w:t>
      </w:r>
    </w:p>
    <w:p w:rsidR="00F168CE" w:rsidRDefault="00F168CE" w:rsidP="00F168CE"/>
    <w:p w:rsidR="00F168CE" w:rsidRDefault="00F168CE" w:rsidP="00F168CE">
      <w:pPr>
        <w:pStyle w:val="Caption"/>
      </w:pPr>
      <w:bookmarkStart w:id="82" w:name="_Ref462323710"/>
      <w:r>
        <w:t xml:space="preserve">Figure </w:t>
      </w:r>
      <w:r>
        <w:fldChar w:fldCharType="begin"/>
      </w:r>
      <w:r>
        <w:instrText xml:space="preserve"> SEQ Figure \* ARABIC </w:instrText>
      </w:r>
      <w:r>
        <w:fldChar w:fldCharType="separate"/>
      </w:r>
      <w:r w:rsidR="004D1DDA">
        <w:rPr>
          <w:noProof/>
        </w:rPr>
        <w:t>10</w:t>
      </w:r>
      <w:r>
        <w:fldChar w:fldCharType="end"/>
      </w:r>
      <w:bookmarkEnd w:id="82"/>
      <w:r>
        <w:t xml:space="preserve"> Median house prices by Auckland suburb, 2011-2014 (three month moving average)</w:t>
      </w:r>
    </w:p>
    <w:p w:rsidR="00F168CE" w:rsidRDefault="00D6160D" w:rsidP="002E7321">
      <w:pPr>
        <w:jc w:val="center"/>
      </w:pPr>
      <w:r w:rsidRPr="00D6160D">
        <w:rPr>
          <w:noProof/>
          <w:lang w:eastAsia="en-NZ"/>
        </w:rPr>
        <w:drawing>
          <wp:inline distT="0" distB="0" distL="0" distR="0" wp14:anchorId="20AD68CA" wp14:editId="3799C31B">
            <wp:extent cx="4076700" cy="2857464"/>
            <wp:effectExtent l="0" t="0" r="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79464" cy="2859401"/>
                    </a:xfrm>
                    <a:prstGeom prst="rect">
                      <a:avLst/>
                    </a:prstGeom>
                    <a:noFill/>
                    <a:ln>
                      <a:noFill/>
                    </a:ln>
                  </pic:spPr>
                </pic:pic>
              </a:graphicData>
            </a:graphic>
          </wp:inline>
        </w:drawing>
      </w:r>
    </w:p>
    <w:p w:rsidR="00F168CE" w:rsidRPr="002E7321" w:rsidRDefault="00F168CE" w:rsidP="00F168CE">
      <w:pPr>
        <w:rPr>
          <w:sz w:val="18"/>
          <w:szCs w:val="18"/>
        </w:rPr>
      </w:pPr>
      <w:r w:rsidRPr="002E7321">
        <w:rPr>
          <w:sz w:val="18"/>
          <w:szCs w:val="18"/>
        </w:rPr>
        <w:t>Source: REINZ</w:t>
      </w:r>
    </w:p>
    <w:p w:rsidR="001F5BE3" w:rsidRDefault="001F5BE3" w:rsidP="001F5BE3">
      <w:pPr>
        <w:pStyle w:val="Heading2"/>
      </w:pPr>
      <w:bookmarkStart w:id="83" w:name="_Toc462413622"/>
      <w:bookmarkStart w:id="84" w:name="_Toc462582174"/>
      <w:r>
        <w:t>Rent</w:t>
      </w:r>
      <w:r w:rsidR="009D474D">
        <w:t>s</w:t>
      </w:r>
      <w:bookmarkEnd w:id="83"/>
      <w:bookmarkEnd w:id="84"/>
    </w:p>
    <w:p w:rsidR="003F5B57" w:rsidRDefault="003F5B57" w:rsidP="003F5B57">
      <w:pPr>
        <w:pStyle w:val="Heading3"/>
      </w:pPr>
      <w:r>
        <w:t>Average Rents</w:t>
      </w:r>
    </w:p>
    <w:p w:rsidR="00F147D9" w:rsidRDefault="00F147D9" w:rsidP="003F5B57">
      <w:r>
        <w:t xml:space="preserve">Rent data for residential properties are available from the Ministry of Business, Innovation and Employment (MBIE) using the </w:t>
      </w:r>
      <w:r w:rsidRPr="00F147D9">
        <w:t xml:space="preserve">tenancy bond database, which records all rental bonds that </w:t>
      </w:r>
      <w:proofErr w:type="gramStart"/>
      <w:r w:rsidRPr="00F147D9">
        <w:t>are lodged</w:t>
      </w:r>
      <w:proofErr w:type="gramEnd"/>
      <w:r w:rsidRPr="00F147D9">
        <w:t xml:space="preserve"> with </w:t>
      </w:r>
      <w:r>
        <w:t>MBIE.</w:t>
      </w:r>
    </w:p>
    <w:p w:rsidR="00F147D9" w:rsidRDefault="00F147D9" w:rsidP="003F5B57"/>
    <w:p w:rsidR="003F5B57" w:rsidRDefault="003F5B57" w:rsidP="003F5B57">
      <w:r w:rsidRPr="004C33D1">
        <w:lastRenderedPageBreak/>
        <w:t xml:space="preserve">Real average weekly rents for high growth areas </w:t>
      </w:r>
      <w:proofErr w:type="gramStart"/>
      <w:r w:rsidRPr="004C33D1">
        <w:t>are shown</w:t>
      </w:r>
      <w:proofErr w:type="gramEnd"/>
      <w:r w:rsidRPr="004C33D1">
        <w:t xml:space="preserve"> in </w:t>
      </w:r>
      <w:r w:rsidRPr="004C33D1">
        <w:fldChar w:fldCharType="begin"/>
      </w:r>
      <w:r w:rsidRPr="004C33D1">
        <w:instrText xml:space="preserve"> REF _Ref457995691 \h </w:instrText>
      </w:r>
      <w:r w:rsidRPr="004C33D1">
        <w:fldChar w:fldCharType="separate"/>
      </w:r>
      <w:r w:rsidR="004D1DDA" w:rsidRPr="004C33D1">
        <w:t xml:space="preserve">Figure </w:t>
      </w:r>
      <w:r w:rsidR="004D1DDA">
        <w:rPr>
          <w:noProof/>
        </w:rPr>
        <w:t>11</w:t>
      </w:r>
      <w:r w:rsidRPr="004C33D1">
        <w:fldChar w:fldCharType="end"/>
      </w:r>
      <w:r w:rsidRPr="004C33D1">
        <w:t>.</w:t>
      </w:r>
      <w:r>
        <w:rPr>
          <w:rStyle w:val="FootnoteReference"/>
        </w:rPr>
        <w:footnoteReference w:id="46"/>
      </w:r>
      <w:r w:rsidRPr="004C33D1">
        <w:t xml:space="preserve"> Growth in real rents has been significantly less than </w:t>
      </w:r>
      <w:r>
        <w:t xml:space="preserve">growth </w:t>
      </w:r>
      <w:r w:rsidRPr="004C33D1">
        <w:t>of median house prices. Auckland’s real rents have only risen by 26%, slightly more than that of Hamilton (25%) and less than half as much as that seen in Christchurch (56%).</w:t>
      </w:r>
    </w:p>
    <w:p w:rsidR="003F5B57" w:rsidRPr="004C33D1" w:rsidRDefault="003F5B57" w:rsidP="003F5B57">
      <w:pPr>
        <w:pStyle w:val="Caption"/>
      </w:pPr>
      <w:bookmarkStart w:id="85" w:name="_Ref457995691"/>
      <w:r w:rsidRPr="004C33D1">
        <w:t xml:space="preserve">Figure </w:t>
      </w:r>
      <w:r w:rsidRPr="004C33D1">
        <w:fldChar w:fldCharType="begin"/>
      </w:r>
      <w:r w:rsidRPr="004C33D1">
        <w:instrText xml:space="preserve"> SEQ Figure \* ARABIC </w:instrText>
      </w:r>
      <w:r w:rsidRPr="004C33D1">
        <w:fldChar w:fldCharType="separate"/>
      </w:r>
      <w:r w:rsidR="004D1DDA">
        <w:rPr>
          <w:noProof/>
        </w:rPr>
        <w:t>11</w:t>
      </w:r>
      <w:r w:rsidRPr="004C33D1">
        <w:fldChar w:fldCharType="end"/>
      </w:r>
      <w:bookmarkEnd w:id="85"/>
      <w:r w:rsidRPr="004C33D1">
        <w:t xml:space="preserve"> Inflation-adjusted mean weekly rents for high growth areas 2000-2015 (2015$ values)</w:t>
      </w:r>
    </w:p>
    <w:p w:rsidR="003F5B57" w:rsidRPr="004C33D1" w:rsidRDefault="003F5B57" w:rsidP="003F5B57">
      <w:pPr>
        <w:jc w:val="center"/>
      </w:pPr>
      <w:r w:rsidRPr="004C33D1">
        <w:rPr>
          <w:noProof/>
          <w:lang w:eastAsia="en-NZ"/>
        </w:rPr>
        <w:drawing>
          <wp:inline distT="0" distB="0" distL="0" distR="0" wp14:anchorId="20DEC5B7" wp14:editId="1D53CE55">
            <wp:extent cx="4145280" cy="2431580"/>
            <wp:effectExtent l="0" t="0" r="7620" b="6985"/>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60931" cy="2440761"/>
                    </a:xfrm>
                    <a:prstGeom prst="rect">
                      <a:avLst/>
                    </a:prstGeom>
                    <a:noFill/>
                    <a:ln>
                      <a:noFill/>
                    </a:ln>
                  </pic:spPr>
                </pic:pic>
              </a:graphicData>
            </a:graphic>
          </wp:inline>
        </w:drawing>
      </w:r>
    </w:p>
    <w:p w:rsidR="00F147D9" w:rsidRDefault="00F147D9" w:rsidP="00F147D9">
      <w:bookmarkStart w:id="86" w:name="_Ref457898055"/>
    </w:p>
    <w:p w:rsidR="00712A3C" w:rsidRDefault="00F147D9" w:rsidP="00712A3C">
      <w:r w:rsidRPr="004C33D1">
        <w:t xml:space="preserve">As house size is not recorded in the rent data (from MBIE), we use mean weekly rents for 1 and 3 bedroom homes to control for potential changes in the size of rental properties over </w:t>
      </w:r>
      <w:r w:rsidRPr="009E0826">
        <w:t>time (</w:t>
      </w:r>
      <w:r w:rsidR="00712A3C">
        <w:fldChar w:fldCharType="begin"/>
      </w:r>
      <w:r w:rsidR="00712A3C">
        <w:instrText xml:space="preserve"> REF _Ref462901346 \h </w:instrText>
      </w:r>
      <w:r w:rsidR="00712A3C">
        <w:fldChar w:fldCharType="separate"/>
      </w:r>
      <w:r w:rsidR="004D1DDA" w:rsidRPr="004C33D1">
        <w:rPr>
          <w:bCs/>
          <w:sz w:val="18"/>
          <w:szCs w:val="20"/>
        </w:rPr>
        <w:t xml:space="preserve">Figure </w:t>
      </w:r>
      <w:r w:rsidR="004D1DDA">
        <w:rPr>
          <w:bCs/>
          <w:noProof/>
          <w:sz w:val="18"/>
          <w:szCs w:val="20"/>
        </w:rPr>
        <w:t>12</w:t>
      </w:r>
      <w:r w:rsidR="00712A3C">
        <w:fldChar w:fldCharType="end"/>
      </w:r>
      <w:r w:rsidR="00712A3C">
        <w:t xml:space="preserve"> </w:t>
      </w:r>
      <w:r w:rsidRPr="009E0826">
        <w:t xml:space="preserve">and </w:t>
      </w:r>
      <w:r w:rsidRPr="009E0826">
        <w:fldChar w:fldCharType="begin"/>
      </w:r>
      <w:r w:rsidRPr="009E0826">
        <w:instrText xml:space="preserve"> REF _Ref457898059 \h  \* MERGEFORMAT </w:instrText>
      </w:r>
      <w:r w:rsidRPr="009E0826">
        <w:fldChar w:fldCharType="separate"/>
      </w:r>
      <w:r w:rsidR="004D1DDA" w:rsidRPr="004D1DDA">
        <w:t>Figure 13</w:t>
      </w:r>
      <w:r w:rsidRPr="009E0826">
        <w:fldChar w:fldCharType="end"/>
      </w:r>
      <w:r w:rsidRPr="009E0826">
        <w:t>, respectively).</w:t>
      </w:r>
    </w:p>
    <w:p w:rsidR="00712A3C" w:rsidRPr="00712A3C" w:rsidRDefault="00712A3C" w:rsidP="00712A3C"/>
    <w:p w:rsidR="003F5B57" w:rsidRPr="004C33D1" w:rsidRDefault="003F5B57" w:rsidP="003F5B57">
      <w:pPr>
        <w:keepNext/>
        <w:spacing w:before="120" w:after="120"/>
        <w:rPr>
          <w:bCs/>
          <w:sz w:val="18"/>
          <w:szCs w:val="20"/>
        </w:rPr>
      </w:pPr>
      <w:bookmarkStart w:id="87" w:name="_Ref462901346"/>
      <w:r w:rsidRPr="004C33D1">
        <w:rPr>
          <w:bCs/>
          <w:sz w:val="18"/>
          <w:szCs w:val="20"/>
        </w:rPr>
        <w:t xml:space="preserve">Figure </w:t>
      </w:r>
      <w:r w:rsidRPr="004C33D1">
        <w:rPr>
          <w:bCs/>
          <w:sz w:val="18"/>
          <w:szCs w:val="20"/>
        </w:rPr>
        <w:fldChar w:fldCharType="begin"/>
      </w:r>
      <w:r w:rsidRPr="004C33D1">
        <w:rPr>
          <w:bCs/>
          <w:sz w:val="18"/>
          <w:szCs w:val="20"/>
        </w:rPr>
        <w:instrText xml:space="preserve"> SEQ Figure \* ARABIC </w:instrText>
      </w:r>
      <w:r w:rsidRPr="004C33D1">
        <w:rPr>
          <w:bCs/>
          <w:sz w:val="18"/>
          <w:szCs w:val="20"/>
        </w:rPr>
        <w:fldChar w:fldCharType="separate"/>
      </w:r>
      <w:r w:rsidR="004D1DDA">
        <w:rPr>
          <w:bCs/>
          <w:noProof/>
          <w:sz w:val="18"/>
          <w:szCs w:val="20"/>
        </w:rPr>
        <w:t>12</w:t>
      </w:r>
      <w:r w:rsidRPr="004C33D1">
        <w:rPr>
          <w:bCs/>
          <w:sz w:val="18"/>
          <w:szCs w:val="20"/>
        </w:rPr>
        <w:fldChar w:fldCharType="end"/>
      </w:r>
      <w:bookmarkEnd w:id="86"/>
      <w:bookmarkEnd w:id="87"/>
      <w:r w:rsidRPr="004C33D1">
        <w:rPr>
          <w:bCs/>
          <w:sz w:val="18"/>
          <w:szCs w:val="20"/>
        </w:rPr>
        <w:t xml:space="preserve"> Inflation-adjusted mean weekly rents for 1 bedroom homes 2000-2015 (2015$ values)</w:t>
      </w:r>
    </w:p>
    <w:p w:rsidR="003F5B57" w:rsidRPr="004C33D1" w:rsidRDefault="003F5B57" w:rsidP="003F5B57">
      <w:pPr>
        <w:keepNext/>
        <w:spacing w:before="120" w:after="120"/>
        <w:jc w:val="center"/>
        <w:rPr>
          <w:bCs/>
          <w:sz w:val="18"/>
          <w:szCs w:val="20"/>
        </w:rPr>
      </w:pPr>
      <w:r w:rsidRPr="004C33D1">
        <w:rPr>
          <w:bCs/>
          <w:noProof/>
          <w:sz w:val="18"/>
          <w:szCs w:val="20"/>
          <w:lang w:eastAsia="en-NZ"/>
        </w:rPr>
        <w:drawing>
          <wp:inline distT="0" distB="0" distL="0" distR="0" wp14:anchorId="331F45FB" wp14:editId="51CC8360">
            <wp:extent cx="4152900" cy="2469884"/>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74926" cy="2482984"/>
                    </a:xfrm>
                    <a:prstGeom prst="rect">
                      <a:avLst/>
                    </a:prstGeom>
                    <a:noFill/>
                    <a:ln>
                      <a:noFill/>
                    </a:ln>
                  </pic:spPr>
                </pic:pic>
              </a:graphicData>
            </a:graphic>
          </wp:inline>
        </w:drawing>
      </w:r>
    </w:p>
    <w:p w:rsidR="003F5B57" w:rsidRPr="004C33D1" w:rsidRDefault="003F5B57" w:rsidP="003F5B57">
      <w:pPr>
        <w:spacing w:before="120" w:after="120"/>
        <w:rPr>
          <w:bCs/>
          <w:sz w:val="18"/>
          <w:szCs w:val="20"/>
        </w:rPr>
      </w:pPr>
      <w:r w:rsidRPr="004C33D1">
        <w:rPr>
          <w:bCs/>
          <w:sz w:val="18"/>
          <w:szCs w:val="20"/>
        </w:rPr>
        <w:t>Source: MBIE &amp; RBNZ</w:t>
      </w:r>
    </w:p>
    <w:p w:rsidR="003F5B57" w:rsidRPr="004C33D1" w:rsidRDefault="003F5B57" w:rsidP="003F5B57">
      <w:pPr>
        <w:keepNext/>
        <w:spacing w:before="120" w:after="120"/>
        <w:rPr>
          <w:bCs/>
          <w:sz w:val="18"/>
          <w:szCs w:val="20"/>
        </w:rPr>
      </w:pPr>
      <w:bookmarkStart w:id="88" w:name="_Ref457898059"/>
      <w:r w:rsidRPr="004C33D1">
        <w:rPr>
          <w:bCs/>
          <w:sz w:val="18"/>
          <w:szCs w:val="20"/>
        </w:rPr>
        <w:lastRenderedPageBreak/>
        <w:t xml:space="preserve">Figure </w:t>
      </w:r>
      <w:r w:rsidRPr="004C33D1">
        <w:rPr>
          <w:bCs/>
          <w:sz w:val="18"/>
          <w:szCs w:val="20"/>
        </w:rPr>
        <w:fldChar w:fldCharType="begin"/>
      </w:r>
      <w:r w:rsidRPr="004C33D1">
        <w:rPr>
          <w:bCs/>
          <w:sz w:val="18"/>
          <w:szCs w:val="20"/>
        </w:rPr>
        <w:instrText xml:space="preserve"> SEQ Figure \* ARABIC </w:instrText>
      </w:r>
      <w:r w:rsidRPr="004C33D1">
        <w:rPr>
          <w:bCs/>
          <w:sz w:val="18"/>
          <w:szCs w:val="20"/>
        </w:rPr>
        <w:fldChar w:fldCharType="separate"/>
      </w:r>
      <w:r w:rsidR="004D1DDA">
        <w:rPr>
          <w:bCs/>
          <w:noProof/>
          <w:sz w:val="18"/>
          <w:szCs w:val="20"/>
        </w:rPr>
        <w:t>13</w:t>
      </w:r>
      <w:r w:rsidRPr="004C33D1">
        <w:rPr>
          <w:bCs/>
          <w:sz w:val="18"/>
          <w:szCs w:val="20"/>
        </w:rPr>
        <w:fldChar w:fldCharType="end"/>
      </w:r>
      <w:bookmarkEnd w:id="88"/>
      <w:r w:rsidRPr="004C33D1">
        <w:rPr>
          <w:bCs/>
          <w:sz w:val="18"/>
          <w:szCs w:val="20"/>
        </w:rPr>
        <w:t xml:space="preserve"> Inflation-adjusted mean weekly rents for 3 bedroom homes 2000-2015 (2015$ values)</w:t>
      </w:r>
    </w:p>
    <w:p w:rsidR="003F5B57" w:rsidRPr="004C33D1" w:rsidRDefault="003F5B57" w:rsidP="003F5B57">
      <w:pPr>
        <w:jc w:val="center"/>
      </w:pPr>
      <w:r w:rsidRPr="004C33D1">
        <w:rPr>
          <w:noProof/>
          <w:lang w:eastAsia="en-NZ"/>
        </w:rPr>
        <w:drawing>
          <wp:inline distT="0" distB="0" distL="0" distR="0" wp14:anchorId="2DD8E7DF" wp14:editId="7544225C">
            <wp:extent cx="4034200" cy="2415540"/>
            <wp:effectExtent l="0" t="0" r="4445"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51493" cy="2425895"/>
                    </a:xfrm>
                    <a:prstGeom prst="rect">
                      <a:avLst/>
                    </a:prstGeom>
                    <a:noFill/>
                    <a:ln>
                      <a:noFill/>
                    </a:ln>
                  </pic:spPr>
                </pic:pic>
              </a:graphicData>
            </a:graphic>
          </wp:inline>
        </w:drawing>
      </w:r>
    </w:p>
    <w:p w:rsidR="003F5B57" w:rsidRPr="004C33D1" w:rsidRDefault="003F5B57" w:rsidP="003F5B57">
      <w:pPr>
        <w:rPr>
          <w:sz w:val="18"/>
          <w:szCs w:val="18"/>
        </w:rPr>
      </w:pPr>
      <w:r w:rsidRPr="004C33D1">
        <w:rPr>
          <w:sz w:val="18"/>
          <w:szCs w:val="18"/>
        </w:rPr>
        <w:t>Source:  MBIE &amp; RBNZ</w:t>
      </w:r>
    </w:p>
    <w:p w:rsidR="003F5B57" w:rsidRDefault="003F5B57" w:rsidP="003F5B57"/>
    <w:p w:rsidR="003F5B57" w:rsidRPr="004C33D1" w:rsidRDefault="003F5B57" w:rsidP="003F5B57">
      <w:proofErr w:type="gramStart"/>
      <w:r w:rsidRPr="004C33D1">
        <w:t>Overall</w:t>
      </w:r>
      <w:proofErr w:type="gramEnd"/>
      <w:r w:rsidRPr="004C33D1">
        <w:t xml:space="preserve"> rent price trends</w:t>
      </w:r>
      <w:r>
        <w:t>,</w:t>
      </w:r>
      <w:r w:rsidRPr="004C33D1">
        <w:t xml:space="preserve"> and those specific to 1 and 3 bedroom homes</w:t>
      </w:r>
      <w:r>
        <w:t>,</w:t>
      </w:r>
      <w:r w:rsidRPr="004C33D1">
        <w:t xml:space="preserve"> are quite similar. Differences in trends between </w:t>
      </w:r>
      <w:proofErr w:type="gramStart"/>
      <w:r w:rsidRPr="004C33D1">
        <w:t>1</w:t>
      </w:r>
      <w:proofErr w:type="gramEnd"/>
      <w:r w:rsidRPr="004C33D1">
        <w:t xml:space="preserve"> and 3 bedroom houses could be attributed to different levels of supply and demand </w:t>
      </w:r>
      <w:r>
        <w:t xml:space="preserve">for </w:t>
      </w:r>
      <w:r w:rsidRPr="004C33D1">
        <w:t xml:space="preserve">small and medium sized houses. For example, the post-earthquake </w:t>
      </w:r>
      <w:r>
        <w:t>increase</w:t>
      </w:r>
      <w:r w:rsidRPr="004C33D1">
        <w:t xml:space="preserve"> in </w:t>
      </w:r>
      <w:proofErr w:type="gramStart"/>
      <w:r w:rsidRPr="004C33D1">
        <w:t>1 bedroom</w:t>
      </w:r>
      <w:proofErr w:type="gramEnd"/>
      <w:r w:rsidRPr="004C33D1">
        <w:t xml:space="preserve"> rental prices in Christchurch is far less pronounced </w:t>
      </w:r>
      <w:r>
        <w:t xml:space="preserve">than </w:t>
      </w:r>
      <w:r w:rsidRPr="004C33D1">
        <w:t xml:space="preserve">for 3 bedroom houses. </w:t>
      </w:r>
    </w:p>
    <w:p w:rsidR="003F5B57" w:rsidRDefault="003F5B57" w:rsidP="003F5B57"/>
    <w:p w:rsidR="003F5B57" w:rsidRPr="004C33D1" w:rsidRDefault="003F5B57" w:rsidP="003F5B57">
      <w:r w:rsidRPr="004C33D1">
        <w:fldChar w:fldCharType="begin"/>
      </w:r>
      <w:r w:rsidRPr="004C33D1">
        <w:instrText xml:space="preserve"> REF _Ref457996345 \h </w:instrText>
      </w:r>
      <w:r w:rsidRPr="004C33D1">
        <w:fldChar w:fldCharType="separate"/>
      </w:r>
      <w:r w:rsidR="004D1DDA" w:rsidRPr="004C33D1">
        <w:t xml:space="preserve">Table </w:t>
      </w:r>
      <w:r w:rsidR="004D1DDA">
        <w:rPr>
          <w:noProof/>
        </w:rPr>
        <w:t>3</w:t>
      </w:r>
      <w:r w:rsidRPr="004C33D1">
        <w:fldChar w:fldCharType="end"/>
      </w:r>
      <w:r w:rsidRPr="004C33D1">
        <w:t xml:space="preserve"> shows the percentage change in median real (inflation-adjusted) house prices and average real rents over the ten years from 2005 to 2015. These are included as a total percentage increase over this period and the compound annual growth rate </w:t>
      </w:r>
      <w:r>
        <w:t>(</w:t>
      </w:r>
      <w:r w:rsidRPr="004C33D1">
        <w:t>CAGR).</w:t>
      </w:r>
      <w:r w:rsidRPr="004C33D1">
        <w:rPr>
          <w:rStyle w:val="FootnoteReference"/>
        </w:rPr>
        <w:footnoteReference w:id="47"/>
      </w:r>
    </w:p>
    <w:p w:rsidR="003F5B57" w:rsidRPr="009206AB" w:rsidRDefault="003F5B57" w:rsidP="003F5B57">
      <w:pPr>
        <w:pStyle w:val="Caption"/>
      </w:pPr>
      <w:bookmarkStart w:id="89" w:name="_Ref457996345"/>
      <w:r w:rsidRPr="004C33D1">
        <w:t xml:space="preserve">Table </w:t>
      </w:r>
      <w:r w:rsidRPr="004C33D1">
        <w:fldChar w:fldCharType="begin"/>
      </w:r>
      <w:r w:rsidRPr="004C33D1">
        <w:instrText xml:space="preserve"> SEQ Table \* ARABIC </w:instrText>
      </w:r>
      <w:r w:rsidRPr="004C33D1">
        <w:fldChar w:fldCharType="separate"/>
      </w:r>
      <w:r w:rsidR="004D1DDA">
        <w:rPr>
          <w:noProof/>
        </w:rPr>
        <w:t>3</w:t>
      </w:r>
      <w:r w:rsidRPr="004C33D1">
        <w:fldChar w:fldCharType="end"/>
      </w:r>
      <w:bookmarkEnd w:id="89"/>
      <w:r w:rsidRPr="004C33D1">
        <w:t xml:space="preserve"> Overall percentage change and CAGR for real house prices and rents from 2005 to 2015</w:t>
      </w:r>
    </w:p>
    <w:tbl>
      <w:tblPr>
        <w:tblW w:w="0" w:type="auto"/>
        <w:tblLayout w:type="fixed"/>
        <w:tblCellMar>
          <w:left w:w="0" w:type="dxa"/>
          <w:right w:w="0" w:type="dxa"/>
        </w:tblCellMar>
        <w:tblLook w:val="04A0" w:firstRow="1" w:lastRow="0" w:firstColumn="1" w:lastColumn="0" w:noHBand="0" w:noVBand="1"/>
      </w:tblPr>
      <w:tblGrid>
        <w:gridCol w:w="2212"/>
        <w:gridCol w:w="751"/>
        <w:gridCol w:w="751"/>
        <w:gridCol w:w="751"/>
        <w:gridCol w:w="751"/>
        <w:gridCol w:w="751"/>
        <w:gridCol w:w="751"/>
        <w:gridCol w:w="751"/>
        <w:gridCol w:w="752"/>
      </w:tblGrid>
      <w:tr w:rsidR="003F5B57" w:rsidTr="0040009E">
        <w:trPr>
          <w:trHeight w:val="170"/>
        </w:trPr>
        <w:tc>
          <w:tcPr>
            <w:tcW w:w="2212" w:type="dxa"/>
            <w:tcBorders>
              <w:top w:val="nil"/>
              <w:left w:val="nil"/>
              <w:right w:val="nil"/>
            </w:tcBorders>
            <w:noWrap/>
            <w:tcMar>
              <w:top w:w="0" w:type="dxa"/>
              <w:left w:w="28" w:type="dxa"/>
              <w:bottom w:w="0" w:type="dxa"/>
              <w:right w:w="28" w:type="dxa"/>
            </w:tcMar>
            <w:vAlign w:val="center"/>
          </w:tcPr>
          <w:p w:rsidR="003F5B57" w:rsidRDefault="003F5B57" w:rsidP="0040009E">
            <w:pPr>
              <w:pStyle w:val="TableText"/>
              <w:rPr>
                <w:b/>
                <w:bCs/>
                <w:color w:val="780000"/>
                <w:lang w:val="en-US"/>
              </w:rPr>
            </w:pPr>
          </w:p>
        </w:tc>
        <w:tc>
          <w:tcPr>
            <w:tcW w:w="3004" w:type="dxa"/>
            <w:gridSpan w:val="4"/>
            <w:tcBorders>
              <w:top w:val="nil"/>
              <w:left w:val="nil"/>
              <w:bottom w:val="single" w:sz="8" w:space="0" w:color="A6A6A6" w:themeColor="background1" w:themeShade="A6"/>
              <w:right w:val="single" w:sz="4" w:space="0" w:color="808080" w:themeColor="background1" w:themeShade="80"/>
            </w:tcBorders>
            <w:noWrap/>
            <w:tcMar>
              <w:top w:w="0" w:type="dxa"/>
              <w:left w:w="28" w:type="dxa"/>
              <w:bottom w:w="0" w:type="dxa"/>
              <w:right w:w="28" w:type="dxa"/>
            </w:tcMar>
            <w:vAlign w:val="center"/>
          </w:tcPr>
          <w:p w:rsidR="003F5B57" w:rsidRDefault="003F5B57" w:rsidP="0040009E">
            <w:pPr>
              <w:pStyle w:val="TableText"/>
              <w:jc w:val="center"/>
              <w:rPr>
                <w:b/>
                <w:bCs/>
                <w:color w:val="780000"/>
                <w:lang w:val="en-US"/>
              </w:rPr>
            </w:pPr>
            <w:r>
              <w:rPr>
                <w:b/>
                <w:bCs/>
                <w:color w:val="780000"/>
                <w:lang w:val="en-US"/>
              </w:rPr>
              <w:t>Real values (CPI-adjusted)</w:t>
            </w:r>
          </w:p>
        </w:tc>
        <w:tc>
          <w:tcPr>
            <w:tcW w:w="3005" w:type="dxa"/>
            <w:gridSpan w:val="4"/>
            <w:tcBorders>
              <w:top w:val="nil"/>
              <w:left w:val="single" w:sz="4" w:space="0" w:color="808080" w:themeColor="background1" w:themeShade="80"/>
              <w:bottom w:val="single" w:sz="8" w:space="0" w:color="A6A6A6" w:themeColor="background1" w:themeShade="A6"/>
              <w:right w:val="nil"/>
            </w:tcBorders>
            <w:vAlign w:val="center"/>
          </w:tcPr>
          <w:p w:rsidR="003F5B57" w:rsidRDefault="003F5B57" w:rsidP="0040009E">
            <w:pPr>
              <w:pStyle w:val="TableText"/>
              <w:jc w:val="center"/>
              <w:rPr>
                <w:b/>
                <w:bCs/>
                <w:color w:val="780000"/>
                <w:lang w:val="en-US"/>
              </w:rPr>
            </w:pPr>
            <w:r>
              <w:rPr>
                <w:b/>
                <w:bCs/>
                <w:color w:val="780000"/>
                <w:lang w:val="en-US"/>
              </w:rPr>
              <w:t>Nominal values</w:t>
            </w:r>
          </w:p>
        </w:tc>
      </w:tr>
      <w:tr w:rsidR="003F5B57" w:rsidTr="0040009E">
        <w:trPr>
          <w:trHeight w:val="170"/>
        </w:trPr>
        <w:tc>
          <w:tcPr>
            <w:tcW w:w="2212" w:type="dxa"/>
            <w:tcBorders>
              <w:left w:val="nil"/>
              <w:right w:val="nil"/>
            </w:tcBorders>
            <w:noWrap/>
            <w:tcMar>
              <w:top w:w="0" w:type="dxa"/>
              <w:left w:w="28" w:type="dxa"/>
              <w:bottom w:w="0" w:type="dxa"/>
              <w:right w:w="28" w:type="dxa"/>
            </w:tcMar>
            <w:vAlign w:val="center"/>
          </w:tcPr>
          <w:p w:rsidR="003F5B57" w:rsidRDefault="003F5B57" w:rsidP="0040009E">
            <w:pPr>
              <w:pStyle w:val="TableText"/>
              <w:rPr>
                <w:b/>
                <w:bCs/>
                <w:color w:val="780000"/>
                <w:lang w:val="en-US"/>
              </w:rPr>
            </w:pPr>
          </w:p>
        </w:tc>
        <w:tc>
          <w:tcPr>
            <w:tcW w:w="1502" w:type="dxa"/>
            <w:gridSpan w:val="2"/>
            <w:tcBorders>
              <w:top w:val="single" w:sz="8" w:space="0" w:color="A6A6A6" w:themeColor="background1" w:themeShade="A6"/>
              <w:left w:val="nil"/>
              <w:bottom w:val="single" w:sz="8" w:space="0" w:color="A6A6A6" w:themeColor="background1" w:themeShade="A6"/>
              <w:right w:val="nil"/>
            </w:tcBorders>
            <w:noWrap/>
            <w:tcMar>
              <w:top w:w="0" w:type="dxa"/>
              <w:left w:w="28" w:type="dxa"/>
              <w:bottom w:w="0" w:type="dxa"/>
              <w:right w:w="28" w:type="dxa"/>
            </w:tcMar>
            <w:vAlign w:val="center"/>
          </w:tcPr>
          <w:p w:rsidR="003F5B57" w:rsidRDefault="003F5B57" w:rsidP="0040009E">
            <w:pPr>
              <w:pStyle w:val="TableText"/>
              <w:jc w:val="center"/>
              <w:rPr>
                <w:b/>
                <w:bCs/>
                <w:color w:val="780000"/>
                <w:lang w:val="en-US"/>
              </w:rPr>
            </w:pPr>
            <w:r>
              <w:rPr>
                <w:b/>
                <w:bCs/>
                <w:color w:val="780000"/>
                <w:lang w:val="en-US"/>
              </w:rPr>
              <w:t>median house price</w:t>
            </w:r>
          </w:p>
        </w:tc>
        <w:tc>
          <w:tcPr>
            <w:tcW w:w="1502" w:type="dxa"/>
            <w:gridSpan w:val="2"/>
            <w:tcBorders>
              <w:top w:val="single" w:sz="8" w:space="0" w:color="A6A6A6" w:themeColor="background1" w:themeShade="A6"/>
              <w:left w:val="nil"/>
              <w:bottom w:val="single" w:sz="8" w:space="0" w:color="A6A6A6" w:themeColor="background1" w:themeShade="A6"/>
              <w:right w:val="single" w:sz="4" w:space="0" w:color="808080" w:themeColor="background1" w:themeShade="80"/>
            </w:tcBorders>
            <w:tcMar>
              <w:top w:w="0" w:type="dxa"/>
              <w:left w:w="28" w:type="dxa"/>
              <w:bottom w:w="0" w:type="dxa"/>
              <w:right w:w="28" w:type="dxa"/>
            </w:tcMar>
            <w:vAlign w:val="center"/>
          </w:tcPr>
          <w:p w:rsidR="003F5B57" w:rsidRDefault="003F5B57" w:rsidP="0040009E">
            <w:pPr>
              <w:pStyle w:val="TableText"/>
              <w:jc w:val="center"/>
              <w:rPr>
                <w:b/>
                <w:bCs/>
                <w:color w:val="780000"/>
                <w:lang w:val="en-US"/>
              </w:rPr>
            </w:pPr>
            <w:r>
              <w:rPr>
                <w:b/>
                <w:bCs/>
                <w:color w:val="780000"/>
                <w:lang w:val="en-US"/>
              </w:rPr>
              <w:t>average rent</w:t>
            </w:r>
          </w:p>
        </w:tc>
        <w:tc>
          <w:tcPr>
            <w:tcW w:w="1502" w:type="dxa"/>
            <w:gridSpan w:val="2"/>
            <w:tcBorders>
              <w:top w:val="single" w:sz="8" w:space="0" w:color="A6A6A6" w:themeColor="background1" w:themeShade="A6"/>
              <w:left w:val="single" w:sz="4" w:space="0" w:color="808080" w:themeColor="background1" w:themeShade="80"/>
              <w:bottom w:val="single" w:sz="8" w:space="0" w:color="A6A6A6" w:themeColor="background1" w:themeShade="A6"/>
              <w:right w:val="nil"/>
            </w:tcBorders>
            <w:vAlign w:val="center"/>
          </w:tcPr>
          <w:p w:rsidR="003F5B57" w:rsidRDefault="003F5B57" w:rsidP="0040009E">
            <w:pPr>
              <w:pStyle w:val="TableText"/>
              <w:jc w:val="center"/>
              <w:rPr>
                <w:b/>
                <w:bCs/>
                <w:color w:val="780000"/>
                <w:lang w:val="en-US"/>
              </w:rPr>
            </w:pPr>
            <w:r>
              <w:rPr>
                <w:b/>
                <w:bCs/>
                <w:color w:val="780000"/>
                <w:lang w:val="en-US"/>
              </w:rPr>
              <w:t>median house price</w:t>
            </w:r>
          </w:p>
        </w:tc>
        <w:tc>
          <w:tcPr>
            <w:tcW w:w="1503" w:type="dxa"/>
            <w:gridSpan w:val="2"/>
            <w:tcBorders>
              <w:top w:val="single" w:sz="8" w:space="0" w:color="A6A6A6" w:themeColor="background1" w:themeShade="A6"/>
              <w:left w:val="nil"/>
              <w:bottom w:val="single" w:sz="8" w:space="0" w:color="A6A6A6" w:themeColor="background1" w:themeShade="A6"/>
              <w:right w:val="nil"/>
            </w:tcBorders>
            <w:vAlign w:val="center"/>
          </w:tcPr>
          <w:p w:rsidR="003F5B57" w:rsidRDefault="003F5B57" w:rsidP="0040009E">
            <w:pPr>
              <w:pStyle w:val="TableText"/>
              <w:jc w:val="center"/>
              <w:rPr>
                <w:b/>
                <w:bCs/>
                <w:color w:val="780000"/>
                <w:lang w:val="en-US"/>
              </w:rPr>
            </w:pPr>
            <w:r>
              <w:rPr>
                <w:b/>
                <w:bCs/>
                <w:color w:val="780000"/>
                <w:lang w:val="en-US"/>
              </w:rPr>
              <w:t>average rent</w:t>
            </w:r>
          </w:p>
        </w:tc>
      </w:tr>
      <w:tr w:rsidR="003F5B57" w:rsidTr="0040009E">
        <w:trPr>
          <w:trHeight w:val="170"/>
        </w:trPr>
        <w:tc>
          <w:tcPr>
            <w:tcW w:w="2212" w:type="dxa"/>
            <w:tcBorders>
              <w:left w:val="nil"/>
              <w:bottom w:val="single" w:sz="8" w:space="0" w:color="A6A6A6"/>
              <w:right w:val="nil"/>
            </w:tcBorders>
            <w:noWrap/>
            <w:tcMar>
              <w:top w:w="0" w:type="dxa"/>
              <w:left w:w="28" w:type="dxa"/>
              <w:bottom w:w="0" w:type="dxa"/>
              <w:right w:w="28" w:type="dxa"/>
            </w:tcMar>
            <w:vAlign w:val="center"/>
            <w:hideMark/>
          </w:tcPr>
          <w:p w:rsidR="003F5B57" w:rsidRDefault="003F5B57" w:rsidP="0040009E">
            <w:pPr>
              <w:pStyle w:val="TableText"/>
              <w:rPr>
                <w:b/>
                <w:bCs/>
                <w:color w:val="780000"/>
                <w:lang w:val="en-US"/>
              </w:rPr>
            </w:pPr>
            <w:r>
              <w:rPr>
                <w:b/>
                <w:bCs/>
                <w:color w:val="780000"/>
                <w:lang w:val="en-US"/>
              </w:rPr>
              <w:t>Area</w:t>
            </w:r>
          </w:p>
        </w:tc>
        <w:tc>
          <w:tcPr>
            <w:tcW w:w="751" w:type="dxa"/>
            <w:tcBorders>
              <w:top w:val="single" w:sz="8" w:space="0" w:color="A6A6A6" w:themeColor="background1" w:themeShade="A6"/>
              <w:left w:val="nil"/>
              <w:bottom w:val="single" w:sz="8" w:space="0" w:color="A6A6A6"/>
              <w:right w:val="nil"/>
            </w:tcBorders>
            <w:noWrap/>
            <w:tcMar>
              <w:top w:w="0" w:type="dxa"/>
              <w:left w:w="28" w:type="dxa"/>
              <w:bottom w:w="0" w:type="dxa"/>
              <w:right w:w="28" w:type="dxa"/>
            </w:tcMar>
            <w:vAlign w:val="center"/>
            <w:hideMark/>
          </w:tcPr>
          <w:p w:rsidR="003F5B57" w:rsidRDefault="003F5B57" w:rsidP="0040009E">
            <w:pPr>
              <w:pStyle w:val="TableText"/>
              <w:jc w:val="center"/>
              <w:rPr>
                <w:b/>
                <w:bCs/>
                <w:color w:val="780000"/>
                <w:lang w:val="en-US"/>
              </w:rPr>
            </w:pPr>
            <w:r>
              <w:rPr>
                <w:b/>
                <w:bCs/>
                <w:color w:val="780000"/>
                <w:lang w:val="en-US"/>
              </w:rPr>
              <w:t>% change</w:t>
            </w:r>
          </w:p>
        </w:tc>
        <w:tc>
          <w:tcPr>
            <w:tcW w:w="751" w:type="dxa"/>
            <w:tcBorders>
              <w:top w:val="single" w:sz="8" w:space="0" w:color="A6A6A6" w:themeColor="background1" w:themeShade="A6"/>
              <w:left w:val="nil"/>
              <w:bottom w:val="single" w:sz="8" w:space="0" w:color="A6A6A6"/>
              <w:right w:val="nil"/>
            </w:tcBorders>
            <w:noWrap/>
            <w:tcMar>
              <w:top w:w="0" w:type="dxa"/>
              <w:left w:w="28" w:type="dxa"/>
              <w:bottom w:w="0" w:type="dxa"/>
              <w:right w:w="28" w:type="dxa"/>
            </w:tcMar>
            <w:vAlign w:val="center"/>
            <w:hideMark/>
          </w:tcPr>
          <w:p w:rsidR="003F5B57" w:rsidRDefault="003F5B57" w:rsidP="0040009E">
            <w:pPr>
              <w:pStyle w:val="TableText"/>
              <w:jc w:val="center"/>
              <w:rPr>
                <w:b/>
                <w:bCs/>
                <w:color w:val="780000"/>
                <w:vertAlign w:val="superscript"/>
                <w:lang w:val="en-US"/>
              </w:rPr>
            </w:pPr>
            <w:r>
              <w:rPr>
                <w:b/>
                <w:bCs/>
                <w:color w:val="780000"/>
                <w:lang w:val="en-US"/>
              </w:rPr>
              <w:t>CAGR</w:t>
            </w:r>
            <w:r>
              <w:rPr>
                <w:b/>
                <w:bCs/>
                <w:color w:val="780000"/>
                <w:vertAlign w:val="superscript"/>
                <w:lang w:val="en-US"/>
              </w:rPr>
              <w:t>1</w:t>
            </w:r>
          </w:p>
        </w:tc>
        <w:tc>
          <w:tcPr>
            <w:tcW w:w="751" w:type="dxa"/>
            <w:tcBorders>
              <w:top w:val="single" w:sz="8" w:space="0" w:color="A6A6A6" w:themeColor="background1" w:themeShade="A6"/>
              <w:left w:val="nil"/>
              <w:bottom w:val="single" w:sz="8" w:space="0" w:color="A6A6A6"/>
              <w:right w:val="nil"/>
            </w:tcBorders>
            <w:tcMar>
              <w:top w:w="0" w:type="dxa"/>
              <w:left w:w="28" w:type="dxa"/>
              <w:bottom w:w="0" w:type="dxa"/>
              <w:right w:w="28" w:type="dxa"/>
            </w:tcMar>
            <w:vAlign w:val="center"/>
            <w:hideMark/>
          </w:tcPr>
          <w:p w:rsidR="003F5B57" w:rsidRDefault="003F5B57" w:rsidP="0040009E">
            <w:pPr>
              <w:pStyle w:val="TableText"/>
              <w:jc w:val="center"/>
              <w:rPr>
                <w:b/>
                <w:bCs/>
                <w:color w:val="780000"/>
                <w:lang w:val="en-US"/>
              </w:rPr>
            </w:pPr>
            <w:r>
              <w:rPr>
                <w:b/>
                <w:bCs/>
                <w:color w:val="780000"/>
                <w:lang w:val="en-US"/>
              </w:rPr>
              <w:t>% change</w:t>
            </w:r>
          </w:p>
        </w:tc>
        <w:tc>
          <w:tcPr>
            <w:tcW w:w="751" w:type="dxa"/>
            <w:tcBorders>
              <w:top w:val="single" w:sz="8" w:space="0" w:color="A6A6A6" w:themeColor="background1" w:themeShade="A6"/>
              <w:left w:val="nil"/>
              <w:bottom w:val="single" w:sz="8" w:space="0" w:color="A6A6A6"/>
              <w:right w:val="single" w:sz="4" w:space="0" w:color="808080" w:themeColor="background1" w:themeShade="80"/>
            </w:tcBorders>
            <w:tcMar>
              <w:top w:w="0" w:type="dxa"/>
              <w:left w:w="28" w:type="dxa"/>
              <w:bottom w:w="0" w:type="dxa"/>
              <w:right w:w="28" w:type="dxa"/>
            </w:tcMar>
            <w:vAlign w:val="center"/>
            <w:hideMark/>
          </w:tcPr>
          <w:p w:rsidR="003F5B57" w:rsidRDefault="003F5B57" w:rsidP="0040009E">
            <w:pPr>
              <w:pStyle w:val="TableText"/>
              <w:jc w:val="center"/>
              <w:rPr>
                <w:b/>
                <w:bCs/>
                <w:color w:val="780000"/>
                <w:lang w:val="en-US"/>
              </w:rPr>
            </w:pPr>
            <w:r>
              <w:rPr>
                <w:b/>
                <w:bCs/>
                <w:color w:val="780000"/>
                <w:lang w:val="en-US"/>
              </w:rPr>
              <w:t>CAGR</w:t>
            </w:r>
          </w:p>
        </w:tc>
        <w:tc>
          <w:tcPr>
            <w:tcW w:w="751" w:type="dxa"/>
            <w:tcBorders>
              <w:top w:val="single" w:sz="8" w:space="0" w:color="A6A6A6" w:themeColor="background1" w:themeShade="A6"/>
              <w:left w:val="single" w:sz="4" w:space="0" w:color="808080" w:themeColor="background1" w:themeShade="80"/>
              <w:bottom w:val="single" w:sz="8" w:space="0" w:color="A6A6A6"/>
              <w:right w:val="nil"/>
            </w:tcBorders>
            <w:vAlign w:val="center"/>
          </w:tcPr>
          <w:p w:rsidR="003F5B57" w:rsidRDefault="003F5B57" w:rsidP="0040009E">
            <w:pPr>
              <w:pStyle w:val="TableText"/>
              <w:jc w:val="center"/>
              <w:rPr>
                <w:b/>
                <w:bCs/>
                <w:color w:val="780000"/>
                <w:lang w:val="en-US"/>
              </w:rPr>
            </w:pPr>
            <w:r>
              <w:rPr>
                <w:b/>
                <w:bCs/>
                <w:color w:val="780000"/>
                <w:lang w:val="en-US"/>
              </w:rPr>
              <w:t xml:space="preserve"> % change</w:t>
            </w:r>
          </w:p>
        </w:tc>
        <w:tc>
          <w:tcPr>
            <w:tcW w:w="751" w:type="dxa"/>
            <w:tcBorders>
              <w:top w:val="single" w:sz="8" w:space="0" w:color="A6A6A6" w:themeColor="background1" w:themeShade="A6"/>
              <w:left w:val="nil"/>
              <w:bottom w:val="single" w:sz="8" w:space="0" w:color="A6A6A6"/>
              <w:right w:val="nil"/>
            </w:tcBorders>
            <w:vAlign w:val="center"/>
          </w:tcPr>
          <w:p w:rsidR="003F5B57" w:rsidRDefault="003F5B57" w:rsidP="0040009E">
            <w:pPr>
              <w:pStyle w:val="TableText"/>
              <w:jc w:val="center"/>
              <w:rPr>
                <w:b/>
                <w:bCs/>
                <w:color w:val="780000"/>
                <w:vertAlign w:val="superscript"/>
                <w:lang w:val="en-US"/>
              </w:rPr>
            </w:pPr>
            <w:r>
              <w:rPr>
                <w:b/>
                <w:bCs/>
                <w:color w:val="780000"/>
                <w:lang w:val="en-US"/>
              </w:rPr>
              <w:t>CAGR</w:t>
            </w:r>
          </w:p>
        </w:tc>
        <w:tc>
          <w:tcPr>
            <w:tcW w:w="751" w:type="dxa"/>
            <w:tcBorders>
              <w:top w:val="single" w:sz="8" w:space="0" w:color="A6A6A6" w:themeColor="background1" w:themeShade="A6"/>
              <w:left w:val="nil"/>
              <w:bottom w:val="single" w:sz="8" w:space="0" w:color="A6A6A6"/>
              <w:right w:val="nil"/>
            </w:tcBorders>
            <w:vAlign w:val="center"/>
          </w:tcPr>
          <w:p w:rsidR="003F5B57" w:rsidRDefault="003F5B57" w:rsidP="0040009E">
            <w:pPr>
              <w:pStyle w:val="TableText"/>
              <w:jc w:val="center"/>
              <w:rPr>
                <w:b/>
                <w:bCs/>
                <w:color w:val="780000"/>
                <w:lang w:val="en-US"/>
              </w:rPr>
            </w:pPr>
            <w:r>
              <w:rPr>
                <w:b/>
                <w:bCs/>
                <w:color w:val="780000"/>
                <w:lang w:val="en-US"/>
              </w:rPr>
              <w:t>% change</w:t>
            </w:r>
          </w:p>
        </w:tc>
        <w:tc>
          <w:tcPr>
            <w:tcW w:w="752" w:type="dxa"/>
            <w:tcBorders>
              <w:top w:val="single" w:sz="8" w:space="0" w:color="A6A6A6" w:themeColor="background1" w:themeShade="A6"/>
              <w:left w:val="nil"/>
              <w:bottom w:val="single" w:sz="8" w:space="0" w:color="A6A6A6"/>
              <w:right w:val="nil"/>
            </w:tcBorders>
            <w:vAlign w:val="center"/>
          </w:tcPr>
          <w:p w:rsidR="003F5B57" w:rsidRDefault="003F5B57" w:rsidP="0040009E">
            <w:pPr>
              <w:pStyle w:val="TableText"/>
              <w:jc w:val="center"/>
              <w:rPr>
                <w:b/>
                <w:bCs/>
                <w:color w:val="780000"/>
                <w:lang w:val="en-US"/>
              </w:rPr>
            </w:pPr>
            <w:r>
              <w:rPr>
                <w:b/>
                <w:bCs/>
                <w:color w:val="780000"/>
                <w:lang w:val="en-US"/>
              </w:rPr>
              <w:t>CAGR</w:t>
            </w:r>
          </w:p>
        </w:tc>
      </w:tr>
      <w:tr w:rsidR="003F5B57" w:rsidTr="0040009E">
        <w:trPr>
          <w:trHeight w:val="170"/>
        </w:trPr>
        <w:tc>
          <w:tcPr>
            <w:tcW w:w="2212" w:type="dxa"/>
            <w:noWrap/>
            <w:tcMar>
              <w:top w:w="0" w:type="dxa"/>
              <w:left w:w="28" w:type="dxa"/>
              <w:bottom w:w="0" w:type="dxa"/>
              <w:right w:w="28" w:type="dxa"/>
            </w:tcMar>
            <w:vAlign w:val="center"/>
            <w:hideMark/>
          </w:tcPr>
          <w:p w:rsidR="003F5B57" w:rsidRDefault="003F5B57" w:rsidP="0040009E">
            <w:pPr>
              <w:pStyle w:val="TableText"/>
              <w:rPr>
                <w:lang w:val="en-US"/>
              </w:rPr>
            </w:pPr>
            <w:r>
              <w:rPr>
                <w:lang w:val="en-US"/>
              </w:rPr>
              <w:t>Auckland</w:t>
            </w:r>
          </w:p>
        </w:tc>
        <w:tc>
          <w:tcPr>
            <w:tcW w:w="751" w:type="dxa"/>
            <w:noWrap/>
            <w:tcMar>
              <w:top w:w="0" w:type="dxa"/>
              <w:left w:w="28" w:type="dxa"/>
              <w:bottom w:w="0" w:type="dxa"/>
              <w:right w:w="28" w:type="dxa"/>
            </w:tcMar>
            <w:vAlign w:val="center"/>
            <w:hideMark/>
          </w:tcPr>
          <w:p w:rsidR="003F5B57" w:rsidRDefault="003F5B57" w:rsidP="0040009E">
            <w:pPr>
              <w:pStyle w:val="TableText"/>
              <w:jc w:val="center"/>
              <w:rPr>
                <w:lang w:val="en-US"/>
              </w:rPr>
            </w:pPr>
            <w:r>
              <w:rPr>
                <w:lang w:val="en-US"/>
              </w:rPr>
              <w:t>60%</w:t>
            </w:r>
          </w:p>
        </w:tc>
        <w:tc>
          <w:tcPr>
            <w:tcW w:w="751" w:type="dxa"/>
            <w:noWrap/>
            <w:tcMar>
              <w:top w:w="0" w:type="dxa"/>
              <w:left w:w="28" w:type="dxa"/>
              <w:bottom w:w="0" w:type="dxa"/>
              <w:right w:w="28" w:type="dxa"/>
            </w:tcMar>
            <w:vAlign w:val="center"/>
            <w:hideMark/>
          </w:tcPr>
          <w:p w:rsidR="003F5B57" w:rsidRDefault="003F5B57" w:rsidP="0040009E">
            <w:pPr>
              <w:pStyle w:val="TableText"/>
              <w:jc w:val="center"/>
              <w:rPr>
                <w:lang w:val="en-US"/>
              </w:rPr>
            </w:pPr>
            <w:r>
              <w:rPr>
                <w:lang w:val="en-US"/>
              </w:rPr>
              <w:t>4.8%</w:t>
            </w:r>
          </w:p>
        </w:tc>
        <w:tc>
          <w:tcPr>
            <w:tcW w:w="751" w:type="dxa"/>
            <w:tcMar>
              <w:top w:w="0" w:type="dxa"/>
              <w:left w:w="28" w:type="dxa"/>
              <w:bottom w:w="0" w:type="dxa"/>
              <w:right w:w="28" w:type="dxa"/>
            </w:tcMar>
            <w:vAlign w:val="center"/>
            <w:hideMark/>
          </w:tcPr>
          <w:p w:rsidR="003F5B57" w:rsidRDefault="003F5B57" w:rsidP="0040009E">
            <w:pPr>
              <w:pStyle w:val="TableText"/>
              <w:jc w:val="center"/>
              <w:rPr>
                <w:lang w:val="en-US"/>
              </w:rPr>
            </w:pPr>
            <w:r>
              <w:rPr>
                <w:lang w:val="en-US"/>
              </w:rPr>
              <w:t>16%</w:t>
            </w:r>
          </w:p>
        </w:tc>
        <w:tc>
          <w:tcPr>
            <w:tcW w:w="751" w:type="dxa"/>
            <w:tcBorders>
              <w:right w:val="single" w:sz="4" w:space="0" w:color="808080" w:themeColor="background1" w:themeShade="80"/>
            </w:tcBorders>
            <w:tcMar>
              <w:top w:w="0" w:type="dxa"/>
              <w:left w:w="28" w:type="dxa"/>
              <w:bottom w:w="0" w:type="dxa"/>
              <w:right w:w="28" w:type="dxa"/>
            </w:tcMar>
            <w:vAlign w:val="center"/>
            <w:hideMark/>
          </w:tcPr>
          <w:p w:rsidR="003F5B57" w:rsidRDefault="003F5B57" w:rsidP="0040009E">
            <w:pPr>
              <w:pStyle w:val="TableText"/>
              <w:jc w:val="center"/>
              <w:rPr>
                <w:lang w:val="en-US"/>
              </w:rPr>
            </w:pPr>
            <w:r>
              <w:rPr>
                <w:lang w:val="en-US"/>
              </w:rPr>
              <w:t>1.5%</w:t>
            </w:r>
          </w:p>
        </w:tc>
        <w:tc>
          <w:tcPr>
            <w:tcW w:w="751" w:type="dxa"/>
            <w:tcBorders>
              <w:left w:val="single" w:sz="4" w:space="0" w:color="808080" w:themeColor="background1" w:themeShade="80"/>
            </w:tcBorders>
          </w:tcPr>
          <w:p w:rsidR="003F5B57" w:rsidRPr="00EA4E32" w:rsidRDefault="003F5B57" w:rsidP="0040009E">
            <w:pPr>
              <w:pStyle w:val="TableText"/>
              <w:jc w:val="center"/>
              <w:rPr>
                <w:lang w:val="en-US"/>
              </w:rPr>
            </w:pPr>
            <w:r w:rsidRPr="00EA4E32">
              <w:rPr>
                <w:lang w:val="en-US"/>
              </w:rPr>
              <w:t>98%</w:t>
            </w:r>
          </w:p>
        </w:tc>
        <w:tc>
          <w:tcPr>
            <w:tcW w:w="751" w:type="dxa"/>
          </w:tcPr>
          <w:p w:rsidR="003F5B57" w:rsidRPr="00EA4E32" w:rsidRDefault="003F5B57" w:rsidP="0040009E">
            <w:pPr>
              <w:pStyle w:val="TableText"/>
              <w:jc w:val="center"/>
              <w:rPr>
                <w:lang w:val="en-US"/>
              </w:rPr>
            </w:pPr>
            <w:r w:rsidRPr="00EA4E32">
              <w:rPr>
                <w:lang w:val="en-US"/>
              </w:rPr>
              <w:t>7.1%</w:t>
            </w:r>
          </w:p>
        </w:tc>
        <w:tc>
          <w:tcPr>
            <w:tcW w:w="751" w:type="dxa"/>
            <w:vAlign w:val="bottom"/>
          </w:tcPr>
          <w:p w:rsidR="003F5B57" w:rsidRPr="00EA4E32" w:rsidRDefault="003F5B57" w:rsidP="0040009E">
            <w:pPr>
              <w:pStyle w:val="TableText"/>
              <w:jc w:val="center"/>
              <w:rPr>
                <w:lang w:val="en-US"/>
              </w:rPr>
            </w:pPr>
            <w:r w:rsidRPr="00EA4E32">
              <w:rPr>
                <w:lang w:val="en-US"/>
              </w:rPr>
              <w:t>44%</w:t>
            </w:r>
          </w:p>
        </w:tc>
        <w:tc>
          <w:tcPr>
            <w:tcW w:w="752" w:type="dxa"/>
            <w:vAlign w:val="bottom"/>
          </w:tcPr>
          <w:p w:rsidR="003F5B57" w:rsidRPr="00EA4E32" w:rsidRDefault="003F5B57" w:rsidP="0040009E">
            <w:pPr>
              <w:pStyle w:val="TableText"/>
              <w:jc w:val="center"/>
              <w:rPr>
                <w:lang w:val="en-US"/>
              </w:rPr>
            </w:pPr>
            <w:r w:rsidRPr="00EA4E32">
              <w:rPr>
                <w:lang w:val="en-US"/>
              </w:rPr>
              <w:t>3.7%</w:t>
            </w:r>
          </w:p>
        </w:tc>
      </w:tr>
      <w:tr w:rsidR="003F5B57" w:rsidTr="0040009E">
        <w:trPr>
          <w:trHeight w:val="170"/>
        </w:trPr>
        <w:tc>
          <w:tcPr>
            <w:tcW w:w="2212" w:type="dxa"/>
            <w:noWrap/>
            <w:tcMar>
              <w:top w:w="0" w:type="dxa"/>
              <w:left w:w="28" w:type="dxa"/>
              <w:bottom w:w="0" w:type="dxa"/>
              <w:right w:w="28" w:type="dxa"/>
            </w:tcMar>
            <w:vAlign w:val="center"/>
            <w:hideMark/>
          </w:tcPr>
          <w:p w:rsidR="003F5B57" w:rsidRDefault="003F5B57" w:rsidP="0040009E">
            <w:pPr>
              <w:pStyle w:val="TableText"/>
              <w:rPr>
                <w:lang w:val="en-US"/>
              </w:rPr>
            </w:pPr>
            <w:r>
              <w:rPr>
                <w:lang w:val="en-US"/>
              </w:rPr>
              <w:t>Tauranga city</w:t>
            </w:r>
          </w:p>
        </w:tc>
        <w:tc>
          <w:tcPr>
            <w:tcW w:w="751" w:type="dxa"/>
            <w:noWrap/>
            <w:tcMar>
              <w:top w:w="0" w:type="dxa"/>
              <w:left w:w="28" w:type="dxa"/>
              <w:bottom w:w="0" w:type="dxa"/>
              <w:right w:w="28" w:type="dxa"/>
            </w:tcMar>
            <w:vAlign w:val="center"/>
            <w:hideMark/>
          </w:tcPr>
          <w:p w:rsidR="003F5B57" w:rsidRDefault="003F5B57" w:rsidP="0040009E">
            <w:pPr>
              <w:pStyle w:val="TableText"/>
              <w:jc w:val="center"/>
              <w:rPr>
                <w:lang w:val="en-US"/>
              </w:rPr>
            </w:pPr>
            <w:r>
              <w:rPr>
                <w:lang w:val="en-US"/>
              </w:rPr>
              <w:t>4%</w:t>
            </w:r>
          </w:p>
        </w:tc>
        <w:tc>
          <w:tcPr>
            <w:tcW w:w="751" w:type="dxa"/>
            <w:noWrap/>
            <w:tcMar>
              <w:top w:w="0" w:type="dxa"/>
              <w:left w:w="28" w:type="dxa"/>
              <w:bottom w:w="0" w:type="dxa"/>
              <w:right w:w="28" w:type="dxa"/>
            </w:tcMar>
            <w:vAlign w:val="center"/>
            <w:hideMark/>
          </w:tcPr>
          <w:p w:rsidR="003F5B57" w:rsidRDefault="003F5B57" w:rsidP="0040009E">
            <w:pPr>
              <w:pStyle w:val="TableText"/>
              <w:jc w:val="center"/>
              <w:rPr>
                <w:lang w:val="en-US"/>
              </w:rPr>
            </w:pPr>
            <w:r>
              <w:rPr>
                <w:lang w:val="en-US"/>
              </w:rPr>
              <w:t>0.4%</w:t>
            </w:r>
          </w:p>
        </w:tc>
        <w:tc>
          <w:tcPr>
            <w:tcW w:w="751" w:type="dxa"/>
            <w:tcMar>
              <w:top w:w="0" w:type="dxa"/>
              <w:left w:w="28" w:type="dxa"/>
              <w:bottom w:w="0" w:type="dxa"/>
              <w:right w:w="28" w:type="dxa"/>
            </w:tcMar>
            <w:vAlign w:val="center"/>
            <w:hideMark/>
          </w:tcPr>
          <w:p w:rsidR="003F5B57" w:rsidRDefault="003F5B57" w:rsidP="0040009E">
            <w:pPr>
              <w:pStyle w:val="TableText"/>
              <w:jc w:val="center"/>
              <w:rPr>
                <w:lang w:val="en-US"/>
              </w:rPr>
            </w:pPr>
            <w:r>
              <w:rPr>
                <w:lang w:val="en-US"/>
              </w:rPr>
              <w:t>18%</w:t>
            </w:r>
          </w:p>
        </w:tc>
        <w:tc>
          <w:tcPr>
            <w:tcW w:w="751" w:type="dxa"/>
            <w:tcBorders>
              <w:right w:val="single" w:sz="4" w:space="0" w:color="808080" w:themeColor="background1" w:themeShade="80"/>
            </w:tcBorders>
            <w:tcMar>
              <w:top w:w="0" w:type="dxa"/>
              <w:left w:w="28" w:type="dxa"/>
              <w:bottom w:w="0" w:type="dxa"/>
              <w:right w:w="28" w:type="dxa"/>
            </w:tcMar>
            <w:vAlign w:val="center"/>
            <w:hideMark/>
          </w:tcPr>
          <w:p w:rsidR="003F5B57" w:rsidRDefault="003F5B57" w:rsidP="0040009E">
            <w:pPr>
              <w:pStyle w:val="TableText"/>
              <w:jc w:val="center"/>
              <w:rPr>
                <w:lang w:val="en-US"/>
              </w:rPr>
            </w:pPr>
            <w:r>
              <w:rPr>
                <w:lang w:val="en-US"/>
              </w:rPr>
              <w:t>1.6%</w:t>
            </w:r>
          </w:p>
        </w:tc>
        <w:tc>
          <w:tcPr>
            <w:tcW w:w="751" w:type="dxa"/>
            <w:tcBorders>
              <w:left w:val="single" w:sz="4" w:space="0" w:color="808080" w:themeColor="background1" w:themeShade="80"/>
            </w:tcBorders>
          </w:tcPr>
          <w:p w:rsidR="003F5B57" w:rsidRPr="00EA4E32" w:rsidRDefault="003F5B57" w:rsidP="0040009E">
            <w:pPr>
              <w:pStyle w:val="TableText"/>
              <w:jc w:val="center"/>
              <w:rPr>
                <w:lang w:val="en-US"/>
              </w:rPr>
            </w:pPr>
            <w:r w:rsidRPr="00EA4E32">
              <w:rPr>
                <w:lang w:val="en-US"/>
              </w:rPr>
              <w:t>29%</w:t>
            </w:r>
          </w:p>
        </w:tc>
        <w:tc>
          <w:tcPr>
            <w:tcW w:w="751" w:type="dxa"/>
          </w:tcPr>
          <w:p w:rsidR="003F5B57" w:rsidRPr="00EA4E32" w:rsidRDefault="003F5B57" w:rsidP="0040009E">
            <w:pPr>
              <w:pStyle w:val="TableText"/>
              <w:jc w:val="center"/>
              <w:rPr>
                <w:lang w:val="en-US"/>
              </w:rPr>
            </w:pPr>
            <w:r w:rsidRPr="00EA4E32">
              <w:rPr>
                <w:lang w:val="en-US"/>
              </w:rPr>
              <w:t>2.6%</w:t>
            </w:r>
          </w:p>
        </w:tc>
        <w:tc>
          <w:tcPr>
            <w:tcW w:w="751" w:type="dxa"/>
            <w:vAlign w:val="bottom"/>
          </w:tcPr>
          <w:p w:rsidR="003F5B57" w:rsidRPr="00EA4E32" w:rsidRDefault="003F5B57" w:rsidP="0040009E">
            <w:pPr>
              <w:pStyle w:val="TableText"/>
              <w:jc w:val="center"/>
              <w:rPr>
                <w:lang w:val="en-US"/>
              </w:rPr>
            </w:pPr>
            <w:r w:rsidRPr="00EA4E32">
              <w:rPr>
                <w:lang w:val="en-US"/>
              </w:rPr>
              <w:t>46%</w:t>
            </w:r>
          </w:p>
        </w:tc>
        <w:tc>
          <w:tcPr>
            <w:tcW w:w="752" w:type="dxa"/>
            <w:vAlign w:val="bottom"/>
          </w:tcPr>
          <w:p w:rsidR="003F5B57" w:rsidRPr="00EA4E32" w:rsidRDefault="003F5B57" w:rsidP="0040009E">
            <w:pPr>
              <w:pStyle w:val="TableText"/>
              <w:jc w:val="center"/>
              <w:rPr>
                <w:lang w:val="en-US"/>
              </w:rPr>
            </w:pPr>
            <w:r w:rsidRPr="00EA4E32">
              <w:rPr>
                <w:lang w:val="en-US"/>
              </w:rPr>
              <w:t>3.9%</w:t>
            </w:r>
          </w:p>
        </w:tc>
      </w:tr>
      <w:tr w:rsidR="003F5B57" w:rsidTr="0040009E">
        <w:trPr>
          <w:trHeight w:val="170"/>
        </w:trPr>
        <w:tc>
          <w:tcPr>
            <w:tcW w:w="2212" w:type="dxa"/>
            <w:noWrap/>
            <w:tcMar>
              <w:top w:w="0" w:type="dxa"/>
              <w:left w:w="28" w:type="dxa"/>
              <w:bottom w:w="0" w:type="dxa"/>
              <w:right w:w="28" w:type="dxa"/>
            </w:tcMar>
            <w:vAlign w:val="center"/>
            <w:hideMark/>
          </w:tcPr>
          <w:p w:rsidR="003F5B57" w:rsidRDefault="003F5B57" w:rsidP="0040009E">
            <w:pPr>
              <w:pStyle w:val="TableText"/>
              <w:rPr>
                <w:lang w:val="en-US"/>
              </w:rPr>
            </w:pPr>
            <w:r>
              <w:rPr>
                <w:lang w:val="en-US"/>
              </w:rPr>
              <w:t>Hamilton city</w:t>
            </w:r>
          </w:p>
        </w:tc>
        <w:tc>
          <w:tcPr>
            <w:tcW w:w="751" w:type="dxa"/>
            <w:noWrap/>
            <w:tcMar>
              <w:top w:w="0" w:type="dxa"/>
              <w:left w:w="28" w:type="dxa"/>
              <w:bottom w:w="0" w:type="dxa"/>
              <w:right w:w="28" w:type="dxa"/>
            </w:tcMar>
            <w:vAlign w:val="center"/>
            <w:hideMark/>
          </w:tcPr>
          <w:p w:rsidR="003F5B57" w:rsidRDefault="003F5B57" w:rsidP="0040009E">
            <w:pPr>
              <w:pStyle w:val="TableText"/>
              <w:jc w:val="center"/>
              <w:rPr>
                <w:lang w:val="en-US"/>
              </w:rPr>
            </w:pPr>
            <w:r>
              <w:rPr>
                <w:lang w:val="en-US"/>
              </w:rPr>
              <w:t>11%</w:t>
            </w:r>
          </w:p>
        </w:tc>
        <w:tc>
          <w:tcPr>
            <w:tcW w:w="751" w:type="dxa"/>
            <w:noWrap/>
            <w:tcMar>
              <w:top w:w="0" w:type="dxa"/>
              <w:left w:w="28" w:type="dxa"/>
              <w:bottom w:w="0" w:type="dxa"/>
              <w:right w:w="28" w:type="dxa"/>
            </w:tcMar>
            <w:vAlign w:val="center"/>
            <w:hideMark/>
          </w:tcPr>
          <w:p w:rsidR="003F5B57" w:rsidRDefault="003F5B57" w:rsidP="0040009E">
            <w:pPr>
              <w:pStyle w:val="TableText"/>
              <w:jc w:val="center"/>
              <w:rPr>
                <w:lang w:val="en-US"/>
              </w:rPr>
            </w:pPr>
            <w:r>
              <w:rPr>
                <w:lang w:val="en-US"/>
              </w:rPr>
              <w:t>1.0%</w:t>
            </w:r>
          </w:p>
        </w:tc>
        <w:tc>
          <w:tcPr>
            <w:tcW w:w="751" w:type="dxa"/>
            <w:tcMar>
              <w:top w:w="0" w:type="dxa"/>
              <w:left w:w="28" w:type="dxa"/>
              <w:bottom w:w="0" w:type="dxa"/>
              <w:right w:w="28" w:type="dxa"/>
            </w:tcMar>
            <w:vAlign w:val="center"/>
            <w:hideMark/>
          </w:tcPr>
          <w:p w:rsidR="003F5B57" w:rsidRDefault="003F5B57" w:rsidP="0040009E">
            <w:pPr>
              <w:pStyle w:val="TableText"/>
              <w:jc w:val="center"/>
              <w:rPr>
                <w:lang w:val="en-US"/>
              </w:rPr>
            </w:pPr>
            <w:r>
              <w:rPr>
                <w:lang w:val="en-US"/>
              </w:rPr>
              <w:t>7%</w:t>
            </w:r>
          </w:p>
        </w:tc>
        <w:tc>
          <w:tcPr>
            <w:tcW w:w="751" w:type="dxa"/>
            <w:tcBorders>
              <w:right w:val="single" w:sz="4" w:space="0" w:color="808080" w:themeColor="background1" w:themeShade="80"/>
            </w:tcBorders>
            <w:tcMar>
              <w:top w:w="0" w:type="dxa"/>
              <w:left w:w="28" w:type="dxa"/>
              <w:bottom w:w="0" w:type="dxa"/>
              <w:right w:w="28" w:type="dxa"/>
            </w:tcMar>
            <w:vAlign w:val="center"/>
            <w:hideMark/>
          </w:tcPr>
          <w:p w:rsidR="003F5B57" w:rsidRDefault="003F5B57" w:rsidP="0040009E">
            <w:pPr>
              <w:pStyle w:val="TableText"/>
              <w:jc w:val="center"/>
              <w:rPr>
                <w:lang w:val="en-US"/>
              </w:rPr>
            </w:pPr>
            <w:r>
              <w:rPr>
                <w:lang w:val="en-US"/>
              </w:rPr>
              <w:t>0.7%</w:t>
            </w:r>
          </w:p>
        </w:tc>
        <w:tc>
          <w:tcPr>
            <w:tcW w:w="751" w:type="dxa"/>
            <w:tcBorders>
              <w:left w:val="single" w:sz="4" w:space="0" w:color="808080" w:themeColor="background1" w:themeShade="80"/>
            </w:tcBorders>
          </w:tcPr>
          <w:p w:rsidR="003F5B57" w:rsidRPr="00EA4E32" w:rsidRDefault="003F5B57" w:rsidP="0040009E">
            <w:pPr>
              <w:pStyle w:val="TableText"/>
              <w:jc w:val="center"/>
              <w:rPr>
                <w:lang w:val="en-US"/>
              </w:rPr>
            </w:pPr>
            <w:r w:rsidRPr="00EA4E32">
              <w:rPr>
                <w:lang w:val="en-US"/>
              </w:rPr>
              <w:t>38%</w:t>
            </w:r>
          </w:p>
        </w:tc>
        <w:tc>
          <w:tcPr>
            <w:tcW w:w="751" w:type="dxa"/>
          </w:tcPr>
          <w:p w:rsidR="003F5B57" w:rsidRPr="00EA4E32" w:rsidRDefault="003F5B57" w:rsidP="0040009E">
            <w:pPr>
              <w:pStyle w:val="TableText"/>
              <w:jc w:val="center"/>
              <w:rPr>
                <w:lang w:val="en-US"/>
              </w:rPr>
            </w:pPr>
            <w:r w:rsidRPr="00EA4E32">
              <w:rPr>
                <w:lang w:val="en-US"/>
              </w:rPr>
              <w:t>3.3%</w:t>
            </w:r>
          </w:p>
        </w:tc>
        <w:tc>
          <w:tcPr>
            <w:tcW w:w="751" w:type="dxa"/>
            <w:vAlign w:val="bottom"/>
          </w:tcPr>
          <w:p w:rsidR="003F5B57" w:rsidRPr="00EA4E32" w:rsidRDefault="003F5B57" w:rsidP="0040009E">
            <w:pPr>
              <w:pStyle w:val="TableText"/>
              <w:jc w:val="center"/>
              <w:rPr>
                <w:lang w:val="en-US"/>
              </w:rPr>
            </w:pPr>
            <w:r w:rsidRPr="00EA4E32">
              <w:rPr>
                <w:lang w:val="en-US"/>
              </w:rPr>
              <w:t>33%</w:t>
            </w:r>
          </w:p>
        </w:tc>
        <w:tc>
          <w:tcPr>
            <w:tcW w:w="752" w:type="dxa"/>
            <w:vAlign w:val="bottom"/>
          </w:tcPr>
          <w:p w:rsidR="003F5B57" w:rsidRPr="00EA4E32" w:rsidRDefault="003F5B57" w:rsidP="0040009E">
            <w:pPr>
              <w:pStyle w:val="TableText"/>
              <w:jc w:val="center"/>
              <w:rPr>
                <w:lang w:val="en-US"/>
              </w:rPr>
            </w:pPr>
            <w:r w:rsidRPr="00EA4E32">
              <w:rPr>
                <w:lang w:val="en-US"/>
              </w:rPr>
              <w:t>2.9%</w:t>
            </w:r>
          </w:p>
        </w:tc>
      </w:tr>
      <w:tr w:rsidR="003F5B57" w:rsidTr="0040009E">
        <w:trPr>
          <w:trHeight w:val="170"/>
        </w:trPr>
        <w:tc>
          <w:tcPr>
            <w:tcW w:w="2212" w:type="dxa"/>
            <w:noWrap/>
            <w:tcMar>
              <w:top w:w="0" w:type="dxa"/>
              <w:left w:w="28" w:type="dxa"/>
              <w:bottom w:w="0" w:type="dxa"/>
              <w:right w:w="28" w:type="dxa"/>
            </w:tcMar>
            <w:vAlign w:val="center"/>
            <w:hideMark/>
          </w:tcPr>
          <w:p w:rsidR="003F5B57" w:rsidRDefault="003F5B57" w:rsidP="0040009E">
            <w:pPr>
              <w:pStyle w:val="TableText"/>
              <w:rPr>
                <w:lang w:val="en-US"/>
              </w:rPr>
            </w:pPr>
            <w:r>
              <w:rPr>
                <w:lang w:val="en-US"/>
              </w:rPr>
              <w:t>Queenstown-Lakes District</w:t>
            </w:r>
          </w:p>
        </w:tc>
        <w:tc>
          <w:tcPr>
            <w:tcW w:w="751" w:type="dxa"/>
            <w:noWrap/>
            <w:tcMar>
              <w:top w:w="0" w:type="dxa"/>
              <w:left w:w="28" w:type="dxa"/>
              <w:bottom w:w="0" w:type="dxa"/>
              <w:right w:w="28" w:type="dxa"/>
            </w:tcMar>
            <w:vAlign w:val="center"/>
            <w:hideMark/>
          </w:tcPr>
          <w:p w:rsidR="003F5B57" w:rsidRDefault="003F5B57" w:rsidP="0040009E">
            <w:pPr>
              <w:pStyle w:val="TableText"/>
              <w:jc w:val="center"/>
              <w:rPr>
                <w:lang w:val="en-US"/>
              </w:rPr>
            </w:pPr>
            <w:r>
              <w:rPr>
                <w:lang w:val="en-US"/>
              </w:rPr>
              <w:t>13%</w:t>
            </w:r>
          </w:p>
        </w:tc>
        <w:tc>
          <w:tcPr>
            <w:tcW w:w="751" w:type="dxa"/>
            <w:noWrap/>
            <w:tcMar>
              <w:top w:w="0" w:type="dxa"/>
              <w:left w:w="28" w:type="dxa"/>
              <w:bottom w:w="0" w:type="dxa"/>
              <w:right w:w="28" w:type="dxa"/>
            </w:tcMar>
            <w:vAlign w:val="center"/>
            <w:hideMark/>
          </w:tcPr>
          <w:p w:rsidR="003F5B57" w:rsidRDefault="003F5B57" w:rsidP="0040009E">
            <w:pPr>
              <w:pStyle w:val="TableText"/>
              <w:jc w:val="center"/>
              <w:rPr>
                <w:lang w:val="en-US"/>
              </w:rPr>
            </w:pPr>
            <w:r>
              <w:rPr>
                <w:lang w:val="en-US"/>
              </w:rPr>
              <w:t>1.2%</w:t>
            </w:r>
          </w:p>
        </w:tc>
        <w:tc>
          <w:tcPr>
            <w:tcW w:w="751" w:type="dxa"/>
            <w:tcMar>
              <w:top w:w="0" w:type="dxa"/>
              <w:left w:w="28" w:type="dxa"/>
              <w:bottom w:w="0" w:type="dxa"/>
              <w:right w:w="28" w:type="dxa"/>
            </w:tcMar>
            <w:vAlign w:val="center"/>
            <w:hideMark/>
          </w:tcPr>
          <w:p w:rsidR="003F5B57" w:rsidRDefault="003F5B57" w:rsidP="0040009E">
            <w:pPr>
              <w:pStyle w:val="TableText"/>
              <w:jc w:val="center"/>
              <w:rPr>
                <w:lang w:val="en-US"/>
              </w:rPr>
            </w:pPr>
            <w:r>
              <w:rPr>
                <w:lang w:val="en-US"/>
              </w:rPr>
              <w:t>13%</w:t>
            </w:r>
          </w:p>
        </w:tc>
        <w:tc>
          <w:tcPr>
            <w:tcW w:w="751" w:type="dxa"/>
            <w:tcBorders>
              <w:right w:val="single" w:sz="4" w:space="0" w:color="808080" w:themeColor="background1" w:themeShade="80"/>
            </w:tcBorders>
            <w:tcMar>
              <w:top w:w="0" w:type="dxa"/>
              <w:left w:w="28" w:type="dxa"/>
              <w:bottom w:w="0" w:type="dxa"/>
              <w:right w:w="28" w:type="dxa"/>
            </w:tcMar>
            <w:vAlign w:val="center"/>
            <w:hideMark/>
          </w:tcPr>
          <w:p w:rsidR="003F5B57" w:rsidRDefault="003F5B57" w:rsidP="0040009E">
            <w:pPr>
              <w:pStyle w:val="TableText"/>
              <w:jc w:val="center"/>
              <w:rPr>
                <w:lang w:val="en-US"/>
              </w:rPr>
            </w:pPr>
            <w:r>
              <w:rPr>
                <w:lang w:val="en-US"/>
              </w:rPr>
              <w:t>1.2%</w:t>
            </w:r>
          </w:p>
        </w:tc>
        <w:tc>
          <w:tcPr>
            <w:tcW w:w="751" w:type="dxa"/>
            <w:tcBorders>
              <w:left w:val="single" w:sz="4" w:space="0" w:color="808080" w:themeColor="background1" w:themeShade="80"/>
            </w:tcBorders>
          </w:tcPr>
          <w:p w:rsidR="003F5B57" w:rsidRPr="00EA4E32" w:rsidRDefault="003F5B57" w:rsidP="0040009E">
            <w:pPr>
              <w:pStyle w:val="TableText"/>
              <w:jc w:val="center"/>
              <w:rPr>
                <w:lang w:val="en-US"/>
              </w:rPr>
            </w:pPr>
            <w:r w:rsidRPr="00EA4E32">
              <w:rPr>
                <w:lang w:val="en-US"/>
              </w:rPr>
              <w:t>40%</w:t>
            </w:r>
          </w:p>
        </w:tc>
        <w:tc>
          <w:tcPr>
            <w:tcW w:w="751" w:type="dxa"/>
          </w:tcPr>
          <w:p w:rsidR="003F5B57" w:rsidRPr="00EA4E32" w:rsidRDefault="003F5B57" w:rsidP="0040009E">
            <w:pPr>
              <w:pStyle w:val="TableText"/>
              <w:jc w:val="center"/>
              <w:rPr>
                <w:lang w:val="en-US"/>
              </w:rPr>
            </w:pPr>
            <w:r w:rsidRPr="00EA4E32">
              <w:rPr>
                <w:lang w:val="en-US"/>
              </w:rPr>
              <w:t>3.4%</w:t>
            </w:r>
          </w:p>
        </w:tc>
        <w:tc>
          <w:tcPr>
            <w:tcW w:w="751" w:type="dxa"/>
            <w:vAlign w:val="bottom"/>
          </w:tcPr>
          <w:p w:rsidR="003F5B57" w:rsidRPr="00EA4E32" w:rsidRDefault="003F5B57" w:rsidP="0040009E">
            <w:pPr>
              <w:pStyle w:val="TableText"/>
              <w:jc w:val="center"/>
              <w:rPr>
                <w:lang w:val="en-US"/>
              </w:rPr>
            </w:pPr>
            <w:r w:rsidRPr="00EA4E32">
              <w:rPr>
                <w:lang w:val="en-US"/>
              </w:rPr>
              <w:t>40%</w:t>
            </w:r>
          </w:p>
        </w:tc>
        <w:tc>
          <w:tcPr>
            <w:tcW w:w="752" w:type="dxa"/>
            <w:vAlign w:val="bottom"/>
          </w:tcPr>
          <w:p w:rsidR="003F5B57" w:rsidRPr="00EA4E32" w:rsidRDefault="003F5B57" w:rsidP="0040009E">
            <w:pPr>
              <w:pStyle w:val="TableText"/>
              <w:jc w:val="center"/>
              <w:rPr>
                <w:lang w:val="en-US"/>
              </w:rPr>
            </w:pPr>
            <w:r w:rsidRPr="00EA4E32">
              <w:rPr>
                <w:lang w:val="en-US"/>
              </w:rPr>
              <w:t>3.4%</w:t>
            </w:r>
          </w:p>
        </w:tc>
      </w:tr>
      <w:tr w:rsidR="003F5B57" w:rsidTr="0040009E">
        <w:trPr>
          <w:trHeight w:val="170"/>
        </w:trPr>
        <w:tc>
          <w:tcPr>
            <w:tcW w:w="2212" w:type="dxa"/>
            <w:tcBorders>
              <w:top w:val="nil"/>
              <w:left w:val="nil"/>
              <w:bottom w:val="single" w:sz="12" w:space="0" w:color="A6A6A6"/>
              <w:right w:val="nil"/>
            </w:tcBorders>
            <w:noWrap/>
            <w:tcMar>
              <w:top w:w="0" w:type="dxa"/>
              <w:left w:w="28" w:type="dxa"/>
              <w:bottom w:w="0" w:type="dxa"/>
              <w:right w:w="28" w:type="dxa"/>
            </w:tcMar>
            <w:vAlign w:val="center"/>
            <w:hideMark/>
          </w:tcPr>
          <w:p w:rsidR="003F5B57" w:rsidRDefault="003F5B57" w:rsidP="0040009E">
            <w:pPr>
              <w:pStyle w:val="TableText"/>
              <w:rPr>
                <w:lang w:val="en-US"/>
              </w:rPr>
            </w:pPr>
            <w:r>
              <w:rPr>
                <w:lang w:val="en-US"/>
              </w:rPr>
              <w:t>Christchurch</w:t>
            </w:r>
          </w:p>
        </w:tc>
        <w:tc>
          <w:tcPr>
            <w:tcW w:w="751" w:type="dxa"/>
            <w:tcBorders>
              <w:top w:val="nil"/>
              <w:left w:val="nil"/>
              <w:bottom w:val="single" w:sz="12" w:space="0" w:color="A6A6A6"/>
              <w:right w:val="nil"/>
            </w:tcBorders>
            <w:noWrap/>
            <w:tcMar>
              <w:top w:w="0" w:type="dxa"/>
              <w:left w:w="28" w:type="dxa"/>
              <w:bottom w:w="0" w:type="dxa"/>
              <w:right w:w="28" w:type="dxa"/>
            </w:tcMar>
            <w:vAlign w:val="center"/>
            <w:hideMark/>
          </w:tcPr>
          <w:p w:rsidR="003F5B57" w:rsidRDefault="003F5B57" w:rsidP="0040009E">
            <w:pPr>
              <w:pStyle w:val="TableText"/>
              <w:jc w:val="center"/>
              <w:rPr>
                <w:lang w:val="en-US"/>
              </w:rPr>
            </w:pPr>
            <w:r>
              <w:rPr>
                <w:lang w:val="en-US"/>
              </w:rPr>
              <w:t>31%</w:t>
            </w:r>
          </w:p>
        </w:tc>
        <w:tc>
          <w:tcPr>
            <w:tcW w:w="751" w:type="dxa"/>
            <w:tcBorders>
              <w:top w:val="nil"/>
              <w:left w:val="nil"/>
              <w:bottom w:val="single" w:sz="12" w:space="0" w:color="A6A6A6"/>
              <w:right w:val="nil"/>
            </w:tcBorders>
            <w:noWrap/>
            <w:tcMar>
              <w:top w:w="0" w:type="dxa"/>
              <w:left w:w="28" w:type="dxa"/>
              <w:bottom w:w="0" w:type="dxa"/>
              <w:right w:w="28" w:type="dxa"/>
            </w:tcMar>
            <w:vAlign w:val="center"/>
            <w:hideMark/>
          </w:tcPr>
          <w:p w:rsidR="003F5B57" w:rsidRDefault="003F5B57" w:rsidP="0040009E">
            <w:pPr>
              <w:pStyle w:val="TableText"/>
              <w:jc w:val="center"/>
              <w:rPr>
                <w:lang w:val="en-US"/>
              </w:rPr>
            </w:pPr>
            <w:r>
              <w:rPr>
                <w:lang w:val="en-US"/>
              </w:rPr>
              <w:t>2.7%</w:t>
            </w:r>
          </w:p>
        </w:tc>
        <w:tc>
          <w:tcPr>
            <w:tcW w:w="751" w:type="dxa"/>
            <w:tcBorders>
              <w:top w:val="nil"/>
              <w:left w:val="nil"/>
              <w:bottom w:val="single" w:sz="12" w:space="0" w:color="A6A6A6"/>
              <w:right w:val="nil"/>
            </w:tcBorders>
            <w:tcMar>
              <w:top w:w="0" w:type="dxa"/>
              <w:left w:w="28" w:type="dxa"/>
              <w:bottom w:w="0" w:type="dxa"/>
              <w:right w:w="28" w:type="dxa"/>
            </w:tcMar>
            <w:vAlign w:val="center"/>
            <w:hideMark/>
          </w:tcPr>
          <w:p w:rsidR="003F5B57" w:rsidRDefault="003F5B57" w:rsidP="0040009E">
            <w:pPr>
              <w:pStyle w:val="TableText"/>
              <w:jc w:val="center"/>
              <w:rPr>
                <w:lang w:val="en-US"/>
              </w:rPr>
            </w:pPr>
            <w:r>
              <w:rPr>
                <w:lang w:val="en-US"/>
              </w:rPr>
              <w:t>28%</w:t>
            </w:r>
          </w:p>
        </w:tc>
        <w:tc>
          <w:tcPr>
            <w:tcW w:w="751" w:type="dxa"/>
            <w:tcBorders>
              <w:top w:val="nil"/>
              <w:left w:val="nil"/>
              <w:bottom w:val="single" w:sz="12" w:space="0" w:color="A6A6A6"/>
              <w:right w:val="single" w:sz="4" w:space="0" w:color="808080" w:themeColor="background1" w:themeShade="80"/>
            </w:tcBorders>
            <w:tcMar>
              <w:top w:w="0" w:type="dxa"/>
              <w:left w:w="28" w:type="dxa"/>
              <w:bottom w:w="0" w:type="dxa"/>
              <w:right w:w="28" w:type="dxa"/>
            </w:tcMar>
            <w:vAlign w:val="center"/>
            <w:hideMark/>
          </w:tcPr>
          <w:p w:rsidR="003F5B57" w:rsidRDefault="003F5B57" w:rsidP="0040009E">
            <w:pPr>
              <w:pStyle w:val="TableText"/>
              <w:jc w:val="center"/>
              <w:rPr>
                <w:lang w:val="en-US"/>
              </w:rPr>
            </w:pPr>
            <w:r>
              <w:rPr>
                <w:lang w:val="en-US"/>
              </w:rPr>
              <w:t>2.5%</w:t>
            </w:r>
          </w:p>
        </w:tc>
        <w:tc>
          <w:tcPr>
            <w:tcW w:w="751" w:type="dxa"/>
            <w:tcBorders>
              <w:top w:val="nil"/>
              <w:left w:val="single" w:sz="4" w:space="0" w:color="808080" w:themeColor="background1" w:themeShade="80"/>
              <w:bottom w:val="single" w:sz="12" w:space="0" w:color="A6A6A6"/>
              <w:right w:val="nil"/>
            </w:tcBorders>
          </w:tcPr>
          <w:p w:rsidR="003F5B57" w:rsidRPr="00EA4E32" w:rsidRDefault="003F5B57" w:rsidP="0040009E">
            <w:pPr>
              <w:pStyle w:val="TableText"/>
              <w:jc w:val="center"/>
              <w:rPr>
                <w:lang w:val="en-US"/>
              </w:rPr>
            </w:pPr>
            <w:r w:rsidRPr="00EA4E32">
              <w:rPr>
                <w:lang w:val="en-US"/>
              </w:rPr>
              <w:t>62%</w:t>
            </w:r>
          </w:p>
        </w:tc>
        <w:tc>
          <w:tcPr>
            <w:tcW w:w="751" w:type="dxa"/>
            <w:tcBorders>
              <w:top w:val="nil"/>
              <w:left w:val="nil"/>
              <w:bottom w:val="single" w:sz="12" w:space="0" w:color="A6A6A6"/>
              <w:right w:val="nil"/>
            </w:tcBorders>
          </w:tcPr>
          <w:p w:rsidR="003F5B57" w:rsidRPr="00EA4E32" w:rsidRDefault="003F5B57" w:rsidP="0040009E">
            <w:pPr>
              <w:pStyle w:val="TableText"/>
              <w:jc w:val="center"/>
              <w:rPr>
                <w:lang w:val="en-US"/>
              </w:rPr>
            </w:pPr>
            <w:r w:rsidRPr="00EA4E32">
              <w:rPr>
                <w:lang w:val="en-US"/>
              </w:rPr>
              <w:t>5.0%</w:t>
            </w:r>
          </w:p>
        </w:tc>
        <w:tc>
          <w:tcPr>
            <w:tcW w:w="751" w:type="dxa"/>
            <w:tcBorders>
              <w:top w:val="nil"/>
              <w:left w:val="nil"/>
              <w:bottom w:val="single" w:sz="12" w:space="0" w:color="A6A6A6"/>
              <w:right w:val="nil"/>
            </w:tcBorders>
            <w:vAlign w:val="bottom"/>
          </w:tcPr>
          <w:p w:rsidR="003F5B57" w:rsidRPr="00EA4E32" w:rsidRDefault="003F5B57" w:rsidP="0040009E">
            <w:pPr>
              <w:pStyle w:val="TableText"/>
              <w:jc w:val="center"/>
              <w:rPr>
                <w:lang w:val="en-US"/>
              </w:rPr>
            </w:pPr>
            <w:r w:rsidRPr="00EA4E32">
              <w:rPr>
                <w:lang w:val="en-US"/>
              </w:rPr>
              <w:t>59%</w:t>
            </w:r>
          </w:p>
        </w:tc>
        <w:tc>
          <w:tcPr>
            <w:tcW w:w="752" w:type="dxa"/>
            <w:tcBorders>
              <w:top w:val="nil"/>
              <w:left w:val="nil"/>
              <w:bottom w:val="single" w:sz="12" w:space="0" w:color="A6A6A6"/>
              <w:right w:val="nil"/>
            </w:tcBorders>
            <w:vAlign w:val="bottom"/>
          </w:tcPr>
          <w:p w:rsidR="003F5B57" w:rsidRPr="00EA4E32" w:rsidRDefault="003F5B57" w:rsidP="0040009E">
            <w:pPr>
              <w:pStyle w:val="TableText"/>
              <w:jc w:val="center"/>
              <w:rPr>
                <w:lang w:val="en-US"/>
              </w:rPr>
            </w:pPr>
            <w:r w:rsidRPr="00EA4E32">
              <w:rPr>
                <w:lang w:val="en-US"/>
              </w:rPr>
              <w:t>4.8%</w:t>
            </w:r>
          </w:p>
        </w:tc>
      </w:tr>
    </w:tbl>
    <w:p w:rsidR="003F5B57" w:rsidRDefault="003F5B57" w:rsidP="003F5B57">
      <w:pPr>
        <w:spacing w:line="240" w:lineRule="auto"/>
        <w:rPr>
          <w:rFonts w:eastAsiaTheme="minorHAnsi"/>
          <w:sz w:val="18"/>
          <w:szCs w:val="18"/>
          <w:lang w:val="en-US"/>
        </w:rPr>
      </w:pPr>
      <w:r>
        <w:rPr>
          <w:sz w:val="18"/>
          <w:szCs w:val="18"/>
          <w:vertAlign w:val="superscript"/>
          <w:lang w:val="en-US"/>
        </w:rPr>
        <w:t>1</w:t>
      </w:r>
      <w:r>
        <w:rPr>
          <w:sz w:val="18"/>
          <w:szCs w:val="18"/>
          <w:lang w:val="en-US"/>
        </w:rPr>
        <w:t xml:space="preserve"> CAGR = compound annual growth rate</w:t>
      </w:r>
    </w:p>
    <w:p w:rsidR="003F5B57" w:rsidRDefault="003F5B57" w:rsidP="003F5B57">
      <w:pPr>
        <w:rPr>
          <w:rFonts w:ascii="Calibri" w:hAnsi="Calibri"/>
          <w:sz w:val="22"/>
          <w:szCs w:val="22"/>
        </w:rPr>
      </w:pPr>
      <w:r>
        <w:rPr>
          <w:sz w:val="18"/>
          <w:szCs w:val="18"/>
          <w:lang w:val="en-US"/>
        </w:rPr>
        <w:t>Source: QVNZ &amp; MBIE and RBNZ</w:t>
      </w:r>
    </w:p>
    <w:p w:rsidR="003F5B57" w:rsidRDefault="003F5B57" w:rsidP="003F5B57"/>
    <w:p w:rsidR="003F5B57" w:rsidRDefault="003F5B57" w:rsidP="003F5B57">
      <w:r w:rsidRPr="004C33D1">
        <w:t xml:space="preserve">Apart from in Tauranga, increases in house prices over this period have been greater than increases in rents; this is particularly so in Auckland where there has been a 60% real increase in </w:t>
      </w:r>
      <w:r>
        <w:t xml:space="preserve">real </w:t>
      </w:r>
      <w:r w:rsidRPr="004C33D1">
        <w:t xml:space="preserve">median house prices (4.8% per annum) but only a 16% real increase in average rents (1.5% per annum).  </w:t>
      </w:r>
    </w:p>
    <w:p w:rsidR="001F5BE3" w:rsidRDefault="001F5BE3" w:rsidP="003F5B57">
      <w:pPr>
        <w:pStyle w:val="Heading3"/>
      </w:pPr>
      <w:r>
        <w:lastRenderedPageBreak/>
        <w:t>Changes in Rents by Suburb</w:t>
      </w:r>
    </w:p>
    <w:p w:rsidR="00BE6031" w:rsidRDefault="006B3BC3" w:rsidP="001F5BE3">
      <w:proofErr w:type="gramStart"/>
      <w:r>
        <w:t xml:space="preserve">Just as changes in </w:t>
      </w:r>
      <w:r w:rsidR="00056F78">
        <w:t>land and property prices by suburb can identify changes in supply and demand, so can changes in rentals.</w:t>
      </w:r>
      <w:proofErr w:type="gramEnd"/>
      <w:r w:rsidR="009D1076">
        <w:t xml:space="preserve"> </w:t>
      </w:r>
      <w:r w:rsidR="009D1076">
        <w:fldChar w:fldCharType="begin"/>
      </w:r>
      <w:r w:rsidR="009D1076">
        <w:instrText xml:space="preserve"> REF _Ref462398361 \h </w:instrText>
      </w:r>
      <w:r w:rsidR="009D1076">
        <w:fldChar w:fldCharType="separate"/>
      </w:r>
      <w:r w:rsidR="004D1DDA">
        <w:t xml:space="preserve">Figure </w:t>
      </w:r>
      <w:r w:rsidR="004D1DDA">
        <w:rPr>
          <w:noProof/>
        </w:rPr>
        <w:t>14</w:t>
      </w:r>
      <w:r w:rsidR="009D1076">
        <w:fldChar w:fldCharType="end"/>
      </w:r>
      <w:r w:rsidR="009D1076">
        <w:t xml:space="preserve"> uses MBIE’s rent data to show the areas in Auckland with house rentals in different price categories; it illustrates how these have changed between 2012 and 2016. </w:t>
      </w:r>
      <w:r w:rsidR="007E2B7D">
        <w:fldChar w:fldCharType="begin"/>
      </w:r>
      <w:r w:rsidR="007E2B7D">
        <w:instrText xml:space="preserve"> REF _Ref462400953 \h </w:instrText>
      </w:r>
      <w:r w:rsidR="007E2B7D">
        <w:fldChar w:fldCharType="separate"/>
      </w:r>
      <w:r w:rsidR="004D1DDA">
        <w:t xml:space="preserve">Figure </w:t>
      </w:r>
      <w:r w:rsidR="004D1DDA">
        <w:rPr>
          <w:noProof/>
        </w:rPr>
        <w:t>15</w:t>
      </w:r>
      <w:r w:rsidR="007E2B7D">
        <w:fldChar w:fldCharType="end"/>
      </w:r>
      <w:r w:rsidR="00B6005C">
        <w:t xml:space="preserve"> is a line graph that has similar </w:t>
      </w:r>
      <w:r w:rsidR="00DB6BD8">
        <w:t xml:space="preserve">data; the maps have less detailed data but may </w:t>
      </w:r>
      <w:r w:rsidR="008765EA">
        <w:t xml:space="preserve">better </w:t>
      </w:r>
      <w:r w:rsidR="00DB6BD8">
        <w:t xml:space="preserve">communicate </w:t>
      </w:r>
      <w:r w:rsidR="008765EA">
        <w:t xml:space="preserve">the </w:t>
      </w:r>
      <w:r w:rsidR="00DB6BD8">
        <w:t>information.</w:t>
      </w:r>
    </w:p>
    <w:p w:rsidR="00056F78" w:rsidRDefault="009D1076" w:rsidP="009D1076">
      <w:pPr>
        <w:pStyle w:val="Caption"/>
      </w:pPr>
      <w:bookmarkStart w:id="90" w:name="_Ref462398361"/>
      <w:r>
        <w:t xml:space="preserve">Figure </w:t>
      </w:r>
      <w:r>
        <w:fldChar w:fldCharType="begin"/>
      </w:r>
      <w:r>
        <w:instrText xml:space="preserve"> SEQ Figure \* ARABIC </w:instrText>
      </w:r>
      <w:r>
        <w:fldChar w:fldCharType="separate"/>
      </w:r>
      <w:r w:rsidR="004D1DDA">
        <w:rPr>
          <w:noProof/>
        </w:rPr>
        <w:t>14</w:t>
      </w:r>
      <w:r>
        <w:fldChar w:fldCharType="end"/>
      </w:r>
      <w:bookmarkEnd w:id="90"/>
      <w:r>
        <w:t xml:space="preserve"> House rental prices by locat</w:t>
      </w:r>
      <w:r w:rsidR="00ED1D62">
        <w:t>ion 2012</w:t>
      </w:r>
      <w:r>
        <w:t xml:space="preserve"> and 2016</w:t>
      </w:r>
      <w:r w:rsidR="00DB6BD8">
        <w:t xml:space="preserve"> (houses only)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8"/>
        <w:gridCol w:w="4219"/>
      </w:tblGrid>
      <w:tr w:rsidR="002E7775" w:rsidTr="00712A3C">
        <w:tc>
          <w:tcPr>
            <w:tcW w:w="4218" w:type="dxa"/>
          </w:tcPr>
          <w:p w:rsidR="002E7775" w:rsidRDefault="002E7775" w:rsidP="00712A3C">
            <w:r>
              <w:rPr>
                <w:noProof/>
                <w:lang w:eastAsia="en-NZ"/>
              </w:rPr>
              <w:drawing>
                <wp:inline distT="0" distB="0" distL="0" distR="0" wp14:anchorId="51E72725" wp14:editId="2BD59CB8">
                  <wp:extent cx="2717165" cy="3158490"/>
                  <wp:effectExtent l="0" t="0" r="698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l rents 2012 hot.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17165" cy="3158490"/>
                          </a:xfrm>
                          <a:prstGeom prst="rect">
                            <a:avLst/>
                          </a:prstGeom>
                        </pic:spPr>
                      </pic:pic>
                    </a:graphicData>
                  </a:graphic>
                </wp:inline>
              </w:drawing>
            </w:r>
          </w:p>
        </w:tc>
        <w:tc>
          <w:tcPr>
            <w:tcW w:w="4219" w:type="dxa"/>
          </w:tcPr>
          <w:p w:rsidR="002E7775" w:rsidRDefault="002E7775" w:rsidP="00712A3C">
            <w:r>
              <w:rPr>
                <w:noProof/>
                <w:lang w:eastAsia="en-NZ"/>
              </w:rPr>
              <w:drawing>
                <wp:inline distT="0" distB="0" distL="0" distR="0" wp14:anchorId="3CEA165C" wp14:editId="7B68A740">
                  <wp:extent cx="2719246" cy="3158836"/>
                  <wp:effectExtent l="0" t="0" r="508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l rents 2016 hot.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19246" cy="3158836"/>
                          </a:xfrm>
                          <a:prstGeom prst="rect">
                            <a:avLst/>
                          </a:prstGeom>
                        </pic:spPr>
                      </pic:pic>
                    </a:graphicData>
                  </a:graphic>
                </wp:inline>
              </w:drawing>
            </w:r>
          </w:p>
        </w:tc>
      </w:tr>
    </w:tbl>
    <w:p w:rsidR="002E7775" w:rsidRPr="00452107" w:rsidRDefault="002E7775" w:rsidP="002E7775">
      <w:pPr>
        <w:spacing w:line="240" w:lineRule="auto"/>
        <w:rPr>
          <w:sz w:val="2"/>
          <w:szCs w:val="2"/>
        </w:rPr>
      </w:pPr>
    </w:p>
    <w:p w:rsidR="002E7775" w:rsidRPr="009D1076" w:rsidRDefault="002E7775" w:rsidP="002E7775">
      <w:pPr>
        <w:spacing w:line="240" w:lineRule="auto"/>
        <w:rPr>
          <w:sz w:val="18"/>
          <w:szCs w:val="18"/>
        </w:rPr>
      </w:pPr>
      <w:r>
        <w:rPr>
          <w:sz w:val="18"/>
          <w:szCs w:val="18"/>
        </w:rPr>
        <w:t>Source: MBIE rent data and Statistics NZ shape files</w:t>
      </w:r>
    </w:p>
    <w:p w:rsidR="009D1076" w:rsidRDefault="009D1076" w:rsidP="009D1076"/>
    <w:p w:rsidR="00BE6031" w:rsidRDefault="00BE6031" w:rsidP="00BE6031">
      <w:pPr>
        <w:pStyle w:val="Caption"/>
      </w:pPr>
      <w:bookmarkStart w:id="91" w:name="_Ref462400953"/>
      <w:r>
        <w:t xml:space="preserve">Figure </w:t>
      </w:r>
      <w:r>
        <w:fldChar w:fldCharType="begin"/>
      </w:r>
      <w:r>
        <w:instrText xml:space="preserve"> SEQ Figure \* ARABIC </w:instrText>
      </w:r>
      <w:r>
        <w:fldChar w:fldCharType="separate"/>
      </w:r>
      <w:r w:rsidR="004D1DDA">
        <w:rPr>
          <w:noProof/>
        </w:rPr>
        <w:t>15</w:t>
      </w:r>
      <w:r>
        <w:fldChar w:fldCharType="end"/>
      </w:r>
      <w:bookmarkEnd w:id="91"/>
      <w:r>
        <w:t xml:space="preserve"> Percentage change in rentals by</w:t>
      </w:r>
      <w:r w:rsidR="00DB6BD8">
        <w:t xml:space="preserve"> Auckland</w:t>
      </w:r>
      <w:r>
        <w:t xml:space="preserve"> location</w:t>
      </w:r>
      <w:r w:rsidR="00DB6BD8">
        <w:t xml:space="preserve"> (houses only)</w:t>
      </w:r>
    </w:p>
    <w:p w:rsidR="00BE6031" w:rsidRDefault="00BE6031" w:rsidP="009D1076">
      <w:r w:rsidRPr="00514C5A">
        <w:rPr>
          <w:noProof/>
          <w:lang w:eastAsia="en-NZ"/>
        </w:rPr>
        <w:drawing>
          <wp:inline distT="0" distB="0" distL="0" distR="0" wp14:anchorId="78E54EAA" wp14:editId="1007B8BC">
            <wp:extent cx="4781550" cy="2981416"/>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82132" cy="2981779"/>
                    </a:xfrm>
                    <a:prstGeom prst="rect">
                      <a:avLst/>
                    </a:prstGeom>
                    <a:noFill/>
                    <a:ln>
                      <a:noFill/>
                    </a:ln>
                  </pic:spPr>
                </pic:pic>
              </a:graphicData>
            </a:graphic>
          </wp:inline>
        </w:drawing>
      </w:r>
    </w:p>
    <w:p w:rsidR="00BE6031" w:rsidRPr="00BE6031" w:rsidRDefault="00BE6031" w:rsidP="009D1076">
      <w:pPr>
        <w:rPr>
          <w:sz w:val="18"/>
          <w:szCs w:val="18"/>
        </w:rPr>
      </w:pPr>
      <w:r>
        <w:rPr>
          <w:sz w:val="18"/>
          <w:szCs w:val="18"/>
        </w:rPr>
        <w:t xml:space="preserve">Source: </w:t>
      </w:r>
      <w:r w:rsidR="00DB6BD8">
        <w:rPr>
          <w:sz w:val="18"/>
          <w:szCs w:val="18"/>
        </w:rPr>
        <w:t>MBIE data</w:t>
      </w:r>
    </w:p>
    <w:p w:rsidR="008765EA" w:rsidRDefault="008765EA" w:rsidP="008765EA">
      <w:pPr>
        <w:pStyle w:val="Heading2"/>
      </w:pPr>
      <w:bookmarkStart w:id="92" w:name="_Toc462582175"/>
      <w:r>
        <w:lastRenderedPageBreak/>
        <w:t>Business Land Trends</w:t>
      </w:r>
      <w:bookmarkEnd w:id="92"/>
    </w:p>
    <w:p w:rsidR="008765EA" w:rsidRDefault="008765EA" w:rsidP="008765EA">
      <w:r>
        <w:t xml:space="preserve">There is limited data available on prices for business land, apart from the land valuation data. A number of real estate agencies collect and publish data based on their property portfolios. An example </w:t>
      </w:r>
      <w:proofErr w:type="gramStart"/>
      <w:r>
        <w:t>is provided</w:t>
      </w:r>
      <w:proofErr w:type="gramEnd"/>
      <w:r>
        <w:t xml:space="preserve"> in </w:t>
      </w:r>
      <w:r>
        <w:fldChar w:fldCharType="begin"/>
      </w:r>
      <w:r>
        <w:instrText xml:space="preserve"> REF _Ref462404096 \h </w:instrText>
      </w:r>
      <w:r>
        <w:fldChar w:fldCharType="separate"/>
      </w:r>
      <w:r w:rsidR="004D1DDA">
        <w:t xml:space="preserve">Figure </w:t>
      </w:r>
      <w:r w:rsidR="004D1DDA">
        <w:rPr>
          <w:noProof/>
        </w:rPr>
        <w:t>16</w:t>
      </w:r>
      <w:r>
        <w:fldChar w:fldCharType="end"/>
      </w:r>
      <w:r>
        <w:t xml:space="preserve">. It shows data on vacancy rates (see further discussion in Section </w:t>
      </w:r>
      <w:r>
        <w:fldChar w:fldCharType="begin"/>
      </w:r>
      <w:r>
        <w:instrText xml:space="preserve"> REF _Ref462574556 \r \h </w:instrText>
      </w:r>
      <w:r>
        <w:fldChar w:fldCharType="separate"/>
      </w:r>
      <w:r w:rsidR="004D1DDA">
        <w:t>4.7.2</w:t>
      </w:r>
      <w:r>
        <w:fldChar w:fldCharType="end"/>
      </w:r>
      <w:r>
        <w:t xml:space="preserve"> below), prices and yields (rent to value ratios). These data are not comprehensive and the quality of the data is uncertain. These data may be of interest to councils, but we do not suggest that they </w:t>
      </w:r>
      <w:proofErr w:type="gramStart"/>
      <w:r>
        <w:t>are used</w:t>
      </w:r>
      <w:proofErr w:type="gramEnd"/>
      <w:r>
        <w:t xml:space="preserve"> as formal indicators. </w:t>
      </w:r>
    </w:p>
    <w:p w:rsidR="008765EA" w:rsidRPr="00933B1E" w:rsidRDefault="008765EA" w:rsidP="008765EA">
      <w:pPr>
        <w:pStyle w:val="Caption"/>
      </w:pPr>
      <w:bookmarkStart w:id="93" w:name="_Ref462404096"/>
      <w:r>
        <w:t xml:space="preserve">Figure </w:t>
      </w:r>
      <w:r>
        <w:fldChar w:fldCharType="begin"/>
      </w:r>
      <w:r>
        <w:instrText xml:space="preserve"> SEQ Figure \* ARABIC </w:instrText>
      </w:r>
      <w:r>
        <w:fldChar w:fldCharType="separate"/>
      </w:r>
      <w:r w:rsidR="004D1DDA">
        <w:rPr>
          <w:noProof/>
        </w:rPr>
        <w:t>16</w:t>
      </w:r>
      <w:r>
        <w:fldChar w:fldCharType="end"/>
      </w:r>
      <w:bookmarkEnd w:id="93"/>
      <w:r>
        <w:t xml:space="preserve"> Wellington CBD office: market statistics 2016 </w:t>
      </w:r>
    </w:p>
    <w:p w:rsidR="008765EA" w:rsidRPr="007776B0" w:rsidRDefault="008765EA" w:rsidP="008765EA">
      <w:pPr>
        <w:jc w:val="center"/>
      </w:pPr>
      <w:r w:rsidRPr="007776B0">
        <w:rPr>
          <w:noProof/>
          <w:lang w:eastAsia="en-NZ"/>
        </w:rPr>
        <w:drawing>
          <wp:inline distT="0" distB="0" distL="0" distR="0" wp14:anchorId="1346CA35" wp14:editId="1DC818CA">
            <wp:extent cx="4983480" cy="4438492"/>
            <wp:effectExtent l="0" t="0" r="762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342" b="-1"/>
                    <a:stretch/>
                  </pic:blipFill>
                  <pic:spPr bwMode="auto">
                    <a:xfrm>
                      <a:off x="0" y="0"/>
                      <a:ext cx="4989277" cy="4443655"/>
                    </a:xfrm>
                    <a:prstGeom prst="rect">
                      <a:avLst/>
                    </a:prstGeom>
                    <a:noFill/>
                    <a:ln>
                      <a:noFill/>
                    </a:ln>
                    <a:extLst>
                      <a:ext uri="{53640926-AAD7-44D8-BBD7-CCE9431645EC}">
                        <a14:shadowObscured xmlns:a14="http://schemas.microsoft.com/office/drawing/2010/main"/>
                      </a:ext>
                    </a:extLst>
                  </pic:spPr>
                </pic:pic>
              </a:graphicData>
            </a:graphic>
          </wp:inline>
        </w:drawing>
      </w:r>
    </w:p>
    <w:p w:rsidR="008765EA" w:rsidRDefault="008765EA" w:rsidP="008765EA">
      <w:pPr>
        <w:rPr>
          <w:sz w:val="18"/>
          <w:szCs w:val="18"/>
        </w:rPr>
      </w:pPr>
      <w:r w:rsidRPr="007776B0">
        <w:rPr>
          <w:sz w:val="18"/>
          <w:szCs w:val="18"/>
        </w:rPr>
        <w:t>Source: Colliers International - National CBD Office Report 2016</w:t>
      </w:r>
    </w:p>
    <w:p w:rsidR="008765EA" w:rsidRDefault="008765EA" w:rsidP="008765EA">
      <w:pPr>
        <w:rPr>
          <w:sz w:val="18"/>
          <w:szCs w:val="18"/>
        </w:rPr>
      </w:pPr>
    </w:p>
    <w:p w:rsidR="008765EA" w:rsidRDefault="008765EA" w:rsidP="008765EA">
      <w:pPr>
        <w:pStyle w:val="Heading2"/>
      </w:pPr>
      <w:bookmarkStart w:id="94" w:name="_Toc462582176"/>
      <w:r>
        <w:t>Conclusions</w:t>
      </w:r>
      <w:bookmarkEnd w:id="94"/>
    </w:p>
    <w:p w:rsidR="008765EA" w:rsidRDefault="008765EA" w:rsidP="008765EA">
      <w:r>
        <w:t xml:space="preserve">A number of general market indicators would provide useful background information to </w:t>
      </w:r>
      <w:r w:rsidR="00D16607">
        <w:t xml:space="preserve">assist </w:t>
      </w:r>
      <w:r>
        <w:t xml:space="preserve">councils </w:t>
      </w:r>
      <w:proofErr w:type="gramStart"/>
      <w:r w:rsidR="00D16607">
        <w:t>to better understand</w:t>
      </w:r>
      <w:proofErr w:type="gramEnd"/>
      <w:r w:rsidR="00D16607">
        <w:t xml:space="preserve"> market trends and dynamics. Those considered here are trends in:</w:t>
      </w:r>
    </w:p>
    <w:p w:rsidR="00D16607" w:rsidRDefault="00D16607" w:rsidP="008765EA"/>
    <w:p w:rsidR="00D16607" w:rsidRDefault="00D16607" w:rsidP="00D16607">
      <w:pPr>
        <w:pStyle w:val="ListParagraph"/>
        <w:numPr>
          <w:ilvl w:val="0"/>
          <w:numId w:val="32"/>
        </w:numPr>
      </w:pPr>
      <w:r>
        <w:t>house prices;</w:t>
      </w:r>
    </w:p>
    <w:p w:rsidR="00D16607" w:rsidRDefault="00D16607" w:rsidP="00D16607">
      <w:pPr>
        <w:pStyle w:val="ListParagraph"/>
        <w:numPr>
          <w:ilvl w:val="0"/>
          <w:numId w:val="32"/>
        </w:numPr>
      </w:pPr>
      <w:r>
        <w:t>land values (and using sales prices and econometric analysis where possible); and</w:t>
      </w:r>
    </w:p>
    <w:p w:rsidR="00D16607" w:rsidRDefault="00D16607" w:rsidP="00D16607">
      <w:pPr>
        <w:pStyle w:val="ListParagraph"/>
        <w:numPr>
          <w:ilvl w:val="0"/>
          <w:numId w:val="32"/>
        </w:numPr>
      </w:pPr>
      <w:proofErr w:type="gramStart"/>
      <w:r>
        <w:t>rents</w:t>
      </w:r>
      <w:proofErr w:type="gramEnd"/>
      <w:r>
        <w:t>.</w:t>
      </w:r>
    </w:p>
    <w:p w:rsidR="00D16607" w:rsidRPr="008765EA" w:rsidRDefault="00D16607" w:rsidP="00D16607"/>
    <w:p w:rsidR="00D16607" w:rsidRDefault="00D16607">
      <w:pPr>
        <w:spacing w:line="240" w:lineRule="auto"/>
      </w:pPr>
      <w:r>
        <w:br w:type="page"/>
      </w:r>
    </w:p>
    <w:p w:rsidR="00827E15" w:rsidRPr="004C33D1" w:rsidRDefault="00827E15" w:rsidP="00956D3F">
      <w:pPr>
        <w:pStyle w:val="Heading1"/>
      </w:pPr>
      <w:bookmarkStart w:id="95" w:name="_Ref462328627"/>
      <w:bookmarkStart w:id="96" w:name="_Toc462413623"/>
      <w:bookmarkStart w:id="97" w:name="_Toc462582177"/>
      <w:r w:rsidRPr="004C33D1">
        <w:lastRenderedPageBreak/>
        <w:t>Supply-Demand Indicators</w:t>
      </w:r>
      <w:bookmarkEnd w:id="69"/>
      <w:bookmarkEnd w:id="95"/>
      <w:bookmarkEnd w:id="96"/>
      <w:bookmarkEnd w:id="97"/>
    </w:p>
    <w:p w:rsidR="00827E15" w:rsidRPr="004C33D1" w:rsidRDefault="00827E15" w:rsidP="00220C7C">
      <w:pPr>
        <w:pStyle w:val="Heading2"/>
      </w:pPr>
      <w:bookmarkStart w:id="98" w:name="_Toc462413624"/>
      <w:bookmarkStart w:id="99" w:name="_Toc462582178"/>
      <w:r w:rsidRPr="004C33D1">
        <w:t>Introduction</w:t>
      </w:r>
      <w:bookmarkEnd w:id="98"/>
      <w:bookmarkEnd w:id="99"/>
    </w:p>
    <w:p w:rsidR="00603283" w:rsidRPr="004C33D1" w:rsidRDefault="00827E15" w:rsidP="00827E15">
      <w:r w:rsidRPr="004C33D1">
        <w:t xml:space="preserve">The </w:t>
      </w:r>
      <w:r w:rsidR="0059793C">
        <w:t>draft</w:t>
      </w:r>
      <w:r w:rsidRPr="004C33D1">
        <w:t xml:space="preserve"> NPS-UDC requires councils to compare estimates of development capacity, including the availability of infrastructure and commercial feasibility of zoned capacity, with future expected demand for housing or business floorspace. The aim </w:t>
      </w:r>
      <w:r w:rsidR="001E5045">
        <w:t>is to inform resource management plans, and ensure that they provide sufficient capacity to enable developers to m</w:t>
      </w:r>
      <w:r w:rsidR="00D16607">
        <w:t>eet</w:t>
      </w:r>
      <w:r w:rsidR="001E5045">
        <w:t xml:space="preserve"> demand</w:t>
      </w:r>
      <w:r w:rsidR="001E5045" w:rsidRPr="004C33D1">
        <w:t>.</w:t>
      </w:r>
    </w:p>
    <w:p w:rsidR="00603283" w:rsidRPr="004C33D1" w:rsidRDefault="00603283" w:rsidP="00827E15"/>
    <w:p w:rsidR="00B152F7" w:rsidRPr="004C33D1" w:rsidRDefault="00B152F7" w:rsidP="00B152F7">
      <w:pPr>
        <w:spacing w:line="240" w:lineRule="auto"/>
      </w:pPr>
      <w:r w:rsidRPr="004C33D1">
        <w:t xml:space="preserve">In this </w:t>
      </w:r>
      <w:proofErr w:type="gramStart"/>
      <w:r w:rsidRPr="004C33D1">
        <w:t>section</w:t>
      </w:r>
      <w:proofErr w:type="gramEnd"/>
      <w:r w:rsidRPr="004C33D1">
        <w:t xml:space="preserve"> we </w:t>
      </w:r>
      <w:r w:rsidR="005F437B">
        <w:t>provide some commentary on approaches to modelling demand</w:t>
      </w:r>
      <w:r w:rsidR="001E5045">
        <w:t xml:space="preserve"> and supply</w:t>
      </w:r>
      <w:r w:rsidR="005F437B">
        <w:t>,</w:t>
      </w:r>
      <w:r w:rsidR="001E5045">
        <w:rPr>
          <w:rStyle w:val="FootnoteReference"/>
        </w:rPr>
        <w:footnoteReference w:id="48"/>
      </w:r>
      <w:r w:rsidR="005F437B">
        <w:t xml:space="preserve"> and we </w:t>
      </w:r>
      <w:r w:rsidRPr="004C33D1">
        <w:t>explore some possible indicators of</w:t>
      </w:r>
      <w:r w:rsidR="0034075A">
        <w:t xml:space="preserve"> supply-demand imbalances.</w:t>
      </w:r>
    </w:p>
    <w:p w:rsidR="00B152F7" w:rsidRPr="004C33D1" w:rsidRDefault="00B152F7" w:rsidP="00B152F7">
      <w:pPr>
        <w:spacing w:line="240" w:lineRule="auto"/>
      </w:pPr>
    </w:p>
    <w:p w:rsidR="00B152F7" w:rsidRPr="004C33D1" w:rsidRDefault="00B152F7" w:rsidP="006277DC">
      <w:pPr>
        <w:pStyle w:val="ListParagraph"/>
        <w:numPr>
          <w:ilvl w:val="0"/>
          <w:numId w:val="68"/>
        </w:numPr>
        <w:spacing w:line="240" w:lineRule="auto"/>
      </w:pPr>
      <w:r w:rsidRPr="004C33D1">
        <w:t xml:space="preserve">First, the extent to which new </w:t>
      </w:r>
      <w:r w:rsidR="00E31755">
        <w:t>development</w:t>
      </w:r>
      <w:r w:rsidRPr="004C33D1">
        <w:t xml:space="preserve"> is keeping pace with demand from population increase. If new housing construction is lagging behind demographic growth, it may indicate supply-side constraints – especially if prices are simultaneously rising.</w:t>
      </w:r>
    </w:p>
    <w:p w:rsidR="00B152F7" w:rsidRPr="004C33D1" w:rsidRDefault="00B152F7" w:rsidP="00B152F7">
      <w:pPr>
        <w:pStyle w:val="ListParagraph"/>
        <w:numPr>
          <w:ilvl w:val="0"/>
          <w:numId w:val="0"/>
        </w:numPr>
        <w:spacing w:line="240" w:lineRule="auto"/>
        <w:ind w:left="720"/>
      </w:pPr>
    </w:p>
    <w:p w:rsidR="00B152F7" w:rsidRPr="004C33D1" w:rsidRDefault="00B152F7" w:rsidP="006277DC">
      <w:pPr>
        <w:pStyle w:val="ListParagraph"/>
        <w:numPr>
          <w:ilvl w:val="0"/>
          <w:numId w:val="68"/>
        </w:numPr>
        <w:spacing w:line="240" w:lineRule="auto"/>
      </w:pPr>
      <w:r w:rsidRPr="004C33D1">
        <w:t>Second, price trends in the housing market (or business land market). If new housing construction is lagging behind demand, it will tend to push up prices.</w:t>
      </w:r>
    </w:p>
    <w:p w:rsidR="00B152F7" w:rsidRPr="004C33D1" w:rsidRDefault="00B152F7" w:rsidP="00B152F7">
      <w:pPr>
        <w:spacing w:line="240" w:lineRule="auto"/>
      </w:pPr>
    </w:p>
    <w:p w:rsidR="00B152F7" w:rsidRPr="004C33D1" w:rsidRDefault="00B152F7" w:rsidP="006277DC">
      <w:pPr>
        <w:pStyle w:val="ListParagraph"/>
        <w:numPr>
          <w:ilvl w:val="0"/>
          <w:numId w:val="68"/>
        </w:numPr>
        <w:spacing w:line="240" w:lineRule="auto"/>
      </w:pPr>
      <w:proofErr w:type="gramStart"/>
      <w:r w:rsidRPr="004C33D1">
        <w:t>Third, models of development capacity that incorporate information on the costs of development (eg land and construction costs) and revenues from development (ie sale prices for new dwellings or business floorspace).</w:t>
      </w:r>
      <w:proofErr w:type="gramEnd"/>
      <w:r w:rsidRPr="004C33D1">
        <w:t xml:space="preserve"> These models implicitly incorporate information about the current supply and demand balance in urban development markets.</w:t>
      </w:r>
    </w:p>
    <w:p w:rsidR="002467A8" w:rsidRDefault="002467A8" w:rsidP="00220C7C">
      <w:pPr>
        <w:pStyle w:val="Heading2"/>
      </w:pPr>
      <w:bookmarkStart w:id="100" w:name="_Toc462413625"/>
      <w:bookmarkStart w:id="101" w:name="_Toc462582179"/>
      <w:r>
        <w:t>Modelling Demand</w:t>
      </w:r>
      <w:bookmarkEnd w:id="100"/>
      <w:bookmarkEnd w:id="101"/>
    </w:p>
    <w:p w:rsidR="005F437B" w:rsidRPr="004C33D1" w:rsidRDefault="0034075A" w:rsidP="005F437B">
      <w:r>
        <w:t>I</w:t>
      </w:r>
      <w:r w:rsidR="005F437B" w:rsidRPr="004C33D1">
        <w:t xml:space="preserve">ndicators </w:t>
      </w:r>
      <w:r>
        <w:t xml:space="preserve">alone </w:t>
      </w:r>
      <w:r w:rsidR="005F437B" w:rsidRPr="004C33D1">
        <w:t xml:space="preserve">do not provide a complete picture of supply-demand imbalances. </w:t>
      </w:r>
      <w:r w:rsidR="005F437B">
        <w:t>This requires a predictive model that estimates the response of demand to price (</w:t>
      </w:r>
      <w:r w:rsidR="005F437B">
        <w:fldChar w:fldCharType="begin"/>
      </w:r>
      <w:r w:rsidR="005F437B">
        <w:instrText xml:space="preserve"> REF _Ref457291517 \h </w:instrText>
      </w:r>
      <w:r w:rsidR="005F437B">
        <w:fldChar w:fldCharType="separate"/>
      </w:r>
      <w:r w:rsidR="004D1DDA" w:rsidRPr="004C33D1">
        <w:t xml:space="preserve">Figure </w:t>
      </w:r>
      <w:r w:rsidR="004D1DDA">
        <w:rPr>
          <w:noProof/>
        </w:rPr>
        <w:t>2</w:t>
      </w:r>
      <w:r w:rsidR="005F437B">
        <w:fldChar w:fldCharType="end"/>
      </w:r>
      <w:r w:rsidR="005F437B">
        <w:t>)</w:t>
      </w:r>
      <w:r w:rsidR="005F437B" w:rsidRPr="004C33D1">
        <w:t xml:space="preserve">. </w:t>
      </w:r>
      <w:r>
        <w:t>Ideally, a</w:t>
      </w:r>
      <w:r w:rsidR="005F437B" w:rsidRPr="004C33D1">
        <w:t xml:space="preserve">ssessments of demand-supply balance </w:t>
      </w:r>
      <w:proofErr w:type="gramStart"/>
      <w:r w:rsidR="005F437B" w:rsidRPr="004C33D1">
        <w:t>would be undertaken</w:t>
      </w:r>
      <w:proofErr w:type="gramEnd"/>
      <w:r w:rsidR="005F437B" w:rsidRPr="004C33D1">
        <w:t xml:space="preserve"> at a price level consistent with optimal land allocation, ie the marginal social cost of supply. This would</w:t>
      </w:r>
      <w:r>
        <w:t xml:space="preserve"> require economic modelling </w:t>
      </w:r>
      <w:proofErr w:type="gramStart"/>
      <w:r>
        <w:t>of</w:t>
      </w:r>
      <w:proofErr w:type="gramEnd"/>
      <w:r>
        <w:t>:</w:t>
      </w:r>
    </w:p>
    <w:p w:rsidR="005F437B" w:rsidRPr="004C33D1" w:rsidRDefault="005F437B" w:rsidP="005F437B">
      <w:pPr>
        <w:pStyle w:val="ListParagraph"/>
        <w:numPr>
          <w:ilvl w:val="0"/>
          <w:numId w:val="40"/>
        </w:numPr>
      </w:pPr>
      <w:r w:rsidRPr="004C33D1">
        <w:t>the elasticity of demand with respect to price; and</w:t>
      </w:r>
    </w:p>
    <w:p w:rsidR="005F437B" w:rsidRPr="004C33D1" w:rsidRDefault="005F437B" w:rsidP="005F437B">
      <w:pPr>
        <w:pStyle w:val="ListParagraph"/>
        <w:numPr>
          <w:ilvl w:val="0"/>
          <w:numId w:val="40"/>
        </w:numPr>
      </w:pPr>
      <w:proofErr w:type="gramStart"/>
      <w:r w:rsidRPr="004C33D1">
        <w:t>the</w:t>
      </w:r>
      <w:proofErr w:type="gramEnd"/>
      <w:r w:rsidRPr="004C33D1">
        <w:t xml:space="preserve"> marginal social cost of supply, ie the efficient price in a competitive market.</w:t>
      </w:r>
      <w:r w:rsidRPr="004C33D1">
        <w:br/>
      </w:r>
    </w:p>
    <w:p w:rsidR="005F437B" w:rsidRPr="004C33D1" w:rsidRDefault="005F437B" w:rsidP="005F437B">
      <w:pPr>
        <w:spacing w:line="240" w:lineRule="auto"/>
      </w:pPr>
      <w:r w:rsidRPr="004C33D1">
        <w:t xml:space="preserve">A more sophisticated analysis could identify how some demand for housing in major urban areas has been rationed out of the market to other locations, to </w:t>
      </w:r>
      <w:proofErr w:type="gramStart"/>
      <w:r w:rsidRPr="004C33D1">
        <w:t>more crowded houses</w:t>
      </w:r>
      <w:proofErr w:type="gramEnd"/>
      <w:r w:rsidRPr="004C33D1">
        <w:t xml:space="preserve"> or to rental accommodation. However, although these indicators are incomplete, they are complementary to the indicators of efficient pricing discussed in Section </w:t>
      </w:r>
      <w:r w:rsidRPr="004C33D1">
        <w:fldChar w:fldCharType="begin"/>
      </w:r>
      <w:r w:rsidRPr="004C33D1">
        <w:instrText xml:space="preserve"> REF _Ref456274753 \n \h </w:instrText>
      </w:r>
      <w:r w:rsidRPr="004C33D1">
        <w:fldChar w:fldCharType="separate"/>
      </w:r>
      <w:r w:rsidR="004D1DDA">
        <w:t>6</w:t>
      </w:r>
      <w:r w:rsidRPr="004C33D1">
        <w:fldChar w:fldCharType="end"/>
      </w:r>
      <w:r w:rsidRPr="004C33D1">
        <w:t xml:space="preserve">, which aim to identify cases in which a shortfall of development capacity is pushing up prices above the level that </w:t>
      </w:r>
      <w:proofErr w:type="gramStart"/>
      <w:r w:rsidRPr="004C33D1">
        <w:t>would be expected</w:t>
      </w:r>
      <w:proofErr w:type="gramEnd"/>
      <w:r w:rsidRPr="004C33D1">
        <w:t xml:space="preserve"> in a competitive (wellbeing-maximising) market.</w:t>
      </w:r>
    </w:p>
    <w:p w:rsidR="009C3600" w:rsidRDefault="005F437B" w:rsidP="009C3600">
      <w:r>
        <w:lastRenderedPageBreak/>
        <w:t>Current h</w:t>
      </w:r>
      <w:r w:rsidR="002467A8">
        <w:t xml:space="preserve">ousing demand </w:t>
      </w:r>
      <w:r w:rsidR="009C3600">
        <w:t>projections</w:t>
      </w:r>
      <w:r w:rsidR="002467A8">
        <w:t xml:space="preserve"> </w:t>
      </w:r>
      <w:r w:rsidR="009C3600">
        <w:t xml:space="preserve">often </w:t>
      </w:r>
      <w:r w:rsidR="002467A8">
        <w:t>estimate demand simplistically, eg using population growth.</w:t>
      </w:r>
      <w:r w:rsidR="009C3600">
        <w:rPr>
          <w:rStyle w:val="FootnoteReference"/>
        </w:rPr>
        <w:footnoteReference w:id="49"/>
      </w:r>
      <w:r w:rsidR="002467A8">
        <w:t xml:space="preserve"> </w:t>
      </w:r>
      <w:r w:rsidR="009C3600">
        <w:t>Some councils estimate growth by different household types</w:t>
      </w:r>
      <w:r w:rsidR="009C3600">
        <w:rPr>
          <w:rStyle w:val="FootnoteReference"/>
        </w:rPr>
        <w:footnoteReference w:id="50"/>
      </w:r>
      <w:r w:rsidR="009C3600">
        <w:t xml:space="preserve"> and allocate these to different dwelling types using preference assumptions based on historic data, international trends or recent research.</w:t>
      </w:r>
      <w:r w:rsidR="009C3600">
        <w:rPr>
          <w:rStyle w:val="FootnoteReference"/>
        </w:rPr>
        <w:footnoteReference w:id="51"/>
      </w:r>
      <w:r w:rsidR="009C3600">
        <w:t xml:space="preserve"> </w:t>
      </w:r>
    </w:p>
    <w:p w:rsidR="009C3600" w:rsidRDefault="009C3600" w:rsidP="002467A8"/>
    <w:p w:rsidR="00E31755" w:rsidRDefault="00E31755" w:rsidP="00E31755">
      <w:r>
        <w:t>However, these models tend to assume that future demand will be a reflection of demand at current inflated prices (where relevant), eg future demand is equal to expected population growth times current average household occupancy rate. More sophisticated approaches use hedonic methods</w:t>
      </w:r>
      <w:r>
        <w:rPr>
          <w:rStyle w:val="FootnoteReference"/>
        </w:rPr>
        <w:footnoteReference w:id="52"/>
      </w:r>
      <w:r>
        <w:t xml:space="preserve"> to estimate the current structure of prices for different types of property (apartments, compact houses, large houses with gardens), with different characteristics, in different locations. In general, higher prices in some locations reflect higher demand for property in those areas.</w:t>
      </w:r>
      <w:r>
        <w:rPr>
          <w:rStyle w:val="FootnoteReference"/>
        </w:rPr>
        <w:footnoteReference w:id="53"/>
      </w:r>
    </w:p>
    <w:p w:rsidR="00E31755" w:rsidRDefault="00E31755" w:rsidP="00E31755"/>
    <w:p w:rsidR="00E31755" w:rsidRDefault="00E31755" w:rsidP="00E31755">
      <w:r>
        <w:t xml:space="preserve">Econometric techniques </w:t>
      </w:r>
      <w:proofErr w:type="gramStart"/>
      <w:r>
        <w:t>can be used</w:t>
      </w:r>
      <w:proofErr w:type="gramEnd"/>
      <w:r>
        <w:t xml:space="preserve"> to estimate how demand and consumer utility may respond to changes in factors that include:</w:t>
      </w:r>
      <w:r>
        <w:rPr>
          <w:rStyle w:val="FootnoteReference"/>
        </w:rPr>
        <w:footnoteReference w:id="54"/>
      </w:r>
      <w:r>
        <w:t xml:space="preserve"> </w:t>
      </w:r>
    </w:p>
    <w:p w:rsidR="00E31755" w:rsidRDefault="00E31755" w:rsidP="006277DC">
      <w:pPr>
        <w:pStyle w:val="ListParagraph"/>
        <w:numPr>
          <w:ilvl w:val="0"/>
          <w:numId w:val="76"/>
        </w:numPr>
      </w:pPr>
      <w:r>
        <w:t>changes to planning policies, eg to allow more land to be reallocated between uses;</w:t>
      </w:r>
      <w:r>
        <w:rPr>
          <w:rStyle w:val="FootnoteReference"/>
        </w:rPr>
        <w:footnoteReference w:id="55"/>
      </w:r>
    </w:p>
    <w:p w:rsidR="00E31755" w:rsidRDefault="00E31755" w:rsidP="006277DC">
      <w:pPr>
        <w:pStyle w:val="ListParagraph"/>
        <w:numPr>
          <w:ilvl w:val="0"/>
          <w:numId w:val="75"/>
        </w:numPr>
      </w:pPr>
      <w:r>
        <w:t>population changes, including changes in age structure and desired household size (which will change with housing costs, but might also reflect demographic issues);</w:t>
      </w:r>
    </w:p>
    <w:p w:rsidR="00E31755" w:rsidRDefault="00E31755" w:rsidP="006277DC">
      <w:pPr>
        <w:pStyle w:val="ListParagraph"/>
        <w:numPr>
          <w:ilvl w:val="0"/>
          <w:numId w:val="75"/>
        </w:numPr>
      </w:pPr>
      <w:r>
        <w:t>income (including the relationship between income and demand for housing type and size); and</w:t>
      </w:r>
    </w:p>
    <w:p w:rsidR="00E31755" w:rsidRDefault="00E31755" w:rsidP="006277DC">
      <w:pPr>
        <w:pStyle w:val="ListParagraph"/>
        <w:numPr>
          <w:ilvl w:val="0"/>
          <w:numId w:val="75"/>
        </w:numPr>
      </w:pPr>
      <w:proofErr w:type="gramStart"/>
      <w:r>
        <w:t>costs</w:t>
      </w:r>
      <w:proofErr w:type="gramEnd"/>
      <w:r>
        <w:t xml:space="preserve"> of ownership based on interest rates and deposit requirements.</w:t>
      </w:r>
    </w:p>
    <w:p w:rsidR="002467A8" w:rsidRDefault="002467A8" w:rsidP="002467A8"/>
    <w:p w:rsidR="005A3084" w:rsidRDefault="00A77A71" w:rsidP="002467A8">
      <w:r>
        <w:t>In the absence of sophisticated mode</w:t>
      </w:r>
      <w:r w:rsidR="00EC583B">
        <w:t>ls, information on some of the key</w:t>
      </w:r>
      <w:r>
        <w:t xml:space="preserve"> factors can be used to adjust current demand estimates upwards or downwards</w:t>
      </w:r>
      <w:r w:rsidR="00A71086">
        <w:t xml:space="preserve"> (</w:t>
      </w:r>
      <w:r w:rsidR="00A91E09">
        <w:fldChar w:fldCharType="begin"/>
      </w:r>
      <w:r w:rsidR="00A91E09">
        <w:instrText xml:space="preserve"> REF _Ref458413688 \h </w:instrText>
      </w:r>
      <w:r w:rsidR="00A91E09">
        <w:fldChar w:fldCharType="separate"/>
      </w:r>
      <w:r w:rsidR="004D1DDA">
        <w:t xml:space="preserve">Table </w:t>
      </w:r>
      <w:r w:rsidR="004D1DDA">
        <w:rPr>
          <w:noProof/>
        </w:rPr>
        <w:t>4</w:t>
      </w:r>
      <w:r w:rsidR="00A91E09">
        <w:fldChar w:fldCharType="end"/>
      </w:r>
      <w:r w:rsidR="00A71086">
        <w:t>)</w:t>
      </w:r>
      <w:r>
        <w:t>.</w:t>
      </w:r>
      <w:r w:rsidR="0034075A">
        <w:t xml:space="preserve"> This includes estimating:</w:t>
      </w:r>
    </w:p>
    <w:p w:rsidR="00EC583B" w:rsidRDefault="00EC583B" w:rsidP="006277DC">
      <w:pPr>
        <w:pStyle w:val="ListParagraph"/>
        <w:numPr>
          <w:ilvl w:val="0"/>
          <w:numId w:val="77"/>
        </w:numPr>
      </w:pPr>
      <w:r>
        <w:t>un-met demand within the current population;</w:t>
      </w:r>
    </w:p>
    <w:p w:rsidR="00EC583B" w:rsidRDefault="00EC583B" w:rsidP="006277DC">
      <w:pPr>
        <w:pStyle w:val="ListParagraph"/>
        <w:numPr>
          <w:ilvl w:val="0"/>
          <w:numId w:val="77"/>
        </w:numPr>
      </w:pPr>
      <w:r>
        <w:t>demand from expected population growth; and</w:t>
      </w:r>
    </w:p>
    <w:p w:rsidR="00EC583B" w:rsidRDefault="00EC583B" w:rsidP="006277DC">
      <w:pPr>
        <w:pStyle w:val="ListParagraph"/>
        <w:numPr>
          <w:ilvl w:val="0"/>
          <w:numId w:val="77"/>
        </w:numPr>
      </w:pPr>
      <w:proofErr w:type="gramStart"/>
      <w:r>
        <w:t>demand</w:t>
      </w:r>
      <w:proofErr w:type="gramEnd"/>
      <w:r>
        <w:t xml:space="preserve"> from population who would move from elsewhere if prices were lower.</w:t>
      </w:r>
    </w:p>
    <w:p w:rsidR="005A3084" w:rsidRDefault="005A3084" w:rsidP="005A3084">
      <w:bookmarkStart w:id="102" w:name="_Ref458079945"/>
    </w:p>
    <w:p w:rsidR="00A91E09" w:rsidRDefault="005A3084" w:rsidP="005A3084">
      <w:r>
        <w:lastRenderedPageBreak/>
        <w:t xml:space="preserve">Some </w:t>
      </w:r>
      <w:proofErr w:type="gramStart"/>
      <w:r>
        <w:t>councils</w:t>
      </w:r>
      <w:proofErr w:type="gramEnd"/>
      <w:r>
        <w:t xml:space="preserve"> effectively take some of these factors into account by using high population growth scenarios.</w:t>
      </w:r>
      <w:r>
        <w:rPr>
          <w:rStyle w:val="FootnoteReference"/>
        </w:rPr>
        <w:footnoteReference w:id="56"/>
      </w:r>
      <w:r w:rsidR="00EF2624">
        <w:t xml:space="preserve"> </w:t>
      </w:r>
    </w:p>
    <w:p w:rsidR="00A91E09" w:rsidRPr="00A91E09" w:rsidRDefault="00A91E09" w:rsidP="00E02811">
      <w:pPr>
        <w:pStyle w:val="Caption"/>
      </w:pPr>
      <w:bookmarkStart w:id="103" w:name="_Ref458413688"/>
      <w:bookmarkEnd w:id="102"/>
      <w:r>
        <w:t xml:space="preserve">Table </w:t>
      </w:r>
      <w:r>
        <w:fldChar w:fldCharType="begin"/>
      </w:r>
      <w:r>
        <w:instrText xml:space="preserve"> SEQ Table \* ARABIC </w:instrText>
      </w:r>
      <w:r>
        <w:fldChar w:fldCharType="separate"/>
      </w:r>
      <w:r w:rsidR="004D1DDA">
        <w:rPr>
          <w:noProof/>
        </w:rPr>
        <w:t>4</w:t>
      </w:r>
      <w:r>
        <w:fldChar w:fldCharType="end"/>
      </w:r>
      <w:bookmarkEnd w:id="103"/>
      <w:r>
        <w:t xml:space="preserve"> </w:t>
      </w:r>
      <w:r w:rsidRPr="00C674FE">
        <w:t>Factors affecting housing demand estimates</w:t>
      </w:r>
    </w:p>
    <w:tbl>
      <w:tblPr>
        <w:tblStyle w:val="CovecTables"/>
        <w:tblW w:w="0" w:type="auto"/>
        <w:tblLook w:val="04E0" w:firstRow="1" w:lastRow="1" w:firstColumn="1" w:lastColumn="0" w:noHBand="0" w:noVBand="1"/>
      </w:tblPr>
      <w:tblGrid>
        <w:gridCol w:w="1305"/>
        <w:gridCol w:w="2551"/>
        <w:gridCol w:w="4252"/>
      </w:tblGrid>
      <w:tr w:rsidR="00A949F3" w:rsidTr="00A710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05" w:type="dxa"/>
            <w:vAlign w:val="top"/>
          </w:tcPr>
          <w:p w:rsidR="00A949F3" w:rsidRDefault="00A949F3" w:rsidP="00A77A71">
            <w:pPr>
              <w:pStyle w:val="TableText"/>
            </w:pPr>
            <w:r>
              <w:t>Factor</w:t>
            </w:r>
          </w:p>
        </w:tc>
        <w:tc>
          <w:tcPr>
            <w:tcW w:w="2551" w:type="dxa"/>
          </w:tcPr>
          <w:p w:rsidR="00A949F3" w:rsidRDefault="00A949F3" w:rsidP="00A949F3">
            <w:pPr>
              <w:pStyle w:val="TableText"/>
              <w:jc w:val="left"/>
              <w:cnfStyle w:val="100000000000" w:firstRow="1" w:lastRow="0" w:firstColumn="0" w:lastColumn="0" w:oddVBand="0" w:evenVBand="0" w:oddHBand="0" w:evenHBand="0" w:firstRowFirstColumn="0" w:firstRowLastColumn="0" w:lastRowFirstColumn="0" w:lastRowLastColumn="0"/>
            </w:pPr>
            <w:r>
              <w:t>Description</w:t>
            </w:r>
          </w:p>
        </w:tc>
        <w:tc>
          <w:tcPr>
            <w:tcW w:w="4252" w:type="dxa"/>
            <w:vAlign w:val="top"/>
          </w:tcPr>
          <w:p w:rsidR="00A949F3" w:rsidRDefault="00A71086" w:rsidP="00A71086">
            <w:pPr>
              <w:pStyle w:val="TableText"/>
              <w:jc w:val="left"/>
              <w:cnfStyle w:val="100000000000" w:firstRow="1" w:lastRow="0" w:firstColumn="0" w:lastColumn="0" w:oddVBand="0" w:evenVBand="0" w:oddHBand="0" w:evenHBand="0" w:firstRowFirstColumn="0" w:firstRowLastColumn="0" w:lastRowFirstColumn="0" w:lastRowLastColumn="0"/>
            </w:pPr>
            <w:r>
              <w:t>Impacts on demand</w:t>
            </w:r>
          </w:p>
        </w:tc>
      </w:tr>
      <w:tr w:rsidR="001C1585" w:rsidTr="00A71086">
        <w:tblPrEx>
          <w:tblCellMar>
            <w:top w:w="0" w:type="dxa"/>
            <w:left w:w="0" w:type="dxa"/>
            <w:bottom w:w="0" w:type="dxa"/>
            <w:right w:w="0" w:type="dxa"/>
          </w:tblCellMar>
        </w:tblPrEx>
        <w:tc>
          <w:tcPr>
            <w:cnfStyle w:val="001000000000" w:firstRow="0" w:lastRow="0" w:firstColumn="1" w:lastColumn="0" w:oddVBand="0" w:evenVBand="0" w:oddHBand="0" w:evenHBand="0" w:firstRowFirstColumn="0" w:firstRowLastColumn="0" w:lastRowFirstColumn="0" w:lastRowLastColumn="0"/>
            <w:tcW w:w="1305" w:type="dxa"/>
            <w:tcBorders>
              <w:top w:val="single" w:sz="8" w:space="0" w:color="A6A6A6" w:themeColor="background1" w:themeShade="A6"/>
              <w:bottom w:val="single" w:sz="4" w:space="0" w:color="A6A6A6" w:themeColor="background1" w:themeShade="A6"/>
            </w:tcBorders>
            <w:vAlign w:val="top"/>
          </w:tcPr>
          <w:p w:rsidR="001C1585" w:rsidRDefault="001C1585" w:rsidP="001C1585">
            <w:pPr>
              <w:pStyle w:val="TableText"/>
            </w:pPr>
            <w:r>
              <w:t>High land price</w:t>
            </w:r>
          </w:p>
        </w:tc>
        <w:tc>
          <w:tcPr>
            <w:tcW w:w="2551" w:type="dxa"/>
            <w:tcBorders>
              <w:top w:val="single" w:sz="8" w:space="0" w:color="A6A6A6" w:themeColor="background1" w:themeShade="A6"/>
              <w:bottom w:val="single" w:sz="4" w:space="0" w:color="A6A6A6" w:themeColor="background1" w:themeShade="A6"/>
            </w:tcBorders>
            <w:vAlign w:val="top"/>
          </w:tcPr>
          <w:p w:rsidR="001C1585" w:rsidRDefault="001C1585" w:rsidP="001C1585">
            <w:pPr>
              <w:pStyle w:val="TableText"/>
              <w:jc w:val="left"/>
              <w:cnfStyle w:val="000000000000" w:firstRow="0" w:lastRow="0" w:firstColumn="0" w:lastColumn="0" w:oddVBand="0" w:evenVBand="0" w:oddHBand="0" w:evenHBand="0" w:firstRowFirstColumn="0" w:firstRowLastColumn="0" w:lastRowFirstColumn="0" w:lastRowLastColumn="0"/>
            </w:pPr>
            <w:r>
              <w:rPr>
                <w:lang w:val="en-US"/>
              </w:rPr>
              <w:t>Land prices &gt; efficient prices (see efficient price indicators)</w:t>
            </w:r>
          </w:p>
        </w:tc>
        <w:tc>
          <w:tcPr>
            <w:tcW w:w="4252" w:type="dxa"/>
            <w:tcBorders>
              <w:top w:val="single" w:sz="8" w:space="0" w:color="A6A6A6" w:themeColor="background1" w:themeShade="A6"/>
              <w:bottom w:val="single" w:sz="4" w:space="0" w:color="A6A6A6" w:themeColor="background1" w:themeShade="A6"/>
            </w:tcBorders>
            <w:vAlign w:val="top"/>
          </w:tcPr>
          <w:p w:rsidR="001C1585" w:rsidRDefault="00D06E02" w:rsidP="001C1585">
            <w:pPr>
              <w:pStyle w:val="TableText"/>
              <w:jc w:val="left"/>
              <w:cnfStyle w:val="000000000000" w:firstRow="0" w:lastRow="0" w:firstColumn="0" w:lastColumn="0" w:oddVBand="0" w:evenVBand="0" w:oddHBand="0" w:evenHBand="0" w:firstRowFirstColumn="0" w:firstRowLastColumn="0" w:lastRowFirstColumn="0" w:lastRowLastColumn="0"/>
            </w:pPr>
            <w:r>
              <w:rPr>
                <w:lang w:val="en-US"/>
              </w:rPr>
              <w:t>D</w:t>
            </w:r>
            <w:r w:rsidR="001C1585">
              <w:rPr>
                <w:lang w:val="en-US"/>
              </w:rPr>
              <w:t xml:space="preserve">emand </w:t>
            </w:r>
            <w:r w:rsidR="008F76C9">
              <w:rPr>
                <w:lang w:val="en-US"/>
              </w:rPr>
              <w:t xml:space="preserve">estimates </w:t>
            </w:r>
            <w:r w:rsidR="001C1585">
              <w:rPr>
                <w:lang w:val="en-US"/>
              </w:rPr>
              <w:t>should be adjusted upwards to reflect the impacts of price on demand</w:t>
            </w:r>
          </w:p>
        </w:tc>
      </w:tr>
      <w:tr w:rsidR="001C1585" w:rsidTr="00A71086">
        <w:tblPrEx>
          <w:tblCellMar>
            <w:top w:w="0" w:type="dxa"/>
            <w:left w:w="0" w:type="dxa"/>
            <w:bottom w:w="0" w:type="dxa"/>
            <w:right w:w="0" w:type="dxa"/>
          </w:tblCellMar>
        </w:tblPrEx>
        <w:tc>
          <w:tcPr>
            <w:cnfStyle w:val="001000000000" w:firstRow="0" w:lastRow="0" w:firstColumn="1" w:lastColumn="0" w:oddVBand="0" w:evenVBand="0" w:oddHBand="0" w:evenHBand="0" w:firstRowFirstColumn="0" w:firstRowLastColumn="0" w:lastRowFirstColumn="0" w:lastRowLastColumn="0"/>
            <w:tcW w:w="1305" w:type="dxa"/>
            <w:tcBorders>
              <w:top w:val="single" w:sz="4" w:space="0" w:color="A6A6A6" w:themeColor="background1" w:themeShade="A6"/>
            </w:tcBorders>
            <w:vAlign w:val="top"/>
          </w:tcPr>
          <w:p w:rsidR="001C1585" w:rsidRDefault="001C1585" w:rsidP="001C1585">
            <w:pPr>
              <w:pStyle w:val="TableText"/>
            </w:pPr>
            <w:r>
              <w:t>Population</w:t>
            </w:r>
            <w:r w:rsidR="00EC583B">
              <w:t xml:space="preserve"> and demography</w:t>
            </w:r>
          </w:p>
        </w:tc>
        <w:tc>
          <w:tcPr>
            <w:tcW w:w="2551" w:type="dxa"/>
            <w:tcBorders>
              <w:top w:val="single" w:sz="4" w:space="0" w:color="A6A6A6" w:themeColor="background1" w:themeShade="A6"/>
              <w:bottom w:val="single" w:sz="4" w:space="0" w:color="A6A6A6" w:themeColor="background1" w:themeShade="A6"/>
            </w:tcBorders>
            <w:vAlign w:val="top"/>
          </w:tcPr>
          <w:p w:rsidR="001C1585" w:rsidRDefault="001C1585" w:rsidP="001C1585">
            <w:pPr>
              <w:pStyle w:val="TableText"/>
              <w:jc w:val="left"/>
              <w:cnfStyle w:val="000000000000" w:firstRow="0" w:lastRow="0" w:firstColumn="0" w:lastColumn="0" w:oddVBand="0" w:evenVBand="0" w:oddHBand="0" w:evenHBand="0" w:firstRowFirstColumn="0" w:firstRowLastColumn="0" w:lastRowFirstColumn="0" w:lastRowLastColumn="0"/>
            </w:pPr>
            <w:r>
              <w:rPr>
                <w:lang w:val="en-US"/>
              </w:rPr>
              <w:t>Increasing</w:t>
            </w:r>
            <w:r w:rsidR="00EC583B">
              <w:rPr>
                <w:lang w:val="en-US"/>
              </w:rPr>
              <w:t xml:space="preserve"> population</w:t>
            </w:r>
          </w:p>
        </w:tc>
        <w:tc>
          <w:tcPr>
            <w:tcW w:w="4252" w:type="dxa"/>
            <w:tcBorders>
              <w:top w:val="single" w:sz="4" w:space="0" w:color="A6A6A6" w:themeColor="background1" w:themeShade="A6"/>
              <w:bottom w:val="single" w:sz="4" w:space="0" w:color="A6A6A6" w:themeColor="background1" w:themeShade="A6"/>
            </w:tcBorders>
            <w:vAlign w:val="top"/>
          </w:tcPr>
          <w:p w:rsidR="001C1585" w:rsidRDefault="00D06E02" w:rsidP="001C1585">
            <w:pPr>
              <w:pStyle w:val="TableText"/>
              <w:jc w:val="left"/>
              <w:cnfStyle w:val="000000000000" w:firstRow="0" w:lastRow="0" w:firstColumn="0" w:lastColumn="0" w:oddVBand="0" w:evenVBand="0" w:oddHBand="0" w:evenHBand="0" w:firstRowFirstColumn="0" w:firstRowLastColumn="0" w:lastRowFirstColumn="0" w:lastRowLastColumn="0"/>
            </w:pPr>
            <w:r>
              <w:rPr>
                <w:lang w:val="en-US"/>
              </w:rPr>
              <w:t>E</w:t>
            </w:r>
            <w:r w:rsidR="001C1585">
              <w:rPr>
                <w:lang w:val="en-US"/>
              </w:rPr>
              <w:t>stimated demand increase should be at least as much as growth in population divided by current average people per property (</w:t>
            </w:r>
            <w:r>
              <w:rPr>
                <w:lang w:val="en-US"/>
              </w:rPr>
              <w:t xml:space="preserve">should be </w:t>
            </w:r>
            <w:r w:rsidR="001C1585">
              <w:rPr>
                <w:lang w:val="en-US"/>
              </w:rPr>
              <w:t>adjusted by other factors in this table)</w:t>
            </w:r>
          </w:p>
        </w:tc>
      </w:tr>
      <w:tr w:rsidR="001C1585" w:rsidTr="00A71086">
        <w:tblPrEx>
          <w:tblCellMar>
            <w:top w:w="0" w:type="dxa"/>
            <w:left w:w="0" w:type="dxa"/>
            <w:bottom w:w="0" w:type="dxa"/>
            <w:right w:w="0" w:type="dxa"/>
          </w:tblCellMar>
        </w:tblPrEx>
        <w:tc>
          <w:tcPr>
            <w:cnfStyle w:val="001000000000" w:firstRow="0" w:lastRow="0" w:firstColumn="1" w:lastColumn="0" w:oddVBand="0" w:evenVBand="0" w:oddHBand="0" w:evenHBand="0" w:firstRowFirstColumn="0" w:firstRowLastColumn="0" w:lastRowFirstColumn="0" w:lastRowLastColumn="0"/>
            <w:tcW w:w="1305" w:type="dxa"/>
            <w:vAlign w:val="top"/>
          </w:tcPr>
          <w:p w:rsidR="001C1585" w:rsidRDefault="001C1585" w:rsidP="001C1585">
            <w:pPr>
              <w:pStyle w:val="TableText"/>
            </w:pPr>
          </w:p>
        </w:tc>
        <w:tc>
          <w:tcPr>
            <w:tcW w:w="2551" w:type="dxa"/>
            <w:tcBorders>
              <w:top w:val="single" w:sz="4" w:space="0" w:color="A6A6A6" w:themeColor="background1" w:themeShade="A6"/>
              <w:bottom w:val="single" w:sz="4" w:space="0" w:color="A6A6A6" w:themeColor="background1" w:themeShade="A6"/>
            </w:tcBorders>
            <w:vAlign w:val="top"/>
          </w:tcPr>
          <w:p w:rsidR="001C1585" w:rsidRDefault="001C1585" w:rsidP="001C1585">
            <w:pPr>
              <w:pStyle w:val="TableText"/>
              <w:jc w:val="left"/>
              <w:cnfStyle w:val="000000000000" w:firstRow="0" w:lastRow="0" w:firstColumn="0" w:lastColumn="0" w:oddVBand="0" w:evenVBand="0" w:oddHBand="0" w:evenHBand="0" w:firstRowFirstColumn="0" w:firstRowLastColumn="0" w:lastRowFirstColumn="0" w:lastRowLastColumn="0"/>
            </w:pPr>
            <w:r>
              <w:rPr>
                <w:lang w:val="en-US"/>
              </w:rPr>
              <w:t>Aging</w:t>
            </w:r>
            <w:r w:rsidR="00A71086">
              <w:rPr>
                <w:lang w:val="en-US"/>
              </w:rPr>
              <w:t xml:space="preserve"> population</w:t>
            </w:r>
          </w:p>
        </w:tc>
        <w:tc>
          <w:tcPr>
            <w:tcW w:w="4252" w:type="dxa"/>
            <w:tcBorders>
              <w:top w:val="single" w:sz="4" w:space="0" w:color="A6A6A6" w:themeColor="background1" w:themeShade="A6"/>
              <w:bottom w:val="single" w:sz="4" w:space="0" w:color="A6A6A6" w:themeColor="background1" w:themeShade="A6"/>
            </w:tcBorders>
            <w:vAlign w:val="top"/>
          </w:tcPr>
          <w:p w:rsidR="001C1585" w:rsidRDefault="001C1585" w:rsidP="00E31755">
            <w:pPr>
              <w:pStyle w:val="TableText"/>
              <w:jc w:val="left"/>
              <w:cnfStyle w:val="000000000000" w:firstRow="0" w:lastRow="0" w:firstColumn="0" w:lastColumn="0" w:oddVBand="0" w:evenVBand="0" w:oddHBand="0" w:evenHBand="0" w:firstRowFirstColumn="0" w:firstRowLastColumn="0" w:lastRowFirstColumn="0" w:lastRowLastColumn="0"/>
            </w:pPr>
            <w:r>
              <w:rPr>
                <w:lang w:val="en-US"/>
              </w:rPr>
              <w:t xml:space="preserve">Smaller </w:t>
            </w:r>
            <w:r w:rsidR="00E31755">
              <w:rPr>
                <w:lang w:val="en-US"/>
              </w:rPr>
              <w:t>dwellings</w:t>
            </w:r>
          </w:p>
        </w:tc>
      </w:tr>
      <w:tr w:rsidR="003478C1" w:rsidTr="00A71086">
        <w:tblPrEx>
          <w:tblCellMar>
            <w:top w:w="0" w:type="dxa"/>
            <w:left w:w="0" w:type="dxa"/>
            <w:bottom w:w="0" w:type="dxa"/>
            <w:right w:w="0" w:type="dxa"/>
          </w:tblCellMar>
        </w:tblPrEx>
        <w:tc>
          <w:tcPr>
            <w:cnfStyle w:val="001000000000" w:firstRow="0" w:lastRow="0" w:firstColumn="1" w:lastColumn="0" w:oddVBand="0" w:evenVBand="0" w:oddHBand="0" w:evenHBand="0" w:firstRowFirstColumn="0" w:firstRowLastColumn="0" w:lastRowFirstColumn="0" w:lastRowLastColumn="0"/>
            <w:tcW w:w="1305" w:type="dxa"/>
            <w:tcBorders>
              <w:bottom w:val="single" w:sz="4" w:space="0" w:color="A6A6A6" w:themeColor="background1" w:themeShade="A6"/>
            </w:tcBorders>
            <w:vAlign w:val="top"/>
          </w:tcPr>
          <w:p w:rsidR="003478C1" w:rsidRDefault="003478C1" w:rsidP="003478C1">
            <w:pPr>
              <w:pStyle w:val="TableText"/>
            </w:pPr>
          </w:p>
        </w:tc>
        <w:tc>
          <w:tcPr>
            <w:tcW w:w="2551" w:type="dxa"/>
            <w:tcBorders>
              <w:top w:val="single" w:sz="4" w:space="0" w:color="A6A6A6" w:themeColor="background1" w:themeShade="A6"/>
              <w:bottom w:val="single" w:sz="4" w:space="0" w:color="A6A6A6" w:themeColor="background1" w:themeShade="A6"/>
            </w:tcBorders>
            <w:vAlign w:val="top"/>
          </w:tcPr>
          <w:p w:rsidR="003478C1" w:rsidRPr="003478C1" w:rsidRDefault="003478C1" w:rsidP="00EF2624">
            <w:pPr>
              <w:pStyle w:val="TableText"/>
              <w:jc w:val="left"/>
              <w:cnfStyle w:val="000000000000" w:firstRow="0" w:lastRow="0" w:firstColumn="0" w:lastColumn="0" w:oddVBand="0" w:evenVBand="0" w:oddHBand="0" w:evenHBand="0" w:firstRowFirstColumn="0" w:firstRowLastColumn="0" w:lastRowFirstColumn="0" w:lastRowLastColumn="0"/>
            </w:pPr>
            <w:r>
              <w:rPr>
                <w:lang w:val="en-US"/>
              </w:rPr>
              <w:t xml:space="preserve">Increasing demand for </w:t>
            </w:r>
            <w:r w:rsidR="006173FA">
              <w:rPr>
                <w:lang w:val="en-US"/>
              </w:rPr>
              <w:t xml:space="preserve">  </w:t>
            </w:r>
            <w:r>
              <w:rPr>
                <w:lang w:val="en-US"/>
              </w:rPr>
              <w:t>smaller</w:t>
            </w:r>
            <w:r w:rsidR="00EF2624">
              <w:rPr>
                <w:lang w:val="en-US"/>
              </w:rPr>
              <w:t>/larger</w:t>
            </w:r>
            <w:r>
              <w:rPr>
                <w:lang w:val="en-US"/>
              </w:rPr>
              <w:t xml:space="preserve"> house</w:t>
            </w:r>
            <w:r w:rsidR="00EF2624">
              <w:rPr>
                <w:lang w:val="en-US"/>
              </w:rPr>
              <w:t>s or house</w:t>
            </w:r>
            <w:r>
              <w:rPr>
                <w:lang w:val="en-US"/>
              </w:rPr>
              <w:t xml:space="preserve">holds (based on </w:t>
            </w:r>
            <w:r>
              <w:t>preferences and or demographic change)</w:t>
            </w:r>
          </w:p>
        </w:tc>
        <w:tc>
          <w:tcPr>
            <w:tcW w:w="4252" w:type="dxa"/>
            <w:tcBorders>
              <w:top w:val="single" w:sz="4" w:space="0" w:color="A6A6A6" w:themeColor="background1" w:themeShade="A6"/>
              <w:bottom w:val="single" w:sz="4" w:space="0" w:color="A6A6A6" w:themeColor="background1" w:themeShade="A6"/>
            </w:tcBorders>
            <w:vAlign w:val="top"/>
          </w:tcPr>
          <w:p w:rsidR="003478C1" w:rsidRDefault="006173FA" w:rsidP="00E31755">
            <w:pPr>
              <w:pStyle w:val="TableText"/>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Smaller</w:t>
            </w:r>
            <w:r w:rsidR="00EF2624">
              <w:rPr>
                <w:lang w:val="en-US"/>
              </w:rPr>
              <w:t>/larger</w:t>
            </w:r>
            <w:r>
              <w:rPr>
                <w:lang w:val="en-US"/>
              </w:rPr>
              <w:t xml:space="preserve"> </w:t>
            </w:r>
            <w:r w:rsidR="00E31755">
              <w:rPr>
                <w:lang w:val="en-US"/>
              </w:rPr>
              <w:t>dwellings</w:t>
            </w:r>
          </w:p>
        </w:tc>
      </w:tr>
      <w:tr w:rsidR="001C1585" w:rsidTr="00A71086">
        <w:tblPrEx>
          <w:tblCellMar>
            <w:top w:w="0" w:type="dxa"/>
            <w:left w:w="0" w:type="dxa"/>
            <w:bottom w:w="0" w:type="dxa"/>
            <w:right w:w="0" w:type="dxa"/>
          </w:tblCellMar>
        </w:tblPrEx>
        <w:tc>
          <w:tcPr>
            <w:cnfStyle w:val="001000000000" w:firstRow="0" w:lastRow="0" w:firstColumn="1" w:lastColumn="0" w:oddVBand="0" w:evenVBand="0" w:oddHBand="0" w:evenHBand="0" w:firstRowFirstColumn="0" w:firstRowLastColumn="0" w:lastRowFirstColumn="0" w:lastRowLastColumn="0"/>
            <w:tcW w:w="1305" w:type="dxa"/>
            <w:tcBorders>
              <w:top w:val="single" w:sz="4" w:space="0" w:color="A6A6A6" w:themeColor="background1" w:themeShade="A6"/>
              <w:bottom w:val="single" w:sz="4" w:space="0" w:color="A6A6A6" w:themeColor="background1" w:themeShade="A6"/>
            </w:tcBorders>
            <w:vAlign w:val="top"/>
          </w:tcPr>
          <w:p w:rsidR="001C1585" w:rsidRDefault="001C1585" w:rsidP="001C1585">
            <w:pPr>
              <w:pStyle w:val="TableText"/>
            </w:pPr>
            <w:r>
              <w:t>Income</w:t>
            </w:r>
          </w:p>
        </w:tc>
        <w:tc>
          <w:tcPr>
            <w:tcW w:w="2551" w:type="dxa"/>
            <w:tcBorders>
              <w:top w:val="single" w:sz="4" w:space="0" w:color="A6A6A6" w:themeColor="background1" w:themeShade="A6"/>
              <w:bottom w:val="single" w:sz="4" w:space="0" w:color="A6A6A6" w:themeColor="background1" w:themeShade="A6"/>
            </w:tcBorders>
            <w:vAlign w:val="top"/>
          </w:tcPr>
          <w:p w:rsidR="001C1585" w:rsidRDefault="001C1585" w:rsidP="001C1585">
            <w:pPr>
              <w:pStyle w:val="TableText"/>
              <w:jc w:val="left"/>
              <w:cnfStyle w:val="000000000000" w:firstRow="0" w:lastRow="0" w:firstColumn="0" w:lastColumn="0" w:oddVBand="0" w:evenVBand="0" w:oddHBand="0" w:evenHBand="0" w:firstRowFirstColumn="0" w:firstRowLastColumn="0" w:lastRowFirstColumn="0" w:lastRowLastColumn="0"/>
            </w:pPr>
            <w:r>
              <w:rPr>
                <w:lang w:val="en-US"/>
              </w:rPr>
              <w:t>Increasing income per capita (should be estimated by age group)</w:t>
            </w:r>
          </w:p>
        </w:tc>
        <w:tc>
          <w:tcPr>
            <w:tcW w:w="4252" w:type="dxa"/>
            <w:tcBorders>
              <w:top w:val="single" w:sz="4" w:space="0" w:color="A6A6A6" w:themeColor="background1" w:themeShade="A6"/>
              <w:bottom w:val="single" w:sz="4" w:space="0" w:color="A6A6A6" w:themeColor="background1" w:themeShade="A6"/>
            </w:tcBorders>
            <w:vAlign w:val="top"/>
          </w:tcPr>
          <w:p w:rsidR="001C1585" w:rsidRDefault="001C1585" w:rsidP="00E31755">
            <w:pPr>
              <w:pStyle w:val="TableText"/>
              <w:jc w:val="left"/>
              <w:cnfStyle w:val="000000000000" w:firstRow="0" w:lastRow="0" w:firstColumn="0" w:lastColumn="0" w:oddVBand="0" w:evenVBand="0" w:oddHBand="0" w:evenHBand="0" w:firstRowFirstColumn="0" w:firstRowLastColumn="0" w:lastRowFirstColumn="0" w:lastRowLastColumn="0"/>
            </w:pPr>
            <w:r>
              <w:rPr>
                <w:lang w:val="en-US"/>
              </w:rPr>
              <w:t xml:space="preserve">Larger </w:t>
            </w:r>
            <w:r w:rsidR="00E31755">
              <w:rPr>
                <w:lang w:val="en-US"/>
              </w:rPr>
              <w:t>dwellings</w:t>
            </w:r>
          </w:p>
        </w:tc>
      </w:tr>
      <w:tr w:rsidR="001C1585" w:rsidTr="00A71086">
        <w:tblPrEx>
          <w:tblCellMar>
            <w:top w:w="0" w:type="dxa"/>
            <w:left w:w="0" w:type="dxa"/>
            <w:bottom w:w="0" w:type="dxa"/>
            <w:right w:w="0" w:type="dxa"/>
          </w:tblCellMar>
        </w:tblPrEx>
        <w:tc>
          <w:tcPr>
            <w:cnfStyle w:val="001000000000" w:firstRow="0" w:lastRow="0" w:firstColumn="1" w:lastColumn="0" w:oddVBand="0" w:evenVBand="0" w:oddHBand="0" w:evenHBand="0" w:firstRowFirstColumn="0" w:firstRowLastColumn="0" w:lastRowFirstColumn="0" w:lastRowLastColumn="0"/>
            <w:tcW w:w="1305" w:type="dxa"/>
            <w:tcBorders>
              <w:top w:val="single" w:sz="4" w:space="0" w:color="A6A6A6" w:themeColor="background1" w:themeShade="A6"/>
            </w:tcBorders>
            <w:vAlign w:val="top"/>
          </w:tcPr>
          <w:p w:rsidR="001C1585" w:rsidRDefault="00A71086" w:rsidP="00A71086">
            <w:pPr>
              <w:pStyle w:val="TableText"/>
            </w:pPr>
            <w:r>
              <w:t>Costs of ownership</w:t>
            </w:r>
          </w:p>
        </w:tc>
        <w:tc>
          <w:tcPr>
            <w:tcW w:w="2551" w:type="dxa"/>
            <w:tcBorders>
              <w:top w:val="single" w:sz="4" w:space="0" w:color="A6A6A6" w:themeColor="background1" w:themeShade="A6"/>
              <w:bottom w:val="single" w:sz="4" w:space="0" w:color="A6A6A6" w:themeColor="background1" w:themeShade="A6"/>
            </w:tcBorders>
            <w:vAlign w:val="top"/>
          </w:tcPr>
          <w:p w:rsidR="001C1585" w:rsidRDefault="001C1585" w:rsidP="001C1585">
            <w:pPr>
              <w:pStyle w:val="TableText"/>
              <w:jc w:val="left"/>
              <w:cnfStyle w:val="000000000000" w:firstRow="0" w:lastRow="0" w:firstColumn="0" w:lastColumn="0" w:oddVBand="0" w:evenVBand="0" w:oddHBand="0" w:evenHBand="0" w:firstRowFirstColumn="0" w:firstRowLastColumn="0" w:lastRowFirstColumn="0" w:lastRowLastColumn="0"/>
            </w:pPr>
            <w:r>
              <w:rPr>
                <w:lang w:val="en-US"/>
              </w:rPr>
              <w:t>Decreasing</w:t>
            </w:r>
            <w:r w:rsidR="00A71086">
              <w:rPr>
                <w:lang w:val="en-US"/>
              </w:rPr>
              <w:t xml:space="preserve"> interest rates</w:t>
            </w:r>
          </w:p>
        </w:tc>
        <w:tc>
          <w:tcPr>
            <w:tcW w:w="4252" w:type="dxa"/>
            <w:tcBorders>
              <w:top w:val="single" w:sz="4" w:space="0" w:color="A6A6A6" w:themeColor="background1" w:themeShade="A6"/>
              <w:bottom w:val="single" w:sz="4" w:space="0" w:color="A6A6A6" w:themeColor="background1" w:themeShade="A6"/>
            </w:tcBorders>
            <w:vAlign w:val="top"/>
          </w:tcPr>
          <w:p w:rsidR="001C1585" w:rsidRDefault="005A22C7" w:rsidP="001C1585">
            <w:pPr>
              <w:pStyle w:val="TableText"/>
              <w:jc w:val="left"/>
              <w:cnfStyle w:val="000000000000" w:firstRow="0" w:lastRow="0" w:firstColumn="0" w:lastColumn="0" w:oddVBand="0" w:evenVBand="0" w:oddHBand="0" w:evenHBand="0" w:firstRowFirstColumn="0" w:firstRowLastColumn="0" w:lastRowFirstColumn="0" w:lastRowLastColumn="0"/>
            </w:pPr>
            <w:r>
              <w:rPr>
                <w:lang w:val="en-US"/>
              </w:rPr>
              <w:t>D</w:t>
            </w:r>
            <w:r w:rsidR="001C1585">
              <w:rPr>
                <w:lang w:val="en-US"/>
              </w:rPr>
              <w:t>ecreasing interest rates should result in increased total demand by increasing willingness to pay</w:t>
            </w:r>
          </w:p>
        </w:tc>
      </w:tr>
      <w:tr w:rsidR="00A949F3" w:rsidTr="00A71086">
        <w:tblPrEx>
          <w:tblCellMar>
            <w:top w:w="0" w:type="dxa"/>
            <w:left w:w="0" w:type="dxa"/>
            <w:bottom w:w="0" w:type="dxa"/>
            <w:right w:w="0"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305" w:type="dxa"/>
            <w:vAlign w:val="top"/>
          </w:tcPr>
          <w:p w:rsidR="00A949F3" w:rsidRDefault="00A949F3" w:rsidP="00A77A71">
            <w:pPr>
              <w:pStyle w:val="TableText"/>
            </w:pPr>
          </w:p>
        </w:tc>
        <w:tc>
          <w:tcPr>
            <w:tcW w:w="2551" w:type="dxa"/>
            <w:tcBorders>
              <w:top w:val="single" w:sz="4" w:space="0" w:color="A6A6A6" w:themeColor="background1" w:themeShade="A6"/>
            </w:tcBorders>
            <w:vAlign w:val="top"/>
          </w:tcPr>
          <w:p w:rsidR="00A949F3" w:rsidRDefault="00A71086" w:rsidP="00A71086">
            <w:pPr>
              <w:pStyle w:val="TableText"/>
              <w:jc w:val="left"/>
              <w:cnfStyle w:val="010000000000" w:firstRow="0" w:lastRow="1" w:firstColumn="0" w:lastColumn="0" w:oddVBand="0" w:evenVBand="0" w:oddHBand="0" w:evenHBand="0" w:firstRowFirstColumn="0" w:firstRowLastColumn="0" w:lastRowFirstColumn="0" w:lastRowLastColumn="0"/>
            </w:pPr>
            <w:r>
              <w:t>Increased deposit requirements</w:t>
            </w:r>
          </w:p>
        </w:tc>
        <w:tc>
          <w:tcPr>
            <w:tcW w:w="4252" w:type="dxa"/>
            <w:tcBorders>
              <w:top w:val="single" w:sz="4" w:space="0" w:color="A6A6A6" w:themeColor="background1" w:themeShade="A6"/>
            </w:tcBorders>
            <w:vAlign w:val="top"/>
          </w:tcPr>
          <w:p w:rsidR="00A949F3" w:rsidRDefault="005D39D4" w:rsidP="005D39D4">
            <w:pPr>
              <w:pStyle w:val="TableText"/>
              <w:jc w:val="left"/>
              <w:cnfStyle w:val="010000000000" w:firstRow="0" w:lastRow="1" w:firstColumn="0" w:lastColumn="0" w:oddVBand="0" w:evenVBand="0" w:oddHBand="0" w:evenHBand="0" w:firstRowFirstColumn="0" w:firstRowLastColumn="0" w:lastRowFirstColumn="0" w:lastRowLastColumn="0"/>
            </w:pPr>
            <w:r>
              <w:t>An i</w:t>
            </w:r>
            <w:r w:rsidR="005A22C7">
              <w:t>ncreased d</w:t>
            </w:r>
            <w:r>
              <w:t>eposit requirement</w:t>
            </w:r>
            <w:r w:rsidR="005A22C7">
              <w:t xml:space="preserve"> reduce</w:t>
            </w:r>
            <w:r>
              <w:t>s</w:t>
            </w:r>
            <w:r w:rsidR="005A22C7">
              <w:t xml:space="preserve"> the number of people who can enter the housing market. It reduces total demand</w:t>
            </w:r>
          </w:p>
        </w:tc>
      </w:tr>
    </w:tbl>
    <w:p w:rsidR="00A77A71" w:rsidRDefault="00A77A71" w:rsidP="002467A8"/>
    <w:p w:rsidR="0034075A" w:rsidRDefault="0034075A" w:rsidP="0034075A">
      <w:r>
        <w:t>Some of these factors have somewhat dynamic effects; they may result in shifts in the types of owners. For example, changes in deposit requirements may reduce demand from investors and result in some price falls, with an associated increase in owner-occupier purchases. However, total demand will be lower than before.</w:t>
      </w:r>
    </w:p>
    <w:p w:rsidR="0034075A" w:rsidRDefault="0034075A" w:rsidP="002467A8"/>
    <w:p w:rsidR="00313B16" w:rsidRDefault="005A22C7" w:rsidP="002467A8">
      <w:r>
        <w:t xml:space="preserve">The analysis of demand </w:t>
      </w:r>
      <w:proofErr w:type="gramStart"/>
      <w:r>
        <w:t>is further complicated</w:t>
      </w:r>
      <w:proofErr w:type="gramEnd"/>
      <w:r>
        <w:t xml:space="preserve"> by the interaction of demand for </w:t>
      </w:r>
      <w:r w:rsidR="00E31755">
        <w:t>dwellings</w:t>
      </w:r>
      <w:r>
        <w:t xml:space="preserve"> by owner-occupiers and demand for rental housing, including those who might supply rental housing as rental property owners.</w:t>
      </w:r>
    </w:p>
    <w:p w:rsidR="005A3084" w:rsidRDefault="005A3084" w:rsidP="002467A8"/>
    <w:p w:rsidR="005A22C7" w:rsidRDefault="005A22C7" w:rsidP="002467A8">
      <w:r>
        <w:t>Providing detailed a</w:t>
      </w:r>
      <w:r w:rsidR="005D39D4">
        <w:t>d</w:t>
      </w:r>
      <w:r>
        <w:t xml:space="preserve">vice on </w:t>
      </w:r>
      <w:r w:rsidR="005D39D4">
        <w:t xml:space="preserve">modelling demand is beyond the scope of this project. However, collecting </w:t>
      </w:r>
      <w:r w:rsidR="00874747">
        <w:t xml:space="preserve">and analysing </w:t>
      </w:r>
      <w:r w:rsidR="005D39D4">
        <w:t>additional data as noted in</w:t>
      </w:r>
      <w:r w:rsidR="00A91E09">
        <w:t xml:space="preserve"> </w:t>
      </w:r>
      <w:r w:rsidR="00A91E09">
        <w:fldChar w:fldCharType="begin"/>
      </w:r>
      <w:r w:rsidR="00A91E09">
        <w:instrText xml:space="preserve"> REF _Ref458413688 \h </w:instrText>
      </w:r>
      <w:r w:rsidR="00A91E09">
        <w:fldChar w:fldCharType="separate"/>
      </w:r>
      <w:r w:rsidR="004D1DDA">
        <w:t xml:space="preserve">Table </w:t>
      </w:r>
      <w:r w:rsidR="004D1DDA">
        <w:rPr>
          <w:noProof/>
        </w:rPr>
        <w:t>4</w:t>
      </w:r>
      <w:r w:rsidR="00A91E09">
        <w:fldChar w:fldCharType="end"/>
      </w:r>
      <w:r w:rsidR="006173FA">
        <w:t xml:space="preserve"> </w:t>
      </w:r>
      <w:r w:rsidR="005D39D4">
        <w:t xml:space="preserve">would </w:t>
      </w:r>
      <w:r w:rsidR="00874747">
        <w:t>be likely to improve demand estimates.</w:t>
      </w:r>
    </w:p>
    <w:p w:rsidR="00827E15" w:rsidRPr="004C33D1" w:rsidRDefault="00603283" w:rsidP="00220C7C">
      <w:pPr>
        <w:pStyle w:val="Heading2"/>
      </w:pPr>
      <w:bookmarkStart w:id="104" w:name="_Ref458417423"/>
      <w:bookmarkStart w:id="105" w:name="_Toc462413626"/>
      <w:bookmarkStart w:id="106" w:name="_Toc462582180"/>
      <w:r w:rsidRPr="004C33D1">
        <w:t>Ratios</w:t>
      </w:r>
      <w:r w:rsidR="00827E15" w:rsidRPr="004C33D1">
        <w:t xml:space="preserve"> of New Build</w:t>
      </w:r>
      <w:r w:rsidRPr="004C33D1">
        <w:t xml:space="preserve"> to Population Growth</w:t>
      </w:r>
      <w:bookmarkEnd w:id="104"/>
      <w:bookmarkEnd w:id="105"/>
      <w:bookmarkEnd w:id="106"/>
    </w:p>
    <w:p w:rsidR="00874747" w:rsidRDefault="00874747" w:rsidP="00874747">
      <w:r>
        <w:t xml:space="preserve">Estimating the change in the number of consented buildings in proportion to population growth </w:t>
      </w:r>
      <w:r w:rsidRPr="004C33D1">
        <w:t xml:space="preserve">is an unsophisticated analysis of supply-demand </w:t>
      </w:r>
      <w:proofErr w:type="gramStart"/>
      <w:r w:rsidRPr="004C33D1">
        <w:t>balance</w:t>
      </w:r>
      <w:proofErr w:type="gramEnd"/>
      <w:r w:rsidRPr="004C33D1">
        <w:t xml:space="preserve"> as it takes no account of price. However, it might provide a rough indication of whether supply is </w:t>
      </w:r>
      <w:r>
        <w:t xml:space="preserve">keeping up with </w:t>
      </w:r>
      <w:r w:rsidRPr="004C33D1">
        <w:t>population growth</w:t>
      </w:r>
      <w:r>
        <w:t xml:space="preserve"> and</w:t>
      </w:r>
      <w:r w:rsidR="00215144">
        <w:t>/or</w:t>
      </w:r>
      <w:r>
        <w:t xml:space="preserve"> if it is </w:t>
      </w:r>
      <w:r w:rsidR="00215144">
        <w:t>starting to address any historical under-supply</w:t>
      </w:r>
      <w:r w:rsidRPr="004C33D1">
        <w:t>.</w:t>
      </w:r>
    </w:p>
    <w:p w:rsidR="00874747" w:rsidRPr="004C33D1" w:rsidRDefault="00874747" w:rsidP="00874747"/>
    <w:p w:rsidR="00B152F7" w:rsidRPr="004C33D1" w:rsidRDefault="00B152F7" w:rsidP="00B152F7">
      <w:r w:rsidRPr="004C33D1">
        <w:t xml:space="preserve">Both population and building consent data are available from Statistics NZ at the territorial authority level. These data </w:t>
      </w:r>
      <w:proofErr w:type="gramStart"/>
      <w:r w:rsidRPr="004C33D1">
        <w:t>can be combined</w:t>
      </w:r>
      <w:proofErr w:type="gramEnd"/>
      <w:r w:rsidRPr="004C33D1">
        <w:t xml:space="preserve"> to measure the rate of consented residential development relative to an area’s population growth.</w:t>
      </w:r>
      <w:r w:rsidR="00215144">
        <w:rPr>
          <w:rStyle w:val="FootnoteReference"/>
        </w:rPr>
        <w:footnoteReference w:id="57"/>
      </w:r>
      <w:r w:rsidRPr="004C33D1">
        <w:t xml:space="preserve"> For example, we can calculate the ratio of the increase in population to the number of building consents </w:t>
      </w:r>
      <w:r w:rsidRPr="004C33D1">
        <w:lastRenderedPageBreak/>
        <w:t xml:space="preserve">issued per increase in a given year. Higher values indicate that an area’s population is increasing at a greater rate than that of new dwelling consents. This </w:t>
      </w:r>
      <w:proofErr w:type="gramStart"/>
      <w:r w:rsidRPr="004C33D1">
        <w:t xml:space="preserve">can be measured over time </w:t>
      </w:r>
      <w:r w:rsidR="00CC316E">
        <w:t xml:space="preserve">for an individual council area or compared </w:t>
      </w:r>
      <w:r w:rsidRPr="004C33D1">
        <w:t xml:space="preserve">between </w:t>
      </w:r>
      <w:r w:rsidR="00CC316E">
        <w:t>areas</w:t>
      </w:r>
      <w:proofErr w:type="gramEnd"/>
      <w:r w:rsidRPr="004C33D1">
        <w:t xml:space="preserve">. </w:t>
      </w:r>
    </w:p>
    <w:p w:rsidR="00827E15" w:rsidRPr="004C33D1" w:rsidRDefault="00827E15" w:rsidP="00827E15"/>
    <w:p w:rsidR="00827E15" w:rsidRPr="004C33D1" w:rsidRDefault="00827E15" w:rsidP="00827E15">
      <w:r w:rsidRPr="004C33D1">
        <w:fldChar w:fldCharType="begin"/>
      </w:r>
      <w:r w:rsidRPr="004C33D1">
        <w:instrText xml:space="preserve"> REF _Ref456267979 \h </w:instrText>
      </w:r>
      <w:r w:rsidRPr="004C33D1">
        <w:fldChar w:fldCharType="separate"/>
      </w:r>
      <w:r w:rsidR="004D1DDA" w:rsidRPr="004C33D1">
        <w:t xml:space="preserve">Figure </w:t>
      </w:r>
      <w:r w:rsidR="004D1DDA">
        <w:rPr>
          <w:noProof/>
        </w:rPr>
        <w:t>17</w:t>
      </w:r>
      <w:r w:rsidRPr="004C33D1">
        <w:fldChar w:fldCharType="end"/>
      </w:r>
      <w:r w:rsidRPr="004C33D1">
        <w:t xml:space="preserve"> shows a time series of population growth per new dwelling building consent from 2001 to 2015 for high growth territorial authorities. </w:t>
      </w:r>
      <w:r w:rsidR="00CC316E">
        <w:t xml:space="preserve">The data </w:t>
      </w:r>
      <w:proofErr w:type="gramStart"/>
      <w:r w:rsidR="00CC316E">
        <w:t>are presented</w:t>
      </w:r>
      <w:proofErr w:type="gramEnd"/>
      <w:r w:rsidR="00CC316E">
        <w:t xml:space="preserve"> this way around (rather than consents per population growth) for ease of comparison with average household size. The data are shown as a </w:t>
      </w:r>
      <w:proofErr w:type="gramStart"/>
      <w:r w:rsidR="00CC316E">
        <w:t>five year</w:t>
      </w:r>
      <w:proofErr w:type="gramEnd"/>
      <w:r w:rsidR="00CC316E">
        <w:t xml:space="preserve"> moving average because a</w:t>
      </w:r>
      <w:r w:rsidR="00CC316E" w:rsidRPr="004C33D1">
        <w:t xml:space="preserve">nnual fluctuations are not particularly meaningful, </w:t>
      </w:r>
      <w:r w:rsidR="00CC316E">
        <w:t>eg</w:t>
      </w:r>
      <w:r w:rsidR="00CC316E" w:rsidRPr="004C33D1">
        <w:t xml:space="preserve"> a population influx in one year might spur an increase in dwelling consents in the following year.</w:t>
      </w:r>
    </w:p>
    <w:p w:rsidR="00827E15" w:rsidRPr="004C33D1" w:rsidRDefault="00827E15" w:rsidP="00E02811">
      <w:pPr>
        <w:pStyle w:val="Caption"/>
      </w:pPr>
      <w:bookmarkStart w:id="107" w:name="_Ref456267979"/>
      <w:r w:rsidRPr="004C33D1">
        <w:t xml:space="preserve">Figure </w:t>
      </w:r>
      <w:r w:rsidRPr="004C33D1">
        <w:fldChar w:fldCharType="begin"/>
      </w:r>
      <w:r w:rsidRPr="004C33D1">
        <w:instrText xml:space="preserve"> SEQ Figure \* ARABIC </w:instrText>
      </w:r>
      <w:r w:rsidRPr="004C33D1">
        <w:fldChar w:fldCharType="separate"/>
      </w:r>
      <w:r w:rsidR="004D1DDA">
        <w:rPr>
          <w:noProof/>
        </w:rPr>
        <w:t>17</w:t>
      </w:r>
      <w:r w:rsidRPr="004C33D1">
        <w:fldChar w:fldCharType="end"/>
      </w:r>
      <w:bookmarkEnd w:id="107"/>
      <w:r w:rsidRPr="004C33D1">
        <w:t xml:space="preserve"> </w:t>
      </w:r>
      <w:r w:rsidR="00CC316E" w:rsidRPr="00CC316E">
        <w:t>Five year moving average of population growth per building consent for a new dwelling</w:t>
      </w:r>
    </w:p>
    <w:p w:rsidR="00827E15" w:rsidRPr="004C33D1" w:rsidRDefault="00CC316E" w:rsidP="00827E15">
      <w:pPr>
        <w:jc w:val="center"/>
      </w:pPr>
      <w:r w:rsidRPr="004C33D1">
        <w:rPr>
          <w:noProof/>
          <w:lang w:eastAsia="en-NZ"/>
        </w:rPr>
        <w:drawing>
          <wp:inline distT="0" distB="0" distL="0" distR="0" wp14:anchorId="206BC671" wp14:editId="61A89459">
            <wp:extent cx="4648976" cy="26098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93191" cy="2634671"/>
                    </a:xfrm>
                    <a:prstGeom prst="rect">
                      <a:avLst/>
                    </a:prstGeom>
                    <a:noFill/>
                    <a:ln>
                      <a:noFill/>
                    </a:ln>
                  </pic:spPr>
                </pic:pic>
              </a:graphicData>
            </a:graphic>
          </wp:inline>
        </w:drawing>
      </w:r>
    </w:p>
    <w:p w:rsidR="00827E15" w:rsidRPr="004C33D1" w:rsidRDefault="00827E15" w:rsidP="00E02811">
      <w:pPr>
        <w:pStyle w:val="Caption"/>
      </w:pPr>
      <w:r w:rsidRPr="004C33D1">
        <w:t xml:space="preserve">Source: Data retrieved from </w:t>
      </w:r>
      <w:proofErr w:type="spellStart"/>
      <w:r w:rsidRPr="004C33D1">
        <w:t>Infoshare</w:t>
      </w:r>
      <w:proofErr w:type="spellEnd"/>
      <w:r w:rsidRPr="004C33D1">
        <w:t>, Statistics NZ</w:t>
      </w:r>
    </w:p>
    <w:p w:rsidR="00CC316E" w:rsidRPr="004C33D1" w:rsidRDefault="00CC316E" w:rsidP="00CC316E">
      <w:r w:rsidRPr="004C33D1">
        <w:t xml:space="preserve">Areas represented in </w:t>
      </w:r>
      <w:r w:rsidRPr="004C33D1">
        <w:fldChar w:fldCharType="begin"/>
      </w:r>
      <w:r w:rsidRPr="004C33D1">
        <w:instrText xml:space="preserve"> REF _Ref456267979 \h </w:instrText>
      </w:r>
      <w:r w:rsidRPr="004C33D1">
        <w:fldChar w:fldCharType="separate"/>
      </w:r>
      <w:r w:rsidR="004D1DDA" w:rsidRPr="004C33D1">
        <w:t xml:space="preserve">Figure </w:t>
      </w:r>
      <w:r w:rsidR="004D1DDA">
        <w:rPr>
          <w:noProof/>
        </w:rPr>
        <w:t>17</w:t>
      </w:r>
      <w:r w:rsidRPr="004C33D1">
        <w:fldChar w:fldCharType="end"/>
      </w:r>
      <w:r w:rsidRPr="004C33D1">
        <w:t xml:space="preserve"> have averaged a 2-3 person increase in population </w:t>
      </w:r>
      <w:proofErr w:type="gramStart"/>
      <w:r w:rsidRPr="004C33D1">
        <w:t>for every building consent</w:t>
      </w:r>
      <w:proofErr w:type="gramEnd"/>
      <w:r w:rsidRPr="004C33D1">
        <w:t xml:space="preserve"> for a new dwelling. Given that the average New Zealand household size is 2.7 persons,</w:t>
      </w:r>
      <w:r w:rsidRPr="004C33D1">
        <w:rPr>
          <w:rStyle w:val="FootnoteReference"/>
        </w:rPr>
        <w:footnoteReference w:id="58"/>
      </w:r>
      <w:r w:rsidRPr="004C33D1">
        <w:t xml:space="preserve"> this may indicate that, in general, growing areas have kept up with their respective population growth over this period. However, </w:t>
      </w:r>
      <w:r w:rsidR="0034075A">
        <w:t xml:space="preserve">from approximately 2008, </w:t>
      </w:r>
      <w:r w:rsidRPr="004C33D1">
        <w:t xml:space="preserve">all areas except the Queenstown-Lakes District experienced more rapid population growth than dwelling growth. Values below zero, resulting from negative population growth, </w:t>
      </w:r>
      <w:proofErr w:type="gramStart"/>
      <w:r w:rsidRPr="004C33D1">
        <w:t>have been truncated</w:t>
      </w:r>
      <w:proofErr w:type="gramEnd"/>
      <w:r w:rsidRPr="004C33D1">
        <w:t xml:space="preserve"> from the chart. </w:t>
      </w:r>
    </w:p>
    <w:p w:rsidR="00CC316E" w:rsidRDefault="00CC316E" w:rsidP="00827E15"/>
    <w:p w:rsidR="00827E15" w:rsidRPr="004C33D1" w:rsidRDefault="00827E15" w:rsidP="00827E15">
      <w:r w:rsidRPr="004C33D1">
        <w:t xml:space="preserve">Auckland, Tauranga and Hamilton experienced a period of population growth with little response in housing supply. The recent downward trend for Auckland and Tauranga </w:t>
      </w:r>
      <w:r w:rsidR="00CC316E">
        <w:t xml:space="preserve">suggests that building levels are </w:t>
      </w:r>
      <w:r w:rsidRPr="004C33D1">
        <w:t>catch</w:t>
      </w:r>
      <w:r w:rsidR="00CC316E">
        <w:t>ing</w:t>
      </w:r>
      <w:r w:rsidRPr="004C33D1">
        <w:t xml:space="preserve"> up with the</w:t>
      </w:r>
      <w:r w:rsidR="00CC316E">
        <w:t xml:space="preserve"> </w:t>
      </w:r>
      <w:r w:rsidRPr="004C33D1">
        <w:t>growing populations</w:t>
      </w:r>
      <w:r w:rsidR="00CC316E">
        <w:t>.</w:t>
      </w:r>
      <w:r w:rsidR="00921E34">
        <w:t xml:space="preserve"> </w:t>
      </w:r>
      <w:r w:rsidRPr="004C33D1">
        <w:t>Hamilton’s ratio of population growth to new residential building consents has remained relatively high.</w:t>
      </w:r>
    </w:p>
    <w:p w:rsidR="00827E15" w:rsidRPr="004C33D1" w:rsidRDefault="00827E15" w:rsidP="00827E15"/>
    <w:p w:rsidR="0034075A" w:rsidRDefault="0034075A" w:rsidP="00821949"/>
    <w:p w:rsidR="00921E34" w:rsidRDefault="00821949" w:rsidP="00821949">
      <w:r w:rsidRPr="004C33D1">
        <w:lastRenderedPageBreak/>
        <w:t xml:space="preserve">A limitation of this measure is that it does not account for the different types or sizes of dwellings that are consented. </w:t>
      </w:r>
      <w:r w:rsidR="00921E34">
        <w:t xml:space="preserve">For example, consenting of one-bedroom apartments will not be providing as much residential capacity as three-bedroom houses but both </w:t>
      </w:r>
      <w:proofErr w:type="gramStart"/>
      <w:r w:rsidR="00921E34">
        <w:t>are registered</w:t>
      </w:r>
      <w:proofErr w:type="gramEnd"/>
      <w:r w:rsidR="00921E34">
        <w:t xml:space="preserve"> as one building consent in these data.</w:t>
      </w:r>
    </w:p>
    <w:p w:rsidR="00821949" w:rsidRPr="004C33D1" w:rsidRDefault="00821949" w:rsidP="00821949"/>
    <w:p w:rsidR="00821949" w:rsidRPr="004C33D1" w:rsidRDefault="00921E34" w:rsidP="00821949">
      <w:r>
        <w:t xml:space="preserve">The population growth per new building consent indicator </w:t>
      </w:r>
      <w:proofErr w:type="gramStart"/>
      <w:r>
        <w:t>can be supplemented</w:t>
      </w:r>
      <w:proofErr w:type="gramEnd"/>
      <w:r>
        <w:t xml:space="preserve"> by data on the average size of new consents or the number of consents in different size categories. </w:t>
      </w:r>
      <w:r w:rsidR="001A4B6C">
        <w:fldChar w:fldCharType="begin"/>
      </w:r>
      <w:r w:rsidR="001A4B6C">
        <w:instrText xml:space="preserve"> REF _Ref458089557 \h </w:instrText>
      </w:r>
      <w:r w:rsidR="001A4B6C">
        <w:fldChar w:fldCharType="separate"/>
      </w:r>
      <w:r w:rsidR="004D1DDA" w:rsidRPr="004C33D1">
        <w:t xml:space="preserve">Figure </w:t>
      </w:r>
      <w:r w:rsidR="004D1DDA">
        <w:rPr>
          <w:noProof/>
        </w:rPr>
        <w:t>18</w:t>
      </w:r>
      <w:r w:rsidR="001A4B6C">
        <w:fldChar w:fldCharType="end"/>
      </w:r>
      <w:r w:rsidR="001A4B6C">
        <w:t xml:space="preserve"> </w:t>
      </w:r>
      <w:r w:rsidR="00821949" w:rsidRPr="004C33D1">
        <w:t xml:space="preserve">shows </w:t>
      </w:r>
      <w:r w:rsidR="003521F6">
        <w:t>average floor areas</w:t>
      </w:r>
      <w:r w:rsidR="00821949" w:rsidRPr="004C33D1">
        <w:t xml:space="preserve"> as a 5 year moving average time series for high growth areas. </w:t>
      </w:r>
      <w:r w:rsidR="008541E5">
        <w:t>The average size of new Auckland properties increased significantly from 2002-06 to 2006-10</w:t>
      </w:r>
      <w:proofErr w:type="gramStart"/>
      <w:r w:rsidR="008541E5">
        <w:t>;</w:t>
      </w:r>
      <w:proofErr w:type="gramEnd"/>
      <w:r w:rsidR="008541E5">
        <w:t xml:space="preserve"> other areas have been relatively constant over time. Average sizes </w:t>
      </w:r>
      <w:r w:rsidR="003E57DF">
        <w:t xml:space="preserve">of new consents </w:t>
      </w:r>
      <w:r w:rsidR="008541E5">
        <w:t xml:space="preserve">in Queenstown-Lakes District are 14% larger than average Auckland properties and 34% larger than in Hamilton. </w:t>
      </w:r>
      <w:r w:rsidR="008541E5" w:rsidRPr="004C33D1">
        <w:t xml:space="preserve">This might reflect some combination of supply (eg land availability or price) and demand (eg income) factors. Christchurch </w:t>
      </w:r>
      <w:proofErr w:type="gramStart"/>
      <w:r w:rsidR="008541E5" w:rsidRPr="004C33D1">
        <w:t>has been excluded</w:t>
      </w:r>
      <w:proofErr w:type="gramEnd"/>
      <w:r w:rsidR="008541E5" w:rsidRPr="004C33D1">
        <w:t xml:space="preserve"> from the chart because</w:t>
      </w:r>
      <w:r w:rsidR="002039AB">
        <w:t xml:space="preserve"> of the decline in population. </w:t>
      </w:r>
    </w:p>
    <w:p w:rsidR="00821949" w:rsidRPr="004C33D1" w:rsidRDefault="00821949" w:rsidP="00E02811">
      <w:pPr>
        <w:pStyle w:val="Caption"/>
      </w:pPr>
      <w:bookmarkStart w:id="108" w:name="_Ref458089557"/>
      <w:bookmarkStart w:id="109" w:name="_Ref462573477"/>
      <w:r w:rsidRPr="004C33D1">
        <w:t xml:space="preserve">Figure </w:t>
      </w:r>
      <w:r w:rsidRPr="004C33D1">
        <w:fldChar w:fldCharType="begin"/>
      </w:r>
      <w:r w:rsidRPr="004C33D1">
        <w:instrText xml:space="preserve"> SEQ Figure \* ARABIC </w:instrText>
      </w:r>
      <w:r w:rsidRPr="004C33D1">
        <w:fldChar w:fldCharType="separate"/>
      </w:r>
      <w:r w:rsidR="004D1DDA">
        <w:rPr>
          <w:noProof/>
        </w:rPr>
        <w:t>18</w:t>
      </w:r>
      <w:r w:rsidRPr="004C33D1">
        <w:fldChar w:fldCharType="end"/>
      </w:r>
      <w:bookmarkEnd w:id="108"/>
      <w:r w:rsidRPr="004C33D1">
        <w:t xml:space="preserve"> Five year moving average of </w:t>
      </w:r>
      <w:r w:rsidR="002C1A54">
        <w:t xml:space="preserve">average </w:t>
      </w:r>
      <w:r w:rsidRPr="004C33D1">
        <w:t>new build floor space</w:t>
      </w:r>
      <w:bookmarkEnd w:id="109"/>
      <w:r w:rsidRPr="004C33D1">
        <w:rPr>
          <w:bCs/>
        </w:rPr>
        <w:t xml:space="preserve"> </w:t>
      </w:r>
    </w:p>
    <w:p w:rsidR="00821949" w:rsidRPr="004C33D1" w:rsidRDefault="008541E5" w:rsidP="00821949">
      <w:pPr>
        <w:jc w:val="center"/>
      </w:pPr>
      <w:r w:rsidRPr="008541E5">
        <w:rPr>
          <w:noProof/>
          <w:lang w:eastAsia="en-NZ"/>
        </w:rPr>
        <w:drawing>
          <wp:inline distT="0" distB="0" distL="0" distR="0" wp14:anchorId="1B4FF61F" wp14:editId="65A1CA4B">
            <wp:extent cx="4702319" cy="286702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16038" cy="2875390"/>
                    </a:xfrm>
                    <a:prstGeom prst="rect">
                      <a:avLst/>
                    </a:prstGeom>
                    <a:noFill/>
                    <a:ln>
                      <a:noFill/>
                    </a:ln>
                  </pic:spPr>
                </pic:pic>
              </a:graphicData>
            </a:graphic>
          </wp:inline>
        </w:drawing>
      </w:r>
    </w:p>
    <w:p w:rsidR="00821949" w:rsidRDefault="00821949" w:rsidP="00821949">
      <w:pPr>
        <w:spacing w:after="120"/>
        <w:rPr>
          <w:bCs/>
          <w:sz w:val="18"/>
          <w:szCs w:val="20"/>
        </w:rPr>
      </w:pPr>
      <w:r w:rsidRPr="004C33D1">
        <w:rPr>
          <w:bCs/>
          <w:sz w:val="18"/>
          <w:szCs w:val="20"/>
        </w:rPr>
        <w:t xml:space="preserve">Source: Data retrieved from </w:t>
      </w:r>
      <w:proofErr w:type="spellStart"/>
      <w:r w:rsidRPr="004C33D1">
        <w:rPr>
          <w:bCs/>
          <w:sz w:val="18"/>
          <w:szCs w:val="20"/>
        </w:rPr>
        <w:t>Infoshare</w:t>
      </w:r>
      <w:proofErr w:type="spellEnd"/>
      <w:r w:rsidRPr="004C33D1">
        <w:rPr>
          <w:bCs/>
          <w:sz w:val="18"/>
          <w:szCs w:val="20"/>
        </w:rPr>
        <w:t>, Statistics NZ</w:t>
      </w:r>
    </w:p>
    <w:p w:rsidR="00083D11" w:rsidRDefault="00083D11" w:rsidP="00D00453">
      <w:r>
        <w:fldChar w:fldCharType="begin"/>
      </w:r>
      <w:r>
        <w:instrText xml:space="preserve"> REF _Ref458182467 \h </w:instrText>
      </w:r>
      <w:r>
        <w:fldChar w:fldCharType="separate"/>
      </w:r>
      <w:r w:rsidR="004D1DDA">
        <w:t xml:space="preserve">Figure </w:t>
      </w:r>
      <w:r w:rsidR="004D1DDA">
        <w:rPr>
          <w:noProof/>
        </w:rPr>
        <w:t>19</w:t>
      </w:r>
      <w:r>
        <w:fldChar w:fldCharType="end"/>
      </w:r>
      <w:r>
        <w:t xml:space="preserve"> </w:t>
      </w:r>
      <w:r w:rsidR="008B70DD">
        <w:t xml:space="preserve">and </w:t>
      </w:r>
      <w:r w:rsidR="00D00453">
        <w:fldChar w:fldCharType="begin"/>
      </w:r>
      <w:r w:rsidR="00D00453">
        <w:instrText xml:space="preserve"> REF _Ref458417856 \h </w:instrText>
      </w:r>
      <w:r w:rsidR="00D00453">
        <w:fldChar w:fldCharType="separate"/>
      </w:r>
      <w:r w:rsidR="004D1DDA">
        <w:t xml:space="preserve">Figure </w:t>
      </w:r>
      <w:r w:rsidR="004D1DDA">
        <w:rPr>
          <w:noProof/>
        </w:rPr>
        <w:t>20</w:t>
      </w:r>
      <w:r w:rsidR="00D00453">
        <w:fldChar w:fldCharType="end"/>
      </w:r>
      <w:r w:rsidR="00D00453">
        <w:t xml:space="preserve"> </w:t>
      </w:r>
      <w:r w:rsidR="008B70DD">
        <w:t>show</w:t>
      </w:r>
      <w:r>
        <w:t xml:space="preserve"> the </w:t>
      </w:r>
      <w:r w:rsidR="00A91E09">
        <w:t>proportion</w:t>
      </w:r>
      <w:r>
        <w:t xml:space="preserve"> of </w:t>
      </w:r>
      <w:r w:rsidR="005840E8">
        <w:t xml:space="preserve">consents per year for Auckland </w:t>
      </w:r>
      <w:r w:rsidR="008B70DD">
        <w:t xml:space="preserve">and Queenstown </w:t>
      </w:r>
      <w:r w:rsidR="005840E8">
        <w:t>in different building size</w:t>
      </w:r>
      <w:r w:rsidR="005840E8" w:rsidRPr="005840E8">
        <w:t xml:space="preserve"> categories.</w:t>
      </w:r>
      <w:r w:rsidR="005840E8">
        <w:t xml:space="preserve"> </w:t>
      </w:r>
      <w:r w:rsidR="008B70DD">
        <w:t xml:space="preserve">In </w:t>
      </w:r>
      <w:proofErr w:type="gramStart"/>
      <w:r w:rsidR="008B70DD">
        <w:t>Auckland</w:t>
      </w:r>
      <w:proofErr w:type="gramEnd"/>
      <w:r w:rsidR="008B70DD">
        <w:t xml:space="preserve"> t</w:t>
      </w:r>
      <w:r w:rsidR="005840E8">
        <w:t xml:space="preserve">here </w:t>
      </w:r>
      <w:r w:rsidR="008B70DD">
        <w:t>w</w:t>
      </w:r>
      <w:r w:rsidR="005840E8">
        <w:t>as a</w:t>
      </w:r>
      <w:r w:rsidR="00A91E09">
        <w:t xml:space="preserve"> shift </w:t>
      </w:r>
      <w:r w:rsidR="008B70DD">
        <w:t>from 200</w:t>
      </w:r>
      <w:r w:rsidR="0034075A">
        <w:t>3</w:t>
      </w:r>
      <w:r w:rsidR="008B70DD">
        <w:t xml:space="preserve"> to 2007 </w:t>
      </w:r>
      <w:r w:rsidR="00A91E09">
        <w:t xml:space="preserve">towards larger </w:t>
      </w:r>
      <w:r w:rsidR="008B70DD">
        <w:t>dwellings</w:t>
      </w:r>
      <w:r w:rsidR="00A91E09">
        <w:t xml:space="preserve"> at the expense of medium-sized </w:t>
      </w:r>
      <w:r w:rsidR="008B70DD">
        <w:t>dwellings</w:t>
      </w:r>
      <w:r w:rsidR="00A91E09">
        <w:t xml:space="preserve">, although this has levelled off </w:t>
      </w:r>
      <w:r w:rsidR="008B70DD">
        <w:t>since and fallen since 2013</w:t>
      </w:r>
      <w:r w:rsidR="00A91E09">
        <w:t>.</w:t>
      </w:r>
      <w:r w:rsidR="008B70DD">
        <w:t xml:space="preserve"> </w:t>
      </w:r>
    </w:p>
    <w:p w:rsidR="0034075A" w:rsidRDefault="0034075A" w:rsidP="00D00453"/>
    <w:p w:rsidR="0034075A" w:rsidRDefault="0034075A" w:rsidP="0034075A">
      <w:r>
        <w:t>In Queenstown, there was no significant increase (houses have been large historically), but since 2012 there has been a shift towards medium-sized dwellings.</w:t>
      </w:r>
    </w:p>
    <w:p w:rsidR="0034075A" w:rsidRDefault="0034075A" w:rsidP="00D00453"/>
    <w:p w:rsidR="00083D11" w:rsidRDefault="00083D11" w:rsidP="00E02811">
      <w:pPr>
        <w:pStyle w:val="Caption"/>
      </w:pPr>
      <w:bookmarkStart w:id="110" w:name="_Ref458182467"/>
      <w:r>
        <w:lastRenderedPageBreak/>
        <w:t xml:space="preserve">Figure </w:t>
      </w:r>
      <w:r>
        <w:fldChar w:fldCharType="begin"/>
      </w:r>
      <w:r>
        <w:instrText xml:space="preserve"> SEQ Figure \* ARABIC </w:instrText>
      </w:r>
      <w:r>
        <w:fldChar w:fldCharType="separate"/>
      </w:r>
      <w:r w:rsidR="004D1DDA">
        <w:rPr>
          <w:noProof/>
        </w:rPr>
        <w:t>19</w:t>
      </w:r>
      <w:r>
        <w:fldChar w:fldCharType="end"/>
      </w:r>
      <w:bookmarkEnd w:id="110"/>
      <w:r>
        <w:t xml:space="preserve"> </w:t>
      </w:r>
      <w:r w:rsidR="008B70DD">
        <w:t>Percentage share of new dwellings consented by size in Auckland 2000-2015</w:t>
      </w:r>
    </w:p>
    <w:p w:rsidR="008B70DD" w:rsidRDefault="008B70DD" w:rsidP="008B70DD">
      <w:pPr>
        <w:jc w:val="center"/>
      </w:pPr>
      <w:r w:rsidRPr="007C1B89">
        <w:rPr>
          <w:noProof/>
          <w:lang w:eastAsia="en-NZ"/>
        </w:rPr>
        <w:drawing>
          <wp:inline distT="0" distB="0" distL="0" distR="0" wp14:anchorId="0ADA8095" wp14:editId="7B8385BA">
            <wp:extent cx="4219575" cy="291753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21222" cy="2918673"/>
                    </a:xfrm>
                    <a:prstGeom prst="rect">
                      <a:avLst/>
                    </a:prstGeom>
                    <a:noFill/>
                    <a:ln>
                      <a:noFill/>
                    </a:ln>
                  </pic:spPr>
                </pic:pic>
              </a:graphicData>
            </a:graphic>
          </wp:inline>
        </w:drawing>
      </w:r>
    </w:p>
    <w:p w:rsidR="008B70DD" w:rsidRPr="007C1B89" w:rsidRDefault="008B70DD" w:rsidP="008B70DD">
      <w:pPr>
        <w:rPr>
          <w:sz w:val="18"/>
          <w:szCs w:val="18"/>
        </w:rPr>
      </w:pPr>
      <w:r w:rsidRPr="007C1B89">
        <w:rPr>
          <w:sz w:val="18"/>
          <w:szCs w:val="18"/>
        </w:rPr>
        <w:t>Source: Statistics NZ</w:t>
      </w:r>
    </w:p>
    <w:p w:rsidR="002D3B8A" w:rsidRDefault="002D3B8A" w:rsidP="008B70DD">
      <w:bookmarkStart w:id="111" w:name="_Ref458415345"/>
    </w:p>
    <w:p w:rsidR="008B70DD" w:rsidRDefault="008B70DD" w:rsidP="00E02811">
      <w:pPr>
        <w:pStyle w:val="Caption"/>
      </w:pPr>
      <w:bookmarkStart w:id="112" w:name="_Ref458417856"/>
      <w:bookmarkStart w:id="113" w:name="_Ref462573489"/>
      <w:r>
        <w:t xml:space="preserve">Figure </w:t>
      </w:r>
      <w:r>
        <w:fldChar w:fldCharType="begin"/>
      </w:r>
      <w:r>
        <w:instrText xml:space="preserve"> SEQ Figure \* ARABIC </w:instrText>
      </w:r>
      <w:r>
        <w:fldChar w:fldCharType="separate"/>
      </w:r>
      <w:r w:rsidR="004D1DDA">
        <w:rPr>
          <w:noProof/>
        </w:rPr>
        <w:t>20</w:t>
      </w:r>
      <w:r>
        <w:fldChar w:fldCharType="end"/>
      </w:r>
      <w:bookmarkEnd w:id="111"/>
      <w:bookmarkEnd w:id="112"/>
      <w:r>
        <w:t xml:space="preserve"> Percentage share of new dwellings consented by size in Queenstown 2000-2015</w:t>
      </w:r>
      <w:bookmarkEnd w:id="113"/>
    </w:p>
    <w:p w:rsidR="008B70DD" w:rsidRDefault="008B70DD" w:rsidP="008B70DD">
      <w:pPr>
        <w:jc w:val="center"/>
      </w:pPr>
      <w:r w:rsidRPr="007C1B89">
        <w:rPr>
          <w:noProof/>
          <w:lang w:eastAsia="en-NZ"/>
        </w:rPr>
        <w:drawing>
          <wp:inline distT="0" distB="0" distL="0" distR="0" wp14:anchorId="7FAE3A36" wp14:editId="59FC1D61">
            <wp:extent cx="4181475" cy="2930041"/>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98316" cy="2941842"/>
                    </a:xfrm>
                    <a:prstGeom prst="rect">
                      <a:avLst/>
                    </a:prstGeom>
                    <a:noFill/>
                    <a:ln>
                      <a:noFill/>
                    </a:ln>
                  </pic:spPr>
                </pic:pic>
              </a:graphicData>
            </a:graphic>
          </wp:inline>
        </w:drawing>
      </w:r>
    </w:p>
    <w:p w:rsidR="008B70DD" w:rsidRPr="007C1B89" w:rsidRDefault="008B70DD" w:rsidP="008B70DD">
      <w:pPr>
        <w:rPr>
          <w:sz w:val="18"/>
          <w:szCs w:val="18"/>
        </w:rPr>
      </w:pPr>
      <w:r w:rsidRPr="007C1B89">
        <w:rPr>
          <w:sz w:val="18"/>
          <w:szCs w:val="18"/>
        </w:rPr>
        <w:t>Source: Statistics NZ</w:t>
      </w:r>
    </w:p>
    <w:p w:rsidR="00F147D9" w:rsidRDefault="00F147D9" w:rsidP="008765EA">
      <w:pPr>
        <w:pStyle w:val="Heading2"/>
      </w:pPr>
      <w:bookmarkStart w:id="114" w:name="_Toc462582181"/>
      <w:r>
        <w:t>Land leverage Ratio</w:t>
      </w:r>
      <w:bookmarkEnd w:id="114"/>
    </w:p>
    <w:p w:rsidR="00F147D9" w:rsidRDefault="00F147D9" w:rsidP="00F147D9">
      <w:r>
        <w:t xml:space="preserve">The land </w:t>
      </w:r>
      <w:proofErr w:type="gramStart"/>
      <w:r>
        <w:t>leverage</w:t>
      </w:r>
      <w:proofErr w:type="gramEnd"/>
      <w:r>
        <w:t xml:space="preserve"> ratio is the ratio between land prices and total capital value (value of land plus improvements). This ratio might provide insights into the overall supply-demand balance for land.</w:t>
      </w:r>
    </w:p>
    <w:p w:rsidR="00F147D9" w:rsidRDefault="00F147D9" w:rsidP="00F147D9"/>
    <w:p w:rsidR="00F147D9" w:rsidRDefault="00F147D9" w:rsidP="00F147D9">
      <w:r>
        <w:t xml:space="preserve">Explanations of differences in land </w:t>
      </w:r>
      <w:proofErr w:type="gramStart"/>
      <w:r>
        <w:t>leverage</w:t>
      </w:r>
      <w:proofErr w:type="gramEnd"/>
      <w:r>
        <w:t xml:space="preserve"> ratios are likely to include:</w:t>
      </w:r>
    </w:p>
    <w:p w:rsidR="00F147D9" w:rsidRDefault="00F147D9" w:rsidP="00F147D9">
      <w:pPr>
        <w:pStyle w:val="ListParagraph"/>
        <w:numPr>
          <w:ilvl w:val="0"/>
          <w:numId w:val="108"/>
        </w:numPr>
      </w:pPr>
      <w:r>
        <w:lastRenderedPageBreak/>
        <w:t>land constraints (or planning constraints on development) will result in higher relative land prices and higher ratios; and</w:t>
      </w:r>
      <w:r>
        <w:br/>
      </w:r>
    </w:p>
    <w:p w:rsidR="00F147D9" w:rsidRDefault="00F147D9" w:rsidP="00F147D9">
      <w:pPr>
        <w:pStyle w:val="ListParagraph"/>
        <w:numPr>
          <w:ilvl w:val="0"/>
          <w:numId w:val="108"/>
        </w:numPr>
      </w:pPr>
      <w:proofErr w:type="gramStart"/>
      <w:r>
        <w:t>higher</w:t>
      </w:r>
      <w:proofErr w:type="gramEnd"/>
      <w:r>
        <w:t xml:space="preserve"> average incomes are likely to result in higher improvement values, and to lower leverage ratios where land supply is unconstrained.</w:t>
      </w:r>
    </w:p>
    <w:p w:rsidR="00F147D9" w:rsidRDefault="00F147D9" w:rsidP="00F147D9"/>
    <w:p w:rsidR="00F147D9" w:rsidRDefault="00F147D9" w:rsidP="00F147D9">
      <w:r>
        <w:t xml:space="preserve">Over time, the value of land </w:t>
      </w:r>
      <w:proofErr w:type="gramStart"/>
      <w:r>
        <w:t>would be expected</w:t>
      </w:r>
      <w:proofErr w:type="gramEnd"/>
      <w:r>
        <w:t xml:space="preserve"> to change with the opportunity cost of supply, if unconstrained, or at a greater rate if scarcity increased over time. In contrast, the value of improvements </w:t>
      </w:r>
      <w:proofErr w:type="gramStart"/>
      <w:r>
        <w:t>would not be expected</w:t>
      </w:r>
      <w:proofErr w:type="gramEnd"/>
      <w:r>
        <w:t xml:space="preserve"> to rise faster than the costs of construction, and may decrease over time reflecting a depreciating asset value. Thus for any individual property the ratio would be expected to change over time, because the two elements are affected by different market prices. Researchers have suggested that areas with high </w:t>
      </w:r>
      <w:proofErr w:type="gramStart"/>
      <w:r>
        <w:t>leverage</w:t>
      </w:r>
      <w:proofErr w:type="gramEnd"/>
      <w:r>
        <w:t xml:space="preserve"> ratios tend to have much greater price volatility.</w:t>
      </w:r>
      <w:r>
        <w:rPr>
          <w:rStyle w:val="FootnoteReference"/>
        </w:rPr>
        <w:footnoteReference w:id="59"/>
      </w:r>
      <w:r>
        <w:t xml:space="preserve"> </w:t>
      </w:r>
    </w:p>
    <w:p w:rsidR="00F147D9" w:rsidRDefault="00F147D9" w:rsidP="00F147D9"/>
    <w:p w:rsidR="00F147D9" w:rsidRPr="0040009E" w:rsidRDefault="00F147D9" w:rsidP="00F147D9">
      <w:r>
        <w:t xml:space="preserve">Land </w:t>
      </w:r>
      <w:proofErr w:type="gramStart"/>
      <w:r>
        <w:t>leverage</w:t>
      </w:r>
      <w:proofErr w:type="gramEnd"/>
      <w:r>
        <w:t xml:space="preserve"> ratios can be useful analytical tools for understanding property markets, but they do not yield simple conclusions. They </w:t>
      </w:r>
      <w:proofErr w:type="gramStart"/>
      <w:r>
        <w:t>are not recommended</w:t>
      </w:r>
      <w:proofErr w:type="gramEnd"/>
      <w:r>
        <w:t xml:space="preserve"> here as primary indicators.</w:t>
      </w:r>
    </w:p>
    <w:p w:rsidR="00A91E09" w:rsidRDefault="00A91E09" w:rsidP="00A91E09"/>
    <w:p w:rsidR="008765EA" w:rsidRDefault="00A91E09" w:rsidP="0013698E">
      <w:r>
        <w:t>These data provide additional information to sit alongside the ratio of consents to population ratio (</w:t>
      </w:r>
      <w:r>
        <w:fldChar w:fldCharType="begin"/>
      </w:r>
      <w:r>
        <w:instrText xml:space="preserve"> REF _Ref456267979 \h </w:instrText>
      </w:r>
      <w:r>
        <w:fldChar w:fldCharType="separate"/>
      </w:r>
      <w:r w:rsidR="004D1DDA" w:rsidRPr="004C33D1">
        <w:t xml:space="preserve">Figure </w:t>
      </w:r>
      <w:r w:rsidR="004D1DDA">
        <w:rPr>
          <w:noProof/>
        </w:rPr>
        <w:t>17</w:t>
      </w:r>
      <w:r>
        <w:fldChar w:fldCharType="end"/>
      </w:r>
      <w:r>
        <w:t>).</w:t>
      </w:r>
      <w:r w:rsidR="007A2E6B">
        <w:t xml:space="preserve"> They </w:t>
      </w:r>
      <w:proofErr w:type="gramStart"/>
      <w:r w:rsidR="0013698E">
        <w:t>can be used</w:t>
      </w:r>
      <w:proofErr w:type="gramEnd"/>
      <w:r w:rsidR="0013698E">
        <w:t xml:space="preserve"> to assist in the analysis of</w:t>
      </w:r>
      <w:r w:rsidR="007A2E6B">
        <w:t xml:space="preserve"> </w:t>
      </w:r>
      <w:r w:rsidR="008B70DD">
        <w:t xml:space="preserve">whether </w:t>
      </w:r>
      <w:r w:rsidR="0013698E">
        <w:t xml:space="preserve">or not </w:t>
      </w:r>
      <w:r w:rsidR="008B70DD">
        <w:t xml:space="preserve">the size of dwellings being built is consistent with </w:t>
      </w:r>
      <w:r w:rsidR="0013698E">
        <w:t xml:space="preserve">what might be most affordable. </w:t>
      </w:r>
    </w:p>
    <w:p w:rsidR="008765EA" w:rsidRDefault="008765EA" w:rsidP="008765EA">
      <w:pPr>
        <w:pStyle w:val="Heading2"/>
      </w:pPr>
      <w:bookmarkStart w:id="115" w:name="_Toc462582182"/>
      <w:proofErr w:type="spellStart"/>
      <w:r>
        <w:t>Rent</w:t>
      </w:r>
      <w:proofErr w:type="gramStart"/>
      <w:r>
        <w:t>:Property</w:t>
      </w:r>
      <w:proofErr w:type="spellEnd"/>
      <w:proofErr w:type="gramEnd"/>
      <w:r>
        <w:t xml:space="preserve"> Price Ratios</w:t>
      </w:r>
      <w:bookmarkEnd w:id="115"/>
    </w:p>
    <w:p w:rsidR="008765EA" w:rsidRDefault="008765EA" w:rsidP="008765EA">
      <w:r>
        <w:t>Trends in the ratio of rents to ho</w:t>
      </w:r>
      <w:r w:rsidR="00654CB4">
        <w:t>m</w:t>
      </w:r>
      <w:r>
        <w:t xml:space="preserve">e prices (rental yields) provide some indication of relative supply-demand balance for the individual markets. Low rent to price ratios would suggest greater relative supply in rental than in ownership markets. </w:t>
      </w:r>
      <w:proofErr w:type="gramStart"/>
      <w:r>
        <w:t>Thus</w:t>
      </w:r>
      <w:proofErr w:type="gramEnd"/>
      <w:r>
        <w:t xml:space="preserve"> these ratios are used to provide guidance on where best to invest in rental properties</w:t>
      </w:r>
      <w:r>
        <w:rPr>
          <w:rStyle w:val="FootnoteReference"/>
        </w:rPr>
        <w:footnoteReference w:id="60"/>
      </w:r>
      <w:r>
        <w:t xml:space="preserve"> and for individuals as to whether they are better to purchase or to rent. However, the ratios (and the trends over time) also need to </w:t>
      </w:r>
      <w:proofErr w:type="gramStart"/>
      <w:r>
        <w:t>be interpreted</w:t>
      </w:r>
      <w:proofErr w:type="gramEnd"/>
      <w:r>
        <w:t xml:space="preserve"> in light of changes to the costs of borrowing and expectations of future capital gains. </w:t>
      </w:r>
    </w:p>
    <w:p w:rsidR="008765EA" w:rsidRDefault="008765EA" w:rsidP="008765EA"/>
    <w:p w:rsidR="008765EA" w:rsidRDefault="008765EA" w:rsidP="008765EA">
      <w:pPr>
        <w:pStyle w:val="ListParagraph"/>
        <w:numPr>
          <w:ilvl w:val="0"/>
          <w:numId w:val="107"/>
        </w:numPr>
      </w:pPr>
      <w:proofErr w:type="gramStart"/>
      <w:r>
        <w:t>People would be expected to be willing to enter the market to provide rental housing when the revenue received from rents exceeded the costs of supply of a new ho</w:t>
      </w:r>
      <w:r w:rsidR="00654CB4">
        <w:t>m</w:t>
      </w:r>
      <w:r>
        <w:t>e, ie the costs of a mortgage plus the costs of capital for any equity (the opportunity cost from the lost opportunity to obtain a return in the share market or some lower risk investment, eg term deposits).</w:t>
      </w:r>
      <w:proofErr w:type="gramEnd"/>
      <w:r>
        <w:t xml:space="preserve"> Lower interest rates </w:t>
      </w:r>
      <w:proofErr w:type="gramStart"/>
      <w:r>
        <w:t>would be expected</w:t>
      </w:r>
      <w:proofErr w:type="gramEnd"/>
      <w:r>
        <w:t xml:space="preserve"> to result in lower rents and lower rents to ho</w:t>
      </w:r>
      <w:r w:rsidR="00654CB4">
        <w:t>m</w:t>
      </w:r>
      <w:r>
        <w:t xml:space="preserve">e price ratios. </w:t>
      </w:r>
      <w:r>
        <w:br/>
      </w:r>
    </w:p>
    <w:p w:rsidR="008765EA" w:rsidRDefault="008765EA" w:rsidP="008765EA">
      <w:pPr>
        <w:pStyle w:val="ListParagraph"/>
        <w:numPr>
          <w:ilvl w:val="0"/>
          <w:numId w:val="107"/>
        </w:numPr>
      </w:pPr>
      <w:r>
        <w:t>A complicating factor is the expectation of capital gain in the housing market. If people expect a capital return, this adds to the overall expected revenue over time and means that the price at which people would be willing to let a property would be lower in a period of high expected capital gain, and vice versa.</w:t>
      </w:r>
    </w:p>
    <w:p w:rsidR="008765EA" w:rsidRDefault="008765EA" w:rsidP="008765EA"/>
    <w:p w:rsidR="008765EA" w:rsidRDefault="008765EA" w:rsidP="008765EA">
      <w:r>
        <w:lastRenderedPageBreak/>
        <w:t xml:space="preserve">Rent-price ratios thus provide some useful information but the data need to </w:t>
      </w:r>
      <w:proofErr w:type="gramStart"/>
      <w:r>
        <w:t>be carefully interpreted</w:t>
      </w:r>
      <w:proofErr w:type="gramEnd"/>
      <w:r>
        <w:t xml:space="preserve"> in the light of these other circumstances. Because of the influence of interest rates, both as an indicator of the cost of entering the rental market and (in broad terms) the opportunity cost of holding a property,</w:t>
      </w:r>
      <w:r>
        <w:rPr>
          <w:rStyle w:val="FootnoteReference"/>
        </w:rPr>
        <w:footnoteReference w:id="61"/>
      </w:r>
      <w:r>
        <w:t xml:space="preserve"> the ratio between rentals and the costs of ownership (annual mortgage payment) may be a more useful indicator.</w:t>
      </w:r>
    </w:p>
    <w:p w:rsidR="008765EA" w:rsidRDefault="008765EA" w:rsidP="008765EA"/>
    <w:p w:rsidR="008765EA" w:rsidRPr="0013698E" w:rsidRDefault="008765EA" w:rsidP="0013698E">
      <w:r>
        <w:t xml:space="preserve">These ratios provide </w:t>
      </w:r>
      <w:proofErr w:type="gramStart"/>
      <w:r>
        <w:t>information which</w:t>
      </w:r>
      <w:proofErr w:type="gramEnd"/>
      <w:r>
        <w:t xml:space="preserve"> will assist in analysing the overall supply-demand balance</w:t>
      </w:r>
      <w:r w:rsidR="0034075A">
        <w:t>.</w:t>
      </w:r>
    </w:p>
    <w:p w:rsidR="008227AD" w:rsidRPr="004C33D1" w:rsidRDefault="008227AD" w:rsidP="008227AD">
      <w:pPr>
        <w:pStyle w:val="Heading2"/>
      </w:pPr>
      <w:bookmarkStart w:id="116" w:name="_Ref458003394"/>
      <w:bookmarkStart w:id="117" w:name="_Toc462413627"/>
      <w:bookmarkStart w:id="118" w:name="_Toc462582183"/>
      <w:r>
        <w:t xml:space="preserve">Modelling Supply: </w:t>
      </w:r>
      <w:r w:rsidRPr="004C33D1">
        <w:t>Development capacity models</w:t>
      </w:r>
      <w:bookmarkEnd w:id="116"/>
      <w:bookmarkEnd w:id="117"/>
      <w:bookmarkEnd w:id="118"/>
    </w:p>
    <w:p w:rsidR="008227AD" w:rsidRPr="004C33D1" w:rsidRDefault="008227AD" w:rsidP="008227AD">
      <w:r w:rsidRPr="004C33D1">
        <w:t xml:space="preserve">Data gathered to analyse price signals </w:t>
      </w:r>
      <w:proofErr w:type="gramStart"/>
      <w:r w:rsidRPr="004C33D1">
        <w:t>can also be used</w:t>
      </w:r>
      <w:proofErr w:type="gramEnd"/>
      <w:r w:rsidRPr="004C33D1">
        <w:t xml:space="preserve"> as an input into development capacity models. While development feasibility is not, strictly speaking, a price signal, it is determined by the relativity between development (eg land, construction, consenting), and development revenues (ie the prices that people are willing to pay for housing and business floorspace).</w:t>
      </w:r>
    </w:p>
    <w:p w:rsidR="008227AD" w:rsidRPr="004C33D1" w:rsidRDefault="008227AD" w:rsidP="008227AD">
      <w:pPr>
        <w:pStyle w:val="Heading3"/>
      </w:pPr>
      <w:bookmarkStart w:id="119" w:name="_Toc456624678"/>
      <w:bookmarkStart w:id="120" w:name="_Toc457985393"/>
      <w:r w:rsidRPr="004C33D1">
        <w:t>Interpretation</w:t>
      </w:r>
      <w:bookmarkEnd w:id="119"/>
      <w:bookmarkEnd w:id="120"/>
    </w:p>
    <w:p w:rsidR="008227AD" w:rsidRPr="004C33D1" w:rsidRDefault="008227AD" w:rsidP="008227AD">
      <w:r w:rsidRPr="004C33D1">
        <w:t xml:space="preserve">The amount of development in cities is determined by urban planning policies such as residential or business zoning rules, infrastructure provision, </w:t>
      </w:r>
      <w:proofErr w:type="gramStart"/>
      <w:r w:rsidR="004F7B86">
        <w:t>land-owner</w:t>
      </w:r>
      <w:proofErr w:type="gramEnd"/>
      <w:r w:rsidR="004F7B86">
        <w:t xml:space="preserve"> and </w:t>
      </w:r>
      <w:r w:rsidRPr="004C33D1">
        <w:t>developer intentions, and the commercial feasibility of developing new buildings.</w:t>
      </w:r>
    </w:p>
    <w:p w:rsidR="008227AD" w:rsidRPr="004C33D1" w:rsidRDefault="008227AD" w:rsidP="008227AD"/>
    <w:p w:rsidR="008227AD" w:rsidRPr="004C33D1" w:rsidRDefault="008227AD" w:rsidP="008227AD">
      <w:r w:rsidRPr="004C33D1">
        <w:t>The NPS-UDC requires high- and medium-growth urban councils to develop a better understanding of commercial feasibility, as this can have a significant impact on supply outcomes from urban planning policies. For instance, if there is little demand for development in a given area (as evidenced by low housing prices), rezoning it for further growth may not enable an increase in housing supply.</w:t>
      </w:r>
    </w:p>
    <w:p w:rsidR="008227AD" w:rsidRPr="004C33D1" w:rsidRDefault="008227AD" w:rsidP="008227AD"/>
    <w:p w:rsidR="008227AD" w:rsidRPr="004C33D1" w:rsidRDefault="007C0CDE" w:rsidP="008227AD">
      <w:r>
        <w:t>T</w:t>
      </w:r>
      <w:r w:rsidR="008227AD" w:rsidRPr="004C33D1">
        <w:t>o estimate the commercial feasibility of development, it is necessary to underst</w:t>
      </w:r>
      <w:r>
        <w:t>and relative prices, including:</w:t>
      </w:r>
    </w:p>
    <w:p w:rsidR="008227AD" w:rsidRPr="004C33D1" w:rsidRDefault="007C0CDE" w:rsidP="006277DC">
      <w:pPr>
        <w:pStyle w:val="ListParagraph"/>
        <w:numPr>
          <w:ilvl w:val="0"/>
          <w:numId w:val="58"/>
        </w:numPr>
        <w:spacing w:after="200" w:line="276" w:lineRule="auto"/>
      </w:pPr>
      <w:r w:rsidRPr="004C33D1">
        <w:t xml:space="preserve">development </w:t>
      </w:r>
      <w:r w:rsidR="008227AD" w:rsidRPr="004C33D1">
        <w:t>costs, such as land, construction, consenting and design</w:t>
      </w:r>
      <w:r>
        <w:t>; and</w:t>
      </w:r>
    </w:p>
    <w:p w:rsidR="008227AD" w:rsidRPr="004C33D1" w:rsidRDefault="007C0CDE" w:rsidP="006277DC">
      <w:pPr>
        <w:pStyle w:val="ListParagraph"/>
        <w:numPr>
          <w:ilvl w:val="0"/>
          <w:numId w:val="58"/>
        </w:numPr>
        <w:spacing w:after="200" w:line="276" w:lineRule="auto"/>
      </w:pPr>
      <w:proofErr w:type="gramStart"/>
      <w:r w:rsidRPr="004C33D1">
        <w:t>development</w:t>
      </w:r>
      <w:proofErr w:type="gramEnd"/>
      <w:r w:rsidRPr="004C33D1">
        <w:t xml:space="preserve"> </w:t>
      </w:r>
      <w:r w:rsidR="008227AD" w:rsidRPr="004C33D1">
        <w:t>revenues, which can be estimated at a point in time based on the prices that people are paying in the market.</w:t>
      </w:r>
    </w:p>
    <w:p w:rsidR="00E31755" w:rsidRPr="004C33D1" w:rsidRDefault="00E31755" w:rsidP="00E31755">
      <w:bookmarkStart w:id="121" w:name="_Toc456624679"/>
      <w:bookmarkStart w:id="122" w:name="_Toc457985394"/>
      <w:r w:rsidRPr="004C33D1">
        <w:t xml:space="preserve">One limitation of commercial feasibility models is that they are seldom forward-looking, ie they are </w:t>
      </w:r>
      <w:r>
        <w:t xml:space="preserve">a ‘snapshot’ </w:t>
      </w:r>
      <w:r w:rsidRPr="004C33D1">
        <w:t xml:space="preserve">based on the prices that are </w:t>
      </w:r>
      <w:r w:rsidRPr="00E31755">
        <w:rPr>
          <w:i/>
        </w:rPr>
        <w:t>currently</w:t>
      </w:r>
      <w:r w:rsidRPr="004C33D1">
        <w:t xml:space="preserve"> observed in the market. </w:t>
      </w:r>
      <w:r w:rsidR="007C0CDE" w:rsidRPr="004C33D1">
        <w:t xml:space="preserve">This analysis may be less valid </w:t>
      </w:r>
      <w:r w:rsidR="007C0CDE">
        <w:t>i</w:t>
      </w:r>
      <w:r w:rsidRPr="004C33D1">
        <w:t>f prices change</w:t>
      </w:r>
      <w:r>
        <w:t xml:space="preserve"> significantly</w:t>
      </w:r>
      <w:r w:rsidRPr="004C33D1">
        <w:t xml:space="preserve">, eg </w:t>
      </w:r>
      <w:r w:rsidR="007C0CDE">
        <w:t xml:space="preserve">because of </w:t>
      </w:r>
      <w:r w:rsidRPr="004C33D1">
        <w:t>changes in the composition of demand for housing or business floorspace</w:t>
      </w:r>
      <w:r w:rsidR="007C0CDE">
        <w:t>,</w:t>
      </w:r>
      <w:r w:rsidRPr="004C33D1">
        <w:t xml:space="preserve"> or changes in regulatory policies that affect the cost of land or consents.</w:t>
      </w:r>
      <w:r>
        <w:t xml:space="preserve"> As a result, commercial feasibility models </w:t>
      </w:r>
      <w:proofErr w:type="gramStart"/>
      <w:r w:rsidR="007C0CDE">
        <w:t xml:space="preserve">should </w:t>
      </w:r>
      <w:r>
        <w:t>be updated</w:t>
      </w:r>
      <w:proofErr w:type="gramEnd"/>
      <w:r>
        <w:t xml:space="preserve"> regularly to ensure that they remain current.</w:t>
      </w:r>
    </w:p>
    <w:p w:rsidR="008227AD" w:rsidRPr="004C33D1" w:rsidRDefault="008227AD" w:rsidP="008227AD">
      <w:pPr>
        <w:pStyle w:val="Heading3"/>
      </w:pPr>
      <w:r w:rsidRPr="004C33D1">
        <w:t>Data availability</w:t>
      </w:r>
      <w:bookmarkEnd w:id="121"/>
      <w:bookmarkEnd w:id="122"/>
    </w:p>
    <w:p w:rsidR="008227AD" w:rsidRPr="004C33D1" w:rsidRDefault="008227AD" w:rsidP="008227AD">
      <w:r w:rsidRPr="004C33D1">
        <w:t xml:space="preserve">It is necessary to gather and analyse data on property sale prices, land valuations, and construction or land development costs to estimate several price indicators. These data </w:t>
      </w:r>
      <w:proofErr w:type="gramStart"/>
      <w:r w:rsidRPr="004C33D1">
        <w:t>can also be used</w:t>
      </w:r>
      <w:proofErr w:type="gramEnd"/>
      <w:r w:rsidRPr="004C33D1">
        <w:t xml:space="preserve">, albeit in a different format, as an input into development capacity models. The required data </w:t>
      </w:r>
      <w:proofErr w:type="gramStart"/>
      <w:r w:rsidRPr="004C33D1">
        <w:t>are briefly described</w:t>
      </w:r>
      <w:proofErr w:type="gramEnd"/>
      <w:r w:rsidRPr="004C33D1">
        <w:t xml:space="preserve"> in</w:t>
      </w:r>
      <w:r w:rsidR="00E31755">
        <w:t xml:space="preserve"> </w:t>
      </w:r>
      <w:r w:rsidR="00E31755">
        <w:fldChar w:fldCharType="begin"/>
      </w:r>
      <w:r w:rsidR="00E31755">
        <w:instrText xml:space="preserve"> REF _Ref458443326 \h </w:instrText>
      </w:r>
      <w:r w:rsidR="00E31755">
        <w:fldChar w:fldCharType="separate"/>
      </w:r>
      <w:r w:rsidR="004D1DDA" w:rsidRPr="004C33D1">
        <w:t xml:space="preserve">Table </w:t>
      </w:r>
      <w:r w:rsidR="004D1DDA">
        <w:rPr>
          <w:noProof/>
        </w:rPr>
        <w:t>5</w:t>
      </w:r>
      <w:r w:rsidR="00E31755">
        <w:fldChar w:fldCharType="end"/>
      </w:r>
      <w:r w:rsidRPr="004C33D1">
        <w:t>.</w:t>
      </w:r>
    </w:p>
    <w:p w:rsidR="008227AD" w:rsidRPr="004C33D1" w:rsidRDefault="008227AD" w:rsidP="007C0CDE">
      <w:pPr>
        <w:pStyle w:val="Caption"/>
        <w:spacing w:after="40"/>
      </w:pPr>
      <w:bookmarkStart w:id="123" w:name="_Ref456617412"/>
      <w:bookmarkStart w:id="124" w:name="_Ref458443326"/>
      <w:r w:rsidRPr="004C33D1">
        <w:lastRenderedPageBreak/>
        <w:t xml:space="preserve">Table </w:t>
      </w:r>
      <w:r w:rsidRPr="004C33D1">
        <w:fldChar w:fldCharType="begin"/>
      </w:r>
      <w:r w:rsidRPr="004C33D1">
        <w:instrText xml:space="preserve"> SEQ Table \* ARABIC </w:instrText>
      </w:r>
      <w:r w:rsidRPr="004C33D1">
        <w:fldChar w:fldCharType="separate"/>
      </w:r>
      <w:r w:rsidR="004D1DDA">
        <w:rPr>
          <w:noProof/>
        </w:rPr>
        <w:t>5</w:t>
      </w:r>
      <w:r w:rsidRPr="004C33D1">
        <w:fldChar w:fldCharType="end"/>
      </w:r>
      <w:bookmarkEnd w:id="123"/>
      <w:bookmarkEnd w:id="124"/>
      <w:r w:rsidRPr="004C33D1">
        <w:t>: Data sources</w:t>
      </w:r>
    </w:p>
    <w:tbl>
      <w:tblPr>
        <w:tblStyle w:val="CovecTables"/>
        <w:tblW w:w="4984" w:type="pct"/>
        <w:tblInd w:w="0" w:type="dxa"/>
        <w:tblBorders>
          <w:bottom w:val="single" w:sz="12" w:space="0" w:color="A6A6A6" w:themeColor="background1" w:themeShade="A6"/>
          <w:insideH w:val="single" w:sz="8" w:space="0" w:color="A6A6A6" w:themeColor="background1" w:themeShade="A6"/>
        </w:tblBorders>
        <w:tblLook w:val="04E0" w:firstRow="1" w:lastRow="1" w:firstColumn="1" w:lastColumn="0" w:noHBand="0" w:noVBand="1"/>
      </w:tblPr>
      <w:tblGrid>
        <w:gridCol w:w="1702"/>
        <w:gridCol w:w="1560"/>
        <w:gridCol w:w="4933"/>
      </w:tblGrid>
      <w:tr w:rsidR="008227AD" w:rsidRPr="004C33D1" w:rsidTr="003C1A69">
        <w:trPr>
          <w:cnfStyle w:val="100000000000" w:firstRow="1" w:lastRow="0" w:firstColumn="0" w:lastColumn="0" w:oddVBand="0" w:evenVBand="0" w:oddHBand="0" w:evenHBand="0" w:firstRowFirstColumn="0" w:firstRowLastColumn="0" w:lastRowFirstColumn="0" w:lastRowLastColumn="0"/>
          <w:trHeight w:val="256"/>
        </w:trPr>
        <w:tc>
          <w:tcPr>
            <w:cnfStyle w:val="001000000100" w:firstRow="0" w:lastRow="0" w:firstColumn="1" w:lastColumn="0" w:oddVBand="0" w:evenVBand="0" w:oddHBand="0" w:evenHBand="0" w:firstRowFirstColumn="1" w:firstRowLastColumn="0" w:lastRowFirstColumn="0" w:lastRowLastColumn="0"/>
            <w:tcW w:w="1038" w:type="pct"/>
            <w:vAlign w:val="top"/>
          </w:tcPr>
          <w:p w:rsidR="008227AD" w:rsidRPr="004C33D1" w:rsidRDefault="008227AD" w:rsidP="003C1A69">
            <w:pPr>
              <w:pStyle w:val="TableText"/>
            </w:pPr>
            <w:r w:rsidRPr="004C33D1">
              <w:t>Data</w:t>
            </w:r>
          </w:p>
        </w:tc>
        <w:tc>
          <w:tcPr>
            <w:tcW w:w="952" w:type="pct"/>
            <w:vAlign w:val="top"/>
          </w:tcPr>
          <w:p w:rsidR="008227AD" w:rsidRPr="004C33D1" w:rsidRDefault="008227AD" w:rsidP="003C1A69">
            <w:pPr>
              <w:pStyle w:val="TableText"/>
              <w:jc w:val="left"/>
              <w:cnfStyle w:val="100000000000" w:firstRow="1" w:lastRow="0" w:firstColumn="0" w:lastColumn="0" w:oddVBand="0" w:evenVBand="0" w:oddHBand="0" w:evenHBand="0" w:firstRowFirstColumn="0" w:firstRowLastColumn="0" w:lastRowFirstColumn="0" w:lastRowLastColumn="0"/>
            </w:pPr>
            <w:r w:rsidRPr="004C33D1">
              <w:t>Source</w:t>
            </w:r>
          </w:p>
        </w:tc>
        <w:tc>
          <w:tcPr>
            <w:tcW w:w="3010" w:type="pct"/>
            <w:vAlign w:val="top"/>
          </w:tcPr>
          <w:p w:rsidR="008227AD" w:rsidRPr="004C33D1" w:rsidRDefault="008227AD" w:rsidP="003C1A69">
            <w:pPr>
              <w:pStyle w:val="TableText"/>
              <w:jc w:val="left"/>
              <w:cnfStyle w:val="100000000000" w:firstRow="1" w:lastRow="0" w:firstColumn="0" w:lastColumn="0" w:oddVBand="0" w:evenVBand="0" w:oddHBand="0" w:evenHBand="0" w:firstRowFirstColumn="0" w:firstRowLastColumn="0" w:lastRowFirstColumn="0" w:lastRowLastColumn="0"/>
            </w:pPr>
            <w:r w:rsidRPr="004C33D1">
              <w:t>Description of required data</w:t>
            </w:r>
          </w:p>
        </w:tc>
      </w:tr>
      <w:tr w:rsidR="008227AD" w:rsidRPr="004C33D1" w:rsidTr="003C1A69">
        <w:tblPrEx>
          <w:tblCellMar>
            <w:top w:w="0" w:type="dxa"/>
            <w:left w:w="0" w:type="dxa"/>
            <w:bottom w:w="0" w:type="dxa"/>
            <w:right w:w="0" w:type="dxa"/>
          </w:tblCellMar>
        </w:tblPrEx>
        <w:trPr>
          <w:trHeight w:val="245"/>
        </w:trPr>
        <w:tc>
          <w:tcPr>
            <w:cnfStyle w:val="001000000000" w:firstRow="0" w:lastRow="0" w:firstColumn="1" w:lastColumn="0" w:oddVBand="0" w:evenVBand="0" w:oddHBand="0" w:evenHBand="0" w:firstRowFirstColumn="0" w:firstRowLastColumn="0" w:lastRowFirstColumn="0" w:lastRowLastColumn="0"/>
            <w:tcW w:w="1990" w:type="pct"/>
            <w:gridSpan w:val="2"/>
            <w:vAlign w:val="top"/>
          </w:tcPr>
          <w:p w:rsidR="008227AD" w:rsidRPr="004C33D1" w:rsidRDefault="008227AD" w:rsidP="003C1A69">
            <w:pPr>
              <w:pStyle w:val="TableText"/>
            </w:pPr>
            <w:r w:rsidRPr="004C33D1">
              <w:rPr>
                <w:b/>
                <w:i/>
              </w:rPr>
              <w:t>Data on development costs</w:t>
            </w:r>
          </w:p>
        </w:tc>
        <w:tc>
          <w:tcPr>
            <w:tcW w:w="3010" w:type="pct"/>
            <w:vAlign w:val="top"/>
          </w:tcPr>
          <w:p w:rsidR="008227AD" w:rsidRPr="004C33D1" w:rsidRDefault="008227AD" w:rsidP="003C1A69">
            <w:pPr>
              <w:pStyle w:val="TableText"/>
              <w:jc w:val="left"/>
              <w:cnfStyle w:val="000000000000" w:firstRow="0" w:lastRow="0" w:firstColumn="0" w:lastColumn="0" w:oddVBand="0" w:evenVBand="0" w:oddHBand="0" w:evenHBand="0" w:firstRowFirstColumn="0" w:firstRowLastColumn="0" w:lastRowFirstColumn="0" w:lastRowLastColumn="0"/>
            </w:pPr>
          </w:p>
        </w:tc>
      </w:tr>
      <w:tr w:rsidR="008227AD" w:rsidRPr="004C33D1" w:rsidTr="003C1A69">
        <w:tblPrEx>
          <w:tblCellMar>
            <w:top w:w="0" w:type="dxa"/>
            <w:left w:w="0" w:type="dxa"/>
            <w:bottom w:w="0" w:type="dxa"/>
            <w:right w:w="0" w:type="dxa"/>
          </w:tblCellMar>
        </w:tblPrEx>
        <w:trPr>
          <w:trHeight w:val="256"/>
        </w:trPr>
        <w:tc>
          <w:tcPr>
            <w:cnfStyle w:val="001000000000" w:firstRow="0" w:lastRow="0" w:firstColumn="1" w:lastColumn="0" w:oddVBand="0" w:evenVBand="0" w:oddHBand="0" w:evenHBand="0" w:firstRowFirstColumn="0" w:firstRowLastColumn="0" w:lastRowFirstColumn="0" w:lastRowLastColumn="0"/>
            <w:tcW w:w="1038" w:type="pct"/>
            <w:vAlign w:val="top"/>
          </w:tcPr>
          <w:p w:rsidR="008227AD" w:rsidRPr="004C33D1" w:rsidRDefault="008227AD" w:rsidP="003C1A69">
            <w:pPr>
              <w:pStyle w:val="TableText"/>
            </w:pPr>
            <w:r w:rsidRPr="004C33D1">
              <w:t>Land valuations</w:t>
            </w:r>
          </w:p>
        </w:tc>
        <w:tc>
          <w:tcPr>
            <w:tcW w:w="952" w:type="pct"/>
            <w:vAlign w:val="top"/>
          </w:tcPr>
          <w:p w:rsidR="008227AD" w:rsidRPr="004C33D1" w:rsidRDefault="008227AD" w:rsidP="003C1A69">
            <w:pPr>
              <w:pStyle w:val="TableText"/>
              <w:jc w:val="left"/>
              <w:cnfStyle w:val="000000000000" w:firstRow="0" w:lastRow="0" w:firstColumn="0" w:lastColumn="0" w:oddVBand="0" w:evenVBand="0" w:oddHBand="0" w:evenHBand="0" w:firstRowFirstColumn="0" w:firstRowLastColumn="0" w:lastRowFirstColumn="0" w:lastRowLastColumn="0"/>
            </w:pPr>
            <w:r>
              <w:t>TLAs</w:t>
            </w:r>
            <w:r w:rsidRPr="004C33D1">
              <w:t>/CoreLogic</w:t>
            </w:r>
          </w:p>
        </w:tc>
        <w:tc>
          <w:tcPr>
            <w:tcW w:w="3010" w:type="pct"/>
            <w:vAlign w:val="top"/>
          </w:tcPr>
          <w:p w:rsidR="008227AD" w:rsidRPr="004C33D1" w:rsidRDefault="008227AD" w:rsidP="003C1A69">
            <w:pPr>
              <w:pStyle w:val="TableText"/>
              <w:jc w:val="left"/>
              <w:cnfStyle w:val="000000000000" w:firstRow="0" w:lastRow="0" w:firstColumn="0" w:lastColumn="0" w:oddVBand="0" w:evenVBand="0" w:oddHBand="0" w:evenHBand="0" w:firstRowFirstColumn="0" w:firstRowLastColumn="0" w:lastRowFirstColumn="0" w:lastRowLastColumn="0"/>
            </w:pPr>
            <w:r w:rsidRPr="004C33D1">
              <w:t>Land valuation data is available from ratings valuations conducted on a three-yearly cycle.</w:t>
            </w:r>
          </w:p>
          <w:p w:rsidR="008227AD" w:rsidRPr="004C33D1" w:rsidRDefault="008227AD" w:rsidP="003C1A69">
            <w:pPr>
              <w:pStyle w:val="TableText"/>
              <w:jc w:val="left"/>
              <w:cnfStyle w:val="000000000000" w:firstRow="0" w:lastRow="0" w:firstColumn="0" w:lastColumn="0" w:oddVBand="0" w:evenVBand="0" w:oddHBand="0" w:evenHBand="0" w:firstRowFirstColumn="0" w:firstRowLastColumn="0" w:lastRowFirstColumn="0" w:lastRowLastColumn="0"/>
            </w:pPr>
            <w:r w:rsidRPr="004C33D1">
              <w:t xml:space="preserve">Although land valuations are available for individual properties, they </w:t>
            </w:r>
            <w:proofErr w:type="gramStart"/>
            <w:r w:rsidRPr="004C33D1">
              <w:t>can be grouped</w:t>
            </w:r>
            <w:proofErr w:type="gramEnd"/>
            <w:r w:rsidRPr="004C33D1">
              <w:t xml:space="preserve"> at a Census area unit or Census </w:t>
            </w:r>
            <w:proofErr w:type="spellStart"/>
            <w:r w:rsidRPr="004C33D1">
              <w:t>meshblock</w:t>
            </w:r>
            <w:proofErr w:type="spellEnd"/>
            <w:r w:rsidRPr="004C33D1">
              <w:t xml:space="preserve"> level if this level of detail is not needed.</w:t>
            </w:r>
          </w:p>
        </w:tc>
      </w:tr>
      <w:tr w:rsidR="008227AD" w:rsidRPr="004C33D1" w:rsidTr="003C1A69">
        <w:tblPrEx>
          <w:tblCellMar>
            <w:top w:w="0" w:type="dxa"/>
            <w:left w:w="0" w:type="dxa"/>
            <w:bottom w:w="0" w:type="dxa"/>
            <w:right w:w="0" w:type="dxa"/>
          </w:tblCellMar>
        </w:tblPrEx>
        <w:trPr>
          <w:trHeight w:val="256"/>
        </w:trPr>
        <w:tc>
          <w:tcPr>
            <w:cnfStyle w:val="001000000000" w:firstRow="0" w:lastRow="0" w:firstColumn="1" w:lastColumn="0" w:oddVBand="0" w:evenVBand="0" w:oddHBand="0" w:evenHBand="0" w:firstRowFirstColumn="0" w:firstRowLastColumn="0" w:lastRowFirstColumn="0" w:lastRowLastColumn="0"/>
            <w:tcW w:w="1038" w:type="pct"/>
            <w:vAlign w:val="top"/>
          </w:tcPr>
          <w:p w:rsidR="008227AD" w:rsidRPr="004C33D1" w:rsidRDefault="008227AD" w:rsidP="003C1A69">
            <w:pPr>
              <w:pStyle w:val="TableText"/>
            </w:pPr>
            <w:r>
              <w:t>Land development</w:t>
            </w:r>
            <w:r w:rsidRPr="004C33D1">
              <w:t>/ site preparation costs</w:t>
            </w:r>
          </w:p>
        </w:tc>
        <w:tc>
          <w:tcPr>
            <w:tcW w:w="952" w:type="pct"/>
            <w:vAlign w:val="top"/>
          </w:tcPr>
          <w:p w:rsidR="008227AD" w:rsidRPr="004C33D1" w:rsidRDefault="008227AD" w:rsidP="003C1A69">
            <w:pPr>
              <w:pStyle w:val="TableText"/>
              <w:jc w:val="left"/>
              <w:cnfStyle w:val="000000000000" w:firstRow="0" w:lastRow="0" w:firstColumn="0" w:lastColumn="0" w:oddVBand="0" w:evenVBand="0" w:oddHBand="0" w:evenHBand="0" w:firstRowFirstColumn="0" w:firstRowLastColumn="0" w:lastRowFirstColumn="0" w:lastRowLastColumn="0"/>
            </w:pPr>
            <w:r w:rsidRPr="004C33D1">
              <w:t>Construction cost estimators or subdivision companies</w:t>
            </w:r>
          </w:p>
        </w:tc>
        <w:tc>
          <w:tcPr>
            <w:tcW w:w="3010" w:type="pct"/>
            <w:vAlign w:val="top"/>
          </w:tcPr>
          <w:p w:rsidR="008227AD" w:rsidRPr="004C33D1" w:rsidRDefault="008227AD" w:rsidP="003C1A69">
            <w:pPr>
              <w:pStyle w:val="TableText"/>
              <w:jc w:val="left"/>
              <w:cnfStyle w:val="000000000000" w:firstRow="0" w:lastRow="0" w:firstColumn="0" w:lastColumn="0" w:oddVBand="0" w:evenVBand="0" w:oddHBand="0" w:evenHBand="0" w:firstRowFirstColumn="0" w:firstRowLastColumn="0" w:lastRowFirstColumn="0" w:lastRowLastColumn="0"/>
            </w:pPr>
            <w:r w:rsidRPr="004C33D1">
              <w:t>Land development costs typically include costs of design and consenting, earthworks, and local infrastructure for subdivisions.</w:t>
            </w:r>
          </w:p>
          <w:p w:rsidR="008227AD" w:rsidRPr="004C33D1" w:rsidRDefault="008227AD" w:rsidP="003C1A69">
            <w:pPr>
              <w:pStyle w:val="TableText"/>
              <w:jc w:val="left"/>
              <w:cnfStyle w:val="000000000000" w:firstRow="0" w:lastRow="0" w:firstColumn="0" w:lastColumn="0" w:oddVBand="0" w:evenVBand="0" w:oddHBand="0" w:evenHBand="0" w:firstRowFirstColumn="0" w:firstRowLastColumn="0" w:lastRowFirstColumn="0" w:lastRowLastColumn="0"/>
            </w:pPr>
            <w:r w:rsidRPr="004C33D1">
              <w:t>As some costs (eg slope reinforcement or stormwater) can be site-dependent, targeted estimates for particular locations are preferred.</w:t>
            </w:r>
          </w:p>
        </w:tc>
      </w:tr>
      <w:tr w:rsidR="008227AD" w:rsidRPr="004C33D1" w:rsidTr="003C1A69">
        <w:tblPrEx>
          <w:tblCellMar>
            <w:top w:w="0" w:type="dxa"/>
            <w:left w:w="0" w:type="dxa"/>
            <w:bottom w:w="0" w:type="dxa"/>
            <w:right w:w="0" w:type="dxa"/>
          </w:tblCellMar>
        </w:tblPrEx>
        <w:trPr>
          <w:trHeight w:val="256"/>
        </w:trPr>
        <w:tc>
          <w:tcPr>
            <w:cnfStyle w:val="001000000000" w:firstRow="0" w:lastRow="0" w:firstColumn="1" w:lastColumn="0" w:oddVBand="0" w:evenVBand="0" w:oddHBand="0" w:evenHBand="0" w:firstRowFirstColumn="0" w:firstRowLastColumn="0" w:lastRowFirstColumn="0" w:lastRowLastColumn="0"/>
            <w:tcW w:w="1038" w:type="pct"/>
            <w:vAlign w:val="top"/>
          </w:tcPr>
          <w:p w:rsidR="008227AD" w:rsidRPr="004C33D1" w:rsidRDefault="008227AD" w:rsidP="003C1A69">
            <w:pPr>
              <w:pStyle w:val="TableText"/>
            </w:pPr>
            <w:r w:rsidRPr="004C33D1">
              <w:t>Construction costs</w:t>
            </w:r>
          </w:p>
        </w:tc>
        <w:tc>
          <w:tcPr>
            <w:tcW w:w="952" w:type="pct"/>
            <w:vAlign w:val="top"/>
          </w:tcPr>
          <w:p w:rsidR="008227AD" w:rsidRPr="004C33D1" w:rsidRDefault="008227AD" w:rsidP="003C1A69">
            <w:pPr>
              <w:pStyle w:val="TableText"/>
              <w:jc w:val="left"/>
              <w:cnfStyle w:val="000000000000" w:firstRow="0" w:lastRow="0" w:firstColumn="0" w:lastColumn="0" w:oddVBand="0" w:evenVBand="0" w:oddHBand="0" w:evenHBand="0" w:firstRowFirstColumn="0" w:firstRowLastColumn="0" w:lastRowFirstColumn="0" w:lastRowLastColumn="0"/>
            </w:pPr>
            <w:r w:rsidRPr="004C33D1">
              <w:t>Construction cost estimators (eg CoreLogic, RLB)</w:t>
            </w:r>
          </w:p>
        </w:tc>
        <w:tc>
          <w:tcPr>
            <w:tcW w:w="3010" w:type="pct"/>
            <w:vAlign w:val="top"/>
          </w:tcPr>
          <w:p w:rsidR="008227AD" w:rsidRPr="004C33D1" w:rsidRDefault="008227AD" w:rsidP="003C1A69">
            <w:pPr>
              <w:pStyle w:val="TableText"/>
              <w:jc w:val="left"/>
              <w:cnfStyle w:val="000000000000" w:firstRow="0" w:lastRow="0" w:firstColumn="0" w:lastColumn="0" w:oddVBand="0" w:evenVBand="0" w:oddHBand="0" w:evenHBand="0" w:firstRowFirstColumn="0" w:firstRowLastColumn="0" w:lastRowFirstColumn="0" w:lastRowLastColumn="0"/>
            </w:pPr>
            <w:r w:rsidRPr="004C33D1">
              <w:t xml:space="preserve">Construction costs reflect the cost </w:t>
            </w:r>
            <w:proofErr w:type="gramStart"/>
            <w:r w:rsidRPr="004C33D1">
              <w:t>to physically construct</w:t>
            </w:r>
            <w:proofErr w:type="gramEnd"/>
            <w:r w:rsidRPr="004C33D1">
              <w:t xml:space="preserve"> a building.</w:t>
            </w:r>
          </w:p>
          <w:p w:rsidR="008227AD" w:rsidRPr="004C33D1" w:rsidRDefault="008227AD" w:rsidP="003C1A69">
            <w:pPr>
              <w:pStyle w:val="TableText"/>
              <w:jc w:val="left"/>
              <w:cnfStyle w:val="000000000000" w:firstRow="0" w:lastRow="0" w:firstColumn="0" w:lastColumn="0" w:oddVBand="0" w:evenVBand="0" w:oddHBand="0" w:evenHBand="0" w:firstRowFirstColumn="0" w:firstRowLastColumn="0" w:lastRowFirstColumn="0" w:lastRowLastColumn="0"/>
            </w:pPr>
            <w:r w:rsidRPr="004C33D1">
              <w:t>They typically differ depending upon:</w:t>
            </w:r>
          </w:p>
          <w:p w:rsidR="008227AD" w:rsidRPr="004C33D1" w:rsidRDefault="008227AD" w:rsidP="006277DC">
            <w:pPr>
              <w:pStyle w:val="TableText"/>
              <w:numPr>
                <w:ilvl w:val="0"/>
                <w:numId w:val="58"/>
              </w:numPr>
              <w:jc w:val="left"/>
              <w:cnfStyle w:val="000000000000" w:firstRow="0" w:lastRow="0" w:firstColumn="0" w:lastColumn="0" w:oddVBand="0" w:evenVBand="0" w:oddHBand="0" w:evenHBand="0" w:firstRowFirstColumn="0" w:firstRowLastColumn="0" w:lastRowFirstColumn="0" w:lastRowLastColumn="0"/>
            </w:pPr>
            <w:r w:rsidRPr="004C33D1">
              <w:t>Building type and construction technology</w:t>
            </w:r>
            <w:r>
              <w:t>,</w:t>
            </w:r>
            <w:r w:rsidRPr="004C33D1">
              <w:t xml:space="preserve"> ie high-rise apartments tend to be more costly than single-storey houses</w:t>
            </w:r>
            <w:r w:rsidR="00071244">
              <w:t>.</w:t>
            </w:r>
          </w:p>
          <w:p w:rsidR="008227AD" w:rsidRPr="004C33D1" w:rsidRDefault="008227AD" w:rsidP="006277DC">
            <w:pPr>
              <w:pStyle w:val="TableText"/>
              <w:numPr>
                <w:ilvl w:val="0"/>
                <w:numId w:val="58"/>
              </w:numPr>
              <w:jc w:val="left"/>
              <w:cnfStyle w:val="000000000000" w:firstRow="0" w:lastRow="0" w:firstColumn="0" w:lastColumn="0" w:oddVBand="0" w:evenVBand="0" w:oddHBand="0" w:evenHBand="0" w:firstRowFirstColumn="0" w:firstRowLastColumn="0" w:lastRowFirstColumn="0" w:lastRowLastColumn="0"/>
            </w:pPr>
            <w:r w:rsidRPr="004C33D1">
              <w:t>Building quality and attributes</w:t>
            </w:r>
            <w:r>
              <w:t>,</w:t>
            </w:r>
            <w:r w:rsidRPr="004C33D1">
              <w:t xml:space="preserve"> eg features like decks or garages add cost.</w:t>
            </w:r>
          </w:p>
        </w:tc>
      </w:tr>
      <w:tr w:rsidR="008227AD" w:rsidRPr="004C33D1" w:rsidTr="003C1A69">
        <w:tblPrEx>
          <w:tblCellMar>
            <w:top w:w="0" w:type="dxa"/>
            <w:left w:w="0" w:type="dxa"/>
            <w:bottom w:w="0" w:type="dxa"/>
            <w:right w:w="0" w:type="dxa"/>
          </w:tblCellMar>
        </w:tblPrEx>
        <w:trPr>
          <w:trHeight w:val="256"/>
        </w:trPr>
        <w:tc>
          <w:tcPr>
            <w:cnfStyle w:val="001000000000" w:firstRow="0" w:lastRow="0" w:firstColumn="1" w:lastColumn="0" w:oddVBand="0" w:evenVBand="0" w:oddHBand="0" w:evenHBand="0" w:firstRowFirstColumn="0" w:firstRowLastColumn="0" w:lastRowFirstColumn="0" w:lastRowLastColumn="0"/>
            <w:tcW w:w="1038" w:type="pct"/>
            <w:vAlign w:val="top"/>
          </w:tcPr>
          <w:p w:rsidR="008227AD" w:rsidRPr="004C33D1" w:rsidRDefault="008227AD" w:rsidP="003C1A69">
            <w:pPr>
              <w:pStyle w:val="TableText"/>
            </w:pPr>
            <w:r w:rsidRPr="004C33D1">
              <w:t>Design and consenting costs</w:t>
            </w:r>
          </w:p>
        </w:tc>
        <w:tc>
          <w:tcPr>
            <w:tcW w:w="952" w:type="pct"/>
            <w:vAlign w:val="top"/>
          </w:tcPr>
          <w:p w:rsidR="008227AD" w:rsidRPr="004C33D1" w:rsidRDefault="008227AD" w:rsidP="003C1A69">
            <w:pPr>
              <w:pStyle w:val="TableText"/>
              <w:jc w:val="left"/>
              <w:cnfStyle w:val="000000000000" w:firstRow="0" w:lastRow="0" w:firstColumn="0" w:lastColumn="0" w:oddVBand="0" w:evenVBand="0" w:oddHBand="0" w:evenHBand="0" w:firstRowFirstColumn="0" w:firstRowLastColumn="0" w:lastRowFirstColumn="0" w:lastRowLastColumn="0"/>
            </w:pPr>
            <w:r w:rsidRPr="004C33D1">
              <w:t>Construction cost estimators or developers</w:t>
            </w:r>
          </w:p>
        </w:tc>
        <w:tc>
          <w:tcPr>
            <w:tcW w:w="3010" w:type="pct"/>
            <w:vAlign w:val="top"/>
          </w:tcPr>
          <w:p w:rsidR="008227AD" w:rsidRPr="004C33D1" w:rsidRDefault="008227AD" w:rsidP="003C1A69">
            <w:pPr>
              <w:pStyle w:val="TableText"/>
              <w:jc w:val="left"/>
              <w:cnfStyle w:val="000000000000" w:firstRow="0" w:lastRow="0" w:firstColumn="0" w:lastColumn="0" w:oddVBand="0" w:evenVBand="0" w:oddHBand="0" w:evenHBand="0" w:firstRowFirstColumn="0" w:firstRowLastColumn="0" w:lastRowFirstColumn="0" w:lastRowLastColumn="0"/>
            </w:pPr>
            <w:r w:rsidRPr="004C33D1">
              <w:t>Developers must incur design costs (eg for architectural and professional services) as well as costs associated with council resource consent and building cost requirements.</w:t>
            </w:r>
          </w:p>
          <w:p w:rsidR="008227AD" w:rsidRPr="004C33D1" w:rsidRDefault="008227AD" w:rsidP="003C1A69">
            <w:pPr>
              <w:pStyle w:val="TableText"/>
              <w:jc w:val="left"/>
              <w:cnfStyle w:val="000000000000" w:firstRow="0" w:lastRow="0" w:firstColumn="0" w:lastColumn="0" w:oddVBand="0" w:evenVBand="0" w:oddHBand="0" w:evenHBand="0" w:firstRowFirstColumn="0" w:firstRowLastColumn="0" w:lastRowFirstColumn="0" w:lastRowLastColumn="0"/>
            </w:pPr>
            <w:r w:rsidRPr="004C33D1">
              <w:t>Design and consenting costs may vary between building types or locations. Consenting costs (and/or the risk of not achieving consent) are likely to be higher for developments that do not fully comply with district plan rules.</w:t>
            </w:r>
          </w:p>
        </w:tc>
      </w:tr>
      <w:tr w:rsidR="008227AD" w:rsidRPr="004C33D1" w:rsidTr="003C1A69">
        <w:tblPrEx>
          <w:tblCellMar>
            <w:top w:w="0" w:type="dxa"/>
            <w:left w:w="0" w:type="dxa"/>
            <w:bottom w:w="0" w:type="dxa"/>
            <w:right w:w="0" w:type="dxa"/>
          </w:tblCellMar>
        </w:tblPrEx>
        <w:trPr>
          <w:trHeight w:val="256"/>
        </w:trPr>
        <w:tc>
          <w:tcPr>
            <w:cnfStyle w:val="001000000000" w:firstRow="0" w:lastRow="0" w:firstColumn="1" w:lastColumn="0" w:oddVBand="0" w:evenVBand="0" w:oddHBand="0" w:evenHBand="0" w:firstRowFirstColumn="0" w:firstRowLastColumn="0" w:lastRowFirstColumn="0" w:lastRowLastColumn="0"/>
            <w:tcW w:w="1038" w:type="pct"/>
            <w:vAlign w:val="top"/>
          </w:tcPr>
          <w:p w:rsidR="008227AD" w:rsidRPr="004C33D1" w:rsidRDefault="008227AD" w:rsidP="003C1A69">
            <w:pPr>
              <w:pStyle w:val="TableText"/>
            </w:pPr>
            <w:r w:rsidRPr="004C33D1">
              <w:t>Development and financial contributions</w:t>
            </w:r>
          </w:p>
        </w:tc>
        <w:tc>
          <w:tcPr>
            <w:tcW w:w="952" w:type="pct"/>
            <w:vAlign w:val="top"/>
          </w:tcPr>
          <w:p w:rsidR="008227AD" w:rsidRPr="004C33D1" w:rsidRDefault="008227AD" w:rsidP="003C1A69">
            <w:pPr>
              <w:pStyle w:val="TableText"/>
              <w:jc w:val="left"/>
              <w:cnfStyle w:val="000000000000" w:firstRow="0" w:lastRow="0" w:firstColumn="0" w:lastColumn="0" w:oddVBand="0" w:evenVBand="0" w:oddHBand="0" w:evenHBand="0" w:firstRowFirstColumn="0" w:firstRowLastColumn="0" w:lastRowFirstColumn="0" w:lastRowLastColumn="0"/>
            </w:pPr>
            <w:r w:rsidRPr="004C33D1">
              <w:t>Council development contribution policies</w:t>
            </w:r>
          </w:p>
        </w:tc>
        <w:tc>
          <w:tcPr>
            <w:tcW w:w="3010" w:type="pct"/>
            <w:vAlign w:val="top"/>
          </w:tcPr>
          <w:p w:rsidR="008227AD" w:rsidRPr="004C33D1" w:rsidRDefault="008227AD" w:rsidP="003C1A69">
            <w:pPr>
              <w:pStyle w:val="TableText"/>
              <w:jc w:val="left"/>
              <w:cnfStyle w:val="000000000000" w:firstRow="0" w:lastRow="0" w:firstColumn="0" w:lastColumn="0" w:oddVBand="0" w:evenVBand="0" w:oddHBand="0" w:evenHBand="0" w:firstRowFirstColumn="0" w:firstRowLastColumn="0" w:lastRowFirstColumn="0" w:lastRowLastColumn="0"/>
            </w:pPr>
            <w:r w:rsidRPr="004C33D1">
              <w:t>Developers are typically obliged to pay development / financial contributions to cover part or all of the cost of network and local infrastructure.</w:t>
            </w:r>
          </w:p>
        </w:tc>
      </w:tr>
      <w:tr w:rsidR="008227AD" w:rsidRPr="004C33D1" w:rsidTr="003C1A69">
        <w:tblPrEx>
          <w:tblCellMar>
            <w:top w:w="0" w:type="dxa"/>
            <w:left w:w="0" w:type="dxa"/>
            <w:bottom w:w="0" w:type="dxa"/>
            <w:right w:w="0" w:type="dxa"/>
          </w:tblCellMar>
        </w:tblPrEx>
        <w:trPr>
          <w:trHeight w:val="256"/>
        </w:trPr>
        <w:tc>
          <w:tcPr>
            <w:cnfStyle w:val="001000000000" w:firstRow="0" w:lastRow="0" w:firstColumn="1" w:lastColumn="0" w:oddVBand="0" w:evenVBand="0" w:oddHBand="0" w:evenHBand="0" w:firstRowFirstColumn="0" w:firstRowLastColumn="0" w:lastRowFirstColumn="0" w:lastRowLastColumn="0"/>
            <w:tcW w:w="1038" w:type="pct"/>
            <w:vAlign w:val="top"/>
          </w:tcPr>
          <w:p w:rsidR="008227AD" w:rsidRPr="004C33D1" w:rsidRDefault="008227AD" w:rsidP="003C1A69">
            <w:pPr>
              <w:pStyle w:val="TableText"/>
            </w:pPr>
            <w:r w:rsidRPr="004C33D1">
              <w:t>Developers’ cost of capital (holding costs)</w:t>
            </w:r>
          </w:p>
        </w:tc>
        <w:tc>
          <w:tcPr>
            <w:tcW w:w="952" w:type="pct"/>
            <w:vAlign w:val="top"/>
          </w:tcPr>
          <w:p w:rsidR="008227AD" w:rsidRPr="004C33D1" w:rsidRDefault="008227AD" w:rsidP="003C1A69">
            <w:pPr>
              <w:pStyle w:val="TableText"/>
              <w:jc w:val="left"/>
              <w:cnfStyle w:val="000000000000" w:firstRow="0" w:lastRow="0" w:firstColumn="0" w:lastColumn="0" w:oddVBand="0" w:evenVBand="0" w:oddHBand="0" w:evenHBand="0" w:firstRowFirstColumn="0" w:firstRowLastColumn="0" w:lastRowFirstColumn="0" w:lastRowLastColumn="0"/>
            </w:pPr>
            <w:r w:rsidRPr="004C33D1">
              <w:t>Developers or general market information</w:t>
            </w:r>
          </w:p>
        </w:tc>
        <w:tc>
          <w:tcPr>
            <w:tcW w:w="3010" w:type="pct"/>
            <w:vAlign w:val="top"/>
          </w:tcPr>
          <w:p w:rsidR="00333211" w:rsidRDefault="008227AD" w:rsidP="003C1A69">
            <w:pPr>
              <w:pStyle w:val="TableText"/>
              <w:jc w:val="left"/>
              <w:cnfStyle w:val="000000000000" w:firstRow="0" w:lastRow="0" w:firstColumn="0" w:lastColumn="0" w:oddVBand="0" w:evenVBand="0" w:oddHBand="0" w:evenHBand="0" w:firstRowFirstColumn="0" w:firstRowLastColumn="0" w:lastRowFirstColumn="0" w:lastRowLastColumn="0"/>
            </w:pPr>
            <w:r w:rsidRPr="004C33D1">
              <w:t xml:space="preserve">If there is a </w:t>
            </w:r>
            <w:proofErr w:type="gramStart"/>
            <w:r w:rsidRPr="004C33D1">
              <w:t>time-lag</w:t>
            </w:r>
            <w:proofErr w:type="gramEnd"/>
            <w:r w:rsidRPr="004C33D1">
              <w:t xml:space="preserve"> between when development costs (eg land acquisition) are incurred and when development revenues are earned, then developers must incur holding costs such as additional interest payments on bank loans.</w:t>
            </w:r>
          </w:p>
          <w:p w:rsidR="00333211" w:rsidRDefault="00333211" w:rsidP="003C1A69">
            <w:pPr>
              <w:pStyle w:val="TableText"/>
              <w:jc w:val="left"/>
              <w:cnfStyle w:val="000000000000" w:firstRow="0" w:lastRow="0" w:firstColumn="0" w:lastColumn="0" w:oddVBand="0" w:evenVBand="0" w:oddHBand="0" w:evenHBand="0" w:firstRowFirstColumn="0" w:firstRowLastColumn="0" w:lastRowFirstColumn="0" w:lastRowLastColumn="0"/>
            </w:pPr>
          </w:p>
          <w:p w:rsidR="00333211" w:rsidRPr="004C33D1" w:rsidRDefault="00333211" w:rsidP="003C1A69">
            <w:pPr>
              <w:pStyle w:val="TableText"/>
              <w:jc w:val="left"/>
              <w:cnfStyle w:val="000000000000" w:firstRow="0" w:lastRow="0" w:firstColumn="0" w:lastColumn="0" w:oddVBand="0" w:evenVBand="0" w:oddHBand="0" w:evenHBand="0" w:firstRowFirstColumn="0" w:firstRowLastColumn="0" w:lastRowFirstColumn="0" w:lastRowLastColumn="0"/>
            </w:pPr>
          </w:p>
        </w:tc>
      </w:tr>
      <w:tr w:rsidR="008227AD" w:rsidRPr="004C33D1" w:rsidTr="003C1A69">
        <w:tblPrEx>
          <w:tblCellMar>
            <w:top w:w="0" w:type="dxa"/>
            <w:left w:w="0" w:type="dxa"/>
            <w:bottom w:w="0" w:type="dxa"/>
            <w:right w:w="0" w:type="dxa"/>
          </w:tblCellMar>
        </w:tblPrEx>
        <w:trPr>
          <w:trHeight w:val="256"/>
        </w:trPr>
        <w:tc>
          <w:tcPr>
            <w:cnfStyle w:val="001000000000" w:firstRow="0" w:lastRow="0" w:firstColumn="1" w:lastColumn="0" w:oddVBand="0" w:evenVBand="0" w:oddHBand="0" w:evenHBand="0" w:firstRowFirstColumn="0" w:firstRowLastColumn="0" w:lastRowFirstColumn="0" w:lastRowLastColumn="0"/>
            <w:tcW w:w="1990" w:type="pct"/>
            <w:gridSpan w:val="2"/>
            <w:vAlign w:val="top"/>
          </w:tcPr>
          <w:p w:rsidR="008227AD" w:rsidRPr="004C33D1" w:rsidRDefault="008227AD" w:rsidP="003C1A69">
            <w:pPr>
              <w:pStyle w:val="TableText"/>
            </w:pPr>
            <w:r w:rsidRPr="004C33D1">
              <w:rPr>
                <w:b/>
                <w:i/>
              </w:rPr>
              <w:t>Data on development revenues</w:t>
            </w:r>
          </w:p>
        </w:tc>
        <w:tc>
          <w:tcPr>
            <w:tcW w:w="3010" w:type="pct"/>
            <w:vAlign w:val="top"/>
          </w:tcPr>
          <w:p w:rsidR="008227AD" w:rsidRPr="004C33D1" w:rsidRDefault="008227AD" w:rsidP="003C1A69">
            <w:pPr>
              <w:pStyle w:val="TableText"/>
              <w:jc w:val="left"/>
              <w:cnfStyle w:val="000000000000" w:firstRow="0" w:lastRow="0" w:firstColumn="0" w:lastColumn="0" w:oddVBand="0" w:evenVBand="0" w:oddHBand="0" w:evenHBand="0" w:firstRowFirstColumn="0" w:firstRowLastColumn="0" w:lastRowFirstColumn="0" w:lastRowLastColumn="0"/>
            </w:pPr>
          </w:p>
        </w:tc>
      </w:tr>
      <w:tr w:rsidR="008227AD" w:rsidRPr="004C33D1" w:rsidTr="003C1A69">
        <w:tblPrEx>
          <w:tblCellMar>
            <w:top w:w="0" w:type="dxa"/>
            <w:left w:w="0" w:type="dxa"/>
            <w:bottom w:w="0" w:type="dxa"/>
            <w:right w:w="0" w:type="dxa"/>
          </w:tblCellMar>
        </w:tblPrEx>
        <w:trPr>
          <w:trHeight w:val="256"/>
        </w:trPr>
        <w:tc>
          <w:tcPr>
            <w:cnfStyle w:val="001000000000" w:firstRow="0" w:lastRow="0" w:firstColumn="1" w:lastColumn="0" w:oddVBand="0" w:evenVBand="0" w:oddHBand="0" w:evenHBand="0" w:firstRowFirstColumn="0" w:firstRowLastColumn="0" w:lastRowFirstColumn="0" w:lastRowLastColumn="0"/>
            <w:tcW w:w="1038" w:type="pct"/>
            <w:vAlign w:val="top"/>
          </w:tcPr>
          <w:p w:rsidR="008227AD" w:rsidRPr="004C33D1" w:rsidRDefault="008227AD" w:rsidP="003C1A69">
            <w:pPr>
              <w:pStyle w:val="TableText"/>
            </w:pPr>
            <w:r w:rsidRPr="004C33D1">
              <w:t>Sale prices for residential properties</w:t>
            </w:r>
          </w:p>
        </w:tc>
        <w:tc>
          <w:tcPr>
            <w:tcW w:w="952" w:type="pct"/>
            <w:vAlign w:val="top"/>
          </w:tcPr>
          <w:p w:rsidR="008227AD" w:rsidRPr="004C33D1" w:rsidRDefault="008227AD" w:rsidP="003C1A69">
            <w:pPr>
              <w:pStyle w:val="TableText"/>
              <w:jc w:val="left"/>
              <w:cnfStyle w:val="000000000000" w:firstRow="0" w:lastRow="0" w:firstColumn="0" w:lastColumn="0" w:oddVBand="0" w:evenVBand="0" w:oddHBand="0" w:evenHBand="0" w:firstRowFirstColumn="0" w:firstRowLastColumn="0" w:lastRowFirstColumn="0" w:lastRowLastColumn="0"/>
            </w:pPr>
            <w:r>
              <w:t>TLAs</w:t>
            </w:r>
            <w:r w:rsidRPr="004C33D1">
              <w:t>/CoreLogic / REINZ</w:t>
            </w:r>
          </w:p>
        </w:tc>
        <w:tc>
          <w:tcPr>
            <w:tcW w:w="3010" w:type="pct"/>
            <w:vAlign w:val="top"/>
          </w:tcPr>
          <w:p w:rsidR="008227AD" w:rsidRPr="004C33D1" w:rsidRDefault="008227AD" w:rsidP="003C1A69">
            <w:pPr>
              <w:pStyle w:val="TableText"/>
              <w:jc w:val="left"/>
              <w:cnfStyle w:val="000000000000" w:firstRow="0" w:lastRow="0" w:firstColumn="0" w:lastColumn="0" w:oddVBand="0" w:evenVBand="0" w:oddHBand="0" w:evenHBand="0" w:firstRowFirstColumn="0" w:firstRowLastColumn="0" w:lastRowFirstColumn="0" w:lastRowLastColumn="0"/>
            </w:pPr>
            <w:r w:rsidRPr="004C33D1">
              <w:t xml:space="preserve">Current sale prices for residential properties </w:t>
            </w:r>
            <w:proofErr w:type="gramStart"/>
            <w:r w:rsidRPr="004C33D1">
              <w:t>can be used</w:t>
            </w:r>
            <w:proofErr w:type="gramEnd"/>
            <w:r w:rsidRPr="004C33D1">
              <w:t xml:space="preserve"> to estimate revenues from new developments.</w:t>
            </w:r>
          </w:p>
          <w:p w:rsidR="008227AD" w:rsidRPr="004C33D1" w:rsidRDefault="008227AD" w:rsidP="003C1A69">
            <w:pPr>
              <w:pStyle w:val="TableText"/>
              <w:jc w:val="left"/>
              <w:cnfStyle w:val="000000000000" w:firstRow="0" w:lastRow="0" w:firstColumn="0" w:lastColumn="0" w:oddVBand="0" w:evenVBand="0" w:oddHBand="0" w:evenHBand="0" w:firstRowFirstColumn="0" w:firstRowLastColumn="0" w:lastRowFirstColumn="0" w:lastRowLastColumn="0"/>
            </w:pPr>
            <w:r w:rsidRPr="004C33D1">
              <w:t>Data can be summarised by:</w:t>
            </w:r>
          </w:p>
          <w:p w:rsidR="008227AD" w:rsidRPr="004C33D1" w:rsidRDefault="008227AD" w:rsidP="006277DC">
            <w:pPr>
              <w:pStyle w:val="TableText"/>
              <w:numPr>
                <w:ilvl w:val="0"/>
                <w:numId w:val="58"/>
              </w:numPr>
              <w:jc w:val="left"/>
              <w:cnfStyle w:val="000000000000" w:firstRow="0" w:lastRow="0" w:firstColumn="0" w:lastColumn="0" w:oddVBand="0" w:evenVBand="0" w:oddHBand="0" w:evenHBand="0" w:firstRowFirstColumn="0" w:firstRowLastColumn="0" w:lastRowFirstColumn="0" w:lastRowLastColumn="0"/>
            </w:pPr>
            <w:r w:rsidRPr="004C33D1">
              <w:t>Location</w:t>
            </w:r>
            <w:r>
              <w:t>,</w:t>
            </w:r>
            <w:r w:rsidRPr="004C33D1">
              <w:t xml:space="preserve"> eg Census area unit</w:t>
            </w:r>
          </w:p>
          <w:p w:rsidR="008227AD" w:rsidRPr="004C33D1" w:rsidRDefault="008227AD" w:rsidP="006277DC">
            <w:pPr>
              <w:pStyle w:val="TableText"/>
              <w:numPr>
                <w:ilvl w:val="0"/>
                <w:numId w:val="58"/>
              </w:numPr>
              <w:jc w:val="left"/>
              <w:cnfStyle w:val="000000000000" w:firstRow="0" w:lastRow="0" w:firstColumn="0" w:lastColumn="0" w:oddVBand="0" w:evenVBand="0" w:oddHBand="0" w:evenHBand="0" w:firstRowFirstColumn="0" w:firstRowLastColumn="0" w:lastRowFirstColumn="0" w:lastRowLastColumn="0"/>
            </w:pPr>
            <w:r w:rsidRPr="004C33D1">
              <w:t>Dwelling type</w:t>
            </w:r>
            <w:r>
              <w:t>,</w:t>
            </w:r>
            <w:r w:rsidRPr="004C33D1">
              <w:t xml:space="preserve"> eg distinguishing between standalone houses and apartments</w:t>
            </w:r>
          </w:p>
          <w:p w:rsidR="008227AD" w:rsidRPr="004C33D1" w:rsidRDefault="008227AD" w:rsidP="006277DC">
            <w:pPr>
              <w:pStyle w:val="TableText"/>
              <w:numPr>
                <w:ilvl w:val="0"/>
                <w:numId w:val="58"/>
              </w:numPr>
              <w:jc w:val="left"/>
              <w:cnfStyle w:val="000000000000" w:firstRow="0" w:lastRow="0" w:firstColumn="0" w:lastColumn="0" w:oddVBand="0" w:evenVBand="0" w:oddHBand="0" w:evenHBand="0" w:firstRowFirstColumn="0" w:firstRowLastColumn="0" w:lastRowFirstColumn="0" w:lastRowLastColumn="0"/>
            </w:pPr>
            <w:r w:rsidRPr="004C33D1">
              <w:t>Dwelling characteristics and quality</w:t>
            </w:r>
            <w:r>
              <w:t>,</w:t>
            </w:r>
            <w:r w:rsidRPr="004C33D1">
              <w:t xml:space="preserve"> eg number of bedrooms, condition of building.</w:t>
            </w:r>
          </w:p>
          <w:p w:rsidR="008227AD" w:rsidRPr="004C33D1" w:rsidRDefault="008227AD" w:rsidP="003C1A69">
            <w:pPr>
              <w:pStyle w:val="TableText"/>
              <w:jc w:val="left"/>
              <w:cnfStyle w:val="000000000000" w:firstRow="0" w:lastRow="0" w:firstColumn="0" w:lastColumn="0" w:oddVBand="0" w:evenVBand="0" w:oddHBand="0" w:evenHBand="0" w:firstRowFirstColumn="0" w:firstRowLastColumn="0" w:lastRowFirstColumn="0" w:lastRowLastColumn="0"/>
            </w:pPr>
            <w:r w:rsidRPr="004C33D1">
              <w:t>Sale prices could be standardised, eg as revenues per square metre of dwelling.</w:t>
            </w:r>
          </w:p>
        </w:tc>
      </w:tr>
      <w:tr w:rsidR="008227AD" w:rsidRPr="004C33D1" w:rsidTr="003C1A69">
        <w:tblPrEx>
          <w:tblCellMar>
            <w:top w:w="0" w:type="dxa"/>
            <w:left w:w="0" w:type="dxa"/>
            <w:bottom w:w="0" w:type="dxa"/>
            <w:right w:w="0" w:type="dxa"/>
          </w:tblCellMar>
        </w:tblPrEx>
        <w:trPr>
          <w:cnfStyle w:val="010000000000" w:firstRow="0" w:lastRow="1" w:firstColumn="0" w:lastColumn="0" w:oddVBand="0" w:evenVBand="0" w:oddHBand="0" w:evenHBand="0" w:firstRowFirstColumn="0" w:firstRowLastColumn="0" w:lastRowFirstColumn="0" w:lastRowLastColumn="0"/>
          <w:trHeight w:val="256"/>
        </w:trPr>
        <w:tc>
          <w:tcPr>
            <w:cnfStyle w:val="001000000001" w:firstRow="0" w:lastRow="0" w:firstColumn="1" w:lastColumn="0" w:oddVBand="0" w:evenVBand="0" w:oddHBand="0" w:evenHBand="0" w:firstRowFirstColumn="0" w:firstRowLastColumn="0" w:lastRowFirstColumn="1" w:lastRowLastColumn="0"/>
            <w:tcW w:w="1038" w:type="pct"/>
            <w:vAlign w:val="top"/>
          </w:tcPr>
          <w:p w:rsidR="008227AD" w:rsidRPr="004C33D1" w:rsidRDefault="008227AD" w:rsidP="003C1A69">
            <w:pPr>
              <w:pStyle w:val="TableText"/>
            </w:pPr>
            <w:r w:rsidRPr="004C33D1">
              <w:t>Sale prices or rents for commercial properties</w:t>
            </w:r>
          </w:p>
        </w:tc>
        <w:tc>
          <w:tcPr>
            <w:tcW w:w="952" w:type="pct"/>
            <w:vAlign w:val="top"/>
          </w:tcPr>
          <w:p w:rsidR="008227AD" w:rsidRPr="004C33D1" w:rsidRDefault="008227AD" w:rsidP="003C1A69">
            <w:pPr>
              <w:pStyle w:val="TableText"/>
              <w:jc w:val="left"/>
              <w:cnfStyle w:val="010000000000" w:firstRow="0" w:lastRow="1" w:firstColumn="0" w:lastColumn="0" w:oddVBand="0" w:evenVBand="0" w:oddHBand="0" w:evenHBand="0" w:firstRowFirstColumn="0" w:firstRowLastColumn="0" w:lastRowFirstColumn="0" w:lastRowLastColumn="0"/>
            </w:pPr>
            <w:r w:rsidRPr="004C33D1">
              <w:t xml:space="preserve">TLAs / CoreLogic / </w:t>
            </w:r>
            <w:proofErr w:type="spellStart"/>
            <w:r w:rsidRPr="004C33D1">
              <w:t>Bayleys</w:t>
            </w:r>
            <w:proofErr w:type="spellEnd"/>
            <w:r w:rsidRPr="004C33D1">
              <w:t xml:space="preserve"> / CBRE</w:t>
            </w:r>
          </w:p>
        </w:tc>
        <w:tc>
          <w:tcPr>
            <w:tcW w:w="3010" w:type="pct"/>
            <w:vAlign w:val="top"/>
          </w:tcPr>
          <w:p w:rsidR="008227AD" w:rsidRPr="004C33D1" w:rsidRDefault="008227AD" w:rsidP="003C1A69">
            <w:pPr>
              <w:pStyle w:val="TableText"/>
              <w:jc w:val="left"/>
              <w:cnfStyle w:val="010000000000" w:firstRow="0" w:lastRow="1" w:firstColumn="0" w:lastColumn="0" w:oddVBand="0" w:evenVBand="0" w:oddHBand="0" w:evenHBand="0" w:firstRowFirstColumn="0" w:firstRowLastColumn="0" w:lastRowFirstColumn="0" w:lastRowLastColumn="0"/>
            </w:pPr>
            <w:r w:rsidRPr="004C33D1">
              <w:t xml:space="preserve">Current sale prices or rents for commercial properties </w:t>
            </w:r>
            <w:proofErr w:type="gramStart"/>
            <w:r w:rsidRPr="004C33D1">
              <w:t>can be used</w:t>
            </w:r>
            <w:proofErr w:type="gramEnd"/>
            <w:r w:rsidRPr="004C33D1">
              <w:t xml:space="preserve"> to estimate revenues from new developments.</w:t>
            </w:r>
          </w:p>
          <w:p w:rsidR="008227AD" w:rsidRPr="004C33D1" w:rsidRDefault="008227AD" w:rsidP="003C1A69">
            <w:pPr>
              <w:pStyle w:val="TableText"/>
              <w:jc w:val="left"/>
              <w:cnfStyle w:val="010000000000" w:firstRow="0" w:lastRow="1" w:firstColumn="0" w:lastColumn="0" w:oddVBand="0" w:evenVBand="0" w:oddHBand="0" w:evenHBand="0" w:firstRowFirstColumn="0" w:firstRowLastColumn="0" w:lastRowFirstColumn="0" w:lastRowLastColumn="0"/>
            </w:pPr>
            <w:r w:rsidRPr="004C33D1">
              <w:t>Data can be summarised by:</w:t>
            </w:r>
          </w:p>
          <w:p w:rsidR="008227AD" w:rsidRPr="004C33D1" w:rsidRDefault="008227AD" w:rsidP="006277DC">
            <w:pPr>
              <w:pStyle w:val="TableText"/>
              <w:numPr>
                <w:ilvl w:val="0"/>
                <w:numId w:val="58"/>
              </w:numPr>
              <w:jc w:val="left"/>
              <w:cnfStyle w:val="010000000000" w:firstRow="0" w:lastRow="1" w:firstColumn="0" w:lastColumn="0" w:oddVBand="0" w:evenVBand="0" w:oddHBand="0" w:evenHBand="0" w:firstRowFirstColumn="0" w:firstRowLastColumn="0" w:lastRowFirstColumn="0" w:lastRowLastColumn="0"/>
            </w:pPr>
            <w:r w:rsidRPr="004C33D1">
              <w:t>Location</w:t>
            </w:r>
            <w:r>
              <w:t>,</w:t>
            </w:r>
            <w:r w:rsidRPr="004C33D1">
              <w:t xml:space="preserve"> eg Census area unit or commercial centre</w:t>
            </w:r>
          </w:p>
          <w:p w:rsidR="008227AD" w:rsidRPr="004C33D1" w:rsidRDefault="008227AD" w:rsidP="006277DC">
            <w:pPr>
              <w:pStyle w:val="TableText"/>
              <w:numPr>
                <w:ilvl w:val="0"/>
                <w:numId w:val="58"/>
              </w:numPr>
              <w:jc w:val="left"/>
              <w:cnfStyle w:val="010000000000" w:firstRow="0" w:lastRow="1" w:firstColumn="0" w:lastColumn="0" w:oddVBand="0" w:evenVBand="0" w:oddHBand="0" w:evenHBand="0" w:firstRowFirstColumn="0" w:firstRowLastColumn="0" w:lastRowFirstColumn="0" w:lastRowLastColumn="0"/>
            </w:pPr>
            <w:r w:rsidRPr="004C33D1">
              <w:t>Building type</w:t>
            </w:r>
            <w:r>
              <w:t>,</w:t>
            </w:r>
            <w:r w:rsidRPr="004C33D1">
              <w:t xml:space="preserve"> eg offices, retail buildings, industrial warehouses</w:t>
            </w:r>
          </w:p>
          <w:p w:rsidR="008227AD" w:rsidRPr="004C33D1" w:rsidRDefault="008227AD" w:rsidP="006277DC">
            <w:pPr>
              <w:pStyle w:val="TableText"/>
              <w:numPr>
                <w:ilvl w:val="0"/>
                <w:numId w:val="58"/>
              </w:numPr>
              <w:jc w:val="left"/>
              <w:cnfStyle w:val="010000000000" w:firstRow="0" w:lastRow="1" w:firstColumn="0" w:lastColumn="0" w:oddVBand="0" w:evenVBand="0" w:oddHBand="0" w:evenHBand="0" w:firstRowFirstColumn="0" w:firstRowLastColumn="0" w:lastRowFirstColumn="0" w:lastRowLastColumn="0"/>
            </w:pPr>
            <w:proofErr w:type="gramStart"/>
            <w:r w:rsidRPr="004C33D1">
              <w:t>Building characteristics and quality</w:t>
            </w:r>
            <w:r>
              <w:t>,</w:t>
            </w:r>
            <w:r w:rsidRPr="004C33D1">
              <w:t xml:space="preserve"> eg A-grade or B-grade offices.</w:t>
            </w:r>
            <w:proofErr w:type="gramEnd"/>
          </w:p>
          <w:p w:rsidR="008227AD" w:rsidRPr="004C33D1" w:rsidRDefault="008227AD" w:rsidP="003C1A69">
            <w:pPr>
              <w:pStyle w:val="TableText"/>
              <w:jc w:val="left"/>
              <w:cnfStyle w:val="010000000000" w:firstRow="0" w:lastRow="1" w:firstColumn="0" w:lastColumn="0" w:oddVBand="0" w:evenVBand="0" w:oddHBand="0" w:evenHBand="0" w:firstRowFirstColumn="0" w:firstRowLastColumn="0" w:lastRowFirstColumn="0" w:lastRowLastColumn="0"/>
            </w:pPr>
            <w:r w:rsidRPr="004C33D1">
              <w:t>Sale prices could be standardised, eg as revenues per square metre of business floorspace.</w:t>
            </w:r>
          </w:p>
        </w:tc>
      </w:tr>
    </w:tbl>
    <w:p w:rsidR="00E31755" w:rsidRDefault="00E31755" w:rsidP="008227AD"/>
    <w:p w:rsidR="007C0CDE" w:rsidRDefault="007C0CDE" w:rsidP="007C0CDE">
      <w:r w:rsidRPr="004C33D1">
        <w:t xml:space="preserve">An important consideration is that some types of costs and revenues vary by location, eg land costs and sale prices for finished buildings, while others are relatively standard across the board within an urban area, eg construction and design costs. </w:t>
      </w:r>
      <w:r>
        <w:t>C</w:t>
      </w:r>
      <w:r w:rsidRPr="004C33D1">
        <w:t>onstruction costs vary between building types, eg apartment buildings are typically more expensive to construct (on a per-square metre basis) than standalone houses.</w:t>
      </w:r>
    </w:p>
    <w:p w:rsidR="007C0CDE" w:rsidRDefault="007C0CDE" w:rsidP="008227AD"/>
    <w:p w:rsidR="008227AD" w:rsidRDefault="008227AD" w:rsidP="008227AD">
      <w:r w:rsidRPr="004C33D1">
        <w:t>A second consideration is that some building typ</w:t>
      </w:r>
      <w:r>
        <w:t>es</w:t>
      </w:r>
      <w:r w:rsidRPr="004C33D1">
        <w:t xml:space="preserve"> </w:t>
      </w:r>
      <w:r>
        <w:t>may</w:t>
      </w:r>
      <w:r w:rsidRPr="004C33D1">
        <w:t xml:space="preserve"> not exist in all locations, eg apartments tend to be concentrated in the centre of large cities. When assessing the commercial feasibility of development capacity achieved by enabling higher-density dwelling types to locate in more areas of the city, it will be necessary to extrapolate poten</w:t>
      </w:r>
      <w:r>
        <w:t>tial prices from existing data.</w:t>
      </w:r>
    </w:p>
    <w:p w:rsidR="008227AD" w:rsidRPr="004C33D1" w:rsidRDefault="008227AD" w:rsidP="008227AD">
      <w:pPr>
        <w:pStyle w:val="Heading3"/>
      </w:pPr>
      <w:bookmarkStart w:id="125" w:name="_Toc456624680"/>
      <w:bookmarkStart w:id="126" w:name="_Toc457985395"/>
      <w:r w:rsidRPr="004C33D1">
        <w:t>Examples of Use</w:t>
      </w:r>
      <w:bookmarkEnd w:id="125"/>
      <w:bookmarkEnd w:id="126"/>
    </w:p>
    <w:p w:rsidR="008227AD" w:rsidRPr="004C33D1" w:rsidRDefault="008227AD" w:rsidP="008227AD">
      <w:r w:rsidRPr="004C33D1">
        <w:t>Several councils already model development capacity in residential zones, including the commercial feasibility of zoned capacity, using a mix of methods. This includes:</w:t>
      </w:r>
    </w:p>
    <w:p w:rsidR="008227AD" w:rsidRPr="004C33D1" w:rsidRDefault="008227AD" w:rsidP="008227AD"/>
    <w:p w:rsidR="008227AD" w:rsidRPr="004C33D1" w:rsidRDefault="008227AD" w:rsidP="006277DC">
      <w:pPr>
        <w:pStyle w:val="ListParagraph"/>
        <w:numPr>
          <w:ilvl w:val="0"/>
          <w:numId w:val="78"/>
        </w:numPr>
      </w:pPr>
      <w:r w:rsidRPr="004C33D1">
        <w:t>Auckland Council – model developed in expert conferencing during hearings on the Unitary Plan</w:t>
      </w:r>
      <w:r w:rsidR="007C0CDE">
        <w:t>;</w:t>
      </w:r>
    </w:p>
    <w:p w:rsidR="008227AD" w:rsidRPr="004C33D1" w:rsidRDefault="008227AD" w:rsidP="006277DC">
      <w:pPr>
        <w:pStyle w:val="ListParagraph"/>
        <w:numPr>
          <w:ilvl w:val="0"/>
          <w:numId w:val="78"/>
        </w:numPr>
      </w:pPr>
      <w:r w:rsidRPr="004C33D1">
        <w:t>Queenstown Lakes District Council</w:t>
      </w:r>
      <w:r w:rsidR="007C0CDE">
        <w:t>;</w:t>
      </w:r>
    </w:p>
    <w:p w:rsidR="008227AD" w:rsidRPr="004C33D1" w:rsidRDefault="008227AD" w:rsidP="006277DC">
      <w:pPr>
        <w:pStyle w:val="ListParagraph"/>
        <w:numPr>
          <w:ilvl w:val="0"/>
          <w:numId w:val="78"/>
        </w:numPr>
      </w:pPr>
      <w:r w:rsidRPr="004C33D1">
        <w:t>Lower Hutt District Council</w:t>
      </w:r>
      <w:r w:rsidR="007C0CDE">
        <w:t>;</w:t>
      </w:r>
    </w:p>
    <w:p w:rsidR="008227AD" w:rsidRPr="004C33D1" w:rsidRDefault="008227AD" w:rsidP="006277DC">
      <w:pPr>
        <w:pStyle w:val="ListParagraph"/>
        <w:numPr>
          <w:ilvl w:val="0"/>
          <w:numId w:val="78"/>
        </w:numPr>
      </w:pPr>
      <w:r w:rsidRPr="004C33D1">
        <w:t>Tauranga City Council</w:t>
      </w:r>
      <w:r w:rsidR="007C0CDE">
        <w:t>;</w:t>
      </w:r>
    </w:p>
    <w:p w:rsidR="008227AD" w:rsidRPr="004C33D1" w:rsidRDefault="008227AD" w:rsidP="006277DC">
      <w:pPr>
        <w:pStyle w:val="ListParagraph"/>
        <w:numPr>
          <w:ilvl w:val="0"/>
          <w:numId w:val="78"/>
        </w:numPr>
      </w:pPr>
      <w:r w:rsidRPr="004C33D1">
        <w:t>Western Bay of Plenty District Council</w:t>
      </w:r>
      <w:r w:rsidR="007C0CDE">
        <w:t>; and</w:t>
      </w:r>
    </w:p>
    <w:p w:rsidR="008227AD" w:rsidRPr="004C33D1" w:rsidRDefault="008227AD" w:rsidP="006277DC">
      <w:pPr>
        <w:pStyle w:val="ListParagraph"/>
        <w:numPr>
          <w:ilvl w:val="0"/>
          <w:numId w:val="78"/>
        </w:numPr>
      </w:pPr>
      <w:proofErr w:type="gramStart"/>
      <w:r w:rsidRPr="004C33D1">
        <w:t>Christchurch City Council – an integrated model looking at environmental impacts as well as commercial feasibility.</w:t>
      </w:r>
      <w:proofErr w:type="gramEnd"/>
    </w:p>
    <w:p w:rsidR="00220C7C" w:rsidRDefault="00220C7C" w:rsidP="00220C7C">
      <w:pPr>
        <w:pStyle w:val="Heading2"/>
      </w:pPr>
      <w:bookmarkStart w:id="127" w:name="_Toc462413628"/>
      <w:bookmarkStart w:id="128" w:name="_Toc462582184"/>
      <w:r w:rsidRPr="004C33D1">
        <w:t>Vacancy Rates</w:t>
      </w:r>
      <w:bookmarkEnd w:id="127"/>
      <w:bookmarkEnd w:id="128"/>
    </w:p>
    <w:p w:rsidR="00E144AE" w:rsidRDefault="00E144AE" w:rsidP="00E144AE">
      <w:r>
        <w:t xml:space="preserve">Vacancy rates </w:t>
      </w:r>
      <w:proofErr w:type="gramStart"/>
      <w:r>
        <w:t>can be measured</w:t>
      </w:r>
      <w:proofErr w:type="gramEnd"/>
      <w:r>
        <w:t xml:space="preserve"> for residential property and for business. </w:t>
      </w:r>
      <w:r w:rsidR="004453CB">
        <w:t>They have quite different implications reflecting the different uses of these properties.</w:t>
      </w:r>
    </w:p>
    <w:p w:rsidR="00E144AE" w:rsidRPr="00E144AE" w:rsidRDefault="004453CB" w:rsidP="004453CB">
      <w:pPr>
        <w:pStyle w:val="Heading3"/>
      </w:pPr>
      <w:r>
        <w:t>Residential Property</w:t>
      </w:r>
    </w:p>
    <w:p w:rsidR="009E0826" w:rsidRDefault="009E0826" w:rsidP="00220C7C">
      <w:r>
        <w:t xml:space="preserve">Vacancy rates (the proportion of </w:t>
      </w:r>
      <w:r w:rsidR="004453CB">
        <w:t xml:space="preserve">residential </w:t>
      </w:r>
      <w:r>
        <w:t xml:space="preserve">buildings that are unoccupied) can be an indicator </w:t>
      </w:r>
      <w:proofErr w:type="gramStart"/>
      <w:r>
        <w:t>of</w:t>
      </w:r>
      <w:proofErr w:type="gramEnd"/>
      <w:r>
        <w:t>:</w:t>
      </w:r>
    </w:p>
    <w:p w:rsidR="009E0826" w:rsidRDefault="009E0826" w:rsidP="006277DC">
      <w:pPr>
        <w:pStyle w:val="ListParagraph"/>
        <w:numPr>
          <w:ilvl w:val="0"/>
          <w:numId w:val="79"/>
        </w:numPr>
      </w:pPr>
      <w:r>
        <w:t xml:space="preserve">part of the supply problem, eg properties which have been purchased for investment purposes without any intention of </w:t>
      </w:r>
      <w:r w:rsidR="004453CB">
        <w:t xml:space="preserve">permanent </w:t>
      </w:r>
      <w:r>
        <w:t>occupancy or rental; or</w:t>
      </w:r>
    </w:p>
    <w:p w:rsidR="009E0826" w:rsidRDefault="009E0826" w:rsidP="006277DC">
      <w:pPr>
        <w:pStyle w:val="ListParagraph"/>
        <w:numPr>
          <w:ilvl w:val="0"/>
          <w:numId w:val="79"/>
        </w:numPr>
      </w:pPr>
      <w:proofErr w:type="gramStart"/>
      <w:r>
        <w:t>over</w:t>
      </w:r>
      <w:proofErr w:type="gramEnd"/>
      <w:r>
        <w:t xml:space="preserve">- or under-supply of certain building types, eg </w:t>
      </w:r>
      <w:r w:rsidR="004453CB">
        <w:t>properties in areas of falling housing demand</w:t>
      </w:r>
      <w:r>
        <w:t>.</w:t>
      </w:r>
    </w:p>
    <w:p w:rsidR="009E0826" w:rsidRDefault="009E0826" w:rsidP="009E0826"/>
    <w:p w:rsidR="003242EE" w:rsidRDefault="003242EE" w:rsidP="009E0826">
      <w:r>
        <w:t>Vacancy rates can also reflect the ways in which people use property. For example, residential properties can be used for holiday ho</w:t>
      </w:r>
      <w:r w:rsidR="00A44D11">
        <w:t>m</w:t>
      </w:r>
      <w:r>
        <w:t xml:space="preserve">es or as residencies for people based part-time overseas. These are both elements of total demand for residential properties in New Zealand. </w:t>
      </w:r>
    </w:p>
    <w:p w:rsidR="003242EE" w:rsidRDefault="003242EE" w:rsidP="009E0826"/>
    <w:p w:rsidR="003242EE" w:rsidRDefault="002548AB" w:rsidP="009E0826">
      <w:r>
        <w:t xml:space="preserve">Data on vacancy rates in residential properties </w:t>
      </w:r>
      <w:proofErr w:type="gramStart"/>
      <w:r>
        <w:t>are collected</w:t>
      </w:r>
      <w:proofErr w:type="gramEnd"/>
      <w:r>
        <w:t xml:space="preserve"> in the census every three years. More frequent data might be obtained, in theory, using utility, eg water or energy data. However, low or no use may reflect other reasons, including multiple connections </w:t>
      </w:r>
      <w:r>
        <w:lastRenderedPageBreak/>
        <w:t>to a single property or customer switching providers. Utility providers approached for this study have either been reluctant to provide data or advised that it would</w:t>
      </w:r>
      <w:r w:rsidR="003242EE">
        <w:t xml:space="preserve"> be too uncertain to be useful. However, in addition to the data problems, it is ambiguous as to whether vacant properties are an element of the problem or simply a reflection of diverse usage.</w:t>
      </w:r>
    </w:p>
    <w:p w:rsidR="003242EE" w:rsidRDefault="003242EE" w:rsidP="003242EE">
      <w:pPr>
        <w:pStyle w:val="Heading3"/>
      </w:pPr>
      <w:bookmarkStart w:id="129" w:name="_Ref462574556"/>
      <w:r>
        <w:t>Business Land and Commercial Property</w:t>
      </w:r>
      <w:bookmarkEnd w:id="129"/>
    </w:p>
    <w:p w:rsidR="003242EE" w:rsidRDefault="003242EE" w:rsidP="003242EE">
      <w:r w:rsidRPr="00AB0076">
        <w:t xml:space="preserve">Business land vacancy is one of several </w:t>
      </w:r>
      <w:r>
        <w:t xml:space="preserve">indicators </w:t>
      </w:r>
      <w:r w:rsidRPr="00AB0076">
        <w:t xml:space="preserve">recommended </w:t>
      </w:r>
      <w:r>
        <w:t xml:space="preserve">in the </w:t>
      </w:r>
      <w:r w:rsidR="0059793C">
        <w:t>draft</w:t>
      </w:r>
      <w:r>
        <w:t xml:space="preserve"> NPS-UDC for </w:t>
      </w:r>
      <w:r w:rsidRPr="00AB0076">
        <w:t xml:space="preserve">local authorities in medium or high growth urban areas. </w:t>
      </w:r>
      <w:r>
        <w:t>V</w:t>
      </w:r>
      <w:r w:rsidRPr="00AB0076">
        <w:t>acancy rates can provide insight to the changes in the supply and demand dynamics</w:t>
      </w:r>
      <w:r>
        <w:t>, especially when combined with other information on supply (eg consents for non-residential buildings) and demand (eg growth in sectoral employment and numbers of business units) (see below)</w:t>
      </w:r>
      <w:r w:rsidRPr="00AB0076">
        <w:t xml:space="preserve">. Low vacancy rates </w:t>
      </w:r>
      <w:r>
        <w:t xml:space="preserve">would suggest </w:t>
      </w:r>
      <w:r w:rsidRPr="00AB0076">
        <w:t xml:space="preserve">that </w:t>
      </w:r>
      <w:r>
        <w:t xml:space="preserve">demand levels are close to levels of supply, which will have different implications depending on the trends in vacancy rates and changes in other estimates of supply and demand. </w:t>
      </w:r>
    </w:p>
    <w:p w:rsidR="003242EE" w:rsidRDefault="003242EE" w:rsidP="003242EE"/>
    <w:p w:rsidR="003242EE" w:rsidRPr="00AB0076" w:rsidRDefault="003242EE" w:rsidP="003242EE">
      <w:r>
        <w:t xml:space="preserve">Business vacancy data </w:t>
      </w:r>
      <w:proofErr w:type="gramStart"/>
      <w:r>
        <w:t>are collected and published by several property companies</w:t>
      </w:r>
      <w:proofErr w:type="gramEnd"/>
      <w:r>
        <w:t>. D</w:t>
      </w:r>
      <w:r w:rsidRPr="00AB0076">
        <w:t xml:space="preserve">ata </w:t>
      </w:r>
      <w:r>
        <w:t>are collected using</w:t>
      </w:r>
      <w:r w:rsidRPr="00AB0076">
        <w:t xml:space="preserve"> surveys </w:t>
      </w:r>
      <w:r>
        <w:t xml:space="preserve">of </w:t>
      </w:r>
      <w:r w:rsidRPr="00AB0076">
        <w:t xml:space="preserve">the occupancy status of each industrial, office and retail premises within a given area. These surveys </w:t>
      </w:r>
      <w:proofErr w:type="gramStart"/>
      <w:r w:rsidRPr="00AB0076">
        <w:t>are carried out</w:t>
      </w:r>
      <w:proofErr w:type="gramEnd"/>
      <w:r w:rsidRPr="00AB0076">
        <w:t xml:space="preserve"> most extensively in Auckland, Wellington and Christchurch</w:t>
      </w:r>
      <w:r>
        <w:t>, but d</w:t>
      </w:r>
      <w:r w:rsidRPr="00AB0076">
        <w:t xml:space="preserve">ata </w:t>
      </w:r>
      <w:r>
        <w:t>are</w:t>
      </w:r>
      <w:r w:rsidRPr="00AB0076">
        <w:t xml:space="preserve"> also available for Hamilton, Tauranga and Dunedin.</w:t>
      </w:r>
    </w:p>
    <w:p w:rsidR="003242EE" w:rsidRPr="00AB0076" w:rsidRDefault="003242EE" w:rsidP="003242EE"/>
    <w:bookmarkStart w:id="130" w:name="_Ref458075355"/>
    <w:p w:rsidR="003242EE" w:rsidRDefault="003242EE" w:rsidP="003242EE">
      <w:r>
        <w:fldChar w:fldCharType="begin"/>
      </w:r>
      <w:r>
        <w:instrText xml:space="preserve"> REF _Ref458087781 \h </w:instrText>
      </w:r>
      <w:r>
        <w:fldChar w:fldCharType="separate"/>
      </w:r>
      <w:r w:rsidR="004D1DDA">
        <w:t xml:space="preserve">Figure </w:t>
      </w:r>
      <w:r w:rsidR="004D1DDA">
        <w:rPr>
          <w:noProof/>
        </w:rPr>
        <w:t>21</w:t>
      </w:r>
      <w:r>
        <w:fldChar w:fldCharType="end"/>
      </w:r>
      <w:r>
        <w:t xml:space="preserve"> </w:t>
      </w:r>
      <w:r w:rsidRPr="00FE4D3B">
        <w:t xml:space="preserve">shows </w:t>
      </w:r>
      <w:r>
        <w:t>Colliers</w:t>
      </w:r>
      <w:r w:rsidR="007C0CDE">
        <w:t>’</w:t>
      </w:r>
      <w:r>
        <w:t xml:space="preserve"> estimate of </w:t>
      </w:r>
      <w:r w:rsidRPr="00FE4D3B">
        <w:t xml:space="preserve">the decline in vacancy rates for office buildings in the Auckland CBD since 1996. The recent steep decline </w:t>
      </w:r>
      <w:r>
        <w:t xml:space="preserve">(to the left of the dotted line) </w:t>
      </w:r>
      <w:proofErr w:type="gramStart"/>
      <w:r>
        <w:t xml:space="preserve">is </w:t>
      </w:r>
      <w:r w:rsidRPr="00FE4D3B">
        <w:t>attributed</w:t>
      </w:r>
      <w:proofErr w:type="gramEnd"/>
      <w:r w:rsidRPr="00FE4D3B">
        <w:t xml:space="preserve"> to rising employment in the area and strong demand for prime office space.</w:t>
      </w:r>
      <w:r>
        <w:t xml:space="preserve"> Colliers </w:t>
      </w:r>
      <w:proofErr w:type="gramStart"/>
      <w:r>
        <w:t>notes that</w:t>
      </w:r>
      <w:proofErr w:type="gramEnd"/>
      <w:r>
        <w:t xml:space="preserve"> “</w:t>
      </w:r>
      <w:r w:rsidRPr="007037A9">
        <w:rPr>
          <w:i/>
        </w:rPr>
        <w:t xml:space="preserve">Auckland CBD office employment has increased by more than 20% in the past five years. The result of such rapid growth is the overall vacancy rate reducing to 6.2% - a record low. Since 2010, vacant space has halved and net supply has reduced by almost 30,000 </w:t>
      </w:r>
      <w:proofErr w:type="spellStart"/>
      <w:r w:rsidRPr="007037A9">
        <w:rPr>
          <w:i/>
        </w:rPr>
        <w:t>sqm</w:t>
      </w:r>
      <w:proofErr w:type="spellEnd"/>
      <w:r w:rsidRPr="007037A9">
        <w:rPr>
          <w:i/>
        </w:rPr>
        <w:t>.</w:t>
      </w:r>
      <w:r>
        <w:t>”</w:t>
      </w:r>
      <w:r>
        <w:rPr>
          <w:rStyle w:val="FootnoteReference"/>
        </w:rPr>
        <w:footnoteReference w:id="62"/>
      </w:r>
    </w:p>
    <w:p w:rsidR="007C0CDE" w:rsidRDefault="007C0CDE" w:rsidP="003242EE"/>
    <w:p w:rsidR="007C0CDE" w:rsidRDefault="007C0CDE" w:rsidP="007C0CDE">
      <w:r w:rsidRPr="00FE4D3B">
        <w:fldChar w:fldCharType="begin"/>
      </w:r>
      <w:r w:rsidRPr="00FE4D3B">
        <w:instrText xml:space="preserve"> REF _Ref458081153 \h  \* MERGEFORMAT </w:instrText>
      </w:r>
      <w:r w:rsidRPr="00FE4D3B">
        <w:fldChar w:fldCharType="separate"/>
      </w:r>
      <w:r w:rsidR="004D1DDA">
        <w:t>Figure 22</w:t>
      </w:r>
      <w:r w:rsidRPr="00FE4D3B">
        <w:fldChar w:fldCharType="end"/>
      </w:r>
      <w:r w:rsidRPr="00FE4D3B">
        <w:t xml:space="preserve"> illustrates Wellington CBD’s vacancy </w:t>
      </w:r>
      <w:proofErr w:type="gramStart"/>
      <w:r w:rsidRPr="00FE4D3B">
        <w:t xml:space="preserve">rate </w:t>
      </w:r>
      <w:r>
        <w:t>which</w:t>
      </w:r>
      <w:proofErr w:type="gramEnd"/>
      <w:r>
        <w:t xml:space="preserve"> rose significantly after 2008. Westpac suggests that significant factors in the overall change in demand are modest employment growth and the reduced Government footprint; it intends to cut its space utilisation by up to one-third</w:t>
      </w:r>
      <w:r>
        <w:rPr>
          <w:rStyle w:val="FootnoteReference"/>
        </w:rPr>
        <w:footnoteReference w:id="63"/>
      </w:r>
      <w:r>
        <w:t xml:space="preserve"> in a market in which Government accounts for 50% of all office space.</w:t>
      </w:r>
      <w:r>
        <w:rPr>
          <w:rStyle w:val="FootnoteReference"/>
        </w:rPr>
        <w:footnoteReference w:id="64"/>
      </w:r>
      <w:r>
        <w:t xml:space="preserve">  </w:t>
      </w:r>
    </w:p>
    <w:p w:rsidR="007C0CDE" w:rsidRDefault="007C0CDE" w:rsidP="007C0CDE"/>
    <w:p w:rsidR="007C0CDE" w:rsidRPr="00FE4D3B" w:rsidRDefault="007C0CDE" w:rsidP="007C0CDE">
      <w:r>
        <w:t xml:space="preserve">Trends in business land and commercial property occupancy provide some insight into supply and demand dynamics in this market, but they </w:t>
      </w:r>
      <w:proofErr w:type="gramStart"/>
      <w:r>
        <w:t>must be interpreted</w:t>
      </w:r>
      <w:proofErr w:type="gramEnd"/>
      <w:r>
        <w:t xml:space="preserve"> in context with other data. For instance, if vacancy rates are falling with little evidence of a subsequent increase in consenting or construction, it may indicate the presence of supply-side constraints.</w:t>
      </w:r>
    </w:p>
    <w:p w:rsidR="003242EE" w:rsidRPr="00E51FC1" w:rsidRDefault="003242EE" w:rsidP="003242EE">
      <w:pPr>
        <w:pStyle w:val="Caption"/>
      </w:pPr>
      <w:bookmarkStart w:id="131" w:name="_Ref458087781"/>
      <w:r>
        <w:lastRenderedPageBreak/>
        <w:t xml:space="preserve">Figure </w:t>
      </w:r>
      <w:r>
        <w:fldChar w:fldCharType="begin"/>
      </w:r>
      <w:r>
        <w:instrText xml:space="preserve"> SEQ Figure \* ARABIC </w:instrText>
      </w:r>
      <w:r>
        <w:fldChar w:fldCharType="separate"/>
      </w:r>
      <w:r w:rsidR="004D1DDA">
        <w:rPr>
          <w:noProof/>
        </w:rPr>
        <w:t>21</w:t>
      </w:r>
      <w:r>
        <w:fldChar w:fldCharType="end"/>
      </w:r>
      <w:bookmarkEnd w:id="130"/>
      <w:bookmarkEnd w:id="131"/>
      <w:r>
        <w:t xml:space="preserve"> </w:t>
      </w:r>
      <w:r w:rsidRPr="00E51FC1">
        <w:t xml:space="preserve">Auckland CBD </w:t>
      </w:r>
      <w:r>
        <w:t xml:space="preserve">office </w:t>
      </w:r>
      <w:r w:rsidRPr="007F5DC8">
        <w:t>vacancy</w:t>
      </w:r>
      <w:r w:rsidRPr="00E51FC1">
        <w:t xml:space="preserve"> rate by grade</w:t>
      </w:r>
    </w:p>
    <w:p w:rsidR="003242EE" w:rsidRDefault="003242EE" w:rsidP="003242EE">
      <w:pPr>
        <w:jc w:val="center"/>
      </w:pPr>
      <w:r w:rsidRPr="00597B25">
        <w:rPr>
          <w:noProof/>
          <w:lang w:eastAsia="en-NZ"/>
        </w:rPr>
        <w:drawing>
          <wp:inline distT="0" distB="0" distL="0" distR="0" wp14:anchorId="38000481" wp14:editId="73B9A2C6">
            <wp:extent cx="3381375" cy="2262973"/>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782" r="1164" b="2526"/>
                    <a:stretch/>
                  </pic:blipFill>
                  <pic:spPr bwMode="auto">
                    <a:xfrm>
                      <a:off x="0" y="0"/>
                      <a:ext cx="3386388" cy="2266328"/>
                    </a:xfrm>
                    <a:prstGeom prst="rect">
                      <a:avLst/>
                    </a:prstGeom>
                    <a:noFill/>
                    <a:ln>
                      <a:noFill/>
                    </a:ln>
                    <a:extLst>
                      <a:ext uri="{53640926-AAD7-44D8-BBD7-CCE9431645EC}">
                        <a14:shadowObscured xmlns:a14="http://schemas.microsoft.com/office/drawing/2010/main"/>
                      </a:ext>
                    </a:extLst>
                  </pic:spPr>
                </pic:pic>
              </a:graphicData>
            </a:graphic>
          </wp:inline>
        </w:drawing>
      </w:r>
    </w:p>
    <w:p w:rsidR="003242EE" w:rsidRPr="008B63A0" w:rsidRDefault="003242EE" w:rsidP="003242EE">
      <w:pPr>
        <w:rPr>
          <w:sz w:val="18"/>
          <w:szCs w:val="18"/>
        </w:rPr>
      </w:pPr>
      <w:r w:rsidRPr="008B63A0">
        <w:rPr>
          <w:sz w:val="18"/>
          <w:szCs w:val="18"/>
        </w:rPr>
        <w:t>Source: Colliers International (2015) NZ CBD Office Report 2015</w:t>
      </w:r>
    </w:p>
    <w:p w:rsidR="003242EE" w:rsidRDefault="003242EE" w:rsidP="003242EE"/>
    <w:p w:rsidR="003242EE" w:rsidRDefault="003242EE" w:rsidP="003242EE">
      <w:pPr>
        <w:pStyle w:val="Caption"/>
      </w:pPr>
      <w:bookmarkStart w:id="132" w:name="_Ref458081153"/>
      <w:r>
        <w:t xml:space="preserve">Figure </w:t>
      </w:r>
      <w:r>
        <w:fldChar w:fldCharType="begin"/>
      </w:r>
      <w:r>
        <w:instrText xml:space="preserve"> SEQ Figure \* ARABIC </w:instrText>
      </w:r>
      <w:r>
        <w:fldChar w:fldCharType="separate"/>
      </w:r>
      <w:r w:rsidR="004D1DDA">
        <w:rPr>
          <w:noProof/>
        </w:rPr>
        <w:t>22</w:t>
      </w:r>
      <w:r>
        <w:fldChar w:fldCharType="end"/>
      </w:r>
      <w:bookmarkEnd w:id="132"/>
      <w:r>
        <w:t xml:space="preserve"> </w:t>
      </w:r>
      <w:r w:rsidRPr="00E51FC1">
        <w:t xml:space="preserve">Wellington CBD </w:t>
      </w:r>
      <w:r>
        <w:t xml:space="preserve">office </w:t>
      </w:r>
      <w:r w:rsidRPr="00E51FC1">
        <w:t>vacancy rate by grade</w:t>
      </w:r>
    </w:p>
    <w:p w:rsidR="003242EE" w:rsidRPr="00E51FC1" w:rsidRDefault="003242EE" w:rsidP="003242EE">
      <w:pPr>
        <w:jc w:val="center"/>
      </w:pPr>
      <w:r w:rsidRPr="00597B25">
        <w:rPr>
          <w:noProof/>
          <w:lang w:eastAsia="en-NZ"/>
        </w:rPr>
        <w:drawing>
          <wp:inline distT="0" distB="0" distL="0" distR="0" wp14:anchorId="33A684EF" wp14:editId="16469A2C">
            <wp:extent cx="3257550" cy="2276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314" r="1982" b="1856"/>
                    <a:stretch/>
                  </pic:blipFill>
                  <pic:spPr bwMode="auto">
                    <a:xfrm>
                      <a:off x="0" y="0"/>
                      <a:ext cx="3269361" cy="2284879"/>
                    </a:xfrm>
                    <a:prstGeom prst="rect">
                      <a:avLst/>
                    </a:prstGeom>
                    <a:noFill/>
                    <a:ln>
                      <a:noFill/>
                    </a:ln>
                    <a:extLst>
                      <a:ext uri="{53640926-AAD7-44D8-BBD7-CCE9431645EC}">
                        <a14:shadowObscured xmlns:a14="http://schemas.microsoft.com/office/drawing/2010/main"/>
                      </a:ext>
                    </a:extLst>
                  </pic:spPr>
                </pic:pic>
              </a:graphicData>
            </a:graphic>
          </wp:inline>
        </w:drawing>
      </w:r>
    </w:p>
    <w:p w:rsidR="003242EE" w:rsidRPr="001A4B6C" w:rsidRDefault="003242EE" w:rsidP="003242EE">
      <w:pPr>
        <w:rPr>
          <w:sz w:val="18"/>
          <w:szCs w:val="18"/>
        </w:rPr>
      </w:pPr>
      <w:r w:rsidRPr="001A4B6C">
        <w:rPr>
          <w:sz w:val="18"/>
          <w:szCs w:val="18"/>
        </w:rPr>
        <w:t>Source: Colliers International (2015) NZ CBD Office Report 2015</w:t>
      </w:r>
    </w:p>
    <w:p w:rsidR="00220C7C" w:rsidRPr="004C33D1" w:rsidRDefault="00220C7C" w:rsidP="00574435">
      <w:pPr>
        <w:pStyle w:val="Heading2"/>
      </w:pPr>
      <w:bookmarkStart w:id="133" w:name="_Ref458155306"/>
      <w:bookmarkStart w:id="134" w:name="_Toc462413629"/>
      <w:bookmarkStart w:id="135" w:name="_Toc462582185"/>
      <w:r w:rsidRPr="004C33D1">
        <w:t>Business</w:t>
      </w:r>
      <w:r w:rsidR="00574435">
        <w:t xml:space="preserve"> Land Indicators</w:t>
      </w:r>
      <w:bookmarkEnd w:id="133"/>
      <w:bookmarkEnd w:id="134"/>
      <w:bookmarkEnd w:id="135"/>
    </w:p>
    <w:p w:rsidR="00083D11" w:rsidRDefault="00083D11" w:rsidP="00083D11">
      <w:r>
        <w:t>Business land indicators provide useful information about the supply-demand balance for business land. A recent MfE report</w:t>
      </w:r>
      <w:r>
        <w:rPr>
          <w:rStyle w:val="FootnoteReference"/>
        </w:rPr>
        <w:footnoteReference w:id="65"/>
      </w:r>
      <w:r>
        <w:t xml:space="preserve"> analysed councils’ forecasting and monitoring practices for business land demand and capacity. </w:t>
      </w:r>
      <w:r w:rsidR="00DB24A7">
        <w:t>MfE</w:t>
      </w:r>
      <w:r>
        <w:t xml:space="preserve"> found data relating to GDP, population, employment and floor space </w:t>
      </w:r>
      <w:proofErr w:type="gramStart"/>
      <w:r>
        <w:t>are commonly used</w:t>
      </w:r>
      <w:proofErr w:type="gramEnd"/>
      <w:r>
        <w:t xml:space="preserve"> to forecast demand by economic sector. </w:t>
      </w:r>
      <w:r w:rsidR="00885846">
        <w:t>R</w:t>
      </w:r>
      <w:r>
        <w:t xml:space="preserve">esource and/or building consents </w:t>
      </w:r>
      <w:proofErr w:type="gramStart"/>
      <w:r>
        <w:t>granted,</w:t>
      </w:r>
      <w:proofErr w:type="gramEnd"/>
      <w:r>
        <w:t xml:space="preserve"> and the vacant land register are used to monitor market activity.</w:t>
      </w:r>
    </w:p>
    <w:p w:rsidR="00083D11" w:rsidRDefault="00083D11" w:rsidP="00083D11"/>
    <w:p w:rsidR="00083D11" w:rsidRDefault="00083D11" w:rsidP="00083D11">
      <w:r>
        <w:t xml:space="preserve">In general, councils </w:t>
      </w:r>
      <w:proofErr w:type="gramStart"/>
      <w:r>
        <w:t>were found</w:t>
      </w:r>
      <w:proofErr w:type="gramEnd"/>
      <w:r>
        <w:t xml:space="preserve"> to use fewer resources in analysis of business land than residential land. This </w:t>
      </w:r>
      <w:r w:rsidR="00885846">
        <w:t>may reflect</w:t>
      </w:r>
      <w:r>
        <w:t xml:space="preserve"> forecasting difficulties because of data gaps and the diversity of demands for businesses. </w:t>
      </w:r>
      <w:r w:rsidR="00DB24A7">
        <w:t>Below w</w:t>
      </w:r>
      <w:r>
        <w:t xml:space="preserve">e outline indicators to </w:t>
      </w:r>
      <w:r w:rsidR="00DB24A7">
        <w:t xml:space="preserve">assist </w:t>
      </w:r>
      <w:r>
        <w:t>councils’ monitoring and foresight of market activity and quantification of supply and demand.</w:t>
      </w:r>
    </w:p>
    <w:p w:rsidR="00083D11" w:rsidRDefault="00083D11" w:rsidP="00083D11">
      <w:pPr>
        <w:pStyle w:val="Heading3"/>
      </w:pPr>
      <w:r>
        <w:lastRenderedPageBreak/>
        <w:t xml:space="preserve">Business </w:t>
      </w:r>
      <w:r w:rsidR="00E31755">
        <w:t>floorspace</w:t>
      </w:r>
      <w:r>
        <w:t xml:space="preserve"> supply </w:t>
      </w:r>
    </w:p>
    <w:p w:rsidR="00083D11" w:rsidRDefault="00083D11" w:rsidP="00083D11">
      <w:r>
        <w:t xml:space="preserve">The number of non-residential building consents provides insight into growth of business </w:t>
      </w:r>
      <w:r w:rsidR="00E31755">
        <w:t>floorspace</w:t>
      </w:r>
      <w:r>
        <w:t xml:space="preserve"> supply. </w:t>
      </w:r>
      <w:proofErr w:type="spellStart"/>
      <w:r>
        <w:t>MfE’s</w:t>
      </w:r>
      <w:proofErr w:type="spellEnd"/>
      <w:r>
        <w:t xml:space="preserve"> survey of high-growth areas found only Queenstown, Christchurch City, Hamilton City, Tauranga City and Auckland Council to be monitoring this indicator.</w:t>
      </w:r>
      <w:r>
        <w:rPr>
          <w:rStyle w:val="FootnoteReference"/>
        </w:rPr>
        <w:footnoteReference w:id="66"/>
      </w:r>
      <w:r>
        <w:t xml:space="preserve"> Non-residential building consents by territorial authority </w:t>
      </w:r>
      <w:proofErr w:type="gramStart"/>
      <w:r>
        <w:t>can be retrieved from Statistics NZ and disaggregated by land use (eg new buildings for accommodation, education, retail, office, factories and industrial purposes)</w:t>
      </w:r>
      <w:proofErr w:type="gramEnd"/>
      <w:r>
        <w:t xml:space="preserve">. </w:t>
      </w:r>
      <w:r>
        <w:fldChar w:fldCharType="begin"/>
      </w:r>
      <w:r>
        <w:instrText xml:space="preserve"> REF _Ref458178651 \h </w:instrText>
      </w:r>
      <w:r>
        <w:fldChar w:fldCharType="separate"/>
      </w:r>
      <w:r w:rsidR="004D1DDA">
        <w:t xml:space="preserve">Figure </w:t>
      </w:r>
      <w:r w:rsidR="004D1DDA">
        <w:rPr>
          <w:noProof/>
        </w:rPr>
        <w:t>23</w:t>
      </w:r>
      <w:r>
        <w:fldChar w:fldCharType="end"/>
      </w:r>
      <w:r>
        <w:t xml:space="preserve"> shows non-residential building consents for Auckland and Wellington</w:t>
      </w:r>
      <w:r>
        <w:rPr>
          <w:rStyle w:val="FootnoteReference"/>
        </w:rPr>
        <w:footnoteReference w:id="67"/>
      </w:r>
      <w:r>
        <w:t xml:space="preserve"> areas since 2000. Auckland’s growth of new non-residential buildings has increased significantly since 2010 while Wellington’s </w:t>
      </w:r>
      <w:r w:rsidR="00460B31">
        <w:t>new</w:t>
      </w:r>
      <w:r>
        <w:t xml:space="preserve"> supply has decline</w:t>
      </w:r>
      <w:r w:rsidR="00460B31">
        <w:t>d</w:t>
      </w:r>
      <w:r>
        <w:t xml:space="preserve"> since 2004.</w:t>
      </w:r>
    </w:p>
    <w:p w:rsidR="00083D11" w:rsidRDefault="00083D11" w:rsidP="00E02811">
      <w:pPr>
        <w:pStyle w:val="Caption"/>
      </w:pPr>
      <w:bookmarkStart w:id="136" w:name="_Ref458178651"/>
      <w:r>
        <w:t xml:space="preserve">Figure </w:t>
      </w:r>
      <w:r>
        <w:fldChar w:fldCharType="begin"/>
      </w:r>
      <w:r>
        <w:instrText xml:space="preserve"> SEQ Figure \* ARABIC </w:instrText>
      </w:r>
      <w:r>
        <w:fldChar w:fldCharType="separate"/>
      </w:r>
      <w:r w:rsidR="004D1DDA">
        <w:rPr>
          <w:noProof/>
        </w:rPr>
        <w:t>23</w:t>
      </w:r>
      <w:r>
        <w:fldChar w:fldCharType="end"/>
      </w:r>
      <w:bookmarkEnd w:id="136"/>
      <w:r>
        <w:t xml:space="preserve"> Auckland and Wellington non-residential building consents 2000 – 2015</w:t>
      </w:r>
    </w:p>
    <w:p w:rsidR="00083D11" w:rsidRPr="00477C51" w:rsidRDefault="00083D11" w:rsidP="00083D11">
      <w:pPr>
        <w:jc w:val="center"/>
      </w:pPr>
      <w:r w:rsidRPr="00477C51">
        <w:rPr>
          <w:noProof/>
          <w:lang w:eastAsia="en-NZ"/>
        </w:rPr>
        <w:drawing>
          <wp:inline distT="0" distB="0" distL="0" distR="0" wp14:anchorId="2D953931" wp14:editId="50BFD0E9">
            <wp:extent cx="4343400" cy="25166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3432"/>
                    <a:stretch/>
                  </pic:blipFill>
                  <pic:spPr bwMode="auto">
                    <a:xfrm>
                      <a:off x="0" y="0"/>
                      <a:ext cx="4353004" cy="2522165"/>
                    </a:xfrm>
                    <a:prstGeom prst="rect">
                      <a:avLst/>
                    </a:prstGeom>
                    <a:noFill/>
                    <a:ln>
                      <a:noFill/>
                    </a:ln>
                    <a:extLst>
                      <a:ext uri="{53640926-AAD7-44D8-BBD7-CCE9431645EC}">
                        <a14:shadowObscured xmlns:a14="http://schemas.microsoft.com/office/drawing/2010/main"/>
                      </a:ext>
                    </a:extLst>
                  </pic:spPr>
                </pic:pic>
              </a:graphicData>
            </a:graphic>
          </wp:inline>
        </w:drawing>
      </w:r>
    </w:p>
    <w:p w:rsidR="00083D11" w:rsidRPr="00333211" w:rsidRDefault="00083D11" w:rsidP="00083D11">
      <w:pPr>
        <w:rPr>
          <w:sz w:val="18"/>
          <w:szCs w:val="18"/>
        </w:rPr>
      </w:pPr>
      <w:r w:rsidRPr="00333211">
        <w:rPr>
          <w:sz w:val="18"/>
          <w:szCs w:val="18"/>
        </w:rPr>
        <w:t>Source: Statistics NZ</w:t>
      </w:r>
    </w:p>
    <w:p w:rsidR="00083D11" w:rsidRDefault="00083D11" w:rsidP="00083D11">
      <w:pPr>
        <w:pStyle w:val="Heading3"/>
      </w:pPr>
      <w:r>
        <w:t>Business land demand</w:t>
      </w:r>
    </w:p>
    <w:p w:rsidR="00083D11" w:rsidRDefault="00E31755" w:rsidP="00083D11">
      <w:r>
        <w:t xml:space="preserve">Business land demand </w:t>
      </w:r>
      <w:proofErr w:type="gramStart"/>
      <w:r>
        <w:t>can be monitored</w:t>
      </w:r>
      <w:proofErr w:type="gramEnd"/>
      <w:r>
        <w:t xml:space="preserve"> through changes to business units (ie individual businesses or branches of a business operating from multiple locations) and number of employees in a given area. </w:t>
      </w:r>
      <w:r w:rsidR="00083D11">
        <w:t>These data are available by ANZSIC code at the territorial authority and area unit level from Statistics NZ’s ‘</w:t>
      </w:r>
      <w:r w:rsidR="00083D11" w:rsidRPr="004B7B07">
        <w:t>Business demography statistics</w:t>
      </w:r>
      <w:r w:rsidR="00083D11">
        <w:t>’ database.</w:t>
      </w:r>
      <w:r w:rsidR="00083D11">
        <w:rPr>
          <w:rStyle w:val="FootnoteReference"/>
        </w:rPr>
        <w:footnoteReference w:id="68"/>
      </w:r>
      <w:r w:rsidR="00083D11">
        <w:t xml:space="preserve"> As observed in the MfE report</w:t>
      </w:r>
      <w:r w:rsidR="00083D11">
        <w:rPr>
          <w:rStyle w:val="FootnoteReference"/>
        </w:rPr>
        <w:footnoteReference w:id="69"/>
      </w:r>
      <w:r w:rsidR="00083D11">
        <w:t xml:space="preserve"> we adopt a similar approach to high growth councils and allocate ANZSIC sectors data into ‘office, retail or industrial’ categories. Net percentage growth in business units and employees since 2000 for Auckland and Wellington areas </w:t>
      </w:r>
      <w:proofErr w:type="gramStart"/>
      <w:r w:rsidR="00083D11">
        <w:t>is illustrated</w:t>
      </w:r>
      <w:proofErr w:type="gramEnd"/>
      <w:r w:rsidR="00083D11">
        <w:t xml:space="preserve"> in </w:t>
      </w:r>
      <w:r w:rsidR="00083D11">
        <w:fldChar w:fldCharType="begin"/>
      </w:r>
      <w:r w:rsidR="00083D11">
        <w:instrText xml:space="preserve"> REF _Ref458180643 \h </w:instrText>
      </w:r>
      <w:r w:rsidR="00083D11">
        <w:fldChar w:fldCharType="separate"/>
      </w:r>
      <w:r w:rsidR="004D1DDA">
        <w:t xml:space="preserve">Figure </w:t>
      </w:r>
      <w:r w:rsidR="004D1DDA">
        <w:rPr>
          <w:noProof/>
        </w:rPr>
        <w:t>24</w:t>
      </w:r>
      <w:r w:rsidR="00083D11">
        <w:fldChar w:fldCharType="end"/>
      </w:r>
      <w:r w:rsidR="00083D11">
        <w:t xml:space="preserve"> and </w:t>
      </w:r>
      <w:r w:rsidR="00083D11">
        <w:fldChar w:fldCharType="begin"/>
      </w:r>
      <w:r w:rsidR="00083D11">
        <w:instrText xml:space="preserve"> REF _Ref458180646 \h </w:instrText>
      </w:r>
      <w:r w:rsidR="00083D11">
        <w:fldChar w:fldCharType="separate"/>
      </w:r>
      <w:r w:rsidR="004D1DDA">
        <w:t xml:space="preserve">Figure </w:t>
      </w:r>
      <w:r w:rsidR="004D1DDA">
        <w:rPr>
          <w:noProof/>
        </w:rPr>
        <w:t>25</w:t>
      </w:r>
      <w:r w:rsidR="00083D11">
        <w:fldChar w:fldCharType="end"/>
      </w:r>
      <w:r w:rsidR="00DB24A7">
        <w:t xml:space="preserve"> respectively.</w:t>
      </w:r>
    </w:p>
    <w:p w:rsidR="00083D11" w:rsidRDefault="00083D11" w:rsidP="00E02811">
      <w:pPr>
        <w:pStyle w:val="Caption"/>
      </w:pPr>
      <w:bookmarkStart w:id="137" w:name="_Ref458180643"/>
      <w:r>
        <w:lastRenderedPageBreak/>
        <w:t xml:space="preserve">Figure </w:t>
      </w:r>
      <w:r>
        <w:fldChar w:fldCharType="begin"/>
      </w:r>
      <w:r>
        <w:instrText xml:space="preserve"> SEQ Figure \* ARABIC </w:instrText>
      </w:r>
      <w:r>
        <w:fldChar w:fldCharType="separate"/>
      </w:r>
      <w:proofErr w:type="gramStart"/>
      <w:r w:rsidR="004D1DDA">
        <w:rPr>
          <w:noProof/>
        </w:rPr>
        <w:t>24</w:t>
      </w:r>
      <w:r>
        <w:fldChar w:fldCharType="end"/>
      </w:r>
      <w:bookmarkEnd w:id="137"/>
      <w:r>
        <w:t xml:space="preserve"> </w:t>
      </w:r>
      <w:r w:rsidRPr="00226C9D">
        <w:t>Net percentage growth</w:t>
      </w:r>
      <w:proofErr w:type="gramEnd"/>
      <w:r w:rsidRPr="00226C9D">
        <w:t xml:space="preserve"> in </w:t>
      </w:r>
      <w:r w:rsidR="00E31755">
        <w:t>business</w:t>
      </w:r>
      <w:r w:rsidRPr="00226C9D">
        <w:t xml:space="preserve"> units since 2000</w:t>
      </w:r>
    </w:p>
    <w:p w:rsidR="00083D11" w:rsidRDefault="00083D11" w:rsidP="00083D11">
      <w:pPr>
        <w:jc w:val="center"/>
      </w:pPr>
      <w:r w:rsidRPr="004B7B07">
        <w:rPr>
          <w:noProof/>
          <w:lang w:eastAsia="en-NZ"/>
        </w:rPr>
        <w:drawing>
          <wp:inline distT="0" distB="0" distL="0" distR="0" wp14:anchorId="69BE58C1" wp14:editId="465FC359">
            <wp:extent cx="3905250" cy="2140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14776" cy="2145721"/>
                    </a:xfrm>
                    <a:prstGeom prst="rect">
                      <a:avLst/>
                    </a:prstGeom>
                    <a:noFill/>
                    <a:ln>
                      <a:noFill/>
                    </a:ln>
                  </pic:spPr>
                </pic:pic>
              </a:graphicData>
            </a:graphic>
          </wp:inline>
        </w:drawing>
      </w:r>
    </w:p>
    <w:p w:rsidR="00083D11" w:rsidRPr="004B4B57" w:rsidRDefault="00083D11" w:rsidP="00083D11">
      <w:pPr>
        <w:rPr>
          <w:sz w:val="18"/>
          <w:szCs w:val="18"/>
        </w:rPr>
      </w:pPr>
      <w:r w:rsidRPr="004B4B57">
        <w:rPr>
          <w:sz w:val="18"/>
          <w:szCs w:val="18"/>
        </w:rPr>
        <w:t>Source: Statistics NZ</w:t>
      </w:r>
    </w:p>
    <w:p w:rsidR="00083D11" w:rsidRDefault="00083D11" w:rsidP="00083D11"/>
    <w:p w:rsidR="00083D11" w:rsidRDefault="00083D11" w:rsidP="00083D11">
      <w:r>
        <w:fldChar w:fldCharType="begin"/>
      </w:r>
      <w:r>
        <w:instrText xml:space="preserve"> REF _Ref458180643 \h </w:instrText>
      </w:r>
      <w:r>
        <w:fldChar w:fldCharType="separate"/>
      </w:r>
      <w:r w:rsidR="004D1DDA">
        <w:t xml:space="preserve">Figure </w:t>
      </w:r>
      <w:r w:rsidR="004D1DDA">
        <w:rPr>
          <w:noProof/>
        </w:rPr>
        <w:t>24</w:t>
      </w:r>
      <w:r>
        <w:fldChar w:fldCharType="end"/>
      </w:r>
      <w:r>
        <w:t xml:space="preserve"> shows </w:t>
      </w:r>
      <w:r w:rsidR="00460B31">
        <w:t xml:space="preserve">strong </w:t>
      </w:r>
      <w:r>
        <w:t xml:space="preserve">growth in </w:t>
      </w:r>
      <w:r w:rsidR="00460B31">
        <w:t xml:space="preserve">the number of </w:t>
      </w:r>
      <w:r>
        <w:t xml:space="preserve">office and retail </w:t>
      </w:r>
      <w:r w:rsidR="00460B31">
        <w:t>business units</w:t>
      </w:r>
      <w:r>
        <w:t>, particularly in Auckland</w:t>
      </w:r>
      <w:r w:rsidR="0099509F">
        <w:t>, which is likely to have implications for space demand</w:t>
      </w:r>
      <w:r>
        <w:t xml:space="preserve">. The number of industrial geographic units has remained constant however in both cities. </w:t>
      </w:r>
      <w:r>
        <w:fldChar w:fldCharType="begin"/>
      </w:r>
      <w:r>
        <w:instrText xml:space="preserve"> REF _Ref458180646 \h </w:instrText>
      </w:r>
      <w:r>
        <w:fldChar w:fldCharType="separate"/>
      </w:r>
      <w:r w:rsidR="004D1DDA">
        <w:t xml:space="preserve">Figure </w:t>
      </w:r>
      <w:r w:rsidR="004D1DDA">
        <w:rPr>
          <w:noProof/>
        </w:rPr>
        <w:t>25</w:t>
      </w:r>
      <w:r>
        <w:fldChar w:fldCharType="end"/>
      </w:r>
      <w:r>
        <w:t xml:space="preserve"> shows similar trend</w:t>
      </w:r>
      <w:r w:rsidR="0099509F">
        <w:t>s</w:t>
      </w:r>
      <w:r>
        <w:t xml:space="preserve"> for employee count.</w:t>
      </w:r>
    </w:p>
    <w:p w:rsidR="00083D11" w:rsidRDefault="00083D11" w:rsidP="00E02811">
      <w:pPr>
        <w:pStyle w:val="Caption"/>
      </w:pPr>
      <w:bookmarkStart w:id="138" w:name="_Ref458180646"/>
      <w:r>
        <w:t xml:space="preserve">Figure </w:t>
      </w:r>
      <w:r>
        <w:fldChar w:fldCharType="begin"/>
      </w:r>
      <w:r>
        <w:instrText xml:space="preserve"> SEQ Figure \* ARABIC </w:instrText>
      </w:r>
      <w:r>
        <w:fldChar w:fldCharType="separate"/>
      </w:r>
      <w:proofErr w:type="gramStart"/>
      <w:r w:rsidR="004D1DDA">
        <w:rPr>
          <w:noProof/>
        </w:rPr>
        <w:t>25</w:t>
      </w:r>
      <w:r>
        <w:fldChar w:fldCharType="end"/>
      </w:r>
      <w:bookmarkEnd w:id="138"/>
      <w:r>
        <w:t xml:space="preserve"> </w:t>
      </w:r>
      <w:r w:rsidRPr="00226C9D">
        <w:t>Net percentage growth</w:t>
      </w:r>
      <w:proofErr w:type="gramEnd"/>
      <w:r w:rsidRPr="00226C9D">
        <w:t xml:space="preserve"> in </w:t>
      </w:r>
      <w:r>
        <w:t>employee count</w:t>
      </w:r>
      <w:r w:rsidRPr="00226C9D">
        <w:t xml:space="preserve"> since 2000</w:t>
      </w:r>
    </w:p>
    <w:p w:rsidR="00E31755" w:rsidRDefault="00083D11" w:rsidP="00083D11">
      <w:pPr>
        <w:jc w:val="center"/>
        <w:rPr>
          <w:sz w:val="18"/>
          <w:szCs w:val="18"/>
        </w:rPr>
      </w:pPr>
      <w:r w:rsidRPr="004B7B07">
        <w:rPr>
          <w:noProof/>
          <w:lang w:eastAsia="en-NZ"/>
        </w:rPr>
        <w:drawing>
          <wp:inline distT="0" distB="0" distL="0" distR="0" wp14:anchorId="62D60200" wp14:editId="47179D94">
            <wp:extent cx="3914775" cy="236848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27131" cy="2375961"/>
                    </a:xfrm>
                    <a:prstGeom prst="rect">
                      <a:avLst/>
                    </a:prstGeom>
                    <a:noFill/>
                    <a:ln>
                      <a:noFill/>
                    </a:ln>
                  </pic:spPr>
                </pic:pic>
              </a:graphicData>
            </a:graphic>
          </wp:inline>
        </w:drawing>
      </w:r>
    </w:p>
    <w:p w:rsidR="00083D11" w:rsidRPr="004B4B57" w:rsidRDefault="00083D11" w:rsidP="00E31755">
      <w:pPr>
        <w:rPr>
          <w:sz w:val="18"/>
          <w:szCs w:val="18"/>
        </w:rPr>
      </w:pPr>
      <w:r w:rsidRPr="007C5748">
        <w:rPr>
          <w:sz w:val="18"/>
          <w:szCs w:val="18"/>
        </w:rPr>
        <w:t>Source: Statistics NZ</w:t>
      </w:r>
    </w:p>
    <w:p w:rsidR="0099509F" w:rsidRDefault="0099509F" w:rsidP="00E31755"/>
    <w:p w:rsidR="00E31755" w:rsidRDefault="00E31755" w:rsidP="00E31755">
      <w:r>
        <w:t>Data on business units and employment can assist in understanding growth in demand for business land and floorspace. However, it is a useful but incomplete indicator, as it does not account for other factors influencing demand for business land, such as productivity trends that result in the substitution of land for labour (or vice versa). For instance, a manufacturing or warehousing firm may be able to increase its output and space requirements while reducing employment if it invests in new plant and machinery. Employment levels are most likely to be a meaningful measure of demand for business floorspace in office-based industries which tend to be more labour-intensive</w:t>
      </w:r>
      <w:r w:rsidR="00DB6AB0">
        <w:t>.</w:t>
      </w:r>
    </w:p>
    <w:p w:rsidR="00DB24A7" w:rsidRDefault="00DB24A7" w:rsidP="00DB24A7">
      <w:pPr>
        <w:pStyle w:val="Heading2"/>
      </w:pPr>
      <w:bookmarkStart w:id="139" w:name="_Toc462413630"/>
      <w:bookmarkStart w:id="140" w:name="_Toc462582186"/>
      <w:r>
        <w:lastRenderedPageBreak/>
        <w:t>Conclusions</w:t>
      </w:r>
      <w:bookmarkEnd w:id="139"/>
      <w:bookmarkEnd w:id="140"/>
    </w:p>
    <w:p w:rsidR="00DB24A7" w:rsidRDefault="00DB24A7" w:rsidP="00DB24A7">
      <w:r>
        <w:t xml:space="preserve">This section has examined approaches to modelling supply and demand and a number of </w:t>
      </w:r>
      <w:proofErr w:type="gramStart"/>
      <w:r>
        <w:t>indicators which</w:t>
      </w:r>
      <w:proofErr w:type="gramEnd"/>
      <w:r>
        <w:t xml:space="preserve"> might be used to provide information to councils. We make the following comments about useful data and indicators.</w:t>
      </w:r>
    </w:p>
    <w:p w:rsidR="00DB24A7" w:rsidRDefault="00DB24A7" w:rsidP="00DB24A7"/>
    <w:p w:rsidR="00DB24A7" w:rsidRDefault="00AB328D" w:rsidP="006277DC">
      <w:pPr>
        <w:pStyle w:val="ListParagraph"/>
        <w:numPr>
          <w:ilvl w:val="0"/>
          <w:numId w:val="88"/>
        </w:numPr>
      </w:pPr>
      <w:r>
        <w:t xml:space="preserve">Modelling demand for housing </w:t>
      </w:r>
      <w:proofErr w:type="gramStart"/>
      <w:r>
        <w:t>should be undertaken</w:t>
      </w:r>
      <w:proofErr w:type="gramEnd"/>
      <w:r>
        <w:t xml:space="preserve"> on the assumption of efficient prices that reflect the costs if supply rather than current inflated prices. Modelling should also account for a number of expected changes in demography and </w:t>
      </w:r>
      <w:proofErr w:type="gramStart"/>
      <w:r>
        <w:t>income which</w:t>
      </w:r>
      <w:proofErr w:type="gramEnd"/>
      <w:r>
        <w:t xml:space="preserve"> will influence total demand and demand by building type.</w:t>
      </w:r>
      <w:r>
        <w:br/>
      </w:r>
    </w:p>
    <w:p w:rsidR="00AB328D" w:rsidRDefault="00AB328D" w:rsidP="006277DC">
      <w:pPr>
        <w:pStyle w:val="ListParagraph"/>
        <w:numPr>
          <w:ilvl w:val="0"/>
          <w:numId w:val="88"/>
        </w:numPr>
      </w:pPr>
      <w:r>
        <w:t xml:space="preserve">Ratios of new build consents to population increase </w:t>
      </w:r>
      <w:proofErr w:type="gramStart"/>
      <w:r>
        <w:t>can be monitored</w:t>
      </w:r>
      <w:proofErr w:type="gramEnd"/>
      <w:r>
        <w:t xml:space="preserve"> as a simple assessment of whether new supply is matching demand increases. However, it should take account of the factors that influence demand and should include an assessment of changes in housing size. </w:t>
      </w:r>
      <w:r>
        <w:br/>
      </w:r>
    </w:p>
    <w:p w:rsidR="00AB328D" w:rsidRDefault="00C85A3E" w:rsidP="006277DC">
      <w:pPr>
        <w:pStyle w:val="ListParagraph"/>
        <w:numPr>
          <w:ilvl w:val="0"/>
          <w:numId w:val="88"/>
        </w:numPr>
      </w:pPr>
      <w:r>
        <w:t>Monitoring of l</w:t>
      </w:r>
      <w:r w:rsidR="00AB328D">
        <w:t xml:space="preserve">and and property prices </w:t>
      </w:r>
      <w:r>
        <w:t>in real terms can</w:t>
      </w:r>
      <w:r w:rsidR="00AB328D">
        <w:t xml:space="preserve"> </w:t>
      </w:r>
      <w:r>
        <w:t xml:space="preserve">provide information to identify emerging problems, especially when price trends </w:t>
      </w:r>
      <w:proofErr w:type="gramStart"/>
      <w:r>
        <w:t>are compared</w:t>
      </w:r>
      <w:proofErr w:type="gramEnd"/>
      <w:r>
        <w:t xml:space="preserve"> between cities. Usefully prices on </w:t>
      </w:r>
      <w:proofErr w:type="gramStart"/>
      <w:r>
        <w:t>a per</w:t>
      </w:r>
      <w:proofErr w:type="gramEnd"/>
      <w:r>
        <w:t xml:space="preserve"> square metre basis can be used to isolate some of the influence of changes in property size.</w:t>
      </w:r>
      <w:r>
        <w:br/>
      </w:r>
    </w:p>
    <w:p w:rsidR="00C85A3E" w:rsidRDefault="00C85A3E" w:rsidP="006277DC">
      <w:pPr>
        <w:pStyle w:val="ListParagraph"/>
        <w:numPr>
          <w:ilvl w:val="0"/>
          <w:numId w:val="88"/>
        </w:numPr>
      </w:pPr>
      <w:proofErr w:type="gramStart"/>
      <w:r>
        <w:t>Models of housing supply have been developed by a number of councils, particularly to better understand commercial viability by geographical location</w:t>
      </w:r>
      <w:proofErr w:type="gramEnd"/>
      <w:r>
        <w:t>. These can provide a better understanding of geographic limits to total supply.</w:t>
      </w:r>
      <w:r>
        <w:br/>
      </w:r>
    </w:p>
    <w:p w:rsidR="00514B3D" w:rsidRDefault="0038100D" w:rsidP="006277DC">
      <w:pPr>
        <w:pStyle w:val="ListParagraph"/>
        <w:numPr>
          <w:ilvl w:val="0"/>
          <w:numId w:val="88"/>
        </w:numPr>
      </w:pPr>
      <w:r>
        <w:t xml:space="preserve">Vacancy rates indicators </w:t>
      </w:r>
      <w:r w:rsidR="00514B3D">
        <w:t>for residential properties are unlikely to be useful. The data are difficult to collect, apart from via the three-yearly census, and the results are ambiguous reflecting different ways in which residential property is used, eg for holiday ho</w:t>
      </w:r>
      <w:r w:rsidR="00A44D11">
        <w:t>m</w:t>
      </w:r>
      <w:r w:rsidR="00514B3D">
        <w:t>es.</w:t>
      </w:r>
      <w:r w:rsidR="00514B3D">
        <w:br/>
      </w:r>
    </w:p>
    <w:p w:rsidR="00C85A3E" w:rsidRDefault="00514B3D" w:rsidP="006277DC">
      <w:pPr>
        <w:pStyle w:val="ListParagraph"/>
        <w:numPr>
          <w:ilvl w:val="0"/>
          <w:numId w:val="88"/>
        </w:numPr>
      </w:pPr>
      <w:r>
        <w:t xml:space="preserve">Vacancy rate indicators are </w:t>
      </w:r>
      <w:r w:rsidR="0038100D">
        <w:t>more useful for businesses</w:t>
      </w:r>
      <w:r>
        <w:t xml:space="preserve"> and these </w:t>
      </w:r>
      <w:proofErr w:type="gramStart"/>
      <w:r>
        <w:t>are collected and published by a number of private companies</w:t>
      </w:r>
      <w:proofErr w:type="gramEnd"/>
      <w:r w:rsidR="0038100D">
        <w:t xml:space="preserve">. To understand these data, it is useful to have additional information relating to </w:t>
      </w:r>
      <w:r>
        <w:t xml:space="preserve">demand and </w:t>
      </w:r>
      <w:r w:rsidR="0038100D">
        <w:t>supply</w:t>
      </w:r>
      <w:r>
        <w:t xml:space="preserve">, eg </w:t>
      </w:r>
      <w:r w:rsidR="0038100D">
        <w:t xml:space="preserve">sectoral economic activity levels, trends in numbers of </w:t>
      </w:r>
      <w:r>
        <w:t>geographic units and employment (demand),</w:t>
      </w:r>
      <w:r w:rsidR="0038100D">
        <w:t xml:space="preserve"> and building consent numbers</w:t>
      </w:r>
      <w:r>
        <w:t xml:space="preserve"> (supply</w:t>
      </w:r>
      <w:r w:rsidR="0038100D">
        <w:t>).</w:t>
      </w:r>
    </w:p>
    <w:p w:rsidR="00827E15" w:rsidRPr="004C33D1" w:rsidRDefault="00827E15" w:rsidP="00DB24A7">
      <w:pPr>
        <w:pStyle w:val="Heading2"/>
        <w:rPr>
          <w:sz w:val="36"/>
          <w:szCs w:val="32"/>
        </w:rPr>
      </w:pPr>
      <w:r w:rsidRPr="004C33D1">
        <w:br w:type="page"/>
      </w:r>
    </w:p>
    <w:p w:rsidR="00827E15" w:rsidRPr="004C33D1" w:rsidRDefault="00827E15" w:rsidP="00956D3F">
      <w:pPr>
        <w:pStyle w:val="Heading1"/>
      </w:pPr>
      <w:bookmarkStart w:id="141" w:name="_Ref456606790"/>
      <w:bookmarkStart w:id="142" w:name="_Toc462413631"/>
      <w:bookmarkStart w:id="143" w:name="_Toc462582187"/>
      <w:r w:rsidRPr="004C33D1">
        <w:lastRenderedPageBreak/>
        <w:t>Competitiveness Indicators</w:t>
      </w:r>
      <w:bookmarkEnd w:id="141"/>
      <w:bookmarkEnd w:id="142"/>
      <w:bookmarkEnd w:id="143"/>
    </w:p>
    <w:p w:rsidR="00827E15" w:rsidRPr="004C33D1" w:rsidRDefault="00827E15" w:rsidP="00220C7C">
      <w:pPr>
        <w:pStyle w:val="Heading2"/>
      </w:pPr>
      <w:bookmarkStart w:id="144" w:name="_Ref456352096"/>
      <w:bookmarkStart w:id="145" w:name="_Toc462413632"/>
      <w:bookmarkStart w:id="146" w:name="_Toc462582188"/>
      <w:r w:rsidRPr="004C33D1">
        <w:t>Introduction</w:t>
      </w:r>
      <w:bookmarkEnd w:id="144"/>
      <w:bookmarkEnd w:id="145"/>
      <w:bookmarkEnd w:id="146"/>
    </w:p>
    <w:p w:rsidR="00827E15" w:rsidRPr="004C33D1" w:rsidRDefault="00827E15" w:rsidP="00827E15">
      <w:pPr>
        <w:rPr>
          <w:vertAlign w:val="superscript"/>
        </w:rPr>
      </w:pPr>
      <w:r w:rsidRPr="004C33D1">
        <w:t xml:space="preserve">The discussion of competitiveness in Section </w:t>
      </w:r>
      <w:r w:rsidRPr="004C33D1">
        <w:fldChar w:fldCharType="begin"/>
      </w:r>
      <w:r w:rsidRPr="004C33D1">
        <w:instrText xml:space="preserve"> REF _Ref456275729 \r \h </w:instrText>
      </w:r>
      <w:r w:rsidRPr="004C33D1">
        <w:fldChar w:fldCharType="separate"/>
      </w:r>
      <w:r w:rsidR="004D1DDA">
        <w:t>2.2</w:t>
      </w:r>
      <w:r w:rsidRPr="004C33D1">
        <w:fldChar w:fldCharType="end"/>
      </w:r>
      <w:r w:rsidRPr="004C33D1">
        <w:t xml:space="preserve"> </w:t>
      </w:r>
      <w:r w:rsidR="00821949" w:rsidRPr="004C33D1">
        <w:t>noted that competitive (wellbeing-maximising) markets for urban land and development would have the following characteristics:</w:t>
      </w:r>
      <w:r w:rsidRPr="004C33D1">
        <w:br/>
      </w:r>
    </w:p>
    <w:p w:rsidR="00827E15" w:rsidRPr="004C33D1" w:rsidRDefault="00827E15" w:rsidP="00411653">
      <w:pPr>
        <w:pStyle w:val="ListParagraph"/>
        <w:numPr>
          <w:ilvl w:val="0"/>
          <w:numId w:val="41"/>
        </w:numPr>
      </w:pPr>
      <w:r w:rsidRPr="004C33D1">
        <w:t xml:space="preserve">no </w:t>
      </w:r>
      <w:r w:rsidR="00821949" w:rsidRPr="004C33D1">
        <w:t>barriers to entry</w:t>
      </w:r>
      <w:r w:rsidRPr="004C33D1">
        <w:t>;</w:t>
      </w:r>
    </w:p>
    <w:p w:rsidR="00827E15" w:rsidRPr="004C33D1" w:rsidRDefault="00827E15" w:rsidP="00411653">
      <w:pPr>
        <w:pStyle w:val="ListParagraph"/>
        <w:numPr>
          <w:ilvl w:val="0"/>
          <w:numId w:val="41"/>
        </w:numPr>
      </w:pPr>
      <w:r w:rsidRPr="004C33D1">
        <w:t>many buyers and sellers;</w:t>
      </w:r>
    </w:p>
    <w:p w:rsidR="00271D4B" w:rsidRDefault="00271D4B" w:rsidP="00411653">
      <w:pPr>
        <w:pStyle w:val="ListParagraph"/>
        <w:numPr>
          <w:ilvl w:val="0"/>
          <w:numId w:val="41"/>
        </w:numPr>
      </w:pPr>
      <w:r>
        <w:t>uniform products (or comparable development opportunities);</w:t>
      </w:r>
    </w:p>
    <w:p w:rsidR="00827E15" w:rsidRPr="004C33D1" w:rsidRDefault="00827E15" w:rsidP="00411653">
      <w:pPr>
        <w:pStyle w:val="ListParagraph"/>
        <w:numPr>
          <w:ilvl w:val="0"/>
          <w:numId w:val="41"/>
        </w:numPr>
      </w:pPr>
      <w:r w:rsidRPr="004C33D1">
        <w:t xml:space="preserve">no externalities, ie unpriced effects on those other than the buyers and sellers; </w:t>
      </w:r>
    </w:p>
    <w:p w:rsidR="00827E15" w:rsidRPr="004C33D1" w:rsidRDefault="00827E15" w:rsidP="00411653">
      <w:pPr>
        <w:pStyle w:val="ListParagraph"/>
        <w:numPr>
          <w:ilvl w:val="0"/>
          <w:numId w:val="41"/>
        </w:numPr>
      </w:pPr>
      <w:r w:rsidRPr="004C33D1">
        <w:t xml:space="preserve">perfect information; and </w:t>
      </w:r>
    </w:p>
    <w:p w:rsidR="00827E15" w:rsidRPr="004C33D1" w:rsidRDefault="00827E15" w:rsidP="00411653">
      <w:pPr>
        <w:pStyle w:val="ListParagraph"/>
        <w:numPr>
          <w:ilvl w:val="0"/>
          <w:numId w:val="41"/>
        </w:numPr>
      </w:pPr>
      <w:proofErr w:type="gramStart"/>
      <w:r w:rsidRPr="004C33D1">
        <w:t>zero</w:t>
      </w:r>
      <w:proofErr w:type="gramEnd"/>
      <w:r w:rsidRPr="004C33D1">
        <w:t xml:space="preserve"> transaction costs.</w:t>
      </w:r>
    </w:p>
    <w:p w:rsidR="00827E15" w:rsidRPr="004C33D1" w:rsidRDefault="00827E15" w:rsidP="00827E15"/>
    <w:p w:rsidR="00821949" w:rsidRPr="004C33D1" w:rsidRDefault="00821949" w:rsidP="00821949">
      <w:r w:rsidRPr="004C33D1">
        <w:t xml:space="preserve">Indicators </w:t>
      </w:r>
      <w:proofErr w:type="gramStart"/>
      <w:r w:rsidRPr="004C33D1">
        <w:t>can be developed</w:t>
      </w:r>
      <w:proofErr w:type="gramEnd"/>
      <w:r w:rsidRPr="004C33D1">
        <w:t xml:space="preserve"> to measure </w:t>
      </w:r>
      <w:r w:rsidR="00271D4B">
        <w:t xml:space="preserve">most of </w:t>
      </w:r>
      <w:r w:rsidRPr="004C33D1">
        <w:t xml:space="preserve">these characteristics. These may be useful to assist in assessing regulatory and non-regulatory barriers to achieving </w:t>
      </w:r>
      <w:proofErr w:type="gramStart"/>
      <w:r w:rsidRPr="004C33D1">
        <w:t>more competitive land</w:t>
      </w:r>
      <w:proofErr w:type="gramEnd"/>
      <w:r w:rsidRPr="004C33D1">
        <w:t xml:space="preserve"> and development markets. As discussed in Section </w:t>
      </w:r>
      <w:r w:rsidRPr="004C33D1">
        <w:fldChar w:fldCharType="begin"/>
      </w:r>
      <w:r w:rsidRPr="004C33D1">
        <w:instrText xml:space="preserve"> REF _Ref456275729 \r \h </w:instrText>
      </w:r>
      <w:r w:rsidRPr="004C33D1">
        <w:fldChar w:fldCharType="separate"/>
      </w:r>
      <w:r w:rsidR="004D1DDA">
        <w:t>2.2</w:t>
      </w:r>
      <w:r w:rsidRPr="004C33D1">
        <w:fldChar w:fldCharType="end"/>
      </w:r>
      <w:r w:rsidRPr="004C33D1">
        <w:t xml:space="preserve">, uncompetitive market outcomes may arise for reasons other than planning regulations and infrastructure supply. Measures of non-regulatory constraints on competition can assist in interpreting the indicators of efficient pricing that we discuss in Section </w:t>
      </w:r>
      <w:r w:rsidRPr="004C33D1">
        <w:fldChar w:fldCharType="begin"/>
      </w:r>
      <w:r w:rsidRPr="004C33D1">
        <w:instrText xml:space="preserve"> REF _Ref456274753 \n \h </w:instrText>
      </w:r>
      <w:r w:rsidRPr="004C33D1">
        <w:fldChar w:fldCharType="separate"/>
      </w:r>
      <w:r w:rsidR="004D1DDA">
        <w:t>6</w:t>
      </w:r>
      <w:r w:rsidRPr="004C33D1">
        <w:fldChar w:fldCharType="end"/>
      </w:r>
      <w:r w:rsidRPr="004C33D1">
        <w:t xml:space="preserve">, by helping understand whether there are factors </w:t>
      </w:r>
      <w:r w:rsidRPr="004C33D1">
        <w:rPr>
          <w:i/>
        </w:rPr>
        <w:t>other</w:t>
      </w:r>
      <w:r w:rsidRPr="004C33D1">
        <w:t xml:space="preserve"> than planning and infrastructure that constrain competition.</w:t>
      </w:r>
    </w:p>
    <w:p w:rsidR="00821949" w:rsidRPr="004C33D1" w:rsidRDefault="00821949" w:rsidP="00821949"/>
    <w:p w:rsidR="00821949" w:rsidRPr="004C33D1" w:rsidRDefault="00821949" w:rsidP="00821949">
      <w:r w:rsidRPr="004C33D1">
        <w:t xml:space="preserve">In this </w:t>
      </w:r>
      <w:proofErr w:type="gramStart"/>
      <w:r w:rsidRPr="004C33D1">
        <w:t>section</w:t>
      </w:r>
      <w:proofErr w:type="gramEnd"/>
      <w:r w:rsidRPr="004C33D1">
        <w:t xml:space="preserve"> we focus on indicators related to market concentration, information problems, and transaction costs. While externalities associated with urban development are important, they </w:t>
      </w:r>
      <w:proofErr w:type="gramStart"/>
      <w:r w:rsidRPr="004C33D1">
        <w:t>are currently dealt with</w:t>
      </w:r>
      <w:proofErr w:type="gramEnd"/>
      <w:r w:rsidRPr="004C33D1">
        <w:t xml:space="preserve"> via the planning system, rather than through prices. More targeted analysis of particular rules that aim to manage these externalities is required to understand whether (and where) it is working efficiently.</w:t>
      </w:r>
      <w:r w:rsidRPr="004C33D1">
        <w:rPr>
          <w:rStyle w:val="FootnoteReference"/>
        </w:rPr>
        <w:footnoteReference w:id="70"/>
      </w:r>
    </w:p>
    <w:p w:rsidR="00827E15" w:rsidRPr="004C33D1" w:rsidRDefault="00827E15" w:rsidP="00220C7C">
      <w:pPr>
        <w:pStyle w:val="Heading2"/>
      </w:pPr>
      <w:bookmarkStart w:id="147" w:name="_Ref458162438"/>
      <w:bookmarkStart w:id="148" w:name="_Toc462413633"/>
      <w:bookmarkStart w:id="149" w:name="_Toc462582189"/>
      <w:r w:rsidRPr="004C33D1">
        <w:t>Market Concentration</w:t>
      </w:r>
      <w:bookmarkEnd w:id="147"/>
      <w:bookmarkEnd w:id="148"/>
      <w:bookmarkEnd w:id="149"/>
    </w:p>
    <w:p w:rsidR="00827E15" w:rsidRPr="004C33D1" w:rsidRDefault="00821949" w:rsidP="00827E15">
      <w:r w:rsidRPr="004C33D1">
        <w:t>M</w:t>
      </w:r>
      <w:r w:rsidR="00827E15" w:rsidRPr="004C33D1">
        <w:t xml:space="preserve">arkets are more competitive if there are many buyers and sellers. In </w:t>
      </w:r>
      <w:r w:rsidRPr="004C33D1">
        <w:t>highly</w:t>
      </w:r>
      <w:r w:rsidR="00827E15" w:rsidRPr="004C33D1">
        <w:t xml:space="preserve"> concentrated </w:t>
      </w:r>
      <w:proofErr w:type="gramStart"/>
      <w:r w:rsidR="00827E15" w:rsidRPr="004C33D1">
        <w:t>markets</w:t>
      </w:r>
      <w:proofErr w:type="gramEnd"/>
      <w:r w:rsidR="00827E15" w:rsidRPr="004C33D1">
        <w:t xml:space="preserve"> it is more likely that firms or individuals can exercise market power and increase prices above the cost of supply.</w:t>
      </w:r>
      <w:r w:rsidR="00271D4B">
        <w:t xml:space="preserve"> Submissions on the draft NPS-UDC raised this as a significant problem in some local areas, particularly in </w:t>
      </w:r>
      <w:proofErr w:type="gramStart"/>
      <w:r w:rsidR="00271D4B">
        <w:t>greenfield</w:t>
      </w:r>
      <w:proofErr w:type="gramEnd"/>
      <w:r w:rsidR="00271D4B">
        <w:t xml:space="preserve"> areas where plans have allocated most of the future development capacity.</w:t>
      </w:r>
    </w:p>
    <w:p w:rsidR="00827E15" w:rsidRPr="004C33D1" w:rsidRDefault="00827E15" w:rsidP="00827E15"/>
    <w:p w:rsidR="00827E15" w:rsidRPr="004C33D1" w:rsidRDefault="00827E15" w:rsidP="00827E15">
      <w:r w:rsidRPr="004C33D1">
        <w:t>One widely used indicator of market concentration is the Herfindahl–Hirschman Index (HHI).</w:t>
      </w:r>
      <w:r w:rsidR="00821949" w:rsidRPr="004C33D1">
        <w:rPr>
          <w:rStyle w:val="FootnoteReference"/>
        </w:rPr>
        <w:footnoteReference w:id="71"/>
      </w:r>
      <w:r w:rsidRPr="004C33D1">
        <w:t xml:space="preserve"> It measures the degree to which markets </w:t>
      </w:r>
      <w:proofErr w:type="gramStart"/>
      <w:r w:rsidRPr="004C33D1">
        <w:t>are dominated</w:t>
      </w:r>
      <w:proofErr w:type="gramEnd"/>
      <w:r w:rsidRPr="004C33D1">
        <w:t xml:space="preserve"> by a small number of </w:t>
      </w:r>
      <w:r w:rsidRPr="004C33D1">
        <w:lastRenderedPageBreak/>
        <w:t xml:space="preserve">firms. It </w:t>
      </w:r>
      <w:proofErr w:type="gramStart"/>
      <w:r w:rsidRPr="004C33D1">
        <w:t>is calculated</w:t>
      </w:r>
      <w:proofErr w:type="gramEnd"/>
      <w:r w:rsidRPr="004C33D1">
        <w:t xml:space="preserve"> as the sum of the squares of market shares of each firm competing in the market. For example, for a market consisting of five firms with shares of 50, 30, 10, 5 and 5 percent, the HHI is 50</w:t>
      </w:r>
      <w:r w:rsidRPr="004C33D1">
        <w:rPr>
          <w:vertAlign w:val="superscript"/>
        </w:rPr>
        <w:t>2</w:t>
      </w:r>
      <w:r w:rsidRPr="004C33D1">
        <w:t xml:space="preserve"> + 30</w:t>
      </w:r>
      <w:r w:rsidRPr="004C33D1">
        <w:rPr>
          <w:vertAlign w:val="superscript"/>
        </w:rPr>
        <w:t>2</w:t>
      </w:r>
      <w:r w:rsidRPr="004C33D1">
        <w:t xml:space="preserve"> + 10</w:t>
      </w:r>
      <w:r w:rsidRPr="004C33D1">
        <w:rPr>
          <w:vertAlign w:val="superscript"/>
        </w:rPr>
        <w:t>2</w:t>
      </w:r>
      <w:r w:rsidRPr="004C33D1">
        <w:t xml:space="preserve"> + 5</w:t>
      </w:r>
      <w:r w:rsidRPr="004C33D1">
        <w:rPr>
          <w:vertAlign w:val="superscript"/>
        </w:rPr>
        <w:t>2</w:t>
      </w:r>
      <w:r w:rsidRPr="004C33D1">
        <w:t xml:space="preserve"> + 5</w:t>
      </w:r>
      <w:r w:rsidRPr="004C33D1">
        <w:rPr>
          <w:vertAlign w:val="superscript"/>
        </w:rPr>
        <w:t>2</w:t>
      </w:r>
      <w:r w:rsidRPr="004C33D1">
        <w:t xml:space="preserve"> = 3,550; in contrast if there are ten firms, each with 10% market share, the HHI is 1,000.</w:t>
      </w:r>
    </w:p>
    <w:p w:rsidR="00827E15" w:rsidRPr="004C33D1" w:rsidRDefault="00827E15" w:rsidP="00827E15"/>
    <w:p w:rsidR="00827E15" w:rsidRPr="004C33D1" w:rsidRDefault="00827E15" w:rsidP="00827E15">
      <w:r w:rsidRPr="004C33D1">
        <w:t>The HHI has a minimum of close to zero (numerous small firms with tiny market shares) and has a maximum of 10,000 (</w:t>
      </w:r>
      <w:proofErr w:type="gramStart"/>
      <w:r w:rsidRPr="004C33D1">
        <w:t>1</w:t>
      </w:r>
      <w:proofErr w:type="gramEnd"/>
      <w:r w:rsidRPr="004C33D1">
        <w:t xml:space="preserve"> firm with 100% market share). According to the US Department of Justice, </w:t>
      </w:r>
      <w:r w:rsidR="00F91A73">
        <w:t xml:space="preserve">and representing a </w:t>
      </w:r>
      <w:proofErr w:type="gramStart"/>
      <w:r w:rsidR="00F91A73">
        <w:t>widely-held</w:t>
      </w:r>
      <w:proofErr w:type="gramEnd"/>
      <w:r w:rsidR="00F91A73">
        <w:t xml:space="preserve"> interpretation of the HHI, </w:t>
      </w:r>
      <w:r w:rsidRPr="004C33D1">
        <w:t>markets in which the HHI is between 1,500 and 2,500 points are considered to be moderately concentrated, and markets in which the HHI is in excess of 2,500 points to be highly concentrated.</w:t>
      </w:r>
      <w:r w:rsidR="00261344">
        <w:rPr>
          <w:rStyle w:val="FootnoteReference"/>
        </w:rPr>
        <w:footnoteReference w:id="72"/>
      </w:r>
    </w:p>
    <w:p w:rsidR="00827E15" w:rsidRPr="004C33D1" w:rsidRDefault="00827E15" w:rsidP="00827E15"/>
    <w:p w:rsidR="00827E15" w:rsidRPr="004C33D1" w:rsidRDefault="00827E15" w:rsidP="00827E15">
      <w:r w:rsidRPr="004C33D1">
        <w:t>Measuring an HHI for development capacity would re</w:t>
      </w:r>
      <w:r w:rsidR="00F91A73">
        <w:t>quire the following information.</w:t>
      </w:r>
    </w:p>
    <w:p w:rsidR="00827E15" w:rsidRPr="004C33D1" w:rsidRDefault="00827E15" w:rsidP="00411653">
      <w:pPr>
        <w:pStyle w:val="ListParagraph"/>
        <w:numPr>
          <w:ilvl w:val="0"/>
          <w:numId w:val="42"/>
        </w:numPr>
      </w:pPr>
      <w:r w:rsidRPr="004C33D1">
        <w:t>Identification of the market for development capacity, ie is it all property in an urban area or a more narrowly defined sub-set of new capacity in a specific location or locations?</w:t>
      </w:r>
    </w:p>
    <w:p w:rsidR="00827E15" w:rsidRPr="004C33D1" w:rsidRDefault="00827E15" w:rsidP="00411653">
      <w:pPr>
        <w:pStyle w:val="ListParagraph"/>
        <w:numPr>
          <w:ilvl w:val="0"/>
          <w:numId w:val="42"/>
        </w:numPr>
      </w:pPr>
      <w:r w:rsidRPr="004C33D1">
        <w:t>The total number of owners of “development capacity”;</w:t>
      </w:r>
    </w:p>
    <w:p w:rsidR="00827E15" w:rsidRPr="004C33D1" w:rsidRDefault="00827E15" w:rsidP="00411653">
      <w:pPr>
        <w:pStyle w:val="ListParagraph"/>
        <w:numPr>
          <w:ilvl w:val="0"/>
          <w:numId w:val="42"/>
        </w:numPr>
      </w:pPr>
      <w:proofErr w:type="gramStart"/>
      <w:r w:rsidRPr="004C33D1">
        <w:t>The share of development capacity controlled by each owner.</w:t>
      </w:r>
      <w:proofErr w:type="gramEnd"/>
    </w:p>
    <w:p w:rsidR="00827E15" w:rsidRPr="004C33D1" w:rsidRDefault="00827E15" w:rsidP="00827E15"/>
    <w:p w:rsidR="00827E15" w:rsidRPr="004C33D1" w:rsidRDefault="00827E15" w:rsidP="00827E15">
      <w:r w:rsidRPr="004C33D1">
        <w:t xml:space="preserve">The analysis </w:t>
      </w:r>
      <w:proofErr w:type="gramStart"/>
      <w:r w:rsidRPr="004C33D1">
        <w:t>could be simplified</w:t>
      </w:r>
      <w:proofErr w:type="gramEnd"/>
      <w:r w:rsidRPr="004C33D1">
        <w:t>. For example:</w:t>
      </w:r>
      <w:r w:rsidR="00F91A73">
        <w:br/>
      </w:r>
    </w:p>
    <w:p w:rsidR="00821949" w:rsidRPr="004C33D1" w:rsidRDefault="00821949" w:rsidP="00411653">
      <w:pPr>
        <w:pStyle w:val="ListParagraph"/>
        <w:numPr>
          <w:ilvl w:val="0"/>
          <w:numId w:val="43"/>
        </w:numPr>
      </w:pPr>
      <w:proofErr w:type="gramStart"/>
      <w:r w:rsidRPr="004C33D1">
        <w:t>if</w:t>
      </w:r>
      <w:proofErr w:type="gramEnd"/>
      <w:r w:rsidRPr="004C33D1">
        <w:t xml:space="preserve"> no single person owned more than 10% of the developable land on the fringe of the city, the maximum HHI would be 1,000, which is not regarded as concentrated (see above). The analysis could simply record an HHI of less than 1,000;</w:t>
      </w:r>
      <w:r w:rsidR="00F91A73">
        <w:t xml:space="preserve"> and</w:t>
      </w:r>
      <w:r w:rsidR="00F91A73">
        <w:br/>
      </w:r>
    </w:p>
    <w:p w:rsidR="00827E15" w:rsidRPr="004C33D1" w:rsidRDefault="00821949" w:rsidP="00411653">
      <w:pPr>
        <w:pStyle w:val="ListParagraph"/>
        <w:numPr>
          <w:ilvl w:val="0"/>
          <w:numId w:val="43"/>
        </w:numPr>
      </w:pPr>
      <w:proofErr w:type="gramStart"/>
      <w:r w:rsidRPr="004C33D1">
        <w:t>if</w:t>
      </w:r>
      <w:proofErr w:type="gramEnd"/>
      <w:r w:rsidRPr="004C33D1">
        <w:t xml:space="preserve"> there were a few landowners with significant market shares, the analysis could be truncated to exclude people who owned a small share of developable land. For instance, people with less than 3% market share could be </w:t>
      </w:r>
      <w:proofErr w:type="gramStart"/>
      <w:r w:rsidRPr="004C33D1">
        <w:t>excluded</w:t>
      </w:r>
      <w:proofErr w:type="gramEnd"/>
      <w:r w:rsidRPr="004C33D1">
        <w:t xml:space="preserve"> as they would add a maximum of 9 to the total HHI.</w:t>
      </w:r>
    </w:p>
    <w:p w:rsidR="00821949" w:rsidRPr="004C33D1" w:rsidRDefault="00821949" w:rsidP="00827E15"/>
    <w:p w:rsidR="00827E15" w:rsidRDefault="00271D4B" w:rsidP="00827E15">
      <w:r>
        <w:t>I</w:t>
      </w:r>
      <w:r w:rsidR="00821949" w:rsidRPr="004C33D1">
        <w:t xml:space="preserve">t </w:t>
      </w:r>
      <w:r>
        <w:t xml:space="preserve">would be </w:t>
      </w:r>
      <w:r w:rsidR="00821949" w:rsidRPr="004C33D1">
        <w:t>possible to use land title data and company ownership data to estimate a</w:t>
      </w:r>
      <w:r>
        <w:t>n</w:t>
      </w:r>
      <w:r w:rsidR="00821949" w:rsidRPr="004C33D1">
        <w:t xml:space="preserve"> HHI measure for particular land markets. This could assist in understanding the extent of non-regulatory constraints on the competitiveness of land and development markets. </w:t>
      </w:r>
      <w:r w:rsidR="00827E15" w:rsidRPr="004C33D1">
        <w:t xml:space="preserve">For example, measuring the concentration of ownership of </w:t>
      </w:r>
      <w:proofErr w:type="gramStart"/>
      <w:r w:rsidR="00827E15" w:rsidRPr="004C33D1">
        <w:t>greenfield</w:t>
      </w:r>
      <w:proofErr w:type="gramEnd"/>
      <w:r w:rsidR="00827E15" w:rsidRPr="004C33D1">
        <w:t xml:space="preserve"> land on the city fringe would provide an indicator of the degree to which greenfield development may be limited by land-banking.</w:t>
      </w:r>
    </w:p>
    <w:p w:rsidR="00E3263E" w:rsidRDefault="00E3263E" w:rsidP="00827E15"/>
    <w:p w:rsidR="002F12FC" w:rsidRDefault="002F12FC" w:rsidP="00827E15">
      <w:r>
        <w:t>F</w:t>
      </w:r>
      <w:r w:rsidR="00E3263E">
        <w:t>or smaller council</w:t>
      </w:r>
      <w:r w:rsidR="00E46BB3">
        <w:t>s</w:t>
      </w:r>
      <w:r w:rsidR="00E3263E">
        <w:t xml:space="preserve"> the information </w:t>
      </w:r>
      <w:r w:rsidR="00717ED3">
        <w:t xml:space="preserve">the HHI provides </w:t>
      </w:r>
      <w:proofErr w:type="gramStart"/>
      <w:r w:rsidR="00E3263E">
        <w:t>might be known and understood</w:t>
      </w:r>
      <w:r w:rsidR="000D7E75">
        <w:t>,</w:t>
      </w:r>
      <w:proofErr w:type="gramEnd"/>
      <w:r w:rsidR="000D7E75">
        <w:t xml:space="preserve"> </w:t>
      </w:r>
      <w:r>
        <w:t xml:space="preserve">but </w:t>
      </w:r>
      <w:r w:rsidR="000D7E75">
        <w:t>t</w:t>
      </w:r>
      <w:r w:rsidR="00E3263E">
        <w:t xml:space="preserve">he HHI could </w:t>
      </w:r>
      <w:r w:rsidR="00717ED3">
        <w:t xml:space="preserve">provide a means for </w:t>
      </w:r>
      <w:r w:rsidR="00E46BB3">
        <w:t>communicating</w:t>
      </w:r>
      <w:r w:rsidR="00717ED3">
        <w:t xml:space="preserve"> the problem</w:t>
      </w:r>
      <w:r w:rsidR="00E3263E">
        <w:t xml:space="preserve">. </w:t>
      </w:r>
      <w:r w:rsidR="000D7E75">
        <w:t xml:space="preserve">For larger councils, the HHI </w:t>
      </w:r>
      <w:proofErr w:type="gramStart"/>
      <w:r w:rsidR="000D7E75">
        <w:t>could be used</w:t>
      </w:r>
      <w:proofErr w:type="gramEnd"/>
      <w:r w:rsidR="000D7E75">
        <w:t xml:space="preserve"> to </w:t>
      </w:r>
      <w:r w:rsidR="00E46BB3">
        <w:t xml:space="preserve">analyse whether there is a concentrated market problem. </w:t>
      </w:r>
      <w:r>
        <w:t xml:space="preserve">This </w:t>
      </w:r>
      <w:proofErr w:type="gramStart"/>
      <w:r>
        <w:t>might be combined</w:t>
      </w:r>
      <w:proofErr w:type="gramEnd"/>
      <w:r>
        <w:t xml:space="preserve"> </w:t>
      </w:r>
      <w:r w:rsidR="000D7E75">
        <w:t>with market definition work to isolate separate markets</w:t>
      </w:r>
      <w:r>
        <w:t>, ie is there a single market for business land or are there separate markets defined by geography or other factors, each of which might be monopolised?</w:t>
      </w:r>
      <w:r w:rsidR="000D7E75">
        <w:t xml:space="preserve"> </w:t>
      </w:r>
    </w:p>
    <w:p w:rsidR="002F12FC" w:rsidRDefault="002F12FC" w:rsidP="00827E15"/>
    <w:p w:rsidR="00E3263E" w:rsidRPr="004C33D1" w:rsidRDefault="002F12FC" w:rsidP="00827E15">
      <w:r>
        <w:lastRenderedPageBreak/>
        <w:t xml:space="preserve">The HHI </w:t>
      </w:r>
      <w:r w:rsidR="00E3263E">
        <w:t>is a useful indicator and one that is widely understood by competition economists. It could be a useful addition to the suite of indicators used by councils.</w:t>
      </w:r>
    </w:p>
    <w:p w:rsidR="00827E15" w:rsidRPr="004C33D1" w:rsidRDefault="00827E15" w:rsidP="00220C7C">
      <w:pPr>
        <w:pStyle w:val="Heading2"/>
      </w:pPr>
      <w:bookmarkStart w:id="150" w:name="_Toc462413634"/>
      <w:bookmarkStart w:id="151" w:name="_Toc462582190"/>
      <w:r w:rsidRPr="004C33D1">
        <w:t>Information</w:t>
      </w:r>
      <w:r w:rsidR="00821949" w:rsidRPr="004C33D1">
        <w:t xml:space="preserve"> Problems</w:t>
      </w:r>
      <w:bookmarkEnd w:id="150"/>
      <w:bookmarkEnd w:id="151"/>
    </w:p>
    <w:p w:rsidR="001E56E0" w:rsidRDefault="00EF3B7E" w:rsidP="00B03E19">
      <w:r>
        <w:t xml:space="preserve">Markets </w:t>
      </w:r>
      <w:proofErr w:type="gramStart"/>
      <w:r>
        <w:t xml:space="preserve">are </w:t>
      </w:r>
      <w:r w:rsidR="00B03E19">
        <w:t>made</w:t>
      </w:r>
      <w:proofErr w:type="gramEnd"/>
      <w:r w:rsidR="00B03E19">
        <w:t xml:space="preserve"> </w:t>
      </w:r>
      <w:r>
        <w:t xml:space="preserve">more competitive </w:t>
      </w:r>
      <w:r w:rsidR="00B03E19">
        <w:t xml:space="preserve">by better quality information relating to price, supply and demand. </w:t>
      </w:r>
      <w:proofErr w:type="gramStart"/>
      <w:r w:rsidR="00B03E19">
        <w:t xml:space="preserve">With </w:t>
      </w:r>
      <w:r w:rsidR="001E56E0">
        <w:t xml:space="preserve">more </w:t>
      </w:r>
      <w:r w:rsidR="00B03E19">
        <w:t>complete information,</w:t>
      </w:r>
      <w:proofErr w:type="gramEnd"/>
      <w:r w:rsidR="00B03E19">
        <w:t xml:space="preserve"> market participants have greater certainty over the value of what they are buying or selling. This drives price towards the marginal cost of supply and reduces the </w:t>
      </w:r>
      <w:r w:rsidR="005819DB">
        <w:t>opportunities</w:t>
      </w:r>
      <w:r w:rsidR="00B03E19">
        <w:t xml:space="preserve"> for </w:t>
      </w:r>
      <w:r w:rsidR="00827E15" w:rsidRPr="004C33D1">
        <w:t xml:space="preserve">speculative purchasing and </w:t>
      </w:r>
      <w:r w:rsidR="005819DB">
        <w:t xml:space="preserve">profitable </w:t>
      </w:r>
      <w:r w:rsidR="00827E15" w:rsidRPr="004C33D1">
        <w:t xml:space="preserve">holding of land (land banking). </w:t>
      </w:r>
      <w:r w:rsidR="002F5124">
        <w:t>Greater certainty increases the likelihood that developers will invest.</w:t>
      </w:r>
      <w:r w:rsidR="002F5124">
        <w:rPr>
          <w:rStyle w:val="FootnoteReference"/>
        </w:rPr>
        <w:footnoteReference w:id="73"/>
      </w:r>
    </w:p>
    <w:p w:rsidR="001E56E0" w:rsidRDefault="001E56E0" w:rsidP="00B03E19"/>
    <w:p w:rsidR="007B29AB" w:rsidRDefault="00B03E19" w:rsidP="00B03E19">
      <w:r>
        <w:t xml:space="preserve">Councils affect the quality of available information through their plans and consenting processes. </w:t>
      </w:r>
      <w:r w:rsidR="006D54A7">
        <w:t xml:space="preserve">These can provide more or less information about factors that include </w:t>
      </w:r>
      <w:r w:rsidR="005819DB">
        <w:t>what</w:t>
      </w:r>
      <w:r w:rsidR="006D54A7">
        <w:t xml:space="preserve"> development </w:t>
      </w:r>
      <w:proofErr w:type="gramStart"/>
      <w:r w:rsidR="006D54A7">
        <w:t>is</w:t>
      </w:r>
      <w:proofErr w:type="gramEnd"/>
      <w:r w:rsidR="006D54A7">
        <w:t xml:space="preserve"> allowed now and in the future</w:t>
      </w:r>
      <w:r w:rsidR="005819DB">
        <w:t xml:space="preserve"> at a specific location</w:t>
      </w:r>
      <w:r w:rsidR="006D54A7">
        <w:t>, and when infrastructure will be in place.</w:t>
      </w:r>
    </w:p>
    <w:p w:rsidR="007B29AB" w:rsidRDefault="007B29AB" w:rsidP="007B29AB"/>
    <w:p w:rsidR="000632E0" w:rsidRDefault="00827E15" w:rsidP="00827E15">
      <w:r w:rsidRPr="004C33D1">
        <w:t xml:space="preserve">The </w:t>
      </w:r>
      <w:r w:rsidR="000727DA">
        <w:t xml:space="preserve">quality of available </w:t>
      </w:r>
      <w:r w:rsidRPr="004C33D1">
        <w:t>information is</w:t>
      </w:r>
      <w:r w:rsidR="000727DA">
        <w:t xml:space="preserve"> </w:t>
      </w:r>
      <w:r w:rsidR="005819DB">
        <w:t xml:space="preserve">not straightforward </w:t>
      </w:r>
      <w:r w:rsidRPr="004C33D1">
        <w:t>to measure</w:t>
      </w:r>
      <w:r w:rsidR="005819DB">
        <w:t xml:space="preserve"> because some of the problem relates to the changeability of information rather than its </w:t>
      </w:r>
      <w:proofErr w:type="gramStart"/>
      <w:r w:rsidR="005819DB">
        <w:t>current status</w:t>
      </w:r>
      <w:proofErr w:type="gramEnd"/>
      <w:r w:rsidR="005819DB">
        <w:t xml:space="preserve">, ie if the </w:t>
      </w:r>
      <w:r w:rsidR="0024497C">
        <w:t xml:space="preserve">list of activities that are </w:t>
      </w:r>
      <w:r w:rsidR="005819DB">
        <w:t>allowed</w:t>
      </w:r>
      <w:r w:rsidR="0024497C">
        <w:t xml:space="preserve"> changes over time</w:t>
      </w:r>
      <w:r w:rsidRPr="004C33D1">
        <w:t xml:space="preserve">. </w:t>
      </w:r>
      <w:r w:rsidR="00277D76">
        <w:t xml:space="preserve">Information quality might be measurable in the form of </w:t>
      </w:r>
      <w:r w:rsidR="000632E0">
        <w:t xml:space="preserve">the timeframe of infrastructure planning, eg how far in advance </w:t>
      </w:r>
      <w:proofErr w:type="gramStart"/>
      <w:r w:rsidR="000632E0">
        <w:t>are plans in place, but this</w:t>
      </w:r>
      <w:proofErr w:type="gramEnd"/>
      <w:r w:rsidR="000632E0">
        <w:t xml:space="preserve"> is a limited component of the total problem. </w:t>
      </w:r>
    </w:p>
    <w:p w:rsidR="000632E0" w:rsidRDefault="000632E0" w:rsidP="00827E15"/>
    <w:p w:rsidR="00E3263E" w:rsidRDefault="000632E0" w:rsidP="00827E15">
      <w:r>
        <w:t xml:space="preserve">An alternative approach </w:t>
      </w:r>
      <w:proofErr w:type="gramStart"/>
      <w:r>
        <w:t>might be based</w:t>
      </w:r>
      <w:proofErr w:type="gramEnd"/>
      <w:r>
        <w:t xml:space="preserve"> on surveys of developers. This would be subjective, but if repeated over time it might provide an idea of whether or not business certainty is improving over time.</w:t>
      </w:r>
    </w:p>
    <w:p w:rsidR="00E3263E" w:rsidRDefault="00E3263E" w:rsidP="00827E15"/>
    <w:p w:rsidR="00827E15" w:rsidRPr="004C33D1" w:rsidRDefault="000632E0" w:rsidP="00827E15">
      <w:r>
        <w:t xml:space="preserve">An information quality indicator is a possibility for the set of council indicators, but it is not a priority indicator. </w:t>
      </w:r>
    </w:p>
    <w:p w:rsidR="00827E15" w:rsidRPr="004C33D1" w:rsidRDefault="00827E15" w:rsidP="00220C7C">
      <w:pPr>
        <w:pStyle w:val="Heading2"/>
      </w:pPr>
      <w:bookmarkStart w:id="152" w:name="_Toc462413635"/>
      <w:bookmarkStart w:id="153" w:name="_Toc462582191"/>
      <w:r w:rsidRPr="004C33D1">
        <w:t>Transaction Costs</w:t>
      </w:r>
      <w:bookmarkEnd w:id="152"/>
      <w:bookmarkEnd w:id="153"/>
    </w:p>
    <w:p w:rsidR="001B70C1" w:rsidRPr="004C33D1" w:rsidRDefault="001B70C1" w:rsidP="001B70C1">
      <w:r w:rsidRPr="004C33D1">
        <w:t xml:space="preserve">Land and development markets would be more efficient if there was no (or low) transaction costs associated with buying or selling properties or undertaking development. If property </w:t>
      </w:r>
      <w:proofErr w:type="gramStart"/>
      <w:r w:rsidRPr="004C33D1">
        <w:t>could be exchanged</w:t>
      </w:r>
      <w:proofErr w:type="gramEnd"/>
      <w:r w:rsidRPr="004C33D1">
        <w:t xml:space="preserve"> and (re)developed more quickly and cheaply, it would be more likely that people would make exchanges when their circumstances changed. </w:t>
      </w:r>
    </w:p>
    <w:p w:rsidR="001B70C1" w:rsidRPr="004C33D1" w:rsidRDefault="001B70C1" w:rsidP="001B70C1"/>
    <w:p w:rsidR="001B70C1" w:rsidRPr="004C33D1" w:rsidRDefault="001B70C1" w:rsidP="001B70C1">
      <w:r w:rsidRPr="004C33D1">
        <w:t xml:space="preserve">The costs to buy or sell properties include time to search for an appropriate property and costs </w:t>
      </w:r>
      <w:r w:rsidR="00D20F5F">
        <w:t>of</w:t>
      </w:r>
      <w:r w:rsidRPr="004C33D1">
        <w:t xml:space="preserve"> sale</w:t>
      </w:r>
      <w:r w:rsidR="00D20F5F">
        <w:t>s</w:t>
      </w:r>
      <w:r w:rsidRPr="004C33D1">
        <w:t xml:space="preserve">. </w:t>
      </w:r>
      <w:r w:rsidR="00D20F5F">
        <w:t>R</w:t>
      </w:r>
      <w:r w:rsidRPr="004C33D1">
        <w:t>eal estate agent fees currently range from 3% to 5% of the sales price of a $500,000 property.</w:t>
      </w:r>
      <w:r w:rsidRPr="004C33D1">
        <w:rPr>
          <w:rStyle w:val="FootnoteReference"/>
        </w:rPr>
        <w:footnoteReference w:id="74"/>
      </w:r>
      <w:r w:rsidRPr="004C33D1">
        <w:t xml:space="preserve"> </w:t>
      </w:r>
      <w:r w:rsidR="00D20F5F">
        <w:t xml:space="preserve">However, absent </w:t>
      </w:r>
      <w:r w:rsidRPr="004C33D1">
        <w:t>a very different trading model, fees will continue to be a barrier to a more competitive market.</w:t>
      </w:r>
      <w:r w:rsidR="00D20F5F">
        <w:t xml:space="preserve"> </w:t>
      </w:r>
    </w:p>
    <w:p w:rsidR="001B70C1" w:rsidRPr="004C33D1" w:rsidRDefault="001B70C1" w:rsidP="001B70C1"/>
    <w:p w:rsidR="001B70C1" w:rsidRPr="004C33D1" w:rsidRDefault="001B70C1" w:rsidP="001B70C1">
      <w:r w:rsidRPr="004C33D1">
        <w:t xml:space="preserve">Transaction costs </w:t>
      </w:r>
      <w:r w:rsidR="00D20F5F">
        <w:t>of property</w:t>
      </w:r>
      <w:r w:rsidRPr="004C33D1">
        <w:t xml:space="preserve"> development include the costs to acquire land for development, the holding costs associated with the time lag between land acquisition </w:t>
      </w:r>
      <w:r w:rsidRPr="004C33D1">
        <w:lastRenderedPageBreak/>
        <w:t xml:space="preserve">and receipt of development revenues (eg from sales of new dwellings), and the costs of designing and consenting new buildings. In principle, these transaction costs </w:t>
      </w:r>
      <w:proofErr w:type="gramStart"/>
      <w:r w:rsidRPr="004C33D1">
        <w:t>can be measured</w:t>
      </w:r>
      <w:proofErr w:type="gramEnd"/>
      <w:r w:rsidRPr="004C33D1">
        <w:t xml:space="preserve"> through</w:t>
      </w:r>
      <w:r w:rsidR="00F91A73">
        <w:t xml:space="preserve"> surveys of</w:t>
      </w:r>
      <w:r w:rsidRPr="004C33D1">
        <w:t>:</w:t>
      </w:r>
    </w:p>
    <w:p w:rsidR="001B70C1" w:rsidRPr="004C33D1" w:rsidRDefault="001B70C1" w:rsidP="001B70C1"/>
    <w:p w:rsidR="001B70C1" w:rsidRPr="004C33D1" w:rsidRDefault="001B70C1" w:rsidP="00411653">
      <w:pPr>
        <w:pStyle w:val="ListParagraph"/>
        <w:numPr>
          <w:ilvl w:val="0"/>
          <w:numId w:val="43"/>
        </w:numPr>
      </w:pPr>
      <w:r w:rsidRPr="004C33D1">
        <w:t>developers to understand the costs that they face, including financial costs, delays, and uncertainty associated with consenting requirements;</w:t>
      </w:r>
      <w:r w:rsidRPr="004C33D1">
        <w:rPr>
          <w:rStyle w:val="FootnoteReference"/>
        </w:rPr>
        <w:footnoteReference w:id="75"/>
      </w:r>
      <w:r w:rsidRPr="004C33D1">
        <w:t xml:space="preserve"> and</w:t>
      </w:r>
    </w:p>
    <w:p w:rsidR="001B70C1" w:rsidRPr="004C33D1" w:rsidRDefault="001B70C1" w:rsidP="001B70C1">
      <w:pPr>
        <w:pStyle w:val="ListParagraph"/>
        <w:numPr>
          <w:ilvl w:val="0"/>
          <w:numId w:val="0"/>
        </w:numPr>
        <w:ind w:left="720"/>
      </w:pPr>
    </w:p>
    <w:p w:rsidR="001B70C1" w:rsidRPr="004C33D1" w:rsidRDefault="001B70C1" w:rsidP="00411653">
      <w:pPr>
        <w:pStyle w:val="ListParagraph"/>
        <w:numPr>
          <w:ilvl w:val="0"/>
          <w:numId w:val="43"/>
        </w:numPr>
      </w:pPr>
      <w:proofErr w:type="gramStart"/>
      <w:r w:rsidRPr="004C33D1">
        <w:t>local</w:t>
      </w:r>
      <w:proofErr w:type="gramEnd"/>
      <w:r w:rsidRPr="004C33D1">
        <w:t xml:space="preserve"> authorities to understand resource consent and building consent fees and timeframes for consent decisions</w:t>
      </w:r>
      <w:r w:rsidR="00C741A9">
        <w:t>,</w:t>
      </w:r>
      <w:r w:rsidRPr="004C33D1">
        <w:rPr>
          <w:rStyle w:val="FootnoteReference"/>
        </w:rPr>
        <w:footnoteReference w:id="76"/>
      </w:r>
      <w:r w:rsidR="00C741A9">
        <w:t xml:space="preserve"> including that required under the National Monitoring System (NMS).</w:t>
      </w:r>
      <w:r w:rsidR="00C741A9">
        <w:rPr>
          <w:rStyle w:val="FootnoteReference"/>
        </w:rPr>
        <w:footnoteReference w:id="77"/>
      </w:r>
    </w:p>
    <w:p w:rsidR="001B70C1" w:rsidRPr="004C33D1" w:rsidRDefault="001B70C1" w:rsidP="001B70C1"/>
    <w:p w:rsidR="0047133A" w:rsidRDefault="0047133A" w:rsidP="00827E15">
      <w:r>
        <w:t>Such surveys would be good practice.</w:t>
      </w:r>
    </w:p>
    <w:p w:rsidR="0047133A" w:rsidRDefault="0047133A" w:rsidP="00827E15"/>
    <w:p w:rsidR="00827E15" w:rsidRPr="004C33D1" w:rsidRDefault="00C741A9" w:rsidP="00827E15">
      <w:r>
        <w:t>I</w:t>
      </w:r>
      <w:r w:rsidR="001B70C1" w:rsidRPr="004C33D1">
        <w:t xml:space="preserve">nterpreting data on transaction costs </w:t>
      </w:r>
      <w:r>
        <w:t xml:space="preserve">can </w:t>
      </w:r>
      <w:r w:rsidR="001B70C1" w:rsidRPr="004C33D1">
        <w:t xml:space="preserve">be difficult because </w:t>
      </w:r>
      <w:r>
        <w:t xml:space="preserve">the costs include </w:t>
      </w:r>
      <w:r w:rsidR="001B70C1" w:rsidRPr="004C33D1">
        <w:t xml:space="preserve">land acquisition costs and holding costs for redevelopment projects </w:t>
      </w:r>
      <w:r>
        <w:t xml:space="preserve">which </w:t>
      </w:r>
      <w:r w:rsidR="001B70C1" w:rsidRPr="004C33D1">
        <w:t xml:space="preserve">may be increased by planning rules </w:t>
      </w:r>
      <w:r>
        <w:t xml:space="preserve">(it is the marginal costs attributable to planning rules that are of interest), and </w:t>
      </w:r>
      <w:r w:rsidR="001B70C1" w:rsidRPr="004C33D1">
        <w:t xml:space="preserve">other costs, eg architectural design costs, may be </w:t>
      </w:r>
      <w:r>
        <w:t xml:space="preserve">partially </w:t>
      </w:r>
      <w:r w:rsidR="001B70C1" w:rsidRPr="004C33D1">
        <w:t xml:space="preserve">influenced by planning rules </w:t>
      </w:r>
      <w:r>
        <w:t>but will be required anyway. However, good survey design might deal with many of these potential problems.</w:t>
      </w:r>
    </w:p>
    <w:p w:rsidR="00827E15" w:rsidRPr="004C33D1" w:rsidRDefault="0038100D" w:rsidP="00220C7C">
      <w:pPr>
        <w:pStyle w:val="Heading2"/>
      </w:pPr>
      <w:bookmarkStart w:id="154" w:name="_Toc462413636"/>
      <w:bookmarkStart w:id="155" w:name="_Toc462582192"/>
      <w:r>
        <w:t>Conclusions</w:t>
      </w:r>
      <w:bookmarkEnd w:id="154"/>
      <w:bookmarkEnd w:id="155"/>
    </w:p>
    <w:p w:rsidR="001B70C1" w:rsidRPr="004C33D1" w:rsidRDefault="00827E15" w:rsidP="00827E15">
      <w:r w:rsidRPr="004C33D1">
        <w:t xml:space="preserve">We </w:t>
      </w:r>
      <w:r w:rsidR="00C741A9">
        <w:t xml:space="preserve">recommend the use of the </w:t>
      </w:r>
      <w:r w:rsidRPr="004C33D1">
        <w:t xml:space="preserve">HHI </w:t>
      </w:r>
      <w:r w:rsidR="00C741A9">
        <w:t>to measure</w:t>
      </w:r>
      <w:r w:rsidRPr="004C33D1">
        <w:t xml:space="preserve"> concentration in specific land markets.</w:t>
      </w:r>
    </w:p>
    <w:p w:rsidR="002B4488" w:rsidRPr="004C33D1" w:rsidRDefault="002B4488" w:rsidP="00827E15">
      <w:pPr>
        <w:rPr>
          <w:b/>
          <w:bCs/>
        </w:rPr>
      </w:pPr>
      <w:r w:rsidRPr="004C33D1">
        <w:br w:type="page"/>
      </w:r>
    </w:p>
    <w:p w:rsidR="00B01C8D" w:rsidRPr="004C33D1" w:rsidRDefault="003744E6" w:rsidP="00956D3F">
      <w:pPr>
        <w:pStyle w:val="Heading1"/>
      </w:pPr>
      <w:bookmarkStart w:id="156" w:name="_Ref456274753"/>
      <w:bookmarkStart w:id="157" w:name="_Ref457978741"/>
      <w:bookmarkStart w:id="158" w:name="_Toc462413637"/>
      <w:bookmarkStart w:id="159" w:name="_Toc462582193"/>
      <w:r w:rsidRPr="004C33D1">
        <w:lastRenderedPageBreak/>
        <w:t>Indicators</w:t>
      </w:r>
      <w:bookmarkEnd w:id="156"/>
      <w:r w:rsidR="001B70C1" w:rsidRPr="004C33D1">
        <w:t xml:space="preserve"> of Efficient Pricing</w:t>
      </w:r>
      <w:bookmarkEnd w:id="157"/>
      <w:bookmarkEnd w:id="158"/>
      <w:bookmarkEnd w:id="159"/>
    </w:p>
    <w:p w:rsidR="00E4514B" w:rsidRPr="004C33D1" w:rsidRDefault="00B01C8D" w:rsidP="00220C7C">
      <w:pPr>
        <w:pStyle w:val="Heading2"/>
      </w:pPr>
      <w:bookmarkStart w:id="160" w:name="_Toc462413638"/>
      <w:bookmarkStart w:id="161" w:name="_Toc462582194"/>
      <w:r w:rsidRPr="004C33D1">
        <w:t>Theory</w:t>
      </w:r>
      <w:bookmarkEnd w:id="160"/>
      <w:bookmarkEnd w:id="161"/>
    </w:p>
    <w:p w:rsidR="000173B6" w:rsidRDefault="00B01C8D" w:rsidP="00B01C8D">
      <w:r w:rsidRPr="004C33D1">
        <w:t xml:space="preserve">In </w:t>
      </w:r>
      <w:r w:rsidR="00E34EC4" w:rsidRPr="004C33D1">
        <w:t xml:space="preserve">Section </w:t>
      </w:r>
      <w:r w:rsidR="00D20F5F">
        <w:fldChar w:fldCharType="begin"/>
      </w:r>
      <w:r w:rsidR="00D20F5F">
        <w:instrText xml:space="preserve"> REF _Ref457986877 \r \h </w:instrText>
      </w:r>
      <w:r w:rsidR="00D20F5F">
        <w:fldChar w:fldCharType="separate"/>
      </w:r>
      <w:proofErr w:type="gramStart"/>
      <w:r w:rsidR="004D1DDA">
        <w:t>2.3</w:t>
      </w:r>
      <w:proofErr w:type="gramEnd"/>
      <w:r w:rsidR="00D20F5F">
        <w:fldChar w:fldCharType="end"/>
      </w:r>
      <w:r w:rsidR="00E34EC4" w:rsidRPr="004C33D1">
        <w:t xml:space="preserve"> we discussed pricing </w:t>
      </w:r>
      <w:r w:rsidR="001B70C1" w:rsidRPr="004C33D1">
        <w:t>in competitive markets. This analysis suggests that</w:t>
      </w:r>
      <w:r w:rsidR="00661D95">
        <w:t>,</w:t>
      </w:r>
      <w:r w:rsidR="001B70C1" w:rsidRPr="004C33D1">
        <w:t xml:space="preserve"> in a competitive (wellbeing-maximising) market for urban land and development, prices for housing and business floorspace would be no higher than the marginal social cost of supply. The marginal social cost of development </w:t>
      </w:r>
      <w:proofErr w:type="gramStart"/>
      <w:r w:rsidR="001B70C1" w:rsidRPr="004C33D1">
        <w:t>can in turn be decomposed</w:t>
      </w:r>
      <w:proofErr w:type="gramEnd"/>
      <w:r w:rsidR="001B70C1" w:rsidRPr="004C33D1">
        <w:t xml:space="preserve"> into</w:t>
      </w:r>
      <w:r w:rsidR="000173B6">
        <w:t>:</w:t>
      </w:r>
      <w:r w:rsidR="001B70C1" w:rsidRPr="004C33D1">
        <w:t xml:space="preserve"> </w:t>
      </w:r>
      <w:r w:rsidR="00661D95">
        <w:br/>
      </w:r>
    </w:p>
    <w:p w:rsidR="000173B6" w:rsidRDefault="001B70C1" w:rsidP="006277DC">
      <w:pPr>
        <w:pStyle w:val="ListParagraph"/>
        <w:numPr>
          <w:ilvl w:val="0"/>
          <w:numId w:val="80"/>
        </w:numPr>
      </w:pPr>
      <w:r w:rsidRPr="004C33D1">
        <w:t>marginal private costs, ie the opportunity cost of land if used for its next-best use plus land development costs</w:t>
      </w:r>
      <w:r w:rsidR="000173B6">
        <w:t>;</w:t>
      </w:r>
      <w:r w:rsidRPr="004C33D1">
        <w:t xml:space="preserve"> plus </w:t>
      </w:r>
      <w:r w:rsidR="00661D95">
        <w:br/>
      </w:r>
    </w:p>
    <w:p w:rsidR="00E34EC4" w:rsidRPr="004C33D1" w:rsidRDefault="001B70C1" w:rsidP="006277DC">
      <w:pPr>
        <w:pStyle w:val="ListParagraph"/>
        <w:numPr>
          <w:ilvl w:val="0"/>
          <w:numId w:val="80"/>
        </w:numPr>
      </w:pPr>
      <w:proofErr w:type="gramStart"/>
      <w:r w:rsidRPr="004C33D1">
        <w:t>marginal</w:t>
      </w:r>
      <w:proofErr w:type="gramEnd"/>
      <w:r w:rsidRPr="004C33D1">
        <w:t xml:space="preserve"> external costs, including costs of network infrastructure that are not borne by the developer, external impacts on neighbours, and environmental impacts</w:t>
      </w:r>
      <w:r w:rsidR="00E34EC4" w:rsidRPr="004C33D1">
        <w:t xml:space="preserve">. </w:t>
      </w:r>
    </w:p>
    <w:p w:rsidR="00E34EC4" w:rsidRPr="004C33D1" w:rsidRDefault="00E34EC4" w:rsidP="00B01C8D"/>
    <w:p w:rsidR="00B01C8D" w:rsidRPr="004C33D1" w:rsidRDefault="001B70C1" w:rsidP="00882F53">
      <w:r w:rsidRPr="004C33D1">
        <w:t xml:space="preserve">Where observed prices diverge significantly from marginal social costs, it suggests that there are constraints to competitive markets, which may include insufficient development capacity </w:t>
      </w:r>
      <w:r w:rsidR="00C741A9">
        <w:t xml:space="preserve">in plans, </w:t>
      </w:r>
      <w:r w:rsidRPr="004C33D1">
        <w:t>as well as non-regulatory constraints such as concentrated market power (</w:t>
      </w:r>
      <w:r w:rsidR="00882F53" w:rsidRPr="004C33D1">
        <w:t>Section</w:t>
      </w:r>
      <w:r w:rsidR="000173B6">
        <w:t xml:space="preserve"> </w:t>
      </w:r>
      <w:r w:rsidR="000173B6">
        <w:fldChar w:fldCharType="begin"/>
      </w:r>
      <w:r w:rsidR="000173B6">
        <w:instrText xml:space="preserve"> REF _Ref458162438 \r \h </w:instrText>
      </w:r>
      <w:r w:rsidR="000173B6">
        <w:fldChar w:fldCharType="separate"/>
      </w:r>
      <w:r w:rsidR="004D1DDA">
        <w:t>5.2</w:t>
      </w:r>
      <w:r w:rsidR="000173B6">
        <w:fldChar w:fldCharType="end"/>
      </w:r>
      <w:r w:rsidRPr="004C33D1">
        <w:t>)</w:t>
      </w:r>
      <w:r w:rsidR="00882F53" w:rsidRPr="004C33D1">
        <w:t xml:space="preserve">. </w:t>
      </w:r>
    </w:p>
    <w:p w:rsidR="00882F53" w:rsidRPr="004C33D1" w:rsidRDefault="00882F53" w:rsidP="00882F53"/>
    <w:p w:rsidR="001B70C1" w:rsidRPr="004C33D1" w:rsidRDefault="001B70C1" w:rsidP="002D6B7E">
      <w:r w:rsidRPr="004C33D1">
        <w:t xml:space="preserve">Identifying cases where prices diverge significantly from marginal social costs can be challenging. Competitive markets do not imply that prices for land, housing or business floorspace will be equal across all locations. Within cities (and between cities) there are variations in access to employment and amenities that result in higher prices in some locations than </w:t>
      </w:r>
      <w:proofErr w:type="gramStart"/>
      <w:r w:rsidRPr="004C33D1">
        <w:t>others</w:t>
      </w:r>
      <w:proofErr w:type="gramEnd"/>
      <w:r w:rsidRPr="004C33D1">
        <w:t>. Consequently, evidence of variations in prices within cities is not sufficient evidence of inefficient pricing.</w:t>
      </w:r>
    </w:p>
    <w:p w:rsidR="00D6367C" w:rsidRPr="004C33D1" w:rsidRDefault="00D6367C" w:rsidP="002D6B7E"/>
    <w:p w:rsidR="001B70C1" w:rsidRPr="004C33D1" w:rsidRDefault="001B70C1" w:rsidP="001B70C1">
      <w:r w:rsidRPr="004C33D1">
        <w:t>It is possible to identify whether or not prices are efficient by comparing:</w:t>
      </w:r>
    </w:p>
    <w:p w:rsidR="001B70C1" w:rsidRPr="004C33D1" w:rsidRDefault="001B70C1" w:rsidP="001B70C1">
      <w:pPr>
        <w:tabs>
          <w:tab w:val="left" w:pos="2460"/>
        </w:tabs>
      </w:pPr>
    </w:p>
    <w:p w:rsidR="001B70C1" w:rsidRPr="004C33D1" w:rsidRDefault="00661D95" w:rsidP="000850C5">
      <w:pPr>
        <w:pStyle w:val="ListParagraph"/>
        <w:numPr>
          <w:ilvl w:val="0"/>
          <w:numId w:val="17"/>
        </w:numPr>
      </w:pPr>
      <w:r w:rsidRPr="004C33D1">
        <w:t xml:space="preserve">prices </w:t>
      </w:r>
      <w:r w:rsidR="001B70C1" w:rsidRPr="004C33D1">
        <w:t>for parcels of land (or residential properties) that are essentially the same but which have different development capacity due to differences in zoning or infrastructure supply; or</w:t>
      </w:r>
      <w:r w:rsidR="001B70C1" w:rsidRPr="004C33D1">
        <w:br/>
      </w:r>
    </w:p>
    <w:p w:rsidR="001B70C1" w:rsidRPr="004C33D1" w:rsidRDefault="00661D95" w:rsidP="000850C5">
      <w:pPr>
        <w:pStyle w:val="ListParagraph"/>
        <w:numPr>
          <w:ilvl w:val="0"/>
          <w:numId w:val="17"/>
        </w:numPr>
      </w:pPr>
      <w:proofErr w:type="gramStart"/>
      <w:r w:rsidRPr="004C33D1">
        <w:t>market</w:t>
      </w:r>
      <w:proofErr w:type="gramEnd"/>
      <w:r w:rsidRPr="004C33D1">
        <w:t xml:space="preserve"> </w:t>
      </w:r>
      <w:r w:rsidR="001B70C1" w:rsidRPr="004C33D1">
        <w:t>prices for dwellings or business floorspace with a ‘bottom-up’ estimate of the marginal social cost to supply comparable goods, including development costs and external costs.</w:t>
      </w:r>
    </w:p>
    <w:p w:rsidR="001B70C1" w:rsidRPr="004C33D1" w:rsidRDefault="001B70C1" w:rsidP="00B01C8D"/>
    <w:p w:rsidR="001B70C1" w:rsidRPr="004C33D1" w:rsidRDefault="001B70C1" w:rsidP="001B70C1">
      <w:r w:rsidRPr="004C33D1">
        <w:t xml:space="preserve">Large differences in prices for similar goods (land, housing, or business floorspace) that </w:t>
      </w:r>
      <w:proofErr w:type="gramStart"/>
      <w:r w:rsidRPr="004C33D1">
        <w:t>cannot be explained</w:t>
      </w:r>
      <w:proofErr w:type="gramEnd"/>
      <w:r w:rsidRPr="004C33D1">
        <w:t xml:space="preserve"> by differences in their underlying characteristics are evidence of inefficient pricing. If it is possible to link observed discontinuities in prices to urban planning policies, eg by observing them at the edges of </w:t>
      </w:r>
      <w:proofErr w:type="gramStart"/>
      <w:r w:rsidRPr="004C33D1">
        <w:t>spatially-based</w:t>
      </w:r>
      <w:proofErr w:type="gramEnd"/>
      <w:r w:rsidRPr="004C33D1">
        <w:t xml:space="preserve"> zones that allow urban development in some locations but not in others, then it is reasonable to infer that a lack of development capacity is increasing prices.</w:t>
      </w:r>
    </w:p>
    <w:p w:rsidR="001B70C1" w:rsidRPr="004C33D1" w:rsidRDefault="001B70C1" w:rsidP="001B70C1"/>
    <w:p w:rsidR="001B70C1" w:rsidRPr="004C33D1" w:rsidRDefault="001B70C1" w:rsidP="001B70C1">
      <w:r w:rsidRPr="004C33D1">
        <w:t>The overall problem identified by inefficient prices is that a lack of sufficient development capacity is distorting urban land and development markets and increasing prices above the optimal (wellbeing-maxim</w:t>
      </w:r>
      <w:r w:rsidR="00661D95">
        <w:t>is</w:t>
      </w:r>
      <w:r w:rsidRPr="004C33D1">
        <w:t xml:space="preserve">ing) level. This could include inefficient </w:t>
      </w:r>
      <w:r w:rsidRPr="004C33D1">
        <w:lastRenderedPageBreak/>
        <w:t>allocation between uses (eg residential vs commercial or industrial), inefficient densities of development and inefficient city size in total.</w:t>
      </w:r>
    </w:p>
    <w:p w:rsidR="001B70C1" w:rsidRPr="004C33D1" w:rsidRDefault="001B70C1" w:rsidP="001B70C1"/>
    <w:p w:rsidR="001B70C1" w:rsidRPr="004C33D1" w:rsidRDefault="001B70C1" w:rsidP="001B70C1">
      <w:r w:rsidRPr="004C33D1">
        <w:t xml:space="preserve">However, if an analysis of prices suggests a price discontinuity in land prices between, areas zoned for, say, residential (high price) and industrial use (low price), this </w:t>
      </w:r>
      <w:proofErr w:type="gramStart"/>
      <w:r w:rsidRPr="004C33D1">
        <w:t>cannot be used</w:t>
      </w:r>
      <w:proofErr w:type="gramEnd"/>
      <w:r w:rsidRPr="004C33D1">
        <w:t xml:space="preserve"> to conclude that there is too much area zoned for industrial use. On the contrary, it may be the case that demand for industrial land </w:t>
      </w:r>
      <w:proofErr w:type="gramStart"/>
      <w:r w:rsidRPr="004C33D1">
        <w:t>is being adequately catered for,</w:t>
      </w:r>
      <w:proofErr w:type="gramEnd"/>
      <w:r w:rsidRPr="004C33D1">
        <w:t xml:space="preserve"> while opportunities for residential development are excessively constrained. If rules </w:t>
      </w:r>
      <w:proofErr w:type="gramStart"/>
      <w:r w:rsidRPr="004C33D1">
        <w:t>were changed</w:t>
      </w:r>
      <w:proofErr w:type="gramEnd"/>
      <w:r w:rsidRPr="004C33D1">
        <w:t xml:space="preserve"> to enable a more efficient allocation of land across the city as a whole, there would be an increase in total housing development, eg through further intensification or extensions of urban boundaries, but no reduction in the total industrial land area.</w:t>
      </w:r>
    </w:p>
    <w:p w:rsidR="001B70C1" w:rsidRPr="004C33D1" w:rsidRDefault="001B70C1" w:rsidP="001B70C1"/>
    <w:p w:rsidR="001B70C1" w:rsidRPr="004C33D1" w:rsidRDefault="001B70C1" w:rsidP="001B70C1">
      <w:r w:rsidRPr="004C33D1">
        <w:t>In other words, prices can provide evidence of uncompetitive markets, but the decision to how best to address this ineffici</w:t>
      </w:r>
      <w:r w:rsidR="000173B6">
        <w:t>ency requires further analysis.</w:t>
      </w:r>
    </w:p>
    <w:p w:rsidR="001B70C1" w:rsidRPr="004C33D1" w:rsidRDefault="001B70C1" w:rsidP="00220C7C">
      <w:pPr>
        <w:pStyle w:val="Heading2"/>
      </w:pPr>
      <w:bookmarkStart w:id="162" w:name="_Toc462413639"/>
      <w:bookmarkStart w:id="163" w:name="_Toc462582195"/>
      <w:r w:rsidRPr="004C33D1">
        <w:t xml:space="preserve">Discontinuities in Land Prices </w:t>
      </w:r>
      <w:proofErr w:type="gramStart"/>
      <w:r w:rsidRPr="004C33D1">
        <w:t>Across</w:t>
      </w:r>
      <w:proofErr w:type="gramEnd"/>
      <w:r w:rsidRPr="004C33D1">
        <w:t xml:space="preserve"> Zoning Boundaries</w:t>
      </w:r>
      <w:bookmarkEnd w:id="162"/>
      <w:bookmarkEnd w:id="163"/>
    </w:p>
    <w:p w:rsidR="001B70C1" w:rsidRPr="004C33D1" w:rsidRDefault="001B70C1" w:rsidP="001B70C1">
      <w:r w:rsidRPr="004C33D1">
        <w:t xml:space="preserve">Urban planning policies often </w:t>
      </w:r>
      <w:r w:rsidR="000173B6">
        <w:t>permit</w:t>
      </w:r>
      <w:r w:rsidRPr="004C33D1">
        <w:t xml:space="preserve"> development on one side of a boundary, but not on the other side. For example:</w:t>
      </w:r>
    </w:p>
    <w:p w:rsidR="001B70C1" w:rsidRPr="004C33D1" w:rsidRDefault="001B70C1" w:rsidP="001B70C1"/>
    <w:p w:rsidR="001B70C1" w:rsidRPr="004C33D1" w:rsidRDefault="00661D95" w:rsidP="00411653">
      <w:pPr>
        <w:numPr>
          <w:ilvl w:val="0"/>
          <w:numId w:val="21"/>
        </w:numPr>
      </w:pPr>
      <w:r w:rsidRPr="004C33D1">
        <w:t xml:space="preserve">urban </w:t>
      </w:r>
      <w:r w:rsidR="001B70C1" w:rsidRPr="004C33D1">
        <w:t>growth boundaries (eg Auckland’s former Metropolitan Urban Limit) allow urban development to occur within the boundary but only allow rural uses outside the boundary; and</w:t>
      </w:r>
    </w:p>
    <w:p w:rsidR="001B70C1" w:rsidRPr="004C33D1" w:rsidRDefault="001B70C1" w:rsidP="001B70C1">
      <w:pPr>
        <w:ind w:left="720"/>
      </w:pPr>
    </w:p>
    <w:p w:rsidR="001B70C1" w:rsidRPr="004C33D1" w:rsidRDefault="00661D95" w:rsidP="00411653">
      <w:pPr>
        <w:numPr>
          <w:ilvl w:val="0"/>
          <w:numId w:val="21"/>
        </w:numPr>
      </w:pPr>
      <w:proofErr w:type="gramStart"/>
      <w:r w:rsidRPr="004C33D1">
        <w:t>zoning</w:t>
      </w:r>
      <w:proofErr w:type="gramEnd"/>
      <w:r w:rsidRPr="004C33D1">
        <w:t xml:space="preserve"> </w:t>
      </w:r>
      <w:r w:rsidR="001B70C1" w:rsidRPr="004C33D1">
        <w:t>policies allow specific uses in one location but not in others</w:t>
      </w:r>
      <w:r w:rsidR="000173B6">
        <w:t>,</w:t>
      </w:r>
      <w:r w:rsidR="001B70C1" w:rsidRPr="004C33D1">
        <w:t xml:space="preserve"> eg industrial zones may allow manufacturing and warehousing activities but not retail or housing.</w:t>
      </w:r>
    </w:p>
    <w:p w:rsidR="001B70C1" w:rsidRPr="004C33D1" w:rsidRDefault="001B70C1" w:rsidP="001B70C1"/>
    <w:p w:rsidR="001B70C1" w:rsidRPr="004C33D1" w:rsidRDefault="001B70C1" w:rsidP="001B70C1">
      <w:r w:rsidRPr="004C33D1">
        <w:t xml:space="preserve">Urban growth boundaries and zoning policies do not necessarily distort prices. If plans enable a sufficient quantity of development capacity to meet all demands for urban development, then they may alter the </w:t>
      </w:r>
      <w:r w:rsidRPr="004C33D1">
        <w:rPr>
          <w:i/>
        </w:rPr>
        <w:t>distribution</w:t>
      </w:r>
      <w:r w:rsidRPr="004C33D1">
        <w:t xml:space="preserve"> of activities throughout the city but not affect prices at zone boundaries. However, if urban growth boundaries or zoning policies are excessively restrictive, limiting the amount of land that is available for a given use, then they will raise land prices in areas where that use </w:t>
      </w:r>
      <w:proofErr w:type="gramStart"/>
      <w:r w:rsidRPr="004C33D1">
        <w:t>is allowed</w:t>
      </w:r>
      <w:proofErr w:type="gramEnd"/>
      <w:r w:rsidRPr="004C33D1">
        <w:t>, relative to adjacent areas where it is not.</w:t>
      </w:r>
    </w:p>
    <w:p w:rsidR="001B70C1" w:rsidRPr="004C33D1" w:rsidRDefault="001B70C1" w:rsidP="001B70C1"/>
    <w:p w:rsidR="001B70C1" w:rsidRPr="004C33D1" w:rsidRDefault="001B70C1" w:rsidP="001B70C1">
      <w:r w:rsidRPr="004C33D1">
        <w:t xml:space="preserve">Here, we examine three specific instances where land price discontinuities </w:t>
      </w:r>
      <w:proofErr w:type="gramStart"/>
      <w:r w:rsidRPr="004C33D1">
        <w:t>might be observed</w:t>
      </w:r>
      <w:proofErr w:type="gramEnd"/>
      <w:r w:rsidRPr="004C33D1">
        <w:t>:</w:t>
      </w:r>
    </w:p>
    <w:p w:rsidR="001B70C1" w:rsidRPr="004C33D1" w:rsidRDefault="001B70C1" w:rsidP="001B70C1"/>
    <w:p w:rsidR="001B70C1" w:rsidRPr="004C33D1" w:rsidRDefault="00661D95" w:rsidP="00411653">
      <w:pPr>
        <w:pStyle w:val="ListParagraph"/>
        <w:numPr>
          <w:ilvl w:val="0"/>
          <w:numId w:val="21"/>
        </w:numPr>
      </w:pPr>
      <w:r w:rsidRPr="004C33D1">
        <w:t xml:space="preserve">discontinuities </w:t>
      </w:r>
      <w:r w:rsidR="001B70C1" w:rsidRPr="004C33D1">
        <w:t>in land prices immediately inside and outside the urban boundary;</w:t>
      </w:r>
      <w:r>
        <w:br/>
      </w:r>
    </w:p>
    <w:p w:rsidR="001B70C1" w:rsidRPr="004C33D1" w:rsidRDefault="00661D95" w:rsidP="00411653">
      <w:pPr>
        <w:pStyle w:val="ListParagraph"/>
        <w:numPr>
          <w:ilvl w:val="0"/>
          <w:numId w:val="21"/>
        </w:numPr>
      </w:pPr>
      <w:r w:rsidRPr="004C33D1">
        <w:t xml:space="preserve">discontinuities </w:t>
      </w:r>
      <w:r w:rsidR="001B70C1" w:rsidRPr="004C33D1">
        <w:t>in land prices across zone boundaries within urban areas, eg between industrial and residential zones or between residential zones that allow different intensity of development; and</w:t>
      </w:r>
      <w:r>
        <w:br/>
      </w:r>
    </w:p>
    <w:p w:rsidR="001B70C1" w:rsidRPr="004C33D1" w:rsidRDefault="00661D95" w:rsidP="00411653">
      <w:pPr>
        <w:pStyle w:val="ListParagraph"/>
        <w:numPr>
          <w:ilvl w:val="0"/>
          <w:numId w:val="21"/>
        </w:numPr>
      </w:pPr>
      <w:proofErr w:type="gramStart"/>
      <w:r w:rsidRPr="004C33D1">
        <w:lastRenderedPageBreak/>
        <w:t>discontinuities</w:t>
      </w:r>
      <w:proofErr w:type="gramEnd"/>
      <w:r w:rsidRPr="004C33D1">
        <w:t xml:space="preserve"> </w:t>
      </w:r>
      <w:r w:rsidR="001B70C1" w:rsidRPr="004C33D1">
        <w:t>in section prices between similar residential properties with or without capacity to be subdivided.</w:t>
      </w:r>
    </w:p>
    <w:p w:rsidR="001B70C1" w:rsidRPr="004C33D1" w:rsidRDefault="001B70C1" w:rsidP="001B70C1"/>
    <w:p w:rsidR="001B70C1" w:rsidRPr="004C33D1" w:rsidRDefault="001B70C1" w:rsidP="001B70C1">
      <w:r w:rsidRPr="004C33D1">
        <w:t>Before doing so we discuss some empirical issues in measuring and interpreting price discontinuities.</w:t>
      </w:r>
    </w:p>
    <w:p w:rsidR="001B70C1" w:rsidRPr="004C33D1" w:rsidRDefault="001B70C1" w:rsidP="001B70C1">
      <w:pPr>
        <w:pStyle w:val="Heading3"/>
      </w:pPr>
      <w:bookmarkStart w:id="164" w:name="_Ref457836280"/>
      <w:r w:rsidRPr="004C33D1">
        <w:t>Measuring and Interpreting Price Discontinuities</w:t>
      </w:r>
      <w:bookmarkEnd w:id="164"/>
    </w:p>
    <w:p w:rsidR="001B70C1" w:rsidRPr="004C33D1" w:rsidRDefault="001B70C1" w:rsidP="001B70C1">
      <w:r w:rsidRPr="004C33D1">
        <w:t xml:space="preserve">Price discontinuities </w:t>
      </w:r>
      <w:proofErr w:type="gramStart"/>
      <w:r w:rsidRPr="004C33D1">
        <w:t>are observed</w:t>
      </w:r>
      <w:proofErr w:type="gramEnd"/>
      <w:r w:rsidRPr="004C33D1">
        <w:t xml:space="preserve"> when the market prices for goods differ in ways that cannot be explained by differences in their characteristics or qualities. To identify them, it is necessary to undertake a “like-for-like” comparison, eg between land values in adjacent sites that are zoned for different uses.</w:t>
      </w:r>
    </w:p>
    <w:p w:rsidR="001B70C1" w:rsidRPr="004C33D1" w:rsidRDefault="001B70C1" w:rsidP="001B70C1">
      <w:pPr>
        <w:pStyle w:val="Heading4"/>
      </w:pPr>
      <w:r w:rsidRPr="004C33D1">
        <w:t>Identifying discontinuities in prices</w:t>
      </w:r>
    </w:p>
    <w:p w:rsidR="001B70C1" w:rsidRPr="004C33D1" w:rsidRDefault="001B70C1" w:rsidP="001B70C1">
      <w:r w:rsidRPr="004C33D1">
        <w:t>To identify discontinuities in land or property prices, it is necessary to have some insight into the underlying factors driving prices. This includes:</w:t>
      </w:r>
    </w:p>
    <w:p w:rsidR="001B70C1" w:rsidRPr="004C33D1" w:rsidRDefault="001B70C1" w:rsidP="001B70C1"/>
    <w:p w:rsidR="001B70C1" w:rsidRPr="004C33D1" w:rsidRDefault="00661D95" w:rsidP="00411653">
      <w:pPr>
        <w:pStyle w:val="ListParagraph"/>
        <w:numPr>
          <w:ilvl w:val="0"/>
          <w:numId w:val="21"/>
        </w:numPr>
      </w:pPr>
      <w:r w:rsidRPr="004C33D1">
        <w:t xml:space="preserve">localised </w:t>
      </w:r>
      <w:r w:rsidR="001B70C1" w:rsidRPr="004C33D1">
        <w:t>amenities that may increase land / property values in particular locations, such as proximity to employment, environmental amenities like coastlines, and artificial amenities like school zones; and</w:t>
      </w:r>
      <w:r w:rsidR="001B70C1" w:rsidRPr="004C33D1">
        <w:br/>
      </w:r>
    </w:p>
    <w:p w:rsidR="001B70C1" w:rsidRPr="004C33D1" w:rsidRDefault="00661D95" w:rsidP="00411653">
      <w:pPr>
        <w:pStyle w:val="ListParagraph"/>
        <w:numPr>
          <w:ilvl w:val="0"/>
          <w:numId w:val="21"/>
        </w:numPr>
      </w:pPr>
      <w:proofErr w:type="gramStart"/>
      <w:r w:rsidRPr="004C33D1">
        <w:t>the</w:t>
      </w:r>
      <w:proofErr w:type="gramEnd"/>
      <w:r w:rsidRPr="004C33D1">
        <w:t xml:space="preserve"> </w:t>
      </w:r>
      <w:r w:rsidR="001B70C1" w:rsidRPr="004C33D1">
        <w:t>potential for positive or negative externalities (“spillovers”) between adjacent land uses that may be factored into land prices. For instance, McCann observes that urban boundaries may enhance amenity for people living just inside the boundary due to improved access to open space, while industrial zones may lower neighbouring property values.</w:t>
      </w:r>
      <w:r w:rsidR="001B70C1" w:rsidRPr="004C33D1">
        <w:rPr>
          <w:rStyle w:val="FootnoteReference"/>
        </w:rPr>
        <w:footnoteReference w:id="78"/>
      </w:r>
    </w:p>
    <w:p w:rsidR="001B70C1" w:rsidRPr="004C33D1" w:rsidRDefault="001B70C1" w:rsidP="001B70C1"/>
    <w:p w:rsidR="001B70C1" w:rsidRPr="004C33D1" w:rsidRDefault="001B70C1" w:rsidP="001B70C1">
      <w:r w:rsidRPr="004C33D1">
        <w:t xml:space="preserve">Failing </w:t>
      </w:r>
      <w:proofErr w:type="gramStart"/>
      <w:r w:rsidRPr="004C33D1">
        <w:t>to properly account</w:t>
      </w:r>
      <w:proofErr w:type="gramEnd"/>
      <w:r w:rsidRPr="004C33D1">
        <w:t xml:space="preserve"> for these drivers of property values may make it difficult to accurately identify price discontinuities. For instance, Angrist and </w:t>
      </w:r>
      <w:proofErr w:type="spellStart"/>
      <w:r w:rsidRPr="004C33D1">
        <w:t>Pischke</w:t>
      </w:r>
      <w:proofErr w:type="spellEnd"/>
      <w:r w:rsidRPr="004C33D1">
        <w:t xml:space="preserve"> observe that nonlinear relationships can easily be mistaken for discontinuities.</w:t>
      </w:r>
      <w:r w:rsidRPr="004C33D1">
        <w:rPr>
          <w:rStyle w:val="FootnoteReference"/>
        </w:rPr>
        <w:footnoteReference w:id="79"/>
      </w:r>
      <w:r w:rsidRPr="004C33D1">
        <w:t xml:space="preserve"> This </w:t>
      </w:r>
      <w:proofErr w:type="gramStart"/>
      <w:r w:rsidRPr="004C33D1">
        <w:t>is illustrated</w:t>
      </w:r>
      <w:proofErr w:type="gramEnd"/>
      <w:r w:rsidRPr="004C33D1">
        <w:t xml:space="preserve"> in</w:t>
      </w:r>
      <w:r w:rsidR="00D20D27" w:rsidRPr="004C33D1">
        <w:t xml:space="preserve"> </w:t>
      </w:r>
      <w:r w:rsidR="00D20D27" w:rsidRPr="004C33D1">
        <w:fldChar w:fldCharType="begin"/>
      </w:r>
      <w:r w:rsidR="00D20D27" w:rsidRPr="004C33D1">
        <w:instrText xml:space="preserve"> REF _Ref457985853 \h </w:instrText>
      </w:r>
      <w:r w:rsidR="00D20D27" w:rsidRPr="004C33D1">
        <w:fldChar w:fldCharType="separate"/>
      </w:r>
      <w:r w:rsidR="004D1DDA" w:rsidRPr="004C33D1">
        <w:t xml:space="preserve">Figure </w:t>
      </w:r>
      <w:r w:rsidR="004D1DDA">
        <w:rPr>
          <w:noProof/>
        </w:rPr>
        <w:t>26</w:t>
      </w:r>
      <w:r w:rsidR="00D20D27" w:rsidRPr="004C33D1">
        <w:fldChar w:fldCharType="end"/>
      </w:r>
      <w:r w:rsidRPr="004C33D1">
        <w:t>. The explanat</w:t>
      </w:r>
      <w:r w:rsidR="00661D95">
        <w:t>ion of the panels is as follows.</w:t>
      </w:r>
    </w:p>
    <w:p w:rsidR="001B70C1" w:rsidRPr="004C33D1" w:rsidRDefault="001B70C1" w:rsidP="001B70C1"/>
    <w:p w:rsidR="001B70C1" w:rsidRPr="004C33D1" w:rsidRDefault="00661D95" w:rsidP="00411653">
      <w:pPr>
        <w:pStyle w:val="ListParagraph"/>
        <w:numPr>
          <w:ilvl w:val="0"/>
          <w:numId w:val="21"/>
        </w:numPr>
      </w:pPr>
      <w:r>
        <w:t>I</w:t>
      </w:r>
      <w:r w:rsidRPr="004C33D1">
        <w:t xml:space="preserve">n </w:t>
      </w:r>
      <w:r w:rsidR="001B70C1" w:rsidRPr="004C33D1">
        <w:t xml:space="preserve">the first panel, there is a linear relationship between the variable on the </w:t>
      </w:r>
      <w:proofErr w:type="gramStart"/>
      <w:r w:rsidR="001B70C1" w:rsidRPr="004C33D1">
        <w:t>X axis</w:t>
      </w:r>
      <w:proofErr w:type="gramEnd"/>
      <w:r w:rsidR="001B70C1" w:rsidRPr="004C33D1">
        <w:t xml:space="preserve"> and an outcome variable (Y axis), plus a discontinuity that manifests itself as a sudden “jump” up in value.</w:t>
      </w:r>
      <w:r w:rsidR="001B70C1" w:rsidRPr="004C33D1">
        <w:br/>
      </w:r>
    </w:p>
    <w:p w:rsidR="001B70C1" w:rsidRPr="004C33D1" w:rsidRDefault="001B70C1" w:rsidP="00411653">
      <w:pPr>
        <w:pStyle w:val="ListParagraph"/>
        <w:numPr>
          <w:ilvl w:val="0"/>
          <w:numId w:val="21"/>
        </w:numPr>
      </w:pPr>
      <w:r w:rsidRPr="004C33D1">
        <w:t xml:space="preserve">In the second panel, there is a nonlinear relationship between the variable on the </w:t>
      </w:r>
      <w:proofErr w:type="gramStart"/>
      <w:r w:rsidRPr="004C33D1">
        <w:t>X axis</w:t>
      </w:r>
      <w:proofErr w:type="gramEnd"/>
      <w:r w:rsidRPr="004C33D1">
        <w:t xml:space="preserve"> and the outcome variable, plus a sharp discontinuity at the same point.</w:t>
      </w:r>
      <w:r w:rsidRPr="004C33D1">
        <w:br/>
      </w:r>
    </w:p>
    <w:p w:rsidR="001B70C1" w:rsidRPr="004C33D1" w:rsidRDefault="001B70C1" w:rsidP="00411653">
      <w:pPr>
        <w:pStyle w:val="ListParagraph"/>
        <w:numPr>
          <w:ilvl w:val="0"/>
          <w:numId w:val="21"/>
        </w:numPr>
      </w:pPr>
      <w:r w:rsidRPr="004C33D1">
        <w:t xml:space="preserve">In the third panel, the scatterplot shows that there is a nonlinear relationship between the two variables, </w:t>
      </w:r>
      <w:r w:rsidRPr="004C33D1">
        <w:rPr>
          <w:i/>
        </w:rPr>
        <w:t>without</w:t>
      </w:r>
      <w:r w:rsidRPr="004C33D1">
        <w:t xml:space="preserve"> any sharp discontinuity. However, if this </w:t>
      </w:r>
      <w:proofErr w:type="gramStart"/>
      <w:r w:rsidRPr="004C33D1">
        <w:t>was</w:t>
      </w:r>
      <w:proofErr w:type="gramEnd"/>
      <w:r w:rsidRPr="004C33D1">
        <w:t xml:space="preserve"> modelled as a linear relationship, it would indicate – inaccurately – the presence of a discontinuity.</w:t>
      </w:r>
    </w:p>
    <w:p w:rsidR="001B70C1" w:rsidRPr="004C33D1" w:rsidRDefault="001B70C1" w:rsidP="001B70C1"/>
    <w:p w:rsidR="001B70C1" w:rsidRPr="004C33D1" w:rsidRDefault="001B70C1" w:rsidP="001B70C1"/>
    <w:p w:rsidR="001B70C1" w:rsidRPr="004C33D1" w:rsidRDefault="001B70C1" w:rsidP="00E02811">
      <w:pPr>
        <w:pStyle w:val="Caption"/>
      </w:pPr>
      <w:bookmarkStart w:id="165" w:name="_Ref457985853"/>
      <w:r w:rsidRPr="004C33D1">
        <w:lastRenderedPageBreak/>
        <w:t xml:space="preserve">Figure </w:t>
      </w:r>
      <w:r w:rsidRPr="004C33D1">
        <w:fldChar w:fldCharType="begin"/>
      </w:r>
      <w:r w:rsidRPr="004C33D1">
        <w:instrText xml:space="preserve"> SEQ Figure \* ARABIC </w:instrText>
      </w:r>
      <w:r w:rsidRPr="004C33D1">
        <w:fldChar w:fldCharType="separate"/>
      </w:r>
      <w:r w:rsidR="004D1DDA">
        <w:rPr>
          <w:noProof/>
        </w:rPr>
        <w:t>26</w:t>
      </w:r>
      <w:r w:rsidRPr="004C33D1">
        <w:fldChar w:fldCharType="end"/>
      </w:r>
      <w:bookmarkEnd w:id="165"/>
      <w:r w:rsidRPr="004C33D1">
        <w:t xml:space="preserve">: Measuring discontinuities in empirical data (Source: Angrist and </w:t>
      </w:r>
      <w:proofErr w:type="spellStart"/>
      <w:r w:rsidRPr="004C33D1">
        <w:t>Pischke</w:t>
      </w:r>
      <w:proofErr w:type="spellEnd"/>
      <w:r w:rsidRPr="004C33D1">
        <w:t>, 2009)</w:t>
      </w:r>
    </w:p>
    <w:p w:rsidR="001B70C1" w:rsidRPr="004C33D1" w:rsidRDefault="001B70C1" w:rsidP="001B70C1">
      <w:pPr>
        <w:jc w:val="center"/>
      </w:pPr>
      <w:r w:rsidRPr="004C33D1">
        <w:rPr>
          <w:noProof/>
          <w:lang w:eastAsia="en-NZ"/>
        </w:rPr>
        <w:drawing>
          <wp:inline distT="0" distB="0" distL="0" distR="0" wp14:anchorId="70051FF6" wp14:editId="0FA82179">
            <wp:extent cx="3484245" cy="5085715"/>
            <wp:effectExtent l="0" t="0" r="0" b="0"/>
            <wp:docPr id="3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84245" cy="5085715"/>
                    </a:xfrm>
                    <a:prstGeom prst="rect">
                      <a:avLst/>
                    </a:prstGeom>
                    <a:noFill/>
                    <a:ln>
                      <a:noFill/>
                    </a:ln>
                  </pic:spPr>
                </pic:pic>
              </a:graphicData>
            </a:graphic>
          </wp:inline>
        </w:drawing>
      </w:r>
    </w:p>
    <w:p w:rsidR="001B70C1" w:rsidRPr="004C33D1" w:rsidRDefault="001B70C1" w:rsidP="001B70C1"/>
    <w:p w:rsidR="001B70C1" w:rsidRPr="004C33D1" w:rsidRDefault="001B70C1" w:rsidP="001B70C1">
      <w:r w:rsidRPr="004C33D1">
        <w:t xml:space="preserve">Price indicators can be challenging to estimate or interpret during periods when cities are undergoing periods of significant economic or regulatory </w:t>
      </w:r>
      <w:proofErr w:type="gramStart"/>
      <w:r w:rsidRPr="004C33D1">
        <w:t>change which</w:t>
      </w:r>
      <w:proofErr w:type="gramEnd"/>
      <w:r w:rsidRPr="004C33D1">
        <w:t xml:space="preserve"> may change the structure of demand for land and housing. This could include, for example:</w:t>
      </w:r>
      <w:r w:rsidRPr="004C33D1">
        <w:br/>
      </w:r>
    </w:p>
    <w:p w:rsidR="001B70C1" w:rsidRPr="004C33D1" w:rsidRDefault="00661D95" w:rsidP="001B70C1">
      <w:pPr>
        <w:pStyle w:val="ListParagraph"/>
        <w:numPr>
          <w:ilvl w:val="0"/>
          <w:numId w:val="11"/>
        </w:numPr>
        <w:spacing w:line="240" w:lineRule="auto"/>
      </w:pPr>
      <w:proofErr w:type="gramStart"/>
      <w:r w:rsidRPr="004C33D1">
        <w:t>significant</w:t>
      </w:r>
      <w:proofErr w:type="gramEnd"/>
      <w:r w:rsidRPr="004C33D1">
        <w:t xml:space="preserve"> </w:t>
      </w:r>
      <w:r w:rsidR="001B70C1" w:rsidRPr="004C33D1">
        <w:t>economic “shocks” such as rapid in-migration or closure of major industries. This may result in a period of “disequilibrium” as prices a</w:t>
      </w:r>
      <w:r>
        <w:t>djust towards new stable levels;</w:t>
      </w:r>
      <w:r w:rsidR="001B70C1" w:rsidRPr="004C33D1">
        <w:br/>
        <w:t xml:space="preserve"> </w:t>
      </w:r>
    </w:p>
    <w:p w:rsidR="001B70C1" w:rsidRPr="004C33D1" w:rsidRDefault="00661D95" w:rsidP="001B70C1">
      <w:pPr>
        <w:pStyle w:val="ListParagraph"/>
        <w:numPr>
          <w:ilvl w:val="0"/>
          <w:numId w:val="11"/>
        </w:numPr>
        <w:spacing w:line="240" w:lineRule="auto"/>
      </w:pPr>
      <w:proofErr w:type="gramStart"/>
      <w:r w:rsidRPr="004C33D1">
        <w:t>major</w:t>
      </w:r>
      <w:proofErr w:type="gramEnd"/>
      <w:r w:rsidRPr="004C33D1">
        <w:t xml:space="preserve"> </w:t>
      </w:r>
      <w:r w:rsidR="001B70C1" w:rsidRPr="004C33D1">
        <w:t>re-planning exercises or plan reviews, which may result in a period of regulatory uncertainty while the details of new rules are being worked through. During this period, prices may change in anticipation of announced changes or market expectations about potential further changes, rather than reflecting</w:t>
      </w:r>
      <w:r>
        <w:t xml:space="preserve"> the impact of operative rules; and</w:t>
      </w:r>
      <w:r w:rsidR="001B70C1" w:rsidRPr="004C33D1">
        <w:br/>
      </w:r>
    </w:p>
    <w:p w:rsidR="001B70C1" w:rsidRPr="004C33D1" w:rsidRDefault="00661D95" w:rsidP="001B70C1">
      <w:pPr>
        <w:pStyle w:val="ListParagraph"/>
        <w:numPr>
          <w:ilvl w:val="0"/>
          <w:numId w:val="11"/>
        </w:numPr>
        <w:spacing w:line="240" w:lineRule="auto"/>
      </w:pPr>
      <w:proofErr w:type="gramStart"/>
      <w:r w:rsidRPr="004C33D1">
        <w:t>natural</w:t>
      </w:r>
      <w:proofErr w:type="gramEnd"/>
      <w:r w:rsidRPr="004C33D1">
        <w:t xml:space="preserve"> </w:t>
      </w:r>
      <w:r w:rsidR="001B70C1" w:rsidRPr="004C33D1">
        <w:t xml:space="preserve">disasters, which can have temporary and permanent effects on prices. For example, the Canterbury earthquake resulted in significant destruction of housing and business premises, causing prices to rise in the short run until losses </w:t>
      </w:r>
      <w:proofErr w:type="gramStart"/>
      <w:r w:rsidR="001B70C1" w:rsidRPr="004C33D1">
        <w:t xml:space="preserve">could be </w:t>
      </w:r>
      <w:r w:rsidR="001B70C1" w:rsidRPr="004C33D1">
        <w:lastRenderedPageBreak/>
        <w:t>made</w:t>
      </w:r>
      <w:proofErr w:type="gramEnd"/>
      <w:r w:rsidR="001B70C1" w:rsidRPr="004C33D1">
        <w:t xml:space="preserve"> good. It also increased awareness of and information about natural hazards such as liquefaction, which </w:t>
      </w:r>
      <w:proofErr w:type="gramStart"/>
      <w:r w:rsidR="001B70C1" w:rsidRPr="004C33D1">
        <w:t>were subsequently reflected</w:t>
      </w:r>
      <w:proofErr w:type="gramEnd"/>
      <w:r w:rsidR="001B70C1" w:rsidRPr="004C33D1">
        <w:t xml:space="preserve"> in lower land prices in liquefaction-prone areas.</w:t>
      </w:r>
    </w:p>
    <w:p w:rsidR="001B70C1" w:rsidRPr="004C33D1" w:rsidRDefault="001B70C1" w:rsidP="001B70C1">
      <w:pPr>
        <w:pStyle w:val="Heading4"/>
      </w:pPr>
      <w:r w:rsidRPr="004C33D1">
        <w:t>Approaches to measuring price discontinuities</w:t>
      </w:r>
    </w:p>
    <w:p w:rsidR="001B70C1" w:rsidRPr="004C33D1" w:rsidRDefault="001B70C1" w:rsidP="001B70C1">
      <w:r w:rsidRPr="004C33D1">
        <w:t>Following NZIER (2015), there are two robust approaches to identifying price discontinuities: the sophisticated and focussed approaches (see Section</w:t>
      </w:r>
      <w:r w:rsidR="00D20D27" w:rsidRPr="004C33D1">
        <w:t xml:space="preserve"> </w:t>
      </w:r>
      <w:r w:rsidR="00D20D27" w:rsidRPr="004C33D1">
        <w:fldChar w:fldCharType="begin"/>
      </w:r>
      <w:r w:rsidR="00D20D27" w:rsidRPr="004C33D1">
        <w:instrText xml:space="preserve"> REF _Ref457985773 \r \h </w:instrText>
      </w:r>
      <w:r w:rsidR="00D20D27" w:rsidRPr="004C33D1">
        <w:fldChar w:fldCharType="separate"/>
      </w:r>
      <w:r w:rsidR="004D1DDA">
        <w:t>1.2.2</w:t>
      </w:r>
      <w:r w:rsidR="00D20D27" w:rsidRPr="004C33D1">
        <w:fldChar w:fldCharType="end"/>
      </w:r>
      <w:r w:rsidRPr="004C33D1">
        <w:t>). We provide examples of both approaches in</w:t>
      </w:r>
      <w:r w:rsidR="00D20D27" w:rsidRPr="004C33D1">
        <w:t xml:space="preserve"> </w:t>
      </w:r>
      <w:r w:rsidR="00D20D27" w:rsidRPr="004C33D1">
        <w:fldChar w:fldCharType="begin"/>
      </w:r>
      <w:r w:rsidR="00D20D27" w:rsidRPr="004C33D1">
        <w:instrText xml:space="preserve"> REF _Ref457985967 \h </w:instrText>
      </w:r>
      <w:r w:rsidR="00D20D27" w:rsidRPr="004C33D1">
        <w:fldChar w:fldCharType="separate"/>
      </w:r>
      <w:r w:rsidR="004D1DDA" w:rsidRPr="004C33D1">
        <w:t xml:space="preserve">Box </w:t>
      </w:r>
      <w:r w:rsidR="004D1DDA">
        <w:rPr>
          <w:noProof/>
        </w:rPr>
        <w:t>3</w:t>
      </w:r>
      <w:r w:rsidR="00D20D27" w:rsidRPr="004C33D1">
        <w:fldChar w:fldCharType="end"/>
      </w:r>
      <w:r w:rsidR="00D20D27" w:rsidRPr="004C33D1">
        <w:t>.</w:t>
      </w:r>
    </w:p>
    <w:p w:rsidR="00D20D27" w:rsidRPr="004C33D1" w:rsidRDefault="00D20D27" w:rsidP="00E02811">
      <w:pPr>
        <w:pStyle w:val="Caption"/>
      </w:pPr>
      <w:bookmarkStart w:id="166" w:name="_Ref457985967"/>
      <w:r w:rsidRPr="004C33D1">
        <w:t xml:space="preserve">Box </w:t>
      </w:r>
      <w:r w:rsidRPr="004C33D1">
        <w:fldChar w:fldCharType="begin"/>
      </w:r>
      <w:r w:rsidRPr="004C33D1">
        <w:instrText xml:space="preserve"> SEQ Box \* ARABIC </w:instrText>
      </w:r>
      <w:r w:rsidRPr="004C33D1">
        <w:fldChar w:fldCharType="separate"/>
      </w:r>
      <w:r w:rsidR="004D1DDA">
        <w:rPr>
          <w:noProof/>
        </w:rPr>
        <w:t>3</w:t>
      </w:r>
      <w:r w:rsidRPr="004C33D1">
        <w:fldChar w:fldCharType="end"/>
      </w:r>
      <w:bookmarkEnd w:id="166"/>
      <w:r w:rsidRPr="004C33D1">
        <w:t xml:space="preserve"> Spatial hedonic analysis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7"/>
      </w:tblGrid>
      <w:tr w:rsidR="001B70C1" w:rsidRPr="004C33D1" w:rsidTr="001B70C1">
        <w:tc>
          <w:tcPr>
            <w:tcW w:w="8437" w:type="dxa"/>
            <w:shd w:val="clear" w:color="auto" w:fill="auto"/>
          </w:tcPr>
          <w:p w:rsidR="001B70C1" w:rsidRPr="004C33D1" w:rsidRDefault="001B70C1" w:rsidP="001B70C1">
            <w:pPr>
              <w:pStyle w:val="TableText"/>
            </w:pPr>
            <w:r w:rsidRPr="004C33D1">
              <w:t>Housing (and land for housing) is not homogenous. Dwellings differ on a wide range of attributes, such as:</w:t>
            </w:r>
          </w:p>
          <w:p w:rsidR="001B70C1" w:rsidRPr="004C33D1" w:rsidRDefault="001B70C1" w:rsidP="001B70C1">
            <w:pPr>
              <w:pStyle w:val="TableText"/>
            </w:pPr>
          </w:p>
          <w:p w:rsidR="001B70C1" w:rsidRPr="004C33D1" w:rsidRDefault="001B70C1" w:rsidP="00411653">
            <w:pPr>
              <w:pStyle w:val="TableText"/>
              <w:numPr>
                <w:ilvl w:val="0"/>
                <w:numId w:val="49"/>
              </w:numPr>
            </w:pPr>
            <w:r w:rsidRPr="004C33D1">
              <w:t>Location</w:t>
            </w:r>
            <w:r w:rsidR="000173B6">
              <w:t xml:space="preserve">, eg </w:t>
            </w:r>
            <w:r w:rsidRPr="004C33D1">
              <w:t>their proximity to the city centre, other major employment centres, and regional amenities such as coastlines</w:t>
            </w:r>
          </w:p>
          <w:p w:rsidR="001B70C1" w:rsidRPr="004C33D1" w:rsidRDefault="001B70C1" w:rsidP="00411653">
            <w:pPr>
              <w:pStyle w:val="TableText"/>
              <w:numPr>
                <w:ilvl w:val="0"/>
                <w:numId w:val="49"/>
              </w:numPr>
            </w:pPr>
            <w:r w:rsidRPr="004C33D1">
              <w:t>Neighbourhood characteristics</w:t>
            </w:r>
            <w:r w:rsidR="000173B6">
              <w:t xml:space="preserve">, eg </w:t>
            </w:r>
            <w:r w:rsidRPr="004C33D1">
              <w:t>the presence of parks, historic buildings, or popular schools</w:t>
            </w:r>
          </w:p>
          <w:p w:rsidR="001B70C1" w:rsidRPr="004C33D1" w:rsidRDefault="001B70C1" w:rsidP="00411653">
            <w:pPr>
              <w:pStyle w:val="TableText"/>
              <w:numPr>
                <w:ilvl w:val="0"/>
                <w:numId w:val="49"/>
              </w:numPr>
            </w:pPr>
            <w:proofErr w:type="gramStart"/>
            <w:r w:rsidRPr="004C33D1">
              <w:t>Dwelling characteristics</w:t>
            </w:r>
            <w:r w:rsidR="000173B6">
              <w:t>, eg</w:t>
            </w:r>
            <w:r w:rsidRPr="004C33D1">
              <w:t xml:space="preserve"> size, views, and condition.</w:t>
            </w:r>
            <w:proofErr w:type="gramEnd"/>
          </w:p>
          <w:p w:rsidR="001B70C1" w:rsidRPr="004C33D1" w:rsidRDefault="001B70C1" w:rsidP="001B70C1">
            <w:pPr>
              <w:pStyle w:val="TableText"/>
            </w:pPr>
          </w:p>
          <w:p w:rsidR="001B70C1" w:rsidRPr="004C33D1" w:rsidRDefault="001B70C1" w:rsidP="001B70C1">
            <w:pPr>
              <w:pStyle w:val="TableText"/>
            </w:pPr>
            <w:r w:rsidRPr="004C33D1">
              <w:t>The prices that people pay for housing implicitly reflect the value that they place on these attributes. However, all of these attributes are “bundled” together, which can make it difficult to disentangle the individual value that people place on different attributes.</w:t>
            </w:r>
            <w:r w:rsidR="000173B6">
              <w:t xml:space="preserve"> </w:t>
            </w:r>
            <w:r w:rsidRPr="004C33D1">
              <w:t xml:space="preserve">Econometric techniques such as ordinary least squares (OLS) regression or spatial regression </w:t>
            </w:r>
            <w:proofErr w:type="gramStart"/>
            <w:r w:rsidRPr="004C33D1">
              <w:t>can be used</w:t>
            </w:r>
            <w:proofErr w:type="gramEnd"/>
            <w:r w:rsidRPr="004C33D1">
              <w:t xml:space="preserve"> to identify the contribution of various attributes to ho</w:t>
            </w:r>
            <w:r w:rsidR="00A44D11">
              <w:t>m</w:t>
            </w:r>
            <w:r w:rsidRPr="004C33D1">
              <w:t xml:space="preserve">e prices. This </w:t>
            </w:r>
            <w:proofErr w:type="gramStart"/>
            <w:r w:rsidRPr="004C33D1">
              <w:t>is often described</w:t>
            </w:r>
            <w:proofErr w:type="gramEnd"/>
            <w:r w:rsidRPr="004C33D1">
              <w:t xml:space="preserve"> as “hedonic analysis”, as it attempts to measure the “pleasure” that people obtain from individual characteristics of goods.</w:t>
            </w:r>
            <w:r w:rsidR="000173B6">
              <w:t xml:space="preserve"> </w:t>
            </w:r>
            <w:r w:rsidRPr="004C33D1">
              <w:t>OLS regression typically models an outcome variable (in this case, ho</w:t>
            </w:r>
            <w:r w:rsidR="00A44D11">
              <w:t>m</w:t>
            </w:r>
            <w:r w:rsidRPr="004C33D1">
              <w:t>e prices) as a function of various other attributes. For example, a typical hedonic analysis may take on the form:</w:t>
            </w:r>
          </w:p>
          <w:p w:rsidR="001B70C1" w:rsidRPr="004C33D1" w:rsidRDefault="001B70C1" w:rsidP="001B70C1">
            <w:pPr>
              <w:pStyle w:val="TableText"/>
            </w:pPr>
          </w:p>
          <w:p w:rsidR="001B70C1" w:rsidRPr="004C33D1" w:rsidRDefault="00B65F1A" w:rsidP="001B70C1">
            <w:pPr>
              <w:pStyle w:val="TableText"/>
            </w:pPr>
            <m:oMathPara>
              <m:oMath>
                <m:sSub>
                  <m:sSubPr>
                    <m:ctrlPr>
                      <w:rPr>
                        <w:rFonts w:ascii="Cambria Math" w:hAnsi="Cambria Math"/>
                        <w:i/>
                      </w:rPr>
                    </m:ctrlPr>
                  </m:sSubPr>
                  <m:e>
                    <m:r>
                      <w:rPr>
                        <w:rFonts w:ascii="Cambria Math" w:hAnsi="Cambria Math"/>
                      </w:rPr>
                      <m:t>Price</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LandArea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FloorArea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sSub>
                  <m:sSubPr>
                    <m:ctrlPr>
                      <w:rPr>
                        <w:rFonts w:ascii="Cambria Math" w:hAnsi="Cambria Math"/>
                        <w:i/>
                      </w:rPr>
                    </m:ctrlPr>
                  </m:sSubPr>
                  <m:e>
                    <m:r>
                      <w:rPr>
                        <w:rFonts w:ascii="Cambria Math" w:hAnsi="Cambria Math"/>
                      </w:rPr>
                      <m:t>View</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m:t>
                    </m:r>
                  </m:sub>
                </m:sSub>
              </m:oMath>
            </m:oMathPara>
          </w:p>
          <w:p w:rsidR="001B70C1" w:rsidRPr="004C33D1" w:rsidRDefault="001B70C1" w:rsidP="001B70C1">
            <w:pPr>
              <w:pStyle w:val="TableText"/>
            </w:pPr>
          </w:p>
          <w:p w:rsidR="001B70C1" w:rsidRPr="004C33D1" w:rsidRDefault="001B70C1" w:rsidP="001B70C1">
            <w:pPr>
              <w:pStyle w:val="TableText"/>
            </w:pPr>
            <w:r w:rsidRPr="004C33D1">
              <w:t xml:space="preserve">The terms </w:t>
            </w:r>
            <w:r w:rsidRPr="004C33D1">
              <w:sym w:font="Symbol" w:char="F062"/>
            </w:r>
            <w:r w:rsidRPr="004C33D1">
              <w:rPr>
                <w:vertAlign w:val="subscript"/>
              </w:rPr>
              <w:t>1</w:t>
            </w:r>
            <w:r w:rsidRPr="004C33D1">
              <w:t xml:space="preserve">, </w:t>
            </w:r>
            <w:r w:rsidRPr="004C33D1">
              <w:sym w:font="Symbol" w:char="F062"/>
            </w:r>
            <w:r w:rsidRPr="004C33D1">
              <w:rPr>
                <w:vertAlign w:val="subscript"/>
              </w:rPr>
              <w:t>2</w:t>
            </w:r>
            <w:r w:rsidRPr="004C33D1">
              <w:t xml:space="preserve">, etc </w:t>
            </w:r>
            <w:proofErr w:type="gramStart"/>
            <w:r w:rsidRPr="004C33D1">
              <w:t>are</w:t>
            </w:r>
            <w:proofErr w:type="gramEnd"/>
            <w:r w:rsidRPr="004C33D1">
              <w:t xml:space="preserve"> coefficients (estimated in the model) that reflect the relative impact of different dwelling attributes on prices, while </w:t>
            </w:r>
            <w:r w:rsidRPr="004C33D1">
              <w:sym w:font="Symbol" w:char="F065"/>
            </w:r>
            <w:proofErr w:type="spellStart"/>
            <w:r w:rsidRPr="004C33D1">
              <w:rPr>
                <w:vertAlign w:val="subscript"/>
              </w:rPr>
              <w:t>i</w:t>
            </w:r>
            <w:proofErr w:type="spellEnd"/>
            <w:r w:rsidRPr="004C33D1">
              <w:t xml:space="preserve"> is an error term reflecting unobserved characteristics.</w:t>
            </w:r>
          </w:p>
          <w:p w:rsidR="001B70C1" w:rsidRPr="004C33D1" w:rsidRDefault="001B70C1" w:rsidP="001B70C1">
            <w:pPr>
              <w:pStyle w:val="TableText"/>
            </w:pPr>
          </w:p>
          <w:p w:rsidR="001B70C1" w:rsidRPr="004C33D1" w:rsidRDefault="001B70C1" w:rsidP="001B70C1">
            <w:pPr>
              <w:pStyle w:val="TableText"/>
            </w:pPr>
            <w:r w:rsidRPr="004C33D1">
              <w:t xml:space="preserve">Spatial hedonic regression is similar, except that it explicitly addresses localised correlations between the value and attributes of nearby properties that </w:t>
            </w:r>
            <w:proofErr w:type="gramStart"/>
            <w:r w:rsidRPr="004C33D1">
              <w:t>cannot easily be identified</w:t>
            </w:r>
            <w:proofErr w:type="gramEnd"/>
            <w:r w:rsidRPr="004C33D1">
              <w:t xml:space="preserve"> in the data. The insight underpinning spatial regression is that “everything is related to everything else, but near things are more related than distant things.”</w:t>
            </w:r>
            <w:r w:rsidRPr="004C33D1">
              <w:rPr>
                <w:rStyle w:val="FootnoteReference"/>
              </w:rPr>
              <w:footnoteReference w:id="80"/>
            </w:r>
            <w:r w:rsidRPr="004C33D1">
              <w:t xml:space="preserve"> Failing to account for spatial effects can lead to biased or misleading results.</w:t>
            </w:r>
          </w:p>
          <w:p w:rsidR="001B70C1" w:rsidRPr="004C33D1" w:rsidRDefault="001B70C1" w:rsidP="001B70C1">
            <w:pPr>
              <w:pStyle w:val="TableText"/>
            </w:pPr>
          </w:p>
          <w:p w:rsidR="001B70C1" w:rsidRPr="004C33D1" w:rsidRDefault="001B70C1" w:rsidP="001B70C1">
            <w:pPr>
              <w:pStyle w:val="TableText"/>
            </w:pPr>
            <w:r w:rsidRPr="004C33D1">
              <w:t xml:space="preserve">When modelling residential property sales, spatial error models are often most appropriate for controlling for unobserved localised correlations (see </w:t>
            </w:r>
            <w:proofErr w:type="spellStart"/>
            <w:r w:rsidRPr="004C33D1">
              <w:t>Nunns</w:t>
            </w:r>
            <w:proofErr w:type="spellEnd"/>
            <w:r w:rsidRPr="004C33D1">
              <w:t xml:space="preserve"> et al, 2014 for a discussion). These models are similar to OLS regressions, except that the error term is decomposed as follows:</w:t>
            </w:r>
          </w:p>
          <w:p w:rsidR="001B70C1" w:rsidRPr="004C33D1" w:rsidRDefault="001B70C1" w:rsidP="001B70C1">
            <w:pPr>
              <w:pStyle w:val="TableText"/>
            </w:pPr>
          </w:p>
          <w:p w:rsidR="001B70C1" w:rsidRPr="004C33D1" w:rsidRDefault="00B65F1A" w:rsidP="001B70C1">
            <w:pPr>
              <w:pStyle w:val="TableText"/>
            </w:pPr>
            <m:oMathPara>
              <m:oMath>
                <m:sSub>
                  <m:sSubPr>
                    <m:ctrlPr>
                      <w:rPr>
                        <w:rFonts w:ascii="Cambria Math" w:hAnsi="Cambria Math"/>
                        <w:i/>
                      </w:rPr>
                    </m:ctrlPr>
                  </m:sSubPr>
                  <m:e>
                    <m:r>
                      <w:rPr>
                        <w:rFonts w:ascii="Cambria Math" w:hAnsi="Cambria Math"/>
                      </w:rPr>
                      <m:t>ε</m:t>
                    </m:r>
                  </m:e>
                  <m:sub>
                    <m:r>
                      <w:rPr>
                        <w:rFonts w:ascii="Cambria Math" w:hAnsi="Cambria Math"/>
                      </w:rPr>
                      <m:t>i</m:t>
                    </m:r>
                  </m:sub>
                </m:sSub>
                <m:r>
                  <w:rPr>
                    <w:rFonts w:ascii="Cambria Math" w:hAnsi="Cambria Math"/>
                  </w:rPr>
                  <m:t>=λ</m:t>
                </m:r>
                <m:sSub>
                  <m:sSubPr>
                    <m:ctrlPr>
                      <w:rPr>
                        <w:rFonts w:ascii="Cambria Math" w:hAnsi="Cambria Math"/>
                        <w:i/>
                      </w:rPr>
                    </m:ctrlPr>
                  </m:sSubPr>
                  <m:e>
                    <m:r>
                      <w:rPr>
                        <w:rFonts w:ascii="Cambria Math" w:hAnsi="Cambria Math"/>
                      </w:rPr>
                      <m:t>W</m:t>
                    </m:r>
                  </m:e>
                  <m:sub>
                    <m:r>
                      <w:rPr>
                        <w:rFonts w:ascii="Cambria Math" w:hAnsi="Cambria Math"/>
                      </w:rPr>
                      <m:t>ij</m:t>
                    </m:r>
                  </m:sub>
                </m:sSub>
                <m:sSub>
                  <m:sSubPr>
                    <m:ctrlPr>
                      <w:rPr>
                        <w:rFonts w:ascii="Cambria Math" w:hAnsi="Cambria Math"/>
                        <w:i/>
                      </w:rPr>
                    </m:ctrlPr>
                  </m:sSubPr>
                  <m:e>
                    <m:r>
                      <w:rPr>
                        <w:rFonts w:ascii="Cambria Math" w:hAnsi="Cambria Math"/>
                      </w:rPr>
                      <m:t>ε</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ξ</m:t>
                    </m:r>
                  </m:e>
                  <m:sub>
                    <m:r>
                      <w:rPr>
                        <w:rFonts w:ascii="Cambria Math" w:hAnsi="Cambria Math"/>
                      </w:rPr>
                      <m:t>i</m:t>
                    </m:r>
                  </m:sub>
                </m:sSub>
              </m:oMath>
            </m:oMathPara>
          </w:p>
          <w:p w:rsidR="001B70C1" w:rsidRPr="004C33D1" w:rsidRDefault="001B70C1" w:rsidP="001B70C1">
            <w:pPr>
              <w:pStyle w:val="TableText"/>
            </w:pPr>
          </w:p>
          <w:p w:rsidR="001B70C1" w:rsidRPr="004C33D1" w:rsidRDefault="001B70C1" w:rsidP="001B70C1">
            <w:pPr>
              <w:pStyle w:val="TableText"/>
            </w:pPr>
            <w:proofErr w:type="gramStart"/>
            <w:r w:rsidRPr="004C33D1">
              <w:t xml:space="preserve">Where </w:t>
            </w:r>
            <w:proofErr w:type="spellStart"/>
            <w:r w:rsidRPr="004C33D1">
              <w:rPr>
                <w:i/>
              </w:rPr>
              <w:t>ε</w:t>
            </w:r>
            <w:r w:rsidRPr="004C33D1">
              <w:rPr>
                <w:i/>
                <w:vertAlign w:val="subscript"/>
              </w:rPr>
              <w:t>j</w:t>
            </w:r>
            <w:proofErr w:type="spellEnd"/>
            <w:r w:rsidRPr="004C33D1">
              <w:t xml:space="preserve"> is a vector of error terms for </w:t>
            </w:r>
            <w:proofErr w:type="spellStart"/>
            <w:r w:rsidRPr="004C33D1">
              <w:rPr>
                <w:i/>
              </w:rPr>
              <w:t>j</w:t>
            </w:r>
            <w:r w:rsidRPr="004C33D1">
              <w:t>≠</w:t>
            </w:r>
            <w:r w:rsidRPr="004C33D1">
              <w:rPr>
                <w:i/>
              </w:rPr>
              <w:t>i</w:t>
            </w:r>
            <w:proofErr w:type="spellEnd"/>
            <w:r w:rsidRPr="004C33D1">
              <w:t xml:space="preserve">, weighted using spatial weights matrix </w:t>
            </w:r>
            <w:proofErr w:type="spellStart"/>
            <w:r w:rsidRPr="004C33D1">
              <w:rPr>
                <w:i/>
              </w:rPr>
              <w:t>W</w:t>
            </w:r>
            <w:r w:rsidRPr="004C33D1">
              <w:rPr>
                <w:i/>
                <w:vertAlign w:val="subscript"/>
              </w:rPr>
              <w:t>ij</w:t>
            </w:r>
            <w:proofErr w:type="spellEnd"/>
            <w:r w:rsidRPr="004C33D1">
              <w:t xml:space="preserve"> (based on a selected definition of “neighbouring” properties – a common approach is to define neighbours as properties accessible within a short walking distance), </w:t>
            </w:r>
            <w:r w:rsidRPr="004C33D1">
              <w:rPr>
                <w:i/>
              </w:rPr>
              <w:t>λ</w:t>
            </w:r>
            <w:r w:rsidRPr="004C33D1">
              <w:t xml:space="preserve"> is the spatial error coefficient, </w:t>
            </w:r>
            <w:proofErr w:type="spellStart"/>
            <w:r w:rsidRPr="004C33D1">
              <w:rPr>
                <w:i/>
              </w:rPr>
              <w:t>ξ</w:t>
            </w:r>
            <w:r w:rsidRPr="004C33D1">
              <w:rPr>
                <w:i/>
                <w:vertAlign w:val="subscript"/>
              </w:rPr>
              <w:t>i</w:t>
            </w:r>
            <w:proofErr w:type="spellEnd"/>
            <w:r w:rsidRPr="004C33D1">
              <w:t xml:space="preserve"> is a vector of uncorrelated error terms, and </w:t>
            </w:r>
            <w:r w:rsidRPr="004C33D1">
              <w:rPr>
                <w:i/>
              </w:rPr>
              <w:t xml:space="preserve">j=1,2,…,n, </w:t>
            </w:r>
            <w:proofErr w:type="spellStart"/>
            <w:r w:rsidRPr="004C33D1">
              <w:rPr>
                <w:i/>
              </w:rPr>
              <w:t>j≠i</w:t>
            </w:r>
            <w:proofErr w:type="spellEnd"/>
            <w:r w:rsidRPr="004C33D1">
              <w:t xml:space="preserve"> are index values for property sales records.</w:t>
            </w:r>
            <w:proofErr w:type="gramEnd"/>
          </w:p>
        </w:tc>
      </w:tr>
    </w:tbl>
    <w:p w:rsidR="001B70C1" w:rsidRPr="004C33D1" w:rsidRDefault="001B70C1" w:rsidP="001B70C1">
      <w:pPr>
        <w:pStyle w:val="Heading4"/>
      </w:pPr>
      <w:r w:rsidRPr="004C33D1">
        <w:t>Data on land and property prices</w:t>
      </w:r>
    </w:p>
    <w:p w:rsidR="001B70C1" w:rsidRDefault="001B70C1" w:rsidP="001B70C1">
      <w:r w:rsidRPr="004C33D1">
        <w:t>There are two main sources of data on land and property prices:</w:t>
      </w:r>
    </w:p>
    <w:p w:rsidR="00661D95" w:rsidRPr="004C33D1" w:rsidRDefault="00661D95" w:rsidP="001B70C1"/>
    <w:p w:rsidR="001B70C1" w:rsidRPr="004C33D1" w:rsidRDefault="00661D95" w:rsidP="00411653">
      <w:pPr>
        <w:pStyle w:val="ListParagraph"/>
        <w:numPr>
          <w:ilvl w:val="0"/>
          <w:numId w:val="50"/>
        </w:numPr>
      </w:pPr>
      <w:r w:rsidRPr="004C33D1">
        <w:t xml:space="preserve">district </w:t>
      </w:r>
      <w:r w:rsidR="001B70C1" w:rsidRPr="004C33D1">
        <w:t>valuation rolls compiled for council rating purposes on a three-yearly cycle; and</w:t>
      </w:r>
    </w:p>
    <w:p w:rsidR="001B70C1" w:rsidRPr="004C33D1" w:rsidRDefault="00661D95" w:rsidP="00411653">
      <w:pPr>
        <w:pStyle w:val="ListParagraph"/>
        <w:numPr>
          <w:ilvl w:val="0"/>
          <w:numId w:val="50"/>
        </w:numPr>
      </w:pPr>
      <w:proofErr w:type="gramStart"/>
      <w:r w:rsidRPr="004C33D1">
        <w:lastRenderedPageBreak/>
        <w:t>property</w:t>
      </w:r>
      <w:proofErr w:type="gramEnd"/>
      <w:r w:rsidRPr="004C33D1">
        <w:t xml:space="preserve"> </w:t>
      </w:r>
      <w:r w:rsidR="001B70C1" w:rsidRPr="004C33D1">
        <w:t>sales records collected on an ongoing basis by councils or private data providers such as CoreLogic or REINZ as an input into valuations.</w:t>
      </w:r>
    </w:p>
    <w:p w:rsidR="001B70C1" w:rsidRPr="004C33D1" w:rsidRDefault="001B70C1" w:rsidP="001B70C1"/>
    <w:p w:rsidR="001B70C1" w:rsidRPr="004C33D1" w:rsidRDefault="00D20D27" w:rsidP="001B70C1">
      <w:r w:rsidRPr="004C33D1">
        <w:fldChar w:fldCharType="begin"/>
      </w:r>
      <w:r w:rsidRPr="004C33D1">
        <w:instrText xml:space="preserve"> REF _Ref457986002 \h </w:instrText>
      </w:r>
      <w:r w:rsidRPr="004C33D1">
        <w:fldChar w:fldCharType="separate"/>
      </w:r>
      <w:r w:rsidR="004D1DDA" w:rsidRPr="004C33D1">
        <w:t xml:space="preserve">Table </w:t>
      </w:r>
      <w:r w:rsidR="004D1DDA">
        <w:rPr>
          <w:noProof/>
        </w:rPr>
        <w:t>6</w:t>
      </w:r>
      <w:r w:rsidRPr="004C33D1">
        <w:fldChar w:fldCharType="end"/>
      </w:r>
      <w:r w:rsidRPr="004C33D1">
        <w:t xml:space="preserve"> </w:t>
      </w:r>
      <w:r w:rsidR="001B70C1" w:rsidRPr="004C33D1">
        <w:t>summarises the characteristics of these data sources, as well as the key advantages and disadvantages of each source.</w:t>
      </w:r>
    </w:p>
    <w:p w:rsidR="001B70C1" w:rsidRPr="004C33D1" w:rsidRDefault="001B70C1" w:rsidP="00E02811">
      <w:pPr>
        <w:pStyle w:val="Caption"/>
      </w:pPr>
      <w:bookmarkStart w:id="167" w:name="_Ref457986002"/>
      <w:r w:rsidRPr="004C33D1">
        <w:t xml:space="preserve">Table </w:t>
      </w:r>
      <w:r w:rsidRPr="004C33D1">
        <w:fldChar w:fldCharType="begin"/>
      </w:r>
      <w:r w:rsidRPr="004C33D1">
        <w:instrText xml:space="preserve"> SEQ Table \* ARABIC </w:instrText>
      </w:r>
      <w:r w:rsidRPr="004C33D1">
        <w:fldChar w:fldCharType="separate"/>
      </w:r>
      <w:r w:rsidR="004D1DDA">
        <w:rPr>
          <w:noProof/>
        </w:rPr>
        <w:t>6</w:t>
      </w:r>
      <w:r w:rsidRPr="004C33D1">
        <w:fldChar w:fldCharType="end"/>
      </w:r>
      <w:bookmarkEnd w:id="167"/>
      <w:r w:rsidRPr="004C33D1">
        <w:t xml:space="preserve"> Overview of valuation and sales databases</w:t>
      </w:r>
    </w:p>
    <w:tbl>
      <w:tblPr>
        <w:tblW w:w="4932" w:type="pct"/>
        <w:tblInd w:w="56" w:type="dxa"/>
        <w:tblBorders>
          <w:bottom w:val="single" w:sz="12" w:space="0" w:color="A6A6A6"/>
          <w:insideH w:val="single" w:sz="8" w:space="0" w:color="A6A6A6"/>
        </w:tblBorders>
        <w:tblLayout w:type="fixed"/>
        <w:tblCellMar>
          <w:top w:w="28" w:type="dxa"/>
          <w:left w:w="57" w:type="dxa"/>
          <w:bottom w:w="28" w:type="dxa"/>
          <w:right w:w="57" w:type="dxa"/>
        </w:tblCellMar>
        <w:tblLook w:val="04E0" w:firstRow="1" w:lastRow="1" w:firstColumn="1" w:lastColumn="0" w:noHBand="0" w:noVBand="1"/>
      </w:tblPr>
      <w:tblGrid>
        <w:gridCol w:w="1278"/>
        <w:gridCol w:w="3471"/>
        <w:gridCol w:w="3473"/>
      </w:tblGrid>
      <w:tr w:rsidR="001B70C1" w:rsidRPr="004C33D1" w:rsidTr="00661D95">
        <w:trPr>
          <w:trHeight w:val="170"/>
          <w:tblHeader/>
        </w:trPr>
        <w:tc>
          <w:tcPr>
            <w:tcW w:w="777" w:type="pct"/>
            <w:shd w:val="clear" w:color="auto" w:fill="auto"/>
          </w:tcPr>
          <w:p w:rsidR="001B70C1" w:rsidRPr="004C33D1" w:rsidRDefault="001B70C1" w:rsidP="001B70C1">
            <w:pPr>
              <w:pStyle w:val="TableText"/>
              <w:rPr>
                <w:b/>
                <w:color w:val="780000"/>
              </w:rPr>
            </w:pPr>
          </w:p>
        </w:tc>
        <w:tc>
          <w:tcPr>
            <w:tcW w:w="2111" w:type="pct"/>
            <w:shd w:val="clear" w:color="auto" w:fill="auto"/>
          </w:tcPr>
          <w:p w:rsidR="001B70C1" w:rsidRPr="004C33D1" w:rsidRDefault="001B70C1" w:rsidP="001B70C1">
            <w:pPr>
              <w:pStyle w:val="TableText"/>
              <w:rPr>
                <w:b/>
                <w:color w:val="780000"/>
              </w:rPr>
            </w:pPr>
            <w:r w:rsidRPr="004C33D1">
              <w:rPr>
                <w:b/>
                <w:color w:val="780000"/>
              </w:rPr>
              <w:t>District valuation roll</w:t>
            </w:r>
          </w:p>
        </w:tc>
        <w:tc>
          <w:tcPr>
            <w:tcW w:w="2112" w:type="pct"/>
            <w:shd w:val="clear" w:color="auto" w:fill="auto"/>
          </w:tcPr>
          <w:p w:rsidR="001B70C1" w:rsidRPr="004C33D1" w:rsidRDefault="001B70C1" w:rsidP="001B70C1">
            <w:pPr>
              <w:pStyle w:val="TableText"/>
              <w:rPr>
                <w:b/>
                <w:color w:val="780000"/>
              </w:rPr>
            </w:pPr>
            <w:r w:rsidRPr="004C33D1">
              <w:rPr>
                <w:b/>
                <w:color w:val="780000"/>
              </w:rPr>
              <w:t>Property sales dataset</w:t>
            </w:r>
          </w:p>
        </w:tc>
      </w:tr>
      <w:tr w:rsidR="001B70C1" w:rsidRPr="004C33D1" w:rsidTr="00661D95">
        <w:tblPrEx>
          <w:tblCellMar>
            <w:top w:w="0" w:type="dxa"/>
            <w:bottom w:w="0" w:type="dxa"/>
          </w:tblCellMar>
        </w:tblPrEx>
        <w:trPr>
          <w:trHeight w:val="170"/>
        </w:trPr>
        <w:tc>
          <w:tcPr>
            <w:tcW w:w="777" w:type="pct"/>
            <w:shd w:val="clear" w:color="auto" w:fill="auto"/>
          </w:tcPr>
          <w:p w:rsidR="001B70C1" w:rsidRPr="004C33D1" w:rsidRDefault="001B70C1" w:rsidP="001B70C1">
            <w:pPr>
              <w:pStyle w:val="TableText"/>
            </w:pPr>
            <w:r w:rsidRPr="004C33D1">
              <w:t>Coverage</w:t>
            </w:r>
          </w:p>
        </w:tc>
        <w:tc>
          <w:tcPr>
            <w:tcW w:w="2111" w:type="pct"/>
            <w:shd w:val="clear" w:color="auto" w:fill="auto"/>
          </w:tcPr>
          <w:p w:rsidR="001B70C1" w:rsidRPr="004C33D1" w:rsidRDefault="001B70C1" w:rsidP="001B70C1">
            <w:pPr>
              <w:pStyle w:val="TableText"/>
            </w:pPr>
            <w:r w:rsidRPr="004C33D1">
              <w:t>All residential, business, and rural properties in the district</w:t>
            </w:r>
          </w:p>
        </w:tc>
        <w:tc>
          <w:tcPr>
            <w:tcW w:w="2112" w:type="pct"/>
            <w:shd w:val="clear" w:color="auto" w:fill="auto"/>
          </w:tcPr>
          <w:p w:rsidR="001B70C1" w:rsidRPr="004C33D1" w:rsidRDefault="001B70C1" w:rsidP="001B70C1">
            <w:pPr>
              <w:pStyle w:val="TableText"/>
            </w:pPr>
            <w:r w:rsidRPr="004C33D1">
              <w:t>All residential, business and rural properties that have been bought or sold (in a typical year, less than 5-10% of total properties)</w:t>
            </w:r>
          </w:p>
        </w:tc>
      </w:tr>
      <w:tr w:rsidR="001B70C1" w:rsidRPr="004C33D1" w:rsidTr="00661D95">
        <w:tblPrEx>
          <w:tblCellMar>
            <w:top w:w="0" w:type="dxa"/>
            <w:bottom w:w="0" w:type="dxa"/>
          </w:tblCellMar>
        </w:tblPrEx>
        <w:trPr>
          <w:trHeight w:val="170"/>
        </w:trPr>
        <w:tc>
          <w:tcPr>
            <w:tcW w:w="777" w:type="pct"/>
            <w:shd w:val="clear" w:color="auto" w:fill="auto"/>
          </w:tcPr>
          <w:p w:rsidR="001B70C1" w:rsidRPr="004C33D1" w:rsidRDefault="001B70C1" w:rsidP="001B70C1">
            <w:pPr>
              <w:pStyle w:val="TableText"/>
            </w:pPr>
            <w:r w:rsidRPr="004C33D1">
              <w:t>Timeliness</w:t>
            </w:r>
          </w:p>
        </w:tc>
        <w:tc>
          <w:tcPr>
            <w:tcW w:w="2111" w:type="pct"/>
            <w:shd w:val="clear" w:color="auto" w:fill="auto"/>
          </w:tcPr>
          <w:p w:rsidR="001B70C1" w:rsidRPr="004C33D1" w:rsidRDefault="001B70C1" w:rsidP="001B70C1">
            <w:pPr>
              <w:pStyle w:val="TableText"/>
            </w:pPr>
            <w:r w:rsidRPr="004C33D1">
              <w:t>Updated on a three-yearly cycle</w:t>
            </w:r>
          </w:p>
        </w:tc>
        <w:tc>
          <w:tcPr>
            <w:tcW w:w="2112" w:type="pct"/>
            <w:shd w:val="clear" w:color="auto" w:fill="auto"/>
          </w:tcPr>
          <w:p w:rsidR="001B70C1" w:rsidRPr="004C33D1" w:rsidRDefault="001B70C1" w:rsidP="001B70C1">
            <w:pPr>
              <w:pStyle w:val="TableText"/>
            </w:pPr>
            <w:r w:rsidRPr="004C33D1">
              <w:t>Updated continuously with data on new sales</w:t>
            </w:r>
          </w:p>
        </w:tc>
      </w:tr>
      <w:tr w:rsidR="001B70C1" w:rsidRPr="004C33D1" w:rsidTr="00661D95">
        <w:tblPrEx>
          <w:tblCellMar>
            <w:top w:w="0" w:type="dxa"/>
            <w:bottom w:w="0" w:type="dxa"/>
          </w:tblCellMar>
        </w:tblPrEx>
        <w:trPr>
          <w:trHeight w:val="170"/>
        </w:trPr>
        <w:tc>
          <w:tcPr>
            <w:tcW w:w="777" w:type="pct"/>
            <w:shd w:val="clear" w:color="auto" w:fill="auto"/>
          </w:tcPr>
          <w:p w:rsidR="001B70C1" w:rsidRPr="004C33D1" w:rsidRDefault="001B70C1" w:rsidP="001B70C1">
            <w:pPr>
              <w:pStyle w:val="TableText"/>
            </w:pPr>
            <w:r w:rsidRPr="004C33D1">
              <w:t>Details of valuation</w:t>
            </w:r>
          </w:p>
        </w:tc>
        <w:tc>
          <w:tcPr>
            <w:tcW w:w="2111" w:type="pct"/>
            <w:shd w:val="clear" w:color="auto" w:fill="auto"/>
          </w:tcPr>
          <w:p w:rsidR="001B70C1" w:rsidRPr="004C33D1" w:rsidRDefault="001B70C1" w:rsidP="001B70C1">
            <w:pPr>
              <w:pStyle w:val="TableText"/>
            </w:pPr>
            <w:r w:rsidRPr="004C33D1">
              <w:t xml:space="preserve">Professional </w:t>
            </w:r>
            <w:proofErr w:type="spellStart"/>
            <w:r w:rsidRPr="004C33D1">
              <w:t>valuers</w:t>
            </w:r>
            <w:proofErr w:type="spellEnd"/>
            <w:r w:rsidRPr="004C33D1">
              <w:t xml:space="preserve"> estimate land values and capital values (</w:t>
            </w:r>
            <w:proofErr w:type="spellStart"/>
            <w:r w:rsidRPr="004C33D1">
              <w:t>land+improvement</w:t>
            </w:r>
            <w:proofErr w:type="spellEnd"/>
            <w:r w:rsidRPr="004C33D1">
              <w:t xml:space="preserve"> value) for each property</w:t>
            </w:r>
          </w:p>
        </w:tc>
        <w:tc>
          <w:tcPr>
            <w:tcW w:w="2112" w:type="pct"/>
            <w:shd w:val="clear" w:color="auto" w:fill="auto"/>
          </w:tcPr>
          <w:p w:rsidR="001B70C1" w:rsidRPr="004C33D1" w:rsidRDefault="001B70C1" w:rsidP="001B70C1">
            <w:pPr>
              <w:pStyle w:val="TableText"/>
            </w:pPr>
            <w:r w:rsidRPr="004C33D1">
              <w:t>Property values are determined by the prices actually paid by buyers</w:t>
            </w:r>
          </w:p>
          <w:p w:rsidR="001B70C1" w:rsidRPr="004C33D1" w:rsidRDefault="001B70C1" w:rsidP="001B70C1">
            <w:pPr>
              <w:pStyle w:val="TableText"/>
            </w:pPr>
            <w:r w:rsidRPr="004C33D1">
              <w:t>No split between land and improvement values</w:t>
            </w:r>
          </w:p>
        </w:tc>
      </w:tr>
      <w:tr w:rsidR="001B70C1" w:rsidRPr="004C33D1" w:rsidTr="00661D95">
        <w:tblPrEx>
          <w:tblCellMar>
            <w:top w:w="0" w:type="dxa"/>
            <w:bottom w:w="0" w:type="dxa"/>
          </w:tblCellMar>
        </w:tblPrEx>
        <w:trPr>
          <w:trHeight w:val="170"/>
        </w:trPr>
        <w:tc>
          <w:tcPr>
            <w:tcW w:w="777" w:type="pct"/>
            <w:shd w:val="clear" w:color="auto" w:fill="auto"/>
          </w:tcPr>
          <w:p w:rsidR="001B70C1" w:rsidRPr="004C33D1" w:rsidRDefault="001B70C1" w:rsidP="001B70C1">
            <w:pPr>
              <w:pStyle w:val="TableText"/>
            </w:pPr>
            <w:r w:rsidRPr="004C33D1">
              <w:t>Other data on properties</w:t>
            </w:r>
          </w:p>
        </w:tc>
        <w:tc>
          <w:tcPr>
            <w:tcW w:w="2111" w:type="pct"/>
            <w:shd w:val="clear" w:color="auto" w:fill="auto"/>
          </w:tcPr>
          <w:p w:rsidR="001B70C1" w:rsidRPr="004C33D1" w:rsidRDefault="001B70C1" w:rsidP="001B70C1">
            <w:pPr>
              <w:pStyle w:val="TableText"/>
            </w:pPr>
            <w:r w:rsidRPr="004C33D1">
              <w:t>Includes information on property type (eg residential, industrial, or commercial buildings), location and characteristics (eg lot size, building size, building features, etc)</w:t>
            </w:r>
          </w:p>
        </w:tc>
        <w:tc>
          <w:tcPr>
            <w:tcW w:w="2112" w:type="pct"/>
            <w:shd w:val="clear" w:color="auto" w:fill="auto"/>
          </w:tcPr>
          <w:p w:rsidR="001B70C1" w:rsidRPr="004C33D1" w:rsidRDefault="001B70C1" w:rsidP="001B70C1">
            <w:pPr>
              <w:pStyle w:val="TableText"/>
            </w:pPr>
            <w:r w:rsidRPr="004C33D1">
              <w:t>Includes information on property type (eg residential, industrial, or commercial buildings), location and characteristics (eg lot size, building size, building features, etc)</w:t>
            </w:r>
          </w:p>
        </w:tc>
      </w:tr>
      <w:tr w:rsidR="001B70C1" w:rsidRPr="004C33D1" w:rsidTr="00661D95">
        <w:tblPrEx>
          <w:tblCellMar>
            <w:top w:w="0" w:type="dxa"/>
            <w:bottom w:w="0" w:type="dxa"/>
          </w:tblCellMar>
        </w:tblPrEx>
        <w:trPr>
          <w:trHeight w:val="170"/>
        </w:trPr>
        <w:tc>
          <w:tcPr>
            <w:tcW w:w="777" w:type="pct"/>
            <w:shd w:val="clear" w:color="auto" w:fill="auto"/>
          </w:tcPr>
          <w:p w:rsidR="001B70C1" w:rsidRPr="004C33D1" w:rsidRDefault="001B70C1" w:rsidP="001B70C1">
            <w:pPr>
              <w:pStyle w:val="TableText"/>
            </w:pPr>
            <w:r w:rsidRPr="004C33D1">
              <w:t>Key advantages</w:t>
            </w:r>
          </w:p>
        </w:tc>
        <w:tc>
          <w:tcPr>
            <w:tcW w:w="2111" w:type="pct"/>
            <w:shd w:val="clear" w:color="auto" w:fill="auto"/>
          </w:tcPr>
          <w:p w:rsidR="001B70C1" w:rsidRPr="004C33D1" w:rsidRDefault="001B70C1" w:rsidP="00661D95">
            <w:pPr>
              <w:pStyle w:val="TableText"/>
              <w:numPr>
                <w:ilvl w:val="0"/>
                <w:numId w:val="50"/>
              </w:numPr>
              <w:ind w:left="226" w:hanging="226"/>
            </w:pPr>
            <w:r w:rsidRPr="004C33D1">
              <w:t>Most comprehensive source of information on property values</w:t>
            </w:r>
          </w:p>
          <w:p w:rsidR="001B70C1" w:rsidRPr="004C33D1" w:rsidRDefault="001B70C1" w:rsidP="00661D95">
            <w:pPr>
              <w:pStyle w:val="TableText"/>
              <w:numPr>
                <w:ilvl w:val="0"/>
                <w:numId w:val="50"/>
              </w:numPr>
              <w:ind w:left="226" w:hanging="226"/>
            </w:pPr>
            <w:r w:rsidRPr="004C33D1">
              <w:t>Availability of land valuation data allows for easy comparison between different types of zones – it is not necessary to adjust for building characteristics on sites</w:t>
            </w:r>
          </w:p>
        </w:tc>
        <w:tc>
          <w:tcPr>
            <w:tcW w:w="2112" w:type="pct"/>
            <w:shd w:val="clear" w:color="auto" w:fill="auto"/>
          </w:tcPr>
          <w:p w:rsidR="001B70C1" w:rsidRPr="004C33D1" w:rsidRDefault="001B70C1" w:rsidP="00661D95">
            <w:pPr>
              <w:pStyle w:val="TableText"/>
              <w:numPr>
                <w:ilvl w:val="0"/>
                <w:numId w:val="50"/>
              </w:numPr>
              <w:ind w:left="157" w:hanging="157"/>
            </w:pPr>
            <w:r w:rsidRPr="004C33D1">
              <w:t>Most timely source of information on property values</w:t>
            </w:r>
          </w:p>
          <w:p w:rsidR="001B70C1" w:rsidRPr="004C33D1" w:rsidRDefault="001B70C1" w:rsidP="00661D95">
            <w:pPr>
              <w:pStyle w:val="TableText"/>
              <w:numPr>
                <w:ilvl w:val="0"/>
                <w:numId w:val="50"/>
              </w:numPr>
              <w:ind w:left="157" w:hanging="157"/>
            </w:pPr>
            <w:r w:rsidRPr="004C33D1">
              <w:t xml:space="preserve">Property values reflect the price buyers are willing to pay, rather than </w:t>
            </w:r>
            <w:proofErr w:type="spellStart"/>
            <w:r w:rsidRPr="004C33D1">
              <w:t>valuers’</w:t>
            </w:r>
            <w:proofErr w:type="spellEnd"/>
            <w:r w:rsidRPr="004C33D1">
              <w:t xml:space="preserve"> estimates</w:t>
            </w:r>
          </w:p>
        </w:tc>
      </w:tr>
      <w:tr w:rsidR="001B70C1" w:rsidRPr="004C33D1" w:rsidTr="00661D95">
        <w:tblPrEx>
          <w:tblCellMar>
            <w:top w:w="0" w:type="dxa"/>
            <w:bottom w:w="0" w:type="dxa"/>
          </w:tblCellMar>
        </w:tblPrEx>
        <w:trPr>
          <w:trHeight w:val="170"/>
        </w:trPr>
        <w:tc>
          <w:tcPr>
            <w:tcW w:w="777" w:type="pct"/>
            <w:shd w:val="clear" w:color="auto" w:fill="auto"/>
          </w:tcPr>
          <w:p w:rsidR="001B70C1" w:rsidRPr="004C33D1" w:rsidRDefault="001B70C1" w:rsidP="001B70C1">
            <w:pPr>
              <w:pStyle w:val="TableText"/>
            </w:pPr>
            <w:r w:rsidRPr="004C33D1">
              <w:t>Key disadvantages</w:t>
            </w:r>
          </w:p>
        </w:tc>
        <w:tc>
          <w:tcPr>
            <w:tcW w:w="2111" w:type="pct"/>
            <w:shd w:val="clear" w:color="auto" w:fill="auto"/>
          </w:tcPr>
          <w:p w:rsidR="001B70C1" w:rsidRPr="004C33D1" w:rsidRDefault="001B70C1" w:rsidP="00661D95">
            <w:pPr>
              <w:pStyle w:val="TableText"/>
              <w:numPr>
                <w:ilvl w:val="0"/>
                <w:numId w:val="50"/>
              </w:numPr>
              <w:ind w:left="226" w:hanging="226"/>
            </w:pPr>
            <w:r w:rsidRPr="004C33D1">
              <w:t>Three-yearly updates mean that this may not provide timely data on rapidly changing markets</w:t>
            </w:r>
          </w:p>
          <w:p w:rsidR="001B70C1" w:rsidRPr="004C33D1" w:rsidRDefault="001B70C1" w:rsidP="00661D95">
            <w:pPr>
              <w:pStyle w:val="TableText"/>
              <w:numPr>
                <w:ilvl w:val="0"/>
                <w:numId w:val="50"/>
              </w:numPr>
              <w:ind w:left="226" w:hanging="226"/>
            </w:pPr>
            <w:r w:rsidRPr="004C33D1">
              <w:t>Valuations may depend upon assumptions in valuation models – this is mitigated to an extent by calibrating models against observed sales</w:t>
            </w:r>
          </w:p>
        </w:tc>
        <w:tc>
          <w:tcPr>
            <w:tcW w:w="2112" w:type="pct"/>
            <w:shd w:val="clear" w:color="auto" w:fill="auto"/>
          </w:tcPr>
          <w:p w:rsidR="001B70C1" w:rsidRPr="004C33D1" w:rsidRDefault="001B70C1" w:rsidP="00661D95">
            <w:pPr>
              <w:pStyle w:val="TableText"/>
              <w:numPr>
                <w:ilvl w:val="0"/>
                <w:numId w:val="50"/>
              </w:numPr>
              <w:ind w:left="157" w:hanging="157"/>
            </w:pPr>
            <w:r w:rsidRPr="004C33D1">
              <w:t>Lack of land valuations makes it more challenging to compare between different property types, eg residential and industrial</w:t>
            </w:r>
          </w:p>
          <w:p w:rsidR="001B70C1" w:rsidRPr="004C33D1" w:rsidRDefault="001B70C1" w:rsidP="00661D95">
            <w:pPr>
              <w:pStyle w:val="TableText"/>
              <w:numPr>
                <w:ilvl w:val="0"/>
                <w:numId w:val="50"/>
              </w:numPr>
              <w:ind w:left="157" w:hanging="157"/>
            </w:pPr>
            <w:r w:rsidRPr="004C33D1">
              <w:t xml:space="preserve">Sophisticated econometric models </w:t>
            </w:r>
            <w:proofErr w:type="gramStart"/>
            <w:r w:rsidRPr="004C33D1">
              <w:t>may be needed</w:t>
            </w:r>
            <w:proofErr w:type="gramEnd"/>
            <w:r w:rsidRPr="004C33D1">
              <w:t xml:space="preserve"> to conduct a “like-for-like” comparison between different properties.</w:t>
            </w:r>
          </w:p>
        </w:tc>
      </w:tr>
    </w:tbl>
    <w:p w:rsidR="001B70C1" w:rsidRPr="004C33D1" w:rsidRDefault="001B70C1" w:rsidP="001B70C1"/>
    <w:p w:rsidR="001B70C1" w:rsidRPr="004C33D1" w:rsidRDefault="001B70C1" w:rsidP="001B70C1">
      <w:r w:rsidRPr="004C33D1">
        <w:t xml:space="preserve">Although valuations data </w:t>
      </w:r>
      <w:r w:rsidR="000173B6">
        <w:t>are</w:t>
      </w:r>
      <w:r w:rsidRPr="004C33D1">
        <w:t xml:space="preserve"> comprehensive, covering all properties, the valuations </w:t>
      </w:r>
      <w:proofErr w:type="gramStart"/>
      <w:r w:rsidRPr="004C33D1">
        <w:t>are only undertaken</w:t>
      </w:r>
      <w:proofErr w:type="gramEnd"/>
      <w:r w:rsidRPr="004C33D1">
        <w:t xml:space="preserve"> periodically (typically every three years). Using these data</w:t>
      </w:r>
      <w:r w:rsidR="000173B6">
        <w:t>,</w:t>
      </w:r>
      <w:r w:rsidRPr="004C33D1">
        <w:t xml:space="preserve"> emerging problems </w:t>
      </w:r>
      <w:proofErr w:type="gramStart"/>
      <w:r w:rsidRPr="004C33D1">
        <w:t>can only be identified</w:t>
      </w:r>
      <w:proofErr w:type="gramEnd"/>
      <w:r w:rsidRPr="004C33D1">
        <w:t xml:space="preserve"> after new valuation data have been collected. By contrast, property sales data </w:t>
      </w:r>
      <w:r w:rsidR="000173B6">
        <w:t>are</w:t>
      </w:r>
      <w:r w:rsidRPr="004C33D1">
        <w:t xml:space="preserve"> </w:t>
      </w:r>
      <w:proofErr w:type="gramStart"/>
      <w:r w:rsidRPr="004C33D1">
        <w:t>more timely</w:t>
      </w:r>
      <w:proofErr w:type="gramEnd"/>
      <w:r w:rsidRPr="004C33D1">
        <w:t xml:space="preserve"> but also require adjustment to separate out the value of the land from the value of the property as a whole including the building(s).</w:t>
      </w:r>
      <w:r w:rsidRPr="004C33D1">
        <w:rPr>
          <w:rStyle w:val="FootnoteReference"/>
        </w:rPr>
        <w:footnoteReference w:id="81"/>
      </w:r>
      <w:r w:rsidR="00CC29E9">
        <w:t xml:space="preserve"> </w:t>
      </w:r>
    </w:p>
    <w:p w:rsidR="001B70C1" w:rsidRPr="004C33D1" w:rsidRDefault="001B70C1" w:rsidP="001B70C1"/>
    <w:p w:rsidR="001B70C1" w:rsidRPr="004C33D1" w:rsidRDefault="001B70C1" w:rsidP="001B70C1">
      <w:r w:rsidRPr="004C33D1">
        <w:t xml:space="preserve">A further complication is that valuation models may not accurately reflect all influences on land prices. </w:t>
      </w:r>
      <w:r w:rsidR="007F4CF6">
        <w:t xml:space="preserve">Valuations are modelled estimates of prices rather than those observed. </w:t>
      </w:r>
      <w:r w:rsidRPr="004C33D1">
        <w:t xml:space="preserve">Consequently, it is desirable to </w:t>
      </w:r>
      <w:proofErr w:type="gramStart"/>
      <w:r w:rsidRPr="004C33D1">
        <w:t>cross-check</w:t>
      </w:r>
      <w:proofErr w:type="gramEnd"/>
      <w:r w:rsidRPr="004C33D1">
        <w:t xml:space="preserve"> results from a focussed analysis of land valuations </w:t>
      </w:r>
      <w:r w:rsidR="007F4CF6">
        <w:t xml:space="preserve">against sales data, eg </w:t>
      </w:r>
      <w:r w:rsidRPr="004C33D1">
        <w:t xml:space="preserve">with a more sophisticated, regression-based analysis of property sales. For example, if a comparison of average land values on either side of a </w:t>
      </w:r>
      <w:r w:rsidRPr="004C33D1">
        <w:lastRenderedPageBreak/>
        <w:t xml:space="preserve">zoning boundary reveals evidence of a discontinuity, a spatial hedonic analysis of property sales data </w:t>
      </w:r>
      <w:proofErr w:type="gramStart"/>
      <w:r w:rsidRPr="004C33D1">
        <w:t>could be used</w:t>
      </w:r>
      <w:proofErr w:type="gramEnd"/>
      <w:r w:rsidRPr="004C33D1">
        <w:t xml:space="preserve"> to confirm it. (See above for a description of hedonic analysis.)</w:t>
      </w:r>
    </w:p>
    <w:p w:rsidR="001B70C1" w:rsidRPr="004C33D1" w:rsidRDefault="001B70C1" w:rsidP="001B70C1">
      <w:pPr>
        <w:pStyle w:val="Heading3"/>
      </w:pPr>
      <w:r w:rsidRPr="004C33D1">
        <w:t xml:space="preserve">Discontinuities in land prices </w:t>
      </w:r>
      <w:r w:rsidR="00661D95">
        <w:t xml:space="preserve">at </w:t>
      </w:r>
      <w:r w:rsidRPr="004C33D1">
        <w:t>the urban boundary</w:t>
      </w:r>
    </w:p>
    <w:p w:rsidR="001B70C1" w:rsidRPr="004C33D1" w:rsidRDefault="001B70C1" w:rsidP="001B70C1">
      <w:r w:rsidRPr="004C33D1">
        <w:t>Auckland Council previously established a Metropolitan Urban Limit (MUL</w:t>
      </w:r>
      <w:proofErr w:type="gramStart"/>
      <w:r w:rsidRPr="004C33D1">
        <w:t>) which</w:t>
      </w:r>
      <w:proofErr w:type="gramEnd"/>
      <w:r w:rsidRPr="004C33D1">
        <w:t xml:space="preserve"> defines a hard boundary between land that can be used for urban development and land that cannot.</w:t>
      </w:r>
      <w:r w:rsidRPr="004C33D1">
        <w:rPr>
          <w:rStyle w:val="FootnoteReference"/>
        </w:rPr>
        <w:footnoteReference w:id="82"/>
      </w:r>
      <w:r w:rsidRPr="004C33D1">
        <w:t xml:space="preserve"> The notified version of the Unitary Plan envisaged an MUL that would move outwards over time to enable further development on the fringe of the city, at least within a more expansive Rural-Urban Boundary (RUB).</w:t>
      </w:r>
      <w:r w:rsidRPr="004C33D1">
        <w:rPr>
          <w:rStyle w:val="FootnoteReference"/>
        </w:rPr>
        <w:footnoteReference w:id="83"/>
      </w:r>
    </w:p>
    <w:p w:rsidR="001B70C1" w:rsidRPr="004C33D1" w:rsidRDefault="001B70C1" w:rsidP="001B70C1"/>
    <w:p w:rsidR="001B70C1" w:rsidRPr="004C33D1" w:rsidRDefault="001B70C1" w:rsidP="001B70C1">
      <w:r w:rsidRPr="004C33D1">
        <w:t>Other councils in New Zealand have not declared a hard MUL, although many have a de-facto urban boundary as land zoned for residential purposes (or with plot sizes typical of an urban area rather than lifestyle blocks) extends only to a certain distance from the city/town centre. The effect is similar, although councils that have not declared an MUL may be more open to extending urban zoning</w:t>
      </w:r>
      <w:r w:rsidR="00E31755">
        <w:t>, eg through private plan changes</w:t>
      </w:r>
      <w:r w:rsidRPr="004C33D1">
        <w:t>.</w:t>
      </w:r>
    </w:p>
    <w:p w:rsidR="001B70C1" w:rsidRPr="004C33D1" w:rsidRDefault="001B70C1" w:rsidP="001B70C1"/>
    <w:p w:rsidR="001B70C1" w:rsidRPr="004C33D1" w:rsidRDefault="001B70C1" w:rsidP="001B70C1">
      <w:r w:rsidRPr="004C33D1">
        <w:t xml:space="preserve">A number of studies have examined discontinuities in land prices around the (former) Auckland MUL. This </w:t>
      </w:r>
      <w:proofErr w:type="gramStart"/>
      <w:r w:rsidRPr="004C33D1">
        <w:t>is a useful indicator that</w:t>
      </w:r>
      <w:proofErr w:type="gramEnd"/>
      <w:r w:rsidRPr="004C33D1">
        <w:t xml:space="preserve"> provides information on: </w:t>
      </w:r>
    </w:p>
    <w:p w:rsidR="001B70C1" w:rsidRPr="004C33D1" w:rsidRDefault="001B70C1" w:rsidP="001B70C1"/>
    <w:p w:rsidR="001B70C1" w:rsidRPr="004C33D1" w:rsidRDefault="001B70C1" w:rsidP="000850C5">
      <w:pPr>
        <w:pStyle w:val="ListParagraph"/>
        <w:numPr>
          <w:ilvl w:val="0"/>
          <w:numId w:val="18"/>
        </w:numPr>
      </w:pPr>
      <w:r w:rsidRPr="004C33D1">
        <w:t>the expected relativity of price, ie the smoothness of the land price curve relative to the expected gradient; and</w:t>
      </w:r>
      <w:r w:rsidRPr="004C33D1">
        <w:br/>
      </w:r>
    </w:p>
    <w:p w:rsidR="001B70C1" w:rsidRPr="004C33D1" w:rsidRDefault="001B70C1" w:rsidP="000850C5">
      <w:pPr>
        <w:pStyle w:val="ListParagraph"/>
        <w:numPr>
          <w:ilvl w:val="0"/>
          <w:numId w:val="18"/>
        </w:numPr>
      </w:pPr>
      <w:proofErr w:type="gramStart"/>
      <w:r w:rsidRPr="004C33D1">
        <w:t>absolute</w:t>
      </w:r>
      <w:proofErr w:type="gramEnd"/>
      <w:r w:rsidRPr="004C33D1">
        <w:t xml:space="preserve"> prices, ie the difference between urban land and the opportunity cost of supply, assumed to be the price of land just outside the urban area, adjusted for infrastructure and land development costs.</w:t>
      </w:r>
    </w:p>
    <w:p w:rsidR="001B70C1" w:rsidRPr="004C33D1" w:rsidRDefault="001B70C1" w:rsidP="001B70C1"/>
    <w:p w:rsidR="001B70C1" w:rsidRPr="004C33D1" w:rsidRDefault="001B70C1" w:rsidP="001B70C1">
      <w:r w:rsidRPr="004C33D1">
        <w:t>Grimes and Liang (2009) found that land just inside the MUL is valued (per hectare) at approximately ten times land that is just outside the boundary.</w:t>
      </w:r>
      <w:r w:rsidRPr="004C33D1">
        <w:rPr>
          <w:rStyle w:val="FootnoteReference"/>
        </w:rPr>
        <w:footnoteReference w:id="84"/>
      </w:r>
      <w:r w:rsidRPr="004C33D1">
        <w:t xml:space="preserve"> Similarly, the Productivity Commission (2012) found a differential of close to nine times in 2010.</w:t>
      </w:r>
      <w:r w:rsidRPr="004C33D1">
        <w:rPr>
          <w:rStyle w:val="FootnoteReference"/>
        </w:rPr>
        <w:footnoteReference w:id="85"/>
      </w:r>
      <w:r w:rsidRPr="004C33D1">
        <w:t xml:space="preserve"> This boundary discontinuity reflects both the effect of the MUL as well as other regulations that distort the demand for land within the city. More recently, Zheng assessed that the price differential for land either side of the MUL was 5-6 times, and that the impact is uneven, with a much larger impact on land at the lower end of the price distribution.</w:t>
      </w:r>
      <w:r w:rsidRPr="004C33D1">
        <w:rPr>
          <w:rStyle w:val="FootnoteReference"/>
        </w:rPr>
        <w:footnoteReference w:id="86"/>
      </w:r>
      <w:r w:rsidRPr="004C33D1">
        <w:t xml:space="preserve"> </w:t>
      </w:r>
    </w:p>
    <w:p w:rsidR="001B70C1" w:rsidRPr="004C33D1" w:rsidRDefault="001B70C1" w:rsidP="001B70C1"/>
    <w:p w:rsidR="006F545D" w:rsidRDefault="006F545D" w:rsidP="006F545D">
      <w:r w:rsidRPr="004C33D1">
        <w:t xml:space="preserve">We extend this analysis to estimate discontinuities in land values around the urban boundary of </w:t>
      </w:r>
      <w:r>
        <w:t>six</w:t>
      </w:r>
      <w:r w:rsidRPr="004C33D1">
        <w:t xml:space="preserve"> New Zealand cities</w:t>
      </w:r>
      <w:r>
        <w:t xml:space="preserve">: Auckland, Wellington (including Kapiti Coast), </w:t>
      </w:r>
      <w:r>
        <w:lastRenderedPageBreak/>
        <w:t>Tauranga, Hamilton, Nelson, and Palmerston North</w:t>
      </w:r>
      <w:r w:rsidRPr="004C33D1">
        <w:t xml:space="preserve">. </w:t>
      </w:r>
      <w:r>
        <w:t>In Auckland, we used the Metropolitan Urban Limit set out in the notified version of the Auckland Unitary Plan, while in other cities we estimated an urban boundary based on the extent of current urban zoning.</w:t>
      </w:r>
    </w:p>
    <w:p w:rsidR="006F545D" w:rsidRDefault="006F545D" w:rsidP="006F545D"/>
    <w:p w:rsidR="006F545D" w:rsidRDefault="006F545D" w:rsidP="006F545D">
      <w:r w:rsidRPr="004C33D1">
        <w:t>Following the previous research, we estimate land price discontinuities by applying spatial regression models to land valuation data from CoreLogic</w:t>
      </w:r>
      <w:r>
        <w:t>/QVNZ</w:t>
      </w:r>
      <w:r w:rsidRPr="004C33D1">
        <w:t xml:space="preserve">, grouped at the level of Census </w:t>
      </w:r>
      <w:proofErr w:type="spellStart"/>
      <w:r w:rsidRPr="004C33D1">
        <w:t>meshblocks</w:t>
      </w:r>
      <w:proofErr w:type="spellEnd"/>
      <w:r w:rsidRPr="004C33D1">
        <w:t xml:space="preserve">. These </w:t>
      </w:r>
      <w:proofErr w:type="gramStart"/>
      <w:r w:rsidRPr="004C33D1">
        <w:t>are estimated</w:t>
      </w:r>
      <w:proofErr w:type="gramEnd"/>
      <w:r w:rsidRPr="004C33D1">
        <w:t xml:space="preserve"> as capital values less the value of improvements, which includes the costs of the buildings on the land but does not include the costs of infrastructure and land development. Hence, to estimate the true magnitude of the discontinuity, we also consider how prices </w:t>
      </w:r>
      <w:proofErr w:type="gramStart"/>
      <w:r w:rsidRPr="004C33D1">
        <w:t>can be corrected</w:t>
      </w:r>
      <w:proofErr w:type="gramEnd"/>
      <w:r w:rsidRPr="004C33D1">
        <w:t xml:space="preserve"> for the value of infrastructure and of land development, both of which will be capitalised in land prices.</w:t>
      </w:r>
    </w:p>
    <w:p w:rsidR="006F545D" w:rsidRDefault="006F545D" w:rsidP="006F545D"/>
    <w:p w:rsidR="006F545D" w:rsidRDefault="006F545D" w:rsidP="006F545D">
      <w:r>
        <w:t>To begin, we provide descriptive statistics on average land values inside and outside these cities’ urban boundaries. This allows us to identify the difference in average land values (in dollar terms) across the urban boundary. In addition, we also summarise data on average section sizes immediately inside and outside the urban boundary. This enables us to estimate differences in land development costs – for instance, per-hectare land values in an area with average section sizes of 500m</w:t>
      </w:r>
      <w:r w:rsidRPr="005616EA">
        <w:rPr>
          <w:vertAlign w:val="superscript"/>
        </w:rPr>
        <w:t>2</w:t>
      </w:r>
      <w:r>
        <w:t xml:space="preserve"> (20 sections/ha) would include land development costs for 20 sections.</w:t>
      </w:r>
    </w:p>
    <w:p w:rsidR="006F545D" w:rsidRDefault="006F545D" w:rsidP="006F545D"/>
    <w:p w:rsidR="004A4B25" w:rsidRDefault="006F545D" w:rsidP="006F545D">
      <w:r>
        <w:t>L</w:t>
      </w:r>
      <w:r w:rsidRPr="004C33D1">
        <w:t>and develo</w:t>
      </w:r>
      <w:r>
        <w:t xml:space="preserve">pment costs </w:t>
      </w:r>
      <w:proofErr w:type="gramStart"/>
      <w:r w:rsidRPr="004C33D1">
        <w:t>are typically estimated</w:t>
      </w:r>
      <w:proofErr w:type="gramEnd"/>
      <w:r w:rsidRPr="004C33D1">
        <w:t xml:space="preserve"> on a per-section basis. Based on our review of the available evidence of land development costs (see </w:t>
      </w:r>
      <w:r>
        <w:t xml:space="preserve">Annex </w:t>
      </w:r>
      <w:r w:rsidRPr="004A4B25">
        <w:t>A</w:t>
      </w:r>
      <w:r w:rsidR="004A4B25" w:rsidRPr="004A4B25">
        <w:t>8</w:t>
      </w:r>
      <w:r w:rsidRPr="004C33D1">
        <w:t>), we suggest that a conservative approach would be to use</w:t>
      </w:r>
      <w:r w:rsidR="004A4B25">
        <w:t>:</w:t>
      </w:r>
      <w:r w:rsidR="00661D95">
        <w:br/>
      </w:r>
      <w:r w:rsidRPr="004C33D1">
        <w:t xml:space="preserve"> </w:t>
      </w:r>
    </w:p>
    <w:p w:rsidR="004A4B25" w:rsidRDefault="006F545D" w:rsidP="006277DC">
      <w:pPr>
        <w:pStyle w:val="ListParagraph"/>
        <w:numPr>
          <w:ilvl w:val="0"/>
          <w:numId w:val="104"/>
        </w:numPr>
      </w:pPr>
      <w:r w:rsidRPr="004C33D1">
        <w:t>the weighted Auckland land development costs of $120,000 per site as a baseline for estimating costs in locations with high development contributions</w:t>
      </w:r>
      <w:r>
        <w:t>, such as Auckland and Tauranga</w:t>
      </w:r>
      <w:r w:rsidR="004A4B25">
        <w:t>; and</w:t>
      </w:r>
      <w:r w:rsidR="00661D95">
        <w:br/>
      </w:r>
    </w:p>
    <w:p w:rsidR="006F545D" w:rsidRDefault="004A4B25" w:rsidP="006277DC">
      <w:pPr>
        <w:pStyle w:val="ListParagraph"/>
        <w:numPr>
          <w:ilvl w:val="0"/>
          <w:numId w:val="104"/>
        </w:numPr>
      </w:pPr>
      <w:proofErr w:type="gramStart"/>
      <w:r>
        <w:t>t</w:t>
      </w:r>
      <w:r w:rsidR="006F545D" w:rsidRPr="004C33D1">
        <w:t>he</w:t>
      </w:r>
      <w:proofErr w:type="gramEnd"/>
      <w:r w:rsidR="006F545D" w:rsidRPr="004C33D1">
        <w:t xml:space="preserve"> range observed in </w:t>
      </w:r>
      <w:r>
        <w:t xml:space="preserve">other </w:t>
      </w:r>
      <w:r w:rsidR="006F545D" w:rsidRPr="004C33D1">
        <w:t xml:space="preserve">locations </w:t>
      </w:r>
      <w:r>
        <w:t>(</w:t>
      </w:r>
      <w:r w:rsidR="006F545D" w:rsidRPr="004C33D1">
        <w:t>$80,000-$100,000 per site</w:t>
      </w:r>
      <w:r>
        <w:t>)</w:t>
      </w:r>
      <w:r w:rsidR="006F545D" w:rsidRPr="004C33D1">
        <w:t xml:space="preserve"> for estimating costs in locations with low development contributions.</w:t>
      </w:r>
    </w:p>
    <w:p w:rsidR="006F545D" w:rsidRDefault="006F545D" w:rsidP="006F545D"/>
    <w:p w:rsidR="006F545D" w:rsidRDefault="006F545D" w:rsidP="006F545D">
      <w:r>
        <w:t xml:space="preserve">The analysis in </w:t>
      </w:r>
      <w:r>
        <w:fldChar w:fldCharType="begin"/>
      </w:r>
      <w:r>
        <w:instrText xml:space="preserve"> REF _Ref458448027 \h </w:instrText>
      </w:r>
      <w:r>
        <w:fldChar w:fldCharType="separate"/>
      </w:r>
      <w:r w:rsidR="004D1DDA" w:rsidRPr="004C33D1">
        <w:t xml:space="preserve">Table </w:t>
      </w:r>
      <w:r w:rsidR="004D1DDA">
        <w:rPr>
          <w:noProof/>
        </w:rPr>
        <w:t>7</w:t>
      </w:r>
      <w:r>
        <w:fldChar w:fldCharType="end"/>
      </w:r>
      <w:r>
        <w:t xml:space="preserve"> indicates that, on average, land immediately inside each city’s urban boundary is more valuable than land outside it. These discontinuities are large in some cases, in the range of $1-3 million per hectare. However, in all cases, a significant share of the difference, although not necessary all, </w:t>
      </w:r>
      <w:proofErr w:type="gramStart"/>
      <w:r>
        <w:t>can be explained</w:t>
      </w:r>
      <w:proofErr w:type="gramEnd"/>
      <w:r>
        <w:t xml:space="preserve"> by land development costs. Land development costs make up the largest share of the difference in Hamilton (70%) and the smallest in Auckland (37%). </w:t>
      </w:r>
    </w:p>
    <w:p w:rsidR="004A4B25" w:rsidRDefault="004A4B25" w:rsidP="006F545D"/>
    <w:p w:rsidR="004A4B25" w:rsidRDefault="004A4B25" w:rsidP="004A4B25">
      <w:r>
        <w:t xml:space="preserve">However, the figures in the above table only refer to average effects and do not control for localised factors that may affect prices, such as proximity to amenities such as employment centres or coastlines, or spatial correlations between prices in different locations. Consequently, econometric analysis of land valuation data is a more robust way of assessing the existence and magnitude of price discontinuities at urban boundaries. Our analytical methodology is set out in </w:t>
      </w:r>
      <w:r w:rsidRPr="004A4B25">
        <w:t xml:space="preserve">Appendix </w:t>
      </w:r>
      <w:r w:rsidRPr="004A4B25">
        <w:rPr>
          <w:rFonts w:ascii="Times New Roman" w:hAnsi="Times New Roman"/>
          <w:sz w:val="24"/>
          <w:lang w:val="en-US"/>
        </w:rPr>
        <w:t>A8</w:t>
      </w:r>
      <w:r>
        <w:t xml:space="preserve">, and key results from our analysis are summarised in </w:t>
      </w:r>
      <w:r>
        <w:fldChar w:fldCharType="begin"/>
      </w:r>
      <w:r>
        <w:instrText xml:space="preserve"> REF _Ref458446289 \h </w:instrText>
      </w:r>
      <w:r>
        <w:fldChar w:fldCharType="separate"/>
      </w:r>
      <w:r w:rsidR="004D1DDA" w:rsidRPr="004C33D1">
        <w:t xml:space="preserve">Table </w:t>
      </w:r>
      <w:r w:rsidR="004D1DDA">
        <w:rPr>
          <w:noProof/>
        </w:rPr>
        <w:t>8</w:t>
      </w:r>
      <w:r>
        <w:fldChar w:fldCharType="end"/>
      </w:r>
      <w:r>
        <w:t xml:space="preserve">. The top rows report </w:t>
      </w:r>
      <w:r w:rsidR="005823B2">
        <w:t xml:space="preserve">ordinary least squares </w:t>
      </w:r>
      <w:r w:rsidR="005823B2">
        <w:lastRenderedPageBreak/>
        <w:t>(</w:t>
      </w:r>
      <w:r>
        <w:t>OLS</w:t>
      </w:r>
      <w:r w:rsidR="005823B2">
        <w:t>)</w:t>
      </w:r>
      <w:r>
        <w:t xml:space="preserve"> estimates, while the lower rows report estimates from spatial error regression models </w:t>
      </w:r>
      <w:proofErr w:type="gramStart"/>
      <w:r>
        <w:t>that better</w:t>
      </w:r>
      <w:proofErr w:type="gramEnd"/>
      <w:r>
        <w:t xml:space="preserve"> address localised spatial correlations in land values.</w:t>
      </w:r>
    </w:p>
    <w:p w:rsidR="004A4B25" w:rsidRPr="004C33D1" w:rsidRDefault="004A4B25" w:rsidP="006F545D"/>
    <w:p w:rsidR="006F545D" w:rsidRDefault="006F545D" w:rsidP="00E02811">
      <w:pPr>
        <w:pStyle w:val="Caption"/>
      </w:pPr>
      <w:bookmarkStart w:id="168" w:name="_Ref458448027"/>
      <w:r w:rsidRPr="004C33D1">
        <w:t xml:space="preserve">Table </w:t>
      </w:r>
      <w:r w:rsidRPr="004C33D1">
        <w:fldChar w:fldCharType="begin"/>
      </w:r>
      <w:r w:rsidRPr="004C33D1">
        <w:instrText xml:space="preserve"> SEQ Table \* ARABIC </w:instrText>
      </w:r>
      <w:r w:rsidRPr="004C33D1">
        <w:fldChar w:fldCharType="separate"/>
      </w:r>
      <w:r w:rsidR="004D1DDA">
        <w:rPr>
          <w:noProof/>
        </w:rPr>
        <w:t>7</w:t>
      </w:r>
      <w:r w:rsidRPr="004C33D1">
        <w:fldChar w:fldCharType="end"/>
      </w:r>
      <w:bookmarkEnd w:id="168"/>
      <w:r w:rsidRPr="004C33D1">
        <w:t xml:space="preserve"> </w:t>
      </w:r>
      <w:r>
        <w:t>Descriptive statistics on average land values and section sizes inside and outside urban boundaries</w:t>
      </w:r>
    </w:p>
    <w:tbl>
      <w:tblPr>
        <w:tblStyle w:val="CovecTables"/>
        <w:tblW w:w="5000" w:type="pct"/>
        <w:tblInd w:w="0" w:type="dxa"/>
        <w:tblLayout w:type="fixed"/>
        <w:tblLook w:val="04E0" w:firstRow="1" w:lastRow="1" w:firstColumn="1" w:lastColumn="0" w:noHBand="0" w:noVBand="1"/>
      </w:tblPr>
      <w:tblGrid>
        <w:gridCol w:w="2280"/>
        <w:gridCol w:w="986"/>
        <w:gridCol w:w="1126"/>
        <w:gridCol w:w="127"/>
        <w:gridCol w:w="799"/>
        <w:gridCol w:w="903"/>
        <w:gridCol w:w="847"/>
        <w:gridCol w:w="1153"/>
      </w:tblGrid>
      <w:tr w:rsidR="00823541" w:rsidTr="00823541">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1387" w:type="pct"/>
            <w:noWrap/>
            <w:hideMark/>
          </w:tcPr>
          <w:p w:rsidR="006F545D" w:rsidRDefault="006F545D" w:rsidP="006F545D">
            <w:pPr>
              <w:pStyle w:val="TableText"/>
            </w:pPr>
            <w:r>
              <w:t>City</w:t>
            </w:r>
          </w:p>
        </w:tc>
        <w:tc>
          <w:tcPr>
            <w:tcW w:w="600" w:type="pct"/>
            <w:noWrap/>
            <w:hideMark/>
          </w:tcPr>
          <w:p w:rsidR="006F545D" w:rsidRDefault="006F545D" w:rsidP="00661D95">
            <w:pPr>
              <w:pStyle w:val="TableText"/>
              <w:jc w:val="center"/>
              <w:cnfStyle w:val="100000000000" w:firstRow="1" w:lastRow="0" w:firstColumn="0" w:lastColumn="0" w:oddVBand="0" w:evenVBand="0" w:oddHBand="0" w:evenHBand="0" w:firstRowFirstColumn="0" w:firstRowLastColumn="0" w:lastRowFirstColumn="0" w:lastRowLastColumn="0"/>
            </w:pPr>
            <w:r>
              <w:t>Auckland</w:t>
            </w:r>
          </w:p>
        </w:tc>
        <w:tc>
          <w:tcPr>
            <w:tcW w:w="685" w:type="pct"/>
            <w:noWrap/>
            <w:hideMark/>
          </w:tcPr>
          <w:p w:rsidR="006F545D" w:rsidRDefault="006F545D" w:rsidP="00661D95">
            <w:pPr>
              <w:pStyle w:val="TableText"/>
              <w:jc w:val="center"/>
              <w:cnfStyle w:val="100000000000" w:firstRow="1" w:lastRow="0" w:firstColumn="0" w:lastColumn="0" w:oddVBand="0" w:evenVBand="0" w:oddHBand="0" w:evenHBand="0" w:firstRowFirstColumn="0" w:firstRowLastColumn="0" w:lastRowFirstColumn="0" w:lastRowLastColumn="0"/>
            </w:pPr>
            <w:r>
              <w:t>Wellington</w:t>
            </w:r>
          </w:p>
        </w:tc>
        <w:tc>
          <w:tcPr>
            <w:tcW w:w="563" w:type="pct"/>
            <w:gridSpan w:val="2"/>
            <w:noWrap/>
            <w:hideMark/>
          </w:tcPr>
          <w:p w:rsidR="006F545D" w:rsidRDefault="006F545D" w:rsidP="00661D95">
            <w:pPr>
              <w:pStyle w:val="TableText"/>
              <w:jc w:val="center"/>
              <w:cnfStyle w:val="100000000000" w:firstRow="1" w:lastRow="0" w:firstColumn="0" w:lastColumn="0" w:oddVBand="0" w:evenVBand="0" w:oddHBand="0" w:evenHBand="0" w:firstRowFirstColumn="0" w:firstRowLastColumn="0" w:lastRowFirstColumn="0" w:lastRowLastColumn="0"/>
            </w:pPr>
            <w:r>
              <w:t>Tauranga</w:t>
            </w:r>
          </w:p>
        </w:tc>
        <w:tc>
          <w:tcPr>
            <w:tcW w:w="549" w:type="pct"/>
            <w:noWrap/>
            <w:hideMark/>
          </w:tcPr>
          <w:p w:rsidR="006F545D" w:rsidRDefault="006F545D" w:rsidP="00661D95">
            <w:pPr>
              <w:pStyle w:val="TableText"/>
              <w:jc w:val="center"/>
              <w:cnfStyle w:val="100000000000" w:firstRow="1" w:lastRow="0" w:firstColumn="0" w:lastColumn="0" w:oddVBand="0" w:evenVBand="0" w:oddHBand="0" w:evenHBand="0" w:firstRowFirstColumn="0" w:firstRowLastColumn="0" w:lastRowFirstColumn="0" w:lastRowLastColumn="0"/>
            </w:pPr>
            <w:r>
              <w:t>Hamilton</w:t>
            </w:r>
          </w:p>
        </w:tc>
        <w:tc>
          <w:tcPr>
            <w:tcW w:w="515" w:type="pct"/>
            <w:noWrap/>
            <w:hideMark/>
          </w:tcPr>
          <w:p w:rsidR="006F545D" w:rsidRDefault="006F545D" w:rsidP="00661D95">
            <w:pPr>
              <w:pStyle w:val="TableText"/>
              <w:jc w:val="center"/>
              <w:cnfStyle w:val="100000000000" w:firstRow="1" w:lastRow="0" w:firstColumn="0" w:lastColumn="0" w:oddVBand="0" w:evenVBand="0" w:oddHBand="0" w:evenHBand="0" w:firstRowFirstColumn="0" w:firstRowLastColumn="0" w:lastRowFirstColumn="0" w:lastRowLastColumn="0"/>
            </w:pPr>
            <w:r>
              <w:t>Nelson</w:t>
            </w:r>
          </w:p>
        </w:tc>
        <w:tc>
          <w:tcPr>
            <w:tcW w:w="701" w:type="pct"/>
            <w:noWrap/>
            <w:hideMark/>
          </w:tcPr>
          <w:p w:rsidR="006F545D" w:rsidRDefault="006F545D" w:rsidP="00661D95">
            <w:pPr>
              <w:pStyle w:val="TableText"/>
              <w:jc w:val="center"/>
              <w:cnfStyle w:val="100000000000" w:firstRow="1" w:lastRow="0" w:firstColumn="0" w:lastColumn="0" w:oddVBand="0" w:evenVBand="0" w:oddHBand="0" w:evenHBand="0" w:firstRowFirstColumn="0" w:firstRowLastColumn="0" w:lastRowFirstColumn="0" w:lastRowLastColumn="0"/>
            </w:pPr>
            <w:r>
              <w:t>Palmerston North</w:t>
            </w:r>
          </w:p>
        </w:tc>
      </w:tr>
      <w:tr w:rsidR="00823541" w:rsidTr="00823541">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2672" w:type="pct"/>
            <w:gridSpan w:val="3"/>
            <w:noWrap/>
            <w:hideMark/>
          </w:tcPr>
          <w:p w:rsidR="00823541" w:rsidRPr="00823541" w:rsidRDefault="00823541" w:rsidP="00661D95">
            <w:pPr>
              <w:pStyle w:val="TableText"/>
              <w:rPr>
                <w:b/>
                <w:sz w:val="20"/>
                <w:szCs w:val="20"/>
              </w:rPr>
            </w:pPr>
            <w:r w:rsidRPr="00823541">
              <w:rPr>
                <w:b/>
              </w:rPr>
              <w:t>Weighted average land values ($m/ha)</w:t>
            </w:r>
          </w:p>
        </w:tc>
        <w:tc>
          <w:tcPr>
            <w:tcW w:w="563" w:type="pct"/>
            <w:gridSpan w:val="2"/>
            <w:noWrap/>
            <w:hideMark/>
          </w:tcPr>
          <w:p w:rsidR="00823541" w:rsidRDefault="00823541" w:rsidP="00661D95">
            <w:pPr>
              <w:pStyle w:val="TableTex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549" w:type="pct"/>
            <w:noWrap/>
            <w:hideMark/>
          </w:tcPr>
          <w:p w:rsidR="00823541" w:rsidRDefault="00823541" w:rsidP="00661D95">
            <w:pPr>
              <w:pStyle w:val="TableTex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515" w:type="pct"/>
            <w:noWrap/>
            <w:hideMark/>
          </w:tcPr>
          <w:p w:rsidR="00823541" w:rsidRDefault="00823541" w:rsidP="00661D95">
            <w:pPr>
              <w:pStyle w:val="TableTex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701" w:type="pct"/>
            <w:noWrap/>
            <w:hideMark/>
          </w:tcPr>
          <w:p w:rsidR="00823541" w:rsidRDefault="00823541" w:rsidP="00661D95">
            <w:pPr>
              <w:pStyle w:val="TableText"/>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823541" w:rsidRPr="00823541" w:rsidTr="00823541">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1387" w:type="pct"/>
            <w:noWrap/>
            <w:hideMark/>
          </w:tcPr>
          <w:p w:rsidR="00823541" w:rsidRDefault="00823541" w:rsidP="006F545D">
            <w:pPr>
              <w:pStyle w:val="TableText"/>
            </w:pPr>
            <w:r>
              <w:t>Inside urban boundary (2km distance)</w:t>
            </w:r>
          </w:p>
        </w:tc>
        <w:tc>
          <w:tcPr>
            <w:tcW w:w="600" w:type="pct"/>
            <w:noWrap/>
            <w:vAlign w:val="bottom"/>
            <w:hideMark/>
          </w:tcPr>
          <w:p w:rsidR="00823541" w:rsidRPr="00823541" w:rsidRDefault="00823541" w:rsidP="00661D95">
            <w:pPr>
              <w:pStyle w:val="TableText"/>
              <w:jc w:val="center"/>
              <w:cnfStyle w:val="000000000000" w:firstRow="0" w:lastRow="0" w:firstColumn="0" w:lastColumn="0" w:oddVBand="0" w:evenVBand="0" w:oddHBand="0" w:evenHBand="0" w:firstRowFirstColumn="0" w:firstRowLastColumn="0" w:lastRowFirstColumn="0" w:lastRowLastColumn="0"/>
            </w:pPr>
            <w:r w:rsidRPr="00823541">
              <w:t>$2.90</w:t>
            </w:r>
          </w:p>
        </w:tc>
        <w:tc>
          <w:tcPr>
            <w:tcW w:w="685" w:type="pct"/>
            <w:noWrap/>
            <w:vAlign w:val="bottom"/>
            <w:hideMark/>
          </w:tcPr>
          <w:p w:rsidR="00823541" w:rsidRPr="00823541" w:rsidRDefault="00823541" w:rsidP="00661D95">
            <w:pPr>
              <w:pStyle w:val="TableText"/>
              <w:jc w:val="center"/>
              <w:cnfStyle w:val="000000000000" w:firstRow="0" w:lastRow="0" w:firstColumn="0" w:lastColumn="0" w:oddVBand="0" w:evenVBand="0" w:oddHBand="0" w:evenHBand="0" w:firstRowFirstColumn="0" w:firstRowLastColumn="0" w:lastRowFirstColumn="0" w:lastRowLastColumn="0"/>
            </w:pPr>
            <w:r w:rsidRPr="00823541">
              <w:t>$2.92</w:t>
            </w:r>
          </w:p>
        </w:tc>
        <w:tc>
          <w:tcPr>
            <w:tcW w:w="563" w:type="pct"/>
            <w:gridSpan w:val="2"/>
            <w:noWrap/>
            <w:vAlign w:val="bottom"/>
            <w:hideMark/>
          </w:tcPr>
          <w:p w:rsidR="00823541" w:rsidRPr="00823541" w:rsidRDefault="00823541" w:rsidP="00661D95">
            <w:pPr>
              <w:pStyle w:val="TableText"/>
              <w:jc w:val="center"/>
              <w:cnfStyle w:val="000000000000" w:firstRow="0" w:lastRow="0" w:firstColumn="0" w:lastColumn="0" w:oddVBand="0" w:evenVBand="0" w:oddHBand="0" w:evenHBand="0" w:firstRowFirstColumn="0" w:firstRowLastColumn="0" w:lastRowFirstColumn="0" w:lastRowLastColumn="0"/>
            </w:pPr>
            <w:r w:rsidRPr="00823541">
              <w:t>$3.07</w:t>
            </w:r>
          </w:p>
        </w:tc>
        <w:tc>
          <w:tcPr>
            <w:tcW w:w="549" w:type="pct"/>
            <w:noWrap/>
            <w:vAlign w:val="bottom"/>
            <w:hideMark/>
          </w:tcPr>
          <w:p w:rsidR="00823541" w:rsidRPr="00823541" w:rsidRDefault="00823541" w:rsidP="00661D95">
            <w:pPr>
              <w:pStyle w:val="TableText"/>
              <w:jc w:val="center"/>
              <w:cnfStyle w:val="000000000000" w:firstRow="0" w:lastRow="0" w:firstColumn="0" w:lastColumn="0" w:oddVBand="0" w:evenVBand="0" w:oddHBand="0" w:evenHBand="0" w:firstRowFirstColumn="0" w:firstRowLastColumn="0" w:lastRowFirstColumn="0" w:lastRowLastColumn="0"/>
            </w:pPr>
            <w:r w:rsidRPr="00823541">
              <w:t>$1.40</w:t>
            </w:r>
          </w:p>
        </w:tc>
        <w:tc>
          <w:tcPr>
            <w:tcW w:w="515" w:type="pct"/>
            <w:noWrap/>
            <w:vAlign w:val="bottom"/>
            <w:hideMark/>
          </w:tcPr>
          <w:p w:rsidR="00823541" w:rsidRPr="00823541" w:rsidRDefault="00823541" w:rsidP="00661D95">
            <w:pPr>
              <w:pStyle w:val="TableText"/>
              <w:jc w:val="center"/>
              <w:cnfStyle w:val="000000000000" w:firstRow="0" w:lastRow="0" w:firstColumn="0" w:lastColumn="0" w:oddVBand="0" w:evenVBand="0" w:oddHBand="0" w:evenHBand="0" w:firstRowFirstColumn="0" w:firstRowLastColumn="0" w:lastRowFirstColumn="0" w:lastRowLastColumn="0"/>
            </w:pPr>
            <w:r w:rsidRPr="00823541">
              <w:t>$2.40</w:t>
            </w:r>
          </w:p>
        </w:tc>
        <w:tc>
          <w:tcPr>
            <w:tcW w:w="701" w:type="pct"/>
            <w:noWrap/>
            <w:vAlign w:val="bottom"/>
            <w:hideMark/>
          </w:tcPr>
          <w:p w:rsidR="00823541" w:rsidRPr="00823541" w:rsidRDefault="00823541" w:rsidP="00661D95">
            <w:pPr>
              <w:pStyle w:val="TableText"/>
              <w:jc w:val="center"/>
              <w:cnfStyle w:val="000000000000" w:firstRow="0" w:lastRow="0" w:firstColumn="0" w:lastColumn="0" w:oddVBand="0" w:evenVBand="0" w:oddHBand="0" w:evenHBand="0" w:firstRowFirstColumn="0" w:firstRowLastColumn="0" w:lastRowFirstColumn="0" w:lastRowLastColumn="0"/>
            </w:pPr>
            <w:r w:rsidRPr="00823541">
              <w:t>$1.82</w:t>
            </w:r>
          </w:p>
        </w:tc>
      </w:tr>
      <w:tr w:rsidR="00823541" w:rsidRPr="00823541" w:rsidTr="00823541">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1387" w:type="pct"/>
            <w:noWrap/>
            <w:hideMark/>
          </w:tcPr>
          <w:p w:rsidR="00823541" w:rsidRDefault="00823541" w:rsidP="006F545D">
            <w:pPr>
              <w:pStyle w:val="TableText"/>
            </w:pPr>
            <w:r>
              <w:t>Outside urban boundary (2km distance)</w:t>
            </w:r>
          </w:p>
        </w:tc>
        <w:tc>
          <w:tcPr>
            <w:tcW w:w="600" w:type="pct"/>
            <w:noWrap/>
            <w:vAlign w:val="bottom"/>
            <w:hideMark/>
          </w:tcPr>
          <w:p w:rsidR="00823541" w:rsidRPr="00823541" w:rsidRDefault="00823541" w:rsidP="00661D95">
            <w:pPr>
              <w:pStyle w:val="TableText"/>
              <w:jc w:val="center"/>
              <w:cnfStyle w:val="000000000000" w:firstRow="0" w:lastRow="0" w:firstColumn="0" w:lastColumn="0" w:oddVBand="0" w:evenVBand="0" w:oddHBand="0" w:evenHBand="0" w:firstRowFirstColumn="0" w:firstRowLastColumn="0" w:lastRowFirstColumn="0" w:lastRowLastColumn="0"/>
            </w:pPr>
            <w:r w:rsidRPr="00823541">
              <w:t>$0.34</w:t>
            </w:r>
          </w:p>
        </w:tc>
        <w:tc>
          <w:tcPr>
            <w:tcW w:w="685" w:type="pct"/>
            <w:noWrap/>
            <w:vAlign w:val="bottom"/>
            <w:hideMark/>
          </w:tcPr>
          <w:p w:rsidR="00823541" w:rsidRPr="00823541" w:rsidRDefault="00823541" w:rsidP="00661D95">
            <w:pPr>
              <w:pStyle w:val="TableText"/>
              <w:jc w:val="center"/>
              <w:cnfStyle w:val="000000000000" w:firstRow="0" w:lastRow="0" w:firstColumn="0" w:lastColumn="0" w:oddVBand="0" w:evenVBand="0" w:oddHBand="0" w:evenHBand="0" w:firstRowFirstColumn="0" w:firstRowLastColumn="0" w:lastRowFirstColumn="0" w:lastRowLastColumn="0"/>
            </w:pPr>
            <w:r w:rsidRPr="00823541">
              <w:t>$0.17</w:t>
            </w:r>
          </w:p>
        </w:tc>
        <w:tc>
          <w:tcPr>
            <w:tcW w:w="563" w:type="pct"/>
            <w:gridSpan w:val="2"/>
            <w:noWrap/>
            <w:vAlign w:val="bottom"/>
            <w:hideMark/>
          </w:tcPr>
          <w:p w:rsidR="00823541" w:rsidRPr="00823541" w:rsidRDefault="00823541" w:rsidP="00661D95">
            <w:pPr>
              <w:pStyle w:val="TableText"/>
              <w:jc w:val="center"/>
              <w:cnfStyle w:val="000000000000" w:firstRow="0" w:lastRow="0" w:firstColumn="0" w:lastColumn="0" w:oddVBand="0" w:evenVBand="0" w:oddHBand="0" w:evenHBand="0" w:firstRowFirstColumn="0" w:firstRowLastColumn="0" w:lastRowFirstColumn="0" w:lastRowLastColumn="0"/>
            </w:pPr>
            <w:r w:rsidRPr="00823541">
              <w:t>$0.26</w:t>
            </w:r>
          </w:p>
        </w:tc>
        <w:tc>
          <w:tcPr>
            <w:tcW w:w="549" w:type="pct"/>
            <w:noWrap/>
            <w:vAlign w:val="bottom"/>
            <w:hideMark/>
          </w:tcPr>
          <w:p w:rsidR="00823541" w:rsidRPr="00823541" w:rsidRDefault="00823541" w:rsidP="00661D95">
            <w:pPr>
              <w:pStyle w:val="TableText"/>
              <w:jc w:val="center"/>
              <w:cnfStyle w:val="000000000000" w:firstRow="0" w:lastRow="0" w:firstColumn="0" w:lastColumn="0" w:oddVBand="0" w:evenVBand="0" w:oddHBand="0" w:evenHBand="0" w:firstRowFirstColumn="0" w:firstRowLastColumn="0" w:lastRowFirstColumn="0" w:lastRowLastColumn="0"/>
            </w:pPr>
            <w:r w:rsidRPr="00823541">
              <w:t>$0.19</w:t>
            </w:r>
          </w:p>
        </w:tc>
        <w:tc>
          <w:tcPr>
            <w:tcW w:w="515" w:type="pct"/>
            <w:noWrap/>
            <w:vAlign w:val="bottom"/>
            <w:hideMark/>
          </w:tcPr>
          <w:p w:rsidR="00823541" w:rsidRPr="00823541" w:rsidRDefault="00823541" w:rsidP="00661D95">
            <w:pPr>
              <w:pStyle w:val="TableText"/>
              <w:jc w:val="center"/>
              <w:cnfStyle w:val="000000000000" w:firstRow="0" w:lastRow="0" w:firstColumn="0" w:lastColumn="0" w:oddVBand="0" w:evenVBand="0" w:oddHBand="0" w:evenHBand="0" w:firstRowFirstColumn="0" w:firstRowLastColumn="0" w:lastRowFirstColumn="0" w:lastRowLastColumn="0"/>
            </w:pPr>
            <w:r w:rsidRPr="00823541">
              <w:t>$0.20</w:t>
            </w:r>
          </w:p>
        </w:tc>
        <w:tc>
          <w:tcPr>
            <w:tcW w:w="701" w:type="pct"/>
            <w:noWrap/>
            <w:vAlign w:val="bottom"/>
            <w:hideMark/>
          </w:tcPr>
          <w:p w:rsidR="00823541" w:rsidRPr="00823541" w:rsidRDefault="00823541" w:rsidP="00661D95">
            <w:pPr>
              <w:pStyle w:val="TableText"/>
              <w:jc w:val="center"/>
              <w:cnfStyle w:val="000000000000" w:firstRow="0" w:lastRow="0" w:firstColumn="0" w:lastColumn="0" w:oddVBand="0" w:evenVBand="0" w:oddHBand="0" w:evenHBand="0" w:firstRowFirstColumn="0" w:firstRowLastColumn="0" w:lastRowFirstColumn="0" w:lastRowLastColumn="0"/>
            </w:pPr>
            <w:r w:rsidRPr="00823541">
              <w:t>$0.13</w:t>
            </w:r>
          </w:p>
        </w:tc>
      </w:tr>
      <w:tr w:rsidR="00823541" w:rsidRPr="00823541" w:rsidTr="00823541">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1387" w:type="pct"/>
            <w:tcBorders>
              <w:bottom w:val="single" w:sz="8" w:space="0" w:color="A6A6A6" w:themeColor="background1" w:themeShade="A6"/>
            </w:tcBorders>
            <w:noWrap/>
            <w:hideMark/>
          </w:tcPr>
          <w:p w:rsidR="00823541" w:rsidRDefault="00823541" w:rsidP="006F545D">
            <w:pPr>
              <w:pStyle w:val="TableText"/>
            </w:pPr>
            <w:r>
              <w:t>Difference</w:t>
            </w:r>
          </w:p>
        </w:tc>
        <w:tc>
          <w:tcPr>
            <w:tcW w:w="600" w:type="pct"/>
            <w:tcBorders>
              <w:bottom w:val="single" w:sz="8" w:space="0" w:color="A6A6A6" w:themeColor="background1" w:themeShade="A6"/>
            </w:tcBorders>
            <w:noWrap/>
            <w:vAlign w:val="bottom"/>
            <w:hideMark/>
          </w:tcPr>
          <w:p w:rsidR="00823541" w:rsidRPr="00823541" w:rsidRDefault="00823541" w:rsidP="00661D95">
            <w:pPr>
              <w:pStyle w:val="TableText"/>
              <w:jc w:val="center"/>
              <w:cnfStyle w:val="000000000000" w:firstRow="0" w:lastRow="0" w:firstColumn="0" w:lastColumn="0" w:oddVBand="0" w:evenVBand="0" w:oddHBand="0" w:evenHBand="0" w:firstRowFirstColumn="0" w:firstRowLastColumn="0" w:lastRowFirstColumn="0" w:lastRowLastColumn="0"/>
            </w:pPr>
            <w:r w:rsidRPr="00823541">
              <w:t>$2.56</w:t>
            </w:r>
          </w:p>
        </w:tc>
        <w:tc>
          <w:tcPr>
            <w:tcW w:w="685" w:type="pct"/>
            <w:tcBorders>
              <w:bottom w:val="single" w:sz="8" w:space="0" w:color="A6A6A6" w:themeColor="background1" w:themeShade="A6"/>
            </w:tcBorders>
            <w:noWrap/>
            <w:vAlign w:val="bottom"/>
            <w:hideMark/>
          </w:tcPr>
          <w:p w:rsidR="00823541" w:rsidRPr="00823541" w:rsidRDefault="00823541" w:rsidP="00661D95">
            <w:pPr>
              <w:pStyle w:val="TableText"/>
              <w:jc w:val="center"/>
              <w:cnfStyle w:val="000000000000" w:firstRow="0" w:lastRow="0" w:firstColumn="0" w:lastColumn="0" w:oddVBand="0" w:evenVBand="0" w:oddHBand="0" w:evenHBand="0" w:firstRowFirstColumn="0" w:firstRowLastColumn="0" w:lastRowFirstColumn="0" w:lastRowLastColumn="0"/>
            </w:pPr>
            <w:r w:rsidRPr="00823541">
              <w:t>$2.75</w:t>
            </w:r>
          </w:p>
        </w:tc>
        <w:tc>
          <w:tcPr>
            <w:tcW w:w="563" w:type="pct"/>
            <w:gridSpan w:val="2"/>
            <w:tcBorders>
              <w:bottom w:val="single" w:sz="8" w:space="0" w:color="A6A6A6" w:themeColor="background1" w:themeShade="A6"/>
            </w:tcBorders>
            <w:noWrap/>
            <w:vAlign w:val="bottom"/>
            <w:hideMark/>
          </w:tcPr>
          <w:p w:rsidR="00823541" w:rsidRPr="00823541" w:rsidRDefault="00823541" w:rsidP="00661D95">
            <w:pPr>
              <w:pStyle w:val="TableText"/>
              <w:jc w:val="center"/>
              <w:cnfStyle w:val="000000000000" w:firstRow="0" w:lastRow="0" w:firstColumn="0" w:lastColumn="0" w:oddVBand="0" w:evenVBand="0" w:oddHBand="0" w:evenHBand="0" w:firstRowFirstColumn="0" w:firstRowLastColumn="0" w:lastRowFirstColumn="0" w:lastRowLastColumn="0"/>
            </w:pPr>
            <w:r w:rsidRPr="00823541">
              <w:t>$2.81</w:t>
            </w:r>
          </w:p>
        </w:tc>
        <w:tc>
          <w:tcPr>
            <w:tcW w:w="549" w:type="pct"/>
            <w:tcBorders>
              <w:bottom w:val="single" w:sz="8" w:space="0" w:color="A6A6A6" w:themeColor="background1" w:themeShade="A6"/>
            </w:tcBorders>
            <w:noWrap/>
            <w:vAlign w:val="bottom"/>
            <w:hideMark/>
          </w:tcPr>
          <w:p w:rsidR="00823541" w:rsidRPr="00823541" w:rsidRDefault="00823541" w:rsidP="00661D95">
            <w:pPr>
              <w:pStyle w:val="TableText"/>
              <w:jc w:val="center"/>
              <w:cnfStyle w:val="000000000000" w:firstRow="0" w:lastRow="0" w:firstColumn="0" w:lastColumn="0" w:oddVBand="0" w:evenVBand="0" w:oddHBand="0" w:evenHBand="0" w:firstRowFirstColumn="0" w:firstRowLastColumn="0" w:lastRowFirstColumn="0" w:lastRowLastColumn="0"/>
            </w:pPr>
            <w:r w:rsidRPr="00823541">
              <w:t>$1.21</w:t>
            </w:r>
          </w:p>
        </w:tc>
        <w:tc>
          <w:tcPr>
            <w:tcW w:w="515" w:type="pct"/>
            <w:tcBorders>
              <w:bottom w:val="single" w:sz="8" w:space="0" w:color="A6A6A6" w:themeColor="background1" w:themeShade="A6"/>
            </w:tcBorders>
            <w:noWrap/>
            <w:vAlign w:val="bottom"/>
            <w:hideMark/>
          </w:tcPr>
          <w:p w:rsidR="00823541" w:rsidRPr="00823541" w:rsidRDefault="00823541" w:rsidP="00661D95">
            <w:pPr>
              <w:pStyle w:val="TableText"/>
              <w:jc w:val="center"/>
              <w:cnfStyle w:val="000000000000" w:firstRow="0" w:lastRow="0" w:firstColumn="0" w:lastColumn="0" w:oddVBand="0" w:evenVBand="0" w:oddHBand="0" w:evenHBand="0" w:firstRowFirstColumn="0" w:firstRowLastColumn="0" w:lastRowFirstColumn="0" w:lastRowLastColumn="0"/>
            </w:pPr>
            <w:r w:rsidRPr="00823541">
              <w:t>$2.20</w:t>
            </w:r>
          </w:p>
        </w:tc>
        <w:tc>
          <w:tcPr>
            <w:tcW w:w="701" w:type="pct"/>
            <w:tcBorders>
              <w:bottom w:val="single" w:sz="8" w:space="0" w:color="A6A6A6" w:themeColor="background1" w:themeShade="A6"/>
            </w:tcBorders>
            <w:noWrap/>
            <w:vAlign w:val="bottom"/>
            <w:hideMark/>
          </w:tcPr>
          <w:p w:rsidR="00823541" w:rsidRPr="00823541" w:rsidRDefault="00823541" w:rsidP="00661D95">
            <w:pPr>
              <w:pStyle w:val="TableText"/>
              <w:jc w:val="center"/>
              <w:cnfStyle w:val="000000000000" w:firstRow="0" w:lastRow="0" w:firstColumn="0" w:lastColumn="0" w:oddVBand="0" w:evenVBand="0" w:oddHBand="0" w:evenHBand="0" w:firstRowFirstColumn="0" w:firstRowLastColumn="0" w:lastRowFirstColumn="0" w:lastRowLastColumn="0"/>
            </w:pPr>
            <w:r w:rsidRPr="00823541">
              <w:t>$1.69</w:t>
            </w:r>
          </w:p>
        </w:tc>
      </w:tr>
      <w:tr w:rsidR="00823541" w:rsidTr="00823541">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2672" w:type="pct"/>
            <w:gridSpan w:val="3"/>
            <w:tcBorders>
              <w:top w:val="single" w:sz="8" w:space="0" w:color="A6A6A6" w:themeColor="background1" w:themeShade="A6"/>
            </w:tcBorders>
            <w:noWrap/>
            <w:hideMark/>
          </w:tcPr>
          <w:p w:rsidR="00823541" w:rsidRPr="00823541" w:rsidRDefault="00823541" w:rsidP="00661D95">
            <w:pPr>
              <w:pStyle w:val="TableText"/>
              <w:rPr>
                <w:b/>
                <w:sz w:val="20"/>
                <w:szCs w:val="20"/>
              </w:rPr>
            </w:pPr>
            <w:r w:rsidRPr="00823541">
              <w:rPr>
                <w:b/>
              </w:rPr>
              <w:t>Weighted average lot size (m</w:t>
            </w:r>
            <w:r w:rsidRPr="00823541">
              <w:rPr>
                <w:b/>
                <w:vertAlign w:val="superscript"/>
              </w:rPr>
              <w:t>2</w:t>
            </w:r>
            <w:r w:rsidRPr="00823541">
              <w:rPr>
                <w:b/>
              </w:rPr>
              <w:t>/section)</w:t>
            </w:r>
          </w:p>
        </w:tc>
        <w:tc>
          <w:tcPr>
            <w:tcW w:w="563" w:type="pct"/>
            <w:gridSpan w:val="2"/>
            <w:tcBorders>
              <w:top w:val="single" w:sz="8" w:space="0" w:color="A6A6A6" w:themeColor="background1" w:themeShade="A6"/>
            </w:tcBorders>
            <w:noWrap/>
            <w:hideMark/>
          </w:tcPr>
          <w:p w:rsidR="00823541" w:rsidRDefault="00823541" w:rsidP="00661D95">
            <w:pPr>
              <w:pStyle w:val="TableTex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549" w:type="pct"/>
            <w:tcBorders>
              <w:top w:val="single" w:sz="8" w:space="0" w:color="A6A6A6" w:themeColor="background1" w:themeShade="A6"/>
            </w:tcBorders>
            <w:noWrap/>
            <w:hideMark/>
          </w:tcPr>
          <w:p w:rsidR="00823541" w:rsidRDefault="00823541" w:rsidP="00661D95">
            <w:pPr>
              <w:pStyle w:val="TableTex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515" w:type="pct"/>
            <w:tcBorders>
              <w:top w:val="single" w:sz="8" w:space="0" w:color="A6A6A6" w:themeColor="background1" w:themeShade="A6"/>
            </w:tcBorders>
            <w:noWrap/>
            <w:hideMark/>
          </w:tcPr>
          <w:p w:rsidR="00823541" w:rsidRDefault="00823541" w:rsidP="00661D95">
            <w:pPr>
              <w:pStyle w:val="TableTex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701" w:type="pct"/>
            <w:tcBorders>
              <w:top w:val="single" w:sz="8" w:space="0" w:color="A6A6A6" w:themeColor="background1" w:themeShade="A6"/>
            </w:tcBorders>
            <w:noWrap/>
            <w:hideMark/>
          </w:tcPr>
          <w:p w:rsidR="00823541" w:rsidRDefault="00823541" w:rsidP="00661D95">
            <w:pPr>
              <w:pStyle w:val="TableText"/>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823541" w:rsidTr="00823541">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1387" w:type="pct"/>
            <w:noWrap/>
            <w:hideMark/>
          </w:tcPr>
          <w:p w:rsidR="006F545D" w:rsidRDefault="006F545D" w:rsidP="006F545D">
            <w:pPr>
              <w:pStyle w:val="TableText"/>
            </w:pPr>
            <w:r>
              <w:t>Inside urban boundary (2km distance)</w:t>
            </w:r>
          </w:p>
        </w:tc>
        <w:tc>
          <w:tcPr>
            <w:tcW w:w="600" w:type="pct"/>
            <w:noWrap/>
            <w:hideMark/>
          </w:tcPr>
          <w:p w:rsidR="006F545D" w:rsidRDefault="006F545D" w:rsidP="00661D95">
            <w:pPr>
              <w:pStyle w:val="TableText"/>
              <w:jc w:val="center"/>
              <w:cnfStyle w:val="000000000000" w:firstRow="0" w:lastRow="0" w:firstColumn="0" w:lastColumn="0" w:oddVBand="0" w:evenVBand="0" w:oddHBand="0" w:evenHBand="0" w:firstRowFirstColumn="0" w:firstRowLastColumn="0" w:lastRowFirstColumn="0" w:lastRowLastColumn="0"/>
            </w:pPr>
            <w:r>
              <w:t>1,165</w:t>
            </w:r>
          </w:p>
        </w:tc>
        <w:tc>
          <w:tcPr>
            <w:tcW w:w="685" w:type="pct"/>
            <w:noWrap/>
            <w:hideMark/>
          </w:tcPr>
          <w:p w:rsidR="006F545D" w:rsidRDefault="006F545D" w:rsidP="00661D95">
            <w:pPr>
              <w:pStyle w:val="TableText"/>
              <w:jc w:val="center"/>
              <w:cnfStyle w:val="000000000000" w:firstRow="0" w:lastRow="0" w:firstColumn="0" w:lastColumn="0" w:oddVBand="0" w:evenVBand="0" w:oddHBand="0" w:evenHBand="0" w:firstRowFirstColumn="0" w:firstRowLastColumn="0" w:lastRowFirstColumn="0" w:lastRowLastColumn="0"/>
            </w:pPr>
            <w:r>
              <w:t>754</w:t>
            </w:r>
          </w:p>
        </w:tc>
        <w:tc>
          <w:tcPr>
            <w:tcW w:w="563" w:type="pct"/>
            <w:gridSpan w:val="2"/>
            <w:noWrap/>
            <w:hideMark/>
          </w:tcPr>
          <w:p w:rsidR="006F545D" w:rsidRDefault="006F545D" w:rsidP="00661D95">
            <w:pPr>
              <w:pStyle w:val="TableText"/>
              <w:jc w:val="center"/>
              <w:cnfStyle w:val="000000000000" w:firstRow="0" w:lastRow="0" w:firstColumn="0" w:lastColumn="0" w:oddVBand="0" w:evenVBand="0" w:oddHBand="0" w:evenHBand="0" w:firstRowFirstColumn="0" w:firstRowLastColumn="0" w:lastRowFirstColumn="0" w:lastRowLastColumn="0"/>
            </w:pPr>
            <w:r>
              <w:t>753</w:t>
            </w:r>
          </w:p>
        </w:tc>
        <w:tc>
          <w:tcPr>
            <w:tcW w:w="549" w:type="pct"/>
            <w:noWrap/>
            <w:hideMark/>
          </w:tcPr>
          <w:p w:rsidR="006F545D" w:rsidRDefault="006F545D" w:rsidP="00661D95">
            <w:pPr>
              <w:pStyle w:val="TableText"/>
              <w:jc w:val="center"/>
              <w:cnfStyle w:val="000000000000" w:firstRow="0" w:lastRow="0" w:firstColumn="0" w:lastColumn="0" w:oddVBand="0" w:evenVBand="0" w:oddHBand="0" w:evenHBand="0" w:firstRowFirstColumn="0" w:firstRowLastColumn="0" w:lastRowFirstColumn="0" w:lastRowLastColumn="0"/>
            </w:pPr>
            <w:r>
              <w:t>1,101</w:t>
            </w:r>
          </w:p>
        </w:tc>
        <w:tc>
          <w:tcPr>
            <w:tcW w:w="515" w:type="pct"/>
            <w:noWrap/>
            <w:hideMark/>
          </w:tcPr>
          <w:p w:rsidR="006F545D" w:rsidRDefault="006F545D" w:rsidP="00661D95">
            <w:pPr>
              <w:pStyle w:val="TableText"/>
              <w:jc w:val="center"/>
              <w:cnfStyle w:val="000000000000" w:firstRow="0" w:lastRow="0" w:firstColumn="0" w:lastColumn="0" w:oddVBand="0" w:evenVBand="0" w:oddHBand="0" w:evenHBand="0" w:firstRowFirstColumn="0" w:firstRowLastColumn="0" w:lastRowFirstColumn="0" w:lastRowLastColumn="0"/>
            </w:pPr>
            <w:r>
              <w:t>840</w:t>
            </w:r>
          </w:p>
        </w:tc>
        <w:tc>
          <w:tcPr>
            <w:tcW w:w="701" w:type="pct"/>
            <w:noWrap/>
            <w:hideMark/>
          </w:tcPr>
          <w:p w:rsidR="006F545D" w:rsidRDefault="006F545D" w:rsidP="00661D95">
            <w:pPr>
              <w:pStyle w:val="TableText"/>
              <w:jc w:val="center"/>
              <w:cnfStyle w:val="000000000000" w:firstRow="0" w:lastRow="0" w:firstColumn="0" w:lastColumn="0" w:oddVBand="0" w:evenVBand="0" w:oddHBand="0" w:evenHBand="0" w:firstRowFirstColumn="0" w:firstRowLastColumn="0" w:lastRowFirstColumn="0" w:lastRowLastColumn="0"/>
            </w:pPr>
            <w:r>
              <w:t>862</w:t>
            </w:r>
          </w:p>
        </w:tc>
      </w:tr>
      <w:tr w:rsidR="00823541" w:rsidTr="00823541">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1387" w:type="pct"/>
            <w:tcBorders>
              <w:bottom w:val="single" w:sz="8" w:space="0" w:color="A6A6A6" w:themeColor="background1" w:themeShade="A6"/>
            </w:tcBorders>
            <w:noWrap/>
            <w:hideMark/>
          </w:tcPr>
          <w:p w:rsidR="006F545D" w:rsidRDefault="006F545D" w:rsidP="006F545D">
            <w:pPr>
              <w:pStyle w:val="TableText"/>
            </w:pPr>
            <w:r>
              <w:t>Outside urban boundary (2km distance)</w:t>
            </w:r>
          </w:p>
        </w:tc>
        <w:tc>
          <w:tcPr>
            <w:tcW w:w="600" w:type="pct"/>
            <w:tcBorders>
              <w:bottom w:val="single" w:sz="8" w:space="0" w:color="A6A6A6" w:themeColor="background1" w:themeShade="A6"/>
            </w:tcBorders>
            <w:noWrap/>
            <w:hideMark/>
          </w:tcPr>
          <w:p w:rsidR="006F545D" w:rsidRDefault="006F545D" w:rsidP="00661D95">
            <w:pPr>
              <w:pStyle w:val="TableText"/>
              <w:jc w:val="center"/>
              <w:cnfStyle w:val="000000000000" w:firstRow="0" w:lastRow="0" w:firstColumn="0" w:lastColumn="0" w:oddVBand="0" w:evenVBand="0" w:oddHBand="0" w:evenHBand="0" w:firstRowFirstColumn="0" w:firstRowLastColumn="0" w:lastRowFirstColumn="0" w:lastRowLastColumn="0"/>
            </w:pPr>
            <w:r>
              <w:t>16,266</w:t>
            </w:r>
          </w:p>
        </w:tc>
        <w:tc>
          <w:tcPr>
            <w:tcW w:w="685" w:type="pct"/>
            <w:tcBorders>
              <w:bottom w:val="single" w:sz="8" w:space="0" w:color="A6A6A6" w:themeColor="background1" w:themeShade="A6"/>
            </w:tcBorders>
            <w:noWrap/>
            <w:hideMark/>
          </w:tcPr>
          <w:p w:rsidR="006F545D" w:rsidRDefault="006F545D" w:rsidP="00661D95">
            <w:pPr>
              <w:pStyle w:val="TableText"/>
              <w:jc w:val="center"/>
              <w:cnfStyle w:val="000000000000" w:firstRow="0" w:lastRow="0" w:firstColumn="0" w:lastColumn="0" w:oddVBand="0" w:evenVBand="0" w:oddHBand="0" w:evenHBand="0" w:firstRowFirstColumn="0" w:firstRowLastColumn="0" w:lastRowFirstColumn="0" w:lastRowLastColumn="0"/>
            </w:pPr>
            <w:r>
              <w:t>13,866</w:t>
            </w:r>
          </w:p>
        </w:tc>
        <w:tc>
          <w:tcPr>
            <w:tcW w:w="563" w:type="pct"/>
            <w:gridSpan w:val="2"/>
            <w:tcBorders>
              <w:bottom w:val="single" w:sz="8" w:space="0" w:color="A6A6A6" w:themeColor="background1" w:themeShade="A6"/>
            </w:tcBorders>
            <w:noWrap/>
            <w:hideMark/>
          </w:tcPr>
          <w:p w:rsidR="006F545D" w:rsidRDefault="006F545D" w:rsidP="00661D95">
            <w:pPr>
              <w:pStyle w:val="TableText"/>
              <w:jc w:val="center"/>
              <w:cnfStyle w:val="000000000000" w:firstRow="0" w:lastRow="0" w:firstColumn="0" w:lastColumn="0" w:oddVBand="0" w:evenVBand="0" w:oddHBand="0" w:evenHBand="0" w:firstRowFirstColumn="0" w:firstRowLastColumn="0" w:lastRowFirstColumn="0" w:lastRowLastColumn="0"/>
            </w:pPr>
            <w:r>
              <w:t>12,750</w:t>
            </w:r>
          </w:p>
        </w:tc>
        <w:tc>
          <w:tcPr>
            <w:tcW w:w="549" w:type="pct"/>
            <w:tcBorders>
              <w:bottom w:val="single" w:sz="8" w:space="0" w:color="A6A6A6" w:themeColor="background1" w:themeShade="A6"/>
            </w:tcBorders>
            <w:noWrap/>
            <w:hideMark/>
          </w:tcPr>
          <w:p w:rsidR="006F545D" w:rsidRDefault="006F545D" w:rsidP="00661D95">
            <w:pPr>
              <w:pStyle w:val="TableText"/>
              <w:jc w:val="center"/>
              <w:cnfStyle w:val="000000000000" w:firstRow="0" w:lastRow="0" w:firstColumn="0" w:lastColumn="0" w:oddVBand="0" w:evenVBand="0" w:oddHBand="0" w:evenHBand="0" w:firstRowFirstColumn="0" w:firstRowLastColumn="0" w:lastRowFirstColumn="0" w:lastRowLastColumn="0"/>
            </w:pPr>
            <w:r>
              <w:t>14,758</w:t>
            </w:r>
          </w:p>
        </w:tc>
        <w:tc>
          <w:tcPr>
            <w:tcW w:w="515" w:type="pct"/>
            <w:tcBorders>
              <w:bottom w:val="single" w:sz="8" w:space="0" w:color="A6A6A6" w:themeColor="background1" w:themeShade="A6"/>
            </w:tcBorders>
            <w:noWrap/>
            <w:hideMark/>
          </w:tcPr>
          <w:p w:rsidR="006F545D" w:rsidRDefault="006F545D" w:rsidP="00661D95">
            <w:pPr>
              <w:pStyle w:val="TableText"/>
              <w:jc w:val="center"/>
              <w:cnfStyle w:val="000000000000" w:firstRow="0" w:lastRow="0" w:firstColumn="0" w:lastColumn="0" w:oddVBand="0" w:evenVBand="0" w:oddHBand="0" w:evenHBand="0" w:firstRowFirstColumn="0" w:firstRowLastColumn="0" w:lastRowFirstColumn="0" w:lastRowLastColumn="0"/>
            </w:pPr>
            <w:r>
              <w:t>14,192</w:t>
            </w:r>
          </w:p>
        </w:tc>
        <w:tc>
          <w:tcPr>
            <w:tcW w:w="701" w:type="pct"/>
            <w:tcBorders>
              <w:bottom w:val="single" w:sz="8" w:space="0" w:color="A6A6A6" w:themeColor="background1" w:themeShade="A6"/>
            </w:tcBorders>
            <w:noWrap/>
            <w:hideMark/>
          </w:tcPr>
          <w:p w:rsidR="006F545D" w:rsidRDefault="006F545D" w:rsidP="00661D95">
            <w:pPr>
              <w:pStyle w:val="TableText"/>
              <w:jc w:val="center"/>
              <w:cnfStyle w:val="000000000000" w:firstRow="0" w:lastRow="0" w:firstColumn="0" w:lastColumn="0" w:oddVBand="0" w:evenVBand="0" w:oddHBand="0" w:evenHBand="0" w:firstRowFirstColumn="0" w:firstRowLastColumn="0" w:lastRowFirstColumn="0" w:lastRowLastColumn="0"/>
            </w:pPr>
            <w:r>
              <w:t>14,253</w:t>
            </w:r>
          </w:p>
        </w:tc>
      </w:tr>
      <w:tr w:rsidR="00823541" w:rsidTr="00823541">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3235" w:type="pct"/>
            <w:gridSpan w:val="5"/>
            <w:tcBorders>
              <w:top w:val="single" w:sz="8" w:space="0" w:color="A6A6A6" w:themeColor="background1" w:themeShade="A6"/>
            </w:tcBorders>
            <w:noWrap/>
            <w:hideMark/>
          </w:tcPr>
          <w:p w:rsidR="00823541" w:rsidRDefault="00823541" w:rsidP="00661D95">
            <w:pPr>
              <w:pStyle w:val="TableText"/>
              <w:rPr>
                <w:sz w:val="20"/>
                <w:szCs w:val="20"/>
              </w:rPr>
            </w:pPr>
            <w:r w:rsidRPr="00823541">
              <w:rPr>
                <w:b/>
              </w:rPr>
              <w:t>Estimated land development costs</w:t>
            </w:r>
          </w:p>
        </w:tc>
        <w:tc>
          <w:tcPr>
            <w:tcW w:w="549" w:type="pct"/>
            <w:tcBorders>
              <w:top w:val="single" w:sz="8" w:space="0" w:color="A6A6A6" w:themeColor="background1" w:themeShade="A6"/>
            </w:tcBorders>
            <w:noWrap/>
            <w:hideMark/>
          </w:tcPr>
          <w:p w:rsidR="00823541" w:rsidRDefault="00823541" w:rsidP="00661D95">
            <w:pPr>
              <w:pStyle w:val="TableTex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515" w:type="pct"/>
            <w:tcBorders>
              <w:top w:val="single" w:sz="8" w:space="0" w:color="A6A6A6" w:themeColor="background1" w:themeShade="A6"/>
            </w:tcBorders>
            <w:noWrap/>
            <w:hideMark/>
          </w:tcPr>
          <w:p w:rsidR="00823541" w:rsidRDefault="00823541" w:rsidP="00661D95">
            <w:pPr>
              <w:pStyle w:val="TableTex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701" w:type="pct"/>
            <w:tcBorders>
              <w:top w:val="single" w:sz="8" w:space="0" w:color="A6A6A6" w:themeColor="background1" w:themeShade="A6"/>
            </w:tcBorders>
            <w:noWrap/>
            <w:hideMark/>
          </w:tcPr>
          <w:p w:rsidR="00823541" w:rsidRDefault="00823541" w:rsidP="00661D95">
            <w:pPr>
              <w:pStyle w:val="TableText"/>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823541" w:rsidTr="00823541">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1387" w:type="pct"/>
            <w:noWrap/>
            <w:hideMark/>
          </w:tcPr>
          <w:p w:rsidR="006F545D" w:rsidRDefault="006F545D" w:rsidP="00661D95">
            <w:pPr>
              <w:pStyle w:val="TableText"/>
            </w:pPr>
            <w:r>
              <w:t>Costs per site ($</w:t>
            </w:r>
            <w:r w:rsidR="00661D95">
              <w:t>’000</w:t>
            </w:r>
            <w:r>
              <w:t>)</w:t>
            </w:r>
          </w:p>
        </w:tc>
        <w:tc>
          <w:tcPr>
            <w:tcW w:w="600" w:type="pct"/>
            <w:noWrap/>
            <w:hideMark/>
          </w:tcPr>
          <w:p w:rsidR="006F545D" w:rsidRDefault="006F545D" w:rsidP="00661D95">
            <w:pPr>
              <w:pStyle w:val="TableText"/>
              <w:jc w:val="center"/>
              <w:cnfStyle w:val="000000000000" w:firstRow="0" w:lastRow="0" w:firstColumn="0" w:lastColumn="0" w:oddVBand="0" w:evenVBand="0" w:oddHBand="0" w:evenHBand="0" w:firstRowFirstColumn="0" w:firstRowLastColumn="0" w:lastRowFirstColumn="0" w:lastRowLastColumn="0"/>
            </w:pPr>
            <w:r>
              <w:t>$120</w:t>
            </w:r>
          </w:p>
        </w:tc>
        <w:tc>
          <w:tcPr>
            <w:tcW w:w="762" w:type="pct"/>
            <w:gridSpan w:val="2"/>
            <w:noWrap/>
            <w:hideMark/>
          </w:tcPr>
          <w:p w:rsidR="006F545D" w:rsidRDefault="006F545D" w:rsidP="00661D95">
            <w:pPr>
              <w:pStyle w:val="TableText"/>
              <w:jc w:val="center"/>
              <w:cnfStyle w:val="000000000000" w:firstRow="0" w:lastRow="0" w:firstColumn="0" w:lastColumn="0" w:oddVBand="0" w:evenVBand="0" w:oddHBand="0" w:evenHBand="0" w:firstRowFirstColumn="0" w:firstRowLastColumn="0" w:lastRowFirstColumn="0" w:lastRowLastColumn="0"/>
            </w:pPr>
            <w:r>
              <w:t>$100</w:t>
            </w:r>
          </w:p>
        </w:tc>
        <w:tc>
          <w:tcPr>
            <w:tcW w:w="486" w:type="pct"/>
            <w:noWrap/>
            <w:hideMark/>
          </w:tcPr>
          <w:p w:rsidR="006F545D" w:rsidRDefault="006F545D" w:rsidP="00661D95">
            <w:pPr>
              <w:pStyle w:val="TableText"/>
              <w:jc w:val="center"/>
              <w:cnfStyle w:val="000000000000" w:firstRow="0" w:lastRow="0" w:firstColumn="0" w:lastColumn="0" w:oddVBand="0" w:evenVBand="0" w:oddHBand="0" w:evenHBand="0" w:firstRowFirstColumn="0" w:firstRowLastColumn="0" w:lastRowFirstColumn="0" w:lastRowLastColumn="0"/>
            </w:pPr>
            <w:r>
              <w:t>$120</w:t>
            </w:r>
          </w:p>
        </w:tc>
        <w:tc>
          <w:tcPr>
            <w:tcW w:w="549" w:type="pct"/>
            <w:noWrap/>
            <w:hideMark/>
          </w:tcPr>
          <w:p w:rsidR="006F545D" w:rsidRDefault="006F545D" w:rsidP="00661D95">
            <w:pPr>
              <w:pStyle w:val="TableText"/>
              <w:jc w:val="center"/>
              <w:cnfStyle w:val="000000000000" w:firstRow="0" w:lastRow="0" w:firstColumn="0" w:lastColumn="0" w:oddVBand="0" w:evenVBand="0" w:oddHBand="0" w:evenHBand="0" w:firstRowFirstColumn="0" w:firstRowLastColumn="0" w:lastRowFirstColumn="0" w:lastRowLastColumn="0"/>
            </w:pPr>
            <w:r>
              <w:t>$100</w:t>
            </w:r>
          </w:p>
        </w:tc>
        <w:tc>
          <w:tcPr>
            <w:tcW w:w="515" w:type="pct"/>
            <w:noWrap/>
            <w:hideMark/>
          </w:tcPr>
          <w:p w:rsidR="006F545D" w:rsidRDefault="006F545D" w:rsidP="00661D95">
            <w:pPr>
              <w:pStyle w:val="TableText"/>
              <w:jc w:val="center"/>
              <w:cnfStyle w:val="000000000000" w:firstRow="0" w:lastRow="0" w:firstColumn="0" w:lastColumn="0" w:oddVBand="0" w:evenVBand="0" w:oddHBand="0" w:evenHBand="0" w:firstRowFirstColumn="0" w:firstRowLastColumn="0" w:lastRowFirstColumn="0" w:lastRowLastColumn="0"/>
            </w:pPr>
            <w:r>
              <w:t>$100</w:t>
            </w:r>
          </w:p>
        </w:tc>
        <w:tc>
          <w:tcPr>
            <w:tcW w:w="701" w:type="pct"/>
            <w:noWrap/>
            <w:hideMark/>
          </w:tcPr>
          <w:p w:rsidR="006F545D" w:rsidRDefault="006F545D" w:rsidP="00661D95">
            <w:pPr>
              <w:pStyle w:val="TableText"/>
              <w:jc w:val="center"/>
              <w:cnfStyle w:val="000000000000" w:firstRow="0" w:lastRow="0" w:firstColumn="0" w:lastColumn="0" w:oddVBand="0" w:evenVBand="0" w:oddHBand="0" w:evenHBand="0" w:firstRowFirstColumn="0" w:firstRowLastColumn="0" w:lastRowFirstColumn="0" w:lastRowLastColumn="0"/>
            </w:pPr>
            <w:r>
              <w:t>$100</w:t>
            </w:r>
          </w:p>
        </w:tc>
      </w:tr>
      <w:tr w:rsidR="00823541" w:rsidTr="00823541">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1387" w:type="pct"/>
            <w:noWrap/>
            <w:hideMark/>
          </w:tcPr>
          <w:p w:rsidR="00823541" w:rsidRDefault="00823541" w:rsidP="006F545D">
            <w:pPr>
              <w:pStyle w:val="TableText"/>
            </w:pPr>
            <w:r>
              <w:t>Total costs ($m/ha)</w:t>
            </w:r>
          </w:p>
        </w:tc>
        <w:tc>
          <w:tcPr>
            <w:tcW w:w="600" w:type="pct"/>
            <w:noWrap/>
            <w:vAlign w:val="bottom"/>
            <w:hideMark/>
          </w:tcPr>
          <w:p w:rsidR="00823541" w:rsidRPr="00823541" w:rsidRDefault="00823541" w:rsidP="00661D95">
            <w:pPr>
              <w:pStyle w:val="TableText"/>
              <w:jc w:val="center"/>
              <w:cnfStyle w:val="000000000000" w:firstRow="0" w:lastRow="0" w:firstColumn="0" w:lastColumn="0" w:oddVBand="0" w:evenVBand="0" w:oddHBand="0" w:evenHBand="0" w:firstRowFirstColumn="0" w:firstRowLastColumn="0" w:lastRowFirstColumn="0" w:lastRowLastColumn="0"/>
            </w:pPr>
            <w:r w:rsidRPr="00823541">
              <w:t>$0.96</w:t>
            </w:r>
          </w:p>
        </w:tc>
        <w:tc>
          <w:tcPr>
            <w:tcW w:w="762" w:type="pct"/>
            <w:gridSpan w:val="2"/>
            <w:noWrap/>
            <w:vAlign w:val="bottom"/>
            <w:hideMark/>
          </w:tcPr>
          <w:p w:rsidR="00823541" w:rsidRPr="00823541" w:rsidRDefault="00823541" w:rsidP="00661D95">
            <w:pPr>
              <w:pStyle w:val="TableText"/>
              <w:jc w:val="center"/>
              <w:cnfStyle w:val="000000000000" w:firstRow="0" w:lastRow="0" w:firstColumn="0" w:lastColumn="0" w:oddVBand="0" w:evenVBand="0" w:oddHBand="0" w:evenHBand="0" w:firstRowFirstColumn="0" w:firstRowLastColumn="0" w:lastRowFirstColumn="0" w:lastRowLastColumn="0"/>
            </w:pPr>
            <w:r w:rsidRPr="00823541">
              <w:t>$1.25</w:t>
            </w:r>
          </w:p>
        </w:tc>
        <w:tc>
          <w:tcPr>
            <w:tcW w:w="486" w:type="pct"/>
            <w:noWrap/>
            <w:vAlign w:val="bottom"/>
            <w:hideMark/>
          </w:tcPr>
          <w:p w:rsidR="00823541" w:rsidRPr="00823541" w:rsidRDefault="00823541" w:rsidP="00661D95">
            <w:pPr>
              <w:pStyle w:val="TableText"/>
              <w:jc w:val="center"/>
              <w:cnfStyle w:val="000000000000" w:firstRow="0" w:lastRow="0" w:firstColumn="0" w:lastColumn="0" w:oddVBand="0" w:evenVBand="0" w:oddHBand="0" w:evenHBand="0" w:firstRowFirstColumn="0" w:firstRowLastColumn="0" w:lastRowFirstColumn="0" w:lastRowLastColumn="0"/>
            </w:pPr>
            <w:r w:rsidRPr="00823541">
              <w:t>$1.50</w:t>
            </w:r>
          </w:p>
        </w:tc>
        <w:tc>
          <w:tcPr>
            <w:tcW w:w="549" w:type="pct"/>
            <w:noWrap/>
            <w:vAlign w:val="bottom"/>
            <w:hideMark/>
          </w:tcPr>
          <w:p w:rsidR="00823541" w:rsidRPr="00823541" w:rsidRDefault="00823541" w:rsidP="00661D95">
            <w:pPr>
              <w:pStyle w:val="TableText"/>
              <w:jc w:val="center"/>
              <w:cnfStyle w:val="000000000000" w:firstRow="0" w:lastRow="0" w:firstColumn="0" w:lastColumn="0" w:oddVBand="0" w:evenVBand="0" w:oddHBand="0" w:evenHBand="0" w:firstRowFirstColumn="0" w:firstRowLastColumn="0" w:lastRowFirstColumn="0" w:lastRowLastColumn="0"/>
            </w:pPr>
            <w:r w:rsidRPr="00823541">
              <w:t>$0.84</w:t>
            </w:r>
          </w:p>
        </w:tc>
        <w:tc>
          <w:tcPr>
            <w:tcW w:w="515" w:type="pct"/>
            <w:noWrap/>
            <w:vAlign w:val="bottom"/>
            <w:hideMark/>
          </w:tcPr>
          <w:p w:rsidR="00823541" w:rsidRPr="00823541" w:rsidRDefault="00823541" w:rsidP="00661D95">
            <w:pPr>
              <w:pStyle w:val="TableText"/>
              <w:jc w:val="center"/>
              <w:cnfStyle w:val="000000000000" w:firstRow="0" w:lastRow="0" w:firstColumn="0" w:lastColumn="0" w:oddVBand="0" w:evenVBand="0" w:oddHBand="0" w:evenHBand="0" w:firstRowFirstColumn="0" w:firstRowLastColumn="0" w:lastRowFirstColumn="0" w:lastRowLastColumn="0"/>
            </w:pPr>
            <w:r w:rsidRPr="00823541">
              <w:t>$1.12</w:t>
            </w:r>
          </w:p>
        </w:tc>
        <w:tc>
          <w:tcPr>
            <w:tcW w:w="701" w:type="pct"/>
            <w:noWrap/>
            <w:vAlign w:val="bottom"/>
            <w:hideMark/>
          </w:tcPr>
          <w:p w:rsidR="00823541" w:rsidRPr="00823541" w:rsidRDefault="00823541" w:rsidP="00661D95">
            <w:pPr>
              <w:pStyle w:val="TableText"/>
              <w:jc w:val="center"/>
              <w:cnfStyle w:val="000000000000" w:firstRow="0" w:lastRow="0" w:firstColumn="0" w:lastColumn="0" w:oddVBand="0" w:evenVBand="0" w:oddHBand="0" w:evenHBand="0" w:firstRowFirstColumn="0" w:firstRowLastColumn="0" w:lastRowFirstColumn="0" w:lastRowLastColumn="0"/>
            </w:pPr>
            <w:r w:rsidRPr="00823541">
              <w:t>$1.09</w:t>
            </w:r>
          </w:p>
        </w:tc>
      </w:tr>
      <w:tr w:rsidR="00823541" w:rsidTr="00823541">
        <w:tblPrEx>
          <w:tblCellMar>
            <w:top w:w="0" w:type="dxa"/>
            <w:left w:w="0" w:type="dxa"/>
            <w:bottom w:w="0" w:type="dxa"/>
            <w:right w:w="0" w:type="dxa"/>
          </w:tblCellMar>
        </w:tblPrEx>
        <w:trPr>
          <w:cnfStyle w:val="010000000000" w:firstRow="0" w:lastRow="1" w:firstColumn="0" w:lastColumn="0" w:oddVBand="0" w:evenVBand="0" w:oddHBand="0" w:evenHBand="0" w:firstRowFirstColumn="0" w:firstRowLastColumn="0" w:lastRowFirstColumn="0" w:lastRowLastColumn="0"/>
          <w:trHeight w:val="640"/>
        </w:trPr>
        <w:tc>
          <w:tcPr>
            <w:cnfStyle w:val="001000000001" w:firstRow="0" w:lastRow="0" w:firstColumn="1" w:lastColumn="0" w:oddVBand="0" w:evenVBand="0" w:oddHBand="0" w:evenHBand="0" w:firstRowFirstColumn="0" w:firstRowLastColumn="0" w:lastRowFirstColumn="1" w:lastRowLastColumn="0"/>
            <w:tcW w:w="1387" w:type="pct"/>
            <w:hideMark/>
          </w:tcPr>
          <w:p w:rsidR="006F545D" w:rsidRDefault="006F545D" w:rsidP="006F545D">
            <w:pPr>
              <w:pStyle w:val="TableText"/>
            </w:pPr>
            <w:r>
              <w:t>Share of price discontinuity "explained" by land development costs</w:t>
            </w:r>
          </w:p>
        </w:tc>
        <w:tc>
          <w:tcPr>
            <w:tcW w:w="600" w:type="pct"/>
            <w:noWrap/>
            <w:hideMark/>
          </w:tcPr>
          <w:p w:rsidR="006F545D" w:rsidRDefault="006F545D" w:rsidP="00661D95">
            <w:pPr>
              <w:pStyle w:val="TableText"/>
              <w:jc w:val="center"/>
              <w:cnfStyle w:val="010000000000" w:firstRow="0" w:lastRow="1" w:firstColumn="0" w:lastColumn="0" w:oddVBand="0" w:evenVBand="0" w:oddHBand="0" w:evenHBand="0" w:firstRowFirstColumn="0" w:firstRowLastColumn="0" w:lastRowFirstColumn="0" w:lastRowLastColumn="0"/>
            </w:pPr>
            <w:r>
              <w:t>37%</w:t>
            </w:r>
          </w:p>
        </w:tc>
        <w:tc>
          <w:tcPr>
            <w:tcW w:w="762" w:type="pct"/>
            <w:gridSpan w:val="2"/>
            <w:noWrap/>
            <w:hideMark/>
          </w:tcPr>
          <w:p w:rsidR="006F545D" w:rsidRDefault="006F545D" w:rsidP="00661D95">
            <w:pPr>
              <w:pStyle w:val="TableText"/>
              <w:jc w:val="center"/>
              <w:cnfStyle w:val="010000000000" w:firstRow="0" w:lastRow="1" w:firstColumn="0" w:lastColumn="0" w:oddVBand="0" w:evenVBand="0" w:oddHBand="0" w:evenHBand="0" w:firstRowFirstColumn="0" w:firstRowLastColumn="0" w:lastRowFirstColumn="0" w:lastRowLastColumn="0"/>
            </w:pPr>
            <w:r>
              <w:t>46%</w:t>
            </w:r>
          </w:p>
        </w:tc>
        <w:tc>
          <w:tcPr>
            <w:tcW w:w="486" w:type="pct"/>
            <w:noWrap/>
            <w:hideMark/>
          </w:tcPr>
          <w:p w:rsidR="006F545D" w:rsidRDefault="006F545D" w:rsidP="00661D95">
            <w:pPr>
              <w:pStyle w:val="TableText"/>
              <w:jc w:val="center"/>
              <w:cnfStyle w:val="010000000000" w:firstRow="0" w:lastRow="1" w:firstColumn="0" w:lastColumn="0" w:oddVBand="0" w:evenVBand="0" w:oddHBand="0" w:evenHBand="0" w:firstRowFirstColumn="0" w:firstRowLastColumn="0" w:lastRowFirstColumn="0" w:lastRowLastColumn="0"/>
            </w:pPr>
            <w:r>
              <w:t>53%</w:t>
            </w:r>
          </w:p>
        </w:tc>
        <w:tc>
          <w:tcPr>
            <w:tcW w:w="549" w:type="pct"/>
            <w:noWrap/>
            <w:hideMark/>
          </w:tcPr>
          <w:p w:rsidR="006F545D" w:rsidRDefault="006F545D" w:rsidP="00661D95">
            <w:pPr>
              <w:pStyle w:val="TableText"/>
              <w:jc w:val="center"/>
              <w:cnfStyle w:val="010000000000" w:firstRow="0" w:lastRow="1" w:firstColumn="0" w:lastColumn="0" w:oddVBand="0" w:evenVBand="0" w:oddHBand="0" w:evenHBand="0" w:firstRowFirstColumn="0" w:firstRowLastColumn="0" w:lastRowFirstColumn="0" w:lastRowLastColumn="0"/>
            </w:pPr>
            <w:r>
              <w:t>70%</w:t>
            </w:r>
          </w:p>
        </w:tc>
        <w:tc>
          <w:tcPr>
            <w:tcW w:w="515" w:type="pct"/>
            <w:noWrap/>
            <w:hideMark/>
          </w:tcPr>
          <w:p w:rsidR="006F545D" w:rsidRDefault="006F545D" w:rsidP="00661D95">
            <w:pPr>
              <w:pStyle w:val="TableText"/>
              <w:jc w:val="center"/>
              <w:cnfStyle w:val="010000000000" w:firstRow="0" w:lastRow="1" w:firstColumn="0" w:lastColumn="0" w:oddVBand="0" w:evenVBand="0" w:oddHBand="0" w:evenHBand="0" w:firstRowFirstColumn="0" w:firstRowLastColumn="0" w:lastRowFirstColumn="0" w:lastRowLastColumn="0"/>
            </w:pPr>
            <w:r>
              <w:t>51%</w:t>
            </w:r>
          </w:p>
        </w:tc>
        <w:tc>
          <w:tcPr>
            <w:tcW w:w="701" w:type="pct"/>
            <w:noWrap/>
            <w:hideMark/>
          </w:tcPr>
          <w:p w:rsidR="006F545D" w:rsidRDefault="006F545D" w:rsidP="00661D95">
            <w:pPr>
              <w:pStyle w:val="TableText"/>
              <w:jc w:val="center"/>
              <w:cnfStyle w:val="010000000000" w:firstRow="0" w:lastRow="1" w:firstColumn="0" w:lastColumn="0" w:oddVBand="0" w:evenVBand="0" w:oddHBand="0" w:evenHBand="0" w:firstRowFirstColumn="0" w:firstRowLastColumn="0" w:lastRowFirstColumn="0" w:lastRowLastColumn="0"/>
            </w:pPr>
            <w:r>
              <w:t>65%</w:t>
            </w:r>
          </w:p>
        </w:tc>
      </w:tr>
    </w:tbl>
    <w:p w:rsidR="006F545D" w:rsidRDefault="006F545D" w:rsidP="006F545D"/>
    <w:p w:rsidR="006F545D" w:rsidRDefault="006F545D" w:rsidP="006F545D"/>
    <w:p w:rsidR="006F545D" w:rsidRDefault="006F545D" w:rsidP="006F545D">
      <w:r>
        <w:t>This analysis shows that, even after controlling for several other determinants of land values, such as distance to the centre, land immediately outside the urban boundary in all cities is valued at a discount. The differences in average land values observed in the above table appear to reflect a genuine discontinuity rather than varying proximity to urban and natural amenities. However, the magnitude of the discontinuities estimated in these models is smaller than the difference in average land values reported above. Failing to account for other factors affecting land values, either through ‘focussed’ or ‘sophisticated’ methods, is therefore likely to bias estimates of urban boundary discontinuities upwards.</w:t>
      </w:r>
    </w:p>
    <w:p w:rsidR="006F545D" w:rsidRDefault="006F545D" w:rsidP="006F545D"/>
    <w:p w:rsidR="006F545D" w:rsidRDefault="006F545D" w:rsidP="006F545D">
      <w:r>
        <w:t>A second finding that bears further investigation is the quantitative difference in results between the OLS and spatial error models. While the literature on hedonic analysis of property values generally supports the use of spatial error models, previous research on Auckland’s MUL boundary discontinuity did not find such large differences between results these two types of models.</w:t>
      </w:r>
      <w:r>
        <w:rPr>
          <w:rStyle w:val="FootnoteReference"/>
        </w:rPr>
        <w:footnoteReference w:id="87"/>
      </w:r>
      <w:r>
        <w:t xml:space="preserve"> It is unclear whether this reflects the impact of modelling choices (eg about how to define ‘neighbourhoods’ for </w:t>
      </w:r>
      <w:proofErr w:type="spellStart"/>
      <w:r>
        <w:t>meshblocks</w:t>
      </w:r>
      <w:proofErr w:type="spellEnd"/>
      <w:r>
        <w:t>) or subsequent policy changes.</w:t>
      </w:r>
    </w:p>
    <w:p w:rsidR="006F545D" w:rsidRDefault="006F545D" w:rsidP="006F545D"/>
    <w:p w:rsidR="004A4B25" w:rsidRDefault="004A4B25" w:rsidP="006F545D"/>
    <w:p w:rsidR="006F545D" w:rsidRPr="004C33D1" w:rsidRDefault="006F545D" w:rsidP="00E02811">
      <w:pPr>
        <w:pStyle w:val="Caption"/>
      </w:pPr>
      <w:bookmarkStart w:id="169" w:name="_Ref458446289"/>
      <w:bookmarkStart w:id="170" w:name="_Ref458446247"/>
      <w:r w:rsidRPr="004C33D1">
        <w:lastRenderedPageBreak/>
        <w:t xml:space="preserve">Table </w:t>
      </w:r>
      <w:r w:rsidRPr="004C33D1">
        <w:fldChar w:fldCharType="begin"/>
      </w:r>
      <w:r w:rsidRPr="004C33D1">
        <w:instrText xml:space="preserve"> SEQ Table \* ARABIC </w:instrText>
      </w:r>
      <w:r w:rsidRPr="004C33D1">
        <w:fldChar w:fldCharType="separate"/>
      </w:r>
      <w:r w:rsidR="004D1DDA">
        <w:rPr>
          <w:noProof/>
        </w:rPr>
        <w:t>8</w:t>
      </w:r>
      <w:r w:rsidRPr="004C33D1">
        <w:fldChar w:fldCharType="end"/>
      </w:r>
      <w:bookmarkEnd w:id="169"/>
      <w:r w:rsidRPr="004C33D1">
        <w:t xml:space="preserve"> </w:t>
      </w:r>
      <w:r>
        <w:t>Econometric estimates of discontinuities in land values</w:t>
      </w:r>
      <w:r w:rsidRPr="004C33D1">
        <w:t xml:space="preserve"> inside and outside of urban boundaries</w:t>
      </w:r>
      <w:bookmarkEnd w:id="170"/>
    </w:p>
    <w:tbl>
      <w:tblPr>
        <w:tblStyle w:val="CovecTables"/>
        <w:tblW w:w="5000" w:type="pct"/>
        <w:tblLook w:val="04E0" w:firstRow="1" w:lastRow="1" w:firstColumn="1" w:lastColumn="0" w:noHBand="0" w:noVBand="1"/>
      </w:tblPr>
      <w:tblGrid>
        <w:gridCol w:w="2898"/>
        <w:gridCol w:w="973"/>
        <w:gridCol w:w="847"/>
        <w:gridCol w:w="847"/>
        <w:gridCol w:w="962"/>
        <w:gridCol w:w="847"/>
        <w:gridCol w:w="847"/>
      </w:tblGrid>
      <w:tr w:rsidR="006F545D" w:rsidTr="005823B2">
        <w:trPr>
          <w:cnfStyle w:val="100000000000" w:firstRow="1" w:lastRow="0" w:firstColumn="0" w:lastColumn="0" w:oddVBand="0" w:evenVBand="0" w:oddHBand="0" w:evenHBand="0" w:firstRowFirstColumn="0" w:firstRowLastColumn="0" w:lastRowFirstColumn="0" w:lastRowLastColumn="0"/>
          <w:trHeight w:val="170"/>
        </w:trPr>
        <w:tc>
          <w:tcPr>
            <w:cnfStyle w:val="001000000100" w:firstRow="0" w:lastRow="0" w:firstColumn="1" w:lastColumn="0" w:oddVBand="0" w:evenVBand="0" w:oddHBand="0" w:evenHBand="0" w:firstRowFirstColumn="1" w:firstRowLastColumn="0" w:lastRowFirstColumn="0" w:lastRowLastColumn="0"/>
            <w:tcW w:w="1762" w:type="pct"/>
            <w:noWrap/>
            <w:hideMark/>
          </w:tcPr>
          <w:p w:rsidR="006F545D" w:rsidRDefault="006F545D" w:rsidP="008E325E">
            <w:pPr>
              <w:pStyle w:val="TableText"/>
            </w:pPr>
          </w:p>
        </w:tc>
        <w:tc>
          <w:tcPr>
            <w:tcW w:w="592" w:type="pct"/>
            <w:noWrap/>
            <w:hideMark/>
          </w:tcPr>
          <w:p w:rsidR="006F545D" w:rsidRPr="008E325E" w:rsidRDefault="006F545D" w:rsidP="008E325E">
            <w:pPr>
              <w:pStyle w:val="TableT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8E325E">
              <w:rPr>
                <w:rFonts w:asciiTheme="minorHAnsi" w:hAnsiTheme="minorHAnsi"/>
              </w:rPr>
              <w:t>Auckland</w:t>
            </w:r>
          </w:p>
        </w:tc>
        <w:tc>
          <w:tcPr>
            <w:tcW w:w="515" w:type="pct"/>
            <w:noWrap/>
            <w:hideMark/>
          </w:tcPr>
          <w:p w:rsidR="006F545D" w:rsidRPr="008E325E" w:rsidRDefault="006F545D" w:rsidP="008E325E">
            <w:pPr>
              <w:pStyle w:val="TableT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8E325E">
              <w:rPr>
                <w:rFonts w:asciiTheme="minorHAnsi" w:hAnsiTheme="minorHAnsi"/>
              </w:rPr>
              <w:t>Wellington</w:t>
            </w:r>
          </w:p>
        </w:tc>
        <w:tc>
          <w:tcPr>
            <w:tcW w:w="515" w:type="pct"/>
            <w:noWrap/>
            <w:hideMark/>
          </w:tcPr>
          <w:p w:rsidR="006F545D" w:rsidRPr="008E325E" w:rsidRDefault="006F545D" w:rsidP="008E325E">
            <w:pPr>
              <w:pStyle w:val="TableT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8E325E">
              <w:rPr>
                <w:rFonts w:asciiTheme="minorHAnsi" w:hAnsiTheme="minorHAnsi"/>
              </w:rPr>
              <w:t>Tauranga</w:t>
            </w:r>
          </w:p>
        </w:tc>
        <w:tc>
          <w:tcPr>
            <w:tcW w:w="585" w:type="pct"/>
            <w:noWrap/>
            <w:hideMark/>
          </w:tcPr>
          <w:p w:rsidR="006F545D" w:rsidRPr="008E325E" w:rsidRDefault="006F545D" w:rsidP="008E325E">
            <w:pPr>
              <w:pStyle w:val="TableT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8E325E">
              <w:rPr>
                <w:rFonts w:asciiTheme="minorHAnsi" w:hAnsiTheme="minorHAnsi"/>
              </w:rPr>
              <w:t>Hamilton</w:t>
            </w:r>
          </w:p>
        </w:tc>
        <w:tc>
          <w:tcPr>
            <w:tcW w:w="515" w:type="pct"/>
            <w:noWrap/>
            <w:hideMark/>
          </w:tcPr>
          <w:p w:rsidR="006F545D" w:rsidRPr="008E325E" w:rsidRDefault="006F545D" w:rsidP="008E325E">
            <w:pPr>
              <w:pStyle w:val="TableT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8E325E">
              <w:rPr>
                <w:rFonts w:asciiTheme="minorHAnsi" w:hAnsiTheme="minorHAnsi"/>
              </w:rPr>
              <w:t>Nelson</w:t>
            </w:r>
          </w:p>
        </w:tc>
        <w:tc>
          <w:tcPr>
            <w:tcW w:w="515" w:type="pct"/>
            <w:noWrap/>
            <w:hideMark/>
          </w:tcPr>
          <w:p w:rsidR="008E325E" w:rsidRDefault="006F545D" w:rsidP="008E325E">
            <w:pPr>
              <w:pStyle w:val="TableText"/>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8E325E">
              <w:rPr>
                <w:rFonts w:asciiTheme="minorHAnsi" w:hAnsiTheme="minorHAnsi"/>
              </w:rPr>
              <w:t>Palmerston</w:t>
            </w:r>
            <w:r w:rsidR="008E325E">
              <w:rPr>
                <w:rFonts w:asciiTheme="minorHAnsi" w:hAnsiTheme="minorHAnsi"/>
              </w:rPr>
              <w:t xml:space="preserve"> </w:t>
            </w:r>
          </w:p>
          <w:p w:rsidR="006F545D" w:rsidRPr="008E325E" w:rsidRDefault="006F545D" w:rsidP="008E325E">
            <w:pPr>
              <w:pStyle w:val="TableText"/>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8E325E">
              <w:rPr>
                <w:rFonts w:asciiTheme="minorHAnsi" w:hAnsiTheme="minorHAnsi"/>
              </w:rPr>
              <w:t>North</w:t>
            </w:r>
          </w:p>
        </w:tc>
      </w:tr>
      <w:tr w:rsidR="006F545D" w:rsidTr="005823B2">
        <w:tblPrEx>
          <w:tblCellMar>
            <w:top w:w="0" w:type="dxa"/>
            <w:left w:w="0" w:type="dxa"/>
            <w:bottom w:w="0" w:type="dxa"/>
            <w:right w:w="0"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1762" w:type="pct"/>
            <w:noWrap/>
            <w:hideMark/>
          </w:tcPr>
          <w:p w:rsidR="006F545D" w:rsidRPr="008E325E" w:rsidRDefault="006F545D" w:rsidP="008E325E">
            <w:pPr>
              <w:pStyle w:val="TableText"/>
              <w:rPr>
                <w:rFonts w:ascii="Calibri" w:hAnsi="Calibri"/>
                <w:b/>
                <w:color w:val="000000"/>
              </w:rPr>
            </w:pPr>
            <w:r w:rsidRPr="008E325E">
              <w:rPr>
                <w:rFonts w:ascii="Calibri" w:hAnsi="Calibri"/>
                <w:b/>
                <w:color w:val="000000"/>
              </w:rPr>
              <w:t>OLS regression outputs (1)</w:t>
            </w:r>
          </w:p>
        </w:tc>
        <w:tc>
          <w:tcPr>
            <w:tcW w:w="592" w:type="pct"/>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515" w:type="pct"/>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pPr>
          </w:p>
        </w:tc>
        <w:tc>
          <w:tcPr>
            <w:tcW w:w="515" w:type="pct"/>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pPr>
          </w:p>
        </w:tc>
        <w:tc>
          <w:tcPr>
            <w:tcW w:w="585" w:type="pct"/>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pPr>
          </w:p>
        </w:tc>
        <w:tc>
          <w:tcPr>
            <w:tcW w:w="515" w:type="pct"/>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pPr>
          </w:p>
        </w:tc>
        <w:tc>
          <w:tcPr>
            <w:tcW w:w="515" w:type="pct"/>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pPr>
          </w:p>
        </w:tc>
      </w:tr>
      <w:tr w:rsidR="006F545D" w:rsidTr="005823B2">
        <w:tblPrEx>
          <w:tblCellMar>
            <w:top w:w="0" w:type="dxa"/>
            <w:left w:w="0" w:type="dxa"/>
            <w:bottom w:w="0" w:type="dxa"/>
            <w:right w:w="0"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1762" w:type="pct"/>
            <w:noWrap/>
            <w:hideMark/>
          </w:tcPr>
          <w:p w:rsidR="006F545D" w:rsidRDefault="006F545D" w:rsidP="008E325E">
            <w:pPr>
              <w:pStyle w:val="TableText"/>
              <w:rPr>
                <w:rFonts w:ascii="Calibri" w:hAnsi="Calibri"/>
                <w:color w:val="000000"/>
                <w:sz w:val="24"/>
                <w:szCs w:val="24"/>
              </w:rPr>
            </w:pPr>
            <w:r>
              <w:rPr>
                <w:rFonts w:ascii="Calibri" w:hAnsi="Calibri"/>
                <w:color w:val="000000"/>
              </w:rPr>
              <w:t>Dist_boundary_2 (2km inside boundary)</w:t>
            </w:r>
          </w:p>
        </w:tc>
        <w:tc>
          <w:tcPr>
            <w:tcW w:w="592" w:type="pct"/>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-0.244</w:t>
            </w:r>
          </w:p>
        </w:tc>
        <w:tc>
          <w:tcPr>
            <w:tcW w:w="515" w:type="pct"/>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-0.098</w:t>
            </w:r>
          </w:p>
        </w:tc>
        <w:tc>
          <w:tcPr>
            <w:tcW w:w="515" w:type="pct"/>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-0.862</w:t>
            </w:r>
          </w:p>
        </w:tc>
        <w:tc>
          <w:tcPr>
            <w:tcW w:w="585" w:type="pct"/>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-0.285</w:t>
            </w:r>
          </w:p>
        </w:tc>
        <w:tc>
          <w:tcPr>
            <w:tcW w:w="515" w:type="pct"/>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w:t>
            </w:r>
          </w:p>
        </w:tc>
        <w:tc>
          <w:tcPr>
            <w:tcW w:w="515" w:type="pct"/>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0.129</w:t>
            </w:r>
          </w:p>
        </w:tc>
      </w:tr>
      <w:tr w:rsidR="006F545D" w:rsidTr="005823B2">
        <w:tblPrEx>
          <w:tblCellMar>
            <w:top w:w="0" w:type="dxa"/>
            <w:left w:w="0" w:type="dxa"/>
            <w:bottom w:w="0" w:type="dxa"/>
            <w:right w:w="0"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1762" w:type="pct"/>
            <w:noWrap/>
            <w:hideMark/>
          </w:tcPr>
          <w:p w:rsidR="006F545D" w:rsidRDefault="006F545D" w:rsidP="008E325E">
            <w:pPr>
              <w:pStyle w:val="TableText"/>
              <w:rPr>
                <w:rFonts w:ascii="Calibri" w:hAnsi="Calibri"/>
                <w:color w:val="000000"/>
              </w:rPr>
            </w:pPr>
            <w:r>
              <w:rPr>
                <w:rFonts w:ascii="Calibri" w:hAnsi="Calibri"/>
                <w:color w:val="000000"/>
              </w:rPr>
              <w:t>Dist_boundary_3 (2km outside boundary)</w:t>
            </w:r>
          </w:p>
        </w:tc>
        <w:tc>
          <w:tcPr>
            <w:tcW w:w="592" w:type="pct"/>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-2.335</w:t>
            </w:r>
          </w:p>
        </w:tc>
        <w:tc>
          <w:tcPr>
            <w:tcW w:w="515" w:type="pct"/>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-1.63</w:t>
            </w:r>
          </w:p>
        </w:tc>
        <w:tc>
          <w:tcPr>
            <w:tcW w:w="515" w:type="pct"/>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-2.721</w:t>
            </w:r>
          </w:p>
        </w:tc>
        <w:tc>
          <w:tcPr>
            <w:tcW w:w="585" w:type="pct"/>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-1.83</w:t>
            </w:r>
          </w:p>
        </w:tc>
        <w:tc>
          <w:tcPr>
            <w:tcW w:w="515" w:type="pct"/>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-2.027</w:t>
            </w:r>
          </w:p>
        </w:tc>
        <w:tc>
          <w:tcPr>
            <w:tcW w:w="515" w:type="pct"/>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-1.756</w:t>
            </w:r>
          </w:p>
        </w:tc>
      </w:tr>
      <w:tr w:rsidR="006F545D" w:rsidTr="005823B2">
        <w:tblPrEx>
          <w:tblCellMar>
            <w:top w:w="0" w:type="dxa"/>
            <w:left w:w="0" w:type="dxa"/>
            <w:bottom w:w="0" w:type="dxa"/>
            <w:right w:w="0"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1762" w:type="pct"/>
            <w:tcBorders>
              <w:bottom w:val="single" w:sz="8" w:space="0" w:color="A6A6A6" w:themeColor="background1" w:themeShade="A6"/>
            </w:tcBorders>
            <w:noWrap/>
            <w:hideMark/>
          </w:tcPr>
          <w:p w:rsidR="006F545D" w:rsidRDefault="006F545D" w:rsidP="008E325E">
            <w:pPr>
              <w:pStyle w:val="TableText"/>
              <w:rPr>
                <w:rFonts w:ascii="Calibri" w:hAnsi="Calibri"/>
                <w:color w:val="000000"/>
              </w:rPr>
            </w:pPr>
            <w:r>
              <w:rPr>
                <w:rFonts w:ascii="Calibri" w:hAnsi="Calibri"/>
                <w:color w:val="000000"/>
              </w:rPr>
              <w:t>Estimated ratio of land prices (2)</w:t>
            </w:r>
          </w:p>
        </w:tc>
        <w:tc>
          <w:tcPr>
            <w:tcW w:w="592" w:type="pct"/>
            <w:tcBorders>
              <w:bottom w:val="single" w:sz="8" w:space="0" w:color="A6A6A6" w:themeColor="background1" w:themeShade="A6"/>
            </w:tcBorders>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8.1</w:t>
            </w:r>
          </w:p>
        </w:tc>
        <w:tc>
          <w:tcPr>
            <w:tcW w:w="515" w:type="pct"/>
            <w:tcBorders>
              <w:bottom w:val="single" w:sz="8" w:space="0" w:color="A6A6A6" w:themeColor="background1" w:themeShade="A6"/>
            </w:tcBorders>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4.6</w:t>
            </w:r>
          </w:p>
        </w:tc>
        <w:tc>
          <w:tcPr>
            <w:tcW w:w="515" w:type="pct"/>
            <w:tcBorders>
              <w:bottom w:val="single" w:sz="8" w:space="0" w:color="A6A6A6" w:themeColor="background1" w:themeShade="A6"/>
            </w:tcBorders>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6.4</w:t>
            </w:r>
          </w:p>
        </w:tc>
        <w:tc>
          <w:tcPr>
            <w:tcW w:w="585" w:type="pct"/>
            <w:tcBorders>
              <w:bottom w:val="single" w:sz="8" w:space="0" w:color="A6A6A6" w:themeColor="background1" w:themeShade="A6"/>
            </w:tcBorders>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4.7</w:t>
            </w:r>
          </w:p>
        </w:tc>
        <w:tc>
          <w:tcPr>
            <w:tcW w:w="515" w:type="pct"/>
            <w:tcBorders>
              <w:bottom w:val="single" w:sz="8" w:space="0" w:color="A6A6A6" w:themeColor="background1" w:themeShade="A6"/>
            </w:tcBorders>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7.6</w:t>
            </w:r>
          </w:p>
        </w:tc>
        <w:tc>
          <w:tcPr>
            <w:tcW w:w="515" w:type="pct"/>
            <w:tcBorders>
              <w:bottom w:val="single" w:sz="8" w:space="0" w:color="A6A6A6" w:themeColor="background1" w:themeShade="A6"/>
            </w:tcBorders>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6.6</w:t>
            </w:r>
          </w:p>
        </w:tc>
      </w:tr>
      <w:tr w:rsidR="006F545D" w:rsidTr="005823B2">
        <w:tblPrEx>
          <w:tblCellMar>
            <w:top w:w="0" w:type="dxa"/>
            <w:left w:w="0" w:type="dxa"/>
            <w:bottom w:w="0" w:type="dxa"/>
            <w:right w:w="0"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1762" w:type="pct"/>
            <w:tcBorders>
              <w:top w:val="single" w:sz="8" w:space="0" w:color="A6A6A6" w:themeColor="background1" w:themeShade="A6"/>
            </w:tcBorders>
            <w:noWrap/>
            <w:hideMark/>
          </w:tcPr>
          <w:p w:rsidR="006F545D" w:rsidRPr="008E325E" w:rsidRDefault="006F545D" w:rsidP="008E325E">
            <w:pPr>
              <w:pStyle w:val="TableText"/>
              <w:rPr>
                <w:rFonts w:ascii="Calibri" w:hAnsi="Calibri"/>
                <w:b/>
                <w:color w:val="000000"/>
              </w:rPr>
            </w:pPr>
            <w:r w:rsidRPr="008E325E">
              <w:rPr>
                <w:rFonts w:ascii="Calibri" w:hAnsi="Calibri"/>
                <w:b/>
                <w:color w:val="000000"/>
              </w:rPr>
              <w:t>Spatial error regression outputs (1)</w:t>
            </w:r>
          </w:p>
        </w:tc>
        <w:tc>
          <w:tcPr>
            <w:tcW w:w="592" w:type="pct"/>
            <w:tcBorders>
              <w:top w:val="single" w:sz="8" w:space="0" w:color="A6A6A6" w:themeColor="background1" w:themeShade="A6"/>
            </w:tcBorders>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515" w:type="pct"/>
            <w:tcBorders>
              <w:top w:val="single" w:sz="8" w:space="0" w:color="A6A6A6" w:themeColor="background1" w:themeShade="A6"/>
            </w:tcBorders>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pPr>
          </w:p>
        </w:tc>
        <w:tc>
          <w:tcPr>
            <w:tcW w:w="515" w:type="pct"/>
            <w:tcBorders>
              <w:top w:val="single" w:sz="8" w:space="0" w:color="A6A6A6" w:themeColor="background1" w:themeShade="A6"/>
            </w:tcBorders>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pPr>
          </w:p>
        </w:tc>
        <w:tc>
          <w:tcPr>
            <w:tcW w:w="585" w:type="pct"/>
            <w:tcBorders>
              <w:top w:val="single" w:sz="8" w:space="0" w:color="A6A6A6" w:themeColor="background1" w:themeShade="A6"/>
            </w:tcBorders>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pPr>
          </w:p>
        </w:tc>
        <w:tc>
          <w:tcPr>
            <w:tcW w:w="515" w:type="pct"/>
            <w:tcBorders>
              <w:top w:val="single" w:sz="8" w:space="0" w:color="A6A6A6" w:themeColor="background1" w:themeShade="A6"/>
            </w:tcBorders>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pPr>
          </w:p>
        </w:tc>
        <w:tc>
          <w:tcPr>
            <w:tcW w:w="515" w:type="pct"/>
            <w:tcBorders>
              <w:top w:val="single" w:sz="8" w:space="0" w:color="A6A6A6" w:themeColor="background1" w:themeShade="A6"/>
            </w:tcBorders>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pPr>
          </w:p>
        </w:tc>
      </w:tr>
      <w:tr w:rsidR="006F545D" w:rsidTr="005823B2">
        <w:tblPrEx>
          <w:tblCellMar>
            <w:top w:w="0" w:type="dxa"/>
            <w:left w:w="0" w:type="dxa"/>
            <w:bottom w:w="0" w:type="dxa"/>
            <w:right w:w="0"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1762" w:type="pct"/>
            <w:noWrap/>
            <w:hideMark/>
          </w:tcPr>
          <w:p w:rsidR="006F545D" w:rsidRDefault="006F545D" w:rsidP="008E325E">
            <w:pPr>
              <w:pStyle w:val="TableText"/>
              <w:rPr>
                <w:rFonts w:ascii="Calibri" w:hAnsi="Calibri"/>
                <w:color w:val="000000"/>
                <w:sz w:val="24"/>
                <w:szCs w:val="24"/>
              </w:rPr>
            </w:pPr>
            <w:r>
              <w:rPr>
                <w:rFonts w:ascii="Calibri" w:hAnsi="Calibri"/>
                <w:color w:val="000000"/>
              </w:rPr>
              <w:t>Dist_boundary_2 (2km inside boundary)</w:t>
            </w:r>
          </w:p>
        </w:tc>
        <w:tc>
          <w:tcPr>
            <w:tcW w:w="592" w:type="pct"/>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-0.128</w:t>
            </w:r>
          </w:p>
        </w:tc>
        <w:tc>
          <w:tcPr>
            <w:tcW w:w="515" w:type="pct"/>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0.018</w:t>
            </w:r>
          </w:p>
        </w:tc>
        <w:tc>
          <w:tcPr>
            <w:tcW w:w="515" w:type="pct"/>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-0.562</w:t>
            </w:r>
          </w:p>
        </w:tc>
        <w:tc>
          <w:tcPr>
            <w:tcW w:w="585" w:type="pct"/>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-0.101</w:t>
            </w:r>
          </w:p>
        </w:tc>
        <w:tc>
          <w:tcPr>
            <w:tcW w:w="515" w:type="pct"/>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w:t>
            </w:r>
          </w:p>
        </w:tc>
        <w:tc>
          <w:tcPr>
            <w:tcW w:w="515" w:type="pct"/>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0.179</w:t>
            </w:r>
          </w:p>
        </w:tc>
      </w:tr>
      <w:tr w:rsidR="006F545D" w:rsidTr="005823B2">
        <w:tblPrEx>
          <w:tblCellMar>
            <w:top w:w="0" w:type="dxa"/>
            <w:left w:w="0" w:type="dxa"/>
            <w:bottom w:w="0" w:type="dxa"/>
            <w:right w:w="0"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1762" w:type="pct"/>
            <w:noWrap/>
            <w:hideMark/>
          </w:tcPr>
          <w:p w:rsidR="006F545D" w:rsidRDefault="006F545D" w:rsidP="008E325E">
            <w:pPr>
              <w:pStyle w:val="TableText"/>
              <w:rPr>
                <w:rFonts w:ascii="Calibri" w:hAnsi="Calibri"/>
                <w:color w:val="000000"/>
              </w:rPr>
            </w:pPr>
            <w:r>
              <w:rPr>
                <w:rFonts w:ascii="Calibri" w:hAnsi="Calibri"/>
                <w:color w:val="000000"/>
              </w:rPr>
              <w:t>Dist_boundary_3 (2km outside boundary)</w:t>
            </w:r>
          </w:p>
        </w:tc>
        <w:tc>
          <w:tcPr>
            <w:tcW w:w="592" w:type="pct"/>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-1.404</w:t>
            </w:r>
          </w:p>
        </w:tc>
        <w:tc>
          <w:tcPr>
            <w:tcW w:w="515" w:type="pct"/>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-1.087</w:t>
            </w:r>
          </w:p>
        </w:tc>
        <w:tc>
          <w:tcPr>
            <w:tcW w:w="515" w:type="pct"/>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-1.83</w:t>
            </w:r>
          </w:p>
        </w:tc>
        <w:tc>
          <w:tcPr>
            <w:tcW w:w="585" w:type="pct"/>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-1.409</w:t>
            </w:r>
          </w:p>
        </w:tc>
        <w:tc>
          <w:tcPr>
            <w:tcW w:w="515" w:type="pct"/>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-1.641</w:t>
            </w:r>
          </w:p>
        </w:tc>
        <w:tc>
          <w:tcPr>
            <w:tcW w:w="515" w:type="pct"/>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-1.258</w:t>
            </w:r>
          </w:p>
        </w:tc>
      </w:tr>
      <w:tr w:rsidR="006F545D" w:rsidTr="005823B2">
        <w:tblPrEx>
          <w:tblCellMar>
            <w:top w:w="0" w:type="dxa"/>
            <w:left w:w="0" w:type="dxa"/>
            <w:bottom w:w="0" w:type="dxa"/>
            <w:right w:w="0"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1762" w:type="pct"/>
            <w:tcBorders>
              <w:bottom w:val="single" w:sz="8" w:space="0" w:color="A6A6A6" w:themeColor="background1" w:themeShade="A6"/>
            </w:tcBorders>
            <w:noWrap/>
            <w:hideMark/>
          </w:tcPr>
          <w:p w:rsidR="006F545D" w:rsidRDefault="006F545D" w:rsidP="008E325E">
            <w:pPr>
              <w:pStyle w:val="TableText"/>
              <w:rPr>
                <w:rFonts w:ascii="Calibri" w:hAnsi="Calibri"/>
                <w:color w:val="000000"/>
              </w:rPr>
            </w:pPr>
            <w:r>
              <w:rPr>
                <w:rFonts w:ascii="Calibri" w:hAnsi="Calibri"/>
                <w:color w:val="000000"/>
              </w:rPr>
              <w:t>Estimated ratio of land prices (2)</w:t>
            </w:r>
          </w:p>
        </w:tc>
        <w:tc>
          <w:tcPr>
            <w:tcW w:w="592" w:type="pct"/>
            <w:tcBorders>
              <w:bottom w:val="single" w:sz="8" w:space="0" w:color="A6A6A6" w:themeColor="background1" w:themeShade="A6"/>
            </w:tcBorders>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3.6</w:t>
            </w:r>
          </w:p>
        </w:tc>
        <w:tc>
          <w:tcPr>
            <w:tcW w:w="515" w:type="pct"/>
            <w:tcBorders>
              <w:bottom w:val="single" w:sz="8" w:space="0" w:color="A6A6A6" w:themeColor="background1" w:themeShade="A6"/>
            </w:tcBorders>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3.0</w:t>
            </w:r>
          </w:p>
        </w:tc>
        <w:tc>
          <w:tcPr>
            <w:tcW w:w="515" w:type="pct"/>
            <w:tcBorders>
              <w:bottom w:val="single" w:sz="8" w:space="0" w:color="A6A6A6" w:themeColor="background1" w:themeShade="A6"/>
            </w:tcBorders>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3.6</w:t>
            </w:r>
          </w:p>
        </w:tc>
        <w:tc>
          <w:tcPr>
            <w:tcW w:w="585" w:type="pct"/>
            <w:tcBorders>
              <w:bottom w:val="single" w:sz="8" w:space="0" w:color="A6A6A6" w:themeColor="background1" w:themeShade="A6"/>
            </w:tcBorders>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3.7</w:t>
            </w:r>
          </w:p>
        </w:tc>
        <w:tc>
          <w:tcPr>
            <w:tcW w:w="515" w:type="pct"/>
            <w:tcBorders>
              <w:bottom w:val="single" w:sz="8" w:space="0" w:color="A6A6A6" w:themeColor="background1" w:themeShade="A6"/>
            </w:tcBorders>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5.2</w:t>
            </w:r>
          </w:p>
        </w:tc>
        <w:tc>
          <w:tcPr>
            <w:tcW w:w="515" w:type="pct"/>
            <w:tcBorders>
              <w:bottom w:val="single" w:sz="8" w:space="0" w:color="A6A6A6" w:themeColor="background1" w:themeShade="A6"/>
            </w:tcBorders>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4.2</w:t>
            </w:r>
          </w:p>
        </w:tc>
      </w:tr>
      <w:tr w:rsidR="006F545D" w:rsidTr="005823B2">
        <w:tblPrEx>
          <w:tblCellMar>
            <w:top w:w="0" w:type="dxa"/>
            <w:left w:w="0" w:type="dxa"/>
            <w:bottom w:w="0" w:type="dxa"/>
            <w:right w:w="0"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1762" w:type="pct"/>
            <w:tcBorders>
              <w:top w:val="single" w:sz="8" w:space="0" w:color="A6A6A6" w:themeColor="background1" w:themeShade="A6"/>
            </w:tcBorders>
            <w:noWrap/>
            <w:hideMark/>
          </w:tcPr>
          <w:p w:rsidR="006F545D" w:rsidRPr="008E325E" w:rsidRDefault="006F545D" w:rsidP="008E325E">
            <w:pPr>
              <w:pStyle w:val="TableText"/>
              <w:rPr>
                <w:rFonts w:ascii="Calibri" w:hAnsi="Calibri"/>
                <w:b/>
                <w:color w:val="000000"/>
              </w:rPr>
            </w:pPr>
            <w:r w:rsidRPr="008E325E">
              <w:rPr>
                <w:rFonts w:ascii="Calibri" w:hAnsi="Calibri"/>
                <w:b/>
                <w:color w:val="000000"/>
              </w:rPr>
              <w:t>Control variables included in models (3)</w:t>
            </w:r>
          </w:p>
        </w:tc>
        <w:tc>
          <w:tcPr>
            <w:tcW w:w="592" w:type="pct"/>
            <w:tcBorders>
              <w:top w:val="single" w:sz="8" w:space="0" w:color="A6A6A6" w:themeColor="background1" w:themeShade="A6"/>
            </w:tcBorders>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515" w:type="pct"/>
            <w:tcBorders>
              <w:top w:val="single" w:sz="8" w:space="0" w:color="A6A6A6" w:themeColor="background1" w:themeShade="A6"/>
            </w:tcBorders>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pPr>
          </w:p>
        </w:tc>
        <w:tc>
          <w:tcPr>
            <w:tcW w:w="515" w:type="pct"/>
            <w:tcBorders>
              <w:top w:val="single" w:sz="8" w:space="0" w:color="A6A6A6" w:themeColor="background1" w:themeShade="A6"/>
            </w:tcBorders>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pPr>
          </w:p>
        </w:tc>
        <w:tc>
          <w:tcPr>
            <w:tcW w:w="585" w:type="pct"/>
            <w:tcBorders>
              <w:top w:val="single" w:sz="8" w:space="0" w:color="A6A6A6" w:themeColor="background1" w:themeShade="A6"/>
            </w:tcBorders>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pPr>
          </w:p>
        </w:tc>
        <w:tc>
          <w:tcPr>
            <w:tcW w:w="515" w:type="pct"/>
            <w:tcBorders>
              <w:top w:val="single" w:sz="8" w:space="0" w:color="A6A6A6" w:themeColor="background1" w:themeShade="A6"/>
            </w:tcBorders>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pPr>
          </w:p>
        </w:tc>
        <w:tc>
          <w:tcPr>
            <w:tcW w:w="515" w:type="pct"/>
            <w:tcBorders>
              <w:top w:val="single" w:sz="8" w:space="0" w:color="A6A6A6" w:themeColor="background1" w:themeShade="A6"/>
            </w:tcBorders>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pPr>
          </w:p>
        </w:tc>
      </w:tr>
      <w:tr w:rsidR="006F545D" w:rsidTr="005823B2">
        <w:tblPrEx>
          <w:tblCellMar>
            <w:top w:w="0" w:type="dxa"/>
            <w:left w:w="0" w:type="dxa"/>
            <w:bottom w:w="0" w:type="dxa"/>
            <w:right w:w="0"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1762" w:type="pct"/>
            <w:noWrap/>
            <w:hideMark/>
          </w:tcPr>
          <w:p w:rsidR="006F545D" w:rsidRDefault="006F545D" w:rsidP="008E325E">
            <w:pPr>
              <w:pStyle w:val="TableText"/>
              <w:rPr>
                <w:rFonts w:ascii="Calibri" w:hAnsi="Calibri"/>
                <w:color w:val="000000"/>
                <w:sz w:val="24"/>
                <w:szCs w:val="24"/>
              </w:rPr>
            </w:pPr>
            <w:r>
              <w:rPr>
                <w:rFonts w:ascii="Calibri" w:hAnsi="Calibri"/>
                <w:color w:val="000000"/>
              </w:rPr>
              <w:t>Distance to CBD</w:t>
            </w:r>
          </w:p>
        </w:tc>
        <w:tc>
          <w:tcPr>
            <w:tcW w:w="592" w:type="pct"/>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w:t>
            </w:r>
          </w:p>
        </w:tc>
        <w:tc>
          <w:tcPr>
            <w:tcW w:w="515" w:type="pct"/>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w:t>
            </w:r>
          </w:p>
        </w:tc>
        <w:tc>
          <w:tcPr>
            <w:tcW w:w="515" w:type="pct"/>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w:t>
            </w:r>
          </w:p>
        </w:tc>
        <w:tc>
          <w:tcPr>
            <w:tcW w:w="585" w:type="pct"/>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w:t>
            </w:r>
          </w:p>
        </w:tc>
        <w:tc>
          <w:tcPr>
            <w:tcW w:w="515" w:type="pct"/>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w:t>
            </w:r>
          </w:p>
        </w:tc>
        <w:tc>
          <w:tcPr>
            <w:tcW w:w="515" w:type="pct"/>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w:t>
            </w:r>
          </w:p>
        </w:tc>
      </w:tr>
      <w:tr w:rsidR="006F545D" w:rsidTr="005823B2">
        <w:tblPrEx>
          <w:tblCellMar>
            <w:top w:w="0" w:type="dxa"/>
            <w:left w:w="0" w:type="dxa"/>
            <w:bottom w:w="0" w:type="dxa"/>
            <w:right w:w="0"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1762" w:type="pct"/>
            <w:noWrap/>
            <w:hideMark/>
          </w:tcPr>
          <w:p w:rsidR="006F545D" w:rsidRDefault="006F545D" w:rsidP="008E325E">
            <w:pPr>
              <w:pStyle w:val="TableText"/>
              <w:rPr>
                <w:rFonts w:ascii="Calibri" w:hAnsi="Calibri"/>
                <w:color w:val="000000"/>
              </w:rPr>
            </w:pPr>
            <w:r>
              <w:rPr>
                <w:rFonts w:ascii="Calibri" w:hAnsi="Calibri"/>
                <w:color w:val="000000"/>
              </w:rPr>
              <w:t>Distance to coast</w:t>
            </w:r>
          </w:p>
        </w:tc>
        <w:tc>
          <w:tcPr>
            <w:tcW w:w="592" w:type="pct"/>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w:t>
            </w:r>
          </w:p>
        </w:tc>
        <w:tc>
          <w:tcPr>
            <w:tcW w:w="515" w:type="pct"/>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w:t>
            </w:r>
          </w:p>
        </w:tc>
        <w:tc>
          <w:tcPr>
            <w:tcW w:w="515" w:type="pct"/>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w:t>
            </w:r>
          </w:p>
        </w:tc>
        <w:tc>
          <w:tcPr>
            <w:tcW w:w="585" w:type="pct"/>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515" w:type="pct"/>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r>
              <w:rPr>
                <w:rFonts w:ascii="Calibri" w:hAnsi="Calibri"/>
                <w:color w:val="000000"/>
              </w:rPr>
              <w:t>Y</w:t>
            </w:r>
          </w:p>
        </w:tc>
        <w:tc>
          <w:tcPr>
            <w:tcW w:w="515" w:type="pct"/>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r>
      <w:tr w:rsidR="006F545D" w:rsidTr="005823B2">
        <w:tblPrEx>
          <w:tblCellMar>
            <w:top w:w="0" w:type="dxa"/>
            <w:left w:w="0" w:type="dxa"/>
            <w:bottom w:w="0" w:type="dxa"/>
            <w:right w:w="0"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1762" w:type="pct"/>
            <w:noWrap/>
            <w:hideMark/>
          </w:tcPr>
          <w:p w:rsidR="006F545D" w:rsidRDefault="006F545D" w:rsidP="008E325E">
            <w:pPr>
              <w:pStyle w:val="TableText"/>
              <w:rPr>
                <w:rFonts w:ascii="Calibri" w:hAnsi="Calibri"/>
                <w:color w:val="000000"/>
                <w:sz w:val="24"/>
                <w:szCs w:val="24"/>
              </w:rPr>
            </w:pPr>
            <w:r>
              <w:rPr>
                <w:rFonts w:ascii="Calibri" w:hAnsi="Calibri"/>
                <w:color w:val="000000"/>
              </w:rPr>
              <w:t>Distance to sub-regional centres</w:t>
            </w:r>
          </w:p>
        </w:tc>
        <w:tc>
          <w:tcPr>
            <w:tcW w:w="592" w:type="pct"/>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w:t>
            </w:r>
          </w:p>
        </w:tc>
        <w:tc>
          <w:tcPr>
            <w:tcW w:w="515" w:type="pct"/>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w:t>
            </w:r>
          </w:p>
        </w:tc>
        <w:tc>
          <w:tcPr>
            <w:tcW w:w="515" w:type="pct"/>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585" w:type="pct"/>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pPr>
          </w:p>
        </w:tc>
        <w:tc>
          <w:tcPr>
            <w:tcW w:w="515" w:type="pct"/>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pPr>
          </w:p>
        </w:tc>
        <w:tc>
          <w:tcPr>
            <w:tcW w:w="515" w:type="pct"/>
            <w:noWrap/>
            <w:hideMark/>
          </w:tcPr>
          <w:p w:rsidR="006F545D" w:rsidRDefault="006F545D" w:rsidP="008E325E">
            <w:pPr>
              <w:pStyle w:val="TableText"/>
              <w:jc w:val="center"/>
              <w:cnfStyle w:val="000000000000" w:firstRow="0" w:lastRow="0" w:firstColumn="0" w:lastColumn="0" w:oddVBand="0" w:evenVBand="0" w:oddHBand="0" w:evenHBand="0" w:firstRowFirstColumn="0" w:firstRowLastColumn="0" w:lastRowFirstColumn="0" w:lastRowLastColumn="0"/>
            </w:pPr>
          </w:p>
        </w:tc>
      </w:tr>
      <w:tr w:rsidR="006F545D" w:rsidTr="005823B2">
        <w:tblPrEx>
          <w:tblCellMar>
            <w:top w:w="0" w:type="dxa"/>
            <w:left w:w="0" w:type="dxa"/>
            <w:bottom w:w="0" w:type="dxa"/>
            <w:right w:w="0" w:type="dxa"/>
          </w:tblCellMar>
        </w:tblPrEx>
        <w:trPr>
          <w:cnfStyle w:val="010000000000" w:firstRow="0" w:lastRow="1" w:firstColumn="0" w:lastColumn="0" w:oddVBand="0" w:evenVBand="0" w:oddHBand="0" w:evenHBand="0" w:firstRowFirstColumn="0" w:firstRowLastColumn="0" w:lastRowFirstColumn="0" w:lastRowLastColumn="0"/>
          <w:trHeight w:val="170"/>
        </w:trPr>
        <w:tc>
          <w:tcPr>
            <w:cnfStyle w:val="001000000001" w:firstRow="0" w:lastRow="0" w:firstColumn="1" w:lastColumn="0" w:oddVBand="0" w:evenVBand="0" w:oddHBand="0" w:evenHBand="0" w:firstRowFirstColumn="0" w:firstRowLastColumn="0" w:lastRowFirstColumn="1" w:lastRowLastColumn="0"/>
            <w:tcW w:w="1762" w:type="pct"/>
            <w:noWrap/>
            <w:hideMark/>
          </w:tcPr>
          <w:p w:rsidR="006F545D" w:rsidRDefault="006F545D" w:rsidP="008E325E">
            <w:pPr>
              <w:pStyle w:val="TableText"/>
              <w:rPr>
                <w:rFonts w:ascii="Calibri" w:hAnsi="Calibri"/>
                <w:color w:val="000000"/>
                <w:sz w:val="24"/>
                <w:szCs w:val="24"/>
              </w:rPr>
            </w:pPr>
            <w:r>
              <w:rPr>
                <w:rFonts w:ascii="Calibri" w:hAnsi="Calibri"/>
                <w:color w:val="000000"/>
              </w:rPr>
              <w:t>Territorial authority</w:t>
            </w:r>
          </w:p>
        </w:tc>
        <w:tc>
          <w:tcPr>
            <w:tcW w:w="592" w:type="pct"/>
            <w:noWrap/>
            <w:hideMark/>
          </w:tcPr>
          <w:p w:rsidR="006F545D" w:rsidRDefault="006F545D" w:rsidP="008E325E">
            <w:pPr>
              <w:pStyle w:val="TableText"/>
              <w:jc w:val="center"/>
              <w:cnfStyle w:val="010000000000" w:firstRow="0" w:lastRow="1" w:firstColumn="0" w:lastColumn="0" w:oddVBand="0" w:evenVBand="0" w:oddHBand="0" w:evenHBand="0" w:firstRowFirstColumn="0" w:firstRowLastColumn="0" w:lastRowFirstColumn="0" w:lastRowLastColumn="0"/>
              <w:rPr>
                <w:rFonts w:ascii="Calibri" w:hAnsi="Calibri"/>
                <w:color w:val="000000"/>
              </w:rPr>
            </w:pPr>
          </w:p>
        </w:tc>
        <w:tc>
          <w:tcPr>
            <w:tcW w:w="515" w:type="pct"/>
            <w:noWrap/>
            <w:hideMark/>
          </w:tcPr>
          <w:p w:rsidR="006F545D" w:rsidRDefault="006F545D" w:rsidP="008E325E">
            <w:pPr>
              <w:pStyle w:val="TableText"/>
              <w:jc w:val="center"/>
              <w:cnfStyle w:val="010000000000" w:firstRow="0" w:lastRow="1" w:firstColumn="0" w:lastColumn="0" w:oddVBand="0" w:evenVBand="0" w:oddHBand="0" w:evenHBand="0" w:firstRowFirstColumn="0" w:firstRowLastColumn="0" w:lastRowFirstColumn="0" w:lastRowLastColumn="0"/>
              <w:rPr>
                <w:rFonts w:ascii="Calibri" w:hAnsi="Calibri"/>
                <w:color w:val="000000"/>
                <w:sz w:val="24"/>
                <w:szCs w:val="24"/>
              </w:rPr>
            </w:pPr>
            <w:r>
              <w:rPr>
                <w:rFonts w:ascii="Calibri" w:hAnsi="Calibri"/>
                <w:color w:val="000000"/>
              </w:rPr>
              <w:t>Y</w:t>
            </w:r>
          </w:p>
        </w:tc>
        <w:tc>
          <w:tcPr>
            <w:tcW w:w="515" w:type="pct"/>
            <w:noWrap/>
            <w:hideMark/>
          </w:tcPr>
          <w:p w:rsidR="006F545D" w:rsidRDefault="006F545D" w:rsidP="008E325E">
            <w:pPr>
              <w:pStyle w:val="TableText"/>
              <w:jc w:val="center"/>
              <w:cnfStyle w:val="010000000000" w:firstRow="0" w:lastRow="1"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w:t>
            </w:r>
          </w:p>
        </w:tc>
        <w:tc>
          <w:tcPr>
            <w:tcW w:w="585" w:type="pct"/>
            <w:noWrap/>
            <w:hideMark/>
          </w:tcPr>
          <w:p w:rsidR="006F545D" w:rsidRDefault="006F545D" w:rsidP="008E325E">
            <w:pPr>
              <w:pStyle w:val="TableText"/>
              <w:jc w:val="center"/>
              <w:cnfStyle w:val="010000000000" w:firstRow="0" w:lastRow="1"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w:t>
            </w:r>
          </w:p>
        </w:tc>
        <w:tc>
          <w:tcPr>
            <w:tcW w:w="515" w:type="pct"/>
            <w:noWrap/>
            <w:hideMark/>
          </w:tcPr>
          <w:p w:rsidR="006F545D" w:rsidRDefault="006F545D" w:rsidP="008E325E">
            <w:pPr>
              <w:pStyle w:val="TableText"/>
              <w:jc w:val="center"/>
              <w:cnfStyle w:val="010000000000" w:firstRow="0" w:lastRow="1"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w:t>
            </w:r>
          </w:p>
        </w:tc>
        <w:tc>
          <w:tcPr>
            <w:tcW w:w="515" w:type="pct"/>
            <w:noWrap/>
            <w:hideMark/>
          </w:tcPr>
          <w:p w:rsidR="006F545D" w:rsidRDefault="006F545D" w:rsidP="008E325E">
            <w:pPr>
              <w:pStyle w:val="TableText"/>
              <w:jc w:val="center"/>
              <w:cnfStyle w:val="010000000000" w:firstRow="0" w:lastRow="1"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w:t>
            </w:r>
          </w:p>
        </w:tc>
      </w:tr>
    </w:tbl>
    <w:p w:rsidR="006F545D" w:rsidRPr="006F545D" w:rsidRDefault="006F545D" w:rsidP="005823B2">
      <w:pPr>
        <w:spacing w:line="240" w:lineRule="auto"/>
        <w:rPr>
          <w:sz w:val="18"/>
          <w:szCs w:val="18"/>
        </w:rPr>
      </w:pPr>
      <w:r w:rsidRPr="006F545D">
        <w:rPr>
          <w:sz w:val="18"/>
          <w:szCs w:val="18"/>
        </w:rPr>
        <w:t>Notes: (1) All coefficients were statistically significant at the 1% level except for the Dist_boundary_2 variable for Palmerston North and Wellington, and the Dist_boundary_2 variable for Hamilton in the spatial error model. This indicates that, in all cases, land immediately outside the urban boundary was valued at a discount relative to land immediately inside.</w:t>
      </w:r>
    </w:p>
    <w:p w:rsidR="006F545D" w:rsidRPr="006F545D" w:rsidRDefault="006F545D" w:rsidP="005823B2">
      <w:pPr>
        <w:spacing w:line="240" w:lineRule="auto"/>
        <w:rPr>
          <w:sz w:val="18"/>
          <w:szCs w:val="18"/>
        </w:rPr>
      </w:pPr>
      <w:r w:rsidRPr="006F545D">
        <w:rPr>
          <w:sz w:val="18"/>
          <w:szCs w:val="18"/>
        </w:rPr>
        <w:t xml:space="preserve">(2) As land values were log-transformed, this ratio was calculated by taking the exponent of the difference between the coefficients on the Dist_boundary_2 and Dist_boundary_3 variables – eg for Auckland it was calculated as </w:t>
      </w:r>
      <w:proofErr w:type="spellStart"/>
      <w:proofErr w:type="gramStart"/>
      <w:r w:rsidRPr="006F545D">
        <w:rPr>
          <w:sz w:val="18"/>
          <w:szCs w:val="18"/>
        </w:rPr>
        <w:t>exp</w:t>
      </w:r>
      <w:proofErr w:type="spellEnd"/>
      <w:r w:rsidRPr="006F545D">
        <w:rPr>
          <w:sz w:val="18"/>
          <w:szCs w:val="18"/>
        </w:rPr>
        <w:t>(</w:t>
      </w:r>
      <w:proofErr w:type="gramEnd"/>
      <w:r w:rsidRPr="006F545D">
        <w:rPr>
          <w:sz w:val="18"/>
          <w:szCs w:val="18"/>
        </w:rPr>
        <w:t>-0.244-(-2.335)).</w:t>
      </w:r>
    </w:p>
    <w:p w:rsidR="006F545D" w:rsidRPr="006F545D" w:rsidRDefault="006F545D" w:rsidP="005823B2">
      <w:pPr>
        <w:spacing w:line="240" w:lineRule="auto"/>
        <w:rPr>
          <w:sz w:val="18"/>
          <w:szCs w:val="18"/>
        </w:rPr>
      </w:pPr>
      <w:r w:rsidRPr="006F545D">
        <w:rPr>
          <w:sz w:val="18"/>
          <w:szCs w:val="18"/>
        </w:rPr>
        <w:t>(3) Demographic controls were not included in this version of the model. Consistent with Grimes and Liang (2009), we find that they did not have a large impact on the results.</w:t>
      </w:r>
    </w:p>
    <w:p w:rsidR="001B70C1" w:rsidRPr="004C33D1" w:rsidRDefault="001B70C1" w:rsidP="001B70C1"/>
    <w:p w:rsidR="005823B2" w:rsidRDefault="005823B2" w:rsidP="006F545D"/>
    <w:p w:rsidR="006F545D" w:rsidRPr="004C33D1" w:rsidRDefault="006F545D" w:rsidP="006F545D">
      <w:r>
        <w:t>F</w:t>
      </w:r>
      <w:r w:rsidRPr="004C33D1">
        <w:t xml:space="preserve">ollowing our discussion of the pros and cons of using land valuation data (Section </w:t>
      </w:r>
      <w:r w:rsidRPr="004C33D1">
        <w:fldChar w:fldCharType="begin"/>
      </w:r>
      <w:r w:rsidRPr="004C33D1">
        <w:instrText xml:space="preserve"> REF _Ref457836280 \n \h </w:instrText>
      </w:r>
      <w:r w:rsidRPr="004C33D1">
        <w:fldChar w:fldCharType="separate"/>
      </w:r>
      <w:r w:rsidR="004D1DDA">
        <w:t>6.2.1</w:t>
      </w:r>
      <w:r w:rsidRPr="004C33D1">
        <w:fldChar w:fldCharType="end"/>
      </w:r>
      <w:r w:rsidRPr="004C33D1">
        <w:t>), we</w:t>
      </w:r>
      <w:r>
        <w:t xml:space="preserve"> recommend</w:t>
      </w:r>
      <w:r w:rsidRPr="004C33D1">
        <w:t xml:space="preserve"> undertak</w:t>
      </w:r>
      <w:r>
        <w:t>ing</w:t>
      </w:r>
      <w:r w:rsidRPr="004C33D1">
        <w:t xml:space="preserve"> a</w:t>
      </w:r>
      <w:r>
        <w:t xml:space="preserve"> further</w:t>
      </w:r>
      <w:r w:rsidRPr="004C33D1">
        <w:t xml:space="preserve"> robustness check by modelling the presence of discontinuities in observed sale prices for dwellings bought and sold inside and outside of cities’ urban boundaries. While we do not expect the exact magnitude of estimates from this alternative modelling approach to be the same, as we are analysing finished dwellings rather than land prices, we would expect the sign and statistical significance of the estimates to be the same. If they are not, it may indicate that land valuation data provides a biased estimate of the underlying relationship.</w:t>
      </w:r>
    </w:p>
    <w:p w:rsidR="006F545D" w:rsidRPr="004C33D1" w:rsidRDefault="006F545D" w:rsidP="006F545D"/>
    <w:p w:rsidR="006F545D" w:rsidRDefault="006F545D" w:rsidP="006F545D">
      <w:r>
        <w:t>Lastly, we not</w:t>
      </w:r>
      <w:r w:rsidR="007F4CF6">
        <w:t>e</w:t>
      </w:r>
      <w:r>
        <w:t xml:space="preserve"> that data on land values and land development costs</w:t>
      </w:r>
      <w:r w:rsidRPr="004C33D1">
        <w:t xml:space="preserve"> does not address external costs of land development, such as negative impacts on water quality and loss of amenity from foregone access to peri-urban open space.</w:t>
      </w:r>
      <w:r>
        <w:t xml:space="preserve"> Nor do they explicitly consider the availability of land outside urban boundaries – in some cases, especially around Wellington, steep hillsides or coastlines may mean that there is little developable land at the fringe. Some degree of local knowledge is required to assess these constraints and costs.</w:t>
      </w:r>
    </w:p>
    <w:p w:rsidR="001B70C1" w:rsidRPr="004C33D1" w:rsidRDefault="001B70C1" w:rsidP="001B70C1"/>
    <w:p w:rsidR="00F319A1" w:rsidRPr="004C33D1" w:rsidRDefault="00F319A1" w:rsidP="00F319A1">
      <w:r w:rsidRPr="004C33D1">
        <w:t xml:space="preserve">MRCagney </w:t>
      </w:r>
      <w:r w:rsidRPr="004C33D1">
        <w:rPr>
          <w:i/>
        </w:rPr>
        <w:t>et al</w:t>
      </w:r>
      <w:r w:rsidRPr="004C33D1">
        <w:t xml:space="preserve"> (2016) reviewed some evidence on </w:t>
      </w:r>
      <w:r>
        <w:t>external costs of land development</w:t>
      </w:r>
      <w:r w:rsidRPr="004C33D1">
        <w:t xml:space="preserve">, focusing on the Auckland context. Their findings, which are summarised in the following table, </w:t>
      </w:r>
      <w:proofErr w:type="gramStart"/>
      <w:r w:rsidRPr="004C33D1">
        <w:t>can be used</w:t>
      </w:r>
      <w:proofErr w:type="gramEnd"/>
      <w:r w:rsidRPr="004C33D1">
        <w:t xml:space="preserve"> to estimate the marginal external costs associated with developing land at the urban fringe.</w:t>
      </w:r>
    </w:p>
    <w:p w:rsidR="001B70C1" w:rsidRPr="004C33D1" w:rsidRDefault="001B70C1" w:rsidP="00E02811">
      <w:pPr>
        <w:pStyle w:val="Caption"/>
      </w:pPr>
      <w:r w:rsidRPr="004C33D1">
        <w:lastRenderedPageBreak/>
        <w:t xml:space="preserve">Table </w:t>
      </w:r>
      <w:r w:rsidRPr="004C33D1">
        <w:fldChar w:fldCharType="begin"/>
      </w:r>
      <w:r w:rsidRPr="004C33D1">
        <w:instrText xml:space="preserve"> SEQ Table \* ARABIC </w:instrText>
      </w:r>
      <w:r w:rsidRPr="004C33D1">
        <w:fldChar w:fldCharType="separate"/>
      </w:r>
      <w:r w:rsidR="004D1DDA">
        <w:rPr>
          <w:noProof/>
        </w:rPr>
        <w:t>9</w:t>
      </w:r>
      <w:r w:rsidRPr="004C33D1">
        <w:fldChar w:fldCharType="end"/>
      </w:r>
      <w:r w:rsidRPr="004C33D1">
        <w:t xml:space="preserve"> Environmental and amenity impacts of developing land at the city fringe in Auckland</w:t>
      </w:r>
    </w:p>
    <w:tbl>
      <w:tblPr>
        <w:tblW w:w="0" w:type="auto"/>
        <w:tblInd w:w="113" w:type="dxa"/>
        <w:tblCellMar>
          <w:top w:w="28" w:type="dxa"/>
          <w:left w:w="28" w:type="dxa"/>
          <w:bottom w:w="28" w:type="dxa"/>
          <w:right w:w="28" w:type="dxa"/>
        </w:tblCellMar>
        <w:tblLook w:val="04E0" w:firstRow="1" w:lastRow="1" w:firstColumn="1" w:lastColumn="0" w:noHBand="0" w:noVBand="1"/>
      </w:tblPr>
      <w:tblGrid>
        <w:gridCol w:w="5015"/>
        <w:gridCol w:w="3093"/>
      </w:tblGrid>
      <w:tr w:rsidR="001B70C1" w:rsidRPr="004C33D1" w:rsidTr="001B70C1">
        <w:trPr>
          <w:tblHeader/>
        </w:trPr>
        <w:tc>
          <w:tcPr>
            <w:tcW w:w="5015" w:type="dxa"/>
            <w:tcBorders>
              <w:bottom w:val="single" w:sz="8" w:space="0" w:color="A6A6A6"/>
            </w:tcBorders>
            <w:shd w:val="clear" w:color="auto" w:fill="auto"/>
          </w:tcPr>
          <w:p w:rsidR="001B70C1" w:rsidRPr="004C33D1" w:rsidRDefault="001B70C1" w:rsidP="001B70C1">
            <w:pPr>
              <w:pStyle w:val="TableText"/>
              <w:rPr>
                <w:b/>
                <w:color w:val="780000"/>
              </w:rPr>
            </w:pPr>
            <w:r w:rsidRPr="004C33D1">
              <w:rPr>
                <w:b/>
                <w:color w:val="780000"/>
              </w:rPr>
              <w:t>Attribute</w:t>
            </w:r>
          </w:p>
        </w:tc>
        <w:tc>
          <w:tcPr>
            <w:tcW w:w="3093" w:type="dxa"/>
            <w:tcBorders>
              <w:bottom w:val="single" w:sz="8" w:space="0" w:color="A6A6A6"/>
            </w:tcBorders>
            <w:shd w:val="clear" w:color="auto" w:fill="auto"/>
          </w:tcPr>
          <w:p w:rsidR="001B70C1" w:rsidRPr="004C33D1" w:rsidRDefault="001B70C1" w:rsidP="005823B2">
            <w:pPr>
              <w:pStyle w:val="TableText"/>
              <w:jc w:val="center"/>
              <w:rPr>
                <w:b/>
                <w:color w:val="780000"/>
              </w:rPr>
            </w:pPr>
            <w:r w:rsidRPr="004C33D1">
              <w:rPr>
                <w:b/>
                <w:color w:val="780000"/>
              </w:rPr>
              <w:t xml:space="preserve">External cost per </w:t>
            </w:r>
            <w:r w:rsidR="00B51180">
              <w:rPr>
                <w:b/>
                <w:color w:val="780000"/>
              </w:rPr>
              <w:t>600m</w:t>
            </w:r>
            <w:r w:rsidR="00B51180">
              <w:rPr>
                <w:b/>
                <w:color w:val="780000"/>
                <w:vertAlign w:val="superscript"/>
              </w:rPr>
              <w:t>2</w:t>
            </w:r>
            <w:r w:rsidR="00B51180">
              <w:rPr>
                <w:b/>
                <w:color w:val="780000"/>
              </w:rPr>
              <w:t xml:space="preserve"> </w:t>
            </w:r>
            <w:r w:rsidRPr="004C33D1">
              <w:rPr>
                <w:b/>
                <w:color w:val="780000"/>
              </w:rPr>
              <w:t>section</w:t>
            </w:r>
          </w:p>
        </w:tc>
      </w:tr>
      <w:tr w:rsidR="001B70C1" w:rsidRPr="004C33D1" w:rsidTr="001B70C1">
        <w:tblPrEx>
          <w:tblCellMar>
            <w:top w:w="0" w:type="dxa"/>
            <w:left w:w="0" w:type="dxa"/>
            <w:bottom w:w="0" w:type="dxa"/>
            <w:right w:w="0" w:type="dxa"/>
          </w:tblCellMar>
        </w:tblPrEx>
        <w:tc>
          <w:tcPr>
            <w:tcW w:w="5015" w:type="dxa"/>
            <w:shd w:val="clear" w:color="auto" w:fill="auto"/>
          </w:tcPr>
          <w:p w:rsidR="001B70C1" w:rsidRPr="004C33D1" w:rsidRDefault="001B70C1" w:rsidP="001B70C1">
            <w:pPr>
              <w:pStyle w:val="TableText"/>
            </w:pPr>
            <w:r w:rsidRPr="004C33D1">
              <w:t>Reduced freshwater quality</w:t>
            </w:r>
          </w:p>
        </w:tc>
        <w:tc>
          <w:tcPr>
            <w:tcW w:w="3093" w:type="dxa"/>
            <w:shd w:val="clear" w:color="auto" w:fill="auto"/>
          </w:tcPr>
          <w:p w:rsidR="001B70C1" w:rsidRPr="004C33D1" w:rsidRDefault="001B70C1" w:rsidP="005823B2">
            <w:pPr>
              <w:pStyle w:val="TableText"/>
              <w:jc w:val="center"/>
            </w:pPr>
            <w:r w:rsidRPr="004C33D1">
              <w:t>$1,783 to $3,566</w:t>
            </w:r>
          </w:p>
        </w:tc>
      </w:tr>
      <w:tr w:rsidR="001B70C1" w:rsidRPr="004C33D1" w:rsidTr="001B70C1">
        <w:tblPrEx>
          <w:tblCellMar>
            <w:top w:w="0" w:type="dxa"/>
            <w:left w:w="0" w:type="dxa"/>
            <w:bottom w:w="0" w:type="dxa"/>
            <w:right w:w="0" w:type="dxa"/>
          </w:tblCellMar>
        </w:tblPrEx>
        <w:tc>
          <w:tcPr>
            <w:tcW w:w="5015" w:type="dxa"/>
            <w:shd w:val="clear" w:color="auto" w:fill="auto"/>
          </w:tcPr>
          <w:p w:rsidR="001B70C1" w:rsidRPr="004C33D1" w:rsidRDefault="001B70C1" w:rsidP="001B70C1">
            <w:pPr>
              <w:pStyle w:val="TableText"/>
            </w:pPr>
            <w:r w:rsidRPr="004C33D1">
              <w:t>Reduced coastal water quality</w:t>
            </w:r>
          </w:p>
        </w:tc>
        <w:tc>
          <w:tcPr>
            <w:tcW w:w="3093" w:type="dxa"/>
            <w:shd w:val="clear" w:color="auto" w:fill="auto"/>
          </w:tcPr>
          <w:p w:rsidR="001B70C1" w:rsidRPr="004C33D1" w:rsidRDefault="001B70C1" w:rsidP="005823B2">
            <w:pPr>
              <w:pStyle w:val="TableText"/>
              <w:jc w:val="center"/>
            </w:pPr>
            <w:r w:rsidRPr="004C33D1">
              <w:t>$1,914 to $3,829</w:t>
            </w:r>
          </w:p>
        </w:tc>
      </w:tr>
      <w:tr w:rsidR="001B70C1" w:rsidRPr="004C33D1" w:rsidTr="001B70C1">
        <w:tblPrEx>
          <w:tblCellMar>
            <w:top w:w="0" w:type="dxa"/>
            <w:left w:w="0" w:type="dxa"/>
            <w:bottom w:w="0" w:type="dxa"/>
            <w:right w:w="0" w:type="dxa"/>
          </w:tblCellMar>
        </w:tblPrEx>
        <w:tc>
          <w:tcPr>
            <w:tcW w:w="5015" w:type="dxa"/>
            <w:tcBorders>
              <w:bottom w:val="single" w:sz="12" w:space="0" w:color="A6A6A6"/>
            </w:tcBorders>
            <w:shd w:val="clear" w:color="auto" w:fill="auto"/>
          </w:tcPr>
          <w:p w:rsidR="001B70C1" w:rsidRPr="004C33D1" w:rsidRDefault="001B70C1" w:rsidP="001B70C1">
            <w:pPr>
              <w:pStyle w:val="TableText"/>
            </w:pPr>
            <w:r w:rsidRPr="004C33D1">
              <w:t>Loss of peri-urban open space</w:t>
            </w:r>
          </w:p>
        </w:tc>
        <w:tc>
          <w:tcPr>
            <w:tcW w:w="3093" w:type="dxa"/>
            <w:tcBorders>
              <w:bottom w:val="single" w:sz="12" w:space="0" w:color="A6A6A6"/>
            </w:tcBorders>
            <w:shd w:val="clear" w:color="auto" w:fill="auto"/>
          </w:tcPr>
          <w:p w:rsidR="001B70C1" w:rsidRPr="004C33D1" w:rsidRDefault="001B70C1" w:rsidP="005823B2">
            <w:pPr>
              <w:pStyle w:val="TableText"/>
              <w:jc w:val="center"/>
            </w:pPr>
            <w:r w:rsidRPr="004C33D1">
              <w:t>$2,664 to $4,657</w:t>
            </w:r>
          </w:p>
          <w:p w:rsidR="001B70C1" w:rsidRPr="004C33D1" w:rsidRDefault="001B70C1" w:rsidP="005823B2">
            <w:pPr>
              <w:pStyle w:val="TableText"/>
              <w:jc w:val="center"/>
            </w:pPr>
            <w:r w:rsidRPr="004C33D1">
              <w:t>(or $44,400 to $77,600 per hectare)</w:t>
            </w:r>
          </w:p>
        </w:tc>
      </w:tr>
    </w:tbl>
    <w:p w:rsidR="001B70C1" w:rsidRPr="004C33D1" w:rsidRDefault="001B70C1" w:rsidP="001B70C1">
      <w:pPr>
        <w:spacing w:line="240" w:lineRule="auto"/>
        <w:rPr>
          <w:sz w:val="18"/>
          <w:szCs w:val="18"/>
        </w:rPr>
      </w:pPr>
      <w:r w:rsidRPr="004C33D1">
        <w:rPr>
          <w:sz w:val="18"/>
          <w:szCs w:val="18"/>
        </w:rPr>
        <w:t>Source: MRCagney, Covec and Beca (2016)</w:t>
      </w:r>
    </w:p>
    <w:p w:rsidR="001B70C1" w:rsidRPr="004C33D1" w:rsidRDefault="001B70C1" w:rsidP="001B70C1"/>
    <w:p w:rsidR="006B698B" w:rsidRPr="004C33D1" w:rsidRDefault="006B698B" w:rsidP="006B698B">
      <w:r w:rsidRPr="004C33D1">
        <w:t xml:space="preserve">These estimates were developed using data from willingness-to-pay </w:t>
      </w:r>
      <w:r w:rsidR="005823B2">
        <w:t xml:space="preserve">(WTP) </w:t>
      </w:r>
      <w:r w:rsidRPr="004C33D1">
        <w:t xml:space="preserve">surveys that asked people about their preference for better environmental quality, plus some high-level about the impact of new development on environmental quality. They </w:t>
      </w:r>
      <w:proofErr w:type="gramStart"/>
      <w:r w:rsidRPr="004C33D1">
        <w:t>were based</w:t>
      </w:r>
      <w:proofErr w:type="gramEnd"/>
      <w:r w:rsidRPr="004C33D1">
        <w:t xml:space="preserve"> on conservative assumptions about the impact of new developments on environmental quality</w:t>
      </w:r>
      <w:r>
        <w:t>,</w:t>
      </w:r>
      <w:r w:rsidRPr="004C33D1">
        <w:t xml:space="preserve"> ie assuming that attempts to mitigate impacts on water quality are only partly successful. </w:t>
      </w:r>
      <w:proofErr w:type="gramStart"/>
      <w:r w:rsidRPr="004C33D1">
        <w:t>On the whole, these</w:t>
      </w:r>
      <w:proofErr w:type="gramEnd"/>
      <w:r w:rsidRPr="004C33D1">
        <w:t xml:space="preserve"> estimates suggest that developing fringe land results in external costs of approximately $6,400 to $12,100 per section. This is equal to less than 10% of land development costs.</w:t>
      </w:r>
    </w:p>
    <w:p w:rsidR="006B698B" w:rsidRPr="004C33D1" w:rsidRDefault="006B698B" w:rsidP="006B698B"/>
    <w:p w:rsidR="001B70C1" w:rsidRPr="004C33D1" w:rsidRDefault="001B70C1" w:rsidP="001B70C1">
      <w:r w:rsidRPr="004C33D1">
        <w:t xml:space="preserve">However, we caution that costs associated with network infrastructure not paid for by development contributions or users may be larger. In the Auckland context, MRCagney </w:t>
      </w:r>
      <w:r w:rsidRPr="004C33D1">
        <w:rPr>
          <w:i/>
        </w:rPr>
        <w:t>et al</w:t>
      </w:r>
      <w:r w:rsidRPr="004C33D1">
        <w:t xml:space="preserve"> estimated that external costs for network infrastructure for </w:t>
      </w:r>
      <w:proofErr w:type="gramStart"/>
      <w:r w:rsidRPr="004C33D1">
        <w:t>greenfield</w:t>
      </w:r>
      <w:proofErr w:type="gramEnd"/>
      <w:r w:rsidRPr="004C33D1">
        <w:t xml:space="preserve"> developments may range from $12,100 to $36,500 per dwelling – a significantly larger share of overall land development costs. </w:t>
      </w:r>
    </w:p>
    <w:p w:rsidR="001B70C1" w:rsidRPr="004C33D1" w:rsidRDefault="001B70C1" w:rsidP="001B70C1"/>
    <w:p w:rsidR="001B70C1" w:rsidRPr="004C33D1" w:rsidRDefault="001B70C1" w:rsidP="001B70C1">
      <w:r w:rsidRPr="004C33D1">
        <w:t xml:space="preserve">To conclude, this measure is feasible to calculate, with established methodologies for modelling land price discontinuities around urban boundaries and conducting robustness checks to ensure that bias </w:t>
      </w:r>
      <w:proofErr w:type="gramStart"/>
      <w:r w:rsidRPr="004C33D1">
        <w:t>is not introduced</w:t>
      </w:r>
      <w:proofErr w:type="gramEnd"/>
      <w:r w:rsidRPr="004C33D1">
        <w:t xml:space="preserve"> through use of rating valuation data. It also appears to provide useful information on how different cities vary in terms of sufficient development capacity. Consequently, it is a good candidate for inclusion in the NPS-UDC or supporting guidance as a price indicator to guide planning.</w:t>
      </w:r>
    </w:p>
    <w:p w:rsidR="001B70C1" w:rsidRPr="004C33D1" w:rsidRDefault="001B70C1" w:rsidP="001B70C1">
      <w:pPr>
        <w:pStyle w:val="Heading3"/>
      </w:pPr>
      <w:r w:rsidRPr="004C33D1">
        <w:t>Discontinuities in land values across zone boundaries within urban areas</w:t>
      </w:r>
    </w:p>
    <w:p w:rsidR="001B70C1" w:rsidRPr="004C33D1" w:rsidRDefault="001B70C1" w:rsidP="001B70C1">
      <w:r w:rsidRPr="004C33D1">
        <w:t>Most district plans include spatial zones that permit some activities to occur but exclude others. For instance, industrial zones typically allow manufacturing, warehousing, and trade supply businesses to locate within them as a permitted (“by-right”) activity but may require offices or retail facilities to obtain resource consent to establish within them. They also generally exclude residential dwellings.</w:t>
      </w:r>
    </w:p>
    <w:p w:rsidR="001B70C1" w:rsidRPr="004C33D1" w:rsidRDefault="001B70C1" w:rsidP="001B70C1"/>
    <w:p w:rsidR="001B70C1" w:rsidRPr="004C33D1" w:rsidRDefault="001B70C1" w:rsidP="001B70C1">
      <w:r w:rsidRPr="004C33D1">
        <w:t xml:space="preserve">If there is a shortfall in development capacity for one type of activity, this </w:t>
      </w:r>
      <w:proofErr w:type="gramStart"/>
      <w:r w:rsidRPr="004C33D1">
        <w:t>may be reflected</w:t>
      </w:r>
      <w:proofErr w:type="gramEnd"/>
      <w:r w:rsidRPr="004C33D1">
        <w:t xml:space="preserve"> in price discontinuities at boundaries between different zones within an urban area. These differences reflect the relative sufficiency of land zoned for different types of activities (eg residential, commercial, industrial) as well as the efficiency of controls on the intensity of development, eg building height limits, site cover ratios, and minimum lot size / density controls.</w:t>
      </w:r>
    </w:p>
    <w:p w:rsidR="005823B2" w:rsidRDefault="005823B2" w:rsidP="001B70C1"/>
    <w:p w:rsidR="001B70C1" w:rsidRPr="004C33D1" w:rsidRDefault="001B70C1" w:rsidP="001B70C1">
      <w:r w:rsidRPr="004C33D1">
        <w:t xml:space="preserve">These discontinuities </w:t>
      </w:r>
      <w:proofErr w:type="gramStart"/>
      <w:r w:rsidRPr="004C33D1">
        <w:t>can be estimated</w:t>
      </w:r>
      <w:proofErr w:type="gramEnd"/>
      <w:r w:rsidRPr="004C33D1">
        <w:t xml:space="preserve"> using the ‘focussed’ or ‘sophisticated’ approaches identified by NZIER (2015). However, we note that the choice of approach </w:t>
      </w:r>
      <w:proofErr w:type="gramStart"/>
      <w:r w:rsidRPr="004C33D1">
        <w:t>should be informed</w:t>
      </w:r>
      <w:proofErr w:type="gramEnd"/>
      <w:r w:rsidRPr="004C33D1">
        <w:t xml:space="preserve"> </w:t>
      </w:r>
      <w:r w:rsidR="005823B2">
        <w:t>by the characteristics of zones.</w:t>
      </w:r>
    </w:p>
    <w:p w:rsidR="001B70C1" w:rsidRPr="004C33D1" w:rsidRDefault="001B70C1" w:rsidP="001B70C1"/>
    <w:p w:rsidR="001B70C1" w:rsidRPr="004C33D1" w:rsidRDefault="001B70C1" w:rsidP="000850C5">
      <w:pPr>
        <w:pStyle w:val="ListParagraph"/>
        <w:numPr>
          <w:ilvl w:val="0"/>
          <w:numId w:val="18"/>
        </w:numPr>
      </w:pPr>
      <w:r w:rsidRPr="004C33D1">
        <w:t xml:space="preserve">When comparing between adjacent residential zones, spatial hedonic analysis of residential property sales is likely to be the most appropriate approach. Because residential properties have similar drivers of value (eg proximity to amenities and dwelling characteristics like views and dwelling size), it is possible to develop a model that controls for these effects and robustly estimates discontinuities arising from zoning. </w:t>
      </w:r>
      <w:r w:rsidRPr="004C33D1">
        <w:br/>
        <w:t xml:space="preserve"> </w:t>
      </w:r>
    </w:p>
    <w:p w:rsidR="001B70C1" w:rsidRPr="004C33D1" w:rsidRDefault="001B70C1" w:rsidP="000850C5">
      <w:pPr>
        <w:pStyle w:val="ListParagraph"/>
        <w:numPr>
          <w:ilvl w:val="0"/>
          <w:numId w:val="18"/>
        </w:numPr>
      </w:pPr>
      <w:r w:rsidRPr="004C33D1">
        <w:t>When comparing between residential and non-residential zones (eg industrial zones) a focussed approach based on comparisons of land valuations across the zoning boundary is more likely to be appropriate. The drivers of property values are different for residential and non-residential properties, making it challenging to incorporate both property types into a spatial hedonic model.</w:t>
      </w:r>
    </w:p>
    <w:p w:rsidR="001B70C1" w:rsidRPr="004C33D1" w:rsidRDefault="001B70C1" w:rsidP="001B70C1"/>
    <w:p w:rsidR="00E34212" w:rsidRPr="004C33D1" w:rsidRDefault="00E34212" w:rsidP="00E34212">
      <w:r w:rsidRPr="004C33D1">
        <w:t>To illustrate the feasibility and utility of this measure, we estimated discontinuities in land valuations around industrial zone boundaries in the Auckland context. We used parcel-level rating valuations data from 2011 (</w:t>
      </w:r>
      <w:r>
        <w:t>sourced from Auckland Council</w:t>
      </w:r>
      <w:r w:rsidRPr="004C33D1">
        <w:t>) to estimate average rateable land values within small ‘bands’ inside and outside industrial zones.</w:t>
      </w:r>
      <w:r>
        <w:rPr>
          <w:rStyle w:val="FootnoteReference"/>
        </w:rPr>
        <w:footnoteReference w:id="88"/>
      </w:r>
      <w:r w:rsidRPr="004C33D1">
        <w:t xml:space="preserve"> These calculations follow </w:t>
      </w:r>
      <w:proofErr w:type="gramStart"/>
      <w:r w:rsidRPr="004C33D1">
        <w:t>NZIER’s</w:t>
      </w:r>
      <w:proofErr w:type="gramEnd"/>
      <w:r w:rsidRPr="004C33D1">
        <w:t xml:space="preserve"> ‘focussed’ approach, also drawing upon additional guidance on assessing boundary discontinuities from Angrist and </w:t>
      </w:r>
      <w:proofErr w:type="spellStart"/>
      <w:r w:rsidRPr="004C33D1">
        <w:t>Pischke</w:t>
      </w:r>
      <w:proofErr w:type="spellEnd"/>
      <w:r w:rsidRPr="004C33D1">
        <w:t xml:space="preserve"> (2009).</w:t>
      </w:r>
      <w:r w:rsidRPr="004C33D1">
        <w:rPr>
          <w:rStyle w:val="FootnoteReference"/>
        </w:rPr>
        <w:footnoteReference w:id="89"/>
      </w:r>
    </w:p>
    <w:p w:rsidR="001B70C1" w:rsidRPr="004C33D1" w:rsidRDefault="001B70C1" w:rsidP="001B70C1"/>
    <w:p w:rsidR="001B70C1" w:rsidRPr="004C33D1" w:rsidRDefault="000D75F5" w:rsidP="001B70C1">
      <w:r>
        <w:fldChar w:fldCharType="begin"/>
      </w:r>
      <w:r>
        <w:instrText xml:space="preserve"> REF _Ref458161081 \h </w:instrText>
      </w:r>
      <w:r>
        <w:fldChar w:fldCharType="separate"/>
      </w:r>
      <w:r w:rsidR="004D1DDA" w:rsidRPr="004C33D1">
        <w:t xml:space="preserve">Figure </w:t>
      </w:r>
      <w:r w:rsidR="004D1DDA">
        <w:rPr>
          <w:noProof/>
        </w:rPr>
        <w:t>27</w:t>
      </w:r>
      <w:r>
        <w:fldChar w:fldCharType="end"/>
      </w:r>
      <w:r>
        <w:t xml:space="preserve"> </w:t>
      </w:r>
      <w:r w:rsidR="001B70C1" w:rsidRPr="004C33D1">
        <w:t xml:space="preserve">shows results for the Onehunga – Penrose – Mount Wellington industrial area. </w:t>
      </w:r>
    </w:p>
    <w:p w:rsidR="001B70C1" w:rsidRPr="004C33D1" w:rsidRDefault="001B70C1" w:rsidP="00E02811">
      <w:pPr>
        <w:pStyle w:val="Caption"/>
      </w:pPr>
      <w:bookmarkStart w:id="171" w:name="_Ref458161081"/>
      <w:r w:rsidRPr="004C33D1">
        <w:t xml:space="preserve">Figure </w:t>
      </w:r>
      <w:r w:rsidRPr="004C33D1">
        <w:fldChar w:fldCharType="begin"/>
      </w:r>
      <w:r w:rsidRPr="004C33D1">
        <w:instrText xml:space="preserve"> SEQ Figure \* ARABIC </w:instrText>
      </w:r>
      <w:r w:rsidRPr="004C33D1">
        <w:fldChar w:fldCharType="separate"/>
      </w:r>
      <w:r w:rsidR="004D1DDA">
        <w:rPr>
          <w:noProof/>
        </w:rPr>
        <w:t>27</w:t>
      </w:r>
      <w:r w:rsidRPr="004C33D1">
        <w:fldChar w:fldCharType="end"/>
      </w:r>
      <w:bookmarkEnd w:id="171"/>
      <w:r w:rsidRPr="004C33D1">
        <w:t>: Land values around the boundary of the Onehunga-Penrose-Mt Wellington industrial area</w:t>
      </w:r>
    </w:p>
    <w:p w:rsidR="001B70C1" w:rsidRPr="004C33D1" w:rsidRDefault="001B70C1" w:rsidP="001B70C1">
      <w:pPr>
        <w:jc w:val="center"/>
      </w:pPr>
      <w:r w:rsidRPr="004C33D1">
        <w:rPr>
          <w:noProof/>
          <w:lang w:eastAsia="en-NZ"/>
        </w:rPr>
        <w:drawing>
          <wp:inline distT="0" distB="0" distL="0" distR="0" wp14:anchorId="4018D13C" wp14:editId="131FC011">
            <wp:extent cx="4845685" cy="2769870"/>
            <wp:effectExtent l="0" t="0" r="5715" b="0"/>
            <wp:docPr id="32" name="Picture 80" descr="../../Working%20documents/Indicator%20summaries/Industrial%20zones%20160715/Onehunga_M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Working%20documents/Indicator%20summaries/Industrial%20zones%20160715/Onehunga_Mean.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45685" cy="2769870"/>
                    </a:xfrm>
                    <a:prstGeom prst="rect">
                      <a:avLst/>
                    </a:prstGeom>
                    <a:noFill/>
                    <a:ln>
                      <a:noFill/>
                    </a:ln>
                  </pic:spPr>
                </pic:pic>
              </a:graphicData>
            </a:graphic>
          </wp:inline>
        </w:drawing>
      </w:r>
    </w:p>
    <w:p w:rsidR="00E34212" w:rsidRPr="000D75F5" w:rsidRDefault="00E34212" w:rsidP="00E34212">
      <w:pPr>
        <w:rPr>
          <w:sz w:val="18"/>
          <w:szCs w:val="18"/>
        </w:rPr>
      </w:pPr>
      <w:r>
        <w:rPr>
          <w:sz w:val="18"/>
          <w:szCs w:val="18"/>
        </w:rPr>
        <w:t xml:space="preserve">Source: </w:t>
      </w:r>
      <w:r w:rsidRPr="004607F2">
        <w:rPr>
          <w:sz w:val="18"/>
          <w:szCs w:val="18"/>
        </w:rPr>
        <w:t xml:space="preserve">Analysis </w:t>
      </w:r>
      <w:r w:rsidRPr="001572EF">
        <w:rPr>
          <w:sz w:val="18"/>
          <w:szCs w:val="18"/>
        </w:rPr>
        <w:t xml:space="preserve">of </w:t>
      </w:r>
      <w:r w:rsidRPr="004607F2">
        <w:rPr>
          <w:sz w:val="18"/>
          <w:szCs w:val="18"/>
        </w:rPr>
        <w:t xml:space="preserve">2011 </w:t>
      </w:r>
      <w:r>
        <w:rPr>
          <w:sz w:val="18"/>
          <w:szCs w:val="18"/>
        </w:rPr>
        <w:t>Auckland Council valuation data</w:t>
      </w:r>
    </w:p>
    <w:p w:rsidR="005823B2" w:rsidRDefault="005823B2" w:rsidP="008E325E"/>
    <w:p w:rsidR="008E325E" w:rsidRPr="004C33D1" w:rsidRDefault="008E325E" w:rsidP="008E325E">
      <w:r w:rsidRPr="004C33D1">
        <w:t xml:space="preserve">The X axis shows distance (in metres) around the industrial zone boundary, with negative numbers reflecting locations inside the industrial zones and positive numbers </w:t>
      </w:r>
      <w:r w:rsidRPr="004C33D1">
        <w:lastRenderedPageBreak/>
        <w:t xml:space="preserve">reflecting locations immediately outside the industrial zone. The </w:t>
      </w:r>
      <w:proofErr w:type="gramStart"/>
      <w:r w:rsidRPr="004C33D1">
        <w:t>Y axis</w:t>
      </w:r>
      <w:proofErr w:type="gramEnd"/>
      <w:r w:rsidRPr="004C33D1">
        <w:t xml:space="preserve"> shows average land prices within increasing distance bands, eg 0-300 metres inside the industrial zone.</w:t>
      </w:r>
    </w:p>
    <w:p w:rsidR="000D75F5" w:rsidRDefault="000D75F5" w:rsidP="001B70C1"/>
    <w:p w:rsidR="001B70C1" w:rsidRPr="004C33D1" w:rsidRDefault="001B70C1" w:rsidP="001B70C1">
      <w:r w:rsidRPr="004C33D1">
        <w:t>On average, land within a 100m band immediately outside the industrial zone boundary is approximately $40/m</w:t>
      </w:r>
      <w:r w:rsidRPr="000D75F5">
        <w:rPr>
          <w:vertAlign w:val="superscript"/>
        </w:rPr>
        <w:t>2</w:t>
      </w:r>
      <w:r w:rsidRPr="004C33D1">
        <w:t xml:space="preserve"> more valuable than land immediately inside the industrial zone boundary. However, this difference rises as we increase the size of the bands inside and outside the industrial zone boundary. This may reflect negative spillovers </w:t>
      </w:r>
      <w:r w:rsidR="000D75F5">
        <w:t xml:space="preserve">that </w:t>
      </w:r>
      <w:r w:rsidR="000D75F5" w:rsidRPr="004C33D1">
        <w:t xml:space="preserve">industrial zones </w:t>
      </w:r>
      <w:r w:rsidR="000D75F5">
        <w:t xml:space="preserve">create </w:t>
      </w:r>
      <w:r w:rsidRPr="004C33D1">
        <w:t>for adjacent residential areas, or, alternatively, that the industrial zone is located next to another land use, eg a major road, that generates negative spillovers.</w:t>
      </w:r>
      <w:r w:rsidRPr="004C33D1">
        <w:rPr>
          <w:rStyle w:val="FootnoteReference"/>
        </w:rPr>
        <w:footnoteReference w:id="90"/>
      </w:r>
    </w:p>
    <w:p w:rsidR="001B70C1" w:rsidRPr="004C33D1" w:rsidRDefault="001B70C1" w:rsidP="001B70C1"/>
    <w:p w:rsidR="001B70C1" w:rsidRPr="004C33D1" w:rsidRDefault="001B70C1" w:rsidP="001B70C1">
      <w:r w:rsidRPr="004C33D1">
        <w:fldChar w:fldCharType="begin"/>
      </w:r>
      <w:r w:rsidRPr="004C33D1">
        <w:instrText xml:space="preserve"> REF _Ref457855287 \h </w:instrText>
      </w:r>
      <w:r w:rsidRPr="004C33D1">
        <w:fldChar w:fldCharType="separate"/>
      </w:r>
      <w:r w:rsidR="004D1DDA" w:rsidRPr="004C33D1">
        <w:t xml:space="preserve">Table </w:t>
      </w:r>
      <w:r w:rsidR="004D1DDA">
        <w:rPr>
          <w:noProof/>
        </w:rPr>
        <w:t>10</w:t>
      </w:r>
      <w:r w:rsidRPr="004C33D1">
        <w:fldChar w:fldCharType="end"/>
      </w:r>
      <w:r w:rsidRPr="004C33D1">
        <w:t xml:space="preserve"> shows average land values within small (200 metre) buffers immediately inside and outside the edge of Auckland’s ten largest industrial zones by land area. This illustrates how discontinuities in land prices at the edge of industrial zones may differ significantly between locations. At Glenbrook and Takanini, industrial land is valued more highly than adjacent non-industrial land. By contrast, nearby non-industrial land is valued over $200/m</w:t>
      </w:r>
      <w:r w:rsidRPr="000D75F5">
        <w:rPr>
          <w:vertAlign w:val="superscript"/>
        </w:rPr>
        <w:t>2</w:t>
      </w:r>
      <w:r w:rsidRPr="004C33D1">
        <w:t xml:space="preserve"> more than industrial land in two locations – E</w:t>
      </w:r>
      <w:r w:rsidR="000173B6">
        <w:t>ast Tamaki and Albany-Rosedale.</w:t>
      </w:r>
    </w:p>
    <w:p w:rsidR="001B70C1" w:rsidRPr="004C33D1" w:rsidRDefault="001B70C1" w:rsidP="00E02811">
      <w:pPr>
        <w:pStyle w:val="Caption"/>
      </w:pPr>
      <w:bookmarkStart w:id="172" w:name="_Ref457855287"/>
      <w:r w:rsidRPr="004C33D1">
        <w:t xml:space="preserve">Table </w:t>
      </w:r>
      <w:r w:rsidRPr="004C33D1">
        <w:fldChar w:fldCharType="begin"/>
      </w:r>
      <w:r w:rsidRPr="004C33D1">
        <w:instrText xml:space="preserve"> SEQ Table \* ARABIC </w:instrText>
      </w:r>
      <w:r w:rsidRPr="004C33D1">
        <w:fldChar w:fldCharType="separate"/>
      </w:r>
      <w:r w:rsidR="004D1DDA">
        <w:rPr>
          <w:noProof/>
        </w:rPr>
        <w:t>10</w:t>
      </w:r>
      <w:r w:rsidRPr="004C33D1">
        <w:fldChar w:fldCharType="end"/>
      </w:r>
      <w:bookmarkEnd w:id="172"/>
      <w:r w:rsidRPr="004C33D1">
        <w:t xml:space="preserve"> Land values in 200m buffers inside and outside industrial zone boundaries</w:t>
      </w:r>
    </w:p>
    <w:tbl>
      <w:tblPr>
        <w:tblW w:w="5000" w:type="pct"/>
        <w:tblInd w:w="113" w:type="dxa"/>
        <w:tblLayout w:type="fixed"/>
        <w:tblCellMar>
          <w:top w:w="28" w:type="dxa"/>
          <w:left w:w="28" w:type="dxa"/>
          <w:bottom w:w="28" w:type="dxa"/>
          <w:right w:w="28" w:type="dxa"/>
        </w:tblCellMar>
        <w:tblLook w:val="04E0" w:firstRow="1" w:lastRow="1" w:firstColumn="1" w:lastColumn="0" w:noHBand="0" w:noVBand="1"/>
      </w:tblPr>
      <w:tblGrid>
        <w:gridCol w:w="2155"/>
        <w:gridCol w:w="1530"/>
        <w:gridCol w:w="1531"/>
        <w:gridCol w:w="1530"/>
        <w:gridCol w:w="1531"/>
      </w:tblGrid>
      <w:tr w:rsidR="001B70C1" w:rsidRPr="004C33D1" w:rsidTr="008E325E">
        <w:trPr>
          <w:trHeight w:val="320"/>
          <w:tblHeader/>
        </w:trPr>
        <w:tc>
          <w:tcPr>
            <w:tcW w:w="1302" w:type="pct"/>
            <w:tcBorders>
              <w:bottom w:val="single" w:sz="8" w:space="0" w:color="A6A6A6"/>
            </w:tcBorders>
            <w:shd w:val="clear" w:color="auto" w:fill="auto"/>
            <w:noWrap/>
            <w:vAlign w:val="bottom"/>
            <w:hideMark/>
          </w:tcPr>
          <w:p w:rsidR="001B70C1" w:rsidRPr="004C33D1" w:rsidRDefault="001B70C1" w:rsidP="008E325E">
            <w:pPr>
              <w:pStyle w:val="TableText"/>
              <w:rPr>
                <w:b/>
                <w:color w:val="780000"/>
              </w:rPr>
            </w:pPr>
            <w:r w:rsidRPr="004C33D1">
              <w:rPr>
                <w:b/>
                <w:color w:val="780000"/>
              </w:rPr>
              <w:t>Industrial zone location</w:t>
            </w:r>
          </w:p>
        </w:tc>
        <w:tc>
          <w:tcPr>
            <w:tcW w:w="924" w:type="pct"/>
            <w:tcBorders>
              <w:bottom w:val="single" w:sz="8" w:space="0" w:color="A6A6A6"/>
            </w:tcBorders>
            <w:shd w:val="clear" w:color="auto" w:fill="auto"/>
            <w:noWrap/>
            <w:vAlign w:val="bottom"/>
            <w:hideMark/>
          </w:tcPr>
          <w:p w:rsidR="001B70C1" w:rsidRPr="004C33D1" w:rsidRDefault="001B70C1" w:rsidP="008E325E">
            <w:pPr>
              <w:pStyle w:val="TableText"/>
              <w:jc w:val="center"/>
              <w:rPr>
                <w:b/>
                <w:color w:val="780000"/>
              </w:rPr>
            </w:pPr>
            <w:r w:rsidRPr="004C33D1">
              <w:rPr>
                <w:b/>
                <w:color w:val="780000"/>
              </w:rPr>
              <w:t>Mean inside industrial zone ($/m2)</w:t>
            </w:r>
          </w:p>
        </w:tc>
        <w:tc>
          <w:tcPr>
            <w:tcW w:w="925" w:type="pct"/>
            <w:tcBorders>
              <w:bottom w:val="single" w:sz="8" w:space="0" w:color="A6A6A6"/>
            </w:tcBorders>
            <w:shd w:val="clear" w:color="auto" w:fill="auto"/>
            <w:noWrap/>
            <w:vAlign w:val="bottom"/>
            <w:hideMark/>
          </w:tcPr>
          <w:p w:rsidR="001B70C1" w:rsidRPr="004C33D1" w:rsidRDefault="001B70C1" w:rsidP="008E325E">
            <w:pPr>
              <w:pStyle w:val="TableText"/>
              <w:jc w:val="center"/>
              <w:rPr>
                <w:b/>
                <w:color w:val="780000"/>
              </w:rPr>
            </w:pPr>
            <w:r w:rsidRPr="004C33D1">
              <w:rPr>
                <w:b/>
                <w:color w:val="780000"/>
              </w:rPr>
              <w:t>Mean outside industrial zone ($/m2)</w:t>
            </w:r>
          </w:p>
        </w:tc>
        <w:tc>
          <w:tcPr>
            <w:tcW w:w="924" w:type="pct"/>
            <w:tcBorders>
              <w:bottom w:val="single" w:sz="8" w:space="0" w:color="A6A6A6"/>
            </w:tcBorders>
            <w:shd w:val="clear" w:color="auto" w:fill="auto"/>
            <w:noWrap/>
            <w:vAlign w:val="bottom"/>
            <w:hideMark/>
          </w:tcPr>
          <w:p w:rsidR="001B70C1" w:rsidRPr="004C33D1" w:rsidRDefault="001B70C1" w:rsidP="008E325E">
            <w:pPr>
              <w:pStyle w:val="TableText"/>
              <w:jc w:val="center"/>
              <w:rPr>
                <w:b/>
                <w:color w:val="780000"/>
              </w:rPr>
            </w:pPr>
            <w:r w:rsidRPr="004C33D1">
              <w:rPr>
                <w:b/>
                <w:color w:val="780000"/>
              </w:rPr>
              <w:t>Difference ($/m2)</w:t>
            </w:r>
          </w:p>
        </w:tc>
        <w:tc>
          <w:tcPr>
            <w:tcW w:w="925" w:type="pct"/>
            <w:tcBorders>
              <w:bottom w:val="single" w:sz="8" w:space="0" w:color="A6A6A6"/>
            </w:tcBorders>
            <w:shd w:val="clear" w:color="auto" w:fill="auto"/>
            <w:noWrap/>
            <w:vAlign w:val="bottom"/>
            <w:hideMark/>
          </w:tcPr>
          <w:p w:rsidR="001B70C1" w:rsidRPr="004C33D1" w:rsidRDefault="001B70C1" w:rsidP="008E325E">
            <w:pPr>
              <w:pStyle w:val="TableText"/>
              <w:jc w:val="center"/>
              <w:rPr>
                <w:b/>
                <w:color w:val="780000"/>
              </w:rPr>
            </w:pPr>
            <w:r w:rsidRPr="004C33D1">
              <w:rPr>
                <w:b/>
                <w:color w:val="780000"/>
              </w:rPr>
              <w:t>Ratio</w:t>
            </w:r>
          </w:p>
        </w:tc>
      </w:tr>
      <w:tr w:rsidR="001B70C1" w:rsidRPr="004C33D1" w:rsidTr="001B70C1">
        <w:tblPrEx>
          <w:tblCellMar>
            <w:top w:w="0" w:type="dxa"/>
            <w:left w:w="0" w:type="dxa"/>
            <w:bottom w:w="0" w:type="dxa"/>
            <w:right w:w="0" w:type="dxa"/>
          </w:tblCellMar>
        </w:tblPrEx>
        <w:trPr>
          <w:trHeight w:val="320"/>
        </w:trPr>
        <w:tc>
          <w:tcPr>
            <w:tcW w:w="1302" w:type="pct"/>
            <w:shd w:val="clear" w:color="auto" w:fill="auto"/>
            <w:noWrap/>
            <w:hideMark/>
          </w:tcPr>
          <w:p w:rsidR="001B70C1" w:rsidRPr="004C33D1" w:rsidRDefault="001B70C1" w:rsidP="001B70C1">
            <w:pPr>
              <w:pStyle w:val="TableText"/>
            </w:pPr>
            <w:r w:rsidRPr="004C33D1">
              <w:t>Glenbrook Steel Mill</w:t>
            </w:r>
          </w:p>
        </w:tc>
        <w:tc>
          <w:tcPr>
            <w:tcW w:w="924" w:type="pct"/>
            <w:shd w:val="clear" w:color="auto" w:fill="auto"/>
            <w:noWrap/>
            <w:hideMark/>
          </w:tcPr>
          <w:p w:rsidR="001B70C1" w:rsidRPr="004C33D1" w:rsidRDefault="001B70C1" w:rsidP="008E325E">
            <w:pPr>
              <w:pStyle w:val="TableText"/>
              <w:jc w:val="center"/>
            </w:pPr>
            <w:r w:rsidRPr="004C33D1">
              <w:t>$37.92</w:t>
            </w:r>
          </w:p>
        </w:tc>
        <w:tc>
          <w:tcPr>
            <w:tcW w:w="925" w:type="pct"/>
            <w:shd w:val="clear" w:color="auto" w:fill="auto"/>
            <w:noWrap/>
            <w:hideMark/>
          </w:tcPr>
          <w:p w:rsidR="001B70C1" w:rsidRPr="004C33D1" w:rsidRDefault="001B70C1" w:rsidP="008E325E">
            <w:pPr>
              <w:pStyle w:val="TableText"/>
              <w:jc w:val="center"/>
            </w:pPr>
            <w:r w:rsidRPr="004C33D1">
              <w:t>$9.29</w:t>
            </w:r>
          </w:p>
        </w:tc>
        <w:tc>
          <w:tcPr>
            <w:tcW w:w="924" w:type="pct"/>
            <w:shd w:val="clear" w:color="auto" w:fill="auto"/>
            <w:noWrap/>
            <w:hideMark/>
          </w:tcPr>
          <w:p w:rsidR="001B70C1" w:rsidRPr="004C33D1" w:rsidRDefault="001B70C1" w:rsidP="008E325E">
            <w:pPr>
              <w:pStyle w:val="TableText"/>
              <w:jc w:val="center"/>
            </w:pPr>
            <w:r w:rsidRPr="004C33D1">
              <w:t>-$28.63</w:t>
            </w:r>
          </w:p>
        </w:tc>
        <w:tc>
          <w:tcPr>
            <w:tcW w:w="925" w:type="pct"/>
            <w:shd w:val="clear" w:color="auto" w:fill="auto"/>
            <w:noWrap/>
            <w:hideMark/>
          </w:tcPr>
          <w:p w:rsidR="001B70C1" w:rsidRPr="004C33D1" w:rsidRDefault="001B70C1" w:rsidP="008E325E">
            <w:pPr>
              <w:pStyle w:val="TableText"/>
              <w:jc w:val="center"/>
            </w:pPr>
            <w:r w:rsidRPr="004C33D1">
              <w:t>0.24</w:t>
            </w:r>
          </w:p>
        </w:tc>
      </w:tr>
      <w:tr w:rsidR="001B70C1" w:rsidRPr="004C33D1" w:rsidTr="001B70C1">
        <w:tblPrEx>
          <w:tblCellMar>
            <w:top w:w="0" w:type="dxa"/>
            <w:left w:w="0" w:type="dxa"/>
            <w:bottom w:w="0" w:type="dxa"/>
            <w:right w:w="0" w:type="dxa"/>
          </w:tblCellMar>
        </w:tblPrEx>
        <w:trPr>
          <w:trHeight w:val="320"/>
        </w:trPr>
        <w:tc>
          <w:tcPr>
            <w:tcW w:w="1302" w:type="pct"/>
            <w:shd w:val="clear" w:color="auto" w:fill="auto"/>
            <w:noWrap/>
            <w:hideMark/>
          </w:tcPr>
          <w:p w:rsidR="001B70C1" w:rsidRPr="004C33D1" w:rsidRDefault="001B70C1" w:rsidP="001B70C1">
            <w:pPr>
              <w:pStyle w:val="TableText"/>
            </w:pPr>
            <w:r w:rsidRPr="004C33D1">
              <w:t>Takanini</w:t>
            </w:r>
          </w:p>
        </w:tc>
        <w:tc>
          <w:tcPr>
            <w:tcW w:w="924" w:type="pct"/>
            <w:shd w:val="clear" w:color="auto" w:fill="auto"/>
            <w:noWrap/>
            <w:hideMark/>
          </w:tcPr>
          <w:p w:rsidR="001B70C1" w:rsidRPr="004C33D1" w:rsidRDefault="001B70C1" w:rsidP="008E325E">
            <w:pPr>
              <w:pStyle w:val="TableText"/>
              <w:jc w:val="center"/>
            </w:pPr>
            <w:r w:rsidRPr="004C33D1">
              <w:t>$359.14</w:t>
            </w:r>
          </w:p>
        </w:tc>
        <w:tc>
          <w:tcPr>
            <w:tcW w:w="925" w:type="pct"/>
            <w:shd w:val="clear" w:color="auto" w:fill="auto"/>
            <w:noWrap/>
            <w:hideMark/>
          </w:tcPr>
          <w:p w:rsidR="001B70C1" w:rsidRPr="004C33D1" w:rsidRDefault="001B70C1" w:rsidP="008E325E">
            <w:pPr>
              <w:pStyle w:val="TableText"/>
              <w:jc w:val="center"/>
            </w:pPr>
            <w:r w:rsidRPr="004C33D1">
              <w:t>$216.37</w:t>
            </w:r>
          </w:p>
        </w:tc>
        <w:tc>
          <w:tcPr>
            <w:tcW w:w="924" w:type="pct"/>
            <w:shd w:val="clear" w:color="auto" w:fill="auto"/>
            <w:noWrap/>
            <w:hideMark/>
          </w:tcPr>
          <w:p w:rsidR="001B70C1" w:rsidRPr="004C33D1" w:rsidRDefault="001B70C1" w:rsidP="008E325E">
            <w:pPr>
              <w:pStyle w:val="TableText"/>
              <w:jc w:val="center"/>
            </w:pPr>
            <w:r w:rsidRPr="004C33D1">
              <w:t>-$142.76</w:t>
            </w:r>
          </w:p>
        </w:tc>
        <w:tc>
          <w:tcPr>
            <w:tcW w:w="925" w:type="pct"/>
            <w:shd w:val="clear" w:color="auto" w:fill="auto"/>
            <w:noWrap/>
            <w:hideMark/>
          </w:tcPr>
          <w:p w:rsidR="001B70C1" w:rsidRPr="004C33D1" w:rsidRDefault="001B70C1" w:rsidP="008E325E">
            <w:pPr>
              <w:pStyle w:val="TableText"/>
              <w:jc w:val="center"/>
            </w:pPr>
            <w:r w:rsidRPr="004C33D1">
              <w:t>0.60</w:t>
            </w:r>
          </w:p>
        </w:tc>
      </w:tr>
      <w:tr w:rsidR="001B70C1" w:rsidRPr="004C33D1" w:rsidTr="001B70C1">
        <w:tblPrEx>
          <w:tblCellMar>
            <w:top w:w="0" w:type="dxa"/>
            <w:left w:w="0" w:type="dxa"/>
            <w:bottom w:w="0" w:type="dxa"/>
            <w:right w:w="0" w:type="dxa"/>
          </w:tblCellMar>
        </w:tblPrEx>
        <w:trPr>
          <w:trHeight w:val="320"/>
        </w:trPr>
        <w:tc>
          <w:tcPr>
            <w:tcW w:w="1302" w:type="pct"/>
            <w:shd w:val="clear" w:color="auto" w:fill="auto"/>
            <w:noWrap/>
            <w:hideMark/>
          </w:tcPr>
          <w:p w:rsidR="001B70C1" w:rsidRPr="004C33D1" w:rsidRDefault="001B70C1" w:rsidP="001B70C1">
            <w:pPr>
              <w:pStyle w:val="TableText"/>
            </w:pPr>
            <w:proofErr w:type="spellStart"/>
            <w:r w:rsidRPr="004C33D1">
              <w:t>Manukau</w:t>
            </w:r>
            <w:proofErr w:type="spellEnd"/>
          </w:p>
        </w:tc>
        <w:tc>
          <w:tcPr>
            <w:tcW w:w="924" w:type="pct"/>
            <w:shd w:val="clear" w:color="auto" w:fill="auto"/>
            <w:noWrap/>
            <w:hideMark/>
          </w:tcPr>
          <w:p w:rsidR="001B70C1" w:rsidRPr="004C33D1" w:rsidRDefault="001B70C1" w:rsidP="008E325E">
            <w:pPr>
              <w:pStyle w:val="TableText"/>
              <w:jc w:val="center"/>
            </w:pPr>
            <w:r w:rsidRPr="004C33D1">
              <w:t>$138.15</w:t>
            </w:r>
          </w:p>
        </w:tc>
        <w:tc>
          <w:tcPr>
            <w:tcW w:w="925" w:type="pct"/>
            <w:shd w:val="clear" w:color="auto" w:fill="auto"/>
            <w:noWrap/>
            <w:hideMark/>
          </w:tcPr>
          <w:p w:rsidR="001B70C1" w:rsidRPr="004C33D1" w:rsidRDefault="001B70C1" w:rsidP="008E325E">
            <w:pPr>
              <w:pStyle w:val="TableText"/>
              <w:jc w:val="center"/>
            </w:pPr>
            <w:r w:rsidRPr="004C33D1">
              <w:t>$218.93</w:t>
            </w:r>
          </w:p>
        </w:tc>
        <w:tc>
          <w:tcPr>
            <w:tcW w:w="924" w:type="pct"/>
            <w:shd w:val="clear" w:color="auto" w:fill="auto"/>
            <w:noWrap/>
            <w:hideMark/>
          </w:tcPr>
          <w:p w:rsidR="001B70C1" w:rsidRPr="004C33D1" w:rsidRDefault="001B70C1" w:rsidP="008E325E">
            <w:pPr>
              <w:pStyle w:val="TableText"/>
              <w:jc w:val="center"/>
            </w:pPr>
            <w:r w:rsidRPr="004C33D1">
              <w:t>$80.78</w:t>
            </w:r>
          </w:p>
        </w:tc>
        <w:tc>
          <w:tcPr>
            <w:tcW w:w="925" w:type="pct"/>
            <w:shd w:val="clear" w:color="auto" w:fill="auto"/>
            <w:noWrap/>
            <w:hideMark/>
          </w:tcPr>
          <w:p w:rsidR="001B70C1" w:rsidRPr="004C33D1" w:rsidRDefault="001B70C1" w:rsidP="008E325E">
            <w:pPr>
              <w:pStyle w:val="TableText"/>
              <w:jc w:val="center"/>
            </w:pPr>
            <w:r w:rsidRPr="004C33D1">
              <w:t>1.58</w:t>
            </w:r>
          </w:p>
        </w:tc>
      </w:tr>
      <w:tr w:rsidR="001B70C1" w:rsidRPr="004C33D1" w:rsidTr="001B70C1">
        <w:tblPrEx>
          <w:tblCellMar>
            <w:top w:w="0" w:type="dxa"/>
            <w:left w:w="0" w:type="dxa"/>
            <w:bottom w:w="0" w:type="dxa"/>
            <w:right w:w="0" w:type="dxa"/>
          </w:tblCellMar>
        </w:tblPrEx>
        <w:trPr>
          <w:trHeight w:val="320"/>
        </w:trPr>
        <w:tc>
          <w:tcPr>
            <w:tcW w:w="1302" w:type="pct"/>
            <w:shd w:val="clear" w:color="auto" w:fill="auto"/>
            <w:noWrap/>
            <w:hideMark/>
          </w:tcPr>
          <w:p w:rsidR="001B70C1" w:rsidRPr="004C33D1" w:rsidRDefault="001B70C1" w:rsidP="001B70C1">
            <w:pPr>
              <w:pStyle w:val="TableText"/>
            </w:pPr>
            <w:r w:rsidRPr="004C33D1">
              <w:t>Airport</w:t>
            </w:r>
          </w:p>
        </w:tc>
        <w:tc>
          <w:tcPr>
            <w:tcW w:w="924" w:type="pct"/>
            <w:shd w:val="clear" w:color="auto" w:fill="auto"/>
            <w:noWrap/>
            <w:hideMark/>
          </w:tcPr>
          <w:p w:rsidR="001B70C1" w:rsidRPr="004C33D1" w:rsidRDefault="001B70C1" w:rsidP="008E325E">
            <w:pPr>
              <w:pStyle w:val="TableText"/>
              <w:jc w:val="center"/>
            </w:pPr>
            <w:r w:rsidRPr="004C33D1">
              <w:t>$167.04</w:t>
            </w:r>
          </w:p>
        </w:tc>
        <w:tc>
          <w:tcPr>
            <w:tcW w:w="925" w:type="pct"/>
            <w:shd w:val="clear" w:color="auto" w:fill="auto"/>
            <w:noWrap/>
            <w:hideMark/>
          </w:tcPr>
          <w:p w:rsidR="001B70C1" w:rsidRPr="004C33D1" w:rsidRDefault="001B70C1" w:rsidP="008E325E">
            <w:pPr>
              <w:pStyle w:val="TableText"/>
              <w:jc w:val="center"/>
            </w:pPr>
            <w:r w:rsidRPr="004C33D1">
              <w:t>$230.68</w:t>
            </w:r>
          </w:p>
        </w:tc>
        <w:tc>
          <w:tcPr>
            <w:tcW w:w="924" w:type="pct"/>
            <w:shd w:val="clear" w:color="auto" w:fill="auto"/>
            <w:noWrap/>
            <w:hideMark/>
          </w:tcPr>
          <w:p w:rsidR="001B70C1" w:rsidRPr="004C33D1" w:rsidRDefault="001B70C1" w:rsidP="008E325E">
            <w:pPr>
              <w:pStyle w:val="TableText"/>
              <w:jc w:val="center"/>
            </w:pPr>
            <w:r w:rsidRPr="004C33D1">
              <w:t>$63.64</w:t>
            </w:r>
          </w:p>
        </w:tc>
        <w:tc>
          <w:tcPr>
            <w:tcW w:w="925" w:type="pct"/>
            <w:shd w:val="clear" w:color="auto" w:fill="auto"/>
            <w:noWrap/>
            <w:hideMark/>
          </w:tcPr>
          <w:p w:rsidR="001B70C1" w:rsidRPr="004C33D1" w:rsidRDefault="001B70C1" w:rsidP="008E325E">
            <w:pPr>
              <w:pStyle w:val="TableText"/>
              <w:jc w:val="center"/>
            </w:pPr>
            <w:r w:rsidRPr="004C33D1">
              <w:t>1.38</w:t>
            </w:r>
          </w:p>
        </w:tc>
      </w:tr>
      <w:tr w:rsidR="001B70C1" w:rsidRPr="004C33D1" w:rsidTr="001B70C1">
        <w:tblPrEx>
          <w:tblCellMar>
            <w:top w:w="0" w:type="dxa"/>
            <w:left w:w="0" w:type="dxa"/>
            <w:bottom w:w="0" w:type="dxa"/>
            <w:right w:w="0" w:type="dxa"/>
          </w:tblCellMar>
        </w:tblPrEx>
        <w:trPr>
          <w:trHeight w:val="320"/>
        </w:trPr>
        <w:tc>
          <w:tcPr>
            <w:tcW w:w="1302" w:type="pct"/>
            <w:shd w:val="clear" w:color="auto" w:fill="auto"/>
            <w:noWrap/>
            <w:hideMark/>
          </w:tcPr>
          <w:p w:rsidR="001B70C1" w:rsidRPr="004C33D1" w:rsidRDefault="001B70C1" w:rsidP="001B70C1">
            <w:pPr>
              <w:pStyle w:val="TableText"/>
            </w:pPr>
            <w:r w:rsidRPr="004C33D1">
              <w:t>East Tamaki</w:t>
            </w:r>
          </w:p>
        </w:tc>
        <w:tc>
          <w:tcPr>
            <w:tcW w:w="924" w:type="pct"/>
            <w:shd w:val="clear" w:color="auto" w:fill="auto"/>
            <w:noWrap/>
            <w:hideMark/>
          </w:tcPr>
          <w:p w:rsidR="001B70C1" w:rsidRPr="004C33D1" w:rsidRDefault="001B70C1" w:rsidP="008E325E">
            <w:pPr>
              <w:pStyle w:val="TableText"/>
              <w:jc w:val="center"/>
            </w:pPr>
            <w:r w:rsidRPr="004C33D1">
              <w:t>$114.81</w:t>
            </w:r>
          </w:p>
        </w:tc>
        <w:tc>
          <w:tcPr>
            <w:tcW w:w="925" w:type="pct"/>
            <w:shd w:val="clear" w:color="auto" w:fill="auto"/>
            <w:noWrap/>
            <w:hideMark/>
          </w:tcPr>
          <w:p w:rsidR="001B70C1" w:rsidRPr="004C33D1" w:rsidRDefault="001B70C1" w:rsidP="008E325E">
            <w:pPr>
              <w:pStyle w:val="TableText"/>
              <w:jc w:val="center"/>
            </w:pPr>
            <w:r w:rsidRPr="004C33D1">
              <w:t>$370.69</w:t>
            </w:r>
          </w:p>
        </w:tc>
        <w:tc>
          <w:tcPr>
            <w:tcW w:w="924" w:type="pct"/>
            <w:shd w:val="clear" w:color="auto" w:fill="auto"/>
            <w:noWrap/>
            <w:hideMark/>
          </w:tcPr>
          <w:p w:rsidR="001B70C1" w:rsidRPr="004C33D1" w:rsidRDefault="001B70C1" w:rsidP="008E325E">
            <w:pPr>
              <w:pStyle w:val="TableText"/>
              <w:jc w:val="center"/>
            </w:pPr>
            <w:r w:rsidRPr="004C33D1">
              <w:t>$255.88</w:t>
            </w:r>
          </w:p>
        </w:tc>
        <w:tc>
          <w:tcPr>
            <w:tcW w:w="925" w:type="pct"/>
            <w:shd w:val="clear" w:color="auto" w:fill="auto"/>
            <w:noWrap/>
            <w:hideMark/>
          </w:tcPr>
          <w:p w:rsidR="001B70C1" w:rsidRPr="004C33D1" w:rsidRDefault="001B70C1" w:rsidP="008E325E">
            <w:pPr>
              <w:pStyle w:val="TableText"/>
              <w:jc w:val="center"/>
            </w:pPr>
            <w:r w:rsidRPr="004C33D1">
              <w:t>3.23</w:t>
            </w:r>
          </w:p>
        </w:tc>
      </w:tr>
      <w:tr w:rsidR="001B70C1" w:rsidRPr="004C33D1" w:rsidTr="001B70C1">
        <w:tblPrEx>
          <w:tblCellMar>
            <w:top w:w="0" w:type="dxa"/>
            <w:left w:w="0" w:type="dxa"/>
            <w:bottom w:w="0" w:type="dxa"/>
            <w:right w:w="0" w:type="dxa"/>
          </w:tblCellMar>
        </w:tblPrEx>
        <w:trPr>
          <w:trHeight w:val="320"/>
        </w:trPr>
        <w:tc>
          <w:tcPr>
            <w:tcW w:w="1302" w:type="pct"/>
            <w:shd w:val="clear" w:color="auto" w:fill="auto"/>
            <w:noWrap/>
            <w:hideMark/>
          </w:tcPr>
          <w:p w:rsidR="001B70C1" w:rsidRPr="004C33D1" w:rsidRDefault="001B70C1" w:rsidP="001B70C1">
            <w:pPr>
              <w:pStyle w:val="TableText"/>
            </w:pPr>
            <w:r w:rsidRPr="004C33D1">
              <w:t>Onehunga-Penrose-Mt Wellington</w:t>
            </w:r>
          </w:p>
        </w:tc>
        <w:tc>
          <w:tcPr>
            <w:tcW w:w="924" w:type="pct"/>
            <w:shd w:val="clear" w:color="auto" w:fill="auto"/>
            <w:noWrap/>
            <w:hideMark/>
          </w:tcPr>
          <w:p w:rsidR="001B70C1" w:rsidRPr="004C33D1" w:rsidRDefault="001B70C1" w:rsidP="008E325E">
            <w:pPr>
              <w:pStyle w:val="TableText"/>
              <w:jc w:val="center"/>
            </w:pPr>
            <w:r w:rsidRPr="004C33D1">
              <w:t>$218.28</w:t>
            </w:r>
          </w:p>
        </w:tc>
        <w:tc>
          <w:tcPr>
            <w:tcW w:w="925" w:type="pct"/>
            <w:shd w:val="clear" w:color="auto" w:fill="auto"/>
            <w:noWrap/>
            <w:hideMark/>
          </w:tcPr>
          <w:p w:rsidR="001B70C1" w:rsidRPr="004C33D1" w:rsidRDefault="001B70C1" w:rsidP="008E325E">
            <w:pPr>
              <w:pStyle w:val="TableText"/>
              <w:jc w:val="center"/>
            </w:pPr>
            <w:r w:rsidRPr="004C33D1">
              <w:t>$269.01</w:t>
            </w:r>
          </w:p>
        </w:tc>
        <w:tc>
          <w:tcPr>
            <w:tcW w:w="924" w:type="pct"/>
            <w:shd w:val="clear" w:color="auto" w:fill="auto"/>
            <w:noWrap/>
            <w:hideMark/>
          </w:tcPr>
          <w:p w:rsidR="001B70C1" w:rsidRPr="004C33D1" w:rsidRDefault="001B70C1" w:rsidP="008E325E">
            <w:pPr>
              <w:pStyle w:val="TableText"/>
              <w:jc w:val="center"/>
            </w:pPr>
            <w:r w:rsidRPr="004C33D1">
              <w:t>$50.73</w:t>
            </w:r>
          </w:p>
        </w:tc>
        <w:tc>
          <w:tcPr>
            <w:tcW w:w="925" w:type="pct"/>
            <w:shd w:val="clear" w:color="auto" w:fill="auto"/>
            <w:noWrap/>
            <w:hideMark/>
          </w:tcPr>
          <w:p w:rsidR="001B70C1" w:rsidRPr="004C33D1" w:rsidRDefault="001B70C1" w:rsidP="008E325E">
            <w:pPr>
              <w:pStyle w:val="TableText"/>
              <w:jc w:val="center"/>
            </w:pPr>
            <w:r w:rsidRPr="004C33D1">
              <w:t>1.23</w:t>
            </w:r>
          </w:p>
        </w:tc>
      </w:tr>
      <w:tr w:rsidR="001B70C1" w:rsidRPr="004C33D1" w:rsidTr="001B70C1">
        <w:tblPrEx>
          <w:tblCellMar>
            <w:top w:w="0" w:type="dxa"/>
            <w:left w:w="0" w:type="dxa"/>
            <w:bottom w:w="0" w:type="dxa"/>
            <w:right w:w="0" w:type="dxa"/>
          </w:tblCellMar>
        </w:tblPrEx>
        <w:trPr>
          <w:trHeight w:val="320"/>
        </w:trPr>
        <w:tc>
          <w:tcPr>
            <w:tcW w:w="1302" w:type="pct"/>
            <w:shd w:val="clear" w:color="auto" w:fill="auto"/>
            <w:noWrap/>
            <w:hideMark/>
          </w:tcPr>
          <w:p w:rsidR="001B70C1" w:rsidRPr="004C33D1" w:rsidRDefault="001B70C1" w:rsidP="001B70C1">
            <w:pPr>
              <w:pStyle w:val="TableText"/>
            </w:pPr>
            <w:proofErr w:type="spellStart"/>
            <w:r w:rsidRPr="004C33D1">
              <w:t>Te</w:t>
            </w:r>
            <w:proofErr w:type="spellEnd"/>
            <w:r w:rsidRPr="004C33D1">
              <w:t xml:space="preserve"> </w:t>
            </w:r>
            <w:proofErr w:type="spellStart"/>
            <w:r w:rsidRPr="004C33D1">
              <w:t>Atatu</w:t>
            </w:r>
            <w:proofErr w:type="spellEnd"/>
          </w:p>
        </w:tc>
        <w:tc>
          <w:tcPr>
            <w:tcW w:w="924" w:type="pct"/>
            <w:shd w:val="clear" w:color="auto" w:fill="auto"/>
            <w:noWrap/>
            <w:hideMark/>
          </w:tcPr>
          <w:p w:rsidR="001B70C1" w:rsidRPr="004C33D1" w:rsidRDefault="001B70C1" w:rsidP="008E325E">
            <w:pPr>
              <w:pStyle w:val="TableText"/>
              <w:jc w:val="center"/>
            </w:pPr>
            <w:r w:rsidRPr="004C33D1">
              <w:t>$183.68</w:t>
            </w:r>
          </w:p>
        </w:tc>
        <w:tc>
          <w:tcPr>
            <w:tcW w:w="925" w:type="pct"/>
            <w:shd w:val="clear" w:color="auto" w:fill="auto"/>
            <w:noWrap/>
            <w:hideMark/>
          </w:tcPr>
          <w:p w:rsidR="001B70C1" w:rsidRPr="004C33D1" w:rsidRDefault="001B70C1" w:rsidP="008E325E">
            <w:pPr>
              <w:pStyle w:val="TableText"/>
              <w:jc w:val="center"/>
            </w:pPr>
            <w:r w:rsidRPr="004C33D1">
              <w:t>$330.54</w:t>
            </w:r>
          </w:p>
        </w:tc>
        <w:tc>
          <w:tcPr>
            <w:tcW w:w="924" w:type="pct"/>
            <w:shd w:val="clear" w:color="auto" w:fill="auto"/>
            <w:noWrap/>
            <w:hideMark/>
          </w:tcPr>
          <w:p w:rsidR="001B70C1" w:rsidRPr="004C33D1" w:rsidRDefault="001B70C1" w:rsidP="008E325E">
            <w:pPr>
              <w:pStyle w:val="TableText"/>
              <w:jc w:val="center"/>
            </w:pPr>
            <w:r w:rsidRPr="004C33D1">
              <w:t>$146.86</w:t>
            </w:r>
          </w:p>
        </w:tc>
        <w:tc>
          <w:tcPr>
            <w:tcW w:w="925" w:type="pct"/>
            <w:shd w:val="clear" w:color="auto" w:fill="auto"/>
            <w:noWrap/>
            <w:hideMark/>
          </w:tcPr>
          <w:p w:rsidR="001B70C1" w:rsidRPr="004C33D1" w:rsidRDefault="001B70C1" w:rsidP="008E325E">
            <w:pPr>
              <w:pStyle w:val="TableText"/>
              <w:jc w:val="center"/>
            </w:pPr>
            <w:r w:rsidRPr="004C33D1">
              <w:t>1.80</w:t>
            </w:r>
          </w:p>
        </w:tc>
      </w:tr>
      <w:tr w:rsidR="001B70C1" w:rsidRPr="004C33D1" w:rsidTr="001B70C1">
        <w:tblPrEx>
          <w:tblCellMar>
            <w:top w:w="0" w:type="dxa"/>
            <w:left w:w="0" w:type="dxa"/>
            <w:bottom w:w="0" w:type="dxa"/>
            <w:right w:w="0" w:type="dxa"/>
          </w:tblCellMar>
        </w:tblPrEx>
        <w:trPr>
          <w:trHeight w:val="320"/>
        </w:trPr>
        <w:tc>
          <w:tcPr>
            <w:tcW w:w="1302" w:type="pct"/>
            <w:shd w:val="clear" w:color="auto" w:fill="auto"/>
            <w:noWrap/>
            <w:hideMark/>
          </w:tcPr>
          <w:p w:rsidR="001B70C1" w:rsidRPr="004C33D1" w:rsidRDefault="001B70C1" w:rsidP="001B70C1">
            <w:pPr>
              <w:pStyle w:val="TableText"/>
            </w:pPr>
            <w:r w:rsidRPr="004C33D1">
              <w:t>Lincoln Road</w:t>
            </w:r>
          </w:p>
        </w:tc>
        <w:tc>
          <w:tcPr>
            <w:tcW w:w="924" w:type="pct"/>
            <w:shd w:val="clear" w:color="auto" w:fill="auto"/>
            <w:noWrap/>
            <w:hideMark/>
          </w:tcPr>
          <w:p w:rsidR="001B70C1" w:rsidRPr="004C33D1" w:rsidRDefault="001B70C1" w:rsidP="008E325E">
            <w:pPr>
              <w:pStyle w:val="TableText"/>
              <w:jc w:val="center"/>
            </w:pPr>
            <w:r w:rsidRPr="004C33D1">
              <w:t>$159.23</w:t>
            </w:r>
          </w:p>
        </w:tc>
        <w:tc>
          <w:tcPr>
            <w:tcW w:w="925" w:type="pct"/>
            <w:shd w:val="clear" w:color="auto" w:fill="auto"/>
            <w:noWrap/>
            <w:hideMark/>
          </w:tcPr>
          <w:p w:rsidR="001B70C1" w:rsidRPr="004C33D1" w:rsidRDefault="001B70C1" w:rsidP="008E325E">
            <w:pPr>
              <w:pStyle w:val="TableText"/>
              <w:jc w:val="center"/>
            </w:pPr>
            <w:r w:rsidRPr="004C33D1">
              <w:t>$268.91</w:t>
            </w:r>
          </w:p>
        </w:tc>
        <w:tc>
          <w:tcPr>
            <w:tcW w:w="924" w:type="pct"/>
            <w:shd w:val="clear" w:color="auto" w:fill="auto"/>
            <w:noWrap/>
            <w:hideMark/>
          </w:tcPr>
          <w:p w:rsidR="001B70C1" w:rsidRPr="004C33D1" w:rsidRDefault="001B70C1" w:rsidP="008E325E">
            <w:pPr>
              <w:pStyle w:val="TableText"/>
              <w:jc w:val="center"/>
            </w:pPr>
            <w:r w:rsidRPr="004C33D1">
              <w:t>$109.68</w:t>
            </w:r>
          </w:p>
        </w:tc>
        <w:tc>
          <w:tcPr>
            <w:tcW w:w="925" w:type="pct"/>
            <w:shd w:val="clear" w:color="auto" w:fill="auto"/>
            <w:noWrap/>
            <w:hideMark/>
          </w:tcPr>
          <w:p w:rsidR="001B70C1" w:rsidRPr="004C33D1" w:rsidRDefault="001B70C1" w:rsidP="008E325E">
            <w:pPr>
              <w:pStyle w:val="TableText"/>
              <w:jc w:val="center"/>
            </w:pPr>
            <w:r w:rsidRPr="004C33D1">
              <w:t>1.69</w:t>
            </w:r>
          </w:p>
        </w:tc>
      </w:tr>
      <w:tr w:rsidR="001B70C1" w:rsidRPr="004C33D1" w:rsidTr="001B70C1">
        <w:tblPrEx>
          <w:tblCellMar>
            <w:top w:w="0" w:type="dxa"/>
            <w:left w:w="0" w:type="dxa"/>
            <w:bottom w:w="0" w:type="dxa"/>
            <w:right w:w="0" w:type="dxa"/>
          </w:tblCellMar>
        </w:tblPrEx>
        <w:trPr>
          <w:trHeight w:val="320"/>
        </w:trPr>
        <w:tc>
          <w:tcPr>
            <w:tcW w:w="1302" w:type="pct"/>
            <w:shd w:val="clear" w:color="auto" w:fill="auto"/>
            <w:noWrap/>
            <w:hideMark/>
          </w:tcPr>
          <w:p w:rsidR="001B70C1" w:rsidRPr="004C33D1" w:rsidRDefault="001B70C1" w:rsidP="001B70C1">
            <w:pPr>
              <w:pStyle w:val="TableText"/>
            </w:pPr>
            <w:r w:rsidRPr="004C33D1">
              <w:t>Wairau</w:t>
            </w:r>
          </w:p>
        </w:tc>
        <w:tc>
          <w:tcPr>
            <w:tcW w:w="924" w:type="pct"/>
            <w:shd w:val="clear" w:color="auto" w:fill="auto"/>
            <w:noWrap/>
            <w:hideMark/>
          </w:tcPr>
          <w:p w:rsidR="001B70C1" w:rsidRPr="004C33D1" w:rsidRDefault="001B70C1" w:rsidP="008E325E">
            <w:pPr>
              <w:pStyle w:val="TableText"/>
              <w:jc w:val="center"/>
            </w:pPr>
            <w:r w:rsidRPr="004C33D1">
              <w:t>$202.01</w:t>
            </w:r>
          </w:p>
        </w:tc>
        <w:tc>
          <w:tcPr>
            <w:tcW w:w="925" w:type="pct"/>
            <w:shd w:val="clear" w:color="auto" w:fill="auto"/>
            <w:noWrap/>
            <w:hideMark/>
          </w:tcPr>
          <w:p w:rsidR="001B70C1" w:rsidRPr="004C33D1" w:rsidRDefault="001B70C1" w:rsidP="008E325E">
            <w:pPr>
              <w:pStyle w:val="TableText"/>
              <w:jc w:val="center"/>
            </w:pPr>
            <w:r w:rsidRPr="004C33D1">
              <w:t>$294.08</w:t>
            </w:r>
          </w:p>
        </w:tc>
        <w:tc>
          <w:tcPr>
            <w:tcW w:w="924" w:type="pct"/>
            <w:shd w:val="clear" w:color="auto" w:fill="auto"/>
            <w:noWrap/>
            <w:hideMark/>
          </w:tcPr>
          <w:p w:rsidR="001B70C1" w:rsidRPr="004C33D1" w:rsidRDefault="001B70C1" w:rsidP="008E325E">
            <w:pPr>
              <w:pStyle w:val="TableText"/>
              <w:jc w:val="center"/>
            </w:pPr>
            <w:r w:rsidRPr="004C33D1">
              <w:t>$92.07</w:t>
            </w:r>
          </w:p>
        </w:tc>
        <w:tc>
          <w:tcPr>
            <w:tcW w:w="925" w:type="pct"/>
            <w:shd w:val="clear" w:color="auto" w:fill="auto"/>
            <w:noWrap/>
            <w:hideMark/>
          </w:tcPr>
          <w:p w:rsidR="001B70C1" w:rsidRPr="004C33D1" w:rsidRDefault="001B70C1" w:rsidP="008E325E">
            <w:pPr>
              <w:pStyle w:val="TableText"/>
              <w:jc w:val="center"/>
            </w:pPr>
            <w:r w:rsidRPr="004C33D1">
              <w:t>1.46</w:t>
            </w:r>
          </w:p>
        </w:tc>
      </w:tr>
      <w:tr w:rsidR="001B70C1" w:rsidRPr="004C33D1" w:rsidTr="001B70C1">
        <w:tblPrEx>
          <w:tblCellMar>
            <w:top w:w="0" w:type="dxa"/>
            <w:left w:w="0" w:type="dxa"/>
            <w:bottom w:w="0" w:type="dxa"/>
            <w:right w:w="0" w:type="dxa"/>
          </w:tblCellMar>
        </w:tblPrEx>
        <w:trPr>
          <w:trHeight w:val="320"/>
        </w:trPr>
        <w:tc>
          <w:tcPr>
            <w:tcW w:w="1302" w:type="pct"/>
            <w:tcBorders>
              <w:bottom w:val="single" w:sz="12" w:space="0" w:color="A6A6A6"/>
            </w:tcBorders>
            <w:shd w:val="clear" w:color="auto" w:fill="auto"/>
            <w:noWrap/>
            <w:hideMark/>
          </w:tcPr>
          <w:p w:rsidR="001B70C1" w:rsidRPr="004C33D1" w:rsidRDefault="001B70C1" w:rsidP="001B70C1">
            <w:pPr>
              <w:pStyle w:val="TableText"/>
            </w:pPr>
            <w:r w:rsidRPr="004C33D1">
              <w:t>Albany-Rosedale</w:t>
            </w:r>
          </w:p>
        </w:tc>
        <w:tc>
          <w:tcPr>
            <w:tcW w:w="924" w:type="pct"/>
            <w:tcBorders>
              <w:bottom w:val="single" w:sz="12" w:space="0" w:color="A6A6A6"/>
            </w:tcBorders>
            <w:shd w:val="clear" w:color="auto" w:fill="auto"/>
            <w:noWrap/>
            <w:hideMark/>
          </w:tcPr>
          <w:p w:rsidR="001B70C1" w:rsidRPr="004C33D1" w:rsidRDefault="001B70C1" w:rsidP="008E325E">
            <w:pPr>
              <w:pStyle w:val="TableText"/>
              <w:jc w:val="center"/>
            </w:pPr>
            <w:r w:rsidRPr="004C33D1">
              <w:t>$103.31</w:t>
            </w:r>
          </w:p>
        </w:tc>
        <w:tc>
          <w:tcPr>
            <w:tcW w:w="925" w:type="pct"/>
            <w:tcBorders>
              <w:bottom w:val="single" w:sz="12" w:space="0" w:color="A6A6A6"/>
            </w:tcBorders>
            <w:shd w:val="clear" w:color="auto" w:fill="auto"/>
            <w:noWrap/>
            <w:hideMark/>
          </w:tcPr>
          <w:p w:rsidR="001B70C1" w:rsidRPr="004C33D1" w:rsidRDefault="001B70C1" w:rsidP="008E325E">
            <w:pPr>
              <w:pStyle w:val="TableText"/>
              <w:jc w:val="center"/>
            </w:pPr>
            <w:r w:rsidRPr="004C33D1">
              <w:t>$327.91</w:t>
            </w:r>
          </w:p>
        </w:tc>
        <w:tc>
          <w:tcPr>
            <w:tcW w:w="924" w:type="pct"/>
            <w:tcBorders>
              <w:bottom w:val="single" w:sz="12" w:space="0" w:color="A6A6A6"/>
            </w:tcBorders>
            <w:shd w:val="clear" w:color="auto" w:fill="auto"/>
            <w:noWrap/>
            <w:hideMark/>
          </w:tcPr>
          <w:p w:rsidR="001B70C1" w:rsidRPr="004C33D1" w:rsidRDefault="001B70C1" w:rsidP="008E325E">
            <w:pPr>
              <w:pStyle w:val="TableText"/>
              <w:jc w:val="center"/>
            </w:pPr>
            <w:r w:rsidRPr="004C33D1">
              <w:t>$224.59</w:t>
            </w:r>
          </w:p>
        </w:tc>
        <w:tc>
          <w:tcPr>
            <w:tcW w:w="925" w:type="pct"/>
            <w:tcBorders>
              <w:bottom w:val="single" w:sz="12" w:space="0" w:color="A6A6A6"/>
            </w:tcBorders>
            <w:shd w:val="clear" w:color="auto" w:fill="auto"/>
            <w:noWrap/>
            <w:hideMark/>
          </w:tcPr>
          <w:p w:rsidR="001B70C1" w:rsidRPr="004C33D1" w:rsidRDefault="001B70C1" w:rsidP="008E325E">
            <w:pPr>
              <w:pStyle w:val="TableText"/>
              <w:jc w:val="center"/>
            </w:pPr>
            <w:r w:rsidRPr="004C33D1">
              <w:t>3.17</w:t>
            </w:r>
          </w:p>
        </w:tc>
      </w:tr>
    </w:tbl>
    <w:p w:rsidR="001B70C1" w:rsidRPr="004C33D1" w:rsidRDefault="00E34212" w:rsidP="001B70C1">
      <w:r>
        <w:rPr>
          <w:sz w:val="18"/>
          <w:szCs w:val="18"/>
        </w:rPr>
        <w:t xml:space="preserve">Source: </w:t>
      </w:r>
      <w:r w:rsidRPr="004607F2">
        <w:rPr>
          <w:sz w:val="18"/>
          <w:szCs w:val="18"/>
        </w:rPr>
        <w:t xml:space="preserve">Analysis </w:t>
      </w:r>
      <w:r w:rsidRPr="001572EF">
        <w:rPr>
          <w:sz w:val="18"/>
          <w:szCs w:val="18"/>
        </w:rPr>
        <w:t xml:space="preserve">of </w:t>
      </w:r>
      <w:r w:rsidRPr="004607F2">
        <w:rPr>
          <w:sz w:val="18"/>
          <w:szCs w:val="18"/>
        </w:rPr>
        <w:t xml:space="preserve">2011 </w:t>
      </w:r>
      <w:r>
        <w:rPr>
          <w:sz w:val="18"/>
          <w:szCs w:val="18"/>
        </w:rPr>
        <w:t>Auckland Council valuation data</w:t>
      </w:r>
    </w:p>
    <w:p w:rsidR="00E34212" w:rsidRDefault="00E34212" w:rsidP="001B70C1"/>
    <w:p w:rsidR="001B70C1" w:rsidRPr="004C33D1" w:rsidRDefault="001B70C1" w:rsidP="001B70C1">
      <w:r w:rsidRPr="004C33D1">
        <w:t xml:space="preserve">One potential interpretation of this analysis is that, in some locations but not others, industrial land is in lower demand than land for alternative uses. However, accurately interpreting this measure is likely to require additional analysis to control for the impact of localised negative externalities associated with industrial activities (or other land uses that are co-located with industrial areas) on surrounding residential zones, as well as </w:t>
      </w:r>
      <w:r w:rsidRPr="004C33D1">
        <w:lastRenderedPageBreak/>
        <w:t>the potential for reverse sensitivities from non-industrial uses locating in industrial zones.</w:t>
      </w:r>
    </w:p>
    <w:p w:rsidR="001B70C1" w:rsidRPr="004C33D1" w:rsidRDefault="001B70C1" w:rsidP="001B70C1"/>
    <w:p w:rsidR="001B70C1" w:rsidRPr="004C33D1" w:rsidRDefault="001B70C1" w:rsidP="001B70C1">
      <w:r w:rsidRPr="004C33D1">
        <w:t xml:space="preserve">To conclude, this measure is feasible to calculate using established methodologies. It also provides useful information </w:t>
      </w:r>
      <w:proofErr w:type="gramStart"/>
      <w:r w:rsidRPr="004C33D1">
        <w:t>on the relative balance between demands for residential and business land within cities, which may be helpful in assisting councils to draw linkages between residential demand and capacity assessments and business demand and capacity assessments</w:t>
      </w:r>
      <w:proofErr w:type="gramEnd"/>
      <w:r w:rsidRPr="004C33D1">
        <w:t>. Consequently, it is a good candidate for inclusion in the NPS-UDC or supporting guidance as a price indicator to guide planning.</w:t>
      </w:r>
    </w:p>
    <w:p w:rsidR="001B70C1" w:rsidRPr="004C33D1" w:rsidRDefault="001B70C1" w:rsidP="001B70C1">
      <w:pPr>
        <w:pStyle w:val="Heading3"/>
      </w:pPr>
      <w:r w:rsidRPr="004C33D1">
        <w:t>Discontinuities in section prices around minimum lot size / density controls</w:t>
      </w:r>
    </w:p>
    <w:p w:rsidR="0092074C" w:rsidRPr="004C33D1" w:rsidRDefault="0092074C" w:rsidP="0092074C">
      <w:r w:rsidRPr="004C33D1">
        <w:t>If planning regulations result in a situation in which similar residential lots</w:t>
      </w:r>
      <w:r>
        <w:t xml:space="preserve"> (which </w:t>
      </w:r>
      <w:proofErr w:type="gramStart"/>
      <w:r>
        <w:t>are</w:t>
      </w:r>
      <w:proofErr w:type="gramEnd"/>
      <w:r>
        <w:t xml:space="preserve"> not necessarily adjacent to each other)</w:t>
      </w:r>
      <w:r w:rsidRPr="004C33D1">
        <w:t xml:space="preserve"> have considerably different development potential, they may result in significant differences </w:t>
      </w:r>
      <w:r>
        <w:t xml:space="preserve">in </w:t>
      </w:r>
      <w:r w:rsidRPr="004C33D1">
        <w:t>the price for those lots. However, this is only likely to occur if development capacity is insufficient to meet demands for housing.</w:t>
      </w:r>
    </w:p>
    <w:p w:rsidR="001B70C1" w:rsidRPr="004C33D1" w:rsidRDefault="001B70C1" w:rsidP="001B70C1"/>
    <w:p w:rsidR="001B70C1" w:rsidRPr="004C33D1" w:rsidRDefault="001B70C1" w:rsidP="001B70C1">
      <w:proofErr w:type="spellStart"/>
      <w:r w:rsidRPr="004C33D1">
        <w:t>Brueckner</w:t>
      </w:r>
      <w:proofErr w:type="spellEnd"/>
      <w:r w:rsidRPr="004C33D1">
        <w:t xml:space="preserve"> et al (2015) investigate the impact of floor area ratio (FAR) restrictions on land prices in Chinese cities.</w:t>
      </w:r>
      <w:r w:rsidRPr="004C33D1">
        <w:rPr>
          <w:vertAlign w:val="superscript"/>
        </w:rPr>
        <w:footnoteReference w:id="91"/>
      </w:r>
      <w:r w:rsidRPr="004C33D1">
        <w:t xml:space="preserve"> They use data on land transactions in 200 Chinese cities over the period 2002 to 2011 to estimate the relationship between FAR restrictions and land prices. After controlling for observed and unobserved characteristics of land parcels, they find evidence of discontinuities in land values between similar parcels with different FAR restrictions. This relationship is stronger in some locations than others, indicating that development capacity is more constrained in those places. For example, FAR restrictions have a stronger impact on land prices near the centre of Beijing, where there is greater demand for tall buildings.</w:t>
      </w:r>
    </w:p>
    <w:p w:rsidR="001B70C1" w:rsidRPr="004C33D1" w:rsidRDefault="001B70C1" w:rsidP="001B70C1"/>
    <w:p w:rsidR="001B70C1" w:rsidRPr="004C33D1" w:rsidRDefault="001B70C1" w:rsidP="001B70C1">
      <w:r w:rsidRPr="004C33D1">
        <w:t xml:space="preserve">In New Zealand, there is generally less variation in building height limits </w:t>
      </w:r>
      <w:r w:rsidR="000D75F5">
        <w:t>a</w:t>
      </w:r>
      <w:r w:rsidR="00B97913">
        <w:t>c</w:t>
      </w:r>
      <w:r w:rsidR="000D75F5">
        <w:t>ross</w:t>
      </w:r>
      <w:r w:rsidRPr="004C33D1">
        <w:t xml:space="preserve"> residential zones. Minimum lot sizes and dwelling density controls, which require each new house to have a specified minimum amount of land, are the primary means of regulating the intensity of development.</w:t>
      </w:r>
    </w:p>
    <w:p w:rsidR="001B70C1" w:rsidRPr="004C33D1" w:rsidRDefault="001B70C1" w:rsidP="001B70C1"/>
    <w:p w:rsidR="001B70C1" w:rsidRPr="004C33D1" w:rsidRDefault="001B70C1" w:rsidP="001B70C1">
      <w:r w:rsidRPr="004C33D1">
        <w:t xml:space="preserve">For example, in the </w:t>
      </w:r>
      <w:proofErr w:type="gramStart"/>
      <w:r w:rsidRPr="004C33D1">
        <w:t>proposed</w:t>
      </w:r>
      <w:proofErr w:type="gramEnd"/>
      <w:r w:rsidRPr="004C33D1">
        <w:t xml:space="preserve"> Hamilton District Plan (notified November 2012), the General Residential Zone establishes a minimum lot size of 400m</w:t>
      </w:r>
      <w:r w:rsidRPr="004C33D1">
        <w:rPr>
          <w:vertAlign w:val="superscript"/>
        </w:rPr>
        <w:t>2</w:t>
      </w:r>
      <w:r w:rsidRPr="004C33D1">
        <w:t xml:space="preserve"> per detached dwelling or duplex.</w:t>
      </w:r>
      <w:r w:rsidRPr="004C33D1">
        <w:rPr>
          <w:rStyle w:val="FootnoteReference"/>
        </w:rPr>
        <w:footnoteReference w:id="92"/>
      </w:r>
      <w:r w:rsidRPr="004C33D1">
        <w:t xml:space="preserve"> The Residential Intensification Zone, by contrast, establishes a </w:t>
      </w:r>
      <w:r w:rsidRPr="004C33D1">
        <w:rPr>
          <w:i/>
        </w:rPr>
        <w:t>maximum</w:t>
      </w:r>
      <w:r w:rsidRPr="004C33D1">
        <w:t xml:space="preserve"> lot size of 350m</w:t>
      </w:r>
      <w:r w:rsidRPr="004C33D1">
        <w:rPr>
          <w:vertAlign w:val="superscript"/>
        </w:rPr>
        <w:t>2</w:t>
      </w:r>
      <w:r w:rsidRPr="004C33D1">
        <w:t xml:space="preserve"> per detached dwelling, minimum lot size of 300m</w:t>
      </w:r>
      <w:r w:rsidRPr="00B97913">
        <w:rPr>
          <w:vertAlign w:val="superscript"/>
        </w:rPr>
        <w:t>2</w:t>
      </w:r>
      <w:r w:rsidRPr="004C33D1">
        <w:t xml:space="preserve"> for duplexes, and a minimum land area of 150m</w:t>
      </w:r>
      <w:r w:rsidRPr="004C33D1">
        <w:rPr>
          <w:vertAlign w:val="superscript"/>
        </w:rPr>
        <w:t>2</w:t>
      </w:r>
      <w:r w:rsidRPr="004C33D1">
        <w:t xml:space="preserve"> per unit for apartment buildings.</w:t>
      </w:r>
    </w:p>
    <w:p w:rsidR="001B70C1" w:rsidRPr="004C33D1" w:rsidRDefault="001B70C1" w:rsidP="001B70C1"/>
    <w:p w:rsidR="001B70C1" w:rsidRPr="004C33D1" w:rsidRDefault="001B70C1" w:rsidP="001B70C1">
      <w:r w:rsidRPr="004C33D1">
        <w:lastRenderedPageBreak/>
        <w:t>The practical consequence of this is that, in the General Residential Zone, it is necessary to have a parcel of at least 800m</w:t>
      </w:r>
      <w:r w:rsidRPr="004C33D1">
        <w:rPr>
          <w:vertAlign w:val="superscript"/>
        </w:rPr>
        <w:t>2</w:t>
      </w:r>
      <w:r w:rsidRPr="004C33D1">
        <w:t xml:space="preserve"> before subdivision to two lots </w:t>
      </w:r>
      <w:proofErr w:type="gramStart"/>
      <w:r w:rsidRPr="004C33D1">
        <w:t>is enabled</w:t>
      </w:r>
      <w:proofErr w:type="gramEnd"/>
      <w:r w:rsidRPr="004C33D1">
        <w:t xml:space="preserve"> by the plan. A property with 805m</w:t>
      </w:r>
      <w:r w:rsidRPr="004C33D1">
        <w:rPr>
          <w:vertAlign w:val="superscript"/>
        </w:rPr>
        <w:t>2</w:t>
      </w:r>
      <w:r w:rsidRPr="004C33D1">
        <w:t xml:space="preserve"> of land would have potential for subdivision, while an otherwise identical property with 795m</w:t>
      </w:r>
      <w:r w:rsidRPr="004C33D1">
        <w:rPr>
          <w:vertAlign w:val="superscript"/>
        </w:rPr>
        <w:t>2</w:t>
      </w:r>
      <w:r w:rsidRPr="004C33D1">
        <w:t xml:space="preserve"> of land would not. If properties with subdivision capacity are worth significantly more than properties without, it may indicate that there is unmet demand for subdivision and infill development.</w:t>
      </w:r>
    </w:p>
    <w:p w:rsidR="001B70C1" w:rsidRPr="004C33D1" w:rsidRDefault="001B70C1" w:rsidP="001B70C1"/>
    <w:p w:rsidR="001B70C1" w:rsidRPr="004C33D1" w:rsidRDefault="001B70C1" w:rsidP="001B70C1">
      <w:r w:rsidRPr="004C33D1">
        <w:t>Some district plans establish no minimum lot size / density controls in some residential zones. The Auckland Unitary Plan, as notified in September 2013, included minimum lot size requirements in most residential zones, eg a minimum of 300m</w:t>
      </w:r>
      <w:r w:rsidRPr="004C33D1">
        <w:rPr>
          <w:vertAlign w:val="superscript"/>
        </w:rPr>
        <w:t>2</w:t>
      </w:r>
      <w:r w:rsidRPr="004C33D1">
        <w:t xml:space="preserve"> of land per dwelling in the Mixed Housing Urban zone. However, in its report on the plan, the Independent Hearings Plan recommended removing density controls entirely from most urban and suburban residential zones.</w:t>
      </w:r>
    </w:p>
    <w:p w:rsidR="001B70C1" w:rsidRPr="004C33D1" w:rsidRDefault="001B70C1" w:rsidP="001B70C1"/>
    <w:p w:rsidR="001B70C1" w:rsidRPr="004C33D1" w:rsidRDefault="001B70C1" w:rsidP="001B70C1">
      <w:r w:rsidRPr="004C33D1">
        <w:t>Price discontinuities related to minimum lot size and density rules can be complex to measure and interpret. We discuss some potential approaches to measuring their impact in A</w:t>
      </w:r>
      <w:r w:rsidR="000173B6">
        <w:t xml:space="preserve">nnex </w:t>
      </w:r>
      <w:r w:rsidR="008E325E">
        <w:t>A6</w:t>
      </w:r>
      <w:r w:rsidRPr="004C33D1">
        <w:t xml:space="preserve">, and attempt to demonstrate their implementation using property sales data from Auckland during the period immediately after the Unitary Plan </w:t>
      </w:r>
      <w:proofErr w:type="gramStart"/>
      <w:r w:rsidRPr="004C33D1">
        <w:t>was notified</w:t>
      </w:r>
      <w:proofErr w:type="gramEnd"/>
      <w:r w:rsidRPr="004C33D1">
        <w:t xml:space="preserve"> (end 2013-end 2014). This analysis did not reveal any clear evidence of price discontinuities related to minimum lot sizes or alternative residential zones. However, there are several alternative explanations for this:</w:t>
      </w:r>
    </w:p>
    <w:p w:rsidR="001B70C1" w:rsidRPr="004C33D1" w:rsidRDefault="001B70C1" w:rsidP="001B70C1"/>
    <w:p w:rsidR="001B70C1" w:rsidRPr="004C33D1" w:rsidRDefault="005823B2" w:rsidP="006277DC">
      <w:pPr>
        <w:pStyle w:val="ListParagraph"/>
        <w:numPr>
          <w:ilvl w:val="0"/>
          <w:numId w:val="69"/>
        </w:numPr>
      </w:pPr>
      <w:proofErr w:type="gramStart"/>
      <w:r w:rsidRPr="004C33D1">
        <w:t>it</w:t>
      </w:r>
      <w:proofErr w:type="gramEnd"/>
      <w:r w:rsidRPr="004C33D1">
        <w:t xml:space="preserve"> </w:t>
      </w:r>
      <w:r w:rsidR="001B70C1" w:rsidRPr="004C33D1">
        <w:t>was difficult to measure price discontinuities around the Unitary Plan’s minimum lot size / density controls due to flexibility or ambiguity about what minimum would apply. The notified version of the Proposed Auckland Unitary Plan allows for higher dwelling densities on sites with wider frontages, which we were unable to identify based on property sales data. This creates a potential source of bias in analysis;</w:t>
      </w:r>
    </w:p>
    <w:p w:rsidR="001B70C1" w:rsidRPr="004C33D1" w:rsidRDefault="001B70C1" w:rsidP="001B70C1">
      <w:pPr>
        <w:pStyle w:val="ListParagraph"/>
        <w:numPr>
          <w:ilvl w:val="0"/>
          <w:numId w:val="0"/>
        </w:numPr>
        <w:ind w:left="720"/>
      </w:pPr>
    </w:p>
    <w:p w:rsidR="001B70C1" w:rsidRPr="004C33D1" w:rsidRDefault="001B70C1" w:rsidP="006277DC">
      <w:pPr>
        <w:pStyle w:val="ListParagraph"/>
        <w:numPr>
          <w:ilvl w:val="0"/>
          <w:numId w:val="69"/>
        </w:numPr>
      </w:pPr>
      <w:r w:rsidRPr="004C33D1">
        <w:t>Pe</w:t>
      </w:r>
      <w:r w:rsidR="005823B2" w:rsidRPr="004C33D1">
        <w:t>o</w:t>
      </w:r>
      <w:r w:rsidRPr="004C33D1">
        <w:t xml:space="preserve">ple buying residential property during the 2013-2014 </w:t>
      </w:r>
      <w:proofErr w:type="gramStart"/>
      <w:r w:rsidRPr="004C33D1">
        <w:t>period</w:t>
      </w:r>
      <w:proofErr w:type="gramEnd"/>
      <w:r w:rsidRPr="004C33D1">
        <w:t xml:space="preserve"> did not factor the development controls in the notified Unitary Plan into their price expectations, either because they were not fully aware of the rules or because they expected them to </w:t>
      </w:r>
      <w:r w:rsidR="000173B6">
        <w:t xml:space="preserve">be </w:t>
      </w:r>
      <w:r w:rsidRPr="004C33D1">
        <w:t>amended as a result of hearings processes. In this case, we would not expect to find sharp discontinuities; or</w:t>
      </w:r>
    </w:p>
    <w:p w:rsidR="001B70C1" w:rsidRPr="004C33D1" w:rsidRDefault="001B70C1" w:rsidP="001B70C1"/>
    <w:p w:rsidR="001B70C1" w:rsidRPr="004C33D1" w:rsidRDefault="005823B2" w:rsidP="006277DC">
      <w:pPr>
        <w:pStyle w:val="ListParagraph"/>
        <w:numPr>
          <w:ilvl w:val="0"/>
          <w:numId w:val="69"/>
        </w:numPr>
      </w:pPr>
      <w:proofErr w:type="gramStart"/>
      <w:r w:rsidRPr="004C33D1">
        <w:t>there</w:t>
      </w:r>
      <w:proofErr w:type="gramEnd"/>
      <w:r w:rsidRPr="004C33D1">
        <w:t xml:space="preserve"> </w:t>
      </w:r>
      <w:r w:rsidR="001B70C1" w:rsidRPr="004C33D1">
        <w:t xml:space="preserve">were no discontinuities in section prices </w:t>
      </w:r>
      <w:r w:rsidR="000173B6">
        <w:t xml:space="preserve">because </w:t>
      </w:r>
      <w:r w:rsidR="001B70C1" w:rsidRPr="004C33D1">
        <w:t xml:space="preserve">there is no unmet demand for more intensive development in Auckland. </w:t>
      </w:r>
      <w:r w:rsidR="000173B6">
        <w:t>T</w:t>
      </w:r>
      <w:r w:rsidR="001B70C1" w:rsidRPr="004C33D1">
        <w:t>his is an unlikely scenario given the city’s rapidly rising ho</w:t>
      </w:r>
      <w:r w:rsidR="00A44D11">
        <w:t>m</w:t>
      </w:r>
      <w:r w:rsidR="001B70C1" w:rsidRPr="004C33D1">
        <w:t>e prices.</w:t>
      </w:r>
    </w:p>
    <w:p w:rsidR="001B70C1" w:rsidRPr="004C33D1" w:rsidRDefault="001B70C1" w:rsidP="001B70C1"/>
    <w:p w:rsidR="001B70C1" w:rsidRPr="004C33D1" w:rsidRDefault="001B70C1" w:rsidP="001B70C1">
      <w:r w:rsidRPr="004C33D1">
        <w:t>To conclude, this measure is feasible to calculate using existing techniques</w:t>
      </w:r>
      <w:r w:rsidR="000173B6">
        <w:t>,</w:t>
      </w:r>
      <w:r w:rsidRPr="004C33D1">
        <w:t xml:space="preserve"> ie the application of spatial hedonic regression models to residential property sales. However, there are practical barriers to implementing it, including difficulty in precisely identifying the subdivision potential of individual sites. The example we have provided suggests that there are also likely to be challenges in interpreting the results of analysis. Consequently, while this indicator is of theoretical interest and may bear monitoring in the future, especially in contexts where minimum lot size rules are more </w:t>
      </w:r>
      <w:proofErr w:type="gramStart"/>
      <w:r w:rsidRPr="004C33D1">
        <w:t>well-established</w:t>
      </w:r>
      <w:proofErr w:type="gramEnd"/>
      <w:r w:rsidRPr="004C33D1">
        <w:t>, it is not recommended for inclusion in the NPS-UDC or supporting guidance.</w:t>
      </w:r>
    </w:p>
    <w:p w:rsidR="001B70C1" w:rsidRPr="004C33D1" w:rsidRDefault="001B70C1" w:rsidP="00220C7C">
      <w:pPr>
        <w:pStyle w:val="Heading2"/>
      </w:pPr>
      <w:bookmarkStart w:id="173" w:name="_Toc456624625"/>
      <w:bookmarkStart w:id="174" w:name="_Toc462413640"/>
      <w:bookmarkStart w:id="175" w:name="_Toc462582196"/>
      <w:r w:rsidRPr="004C33D1">
        <w:lastRenderedPageBreak/>
        <w:t>Comparison of Market Prices with Marginal Costs of Supply</w:t>
      </w:r>
      <w:bookmarkEnd w:id="173"/>
      <w:bookmarkEnd w:id="174"/>
      <w:bookmarkEnd w:id="175"/>
    </w:p>
    <w:p w:rsidR="001B70C1" w:rsidRPr="004C33D1" w:rsidRDefault="001B70C1" w:rsidP="001B70C1">
      <w:r w:rsidRPr="004C33D1">
        <w:t xml:space="preserve">In a competitive market with no barriers to entry, market prices </w:t>
      </w:r>
      <w:proofErr w:type="gramStart"/>
      <w:r w:rsidR="000173B6">
        <w:t>would be expected</w:t>
      </w:r>
      <w:proofErr w:type="gramEnd"/>
      <w:r w:rsidR="000173B6">
        <w:t xml:space="preserve"> to </w:t>
      </w:r>
      <w:r w:rsidRPr="004C33D1">
        <w:t>equal the marginal social cost of supply. In this case, in a competitive market we would expect the price of new dwellings to be similar to the marginal cost to construct them.</w:t>
      </w:r>
    </w:p>
    <w:p w:rsidR="001B70C1" w:rsidRPr="004C33D1" w:rsidRDefault="001B70C1" w:rsidP="001B70C1"/>
    <w:p w:rsidR="001B70C1" w:rsidRPr="004C33D1" w:rsidRDefault="001B70C1" w:rsidP="001B70C1">
      <w:r w:rsidRPr="004C33D1">
        <w:t>In urban development, we can compare:</w:t>
      </w:r>
    </w:p>
    <w:p w:rsidR="001B70C1" w:rsidRPr="004C33D1" w:rsidRDefault="001B70C1" w:rsidP="001B70C1"/>
    <w:p w:rsidR="001B70C1" w:rsidRPr="004C33D1" w:rsidRDefault="005823B2" w:rsidP="000850C5">
      <w:pPr>
        <w:pStyle w:val="ListParagraph"/>
        <w:numPr>
          <w:ilvl w:val="0"/>
          <w:numId w:val="18"/>
        </w:numPr>
      </w:pPr>
      <w:r w:rsidRPr="004C33D1">
        <w:t xml:space="preserve">the </w:t>
      </w:r>
      <w:r w:rsidR="001B70C1" w:rsidRPr="004C33D1">
        <w:t>marginal cost to construct additional high-rise apartments (or offices) with the market price for apartments (or offices)</w:t>
      </w:r>
      <w:r>
        <w:t>; and</w:t>
      </w:r>
    </w:p>
    <w:p w:rsidR="001B70C1" w:rsidRPr="004C33D1" w:rsidRDefault="005823B2" w:rsidP="000850C5">
      <w:pPr>
        <w:pStyle w:val="ListParagraph"/>
        <w:numPr>
          <w:ilvl w:val="0"/>
          <w:numId w:val="18"/>
        </w:numPr>
      </w:pPr>
      <w:proofErr w:type="gramStart"/>
      <w:r w:rsidRPr="004C33D1">
        <w:t>the</w:t>
      </w:r>
      <w:proofErr w:type="gramEnd"/>
      <w:r w:rsidRPr="004C33D1">
        <w:t xml:space="preserve"> </w:t>
      </w:r>
      <w:r w:rsidR="001B70C1" w:rsidRPr="004C33D1">
        <w:t>marginal cost to construct additional houses with their market prices.</w:t>
      </w:r>
    </w:p>
    <w:p w:rsidR="001B70C1" w:rsidRPr="004C33D1" w:rsidRDefault="001B70C1" w:rsidP="001B70C1"/>
    <w:p w:rsidR="001B70C1" w:rsidRPr="004C33D1" w:rsidRDefault="001B70C1" w:rsidP="001B70C1">
      <w:r w:rsidRPr="004C33D1">
        <w:t xml:space="preserve">This comparison is more straightforward for high-rise apartments / offices, as land makes up a smaller share of overall development costs. </w:t>
      </w:r>
      <w:r w:rsidR="000173B6">
        <w:t>T</w:t>
      </w:r>
      <w:r w:rsidRPr="004C33D1">
        <w:t xml:space="preserve">o estimate the marginal cost of constructing houses, it is necessary to obtain an estimate of land prices in the absence of constraints on the availability of urban land. Glaeser and </w:t>
      </w:r>
      <w:proofErr w:type="spellStart"/>
      <w:r w:rsidRPr="004C33D1">
        <w:t>Gyourko</w:t>
      </w:r>
      <w:proofErr w:type="spellEnd"/>
      <w:r w:rsidRPr="004C33D1">
        <w:t xml:space="preserve"> (2002) demonstrate a method for estimating a “free-market” price of land; however, this is more applicable to comparisons between cities than estimation within cities.</w:t>
      </w:r>
      <w:r w:rsidRPr="004C33D1">
        <w:rPr>
          <w:rStyle w:val="FootnoteReference"/>
        </w:rPr>
        <w:footnoteReference w:id="93"/>
      </w:r>
    </w:p>
    <w:p w:rsidR="001B70C1" w:rsidRPr="004C33D1" w:rsidRDefault="001B70C1" w:rsidP="001B70C1"/>
    <w:p w:rsidR="001B70C1" w:rsidRDefault="001B70C1" w:rsidP="001B70C1">
      <w:r w:rsidRPr="004C33D1">
        <w:t>In their analysis of the impact of Manhattan’s development controls on apartment prices, Glaeser et al (2005) demonstrate that the impact of regulations limiting building heights can be observed as large, persistent gaps between market prices for high-rise apartments (or offices) and the marginal cost to build additional storeys.</w:t>
      </w:r>
      <w:r w:rsidRPr="004C33D1">
        <w:rPr>
          <w:rStyle w:val="FootnoteReference"/>
        </w:rPr>
        <w:footnoteReference w:id="94"/>
      </w:r>
      <w:r w:rsidRPr="004C33D1">
        <w:t xml:space="preserve"> Cheshire and </w:t>
      </w:r>
      <w:proofErr w:type="spellStart"/>
      <w:r w:rsidRPr="004C33D1">
        <w:t>Hilber</w:t>
      </w:r>
      <w:proofErr w:type="spellEnd"/>
      <w:r w:rsidRPr="004C33D1">
        <w:t xml:space="preserve"> (2008) build on their analysis, including providing a microeconomic analysis of prices with and without </w:t>
      </w:r>
      <w:proofErr w:type="gramStart"/>
      <w:r w:rsidRPr="004C33D1">
        <w:t>height</w:t>
      </w:r>
      <w:proofErr w:type="gramEnd"/>
      <w:r w:rsidRPr="004C33D1">
        <w:t xml:space="preserve"> limits (see</w:t>
      </w:r>
      <w:r w:rsidR="000173B6">
        <w:t xml:space="preserve"> </w:t>
      </w:r>
      <w:r w:rsidR="000173B6">
        <w:fldChar w:fldCharType="begin"/>
      </w:r>
      <w:r w:rsidR="000173B6">
        <w:instrText xml:space="preserve"> REF _Ref458162895 \h </w:instrText>
      </w:r>
      <w:r w:rsidR="000173B6">
        <w:fldChar w:fldCharType="separate"/>
      </w:r>
      <w:r w:rsidR="004D1DDA" w:rsidRPr="004C33D1">
        <w:t xml:space="preserve">Box </w:t>
      </w:r>
      <w:r w:rsidR="004D1DDA">
        <w:rPr>
          <w:noProof/>
        </w:rPr>
        <w:t>4</w:t>
      </w:r>
      <w:r w:rsidR="000173B6">
        <w:fldChar w:fldCharType="end"/>
      </w:r>
      <w:r w:rsidRPr="004C33D1">
        <w:t>).</w:t>
      </w:r>
      <w:r w:rsidRPr="004C33D1">
        <w:rPr>
          <w:rStyle w:val="FootnoteReference"/>
        </w:rPr>
        <w:footnoteReference w:id="95"/>
      </w:r>
      <w:r w:rsidRPr="004C33D1">
        <w:t xml:space="preserve"> </w:t>
      </w:r>
    </w:p>
    <w:p w:rsidR="008E325E" w:rsidRDefault="008E325E" w:rsidP="001B70C1"/>
    <w:p w:rsidR="008E325E" w:rsidRPr="004C33D1" w:rsidRDefault="008E325E" w:rsidP="008E325E">
      <w:r w:rsidRPr="004C33D1">
        <w:t xml:space="preserve">Because of significant fixed costs in construction (that do not vary with building height), average costs per apartment follow a ‘U-shaped’ pattern. Up to a certain point, they fall as more storeys </w:t>
      </w:r>
      <w:proofErr w:type="gramStart"/>
      <w:r w:rsidRPr="004C33D1">
        <w:t>are added</w:t>
      </w:r>
      <w:proofErr w:type="gramEnd"/>
      <w:r w:rsidRPr="004C33D1">
        <w:t xml:space="preserve"> because fixed costs are spread over a larger number of units. Past that point, they rise again, because rising construction costs outweigh reductions in fixed costs per unit. </w:t>
      </w:r>
    </w:p>
    <w:p w:rsidR="008E325E" w:rsidRPr="004C33D1" w:rsidRDefault="008E325E" w:rsidP="008E325E"/>
    <w:p w:rsidR="008E325E" w:rsidRPr="004C33D1" w:rsidRDefault="008E325E" w:rsidP="008E325E">
      <w:r w:rsidRPr="004C33D1">
        <w:t xml:space="preserve">In a competitive market, price-taking developers will seek to maximise their profits by minimising development costs. This means building up until marginal construction costs are equal to average costs. Consequently, large, persistent deviations from marginal construction costs indicate that building height limits are constraining development and distorting prices. </w:t>
      </w:r>
    </w:p>
    <w:p w:rsidR="008E325E" w:rsidRPr="004C33D1" w:rsidRDefault="008E325E" w:rsidP="008E325E"/>
    <w:p w:rsidR="008E325E" w:rsidRDefault="008E325E" w:rsidP="001B70C1"/>
    <w:p w:rsidR="008E325E" w:rsidRDefault="008E325E" w:rsidP="001B70C1"/>
    <w:p w:rsidR="008E325E" w:rsidRDefault="008E325E" w:rsidP="001B70C1"/>
    <w:p w:rsidR="001B70C1" w:rsidRPr="004C33D1" w:rsidRDefault="001B70C1" w:rsidP="00E02811">
      <w:pPr>
        <w:pStyle w:val="Caption"/>
      </w:pPr>
      <w:bookmarkStart w:id="176" w:name="_Ref458162895"/>
      <w:r w:rsidRPr="004C33D1">
        <w:lastRenderedPageBreak/>
        <w:t xml:space="preserve">Box </w:t>
      </w:r>
      <w:r w:rsidRPr="004C33D1">
        <w:fldChar w:fldCharType="begin"/>
      </w:r>
      <w:r w:rsidRPr="004C33D1">
        <w:instrText xml:space="preserve"> SEQ Box \* ARABIC </w:instrText>
      </w:r>
      <w:r w:rsidRPr="004C33D1">
        <w:fldChar w:fldCharType="separate"/>
      </w:r>
      <w:r w:rsidR="004D1DDA">
        <w:rPr>
          <w:noProof/>
        </w:rPr>
        <w:t>4</w:t>
      </w:r>
      <w:r w:rsidRPr="004C33D1">
        <w:fldChar w:fldCharType="end"/>
      </w:r>
      <w:bookmarkEnd w:id="176"/>
      <w:r w:rsidRPr="004C33D1">
        <w:t xml:space="preserve"> </w:t>
      </w:r>
      <w:proofErr w:type="gramStart"/>
      <w:r w:rsidRPr="004C33D1">
        <w:t>Impacts</w:t>
      </w:r>
      <w:proofErr w:type="gramEnd"/>
      <w:r w:rsidRPr="004C33D1">
        <w:t xml:space="preserve"> of building height limits on apartment price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7"/>
      </w:tblGrid>
      <w:tr w:rsidR="001B70C1" w:rsidRPr="004C33D1" w:rsidTr="001B70C1">
        <w:tc>
          <w:tcPr>
            <w:tcW w:w="8437" w:type="dxa"/>
            <w:shd w:val="clear" w:color="auto" w:fill="auto"/>
          </w:tcPr>
          <w:p w:rsidR="001B70C1" w:rsidRPr="004C33D1" w:rsidRDefault="001B70C1" w:rsidP="001B70C1">
            <w:pPr>
              <w:pStyle w:val="TableText"/>
            </w:pPr>
            <w:r w:rsidRPr="004C33D1">
              <w:t xml:space="preserve">The </w:t>
            </w:r>
            <w:proofErr w:type="gramStart"/>
            <w:r w:rsidRPr="004C33D1">
              <w:t>X axis</w:t>
            </w:r>
            <w:proofErr w:type="gramEnd"/>
            <w:r w:rsidRPr="004C33D1">
              <w:t xml:space="preserve"> is building height (in storeys), while the Y axis is price per square metre. The three curves on the chart are:</w:t>
            </w:r>
          </w:p>
          <w:p w:rsidR="001B70C1" w:rsidRPr="004C33D1" w:rsidRDefault="001B70C1" w:rsidP="001B70C1">
            <w:pPr>
              <w:pStyle w:val="TableText"/>
            </w:pPr>
          </w:p>
          <w:p w:rsidR="001B70C1" w:rsidRPr="004C33D1" w:rsidRDefault="001B70C1" w:rsidP="001B70C1">
            <w:pPr>
              <w:pStyle w:val="TableText"/>
            </w:pPr>
            <w:r w:rsidRPr="004C33D1">
              <w:t>MCC = marginal construction cost for an additional storey</w:t>
            </w:r>
          </w:p>
          <w:p w:rsidR="001B70C1" w:rsidRPr="004C33D1" w:rsidRDefault="001B70C1" w:rsidP="001B70C1">
            <w:pPr>
              <w:pStyle w:val="TableText"/>
            </w:pPr>
            <w:r w:rsidRPr="004C33D1">
              <w:t>AC = average cost per storey</w:t>
            </w:r>
          </w:p>
          <w:p w:rsidR="001B70C1" w:rsidRPr="004C33D1" w:rsidRDefault="001B70C1" w:rsidP="001B70C1">
            <w:pPr>
              <w:pStyle w:val="TableText"/>
            </w:pPr>
            <w:r w:rsidRPr="004C33D1">
              <w:t>AVC = average variable cost (excluding fixed costs) per storey.</w:t>
            </w:r>
          </w:p>
          <w:p w:rsidR="001B70C1" w:rsidRPr="004C33D1" w:rsidRDefault="001B70C1" w:rsidP="001B70C1">
            <w:pPr>
              <w:pStyle w:val="TableText"/>
            </w:pPr>
          </w:p>
          <w:p w:rsidR="001B70C1" w:rsidRPr="004C33D1" w:rsidRDefault="001B70C1" w:rsidP="001B70C1">
            <w:pPr>
              <w:pStyle w:val="TableText"/>
            </w:pPr>
            <w:r w:rsidRPr="004C33D1">
              <w:t>Figure: Costs to construct high-rise buildings</w:t>
            </w:r>
          </w:p>
          <w:p w:rsidR="001B70C1" w:rsidRPr="004C33D1" w:rsidRDefault="001B70C1" w:rsidP="001B70C1">
            <w:pPr>
              <w:pStyle w:val="TableText"/>
              <w:jc w:val="center"/>
            </w:pPr>
            <w:r w:rsidRPr="004C33D1">
              <w:rPr>
                <w:noProof/>
                <w:lang w:eastAsia="en-NZ"/>
              </w:rPr>
              <w:drawing>
                <wp:inline distT="0" distB="0" distL="0" distR="0" wp14:anchorId="44181AC7" wp14:editId="6BC80C86">
                  <wp:extent cx="4244975" cy="2456180"/>
                  <wp:effectExtent l="0" t="0" r="0" b="7620"/>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44975" cy="2456180"/>
                          </a:xfrm>
                          <a:prstGeom prst="rect">
                            <a:avLst/>
                          </a:prstGeom>
                          <a:noFill/>
                          <a:ln>
                            <a:noFill/>
                          </a:ln>
                        </pic:spPr>
                      </pic:pic>
                    </a:graphicData>
                  </a:graphic>
                </wp:inline>
              </w:drawing>
            </w:r>
          </w:p>
          <w:p w:rsidR="001B70C1" w:rsidRPr="004C33D1" w:rsidRDefault="001B70C1" w:rsidP="001B70C1">
            <w:pPr>
              <w:pStyle w:val="TableText"/>
            </w:pPr>
            <w:r w:rsidRPr="004C33D1">
              <w:t>In the absence of building height limits, a profit-maximising developer would seek to minimise average costs per storey.</w:t>
            </w:r>
            <w:r w:rsidRPr="004C33D1">
              <w:rPr>
                <w:vertAlign w:val="superscript"/>
              </w:rPr>
              <w:footnoteReference w:id="96"/>
            </w:r>
            <w:r w:rsidRPr="004C33D1">
              <w:t xml:space="preserve"> In order to do so, they would seek to build up to the point at which MCC=AC, indicated by h* on the </w:t>
            </w:r>
            <w:proofErr w:type="gramStart"/>
            <w:r w:rsidRPr="004C33D1">
              <w:t>X axis</w:t>
            </w:r>
            <w:proofErr w:type="gramEnd"/>
            <w:r w:rsidRPr="004C33D1">
              <w:t>. Up to this point, marginal construction costs are lower than average development costs, indicating that it would be possible to reduce average costs by building up. Past this point, marginal construction costs are higher than average costs, indicating that costs will tend to rise.</w:t>
            </w:r>
          </w:p>
          <w:p w:rsidR="001B70C1" w:rsidRPr="004C33D1" w:rsidRDefault="001B70C1" w:rsidP="001B70C1">
            <w:pPr>
              <w:pStyle w:val="TableText"/>
            </w:pPr>
          </w:p>
          <w:p w:rsidR="001B70C1" w:rsidRPr="004C33D1" w:rsidRDefault="001B70C1" w:rsidP="001B70C1">
            <w:pPr>
              <w:pStyle w:val="TableText"/>
            </w:pPr>
            <w:r w:rsidRPr="004C33D1">
              <w:t>Consequently, in an unconstrained market, prices for new apartments would tend to be roughly equivalent to marginal costs to construct additional storeys on high-rise buildings.</w:t>
            </w:r>
          </w:p>
          <w:p w:rsidR="001B70C1" w:rsidRPr="004C33D1" w:rsidRDefault="001B70C1" w:rsidP="001B70C1">
            <w:pPr>
              <w:pStyle w:val="TableText"/>
            </w:pPr>
          </w:p>
          <w:p w:rsidR="001B70C1" w:rsidRPr="004C33D1" w:rsidRDefault="001B70C1" w:rsidP="001B70C1">
            <w:pPr>
              <w:pStyle w:val="TableText"/>
            </w:pPr>
            <w:r w:rsidRPr="004C33D1">
              <w:t xml:space="preserve">The impact of building height limits </w:t>
            </w:r>
            <w:proofErr w:type="gramStart"/>
            <w:r w:rsidRPr="004C33D1">
              <w:t>is also shown</w:t>
            </w:r>
            <w:proofErr w:type="gramEnd"/>
            <w:r w:rsidRPr="004C33D1">
              <w:t xml:space="preserve"> in this diagram. </w:t>
            </w:r>
            <w:proofErr w:type="gramStart"/>
            <w:r w:rsidRPr="004C33D1">
              <w:t xml:space="preserve">Limiting building heights to a lower level than is economically optimal for the developer – </w:t>
            </w:r>
            <w:proofErr w:type="spellStart"/>
            <w:r w:rsidRPr="004C33D1">
              <w:t>h</w:t>
            </w:r>
            <w:r w:rsidRPr="004C33D1">
              <w:rPr>
                <w:vertAlign w:val="superscript"/>
              </w:rPr>
              <w:t>restr</w:t>
            </w:r>
            <w:proofErr w:type="spellEnd"/>
            <w:r w:rsidRPr="004C33D1">
              <w:rPr>
                <w:vertAlign w:val="superscript"/>
              </w:rPr>
              <w:t>.</w:t>
            </w:r>
            <w:proofErr w:type="gramEnd"/>
            <w:r w:rsidRPr="004C33D1">
              <w:t xml:space="preserve"> – can result in a situation in which average costs are substantially higher than marginal construction costs. In this case, developers would not develop apartments unless they could sell them for a price that covered average costs – i.e. </w:t>
            </w:r>
            <w:proofErr w:type="spellStart"/>
            <w:r w:rsidRPr="004C33D1">
              <w:t>P</w:t>
            </w:r>
            <w:r w:rsidRPr="004C33D1">
              <w:rPr>
                <w:vertAlign w:val="superscript"/>
              </w:rPr>
              <w:t>restr</w:t>
            </w:r>
            <w:proofErr w:type="spellEnd"/>
            <w:proofErr w:type="gramStart"/>
            <w:r w:rsidRPr="004C33D1">
              <w:rPr>
                <w:vertAlign w:val="superscript"/>
              </w:rPr>
              <w:t>.</w:t>
            </w:r>
            <w:r w:rsidRPr="004C33D1">
              <w:t>.</w:t>
            </w:r>
            <w:proofErr w:type="gramEnd"/>
          </w:p>
        </w:tc>
      </w:tr>
    </w:tbl>
    <w:p w:rsidR="001B70C1" w:rsidRPr="004C33D1" w:rsidRDefault="001B70C1" w:rsidP="001B70C1">
      <w:pPr>
        <w:spacing w:line="240" w:lineRule="auto"/>
        <w:rPr>
          <w:sz w:val="18"/>
          <w:szCs w:val="18"/>
        </w:rPr>
      </w:pPr>
      <w:r w:rsidRPr="004C33D1">
        <w:rPr>
          <w:sz w:val="18"/>
          <w:szCs w:val="18"/>
        </w:rPr>
        <w:t xml:space="preserve">Source: Adapted from Cheshire PC and </w:t>
      </w:r>
      <w:proofErr w:type="spellStart"/>
      <w:r w:rsidRPr="004C33D1">
        <w:rPr>
          <w:sz w:val="18"/>
          <w:szCs w:val="18"/>
        </w:rPr>
        <w:t>Hilber</w:t>
      </w:r>
      <w:proofErr w:type="spellEnd"/>
      <w:r w:rsidRPr="004C33D1">
        <w:rPr>
          <w:sz w:val="18"/>
          <w:szCs w:val="18"/>
        </w:rPr>
        <w:t xml:space="preserve"> CA (2008) Office Space Supply Restrictions in Britain: The Political Economy of Market Revenge. </w:t>
      </w:r>
      <w:proofErr w:type="gramStart"/>
      <w:r w:rsidRPr="004C33D1">
        <w:rPr>
          <w:sz w:val="18"/>
          <w:szCs w:val="18"/>
        </w:rPr>
        <w:t>The Economic Journal, 118(529), F185-F221.</w:t>
      </w:r>
      <w:proofErr w:type="gramEnd"/>
    </w:p>
    <w:p w:rsidR="001B70C1" w:rsidRPr="004C33D1" w:rsidRDefault="001B70C1" w:rsidP="001B70C1"/>
    <w:p w:rsidR="001B70C1" w:rsidRPr="004C33D1" w:rsidRDefault="001B70C1" w:rsidP="001B70C1">
      <w:r w:rsidRPr="004C33D1">
        <w:t xml:space="preserve">Glaser </w:t>
      </w:r>
      <w:r w:rsidRPr="004C33D1">
        <w:rPr>
          <w:i/>
        </w:rPr>
        <w:t>et al</w:t>
      </w:r>
      <w:r w:rsidRPr="004C33D1">
        <w:t xml:space="preserve"> used this analysis in Manhattan (</w:t>
      </w:r>
      <w:r w:rsidR="00E73F5D">
        <w:fldChar w:fldCharType="begin"/>
      </w:r>
      <w:r w:rsidR="00E73F5D">
        <w:instrText xml:space="preserve"> REF _Ref458162933 \h </w:instrText>
      </w:r>
      <w:r w:rsidR="00E73F5D">
        <w:fldChar w:fldCharType="separate"/>
      </w:r>
      <w:r w:rsidR="004D1DDA" w:rsidRPr="004C33D1">
        <w:t xml:space="preserve">Figure </w:t>
      </w:r>
      <w:r w:rsidR="004D1DDA">
        <w:rPr>
          <w:noProof/>
        </w:rPr>
        <w:t>28</w:t>
      </w:r>
      <w:r w:rsidR="00E73F5D">
        <w:fldChar w:fldCharType="end"/>
      </w:r>
      <w:r w:rsidRPr="004C33D1">
        <w:t xml:space="preserve">), measuring the gap between market price and marginal cost as a ‘regulatory tax’ that approached 100% of construction costs in the early 2000s. Cheshire and </w:t>
      </w:r>
      <w:proofErr w:type="spellStart"/>
      <w:r w:rsidRPr="004C33D1">
        <w:t>Hilber</w:t>
      </w:r>
      <w:proofErr w:type="spellEnd"/>
      <w:r w:rsidRPr="004C33D1">
        <w:t xml:space="preserve"> undertook a similar analysis in the UK, finding that office space in London’s West End cost 809% more than construction costs in 1999-2005. </w:t>
      </w:r>
      <w:proofErr w:type="spellStart"/>
      <w:r w:rsidRPr="004C33D1">
        <w:t>Luen</w:t>
      </w:r>
      <w:proofErr w:type="spellEnd"/>
      <w:r w:rsidRPr="004C33D1">
        <w:t xml:space="preserve"> (2014) applied Glaeser et </w:t>
      </w:r>
      <w:proofErr w:type="spellStart"/>
      <w:r w:rsidRPr="004C33D1">
        <w:t>al’s</w:t>
      </w:r>
      <w:proofErr w:type="spellEnd"/>
      <w:r w:rsidRPr="004C33D1">
        <w:t xml:space="preserve"> approach to investigate the relationship between sale prices and marginal construction costs for </w:t>
      </w:r>
      <w:r w:rsidRPr="004C33D1">
        <w:lastRenderedPageBreak/>
        <w:t>taller (3+ storey) residential buildings in Auckland, tentatively concluding that prices were substantially higher than marginal construction costs for these buildings.</w:t>
      </w:r>
      <w:r w:rsidRPr="004C33D1">
        <w:rPr>
          <w:rStyle w:val="FootnoteReference"/>
        </w:rPr>
        <w:footnoteReference w:id="97"/>
      </w:r>
    </w:p>
    <w:p w:rsidR="001B70C1" w:rsidRPr="004C33D1" w:rsidRDefault="001B70C1" w:rsidP="00E02811">
      <w:pPr>
        <w:pStyle w:val="Caption"/>
      </w:pPr>
      <w:bookmarkStart w:id="177" w:name="_Ref458162933"/>
      <w:r w:rsidRPr="004C33D1">
        <w:t xml:space="preserve">Figure </w:t>
      </w:r>
      <w:r w:rsidRPr="004C33D1">
        <w:fldChar w:fldCharType="begin"/>
      </w:r>
      <w:r w:rsidRPr="004C33D1">
        <w:instrText xml:space="preserve"> SEQ Figure \* ARABIC </w:instrText>
      </w:r>
      <w:r w:rsidRPr="004C33D1">
        <w:fldChar w:fldCharType="separate"/>
      </w:r>
      <w:r w:rsidR="004D1DDA">
        <w:rPr>
          <w:noProof/>
        </w:rPr>
        <w:t>28</w:t>
      </w:r>
      <w:r w:rsidRPr="004C33D1">
        <w:rPr>
          <w:noProof/>
        </w:rPr>
        <w:fldChar w:fldCharType="end"/>
      </w:r>
      <w:bookmarkEnd w:id="177"/>
      <w:r w:rsidRPr="004C33D1">
        <w:t>: Apartment sale prices and marginal construction costs (US$/</w:t>
      </w:r>
      <w:proofErr w:type="spellStart"/>
      <w:r w:rsidRPr="004C33D1">
        <w:t>sq</w:t>
      </w:r>
      <w:proofErr w:type="spellEnd"/>
      <w:r w:rsidRPr="004C33D1">
        <w:t xml:space="preserve"> </w:t>
      </w:r>
      <w:proofErr w:type="spellStart"/>
      <w:r w:rsidRPr="004C33D1">
        <w:t>ft</w:t>
      </w:r>
      <w:proofErr w:type="spellEnd"/>
      <w:r w:rsidRPr="004C33D1">
        <w:t xml:space="preserve">) in </w:t>
      </w:r>
    </w:p>
    <w:p w:rsidR="001B70C1" w:rsidRPr="004C33D1" w:rsidRDefault="001B70C1" w:rsidP="001B70C1">
      <w:pPr>
        <w:jc w:val="center"/>
      </w:pPr>
      <w:r w:rsidRPr="004C33D1">
        <w:rPr>
          <w:noProof/>
          <w:lang w:eastAsia="en-NZ"/>
        </w:rPr>
        <w:drawing>
          <wp:inline distT="0" distB="0" distL="0" distR="0" wp14:anchorId="74954E69" wp14:editId="1EEE1B57">
            <wp:extent cx="3383915" cy="2416175"/>
            <wp:effectExtent l="0" t="0" r="0" b="0"/>
            <wp:docPr id="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83915" cy="2416175"/>
                    </a:xfrm>
                    <a:prstGeom prst="rect">
                      <a:avLst/>
                    </a:prstGeom>
                    <a:noFill/>
                    <a:ln>
                      <a:noFill/>
                    </a:ln>
                  </pic:spPr>
                </pic:pic>
              </a:graphicData>
            </a:graphic>
          </wp:inline>
        </w:drawing>
      </w:r>
    </w:p>
    <w:p w:rsidR="001B70C1" w:rsidRPr="004C33D1" w:rsidRDefault="001B70C1" w:rsidP="001B70C1">
      <w:pPr>
        <w:spacing w:line="240" w:lineRule="auto"/>
      </w:pPr>
      <w:r w:rsidRPr="004C33D1">
        <w:rPr>
          <w:sz w:val="18"/>
          <w:szCs w:val="18"/>
        </w:rPr>
        <w:t xml:space="preserve">Source: Glaeser EL, </w:t>
      </w:r>
      <w:proofErr w:type="spellStart"/>
      <w:r w:rsidRPr="004C33D1">
        <w:rPr>
          <w:sz w:val="18"/>
          <w:szCs w:val="18"/>
        </w:rPr>
        <w:t>Gyourko</w:t>
      </w:r>
      <w:proofErr w:type="spellEnd"/>
      <w:r w:rsidRPr="004C33D1">
        <w:rPr>
          <w:sz w:val="18"/>
          <w:szCs w:val="18"/>
        </w:rPr>
        <w:t xml:space="preserve"> J and Saks R (2005) Why Is Manhattan So Expensive? </w:t>
      </w:r>
      <w:proofErr w:type="gramStart"/>
      <w:r w:rsidRPr="004C33D1">
        <w:rPr>
          <w:sz w:val="18"/>
          <w:szCs w:val="18"/>
        </w:rPr>
        <w:t>Regulation and the Rise in Housing Prices.</w:t>
      </w:r>
      <w:proofErr w:type="gramEnd"/>
      <w:r w:rsidRPr="004C33D1">
        <w:rPr>
          <w:sz w:val="18"/>
          <w:szCs w:val="18"/>
        </w:rPr>
        <w:t xml:space="preserve"> </w:t>
      </w:r>
      <w:proofErr w:type="gramStart"/>
      <w:r w:rsidRPr="004C33D1">
        <w:rPr>
          <w:sz w:val="18"/>
          <w:szCs w:val="18"/>
        </w:rPr>
        <w:t>Journal of Law and Economics, 48(2), pp.331-369.</w:t>
      </w:r>
      <w:proofErr w:type="gramEnd"/>
    </w:p>
    <w:p w:rsidR="001B70C1" w:rsidRPr="004C33D1" w:rsidRDefault="001B70C1" w:rsidP="001B70C1"/>
    <w:p w:rsidR="001B70C1" w:rsidRPr="004C33D1" w:rsidRDefault="001B70C1" w:rsidP="001B70C1">
      <w:r w:rsidRPr="004C33D1">
        <w:t xml:space="preserve">This indicator is relatively simple to calculate. It </w:t>
      </w:r>
      <w:proofErr w:type="gramStart"/>
      <w:r w:rsidRPr="004C33D1">
        <w:t>can be estimated</w:t>
      </w:r>
      <w:proofErr w:type="gramEnd"/>
      <w:r w:rsidRPr="004C33D1">
        <w:t xml:space="preserve"> based on the ratio of the average sale price per square metre for high-rise apartments (or offices) to the marginal cost of construction for tall buildings. However, it is only valid in places where there is sufficient density of high-rise buildings (ie buildings over 5-10 storeys), as land costs and other fixed costs of development make up a relatively small share of the marginal cost to construct another floor of apartments or offices in these locations.</w:t>
      </w:r>
    </w:p>
    <w:p w:rsidR="001B70C1" w:rsidRPr="004C33D1" w:rsidRDefault="001B70C1" w:rsidP="001B70C1"/>
    <w:p w:rsidR="001B70C1" w:rsidRPr="004C33D1" w:rsidRDefault="001B70C1" w:rsidP="001B70C1">
      <w:r w:rsidRPr="004C33D1">
        <w:t xml:space="preserve">Furthermore, it is also necessary to consider the impact of building quality, building features, and depreciation on this indicator. For example, data on apartment sales will typically include sales of both new apartments and old apartments that are of lower quality. Depreciation </w:t>
      </w:r>
      <w:proofErr w:type="gramStart"/>
      <w:r w:rsidRPr="004C33D1">
        <w:t>can be inferred</w:t>
      </w:r>
      <w:proofErr w:type="gramEnd"/>
      <w:r w:rsidRPr="004C33D1">
        <w:t xml:space="preserve"> (roughly) from construction date, but that cannot take account of renovations. In addition, higher-quality apartments or apartments with more features like decks and garages will be more expensive to construct.</w:t>
      </w:r>
    </w:p>
    <w:p w:rsidR="001B70C1" w:rsidRPr="004C33D1" w:rsidRDefault="001B70C1" w:rsidP="001B70C1"/>
    <w:p w:rsidR="001B70C1" w:rsidRPr="004C33D1" w:rsidRDefault="001B70C1" w:rsidP="001B70C1">
      <w:r w:rsidRPr="004C33D1">
        <w:t xml:space="preserve">We estimate a measure of sale prices to marginal construction costs for residential apartments sold in the Auckland and Wellington city centres over the 2000-2015 </w:t>
      </w:r>
      <w:proofErr w:type="gramStart"/>
      <w:r w:rsidRPr="004C33D1">
        <w:t>period</w:t>
      </w:r>
      <w:proofErr w:type="gramEnd"/>
      <w:r w:rsidRPr="004C33D1">
        <w:t xml:space="preserve">. We selected these </w:t>
      </w:r>
      <w:proofErr w:type="gramStart"/>
      <w:r w:rsidRPr="004C33D1">
        <w:t>locations</w:t>
      </w:r>
      <w:proofErr w:type="gramEnd"/>
      <w:r w:rsidRPr="004C33D1">
        <w:t xml:space="preserve"> as they are the only two places in New Zealand with a sufficient density of high-rise apartments. Our approach to estimating prices and marginal construction costs is set out in </w:t>
      </w:r>
      <w:r w:rsidR="00E73F5D">
        <w:t xml:space="preserve">Annex </w:t>
      </w:r>
      <w:r w:rsidR="00E73F5D" w:rsidRPr="008E325E">
        <w:t>A</w:t>
      </w:r>
      <w:r w:rsidR="008E325E" w:rsidRPr="008E325E">
        <w:t>7</w:t>
      </w:r>
      <w:r w:rsidRPr="004C33D1">
        <w:t xml:space="preserve"> – wherever possible, we have adopted a conservative approach.</w:t>
      </w:r>
    </w:p>
    <w:p w:rsidR="001B70C1" w:rsidRPr="004C33D1" w:rsidRDefault="001B70C1" w:rsidP="001B70C1"/>
    <w:p w:rsidR="001B70C1" w:rsidRPr="004C33D1" w:rsidRDefault="00E73F5D" w:rsidP="001B70C1">
      <w:r>
        <w:fldChar w:fldCharType="begin"/>
      </w:r>
      <w:r>
        <w:instrText xml:space="preserve"> REF _Ref458162990 \h </w:instrText>
      </w:r>
      <w:r>
        <w:fldChar w:fldCharType="separate"/>
      </w:r>
      <w:r w:rsidR="004D1DDA" w:rsidRPr="004C33D1">
        <w:t xml:space="preserve">Figure </w:t>
      </w:r>
      <w:r w:rsidR="004D1DDA">
        <w:rPr>
          <w:noProof/>
        </w:rPr>
        <w:t>29</w:t>
      </w:r>
      <w:r>
        <w:fldChar w:fldCharType="end"/>
      </w:r>
      <w:r>
        <w:t xml:space="preserve"> </w:t>
      </w:r>
      <w:r w:rsidR="001B70C1" w:rsidRPr="004C33D1">
        <w:t xml:space="preserve">shows that apartment prices have consistently been above marginal construction costs in both cities throughout the entire </w:t>
      </w:r>
      <w:proofErr w:type="gramStart"/>
      <w:r w:rsidR="001B70C1" w:rsidRPr="004C33D1">
        <w:t>time period</w:t>
      </w:r>
      <w:proofErr w:type="gramEnd"/>
      <w:r w:rsidR="001B70C1" w:rsidRPr="004C33D1">
        <w:t xml:space="preserve">. However, there is a </w:t>
      </w:r>
      <w:r w:rsidR="001B70C1" w:rsidRPr="004C33D1">
        <w:lastRenderedPageBreak/>
        <w:t>marked difference in the trend. In Wellington, apartment prices have fallen relative to build costs over the last five years, while in Auckland</w:t>
      </w:r>
      <w:r w:rsidR="008E325E">
        <w:t xml:space="preserve"> they have risen significantly.</w:t>
      </w:r>
    </w:p>
    <w:p w:rsidR="001B70C1" w:rsidRPr="004C33D1" w:rsidRDefault="001B70C1" w:rsidP="00E02811">
      <w:pPr>
        <w:pStyle w:val="Caption"/>
      </w:pPr>
      <w:bookmarkStart w:id="178" w:name="_Ref458162990"/>
      <w:r w:rsidRPr="004C33D1">
        <w:t xml:space="preserve">Figure </w:t>
      </w:r>
      <w:r w:rsidRPr="004C33D1">
        <w:fldChar w:fldCharType="begin"/>
      </w:r>
      <w:r w:rsidRPr="004C33D1">
        <w:instrText xml:space="preserve"> SEQ Figure \* ARABIC </w:instrText>
      </w:r>
      <w:r w:rsidRPr="004C33D1">
        <w:fldChar w:fldCharType="separate"/>
      </w:r>
      <w:r w:rsidR="004D1DDA">
        <w:rPr>
          <w:noProof/>
        </w:rPr>
        <w:t>29</w:t>
      </w:r>
      <w:r w:rsidRPr="004C33D1">
        <w:fldChar w:fldCharType="end"/>
      </w:r>
      <w:bookmarkEnd w:id="178"/>
      <w:r w:rsidRPr="004C33D1">
        <w:t xml:space="preserve"> Ratio of apartment sale prices to marginal construction costs</w:t>
      </w:r>
    </w:p>
    <w:p w:rsidR="001B70C1" w:rsidRPr="004C33D1" w:rsidRDefault="001B70C1" w:rsidP="001B70C1">
      <w:r w:rsidRPr="004C33D1">
        <w:rPr>
          <w:noProof/>
          <w:lang w:eastAsia="en-NZ"/>
        </w:rPr>
        <w:drawing>
          <wp:inline distT="0" distB="0" distL="0" distR="0" wp14:anchorId="2F9BA290" wp14:editId="00B82C82">
            <wp:extent cx="2562860" cy="1708785"/>
            <wp:effectExtent l="0" t="0" r="2540" b="0"/>
            <wp:docPr id="5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62860" cy="1708785"/>
                    </a:xfrm>
                    <a:prstGeom prst="rect">
                      <a:avLst/>
                    </a:prstGeom>
                    <a:noFill/>
                    <a:ln>
                      <a:noFill/>
                    </a:ln>
                  </pic:spPr>
                </pic:pic>
              </a:graphicData>
            </a:graphic>
          </wp:inline>
        </w:drawing>
      </w:r>
      <w:r w:rsidRPr="004C33D1">
        <w:rPr>
          <w:noProof/>
          <w:lang w:eastAsia="en-NZ"/>
        </w:rPr>
        <w:drawing>
          <wp:inline distT="0" distB="0" distL="0" distR="0" wp14:anchorId="34902190" wp14:editId="18645CD8">
            <wp:extent cx="2562860" cy="1708785"/>
            <wp:effectExtent l="0" t="0" r="2540" b="0"/>
            <wp:docPr id="5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62860" cy="1708785"/>
                    </a:xfrm>
                    <a:prstGeom prst="rect">
                      <a:avLst/>
                    </a:prstGeom>
                    <a:noFill/>
                    <a:ln>
                      <a:noFill/>
                    </a:ln>
                  </pic:spPr>
                </pic:pic>
              </a:graphicData>
            </a:graphic>
          </wp:inline>
        </w:drawing>
      </w:r>
    </w:p>
    <w:p w:rsidR="001B70C1" w:rsidRPr="004C33D1" w:rsidRDefault="001B70C1" w:rsidP="001B70C1">
      <w:pPr>
        <w:pStyle w:val="ListParagraph"/>
        <w:numPr>
          <w:ilvl w:val="0"/>
          <w:numId w:val="0"/>
        </w:numPr>
        <w:rPr>
          <w:sz w:val="16"/>
          <w:szCs w:val="16"/>
        </w:rPr>
      </w:pPr>
      <w:r w:rsidRPr="004C33D1">
        <w:rPr>
          <w:sz w:val="16"/>
          <w:szCs w:val="16"/>
        </w:rPr>
        <w:t xml:space="preserve">Source: Consultants’ analysis of CoreLogic property sales data; </w:t>
      </w:r>
      <w:proofErr w:type="spellStart"/>
      <w:r w:rsidRPr="004C33D1">
        <w:rPr>
          <w:sz w:val="16"/>
          <w:szCs w:val="16"/>
        </w:rPr>
        <w:t>Luen</w:t>
      </w:r>
      <w:proofErr w:type="spellEnd"/>
      <w:r w:rsidRPr="004C33D1">
        <w:rPr>
          <w:sz w:val="16"/>
          <w:szCs w:val="16"/>
        </w:rPr>
        <w:t xml:space="preserve"> (2014); Statistics NZ CGPI</w:t>
      </w:r>
    </w:p>
    <w:p w:rsidR="001B70C1" w:rsidRPr="004C33D1" w:rsidRDefault="001B70C1" w:rsidP="001B70C1">
      <w:pPr>
        <w:spacing w:line="240" w:lineRule="auto"/>
      </w:pPr>
    </w:p>
    <w:p w:rsidR="008E325E" w:rsidRPr="004C33D1" w:rsidRDefault="008E325E" w:rsidP="008E325E">
      <w:r w:rsidRPr="004C33D1">
        <w:t xml:space="preserve">Furthermore, the dotted lines that show the distribution of prices indicate that less than one in four </w:t>
      </w:r>
      <w:proofErr w:type="gramStart"/>
      <w:r w:rsidRPr="004C33D1">
        <w:t>apartments</w:t>
      </w:r>
      <w:proofErr w:type="gramEnd"/>
      <w:r w:rsidRPr="004C33D1">
        <w:t xml:space="preserve"> sells for less than marginal construction costs – a surprising finding given that we would expect apartments to depreciate over time.</w:t>
      </w:r>
    </w:p>
    <w:p w:rsidR="008E325E" w:rsidRDefault="008E325E" w:rsidP="001B70C1">
      <w:pPr>
        <w:spacing w:line="240" w:lineRule="auto"/>
      </w:pPr>
    </w:p>
    <w:p w:rsidR="001B70C1" w:rsidRPr="004C33D1" w:rsidRDefault="001B70C1" w:rsidP="001B70C1">
      <w:pPr>
        <w:spacing w:line="240" w:lineRule="auto"/>
      </w:pPr>
      <w:r w:rsidRPr="004C33D1">
        <w:t xml:space="preserve">This analysis provides potential evidence that regulations constraining building heights or the amount of land available for constructing tall buildings may be driving up prices. However, other contextual information </w:t>
      </w:r>
      <w:proofErr w:type="gramStart"/>
      <w:r w:rsidRPr="004C33D1">
        <w:t>is needed</w:t>
      </w:r>
      <w:proofErr w:type="gramEnd"/>
      <w:r w:rsidRPr="004C33D1">
        <w:t xml:space="preserve"> to fully evaluate this. This may include</w:t>
      </w:r>
      <w:r w:rsidR="005823B2">
        <w:t xml:space="preserve"> evidence on</w:t>
      </w:r>
      <w:r w:rsidRPr="004C33D1">
        <w:t>:</w:t>
      </w:r>
    </w:p>
    <w:p w:rsidR="001B70C1" w:rsidRPr="004C33D1" w:rsidRDefault="001B70C1" w:rsidP="001B70C1">
      <w:pPr>
        <w:spacing w:line="240" w:lineRule="auto"/>
      </w:pPr>
    </w:p>
    <w:p w:rsidR="001B70C1" w:rsidRPr="004C33D1" w:rsidRDefault="001B70C1" w:rsidP="000850C5">
      <w:pPr>
        <w:pStyle w:val="ListParagraph"/>
        <w:numPr>
          <w:ilvl w:val="0"/>
          <w:numId w:val="18"/>
        </w:numPr>
        <w:spacing w:line="240" w:lineRule="auto"/>
      </w:pPr>
      <w:r w:rsidRPr="004C33D1">
        <w:t>other development costs that we have missed in our analysis</w:t>
      </w:r>
      <w:r w:rsidR="00E73F5D">
        <w:t>,</w:t>
      </w:r>
      <w:r w:rsidRPr="004C33D1">
        <w:t xml:space="preserve"> eg if adding additional floors to a high-rise apartment building raises consenting costs or results in ‘lumpy’ costs for earthquake strengthening or foundations, then marginal construction costs may be higher than our estimate;</w:t>
      </w:r>
    </w:p>
    <w:p w:rsidR="001B70C1" w:rsidRPr="004C33D1" w:rsidRDefault="001B70C1" w:rsidP="001B70C1">
      <w:pPr>
        <w:pStyle w:val="ListParagraph"/>
        <w:numPr>
          <w:ilvl w:val="0"/>
          <w:numId w:val="0"/>
        </w:numPr>
        <w:spacing w:line="240" w:lineRule="auto"/>
        <w:ind w:left="720"/>
      </w:pPr>
    </w:p>
    <w:p w:rsidR="001B70C1" w:rsidRPr="004C33D1" w:rsidRDefault="001B70C1" w:rsidP="000850C5">
      <w:pPr>
        <w:pStyle w:val="ListParagraph"/>
        <w:numPr>
          <w:ilvl w:val="0"/>
          <w:numId w:val="18"/>
        </w:numPr>
        <w:spacing w:line="240" w:lineRule="auto"/>
      </w:pPr>
      <w:r w:rsidRPr="004C33D1">
        <w:t>time lags in apartment development</w:t>
      </w:r>
      <w:r w:rsidR="00E73F5D">
        <w:t>,</w:t>
      </w:r>
      <w:r w:rsidRPr="004C33D1">
        <w:t xml:space="preserve"> ie if rising prices provoke a supply response, albeit with a slight lag due to the time required to get apartment development underway, then they may be self-correcting; and</w:t>
      </w:r>
    </w:p>
    <w:p w:rsidR="001B70C1" w:rsidRPr="004C33D1" w:rsidRDefault="001B70C1" w:rsidP="001B70C1">
      <w:pPr>
        <w:spacing w:line="240" w:lineRule="auto"/>
      </w:pPr>
    </w:p>
    <w:p w:rsidR="001B70C1" w:rsidRPr="004C33D1" w:rsidRDefault="001B70C1" w:rsidP="000850C5">
      <w:pPr>
        <w:pStyle w:val="ListParagraph"/>
        <w:numPr>
          <w:ilvl w:val="0"/>
          <w:numId w:val="18"/>
        </w:numPr>
        <w:spacing w:line="240" w:lineRule="auto"/>
      </w:pPr>
      <w:proofErr w:type="gramStart"/>
      <w:r w:rsidRPr="004C33D1">
        <w:t>the</w:t>
      </w:r>
      <w:proofErr w:type="gramEnd"/>
      <w:r w:rsidRPr="004C33D1">
        <w:t xml:space="preserve"> marginal external costs of added floors on tall buildings, eg as a result of blocked views and sunlight for neighbouring properties, that may create a rationale to limit building heights.</w:t>
      </w:r>
    </w:p>
    <w:p w:rsidR="001B70C1" w:rsidRPr="004C33D1" w:rsidRDefault="001B70C1" w:rsidP="001B70C1"/>
    <w:p w:rsidR="001B70C1" w:rsidRPr="004C33D1" w:rsidRDefault="001B70C1" w:rsidP="001B70C1">
      <w:r w:rsidRPr="004C33D1">
        <w:t xml:space="preserve">On the last subject, MRCagney </w:t>
      </w:r>
      <w:r w:rsidRPr="004C33D1">
        <w:rPr>
          <w:i/>
        </w:rPr>
        <w:t>et al</w:t>
      </w:r>
      <w:r w:rsidRPr="004C33D1">
        <w:t xml:space="preserve"> (2016) reviewed Auckland-specific evidence on the impact of access to views and sunlight on residential property prices. Their findings, which are summarised in the following table, </w:t>
      </w:r>
      <w:proofErr w:type="gramStart"/>
      <w:r w:rsidRPr="004C33D1">
        <w:t>can be used</w:t>
      </w:r>
      <w:proofErr w:type="gramEnd"/>
      <w:r w:rsidRPr="004C33D1">
        <w:t xml:space="preserve"> to estimate the marginal external costs associated with high-rise apartments.</w:t>
      </w:r>
    </w:p>
    <w:p w:rsidR="001B70C1" w:rsidRPr="004C33D1" w:rsidRDefault="001B70C1" w:rsidP="001B70C1"/>
    <w:p w:rsidR="001B70C1" w:rsidRPr="004C33D1" w:rsidRDefault="001B70C1" w:rsidP="001B70C1">
      <w:r w:rsidRPr="004C33D1">
        <w:t>If we assume</w:t>
      </w:r>
      <w:r w:rsidR="00E73F5D">
        <w:t>,</w:t>
      </w:r>
      <w:r w:rsidRPr="004C33D1">
        <w:t xml:space="preserve"> pessimistically</w:t>
      </w:r>
      <w:r w:rsidR="00E73F5D">
        <w:t>,</w:t>
      </w:r>
      <w:r w:rsidRPr="004C33D1">
        <w:t xml:space="preserve"> that every apartment in a high-rise building blocks water views and sunlight from of 0.5 similar dwellings on neighbouring sites, then the external costs associated with each apartment would be in the range of 13% to 19% of their value. Consequently, if building height limits were efficient in controlling the external costs of development, we would expect observed prices for high-rise apartments to be no more than 13-19% above marginal construction costs in Auckland. </w:t>
      </w:r>
      <w:r w:rsidRPr="004C33D1">
        <w:lastRenderedPageBreak/>
        <w:t>As Auckland apartment prices are currently 1.81 times as high as marginal construction costs, and have never been lower than 1.45 times marginal construction costs, it is unlikely that external costs of development are sufficient to explain this difference.</w:t>
      </w:r>
    </w:p>
    <w:p w:rsidR="001B70C1" w:rsidRPr="004C33D1" w:rsidRDefault="001B70C1" w:rsidP="001B70C1"/>
    <w:p w:rsidR="001B70C1" w:rsidRPr="004C33D1" w:rsidRDefault="001B70C1" w:rsidP="00E02811">
      <w:pPr>
        <w:pStyle w:val="Caption"/>
      </w:pPr>
      <w:r w:rsidRPr="004C33D1">
        <w:t xml:space="preserve">Table </w:t>
      </w:r>
      <w:r w:rsidRPr="004C33D1">
        <w:fldChar w:fldCharType="begin"/>
      </w:r>
      <w:r w:rsidRPr="004C33D1">
        <w:instrText xml:space="preserve"> SEQ Table \* ARABIC </w:instrText>
      </w:r>
      <w:r w:rsidRPr="004C33D1">
        <w:fldChar w:fldCharType="separate"/>
      </w:r>
      <w:r w:rsidR="004D1DDA">
        <w:rPr>
          <w:noProof/>
        </w:rPr>
        <w:t>11</w:t>
      </w:r>
      <w:r w:rsidRPr="004C33D1">
        <w:fldChar w:fldCharType="end"/>
      </w:r>
      <w:r w:rsidRPr="004C33D1">
        <w:t xml:space="preserve"> Impact of access to views and sunlight on Auckland residential property prices</w:t>
      </w:r>
    </w:p>
    <w:tbl>
      <w:tblPr>
        <w:tblW w:w="0" w:type="auto"/>
        <w:tblInd w:w="113" w:type="dxa"/>
        <w:tblCellMar>
          <w:top w:w="28" w:type="dxa"/>
          <w:left w:w="28" w:type="dxa"/>
          <w:bottom w:w="28" w:type="dxa"/>
          <w:right w:w="28" w:type="dxa"/>
        </w:tblCellMar>
        <w:tblLook w:val="04E0" w:firstRow="1" w:lastRow="1" w:firstColumn="1" w:lastColumn="0" w:noHBand="0" w:noVBand="1"/>
      </w:tblPr>
      <w:tblGrid>
        <w:gridCol w:w="5444"/>
        <w:gridCol w:w="2720"/>
      </w:tblGrid>
      <w:tr w:rsidR="001B70C1" w:rsidRPr="004C33D1" w:rsidTr="001B70C1">
        <w:trPr>
          <w:tblHeader/>
        </w:trPr>
        <w:tc>
          <w:tcPr>
            <w:tcW w:w="5444" w:type="dxa"/>
            <w:tcBorders>
              <w:bottom w:val="single" w:sz="8" w:space="0" w:color="A6A6A6"/>
            </w:tcBorders>
            <w:shd w:val="clear" w:color="auto" w:fill="auto"/>
          </w:tcPr>
          <w:p w:rsidR="001B70C1" w:rsidRPr="004C33D1" w:rsidRDefault="001B70C1" w:rsidP="001B70C1">
            <w:pPr>
              <w:pStyle w:val="TableText"/>
              <w:rPr>
                <w:b/>
                <w:color w:val="780000"/>
              </w:rPr>
            </w:pPr>
            <w:r w:rsidRPr="004C33D1">
              <w:rPr>
                <w:b/>
                <w:color w:val="780000"/>
              </w:rPr>
              <w:t>Attribute</w:t>
            </w:r>
          </w:p>
        </w:tc>
        <w:tc>
          <w:tcPr>
            <w:tcW w:w="2720" w:type="dxa"/>
            <w:tcBorders>
              <w:bottom w:val="single" w:sz="8" w:space="0" w:color="A6A6A6"/>
            </w:tcBorders>
            <w:shd w:val="clear" w:color="auto" w:fill="auto"/>
          </w:tcPr>
          <w:p w:rsidR="001B70C1" w:rsidRPr="004C33D1" w:rsidRDefault="001B70C1" w:rsidP="001B70C1">
            <w:pPr>
              <w:pStyle w:val="TableText"/>
              <w:jc w:val="right"/>
              <w:rPr>
                <w:b/>
                <w:color w:val="780000"/>
              </w:rPr>
            </w:pPr>
            <w:r w:rsidRPr="004C33D1">
              <w:rPr>
                <w:b/>
                <w:color w:val="780000"/>
              </w:rPr>
              <w:t>Impact on property values</w:t>
            </w:r>
          </w:p>
        </w:tc>
      </w:tr>
      <w:tr w:rsidR="001B70C1" w:rsidRPr="004C33D1" w:rsidTr="001B70C1">
        <w:tblPrEx>
          <w:tblCellMar>
            <w:top w:w="0" w:type="dxa"/>
            <w:left w:w="0" w:type="dxa"/>
            <w:bottom w:w="0" w:type="dxa"/>
            <w:right w:w="0" w:type="dxa"/>
          </w:tblCellMar>
        </w:tblPrEx>
        <w:tc>
          <w:tcPr>
            <w:tcW w:w="5444" w:type="dxa"/>
            <w:shd w:val="clear" w:color="auto" w:fill="auto"/>
          </w:tcPr>
          <w:p w:rsidR="001B70C1" w:rsidRPr="004C33D1" w:rsidRDefault="001B70C1" w:rsidP="001B70C1">
            <w:pPr>
              <w:pStyle w:val="TableText"/>
            </w:pPr>
            <w:r w:rsidRPr="004C33D1">
              <w:t>Views of water</w:t>
            </w:r>
          </w:p>
        </w:tc>
        <w:tc>
          <w:tcPr>
            <w:tcW w:w="2720" w:type="dxa"/>
            <w:shd w:val="clear" w:color="auto" w:fill="auto"/>
          </w:tcPr>
          <w:p w:rsidR="001B70C1" w:rsidRPr="004C33D1" w:rsidRDefault="001B70C1" w:rsidP="001B70C1">
            <w:pPr>
              <w:pStyle w:val="TableText"/>
              <w:jc w:val="right"/>
            </w:pPr>
            <w:r w:rsidRPr="004C33D1">
              <w:t>+8.3% to +20%</w:t>
            </w:r>
          </w:p>
        </w:tc>
      </w:tr>
      <w:tr w:rsidR="001B70C1" w:rsidRPr="004C33D1" w:rsidTr="001B70C1">
        <w:tblPrEx>
          <w:tblCellMar>
            <w:top w:w="0" w:type="dxa"/>
            <w:left w:w="0" w:type="dxa"/>
            <w:bottom w:w="0" w:type="dxa"/>
            <w:right w:w="0" w:type="dxa"/>
          </w:tblCellMar>
        </w:tblPrEx>
        <w:tc>
          <w:tcPr>
            <w:tcW w:w="5444" w:type="dxa"/>
            <w:shd w:val="clear" w:color="auto" w:fill="auto"/>
          </w:tcPr>
          <w:p w:rsidR="001B70C1" w:rsidRPr="004C33D1" w:rsidRDefault="001B70C1" w:rsidP="001B70C1">
            <w:pPr>
              <w:pStyle w:val="TableText"/>
            </w:pPr>
            <w:r w:rsidRPr="004C33D1">
              <w:t>Views of land</w:t>
            </w:r>
          </w:p>
        </w:tc>
        <w:tc>
          <w:tcPr>
            <w:tcW w:w="2720" w:type="dxa"/>
            <w:shd w:val="clear" w:color="auto" w:fill="auto"/>
          </w:tcPr>
          <w:p w:rsidR="001B70C1" w:rsidRPr="004C33D1" w:rsidRDefault="001B70C1" w:rsidP="001B70C1">
            <w:pPr>
              <w:pStyle w:val="TableText"/>
              <w:jc w:val="right"/>
            </w:pPr>
            <w:r w:rsidRPr="004C33D1">
              <w:t>+0% to +6%</w:t>
            </w:r>
          </w:p>
        </w:tc>
      </w:tr>
      <w:tr w:rsidR="001B70C1" w:rsidRPr="004C33D1" w:rsidTr="001B70C1">
        <w:tblPrEx>
          <w:tblCellMar>
            <w:top w:w="0" w:type="dxa"/>
            <w:left w:w="0" w:type="dxa"/>
            <w:bottom w:w="0" w:type="dxa"/>
            <w:right w:w="0" w:type="dxa"/>
          </w:tblCellMar>
        </w:tblPrEx>
        <w:tc>
          <w:tcPr>
            <w:tcW w:w="5444" w:type="dxa"/>
            <w:tcBorders>
              <w:bottom w:val="single" w:sz="12" w:space="0" w:color="A6A6A6"/>
            </w:tcBorders>
            <w:shd w:val="clear" w:color="auto" w:fill="auto"/>
          </w:tcPr>
          <w:p w:rsidR="001B70C1" w:rsidRPr="004C33D1" w:rsidRDefault="001B70C1" w:rsidP="001B70C1">
            <w:pPr>
              <w:pStyle w:val="TableText"/>
            </w:pPr>
            <w:r w:rsidRPr="004C33D1">
              <w:t>Access to sunlight (</w:t>
            </w:r>
            <w:proofErr w:type="spellStart"/>
            <w:r w:rsidRPr="004C33D1">
              <w:t>proxied</w:t>
            </w:r>
            <w:proofErr w:type="spellEnd"/>
            <w:r w:rsidRPr="004C33D1">
              <w:t xml:space="preserve"> by north-facing apartments)</w:t>
            </w:r>
          </w:p>
        </w:tc>
        <w:tc>
          <w:tcPr>
            <w:tcW w:w="2720" w:type="dxa"/>
            <w:tcBorders>
              <w:bottom w:val="single" w:sz="12" w:space="0" w:color="A6A6A6"/>
            </w:tcBorders>
            <w:shd w:val="clear" w:color="auto" w:fill="auto"/>
          </w:tcPr>
          <w:p w:rsidR="001B70C1" w:rsidRPr="004C33D1" w:rsidRDefault="001B70C1" w:rsidP="001B70C1">
            <w:pPr>
              <w:pStyle w:val="TableText"/>
              <w:jc w:val="right"/>
            </w:pPr>
            <w:r w:rsidRPr="004C33D1">
              <w:t>+17.3%</w:t>
            </w:r>
          </w:p>
        </w:tc>
      </w:tr>
    </w:tbl>
    <w:p w:rsidR="001B70C1" w:rsidRPr="004C33D1" w:rsidRDefault="001B70C1" w:rsidP="001B70C1">
      <w:pPr>
        <w:spacing w:line="240" w:lineRule="auto"/>
        <w:rPr>
          <w:sz w:val="18"/>
          <w:szCs w:val="18"/>
        </w:rPr>
      </w:pPr>
      <w:r w:rsidRPr="004C33D1">
        <w:rPr>
          <w:sz w:val="18"/>
          <w:szCs w:val="18"/>
        </w:rPr>
        <w:t>Source: MRCagney, Covec and Beca (2016)</w:t>
      </w:r>
    </w:p>
    <w:p w:rsidR="001B70C1" w:rsidRPr="004C33D1" w:rsidRDefault="001B70C1" w:rsidP="001B70C1"/>
    <w:p w:rsidR="001B70C1" w:rsidRPr="004C33D1" w:rsidRDefault="001B70C1" w:rsidP="001B70C1">
      <w:r w:rsidRPr="004C33D1">
        <w:t xml:space="preserve">To conclude, this measure is feasible to estimate using existing methodologies and data. It can be relatively straightforward to interpret, </w:t>
      </w:r>
      <w:proofErr w:type="gramStart"/>
      <w:r w:rsidRPr="004C33D1">
        <w:t>provided that</w:t>
      </w:r>
      <w:proofErr w:type="gramEnd"/>
      <w:r w:rsidRPr="004C33D1">
        <w:t xml:space="preserve"> appropriate contextual information is gathered. The main shortcoming of this measure is that it is only feasible to estimate in a small number of locations, principally city centres with a sufficient density of high-rise apartments. At present, this only includes the Auckland and Wellington city centres. However, Cheshire and </w:t>
      </w:r>
      <w:proofErr w:type="spellStart"/>
      <w:r w:rsidRPr="004C33D1">
        <w:t>Hilber’s</w:t>
      </w:r>
      <w:proofErr w:type="spellEnd"/>
      <w:r w:rsidRPr="004C33D1">
        <w:t xml:space="preserve"> analysis suggests that this approach could be extended to multi-storey offices, which are more </w:t>
      </w:r>
      <w:proofErr w:type="gramStart"/>
      <w:r w:rsidRPr="004C33D1">
        <w:t>common,</w:t>
      </w:r>
      <w:proofErr w:type="gramEnd"/>
      <w:r w:rsidRPr="004C33D1">
        <w:t xml:space="preserve"> or multi-storey hotels, which are an important consideration in tourism hotspots, eg Queenstown. As a result, it is a potential candidate for inclusion as a price indicator in the NPS-UDC or supporting guidance.</w:t>
      </w:r>
    </w:p>
    <w:p w:rsidR="001B70C1" w:rsidRPr="004C33D1" w:rsidRDefault="0038100D" w:rsidP="00220C7C">
      <w:pPr>
        <w:pStyle w:val="Heading2"/>
      </w:pPr>
      <w:bookmarkStart w:id="179" w:name="_Toc462413641"/>
      <w:bookmarkStart w:id="180" w:name="_Toc462582197"/>
      <w:r>
        <w:t>Conclusions</w:t>
      </w:r>
      <w:bookmarkEnd w:id="179"/>
      <w:bookmarkEnd w:id="180"/>
    </w:p>
    <w:p w:rsidR="001B70C1" w:rsidRPr="004C33D1" w:rsidRDefault="001B70C1" w:rsidP="001B70C1">
      <w:r w:rsidRPr="004C33D1">
        <w:t xml:space="preserve">Possible indicators or signals </w:t>
      </w:r>
      <w:r w:rsidR="0038100D">
        <w:t xml:space="preserve">of efficient prices and </w:t>
      </w:r>
      <w:r w:rsidRPr="004C33D1">
        <w:t xml:space="preserve">their data requirements </w:t>
      </w:r>
      <w:proofErr w:type="gramStart"/>
      <w:r w:rsidRPr="004C33D1">
        <w:t>are listed</w:t>
      </w:r>
      <w:proofErr w:type="gramEnd"/>
      <w:r w:rsidRPr="004C33D1">
        <w:t xml:space="preserve"> in</w:t>
      </w:r>
      <w:r w:rsidR="00E73F5D">
        <w:t xml:space="preserve"> </w:t>
      </w:r>
      <w:r w:rsidR="00E73F5D">
        <w:fldChar w:fldCharType="begin"/>
      </w:r>
      <w:r w:rsidR="00E73F5D">
        <w:instrText xml:space="preserve"> REF _Ref458163039 \h </w:instrText>
      </w:r>
      <w:r w:rsidR="00E73F5D">
        <w:fldChar w:fldCharType="separate"/>
      </w:r>
      <w:r w:rsidR="004D1DDA" w:rsidRPr="004C33D1">
        <w:t xml:space="preserve">Table </w:t>
      </w:r>
      <w:r w:rsidR="004D1DDA">
        <w:rPr>
          <w:noProof/>
        </w:rPr>
        <w:t>12</w:t>
      </w:r>
      <w:r w:rsidR="00E73F5D">
        <w:fldChar w:fldCharType="end"/>
      </w:r>
      <w:r w:rsidRPr="004C33D1">
        <w:t>.</w:t>
      </w:r>
      <w:r w:rsidR="0038100D">
        <w:t xml:space="preserve"> These use price comparisons to understand whether prices are close to efficient levels.</w:t>
      </w:r>
    </w:p>
    <w:p w:rsidR="001B70C1" w:rsidRPr="004C33D1" w:rsidRDefault="001B70C1" w:rsidP="00E02811">
      <w:pPr>
        <w:pStyle w:val="Caption"/>
      </w:pPr>
      <w:bookmarkStart w:id="181" w:name="_Ref458163039"/>
      <w:r w:rsidRPr="004C33D1">
        <w:t xml:space="preserve">Table </w:t>
      </w:r>
      <w:r w:rsidRPr="004C33D1">
        <w:fldChar w:fldCharType="begin"/>
      </w:r>
      <w:r w:rsidRPr="004C33D1">
        <w:instrText xml:space="preserve"> SEQ Table \* ARABIC </w:instrText>
      </w:r>
      <w:r w:rsidRPr="004C33D1">
        <w:fldChar w:fldCharType="separate"/>
      </w:r>
      <w:r w:rsidR="004D1DDA">
        <w:rPr>
          <w:noProof/>
        </w:rPr>
        <w:t>12</w:t>
      </w:r>
      <w:r w:rsidRPr="004C33D1">
        <w:fldChar w:fldCharType="end"/>
      </w:r>
      <w:bookmarkEnd w:id="181"/>
      <w:r w:rsidRPr="004C33D1">
        <w:t xml:space="preserve"> Possible price signals</w:t>
      </w:r>
    </w:p>
    <w:tbl>
      <w:tblPr>
        <w:tblW w:w="0" w:type="auto"/>
        <w:tblBorders>
          <w:bottom w:val="single" w:sz="12" w:space="0" w:color="A6A6A6"/>
          <w:insideH w:val="single" w:sz="8" w:space="0" w:color="A6A6A6"/>
        </w:tblBorders>
        <w:tblCellMar>
          <w:top w:w="28" w:type="dxa"/>
          <w:left w:w="57" w:type="dxa"/>
          <w:bottom w:w="28" w:type="dxa"/>
          <w:right w:w="57" w:type="dxa"/>
        </w:tblCellMar>
        <w:tblLook w:val="04E0" w:firstRow="1" w:lastRow="1" w:firstColumn="1" w:lastColumn="0" w:noHBand="0" w:noVBand="1"/>
      </w:tblPr>
      <w:tblGrid>
        <w:gridCol w:w="2467"/>
        <w:gridCol w:w="1098"/>
        <w:gridCol w:w="4656"/>
      </w:tblGrid>
      <w:tr w:rsidR="001B70C1" w:rsidRPr="004C33D1" w:rsidTr="008E325E">
        <w:trPr>
          <w:trHeight w:val="170"/>
          <w:tblHeader/>
        </w:trPr>
        <w:tc>
          <w:tcPr>
            <w:tcW w:w="2467" w:type="dxa"/>
            <w:tcBorders>
              <w:bottom w:val="single" w:sz="8" w:space="0" w:color="A6A6A6"/>
            </w:tcBorders>
            <w:shd w:val="clear" w:color="auto" w:fill="auto"/>
            <w:vAlign w:val="bottom"/>
          </w:tcPr>
          <w:p w:rsidR="001B70C1" w:rsidRPr="004C33D1" w:rsidRDefault="001B70C1" w:rsidP="001B70C1">
            <w:pPr>
              <w:pStyle w:val="TableText"/>
              <w:rPr>
                <w:b/>
                <w:color w:val="780000"/>
              </w:rPr>
            </w:pPr>
            <w:r w:rsidRPr="004C33D1">
              <w:rPr>
                <w:b/>
                <w:color w:val="780000"/>
              </w:rPr>
              <w:t>Indicator</w:t>
            </w:r>
          </w:p>
        </w:tc>
        <w:tc>
          <w:tcPr>
            <w:tcW w:w="1098" w:type="dxa"/>
            <w:tcBorders>
              <w:bottom w:val="single" w:sz="8" w:space="0" w:color="A6A6A6"/>
            </w:tcBorders>
            <w:shd w:val="clear" w:color="auto" w:fill="auto"/>
            <w:vAlign w:val="bottom"/>
          </w:tcPr>
          <w:p w:rsidR="001B70C1" w:rsidRPr="004C33D1" w:rsidRDefault="001B70C1" w:rsidP="001B70C1">
            <w:pPr>
              <w:pStyle w:val="TableText"/>
              <w:jc w:val="center"/>
              <w:rPr>
                <w:b/>
                <w:color w:val="780000"/>
              </w:rPr>
            </w:pPr>
            <w:r w:rsidRPr="004C33D1">
              <w:rPr>
                <w:b/>
                <w:color w:val="780000"/>
              </w:rPr>
              <w:t>Proposed in NPS-UDC</w:t>
            </w:r>
          </w:p>
        </w:tc>
        <w:tc>
          <w:tcPr>
            <w:tcW w:w="4656" w:type="dxa"/>
            <w:tcBorders>
              <w:bottom w:val="single" w:sz="8" w:space="0" w:color="A6A6A6"/>
            </w:tcBorders>
            <w:shd w:val="clear" w:color="auto" w:fill="auto"/>
            <w:vAlign w:val="bottom"/>
          </w:tcPr>
          <w:p w:rsidR="001B70C1" w:rsidRPr="004C33D1" w:rsidRDefault="001B70C1" w:rsidP="001B70C1">
            <w:pPr>
              <w:pStyle w:val="TableText"/>
              <w:rPr>
                <w:b/>
                <w:color w:val="780000"/>
              </w:rPr>
            </w:pPr>
            <w:r w:rsidRPr="004C33D1">
              <w:rPr>
                <w:b/>
                <w:color w:val="780000"/>
              </w:rPr>
              <w:t>Data required</w:t>
            </w:r>
          </w:p>
        </w:tc>
      </w:tr>
      <w:tr w:rsidR="0092074C" w:rsidRPr="004C33D1" w:rsidTr="008E325E">
        <w:tblPrEx>
          <w:tblCellMar>
            <w:top w:w="0" w:type="dxa"/>
            <w:bottom w:w="0" w:type="dxa"/>
          </w:tblCellMar>
        </w:tblPrEx>
        <w:trPr>
          <w:trHeight w:val="170"/>
        </w:trPr>
        <w:tc>
          <w:tcPr>
            <w:tcW w:w="2467" w:type="dxa"/>
            <w:shd w:val="clear" w:color="auto" w:fill="auto"/>
          </w:tcPr>
          <w:p w:rsidR="0092074C" w:rsidRPr="004C33D1" w:rsidRDefault="0092074C" w:rsidP="0092074C">
            <w:pPr>
              <w:pStyle w:val="TableText"/>
            </w:pPr>
            <w:r>
              <w:t>Land price</w:t>
            </w:r>
            <w:r w:rsidRPr="004C33D1">
              <w:t xml:space="preserve"> discontinuity</w:t>
            </w:r>
            <w:r>
              <w:t xml:space="preserve"> at the urban boundary</w:t>
            </w:r>
          </w:p>
          <w:p w:rsidR="0092074C" w:rsidRPr="004C33D1" w:rsidRDefault="0092074C" w:rsidP="0092074C">
            <w:pPr>
              <w:pStyle w:val="TableText"/>
            </w:pPr>
            <w:r w:rsidRPr="004C33D1">
              <w:t>(The ratio of the value of land between rural and urban zoned land)</w:t>
            </w:r>
          </w:p>
        </w:tc>
        <w:tc>
          <w:tcPr>
            <w:tcW w:w="1098" w:type="dxa"/>
            <w:shd w:val="clear" w:color="auto" w:fill="auto"/>
          </w:tcPr>
          <w:p w:rsidR="0092074C" w:rsidRPr="004C33D1" w:rsidRDefault="0092074C" w:rsidP="0092074C">
            <w:pPr>
              <w:pStyle w:val="TableText"/>
              <w:jc w:val="center"/>
            </w:pPr>
            <w:r w:rsidRPr="004C33D1">
              <w:sym w:font="Wingdings" w:char="F0FC"/>
            </w:r>
          </w:p>
        </w:tc>
        <w:tc>
          <w:tcPr>
            <w:tcW w:w="4656" w:type="dxa"/>
            <w:shd w:val="clear" w:color="auto" w:fill="auto"/>
          </w:tcPr>
          <w:p w:rsidR="0092074C" w:rsidRPr="004C33D1" w:rsidRDefault="0092074C" w:rsidP="0092074C">
            <w:pPr>
              <w:pStyle w:val="TableText"/>
              <w:numPr>
                <w:ilvl w:val="0"/>
                <w:numId w:val="23"/>
              </w:numPr>
              <w:ind w:left="249" w:hanging="249"/>
            </w:pPr>
            <w:r w:rsidRPr="004C33D1">
              <w:t>GIS data on city boundaries</w:t>
            </w:r>
          </w:p>
          <w:p w:rsidR="0092074C" w:rsidRPr="004C33D1" w:rsidRDefault="0092074C" w:rsidP="0092074C">
            <w:pPr>
              <w:pStyle w:val="TableText"/>
              <w:numPr>
                <w:ilvl w:val="0"/>
                <w:numId w:val="23"/>
              </w:numPr>
              <w:ind w:left="249" w:hanging="249"/>
            </w:pPr>
            <w:r w:rsidRPr="004C33D1">
              <w:t xml:space="preserve">Land values close to </w:t>
            </w:r>
            <w:r>
              <w:t>the urban boundary</w:t>
            </w:r>
            <w:r w:rsidRPr="004C33D1">
              <w:t xml:space="preserve"> (possibly grouped by </w:t>
            </w:r>
            <w:proofErr w:type="spellStart"/>
            <w:r w:rsidRPr="004C33D1">
              <w:t>meshblock</w:t>
            </w:r>
            <w:proofErr w:type="spellEnd"/>
            <w:r w:rsidRPr="004C33D1">
              <w:t>)</w:t>
            </w:r>
          </w:p>
          <w:p w:rsidR="0092074C" w:rsidRPr="004C33D1" w:rsidRDefault="0092074C" w:rsidP="0092074C">
            <w:pPr>
              <w:pStyle w:val="TableText"/>
              <w:numPr>
                <w:ilvl w:val="0"/>
                <w:numId w:val="23"/>
              </w:numPr>
              <w:ind w:left="249" w:hanging="249"/>
            </w:pPr>
            <w:r w:rsidRPr="004C33D1">
              <w:t>Estimated cost of converting bare land for residential use plus cost of infrastructure provision</w:t>
            </w:r>
          </w:p>
        </w:tc>
      </w:tr>
      <w:tr w:rsidR="0092074C" w:rsidRPr="004C33D1" w:rsidTr="008E325E">
        <w:tblPrEx>
          <w:tblCellMar>
            <w:top w:w="0" w:type="dxa"/>
            <w:bottom w:w="0" w:type="dxa"/>
          </w:tblCellMar>
        </w:tblPrEx>
        <w:trPr>
          <w:trHeight w:val="170"/>
        </w:trPr>
        <w:tc>
          <w:tcPr>
            <w:tcW w:w="2467" w:type="dxa"/>
            <w:shd w:val="clear" w:color="auto" w:fill="auto"/>
          </w:tcPr>
          <w:p w:rsidR="0092074C" w:rsidRPr="004C33D1" w:rsidRDefault="0092074C" w:rsidP="0092074C">
            <w:pPr>
              <w:pStyle w:val="TableText"/>
            </w:pPr>
            <w:r w:rsidRPr="004C33D1">
              <w:t>Minimum lot size discontinuity</w:t>
            </w:r>
          </w:p>
        </w:tc>
        <w:tc>
          <w:tcPr>
            <w:tcW w:w="1098" w:type="dxa"/>
            <w:shd w:val="clear" w:color="auto" w:fill="auto"/>
          </w:tcPr>
          <w:p w:rsidR="0092074C" w:rsidRPr="004C33D1" w:rsidRDefault="0092074C" w:rsidP="0092074C">
            <w:pPr>
              <w:pStyle w:val="TableText"/>
              <w:jc w:val="center"/>
            </w:pPr>
          </w:p>
        </w:tc>
        <w:tc>
          <w:tcPr>
            <w:tcW w:w="4656" w:type="dxa"/>
            <w:shd w:val="clear" w:color="auto" w:fill="auto"/>
          </w:tcPr>
          <w:p w:rsidR="0092074C" w:rsidRPr="004C33D1" w:rsidRDefault="0092074C" w:rsidP="0092074C">
            <w:pPr>
              <w:pStyle w:val="TableText"/>
              <w:numPr>
                <w:ilvl w:val="0"/>
                <w:numId w:val="23"/>
              </w:numPr>
              <w:ind w:left="249" w:hanging="249"/>
            </w:pPr>
            <w:r w:rsidRPr="004C33D1">
              <w:t>Zoning maps</w:t>
            </w:r>
          </w:p>
          <w:p w:rsidR="0092074C" w:rsidRPr="004C33D1" w:rsidRDefault="0092074C" w:rsidP="0092074C">
            <w:pPr>
              <w:pStyle w:val="TableText"/>
              <w:numPr>
                <w:ilvl w:val="0"/>
                <w:numId w:val="23"/>
              </w:numPr>
              <w:ind w:left="249" w:hanging="249"/>
            </w:pPr>
            <w:r w:rsidRPr="004C33D1">
              <w:t xml:space="preserve">Land values (or sales data adjusted to produce land values) either side of zones. </w:t>
            </w:r>
          </w:p>
        </w:tc>
      </w:tr>
      <w:tr w:rsidR="0092074C" w:rsidRPr="004C33D1" w:rsidTr="008E325E">
        <w:tblPrEx>
          <w:tblCellMar>
            <w:top w:w="0" w:type="dxa"/>
            <w:bottom w:w="0" w:type="dxa"/>
          </w:tblCellMar>
        </w:tblPrEx>
        <w:trPr>
          <w:trHeight w:val="170"/>
        </w:trPr>
        <w:tc>
          <w:tcPr>
            <w:tcW w:w="2467" w:type="dxa"/>
            <w:shd w:val="clear" w:color="auto" w:fill="auto"/>
          </w:tcPr>
          <w:p w:rsidR="0092074C" w:rsidRPr="004C33D1" w:rsidRDefault="0092074C" w:rsidP="0092074C">
            <w:pPr>
              <w:pStyle w:val="TableText"/>
            </w:pPr>
            <w:r>
              <w:t>Land price discontinuity at zoning boundaries within the city, eg industrial zones</w:t>
            </w:r>
          </w:p>
          <w:p w:rsidR="0092074C" w:rsidRPr="004C33D1" w:rsidRDefault="0092074C" w:rsidP="0092074C">
            <w:pPr>
              <w:pStyle w:val="TableText"/>
            </w:pPr>
            <w:r w:rsidRPr="004C33D1">
              <w:t xml:space="preserve">(= Ratio of land value to that of best alternative use) </w:t>
            </w:r>
          </w:p>
        </w:tc>
        <w:tc>
          <w:tcPr>
            <w:tcW w:w="1098" w:type="dxa"/>
            <w:shd w:val="clear" w:color="auto" w:fill="auto"/>
          </w:tcPr>
          <w:p w:rsidR="0092074C" w:rsidRPr="004C33D1" w:rsidRDefault="0092074C" w:rsidP="0092074C">
            <w:pPr>
              <w:pStyle w:val="TableText"/>
              <w:jc w:val="center"/>
            </w:pPr>
          </w:p>
        </w:tc>
        <w:tc>
          <w:tcPr>
            <w:tcW w:w="4656" w:type="dxa"/>
            <w:shd w:val="clear" w:color="auto" w:fill="auto"/>
          </w:tcPr>
          <w:p w:rsidR="0092074C" w:rsidRPr="004C33D1" w:rsidRDefault="0092074C" w:rsidP="0092074C">
            <w:pPr>
              <w:pStyle w:val="TableText"/>
              <w:numPr>
                <w:ilvl w:val="0"/>
                <w:numId w:val="23"/>
              </w:numPr>
              <w:ind w:left="249" w:hanging="249"/>
            </w:pPr>
            <w:r w:rsidRPr="004C33D1">
              <w:t>Zoning maps</w:t>
            </w:r>
          </w:p>
          <w:p w:rsidR="0092074C" w:rsidRPr="004C33D1" w:rsidRDefault="0092074C" w:rsidP="0092074C">
            <w:pPr>
              <w:pStyle w:val="TableText"/>
              <w:numPr>
                <w:ilvl w:val="0"/>
                <w:numId w:val="23"/>
              </w:numPr>
              <w:ind w:left="249" w:hanging="249"/>
            </w:pPr>
            <w:r w:rsidRPr="004C33D1">
              <w:t>Land value inside and outside zone</w:t>
            </w:r>
            <w:r>
              <w:t xml:space="preserve"> boundaries</w:t>
            </w:r>
          </w:p>
        </w:tc>
      </w:tr>
      <w:tr w:rsidR="0092074C" w:rsidRPr="004C33D1" w:rsidTr="008E325E">
        <w:tblPrEx>
          <w:tblCellMar>
            <w:top w:w="0" w:type="dxa"/>
            <w:bottom w:w="0" w:type="dxa"/>
          </w:tblCellMar>
        </w:tblPrEx>
        <w:trPr>
          <w:trHeight w:val="170"/>
        </w:trPr>
        <w:tc>
          <w:tcPr>
            <w:tcW w:w="2467" w:type="dxa"/>
            <w:tcBorders>
              <w:bottom w:val="single" w:sz="12" w:space="0" w:color="A6A6A6"/>
            </w:tcBorders>
            <w:shd w:val="clear" w:color="auto" w:fill="auto"/>
          </w:tcPr>
          <w:p w:rsidR="0092074C" w:rsidRPr="004C33D1" w:rsidRDefault="0092074C" w:rsidP="0092074C">
            <w:pPr>
              <w:pStyle w:val="TableText"/>
            </w:pPr>
            <w:r w:rsidRPr="004C33D1">
              <w:t xml:space="preserve">Ratio of sale price to </w:t>
            </w:r>
            <w:r>
              <w:t>marginal construction</w:t>
            </w:r>
            <w:r w:rsidRPr="004C33D1">
              <w:t xml:space="preserve"> cost for apartments</w:t>
            </w:r>
          </w:p>
        </w:tc>
        <w:tc>
          <w:tcPr>
            <w:tcW w:w="1098" w:type="dxa"/>
            <w:tcBorders>
              <w:bottom w:val="single" w:sz="12" w:space="0" w:color="A6A6A6"/>
            </w:tcBorders>
            <w:shd w:val="clear" w:color="auto" w:fill="auto"/>
          </w:tcPr>
          <w:p w:rsidR="0092074C" w:rsidRPr="004C33D1" w:rsidRDefault="0092074C" w:rsidP="0092074C">
            <w:pPr>
              <w:pStyle w:val="TableText"/>
              <w:jc w:val="center"/>
            </w:pPr>
          </w:p>
        </w:tc>
        <w:tc>
          <w:tcPr>
            <w:tcW w:w="4656" w:type="dxa"/>
            <w:tcBorders>
              <w:bottom w:val="single" w:sz="12" w:space="0" w:color="A6A6A6"/>
            </w:tcBorders>
            <w:shd w:val="clear" w:color="auto" w:fill="auto"/>
          </w:tcPr>
          <w:p w:rsidR="0092074C" w:rsidRPr="004C33D1" w:rsidRDefault="0092074C" w:rsidP="0092074C">
            <w:pPr>
              <w:pStyle w:val="TableText"/>
              <w:numPr>
                <w:ilvl w:val="0"/>
                <w:numId w:val="23"/>
              </w:numPr>
              <w:ind w:left="249" w:hanging="249"/>
            </w:pPr>
            <w:r w:rsidRPr="004C33D1">
              <w:t>Zoning maps of where high-rise apartments are allowed</w:t>
            </w:r>
          </w:p>
          <w:p w:rsidR="0092074C" w:rsidRPr="004C33D1" w:rsidRDefault="0092074C" w:rsidP="0092074C">
            <w:pPr>
              <w:pStyle w:val="TableText"/>
              <w:numPr>
                <w:ilvl w:val="0"/>
                <w:numId w:val="23"/>
              </w:numPr>
              <w:ind w:left="249" w:hanging="249"/>
            </w:pPr>
            <w:r w:rsidRPr="004C33D1">
              <w:t>Sales data on apartment sales adjusted for explanatory variables (age, size, location, view, balconies etc)</w:t>
            </w:r>
          </w:p>
          <w:p w:rsidR="0092074C" w:rsidRPr="004C33D1" w:rsidRDefault="0092074C" w:rsidP="0092074C">
            <w:pPr>
              <w:pStyle w:val="TableText"/>
              <w:numPr>
                <w:ilvl w:val="0"/>
                <w:numId w:val="23"/>
              </w:numPr>
              <w:ind w:left="249" w:hanging="249"/>
            </w:pPr>
            <w:r w:rsidRPr="004C33D1">
              <w:t>Estimated marginal cost of construction for high-rise apartments</w:t>
            </w:r>
          </w:p>
        </w:tc>
      </w:tr>
    </w:tbl>
    <w:p w:rsidR="00D20F5F" w:rsidRDefault="0038100D" w:rsidP="00D20F5F">
      <w:bookmarkStart w:id="182" w:name="_Ref456274727"/>
      <w:r>
        <w:lastRenderedPageBreak/>
        <w:t xml:space="preserve">Where </w:t>
      </w:r>
      <w:r w:rsidR="000C3B94">
        <w:t xml:space="preserve">land and development markets are </w:t>
      </w:r>
      <w:r>
        <w:t xml:space="preserve">efficient, </w:t>
      </w:r>
      <w:r w:rsidR="000C3B94">
        <w:t xml:space="preserve">prices </w:t>
      </w:r>
      <w:proofErr w:type="gramStart"/>
      <w:r w:rsidR="000C3B94">
        <w:t>would be expected</w:t>
      </w:r>
      <w:proofErr w:type="gramEnd"/>
      <w:r w:rsidR="000C3B94">
        <w:t xml:space="preserve"> to reflect the opportunity costs of supply. This would mean that </w:t>
      </w:r>
      <w:r>
        <w:t xml:space="preserve">differences in land prices between </w:t>
      </w:r>
      <w:r w:rsidR="000C3B94">
        <w:t xml:space="preserve">zones would be explainable by differences in supply costs, rather than differences in their value in </w:t>
      </w:r>
      <w:r w:rsidR="003C1A69">
        <w:t xml:space="preserve">the </w:t>
      </w:r>
      <w:r w:rsidR="000C3B94">
        <w:t xml:space="preserve">alternative uses. These indicators are used to better understand these differences, but in all </w:t>
      </w:r>
      <w:proofErr w:type="gramStart"/>
      <w:r w:rsidR="000C3B94">
        <w:t>cases</w:t>
      </w:r>
      <w:proofErr w:type="gramEnd"/>
      <w:r w:rsidR="000C3B94">
        <w:t xml:space="preserve"> they need additional analysis.</w:t>
      </w:r>
    </w:p>
    <w:p w:rsidR="000C3B94" w:rsidRDefault="000C3B94" w:rsidP="00D20F5F"/>
    <w:p w:rsidR="000C3B94" w:rsidRDefault="000C3B94" w:rsidP="00D20F5F">
      <w:r>
        <w:t>For example, if land price differences between zones are large this begs the question of whether other costs of deve</w:t>
      </w:r>
      <w:r w:rsidR="003C1A69">
        <w:t>lopment explain this difference:</w:t>
      </w:r>
      <w:r>
        <w:t xml:space="preserve"> are absolute (dollar value rather than percentage) differences across the MUL explained by the costs of land development per </w:t>
      </w:r>
      <w:r w:rsidR="003C1A69">
        <w:t>land parcel</w:t>
      </w:r>
      <w:r>
        <w:t xml:space="preserve">? </w:t>
      </w:r>
      <w:r w:rsidR="003C1A69">
        <w:t>These are useful indicators of the overall efficiency of the market, when combined with estimates of the costs of land development.</w:t>
      </w:r>
    </w:p>
    <w:p w:rsidR="00D20F5F" w:rsidRDefault="00D20F5F">
      <w:pPr>
        <w:spacing w:line="240" w:lineRule="auto"/>
        <w:rPr>
          <w:rFonts w:ascii="Century Gothic" w:hAnsi="Century Gothic" w:cs="Arial"/>
          <w:b/>
          <w:bCs/>
          <w:sz w:val="36"/>
          <w:szCs w:val="32"/>
        </w:rPr>
      </w:pPr>
      <w:r>
        <w:br w:type="page"/>
      </w:r>
    </w:p>
    <w:p w:rsidR="00AB134F" w:rsidRPr="004C33D1" w:rsidRDefault="00090831" w:rsidP="00956D3F">
      <w:pPr>
        <w:pStyle w:val="Heading1"/>
      </w:pPr>
      <w:bookmarkStart w:id="183" w:name="_Ref458181933"/>
      <w:bookmarkStart w:id="184" w:name="_Ref458366110"/>
      <w:bookmarkStart w:id="185" w:name="_Toc462413642"/>
      <w:bookmarkStart w:id="186" w:name="_Toc462582198"/>
      <w:r w:rsidRPr="004C33D1">
        <w:lastRenderedPageBreak/>
        <w:t>Affordability</w:t>
      </w:r>
      <w:r w:rsidR="00AB134F" w:rsidRPr="004C33D1">
        <w:t xml:space="preserve"> Indicators</w:t>
      </w:r>
      <w:bookmarkEnd w:id="182"/>
      <w:bookmarkEnd w:id="183"/>
      <w:bookmarkEnd w:id="184"/>
      <w:bookmarkEnd w:id="185"/>
      <w:bookmarkEnd w:id="186"/>
    </w:p>
    <w:p w:rsidR="005334B5" w:rsidRPr="004C33D1" w:rsidRDefault="001B70C1" w:rsidP="00220C7C">
      <w:pPr>
        <w:pStyle w:val="Heading2"/>
      </w:pPr>
      <w:bookmarkStart w:id="187" w:name="_Toc462413643"/>
      <w:bookmarkStart w:id="188" w:name="_Toc462582199"/>
      <w:r w:rsidRPr="004C33D1">
        <w:t>Introduction</w:t>
      </w:r>
      <w:bookmarkEnd w:id="187"/>
      <w:bookmarkEnd w:id="188"/>
    </w:p>
    <w:p w:rsidR="00A604F0" w:rsidRDefault="00A604F0" w:rsidP="00A604F0">
      <w:r w:rsidRPr="004C33D1">
        <w:t xml:space="preserve">Housing affordability </w:t>
      </w:r>
      <w:proofErr w:type="gramStart"/>
      <w:r w:rsidRPr="004C33D1">
        <w:t>can be defined</w:t>
      </w:r>
      <w:proofErr w:type="gramEnd"/>
      <w:r w:rsidRPr="004C33D1">
        <w:t xml:space="preserve"> as being able to pay for the cost of housing without incurring financial difficulty.</w:t>
      </w:r>
      <w:r w:rsidRPr="004C33D1">
        <w:rPr>
          <w:rStyle w:val="FootnoteReference"/>
        </w:rPr>
        <w:footnoteReference w:id="98"/>
      </w:r>
      <w:r w:rsidRPr="004C33D1">
        <w:t xml:space="preserve">  Affordability is not an absolute concept. Rather, it </w:t>
      </w:r>
      <w:proofErr w:type="gramStart"/>
      <w:r w:rsidRPr="004C33D1">
        <w:t>is best seen</w:t>
      </w:r>
      <w:proofErr w:type="gramEnd"/>
      <w:r w:rsidRPr="004C33D1">
        <w:t xml:space="preserve"> as a continuum, with </w:t>
      </w:r>
      <w:r w:rsidR="00EC239E" w:rsidRPr="004C33D1">
        <w:t>‘</w:t>
      </w:r>
      <w:r w:rsidRPr="004C33D1">
        <w:t>easily affordable</w:t>
      </w:r>
      <w:r w:rsidR="00EC239E" w:rsidRPr="004C33D1">
        <w:t>’</w:t>
      </w:r>
      <w:r w:rsidRPr="004C33D1">
        <w:t xml:space="preserve"> at one end and </w:t>
      </w:r>
      <w:r w:rsidR="00EC239E" w:rsidRPr="004C33D1">
        <w:t>‘</w:t>
      </w:r>
      <w:r w:rsidRPr="004C33D1">
        <w:t>definitely not affordable</w:t>
      </w:r>
      <w:r w:rsidR="00EC239E" w:rsidRPr="004C33D1">
        <w:t>’</w:t>
      </w:r>
      <w:r w:rsidRPr="004C33D1">
        <w:t xml:space="preserve"> at the other. The relationship between the ongoing cost of housing and available income determines the position on this continuum. </w:t>
      </w:r>
    </w:p>
    <w:p w:rsidR="00835F7F" w:rsidRDefault="00835F7F" w:rsidP="00A604F0"/>
    <w:p w:rsidR="00835F7F" w:rsidRPr="007976DF" w:rsidRDefault="00835F7F" w:rsidP="00835F7F">
      <w:r>
        <w:t>Indicators used by a number of New Zealand authors include</w:t>
      </w:r>
      <w:r w:rsidR="00531623">
        <w:t xml:space="preserve"> the following.</w:t>
      </w:r>
    </w:p>
    <w:p w:rsidR="00835F7F" w:rsidRPr="004C33D1" w:rsidRDefault="00835F7F" w:rsidP="00835F7F"/>
    <w:p w:rsidR="00835F7F" w:rsidRPr="004C33D1" w:rsidRDefault="00835F7F" w:rsidP="00411653">
      <w:pPr>
        <w:pStyle w:val="ListParagraph"/>
        <w:numPr>
          <w:ilvl w:val="0"/>
          <w:numId w:val="24"/>
        </w:numPr>
      </w:pPr>
      <w:r>
        <w:t xml:space="preserve">Residual income measures, eg </w:t>
      </w:r>
      <w:r w:rsidRPr="004C33D1">
        <w:t>the proportion of households spending more than a given percentage</w:t>
      </w:r>
      <w:r w:rsidR="00531623">
        <w:t xml:space="preserve"> of household income on housing.</w:t>
      </w:r>
      <w:r w:rsidRPr="007976DF">
        <w:rPr>
          <w:rStyle w:val="FootnoteReference"/>
        </w:rPr>
        <w:t xml:space="preserve"> </w:t>
      </w:r>
      <w:r w:rsidRPr="004C33D1">
        <w:rPr>
          <w:rStyle w:val="FootnoteReference"/>
        </w:rPr>
        <w:footnoteReference w:id="99"/>
      </w:r>
      <w:r w:rsidRPr="004C33D1">
        <w:t xml:space="preserve"> </w:t>
      </w:r>
      <w:r w:rsidRPr="004C33D1">
        <w:br/>
      </w:r>
    </w:p>
    <w:p w:rsidR="00835F7F" w:rsidRDefault="00835F7F" w:rsidP="00411653">
      <w:pPr>
        <w:pStyle w:val="ListParagraph"/>
        <w:numPr>
          <w:ilvl w:val="0"/>
          <w:numId w:val="24"/>
        </w:numPr>
      </w:pPr>
      <w:r>
        <w:t xml:space="preserve">Housing costs to income ratios, eg </w:t>
      </w:r>
    </w:p>
    <w:p w:rsidR="00835F7F" w:rsidRDefault="00835F7F" w:rsidP="00411653">
      <w:pPr>
        <w:pStyle w:val="ListParagraph"/>
        <w:numPr>
          <w:ilvl w:val="1"/>
          <w:numId w:val="24"/>
        </w:numPr>
      </w:pPr>
      <w:r w:rsidRPr="004C33D1">
        <w:t>the prospective mortgage payments as a proportion of average household income for would-be homeowners;</w:t>
      </w:r>
      <w:r>
        <w:rPr>
          <w:rStyle w:val="FootnoteReference"/>
        </w:rPr>
        <w:footnoteReference w:id="100"/>
      </w:r>
    </w:p>
    <w:p w:rsidR="00835F7F" w:rsidRPr="004C33D1" w:rsidRDefault="00835F7F" w:rsidP="00411653">
      <w:pPr>
        <w:pStyle w:val="ListParagraph"/>
        <w:numPr>
          <w:ilvl w:val="1"/>
          <w:numId w:val="24"/>
        </w:numPr>
      </w:pPr>
      <w:proofErr w:type="gramStart"/>
      <w:r w:rsidRPr="00C05AD2">
        <w:t>the</w:t>
      </w:r>
      <w:proofErr w:type="gramEnd"/>
      <w:r w:rsidRPr="00C05AD2">
        <w:t xml:space="preserve"> median rent and median mortgage payments as a proportion of household disposable income, by disposable income quintiles</w:t>
      </w:r>
      <w:r w:rsidR="00531623">
        <w:t>.</w:t>
      </w:r>
      <w:r w:rsidRPr="004C33D1">
        <w:rPr>
          <w:rStyle w:val="FootnoteReference"/>
        </w:rPr>
        <w:footnoteReference w:id="101"/>
      </w:r>
      <w:r w:rsidRPr="004C33D1">
        <w:t xml:space="preserve"> </w:t>
      </w:r>
      <w:r w:rsidRPr="004C33D1">
        <w:br/>
      </w:r>
    </w:p>
    <w:p w:rsidR="00835F7F" w:rsidRDefault="00835F7F" w:rsidP="00411653">
      <w:pPr>
        <w:pStyle w:val="ListParagraph"/>
        <w:numPr>
          <w:ilvl w:val="0"/>
          <w:numId w:val="24"/>
        </w:numPr>
      </w:pPr>
      <w:r>
        <w:t>Ho</w:t>
      </w:r>
      <w:r w:rsidR="00A44D11">
        <w:t>m</w:t>
      </w:r>
      <w:r>
        <w:t xml:space="preserve">e price to </w:t>
      </w:r>
      <w:proofErr w:type="spellStart"/>
      <w:r>
        <w:t>to</w:t>
      </w:r>
      <w:proofErr w:type="spellEnd"/>
      <w:r>
        <w:t xml:space="preserve"> income ratios, eg </w:t>
      </w:r>
    </w:p>
    <w:p w:rsidR="00835F7F" w:rsidRPr="00C05AD2" w:rsidRDefault="00835F7F" w:rsidP="00411653">
      <w:pPr>
        <w:pStyle w:val="ListParagraph"/>
        <w:numPr>
          <w:ilvl w:val="1"/>
          <w:numId w:val="24"/>
        </w:numPr>
        <w:rPr>
          <w:rStyle w:val="FootnoteReference"/>
          <w:vertAlign w:val="baseline"/>
        </w:rPr>
      </w:pPr>
      <w:r w:rsidRPr="004C33D1">
        <w:t>the ratio of average ho</w:t>
      </w:r>
      <w:r w:rsidR="00A44D11">
        <w:t>m</w:t>
      </w:r>
      <w:r w:rsidRPr="004C33D1">
        <w:t>e prices to avera</w:t>
      </w:r>
      <w:r>
        <w:t>ge household income;</w:t>
      </w:r>
      <w:r w:rsidRPr="007976DF">
        <w:rPr>
          <w:rStyle w:val="FootnoteReference"/>
        </w:rPr>
        <w:t xml:space="preserve"> </w:t>
      </w:r>
      <w:r>
        <w:rPr>
          <w:rStyle w:val="FootnoteReference"/>
        </w:rPr>
        <w:footnoteReference w:id="102"/>
      </w:r>
    </w:p>
    <w:p w:rsidR="00835F7F" w:rsidRPr="004C33D1" w:rsidRDefault="00835F7F" w:rsidP="00411653">
      <w:pPr>
        <w:pStyle w:val="ListParagraph"/>
        <w:numPr>
          <w:ilvl w:val="1"/>
          <w:numId w:val="24"/>
        </w:numPr>
      </w:pPr>
      <w:proofErr w:type="gramStart"/>
      <w:r w:rsidRPr="00C05AD2">
        <w:t>ratio</w:t>
      </w:r>
      <w:proofErr w:type="gramEnd"/>
      <w:r w:rsidRPr="00C05AD2">
        <w:t xml:space="preserve"> of median ho</w:t>
      </w:r>
      <w:r w:rsidR="00A44D11">
        <w:t>m</w:t>
      </w:r>
      <w:r w:rsidRPr="00C05AD2">
        <w:t>e prices to gross annual median household income</w:t>
      </w:r>
      <w:r w:rsidR="00531623">
        <w:t>.</w:t>
      </w:r>
      <w:r>
        <w:rPr>
          <w:rStyle w:val="FootnoteReference"/>
        </w:rPr>
        <w:footnoteReference w:id="103"/>
      </w:r>
      <w:r>
        <w:rPr>
          <w:rStyle w:val="FootnoteReference"/>
        </w:rPr>
        <w:br/>
      </w:r>
    </w:p>
    <w:p w:rsidR="00835F7F" w:rsidRDefault="00455D4F" w:rsidP="00411653">
      <w:pPr>
        <w:pStyle w:val="ListParagraph"/>
        <w:numPr>
          <w:ilvl w:val="0"/>
          <w:numId w:val="24"/>
        </w:numPr>
      </w:pPr>
      <w:r>
        <w:t xml:space="preserve">Affordability </w:t>
      </w:r>
      <w:r w:rsidR="00835F7F">
        <w:t>indices</w:t>
      </w:r>
      <w:r w:rsidR="00835F7F" w:rsidRPr="00C05AD2">
        <w:t xml:space="preserve"> based on </w:t>
      </w:r>
      <w:r w:rsidR="00835F7F">
        <w:t xml:space="preserve">combinations of </w:t>
      </w:r>
      <w:r w:rsidR="00835F7F" w:rsidRPr="00C05AD2">
        <w:t xml:space="preserve">average </w:t>
      </w:r>
      <w:r w:rsidR="00835F7F">
        <w:t>income</w:t>
      </w:r>
      <w:r w:rsidR="00835F7F" w:rsidRPr="00C05AD2">
        <w:t xml:space="preserve">, average monthly mortgage interest rates and </w:t>
      </w:r>
      <w:r w:rsidR="00835F7F">
        <w:t>ho</w:t>
      </w:r>
      <w:r w:rsidR="00A44D11">
        <w:t>m</w:t>
      </w:r>
      <w:r w:rsidR="00835F7F">
        <w:t>e</w:t>
      </w:r>
      <w:r w:rsidR="00835F7F" w:rsidRPr="00C05AD2">
        <w:t xml:space="preserve"> prices</w:t>
      </w:r>
      <w:r w:rsidR="00531623">
        <w:t>.</w:t>
      </w:r>
      <w:r w:rsidR="00835F7F" w:rsidRPr="00C05AD2">
        <w:rPr>
          <w:rStyle w:val="FootnoteReference"/>
        </w:rPr>
        <w:t xml:space="preserve"> </w:t>
      </w:r>
      <w:r w:rsidR="00835F7F" w:rsidRPr="004C33D1">
        <w:rPr>
          <w:rStyle w:val="FootnoteReference"/>
        </w:rPr>
        <w:footnoteReference w:id="104"/>
      </w:r>
      <w:r w:rsidR="00835F7F">
        <w:rPr>
          <w:rStyle w:val="FootnoteReference"/>
        </w:rPr>
        <w:t xml:space="preserve"> </w:t>
      </w:r>
      <w:r w:rsidR="00835F7F">
        <w:br/>
      </w:r>
    </w:p>
    <w:p w:rsidR="00835F7F" w:rsidRDefault="00835F7F" w:rsidP="00411653">
      <w:pPr>
        <w:pStyle w:val="ListParagraph"/>
        <w:numPr>
          <w:ilvl w:val="0"/>
          <w:numId w:val="24"/>
        </w:numPr>
      </w:pPr>
      <w:r w:rsidRPr="004C33D1">
        <w:t>Number or proportion of intermediate renters</w:t>
      </w:r>
      <w:r>
        <w:t xml:space="preserve"> (</w:t>
      </w:r>
      <w:r w:rsidRPr="004C33D1">
        <w:t>at least one member in paid employment</w:t>
      </w:r>
      <w:r>
        <w:t>)</w:t>
      </w:r>
      <w:r w:rsidRPr="004C33D1">
        <w:t xml:space="preserve"> who are unable to purchase</w:t>
      </w:r>
      <w:r w:rsidRPr="004C33D1">
        <w:rPr>
          <w:rStyle w:val="FootnoteReference"/>
        </w:rPr>
        <w:footnoteReference w:id="105"/>
      </w:r>
      <w:r>
        <w:t xml:space="preserve"> a lower-quartile </w:t>
      </w:r>
      <w:r w:rsidR="00455D4F">
        <w:t>priced ho</w:t>
      </w:r>
      <w:r w:rsidR="00A44D11">
        <w:t>m</w:t>
      </w:r>
      <w:r w:rsidR="00455D4F">
        <w:t>e</w:t>
      </w:r>
      <w:r w:rsidR="00531623">
        <w:t>.</w:t>
      </w:r>
      <w:r>
        <w:rPr>
          <w:rStyle w:val="FootnoteReference"/>
        </w:rPr>
        <w:footnoteReference w:id="106"/>
      </w:r>
      <w:r w:rsidR="00455D4F">
        <w:br/>
      </w:r>
    </w:p>
    <w:p w:rsidR="00455D4F" w:rsidRPr="004C33D1" w:rsidRDefault="00455D4F" w:rsidP="00411653">
      <w:pPr>
        <w:pStyle w:val="ListParagraph"/>
        <w:numPr>
          <w:ilvl w:val="0"/>
          <w:numId w:val="24"/>
        </w:numPr>
      </w:pPr>
      <w:proofErr w:type="gramStart"/>
      <w:r>
        <w:t>Household crowding levels.</w:t>
      </w:r>
      <w:proofErr w:type="gramEnd"/>
      <w:r>
        <w:rPr>
          <w:rStyle w:val="FootnoteReference"/>
        </w:rPr>
        <w:footnoteReference w:id="107"/>
      </w:r>
    </w:p>
    <w:p w:rsidR="00835F7F" w:rsidRPr="004C33D1" w:rsidRDefault="00835F7F" w:rsidP="00835F7F"/>
    <w:p w:rsidR="00A604F0" w:rsidRDefault="00835F7F" w:rsidP="00A604F0">
      <w:r>
        <w:lastRenderedPageBreak/>
        <w:t>The most common indicators are h</w:t>
      </w:r>
      <w:r w:rsidR="00A604F0" w:rsidRPr="004C33D1">
        <w:t>ousing costs to income ratio</w:t>
      </w:r>
      <w:r w:rsidR="00EC239E" w:rsidRPr="004C33D1">
        <w:t>s</w:t>
      </w:r>
      <w:r w:rsidR="00A604F0" w:rsidRPr="004C33D1">
        <w:t xml:space="preserve"> and residual income (RI) measure</w:t>
      </w:r>
      <w:r w:rsidR="00EC239E" w:rsidRPr="004C33D1">
        <w:t>s</w:t>
      </w:r>
      <w:r w:rsidR="00A604F0" w:rsidRPr="004C33D1">
        <w:t xml:space="preserve"> (household income left after housing costs).</w:t>
      </w:r>
      <w:r w:rsidR="00A604F0" w:rsidRPr="004C33D1">
        <w:rPr>
          <w:rStyle w:val="FootnoteReference"/>
        </w:rPr>
        <w:footnoteReference w:id="108"/>
      </w:r>
      <w:r w:rsidR="00A604F0" w:rsidRPr="004C33D1">
        <w:t xml:space="preserve"> </w:t>
      </w:r>
      <w:r w:rsidR="00E00813" w:rsidRPr="004C33D1">
        <w:t>O</w:t>
      </w:r>
      <w:r w:rsidR="00A604F0" w:rsidRPr="004C33D1">
        <w:t xml:space="preserve">n their own, these measures only provide information on the distribution of affordability along the continuum, not whether any particular location on the continuum is affordable or not. </w:t>
      </w:r>
      <w:r w:rsidR="00E00813" w:rsidRPr="004C33D1">
        <w:t>However, t</w:t>
      </w:r>
      <w:r w:rsidR="00A604F0" w:rsidRPr="004C33D1">
        <w:t xml:space="preserve">hey </w:t>
      </w:r>
      <w:proofErr w:type="gramStart"/>
      <w:r w:rsidR="00A604F0" w:rsidRPr="004C33D1">
        <w:t>can be used</w:t>
      </w:r>
      <w:proofErr w:type="gramEnd"/>
      <w:r w:rsidR="00A604F0" w:rsidRPr="004C33D1">
        <w:t xml:space="preserve"> to provide indicators of whether affordability is changing over time, and in what direction.</w:t>
      </w:r>
    </w:p>
    <w:p w:rsidR="00455D4F" w:rsidRDefault="00455D4F" w:rsidP="00A604F0"/>
    <w:p w:rsidR="00455D4F" w:rsidRPr="004C33D1" w:rsidRDefault="00455D4F" w:rsidP="00A604F0">
      <w:r>
        <w:t xml:space="preserve">Household crowding measures provide some indication of housing affordability, eg using the </w:t>
      </w:r>
      <w:r w:rsidRPr="00455D4F">
        <w:t>Canadian National Occupancy Standard</w:t>
      </w:r>
      <w:r>
        <w:t>,</w:t>
      </w:r>
      <w:r>
        <w:rPr>
          <w:rStyle w:val="FootnoteReference"/>
        </w:rPr>
        <w:footnoteReference w:id="109"/>
      </w:r>
      <w:r>
        <w:t xml:space="preserve"> but the data are only available from the census every three years.</w:t>
      </w:r>
    </w:p>
    <w:p w:rsidR="00A604F0" w:rsidRPr="004C33D1" w:rsidRDefault="00A604F0" w:rsidP="00A604F0"/>
    <w:p w:rsidR="00A604F0" w:rsidRPr="004C33D1" w:rsidRDefault="00A604F0" w:rsidP="00A604F0">
      <w:r w:rsidRPr="004C33D1">
        <w:t>To form an ‘absolute’ measurement of affordability the definition requires a benchmark of ‘financial difficulty’</w:t>
      </w:r>
      <w:r w:rsidR="00455D4F">
        <w:t xml:space="preserve">, eg </w:t>
      </w:r>
      <w:r w:rsidRPr="004C33D1">
        <w:t xml:space="preserve">housing costs exceeding 25-30% of household income </w:t>
      </w:r>
      <w:proofErr w:type="gramStart"/>
      <w:r w:rsidRPr="004C33D1">
        <w:t>are deemed</w:t>
      </w:r>
      <w:proofErr w:type="gramEnd"/>
      <w:r w:rsidRPr="004C33D1">
        <w:t xml:space="preserve"> unaffordable.</w:t>
      </w:r>
      <w:r w:rsidRPr="004C33D1">
        <w:rPr>
          <w:rStyle w:val="FootnoteReference"/>
        </w:rPr>
        <w:footnoteReference w:id="110"/>
      </w:r>
      <w:r w:rsidRPr="004C33D1">
        <w:t xml:space="preserve"> This benchmark </w:t>
      </w:r>
      <w:proofErr w:type="gramStart"/>
      <w:r w:rsidRPr="004C33D1">
        <w:t>is often focused</w:t>
      </w:r>
      <w:proofErr w:type="gramEnd"/>
      <w:r w:rsidRPr="004C33D1">
        <w:t xml:space="preserve"> on the bottom four deciles (40%) of household income.</w:t>
      </w:r>
      <w:r w:rsidRPr="004C33D1">
        <w:rPr>
          <w:rStyle w:val="FootnoteReference"/>
        </w:rPr>
        <w:footnoteReference w:id="111"/>
      </w:r>
      <w:r w:rsidRPr="004C33D1">
        <w:t xml:space="preserve"> </w:t>
      </w:r>
      <w:r w:rsidR="00C2108E">
        <w:t>S</w:t>
      </w:r>
      <w:r w:rsidRPr="004C33D1">
        <w:t xml:space="preserve">uch </w:t>
      </w:r>
      <w:r w:rsidR="00C2108E">
        <w:t>threshold</w:t>
      </w:r>
      <w:r w:rsidRPr="004C33D1">
        <w:t xml:space="preserve"> estimates of affordability have been criticised for their lack of objectivity,</w:t>
      </w:r>
      <w:r w:rsidRPr="004C33D1">
        <w:rPr>
          <w:rStyle w:val="FootnoteReference"/>
        </w:rPr>
        <w:footnoteReference w:id="112"/>
      </w:r>
      <w:r w:rsidRPr="004C33D1">
        <w:t xml:space="preserve"> </w:t>
      </w:r>
      <w:r w:rsidR="00C2108E">
        <w:t xml:space="preserve">but </w:t>
      </w:r>
      <w:r w:rsidRPr="004C33D1">
        <w:t xml:space="preserve">Robinson </w:t>
      </w:r>
      <w:r w:rsidRPr="004C33D1">
        <w:rPr>
          <w:i/>
        </w:rPr>
        <w:t>et al</w:t>
      </w:r>
      <w:r w:rsidRPr="004C33D1">
        <w:t xml:space="preserve"> (2006) believe that they are </w:t>
      </w:r>
      <w:r w:rsidR="00C2108E">
        <w:t>still useful.</w:t>
      </w:r>
      <w:r w:rsidRPr="004C33D1">
        <w:rPr>
          <w:rStyle w:val="FootnoteReference"/>
        </w:rPr>
        <w:footnoteReference w:id="113"/>
      </w:r>
      <w:r w:rsidRPr="004C33D1">
        <w:t xml:space="preserve"> </w:t>
      </w:r>
    </w:p>
    <w:p w:rsidR="00A604F0" w:rsidRPr="004C33D1" w:rsidRDefault="00A604F0" w:rsidP="001B70C1">
      <w:pPr>
        <w:pStyle w:val="Heading3"/>
      </w:pPr>
      <w:r w:rsidRPr="004C33D1">
        <w:t>Summary of the three key indicators</w:t>
      </w:r>
    </w:p>
    <w:p w:rsidR="00A604F0" w:rsidRPr="004C33D1" w:rsidRDefault="00A604F0" w:rsidP="00A604F0">
      <w:r w:rsidRPr="004C33D1">
        <w:t xml:space="preserve">Affordability indicators </w:t>
      </w:r>
      <w:proofErr w:type="gramStart"/>
      <w:r w:rsidRPr="004C33D1">
        <w:t>are generally calculated</w:t>
      </w:r>
      <w:proofErr w:type="gramEnd"/>
      <w:r w:rsidRPr="004C33D1">
        <w:t xml:space="preserve"> </w:t>
      </w:r>
      <w:r w:rsidR="00EC239E" w:rsidRPr="004C33D1">
        <w:t>for three different groups</w:t>
      </w:r>
      <w:r w:rsidRPr="004C33D1">
        <w:t xml:space="preserve">: </w:t>
      </w:r>
    </w:p>
    <w:p w:rsidR="00A604F0" w:rsidRPr="004C33D1" w:rsidRDefault="00EC239E" w:rsidP="000850C5">
      <w:pPr>
        <w:pStyle w:val="ListParagraph"/>
        <w:numPr>
          <w:ilvl w:val="0"/>
          <w:numId w:val="20"/>
        </w:numPr>
        <w:spacing w:after="200" w:line="240" w:lineRule="auto"/>
      </w:pPr>
      <w:r w:rsidRPr="004C33D1">
        <w:t>renters</w:t>
      </w:r>
      <w:r w:rsidR="00A604F0" w:rsidRPr="004C33D1">
        <w:t xml:space="preserve">; </w:t>
      </w:r>
    </w:p>
    <w:p w:rsidR="00A604F0" w:rsidRPr="004C33D1" w:rsidRDefault="00A604F0" w:rsidP="000850C5">
      <w:pPr>
        <w:pStyle w:val="ListParagraph"/>
        <w:numPr>
          <w:ilvl w:val="0"/>
          <w:numId w:val="20"/>
        </w:numPr>
        <w:spacing w:after="200" w:line="240" w:lineRule="auto"/>
      </w:pPr>
      <w:r w:rsidRPr="004C33D1">
        <w:t xml:space="preserve">would-be home owners; and </w:t>
      </w:r>
    </w:p>
    <w:p w:rsidR="00A604F0" w:rsidRPr="004C33D1" w:rsidRDefault="00A604F0" w:rsidP="000850C5">
      <w:pPr>
        <w:pStyle w:val="ListParagraph"/>
        <w:numPr>
          <w:ilvl w:val="0"/>
          <w:numId w:val="20"/>
        </w:numPr>
        <w:spacing w:after="200" w:line="240" w:lineRule="auto"/>
      </w:pPr>
      <w:proofErr w:type="gramStart"/>
      <w:r w:rsidRPr="004C33D1">
        <w:t>existing</w:t>
      </w:r>
      <w:proofErr w:type="gramEnd"/>
      <w:r w:rsidRPr="004C33D1">
        <w:t xml:space="preserve"> homeowners.</w:t>
      </w:r>
      <w:r w:rsidRPr="004C33D1">
        <w:rPr>
          <w:rStyle w:val="FootnoteReference"/>
        </w:rPr>
        <w:footnoteReference w:id="114"/>
      </w:r>
      <w:r w:rsidRPr="004C33D1">
        <w:t xml:space="preserve"> </w:t>
      </w:r>
    </w:p>
    <w:p w:rsidR="00A604F0" w:rsidRDefault="00A604F0" w:rsidP="00A604F0">
      <w:r w:rsidRPr="004C33D1">
        <w:fldChar w:fldCharType="begin"/>
      </w:r>
      <w:r w:rsidRPr="004C33D1">
        <w:instrText xml:space="preserve"> REF _Ref454530392 \h </w:instrText>
      </w:r>
      <w:r w:rsidRPr="004C33D1">
        <w:fldChar w:fldCharType="separate"/>
      </w:r>
      <w:r w:rsidR="004D1DDA" w:rsidRPr="004C33D1">
        <w:t xml:space="preserve">Table </w:t>
      </w:r>
      <w:r w:rsidR="004D1DDA">
        <w:rPr>
          <w:noProof/>
        </w:rPr>
        <w:t>13</w:t>
      </w:r>
      <w:r w:rsidRPr="004C33D1">
        <w:fldChar w:fldCharType="end"/>
      </w:r>
      <w:r w:rsidR="00C2108E">
        <w:t xml:space="preserve"> shows three different </w:t>
      </w:r>
      <w:proofErr w:type="gramStart"/>
      <w:r w:rsidR="00C2108E">
        <w:t>indicators which</w:t>
      </w:r>
      <w:proofErr w:type="gramEnd"/>
      <w:r w:rsidR="00C2108E">
        <w:t xml:space="preserve"> could be used to analyse affordability issues from their perspectives. </w:t>
      </w:r>
    </w:p>
    <w:p w:rsidR="00835F7F" w:rsidRDefault="00835F7F" w:rsidP="00A604F0"/>
    <w:p w:rsidR="00835F7F" w:rsidRPr="004C33D1" w:rsidRDefault="00835F7F" w:rsidP="00835F7F">
      <w:r w:rsidRPr="004C33D1">
        <w:t>The measures can use average values, however for income data especially, median values are often preferred</w:t>
      </w:r>
      <w:r>
        <w:t xml:space="preserve"> </w:t>
      </w:r>
      <w:r w:rsidRPr="004C33D1">
        <w:t xml:space="preserve">because income distributions tend to be positively skewed, </w:t>
      </w:r>
      <w:proofErr w:type="gramStart"/>
      <w:r w:rsidRPr="004C33D1">
        <w:t>ie</w:t>
      </w:r>
      <w:proofErr w:type="gramEnd"/>
      <w:r w:rsidRPr="004C33D1">
        <w:t xml:space="preserve"> the mean is higher than the median, such that ‘ratios to mean income’ are prone to understating </w:t>
      </w:r>
      <w:r>
        <w:t>un</w:t>
      </w:r>
      <w:r w:rsidRPr="004C33D1">
        <w:t xml:space="preserve">affordability. Further insight can be gained when </w:t>
      </w:r>
      <w:proofErr w:type="gramStart"/>
      <w:r w:rsidRPr="004C33D1">
        <w:t>measures are presented by income group (quartile/quintile/decile)</w:t>
      </w:r>
      <w:proofErr w:type="gramEnd"/>
      <w:r w:rsidRPr="004C33D1">
        <w:t xml:space="preserve"> given that lower income groups are the most affected by unaffordable housing.</w:t>
      </w:r>
    </w:p>
    <w:p w:rsidR="00835F7F" w:rsidRPr="004C33D1" w:rsidRDefault="00835F7F" w:rsidP="00835F7F"/>
    <w:p w:rsidR="00835F7F" w:rsidRDefault="00835F7F" w:rsidP="00A604F0">
      <w:r w:rsidRPr="004C33D1">
        <w:t xml:space="preserve">No single measure outlined above gives a complete picture. </w:t>
      </w:r>
      <w:r>
        <w:t>U</w:t>
      </w:r>
      <w:r w:rsidRPr="004C33D1">
        <w:t>sing all of these indictors together can provide a fuller picture of the different elements of affordability at the aggregate level.</w:t>
      </w:r>
    </w:p>
    <w:p w:rsidR="00A604F0" w:rsidRPr="004C33D1" w:rsidRDefault="00A604F0" w:rsidP="00E02811">
      <w:pPr>
        <w:pStyle w:val="Caption"/>
      </w:pPr>
      <w:bookmarkStart w:id="189" w:name="_Ref454530392"/>
      <w:r w:rsidRPr="004C33D1">
        <w:lastRenderedPageBreak/>
        <w:t xml:space="preserve">Table </w:t>
      </w:r>
      <w:r w:rsidRPr="004C33D1">
        <w:fldChar w:fldCharType="begin"/>
      </w:r>
      <w:r w:rsidRPr="004C33D1">
        <w:instrText xml:space="preserve"> SEQ Table \* ARABIC </w:instrText>
      </w:r>
      <w:r w:rsidRPr="004C33D1">
        <w:fldChar w:fldCharType="separate"/>
      </w:r>
      <w:r w:rsidR="004D1DDA">
        <w:rPr>
          <w:noProof/>
        </w:rPr>
        <w:t>13</w:t>
      </w:r>
      <w:r w:rsidRPr="004C33D1">
        <w:fldChar w:fldCharType="end"/>
      </w:r>
      <w:bookmarkEnd w:id="189"/>
      <w:r w:rsidRPr="004C33D1">
        <w:t xml:space="preserve"> Affordability indicators by housing group</w:t>
      </w:r>
    </w:p>
    <w:tbl>
      <w:tblPr>
        <w:tblStyle w:val="CovecTables"/>
        <w:tblW w:w="8234" w:type="dxa"/>
        <w:tblBorders>
          <w:bottom w:val="single" w:sz="12" w:space="0" w:color="A6A6A6" w:themeColor="background1" w:themeShade="A6"/>
          <w:insideH w:val="single" w:sz="8" w:space="0" w:color="A6A6A6" w:themeColor="background1" w:themeShade="A6"/>
        </w:tblBorders>
        <w:tblLook w:val="04E0" w:firstRow="1" w:lastRow="1" w:firstColumn="1" w:lastColumn="0" w:noHBand="0" w:noVBand="1"/>
      </w:tblPr>
      <w:tblGrid>
        <w:gridCol w:w="1560"/>
        <w:gridCol w:w="2466"/>
        <w:gridCol w:w="2183"/>
        <w:gridCol w:w="2025"/>
      </w:tblGrid>
      <w:tr w:rsidR="00A604F0" w:rsidRPr="004C33D1" w:rsidTr="00A604F0">
        <w:trPr>
          <w:cnfStyle w:val="100000000000" w:firstRow="1" w:lastRow="0" w:firstColumn="0" w:lastColumn="0" w:oddVBand="0" w:evenVBand="0" w:oddHBand="0" w:evenHBand="0" w:firstRowFirstColumn="0" w:firstRowLastColumn="0" w:lastRowFirstColumn="0" w:lastRowLastColumn="0"/>
          <w:trHeight w:val="170"/>
        </w:trPr>
        <w:tc>
          <w:tcPr>
            <w:cnfStyle w:val="001000000100" w:firstRow="0" w:lastRow="0" w:firstColumn="1" w:lastColumn="0" w:oddVBand="0" w:evenVBand="0" w:oddHBand="0" w:evenHBand="0" w:firstRowFirstColumn="1" w:firstRowLastColumn="0" w:lastRowFirstColumn="0" w:lastRowLastColumn="0"/>
            <w:tcW w:w="1560" w:type="dxa"/>
            <w:tcBorders>
              <w:bottom w:val="none" w:sz="0" w:space="0" w:color="auto"/>
            </w:tcBorders>
            <w:vAlign w:val="top"/>
          </w:tcPr>
          <w:p w:rsidR="00A604F0" w:rsidRPr="004C33D1" w:rsidRDefault="00A604F0" w:rsidP="00A604F0">
            <w:pPr>
              <w:pStyle w:val="TableText"/>
            </w:pPr>
          </w:p>
        </w:tc>
        <w:tc>
          <w:tcPr>
            <w:tcW w:w="2466" w:type="dxa"/>
            <w:tcBorders>
              <w:bottom w:val="none" w:sz="0" w:space="0" w:color="auto"/>
            </w:tcBorders>
            <w:vAlign w:val="top"/>
          </w:tcPr>
          <w:p w:rsidR="00A604F0" w:rsidRPr="004C33D1" w:rsidRDefault="00A604F0" w:rsidP="00A604F0">
            <w:pPr>
              <w:pStyle w:val="TableText"/>
              <w:jc w:val="left"/>
              <w:cnfStyle w:val="100000000000" w:firstRow="1" w:lastRow="0" w:firstColumn="0" w:lastColumn="0" w:oddVBand="0" w:evenVBand="0" w:oddHBand="0" w:evenHBand="0" w:firstRowFirstColumn="0" w:firstRowLastColumn="0" w:lastRowFirstColumn="0" w:lastRowLastColumn="0"/>
              <w:rPr>
                <w:b w:val="0"/>
              </w:rPr>
            </w:pPr>
            <w:r w:rsidRPr="004C33D1">
              <w:t>Housing cost</w:t>
            </w:r>
            <w:r w:rsidR="0016765F">
              <w:t>s</w:t>
            </w:r>
            <w:r w:rsidRPr="004C33D1">
              <w:t xml:space="preserve"> to income   ratio</w:t>
            </w:r>
          </w:p>
        </w:tc>
        <w:tc>
          <w:tcPr>
            <w:tcW w:w="2183" w:type="dxa"/>
            <w:tcBorders>
              <w:bottom w:val="none" w:sz="0" w:space="0" w:color="auto"/>
            </w:tcBorders>
            <w:vAlign w:val="top"/>
          </w:tcPr>
          <w:p w:rsidR="00A604F0" w:rsidRPr="004C33D1" w:rsidRDefault="00C2108E" w:rsidP="00C2108E">
            <w:pPr>
              <w:pStyle w:val="TableText"/>
              <w:jc w:val="left"/>
              <w:cnfStyle w:val="100000000000" w:firstRow="1" w:lastRow="0" w:firstColumn="0" w:lastColumn="0" w:oddVBand="0" w:evenVBand="0" w:oddHBand="0" w:evenHBand="0" w:firstRowFirstColumn="0" w:firstRowLastColumn="0" w:lastRowFirstColumn="0" w:lastRowLastColumn="0"/>
              <w:rPr>
                <w:b w:val="0"/>
              </w:rPr>
            </w:pPr>
            <w:r>
              <w:t>Residual income (RI)</w:t>
            </w:r>
            <w:r w:rsidR="00A604F0" w:rsidRPr="004C33D1">
              <w:t xml:space="preserve"> measure</w:t>
            </w:r>
          </w:p>
        </w:tc>
        <w:tc>
          <w:tcPr>
            <w:tcW w:w="2025" w:type="dxa"/>
            <w:tcBorders>
              <w:bottom w:val="none" w:sz="0" w:space="0" w:color="auto"/>
            </w:tcBorders>
            <w:vAlign w:val="top"/>
          </w:tcPr>
          <w:p w:rsidR="00A604F0" w:rsidRPr="004C33D1" w:rsidRDefault="00A604F0" w:rsidP="00A604F0">
            <w:pPr>
              <w:pStyle w:val="TableText"/>
              <w:jc w:val="left"/>
              <w:cnfStyle w:val="100000000000" w:firstRow="1" w:lastRow="0" w:firstColumn="0" w:lastColumn="0" w:oddVBand="0" w:evenVBand="0" w:oddHBand="0" w:evenHBand="0" w:firstRowFirstColumn="0" w:firstRowLastColumn="0" w:lastRowFirstColumn="0" w:lastRowLastColumn="0"/>
              <w:rPr>
                <w:b w:val="0"/>
              </w:rPr>
            </w:pPr>
            <w:r w:rsidRPr="004C33D1">
              <w:t>Ho</w:t>
            </w:r>
            <w:r w:rsidR="00A44D11">
              <w:t>m</w:t>
            </w:r>
            <w:r w:rsidRPr="004C33D1">
              <w:t>e price to income ratio</w:t>
            </w:r>
          </w:p>
        </w:tc>
      </w:tr>
      <w:tr w:rsidR="00A604F0" w:rsidRPr="004C33D1" w:rsidTr="00A604F0">
        <w:tblPrEx>
          <w:tblCellMar>
            <w:top w:w="0" w:type="dxa"/>
            <w:left w:w="0" w:type="dxa"/>
            <w:bottom w:w="0" w:type="dxa"/>
            <w:right w:w="0"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1560" w:type="dxa"/>
            <w:vAlign w:val="top"/>
          </w:tcPr>
          <w:p w:rsidR="00A604F0" w:rsidRPr="004C33D1" w:rsidRDefault="00A604F0" w:rsidP="00A604F0">
            <w:pPr>
              <w:pStyle w:val="TableText"/>
            </w:pPr>
            <w:r w:rsidRPr="004C33D1">
              <w:t xml:space="preserve">Renters </w:t>
            </w:r>
          </w:p>
        </w:tc>
        <w:tc>
          <w:tcPr>
            <w:tcW w:w="2466" w:type="dxa"/>
            <w:vAlign w:val="top"/>
          </w:tcPr>
          <w:p w:rsidR="00A604F0" w:rsidRPr="004C33D1" w:rsidRDefault="00A604F0" w:rsidP="00A604F0">
            <w:pPr>
              <w:pStyle w:val="TableText"/>
              <w:jc w:val="left"/>
              <w:cnfStyle w:val="000000000000" w:firstRow="0" w:lastRow="0" w:firstColumn="0" w:lastColumn="0" w:oddVBand="0" w:evenVBand="0" w:oddHBand="0" w:evenHBand="0" w:firstRowFirstColumn="0" w:firstRowLastColumn="0" w:lastRowFirstColumn="0" w:lastRowLastColumn="0"/>
            </w:pPr>
            <w:r w:rsidRPr="004C33D1">
              <w:t xml:space="preserve">Rental payments divided by household income </w:t>
            </w:r>
          </w:p>
        </w:tc>
        <w:tc>
          <w:tcPr>
            <w:tcW w:w="2183" w:type="dxa"/>
            <w:vAlign w:val="top"/>
          </w:tcPr>
          <w:p w:rsidR="00A604F0" w:rsidRPr="004C33D1" w:rsidRDefault="00A604F0" w:rsidP="00A604F0">
            <w:pPr>
              <w:pStyle w:val="TableText"/>
              <w:jc w:val="left"/>
              <w:cnfStyle w:val="000000000000" w:firstRow="0" w:lastRow="0" w:firstColumn="0" w:lastColumn="0" w:oddVBand="0" w:evenVBand="0" w:oddHBand="0" w:evenHBand="0" w:firstRowFirstColumn="0" w:firstRowLastColumn="0" w:lastRowFirstColumn="0" w:lastRowLastColumn="0"/>
            </w:pPr>
            <w:r w:rsidRPr="004C33D1">
              <w:t>Household income less rental payments</w:t>
            </w:r>
          </w:p>
        </w:tc>
        <w:tc>
          <w:tcPr>
            <w:tcW w:w="2025" w:type="dxa"/>
            <w:vAlign w:val="top"/>
          </w:tcPr>
          <w:p w:rsidR="00A604F0" w:rsidRPr="004C33D1" w:rsidRDefault="00A604F0" w:rsidP="00A604F0">
            <w:pPr>
              <w:pStyle w:val="TableText"/>
              <w:jc w:val="left"/>
              <w:cnfStyle w:val="000000000000" w:firstRow="0" w:lastRow="0" w:firstColumn="0" w:lastColumn="0" w:oddVBand="0" w:evenVBand="0" w:oddHBand="0" w:evenHBand="0" w:firstRowFirstColumn="0" w:firstRowLastColumn="0" w:lastRowFirstColumn="0" w:lastRowLastColumn="0"/>
            </w:pPr>
            <w:r w:rsidRPr="004C33D1">
              <w:t>Not applicable</w:t>
            </w:r>
          </w:p>
        </w:tc>
      </w:tr>
      <w:tr w:rsidR="00A604F0" w:rsidRPr="004C33D1" w:rsidTr="00A604F0">
        <w:tblPrEx>
          <w:tblCellMar>
            <w:top w:w="0" w:type="dxa"/>
            <w:left w:w="0" w:type="dxa"/>
            <w:bottom w:w="0" w:type="dxa"/>
            <w:right w:w="0"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1560" w:type="dxa"/>
            <w:vAlign w:val="top"/>
          </w:tcPr>
          <w:p w:rsidR="00A604F0" w:rsidRPr="004C33D1" w:rsidRDefault="00A604F0" w:rsidP="00A604F0">
            <w:pPr>
              <w:pStyle w:val="TableText"/>
            </w:pPr>
            <w:r w:rsidRPr="004C33D1">
              <w:t>Home owners</w:t>
            </w:r>
          </w:p>
        </w:tc>
        <w:tc>
          <w:tcPr>
            <w:tcW w:w="2466" w:type="dxa"/>
            <w:vAlign w:val="top"/>
          </w:tcPr>
          <w:p w:rsidR="00A604F0" w:rsidRPr="004C33D1" w:rsidRDefault="00A604F0" w:rsidP="00A604F0">
            <w:pPr>
              <w:pStyle w:val="TableText"/>
              <w:jc w:val="left"/>
              <w:cnfStyle w:val="000000000000" w:firstRow="0" w:lastRow="0" w:firstColumn="0" w:lastColumn="0" w:oddVBand="0" w:evenVBand="0" w:oddHBand="0" w:evenHBand="0" w:firstRowFirstColumn="0" w:firstRowLastColumn="0" w:lastRowFirstColumn="0" w:lastRowLastColumn="0"/>
            </w:pPr>
            <w:r w:rsidRPr="004C33D1">
              <w:t xml:space="preserve">Mortgage payments divided by household income </w:t>
            </w:r>
          </w:p>
        </w:tc>
        <w:tc>
          <w:tcPr>
            <w:tcW w:w="2183" w:type="dxa"/>
            <w:vAlign w:val="top"/>
          </w:tcPr>
          <w:p w:rsidR="00A604F0" w:rsidRPr="004C33D1" w:rsidRDefault="00A604F0" w:rsidP="00A604F0">
            <w:pPr>
              <w:pStyle w:val="TableText"/>
              <w:jc w:val="left"/>
              <w:cnfStyle w:val="000000000000" w:firstRow="0" w:lastRow="0" w:firstColumn="0" w:lastColumn="0" w:oddVBand="0" w:evenVBand="0" w:oddHBand="0" w:evenHBand="0" w:firstRowFirstColumn="0" w:firstRowLastColumn="0" w:lastRowFirstColumn="0" w:lastRowLastColumn="0"/>
            </w:pPr>
            <w:r w:rsidRPr="004C33D1">
              <w:t>Household income less mortgage payments</w:t>
            </w:r>
          </w:p>
        </w:tc>
        <w:tc>
          <w:tcPr>
            <w:tcW w:w="2025" w:type="dxa"/>
            <w:vAlign w:val="top"/>
          </w:tcPr>
          <w:p w:rsidR="00A604F0" w:rsidRPr="004C33D1" w:rsidRDefault="00A604F0" w:rsidP="00A604F0">
            <w:pPr>
              <w:pStyle w:val="TableText"/>
              <w:jc w:val="left"/>
              <w:cnfStyle w:val="000000000000" w:firstRow="0" w:lastRow="0" w:firstColumn="0" w:lastColumn="0" w:oddVBand="0" w:evenVBand="0" w:oddHBand="0" w:evenHBand="0" w:firstRowFirstColumn="0" w:firstRowLastColumn="0" w:lastRowFirstColumn="0" w:lastRowLastColumn="0"/>
            </w:pPr>
            <w:r w:rsidRPr="004C33D1">
              <w:t>Ho</w:t>
            </w:r>
            <w:r w:rsidR="00016CC6">
              <w:t>m</w:t>
            </w:r>
            <w:r w:rsidRPr="004C33D1">
              <w:t>e price divided by household income</w:t>
            </w:r>
          </w:p>
        </w:tc>
      </w:tr>
      <w:tr w:rsidR="00A604F0" w:rsidRPr="004C33D1" w:rsidTr="00A604F0">
        <w:tblPrEx>
          <w:tblCellMar>
            <w:top w:w="0" w:type="dxa"/>
            <w:left w:w="0" w:type="dxa"/>
            <w:bottom w:w="0" w:type="dxa"/>
            <w:right w:w="0"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1560" w:type="dxa"/>
            <w:vAlign w:val="top"/>
          </w:tcPr>
          <w:p w:rsidR="00A604F0" w:rsidRPr="004C33D1" w:rsidRDefault="00A604F0" w:rsidP="00A604F0">
            <w:pPr>
              <w:pStyle w:val="TableText"/>
            </w:pPr>
            <w:r w:rsidRPr="004C33D1">
              <w:t>Would-be home owners</w:t>
            </w:r>
          </w:p>
        </w:tc>
        <w:tc>
          <w:tcPr>
            <w:tcW w:w="2466" w:type="dxa"/>
            <w:vAlign w:val="top"/>
          </w:tcPr>
          <w:p w:rsidR="00A604F0" w:rsidRPr="004C33D1" w:rsidRDefault="00A604F0" w:rsidP="0016765F">
            <w:pPr>
              <w:pStyle w:val="TableText"/>
              <w:jc w:val="left"/>
              <w:cnfStyle w:val="000000000000" w:firstRow="0" w:lastRow="0" w:firstColumn="0" w:lastColumn="0" w:oddVBand="0" w:evenVBand="0" w:oddHBand="0" w:evenHBand="0" w:firstRowFirstColumn="0" w:firstRowLastColumn="0" w:lastRowFirstColumn="0" w:lastRowLastColumn="0"/>
            </w:pPr>
            <w:r w:rsidRPr="004C33D1">
              <w:t>Prospective mortgage payments (given a</w:t>
            </w:r>
            <w:r w:rsidR="0016765F">
              <w:t>n</w:t>
            </w:r>
            <w:r w:rsidRPr="004C33D1">
              <w:t xml:space="preserve"> </w:t>
            </w:r>
            <w:r w:rsidR="0016765F">
              <w:t>assumed</w:t>
            </w:r>
            <w:r w:rsidRPr="004C33D1">
              <w:t xml:space="preserve"> deposit and current interest rate) divided by household income </w:t>
            </w:r>
          </w:p>
        </w:tc>
        <w:tc>
          <w:tcPr>
            <w:tcW w:w="2183" w:type="dxa"/>
            <w:vAlign w:val="top"/>
          </w:tcPr>
          <w:p w:rsidR="00A604F0" w:rsidRPr="004C33D1" w:rsidRDefault="00A604F0" w:rsidP="00A604F0">
            <w:pPr>
              <w:pStyle w:val="TableText"/>
              <w:jc w:val="left"/>
              <w:cnfStyle w:val="000000000000" w:firstRow="0" w:lastRow="0" w:firstColumn="0" w:lastColumn="0" w:oddVBand="0" w:evenVBand="0" w:oddHBand="0" w:evenHBand="0" w:firstRowFirstColumn="0" w:firstRowLastColumn="0" w:lastRowFirstColumn="0" w:lastRowLastColumn="0"/>
            </w:pPr>
            <w:r w:rsidRPr="004C33D1">
              <w:t>Household income less prospective mortgage payments (given a specified deposit and current interest rate)</w:t>
            </w:r>
          </w:p>
        </w:tc>
        <w:tc>
          <w:tcPr>
            <w:tcW w:w="2025" w:type="dxa"/>
            <w:vAlign w:val="top"/>
          </w:tcPr>
          <w:p w:rsidR="00A604F0" w:rsidRPr="004C33D1" w:rsidRDefault="00A604F0" w:rsidP="00A604F0">
            <w:pPr>
              <w:pStyle w:val="TableText"/>
              <w:jc w:val="left"/>
              <w:cnfStyle w:val="000000000000" w:firstRow="0" w:lastRow="0" w:firstColumn="0" w:lastColumn="0" w:oddVBand="0" w:evenVBand="0" w:oddHBand="0" w:evenHBand="0" w:firstRowFirstColumn="0" w:firstRowLastColumn="0" w:lastRowFirstColumn="0" w:lastRowLastColumn="0"/>
            </w:pPr>
            <w:r w:rsidRPr="004C33D1">
              <w:t>Ho</w:t>
            </w:r>
            <w:r w:rsidR="00016CC6">
              <w:t>m</w:t>
            </w:r>
            <w:r w:rsidRPr="004C33D1">
              <w:t>e price divided by household income</w:t>
            </w:r>
          </w:p>
        </w:tc>
      </w:tr>
      <w:tr w:rsidR="00A604F0" w:rsidRPr="004C33D1" w:rsidTr="00A604F0">
        <w:tblPrEx>
          <w:tblCellMar>
            <w:top w:w="0" w:type="dxa"/>
            <w:left w:w="0" w:type="dxa"/>
            <w:bottom w:w="0" w:type="dxa"/>
            <w:right w:w="0"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1560" w:type="dxa"/>
            <w:vAlign w:val="top"/>
          </w:tcPr>
          <w:p w:rsidR="00A604F0" w:rsidRPr="004C33D1" w:rsidRDefault="00A604F0" w:rsidP="00A604F0">
            <w:pPr>
              <w:pStyle w:val="TableText"/>
            </w:pPr>
            <w:r w:rsidRPr="004C33D1">
              <w:t>Strengths</w:t>
            </w:r>
          </w:p>
        </w:tc>
        <w:tc>
          <w:tcPr>
            <w:tcW w:w="2466" w:type="dxa"/>
            <w:vAlign w:val="top"/>
          </w:tcPr>
          <w:p w:rsidR="00A604F0" w:rsidRPr="004C33D1" w:rsidRDefault="00A604F0" w:rsidP="00A604F0">
            <w:pPr>
              <w:pStyle w:val="TableText"/>
              <w:jc w:val="left"/>
              <w:cnfStyle w:val="000000000000" w:firstRow="0" w:lastRow="0" w:firstColumn="0" w:lastColumn="0" w:oddVBand="0" w:evenVBand="0" w:oddHBand="0" w:evenHBand="0" w:firstRowFirstColumn="0" w:firstRowLastColumn="0" w:lastRowFirstColumn="0" w:lastRowLastColumn="0"/>
            </w:pPr>
            <w:r w:rsidRPr="004C33D1">
              <w:t>Easy to calculate and understand</w:t>
            </w:r>
          </w:p>
          <w:p w:rsidR="00A604F0" w:rsidRPr="004C33D1" w:rsidRDefault="00A604F0" w:rsidP="00A604F0">
            <w:pPr>
              <w:pStyle w:val="TableText"/>
              <w:jc w:val="left"/>
              <w:cnfStyle w:val="000000000000" w:firstRow="0" w:lastRow="0" w:firstColumn="0" w:lastColumn="0" w:oddVBand="0" w:evenVBand="0" w:oddHBand="0" w:evenHBand="0" w:firstRowFirstColumn="0" w:firstRowLastColumn="0" w:lastRowFirstColumn="0" w:lastRowLastColumn="0"/>
            </w:pPr>
            <w:r w:rsidRPr="004C33D1">
              <w:t xml:space="preserve">Although this ratio does not directly describe a household’s ability to cover expenses after housing payments, we can gain a better idea of this by focusing on low income households </w:t>
            </w:r>
          </w:p>
        </w:tc>
        <w:tc>
          <w:tcPr>
            <w:tcW w:w="2183" w:type="dxa"/>
            <w:vAlign w:val="top"/>
          </w:tcPr>
          <w:p w:rsidR="00A604F0" w:rsidRPr="004C33D1" w:rsidRDefault="00A604F0" w:rsidP="00A604F0">
            <w:pPr>
              <w:pStyle w:val="TableText"/>
              <w:jc w:val="left"/>
              <w:cnfStyle w:val="000000000000" w:firstRow="0" w:lastRow="0" w:firstColumn="0" w:lastColumn="0" w:oddVBand="0" w:evenVBand="0" w:oddHBand="0" w:evenHBand="0" w:firstRowFirstColumn="0" w:firstRowLastColumn="0" w:lastRowFirstColumn="0" w:lastRowLastColumn="0"/>
            </w:pPr>
            <w:r w:rsidRPr="004C33D1">
              <w:t>Easy to calculate and understand</w:t>
            </w:r>
          </w:p>
          <w:p w:rsidR="00A604F0" w:rsidRPr="004C33D1" w:rsidRDefault="00A604F0" w:rsidP="00A604F0">
            <w:pPr>
              <w:pStyle w:val="TableText"/>
              <w:jc w:val="left"/>
              <w:cnfStyle w:val="000000000000" w:firstRow="0" w:lastRow="0" w:firstColumn="0" w:lastColumn="0" w:oddVBand="0" w:evenVBand="0" w:oddHBand="0" w:evenHBand="0" w:firstRowFirstColumn="0" w:firstRowLastColumn="0" w:lastRowFirstColumn="0" w:lastRowLastColumn="0"/>
            </w:pPr>
            <w:r w:rsidRPr="004C33D1">
              <w:t>Accurately describes a household’s ability to cover housing and then other costs</w:t>
            </w:r>
          </w:p>
          <w:p w:rsidR="00A604F0" w:rsidRPr="004C33D1" w:rsidRDefault="00A604F0" w:rsidP="00A604F0">
            <w:pPr>
              <w:pStyle w:val="TableText"/>
              <w:jc w:val="left"/>
              <w:cnfStyle w:val="000000000000" w:firstRow="0" w:lastRow="0" w:firstColumn="0" w:lastColumn="0" w:oddVBand="0" w:evenVBand="0" w:oddHBand="0" w:evenHBand="0" w:firstRowFirstColumn="0" w:firstRowLastColumn="0" w:lastRowFirstColumn="0" w:lastRowLastColumn="0"/>
            </w:pPr>
            <w:r w:rsidRPr="004C33D1">
              <w:t>Can “</w:t>
            </w:r>
            <w:proofErr w:type="spellStart"/>
            <w:r w:rsidRPr="004C33D1">
              <w:t>equivalise</w:t>
            </w:r>
            <w:proofErr w:type="spellEnd"/>
            <w:r w:rsidRPr="004C33D1">
              <w:t>”</w:t>
            </w:r>
            <w:r w:rsidRPr="004C33D1">
              <w:rPr>
                <w:rStyle w:val="FootnoteReference"/>
              </w:rPr>
              <w:footnoteReference w:id="115"/>
            </w:r>
            <w:r w:rsidRPr="004C33D1">
              <w:t xml:space="preserve"> the RI measure so it represents the same thing for any household composition</w:t>
            </w:r>
          </w:p>
        </w:tc>
        <w:tc>
          <w:tcPr>
            <w:tcW w:w="2025" w:type="dxa"/>
            <w:vAlign w:val="top"/>
          </w:tcPr>
          <w:p w:rsidR="00A604F0" w:rsidRPr="004C33D1" w:rsidRDefault="00A604F0" w:rsidP="00A604F0">
            <w:pPr>
              <w:pStyle w:val="TableText"/>
              <w:jc w:val="left"/>
              <w:cnfStyle w:val="000000000000" w:firstRow="0" w:lastRow="0" w:firstColumn="0" w:lastColumn="0" w:oddVBand="0" w:evenVBand="0" w:oddHBand="0" w:evenHBand="0" w:firstRowFirstColumn="0" w:firstRowLastColumn="0" w:lastRowFirstColumn="0" w:lastRowLastColumn="0"/>
            </w:pPr>
            <w:r w:rsidRPr="004C33D1">
              <w:t>Easy to calculate and understand</w:t>
            </w:r>
          </w:p>
        </w:tc>
      </w:tr>
      <w:tr w:rsidR="00A604F0" w:rsidRPr="004C33D1" w:rsidTr="00A604F0">
        <w:tblPrEx>
          <w:tblCellMar>
            <w:top w:w="0" w:type="dxa"/>
            <w:left w:w="0" w:type="dxa"/>
            <w:bottom w:w="0" w:type="dxa"/>
            <w:right w:w="0" w:type="dxa"/>
          </w:tblCellMar>
        </w:tblPrEx>
        <w:trPr>
          <w:cnfStyle w:val="010000000000" w:firstRow="0" w:lastRow="1" w:firstColumn="0" w:lastColumn="0" w:oddVBand="0" w:evenVBand="0" w:oddHBand="0" w:evenHBand="0" w:firstRowFirstColumn="0" w:firstRowLastColumn="0" w:lastRowFirstColumn="0" w:lastRowLastColumn="0"/>
          <w:trHeight w:val="170"/>
        </w:trPr>
        <w:tc>
          <w:tcPr>
            <w:cnfStyle w:val="001000000001" w:firstRow="0" w:lastRow="0" w:firstColumn="1" w:lastColumn="0" w:oddVBand="0" w:evenVBand="0" w:oddHBand="0" w:evenHBand="0" w:firstRowFirstColumn="0" w:firstRowLastColumn="0" w:lastRowFirstColumn="1" w:lastRowLastColumn="0"/>
            <w:tcW w:w="1560" w:type="dxa"/>
            <w:tcBorders>
              <w:bottom w:val="none" w:sz="0" w:space="0" w:color="auto"/>
            </w:tcBorders>
            <w:vAlign w:val="top"/>
          </w:tcPr>
          <w:p w:rsidR="00A604F0" w:rsidRPr="004C33D1" w:rsidRDefault="00A604F0" w:rsidP="00A604F0">
            <w:pPr>
              <w:pStyle w:val="TableText"/>
            </w:pPr>
            <w:r w:rsidRPr="004C33D1">
              <w:t>Weaknesses</w:t>
            </w:r>
          </w:p>
        </w:tc>
        <w:tc>
          <w:tcPr>
            <w:tcW w:w="2466" w:type="dxa"/>
            <w:tcBorders>
              <w:bottom w:val="none" w:sz="0" w:space="0" w:color="auto"/>
            </w:tcBorders>
            <w:vAlign w:val="top"/>
          </w:tcPr>
          <w:p w:rsidR="00A604F0" w:rsidRPr="004C33D1" w:rsidRDefault="00A604F0" w:rsidP="00A604F0">
            <w:pPr>
              <w:pStyle w:val="TableText"/>
              <w:jc w:val="left"/>
              <w:cnfStyle w:val="010000000000" w:firstRow="0" w:lastRow="1" w:firstColumn="0" w:lastColumn="0" w:oddVBand="0" w:evenVBand="0" w:oddHBand="0" w:evenHBand="0" w:firstRowFirstColumn="0" w:firstRowLastColumn="0" w:lastRowFirstColumn="0" w:lastRowLastColumn="0"/>
            </w:pPr>
            <w:r w:rsidRPr="004C33D1">
              <w:t xml:space="preserve">Does not accurately describe a household’s ability to cover housing </w:t>
            </w:r>
            <w:r w:rsidRPr="0016765F">
              <w:rPr>
                <w:u w:val="single"/>
              </w:rPr>
              <w:t>and</w:t>
            </w:r>
            <w:r w:rsidRPr="004C33D1">
              <w:t xml:space="preserve"> other costs</w:t>
            </w:r>
          </w:p>
          <w:p w:rsidR="00A604F0" w:rsidRPr="004C33D1" w:rsidRDefault="00A604F0" w:rsidP="00A604F0">
            <w:pPr>
              <w:pStyle w:val="TableText"/>
              <w:jc w:val="left"/>
              <w:cnfStyle w:val="010000000000" w:firstRow="0" w:lastRow="1" w:firstColumn="0" w:lastColumn="0" w:oddVBand="0" w:evenVBand="0" w:oddHBand="0" w:evenHBand="0" w:firstRowFirstColumn="0" w:firstRowLastColumn="0" w:lastRowFirstColumn="0" w:lastRowLastColumn="0"/>
            </w:pPr>
            <w:r w:rsidRPr="004C33D1">
              <w:t>Does not control for the number of dependants in a household</w:t>
            </w:r>
          </w:p>
          <w:p w:rsidR="00A604F0" w:rsidRPr="004C33D1" w:rsidRDefault="00A604F0" w:rsidP="00A604F0">
            <w:pPr>
              <w:pStyle w:val="TableText"/>
              <w:jc w:val="left"/>
              <w:cnfStyle w:val="010000000000" w:firstRow="0" w:lastRow="1" w:firstColumn="0" w:lastColumn="0" w:oddVBand="0" w:evenVBand="0" w:oddHBand="0" w:evenHBand="0" w:firstRowFirstColumn="0" w:firstRowLastColumn="0" w:lastRowFirstColumn="0" w:lastRowLastColumn="0"/>
            </w:pPr>
            <w:r w:rsidRPr="004C33D1">
              <w:t>Does not account for differences in the quality of the housing</w:t>
            </w:r>
          </w:p>
          <w:p w:rsidR="00A604F0" w:rsidRPr="004C33D1" w:rsidRDefault="00A604F0" w:rsidP="00A604F0">
            <w:pPr>
              <w:pStyle w:val="TableText"/>
              <w:jc w:val="left"/>
              <w:cnfStyle w:val="010000000000" w:firstRow="0" w:lastRow="1" w:firstColumn="0" w:lastColumn="0" w:oddVBand="0" w:evenVBand="0" w:oddHBand="0" w:evenHBand="0" w:firstRowFirstColumn="0" w:firstRowLastColumn="0" w:lastRowFirstColumn="0" w:lastRowLastColumn="0"/>
            </w:pPr>
            <w:r w:rsidRPr="004C33D1">
              <w:t>No indication of how long a particular ho</w:t>
            </w:r>
            <w:r w:rsidR="00016CC6">
              <w:t>m</w:t>
            </w:r>
            <w:r w:rsidRPr="004C33D1">
              <w:t>e will remain at a given housing cost to income ratio</w:t>
            </w:r>
          </w:p>
        </w:tc>
        <w:tc>
          <w:tcPr>
            <w:tcW w:w="2183" w:type="dxa"/>
            <w:tcBorders>
              <w:bottom w:val="none" w:sz="0" w:space="0" w:color="auto"/>
            </w:tcBorders>
            <w:vAlign w:val="top"/>
          </w:tcPr>
          <w:p w:rsidR="00A604F0" w:rsidRPr="004C33D1" w:rsidRDefault="00A604F0" w:rsidP="00A604F0">
            <w:pPr>
              <w:pStyle w:val="TableText"/>
              <w:jc w:val="left"/>
              <w:cnfStyle w:val="010000000000" w:firstRow="0" w:lastRow="1" w:firstColumn="0" w:lastColumn="0" w:oddVBand="0" w:evenVBand="0" w:oddHBand="0" w:evenHBand="0" w:firstRowFirstColumn="0" w:firstRowLastColumn="0" w:lastRowFirstColumn="0" w:lastRowLastColumn="0"/>
            </w:pPr>
            <w:r w:rsidRPr="004C33D1">
              <w:t>Does not account for differences in the quality of the housing</w:t>
            </w:r>
          </w:p>
          <w:p w:rsidR="00A604F0" w:rsidRPr="004C33D1" w:rsidRDefault="00A604F0" w:rsidP="00A604F0">
            <w:pPr>
              <w:pStyle w:val="TableText"/>
              <w:jc w:val="left"/>
              <w:cnfStyle w:val="010000000000" w:firstRow="0" w:lastRow="1" w:firstColumn="0" w:lastColumn="0" w:oddVBand="0" w:evenVBand="0" w:oddHBand="0" w:evenHBand="0" w:firstRowFirstColumn="0" w:firstRowLastColumn="0" w:lastRowFirstColumn="0" w:lastRowLastColumn="0"/>
            </w:pPr>
            <w:r w:rsidRPr="004C33D1">
              <w:t>No indication of how long a particular ho</w:t>
            </w:r>
            <w:r w:rsidR="00016CC6">
              <w:t>m</w:t>
            </w:r>
            <w:r w:rsidRPr="004C33D1">
              <w:t>e will remain at a given residual income</w:t>
            </w:r>
          </w:p>
        </w:tc>
        <w:tc>
          <w:tcPr>
            <w:tcW w:w="2025" w:type="dxa"/>
            <w:tcBorders>
              <w:bottom w:val="none" w:sz="0" w:space="0" w:color="auto"/>
            </w:tcBorders>
            <w:vAlign w:val="top"/>
          </w:tcPr>
          <w:p w:rsidR="00A604F0" w:rsidRPr="004C33D1" w:rsidRDefault="00A604F0" w:rsidP="00A604F0">
            <w:pPr>
              <w:pStyle w:val="TableText"/>
              <w:jc w:val="left"/>
              <w:cnfStyle w:val="010000000000" w:firstRow="0" w:lastRow="1" w:firstColumn="0" w:lastColumn="0" w:oddVBand="0" w:evenVBand="0" w:oddHBand="0" w:evenHBand="0" w:firstRowFirstColumn="0" w:firstRowLastColumn="0" w:lastRowFirstColumn="0" w:lastRowLastColumn="0"/>
            </w:pPr>
            <w:r w:rsidRPr="004C33D1">
              <w:t>Does not directly consider the prevailing interest rate (although this is somewhat reflected in ho</w:t>
            </w:r>
            <w:r w:rsidR="00016CC6">
              <w:t>m</w:t>
            </w:r>
            <w:r w:rsidRPr="004C33D1">
              <w:t>e prices)</w:t>
            </w:r>
          </w:p>
          <w:p w:rsidR="00A604F0" w:rsidRPr="004C33D1" w:rsidRDefault="00A604F0" w:rsidP="00A604F0">
            <w:pPr>
              <w:pStyle w:val="TableText"/>
              <w:jc w:val="left"/>
              <w:cnfStyle w:val="010000000000" w:firstRow="0" w:lastRow="1" w:firstColumn="0" w:lastColumn="0" w:oddVBand="0" w:evenVBand="0" w:oddHBand="0" w:evenHBand="0" w:firstRowFirstColumn="0" w:firstRowLastColumn="0" w:lastRowFirstColumn="0" w:lastRowLastColumn="0"/>
            </w:pPr>
            <w:r w:rsidRPr="004C33D1">
              <w:t>Does not consider deposit put towards a house, bank lending rules, and rates</w:t>
            </w:r>
          </w:p>
        </w:tc>
      </w:tr>
    </w:tbl>
    <w:p w:rsidR="00A604F0" w:rsidRPr="004C33D1" w:rsidRDefault="00A604F0" w:rsidP="00A604F0">
      <w:pPr>
        <w:pStyle w:val="FootnoteText"/>
      </w:pPr>
      <w:proofErr w:type="gramStart"/>
      <w:r w:rsidRPr="004C33D1">
        <w:rPr>
          <w:szCs w:val="18"/>
        </w:rPr>
        <w:t xml:space="preserve">Source: </w:t>
      </w:r>
      <w:r w:rsidR="00C2108E">
        <w:rPr>
          <w:szCs w:val="18"/>
        </w:rPr>
        <w:t xml:space="preserve">Summarised from </w:t>
      </w:r>
      <w:r w:rsidRPr="004C33D1">
        <w:t>Robinson M, Scobie GM, &amp; Hallinan B (2006) Affordability of housing: concepts, measurement and evidence.</w:t>
      </w:r>
      <w:proofErr w:type="gramEnd"/>
      <w:r w:rsidRPr="004C33D1">
        <w:t xml:space="preserve"> </w:t>
      </w:r>
      <w:proofErr w:type="gramStart"/>
      <w:r w:rsidRPr="004C33D1">
        <w:t>New Zealand Treasury working paper 06/03.</w:t>
      </w:r>
      <w:proofErr w:type="gramEnd"/>
      <w:r w:rsidRPr="004C33D1">
        <w:t xml:space="preserve"> Wellington, New Zealand</w:t>
      </w:r>
    </w:p>
    <w:p w:rsidR="00A604F0" w:rsidRPr="004C33D1" w:rsidRDefault="00A604F0" w:rsidP="00D83B52">
      <w:pPr>
        <w:pStyle w:val="Heading3"/>
      </w:pPr>
      <w:r w:rsidRPr="004C33D1">
        <w:t xml:space="preserve">Household or individual income </w:t>
      </w:r>
    </w:p>
    <w:p w:rsidR="00A604F0" w:rsidRPr="004C33D1" w:rsidRDefault="00A604F0" w:rsidP="00A604F0">
      <w:r w:rsidRPr="004C33D1">
        <w:t xml:space="preserve">Whether individual or household income is used can make a significant difference to affordability outcomes. On the one hand, household income is the appropriate measure for affordability </w:t>
      </w:r>
      <w:proofErr w:type="gramStart"/>
      <w:r w:rsidRPr="004C33D1">
        <w:t>calculations</w:t>
      </w:r>
      <w:proofErr w:type="gramEnd"/>
      <w:r w:rsidRPr="004C33D1">
        <w:t xml:space="preserve"> as it is the whole household that pays the housing costs, and a household may easily be able to afford a ho</w:t>
      </w:r>
      <w:r w:rsidR="00016CC6">
        <w:t>m</w:t>
      </w:r>
      <w:r w:rsidRPr="004C33D1">
        <w:t xml:space="preserve">e that they could not afford alone. On the other hand, household income hides changes in household composition in response to income shortfalls, eg low income may encourage people to live with others to share housing costs. Robinson </w:t>
      </w:r>
      <w:r w:rsidRPr="004C33D1">
        <w:rPr>
          <w:i/>
        </w:rPr>
        <w:t>et al</w:t>
      </w:r>
      <w:r w:rsidRPr="004C33D1">
        <w:t xml:space="preserve"> (2006) use household income where possible for their investigation of housing affordability in New Zealand, </w:t>
      </w:r>
      <w:r w:rsidR="00E00813" w:rsidRPr="004C33D1">
        <w:t xml:space="preserve">and </w:t>
      </w:r>
      <w:r w:rsidRPr="004C33D1">
        <w:t xml:space="preserve">specifically net household income, which includes the Accommodation Supplement. </w:t>
      </w:r>
    </w:p>
    <w:p w:rsidR="00A604F0" w:rsidRDefault="00A604F0" w:rsidP="00D83B52">
      <w:pPr>
        <w:pStyle w:val="Heading3"/>
      </w:pPr>
      <w:r w:rsidRPr="004C33D1">
        <w:lastRenderedPageBreak/>
        <w:t xml:space="preserve">Other </w:t>
      </w:r>
      <w:r w:rsidR="007E7A80">
        <w:t>considerations</w:t>
      </w:r>
    </w:p>
    <w:p w:rsidR="007E7A80" w:rsidRPr="007E7A80" w:rsidRDefault="007E7A80" w:rsidP="007E7A80">
      <w:r>
        <w:t xml:space="preserve">A number of issues need to </w:t>
      </w:r>
      <w:proofErr w:type="gramStart"/>
      <w:r>
        <w:t>be taken</w:t>
      </w:r>
      <w:proofErr w:type="gramEnd"/>
      <w:r>
        <w:t xml:space="preserve"> into account.</w:t>
      </w:r>
      <w:r w:rsidR="00531623">
        <w:br/>
      </w:r>
    </w:p>
    <w:p w:rsidR="00A604F0" w:rsidRPr="004C33D1" w:rsidRDefault="00A604F0" w:rsidP="000850C5">
      <w:pPr>
        <w:pStyle w:val="ListParagraph"/>
        <w:numPr>
          <w:ilvl w:val="0"/>
          <w:numId w:val="19"/>
        </w:numPr>
        <w:spacing w:after="200" w:line="240" w:lineRule="auto"/>
        <w:rPr>
          <w:u w:val="single"/>
        </w:rPr>
      </w:pPr>
      <w:r w:rsidRPr="004C33D1">
        <w:t xml:space="preserve">‘Ability to pay’ measures can </w:t>
      </w:r>
      <w:r w:rsidR="00385CD1" w:rsidRPr="004C33D1">
        <w:t xml:space="preserve">conflate low incomes </w:t>
      </w:r>
      <w:r w:rsidRPr="004C33D1">
        <w:t xml:space="preserve">with </w:t>
      </w:r>
      <w:r w:rsidR="00385CD1" w:rsidRPr="004C33D1">
        <w:t xml:space="preserve">high </w:t>
      </w:r>
      <w:r w:rsidRPr="004C33D1">
        <w:t>ho</w:t>
      </w:r>
      <w:r w:rsidR="00016CC6">
        <w:t>m</w:t>
      </w:r>
      <w:r w:rsidRPr="004C33D1">
        <w:t xml:space="preserve">e prices. </w:t>
      </w:r>
      <w:proofErr w:type="gramStart"/>
      <w:r w:rsidR="007E7A80">
        <w:t>Low income</w:t>
      </w:r>
      <w:proofErr w:type="gramEnd"/>
      <w:r w:rsidR="007E7A80">
        <w:t xml:space="preserve"> households will always find housing less affordable than other households.</w:t>
      </w:r>
      <w:r w:rsidR="0065218A" w:rsidRPr="004C33D1">
        <w:br/>
      </w:r>
    </w:p>
    <w:p w:rsidR="00A604F0" w:rsidRPr="004C33D1" w:rsidRDefault="00E00813" w:rsidP="000850C5">
      <w:pPr>
        <w:pStyle w:val="ListParagraph"/>
        <w:numPr>
          <w:ilvl w:val="0"/>
          <w:numId w:val="19"/>
        </w:numPr>
        <w:spacing w:after="200" w:line="240" w:lineRule="auto"/>
        <w:rPr>
          <w:u w:val="single"/>
        </w:rPr>
      </w:pPr>
      <w:r w:rsidRPr="004C33D1">
        <w:t>A</w:t>
      </w:r>
      <w:r w:rsidR="00A604F0" w:rsidRPr="004C33D1">
        <w:t xml:space="preserve"> household may be able to ‘afford’ a </w:t>
      </w:r>
      <w:r w:rsidR="00EC239E" w:rsidRPr="004C33D1">
        <w:t xml:space="preserve">given </w:t>
      </w:r>
      <w:r w:rsidR="00A604F0" w:rsidRPr="004C33D1">
        <w:t>ho</w:t>
      </w:r>
      <w:r w:rsidR="00016CC6">
        <w:t>m</w:t>
      </w:r>
      <w:r w:rsidR="00A604F0" w:rsidRPr="004C33D1">
        <w:t xml:space="preserve">e </w:t>
      </w:r>
      <w:r w:rsidRPr="004C33D1">
        <w:t xml:space="preserve">because of </w:t>
      </w:r>
      <w:r w:rsidR="00A604F0" w:rsidRPr="004C33D1">
        <w:t xml:space="preserve">its lower quality or relative inaccessibility. </w:t>
      </w:r>
      <w:r w:rsidR="00EC239E" w:rsidRPr="004C33D1">
        <w:t xml:space="preserve">However, living there may result in some other </w:t>
      </w:r>
      <w:r w:rsidR="00BC2BD5" w:rsidRPr="004C33D1">
        <w:t xml:space="preserve">costs, such as poor health due to </w:t>
      </w:r>
      <w:r w:rsidR="002F05A7" w:rsidRPr="004C33D1">
        <w:t>damp or mouldy housing or higher transport costs to access employment.</w:t>
      </w:r>
      <w:r w:rsidR="00EC239E" w:rsidRPr="004C33D1">
        <w:t xml:space="preserve"> </w:t>
      </w:r>
      <w:r w:rsidR="0065218A" w:rsidRPr="004C33D1">
        <w:br/>
      </w:r>
    </w:p>
    <w:p w:rsidR="00A604F0" w:rsidRPr="004C33D1" w:rsidRDefault="00A604F0" w:rsidP="000850C5">
      <w:pPr>
        <w:pStyle w:val="ListParagraph"/>
        <w:numPr>
          <w:ilvl w:val="0"/>
          <w:numId w:val="19"/>
        </w:numPr>
        <w:spacing w:after="200" w:line="240" w:lineRule="auto"/>
      </w:pPr>
      <w:r w:rsidRPr="004C33D1">
        <w:t xml:space="preserve">Different housing cost to income </w:t>
      </w:r>
      <w:r w:rsidR="00385CD1" w:rsidRPr="004C33D1">
        <w:t xml:space="preserve">ratios </w:t>
      </w:r>
      <w:r w:rsidRPr="004C33D1">
        <w:t>or residual income levels may reflect different preferences rather than differing levels of affordability.</w:t>
      </w:r>
      <w:r w:rsidR="00385CD1" w:rsidRPr="004C33D1">
        <w:t xml:space="preserve"> For example, people may move to a relatively high-cost location to take advantage of better amenities there.</w:t>
      </w:r>
      <w:r w:rsidR="0065218A" w:rsidRPr="004C33D1">
        <w:br/>
      </w:r>
    </w:p>
    <w:p w:rsidR="00A604F0" w:rsidRPr="004C33D1" w:rsidRDefault="00A604F0" w:rsidP="000850C5">
      <w:pPr>
        <w:pStyle w:val="ListParagraph"/>
        <w:numPr>
          <w:ilvl w:val="0"/>
          <w:numId w:val="19"/>
        </w:numPr>
        <w:spacing w:after="200" w:line="240" w:lineRule="auto"/>
      </w:pPr>
      <w:r w:rsidRPr="004C33D1">
        <w:t xml:space="preserve">Relatively unaffordable housing may be out of choice </w:t>
      </w:r>
      <w:r w:rsidR="001B52F7" w:rsidRPr="004C33D1">
        <w:t xml:space="preserve">given a person’s perceived </w:t>
      </w:r>
      <w:r w:rsidRPr="004C33D1">
        <w:t xml:space="preserve">life cycle position. For example, </w:t>
      </w:r>
      <w:r w:rsidR="007E7A80">
        <w:t xml:space="preserve">young and other first-time buyers </w:t>
      </w:r>
      <w:r w:rsidRPr="004C33D1">
        <w:t xml:space="preserve">may not be earning very much currently but would expect to increase future income so that housing will be </w:t>
      </w:r>
      <w:r w:rsidR="001B52F7" w:rsidRPr="004C33D1">
        <w:t xml:space="preserve">(more) </w:t>
      </w:r>
      <w:r w:rsidRPr="004C33D1">
        <w:t xml:space="preserve">affordable in the </w:t>
      </w:r>
      <w:r w:rsidR="001B52F7" w:rsidRPr="004C33D1">
        <w:t>future</w:t>
      </w:r>
      <w:r w:rsidRPr="004C33D1">
        <w:t>.</w:t>
      </w:r>
    </w:p>
    <w:p w:rsidR="00E71B09" w:rsidRDefault="007E7A80" w:rsidP="007E7A80">
      <w:pPr>
        <w:pStyle w:val="Heading2"/>
      </w:pPr>
      <w:bookmarkStart w:id="190" w:name="_Toc462413644"/>
      <w:bookmarkStart w:id="191" w:name="_Toc462582200"/>
      <w:r>
        <w:t>Government Indicator Projects</w:t>
      </w:r>
      <w:bookmarkEnd w:id="190"/>
      <w:bookmarkEnd w:id="191"/>
    </w:p>
    <w:p w:rsidR="007E7A80" w:rsidRPr="007E7A80" w:rsidRDefault="007E7A80" w:rsidP="007E7A80">
      <w:pPr>
        <w:pStyle w:val="Heading3"/>
      </w:pPr>
      <w:r>
        <w:t xml:space="preserve">MBIE’s </w:t>
      </w:r>
      <w:r w:rsidRPr="007E7A80">
        <w:t>Housing Affordability Measure (HAM)</w:t>
      </w:r>
    </w:p>
    <w:p w:rsidR="007F4CF6" w:rsidRPr="004C33D1" w:rsidRDefault="00E71B09" w:rsidP="007F4CF6">
      <w:pPr>
        <w:rPr>
          <w:szCs w:val="21"/>
        </w:rPr>
      </w:pPr>
      <w:r w:rsidRPr="004C33D1">
        <w:rPr>
          <w:szCs w:val="21"/>
        </w:rPr>
        <w:t xml:space="preserve">MBIE </w:t>
      </w:r>
      <w:r w:rsidR="007F4CF6">
        <w:rPr>
          <w:szCs w:val="21"/>
        </w:rPr>
        <w:t xml:space="preserve">is developing </w:t>
      </w:r>
      <w:r w:rsidRPr="004C33D1">
        <w:rPr>
          <w:szCs w:val="21"/>
        </w:rPr>
        <w:t xml:space="preserve">new high quality measures of housing </w:t>
      </w:r>
      <w:proofErr w:type="gramStart"/>
      <w:r w:rsidRPr="004C33D1">
        <w:rPr>
          <w:szCs w:val="21"/>
        </w:rPr>
        <w:t xml:space="preserve">affordability </w:t>
      </w:r>
      <w:r w:rsidR="007F4CF6">
        <w:rPr>
          <w:szCs w:val="21"/>
        </w:rPr>
        <w:t>which</w:t>
      </w:r>
      <w:proofErr w:type="gramEnd"/>
      <w:r w:rsidR="007F4CF6">
        <w:rPr>
          <w:szCs w:val="21"/>
        </w:rPr>
        <w:t xml:space="preserve"> </w:t>
      </w:r>
      <w:r w:rsidRPr="004C33D1">
        <w:rPr>
          <w:szCs w:val="21"/>
        </w:rPr>
        <w:t xml:space="preserve">should help </w:t>
      </w:r>
      <w:r w:rsidR="00531623">
        <w:rPr>
          <w:szCs w:val="21"/>
        </w:rPr>
        <w:t xml:space="preserve">councils </w:t>
      </w:r>
      <w:r w:rsidRPr="004C33D1">
        <w:rPr>
          <w:szCs w:val="21"/>
        </w:rPr>
        <w:t xml:space="preserve">to better understand housing affordability within their respective areas. </w:t>
      </w:r>
      <w:r w:rsidR="007F4CF6" w:rsidRPr="004C33D1">
        <w:rPr>
          <w:szCs w:val="21"/>
        </w:rPr>
        <w:t>Recognising that housing can be an ‘asset’ (ie a</w:t>
      </w:r>
      <w:r w:rsidR="007F4CF6">
        <w:rPr>
          <w:szCs w:val="21"/>
        </w:rPr>
        <w:t>n investment) and a ‘service’ (</w:t>
      </w:r>
      <w:r w:rsidR="007F4CF6" w:rsidRPr="004C33D1">
        <w:rPr>
          <w:szCs w:val="21"/>
        </w:rPr>
        <w:t>e</w:t>
      </w:r>
      <w:r w:rsidR="007F4CF6">
        <w:rPr>
          <w:szCs w:val="21"/>
        </w:rPr>
        <w:t>g</w:t>
      </w:r>
      <w:r w:rsidR="007F4CF6" w:rsidRPr="004C33D1">
        <w:rPr>
          <w:szCs w:val="21"/>
        </w:rPr>
        <w:t xml:space="preserve"> for shelter), the Housing Affordability Measure (HAM) project contains a collection of measures, including:</w:t>
      </w:r>
    </w:p>
    <w:p w:rsidR="007F4CF6" w:rsidRPr="004C33D1" w:rsidRDefault="007F4CF6" w:rsidP="007F4CF6">
      <w:pPr>
        <w:rPr>
          <w:szCs w:val="21"/>
        </w:rPr>
      </w:pPr>
    </w:p>
    <w:p w:rsidR="007F4CF6" w:rsidRPr="004C33D1" w:rsidRDefault="007F4CF6" w:rsidP="006277DC">
      <w:pPr>
        <w:pStyle w:val="ListParagraph"/>
        <w:numPr>
          <w:ilvl w:val="0"/>
          <w:numId w:val="81"/>
        </w:numPr>
      </w:pPr>
      <w:r w:rsidRPr="004C33D1">
        <w:t>HAM-S (Housing Service Affordability Measure), which is a measure how affordable it is for New Zealand households to live in their current home. The HAM-S is measured separately for renters (HAM-SR) and for owner-occupiers (HAM-SO); and</w:t>
      </w:r>
    </w:p>
    <w:p w:rsidR="007F4CF6" w:rsidRPr="007E7A80" w:rsidRDefault="007F4CF6" w:rsidP="007F4CF6">
      <w:pPr>
        <w:rPr>
          <w:szCs w:val="21"/>
        </w:rPr>
      </w:pPr>
    </w:p>
    <w:p w:rsidR="007F4CF6" w:rsidRPr="004C33D1" w:rsidRDefault="007F4CF6" w:rsidP="006277DC">
      <w:pPr>
        <w:pStyle w:val="ListParagraph"/>
        <w:numPr>
          <w:ilvl w:val="0"/>
          <w:numId w:val="81"/>
        </w:numPr>
      </w:pPr>
      <w:r w:rsidRPr="004C33D1">
        <w:t>HAM-FB (First Home Buyer Housing Asset Affordability Measure), which measures the proportion of New Zealand households who are currently renting yet able to afford the housing service costs associated with buying a modest home in their current territorial authority.</w:t>
      </w:r>
    </w:p>
    <w:p w:rsidR="005D4DC6" w:rsidRDefault="005D4DC6" w:rsidP="00E71B09">
      <w:pPr>
        <w:rPr>
          <w:szCs w:val="21"/>
        </w:rPr>
      </w:pPr>
    </w:p>
    <w:p w:rsidR="00871370" w:rsidRDefault="00871370" w:rsidP="00871370">
      <w:r>
        <w:t>MBIE use</w:t>
      </w:r>
      <w:r w:rsidR="007F4CF6">
        <w:t>s</w:t>
      </w:r>
      <w:r>
        <w:t xml:space="preserve"> administrative data sets to create the HAM. These include</w:t>
      </w:r>
      <w:r w:rsidR="00531623">
        <w:t>:</w:t>
      </w:r>
    </w:p>
    <w:p w:rsidR="002F6F0E" w:rsidRDefault="002F6F0E" w:rsidP="00871370"/>
    <w:p w:rsidR="00871370" w:rsidRDefault="00531623" w:rsidP="006277DC">
      <w:pPr>
        <w:pStyle w:val="ListParagraph"/>
        <w:numPr>
          <w:ilvl w:val="0"/>
          <w:numId w:val="70"/>
        </w:numPr>
      </w:pPr>
      <w:r>
        <w:t xml:space="preserve">income </w:t>
      </w:r>
      <w:r w:rsidR="00871370">
        <w:t>data from the Integrated Data Infrastructure (IDI) which originate from the tax system;</w:t>
      </w:r>
      <w:r w:rsidR="002F6F0E">
        <w:br/>
      </w:r>
    </w:p>
    <w:p w:rsidR="00871370" w:rsidRDefault="00531623" w:rsidP="006277DC">
      <w:pPr>
        <w:pStyle w:val="ListParagraph"/>
        <w:numPr>
          <w:ilvl w:val="0"/>
          <w:numId w:val="70"/>
        </w:numPr>
      </w:pPr>
      <w:r>
        <w:lastRenderedPageBreak/>
        <w:t xml:space="preserve">rent </w:t>
      </w:r>
      <w:r w:rsidR="00871370">
        <w:t>data from the Tenancy Bond Database;</w:t>
      </w:r>
      <w:r>
        <w:t xml:space="preserve"> and</w:t>
      </w:r>
      <w:r w:rsidR="002F6F0E">
        <w:br/>
      </w:r>
    </w:p>
    <w:p w:rsidR="00871370" w:rsidRDefault="00531623" w:rsidP="006277DC">
      <w:pPr>
        <w:pStyle w:val="ListParagraph"/>
        <w:numPr>
          <w:ilvl w:val="0"/>
          <w:numId w:val="70"/>
        </w:numPr>
      </w:pPr>
      <w:proofErr w:type="gramStart"/>
      <w:r>
        <w:t>data</w:t>
      </w:r>
      <w:proofErr w:type="gramEnd"/>
      <w:r>
        <w:t xml:space="preserve"> </w:t>
      </w:r>
      <w:r w:rsidR="00871370">
        <w:t>on property sales prices and values from CoreLogic.</w:t>
      </w:r>
    </w:p>
    <w:p w:rsidR="00871370" w:rsidRDefault="00871370" w:rsidP="00871370"/>
    <w:p w:rsidR="00871370" w:rsidRDefault="00871370" w:rsidP="00871370">
      <w:r>
        <w:t xml:space="preserve">Other data </w:t>
      </w:r>
      <w:proofErr w:type="gramStart"/>
      <w:r>
        <w:t>are also used</w:t>
      </w:r>
      <w:proofErr w:type="gramEnd"/>
      <w:r>
        <w:t xml:space="preserve"> in the HAM, such as:</w:t>
      </w:r>
    </w:p>
    <w:p w:rsidR="00871370" w:rsidRDefault="00531623" w:rsidP="006277DC">
      <w:pPr>
        <w:pStyle w:val="ListParagraph"/>
        <w:numPr>
          <w:ilvl w:val="0"/>
          <w:numId w:val="83"/>
        </w:numPr>
      </w:pPr>
      <w:r>
        <w:t xml:space="preserve">interest </w:t>
      </w:r>
      <w:r w:rsidR="00871370">
        <w:t>rate data from the Reserve Bank of New Zealand</w:t>
      </w:r>
      <w:r>
        <w:t>; and</w:t>
      </w:r>
    </w:p>
    <w:p w:rsidR="00871370" w:rsidRDefault="00531623" w:rsidP="006277DC">
      <w:pPr>
        <w:pStyle w:val="ListParagraph"/>
        <w:numPr>
          <w:ilvl w:val="0"/>
          <w:numId w:val="83"/>
        </w:numPr>
      </w:pPr>
      <w:proofErr w:type="gramStart"/>
      <w:r>
        <w:t>data</w:t>
      </w:r>
      <w:proofErr w:type="gramEnd"/>
      <w:r>
        <w:t xml:space="preserve"> </w:t>
      </w:r>
      <w:r w:rsidR="00871370">
        <w:t>from the Household Economic Survey (used as a calibration sample)</w:t>
      </w:r>
      <w:r>
        <w:t>.</w:t>
      </w:r>
    </w:p>
    <w:p w:rsidR="00871370" w:rsidRDefault="00871370" w:rsidP="00871370"/>
    <w:p w:rsidR="005D4DC6" w:rsidRDefault="00871370" w:rsidP="00871370">
      <w:r>
        <w:t xml:space="preserve">The HAM </w:t>
      </w:r>
      <w:proofErr w:type="gramStart"/>
      <w:r>
        <w:t>is created</w:t>
      </w:r>
      <w:proofErr w:type="gramEnd"/>
      <w:r>
        <w:t xml:space="preserve"> by using street addresses to match </w:t>
      </w:r>
      <w:r w:rsidR="00455D4F">
        <w:t>household level data</w:t>
      </w:r>
      <w:r>
        <w:t>. This enables better comparisons of income with rent payments</w:t>
      </w:r>
      <w:r w:rsidR="00455D4F">
        <w:t xml:space="preserve"> and </w:t>
      </w:r>
      <w:r>
        <w:t>assumed housing costs.</w:t>
      </w:r>
    </w:p>
    <w:p w:rsidR="00871370" w:rsidRDefault="00871370" w:rsidP="00871370">
      <w:pPr>
        <w:rPr>
          <w:szCs w:val="21"/>
        </w:rPr>
      </w:pPr>
    </w:p>
    <w:p w:rsidR="007E7A80" w:rsidRDefault="007F4CF6" w:rsidP="00E71B09">
      <w:r>
        <w:t>The HAM is currently being peer reviewed, with the intention of releasing it as an experimental series in 2017 and making it a “Tier one” statistic in 2018.</w:t>
      </w:r>
      <w:r w:rsidR="003D338E">
        <w:rPr>
          <w:rStyle w:val="FootnoteReference"/>
        </w:rPr>
        <w:footnoteReference w:id="116"/>
      </w:r>
      <w:r>
        <w:t xml:space="preserve">  It would appear to be a good source for councils to meet the NPS-UDC requirement to monitor housing affordability.</w:t>
      </w:r>
    </w:p>
    <w:p w:rsidR="007E7A80" w:rsidRPr="004C33D1" w:rsidRDefault="007E7A80" w:rsidP="007E7A80">
      <w:pPr>
        <w:pStyle w:val="Heading3"/>
      </w:pPr>
      <w:r>
        <w:t>MSD Social Housing Register</w:t>
      </w:r>
    </w:p>
    <w:p w:rsidR="00871370" w:rsidRPr="004C33D1" w:rsidRDefault="00E71B09" w:rsidP="00E71B09">
      <w:r w:rsidRPr="004C33D1">
        <w:t xml:space="preserve">The Social Housing Register </w:t>
      </w:r>
      <w:proofErr w:type="gramStart"/>
      <w:r w:rsidRPr="004C33D1">
        <w:t>is managed</w:t>
      </w:r>
      <w:proofErr w:type="gramEnd"/>
      <w:r w:rsidRPr="004C33D1">
        <w:t xml:space="preserve"> by Ministry of Social Development (MSD) and is divided into the Housing Register and the Transfer Register. The former includes eligible applicants ready to </w:t>
      </w:r>
      <w:proofErr w:type="gramStart"/>
      <w:r w:rsidRPr="004C33D1">
        <w:t>be matched</w:t>
      </w:r>
      <w:proofErr w:type="gramEnd"/>
      <w:r w:rsidRPr="004C33D1">
        <w:t xml:space="preserve"> to a suitable property, while the latter is made up of people already in social housing but who have requested and are eligible for a transfer to another property. Register numbers are reported quarterly (since 2014) and include data by territorial authority (or local board for Auckland) and household demographics.  </w:t>
      </w:r>
      <w:r w:rsidRPr="004C33D1">
        <w:fldChar w:fldCharType="begin"/>
      </w:r>
      <w:r w:rsidRPr="004C33D1">
        <w:instrText xml:space="preserve"> REF _Ref457909117 \h </w:instrText>
      </w:r>
      <w:r w:rsidRPr="004C33D1">
        <w:fldChar w:fldCharType="separate"/>
      </w:r>
      <w:r w:rsidR="004D1DDA" w:rsidRPr="004C33D1">
        <w:t xml:space="preserve">Figure </w:t>
      </w:r>
      <w:r w:rsidR="004D1DDA">
        <w:rPr>
          <w:noProof/>
        </w:rPr>
        <w:t>30</w:t>
      </w:r>
      <w:r w:rsidRPr="004C33D1">
        <w:fldChar w:fldCharType="end"/>
      </w:r>
      <w:r w:rsidRPr="004C33D1">
        <w:t xml:space="preserve"> shows the quarterly changes in ‘new demand for social housing’ (ie the number of social housing register applications) in selected </w:t>
      </w:r>
      <w:r w:rsidR="007E7A80">
        <w:t>major urban areas.</w:t>
      </w:r>
    </w:p>
    <w:p w:rsidR="00E71B09" w:rsidRPr="004C33D1" w:rsidRDefault="00E71B09" w:rsidP="00E02811">
      <w:pPr>
        <w:pStyle w:val="Caption"/>
      </w:pPr>
      <w:bookmarkStart w:id="192" w:name="_Ref457909117"/>
      <w:r w:rsidRPr="004C33D1">
        <w:t xml:space="preserve">Figure </w:t>
      </w:r>
      <w:r w:rsidRPr="004C33D1">
        <w:fldChar w:fldCharType="begin"/>
      </w:r>
      <w:r w:rsidRPr="004C33D1">
        <w:instrText xml:space="preserve"> SEQ Figure \* ARABIC </w:instrText>
      </w:r>
      <w:r w:rsidRPr="004C33D1">
        <w:fldChar w:fldCharType="separate"/>
      </w:r>
      <w:r w:rsidR="004D1DDA">
        <w:rPr>
          <w:noProof/>
        </w:rPr>
        <w:t>30</w:t>
      </w:r>
      <w:r w:rsidRPr="004C33D1">
        <w:rPr>
          <w:noProof/>
        </w:rPr>
        <w:fldChar w:fldCharType="end"/>
      </w:r>
      <w:bookmarkEnd w:id="192"/>
      <w:r w:rsidRPr="004C33D1">
        <w:t xml:space="preserve"> Number of new Social Housing Register applications by major urban area</w:t>
      </w:r>
    </w:p>
    <w:p w:rsidR="00DA1197" w:rsidRDefault="00E71B09" w:rsidP="00455D4F">
      <w:pPr>
        <w:rPr>
          <w:sz w:val="18"/>
          <w:szCs w:val="18"/>
        </w:rPr>
      </w:pPr>
      <w:r w:rsidRPr="004C33D1">
        <w:rPr>
          <w:noProof/>
          <w:lang w:eastAsia="en-NZ"/>
        </w:rPr>
        <w:drawing>
          <wp:inline distT="0" distB="0" distL="0" distR="0" wp14:anchorId="5D4A8D0B" wp14:editId="1011B488">
            <wp:extent cx="4775200" cy="2729516"/>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4536"/>
                    <a:stretch/>
                  </pic:blipFill>
                  <pic:spPr bwMode="auto">
                    <a:xfrm>
                      <a:off x="0" y="0"/>
                      <a:ext cx="4791986" cy="2739111"/>
                    </a:xfrm>
                    <a:prstGeom prst="rect">
                      <a:avLst/>
                    </a:prstGeom>
                    <a:noFill/>
                    <a:ln>
                      <a:noFill/>
                    </a:ln>
                    <a:extLst>
                      <a:ext uri="{53640926-AAD7-44D8-BBD7-CCE9431645EC}">
                        <a14:shadowObscured xmlns:a14="http://schemas.microsoft.com/office/drawing/2010/main"/>
                      </a:ext>
                    </a:extLst>
                  </pic:spPr>
                </pic:pic>
              </a:graphicData>
            </a:graphic>
          </wp:inline>
        </w:drawing>
      </w:r>
    </w:p>
    <w:p w:rsidR="00E71B09" w:rsidRPr="004C33D1" w:rsidRDefault="00E71B09" w:rsidP="00455D4F">
      <w:r w:rsidRPr="004C33D1">
        <w:rPr>
          <w:sz w:val="18"/>
          <w:szCs w:val="18"/>
        </w:rPr>
        <w:t>Source: MSD</w:t>
      </w:r>
    </w:p>
    <w:p w:rsidR="00E71B09" w:rsidRDefault="00E71B09" w:rsidP="00E71B09"/>
    <w:p w:rsidR="00455D4F" w:rsidRPr="004C33D1" w:rsidRDefault="00455D4F" w:rsidP="00455D4F">
      <w:r w:rsidRPr="004C33D1">
        <w:lastRenderedPageBreak/>
        <w:t xml:space="preserve">The number of new applications for Social Housing in Auckland has reduced by 34% over the last two years. Numbers in Hamilton and Christchurch have also fallen, however the Tauranga and Wellington areas have increased 30% and 170% respectively over the same </w:t>
      </w:r>
      <w:proofErr w:type="gramStart"/>
      <w:r w:rsidRPr="004C33D1">
        <w:t>time period</w:t>
      </w:r>
      <w:proofErr w:type="gramEnd"/>
      <w:r w:rsidRPr="004C33D1">
        <w:t>.</w:t>
      </w:r>
      <w:r w:rsidR="00C04B5C">
        <w:t xml:space="preserve"> Some commentators have suggested that these trends may present a false picture however, eg with applicants increasingly being persuaded not to </w:t>
      </w:r>
      <w:r w:rsidR="003D338E">
        <w:t xml:space="preserve">apply </w:t>
      </w:r>
      <w:r w:rsidR="00C04B5C">
        <w:t>formally when supply is very limited.</w:t>
      </w:r>
      <w:r w:rsidR="00C04B5C">
        <w:rPr>
          <w:rStyle w:val="FootnoteReference"/>
        </w:rPr>
        <w:footnoteReference w:id="117"/>
      </w:r>
    </w:p>
    <w:p w:rsidR="00455D4F" w:rsidRPr="004C33D1" w:rsidRDefault="00455D4F" w:rsidP="00455D4F"/>
    <w:p w:rsidR="00C04B5C" w:rsidRDefault="00455D4F" w:rsidP="00E71B09">
      <w:r>
        <w:t xml:space="preserve">MSD’s data are specific to social housing. </w:t>
      </w:r>
      <w:proofErr w:type="gramStart"/>
      <w:r>
        <w:t>This provides some data of interest to councils but would be secondary to the other indicators discussed here</w:t>
      </w:r>
      <w:r w:rsidR="00C04B5C">
        <w:t>, particularly given the questions over data quality</w:t>
      </w:r>
      <w:r>
        <w:t>.</w:t>
      </w:r>
      <w:proofErr w:type="gramEnd"/>
    </w:p>
    <w:p w:rsidR="00090831" w:rsidRPr="004C33D1" w:rsidRDefault="00090831" w:rsidP="00220C7C">
      <w:pPr>
        <w:pStyle w:val="Heading2"/>
      </w:pPr>
      <w:bookmarkStart w:id="193" w:name="_Toc462413645"/>
      <w:bookmarkStart w:id="194" w:name="_Toc462582201"/>
      <w:r w:rsidRPr="004C33D1">
        <w:t>Possible Indicators</w:t>
      </w:r>
      <w:bookmarkEnd w:id="193"/>
      <w:bookmarkEnd w:id="194"/>
    </w:p>
    <w:p w:rsidR="00D67151" w:rsidRPr="00395916" w:rsidRDefault="000947E7" w:rsidP="009476C1">
      <w:r w:rsidRPr="004C33D1">
        <w:t xml:space="preserve">A number of possible affordability indicators are shown in </w:t>
      </w:r>
      <w:r w:rsidRPr="004C33D1">
        <w:fldChar w:fldCharType="begin"/>
      </w:r>
      <w:r w:rsidRPr="004C33D1">
        <w:instrText xml:space="preserve"> REF _Ref454748496 \h </w:instrText>
      </w:r>
      <w:r w:rsidRPr="004C33D1">
        <w:fldChar w:fldCharType="separate"/>
      </w:r>
      <w:r w:rsidR="004D1DDA" w:rsidRPr="004C33D1">
        <w:t xml:space="preserve">Table </w:t>
      </w:r>
      <w:r w:rsidR="004D1DDA">
        <w:rPr>
          <w:noProof/>
        </w:rPr>
        <w:t>14</w:t>
      </w:r>
      <w:r w:rsidRPr="004C33D1">
        <w:fldChar w:fldCharType="end"/>
      </w:r>
      <w:proofErr w:type="gramStart"/>
      <w:r w:rsidR="00C50490">
        <w:t xml:space="preserve"> which</w:t>
      </w:r>
      <w:proofErr w:type="gramEnd"/>
      <w:r w:rsidR="00C50490">
        <w:t xml:space="preserve"> build off </w:t>
      </w:r>
      <w:r w:rsidR="00395916">
        <w:t>those discussed by Robi</w:t>
      </w:r>
      <w:r w:rsidR="003D338E">
        <w:t>n</w:t>
      </w:r>
      <w:r w:rsidR="00395916">
        <w:t xml:space="preserve">son </w:t>
      </w:r>
      <w:r w:rsidR="00395916">
        <w:rPr>
          <w:i/>
        </w:rPr>
        <w:t>et al</w:t>
      </w:r>
      <w:r w:rsidR="00395916">
        <w:t xml:space="preserve"> (</w:t>
      </w:r>
      <w:r w:rsidR="00395916">
        <w:fldChar w:fldCharType="begin"/>
      </w:r>
      <w:r w:rsidR="00395916">
        <w:instrText xml:space="preserve"> REF _Ref454530392 \h </w:instrText>
      </w:r>
      <w:r w:rsidR="00395916">
        <w:fldChar w:fldCharType="separate"/>
      </w:r>
      <w:r w:rsidR="004D1DDA" w:rsidRPr="004C33D1">
        <w:t xml:space="preserve">Table </w:t>
      </w:r>
      <w:r w:rsidR="004D1DDA">
        <w:rPr>
          <w:noProof/>
        </w:rPr>
        <w:t>13</w:t>
      </w:r>
      <w:r w:rsidR="00395916">
        <w:fldChar w:fldCharType="end"/>
      </w:r>
      <w:r w:rsidR="00395916">
        <w:t>).</w:t>
      </w:r>
      <w:r w:rsidR="00845C44">
        <w:t xml:space="preserve"> The residual income after housing costs indicator is possible using Household Economic Survey (HES) data</w:t>
      </w:r>
      <w:r w:rsidR="005D4DC6">
        <w:t xml:space="preserve">, but this </w:t>
      </w:r>
      <w:proofErr w:type="gramStart"/>
      <w:r w:rsidR="005D4DC6">
        <w:t>is only undertaken</w:t>
      </w:r>
      <w:proofErr w:type="gramEnd"/>
      <w:r w:rsidR="005D4DC6">
        <w:t xml:space="preserve"> every three years with data </w:t>
      </w:r>
      <w:r w:rsidR="00845C44">
        <w:t>available</w:t>
      </w:r>
      <w:r w:rsidR="005D4DC6">
        <w:t xml:space="preserve"> at the Regional Council level. This is inadequate for the purposes here. </w:t>
      </w:r>
      <w:r w:rsidR="002F6F0E">
        <w:t xml:space="preserve">The crowding index and numbers in temporary accommodation </w:t>
      </w:r>
      <w:proofErr w:type="gramStart"/>
      <w:r w:rsidR="002F6F0E">
        <w:t>are similarly restricted</w:t>
      </w:r>
      <w:proofErr w:type="gramEnd"/>
      <w:r w:rsidR="002F6F0E">
        <w:t xml:space="preserve"> by data availability. </w:t>
      </w:r>
      <w:r w:rsidR="005D4DC6" w:rsidRPr="004C33D1">
        <w:t xml:space="preserve">Of the indicators listed in </w:t>
      </w:r>
      <w:r w:rsidR="005D4DC6" w:rsidRPr="004C33D1">
        <w:fldChar w:fldCharType="begin"/>
      </w:r>
      <w:r w:rsidR="005D4DC6" w:rsidRPr="004C33D1">
        <w:instrText xml:space="preserve"> REF _Ref454748496 \h </w:instrText>
      </w:r>
      <w:r w:rsidR="005D4DC6" w:rsidRPr="004C33D1">
        <w:fldChar w:fldCharType="separate"/>
      </w:r>
      <w:r w:rsidR="004D1DDA" w:rsidRPr="004C33D1">
        <w:t xml:space="preserve">Table </w:t>
      </w:r>
      <w:r w:rsidR="004D1DDA">
        <w:rPr>
          <w:noProof/>
        </w:rPr>
        <w:t>14</w:t>
      </w:r>
      <w:r w:rsidR="005D4DC6" w:rsidRPr="004C33D1">
        <w:fldChar w:fldCharType="end"/>
      </w:r>
      <w:r w:rsidR="005D4DC6" w:rsidRPr="004C33D1">
        <w:t>, ‘ho</w:t>
      </w:r>
      <w:r w:rsidR="00016CC6">
        <w:t>m</w:t>
      </w:r>
      <w:r w:rsidR="005D4DC6" w:rsidRPr="004C33D1">
        <w:t>e price to income’ and ‘housing costs to income’ are</w:t>
      </w:r>
      <w:r w:rsidR="00C50490">
        <w:t xml:space="preserve"> the most feasible to develop. </w:t>
      </w:r>
    </w:p>
    <w:p w:rsidR="00AB134F" w:rsidRPr="004C33D1" w:rsidRDefault="009476C1" w:rsidP="00E02811">
      <w:pPr>
        <w:pStyle w:val="Caption"/>
      </w:pPr>
      <w:bookmarkStart w:id="195" w:name="_Ref454748496"/>
      <w:r w:rsidRPr="004C33D1">
        <w:t xml:space="preserve">Table </w:t>
      </w:r>
      <w:r w:rsidRPr="004C33D1">
        <w:fldChar w:fldCharType="begin"/>
      </w:r>
      <w:r w:rsidRPr="004C33D1">
        <w:instrText xml:space="preserve"> SEQ Table \* ARABIC </w:instrText>
      </w:r>
      <w:r w:rsidRPr="004C33D1">
        <w:fldChar w:fldCharType="separate"/>
      </w:r>
      <w:r w:rsidR="004D1DDA">
        <w:rPr>
          <w:noProof/>
        </w:rPr>
        <w:t>14</w:t>
      </w:r>
      <w:r w:rsidRPr="004C33D1">
        <w:fldChar w:fldCharType="end"/>
      </w:r>
      <w:bookmarkEnd w:id="195"/>
      <w:r w:rsidRPr="004C33D1">
        <w:t xml:space="preserve"> Possible affordability indicators</w:t>
      </w:r>
    </w:p>
    <w:tbl>
      <w:tblPr>
        <w:tblStyle w:val="CovecTables"/>
        <w:tblW w:w="5000" w:type="pct"/>
        <w:tblInd w:w="0" w:type="dxa"/>
        <w:tblBorders>
          <w:bottom w:val="single" w:sz="12" w:space="0" w:color="A6A6A6" w:themeColor="background1" w:themeShade="A6"/>
          <w:insideH w:val="single" w:sz="8" w:space="0" w:color="A6A6A6" w:themeColor="background1" w:themeShade="A6"/>
        </w:tblBorders>
        <w:tblCellMar>
          <w:left w:w="57" w:type="dxa"/>
          <w:right w:w="57" w:type="dxa"/>
        </w:tblCellMar>
        <w:tblLook w:val="04E0" w:firstRow="1" w:lastRow="1" w:firstColumn="1" w:lastColumn="0" w:noHBand="0" w:noVBand="1"/>
      </w:tblPr>
      <w:tblGrid>
        <w:gridCol w:w="2730"/>
        <w:gridCol w:w="1292"/>
        <w:gridCol w:w="4313"/>
      </w:tblGrid>
      <w:tr w:rsidR="00265616" w:rsidRPr="004C33D1" w:rsidTr="00DA1197">
        <w:trPr>
          <w:cnfStyle w:val="100000000000" w:firstRow="1" w:lastRow="0" w:firstColumn="0" w:lastColumn="0" w:oddVBand="0" w:evenVBand="0" w:oddHBand="0" w:evenHBand="0" w:firstRowFirstColumn="0" w:firstRowLastColumn="0" w:lastRowFirstColumn="0" w:lastRowLastColumn="0"/>
          <w:trHeight w:val="170"/>
        </w:trPr>
        <w:tc>
          <w:tcPr>
            <w:cnfStyle w:val="001000000100" w:firstRow="0" w:lastRow="0" w:firstColumn="1" w:lastColumn="0" w:oddVBand="0" w:evenVBand="0" w:oddHBand="0" w:evenHBand="0" w:firstRowFirstColumn="1" w:firstRowLastColumn="0" w:lastRowFirstColumn="0" w:lastRowLastColumn="0"/>
            <w:tcW w:w="1638" w:type="pct"/>
            <w:tcBorders>
              <w:bottom w:val="none" w:sz="0" w:space="0" w:color="auto"/>
            </w:tcBorders>
          </w:tcPr>
          <w:p w:rsidR="00265616" w:rsidRPr="004C33D1" w:rsidRDefault="00265616" w:rsidP="004C2E7D">
            <w:pPr>
              <w:pStyle w:val="TableText"/>
            </w:pPr>
            <w:r w:rsidRPr="004C33D1">
              <w:t>Indicator</w:t>
            </w:r>
          </w:p>
        </w:tc>
        <w:tc>
          <w:tcPr>
            <w:tcW w:w="775" w:type="pct"/>
            <w:tcBorders>
              <w:bottom w:val="none" w:sz="0" w:space="0" w:color="auto"/>
            </w:tcBorders>
            <w:vAlign w:val="top"/>
          </w:tcPr>
          <w:p w:rsidR="009476C1" w:rsidRPr="004C33D1" w:rsidRDefault="009476C1" w:rsidP="009476C1">
            <w:pPr>
              <w:pStyle w:val="TableText"/>
              <w:jc w:val="center"/>
              <w:cnfStyle w:val="100000000000" w:firstRow="1" w:lastRow="0" w:firstColumn="0" w:lastColumn="0" w:oddVBand="0" w:evenVBand="0" w:oddHBand="0" w:evenHBand="0" w:firstRowFirstColumn="0" w:firstRowLastColumn="0" w:lastRowFirstColumn="0" w:lastRowLastColumn="0"/>
            </w:pPr>
            <w:r w:rsidRPr="004C33D1">
              <w:t>Proposed in</w:t>
            </w:r>
          </w:p>
          <w:p w:rsidR="00265616" w:rsidRPr="004C33D1" w:rsidRDefault="00265616" w:rsidP="009476C1">
            <w:pPr>
              <w:pStyle w:val="TableText"/>
              <w:jc w:val="center"/>
              <w:cnfStyle w:val="100000000000" w:firstRow="1" w:lastRow="0" w:firstColumn="0" w:lastColumn="0" w:oddVBand="0" w:evenVBand="0" w:oddHBand="0" w:evenHBand="0" w:firstRowFirstColumn="0" w:firstRowLastColumn="0" w:lastRowFirstColumn="0" w:lastRowLastColumn="0"/>
            </w:pPr>
            <w:r w:rsidRPr="004C33D1">
              <w:t>NPS-UDC</w:t>
            </w:r>
          </w:p>
        </w:tc>
        <w:tc>
          <w:tcPr>
            <w:tcW w:w="2586" w:type="pct"/>
            <w:tcBorders>
              <w:bottom w:val="none" w:sz="0" w:space="0" w:color="auto"/>
            </w:tcBorders>
            <w:vAlign w:val="top"/>
          </w:tcPr>
          <w:p w:rsidR="009476C1" w:rsidRPr="004C33D1" w:rsidRDefault="009476C1" w:rsidP="009476C1">
            <w:pPr>
              <w:pStyle w:val="TableText"/>
              <w:jc w:val="left"/>
              <w:cnfStyle w:val="100000000000" w:firstRow="1" w:lastRow="0" w:firstColumn="0" w:lastColumn="0" w:oddVBand="0" w:evenVBand="0" w:oddHBand="0" w:evenHBand="0" w:firstRowFirstColumn="0" w:firstRowLastColumn="0" w:lastRowFirstColumn="0" w:lastRowLastColumn="0"/>
            </w:pPr>
          </w:p>
          <w:p w:rsidR="00265616" w:rsidRPr="004C33D1" w:rsidRDefault="00265616" w:rsidP="009476C1">
            <w:pPr>
              <w:pStyle w:val="TableText"/>
              <w:jc w:val="left"/>
              <w:cnfStyle w:val="100000000000" w:firstRow="1" w:lastRow="0" w:firstColumn="0" w:lastColumn="0" w:oddVBand="0" w:evenVBand="0" w:oddHBand="0" w:evenHBand="0" w:firstRowFirstColumn="0" w:firstRowLastColumn="0" w:lastRowFirstColumn="0" w:lastRowLastColumn="0"/>
            </w:pPr>
            <w:r w:rsidRPr="004C33D1">
              <w:t>Data required</w:t>
            </w:r>
          </w:p>
        </w:tc>
      </w:tr>
      <w:tr w:rsidR="002A221C" w:rsidRPr="004C33D1" w:rsidTr="00DA1197">
        <w:tblPrEx>
          <w:tblCellMar>
            <w:top w:w="0" w:type="dxa"/>
            <w:bottom w:w="0"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1638" w:type="pct"/>
            <w:vAlign w:val="top"/>
          </w:tcPr>
          <w:p w:rsidR="002A221C" w:rsidRPr="004C33D1" w:rsidRDefault="002A221C" w:rsidP="009476C1">
            <w:pPr>
              <w:pStyle w:val="TableText"/>
            </w:pPr>
            <w:r w:rsidRPr="004C33D1">
              <w:t>Ho</w:t>
            </w:r>
            <w:r w:rsidR="00016CC6">
              <w:t>m</w:t>
            </w:r>
            <w:r w:rsidRPr="004C33D1">
              <w:t>e price to income ratio (average, median, quartile etc)</w:t>
            </w:r>
          </w:p>
        </w:tc>
        <w:tc>
          <w:tcPr>
            <w:tcW w:w="775" w:type="pct"/>
            <w:vAlign w:val="top"/>
          </w:tcPr>
          <w:p w:rsidR="002A221C" w:rsidRPr="004C33D1" w:rsidRDefault="002A221C" w:rsidP="009476C1">
            <w:pPr>
              <w:pStyle w:val="TableText"/>
              <w:jc w:val="center"/>
              <w:cnfStyle w:val="000000000000" w:firstRow="0" w:lastRow="0" w:firstColumn="0" w:lastColumn="0" w:oddVBand="0" w:evenVBand="0" w:oddHBand="0" w:evenHBand="0" w:firstRowFirstColumn="0" w:firstRowLastColumn="0" w:lastRowFirstColumn="0" w:lastRowLastColumn="0"/>
            </w:pPr>
            <w:r w:rsidRPr="004C33D1">
              <w:sym w:font="Wingdings" w:char="F0FC"/>
            </w:r>
          </w:p>
        </w:tc>
        <w:tc>
          <w:tcPr>
            <w:tcW w:w="2586" w:type="pct"/>
            <w:vAlign w:val="top"/>
          </w:tcPr>
          <w:p w:rsidR="002A221C" w:rsidRPr="004C33D1" w:rsidRDefault="002A221C" w:rsidP="002A221C">
            <w:pPr>
              <w:pStyle w:val="TableText"/>
              <w:jc w:val="left"/>
              <w:cnfStyle w:val="000000000000" w:firstRow="0" w:lastRow="0" w:firstColumn="0" w:lastColumn="0" w:oddVBand="0" w:evenVBand="0" w:oddHBand="0" w:evenHBand="0" w:firstRowFirstColumn="0" w:firstRowLastColumn="0" w:lastRowFirstColumn="0" w:lastRowLastColumn="0"/>
            </w:pPr>
            <w:r w:rsidRPr="004C33D1">
              <w:t xml:space="preserve">Sales data (all properties) </w:t>
            </w:r>
          </w:p>
          <w:p w:rsidR="002A221C" w:rsidRPr="004C33D1" w:rsidRDefault="002A221C" w:rsidP="002A221C">
            <w:pPr>
              <w:pStyle w:val="TableText"/>
              <w:jc w:val="left"/>
              <w:cnfStyle w:val="000000000000" w:firstRow="0" w:lastRow="0" w:firstColumn="0" w:lastColumn="0" w:oddVBand="0" w:evenVBand="0" w:oddHBand="0" w:evenHBand="0" w:firstRowFirstColumn="0" w:firstRowLastColumn="0" w:lastRowFirstColumn="0" w:lastRowLastColumn="0"/>
            </w:pPr>
            <w:r w:rsidRPr="004C33D1">
              <w:t>Annual income</w:t>
            </w:r>
          </w:p>
        </w:tc>
      </w:tr>
      <w:tr w:rsidR="002A221C" w:rsidRPr="004C33D1" w:rsidTr="00DA1197">
        <w:tblPrEx>
          <w:tblCellMar>
            <w:top w:w="0" w:type="dxa"/>
            <w:bottom w:w="0"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1638" w:type="pct"/>
            <w:vAlign w:val="top"/>
          </w:tcPr>
          <w:p w:rsidR="002A221C" w:rsidRPr="004C33D1" w:rsidRDefault="002A221C" w:rsidP="009476C1">
            <w:pPr>
              <w:pStyle w:val="TableText"/>
            </w:pPr>
            <w:r w:rsidRPr="004C33D1">
              <w:t>Housing cost to income ratio</w:t>
            </w:r>
          </w:p>
        </w:tc>
        <w:tc>
          <w:tcPr>
            <w:tcW w:w="775" w:type="pct"/>
            <w:vAlign w:val="top"/>
          </w:tcPr>
          <w:p w:rsidR="002A221C" w:rsidRPr="004C33D1" w:rsidRDefault="002A221C" w:rsidP="009476C1">
            <w:pPr>
              <w:pStyle w:val="TableText"/>
              <w:jc w:val="center"/>
              <w:cnfStyle w:val="000000000000" w:firstRow="0" w:lastRow="0" w:firstColumn="0" w:lastColumn="0" w:oddVBand="0" w:evenVBand="0" w:oddHBand="0" w:evenHBand="0" w:firstRowFirstColumn="0" w:firstRowLastColumn="0" w:lastRowFirstColumn="0" w:lastRowLastColumn="0"/>
            </w:pPr>
          </w:p>
        </w:tc>
        <w:tc>
          <w:tcPr>
            <w:tcW w:w="2586" w:type="pct"/>
            <w:vAlign w:val="top"/>
          </w:tcPr>
          <w:p w:rsidR="002A221C" w:rsidRPr="004C33D1" w:rsidRDefault="002A221C" w:rsidP="002A221C">
            <w:pPr>
              <w:pStyle w:val="TableText"/>
              <w:jc w:val="left"/>
              <w:cnfStyle w:val="000000000000" w:firstRow="0" w:lastRow="0" w:firstColumn="0" w:lastColumn="0" w:oddVBand="0" w:evenVBand="0" w:oddHBand="0" w:evenHBand="0" w:firstRowFirstColumn="0" w:firstRowLastColumn="0" w:lastRowFirstColumn="0" w:lastRowLastColumn="0"/>
            </w:pPr>
            <w:r w:rsidRPr="004C33D1">
              <w:t>Rent payments (TA median/average) or mortgage payments (or ho</w:t>
            </w:r>
            <w:r w:rsidR="00016CC6">
              <w:t>m</w:t>
            </w:r>
            <w:r w:rsidRPr="004C33D1">
              <w:t>e costs and mortgage rates)</w:t>
            </w:r>
          </w:p>
          <w:p w:rsidR="002A221C" w:rsidRPr="004C33D1" w:rsidRDefault="002A221C" w:rsidP="002A221C">
            <w:pPr>
              <w:pStyle w:val="TableText"/>
              <w:jc w:val="left"/>
              <w:cnfStyle w:val="000000000000" w:firstRow="0" w:lastRow="0" w:firstColumn="0" w:lastColumn="0" w:oddVBand="0" w:evenVBand="0" w:oddHBand="0" w:evenHBand="0" w:firstRowFirstColumn="0" w:firstRowLastColumn="0" w:lastRowFirstColumn="0" w:lastRowLastColumn="0"/>
            </w:pPr>
            <w:r w:rsidRPr="004C33D1">
              <w:t>Annual income</w:t>
            </w:r>
          </w:p>
        </w:tc>
      </w:tr>
      <w:tr w:rsidR="00C50490" w:rsidRPr="004C33D1" w:rsidTr="00DA1197">
        <w:tblPrEx>
          <w:tblCellMar>
            <w:top w:w="0" w:type="dxa"/>
            <w:bottom w:w="0"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1638" w:type="pct"/>
            <w:vAlign w:val="top"/>
          </w:tcPr>
          <w:p w:rsidR="00C50490" w:rsidRPr="004C33D1" w:rsidRDefault="00C50490" w:rsidP="00C50490">
            <w:pPr>
              <w:pStyle w:val="TableText"/>
            </w:pPr>
            <w:r w:rsidRPr="004C33D1">
              <w:t>Residual income after housing costs</w:t>
            </w:r>
          </w:p>
        </w:tc>
        <w:tc>
          <w:tcPr>
            <w:tcW w:w="775" w:type="pct"/>
            <w:vAlign w:val="top"/>
          </w:tcPr>
          <w:p w:rsidR="00C50490" w:rsidRPr="004C33D1" w:rsidRDefault="00C50490" w:rsidP="00C50490">
            <w:pPr>
              <w:pStyle w:val="TableText"/>
              <w:jc w:val="center"/>
              <w:cnfStyle w:val="000000000000" w:firstRow="0" w:lastRow="0" w:firstColumn="0" w:lastColumn="0" w:oddVBand="0" w:evenVBand="0" w:oddHBand="0" w:evenHBand="0" w:firstRowFirstColumn="0" w:firstRowLastColumn="0" w:lastRowFirstColumn="0" w:lastRowLastColumn="0"/>
            </w:pPr>
          </w:p>
        </w:tc>
        <w:tc>
          <w:tcPr>
            <w:tcW w:w="2586" w:type="pct"/>
            <w:vAlign w:val="top"/>
          </w:tcPr>
          <w:p w:rsidR="00C50490" w:rsidRPr="004C33D1" w:rsidRDefault="00C50490" w:rsidP="00C50490">
            <w:pPr>
              <w:pStyle w:val="TableText"/>
              <w:jc w:val="left"/>
              <w:cnfStyle w:val="000000000000" w:firstRow="0" w:lastRow="0" w:firstColumn="0" w:lastColumn="0" w:oddVBand="0" w:evenVBand="0" w:oddHBand="0" w:evenHBand="0" w:firstRowFirstColumn="0" w:firstRowLastColumn="0" w:lastRowFirstColumn="0" w:lastRowLastColumn="0"/>
            </w:pPr>
            <w:r w:rsidRPr="004C33D1">
              <w:t>Rent payments (TA median/average) or mortgage payments (or ho</w:t>
            </w:r>
            <w:r w:rsidR="00B1320B">
              <w:t>m</w:t>
            </w:r>
            <w:r w:rsidRPr="004C33D1">
              <w:t>e costs and mortgage rates)</w:t>
            </w:r>
          </w:p>
          <w:p w:rsidR="00C50490" w:rsidRPr="004C33D1" w:rsidRDefault="00C50490" w:rsidP="00C50490">
            <w:pPr>
              <w:pStyle w:val="TableText"/>
              <w:jc w:val="left"/>
              <w:cnfStyle w:val="000000000000" w:firstRow="0" w:lastRow="0" w:firstColumn="0" w:lastColumn="0" w:oddVBand="0" w:evenVBand="0" w:oddHBand="0" w:evenHBand="0" w:firstRowFirstColumn="0" w:firstRowLastColumn="0" w:lastRowFirstColumn="0" w:lastRowLastColumn="0"/>
            </w:pPr>
            <w:r w:rsidRPr="004C33D1">
              <w:t>Annual/weekly income</w:t>
            </w:r>
          </w:p>
        </w:tc>
      </w:tr>
      <w:tr w:rsidR="002F6F0E" w:rsidRPr="004C33D1" w:rsidTr="00DA1197">
        <w:tblPrEx>
          <w:tblCellMar>
            <w:top w:w="0" w:type="dxa"/>
            <w:bottom w:w="0"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1638" w:type="pct"/>
            <w:vAlign w:val="top"/>
          </w:tcPr>
          <w:p w:rsidR="002F6F0E" w:rsidRPr="004C33D1" w:rsidRDefault="002F6F0E" w:rsidP="00C50490">
            <w:pPr>
              <w:pStyle w:val="TableText"/>
            </w:pPr>
            <w:r>
              <w:t>Crowding index</w:t>
            </w:r>
          </w:p>
        </w:tc>
        <w:tc>
          <w:tcPr>
            <w:tcW w:w="775" w:type="pct"/>
            <w:vAlign w:val="top"/>
          </w:tcPr>
          <w:p w:rsidR="002F6F0E" w:rsidRPr="004C33D1" w:rsidRDefault="002F6F0E" w:rsidP="00C50490">
            <w:pPr>
              <w:pStyle w:val="TableText"/>
              <w:jc w:val="center"/>
              <w:cnfStyle w:val="000000000000" w:firstRow="0" w:lastRow="0" w:firstColumn="0" w:lastColumn="0" w:oddVBand="0" w:evenVBand="0" w:oddHBand="0" w:evenHBand="0" w:firstRowFirstColumn="0" w:firstRowLastColumn="0" w:lastRowFirstColumn="0" w:lastRowLastColumn="0"/>
            </w:pPr>
          </w:p>
        </w:tc>
        <w:tc>
          <w:tcPr>
            <w:tcW w:w="2586" w:type="pct"/>
            <w:vAlign w:val="top"/>
          </w:tcPr>
          <w:p w:rsidR="002F6F0E" w:rsidRDefault="002F6F0E" w:rsidP="002F6F0E">
            <w:pPr>
              <w:pStyle w:val="TableText"/>
              <w:jc w:val="left"/>
              <w:cnfStyle w:val="000000000000" w:firstRow="0" w:lastRow="0" w:firstColumn="0" w:lastColumn="0" w:oddVBand="0" w:evenVBand="0" w:oddHBand="0" w:evenHBand="0" w:firstRowFirstColumn="0" w:firstRowLastColumn="0" w:lastRowFirstColumn="0" w:lastRowLastColumn="0"/>
            </w:pPr>
            <w:r>
              <w:t>Possible only using census data every three years</w:t>
            </w:r>
          </w:p>
          <w:p w:rsidR="002F6F0E" w:rsidRPr="004C33D1" w:rsidRDefault="002F6F0E" w:rsidP="002F6F0E">
            <w:pPr>
              <w:pStyle w:val="TableText"/>
              <w:jc w:val="left"/>
              <w:cnfStyle w:val="000000000000" w:firstRow="0" w:lastRow="0" w:firstColumn="0" w:lastColumn="0" w:oddVBand="0" w:evenVBand="0" w:oddHBand="0" w:evenHBand="0" w:firstRowFirstColumn="0" w:firstRowLastColumn="0" w:lastRowFirstColumn="0" w:lastRowLastColumn="0"/>
            </w:pPr>
            <w:r>
              <w:t xml:space="preserve">Population </w:t>
            </w:r>
            <w:proofErr w:type="spellStart"/>
            <w:r>
              <w:t>growth:consents</w:t>
            </w:r>
            <w:proofErr w:type="spellEnd"/>
            <w:r>
              <w:t xml:space="preserve"> ratio might provide a proxy indicator of expected change in crowding</w:t>
            </w:r>
          </w:p>
        </w:tc>
      </w:tr>
      <w:tr w:rsidR="002F6F0E" w:rsidRPr="004C33D1" w:rsidTr="00DA1197">
        <w:tblPrEx>
          <w:tblCellMar>
            <w:top w:w="0" w:type="dxa"/>
            <w:bottom w:w="0" w:type="dxa"/>
          </w:tblCellMar>
        </w:tblPrEx>
        <w:trPr>
          <w:cnfStyle w:val="010000000000" w:firstRow="0" w:lastRow="1" w:firstColumn="0" w:lastColumn="0" w:oddVBand="0" w:evenVBand="0" w:oddHBand="0" w:evenHBand="0" w:firstRowFirstColumn="0" w:firstRowLastColumn="0" w:lastRowFirstColumn="0" w:lastRowLastColumn="0"/>
          <w:trHeight w:val="170"/>
        </w:trPr>
        <w:tc>
          <w:tcPr>
            <w:cnfStyle w:val="001000000001" w:firstRow="0" w:lastRow="0" w:firstColumn="1" w:lastColumn="0" w:oddVBand="0" w:evenVBand="0" w:oddHBand="0" w:evenHBand="0" w:firstRowFirstColumn="0" w:firstRowLastColumn="0" w:lastRowFirstColumn="1" w:lastRowLastColumn="0"/>
            <w:tcW w:w="1638" w:type="pct"/>
            <w:vAlign w:val="top"/>
          </w:tcPr>
          <w:p w:rsidR="002F6F0E" w:rsidRPr="004C33D1" w:rsidRDefault="002F6F0E" w:rsidP="00C50490">
            <w:pPr>
              <w:pStyle w:val="TableText"/>
            </w:pPr>
            <w:r>
              <w:t>Temporary accommodation</w:t>
            </w:r>
          </w:p>
        </w:tc>
        <w:tc>
          <w:tcPr>
            <w:tcW w:w="775" w:type="pct"/>
            <w:vAlign w:val="top"/>
          </w:tcPr>
          <w:p w:rsidR="002F6F0E" w:rsidRPr="004C33D1" w:rsidRDefault="002F6F0E" w:rsidP="00C50490">
            <w:pPr>
              <w:pStyle w:val="TableText"/>
              <w:jc w:val="center"/>
              <w:cnfStyle w:val="010000000000" w:firstRow="0" w:lastRow="1" w:firstColumn="0" w:lastColumn="0" w:oddVBand="0" w:evenVBand="0" w:oddHBand="0" w:evenHBand="0" w:firstRowFirstColumn="0" w:firstRowLastColumn="0" w:lastRowFirstColumn="0" w:lastRowLastColumn="0"/>
            </w:pPr>
          </w:p>
        </w:tc>
        <w:tc>
          <w:tcPr>
            <w:tcW w:w="2586" w:type="pct"/>
            <w:vAlign w:val="top"/>
          </w:tcPr>
          <w:p w:rsidR="002F6F0E" w:rsidRPr="004C33D1" w:rsidRDefault="002F6F0E" w:rsidP="002F6F0E">
            <w:pPr>
              <w:pStyle w:val="TableText"/>
              <w:jc w:val="left"/>
              <w:cnfStyle w:val="010000000000" w:firstRow="0" w:lastRow="1" w:firstColumn="0" w:lastColumn="0" w:oddVBand="0" w:evenVBand="0" w:oddHBand="0" w:evenHBand="0" w:firstRowFirstColumn="0" w:firstRowLastColumn="0" w:lastRowFirstColumn="0" w:lastRowLastColumn="0"/>
            </w:pPr>
            <w:r>
              <w:t>Data not collected currently but may be in the future</w:t>
            </w:r>
          </w:p>
        </w:tc>
      </w:tr>
    </w:tbl>
    <w:p w:rsidR="00AE79D5" w:rsidRPr="004C33D1" w:rsidRDefault="00AE79D5" w:rsidP="00AE79D5">
      <w:pPr>
        <w:pStyle w:val="Heading3"/>
      </w:pPr>
      <w:r w:rsidRPr="004C33D1">
        <w:t>Ho</w:t>
      </w:r>
      <w:r w:rsidR="00016CC6">
        <w:t>m</w:t>
      </w:r>
      <w:r w:rsidRPr="004C33D1">
        <w:t>e price to income</w:t>
      </w:r>
    </w:p>
    <w:p w:rsidR="00AE79D5" w:rsidRPr="004C33D1" w:rsidRDefault="00AE79D5" w:rsidP="00AE79D5">
      <w:r w:rsidRPr="004C33D1">
        <w:t xml:space="preserve">This indicator is most relevant to would-be homeowners and first </w:t>
      </w:r>
      <w:proofErr w:type="gramStart"/>
      <w:r w:rsidRPr="004C33D1">
        <w:t>home buyers</w:t>
      </w:r>
      <w:proofErr w:type="gramEnd"/>
      <w:r w:rsidRPr="004C33D1">
        <w:t xml:space="preserve">. However, there are limitations to the availability of income data; the only </w:t>
      </w:r>
      <w:proofErr w:type="gramStart"/>
      <w:r w:rsidRPr="004C33D1">
        <w:t>regularly-updated</w:t>
      </w:r>
      <w:proofErr w:type="gramEnd"/>
      <w:r w:rsidRPr="004C33D1">
        <w:t xml:space="preserve"> source of income data at the territorial authority level is the Linked Employer-Employee Data (LEED) published via NZ-Stat. </w:t>
      </w:r>
      <w:r w:rsidR="003508FB" w:rsidRPr="004C33D1">
        <w:t xml:space="preserve">It </w:t>
      </w:r>
      <w:r w:rsidRPr="004C33D1">
        <w:t xml:space="preserve">uses administrative data drawn from the taxation system, together with business data from Statistics NZ's Business Frame. </w:t>
      </w:r>
      <w:r w:rsidR="00295AFF">
        <w:t>T</w:t>
      </w:r>
      <w:r w:rsidRPr="004C33D1">
        <w:t xml:space="preserve">wo measures </w:t>
      </w:r>
      <w:r w:rsidR="00295AFF">
        <w:t>feasible using these data are</w:t>
      </w:r>
      <w:r w:rsidRPr="004C33D1">
        <w:t xml:space="preserve">: </w:t>
      </w:r>
    </w:p>
    <w:p w:rsidR="00AE79D5" w:rsidRPr="004C33D1" w:rsidRDefault="00AE79D5" w:rsidP="00411653">
      <w:pPr>
        <w:pStyle w:val="ListParagraph"/>
        <w:numPr>
          <w:ilvl w:val="0"/>
          <w:numId w:val="54"/>
        </w:numPr>
      </w:pPr>
      <w:r w:rsidRPr="004C33D1">
        <w:lastRenderedPageBreak/>
        <w:t>median ho</w:t>
      </w:r>
      <w:r w:rsidR="00016CC6">
        <w:t>m</w:t>
      </w:r>
      <w:r w:rsidRPr="004C33D1">
        <w:t xml:space="preserve">e price to median income ratio; and </w:t>
      </w:r>
    </w:p>
    <w:p w:rsidR="00AE79D5" w:rsidRPr="004C33D1" w:rsidRDefault="00AE79D5" w:rsidP="00411653">
      <w:pPr>
        <w:pStyle w:val="ListParagraph"/>
        <w:numPr>
          <w:ilvl w:val="0"/>
          <w:numId w:val="54"/>
        </w:numPr>
      </w:pPr>
      <w:proofErr w:type="gramStart"/>
      <w:r w:rsidRPr="004C33D1">
        <w:t>the</w:t>
      </w:r>
      <w:proofErr w:type="gramEnd"/>
      <w:r w:rsidRPr="004C33D1">
        <w:t xml:space="preserve"> lower quartile ho</w:t>
      </w:r>
      <w:r w:rsidR="00016CC6">
        <w:t>m</w:t>
      </w:r>
      <w:r w:rsidRPr="004C33D1">
        <w:t>e price to median income ratio.</w:t>
      </w:r>
    </w:p>
    <w:p w:rsidR="00AE79D5" w:rsidRPr="004C33D1" w:rsidRDefault="00AE79D5" w:rsidP="00AE79D5"/>
    <w:p w:rsidR="00AE79D5" w:rsidRPr="004C33D1" w:rsidRDefault="00AE79D5" w:rsidP="00AE79D5">
      <w:r w:rsidRPr="004C33D1">
        <w:t>The preferred method is to use lower quartile ho</w:t>
      </w:r>
      <w:r w:rsidR="007D371A">
        <w:t>m</w:t>
      </w:r>
      <w:r w:rsidRPr="004C33D1">
        <w:t>e price matched with median income values as this would best reflect ho</w:t>
      </w:r>
      <w:r w:rsidR="00B1320B">
        <w:t>m</w:t>
      </w:r>
      <w:r w:rsidR="00EE6E51">
        <w:t>e</w:t>
      </w:r>
      <w:r w:rsidRPr="004C33D1">
        <w:t xml:space="preserve"> price affordability for </w:t>
      </w:r>
      <w:proofErr w:type="gramStart"/>
      <w:r w:rsidRPr="004C33D1">
        <w:t>whom</w:t>
      </w:r>
      <w:proofErr w:type="gramEnd"/>
      <w:r w:rsidRPr="004C33D1">
        <w:t xml:space="preserve"> it is most relevant: would-be homeowners and/or first homebuyers with limited access to capital.</w:t>
      </w:r>
    </w:p>
    <w:p w:rsidR="00046E91" w:rsidRPr="004C33D1" w:rsidRDefault="00046E91" w:rsidP="00AE79D5"/>
    <w:p w:rsidR="00046E91" w:rsidRPr="004C33D1" w:rsidRDefault="00046E91" w:rsidP="00AE79D5">
      <w:r w:rsidRPr="004C33D1">
        <w:fldChar w:fldCharType="begin"/>
      </w:r>
      <w:r w:rsidRPr="004C33D1">
        <w:instrText xml:space="preserve"> REF _Ref456799665 \h </w:instrText>
      </w:r>
      <w:r w:rsidRPr="004C33D1">
        <w:fldChar w:fldCharType="separate"/>
      </w:r>
      <w:r w:rsidR="004D1DDA" w:rsidRPr="004C33D1">
        <w:t xml:space="preserve">Figure </w:t>
      </w:r>
      <w:r w:rsidR="004D1DDA">
        <w:rPr>
          <w:noProof/>
        </w:rPr>
        <w:t>31</w:t>
      </w:r>
      <w:r w:rsidRPr="004C33D1">
        <w:fldChar w:fldCharType="end"/>
      </w:r>
      <w:r w:rsidRPr="004C33D1">
        <w:t xml:space="preserve"> shows lower quartile ho</w:t>
      </w:r>
      <w:r w:rsidR="00B1320B">
        <w:t>m</w:t>
      </w:r>
      <w:r w:rsidRPr="004C33D1">
        <w:t>e price to median household income in selected high growth areas (solid line</w:t>
      </w:r>
      <w:r w:rsidR="00295AFF">
        <w:t>s</w:t>
      </w:r>
      <w:r w:rsidRPr="004C33D1">
        <w:t>) and non-high growth areas (dotted line</w:t>
      </w:r>
      <w:r w:rsidR="00295AFF">
        <w:t>s</w:t>
      </w:r>
      <w:r w:rsidRPr="004C33D1">
        <w:t>). Lower quartile priced ho</w:t>
      </w:r>
      <w:r w:rsidR="007D371A">
        <w:t>m</w:t>
      </w:r>
      <w:r w:rsidRPr="004C33D1">
        <w:t>es are less affordable in high growth areas with affordability</w:t>
      </w:r>
      <w:r w:rsidR="00AF5B5B" w:rsidRPr="004C33D1">
        <w:t xml:space="preserve"> </w:t>
      </w:r>
      <w:r w:rsidRPr="004C33D1">
        <w:t>worsening</w:t>
      </w:r>
      <w:r w:rsidR="00AF5B5B" w:rsidRPr="004C33D1">
        <w:t xml:space="preserve"> (ie price to income ratio has increased)</w:t>
      </w:r>
      <w:r w:rsidRPr="004C33D1">
        <w:t xml:space="preserve"> </w:t>
      </w:r>
      <w:r w:rsidR="00AF5B5B" w:rsidRPr="004C33D1">
        <w:t>in</w:t>
      </w:r>
      <w:r w:rsidRPr="004C33D1">
        <w:t xml:space="preserve"> recent years. However, housing affordability </w:t>
      </w:r>
      <w:r w:rsidR="00AF5B5B" w:rsidRPr="004C33D1">
        <w:t xml:space="preserve">has been steadily improving (ie declining ratio) since 2008 for those </w:t>
      </w:r>
      <w:r w:rsidRPr="004C33D1">
        <w:t xml:space="preserve">non-high </w:t>
      </w:r>
      <w:r w:rsidR="00AF5B5B" w:rsidRPr="004C33D1">
        <w:t xml:space="preserve">growth areas represented in </w:t>
      </w:r>
      <w:r w:rsidR="00AF5B5B" w:rsidRPr="004C33D1">
        <w:fldChar w:fldCharType="begin"/>
      </w:r>
      <w:r w:rsidR="00AF5B5B" w:rsidRPr="004C33D1">
        <w:instrText xml:space="preserve"> REF _Ref456799665 \h </w:instrText>
      </w:r>
      <w:r w:rsidR="00AF5B5B" w:rsidRPr="004C33D1">
        <w:fldChar w:fldCharType="separate"/>
      </w:r>
      <w:r w:rsidR="004D1DDA" w:rsidRPr="004C33D1">
        <w:t xml:space="preserve">Figure </w:t>
      </w:r>
      <w:r w:rsidR="004D1DDA">
        <w:rPr>
          <w:noProof/>
        </w:rPr>
        <w:t>31</w:t>
      </w:r>
      <w:r w:rsidR="00AF5B5B" w:rsidRPr="004C33D1">
        <w:fldChar w:fldCharType="end"/>
      </w:r>
      <w:r w:rsidR="00AF5B5B" w:rsidRPr="004C33D1">
        <w:t>.</w:t>
      </w:r>
    </w:p>
    <w:p w:rsidR="00046E91" w:rsidRPr="004C33D1" w:rsidRDefault="00046E91" w:rsidP="00E02811">
      <w:pPr>
        <w:pStyle w:val="Caption"/>
      </w:pPr>
      <w:bookmarkStart w:id="196" w:name="_Ref456799665"/>
      <w:r w:rsidRPr="004C33D1">
        <w:t xml:space="preserve">Figure </w:t>
      </w:r>
      <w:r w:rsidRPr="004C33D1">
        <w:fldChar w:fldCharType="begin"/>
      </w:r>
      <w:r w:rsidRPr="004C33D1">
        <w:instrText xml:space="preserve"> SEQ Figure \* ARABIC </w:instrText>
      </w:r>
      <w:r w:rsidRPr="004C33D1">
        <w:fldChar w:fldCharType="separate"/>
      </w:r>
      <w:proofErr w:type="gramStart"/>
      <w:r w:rsidR="004D1DDA">
        <w:rPr>
          <w:noProof/>
        </w:rPr>
        <w:t>31</w:t>
      </w:r>
      <w:r w:rsidRPr="004C33D1">
        <w:fldChar w:fldCharType="end"/>
      </w:r>
      <w:bookmarkEnd w:id="196"/>
      <w:r w:rsidRPr="004C33D1">
        <w:t xml:space="preserve"> Lower quartile ho</w:t>
      </w:r>
      <w:r w:rsidR="007D371A">
        <w:t>m</w:t>
      </w:r>
      <w:r w:rsidRPr="004C33D1">
        <w:t>e price</w:t>
      </w:r>
      <w:proofErr w:type="gramEnd"/>
      <w:r w:rsidRPr="004C33D1">
        <w:t xml:space="preserve"> to median household income 2000-2015</w:t>
      </w:r>
    </w:p>
    <w:p w:rsidR="00046E91" w:rsidRPr="004C33D1" w:rsidRDefault="00F3798D" w:rsidP="008E325E">
      <w:pPr>
        <w:jc w:val="center"/>
      </w:pPr>
      <w:r w:rsidRPr="00F3798D">
        <w:rPr>
          <w:noProof/>
          <w:lang w:eastAsia="en-NZ"/>
        </w:rPr>
        <w:drawing>
          <wp:inline distT="0" distB="0" distL="0" distR="0" wp14:anchorId="124772E4" wp14:editId="5A0F521E">
            <wp:extent cx="4777740" cy="2831017"/>
            <wp:effectExtent l="0" t="0" r="381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77740" cy="2831017"/>
                    </a:xfrm>
                    <a:prstGeom prst="rect">
                      <a:avLst/>
                    </a:prstGeom>
                    <a:noFill/>
                    <a:ln>
                      <a:noFill/>
                    </a:ln>
                  </pic:spPr>
                </pic:pic>
              </a:graphicData>
            </a:graphic>
          </wp:inline>
        </w:drawing>
      </w:r>
    </w:p>
    <w:p w:rsidR="00046E91" w:rsidRPr="00DA1197" w:rsidRDefault="00046E91">
      <w:pPr>
        <w:rPr>
          <w:sz w:val="18"/>
          <w:szCs w:val="18"/>
        </w:rPr>
      </w:pPr>
      <w:r w:rsidRPr="00DA1197">
        <w:rPr>
          <w:sz w:val="18"/>
          <w:szCs w:val="18"/>
        </w:rPr>
        <w:t>Source: QVNZ and LEED</w:t>
      </w:r>
      <w:r w:rsidR="00DA1197">
        <w:rPr>
          <w:sz w:val="18"/>
          <w:szCs w:val="18"/>
        </w:rPr>
        <w:t xml:space="preserve"> (Statistics NZ)</w:t>
      </w:r>
    </w:p>
    <w:p w:rsidR="00AE1476" w:rsidRPr="004C33D1" w:rsidRDefault="00AE1476"/>
    <w:p w:rsidR="00AE1476" w:rsidRPr="004C33D1" w:rsidRDefault="00AE1476">
      <w:r w:rsidRPr="004C33D1">
        <w:t>This indicator</w:t>
      </w:r>
      <w:r w:rsidR="00296AAF" w:rsidRPr="004C33D1">
        <w:t xml:space="preserve"> </w:t>
      </w:r>
      <w:r w:rsidRPr="004C33D1">
        <w:t>does not take into account the current mortgage interest rates</w:t>
      </w:r>
      <w:r w:rsidR="003D338E">
        <w:t xml:space="preserve">, which </w:t>
      </w:r>
      <w:proofErr w:type="gramStart"/>
      <w:r w:rsidR="003D338E">
        <w:t>are regarded</w:t>
      </w:r>
      <w:proofErr w:type="gramEnd"/>
      <w:r w:rsidR="003D338E">
        <w:t xml:space="preserve"> as </w:t>
      </w:r>
      <w:r w:rsidR="00296AAF" w:rsidRPr="004C33D1">
        <w:t>important determinant</w:t>
      </w:r>
      <w:r w:rsidR="003D338E">
        <w:t>s</w:t>
      </w:r>
      <w:r w:rsidR="00296AAF" w:rsidRPr="004C33D1">
        <w:t xml:space="preserve"> of housing affordability</w:t>
      </w:r>
      <w:r w:rsidR="009C6CC3" w:rsidRPr="004C33D1">
        <w:t xml:space="preserve"> in the short run</w:t>
      </w:r>
      <w:r w:rsidR="00296AAF" w:rsidRPr="004C33D1">
        <w:t xml:space="preserve">. </w:t>
      </w:r>
      <w:r w:rsidRPr="004C33D1">
        <w:t>Interest rates</w:t>
      </w:r>
      <w:r w:rsidR="00296AAF" w:rsidRPr="004C33D1">
        <w:t>,</w:t>
      </w:r>
      <w:r w:rsidRPr="004C33D1">
        <w:t xml:space="preserve"> and other </w:t>
      </w:r>
      <w:r w:rsidR="00296AAF" w:rsidRPr="004C33D1">
        <w:t>factors influencing</w:t>
      </w:r>
      <w:r w:rsidRPr="004C33D1">
        <w:t xml:space="preserve"> housing affordability</w:t>
      </w:r>
      <w:r w:rsidR="00296AAF" w:rsidRPr="004C33D1">
        <w:t>,</w:t>
      </w:r>
      <w:r w:rsidRPr="004C33D1">
        <w:t xml:space="preserve"> </w:t>
      </w:r>
      <w:proofErr w:type="gramStart"/>
      <w:r w:rsidRPr="004C33D1">
        <w:t>are considered</w:t>
      </w:r>
      <w:proofErr w:type="gramEnd"/>
      <w:r w:rsidRPr="004C33D1">
        <w:t xml:space="preserve"> in the </w:t>
      </w:r>
      <w:r w:rsidR="00296AAF" w:rsidRPr="004C33D1">
        <w:t>following measures.</w:t>
      </w:r>
    </w:p>
    <w:p w:rsidR="00AE79D5" w:rsidRPr="004C33D1" w:rsidRDefault="00AE79D5" w:rsidP="00AE79D5">
      <w:pPr>
        <w:pStyle w:val="Heading3"/>
      </w:pPr>
      <w:r w:rsidRPr="004C33D1">
        <w:t>Housing costs to income</w:t>
      </w:r>
    </w:p>
    <w:p w:rsidR="00AE79D5" w:rsidRPr="004C33D1" w:rsidRDefault="00AE79D5" w:rsidP="00AE79D5">
      <w:r w:rsidRPr="004C33D1">
        <w:t xml:space="preserve">Housing costs to income </w:t>
      </w:r>
      <w:proofErr w:type="gramStart"/>
      <w:r w:rsidRPr="004C33D1">
        <w:t>can be calculated</w:t>
      </w:r>
      <w:proofErr w:type="gramEnd"/>
      <w:r w:rsidRPr="004C33D1">
        <w:t xml:space="preserve"> from the perspective of homeowners and renters.</w:t>
      </w:r>
    </w:p>
    <w:p w:rsidR="00AE79D5" w:rsidRPr="004C33D1" w:rsidRDefault="00AE79D5" w:rsidP="00AE79D5"/>
    <w:p w:rsidR="00AE79D5" w:rsidRPr="004C33D1" w:rsidRDefault="00AE79D5" w:rsidP="00AE79D5">
      <w:r w:rsidRPr="004C33D1">
        <w:t xml:space="preserve">For homeowners, the costs of housing </w:t>
      </w:r>
      <w:proofErr w:type="gramStart"/>
      <w:r w:rsidRPr="004C33D1">
        <w:t>are directly determined</w:t>
      </w:r>
      <w:proofErr w:type="gramEnd"/>
      <w:r w:rsidRPr="004C33D1">
        <w:t xml:space="preserve"> by the purchase price, the prevailing interest rates, and their chosen loan repayment period. However, </w:t>
      </w:r>
      <w:proofErr w:type="gramStart"/>
      <w:r w:rsidRPr="004C33D1">
        <w:t xml:space="preserve">it is also determined by the </w:t>
      </w:r>
      <w:r w:rsidR="00C50490">
        <w:t>deposit</w:t>
      </w:r>
      <w:proofErr w:type="gramEnd"/>
      <w:r w:rsidRPr="004C33D1">
        <w:t>. Existing homeowners are likely to have higher levels of equity but they may also have a more valuable/expensive ho</w:t>
      </w:r>
      <w:r w:rsidR="007D371A">
        <w:t>m</w:t>
      </w:r>
      <w:r w:rsidRPr="004C33D1">
        <w:t xml:space="preserve">e. </w:t>
      </w:r>
    </w:p>
    <w:p w:rsidR="00AE79D5" w:rsidRPr="004C33D1" w:rsidRDefault="00AE79D5" w:rsidP="00AE79D5"/>
    <w:p w:rsidR="003508FB" w:rsidRPr="004C33D1" w:rsidRDefault="003508FB" w:rsidP="003508FB">
      <w:r w:rsidRPr="004C33D1">
        <w:lastRenderedPageBreak/>
        <w:t>The suggested indicator simplifies the analysis by ignoring the potential equity level</w:t>
      </w:r>
      <w:r w:rsidR="00295AFF">
        <w:t>, equivalent to assuming any equity has an opportunity cost</w:t>
      </w:r>
      <w:r w:rsidRPr="004C33D1">
        <w:t>. The suggested assumptions are:</w:t>
      </w:r>
    </w:p>
    <w:p w:rsidR="003508FB" w:rsidRPr="004C33D1" w:rsidRDefault="003508FB" w:rsidP="006277DC">
      <w:pPr>
        <w:pStyle w:val="ListParagraph"/>
        <w:numPr>
          <w:ilvl w:val="0"/>
          <w:numId w:val="82"/>
        </w:numPr>
      </w:pPr>
      <w:r w:rsidRPr="004C33D1">
        <w:t>a 100% mortgage (zero deposit);</w:t>
      </w:r>
    </w:p>
    <w:p w:rsidR="003508FB" w:rsidRPr="004C33D1" w:rsidRDefault="003508FB" w:rsidP="006277DC">
      <w:pPr>
        <w:pStyle w:val="ListParagraph"/>
        <w:numPr>
          <w:ilvl w:val="0"/>
          <w:numId w:val="82"/>
        </w:numPr>
      </w:pPr>
      <w:r w:rsidRPr="004C33D1">
        <w:t xml:space="preserve">a 30 year loan repayment period; and </w:t>
      </w:r>
    </w:p>
    <w:p w:rsidR="003508FB" w:rsidRPr="004C33D1" w:rsidRDefault="003508FB" w:rsidP="006277DC">
      <w:pPr>
        <w:pStyle w:val="ListParagraph"/>
        <w:numPr>
          <w:ilvl w:val="0"/>
          <w:numId w:val="82"/>
        </w:numPr>
      </w:pPr>
      <w:proofErr w:type="gramStart"/>
      <w:r w:rsidRPr="004C33D1">
        <w:t>the</w:t>
      </w:r>
      <w:proofErr w:type="gramEnd"/>
      <w:r w:rsidRPr="004C33D1">
        <w:t xml:space="preserve"> average of the 2 year fixed and floating mortgage rate (data are available from the Reserve Bank). </w:t>
      </w:r>
    </w:p>
    <w:p w:rsidR="00845C44" w:rsidRDefault="00845C44" w:rsidP="003508FB"/>
    <w:p w:rsidR="003508FB" w:rsidRPr="004C33D1" w:rsidRDefault="003508FB" w:rsidP="003508FB">
      <w:r w:rsidRPr="004C33D1">
        <w:fldChar w:fldCharType="begin"/>
      </w:r>
      <w:r w:rsidRPr="004C33D1">
        <w:instrText xml:space="preserve"> REF _Ref456612774 \h </w:instrText>
      </w:r>
      <w:r w:rsidRPr="004C33D1">
        <w:fldChar w:fldCharType="separate"/>
      </w:r>
      <w:r w:rsidR="004D1DDA" w:rsidRPr="004C33D1">
        <w:t xml:space="preserve">Figure </w:t>
      </w:r>
      <w:r w:rsidR="004D1DDA">
        <w:rPr>
          <w:noProof/>
        </w:rPr>
        <w:t>32</w:t>
      </w:r>
      <w:r w:rsidRPr="004C33D1">
        <w:fldChar w:fldCharType="end"/>
      </w:r>
      <w:r w:rsidRPr="004C33D1">
        <w:t xml:space="preserve"> illustrates changes in mortgage repayments to income over time for a select number of areas. Although current ho</w:t>
      </w:r>
      <w:r w:rsidR="007D371A">
        <w:t>m</w:t>
      </w:r>
      <w:r w:rsidRPr="004C33D1">
        <w:t>e prices are at an all-time high in most of these areas, low mortgage rates have improved ho</w:t>
      </w:r>
      <w:r w:rsidR="007D371A">
        <w:t>m</w:t>
      </w:r>
      <w:r w:rsidRPr="004C33D1">
        <w:t>e price affordability relative to pre</w:t>
      </w:r>
      <w:r w:rsidR="00295AFF">
        <w:t>vious years.</w:t>
      </w:r>
    </w:p>
    <w:p w:rsidR="003508FB" w:rsidRPr="004C33D1" w:rsidRDefault="003508FB" w:rsidP="00E02811">
      <w:pPr>
        <w:pStyle w:val="Caption"/>
      </w:pPr>
      <w:bookmarkStart w:id="197" w:name="_Ref456612774"/>
      <w:r w:rsidRPr="004C33D1">
        <w:t xml:space="preserve">Figure </w:t>
      </w:r>
      <w:r w:rsidRPr="004C33D1">
        <w:fldChar w:fldCharType="begin"/>
      </w:r>
      <w:r w:rsidRPr="004C33D1">
        <w:instrText xml:space="preserve"> SEQ Figure \* ARABIC </w:instrText>
      </w:r>
      <w:r w:rsidRPr="004C33D1">
        <w:fldChar w:fldCharType="separate"/>
      </w:r>
      <w:r w:rsidR="004D1DDA">
        <w:rPr>
          <w:noProof/>
        </w:rPr>
        <w:t>32</w:t>
      </w:r>
      <w:r w:rsidRPr="004C33D1">
        <w:fldChar w:fldCharType="end"/>
      </w:r>
      <w:bookmarkEnd w:id="197"/>
      <w:r w:rsidRPr="004C33D1">
        <w:t xml:space="preserve"> Annual mortgage repayments annual household income 2000-2015</w:t>
      </w:r>
    </w:p>
    <w:p w:rsidR="003508FB" w:rsidRPr="004C33D1" w:rsidRDefault="003508FB" w:rsidP="008E325E">
      <w:pPr>
        <w:jc w:val="center"/>
      </w:pPr>
      <w:r w:rsidRPr="004C33D1">
        <w:rPr>
          <w:noProof/>
          <w:lang w:eastAsia="en-NZ"/>
        </w:rPr>
        <w:drawing>
          <wp:inline distT="0" distB="0" distL="0" distR="0" wp14:anchorId="18CE3912" wp14:editId="3A7017CB">
            <wp:extent cx="4741333" cy="2667907"/>
            <wp:effectExtent l="0" t="0" r="254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824" b="2304"/>
                    <a:stretch/>
                  </pic:blipFill>
                  <pic:spPr bwMode="auto">
                    <a:xfrm>
                      <a:off x="0" y="0"/>
                      <a:ext cx="4776215" cy="2687535"/>
                    </a:xfrm>
                    <a:prstGeom prst="rect">
                      <a:avLst/>
                    </a:prstGeom>
                    <a:noFill/>
                    <a:ln>
                      <a:noFill/>
                    </a:ln>
                    <a:extLst>
                      <a:ext uri="{53640926-AAD7-44D8-BBD7-CCE9431645EC}">
                        <a14:shadowObscured xmlns:a14="http://schemas.microsoft.com/office/drawing/2010/main"/>
                      </a:ext>
                    </a:extLst>
                  </pic:spPr>
                </pic:pic>
              </a:graphicData>
            </a:graphic>
          </wp:inline>
        </w:drawing>
      </w:r>
    </w:p>
    <w:p w:rsidR="003508FB" w:rsidRPr="004C33D1" w:rsidRDefault="003508FB" w:rsidP="003508FB">
      <w:pPr>
        <w:rPr>
          <w:sz w:val="18"/>
          <w:szCs w:val="18"/>
        </w:rPr>
      </w:pPr>
      <w:r w:rsidRPr="004C33D1">
        <w:rPr>
          <w:sz w:val="18"/>
          <w:szCs w:val="18"/>
        </w:rPr>
        <w:t>Source: QVNZ, Reserve Bank of New Zealand and Statistics NZ</w:t>
      </w:r>
    </w:p>
    <w:p w:rsidR="003508FB" w:rsidRDefault="003508FB" w:rsidP="003508FB">
      <w:pPr>
        <w:rPr>
          <w:szCs w:val="18"/>
        </w:rPr>
      </w:pPr>
    </w:p>
    <w:p w:rsidR="00295AFF" w:rsidRPr="004C33D1" w:rsidRDefault="00295AFF" w:rsidP="00295AFF">
      <w:r w:rsidRPr="004C33D1">
        <w:t xml:space="preserve">Housing costs to income ratios are more </w:t>
      </w:r>
      <w:proofErr w:type="gramStart"/>
      <w:r w:rsidRPr="004C33D1">
        <w:t>straight-forward</w:t>
      </w:r>
      <w:proofErr w:type="gramEnd"/>
      <w:r w:rsidRPr="004C33D1">
        <w:t xml:space="preserve"> when calculated from a renter’s perspective. For this indicator we use mean annual rent payments divided by median annual household income.  Although median rent values may be preferred to mean rent values, particularly when there are large outliers of rent prices within a given area, median rent data are not currently available. </w:t>
      </w:r>
    </w:p>
    <w:p w:rsidR="00295AFF" w:rsidRPr="004C33D1" w:rsidRDefault="00295AFF" w:rsidP="00295AFF"/>
    <w:p w:rsidR="00845C44" w:rsidRPr="00871370" w:rsidRDefault="00295AFF" w:rsidP="003508FB">
      <w:r w:rsidRPr="004C33D1">
        <w:fldChar w:fldCharType="begin"/>
      </w:r>
      <w:r w:rsidRPr="004C33D1">
        <w:instrText xml:space="preserve"> REF _Ref456612791 \h </w:instrText>
      </w:r>
      <w:r w:rsidRPr="004C33D1">
        <w:fldChar w:fldCharType="separate"/>
      </w:r>
      <w:r w:rsidR="004D1DDA" w:rsidRPr="004C33D1">
        <w:t xml:space="preserve">Figure </w:t>
      </w:r>
      <w:r w:rsidR="004D1DDA">
        <w:rPr>
          <w:noProof/>
        </w:rPr>
        <w:t>33</w:t>
      </w:r>
      <w:r w:rsidRPr="004C33D1">
        <w:fldChar w:fldCharType="end"/>
      </w:r>
      <w:r w:rsidRPr="004C33D1">
        <w:t xml:space="preserve"> shows that mean rental payments to annual household income ratios have been relatively constant for a number of New Zealand territorial authorities over the 2000 to 2015 period. The recent increase in the ratio for Christchurch </w:t>
      </w:r>
      <w:proofErr w:type="gramStart"/>
      <w:r w:rsidRPr="004C33D1">
        <w:t>can be explained</w:t>
      </w:r>
      <w:proofErr w:type="gramEnd"/>
      <w:r w:rsidRPr="004C33D1">
        <w:t xml:space="preserve"> by price increases reflecting reduced supply of rentals after the Canterbury </w:t>
      </w:r>
      <w:r w:rsidR="003D338E" w:rsidRPr="004C33D1">
        <w:t>earthquakes</w:t>
      </w:r>
      <w:r w:rsidRPr="004C33D1">
        <w:t>. In contrast, incomes have not changed</w:t>
      </w:r>
      <w:r w:rsidR="00871370">
        <w:t xml:space="preserve"> from the pre-earthquake trend.</w:t>
      </w:r>
    </w:p>
    <w:p w:rsidR="003508FB" w:rsidRPr="004C33D1" w:rsidRDefault="003508FB" w:rsidP="00E02811">
      <w:pPr>
        <w:pStyle w:val="Caption"/>
      </w:pPr>
      <w:bookmarkStart w:id="198" w:name="_Ref456612791"/>
      <w:r w:rsidRPr="004C33D1">
        <w:lastRenderedPageBreak/>
        <w:t xml:space="preserve">Figure </w:t>
      </w:r>
      <w:r w:rsidRPr="004C33D1">
        <w:fldChar w:fldCharType="begin"/>
      </w:r>
      <w:r w:rsidRPr="004C33D1">
        <w:instrText xml:space="preserve"> SEQ Figure \* ARABIC </w:instrText>
      </w:r>
      <w:r w:rsidRPr="004C33D1">
        <w:fldChar w:fldCharType="separate"/>
      </w:r>
      <w:r w:rsidR="004D1DDA">
        <w:rPr>
          <w:noProof/>
        </w:rPr>
        <w:t>33</w:t>
      </w:r>
      <w:r w:rsidRPr="004C33D1">
        <w:fldChar w:fldCharType="end"/>
      </w:r>
      <w:bookmarkEnd w:id="198"/>
      <w:r w:rsidRPr="004C33D1">
        <w:t xml:space="preserve"> Mean annual rent payments to annual household income 2000-2015</w:t>
      </w:r>
    </w:p>
    <w:p w:rsidR="003508FB" w:rsidRPr="004C33D1" w:rsidRDefault="003508FB" w:rsidP="00C50490">
      <w:pPr>
        <w:spacing w:line="240" w:lineRule="auto"/>
        <w:jc w:val="center"/>
      </w:pPr>
      <w:r w:rsidRPr="004C33D1">
        <w:rPr>
          <w:noProof/>
          <w:lang w:eastAsia="en-NZ"/>
        </w:rPr>
        <w:drawing>
          <wp:inline distT="0" distB="0" distL="0" distR="0" wp14:anchorId="794D9FAF" wp14:editId="31F3EDB8">
            <wp:extent cx="4152900" cy="2489414"/>
            <wp:effectExtent l="0" t="0" r="0" b="63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169594" cy="2499421"/>
                    </a:xfrm>
                    <a:prstGeom prst="rect">
                      <a:avLst/>
                    </a:prstGeom>
                    <a:noFill/>
                    <a:ln>
                      <a:noFill/>
                    </a:ln>
                  </pic:spPr>
                </pic:pic>
              </a:graphicData>
            </a:graphic>
          </wp:inline>
        </w:drawing>
      </w:r>
    </w:p>
    <w:p w:rsidR="003508FB" w:rsidRPr="004C33D1" w:rsidRDefault="003508FB" w:rsidP="003508FB">
      <w:pPr>
        <w:spacing w:line="240" w:lineRule="auto"/>
        <w:rPr>
          <w:sz w:val="18"/>
          <w:szCs w:val="18"/>
        </w:rPr>
      </w:pPr>
      <w:r w:rsidRPr="004C33D1">
        <w:rPr>
          <w:sz w:val="18"/>
          <w:szCs w:val="18"/>
        </w:rPr>
        <w:t>Source: MBIE and Statistics NZ</w:t>
      </w:r>
    </w:p>
    <w:p w:rsidR="002F6F0E" w:rsidRDefault="002F6F0E" w:rsidP="002F6F0E">
      <w:pPr>
        <w:pStyle w:val="Heading3"/>
      </w:pPr>
      <w:r>
        <w:t>Crowding Index</w:t>
      </w:r>
    </w:p>
    <w:p w:rsidR="002F6F0E" w:rsidRDefault="002F6F0E" w:rsidP="002F6F0E">
      <w:r>
        <w:t>One response to increased costs of housing is for people to crowd into ho</w:t>
      </w:r>
      <w:r w:rsidR="007D371A">
        <w:t>m</w:t>
      </w:r>
      <w:r>
        <w:t>es to limit the costs per person. Overcrowding is a sign of under-supply of housing or of high costs. However, comprehensive and reliable data,</w:t>
      </w:r>
      <w:r w:rsidRPr="00D67151">
        <w:t xml:space="preserve"> </w:t>
      </w:r>
      <w:r>
        <w:t>eg number of people in ho</w:t>
      </w:r>
      <w:r w:rsidR="007D371A">
        <w:t>m</w:t>
      </w:r>
      <w:r>
        <w:t>es in proportion to ho</w:t>
      </w:r>
      <w:r w:rsidR="007D371A">
        <w:t>m</w:t>
      </w:r>
      <w:r>
        <w:t xml:space="preserve">e size or number of bedrooms, are currently only available via the </w:t>
      </w:r>
      <w:proofErr w:type="gramStart"/>
      <w:r>
        <w:t>census which</w:t>
      </w:r>
      <w:proofErr w:type="gramEnd"/>
      <w:r>
        <w:t xml:space="preserve"> is produced every three years. This is </w:t>
      </w:r>
      <w:r w:rsidR="003D338E">
        <w:t xml:space="preserve">a </w:t>
      </w:r>
      <w:r>
        <w:t>useful measure, but it is too infrequent to be a useful indicator for the purposes of the NPS-UDC.</w:t>
      </w:r>
    </w:p>
    <w:p w:rsidR="002F6F0E" w:rsidRDefault="002F6F0E" w:rsidP="002F6F0E"/>
    <w:p w:rsidR="002F6F0E" w:rsidRDefault="002F6F0E" w:rsidP="002F6F0E">
      <w:r>
        <w:t xml:space="preserve">One alternative approach is to measure the change in the ratio of the number of consented dwellings to the estimated population increase at a disaggregated level (see Section </w:t>
      </w:r>
      <w:r>
        <w:fldChar w:fldCharType="begin"/>
      </w:r>
      <w:r>
        <w:instrText xml:space="preserve"> REF _Ref458417423 \n \h </w:instrText>
      </w:r>
      <w:r>
        <w:fldChar w:fldCharType="separate"/>
      </w:r>
      <w:r w:rsidR="004D1DDA">
        <w:t>4.3</w:t>
      </w:r>
      <w:r>
        <w:fldChar w:fldCharType="end"/>
      </w:r>
      <w:r>
        <w:t xml:space="preserve"> for a more aggregated version). The numbers </w:t>
      </w:r>
      <w:proofErr w:type="gramStart"/>
      <w:r>
        <w:t>are shown</w:t>
      </w:r>
      <w:proofErr w:type="gramEnd"/>
      <w:r>
        <w:t xml:space="preserve"> </w:t>
      </w:r>
      <w:r w:rsidR="003D338E">
        <w:t xml:space="preserve">in </w:t>
      </w:r>
      <w:r w:rsidR="003D338E">
        <w:fldChar w:fldCharType="begin"/>
      </w:r>
      <w:r w:rsidR="003D338E">
        <w:instrText xml:space="preserve"> REF _Ref462576497 \h </w:instrText>
      </w:r>
      <w:r w:rsidR="003D338E">
        <w:fldChar w:fldCharType="separate"/>
      </w:r>
      <w:r w:rsidR="004D1DDA">
        <w:t xml:space="preserve">Figure </w:t>
      </w:r>
      <w:r w:rsidR="004D1DDA">
        <w:rPr>
          <w:noProof/>
        </w:rPr>
        <w:t>34</w:t>
      </w:r>
      <w:r w:rsidR="003D338E">
        <w:fldChar w:fldCharType="end"/>
      </w:r>
      <w:r w:rsidR="003D338E">
        <w:t xml:space="preserve"> </w:t>
      </w:r>
      <w:r>
        <w:t>relative to the average New</w:t>
      </w:r>
      <w:r w:rsidR="003D338E">
        <w:t xml:space="preserve"> Zealand household size of 2.7.</w:t>
      </w:r>
    </w:p>
    <w:p w:rsidR="002F6F0E" w:rsidRDefault="002F6F0E" w:rsidP="002F6F0E">
      <w:pPr>
        <w:pStyle w:val="Caption"/>
      </w:pPr>
      <w:bookmarkStart w:id="199" w:name="_Ref462576497"/>
      <w:r>
        <w:t xml:space="preserve">Figure </w:t>
      </w:r>
      <w:r>
        <w:fldChar w:fldCharType="begin"/>
      </w:r>
      <w:r>
        <w:instrText xml:space="preserve"> SEQ Figure \* ARABIC </w:instrText>
      </w:r>
      <w:r>
        <w:fldChar w:fldCharType="separate"/>
      </w:r>
      <w:r w:rsidR="004D1DDA">
        <w:rPr>
          <w:noProof/>
        </w:rPr>
        <w:t>34</w:t>
      </w:r>
      <w:r>
        <w:fldChar w:fldCharType="end"/>
      </w:r>
      <w:bookmarkEnd w:id="199"/>
      <w:r>
        <w:t xml:space="preserve"> Ratio of Population increase to consented new dwellings</w:t>
      </w:r>
    </w:p>
    <w:p w:rsidR="002F6F0E" w:rsidRDefault="002F6F0E" w:rsidP="003D338E">
      <w:pPr>
        <w:jc w:val="center"/>
      </w:pPr>
      <w:r w:rsidRPr="00576AB7">
        <w:rPr>
          <w:noProof/>
          <w:lang w:eastAsia="en-NZ"/>
        </w:rPr>
        <w:drawing>
          <wp:inline distT="0" distB="0" distL="0" distR="0" wp14:anchorId="75F369F5" wp14:editId="1634CC19">
            <wp:extent cx="4781735" cy="28384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813649" cy="2857394"/>
                    </a:xfrm>
                    <a:prstGeom prst="rect">
                      <a:avLst/>
                    </a:prstGeom>
                    <a:noFill/>
                    <a:ln>
                      <a:noFill/>
                    </a:ln>
                  </pic:spPr>
                </pic:pic>
              </a:graphicData>
            </a:graphic>
          </wp:inline>
        </w:drawing>
      </w:r>
    </w:p>
    <w:p w:rsidR="002F6F0E" w:rsidRDefault="002F6F0E" w:rsidP="003D338E">
      <w:pPr>
        <w:pStyle w:val="Caption"/>
        <w:keepNext w:val="0"/>
        <w:spacing w:before="0"/>
      </w:pPr>
      <w:r w:rsidRPr="004C33D1">
        <w:t xml:space="preserve">Source: Data retrieved from </w:t>
      </w:r>
      <w:proofErr w:type="spellStart"/>
      <w:r w:rsidRPr="004C33D1">
        <w:t>Infoshare</w:t>
      </w:r>
      <w:proofErr w:type="spellEnd"/>
      <w:r>
        <w:t xml:space="preserve"> and </w:t>
      </w:r>
      <w:proofErr w:type="spellStart"/>
      <w:r>
        <w:t>NZ.Stat</w:t>
      </w:r>
      <w:proofErr w:type="spellEnd"/>
      <w:r w:rsidRPr="004C33D1">
        <w:t>, Statistics NZ</w:t>
      </w:r>
    </w:p>
    <w:p w:rsidR="003D338E" w:rsidRDefault="003D338E" w:rsidP="003D338E">
      <w:r>
        <w:lastRenderedPageBreak/>
        <w:t>While not providing evidence of over-crowding, the numbers suggest that there is more likely to be over-crowding in locations with a high ratio of population growth to new consented dwelling. The numbers have some uncertainties: the population data are estimates rather than actual measurements and the consented dwellings are not actual builds. However, this could provide some suggestion of where problems might be emerging, to be confirmed periodically using census data (or direct surveys).</w:t>
      </w:r>
    </w:p>
    <w:p w:rsidR="002F6F0E" w:rsidRDefault="002F6F0E" w:rsidP="002F6F0E">
      <w:pPr>
        <w:pStyle w:val="Heading3"/>
      </w:pPr>
      <w:r>
        <w:t>Temporary Accommodation</w:t>
      </w:r>
    </w:p>
    <w:p w:rsidR="002F6F0E" w:rsidRDefault="002F6F0E" w:rsidP="002F6F0E">
      <w:r>
        <w:t xml:space="preserve">As with the crowding index, the number of people in temporary accommodation, such as motels, is an additional measure of housing shortages, particularly for </w:t>
      </w:r>
      <w:proofErr w:type="gramStart"/>
      <w:r>
        <w:t>low income</w:t>
      </w:r>
      <w:proofErr w:type="gramEnd"/>
      <w:r>
        <w:t xml:space="preserve"> households. These data are not available currently but </w:t>
      </w:r>
      <w:proofErr w:type="gramStart"/>
      <w:r>
        <w:t>are planned</w:t>
      </w:r>
      <w:proofErr w:type="gramEnd"/>
      <w:r>
        <w:t xml:space="preserve"> for inclusion </w:t>
      </w:r>
      <w:r w:rsidR="003D338E">
        <w:t xml:space="preserve">in </w:t>
      </w:r>
      <w:r>
        <w:t>the next census.</w:t>
      </w:r>
    </w:p>
    <w:p w:rsidR="00871370" w:rsidRDefault="00871370" w:rsidP="00871370">
      <w:pPr>
        <w:pStyle w:val="Heading2"/>
      </w:pPr>
      <w:bookmarkStart w:id="200" w:name="_Toc462413646"/>
      <w:bookmarkStart w:id="201" w:name="_Toc462582202"/>
      <w:r>
        <w:t>Suggested Indicators</w:t>
      </w:r>
      <w:bookmarkEnd w:id="200"/>
      <w:bookmarkEnd w:id="201"/>
    </w:p>
    <w:p w:rsidR="00871370" w:rsidRDefault="00871370" w:rsidP="00871370">
      <w:r>
        <w:t>The two indicators developed here are:</w:t>
      </w:r>
    </w:p>
    <w:p w:rsidR="00871370" w:rsidRDefault="001D3572" w:rsidP="006277DC">
      <w:pPr>
        <w:pStyle w:val="ListParagraph"/>
        <w:numPr>
          <w:ilvl w:val="0"/>
          <w:numId w:val="85"/>
        </w:numPr>
      </w:pPr>
      <w:r>
        <w:t>The ratio of ho</w:t>
      </w:r>
      <w:r w:rsidR="007D371A">
        <w:t>m</w:t>
      </w:r>
      <w:r>
        <w:t>e price to income; and</w:t>
      </w:r>
    </w:p>
    <w:p w:rsidR="001D3572" w:rsidRDefault="001D3572" w:rsidP="006277DC">
      <w:pPr>
        <w:pStyle w:val="ListParagraph"/>
        <w:numPr>
          <w:ilvl w:val="0"/>
          <w:numId w:val="85"/>
        </w:numPr>
      </w:pPr>
      <w:r>
        <w:t>The ratio of housing costs to income for ho</w:t>
      </w:r>
      <w:r w:rsidR="007D371A">
        <w:t>m</w:t>
      </w:r>
      <w:r>
        <w:t xml:space="preserve">e buyers/potential </w:t>
      </w:r>
      <w:proofErr w:type="gramStart"/>
      <w:r>
        <w:t>ho</w:t>
      </w:r>
      <w:r w:rsidR="007D371A">
        <w:t>m</w:t>
      </w:r>
      <w:r>
        <w:t>e buyers</w:t>
      </w:r>
      <w:proofErr w:type="gramEnd"/>
      <w:r>
        <w:t xml:space="preserve"> and renters.</w:t>
      </w:r>
    </w:p>
    <w:p w:rsidR="001D3572" w:rsidRDefault="001D3572" w:rsidP="001D3572"/>
    <w:p w:rsidR="001D3572" w:rsidRDefault="001D3572" w:rsidP="001D3572">
      <w:r>
        <w:t xml:space="preserve">These </w:t>
      </w:r>
      <w:proofErr w:type="gramStart"/>
      <w:r>
        <w:t>can be developed</w:t>
      </w:r>
      <w:proofErr w:type="gramEnd"/>
      <w:r>
        <w:t xml:space="preserve"> using data published by Statistics NZ but MBIE has access to better and more detailed data that it is compiling for the HAM. We suggest that the HAM </w:t>
      </w:r>
      <w:proofErr w:type="gramStart"/>
      <w:r>
        <w:t>is used</w:t>
      </w:r>
      <w:proofErr w:type="gramEnd"/>
      <w:r>
        <w:t xml:space="preserve"> as the basis for housing affordability indicators. </w:t>
      </w:r>
    </w:p>
    <w:p w:rsidR="001D3572" w:rsidRDefault="001D3572" w:rsidP="00871370"/>
    <w:p w:rsidR="001D3572" w:rsidRDefault="001D3572" w:rsidP="00871370"/>
    <w:p w:rsidR="00D83B52" w:rsidRPr="004C33D1" w:rsidRDefault="00D83B52" w:rsidP="006277DC">
      <w:pPr>
        <w:pStyle w:val="ListParagraph"/>
        <w:numPr>
          <w:ilvl w:val="0"/>
          <w:numId w:val="84"/>
        </w:numPr>
      </w:pPr>
      <w:r w:rsidRPr="004C33D1">
        <w:br w:type="page"/>
      </w:r>
    </w:p>
    <w:p w:rsidR="00D83B52" w:rsidRPr="004C33D1" w:rsidRDefault="00D83B52" w:rsidP="00D83B52">
      <w:pPr>
        <w:pStyle w:val="Heading1"/>
      </w:pPr>
      <w:bookmarkStart w:id="202" w:name="_Ref457978775"/>
      <w:bookmarkStart w:id="203" w:name="_Toc462413647"/>
      <w:bookmarkStart w:id="204" w:name="_Toc462582203"/>
      <w:r w:rsidRPr="004C33D1">
        <w:lastRenderedPageBreak/>
        <w:t>Implementation Requirements and Capabilities</w:t>
      </w:r>
      <w:bookmarkEnd w:id="202"/>
      <w:bookmarkEnd w:id="203"/>
      <w:bookmarkEnd w:id="204"/>
    </w:p>
    <w:p w:rsidR="00D05307" w:rsidRDefault="00D05307" w:rsidP="00220C7C">
      <w:pPr>
        <w:pStyle w:val="Heading2"/>
      </w:pPr>
      <w:bookmarkStart w:id="205" w:name="_Toc462413648"/>
      <w:bookmarkStart w:id="206" w:name="_Toc462582204"/>
      <w:r>
        <w:t>Data Requirements</w:t>
      </w:r>
      <w:bookmarkEnd w:id="205"/>
      <w:bookmarkEnd w:id="206"/>
    </w:p>
    <w:p w:rsidR="00243450" w:rsidRDefault="00243450" w:rsidP="00243450">
      <w:r>
        <w:fldChar w:fldCharType="begin"/>
      </w:r>
      <w:r>
        <w:instrText xml:space="preserve"> REF _Ref458428143 \h </w:instrText>
      </w:r>
      <w:r>
        <w:fldChar w:fldCharType="separate"/>
      </w:r>
      <w:r w:rsidR="004D1DDA">
        <w:t xml:space="preserve">Table </w:t>
      </w:r>
      <w:r w:rsidR="004D1DDA">
        <w:rPr>
          <w:noProof/>
        </w:rPr>
        <w:t>15</w:t>
      </w:r>
      <w:r>
        <w:fldChar w:fldCharType="end"/>
      </w:r>
      <w:r>
        <w:t xml:space="preserve"> summarises the data required to calculate each price indicator considered in this report, and describes sources and access arrangements. Data on prices for land, housing, a</w:t>
      </w:r>
      <w:r w:rsidR="007D1AB1">
        <w:t>nd business floorspace underpin</w:t>
      </w:r>
      <w:r>
        <w:t xml:space="preserve"> all of the recommended price signals. Th</w:t>
      </w:r>
      <w:r w:rsidR="007D1AB1">
        <w:t>ese data include</w:t>
      </w:r>
      <w:r>
        <w:t>:</w:t>
      </w:r>
    </w:p>
    <w:p w:rsidR="00243450" w:rsidRDefault="00725CB3" w:rsidP="006277DC">
      <w:pPr>
        <w:pStyle w:val="ListParagraph"/>
        <w:numPr>
          <w:ilvl w:val="0"/>
          <w:numId w:val="94"/>
        </w:numPr>
      </w:pPr>
      <w:r>
        <w:t xml:space="preserve">property </w:t>
      </w:r>
      <w:r w:rsidR="00243450">
        <w:t>valuations;</w:t>
      </w:r>
    </w:p>
    <w:p w:rsidR="00243450" w:rsidRDefault="00725CB3" w:rsidP="006277DC">
      <w:pPr>
        <w:pStyle w:val="ListParagraph"/>
        <w:numPr>
          <w:ilvl w:val="0"/>
          <w:numId w:val="94"/>
        </w:numPr>
      </w:pPr>
      <w:r>
        <w:t xml:space="preserve">property </w:t>
      </w:r>
      <w:r w:rsidR="00243450">
        <w:t>sales records; and</w:t>
      </w:r>
    </w:p>
    <w:p w:rsidR="00243450" w:rsidRDefault="00725CB3" w:rsidP="006277DC">
      <w:pPr>
        <w:pStyle w:val="ListParagraph"/>
        <w:numPr>
          <w:ilvl w:val="0"/>
          <w:numId w:val="94"/>
        </w:numPr>
      </w:pPr>
      <w:proofErr w:type="gramStart"/>
      <w:r>
        <w:t>rental</w:t>
      </w:r>
      <w:proofErr w:type="gramEnd"/>
      <w:r>
        <w:t xml:space="preserve"> </w:t>
      </w:r>
      <w:r w:rsidR="00243450">
        <w:t>property data.</w:t>
      </w:r>
    </w:p>
    <w:p w:rsidR="00243450" w:rsidRDefault="00243450" w:rsidP="00243450"/>
    <w:p w:rsidR="00243450" w:rsidRDefault="00243450" w:rsidP="00243450">
      <w:r>
        <w:t>The availability and ownership of th</w:t>
      </w:r>
      <w:r w:rsidR="007D1AB1">
        <w:t>e</w:t>
      </w:r>
      <w:r>
        <w:t xml:space="preserve"> data varies. In particular, individual councils will usually have access to property valuations from their district valuation roll. They may also have access to property sales records, which are an input into property valuations but which </w:t>
      </w:r>
      <w:proofErr w:type="gramStart"/>
      <w:r>
        <w:t>are often collected</w:t>
      </w:r>
      <w:proofErr w:type="gramEnd"/>
      <w:r>
        <w:t xml:space="preserve"> on councils’ behalf by CoreLogic/QVNZ. In addition, two private providers, CoreLogic/QVNZ and REINZ, maintain databases of property sales and, in </w:t>
      </w:r>
      <w:proofErr w:type="spellStart"/>
      <w:r>
        <w:t>CoreLogic’s</w:t>
      </w:r>
      <w:proofErr w:type="spellEnd"/>
      <w:r>
        <w:t xml:space="preserve"> case, property valuations.</w:t>
      </w:r>
    </w:p>
    <w:p w:rsidR="00243450" w:rsidRDefault="00243450" w:rsidP="00243450"/>
    <w:p w:rsidR="00243450" w:rsidRDefault="00243450" w:rsidP="00243450">
      <w:r>
        <w:t xml:space="preserve">Most of New Zealand’s urban areas include multiple district councils, or at any </w:t>
      </w:r>
      <w:proofErr w:type="gramStart"/>
      <w:r>
        <w:t>rate</w:t>
      </w:r>
      <w:proofErr w:type="gramEnd"/>
      <w:r>
        <w:t xml:space="preserve"> </w:t>
      </w:r>
      <w:r w:rsidR="007D1AB1">
        <w:t xml:space="preserve">they </w:t>
      </w:r>
      <w:r>
        <w:t xml:space="preserve">abut other council areas. </w:t>
      </w:r>
      <w:proofErr w:type="gramStart"/>
      <w:r>
        <w:t>As a consequence</w:t>
      </w:r>
      <w:proofErr w:type="gramEnd"/>
      <w:r>
        <w:t>, for purposes of analysis it may not be sufficient to have data from a single council area. Local or central government may seek to overcome this by:</w:t>
      </w:r>
    </w:p>
    <w:p w:rsidR="00243450" w:rsidRDefault="00725CB3" w:rsidP="006277DC">
      <w:pPr>
        <w:pStyle w:val="ListParagraph"/>
        <w:numPr>
          <w:ilvl w:val="0"/>
          <w:numId w:val="94"/>
        </w:numPr>
      </w:pPr>
      <w:r>
        <w:t xml:space="preserve">collaborating </w:t>
      </w:r>
      <w:r w:rsidR="00243450">
        <w:t>and sharing data between all councils in an urban area; or</w:t>
      </w:r>
    </w:p>
    <w:p w:rsidR="00243450" w:rsidRPr="004C33D1" w:rsidRDefault="00725CB3" w:rsidP="006277DC">
      <w:pPr>
        <w:pStyle w:val="ListParagraph"/>
        <w:numPr>
          <w:ilvl w:val="0"/>
          <w:numId w:val="94"/>
        </w:numPr>
      </w:pPr>
      <w:proofErr w:type="gramStart"/>
      <w:r>
        <w:t>purchasing</w:t>
      </w:r>
      <w:proofErr w:type="gramEnd"/>
      <w:r>
        <w:t xml:space="preserve"> </w:t>
      </w:r>
      <w:r w:rsidR="00243450">
        <w:t>consistent city-wide data from private providers.</w:t>
      </w:r>
    </w:p>
    <w:p w:rsidR="00243450" w:rsidRDefault="00243450" w:rsidP="00243450"/>
    <w:p w:rsidR="00243450" w:rsidRDefault="007D1AB1" w:rsidP="00243450">
      <w:r>
        <w:t>T</w:t>
      </w:r>
      <w:r w:rsidR="00243450">
        <w:t xml:space="preserve">o calculate housing affordability measures, data on incomes </w:t>
      </w:r>
      <w:r>
        <w:t>are</w:t>
      </w:r>
      <w:r w:rsidR="00243450">
        <w:t xml:space="preserve"> required in addition to data on property values. Th</w:t>
      </w:r>
      <w:r>
        <w:t>ese</w:t>
      </w:r>
      <w:r w:rsidR="00243450">
        <w:t xml:space="preserve"> data </w:t>
      </w:r>
      <w:r>
        <w:t>are</w:t>
      </w:r>
      <w:r w:rsidR="00243450">
        <w:t xml:space="preserve"> publicly available from Statistics New Zealand. </w:t>
      </w:r>
      <w:r w:rsidR="00725CB3">
        <w:t xml:space="preserve">The HAM project is likely to provide a comprehensive source of these data and indicators. </w:t>
      </w:r>
      <w:r>
        <w:t xml:space="preserve">To </w:t>
      </w:r>
      <w:r w:rsidR="00243450">
        <w:t xml:space="preserve">calculate and interpret indicators of efficient pricing, data on construction costs and land development costs </w:t>
      </w:r>
      <w:r>
        <w:t>are</w:t>
      </w:r>
      <w:r w:rsidR="00243450">
        <w:t xml:space="preserve"> required. Th</w:t>
      </w:r>
      <w:r>
        <w:t>ese</w:t>
      </w:r>
      <w:r w:rsidR="00243450">
        <w:t xml:space="preserve"> data </w:t>
      </w:r>
      <w:r>
        <w:t xml:space="preserve">are </w:t>
      </w:r>
      <w:r w:rsidR="00243450">
        <w:t>available from private providers, such as construction cost estimators, quantity surveying firms, or subdivision companies.</w:t>
      </w:r>
    </w:p>
    <w:p w:rsidR="00243450" w:rsidRPr="004C33D1" w:rsidRDefault="00243450" w:rsidP="00243450"/>
    <w:p w:rsidR="00243450" w:rsidRPr="004C33D1" w:rsidRDefault="00243450" w:rsidP="00243450"/>
    <w:p w:rsidR="00243450" w:rsidRPr="004C33D1" w:rsidRDefault="00243450" w:rsidP="00243450"/>
    <w:p w:rsidR="00243450" w:rsidRPr="004C33D1" w:rsidRDefault="00243450" w:rsidP="00243450">
      <w:pPr>
        <w:sectPr w:rsidR="00243450" w:rsidRPr="004C33D1" w:rsidSect="00E46CE7">
          <w:headerReference w:type="default" r:id="rId62"/>
          <w:footerReference w:type="default" r:id="rId63"/>
          <w:headerReference w:type="first" r:id="rId64"/>
          <w:footerReference w:type="first" r:id="rId65"/>
          <w:pgSz w:w="11907" w:h="16840" w:code="9"/>
          <w:pgMar w:top="1678" w:right="1701" w:bottom="1418" w:left="1985" w:header="720" w:footer="828" w:gutter="0"/>
          <w:pgNumType w:start="1"/>
          <w:cols w:space="720"/>
          <w:titlePg/>
          <w:docGrid w:linePitch="360"/>
        </w:sectPr>
      </w:pPr>
    </w:p>
    <w:p w:rsidR="00243450" w:rsidRPr="004C33D1" w:rsidRDefault="00243450" w:rsidP="00243450">
      <w:pPr>
        <w:rPr>
          <w:b/>
        </w:rPr>
      </w:pPr>
    </w:p>
    <w:p w:rsidR="00243450" w:rsidRPr="004C33D1" w:rsidRDefault="00243450" w:rsidP="0013238D">
      <w:pPr>
        <w:pStyle w:val="Caption"/>
        <w:rPr>
          <w:b/>
        </w:rPr>
      </w:pPr>
      <w:bookmarkStart w:id="207" w:name="_Ref458428143"/>
      <w:r>
        <w:t xml:space="preserve">Table </w:t>
      </w:r>
      <w:r>
        <w:fldChar w:fldCharType="begin"/>
      </w:r>
      <w:r>
        <w:instrText xml:space="preserve"> SEQ Table \* ARABIC </w:instrText>
      </w:r>
      <w:r>
        <w:fldChar w:fldCharType="separate"/>
      </w:r>
      <w:r w:rsidR="004D1DDA">
        <w:rPr>
          <w:noProof/>
        </w:rPr>
        <w:t>15</w:t>
      </w:r>
      <w:r>
        <w:fldChar w:fldCharType="end"/>
      </w:r>
      <w:bookmarkEnd w:id="207"/>
      <w:r>
        <w:t xml:space="preserve"> Data requirements by indicator</w:t>
      </w:r>
    </w:p>
    <w:tbl>
      <w:tblPr>
        <w:tblStyle w:val="CovecTables"/>
        <w:tblW w:w="4861" w:type="pct"/>
        <w:tblInd w:w="0" w:type="dxa"/>
        <w:tblCellMar>
          <w:left w:w="57" w:type="dxa"/>
          <w:right w:w="57" w:type="dxa"/>
        </w:tblCellMar>
        <w:tblLook w:val="04E0" w:firstRow="1" w:lastRow="1" w:firstColumn="1" w:lastColumn="0" w:noHBand="0" w:noVBand="1"/>
      </w:tblPr>
      <w:tblGrid>
        <w:gridCol w:w="1452"/>
        <w:gridCol w:w="1692"/>
        <w:gridCol w:w="2716"/>
        <w:gridCol w:w="4169"/>
        <w:gridCol w:w="3444"/>
      </w:tblGrid>
      <w:tr w:rsidR="00243450" w:rsidRPr="004C33D1" w:rsidTr="009637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9" w:type="pct"/>
            <w:tcBorders>
              <w:right w:val="single" w:sz="8" w:space="0" w:color="A6A6A6" w:themeColor="background1" w:themeShade="A6"/>
            </w:tcBorders>
          </w:tcPr>
          <w:p w:rsidR="00243450" w:rsidRPr="004C33D1" w:rsidRDefault="00243450" w:rsidP="006F545D">
            <w:pPr>
              <w:pStyle w:val="TableText"/>
            </w:pPr>
            <w:r w:rsidRPr="004C33D1">
              <w:t>Problem component</w:t>
            </w:r>
          </w:p>
        </w:tc>
        <w:tc>
          <w:tcPr>
            <w:tcW w:w="628" w:type="pct"/>
            <w:tcBorders>
              <w:left w:val="single" w:sz="8" w:space="0" w:color="A6A6A6" w:themeColor="background1" w:themeShade="A6"/>
              <w:right w:val="single" w:sz="8" w:space="0" w:color="A6A6A6" w:themeColor="background1" w:themeShade="A6"/>
            </w:tcBorders>
          </w:tcPr>
          <w:p w:rsidR="00243450" w:rsidRPr="004C33D1" w:rsidRDefault="00243450" w:rsidP="006F545D">
            <w:pPr>
              <w:pStyle w:val="TableText"/>
              <w:jc w:val="left"/>
              <w:cnfStyle w:val="100000000000" w:firstRow="1" w:lastRow="0" w:firstColumn="0" w:lastColumn="0" w:oddVBand="0" w:evenVBand="0" w:oddHBand="0" w:evenHBand="0" w:firstRowFirstColumn="0" w:firstRowLastColumn="0" w:lastRowFirstColumn="0" w:lastRowLastColumn="0"/>
            </w:pPr>
            <w:r w:rsidRPr="004C33D1">
              <w:t>Indicator</w:t>
            </w:r>
          </w:p>
        </w:tc>
        <w:tc>
          <w:tcPr>
            <w:tcW w:w="1008" w:type="pct"/>
            <w:tcBorders>
              <w:left w:val="single" w:sz="8" w:space="0" w:color="A6A6A6" w:themeColor="background1" w:themeShade="A6"/>
              <w:right w:val="single" w:sz="8" w:space="0" w:color="A6A6A6" w:themeColor="background1" w:themeShade="A6"/>
            </w:tcBorders>
          </w:tcPr>
          <w:p w:rsidR="00243450" w:rsidRPr="004C33D1" w:rsidRDefault="00243450" w:rsidP="006F545D">
            <w:pPr>
              <w:pStyle w:val="TableText"/>
              <w:jc w:val="left"/>
              <w:cnfStyle w:val="100000000000" w:firstRow="1" w:lastRow="0" w:firstColumn="0" w:lastColumn="0" w:oddVBand="0" w:evenVBand="0" w:oddHBand="0" w:evenHBand="0" w:firstRowFirstColumn="0" w:firstRowLastColumn="0" w:lastRowFirstColumn="0" w:lastRowLastColumn="0"/>
            </w:pPr>
            <w:r w:rsidRPr="004C33D1">
              <w:t xml:space="preserve">What data </w:t>
            </w:r>
            <w:proofErr w:type="gramStart"/>
            <w:r w:rsidRPr="004C33D1">
              <w:t>are needed</w:t>
            </w:r>
            <w:proofErr w:type="gramEnd"/>
            <w:r w:rsidRPr="004C33D1">
              <w:t>?</w:t>
            </w:r>
          </w:p>
        </w:tc>
        <w:tc>
          <w:tcPr>
            <w:tcW w:w="1547" w:type="pct"/>
            <w:tcBorders>
              <w:left w:val="single" w:sz="8" w:space="0" w:color="A6A6A6" w:themeColor="background1" w:themeShade="A6"/>
              <w:right w:val="single" w:sz="8" w:space="0" w:color="A6A6A6" w:themeColor="background1" w:themeShade="A6"/>
            </w:tcBorders>
          </w:tcPr>
          <w:p w:rsidR="00243450" w:rsidRPr="004C33D1" w:rsidRDefault="00243450" w:rsidP="006F545D">
            <w:pPr>
              <w:pStyle w:val="TableText"/>
              <w:jc w:val="left"/>
              <w:cnfStyle w:val="100000000000" w:firstRow="1" w:lastRow="0" w:firstColumn="0" w:lastColumn="0" w:oddVBand="0" w:evenVBand="0" w:oddHBand="0" w:evenHBand="0" w:firstRowFirstColumn="0" w:firstRowLastColumn="0" w:lastRowFirstColumn="0" w:lastRowLastColumn="0"/>
            </w:pPr>
            <w:r w:rsidRPr="004C33D1">
              <w:t xml:space="preserve">Where </w:t>
            </w:r>
            <w:proofErr w:type="gramStart"/>
            <w:r w:rsidRPr="004C33D1">
              <w:t>can it be retrieved</w:t>
            </w:r>
            <w:proofErr w:type="gramEnd"/>
            <w:r w:rsidRPr="004C33D1">
              <w:t xml:space="preserve">? </w:t>
            </w:r>
          </w:p>
        </w:tc>
        <w:tc>
          <w:tcPr>
            <w:tcW w:w="1278" w:type="pct"/>
            <w:tcBorders>
              <w:left w:val="single" w:sz="8" w:space="0" w:color="A6A6A6" w:themeColor="background1" w:themeShade="A6"/>
            </w:tcBorders>
          </w:tcPr>
          <w:p w:rsidR="00243450" w:rsidRPr="004C33D1" w:rsidRDefault="00243450" w:rsidP="006F545D">
            <w:pPr>
              <w:pStyle w:val="TableText"/>
              <w:jc w:val="left"/>
              <w:cnfStyle w:val="100000000000" w:firstRow="1" w:lastRow="0" w:firstColumn="0" w:lastColumn="0" w:oddVBand="0" w:evenVBand="0" w:oddHBand="0" w:evenHBand="0" w:firstRowFirstColumn="0" w:firstRowLastColumn="0" w:lastRowFirstColumn="0" w:lastRowLastColumn="0"/>
            </w:pPr>
            <w:r>
              <w:t>Availability</w:t>
            </w:r>
          </w:p>
        </w:tc>
      </w:tr>
      <w:tr w:rsidR="009D474D" w:rsidRPr="004C33D1" w:rsidTr="00963715">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539" w:type="pct"/>
            <w:tcBorders>
              <w:right w:val="single" w:sz="8" w:space="0" w:color="A6A6A6" w:themeColor="background1" w:themeShade="A6"/>
            </w:tcBorders>
            <w:vAlign w:val="top"/>
          </w:tcPr>
          <w:p w:rsidR="009D474D" w:rsidRPr="004C33D1" w:rsidRDefault="009D474D" w:rsidP="009D474D">
            <w:pPr>
              <w:pStyle w:val="TableText"/>
            </w:pPr>
            <w:r w:rsidRPr="004C33D1">
              <w:t>General market information</w:t>
            </w:r>
          </w:p>
        </w:tc>
        <w:tc>
          <w:tcPr>
            <w:tcW w:w="628" w:type="pct"/>
            <w:tcBorders>
              <w:top w:val="single" w:sz="8" w:space="0" w:color="A6A6A6" w:themeColor="background1" w:themeShade="A6"/>
              <w:left w:val="single" w:sz="8" w:space="0" w:color="A6A6A6" w:themeColor="background1" w:themeShade="A6"/>
              <w:bottom w:val="single" w:sz="6" w:space="0" w:color="A6A6A6" w:themeColor="background1" w:themeShade="A6"/>
              <w:right w:val="single" w:sz="8" w:space="0" w:color="A6A6A6" w:themeColor="background1" w:themeShade="A6"/>
            </w:tcBorders>
            <w:vAlign w:val="top"/>
          </w:tcPr>
          <w:p w:rsidR="009D474D" w:rsidRPr="004C33D1" w:rsidRDefault="009D474D" w:rsidP="00D0326C">
            <w:pPr>
              <w:pStyle w:val="TableText"/>
              <w:numPr>
                <w:ilvl w:val="0"/>
                <w:numId w:val="51"/>
              </w:numPr>
              <w:ind w:left="0" w:firstLine="0"/>
              <w:jc w:val="left"/>
              <w:cnfStyle w:val="000000000000" w:firstRow="0" w:lastRow="0" w:firstColumn="0" w:lastColumn="0" w:oddVBand="0" w:evenVBand="0" w:oddHBand="0" w:evenHBand="0" w:firstRowFirstColumn="0" w:firstRowLastColumn="0" w:lastRowFirstColumn="0" w:lastRowLastColumn="0"/>
            </w:pPr>
            <w:r w:rsidRPr="004C33D1">
              <w:t>Ho</w:t>
            </w:r>
            <w:r w:rsidR="007D371A">
              <w:t>m</w:t>
            </w:r>
            <w:r w:rsidRPr="004C33D1">
              <w:t>e price trends: Inflation-adjusted median ho</w:t>
            </w:r>
            <w:r w:rsidR="007B2A41">
              <w:t>m</w:t>
            </w:r>
            <w:r w:rsidRPr="004C33D1">
              <w:t>e prices</w:t>
            </w:r>
          </w:p>
        </w:tc>
        <w:tc>
          <w:tcPr>
            <w:tcW w:w="1008" w:type="pct"/>
            <w:tcBorders>
              <w:top w:val="single" w:sz="8" w:space="0" w:color="A6A6A6" w:themeColor="background1" w:themeShade="A6"/>
              <w:left w:val="single" w:sz="8" w:space="0" w:color="A6A6A6" w:themeColor="background1" w:themeShade="A6"/>
              <w:bottom w:val="single" w:sz="6" w:space="0" w:color="A6A6A6" w:themeColor="background1" w:themeShade="A6"/>
              <w:right w:val="single" w:sz="8" w:space="0" w:color="A6A6A6" w:themeColor="background1" w:themeShade="A6"/>
            </w:tcBorders>
            <w:vAlign w:val="top"/>
          </w:tcPr>
          <w:p w:rsidR="009D474D" w:rsidRPr="004C33D1" w:rsidRDefault="009D474D" w:rsidP="006277DC">
            <w:pPr>
              <w:pStyle w:val="TableText"/>
              <w:numPr>
                <w:ilvl w:val="0"/>
                <w:numId w:val="71"/>
              </w:numPr>
              <w:ind w:left="210" w:hanging="210"/>
              <w:jc w:val="left"/>
              <w:cnfStyle w:val="000000000000" w:firstRow="0" w:lastRow="0" w:firstColumn="0" w:lastColumn="0" w:oddVBand="0" w:evenVBand="0" w:oddHBand="0" w:evenHBand="0" w:firstRowFirstColumn="0" w:firstRowLastColumn="0" w:lastRowFirstColumn="0" w:lastRowLastColumn="0"/>
            </w:pPr>
            <w:r w:rsidRPr="004C33D1">
              <w:t>Annual median ho</w:t>
            </w:r>
            <w:r w:rsidR="007D371A">
              <w:t>m</w:t>
            </w:r>
            <w:r w:rsidRPr="004C33D1">
              <w:t xml:space="preserve">e price by </w:t>
            </w:r>
            <w:r>
              <w:t>TA</w:t>
            </w:r>
          </w:p>
          <w:p w:rsidR="009D474D" w:rsidRPr="004C33D1" w:rsidRDefault="009D474D" w:rsidP="003202E3">
            <w:pPr>
              <w:pStyle w:val="TableText"/>
              <w:numPr>
                <w:ilvl w:val="0"/>
                <w:numId w:val="71"/>
              </w:numPr>
              <w:ind w:left="210" w:hanging="210"/>
              <w:jc w:val="left"/>
              <w:cnfStyle w:val="000000000000" w:firstRow="0" w:lastRow="0" w:firstColumn="0" w:lastColumn="0" w:oddVBand="0" w:evenVBand="0" w:oddHBand="0" w:evenHBand="0" w:firstRowFirstColumn="0" w:firstRowLastColumn="0" w:lastRowFirstColumn="0" w:lastRowLastColumn="0"/>
            </w:pPr>
            <w:r w:rsidRPr="004C33D1">
              <w:t xml:space="preserve">CPI values for Q2 </w:t>
            </w:r>
            <w:r w:rsidR="003202E3">
              <w:t>each year</w:t>
            </w:r>
          </w:p>
        </w:tc>
        <w:tc>
          <w:tcPr>
            <w:tcW w:w="1547" w:type="pct"/>
            <w:tcBorders>
              <w:top w:val="single" w:sz="8" w:space="0" w:color="A6A6A6" w:themeColor="background1" w:themeShade="A6"/>
              <w:left w:val="single" w:sz="8" w:space="0" w:color="A6A6A6" w:themeColor="background1" w:themeShade="A6"/>
              <w:bottom w:val="single" w:sz="6" w:space="0" w:color="A6A6A6" w:themeColor="background1" w:themeShade="A6"/>
              <w:right w:val="single" w:sz="8" w:space="0" w:color="A6A6A6" w:themeColor="background1" w:themeShade="A6"/>
            </w:tcBorders>
            <w:vAlign w:val="top"/>
          </w:tcPr>
          <w:p w:rsidR="009D474D" w:rsidRDefault="009D474D" w:rsidP="00D0326C">
            <w:pPr>
              <w:pStyle w:val="TableText"/>
              <w:jc w:val="left"/>
              <w:cnfStyle w:val="000000000000" w:firstRow="0" w:lastRow="0" w:firstColumn="0" w:lastColumn="0" w:oddVBand="0" w:evenVBand="0" w:oddHBand="0" w:evenHBand="0" w:firstRowFirstColumn="0" w:firstRowLastColumn="0" w:lastRowFirstColumn="0" w:lastRowLastColumn="0"/>
            </w:pPr>
            <w:r>
              <w:t>Ho</w:t>
            </w:r>
            <w:r w:rsidR="007D371A">
              <w:t>m</w:t>
            </w:r>
            <w:r>
              <w:t xml:space="preserve">e prices: </w:t>
            </w:r>
            <w:r w:rsidRPr="004C33D1">
              <w:t>QVNZ</w:t>
            </w:r>
            <w:r>
              <w:t xml:space="preserve"> or REINZ, or TLAs if they collect data themselves</w:t>
            </w:r>
          </w:p>
          <w:p w:rsidR="009D474D" w:rsidRDefault="009D474D" w:rsidP="00D0326C">
            <w:pPr>
              <w:pStyle w:val="TableText"/>
              <w:jc w:val="left"/>
              <w:cnfStyle w:val="000000000000" w:firstRow="0" w:lastRow="0" w:firstColumn="0" w:lastColumn="0" w:oddVBand="0" w:evenVBand="0" w:oddHBand="0" w:evenHBand="0" w:firstRowFirstColumn="0" w:firstRowLastColumn="0" w:lastRowFirstColumn="0" w:lastRowLastColumn="0"/>
            </w:pPr>
            <w:r w:rsidRPr="004C33D1">
              <w:t>CPI</w:t>
            </w:r>
            <w:r>
              <w:t>: Statistics NZ (or RBNZ)</w:t>
            </w:r>
          </w:p>
        </w:tc>
        <w:tc>
          <w:tcPr>
            <w:tcW w:w="1278" w:type="pct"/>
            <w:tcBorders>
              <w:top w:val="single" w:sz="8" w:space="0" w:color="A6A6A6" w:themeColor="background1" w:themeShade="A6"/>
              <w:left w:val="single" w:sz="8" w:space="0" w:color="A6A6A6" w:themeColor="background1" w:themeShade="A6"/>
              <w:bottom w:val="single" w:sz="6" w:space="0" w:color="A6A6A6" w:themeColor="background1" w:themeShade="A6"/>
            </w:tcBorders>
            <w:vAlign w:val="top"/>
          </w:tcPr>
          <w:p w:rsidR="009D474D" w:rsidRDefault="009D474D" w:rsidP="00D0326C">
            <w:pPr>
              <w:pStyle w:val="TableText"/>
              <w:jc w:val="left"/>
              <w:cnfStyle w:val="000000000000" w:firstRow="0" w:lastRow="0" w:firstColumn="0" w:lastColumn="0" w:oddVBand="0" w:evenVBand="0" w:oddHBand="0" w:evenHBand="0" w:firstRowFirstColumn="0" w:firstRowLastColumn="0" w:lastRowFirstColumn="0" w:lastRowLastColumn="0"/>
            </w:pPr>
            <w:r>
              <w:t>Ho</w:t>
            </w:r>
            <w:r w:rsidR="007D371A">
              <w:t>m</w:t>
            </w:r>
            <w:r>
              <w:t>e price data: purchased from private providers</w:t>
            </w:r>
          </w:p>
          <w:p w:rsidR="009D474D" w:rsidRDefault="009D474D" w:rsidP="00D0326C">
            <w:pPr>
              <w:pStyle w:val="TableText"/>
              <w:jc w:val="left"/>
              <w:cnfStyle w:val="000000000000" w:firstRow="0" w:lastRow="0" w:firstColumn="0" w:lastColumn="0" w:oddVBand="0" w:evenVBand="0" w:oddHBand="0" w:evenHBand="0" w:firstRowFirstColumn="0" w:firstRowLastColumn="0" w:lastRowFirstColumn="0" w:lastRowLastColumn="0"/>
            </w:pPr>
            <w:r>
              <w:t>CPI: public, free</w:t>
            </w:r>
          </w:p>
        </w:tc>
      </w:tr>
      <w:tr w:rsidR="009D474D" w:rsidRPr="004C33D1" w:rsidTr="00963715">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539" w:type="pct"/>
            <w:tcBorders>
              <w:right w:val="single" w:sz="8" w:space="0" w:color="A6A6A6" w:themeColor="background1" w:themeShade="A6"/>
            </w:tcBorders>
            <w:vAlign w:val="top"/>
          </w:tcPr>
          <w:p w:rsidR="009D474D" w:rsidRPr="004C33D1" w:rsidRDefault="009D474D" w:rsidP="009D474D">
            <w:pPr>
              <w:pStyle w:val="TableText"/>
            </w:pPr>
          </w:p>
        </w:tc>
        <w:tc>
          <w:tcPr>
            <w:tcW w:w="628" w:type="pct"/>
            <w:tcBorders>
              <w:top w:val="single" w:sz="6" w:space="0" w:color="A6A6A6" w:themeColor="background1" w:themeShade="A6"/>
              <w:left w:val="single" w:sz="8" w:space="0" w:color="A6A6A6" w:themeColor="background1" w:themeShade="A6"/>
              <w:bottom w:val="single" w:sz="6" w:space="0" w:color="A6A6A6" w:themeColor="background1" w:themeShade="A6"/>
              <w:right w:val="single" w:sz="8" w:space="0" w:color="A6A6A6" w:themeColor="background1" w:themeShade="A6"/>
            </w:tcBorders>
            <w:vAlign w:val="top"/>
          </w:tcPr>
          <w:p w:rsidR="009D474D" w:rsidRPr="004C33D1" w:rsidRDefault="001F75A4" w:rsidP="00D0326C">
            <w:pPr>
              <w:pStyle w:val="TableText"/>
              <w:numPr>
                <w:ilvl w:val="0"/>
                <w:numId w:val="51"/>
              </w:numPr>
              <w:ind w:left="0" w:firstLine="0"/>
              <w:jc w:val="left"/>
              <w:cnfStyle w:val="000000000000" w:firstRow="0" w:lastRow="0" w:firstColumn="0" w:lastColumn="0" w:oddVBand="0" w:evenVBand="0" w:oddHBand="0" w:evenHBand="0" w:firstRowFirstColumn="0" w:firstRowLastColumn="0" w:lastRowFirstColumn="0" w:lastRowLastColumn="0"/>
            </w:pPr>
            <w:r>
              <w:t>Changes in land values by suburb</w:t>
            </w:r>
          </w:p>
        </w:tc>
        <w:tc>
          <w:tcPr>
            <w:tcW w:w="1008" w:type="pct"/>
            <w:tcBorders>
              <w:top w:val="single" w:sz="6" w:space="0" w:color="A6A6A6" w:themeColor="background1" w:themeShade="A6"/>
              <w:left w:val="single" w:sz="8" w:space="0" w:color="A6A6A6" w:themeColor="background1" w:themeShade="A6"/>
              <w:bottom w:val="single" w:sz="6" w:space="0" w:color="A6A6A6" w:themeColor="background1" w:themeShade="A6"/>
              <w:right w:val="single" w:sz="8" w:space="0" w:color="A6A6A6" w:themeColor="background1" w:themeShade="A6"/>
            </w:tcBorders>
            <w:vAlign w:val="top"/>
          </w:tcPr>
          <w:p w:rsidR="009D474D" w:rsidRPr="004C33D1" w:rsidRDefault="0013238D" w:rsidP="006277DC">
            <w:pPr>
              <w:pStyle w:val="TableText"/>
              <w:numPr>
                <w:ilvl w:val="0"/>
                <w:numId w:val="71"/>
              </w:numPr>
              <w:ind w:left="210" w:hanging="210"/>
              <w:jc w:val="left"/>
              <w:cnfStyle w:val="000000000000" w:firstRow="0" w:lastRow="0" w:firstColumn="0" w:lastColumn="0" w:oddVBand="0" w:evenVBand="0" w:oddHBand="0" w:evenHBand="0" w:firstRowFirstColumn="0" w:firstRowLastColumn="0" w:lastRowFirstColumn="0" w:lastRowLastColumn="0"/>
            </w:pPr>
            <w:r>
              <w:t>Land values ($/m</w:t>
            </w:r>
            <w:r w:rsidRPr="0013238D">
              <w:rPr>
                <w:vertAlign w:val="superscript"/>
              </w:rPr>
              <w:t>2</w:t>
            </w:r>
            <w:r>
              <w:t>) by location</w:t>
            </w:r>
          </w:p>
        </w:tc>
        <w:tc>
          <w:tcPr>
            <w:tcW w:w="1547" w:type="pct"/>
            <w:tcBorders>
              <w:top w:val="single" w:sz="6" w:space="0" w:color="A6A6A6" w:themeColor="background1" w:themeShade="A6"/>
              <w:left w:val="single" w:sz="8" w:space="0" w:color="A6A6A6" w:themeColor="background1" w:themeShade="A6"/>
              <w:bottom w:val="single" w:sz="6" w:space="0" w:color="A6A6A6" w:themeColor="background1" w:themeShade="A6"/>
              <w:right w:val="single" w:sz="8" w:space="0" w:color="A6A6A6" w:themeColor="background1" w:themeShade="A6"/>
            </w:tcBorders>
            <w:vAlign w:val="top"/>
          </w:tcPr>
          <w:p w:rsidR="009D474D" w:rsidRDefault="0013238D" w:rsidP="00D0326C">
            <w:pPr>
              <w:pStyle w:val="TableText"/>
              <w:jc w:val="left"/>
              <w:cnfStyle w:val="000000000000" w:firstRow="0" w:lastRow="0" w:firstColumn="0" w:lastColumn="0" w:oddVBand="0" w:evenVBand="0" w:oddHBand="0" w:evenHBand="0" w:firstRowFirstColumn="0" w:firstRowLastColumn="0" w:lastRowFirstColumn="0" w:lastRowLastColumn="0"/>
            </w:pPr>
            <w:r w:rsidRPr="004C33D1">
              <w:t>QVNZ</w:t>
            </w:r>
            <w:r>
              <w:t>, or TLAs if they collect data themselves</w:t>
            </w:r>
          </w:p>
        </w:tc>
        <w:tc>
          <w:tcPr>
            <w:tcW w:w="1278" w:type="pct"/>
            <w:tcBorders>
              <w:top w:val="single" w:sz="6" w:space="0" w:color="A6A6A6" w:themeColor="background1" w:themeShade="A6"/>
              <w:left w:val="single" w:sz="8" w:space="0" w:color="A6A6A6" w:themeColor="background1" w:themeShade="A6"/>
              <w:bottom w:val="single" w:sz="6" w:space="0" w:color="A6A6A6" w:themeColor="background1" w:themeShade="A6"/>
            </w:tcBorders>
            <w:vAlign w:val="top"/>
          </w:tcPr>
          <w:p w:rsidR="009D474D" w:rsidRDefault="0013238D" w:rsidP="00D0326C">
            <w:pPr>
              <w:pStyle w:val="TableText"/>
              <w:jc w:val="left"/>
              <w:cnfStyle w:val="000000000000" w:firstRow="0" w:lastRow="0" w:firstColumn="0" w:lastColumn="0" w:oddVBand="0" w:evenVBand="0" w:oddHBand="0" w:evenHBand="0" w:firstRowFirstColumn="0" w:firstRowLastColumn="0" w:lastRowFirstColumn="0" w:lastRowLastColumn="0"/>
            </w:pPr>
            <w:r>
              <w:t>Valuation</w:t>
            </w:r>
            <w:r w:rsidRPr="0045134F">
              <w:t xml:space="preserve"> data: purchased from private providers</w:t>
            </w:r>
          </w:p>
        </w:tc>
      </w:tr>
      <w:tr w:rsidR="009D474D" w:rsidRPr="004C33D1" w:rsidTr="00963715">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539" w:type="pct"/>
            <w:tcBorders>
              <w:right w:val="single" w:sz="8" w:space="0" w:color="A6A6A6" w:themeColor="background1" w:themeShade="A6"/>
            </w:tcBorders>
            <w:vAlign w:val="top"/>
          </w:tcPr>
          <w:p w:rsidR="009D474D" w:rsidRPr="004C33D1" w:rsidRDefault="009D474D" w:rsidP="009D474D">
            <w:pPr>
              <w:pStyle w:val="TableText"/>
            </w:pPr>
          </w:p>
        </w:tc>
        <w:tc>
          <w:tcPr>
            <w:tcW w:w="628" w:type="pct"/>
            <w:tcBorders>
              <w:top w:val="single" w:sz="6" w:space="0" w:color="A6A6A6" w:themeColor="background1" w:themeShade="A6"/>
              <w:left w:val="single" w:sz="8" w:space="0" w:color="A6A6A6" w:themeColor="background1" w:themeShade="A6"/>
              <w:bottom w:val="single" w:sz="6" w:space="0" w:color="A6A6A6" w:themeColor="background1" w:themeShade="A6"/>
              <w:right w:val="single" w:sz="8" w:space="0" w:color="A6A6A6" w:themeColor="background1" w:themeShade="A6"/>
            </w:tcBorders>
            <w:vAlign w:val="top"/>
          </w:tcPr>
          <w:p w:rsidR="009D474D" w:rsidRPr="004C33D1" w:rsidRDefault="009D474D" w:rsidP="00D0326C">
            <w:pPr>
              <w:pStyle w:val="TableText"/>
              <w:numPr>
                <w:ilvl w:val="0"/>
                <w:numId w:val="51"/>
              </w:numPr>
              <w:ind w:left="0" w:firstLine="0"/>
              <w:jc w:val="left"/>
              <w:cnfStyle w:val="000000000000" w:firstRow="0" w:lastRow="0" w:firstColumn="0" w:lastColumn="0" w:oddVBand="0" w:evenVBand="0" w:oddHBand="0" w:evenHBand="0" w:firstRowFirstColumn="0" w:firstRowLastColumn="0" w:lastRowFirstColumn="0" w:lastRowLastColumn="0"/>
            </w:pPr>
            <w:r w:rsidRPr="004C33D1">
              <w:t>Trends in rents: Inflation-adjusted mean rent values</w:t>
            </w:r>
          </w:p>
        </w:tc>
        <w:tc>
          <w:tcPr>
            <w:tcW w:w="1008" w:type="pct"/>
            <w:tcBorders>
              <w:top w:val="single" w:sz="6" w:space="0" w:color="A6A6A6" w:themeColor="background1" w:themeShade="A6"/>
              <w:left w:val="single" w:sz="8" w:space="0" w:color="A6A6A6" w:themeColor="background1" w:themeShade="A6"/>
              <w:bottom w:val="single" w:sz="6" w:space="0" w:color="A6A6A6" w:themeColor="background1" w:themeShade="A6"/>
              <w:right w:val="single" w:sz="8" w:space="0" w:color="A6A6A6" w:themeColor="background1" w:themeShade="A6"/>
            </w:tcBorders>
            <w:vAlign w:val="top"/>
          </w:tcPr>
          <w:p w:rsidR="009D474D" w:rsidRPr="004C33D1" w:rsidRDefault="009D474D" w:rsidP="006277DC">
            <w:pPr>
              <w:pStyle w:val="TableText"/>
              <w:numPr>
                <w:ilvl w:val="0"/>
                <w:numId w:val="71"/>
              </w:numPr>
              <w:ind w:left="210" w:hanging="210"/>
              <w:jc w:val="left"/>
              <w:cnfStyle w:val="000000000000" w:firstRow="0" w:lastRow="0" w:firstColumn="0" w:lastColumn="0" w:oddVBand="0" w:evenVBand="0" w:oddHBand="0" w:evenHBand="0" w:firstRowFirstColumn="0" w:firstRowLastColumn="0" w:lastRowFirstColumn="0" w:lastRowLastColumn="0"/>
            </w:pPr>
            <w:r w:rsidRPr="004C33D1">
              <w:t xml:space="preserve">Mean weekly rent prices by </w:t>
            </w:r>
            <w:r>
              <w:t>TA</w:t>
            </w:r>
            <w:r w:rsidRPr="004C33D1">
              <w:t xml:space="preserve"> </w:t>
            </w:r>
          </w:p>
          <w:p w:rsidR="009D474D" w:rsidRPr="004C33D1" w:rsidRDefault="009D474D" w:rsidP="006277DC">
            <w:pPr>
              <w:pStyle w:val="TableText"/>
              <w:numPr>
                <w:ilvl w:val="0"/>
                <w:numId w:val="71"/>
              </w:numPr>
              <w:ind w:left="210" w:hanging="210"/>
              <w:jc w:val="left"/>
              <w:cnfStyle w:val="000000000000" w:firstRow="0" w:lastRow="0" w:firstColumn="0" w:lastColumn="0" w:oddVBand="0" w:evenVBand="0" w:oddHBand="0" w:evenHBand="0" w:firstRowFirstColumn="0" w:firstRowLastColumn="0" w:lastRowFirstColumn="0" w:lastRowLastColumn="0"/>
            </w:pPr>
            <w:r w:rsidRPr="004C33D1">
              <w:t>CPI</w:t>
            </w:r>
          </w:p>
        </w:tc>
        <w:tc>
          <w:tcPr>
            <w:tcW w:w="1547" w:type="pct"/>
            <w:tcBorders>
              <w:top w:val="single" w:sz="6" w:space="0" w:color="A6A6A6" w:themeColor="background1" w:themeShade="A6"/>
              <w:left w:val="single" w:sz="8" w:space="0" w:color="A6A6A6" w:themeColor="background1" w:themeShade="A6"/>
              <w:bottom w:val="single" w:sz="6" w:space="0" w:color="A6A6A6" w:themeColor="background1" w:themeShade="A6"/>
              <w:right w:val="single" w:sz="8" w:space="0" w:color="A6A6A6" w:themeColor="background1" w:themeShade="A6"/>
            </w:tcBorders>
            <w:vAlign w:val="top"/>
          </w:tcPr>
          <w:p w:rsidR="009D474D" w:rsidRDefault="009D474D" w:rsidP="00D0326C">
            <w:pPr>
              <w:pStyle w:val="TableText"/>
              <w:jc w:val="left"/>
              <w:cnfStyle w:val="000000000000" w:firstRow="0" w:lastRow="0" w:firstColumn="0" w:lastColumn="0" w:oddVBand="0" w:evenVBand="0" w:oddHBand="0" w:evenHBand="0" w:firstRowFirstColumn="0" w:firstRowLastColumn="0" w:lastRowFirstColumn="0" w:lastRowLastColumn="0"/>
            </w:pPr>
            <w:r>
              <w:t xml:space="preserve">Rents: MBIE </w:t>
            </w:r>
          </w:p>
          <w:p w:rsidR="009D474D" w:rsidRDefault="009D474D" w:rsidP="00D0326C">
            <w:pPr>
              <w:pStyle w:val="TableText"/>
              <w:jc w:val="left"/>
              <w:cnfStyle w:val="000000000000" w:firstRow="0" w:lastRow="0" w:firstColumn="0" w:lastColumn="0" w:oddVBand="0" w:evenVBand="0" w:oddHBand="0" w:evenHBand="0" w:firstRowFirstColumn="0" w:firstRowLastColumn="0" w:lastRowFirstColumn="0" w:lastRowLastColumn="0"/>
            </w:pPr>
            <w:r w:rsidRPr="004C33D1">
              <w:t>CPI</w:t>
            </w:r>
            <w:r>
              <w:t>: Statistics NZ (or RBNZ)</w:t>
            </w:r>
          </w:p>
        </w:tc>
        <w:tc>
          <w:tcPr>
            <w:tcW w:w="1278" w:type="pct"/>
            <w:tcBorders>
              <w:top w:val="single" w:sz="6" w:space="0" w:color="A6A6A6" w:themeColor="background1" w:themeShade="A6"/>
              <w:left w:val="single" w:sz="8" w:space="0" w:color="A6A6A6" w:themeColor="background1" w:themeShade="A6"/>
              <w:bottom w:val="single" w:sz="6" w:space="0" w:color="A6A6A6" w:themeColor="background1" w:themeShade="A6"/>
            </w:tcBorders>
            <w:vAlign w:val="top"/>
          </w:tcPr>
          <w:p w:rsidR="009D474D" w:rsidRDefault="009D474D" w:rsidP="00D0326C">
            <w:pPr>
              <w:pStyle w:val="TableText"/>
              <w:jc w:val="left"/>
              <w:cnfStyle w:val="000000000000" w:firstRow="0" w:lastRow="0" w:firstColumn="0" w:lastColumn="0" w:oddVBand="0" w:evenVBand="0" w:oddHBand="0" w:evenHBand="0" w:firstRowFirstColumn="0" w:firstRowLastColumn="0" w:lastRowFirstColumn="0" w:lastRowLastColumn="0"/>
            </w:pPr>
            <w:r>
              <w:t>Rents: MBIE</w:t>
            </w:r>
            <w:r>
              <w:rPr>
                <w:rStyle w:val="FootnoteReference"/>
              </w:rPr>
              <w:footnoteReference w:id="118"/>
            </w:r>
            <w:r>
              <w:t xml:space="preserve"> </w:t>
            </w:r>
          </w:p>
          <w:p w:rsidR="009D474D" w:rsidRDefault="009D474D" w:rsidP="00D0326C">
            <w:pPr>
              <w:pStyle w:val="TableText"/>
              <w:jc w:val="left"/>
              <w:cnfStyle w:val="000000000000" w:firstRow="0" w:lastRow="0" w:firstColumn="0" w:lastColumn="0" w:oddVBand="0" w:evenVBand="0" w:oddHBand="0" w:evenHBand="0" w:firstRowFirstColumn="0" w:firstRowLastColumn="0" w:lastRowFirstColumn="0" w:lastRowLastColumn="0"/>
            </w:pPr>
            <w:r>
              <w:t>CPI: public, free</w:t>
            </w:r>
          </w:p>
        </w:tc>
      </w:tr>
      <w:tr w:rsidR="00243450" w:rsidRPr="004C33D1" w:rsidTr="00963715">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539" w:type="pct"/>
            <w:tcBorders>
              <w:top w:val="single" w:sz="8" w:space="0" w:color="A6A6A6" w:themeColor="background1" w:themeShade="A6"/>
              <w:right w:val="single" w:sz="8" w:space="0" w:color="A6A6A6" w:themeColor="background1" w:themeShade="A6"/>
            </w:tcBorders>
            <w:shd w:val="clear" w:color="auto" w:fill="auto"/>
            <w:vAlign w:val="top"/>
          </w:tcPr>
          <w:p w:rsidR="00243450" w:rsidRPr="004C33D1" w:rsidRDefault="00DA1197" w:rsidP="006F545D">
            <w:pPr>
              <w:pStyle w:val="TableText"/>
            </w:pPr>
            <w:r>
              <w:t>Demand, supply and s</w:t>
            </w:r>
            <w:r w:rsidR="00243450" w:rsidRPr="004C33D1">
              <w:t>upply-demand balance</w:t>
            </w:r>
          </w:p>
        </w:tc>
        <w:tc>
          <w:tcPr>
            <w:tcW w:w="628"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243450" w:rsidRPr="004C33D1" w:rsidRDefault="00243450" w:rsidP="006F545D">
            <w:pPr>
              <w:pStyle w:val="TableText"/>
              <w:numPr>
                <w:ilvl w:val="0"/>
                <w:numId w:val="51"/>
              </w:numPr>
              <w:ind w:left="0" w:firstLine="0"/>
              <w:jc w:val="left"/>
              <w:cnfStyle w:val="000000000000" w:firstRow="0" w:lastRow="0" w:firstColumn="0" w:lastColumn="0" w:oddVBand="0" w:evenVBand="0" w:oddHBand="0" w:evenHBand="0" w:firstRowFirstColumn="0" w:firstRowLastColumn="0" w:lastRowFirstColumn="0" w:lastRowLastColumn="0"/>
            </w:pPr>
            <w:r w:rsidRPr="004C33D1">
              <w:t>Population growth to building consents</w:t>
            </w:r>
          </w:p>
        </w:tc>
        <w:tc>
          <w:tcPr>
            <w:tcW w:w="1008"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243450" w:rsidRPr="004C33D1" w:rsidRDefault="00243450" w:rsidP="006277DC">
            <w:pPr>
              <w:pStyle w:val="TableText"/>
              <w:numPr>
                <w:ilvl w:val="0"/>
                <w:numId w:val="71"/>
              </w:numPr>
              <w:ind w:left="210" w:hanging="210"/>
              <w:jc w:val="left"/>
              <w:cnfStyle w:val="000000000000" w:firstRow="0" w:lastRow="0" w:firstColumn="0" w:lastColumn="0" w:oddVBand="0" w:evenVBand="0" w:oddHBand="0" w:evenHBand="0" w:firstRowFirstColumn="0" w:firstRowLastColumn="0" w:lastRowFirstColumn="0" w:lastRowLastColumn="0"/>
            </w:pPr>
            <w:r>
              <w:t>B</w:t>
            </w:r>
            <w:r w:rsidRPr="004C33D1">
              <w:t>uilding consents for new dwel</w:t>
            </w:r>
            <w:r>
              <w:t>lings by territorial authority</w:t>
            </w:r>
          </w:p>
          <w:p w:rsidR="00243450" w:rsidRPr="004C33D1" w:rsidRDefault="00243450" w:rsidP="006277DC">
            <w:pPr>
              <w:pStyle w:val="TableText"/>
              <w:numPr>
                <w:ilvl w:val="0"/>
                <w:numId w:val="71"/>
              </w:numPr>
              <w:ind w:left="210" w:hanging="210"/>
              <w:jc w:val="left"/>
              <w:cnfStyle w:val="000000000000" w:firstRow="0" w:lastRow="0" w:firstColumn="0" w:lastColumn="0" w:oddVBand="0" w:evenVBand="0" w:oddHBand="0" w:evenHBand="0" w:firstRowFirstColumn="0" w:firstRowLastColumn="0" w:lastRowFirstColumn="0" w:lastRowLastColumn="0"/>
            </w:pPr>
            <w:r w:rsidRPr="004C33D1">
              <w:t>Annual population esti</w:t>
            </w:r>
            <w:r>
              <w:t>mates by territorial authority (TA)</w:t>
            </w:r>
          </w:p>
        </w:tc>
        <w:tc>
          <w:tcPr>
            <w:tcW w:w="1547"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243450" w:rsidRPr="004C33D1" w:rsidRDefault="00243450" w:rsidP="006F545D">
            <w:pPr>
              <w:pStyle w:val="TableText"/>
              <w:jc w:val="left"/>
              <w:cnfStyle w:val="000000000000" w:firstRow="0" w:lastRow="0" w:firstColumn="0" w:lastColumn="0" w:oddVBand="0" w:evenVBand="0" w:oddHBand="0" w:evenHBand="0" w:firstRowFirstColumn="0" w:firstRowLastColumn="0" w:lastRowFirstColumn="0" w:lastRowLastColumn="0"/>
            </w:pPr>
            <w:proofErr w:type="gramStart"/>
            <w:r w:rsidRPr="004C33D1">
              <w:t xml:space="preserve">Statistics NZ </w:t>
            </w:r>
            <w:proofErr w:type="spellStart"/>
            <w:r w:rsidRPr="004C33D1">
              <w:t>Infoshare</w:t>
            </w:r>
            <w:proofErr w:type="spellEnd"/>
            <w:r w:rsidRPr="004C33D1">
              <w:t>.</w:t>
            </w:r>
            <w:proofErr w:type="gramEnd"/>
          </w:p>
        </w:tc>
        <w:tc>
          <w:tcPr>
            <w:tcW w:w="1278" w:type="pct"/>
            <w:tcBorders>
              <w:top w:val="single" w:sz="8" w:space="0" w:color="A6A6A6" w:themeColor="background1" w:themeShade="A6"/>
              <w:left w:val="single" w:sz="8" w:space="0" w:color="A6A6A6" w:themeColor="background1" w:themeShade="A6"/>
              <w:bottom w:val="single" w:sz="8" w:space="0" w:color="A6A6A6" w:themeColor="background1" w:themeShade="A6"/>
            </w:tcBorders>
            <w:shd w:val="clear" w:color="auto" w:fill="auto"/>
            <w:vAlign w:val="top"/>
          </w:tcPr>
          <w:p w:rsidR="00243450" w:rsidRPr="004C33D1" w:rsidRDefault="00243450" w:rsidP="006F545D">
            <w:pPr>
              <w:pStyle w:val="TableText"/>
              <w:jc w:val="left"/>
              <w:cnfStyle w:val="000000000000" w:firstRow="0" w:lastRow="0" w:firstColumn="0" w:lastColumn="0" w:oddVBand="0" w:evenVBand="0" w:oddHBand="0" w:evenHBand="0" w:firstRowFirstColumn="0" w:firstRowLastColumn="0" w:lastRowFirstColumn="0" w:lastRowLastColumn="0"/>
            </w:pPr>
            <w:r>
              <w:t>Public, free</w:t>
            </w:r>
          </w:p>
        </w:tc>
      </w:tr>
      <w:tr w:rsidR="00243450" w:rsidRPr="004C33D1" w:rsidTr="00963715">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539" w:type="pct"/>
            <w:tcBorders>
              <w:right w:val="single" w:sz="8" w:space="0" w:color="A6A6A6" w:themeColor="background1" w:themeShade="A6"/>
            </w:tcBorders>
            <w:shd w:val="clear" w:color="auto" w:fill="auto"/>
            <w:vAlign w:val="top"/>
          </w:tcPr>
          <w:p w:rsidR="00243450" w:rsidRPr="004C33D1" w:rsidRDefault="00243450" w:rsidP="006F545D">
            <w:pPr>
              <w:pStyle w:val="TableText"/>
            </w:pPr>
          </w:p>
        </w:tc>
        <w:tc>
          <w:tcPr>
            <w:tcW w:w="628"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243450" w:rsidRPr="004C33D1" w:rsidRDefault="00243450" w:rsidP="003202E3">
            <w:pPr>
              <w:pStyle w:val="TableText"/>
              <w:numPr>
                <w:ilvl w:val="0"/>
                <w:numId w:val="51"/>
              </w:numPr>
              <w:ind w:left="0" w:firstLine="0"/>
              <w:jc w:val="left"/>
              <w:cnfStyle w:val="000000000000" w:firstRow="0" w:lastRow="0" w:firstColumn="0" w:lastColumn="0" w:oddVBand="0" w:evenVBand="0" w:oddHBand="0" w:evenHBand="0" w:firstRowFirstColumn="0" w:firstRowLastColumn="0" w:lastRowFirstColumn="0" w:lastRowLastColumn="0"/>
            </w:pPr>
            <w:r w:rsidRPr="004C33D1">
              <w:t>Consented floor space to population growth</w:t>
            </w:r>
          </w:p>
        </w:tc>
        <w:tc>
          <w:tcPr>
            <w:tcW w:w="1008"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243450" w:rsidRPr="004C33D1" w:rsidRDefault="00243450" w:rsidP="006277DC">
            <w:pPr>
              <w:pStyle w:val="TableText"/>
              <w:numPr>
                <w:ilvl w:val="0"/>
                <w:numId w:val="71"/>
              </w:numPr>
              <w:ind w:left="210" w:hanging="210"/>
              <w:jc w:val="left"/>
              <w:cnfStyle w:val="000000000000" w:firstRow="0" w:lastRow="0" w:firstColumn="0" w:lastColumn="0" w:oddVBand="0" w:evenVBand="0" w:oddHBand="0" w:evenHBand="0" w:firstRowFirstColumn="0" w:firstRowLastColumn="0" w:lastRowFirstColumn="0" w:lastRowLastColumn="0"/>
            </w:pPr>
            <w:r>
              <w:t>F</w:t>
            </w:r>
            <w:r w:rsidRPr="004C33D1">
              <w:t xml:space="preserve">loor space of </w:t>
            </w:r>
            <w:r w:rsidR="003202E3">
              <w:t xml:space="preserve">new </w:t>
            </w:r>
            <w:r w:rsidRPr="004C33D1">
              <w:t xml:space="preserve">building consents by </w:t>
            </w:r>
            <w:r>
              <w:t>TA</w:t>
            </w:r>
            <w:r w:rsidRPr="004C33D1">
              <w:t xml:space="preserve"> </w:t>
            </w:r>
          </w:p>
          <w:p w:rsidR="00243450" w:rsidRPr="004C33D1" w:rsidRDefault="00243450" w:rsidP="006277DC">
            <w:pPr>
              <w:pStyle w:val="TableText"/>
              <w:numPr>
                <w:ilvl w:val="0"/>
                <w:numId w:val="71"/>
              </w:numPr>
              <w:ind w:left="210" w:hanging="210"/>
              <w:jc w:val="left"/>
              <w:cnfStyle w:val="000000000000" w:firstRow="0" w:lastRow="0" w:firstColumn="0" w:lastColumn="0" w:oddVBand="0" w:evenVBand="0" w:oddHBand="0" w:evenHBand="0" w:firstRowFirstColumn="0" w:firstRowLastColumn="0" w:lastRowFirstColumn="0" w:lastRowLastColumn="0"/>
            </w:pPr>
            <w:r>
              <w:t>P</w:t>
            </w:r>
            <w:r w:rsidRPr="004C33D1">
              <w:t xml:space="preserve">opulation estimates by </w:t>
            </w:r>
            <w:r>
              <w:t>TA</w:t>
            </w:r>
          </w:p>
        </w:tc>
        <w:tc>
          <w:tcPr>
            <w:tcW w:w="1547"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243450" w:rsidRPr="004C33D1" w:rsidRDefault="00243450" w:rsidP="006F545D">
            <w:pPr>
              <w:pStyle w:val="TableText"/>
              <w:jc w:val="left"/>
              <w:cnfStyle w:val="000000000000" w:firstRow="0" w:lastRow="0" w:firstColumn="0" w:lastColumn="0" w:oddVBand="0" w:evenVBand="0" w:oddHBand="0" w:evenHBand="0" w:firstRowFirstColumn="0" w:firstRowLastColumn="0" w:lastRowFirstColumn="0" w:lastRowLastColumn="0"/>
            </w:pPr>
            <w:proofErr w:type="gramStart"/>
            <w:r w:rsidRPr="004C33D1">
              <w:t xml:space="preserve">Statistics NZ </w:t>
            </w:r>
            <w:proofErr w:type="spellStart"/>
            <w:r w:rsidRPr="004C33D1">
              <w:t>Infoshare</w:t>
            </w:r>
            <w:proofErr w:type="spellEnd"/>
            <w:r w:rsidRPr="004C33D1">
              <w:t>.</w:t>
            </w:r>
            <w:proofErr w:type="gramEnd"/>
          </w:p>
        </w:tc>
        <w:tc>
          <w:tcPr>
            <w:tcW w:w="1278" w:type="pct"/>
            <w:tcBorders>
              <w:top w:val="single" w:sz="8" w:space="0" w:color="A6A6A6" w:themeColor="background1" w:themeShade="A6"/>
              <w:left w:val="single" w:sz="8" w:space="0" w:color="A6A6A6" w:themeColor="background1" w:themeShade="A6"/>
              <w:bottom w:val="single" w:sz="8" w:space="0" w:color="A6A6A6" w:themeColor="background1" w:themeShade="A6"/>
            </w:tcBorders>
            <w:shd w:val="clear" w:color="auto" w:fill="auto"/>
            <w:vAlign w:val="top"/>
          </w:tcPr>
          <w:p w:rsidR="00243450" w:rsidRPr="004C33D1" w:rsidRDefault="00243450" w:rsidP="006F545D">
            <w:pPr>
              <w:pStyle w:val="TableText"/>
              <w:jc w:val="left"/>
              <w:cnfStyle w:val="000000000000" w:firstRow="0" w:lastRow="0" w:firstColumn="0" w:lastColumn="0" w:oddVBand="0" w:evenVBand="0" w:oddHBand="0" w:evenHBand="0" w:firstRowFirstColumn="0" w:firstRowLastColumn="0" w:lastRowFirstColumn="0" w:lastRowLastColumn="0"/>
            </w:pPr>
            <w:r>
              <w:t>Public, free</w:t>
            </w:r>
          </w:p>
        </w:tc>
      </w:tr>
      <w:tr w:rsidR="003202E3" w:rsidRPr="004C33D1" w:rsidTr="00963715">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539" w:type="pct"/>
            <w:tcBorders>
              <w:right w:val="single" w:sz="8" w:space="0" w:color="A6A6A6" w:themeColor="background1" w:themeShade="A6"/>
            </w:tcBorders>
            <w:shd w:val="clear" w:color="auto" w:fill="auto"/>
            <w:vAlign w:val="top"/>
          </w:tcPr>
          <w:p w:rsidR="003202E3" w:rsidRPr="004C33D1" w:rsidRDefault="003202E3" w:rsidP="006F545D">
            <w:pPr>
              <w:pStyle w:val="TableText"/>
            </w:pPr>
          </w:p>
        </w:tc>
        <w:tc>
          <w:tcPr>
            <w:tcW w:w="628" w:type="pct"/>
            <w:tcBorders>
              <w:top w:val="single" w:sz="8" w:space="0" w:color="A6A6A6" w:themeColor="background1" w:themeShade="A6"/>
              <w:left w:val="single" w:sz="8" w:space="0" w:color="A6A6A6" w:themeColor="background1" w:themeShade="A6"/>
              <w:bottom w:val="single" w:sz="4" w:space="0" w:color="A6A6A6" w:themeColor="background1" w:themeShade="A6"/>
              <w:right w:val="single" w:sz="8" w:space="0" w:color="A6A6A6" w:themeColor="background1" w:themeShade="A6"/>
            </w:tcBorders>
            <w:shd w:val="clear" w:color="auto" w:fill="auto"/>
            <w:vAlign w:val="top"/>
          </w:tcPr>
          <w:p w:rsidR="003202E3" w:rsidRPr="004C33D1" w:rsidRDefault="003202E3" w:rsidP="003202E3">
            <w:pPr>
              <w:pStyle w:val="TableText"/>
              <w:numPr>
                <w:ilvl w:val="0"/>
                <w:numId w:val="51"/>
              </w:numPr>
              <w:ind w:left="0" w:firstLine="0"/>
              <w:jc w:val="left"/>
              <w:cnfStyle w:val="000000000000" w:firstRow="0" w:lastRow="0" w:firstColumn="0" w:lastColumn="0" w:oddVBand="0" w:evenVBand="0" w:oddHBand="0" w:evenHBand="0" w:firstRowFirstColumn="0" w:firstRowLastColumn="0" w:lastRowFirstColumn="0" w:lastRowLastColumn="0"/>
            </w:pPr>
            <w:r w:rsidRPr="004C33D1">
              <w:t xml:space="preserve">Land leverage ratio </w:t>
            </w:r>
          </w:p>
        </w:tc>
        <w:tc>
          <w:tcPr>
            <w:tcW w:w="1008" w:type="pct"/>
            <w:tcBorders>
              <w:top w:val="single" w:sz="8" w:space="0" w:color="A6A6A6" w:themeColor="background1" w:themeShade="A6"/>
              <w:left w:val="single" w:sz="8" w:space="0" w:color="A6A6A6" w:themeColor="background1" w:themeShade="A6"/>
              <w:bottom w:val="single" w:sz="4" w:space="0" w:color="A6A6A6" w:themeColor="background1" w:themeShade="A6"/>
              <w:right w:val="single" w:sz="8" w:space="0" w:color="A6A6A6" w:themeColor="background1" w:themeShade="A6"/>
            </w:tcBorders>
            <w:shd w:val="clear" w:color="auto" w:fill="auto"/>
            <w:vAlign w:val="top"/>
          </w:tcPr>
          <w:p w:rsidR="003202E3" w:rsidRPr="004C33D1" w:rsidRDefault="003202E3" w:rsidP="003202E3">
            <w:pPr>
              <w:pStyle w:val="TableText"/>
              <w:numPr>
                <w:ilvl w:val="0"/>
                <w:numId w:val="71"/>
              </w:numPr>
              <w:ind w:left="210" w:hanging="210"/>
              <w:jc w:val="left"/>
              <w:cnfStyle w:val="000000000000" w:firstRow="0" w:lastRow="0" w:firstColumn="0" w:lastColumn="0" w:oddVBand="0" w:evenVBand="0" w:oddHBand="0" w:evenHBand="0" w:firstRowFirstColumn="0" w:firstRowLastColumn="0" w:lastRowFirstColumn="0" w:lastRowLastColumn="0"/>
            </w:pPr>
            <w:r w:rsidRPr="004C33D1">
              <w:t xml:space="preserve">Land and overall property values </w:t>
            </w:r>
          </w:p>
        </w:tc>
        <w:tc>
          <w:tcPr>
            <w:tcW w:w="1547" w:type="pct"/>
            <w:tcBorders>
              <w:top w:val="single" w:sz="8" w:space="0" w:color="A6A6A6" w:themeColor="background1" w:themeShade="A6"/>
              <w:left w:val="single" w:sz="8" w:space="0" w:color="A6A6A6" w:themeColor="background1" w:themeShade="A6"/>
              <w:bottom w:val="single" w:sz="4" w:space="0" w:color="A6A6A6" w:themeColor="background1" w:themeShade="A6"/>
              <w:right w:val="single" w:sz="8" w:space="0" w:color="A6A6A6" w:themeColor="background1" w:themeShade="A6"/>
            </w:tcBorders>
            <w:shd w:val="clear" w:color="auto" w:fill="auto"/>
            <w:vAlign w:val="top"/>
          </w:tcPr>
          <w:p w:rsidR="003202E3" w:rsidRPr="004C33D1" w:rsidRDefault="003202E3" w:rsidP="003202E3">
            <w:pPr>
              <w:pStyle w:val="TableText"/>
              <w:jc w:val="left"/>
              <w:cnfStyle w:val="000000000000" w:firstRow="0" w:lastRow="0" w:firstColumn="0" w:lastColumn="0" w:oddVBand="0" w:evenVBand="0" w:oddHBand="0" w:evenHBand="0" w:firstRowFirstColumn="0" w:firstRowLastColumn="0" w:lastRowFirstColumn="0" w:lastRowLastColumn="0"/>
            </w:pPr>
            <w:r>
              <w:t>V</w:t>
            </w:r>
            <w:r w:rsidRPr="004C33D1">
              <w:t>aluation data</w:t>
            </w:r>
            <w:r>
              <w:t xml:space="preserve">: </w:t>
            </w:r>
            <w:r w:rsidRPr="004C33D1">
              <w:t>QVNZ</w:t>
            </w:r>
            <w:r>
              <w:t>, or TLAs if they collect data themselves</w:t>
            </w:r>
          </w:p>
        </w:tc>
        <w:tc>
          <w:tcPr>
            <w:tcW w:w="1278" w:type="pct"/>
            <w:tcBorders>
              <w:top w:val="single" w:sz="8" w:space="0" w:color="A6A6A6" w:themeColor="background1" w:themeShade="A6"/>
              <w:left w:val="single" w:sz="8" w:space="0" w:color="A6A6A6" w:themeColor="background1" w:themeShade="A6"/>
              <w:bottom w:val="single" w:sz="4" w:space="0" w:color="A6A6A6" w:themeColor="background1" w:themeShade="A6"/>
            </w:tcBorders>
            <w:shd w:val="clear" w:color="auto" w:fill="auto"/>
            <w:vAlign w:val="top"/>
          </w:tcPr>
          <w:p w:rsidR="003202E3" w:rsidRPr="00B44062" w:rsidRDefault="003202E3" w:rsidP="003202E3">
            <w:pPr>
              <w:pStyle w:val="TableText"/>
              <w:jc w:val="left"/>
              <w:cnfStyle w:val="000000000000" w:firstRow="0" w:lastRow="0" w:firstColumn="0" w:lastColumn="0" w:oddVBand="0" w:evenVBand="0" w:oddHBand="0" w:evenHBand="0" w:firstRowFirstColumn="0" w:firstRowLastColumn="0" w:lastRowFirstColumn="0" w:lastRowLastColumn="0"/>
            </w:pPr>
            <w:r>
              <w:t>Valuation</w:t>
            </w:r>
            <w:r w:rsidRPr="0045134F">
              <w:t xml:space="preserve"> data: purchased from private providers</w:t>
            </w:r>
          </w:p>
        </w:tc>
      </w:tr>
      <w:tr w:rsidR="003202E3" w:rsidRPr="004C33D1" w:rsidTr="00963715">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539" w:type="pct"/>
            <w:tcBorders>
              <w:right w:val="single" w:sz="8" w:space="0" w:color="A6A6A6" w:themeColor="background1" w:themeShade="A6"/>
            </w:tcBorders>
            <w:shd w:val="clear" w:color="auto" w:fill="auto"/>
            <w:vAlign w:val="top"/>
          </w:tcPr>
          <w:p w:rsidR="003202E3" w:rsidRPr="004C33D1" w:rsidRDefault="003202E3" w:rsidP="006F545D">
            <w:pPr>
              <w:pStyle w:val="TableText"/>
            </w:pPr>
          </w:p>
        </w:tc>
        <w:tc>
          <w:tcPr>
            <w:tcW w:w="628" w:type="pct"/>
            <w:tcBorders>
              <w:top w:val="single" w:sz="8" w:space="0" w:color="A6A6A6" w:themeColor="background1" w:themeShade="A6"/>
              <w:left w:val="single" w:sz="8" w:space="0" w:color="A6A6A6" w:themeColor="background1" w:themeShade="A6"/>
              <w:bottom w:val="single" w:sz="4" w:space="0" w:color="A6A6A6" w:themeColor="background1" w:themeShade="A6"/>
              <w:right w:val="single" w:sz="8" w:space="0" w:color="A6A6A6" w:themeColor="background1" w:themeShade="A6"/>
            </w:tcBorders>
            <w:shd w:val="clear" w:color="auto" w:fill="auto"/>
            <w:vAlign w:val="top"/>
          </w:tcPr>
          <w:p w:rsidR="003202E3" w:rsidRPr="004C33D1" w:rsidRDefault="003202E3" w:rsidP="003202E3">
            <w:pPr>
              <w:pStyle w:val="TableText"/>
              <w:numPr>
                <w:ilvl w:val="0"/>
                <w:numId w:val="51"/>
              </w:numPr>
              <w:ind w:left="0" w:firstLine="0"/>
              <w:jc w:val="left"/>
              <w:cnfStyle w:val="000000000000" w:firstRow="0" w:lastRow="0" w:firstColumn="0" w:lastColumn="0" w:oddVBand="0" w:evenVBand="0" w:oddHBand="0" w:evenHBand="0" w:firstRowFirstColumn="0" w:firstRowLastColumn="0" w:lastRowFirstColumn="0" w:lastRowLastColumn="0"/>
            </w:pPr>
            <w:r w:rsidRPr="004C33D1">
              <w:t>Ho</w:t>
            </w:r>
            <w:r w:rsidR="007D371A">
              <w:t>m</w:t>
            </w:r>
            <w:r w:rsidRPr="004C33D1">
              <w:t>e price to rent ratio</w:t>
            </w:r>
          </w:p>
        </w:tc>
        <w:tc>
          <w:tcPr>
            <w:tcW w:w="1008" w:type="pct"/>
            <w:tcBorders>
              <w:top w:val="single" w:sz="8" w:space="0" w:color="A6A6A6" w:themeColor="background1" w:themeShade="A6"/>
              <w:left w:val="single" w:sz="8" w:space="0" w:color="A6A6A6" w:themeColor="background1" w:themeShade="A6"/>
              <w:bottom w:val="single" w:sz="4" w:space="0" w:color="A6A6A6" w:themeColor="background1" w:themeShade="A6"/>
              <w:right w:val="single" w:sz="8" w:space="0" w:color="A6A6A6" w:themeColor="background1" w:themeShade="A6"/>
            </w:tcBorders>
            <w:shd w:val="clear" w:color="auto" w:fill="auto"/>
            <w:vAlign w:val="top"/>
          </w:tcPr>
          <w:p w:rsidR="003202E3" w:rsidRPr="004C33D1" w:rsidRDefault="003202E3" w:rsidP="003202E3">
            <w:pPr>
              <w:pStyle w:val="TableText"/>
              <w:numPr>
                <w:ilvl w:val="0"/>
                <w:numId w:val="71"/>
              </w:numPr>
              <w:ind w:left="210" w:hanging="210"/>
              <w:jc w:val="left"/>
              <w:cnfStyle w:val="000000000000" w:firstRow="0" w:lastRow="0" w:firstColumn="0" w:lastColumn="0" w:oddVBand="0" w:evenVBand="0" w:oddHBand="0" w:evenHBand="0" w:firstRowFirstColumn="0" w:firstRowLastColumn="0" w:lastRowFirstColumn="0" w:lastRowLastColumn="0"/>
            </w:pPr>
            <w:r w:rsidRPr="004C33D1">
              <w:t>Annual average ho</w:t>
            </w:r>
            <w:r w:rsidR="007D371A">
              <w:t>m</w:t>
            </w:r>
            <w:r w:rsidRPr="004C33D1">
              <w:t xml:space="preserve">e prices and average rent prices by territorial authority. </w:t>
            </w:r>
          </w:p>
        </w:tc>
        <w:tc>
          <w:tcPr>
            <w:tcW w:w="1547" w:type="pct"/>
            <w:tcBorders>
              <w:top w:val="single" w:sz="8" w:space="0" w:color="A6A6A6" w:themeColor="background1" w:themeShade="A6"/>
              <w:left w:val="single" w:sz="8" w:space="0" w:color="A6A6A6" w:themeColor="background1" w:themeShade="A6"/>
              <w:bottom w:val="single" w:sz="4" w:space="0" w:color="A6A6A6" w:themeColor="background1" w:themeShade="A6"/>
              <w:right w:val="single" w:sz="8" w:space="0" w:color="A6A6A6" w:themeColor="background1" w:themeShade="A6"/>
            </w:tcBorders>
            <w:shd w:val="clear" w:color="auto" w:fill="auto"/>
            <w:vAlign w:val="top"/>
          </w:tcPr>
          <w:p w:rsidR="003202E3" w:rsidRDefault="003202E3" w:rsidP="003202E3">
            <w:pPr>
              <w:pStyle w:val="TableText"/>
              <w:jc w:val="left"/>
              <w:cnfStyle w:val="000000000000" w:firstRow="0" w:lastRow="0" w:firstColumn="0" w:lastColumn="0" w:oddVBand="0" w:evenVBand="0" w:oddHBand="0" w:evenHBand="0" w:firstRowFirstColumn="0" w:firstRowLastColumn="0" w:lastRowFirstColumn="0" w:lastRowLastColumn="0"/>
            </w:pPr>
            <w:r>
              <w:t xml:space="preserve">Sales data: </w:t>
            </w:r>
            <w:r w:rsidRPr="004C33D1">
              <w:t>QVNZ</w:t>
            </w:r>
            <w:r>
              <w:t xml:space="preserve"> or REINZ, or TLAs if they collect data themselves</w:t>
            </w:r>
          </w:p>
          <w:p w:rsidR="003202E3" w:rsidRPr="004C33D1" w:rsidRDefault="003202E3" w:rsidP="003202E3">
            <w:pPr>
              <w:pStyle w:val="TableText"/>
              <w:jc w:val="left"/>
              <w:cnfStyle w:val="000000000000" w:firstRow="0" w:lastRow="0" w:firstColumn="0" w:lastColumn="0" w:oddVBand="0" w:evenVBand="0" w:oddHBand="0" w:evenHBand="0" w:firstRowFirstColumn="0" w:firstRowLastColumn="0" w:lastRowFirstColumn="0" w:lastRowLastColumn="0"/>
            </w:pPr>
            <w:r>
              <w:t>Rents: MBIE (bond data)</w:t>
            </w:r>
          </w:p>
        </w:tc>
        <w:tc>
          <w:tcPr>
            <w:tcW w:w="1278" w:type="pct"/>
            <w:tcBorders>
              <w:top w:val="single" w:sz="8" w:space="0" w:color="A6A6A6" w:themeColor="background1" w:themeShade="A6"/>
              <w:left w:val="single" w:sz="8" w:space="0" w:color="A6A6A6" w:themeColor="background1" w:themeShade="A6"/>
              <w:bottom w:val="single" w:sz="4" w:space="0" w:color="A6A6A6" w:themeColor="background1" w:themeShade="A6"/>
            </w:tcBorders>
            <w:shd w:val="clear" w:color="auto" w:fill="auto"/>
            <w:vAlign w:val="top"/>
          </w:tcPr>
          <w:p w:rsidR="003202E3" w:rsidRDefault="003202E3" w:rsidP="003202E3">
            <w:pPr>
              <w:pStyle w:val="TableText"/>
              <w:jc w:val="left"/>
              <w:cnfStyle w:val="000000000000" w:firstRow="0" w:lastRow="0" w:firstColumn="0" w:lastColumn="0" w:oddVBand="0" w:evenVBand="0" w:oddHBand="0" w:evenHBand="0" w:firstRowFirstColumn="0" w:firstRowLastColumn="0" w:lastRowFirstColumn="0" w:lastRowLastColumn="0"/>
            </w:pPr>
            <w:r>
              <w:t>Sales</w:t>
            </w:r>
            <w:r w:rsidRPr="0045134F">
              <w:t xml:space="preserve"> data: purchased from private providers</w:t>
            </w:r>
          </w:p>
          <w:p w:rsidR="003202E3" w:rsidRPr="00B44062" w:rsidRDefault="003202E3" w:rsidP="003202E3">
            <w:pPr>
              <w:pStyle w:val="TableText"/>
              <w:jc w:val="left"/>
              <w:cnfStyle w:val="000000000000" w:firstRow="0" w:lastRow="0" w:firstColumn="0" w:lastColumn="0" w:oddVBand="0" w:evenVBand="0" w:oddHBand="0" w:evenHBand="0" w:firstRowFirstColumn="0" w:firstRowLastColumn="0" w:lastRowFirstColumn="0" w:lastRowLastColumn="0"/>
            </w:pPr>
            <w:r>
              <w:t>Rent data: MBIE</w:t>
            </w:r>
          </w:p>
        </w:tc>
      </w:tr>
      <w:tr w:rsidR="003202E3" w:rsidRPr="004C33D1" w:rsidTr="00963715">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539" w:type="pct"/>
            <w:tcBorders>
              <w:right w:val="single" w:sz="8" w:space="0" w:color="A6A6A6" w:themeColor="background1" w:themeShade="A6"/>
            </w:tcBorders>
            <w:shd w:val="clear" w:color="auto" w:fill="auto"/>
            <w:vAlign w:val="top"/>
          </w:tcPr>
          <w:p w:rsidR="003202E3" w:rsidRPr="004C33D1" w:rsidRDefault="003202E3" w:rsidP="006F545D">
            <w:pPr>
              <w:pStyle w:val="TableText"/>
            </w:pPr>
          </w:p>
        </w:tc>
        <w:tc>
          <w:tcPr>
            <w:tcW w:w="628" w:type="pct"/>
            <w:tcBorders>
              <w:top w:val="single" w:sz="8" w:space="0" w:color="A6A6A6" w:themeColor="background1" w:themeShade="A6"/>
              <w:left w:val="single" w:sz="8" w:space="0" w:color="A6A6A6" w:themeColor="background1" w:themeShade="A6"/>
              <w:bottom w:val="single" w:sz="4" w:space="0" w:color="A6A6A6" w:themeColor="background1" w:themeShade="A6"/>
              <w:right w:val="single" w:sz="8" w:space="0" w:color="A6A6A6" w:themeColor="background1" w:themeShade="A6"/>
            </w:tcBorders>
            <w:shd w:val="clear" w:color="auto" w:fill="auto"/>
            <w:vAlign w:val="top"/>
          </w:tcPr>
          <w:p w:rsidR="003202E3" w:rsidRPr="004C33D1" w:rsidRDefault="003202E3" w:rsidP="003202E3">
            <w:pPr>
              <w:pStyle w:val="TableText"/>
              <w:numPr>
                <w:ilvl w:val="0"/>
                <w:numId w:val="51"/>
              </w:numPr>
              <w:ind w:left="0" w:firstLine="0"/>
              <w:jc w:val="left"/>
              <w:cnfStyle w:val="000000000000" w:firstRow="0" w:lastRow="0" w:firstColumn="0" w:lastColumn="0" w:oddVBand="0" w:evenVBand="0" w:oddHBand="0" w:evenHBand="0" w:firstRowFirstColumn="0" w:firstRowLastColumn="0" w:lastRowFirstColumn="0" w:lastRowLastColumn="0"/>
            </w:pPr>
            <w:r>
              <w:t>Residential vacancy rates</w:t>
            </w:r>
          </w:p>
        </w:tc>
        <w:tc>
          <w:tcPr>
            <w:tcW w:w="1008" w:type="pct"/>
            <w:tcBorders>
              <w:top w:val="single" w:sz="8" w:space="0" w:color="A6A6A6" w:themeColor="background1" w:themeShade="A6"/>
              <w:left w:val="single" w:sz="8" w:space="0" w:color="A6A6A6" w:themeColor="background1" w:themeShade="A6"/>
              <w:bottom w:val="single" w:sz="4" w:space="0" w:color="A6A6A6" w:themeColor="background1" w:themeShade="A6"/>
              <w:right w:val="single" w:sz="8" w:space="0" w:color="A6A6A6" w:themeColor="background1" w:themeShade="A6"/>
            </w:tcBorders>
            <w:shd w:val="clear" w:color="auto" w:fill="auto"/>
            <w:vAlign w:val="top"/>
          </w:tcPr>
          <w:p w:rsidR="003202E3" w:rsidRPr="004C33D1" w:rsidRDefault="003202E3" w:rsidP="003202E3">
            <w:pPr>
              <w:pStyle w:val="TableText"/>
              <w:numPr>
                <w:ilvl w:val="0"/>
                <w:numId w:val="71"/>
              </w:numPr>
              <w:ind w:left="210" w:hanging="210"/>
              <w:jc w:val="left"/>
              <w:cnfStyle w:val="000000000000" w:firstRow="0" w:lastRow="0" w:firstColumn="0" w:lastColumn="0" w:oddVBand="0" w:evenVBand="0" w:oddHBand="0" w:evenHBand="0" w:firstRowFirstColumn="0" w:firstRowLastColumn="0" w:lastRowFirstColumn="0" w:lastRowLastColumn="0"/>
            </w:pPr>
            <w:r>
              <w:t>H</w:t>
            </w:r>
            <w:r w:rsidRPr="004C33D1">
              <w:t>ousing vacancy rates</w:t>
            </w:r>
          </w:p>
        </w:tc>
        <w:tc>
          <w:tcPr>
            <w:tcW w:w="1547" w:type="pct"/>
            <w:tcBorders>
              <w:top w:val="single" w:sz="8" w:space="0" w:color="A6A6A6" w:themeColor="background1" w:themeShade="A6"/>
              <w:left w:val="single" w:sz="8" w:space="0" w:color="A6A6A6" w:themeColor="background1" w:themeShade="A6"/>
              <w:bottom w:val="single" w:sz="4" w:space="0" w:color="A6A6A6" w:themeColor="background1" w:themeShade="A6"/>
              <w:right w:val="single" w:sz="8" w:space="0" w:color="A6A6A6" w:themeColor="background1" w:themeShade="A6"/>
            </w:tcBorders>
            <w:shd w:val="clear" w:color="auto" w:fill="auto"/>
            <w:vAlign w:val="top"/>
          </w:tcPr>
          <w:p w:rsidR="003202E3" w:rsidRPr="004C33D1" w:rsidRDefault="003202E3" w:rsidP="003202E3">
            <w:pPr>
              <w:pStyle w:val="TableText"/>
              <w:jc w:val="left"/>
              <w:cnfStyle w:val="000000000000" w:firstRow="0" w:lastRow="0" w:firstColumn="0" w:lastColumn="0" w:oddVBand="0" w:evenVBand="0" w:oddHBand="0" w:evenHBand="0" w:firstRowFirstColumn="0" w:firstRowLastColumn="0" w:lastRowFirstColumn="0" w:lastRowLastColumn="0"/>
            </w:pPr>
            <w:r>
              <w:t>Census only</w:t>
            </w:r>
          </w:p>
        </w:tc>
        <w:tc>
          <w:tcPr>
            <w:tcW w:w="1278" w:type="pct"/>
            <w:tcBorders>
              <w:top w:val="single" w:sz="8" w:space="0" w:color="A6A6A6" w:themeColor="background1" w:themeShade="A6"/>
              <w:left w:val="single" w:sz="8" w:space="0" w:color="A6A6A6" w:themeColor="background1" w:themeShade="A6"/>
              <w:bottom w:val="single" w:sz="4" w:space="0" w:color="A6A6A6" w:themeColor="background1" w:themeShade="A6"/>
            </w:tcBorders>
            <w:shd w:val="clear" w:color="auto" w:fill="auto"/>
            <w:vAlign w:val="top"/>
          </w:tcPr>
          <w:p w:rsidR="003202E3" w:rsidRPr="00B44062" w:rsidRDefault="003202E3" w:rsidP="003202E3">
            <w:pPr>
              <w:pStyle w:val="TableText"/>
              <w:jc w:val="left"/>
              <w:cnfStyle w:val="000000000000" w:firstRow="0" w:lastRow="0" w:firstColumn="0" w:lastColumn="0" w:oddVBand="0" w:evenVBand="0" w:oddHBand="0" w:evenHBand="0" w:firstRowFirstColumn="0" w:firstRowLastColumn="0" w:lastRowFirstColumn="0" w:lastRowLastColumn="0"/>
            </w:pPr>
            <w:r>
              <w:t>Census</w:t>
            </w:r>
          </w:p>
        </w:tc>
      </w:tr>
      <w:tr w:rsidR="00243450" w:rsidRPr="004C33D1" w:rsidTr="00963715">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539" w:type="pct"/>
            <w:tcBorders>
              <w:right w:val="single" w:sz="8" w:space="0" w:color="A6A6A6" w:themeColor="background1" w:themeShade="A6"/>
            </w:tcBorders>
            <w:shd w:val="clear" w:color="auto" w:fill="auto"/>
            <w:vAlign w:val="top"/>
          </w:tcPr>
          <w:p w:rsidR="00243450" w:rsidRPr="004C33D1" w:rsidRDefault="00243450" w:rsidP="006F545D">
            <w:pPr>
              <w:pStyle w:val="TableText"/>
            </w:pPr>
          </w:p>
        </w:tc>
        <w:tc>
          <w:tcPr>
            <w:tcW w:w="628" w:type="pct"/>
            <w:tcBorders>
              <w:top w:val="single" w:sz="8" w:space="0" w:color="A6A6A6" w:themeColor="background1" w:themeShade="A6"/>
              <w:left w:val="single" w:sz="8" w:space="0" w:color="A6A6A6" w:themeColor="background1" w:themeShade="A6"/>
              <w:bottom w:val="single" w:sz="4" w:space="0" w:color="A6A6A6" w:themeColor="background1" w:themeShade="A6"/>
              <w:right w:val="single" w:sz="8" w:space="0" w:color="A6A6A6" w:themeColor="background1" w:themeShade="A6"/>
            </w:tcBorders>
            <w:shd w:val="clear" w:color="auto" w:fill="auto"/>
            <w:vAlign w:val="top"/>
          </w:tcPr>
          <w:p w:rsidR="00243450" w:rsidRPr="004C33D1" w:rsidRDefault="00243450" w:rsidP="006F545D">
            <w:pPr>
              <w:pStyle w:val="TableText"/>
              <w:numPr>
                <w:ilvl w:val="0"/>
                <w:numId w:val="51"/>
              </w:numPr>
              <w:ind w:left="0" w:firstLine="0"/>
              <w:jc w:val="left"/>
              <w:cnfStyle w:val="000000000000" w:firstRow="0" w:lastRow="0" w:firstColumn="0" w:lastColumn="0" w:oddVBand="0" w:evenVBand="0" w:oddHBand="0" w:evenHBand="0" w:firstRowFirstColumn="0" w:firstRowLastColumn="0" w:lastRowFirstColumn="0" w:lastRowLastColumn="0"/>
            </w:pPr>
            <w:r w:rsidRPr="004C33D1">
              <w:t>Vacancy rates</w:t>
            </w:r>
          </w:p>
        </w:tc>
        <w:tc>
          <w:tcPr>
            <w:tcW w:w="1008" w:type="pct"/>
            <w:tcBorders>
              <w:top w:val="single" w:sz="8" w:space="0" w:color="A6A6A6" w:themeColor="background1" w:themeShade="A6"/>
              <w:left w:val="single" w:sz="8" w:space="0" w:color="A6A6A6" w:themeColor="background1" w:themeShade="A6"/>
              <w:bottom w:val="single" w:sz="4" w:space="0" w:color="A6A6A6" w:themeColor="background1" w:themeShade="A6"/>
              <w:right w:val="single" w:sz="8" w:space="0" w:color="A6A6A6" w:themeColor="background1" w:themeShade="A6"/>
            </w:tcBorders>
            <w:shd w:val="clear" w:color="auto" w:fill="auto"/>
            <w:vAlign w:val="top"/>
          </w:tcPr>
          <w:p w:rsidR="00243450" w:rsidRPr="004C33D1" w:rsidRDefault="00243450" w:rsidP="003202E3">
            <w:pPr>
              <w:pStyle w:val="TableText"/>
              <w:numPr>
                <w:ilvl w:val="0"/>
                <w:numId w:val="71"/>
              </w:numPr>
              <w:ind w:left="210" w:hanging="210"/>
              <w:jc w:val="left"/>
              <w:cnfStyle w:val="000000000000" w:firstRow="0" w:lastRow="0" w:firstColumn="0" w:lastColumn="0" w:oddVBand="0" w:evenVBand="0" w:oddHBand="0" w:evenHBand="0" w:firstRowFirstColumn="0" w:firstRowLastColumn="0" w:lastRowFirstColumn="0" w:lastRowLastColumn="0"/>
            </w:pPr>
            <w:r w:rsidRPr="004C33D1">
              <w:t>Business land vacancy rates</w:t>
            </w:r>
          </w:p>
        </w:tc>
        <w:tc>
          <w:tcPr>
            <w:tcW w:w="1547" w:type="pct"/>
            <w:tcBorders>
              <w:top w:val="single" w:sz="8" w:space="0" w:color="A6A6A6" w:themeColor="background1" w:themeShade="A6"/>
              <w:left w:val="single" w:sz="8" w:space="0" w:color="A6A6A6" w:themeColor="background1" w:themeShade="A6"/>
              <w:bottom w:val="single" w:sz="4" w:space="0" w:color="A6A6A6" w:themeColor="background1" w:themeShade="A6"/>
              <w:right w:val="single" w:sz="8" w:space="0" w:color="A6A6A6" w:themeColor="background1" w:themeShade="A6"/>
            </w:tcBorders>
            <w:shd w:val="clear" w:color="auto" w:fill="auto"/>
            <w:vAlign w:val="top"/>
          </w:tcPr>
          <w:p w:rsidR="00243450" w:rsidRPr="004C33D1" w:rsidRDefault="00243450" w:rsidP="003202E3">
            <w:pPr>
              <w:pStyle w:val="TableText"/>
              <w:jc w:val="left"/>
              <w:cnfStyle w:val="000000000000" w:firstRow="0" w:lastRow="0" w:firstColumn="0" w:lastColumn="0" w:oddVBand="0" w:evenVBand="0" w:oddHBand="0" w:evenHBand="0" w:firstRowFirstColumn="0" w:firstRowLastColumn="0" w:lastRowFirstColumn="0" w:lastRowLastColumn="0"/>
            </w:pPr>
            <w:proofErr w:type="gramStart"/>
            <w:r w:rsidRPr="004C33D1">
              <w:t>Business</w:t>
            </w:r>
            <w:r>
              <w:t>:</w:t>
            </w:r>
            <w:r w:rsidRPr="004C33D1">
              <w:t xml:space="preserve"> real estate agency databases.</w:t>
            </w:r>
            <w:proofErr w:type="gramEnd"/>
            <w:r w:rsidRPr="004C33D1">
              <w:t xml:space="preserve"> </w:t>
            </w:r>
          </w:p>
        </w:tc>
        <w:tc>
          <w:tcPr>
            <w:tcW w:w="1278" w:type="pct"/>
            <w:tcBorders>
              <w:top w:val="single" w:sz="8" w:space="0" w:color="A6A6A6" w:themeColor="background1" w:themeShade="A6"/>
              <w:left w:val="single" w:sz="8" w:space="0" w:color="A6A6A6" w:themeColor="background1" w:themeShade="A6"/>
              <w:bottom w:val="single" w:sz="4" w:space="0" w:color="A6A6A6" w:themeColor="background1" w:themeShade="A6"/>
            </w:tcBorders>
            <w:shd w:val="clear" w:color="auto" w:fill="auto"/>
            <w:vAlign w:val="top"/>
          </w:tcPr>
          <w:p w:rsidR="00243450" w:rsidRPr="003202E3" w:rsidRDefault="00243450" w:rsidP="003202E3">
            <w:pPr>
              <w:pStyle w:val="TableText"/>
              <w:jc w:val="left"/>
              <w:cnfStyle w:val="000000000000" w:firstRow="0" w:lastRow="0" w:firstColumn="0" w:lastColumn="0" w:oddVBand="0" w:evenVBand="0" w:oddHBand="0" w:evenHBand="0" w:firstRowFirstColumn="0" w:firstRowLastColumn="0" w:lastRowFirstColumn="0" w:lastRowLastColumn="0"/>
            </w:pPr>
            <w:r w:rsidRPr="00B44062">
              <w:t>Business:</w:t>
            </w:r>
            <w:r>
              <w:t xml:space="preserve"> some data </w:t>
            </w:r>
            <w:r w:rsidR="003202E3">
              <w:t>are</w:t>
            </w:r>
            <w:r>
              <w:t xml:space="preserve"> published free </w:t>
            </w:r>
            <w:r>
              <w:lastRenderedPageBreak/>
              <w:t xml:space="preserve">by real estate agencies; more detailed data </w:t>
            </w:r>
            <w:r w:rsidR="003202E3">
              <w:t>are</w:t>
            </w:r>
            <w:r>
              <w:t xml:space="preserve"> available to purchase</w:t>
            </w:r>
          </w:p>
        </w:tc>
      </w:tr>
      <w:tr w:rsidR="00243450" w:rsidRPr="004C33D1" w:rsidTr="00963715">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539" w:type="pct"/>
            <w:tcBorders>
              <w:top w:val="single" w:sz="12" w:space="0" w:color="A6A6A6" w:themeColor="background1" w:themeShade="A6"/>
              <w:bottom w:val="single" w:sz="12" w:space="0" w:color="A6A6A6" w:themeColor="background1" w:themeShade="A6"/>
              <w:right w:val="single" w:sz="8" w:space="0" w:color="A6A6A6" w:themeColor="background1" w:themeShade="A6"/>
            </w:tcBorders>
            <w:shd w:val="clear" w:color="auto" w:fill="auto"/>
            <w:vAlign w:val="top"/>
          </w:tcPr>
          <w:p w:rsidR="00243450" w:rsidRPr="004C33D1" w:rsidRDefault="00243450" w:rsidP="006F545D">
            <w:pPr>
              <w:pStyle w:val="TableText"/>
            </w:pPr>
            <w:r w:rsidRPr="004C33D1">
              <w:lastRenderedPageBreak/>
              <w:t xml:space="preserve">Competitiveness </w:t>
            </w:r>
          </w:p>
        </w:tc>
        <w:tc>
          <w:tcPr>
            <w:tcW w:w="628" w:type="pct"/>
            <w:tcBorders>
              <w:top w:val="single" w:sz="12" w:space="0" w:color="A6A6A6" w:themeColor="background1" w:themeShade="A6"/>
              <w:left w:val="single" w:sz="8" w:space="0" w:color="A6A6A6" w:themeColor="background1" w:themeShade="A6"/>
              <w:bottom w:val="single" w:sz="12" w:space="0" w:color="A6A6A6" w:themeColor="background1" w:themeShade="A6"/>
              <w:right w:val="single" w:sz="8" w:space="0" w:color="A6A6A6" w:themeColor="background1" w:themeShade="A6"/>
            </w:tcBorders>
            <w:shd w:val="clear" w:color="auto" w:fill="auto"/>
            <w:vAlign w:val="top"/>
          </w:tcPr>
          <w:p w:rsidR="00243450" w:rsidRPr="004C33D1" w:rsidRDefault="00243450" w:rsidP="006F545D">
            <w:pPr>
              <w:pStyle w:val="TableText"/>
              <w:numPr>
                <w:ilvl w:val="0"/>
                <w:numId w:val="51"/>
              </w:numPr>
              <w:ind w:left="0" w:firstLine="0"/>
              <w:jc w:val="left"/>
              <w:cnfStyle w:val="000000000000" w:firstRow="0" w:lastRow="0" w:firstColumn="0" w:lastColumn="0" w:oddVBand="0" w:evenVBand="0" w:oddHBand="0" w:evenHBand="0" w:firstRowFirstColumn="0" w:firstRowLastColumn="0" w:lastRowFirstColumn="0" w:lastRowLastColumn="0"/>
            </w:pPr>
            <w:r w:rsidRPr="004C33D1">
              <w:t>Market concentration: Herfindahl–Hirschman Index (HHI)</w:t>
            </w:r>
          </w:p>
        </w:tc>
        <w:tc>
          <w:tcPr>
            <w:tcW w:w="1008" w:type="pct"/>
            <w:tcBorders>
              <w:top w:val="single" w:sz="12" w:space="0" w:color="A6A6A6" w:themeColor="background1" w:themeShade="A6"/>
              <w:left w:val="single" w:sz="8" w:space="0" w:color="A6A6A6" w:themeColor="background1" w:themeShade="A6"/>
              <w:bottom w:val="single" w:sz="12" w:space="0" w:color="A6A6A6" w:themeColor="background1" w:themeShade="A6"/>
              <w:right w:val="single" w:sz="8" w:space="0" w:color="A6A6A6" w:themeColor="background1" w:themeShade="A6"/>
            </w:tcBorders>
            <w:shd w:val="clear" w:color="auto" w:fill="auto"/>
            <w:vAlign w:val="top"/>
          </w:tcPr>
          <w:p w:rsidR="00243450" w:rsidRPr="004C33D1" w:rsidRDefault="00243450" w:rsidP="006277DC">
            <w:pPr>
              <w:pStyle w:val="TableText"/>
              <w:numPr>
                <w:ilvl w:val="0"/>
                <w:numId w:val="71"/>
              </w:numPr>
              <w:ind w:left="210" w:hanging="210"/>
              <w:jc w:val="left"/>
              <w:cnfStyle w:val="000000000000" w:firstRow="0" w:lastRow="0" w:firstColumn="0" w:lastColumn="0" w:oddVBand="0" w:evenVBand="0" w:oddHBand="0" w:evenHBand="0" w:firstRowFirstColumn="0" w:firstRowLastColumn="0" w:lastRowFirstColumn="0" w:lastRowLastColumn="0"/>
            </w:pPr>
            <w:r>
              <w:t xml:space="preserve">Definition of area of </w:t>
            </w:r>
            <w:r w:rsidRPr="004C33D1">
              <w:t>development capacity</w:t>
            </w:r>
          </w:p>
          <w:p w:rsidR="00243450" w:rsidRPr="004C33D1" w:rsidRDefault="00243450" w:rsidP="006277DC">
            <w:pPr>
              <w:pStyle w:val="TableText"/>
              <w:numPr>
                <w:ilvl w:val="0"/>
                <w:numId w:val="71"/>
              </w:numPr>
              <w:ind w:left="210" w:hanging="210"/>
              <w:jc w:val="left"/>
              <w:cnfStyle w:val="000000000000" w:firstRow="0" w:lastRow="0" w:firstColumn="0" w:lastColumn="0" w:oddVBand="0" w:evenVBand="0" w:oddHBand="0" w:evenHBand="0" w:firstRowFirstColumn="0" w:firstRowLastColumn="0" w:lastRowFirstColumn="0" w:lastRowLastColumn="0"/>
            </w:pPr>
            <w:proofErr w:type="gramStart"/>
            <w:r w:rsidRPr="004C33D1">
              <w:t>The total number of owners of “development capacity”.</w:t>
            </w:r>
            <w:proofErr w:type="gramEnd"/>
          </w:p>
          <w:p w:rsidR="00243450" w:rsidRPr="004C33D1" w:rsidRDefault="00243450" w:rsidP="006277DC">
            <w:pPr>
              <w:pStyle w:val="TableText"/>
              <w:numPr>
                <w:ilvl w:val="0"/>
                <w:numId w:val="71"/>
              </w:numPr>
              <w:ind w:left="210" w:hanging="210"/>
              <w:jc w:val="left"/>
              <w:cnfStyle w:val="000000000000" w:firstRow="0" w:lastRow="0" w:firstColumn="0" w:lastColumn="0" w:oddVBand="0" w:evenVBand="0" w:oddHBand="0" w:evenHBand="0" w:firstRowFirstColumn="0" w:firstRowLastColumn="0" w:lastRowFirstColumn="0" w:lastRowLastColumn="0"/>
            </w:pPr>
            <w:proofErr w:type="gramStart"/>
            <w:r w:rsidRPr="004C33D1">
              <w:t>Each owner’s market share.</w:t>
            </w:r>
            <w:proofErr w:type="gramEnd"/>
          </w:p>
        </w:tc>
        <w:tc>
          <w:tcPr>
            <w:tcW w:w="1547" w:type="pct"/>
            <w:tcBorders>
              <w:top w:val="single" w:sz="12" w:space="0" w:color="A6A6A6" w:themeColor="background1" w:themeShade="A6"/>
              <w:left w:val="single" w:sz="8" w:space="0" w:color="A6A6A6" w:themeColor="background1" w:themeShade="A6"/>
              <w:bottom w:val="single" w:sz="12" w:space="0" w:color="A6A6A6" w:themeColor="background1" w:themeShade="A6"/>
              <w:right w:val="single" w:sz="8" w:space="0" w:color="A6A6A6" w:themeColor="background1" w:themeShade="A6"/>
            </w:tcBorders>
            <w:shd w:val="clear" w:color="auto" w:fill="auto"/>
            <w:vAlign w:val="top"/>
          </w:tcPr>
          <w:p w:rsidR="00243450" w:rsidRPr="004C33D1" w:rsidRDefault="00243450" w:rsidP="006F545D">
            <w:pPr>
              <w:pStyle w:val="TableText"/>
              <w:jc w:val="left"/>
              <w:cnfStyle w:val="000000000000" w:firstRow="0" w:lastRow="0" w:firstColumn="0" w:lastColumn="0" w:oddVBand="0" w:evenVBand="0" w:oddHBand="0" w:evenHBand="0" w:firstRowFirstColumn="0" w:firstRowLastColumn="0" w:lastRowFirstColumn="0" w:lastRowLastColumn="0"/>
            </w:pPr>
            <w:r w:rsidRPr="004C33D1">
              <w:t xml:space="preserve">Data on ownership and land area are available </w:t>
            </w:r>
            <w:r>
              <w:t>from Land Information New Zealand’s data service</w:t>
            </w:r>
            <w:r w:rsidRPr="004C33D1">
              <w:t>.</w:t>
            </w:r>
            <w:r>
              <w:t xml:space="preserve"> However, identifying ultimate owners may require Companies Office search.</w:t>
            </w:r>
          </w:p>
        </w:tc>
        <w:tc>
          <w:tcPr>
            <w:tcW w:w="1278" w:type="pct"/>
            <w:tcBorders>
              <w:top w:val="single" w:sz="12" w:space="0" w:color="A6A6A6" w:themeColor="background1" w:themeShade="A6"/>
              <w:left w:val="single" w:sz="8" w:space="0" w:color="A6A6A6" w:themeColor="background1" w:themeShade="A6"/>
              <w:bottom w:val="single" w:sz="12" w:space="0" w:color="A6A6A6" w:themeColor="background1" w:themeShade="A6"/>
            </w:tcBorders>
            <w:shd w:val="clear" w:color="auto" w:fill="auto"/>
            <w:vAlign w:val="top"/>
          </w:tcPr>
          <w:p w:rsidR="00243450" w:rsidRDefault="00243450" w:rsidP="006F545D">
            <w:pPr>
              <w:pStyle w:val="TableText"/>
              <w:jc w:val="left"/>
              <w:cnfStyle w:val="000000000000" w:firstRow="0" w:lastRow="0" w:firstColumn="0" w:lastColumn="0" w:oddVBand="0" w:evenVBand="0" w:oddHBand="0" w:evenHBand="0" w:firstRowFirstColumn="0" w:firstRowLastColumn="0" w:lastRowFirstColumn="0" w:lastRowLastColumn="0"/>
            </w:pPr>
            <w:r>
              <w:t>Base ownership data can be licensed from LINZ</w:t>
            </w:r>
            <w:r w:rsidR="00B51180">
              <w:rPr>
                <w:rStyle w:val="FootnoteReference"/>
              </w:rPr>
              <w:footnoteReference w:id="119"/>
            </w:r>
            <w:r>
              <w:t xml:space="preserve"> </w:t>
            </w:r>
          </w:p>
          <w:p w:rsidR="00243450" w:rsidRPr="004C33D1" w:rsidRDefault="00243450" w:rsidP="006F545D">
            <w:pPr>
              <w:pStyle w:val="TableText"/>
              <w:jc w:val="left"/>
              <w:cnfStyle w:val="000000000000" w:firstRow="0" w:lastRow="0" w:firstColumn="0" w:lastColumn="0" w:oddVBand="0" w:evenVBand="0" w:oddHBand="0" w:evenHBand="0" w:firstRowFirstColumn="0" w:firstRowLastColumn="0" w:lastRowFirstColumn="0" w:lastRowLastColumn="0"/>
            </w:pPr>
            <w:r>
              <w:t>Companies Office data: public, free (likely to require significant analysis)</w:t>
            </w:r>
          </w:p>
        </w:tc>
      </w:tr>
      <w:tr w:rsidR="00243450" w:rsidRPr="004C33D1" w:rsidTr="00963715">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539" w:type="pct"/>
            <w:tcBorders>
              <w:top w:val="single" w:sz="12" w:space="0" w:color="A6A6A6" w:themeColor="background1" w:themeShade="A6"/>
              <w:right w:val="single" w:sz="8" w:space="0" w:color="A6A6A6" w:themeColor="background1" w:themeShade="A6"/>
            </w:tcBorders>
            <w:shd w:val="clear" w:color="auto" w:fill="auto"/>
            <w:vAlign w:val="top"/>
          </w:tcPr>
          <w:p w:rsidR="00243450" w:rsidRPr="004C33D1" w:rsidRDefault="00243450" w:rsidP="006F545D">
            <w:pPr>
              <w:pStyle w:val="TableText"/>
            </w:pPr>
            <w:r w:rsidRPr="004C33D1">
              <w:t>Price indicators</w:t>
            </w:r>
          </w:p>
          <w:p w:rsidR="00243450" w:rsidRPr="004C33D1" w:rsidRDefault="00243450" w:rsidP="006F545D">
            <w:pPr>
              <w:pStyle w:val="TableText"/>
            </w:pPr>
            <w:r w:rsidRPr="004C33D1">
              <w:t>(Price discontinuities)</w:t>
            </w:r>
          </w:p>
        </w:tc>
        <w:tc>
          <w:tcPr>
            <w:tcW w:w="628" w:type="pct"/>
            <w:tcBorders>
              <w:top w:val="single" w:sz="12"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243450" w:rsidRPr="004C33D1" w:rsidRDefault="00243450" w:rsidP="006F545D">
            <w:pPr>
              <w:pStyle w:val="TableText"/>
              <w:numPr>
                <w:ilvl w:val="0"/>
                <w:numId w:val="51"/>
              </w:numPr>
              <w:ind w:left="0" w:firstLine="0"/>
              <w:jc w:val="left"/>
              <w:cnfStyle w:val="000000000000" w:firstRow="0" w:lastRow="0" w:firstColumn="0" w:lastColumn="0" w:oddVBand="0" w:evenVBand="0" w:oddHBand="0" w:evenHBand="0" w:firstRowFirstColumn="0" w:firstRowLastColumn="0" w:lastRowFirstColumn="0" w:lastRowLastColumn="0"/>
            </w:pPr>
            <w:r w:rsidRPr="004C33D1">
              <w:t>Discontinuities in land values between zones or at the urban fringe</w:t>
            </w:r>
          </w:p>
        </w:tc>
        <w:tc>
          <w:tcPr>
            <w:tcW w:w="1008" w:type="pct"/>
            <w:tcBorders>
              <w:top w:val="single" w:sz="12"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243450" w:rsidRPr="004C33D1" w:rsidRDefault="00243450" w:rsidP="006277DC">
            <w:pPr>
              <w:pStyle w:val="TableText"/>
              <w:numPr>
                <w:ilvl w:val="0"/>
                <w:numId w:val="71"/>
              </w:numPr>
              <w:ind w:left="210" w:hanging="210"/>
              <w:jc w:val="left"/>
              <w:cnfStyle w:val="000000000000" w:firstRow="0" w:lastRow="0" w:firstColumn="0" w:lastColumn="0" w:oddVBand="0" w:evenVBand="0" w:oddHBand="0" w:evenHBand="0" w:firstRowFirstColumn="0" w:firstRowLastColumn="0" w:lastRowFirstColumn="0" w:lastRowLastColumn="0"/>
            </w:pPr>
            <w:r>
              <w:t>Land valuation data</w:t>
            </w:r>
          </w:p>
          <w:p w:rsidR="00243450" w:rsidRPr="004C33D1" w:rsidRDefault="00243450" w:rsidP="006277DC">
            <w:pPr>
              <w:pStyle w:val="TableText"/>
              <w:numPr>
                <w:ilvl w:val="0"/>
                <w:numId w:val="71"/>
              </w:numPr>
              <w:ind w:left="210" w:hanging="210"/>
              <w:jc w:val="left"/>
              <w:cnfStyle w:val="000000000000" w:firstRow="0" w:lastRow="0" w:firstColumn="0" w:lastColumn="0" w:oddVBand="0" w:evenVBand="0" w:oddHBand="0" w:evenHBand="0" w:firstRowFirstColumn="0" w:firstRowLastColumn="0" w:lastRowFirstColumn="0" w:lastRowLastColumn="0"/>
            </w:pPr>
            <w:r>
              <w:t>Zoning maps</w:t>
            </w:r>
          </w:p>
          <w:p w:rsidR="00243450" w:rsidRDefault="00243450" w:rsidP="006277DC">
            <w:pPr>
              <w:pStyle w:val="TableText"/>
              <w:numPr>
                <w:ilvl w:val="0"/>
                <w:numId w:val="71"/>
              </w:numPr>
              <w:ind w:left="210" w:hanging="210"/>
              <w:jc w:val="left"/>
              <w:cnfStyle w:val="000000000000" w:firstRow="0" w:lastRow="0" w:firstColumn="0" w:lastColumn="0" w:oddVBand="0" w:evenVBand="0" w:oddHBand="0" w:evenHBand="0" w:firstRowFirstColumn="0" w:firstRowLastColumn="0" w:lastRowFirstColumn="0" w:lastRowLastColumn="0"/>
            </w:pPr>
            <w:r w:rsidRPr="004C33D1">
              <w:t>GIS analys</w:t>
            </w:r>
            <w:r>
              <w:t>is of property parcel location</w:t>
            </w:r>
          </w:p>
          <w:p w:rsidR="00243450" w:rsidRPr="004C33D1" w:rsidRDefault="00243450" w:rsidP="006277DC">
            <w:pPr>
              <w:pStyle w:val="TableText"/>
              <w:numPr>
                <w:ilvl w:val="0"/>
                <w:numId w:val="71"/>
              </w:numPr>
              <w:ind w:left="210" w:hanging="210"/>
              <w:jc w:val="left"/>
              <w:cnfStyle w:val="000000000000" w:firstRow="0" w:lastRow="0" w:firstColumn="0" w:lastColumn="0" w:oddVBand="0" w:evenVBand="0" w:oddHBand="0" w:evenHBand="0" w:firstRowFirstColumn="0" w:firstRowLastColumn="0" w:lastRowFirstColumn="0" w:lastRowLastColumn="0"/>
            </w:pPr>
            <w:r>
              <w:t>Land development costs</w:t>
            </w:r>
          </w:p>
        </w:tc>
        <w:tc>
          <w:tcPr>
            <w:tcW w:w="1547" w:type="pct"/>
            <w:tcBorders>
              <w:top w:val="single" w:sz="12"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243450" w:rsidRDefault="00243450" w:rsidP="006F545D">
            <w:pPr>
              <w:pStyle w:val="TableText"/>
              <w:jc w:val="left"/>
              <w:cnfStyle w:val="000000000000" w:firstRow="0" w:lastRow="0" w:firstColumn="0" w:lastColumn="0" w:oddVBand="0" w:evenVBand="0" w:oddHBand="0" w:evenHBand="0" w:firstRowFirstColumn="0" w:firstRowLastColumn="0" w:lastRowFirstColumn="0" w:lastRowLastColumn="0"/>
            </w:pPr>
            <w:r w:rsidRPr="004C33D1">
              <w:t>Land valuation data</w:t>
            </w:r>
            <w:r>
              <w:t xml:space="preserve">: </w:t>
            </w:r>
            <w:r w:rsidRPr="004C33D1">
              <w:t>QVNZ</w:t>
            </w:r>
            <w:r>
              <w:t>, or TLAs if they collect data themselves</w:t>
            </w:r>
          </w:p>
          <w:p w:rsidR="00243450" w:rsidRPr="004C33D1" w:rsidRDefault="00243450" w:rsidP="006F545D">
            <w:pPr>
              <w:pStyle w:val="TableText"/>
              <w:jc w:val="left"/>
              <w:cnfStyle w:val="000000000000" w:firstRow="0" w:lastRow="0" w:firstColumn="0" w:lastColumn="0" w:oddVBand="0" w:evenVBand="0" w:oddHBand="0" w:evenHBand="0" w:firstRowFirstColumn="0" w:firstRowLastColumn="0" w:lastRowFirstColumn="0" w:lastRowLastColumn="0"/>
            </w:pPr>
            <w:r>
              <w:t>Zoning maps: councils</w:t>
            </w:r>
          </w:p>
          <w:p w:rsidR="00243450" w:rsidRPr="004C33D1" w:rsidRDefault="00243450" w:rsidP="006F545D">
            <w:pPr>
              <w:pStyle w:val="TableText"/>
              <w:jc w:val="left"/>
              <w:cnfStyle w:val="000000000000" w:firstRow="0" w:lastRow="0" w:firstColumn="0" w:lastColumn="0" w:oddVBand="0" w:evenVBand="0" w:oddHBand="0" w:evenHBand="0" w:firstRowFirstColumn="0" w:firstRowLastColumn="0" w:lastRowFirstColumn="0" w:lastRowLastColumn="0"/>
            </w:pPr>
            <w:r>
              <w:t>Land development costs: Surveying companies or subdivision companies</w:t>
            </w:r>
          </w:p>
        </w:tc>
        <w:tc>
          <w:tcPr>
            <w:tcW w:w="1278" w:type="pct"/>
            <w:tcBorders>
              <w:top w:val="single" w:sz="12" w:space="0" w:color="A6A6A6" w:themeColor="background1" w:themeShade="A6"/>
              <w:left w:val="single" w:sz="8" w:space="0" w:color="A6A6A6" w:themeColor="background1" w:themeShade="A6"/>
              <w:bottom w:val="single" w:sz="8" w:space="0" w:color="A6A6A6" w:themeColor="background1" w:themeShade="A6"/>
            </w:tcBorders>
            <w:shd w:val="clear" w:color="auto" w:fill="auto"/>
            <w:vAlign w:val="top"/>
          </w:tcPr>
          <w:p w:rsidR="00243450" w:rsidRDefault="00243450" w:rsidP="006F545D">
            <w:pPr>
              <w:pStyle w:val="TableText"/>
              <w:jc w:val="left"/>
              <w:cnfStyle w:val="000000000000" w:firstRow="0" w:lastRow="0" w:firstColumn="0" w:lastColumn="0" w:oddVBand="0" w:evenVBand="0" w:oddHBand="0" w:evenHBand="0" w:firstRowFirstColumn="0" w:firstRowLastColumn="0" w:lastRowFirstColumn="0" w:lastRowLastColumn="0"/>
            </w:pPr>
            <w:r>
              <w:t>Valuation data: purchased from private providers</w:t>
            </w:r>
          </w:p>
          <w:p w:rsidR="00243450" w:rsidRDefault="00243450" w:rsidP="006F545D">
            <w:pPr>
              <w:pStyle w:val="TableText"/>
              <w:jc w:val="left"/>
              <w:cnfStyle w:val="000000000000" w:firstRow="0" w:lastRow="0" w:firstColumn="0" w:lastColumn="0" w:oddVBand="0" w:evenVBand="0" w:oddHBand="0" w:evenHBand="0" w:firstRowFirstColumn="0" w:firstRowLastColumn="0" w:lastRowFirstColumn="0" w:lastRowLastColumn="0"/>
            </w:pPr>
            <w:r>
              <w:t>Land development cost data: purchased from private providers</w:t>
            </w:r>
          </w:p>
          <w:p w:rsidR="00243450" w:rsidRPr="004C33D1" w:rsidRDefault="00243450" w:rsidP="006F545D">
            <w:pPr>
              <w:pStyle w:val="TableText"/>
              <w:jc w:val="left"/>
              <w:cnfStyle w:val="000000000000" w:firstRow="0" w:lastRow="0" w:firstColumn="0" w:lastColumn="0" w:oddVBand="0" w:evenVBand="0" w:oddHBand="0" w:evenHBand="0" w:firstRowFirstColumn="0" w:firstRowLastColumn="0" w:lastRowFirstColumn="0" w:lastRowLastColumn="0"/>
            </w:pPr>
            <w:r>
              <w:t>Statistical software is required to analyse the location of zone boundaries and properties</w:t>
            </w:r>
          </w:p>
        </w:tc>
      </w:tr>
      <w:tr w:rsidR="00243450" w:rsidRPr="004C33D1" w:rsidTr="00963715">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539" w:type="pct"/>
            <w:tcBorders>
              <w:bottom w:val="dashed" w:sz="4" w:space="0" w:color="auto"/>
              <w:right w:val="single" w:sz="8" w:space="0" w:color="A6A6A6" w:themeColor="background1" w:themeShade="A6"/>
            </w:tcBorders>
            <w:shd w:val="clear" w:color="auto" w:fill="auto"/>
            <w:vAlign w:val="top"/>
          </w:tcPr>
          <w:p w:rsidR="00243450" w:rsidRPr="004C33D1" w:rsidRDefault="00243450" w:rsidP="006F545D">
            <w:pPr>
              <w:pStyle w:val="TableText"/>
            </w:pPr>
          </w:p>
        </w:tc>
        <w:tc>
          <w:tcPr>
            <w:tcW w:w="628"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243450" w:rsidRPr="004C33D1" w:rsidRDefault="00243450" w:rsidP="006F545D">
            <w:pPr>
              <w:pStyle w:val="TableText"/>
              <w:numPr>
                <w:ilvl w:val="0"/>
                <w:numId w:val="51"/>
              </w:numPr>
              <w:ind w:left="0" w:firstLine="0"/>
              <w:jc w:val="left"/>
              <w:cnfStyle w:val="000000000000" w:firstRow="0" w:lastRow="0" w:firstColumn="0" w:lastColumn="0" w:oddVBand="0" w:evenVBand="0" w:oddHBand="0" w:evenHBand="0" w:firstRowFirstColumn="0" w:firstRowLastColumn="0" w:lastRowFirstColumn="0" w:lastRowLastColumn="0"/>
            </w:pPr>
            <w:r w:rsidRPr="004C33D1">
              <w:t>Ratio of rateable value to market value of land at its best alternative use</w:t>
            </w:r>
          </w:p>
        </w:tc>
        <w:tc>
          <w:tcPr>
            <w:tcW w:w="1008"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243450" w:rsidRDefault="00243450" w:rsidP="006277DC">
            <w:pPr>
              <w:pStyle w:val="TableText"/>
              <w:numPr>
                <w:ilvl w:val="0"/>
                <w:numId w:val="71"/>
              </w:numPr>
              <w:ind w:left="210" w:hanging="210"/>
              <w:jc w:val="left"/>
              <w:cnfStyle w:val="000000000000" w:firstRow="0" w:lastRow="0" w:firstColumn="0" w:lastColumn="0" w:oddVBand="0" w:evenVBand="0" w:oddHBand="0" w:evenHBand="0" w:firstRowFirstColumn="0" w:firstRowLastColumn="0" w:lastRowFirstColumn="0" w:lastRowLastColumn="0"/>
            </w:pPr>
            <w:r w:rsidRPr="004C33D1">
              <w:t>Rateable land values</w:t>
            </w:r>
          </w:p>
          <w:p w:rsidR="00243450" w:rsidRPr="004C33D1" w:rsidRDefault="00243450" w:rsidP="006277DC">
            <w:pPr>
              <w:pStyle w:val="TableText"/>
              <w:numPr>
                <w:ilvl w:val="0"/>
                <w:numId w:val="71"/>
              </w:numPr>
              <w:ind w:left="210" w:hanging="210"/>
              <w:jc w:val="left"/>
              <w:cnfStyle w:val="000000000000" w:firstRow="0" w:lastRow="0" w:firstColumn="0" w:lastColumn="0" w:oddVBand="0" w:evenVBand="0" w:oddHBand="0" w:evenHBand="0" w:firstRowFirstColumn="0" w:firstRowLastColumn="0" w:lastRowFirstColumn="0" w:lastRowLastColumn="0"/>
            </w:pPr>
            <w:r>
              <w:t>Alternative use values</w:t>
            </w:r>
          </w:p>
        </w:tc>
        <w:tc>
          <w:tcPr>
            <w:tcW w:w="1547"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243450" w:rsidRDefault="00243450" w:rsidP="006F545D">
            <w:pPr>
              <w:pStyle w:val="TableText"/>
              <w:jc w:val="left"/>
              <w:cnfStyle w:val="000000000000" w:firstRow="0" w:lastRow="0" w:firstColumn="0" w:lastColumn="0" w:oddVBand="0" w:evenVBand="0" w:oddHBand="0" w:evenHBand="0" w:firstRowFirstColumn="0" w:firstRowLastColumn="0" w:lastRowFirstColumn="0" w:lastRowLastColumn="0"/>
            </w:pPr>
            <w:r w:rsidRPr="004C33D1">
              <w:t>Land valuation data</w:t>
            </w:r>
            <w:r>
              <w:t xml:space="preserve">: </w:t>
            </w:r>
            <w:r w:rsidRPr="004C33D1">
              <w:t>QVNZ</w:t>
            </w:r>
            <w:r>
              <w:t>, or TLAs if they collect data themselves</w:t>
            </w:r>
          </w:p>
          <w:p w:rsidR="00243450" w:rsidRPr="004C33D1" w:rsidRDefault="00243450" w:rsidP="006F545D">
            <w:pPr>
              <w:pStyle w:val="TableText"/>
              <w:jc w:val="left"/>
              <w:cnfStyle w:val="000000000000" w:firstRow="0" w:lastRow="0" w:firstColumn="0" w:lastColumn="0" w:oddVBand="0" w:evenVBand="0" w:oddHBand="0" w:evenHBand="0" w:firstRowFirstColumn="0" w:firstRowLastColumn="0" w:lastRowFirstColumn="0" w:lastRowLastColumn="0"/>
            </w:pPr>
            <w:r>
              <w:t>Alternative use values require a “counterfactual analysis”</w:t>
            </w:r>
          </w:p>
        </w:tc>
        <w:tc>
          <w:tcPr>
            <w:tcW w:w="1278" w:type="pct"/>
            <w:tcBorders>
              <w:top w:val="single" w:sz="8" w:space="0" w:color="A6A6A6" w:themeColor="background1" w:themeShade="A6"/>
              <w:left w:val="single" w:sz="8" w:space="0" w:color="A6A6A6" w:themeColor="background1" w:themeShade="A6"/>
              <w:bottom w:val="single" w:sz="8" w:space="0" w:color="A6A6A6" w:themeColor="background1" w:themeShade="A6"/>
            </w:tcBorders>
            <w:shd w:val="clear" w:color="auto" w:fill="auto"/>
            <w:vAlign w:val="top"/>
          </w:tcPr>
          <w:p w:rsidR="00243450" w:rsidRDefault="00243450" w:rsidP="006F545D">
            <w:pPr>
              <w:pStyle w:val="TableText"/>
              <w:jc w:val="left"/>
              <w:cnfStyle w:val="000000000000" w:firstRow="0" w:lastRow="0" w:firstColumn="0" w:lastColumn="0" w:oddVBand="0" w:evenVBand="0" w:oddHBand="0" w:evenHBand="0" w:firstRowFirstColumn="0" w:firstRowLastColumn="0" w:lastRowFirstColumn="0" w:lastRowLastColumn="0"/>
            </w:pPr>
            <w:r>
              <w:t>Valuation data: purchased from private providers</w:t>
            </w:r>
          </w:p>
          <w:p w:rsidR="00243450" w:rsidRPr="004C33D1" w:rsidRDefault="00243450" w:rsidP="006F545D">
            <w:pPr>
              <w:pStyle w:val="TableText"/>
              <w:jc w:val="left"/>
              <w:cnfStyle w:val="000000000000" w:firstRow="0" w:lastRow="0" w:firstColumn="0" w:lastColumn="0" w:oddVBand="0" w:evenVBand="0" w:oddHBand="0" w:evenHBand="0" w:firstRowFirstColumn="0" w:firstRowLastColumn="0" w:lastRowFirstColumn="0" w:lastRowLastColumn="0"/>
            </w:pPr>
            <w:r>
              <w:t>Counterfactual analysis might use discontinuity data or require additional analysis and data</w:t>
            </w:r>
          </w:p>
        </w:tc>
      </w:tr>
      <w:tr w:rsidR="00243450" w:rsidRPr="004C33D1" w:rsidTr="00963715">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539" w:type="pct"/>
            <w:tcBorders>
              <w:top w:val="dashed" w:sz="4" w:space="0" w:color="auto"/>
              <w:right w:val="single" w:sz="8" w:space="0" w:color="A6A6A6" w:themeColor="background1" w:themeShade="A6"/>
            </w:tcBorders>
            <w:shd w:val="clear" w:color="auto" w:fill="auto"/>
            <w:vAlign w:val="top"/>
          </w:tcPr>
          <w:p w:rsidR="00243450" w:rsidRPr="004C33D1" w:rsidRDefault="00243450" w:rsidP="006F545D">
            <w:pPr>
              <w:pStyle w:val="TableText"/>
            </w:pPr>
            <w:r w:rsidRPr="004C33D1">
              <w:t>(Price comparisons)</w:t>
            </w:r>
          </w:p>
          <w:p w:rsidR="00243450" w:rsidRPr="004C33D1" w:rsidRDefault="00243450" w:rsidP="006F545D">
            <w:pPr>
              <w:pStyle w:val="TableText"/>
            </w:pPr>
          </w:p>
        </w:tc>
        <w:tc>
          <w:tcPr>
            <w:tcW w:w="628"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243450" w:rsidRPr="004C33D1" w:rsidRDefault="00243450" w:rsidP="006F545D">
            <w:pPr>
              <w:pStyle w:val="TableText"/>
              <w:numPr>
                <w:ilvl w:val="0"/>
                <w:numId w:val="51"/>
              </w:numPr>
              <w:ind w:left="0" w:firstLine="0"/>
              <w:jc w:val="left"/>
              <w:cnfStyle w:val="000000000000" w:firstRow="0" w:lastRow="0" w:firstColumn="0" w:lastColumn="0" w:oddVBand="0" w:evenVBand="0" w:oddHBand="0" w:evenHBand="0" w:firstRowFirstColumn="0" w:firstRowLastColumn="0" w:lastRowFirstColumn="0" w:lastRowLastColumn="0"/>
            </w:pPr>
            <w:r w:rsidRPr="004C33D1">
              <w:t>High-rise apartment sale prices against marginal construction costs</w:t>
            </w:r>
          </w:p>
        </w:tc>
        <w:tc>
          <w:tcPr>
            <w:tcW w:w="1008"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243450" w:rsidRPr="004C33D1" w:rsidRDefault="00243450" w:rsidP="006277DC">
            <w:pPr>
              <w:pStyle w:val="TableText"/>
              <w:numPr>
                <w:ilvl w:val="0"/>
                <w:numId w:val="71"/>
              </w:numPr>
              <w:ind w:left="210" w:hanging="210"/>
              <w:jc w:val="left"/>
              <w:cnfStyle w:val="000000000000" w:firstRow="0" w:lastRow="0" w:firstColumn="0" w:lastColumn="0" w:oddVBand="0" w:evenVBand="0" w:oddHBand="0" w:evenHBand="0" w:firstRowFirstColumn="0" w:firstRowLastColumn="0" w:lastRowFirstColumn="0" w:lastRowLastColumn="0"/>
            </w:pPr>
            <w:proofErr w:type="gramStart"/>
            <w:r w:rsidRPr="004C33D1">
              <w:t>Apartment sales data.</w:t>
            </w:r>
            <w:proofErr w:type="gramEnd"/>
          </w:p>
          <w:p w:rsidR="00243450" w:rsidRPr="004C33D1" w:rsidRDefault="00243450" w:rsidP="006277DC">
            <w:pPr>
              <w:pStyle w:val="TableText"/>
              <w:numPr>
                <w:ilvl w:val="0"/>
                <w:numId w:val="71"/>
              </w:numPr>
              <w:ind w:left="210" w:hanging="210"/>
              <w:jc w:val="left"/>
              <w:cnfStyle w:val="000000000000" w:firstRow="0" w:lastRow="0" w:firstColumn="0" w:lastColumn="0" w:oddVBand="0" w:evenVBand="0" w:oddHBand="0" w:evenHBand="0" w:firstRowFirstColumn="0" w:firstRowLastColumn="0" w:lastRowFirstColumn="0" w:lastRowLastColumn="0"/>
            </w:pPr>
            <w:r>
              <w:t>Construction cost data</w:t>
            </w:r>
          </w:p>
        </w:tc>
        <w:tc>
          <w:tcPr>
            <w:tcW w:w="1547"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243450" w:rsidRDefault="00243450" w:rsidP="006F545D">
            <w:pPr>
              <w:pStyle w:val="TableText"/>
              <w:jc w:val="left"/>
              <w:cnfStyle w:val="000000000000" w:firstRow="0" w:lastRow="0" w:firstColumn="0" w:lastColumn="0" w:oddVBand="0" w:evenVBand="0" w:oddHBand="0" w:evenHBand="0" w:firstRowFirstColumn="0" w:firstRowLastColumn="0" w:lastRowFirstColumn="0" w:lastRowLastColumn="0"/>
            </w:pPr>
            <w:r>
              <w:t xml:space="preserve">Sales data: </w:t>
            </w:r>
            <w:r w:rsidRPr="004C33D1">
              <w:t>QVNZ</w:t>
            </w:r>
            <w:r>
              <w:t xml:space="preserve"> or REINZ, or TLAs if they collect data themselves</w:t>
            </w:r>
          </w:p>
          <w:p w:rsidR="00243450" w:rsidRPr="004C33D1" w:rsidRDefault="00243450" w:rsidP="006F545D">
            <w:pPr>
              <w:pStyle w:val="TableText"/>
              <w:jc w:val="left"/>
              <w:cnfStyle w:val="000000000000" w:firstRow="0" w:lastRow="0" w:firstColumn="0" w:lastColumn="0" w:oddVBand="0" w:evenVBand="0" w:oddHBand="0" w:evenHBand="0" w:firstRowFirstColumn="0" w:firstRowLastColumn="0" w:lastRowFirstColumn="0" w:lastRowLastColumn="0"/>
            </w:pPr>
            <w:r>
              <w:t xml:space="preserve">Construction costs: </w:t>
            </w:r>
            <w:proofErr w:type="spellStart"/>
            <w:r w:rsidRPr="0045134F">
              <w:t>Rawlinsons</w:t>
            </w:r>
            <w:proofErr w:type="spellEnd"/>
            <w:r w:rsidRPr="0045134F">
              <w:t xml:space="preserve"> Construction Cost Handbook</w:t>
            </w:r>
            <w:r>
              <w:t xml:space="preserve"> (or equivalent)</w:t>
            </w:r>
          </w:p>
        </w:tc>
        <w:tc>
          <w:tcPr>
            <w:tcW w:w="1278" w:type="pct"/>
            <w:tcBorders>
              <w:top w:val="single" w:sz="8" w:space="0" w:color="A6A6A6" w:themeColor="background1" w:themeShade="A6"/>
              <w:left w:val="single" w:sz="8" w:space="0" w:color="A6A6A6" w:themeColor="background1" w:themeShade="A6"/>
              <w:bottom w:val="single" w:sz="8" w:space="0" w:color="A6A6A6" w:themeColor="background1" w:themeShade="A6"/>
            </w:tcBorders>
            <w:shd w:val="clear" w:color="auto" w:fill="auto"/>
            <w:vAlign w:val="top"/>
          </w:tcPr>
          <w:p w:rsidR="00243450" w:rsidRDefault="00243450" w:rsidP="006F545D">
            <w:pPr>
              <w:pStyle w:val="TableText"/>
              <w:jc w:val="left"/>
              <w:cnfStyle w:val="000000000000" w:firstRow="0" w:lastRow="0" w:firstColumn="0" w:lastColumn="0" w:oddVBand="0" w:evenVBand="0" w:oddHBand="0" w:evenHBand="0" w:firstRowFirstColumn="0" w:firstRowLastColumn="0" w:lastRowFirstColumn="0" w:lastRowLastColumn="0"/>
            </w:pPr>
            <w:r>
              <w:t>Sales</w:t>
            </w:r>
            <w:r w:rsidRPr="0045134F">
              <w:t xml:space="preserve"> data: purchased from private providers</w:t>
            </w:r>
          </w:p>
          <w:p w:rsidR="00243450" w:rsidRPr="004C33D1" w:rsidRDefault="00243450" w:rsidP="006F545D">
            <w:pPr>
              <w:pStyle w:val="TableText"/>
              <w:jc w:val="left"/>
              <w:cnfStyle w:val="000000000000" w:firstRow="0" w:lastRow="0" w:firstColumn="0" w:lastColumn="0" w:oddVBand="0" w:evenVBand="0" w:oddHBand="0" w:evenHBand="0" w:firstRowFirstColumn="0" w:firstRowLastColumn="0" w:lastRowFirstColumn="0" w:lastRowLastColumn="0"/>
            </w:pPr>
            <w:r>
              <w:t xml:space="preserve">Construction costs: private providers </w:t>
            </w:r>
          </w:p>
        </w:tc>
      </w:tr>
      <w:tr w:rsidR="00243450" w:rsidRPr="004C33D1" w:rsidTr="00963715">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539" w:type="pct"/>
            <w:tcBorders>
              <w:right w:val="single" w:sz="8" w:space="0" w:color="A6A6A6" w:themeColor="background1" w:themeShade="A6"/>
            </w:tcBorders>
            <w:shd w:val="clear" w:color="auto" w:fill="auto"/>
            <w:vAlign w:val="top"/>
          </w:tcPr>
          <w:p w:rsidR="00243450" w:rsidRPr="004C33D1" w:rsidRDefault="00243450" w:rsidP="006F545D">
            <w:pPr>
              <w:pStyle w:val="TableText"/>
            </w:pPr>
          </w:p>
        </w:tc>
        <w:tc>
          <w:tcPr>
            <w:tcW w:w="628"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243450" w:rsidRPr="004C33D1" w:rsidRDefault="00243450" w:rsidP="006F545D">
            <w:pPr>
              <w:pStyle w:val="TableText"/>
              <w:numPr>
                <w:ilvl w:val="0"/>
                <w:numId w:val="51"/>
              </w:numPr>
              <w:ind w:left="0" w:firstLine="0"/>
              <w:jc w:val="left"/>
              <w:cnfStyle w:val="000000000000" w:firstRow="0" w:lastRow="0" w:firstColumn="0" w:lastColumn="0" w:oddVBand="0" w:evenVBand="0" w:oddHBand="0" w:evenHBand="0" w:firstRowFirstColumn="0" w:firstRowLastColumn="0" w:lastRowFirstColumn="0" w:lastRowLastColumn="0"/>
            </w:pPr>
            <w:r w:rsidRPr="004C33D1">
              <w:t>Construction costs for residential or commercial buildings</w:t>
            </w:r>
          </w:p>
        </w:tc>
        <w:tc>
          <w:tcPr>
            <w:tcW w:w="1008"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243450" w:rsidRPr="004C33D1" w:rsidRDefault="00243450" w:rsidP="006277DC">
            <w:pPr>
              <w:pStyle w:val="TableText"/>
              <w:numPr>
                <w:ilvl w:val="0"/>
                <w:numId w:val="71"/>
              </w:numPr>
              <w:ind w:left="210" w:hanging="210"/>
              <w:jc w:val="left"/>
              <w:cnfStyle w:val="000000000000" w:firstRow="0" w:lastRow="0" w:firstColumn="0" w:lastColumn="0" w:oddVBand="0" w:evenVBand="0" w:oddHBand="0" w:evenHBand="0" w:firstRowFirstColumn="0" w:firstRowLastColumn="0" w:lastRowFirstColumn="0" w:lastRowLastColumn="0"/>
            </w:pPr>
            <w:r>
              <w:t>Construction cost data</w:t>
            </w:r>
          </w:p>
        </w:tc>
        <w:tc>
          <w:tcPr>
            <w:tcW w:w="1547"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243450" w:rsidRPr="004C33D1" w:rsidRDefault="00243450" w:rsidP="006F545D">
            <w:pPr>
              <w:pStyle w:val="TableText"/>
              <w:jc w:val="left"/>
              <w:cnfStyle w:val="000000000000" w:firstRow="0" w:lastRow="0" w:firstColumn="0" w:lastColumn="0" w:oddVBand="0" w:evenVBand="0" w:oddHBand="0" w:evenHBand="0" w:firstRowFirstColumn="0" w:firstRowLastColumn="0" w:lastRowFirstColumn="0" w:lastRowLastColumn="0"/>
            </w:pPr>
            <w:r>
              <w:t xml:space="preserve">Construction costs: </w:t>
            </w:r>
            <w:proofErr w:type="spellStart"/>
            <w:r w:rsidRPr="0045134F">
              <w:t>Rawlinsons</w:t>
            </w:r>
            <w:proofErr w:type="spellEnd"/>
            <w:r w:rsidRPr="0045134F">
              <w:t xml:space="preserve"> Construction Cost Handbook</w:t>
            </w:r>
            <w:r>
              <w:t xml:space="preserve"> (or equivalent)</w:t>
            </w:r>
          </w:p>
        </w:tc>
        <w:tc>
          <w:tcPr>
            <w:tcW w:w="1278" w:type="pct"/>
            <w:tcBorders>
              <w:top w:val="single" w:sz="8" w:space="0" w:color="A6A6A6" w:themeColor="background1" w:themeShade="A6"/>
              <w:left w:val="single" w:sz="8" w:space="0" w:color="A6A6A6" w:themeColor="background1" w:themeShade="A6"/>
              <w:bottom w:val="single" w:sz="8" w:space="0" w:color="A6A6A6" w:themeColor="background1" w:themeShade="A6"/>
            </w:tcBorders>
            <w:shd w:val="clear" w:color="auto" w:fill="auto"/>
            <w:vAlign w:val="top"/>
          </w:tcPr>
          <w:p w:rsidR="00243450" w:rsidRPr="004C33D1" w:rsidRDefault="00243450" w:rsidP="006F545D">
            <w:pPr>
              <w:pStyle w:val="TableText"/>
              <w:jc w:val="left"/>
              <w:cnfStyle w:val="000000000000" w:firstRow="0" w:lastRow="0" w:firstColumn="0" w:lastColumn="0" w:oddVBand="0" w:evenVBand="0" w:oddHBand="0" w:evenHBand="0" w:firstRowFirstColumn="0" w:firstRowLastColumn="0" w:lastRowFirstColumn="0" w:lastRowLastColumn="0"/>
            </w:pPr>
            <w:r>
              <w:t>Construction costs: private providers</w:t>
            </w:r>
          </w:p>
        </w:tc>
      </w:tr>
      <w:tr w:rsidR="00243450" w:rsidRPr="004C33D1" w:rsidTr="00963715">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539" w:type="pct"/>
            <w:tcBorders>
              <w:right w:val="single" w:sz="8" w:space="0" w:color="A6A6A6" w:themeColor="background1" w:themeShade="A6"/>
            </w:tcBorders>
            <w:shd w:val="clear" w:color="auto" w:fill="auto"/>
            <w:vAlign w:val="top"/>
          </w:tcPr>
          <w:p w:rsidR="00243450" w:rsidRPr="004C33D1" w:rsidRDefault="00243450" w:rsidP="006F545D">
            <w:pPr>
              <w:pStyle w:val="TableText"/>
            </w:pPr>
          </w:p>
        </w:tc>
        <w:tc>
          <w:tcPr>
            <w:tcW w:w="628"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243450" w:rsidRPr="004C33D1" w:rsidRDefault="00243450" w:rsidP="006F545D">
            <w:pPr>
              <w:pStyle w:val="TableText"/>
              <w:numPr>
                <w:ilvl w:val="0"/>
                <w:numId w:val="51"/>
              </w:numPr>
              <w:ind w:left="0" w:firstLine="0"/>
              <w:jc w:val="left"/>
              <w:cnfStyle w:val="000000000000" w:firstRow="0" w:lastRow="0" w:firstColumn="0" w:lastColumn="0" w:oddVBand="0" w:evenVBand="0" w:oddHBand="0" w:evenHBand="0" w:firstRowFirstColumn="0" w:firstRowLastColumn="0" w:lastRowFirstColumn="0" w:lastRowLastColumn="0"/>
            </w:pPr>
            <w:r w:rsidRPr="004C33D1">
              <w:t xml:space="preserve">Land development costs for new </w:t>
            </w:r>
            <w:r w:rsidRPr="004C33D1">
              <w:lastRenderedPageBreak/>
              <w:t>subdivisions</w:t>
            </w:r>
          </w:p>
        </w:tc>
        <w:tc>
          <w:tcPr>
            <w:tcW w:w="1008"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243450" w:rsidRPr="004C33D1" w:rsidRDefault="00243450" w:rsidP="006277DC">
            <w:pPr>
              <w:pStyle w:val="TableText"/>
              <w:numPr>
                <w:ilvl w:val="0"/>
                <w:numId w:val="71"/>
              </w:numPr>
              <w:ind w:left="230" w:hanging="230"/>
              <w:jc w:val="left"/>
              <w:cnfStyle w:val="000000000000" w:firstRow="0" w:lastRow="0" w:firstColumn="0" w:lastColumn="0" w:oddVBand="0" w:evenVBand="0" w:oddHBand="0" w:evenHBand="0" w:firstRowFirstColumn="0" w:firstRowLastColumn="0" w:lastRowFirstColumn="0" w:lastRowLastColumn="0"/>
            </w:pPr>
            <w:r>
              <w:lastRenderedPageBreak/>
              <w:t>Development costs data</w:t>
            </w:r>
          </w:p>
        </w:tc>
        <w:tc>
          <w:tcPr>
            <w:tcW w:w="1547"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243450" w:rsidRPr="004C33D1" w:rsidRDefault="00243450" w:rsidP="006F545D">
            <w:pPr>
              <w:pStyle w:val="TableText"/>
              <w:jc w:val="left"/>
              <w:cnfStyle w:val="000000000000" w:firstRow="0" w:lastRow="0" w:firstColumn="0" w:lastColumn="0" w:oddVBand="0" w:evenVBand="0" w:oddHBand="0" w:evenHBand="0" w:firstRowFirstColumn="0" w:firstRowLastColumn="0" w:lastRowFirstColumn="0" w:lastRowLastColumn="0"/>
            </w:pPr>
            <w:r>
              <w:t>Private suppliers</w:t>
            </w:r>
          </w:p>
        </w:tc>
        <w:tc>
          <w:tcPr>
            <w:tcW w:w="1278" w:type="pct"/>
            <w:tcBorders>
              <w:top w:val="single" w:sz="8" w:space="0" w:color="A6A6A6" w:themeColor="background1" w:themeShade="A6"/>
              <w:left w:val="single" w:sz="8" w:space="0" w:color="A6A6A6" w:themeColor="background1" w:themeShade="A6"/>
              <w:bottom w:val="single" w:sz="8" w:space="0" w:color="A6A6A6" w:themeColor="background1" w:themeShade="A6"/>
            </w:tcBorders>
            <w:shd w:val="clear" w:color="auto" w:fill="auto"/>
            <w:vAlign w:val="top"/>
          </w:tcPr>
          <w:p w:rsidR="00243450" w:rsidRPr="004C33D1" w:rsidRDefault="00243450" w:rsidP="006F545D">
            <w:pPr>
              <w:pStyle w:val="TableText"/>
              <w:jc w:val="left"/>
              <w:cnfStyle w:val="000000000000" w:firstRow="0" w:lastRow="0" w:firstColumn="0" w:lastColumn="0" w:oddVBand="0" w:evenVBand="0" w:oddHBand="0" w:evenHBand="0" w:firstRowFirstColumn="0" w:firstRowLastColumn="0" w:lastRowFirstColumn="0" w:lastRowLastColumn="0"/>
            </w:pPr>
            <w:r>
              <w:t>Data available from private suppliers at cost</w:t>
            </w:r>
          </w:p>
        </w:tc>
      </w:tr>
      <w:tr w:rsidR="00243450" w:rsidRPr="004C33D1" w:rsidTr="00963715">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539" w:type="pct"/>
            <w:tcBorders>
              <w:bottom w:val="single" w:sz="12" w:space="0" w:color="A6A6A6" w:themeColor="background1" w:themeShade="A6"/>
              <w:right w:val="single" w:sz="8" w:space="0" w:color="A6A6A6" w:themeColor="background1" w:themeShade="A6"/>
            </w:tcBorders>
            <w:shd w:val="clear" w:color="auto" w:fill="auto"/>
            <w:vAlign w:val="top"/>
          </w:tcPr>
          <w:p w:rsidR="00243450" w:rsidRPr="004C33D1" w:rsidRDefault="00243450" w:rsidP="006F545D">
            <w:pPr>
              <w:pStyle w:val="TableText"/>
            </w:pPr>
          </w:p>
        </w:tc>
        <w:tc>
          <w:tcPr>
            <w:tcW w:w="628" w:type="pct"/>
            <w:tcBorders>
              <w:top w:val="single" w:sz="8" w:space="0" w:color="A6A6A6" w:themeColor="background1" w:themeShade="A6"/>
              <w:left w:val="single" w:sz="8" w:space="0" w:color="A6A6A6" w:themeColor="background1" w:themeShade="A6"/>
              <w:bottom w:val="single" w:sz="12" w:space="0" w:color="A6A6A6" w:themeColor="background1" w:themeShade="A6"/>
              <w:right w:val="single" w:sz="8" w:space="0" w:color="A6A6A6" w:themeColor="background1" w:themeShade="A6"/>
            </w:tcBorders>
            <w:shd w:val="clear" w:color="auto" w:fill="auto"/>
            <w:vAlign w:val="top"/>
          </w:tcPr>
          <w:p w:rsidR="00243450" w:rsidRPr="004C33D1" w:rsidRDefault="00243450" w:rsidP="006F545D">
            <w:pPr>
              <w:pStyle w:val="TableText"/>
              <w:numPr>
                <w:ilvl w:val="0"/>
                <w:numId w:val="51"/>
              </w:numPr>
              <w:ind w:left="0" w:firstLine="0"/>
              <w:jc w:val="left"/>
              <w:cnfStyle w:val="000000000000" w:firstRow="0" w:lastRow="0" w:firstColumn="0" w:lastColumn="0" w:oddVBand="0" w:evenVBand="0" w:oddHBand="0" w:evenHBand="0" w:firstRowFirstColumn="0" w:firstRowLastColumn="0" w:lastRowFirstColumn="0" w:lastRowLastColumn="0"/>
            </w:pPr>
            <w:r w:rsidRPr="004C33D1">
              <w:t>Public infrastructure costs for new dwellings</w:t>
            </w:r>
          </w:p>
        </w:tc>
        <w:tc>
          <w:tcPr>
            <w:tcW w:w="1008" w:type="pct"/>
            <w:tcBorders>
              <w:top w:val="single" w:sz="8" w:space="0" w:color="A6A6A6" w:themeColor="background1" w:themeShade="A6"/>
              <w:left w:val="single" w:sz="8" w:space="0" w:color="A6A6A6" w:themeColor="background1" w:themeShade="A6"/>
              <w:bottom w:val="single" w:sz="12" w:space="0" w:color="A6A6A6" w:themeColor="background1" w:themeShade="A6"/>
              <w:right w:val="single" w:sz="8" w:space="0" w:color="A6A6A6" w:themeColor="background1" w:themeShade="A6"/>
            </w:tcBorders>
            <w:shd w:val="clear" w:color="auto" w:fill="auto"/>
            <w:vAlign w:val="top"/>
          </w:tcPr>
          <w:p w:rsidR="00243450" w:rsidRPr="004C33D1" w:rsidRDefault="00243450" w:rsidP="006277DC">
            <w:pPr>
              <w:pStyle w:val="TableText"/>
              <w:numPr>
                <w:ilvl w:val="0"/>
                <w:numId w:val="71"/>
              </w:numPr>
              <w:ind w:left="230" w:hanging="230"/>
              <w:jc w:val="left"/>
              <w:cnfStyle w:val="000000000000" w:firstRow="0" w:lastRow="0" w:firstColumn="0" w:lastColumn="0" w:oddVBand="0" w:evenVBand="0" w:oddHBand="0" w:evenHBand="0" w:firstRowFirstColumn="0" w:firstRowLastColumn="0" w:lastRowFirstColumn="0" w:lastRowLastColumn="0"/>
            </w:pPr>
            <w:r>
              <w:t>Infrastructure cost data</w:t>
            </w:r>
          </w:p>
        </w:tc>
        <w:tc>
          <w:tcPr>
            <w:tcW w:w="1547" w:type="pct"/>
            <w:tcBorders>
              <w:top w:val="single" w:sz="8" w:space="0" w:color="A6A6A6" w:themeColor="background1" w:themeShade="A6"/>
              <w:left w:val="single" w:sz="8" w:space="0" w:color="A6A6A6" w:themeColor="background1" w:themeShade="A6"/>
              <w:bottom w:val="single" w:sz="12" w:space="0" w:color="A6A6A6" w:themeColor="background1" w:themeShade="A6"/>
              <w:right w:val="single" w:sz="8" w:space="0" w:color="A6A6A6" w:themeColor="background1" w:themeShade="A6"/>
            </w:tcBorders>
            <w:shd w:val="clear" w:color="auto" w:fill="auto"/>
            <w:vAlign w:val="top"/>
          </w:tcPr>
          <w:p w:rsidR="00243450" w:rsidRPr="004C33D1" w:rsidRDefault="00243450" w:rsidP="006F545D">
            <w:pPr>
              <w:pStyle w:val="TableText"/>
              <w:jc w:val="left"/>
              <w:cnfStyle w:val="000000000000" w:firstRow="0" w:lastRow="0" w:firstColumn="0" w:lastColumn="0" w:oddVBand="0" w:evenVBand="0" w:oddHBand="0" w:evenHBand="0" w:firstRowFirstColumn="0" w:firstRowLastColumn="0" w:lastRowFirstColumn="0" w:lastRowLastColumn="0"/>
            </w:pPr>
            <w:r>
              <w:t>Infrastructure providers, including transport agencies, councils, and infrastructure CCOs</w:t>
            </w:r>
          </w:p>
        </w:tc>
        <w:tc>
          <w:tcPr>
            <w:tcW w:w="1278" w:type="pct"/>
            <w:tcBorders>
              <w:top w:val="single" w:sz="8" w:space="0" w:color="A6A6A6" w:themeColor="background1" w:themeShade="A6"/>
              <w:left w:val="single" w:sz="8" w:space="0" w:color="A6A6A6" w:themeColor="background1" w:themeShade="A6"/>
              <w:bottom w:val="single" w:sz="12" w:space="0" w:color="A6A6A6" w:themeColor="background1" w:themeShade="A6"/>
            </w:tcBorders>
            <w:shd w:val="clear" w:color="auto" w:fill="auto"/>
            <w:vAlign w:val="top"/>
          </w:tcPr>
          <w:p w:rsidR="00243450" w:rsidRPr="004C33D1" w:rsidRDefault="00243450" w:rsidP="006F545D">
            <w:pPr>
              <w:pStyle w:val="TableText"/>
              <w:jc w:val="left"/>
              <w:cnfStyle w:val="000000000000" w:firstRow="0" w:lastRow="0" w:firstColumn="0" w:lastColumn="0" w:oddVBand="0" w:evenVBand="0" w:oddHBand="0" w:evenHBand="0" w:firstRowFirstColumn="0" w:firstRowLastColumn="0" w:lastRowFirstColumn="0" w:lastRowLastColumn="0"/>
            </w:pPr>
            <w:proofErr w:type="gramStart"/>
            <w:r>
              <w:t>Some data available from public (council) source.</w:t>
            </w:r>
            <w:proofErr w:type="gramEnd"/>
            <w:r>
              <w:t xml:space="preserve"> May require engineering estimates</w:t>
            </w:r>
          </w:p>
        </w:tc>
      </w:tr>
      <w:tr w:rsidR="003202E3" w:rsidRPr="004C33D1" w:rsidTr="003202E3">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539" w:type="pct"/>
            <w:tcBorders>
              <w:top w:val="single" w:sz="12" w:space="0" w:color="A6A6A6" w:themeColor="background1" w:themeShade="A6"/>
              <w:right w:val="single" w:sz="8" w:space="0" w:color="A6A6A6" w:themeColor="background1" w:themeShade="A6"/>
            </w:tcBorders>
            <w:shd w:val="clear" w:color="auto" w:fill="auto"/>
            <w:vAlign w:val="top"/>
          </w:tcPr>
          <w:p w:rsidR="003202E3" w:rsidRPr="004C33D1" w:rsidRDefault="003202E3" w:rsidP="006F545D">
            <w:pPr>
              <w:pStyle w:val="TableText"/>
            </w:pPr>
            <w:r w:rsidRPr="004C33D1">
              <w:t>Affordability</w:t>
            </w:r>
          </w:p>
        </w:tc>
        <w:tc>
          <w:tcPr>
            <w:tcW w:w="628" w:type="pct"/>
            <w:tcBorders>
              <w:top w:val="single" w:sz="12"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3202E3" w:rsidRPr="004C33D1" w:rsidRDefault="003202E3" w:rsidP="006F545D">
            <w:pPr>
              <w:pStyle w:val="TableText"/>
              <w:jc w:val="left"/>
              <w:cnfStyle w:val="000000000000" w:firstRow="0" w:lastRow="0" w:firstColumn="0" w:lastColumn="0" w:oddVBand="0" w:evenVBand="0" w:oddHBand="0" w:evenHBand="0" w:firstRowFirstColumn="0" w:firstRowLastColumn="0" w:lastRowFirstColumn="0" w:lastRowLastColumn="0"/>
            </w:pPr>
          </w:p>
        </w:tc>
        <w:tc>
          <w:tcPr>
            <w:tcW w:w="1008" w:type="pct"/>
            <w:tcBorders>
              <w:top w:val="single" w:sz="12"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3202E3" w:rsidRDefault="003202E3" w:rsidP="006F545D">
            <w:pPr>
              <w:pStyle w:val="TableText"/>
              <w:cnfStyle w:val="000000000000" w:firstRow="0" w:lastRow="0" w:firstColumn="0" w:lastColumn="0" w:oddVBand="0" w:evenVBand="0" w:oddHBand="0" w:evenHBand="0" w:firstRowFirstColumn="0" w:firstRowLastColumn="0" w:lastRowFirstColumn="0" w:lastRowLastColumn="0"/>
            </w:pPr>
          </w:p>
        </w:tc>
        <w:tc>
          <w:tcPr>
            <w:tcW w:w="2825" w:type="pct"/>
            <w:gridSpan w:val="2"/>
            <w:tcBorders>
              <w:top w:val="single" w:sz="12" w:space="0" w:color="A6A6A6" w:themeColor="background1" w:themeShade="A6"/>
              <w:left w:val="single" w:sz="8" w:space="0" w:color="A6A6A6" w:themeColor="background1" w:themeShade="A6"/>
              <w:bottom w:val="single" w:sz="8" w:space="0" w:color="A6A6A6" w:themeColor="background1" w:themeShade="A6"/>
            </w:tcBorders>
            <w:shd w:val="clear" w:color="auto" w:fill="auto"/>
            <w:vAlign w:val="top"/>
          </w:tcPr>
          <w:p w:rsidR="003202E3" w:rsidRDefault="003202E3" w:rsidP="00963715">
            <w:pPr>
              <w:pStyle w:val="TableText"/>
              <w:jc w:val="left"/>
              <w:cnfStyle w:val="000000000000" w:firstRow="0" w:lastRow="0" w:firstColumn="0" w:lastColumn="0" w:oddVBand="0" w:evenVBand="0" w:oddHBand="0" w:evenHBand="0" w:firstRowFirstColumn="0" w:firstRowLastColumn="0" w:lastRowFirstColumn="0" w:lastRowLastColumn="0"/>
            </w:pPr>
            <w:r w:rsidRPr="00963715">
              <w:rPr>
                <w:b/>
              </w:rPr>
              <w:t>All data may be available from MBIE’s HAM analysis</w:t>
            </w:r>
          </w:p>
        </w:tc>
      </w:tr>
      <w:tr w:rsidR="00243450" w:rsidRPr="004C33D1" w:rsidTr="00963715">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539" w:type="pct"/>
            <w:tcBorders>
              <w:right w:val="single" w:sz="8" w:space="0" w:color="A6A6A6" w:themeColor="background1" w:themeShade="A6"/>
            </w:tcBorders>
            <w:shd w:val="clear" w:color="auto" w:fill="auto"/>
            <w:vAlign w:val="top"/>
          </w:tcPr>
          <w:p w:rsidR="00243450" w:rsidRPr="004C33D1" w:rsidRDefault="00243450" w:rsidP="006F545D">
            <w:pPr>
              <w:pStyle w:val="TableText"/>
            </w:pPr>
          </w:p>
        </w:tc>
        <w:tc>
          <w:tcPr>
            <w:tcW w:w="628"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243450" w:rsidRPr="004C33D1" w:rsidRDefault="00243450" w:rsidP="006F545D">
            <w:pPr>
              <w:pStyle w:val="TableText"/>
              <w:numPr>
                <w:ilvl w:val="0"/>
                <w:numId w:val="51"/>
              </w:numPr>
              <w:ind w:left="0" w:firstLine="0"/>
              <w:jc w:val="left"/>
              <w:cnfStyle w:val="000000000000" w:firstRow="0" w:lastRow="0" w:firstColumn="0" w:lastColumn="0" w:oddVBand="0" w:evenVBand="0" w:oddHBand="0" w:evenHBand="0" w:firstRowFirstColumn="0" w:firstRowLastColumn="0" w:lastRowFirstColumn="0" w:lastRowLastColumn="0"/>
            </w:pPr>
            <w:r w:rsidRPr="004C33D1">
              <w:t>Ho</w:t>
            </w:r>
            <w:r w:rsidR="007D371A">
              <w:t>m</w:t>
            </w:r>
            <w:r w:rsidRPr="004C33D1">
              <w:t>e price to income: lower quartile ho</w:t>
            </w:r>
            <w:r w:rsidR="007D371A">
              <w:t>m</w:t>
            </w:r>
            <w:r w:rsidRPr="004C33D1">
              <w:t>e price to median household income</w:t>
            </w:r>
          </w:p>
        </w:tc>
        <w:tc>
          <w:tcPr>
            <w:tcW w:w="1008"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243450" w:rsidRPr="004C33D1" w:rsidRDefault="00243450" w:rsidP="006277DC">
            <w:pPr>
              <w:pStyle w:val="TableText"/>
              <w:numPr>
                <w:ilvl w:val="0"/>
                <w:numId w:val="71"/>
              </w:numPr>
              <w:ind w:left="210" w:hanging="210"/>
              <w:jc w:val="left"/>
              <w:cnfStyle w:val="000000000000" w:firstRow="0" w:lastRow="0" w:firstColumn="0" w:lastColumn="0" w:oddVBand="0" w:evenVBand="0" w:oddHBand="0" w:evenHBand="0" w:firstRowFirstColumn="0" w:firstRowLastColumn="0" w:lastRowFirstColumn="0" w:lastRowLastColumn="0"/>
            </w:pPr>
            <w:r>
              <w:t>L</w:t>
            </w:r>
            <w:r w:rsidRPr="004C33D1">
              <w:t>ower quartile ho</w:t>
            </w:r>
            <w:r w:rsidR="007D371A">
              <w:t>m</w:t>
            </w:r>
            <w:r w:rsidRPr="004C33D1">
              <w:t xml:space="preserve">e price by </w:t>
            </w:r>
            <w:r>
              <w:t>TA</w:t>
            </w:r>
          </w:p>
          <w:p w:rsidR="00243450" w:rsidRPr="004C33D1" w:rsidRDefault="00243450" w:rsidP="006277DC">
            <w:pPr>
              <w:pStyle w:val="TableText"/>
              <w:numPr>
                <w:ilvl w:val="0"/>
                <w:numId w:val="71"/>
              </w:numPr>
              <w:ind w:left="210" w:hanging="210"/>
              <w:jc w:val="left"/>
              <w:cnfStyle w:val="000000000000" w:firstRow="0" w:lastRow="0" w:firstColumn="0" w:lastColumn="0" w:oddVBand="0" w:evenVBand="0" w:oddHBand="0" w:evenHBand="0" w:firstRowFirstColumn="0" w:firstRowLastColumn="0" w:lastRowFirstColumn="0" w:lastRowLastColumn="0"/>
            </w:pPr>
            <w:r>
              <w:t>M</w:t>
            </w:r>
            <w:r w:rsidRPr="004C33D1">
              <w:t xml:space="preserve">edian individual </w:t>
            </w:r>
            <w:r>
              <w:t xml:space="preserve">&amp; household </w:t>
            </w:r>
            <w:r w:rsidRPr="004C33D1">
              <w:t xml:space="preserve">income by </w:t>
            </w:r>
            <w:r>
              <w:t>TA</w:t>
            </w:r>
          </w:p>
        </w:tc>
        <w:tc>
          <w:tcPr>
            <w:tcW w:w="1547"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243450" w:rsidRDefault="00243450" w:rsidP="006F545D">
            <w:pPr>
              <w:pStyle w:val="TableText"/>
              <w:jc w:val="left"/>
              <w:cnfStyle w:val="000000000000" w:firstRow="0" w:lastRow="0" w:firstColumn="0" w:lastColumn="0" w:oddVBand="0" w:evenVBand="0" w:oddHBand="0" w:evenHBand="0" w:firstRowFirstColumn="0" w:firstRowLastColumn="0" w:lastRowFirstColumn="0" w:lastRowLastColumn="0"/>
            </w:pPr>
            <w:r>
              <w:t xml:space="preserve">Sales data: </w:t>
            </w:r>
            <w:r w:rsidRPr="004C33D1">
              <w:t>QVNZ</w:t>
            </w:r>
            <w:r>
              <w:t xml:space="preserve"> or REINZ, or TLAs if they collect data themselves</w:t>
            </w:r>
          </w:p>
          <w:p w:rsidR="00243450" w:rsidRPr="004C33D1" w:rsidRDefault="00243450" w:rsidP="006F545D">
            <w:pPr>
              <w:pStyle w:val="TableText"/>
              <w:jc w:val="left"/>
              <w:cnfStyle w:val="000000000000" w:firstRow="0" w:lastRow="0" w:firstColumn="0" w:lastColumn="0" w:oddVBand="0" w:evenVBand="0" w:oddHBand="0" w:evenHBand="0" w:firstRowFirstColumn="0" w:firstRowLastColumn="0" w:lastRowFirstColumn="0" w:lastRowLastColumn="0"/>
            </w:pPr>
            <w:r w:rsidRPr="004C33D1">
              <w:t>Individual income data</w:t>
            </w:r>
            <w:r>
              <w:t>:</w:t>
            </w:r>
            <w:r w:rsidRPr="004C33D1">
              <w:t xml:space="preserve"> Linked Employer-Employee Data (LEED)</w:t>
            </w:r>
            <w:r>
              <w:t xml:space="preserve"> - </w:t>
            </w:r>
            <w:proofErr w:type="spellStart"/>
            <w:r w:rsidRPr="004C33D1">
              <w:t>NZ.stat</w:t>
            </w:r>
            <w:proofErr w:type="spellEnd"/>
            <w:r w:rsidR="007D1AB1">
              <w:rPr>
                <w:rStyle w:val="FootnoteReference"/>
              </w:rPr>
              <w:footnoteReference w:id="120"/>
            </w:r>
          </w:p>
          <w:p w:rsidR="00243450" w:rsidRPr="004C33D1" w:rsidRDefault="00243450" w:rsidP="006F545D">
            <w:pPr>
              <w:pStyle w:val="TableText"/>
              <w:jc w:val="left"/>
              <w:cnfStyle w:val="000000000000" w:firstRow="0" w:lastRow="0" w:firstColumn="0" w:lastColumn="0" w:oddVBand="0" w:evenVBand="0" w:oddHBand="0" w:evenHBand="0" w:firstRowFirstColumn="0" w:firstRowLastColumn="0" w:lastRowFirstColumn="0" w:lastRowLastColumn="0"/>
              <w:rPr>
                <w:b/>
              </w:rPr>
            </w:pPr>
            <w:r w:rsidRPr="004C33D1">
              <w:t>Median household income</w:t>
            </w:r>
            <w:r>
              <w:t>:</w:t>
            </w:r>
            <w:r w:rsidRPr="004C33D1">
              <w:t xml:space="preserve"> Census </w:t>
            </w:r>
            <w:r>
              <w:t>data</w:t>
            </w:r>
          </w:p>
        </w:tc>
        <w:tc>
          <w:tcPr>
            <w:tcW w:w="1278" w:type="pct"/>
            <w:tcBorders>
              <w:top w:val="single" w:sz="8" w:space="0" w:color="A6A6A6" w:themeColor="background1" w:themeShade="A6"/>
              <w:left w:val="single" w:sz="8" w:space="0" w:color="A6A6A6" w:themeColor="background1" w:themeShade="A6"/>
              <w:bottom w:val="single" w:sz="8" w:space="0" w:color="A6A6A6" w:themeColor="background1" w:themeShade="A6"/>
            </w:tcBorders>
            <w:shd w:val="clear" w:color="auto" w:fill="auto"/>
            <w:vAlign w:val="top"/>
          </w:tcPr>
          <w:p w:rsidR="00243450" w:rsidRDefault="00243450" w:rsidP="006F545D">
            <w:pPr>
              <w:pStyle w:val="TableText"/>
              <w:jc w:val="left"/>
              <w:cnfStyle w:val="000000000000" w:firstRow="0" w:lastRow="0" w:firstColumn="0" w:lastColumn="0" w:oddVBand="0" w:evenVBand="0" w:oddHBand="0" w:evenHBand="0" w:firstRowFirstColumn="0" w:firstRowLastColumn="0" w:lastRowFirstColumn="0" w:lastRowLastColumn="0"/>
            </w:pPr>
            <w:r>
              <w:t>Sales</w:t>
            </w:r>
            <w:r w:rsidRPr="0045134F">
              <w:t xml:space="preserve"> data: purchased from private providers</w:t>
            </w:r>
          </w:p>
          <w:p w:rsidR="00243450" w:rsidRDefault="00243450" w:rsidP="006F545D">
            <w:pPr>
              <w:pStyle w:val="TableText"/>
              <w:jc w:val="left"/>
              <w:cnfStyle w:val="000000000000" w:firstRow="0" w:lastRow="0" w:firstColumn="0" w:lastColumn="0" w:oddVBand="0" w:evenVBand="0" w:oddHBand="0" w:evenHBand="0" w:firstRowFirstColumn="0" w:firstRowLastColumn="0" w:lastRowFirstColumn="0" w:lastRowLastColumn="0"/>
            </w:pPr>
            <w:r>
              <w:t>LEED: public, free</w:t>
            </w:r>
          </w:p>
          <w:p w:rsidR="00243450" w:rsidRPr="004C33D1" w:rsidRDefault="00243450" w:rsidP="006F545D">
            <w:pPr>
              <w:pStyle w:val="TableText"/>
              <w:jc w:val="left"/>
              <w:cnfStyle w:val="000000000000" w:firstRow="0" w:lastRow="0" w:firstColumn="0" w:lastColumn="0" w:oddVBand="0" w:evenVBand="0" w:oddHBand="0" w:evenHBand="0" w:firstRowFirstColumn="0" w:firstRowLastColumn="0" w:lastRowFirstColumn="0" w:lastRowLastColumn="0"/>
            </w:pPr>
            <w:r>
              <w:t>Census: public, free</w:t>
            </w:r>
          </w:p>
        </w:tc>
      </w:tr>
      <w:tr w:rsidR="00243450" w:rsidRPr="004C33D1" w:rsidTr="00963715">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539" w:type="pct"/>
            <w:tcBorders>
              <w:right w:val="single" w:sz="8" w:space="0" w:color="A6A6A6" w:themeColor="background1" w:themeShade="A6"/>
            </w:tcBorders>
            <w:shd w:val="clear" w:color="auto" w:fill="auto"/>
            <w:vAlign w:val="top"/>
          </w:tcPr>
          <w:p w:rsidR="00243450" w:rsidRPr="004C33D1" w:rsidRDefault="00243450" w:rsidP="006F545D">
            <w:pPr>
              <w:pStyle w:val="TableText"/>
            </w:pPr>
          </w:p>
        </w:tc>
        <w:tc>
          <w:tcPr>
            <w:tcW w:w="628"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243450" w:rsidRPr="004C33D1" w:rsidRDefault="00243450" w:rsidP="006F545D">
            <w:pPr>
              <w:pStyle w:val="TableText"/>
              <w:numPr>
                <w:ilvl w:val="0"/>
                <w:numId w:val="51"/>
              </w:numPr>
              <w:ind w:left="0" w:firstLine="0"/>
              <w:jc w:val="left"/>
              <w:cnfStyle w:val="000000000000" w:firstRow="0" w:lastRow="0" w:firstColumn="0" w:lastColumn="0" w:oddVBand="0" w:evenVBand="0" w:oddHBand="0" w:evenHBand="0" w:firstRowFirstColumn="0" w:firstRowLastColumn="0" w:lastRowFirstColumn="0" w:lastRowLastColumn="0"/>
            </w:pPr>
            <w:r w:rsidRPr="004C33D1">
              <w:t xml:space="preserve">Mortgage repayments to income </w:t>
            </w:r>
          </w:p>
        </w:tc>
        <w:tc>
          <w:tcPr>
            <w:tcW w:w="1008"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243450" w:rsidRPr="004C33D1" w:rsidRDefault="00243450" w:rsidP="006277DC">
            <w:pPr>
              <w:pStyle w:val="TableText"/>
              <w:numPr>
                <w:ilvl w:val="0"/>
                <w:numId w:val="71"/>
              </w:numPr>
              <w:ind w:left="210" w:hanging="210"/>
              <w:jc w:val="left"/>
              <w:cnfStyle w:val="000000000000" w:firstRow="0" w:lastRow="0" w:firstColumn="0" w:lastColumn="0" w:oddVBand="0" w:evenVBand="0" w:oddHBand="0" w:evenHBand="0" w:firstRowFirstColumn="0" w:firstRowLastColumn="0" w:lastRowFirstColumn="0" w:lastRowLastColumn="0"/>
            </w:pPr>
            <w:r>
              <w:t>M</w:t>
            </w:r>
            <w:r w:rsidRPr="004C33D1">
              <w:t>edian ho</w:t>
            </w:r>
            <w:r w:rsidR="007D371A">
              <w:t>m</w:t>
            </w:r>
            <w:r w:rsidRPr="004C33D1">
              <w:t>e price by</w:t>
            </w:r>
            <w:r>
              <w:t xml:space="preserve"> TA</w:t>
            </w:r>
          </w:p>
          <w:p w:rsidR="00243450" w:rsidRPr="004C33D1" w:rsidRDefault="00243450" w:rsidP="006277DC">
            <w:pPr>
              <w:pStyle w:val="TableText"/>
              <w:numPr>
                <w:ilvl w:val="0"/>
                <w:numId w:val="71"/>
              </w:numPr>
              <w:ind w:left="210" w:hanging="210"/>
              <w:jc w:val="left"/>
              <w:cnfStyle w:val="000000000000" w:firstRow="0" w:lastRow="0" w:firstColumn="0" w:lastColumn="0" w:oddVBand="0" w:evenVBand="0" w:oddHBand="0" w:evenHBand="0" w:firstRowFirstColumn="0" w:firstRowLastColumn="0" w:lastRowFirstColumn="0" w:lastRowLastColumn="0"/>
            </w:pPr>
            <w:r w:rsidRPr="004C33D1">
              <w:t>Average of 2 year fixed and floating mortgage rates</w:t>
            </w:r>
          </w:p>
          <w:p w:rsidR="00243450" w:rsidRPr="004C33D1" w:rsidRDefault="00243450" w:rsidP="006277DC">
            <w:pPr>
              <w:pStyle w:val="TableText"/>
              <w:numPr>
                <w:ilvl w:val="0"/>
                <w:numId w:val="71"/>
              </w:numPr>
              <w:ind w:left="210" w:hanging="210"/>
              <w:jc w:val="left"/>
              <w:cnfStyle w:val="000000000000" w:firstRow="0" w:lastRow="0" w:firstColumn="0" w:lastColumn="0" w:oddVBand="0" w:evenVBand="0" w:oddHBand="0" w:evenHBand="0" w:firstRowFirstColumn="0" w:firstRowLastColumn="0" w:lastRowFirstColumn="0" w:lastRowLastColumn="0"/>
            </w:pPr>
            <w:r>
              <w:t>M</w:t>
            </w:r>
            <w:r w:rsidRPr="004C33D1">
              <w:t xml:space="preserve">edian individual </w:t>
            </w:r>
            <w:r>
              <w:t xml:space="preserve">&amp; household </w:t>
            </w:r>
            <w:r w:rsidRPr="004C33D1">
              <w:t xml:space="preserve">income by </w:t>
            </w:r>
            <w:r>
              <w:t>TA</w:t>
            </w:r>
          </w:p>
        </w:tc>
        <w:tc>
          <w:tcPr>
            <w:tcW w:w="1547"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243450" w:rsidRDefault="00243450" w:rsidP="006F545D">
            <w:pPr>
              <w:pStyle w:val="TableText"/>
              <w:jc w:val="left"/>
              <w:cnfStyle w:val="000000000000" w:firstRow="0" w:lastRow="0" w:firstColumn="0" w:lastColumn="0" w:oddVBand="0" w:evenVBand="0" w:oddHBand="0" w:evenHBand="0" w:firstRowFirstColumn="0" w:firstRowLastColumn="0" w:lastRowFirstColumn="0" w:lastRowLastColumn="0"/>
            </w:pPr>
            <w:r>
              <w:t xml:space="preserve">Sales data: </w:t>
            </w:r>
            <w:r w:rsidRPr="004C33D1">
              <w:t>QVNZ</w:t>
            </w:r>
            <w:r>
              <w:t xml:space="preserve"> or REINZ, or TLAs if they collect data themselves</w:t>
            </w:r>
          </w:p>
          <w:p w:rsidR="00243450" w:rsidRPr="004C33D1" w:rsidRDefault="00243450" w:rsidP="006F545D">
            <w:pPr>
              <w:pStyle w:val="TableText"/>
              <w:jc w:val="left"/>
              <w:cnfStyle w:val="000000000000" w:firstRow="0" w:lastRow="0" w:firstColumn="0" w:lastColumn="0" w:oddVBand="0" w:evenVBand="0" w:oddHBand="0" w:evenHBand="0" w:firstRowFirstColumn="0" w:firstRowLastColumn="0" w:lastRowFirstColumn="0" w:lastRowLastColumn="0"/>
            </w:pPr>
            <w:r w:rsidRPr="004C33D1">
              <w:t>Mortgage rates</w:t>
            </w:r>
            <w:r>
              <w:t>:</w:t>
            </w:r>
            <w:r w:rsidRPr="004C33D1">
              <w:t xml:space="preserve"> RBNZ </w:t>
            </w:r>
          </w:p>
          <w:p w:rsidR="00243450" w:rsidRPr="004C33D1" w:rsidRDefault="00243450" w:rsidP="006F545D">
            <w:pPr>
              <w:pStyle w:val="TableText"/>
              <w:jc w:val="left"/>
              <w:cnfStyle w:val="000000000000" w:firstRow="0" w:lastRow="0" w:firstColumn="0" w:lastColumn="0" w:oddVBand="0" w:evenVBand="0" w:oddHBand="0" w:evenHBand="0" w:firstRowFirstColumn="0" w:firstRowLastColumn="0" w:lastRowFirstColumn="0" w:lastRowLastColumn="0"/>
            </w:pPr>
            <w:r w:rsidRPr="004C33D1">
              <w:t>Individual income data</w:t>
            </w:r>
            <w:r>
              <w:t>:</w:t>
            </w:r>
            <w:r w:rsidRPr="004C33D1">
              <w:t xml:space="preserve"> Linked Employer-Employee Data (LEED)</w:t>
            </w:r>
            <w:r>
              <w:t xml:space="preserve"> - </w:t>
            </w:r>
            <w:proofErr w:type="spellStart"/>
            <w:r w:rsidRPr="004C33D1">
              <w:t>NZ.stat</w:t>
            </w:r>
            <w:proofErr w:type="spellEnd"/>
          </w:p>
          <w:p w:rsidR="00243450" w:rsidRPr="004C33D1" w:rsidRDefault="00243450" w:rsidP="006F545D">
            <w:pPr>
              <w:pStyle w:val="TableText"/>
              <w:jc w:val="left"/>
              <w:cnfStyle w:val="000000000000" w:firstRow="0" w:lastRow="0" w:firstColumn="0" w:lastColumn="0" w:oddVBand="0" w:evenVBand="0" w:oddHBand="0" w:evenHBand="0" w:firstRowFirstColumn="0" w:firstRowLastColumn="0" w:lastRowFirstColumn="0" w:lastRowLastColumn="0"/>
            </w:pPr>
            <w:r w:rsidRPr="004C33D1">
              <w:t>Median household income</w:t>
            </w:r>
            <w:r>
              <w:t>:</w:t>
            </w:r>
            <w:r w:rsidRPr="004C33D1">
              <w:t xml:space="preserve"> Census </w:t>
            </w:r>
            <w:r>
              <w:t>data</w:t>
            </w:r>
            <w:r w:rsidRPr="004C33D1">
              <w:t xml:space="preserve"> </w:t>
            </w:r>
          </w:p>
        </w:tc>
        <w:tc>
          <w:tcPr>
            <w:tcW w:w="1278" w:type="pct"/>
            <w:tcBorders>
              <w:top w:val="single" w:sz="8" w:space="0" w:color="A6A6A6" w:themeColor="background1" w:themeShade="A6"/>
              <w:left w:val="single" w:sz="8" w:space="0" w:color="A6A6A6" w:themeColor="background1" w:themeShade="A6"/>
              <w:bottom w:val="single" w:sz="8" w:space="0" w:color="A6A6A6" w:themeColor="background1" w:themeShade="A6"/>
            </w:tcBorders>
            <w:shd w:val="clear" w:color="auto" w:fill="auto"/>
            <w:vAlign w:val="top"/>
          </w:tcPr>
          <w:p w:rsidR="00243450" w:rsidRDefault="00243450" w:rsidP="006F545D">
            <w:pPr>
              <w:pStyle w:val="TableText"/>
              <w:jc w:val="left"/>
              <w:cnfStyle w:val="000000000000" w:firstRow="0" w:lastRow="0" w:firstColumn="0" w:lastColumn="0" w:oddVBand="0" w:evenVBand="0" w:oddHBand="0" w:evenHBand="0" w:firstRowFirstColumn="0" w:firstRowLastColumn="0" w:lastRowFirstColumn="0" w:lastRowLastColumn="0"/>
            </w:pPr>
            <w:r>
              <w:t>Sales</w:t>
            </w:r>
            <w:r w:rsidRPr="0045134F">
              <w:t xml:space="preserve"> data: purchased from private providers</w:t>
            </w:r>
          </w:p>
          <w:p w:rsidR="00243450" w:rsidRDefault="00243450" w:rsidP="006F545D">
            <w:pPr>
              <w:pStyle w:val="TableText"/>
              <w:jc w:val="left"/>
              <w:cnfStyle w:val="000000000000" w:firstRow="0" w:lastRow="0" w:firstColumn="0" w:lastColumn="0" w:oddVBand="0" w:evenVBand="0" w:oddHBand="0" w:evenHBand="0" w:firstRowFirstColumn="0" w:firstRowLastColumn="0" w:lastRowFirstColumn="0" w:lastRowLastColumn="0"/>
            </w:pPr>
            <w:r>
              <w:t>Mortgage data: public, free</w:t>
            </w:r>
          </w:p>
          <w:p w:rsidR="00243450" w:rsidRDefault="00243450" w:rsidP="006F545D">
            <w:pPr>
              <w:pStyle w:val="TableText"/>
              <w:jc w:val="left"/>
              <w:cnfStyle w:val="000000000000" w:firstRow="0" w:lastRow="0" w:firstColumn="0" w:lastColumn="0" w:oddVBand="0" w:evenVBand="0" w:oddHBand="0" w:evenHBand="0" w:firstRowFirstColumn="0" w:firstRowLastColumn="0" w:lastRowFirstColumn="0" w:lastRowLastColumn="0"/>
            </w:pPr>
            <w:r>
              <w:t>LEED: public, free</w:t>
            </w:r>
          </w:p>
          <w:p w:rsidR="00243450" w:rsidRPr="004C33D1" w:rsidRDefault="00243450" w:rsidP="006F545D">
            <w:pPr>
              <w:pStyle w:val="TableText"/>
              <w:jc w:val="left"/>
              <w:cnfStyle w:val="000000000000" w:firstRow="0" w:lastRow="0" w:firstColumn="0" w:lastColumn="0" w:oddVBand="0" w:evenVBand="0" w:oddHBand="0" w:evenHBand="0" w:firstRowFirstColumn="0" w:firstRowLastColumn="0" w:lastRowFirstColumn="0" w:lastRowLastColumn="0"/>
            </w:pPr>
            <w:r>
              <w:t>Census: public, free</w:t>
            </w:r>
          </w:p>
        </w:tc>
      </w:tr>
      <w:tr w:rsidR="00243450" w:rsidRPr="004C33D1" w:rsidTr="00963715">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539" w:type="pct"/>
            <w:tcBorders>
              <w:right w:val="single" w:sz="8" w:space="0" w:color="A6A6A6" w:themeColor="background1" w:themeShade="A6"/>
            </w:tcBorders>
            <w:shd w:val="clear" w:color="auto" w:fill="auto"/>
            <w:vAlign w:val="top"/>
          </w:tcPr>
          <w:p w:rsidR="00243450" w:rsidRPr="004C33D1" w:rsidRDefault="00243450" w:rsidP="006F545D">
            <w:pPr>
              <w:pStyle w:val="TableText"/>
            </w:pPr>
          </w:p>
        </w:tc>
        <w:tc>
          <w:tcPr>
            <w:tcW w:w="628"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243450" w:rsidRPr="004C33D1" w:rsidRDefault="00243450" w:rsidP="006F545D">
            <w:pPr>
              <w:pStyle w:val="TableText"/>
              <w:numPr>
                <w:ilvl w:val="0"/>
                <w:numId w:val="51"/>
              </w:numPr>
              <w:ind w:left="0" w:firstLine="0"/>
              <w:jc w:val="left"/>
              <w:cnfStyle w:val="000000000000" w:firstRow="0" w:lastRow="0" w:firstColumn="0" w:lastColumn="0" w:oddVBand="0" w:evenVBand="0" w:oddHBand="0" w:evenHBand="0" w:firstRowFirstColumn="0" w:firstRowLastColumn="0" w:lastRowFirstColumn="0" w:lastRowLastColumn="0"/>
            </w:pPr>
            <w:r w:rsidRPr="004C33D1">
              <w:t>Rent payments to income</w:t>
            </w:r>
          </w:p>
        </w:tc>
        <w:tc>
          <w:tcPr>
            <w:tcW w:w="1008"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243450" w:rsidRPr="004C33D1" w:rsidRDefault="00243450" w:rsidP="006277DC">
            <w:pPr>
              <w:pStyle w:val="TableText"/>
              <w:numPr>
                <w:ilvl w:val="0"/>
                <w:numId w:val="71"/>
              </w:numPr>
              <w:ind w:left="210" w:hanging="210"/>
              <w:jc w:val="left"/>
              <w:cnfStyle w:val="000000000000" w:firstRow="0" w:lastRow="0" w:firstColumn="0" w:lastColumn="0" w:oddVBand="0" w:evenVBand="0" w:oddHBand="0" w:evenHBand="0" w:firstRowFirstColumn="0" w:firstRowLastColumn="0" w:lastRowFirstColumn="0" w:lastRowLastColumn="0"/>
            </w:pPr>
            <w:r w:rsidRPr="004C33D1">
              <w:t>Mean weekly rent</w:t>
            </w:r>
            <w:r>
              <w:t>s by TA</w:t>
            </w:r>
          </w:p>
          <w:p w:rsidR="00243450" w:rsidRPr="004C33D1" w:rsidRDefault="00243450" w:rsidP="006277DC">
            <w:pPr>
              <w:pStyle w:val="TableText"/>
              <w:numPr>
                <w:ilvl w:val="0"/>
                <w:numId w:val="71"/>
              </w:numPr>
              <w:ind w:left="210" w:hanging="210"/>
              <w:jc w:val="left"/>
              <w:cnfStyle w:val="000000000000" w:firstRow="0" w:lastRow="0" w:firstColumn="0" w:lastColumn="0" w:oddVBand="0" w:evenVBand="0" w:oddHBand="0" w:evenHBand="0" w:firstRowFirstColumn="0" w:firstRowLastColumn="0" w:lastRowFirstColumn="0" w:lastRowLastColumn="0"/>
            </w:pPr>
            <w:r>
              <w:t>M</w:t>
            </w:r>
            <w:r w:rsidRPr="004C33D1">
              <w:t xml:space="preserve">edian individual </w:t>
            </w:r>
            <w:r>
              <w:t xml:space="preserve">&amp; household </w:t>
            </w:r>
            <w:r w:rsidRPr="004C33D1">
              <w:t xml:space="preserve">income by </w:t>
            </w:r>
            <w:r>
              <w:t>TA</w:t>
            </w:r>
          </w:p>
        </w:tc>
        <w:tc>
          <w:tcPr>
            <w:tcW w:w="1547"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243450" w:rsidRPr="004C33D1" w:rsidRDefault="00243450" w:rsidP="006F545D">
            <w:pPr>
              <w:pStyle w:val="TableText"/>
              <w:jc w:val="left"/>
              <w:cnfStyle w:val="000000000000" w:firstRow="0" w:lastRow="0" w:firstColumn="0" w:lastColumn="0" w:oddVBand="0" w:evenVBand="0" w:oddHBand="0" w:evenHBand="0" w:firstRowFirstColumn="0" w:firstRowLastColumn="0" w:lastRowFirstColumn="0" w:lastRowLastColumn="0"/>
            </w:pPr>
            <w:r>
              <w:t>Rents: MBIE (bond data)</w:t>
            </w:r>
          </w:p>
          <w:p w:rsidR="00243450" w:rsidRPr="004C33D1" w:rsidRDefault="00243450" w:rsidP="006F545D">
            <w:pPr>
              <w:pStyle w:val="TableText"/>
              <w:jc w:val="left"/>
              <w:cnfStyle w:val="000000000000" w:firstRow="0" w:lastRow="0" w:firstColumn="0" w:lastColumn="0" w:oddVBand="0" w:evenVBand="0" w:oddHBand="0" w:evenHBand="0" w:firstRowFirstColumn="0" w:firstRowLastColumn="0" w:lastRowFirstColumn="0" w:lastRowLastColumn="0"/>
            </w:pPr>
            <w:r w:rsidRPr="004C33D1">
              <w:t>Individual income data</w:t>
            </w:r>
            <w:r>
              <w:t>:</w:t>
            </w:r>
            <w:r w:rsidRPr="004C33D1">
              <w:t xml:space="preserve"> Linked Employer-Employee Data (LEED)</w:t>
            </w:r>
            <w:r>
              <w:t xml:space="preserve"> - </w:t>
            </w:r>
            <w:proofErr w:type="spellStart"/>
            <w:r w:rsidRPr="004C33D1">
              <w:t>NZ.stat</w:t>
            </w:r>
            <w:proofErr w:type="spellEnd"/>
          </w:p>
          <w:p w:rsidR="00243450" w:rsidRPr="004C33D1" w:rsidRDefault="00243450" w:rsidP="006F545D">
            <w:pPr>
              <w:pStyle w:val="TableText"/>
              <w:jc w:val="left"/>
              <w:cnfStyle w:val="000000000000" w:firstRow="0" w:lastRow="0" w:firstColumn="0" w:lastColumn="0" w:oddVBand="0" w:evenVBand="0" w:oddHBand="0" w:evenHBand="0" w:firstRowFirstColumn="0" w:firstRowLastColumn="0" w:lastRowFirstColumn="0" w:lastRowLastColumn="0"/>
            </w:pPr>
            <w:proofErr w:type="gramStart"/>
            <w:r w:rsidRPr="004C33D1">
              <w:t>Median household income</w:t>
            </w:r>
            <w:r>
              <w:t>:</w:t>
            </w:r>
            <w:r w:rsidRPr="004C33D1">
              <w:t xml:space="preserve"> Census </w:t>
            </w:r>
            <w:r>
              <w:t>data</w:t>
            </w:r>
            <w:r w:rsidRPr="004C33D1">
              <w:t>.</w:t>
            </w:r>
            <w:proofErr w:type="gramEnd"/>
          </w:p>
        </w:tc>
        <w:tc>
          <w:tcPr>
            <w:tcW w:w="1278" w:type="pct"/>
            <w:tcBorders>
              <w:top w:val="single" w:sz="8" w:space="0" w:color="A6A6A6" w:themeColor="background1" w:themeShade="A6"/>
              <w:left w:val="single" w:sz="8" w:space="0" w:color="A6A6A6" w:themeColor="background1" w:themeShade="A6"/>
              <w:bottom w:val="single" w:sz="8" w:space="0" w:color="A6A6A6" w:themeColor="background1" w:themeShade="A6"/>
            </w:tcBorders>
            <w:shd w:val="clear" w:color="auto" w:fill="auto"/>
            <w:vAlign w:val="top"/>
          </w:tcPr>
          <w:p w:rsidR="00243450" w:rsidRDefault="00243450" w:rsidP="006F545D">
            <w:pPr>
              <w:pStyle w:val="TableText"/>
              <w:jc w:val="left"/>
              <w:cnfStyle w:val="000000000000" w:firstRow="0" w:lastRow="0" w:firstColumn="0" w:lastColumn="0" w:oddVBand="0" w:evenVBand="0" w:oddHBand="0" w:evenHBand="0" w:firstRowFirstColumn="0" w:firstRowLastColumn="0" w:lastRowFirstColumn="0" w:lastRowLastColumn="0"/>
            </w:pPr>
            <w:r>
              <w:t>Rent data: MBIE</w:t>
            </w:r>
          </w:p>
          <w:p w:rsidR="00243450" w:rsidRDefault="00243450" w:rsidP="006F545D">
            <w:pPr>
              <w:pStyle w:val="TableText"/>
              <w:jc w:val="left"/>
              <w:cnfStyle w:val="000000000000" w:firstRow="0" w:lastRow="0" w:firstColumn="0" w:lastColumn="0" w:oddVBand="0" w:evenVBand="0" w:oddHBand="0" w:evenHBand="0" w:firstRowFirstColumn="0" w:firstRowLastColumn="0" w:lastRowFirstColumn="0" w:lastRowLastColumn="0"/>
            </w:pPr>
            <w:r>
              <w:t>LEED: public, free</w:t>
            </w:r>
          </w:p>
          <w:p w:rsidR="00243450" w:rsidRPr="004C33D1" w:rsidRDefault="00243450" w:rsidP="006F545D">
            <w:pPr>
              <w:pStyle w:val="TableText"/>
              <w:jc w:val="left"/>
              <w:cnfStyle w:val="000000000000" w:firstRow="0" w:lastRow="0" w:firstColumn="0" w:lastColumn="0" w:oddVBand="0" w:evenVBand="0" w:oddHBand="0" w:evenHBand="0" w:firstRowFirstColumn="0" w:firstRowLastColumn="0" w:lastRowFirstColumn="0" w:lastRowLastColumn="0"/>
            </w:pPr>
            <w:r>
              <w:t>Census: public, free</w:t>
            </w:r>
          </w:p>
        </w:tc>
      </w:tr>
      <w:tr w:rsidR="00243450" w:rsidRPr="004C33D1" w:rsidTr="00963715">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539" w:type="pct"/>
            <w:tcBorders>
              <w:right w:val="single" w:sz="8" w:space="0" w:color="A6A6A6" w:themeColor="background1" w:themeShade="A6"/>
            </w:tcBorders>
            <w:shd w:val="clear" w:color="auto" w:fill="auto"/>
            <w:vAlign w:val="top"/>
          </w:tcPr>
          <w:p w:rsidR="00243450" w:rsidRPr="004C33D1" w:rsidRDefault="00243450" w:rsidP="006F545D">
            <w:pPr>
              <w:pStyle w:val="TableText"/>
            </w:pPr>
          </w:p>
        </w:tc>
        <w:tc>
          <w:tcPr>
            <w:tcW w:w="628"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243450" w:rsidRPr="004C33D1" w:rsidRDefault="00243450" w:rsidP="006F545D">
            <w:pPr>
              <w:pStyle w:val="TableText"/>
              <w:numPr>
                <w:ilvl w:val="0"/>
                <w:numId w:val="51"/>
              </w:numPr>
              <w:ind w:left="0" w:firstLine="0"/>
              <w:jc w:val="left"/>
              <w:cnfStyle w:val="000000000000" w:firstRow="0" w:lastRow="0" w:firstColumn="0" w:lastColumn="0" w:oddVBand="0" w:evenVBand="0" w:oddHBand="0" w:evenHBand="0" w:firstRowFirstColumn="0" w:firstRowLastColumn="0" w:lastRowFirstColumn="0" w:lastRowLastColumn="0"/>
            </w:pPr>
            <w:r w:rsidRPr="004C33D1">
              <w:t>Crowding index</w:t>
            </w:r>
          </w:p>
        </w:tc>
        <w:tc>
          <w:tcPr>
            <w:tcW w:w="1008"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243450" w:rsidRDefault="00243450" w:rsidP="006277DC">
            <w:pPr>
              <w:pStyle w:val="TableText"/>
              <w:numPr>
                <w:ilvl w:val="0"/>
                <w:numId w:val="71"/>
              </w:numPr>
              <w:ind w:left="210" w:hanging="210"/>
              <w:jc w:val="left"/>
              <w:cnfStyle w:val="000000000000" w:firstRow="0" w:lastRow="0" w:firstColumn="0" w:lastColumn="0" w:oddVBand="0" w:evenVBand="0" w:oddHBand="0" w:evenHBand="0" w:firstRowFirstColumn="0" w:firstRowLastColumn="0" w:lastRowFirstColumn="0" w:lastRowLastColumn="0"/>
            </w:pPr>
            <w:r w:rsidRPr="004C33D1">
              <w:t>Proportion of households within a territorial authority living in crowded conditions</w:t>
            </w:r>
          </w:p>
          <w:p w:rsidR="0013238D" w:rsidRPr="004C33D1" w:rsidRDefault="0013238D" w:rsidP="006277DC">
            <w:pPr>
              <w:pStyle w:val="TableText"/>
              <w:numPr>
                <w:ilvl w:val="0"/>
                <w:numId w:val="71"/>
              </w:numPr>
              <w:ind w:left="210" w:hanging="210"/>
              <w:jc w:val="left"/>
              <w:cnfStyle w:val="000000000000" w:firstRow="0" w:lastRow="0" w:firstColumn="0" w:lastColumn="0" w:oddVBand="0" w:evenVBand="0" w:oddHBand="0" w:evenHBand="0" w:firstRowFirstColumn="0" w:firstRowLastColumn="0" w:lastRowFirstColumn="0" w:lastRowLastColumn="0"/>
            </w:pPr>
            <w:r>
              <w:t>Potentially measured as ratio of population growth by suburb to building consents</w:t>
            </w:r>
          </w:p>
        </w:tc>
        <w:tc>
          <w:tcPr>
            <w:tcW w:w="1547"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243450" w:rsidRDefault="00243450" w:rsidP="006F545D">
            <w:pPr>
              <w:pStyle w:val="TableText"/>
              <w:jc w:val="left"/>
              <w:cnfStyle w:val="000000000000" w:firstRow="0" w:lastRow="0" w:firstColumn="0" w:lastColumn="0" w:oddVBand="0" w:evenVBand="0" w:oddHBand="0" w:evenHBand="0" w:firstRowFirstColumn="0" w:firstRowLastColumn="0" w:lastRowFirstColumn="0" w:lastRowLastColumn="0"/>
            </w:pPr>
            <w:r>
              <w:t>Census (every three years)</w:t>
            </w:r>
          </w:p>
          <w:p w:rsidR="00963715" w:rsidRDefault="00963715" w:rsidP="006F545D">
            <w:pPr>
              <w:pStyle w:val="TableText"/>
              <w:jc w:val="left"/>
              <w:cnfStyle w:val="000000000000" w:firstRow="0" w:lastRow="0" w:firstColumn="0" w:lastColumn="0" w:oddVBand="0" w:evenVBand="0" w:oddHBand="0" w:evenHBand="0" w:firstRowFirstColumn="0" w:firstRowLastColumn="0" w:lastRowFirstColumn="0" w:lastRowLastColumn="0"/>
            </w:pPr>
          </w:p>
          <w:p w:rsidR="00963715" w:rsidRDefault="00963715" w:rsidP="006F545D">
            <w:pPr>
              <w:pStyle w:val="TableText"/>
              <w:jc w:val="left"/>
              <w:cnfStyle w:val="000000000000" w:firstRow="0" w:lastRow="0" w:firstColumn="0" w:lastColumn="0" w:oddVBand="0" w:evenVBand="0" w:oddHBand="0" w:evenHBand="0" w:firstRowFirstColumn="0" w:firstRowLastColumn="0" w:lastRowFirstColumn="0" w:lastRowLastColumn="0"/>
            </w:pPr>
          </w:p>
          <w:p w:rsidR="00963715" w:rsidRDefault="00963715" w:rsidP="006F545D">
            <w:pPr>
              <w:pStyle w:val="TableText"/>
              <w:jc w:val="left"/>
              <w:cnfStyle w:val="000000000000" w:firstRow="0" w:lastRow="0" w:firstColumn="0" w:lastColumn="0" w:oddVBand="0" w:evenVBand="0" w:oddHBand="0" w:evenHBand="0" w:firstRowFirstColumn="0" w:firstRowLastColumn="0" w:lastRowFirstColumn="0" w:lastRowLastColumn="0"/>
            </w:pPr>
            <w:r>
              <w:t>Statistics NZ</w:t>
            </w:r>
          </w:p>
          <w:p w:rsidR="00963715" w:rsidRPr="004C33D1" w:rsidRDefault="00963715" w:rsidP="006F545D">
            <w:pPr>
              <w:pStyle w:val="TableText"/>
              <w:jc w:val="left"/>
              <w:cnfStyle w:val="000000000000" w:firstRow="0" w:lastRow="0" w:firstColumn="0" w:lastColumn="0" w:oddVBand="0" w:evenVBand="0" w:oddHBand="0" w:evenHBand="0" w:firstRowFirstColumn="0" w:firstRowLastColumn="0" w:lastRowFirstColumn="0" w:lastRowLastColumn="0"/>
            </w:pPr>
          </w:p>
        </w:tc>
        <w:tc>
          <w:tcPr>
            <w:tcW w:w="1278" w:type="pct"/>
            <w:tcBorders>
              <w:top w:val="single" w:sz="8" w:space="0" w:color="A6A6A6" w:themeColor="background1" w:themeShade="A6"/>
              <w:left w:val="single" w:sz="8" w:space="0" w:color="A6A6A6" w:themeColor="background1" w:themeShade="A6"/>
              <w:bottom w:val="single" w:sz="8" w:space="0" w:color="A6A6A6" w:themeColor="background1" w:themeShade="A6"/>
            </w:tcBorders>
            <w:shd w:val="clear" w:color="auto" w:fill="auto"/>
            <w:vAlign w:val="top"/>
          </w:tcPr>
          <w:p w:rsidR="00243450" w:rsidRPr="004C33D1" w:rsidRDefault="00243450" w:rsidP="006F545D">
            <w:pPr>
              <w:pStyle w:val="TableText"/>
              <w:jc w:val="left"/>
              <w:cnfStyle w:val="000000000000" w:firstRow="0" w:lastRow="0" w:firstColumn="0" w:lastColumn="0" w:oddVBand="0" w:evenVBand="0" w:oddHBand="0" w:evenHBand="0" w:firstRowFirstColumn="0" w:firstRowLastColumn="0" w:lastRowFirstColumn="0" w:lastRowLastColumn="0"/>
            </w:pPr>
            <w:r>
              <w:t>Census: public, free</w:t>
            </w:r>
          </w:p>
        </w:tc>
      </w:tr>
      <w:tr w:rsidR="00243450" w:rsidRPr="004C33D1" w:rsidTr="00963715">
        <w:tblPrEx>
          <w:tblCellMar>
            <w:top w:w="0" w:type="dxa"/>
            <w:bottom w:w="0"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539" w:type="pct"/>
            <w:tcBorders>
              <w:right w:val="single" w:sz="8" w:space="0" w:color="A6A6A6" w:themeColor="background1" w:themeShade="A6"/>
            </w:tcBorders>
            <w:shd w:val="clear" w:color="auto" w:fill="auto"/>
            <w:vAlign w:val="top"/>
          </w:tcPr>
          <w:p w:rsidR="00243450" w:rsidRPr="004C33D1" w:rsidRDefault="00243450" w:rsidP="006F545D">
            <w:pPr>
              <w:pStyle w:val="TableText"/>
            </w:pPr>
          </w:p>
        </w:tc>
        <w:tc>
          <w:tcPr>
            <w:tcW w:w="628" w:type="pct"/>
            <w:tcBorders>
              <w:top w:val="single" w:sz="8" w:space="0" w:color="A6A6A6" w:themeColor="background1" w:themeShade="A6"/>
              <w:left w:val="single" w:sz="8" w:space="0" w:color="A6A6A6" w:themeColor="background1" w:themeShade="A6"/>
              <w:right w:val="single" w:sz="8" w:space="0" w:color="A6A6A6" w:themeColor="background1" w:themeShade="A6"/>
            </w:tcBorders>
            <w:shd w:val="clear" w:color="auto" w:fill="auto"/>
            <w:vAlign w:val="top"/>
          </w:tcPr>
          <w:p w:rsidR="00243450" w:rsidRPr="004C33D1" w:rsidRDefault="00243450" w:rsidP="006F545D">
            <w:pPr>
              <w:pStyle w:val="TableText"/>
              <w:numPr>
                <w:ilvl w:val="0"/>
                <w:numId w:val="51"/>
              </w:numPr>
              <w:ind w:left="0" w:firstLine="0"/>
              <w:jc w:val="left"/>
              <w:cnfStyle w:val="010000000000" w:firstRow="0" w:lastRow="1" w:firstColumn="0" w:lastColumn="0" w:oddVBand="0" w:evenVBand="0" w:oddHBand="0" w:evenHBand="0" w:firstRowFirstColumn="0" w:firstRowLastColumn="0" w:lastRowFirstColumn="0" w:lastRowLastColumn="0"/>
            </w:pPr>
            <w:r w:rsidRPr="004C33D1">
              <w:t>Households in temporary accommodation</w:t>
            </w:r>
          </w:p>
        </w:tc>
        <w:tc>
          <w:tcPr>
            <w:tcW w:w="1008" w:type="pct"/>
            <w:tcBorders>
              <w:top w:val="single" w:sz="8" w:space="0" w:color="A6A6A6" w:themeColor="background1" w:themeShade="A6"/>
              <w:left w:val="single" w:sz="8" w:space="0" w:color="A6A6A6" w:themeColor="background1" w:themeShade="A6"/>
              <w:right w:val="single" w:sz="8" w:space="0" w:color="A6A6A6" w:themeColor="background1" w:themeShade="A6"/>
            </w:tcBorders>
            <w:shd w:val="clear" w:color="auto" w:fill="auto"/>
            <w:vAlign w:val="top"/>
          </w:tcPr>
          <w:p w:rsidR="00243450" w:rsidRPr="004C33D1" w:rsidRDefault="00243450" w:rsidP="006277DC">
            <w:pPr>
              <w:pStyle w:val="TableText"/>
              <w:numPr>
                <w:ilvl w:val="0"/>
                <w:numId w:val="71"/>
              </w:numPr>
              <w:ind w:left="210" w:hanging="210"/>
              <w:jc w:val="left"/>
              <w:cnfStyle w:val="010000000000" w:firstRow="0" w:lastRow="1" w:firstColumn="0" w:lastColumn="0" w:oddVBand="0" w:evenVBand="0" w:oddHBand="0" w:evenHBand="0" w:firstRowFirstColumn="0" w:firstRowLastColumn="0" w:lastRowFirstColumn="0" w:lastRowLastColumn="0"/>
            </w:pPr>
            <w:r w:rsidRPr="004C33D1">
              <w:t xml:space="preserve">Proportion of people </w:t>
            </w:r>
            <w:r>
              <w:t>i</w:t>
            </w:r>
            <w:r w:rsidRPr="004C33D1">
              <w:t xml:space="preserve">n </w:t>
            </w:r>
            <w:r>
              <w:t xml:space="preserve">TA </w:t>
            </w:r>
            <w:r w:rsidRPr="004C33D1">
              <w:t>in temporary housing</w:t>
            </w:r>
          </w:p>
        </w:tc>
        <w:tc>
          <w:tcPr>
            <w:tcW w:w="1547" w:type="pct"/>
            <w:tcBorders>
              <w:top w:val="single" w:sz="8" w:space="0" w:color="A6A6A6" w:themeColor="background1" w:themeShade="A6"/>
              <w:left w:val="single" w:sz="8" w:space="0" w:color="A6A6A6" w:themeColor="background1" w:themeShade="A6"/>
              <w:right w:val="single" w:sz="8" w:space="0" w:color="A6A6A6" w:themeColor="background1" w:themeShade="A6"/>
            </w:tcBorders>
            <w:shd w:val="clear" w:color="auto" w:fill="auto"/>
            <w:vAlign w:val="top"/>
          </w:tcPr>
          <w:p w:rsidR="00243450" w:rsidRPr="004C33D1" w:rsidRDefault="00243450" w:rsidP="006F545D">
            <w:pPr>
              <w:pStyle w:val="TableText"/>
              <w:jc w:val="left"/>
              <w:cnfStyle w:val="010000000000" w:firstRow="0" w:lastRow="1" w:firstColumn="0" w:lastColumn="0" w:oddVBand="0" w:evenVBand="0" w:oddHBand="0" w:evenHBand="0" w:firstRowFirstColumn="0" w:firstRowLastColumn="0" w:lastRowFirstColumn="0" w:lastRowLastColumn="0"/>
            </w:pPr>
            <w:r w:rsidRPr="004C33D1">
              <w:t xml:space="preserve">Not available </w:t>
            </w:r>
            <w:r>
              <w:t xml:space="preserve">but next </w:t>
            </w:r>
            <w:r w:rsidRPr="004C33D1">
              <w:t>census intends to record this measure.</w:t>
            </w:r>
          </w:p>
        </w:tc>
        <w:tc>
          <w:tcPr>
            <w:tcW w:w="1278" w:type="pct"/>
            <w:tcBorders>
              <w:top w:val="single" w:sz="8" w:space="0" w:color="A6A6A6" w:themeColor="background1" w:themeShade="A6"/>
              <w:left w:val="single" w:sz="8" w:space="0" w:color="A6A6A6" w:themeColor="background1" w:themeShade="A6"/>
            </w:tcBorders>
            <w:shd w:val="clear" w:color="auto" w:fill="auto"/>
            <w:vAlign w:val="top"/>
          </w:tcPr>
          <w:p w:rsidR="00243450" w:rsidRPr="004C33D1" w:rsidRDefault="00243450" w:rsidP="006F545D">
            <w:pPr>
              <w:pStyle w:val="TableText"/>
              <w:jc w:val="left"/>
              <w:cnfStyle w:val="010000000000" w:firstRow="0" w:lastRow="1" w:firstColumn="0" w:lastColumn="0" w:oddVBand="0" w:evenVBand="0" w:oddHBand="0" w:evenHBand="0" w:firstRowFirstColumn="0" w:firstRowLastColumn="0" w:lastRowFirstColumn="0" w:lastRowLastColumn="0"/>
            </w:pPr>
          </w:p>
        </w:tc>
      </w:tr>
    </w:tbl>
    <w:p w:rsidR="00243450" w:rsidRPr="004C33D1" w:rsidRDefault="00243450" w:rsidP="00243450">
      <w:pPr>
        <w:sectPr w:rsidR="00243450" w:rsidRPr="004C33D1" w:rsidSect="00E46CE7">
          <w:pgSz w:w="16840" w:h="11907" w:orient="landscape" w:code="9"/>
          <w:pgMar w:top="1985" w:right="1678" w:bottom="1701" w:left="1418" w:header="720" w:footer="828" w:gutter="0"/>
          <w:cols w:space="720"/>
          <w:titlePg/>
          <w:docGrid w:linePitch="360"/>
        </w:sectPr>
      </w:pPr>
    </w:p>
    <w:p w:rsidR="00243450" w:rsidRPr="004C33D1" w:rsidRDefault="00243450" w:rsidP="00243450">
      <w:pPr>
        <w:pStyle w:val="Heading2"/>
      </w:pPr>
      <w:bookmarkStart w:id="208" w:name="_Toc462413649"/>
      <w:bookmarkStart w:id="209" w:name="_Toc462582205"/>
      <w:r w:rsidRPr="004C33D1">
        <w:lastRenderedPageBreak/>
        <w:t xml:space="preserve">Capability </w:t>
      </w:r>
      <w:r>
        <w:t>R</w:t>
      </w:r>
      <w:r w:rsidRPr="004C33D1">
        <w:t>equirements</w:t>
      </w:r>
      <w:bookmarkEnd w:id="208"/>
      <w:bookmarkEnd w:id="209"/>
    </w:p>
    <w:p w:rsidR="007D1AB1" w:rsidRDefault="007D1AB1" w:rsidP="007D1AB1">
      <w:pPr>
        <w:pStyle w:val="Heading3"/>
      </w:pPr>
      <w:r>
        <w:t>GIS and Econometric Analysis</w:t>
      </w:r>
    </w:p>
    <w:p w:rsidR="00243450" w:rsidRDefault="007D1AB1" w:rsidP="00243450">
      <w:r>
        <w:t>T</w:t>
      </w:r>
      <w:r w:rsidR="00243450">
        <w:t xml:space="preserve">o measure price indicators, </w:t>
      </w:r>
      <w:r>
        <w:t xml:space="preserve">and </w:t>
      </w:r>
      <w:r w:rsidR="00243450">
        <w:t>indicators of efficient pricing</w:t>
      </w:r>
      <w:r>
        <w:t xml:space="preserve"> in particular</w:t>
      </w:r>
      <w:r w:rsidR="00243450">
        <w:t xml:space="preserve">, technical capabilities are required in both geographical information systems (GIS) and </w:t>
      </w:r>
      <w:r w:rsidR="00DE0D43">
        <w:t>statistics (</w:t>
      </w:r>
      <w:r w:rsidR="00243450">
        <w:t>econometrics</w:t>
      </w:r>
      <w:r w:rsidR="00DE0D43">
        <w:t>)</w:t>
      </w:r>
      <w:r w:rsidR="00243450">
        <w:t>. Annex</w:t>
      </w:r>
      <w:r>
        <w:t xml:space="preserve"> A5</w:t>
      </w:r>
      <w:r w:rsidR="00243450">
        <w:t xml:space="preserve"> describes in detail the calculations and processes underpinning our analysis of price discontinuities at rural-urban boundaries.</w:t>
      </w:r>
      <w:r w:rsidR="00B415C2">
        <w:t xml:space="preserve"> </w:t>
      </w:r>
    </w:p>
    <w:p w:rsidR="00243450" w:rsidRDefault="00243450" w:rsidP="00243450"/>
    <w:p w:rsidR="00243450" w:rsidRDefault="00DE0D43" w:rsidP="00243450">
      <w:r>
        <w:t>P</w:t>
      </w:r>
      <w:r w:rsidR="00243450">
        <w:t xml:space="preserve">ractical and theoretical understanding of </w:t>
      </w:r>
      <w:r w:rsidR="003202E3">
        <w:t xml:space="preserve">economics and statistics </w:t>
      </w:r>
      <w:r w:rsidR="00243450">
        <w:t xml:space="preserve">is necessary to undertake this analysis. There are considerable ‘fixed costs’ in developing appropriate GIS and econometric methods, consisting of the time required to gather data and develop appropriate procedures for cleaning and processing it. However, once methods and models </w:t>
      </w:r>
      <w:proofErr w:type="gramStart"/>
      <w:r w:rsidR="00243450">
        <w:t>have been developed</w:t>
      </w:r>
      <w:proofErr w:type="gramEnd"/>
      <w:r w:rsidR="00243450">
        <w:t xml:space="preserve">, </w:t>
      </w:r>
      <w:r>
        <w:t>other</w:t>
      </w:r>
      <w:r w:rsidR="00243450">
        <w:t xml:space="preserve"> cities can be analysed at a relatively low </w:t>
      </w:r>
      <w:r>
        <w:t>additional</w:t>
      </w:r>
      <w:r w:rsidR="00243450">
        <w:t xml:space="preserve"> cost.</w:t>
      </w:r>
    </w:p>
    <w:p w:rsidR="00243450" w:rsidRDefault="00243450" w:rsidP="00243450"/>
    <w:p w:rsidR="00243450" w:rsidRDefault="00243450" w:rsidP="00243450">
      <w:r>
        <w:t>GIS analysis is required to</w:t>
      </w:r>
      <w:r w:rsidR="00DE0D43">
        <w:t xml:space="preserve"> identify</w:t>
      </w:r>
      <w:r>
        <w:t>:</w:t>
      </w:r>
    </w:p>
    <w:p w:rsidR="00243450" w:rsidRDefault="00243450" w:rsidP="006277DC">
      <w:pPr>
        <w:pStyle w:val="ListParagraph"/>
        <w:numPr>
          <w:ilvl w:val="0"/>
          <w:numId w:val="105"/>
        </w:numPr>
      </w:pPr>
      <w:r>
        <w:t xml:space="preserve">the location of properties that are being </w:t>
      </w:r>
      <w:r w:rsidR="00DE0D43">
        <w:t>sol</w:t>
      </w:r>
      <w:r w:rsidR="00F73A97">
        <w:t>d</w:t>
      </w:r>
      <w:r>
        <w:t xml:space="preserve"> or valued;</w:t>
      </w:r>
    </w:p>
    <w:p w:rsidR="00243450" w:rsidRDefault="00243450" w:rsidP="006277DC">
      <w:pPr>
        <w:pStyle w:val="ListParagraph"/>
        <w:numPr>
          <w:ilvl w:val="0"/>
          <w:numId w:val="105"/>
        </w:numPr>
      </w:pPr>
      <w:r>
        <w:t>the location of zoning and amenities such as city centres, coastlines, etc; and</w:t>
      </w:r>
    </w:p>
    <w:p w:rsidR="00243450" w:rsidRDefault="00243450" w:rsidP="006277DC">
      <w:pPr>
        <w:pStyle w:val="ListParagraph"/>
        <w:numPr>
          <w:ilvl w:val="0"/>
          <w:numId w:val="105"/>
        </w:numPr>
      </w:pPr>
      <w:proofErr w:type="gramStart"/>
      <w:r>
        <w:t>properties</w:t>
      </w:r>
      <w:proofErr w:type="gramEnd"/>
      <w:r>
        <w:t>’ zoning and the distance to zone boundaries and amenities.</w:t>
      </w:r>
    </w:p>
    <w:p w:rsidR="00243450" w:rsidRDefault="00243450" w:rsidP="00243450"/>
    <w:p w:rsidR="00DE0D43" w:rsidRDefault="00DE0D43" w:rsidP="00243450">
      <w:r>
        <w:t>T</w:t>
      </w:r>
      <w:r w:rsidR="00243450">
        <w:t>his requires well-defined variables such as</w:t>
      </w:r>
      <w:r>
        <w:t xml:space="preserve">: </w:t>
      </w:r>
    </w:p>
    <w:p w:rsidR="00DE0D43" w:rsidRDefault="00243450" w:rsidP="006277DC">
      <w:pPr>
        <w:pStyle w:val="ListParagraph"/>
        <w:numPr>
          <w:ilvl w:val="0"/>
          <w:numId w:val="99"/>
        </w:numPr>
      </w:pPr>
      <w:r>
        <w:t>the rural-urban boundaries defined by current zoning boundaries</w:t>
      </w:r>
      <w:r w:rsidR="00DE0D43">
        <w:t>;</w:t>
      </w:r>
      <w:r>
        <w:t xml:space="preserve"> and </w:t>
      </w:r>
    </w:p>
    <w:p w:rsidR="00243450" w:rsidRDefault="00243450" w:rsidP="006277DC">
      <w:pPr>
        <w:pStyle w:val="ListParagraph"/>
        <w:numPr>
          <w:ilvl w:val="0"/>
          <w:numId w:val="99"/>
        </w:numPr>
      </w:pPr>
      <w:proofErr w:type="gramStart"/>
      <w:r>
        <w:t>less</w:t>
      </w:r>
      <w:proofErr w:type="gramEnd"/>
      <w:r>
        <w:t xml:space="preserve"> complex, but more computationally-intensive calculations such as distances to amenities and zoning boundaries.</w:t>
      </w:r>
    </w:p>
    <w:p w:rsidR="00243450" w:rsidRDefault="00243450" w:rsidP="00243450"/>
    <w:p w:rsidR="00243450" w:rsidRDefault="00243450" w:rsidP="00243450">
      <w:r>
        <w:t xml:space="preserve">After creating key spatial variables, econometric analysis is required to implement ‘sophisticated’ methodologies for assessing boundary discontinuities. Spatial econometrics methods are reasonably </w:t>
      </w:r>
      <w:proofErr w:type="gramStart"/>
      <w:r>
        <w:t>well-understood</w:t>
      </w:r>
      <w:proofErr w:type="gramEnd"/>
      <w:r>
        <w:t xml:space="preserve"> in the literature but require a degree of experience to </w:t>
      </w:r>
      <w:r w:rsidR="00DE0D43">
        <w:t xml:space="preserve">apply </w:t>
      </w:r>
      <w:r>
        <w:t xml:space="preserve">correctly. In our analysis, we estimated spatial neighbourhood </w:t>
      </w:r>
      <w:proofErr w:type="gramStart"/>
      <w:r>
        <w:t>m</w:t>
      </w:r>
      <w:r w:rsidR="00DE0D43">
        <w:t>atrices which</w:t>
      </w:r>
      <w:proofErr w:type="gramEnd"/>
      <w:r w:rsidR="00DE0D43">
        <w:t xml:space="preserve"> were input</w:t>
      </w:r>
      <w:r>
        <w:t xml:space="preserve"> to spatial linear regression modelling using the R package </w:t>
      </w:r>
      <w:proofErr w:type="spellStart"/>
      <w:r w:rsidRPr="003202E3">
        <w:rPr>
          <w:i/>
        </w:rPr>
        <w:t>spdep</w:t>
      </w:r>
      <w:proofErr w:type="spellEnd"/>
      <w:r>
        <w:t>.</w:t>
      </w:r>
    </w:p>
    <w:p w:rsidR="00243450" w:rsidRDefault="00243450" w:rsidP="00243450"/>
    <w:p w:rsidR="00243450" w:rsidRDefault="00DE0D43" w:rsidP="00243450">
      <w:r>
        <w:t>A</w:t>
      </w:r>
      <w:r w:rsidR="00243450">
        <w:t xml:space="preserve"> free and open-source combination of software tools were used including PostgreSQL/</w:t>
      </w:r>
      <w:proofErr w:type="spellStart"/>
      <w:r w:rsidR="00243450">
        <w:t>PostGIS</w:t>
      </w:r>
      <w:proofErr w:type="spellEnd"/>
      <w:r w:rsidR="00243450">
        <w:t xml:space="preserve"> for spatial analysis, QGIS for map-making and visualisation, and R for spatial and econometric analysis. The combination of these toolkits made it easy to automate and generate results for each urban area in this study. These tools are widely available and free to use; however, they do require a relatively high level of technical capability by the analyst. </w:t>
      </w:r>
    </w:p>
    <w:p w:rsidR="00243450" w:rsidRDefault="00243450" w:rsidP="00243450">
      <w:pPr>
        <w:pStyle w:val="Heading3"/>
      </w:pPr>
      <w:r>
        <w:t>The importance of visualising data</w:t>
      </w:r>
    </w:p>
    <w:p w:rsidR="00243450" w:rsidRDefault="00243450" w:rsidP="00243450">
      <w:r>
        <w:t xml:space="preserve">A key insight from this study was that it is frequently necessary to understand the localised determinants of land values and residential sale prices. For example, the behaviour of property prices can vary significantly at different industrial zone boundaries and at different parts of urban boundaries within urban areas. This reflects the numerous local, context-specific drivers of urban prices. Aggregated summaries of </w:t>
      </w:r>
      <w:r>
        <w:lastRenderedPageBreak/>
        <w:t>th</w:t>
      </w:r>
      <w:r w:rsidR="00DE0D43">
        <w:t>ese</w:t>
      </w:r>
      <w:r>
        <w:t xml:space="preserve"> data, whether descriptive statistics presented in tables and graphs or outputs from sophisticated econometric model of entire regions, can omit some relevant detail.</w:t>
      </w:r>
    </w:p>
    <w:p w:rsidR="00243450" w:rsidRDefault="00243450" w:rsidP="00243450"/>
    <w:p w:rsidR="00243450" w:rsidRDefault="00243450" w:rsidP="00243450">
      <w:r>
        <w:t>Visualisation and mapping of th</w:t>
      </w:r>
      <w:r w:rsidR="00DE0D43">
        <w:t>ese</w:t>
      </w:r>
      <w:r>
        <w:t xml:space="preserve"> data can be important for understanding local relationships and enabling people with greater ‘on the ground’ knowledge to provide targeted information on other determinants of prices.</w:t>
      </w:r>
    </w:p>
    <w:p w:rsidR="00243450" w:rsidRDefault="00243450" w:rsidP="00243450">
      <w:pPr>
        <w:tabs>
          <w:tab w:val="left" w:pos="1825"/>
        </w:tabs>
      </w:pPr>
    </w:p>
    <w:p w:rsidR="00243450" w:rsidRDefault="00DE0D43" w:rsidP="00243450">
      <w:r>
        <w:t>T</w:t>
      </w:r>
      <w:r w:rsidR="00243450">
        <w:t xml:space="preserve">o analyse the effects of industrial zone boundaries on land prices, we developed a web-based visual toolkit in the ‘Shiny’ package for R. </w:t>
      </w:r>
      <w:r>
        <w:t>It</w:t>
      </w:r>
      <w:r w:rsidR="00243450">
        <w:t xml:space="preserve"> provides an easy-to-deploy web application framework. </w:t>
      </w:r>
      <w:r w:rsidR="00243450">
        <w:fldChar w:fldCharType="begin"/>
      </w:r>
      <w:r w:rsidR="00243450">
        <w:instrText xml:space="preserve"> REF _Ref458441627 \h </w:instrText>
      </w:r>
      <w:r w:rsidR="00243450">
        <w:fldChar w:fldCharType="separate"/>
      </w:r>
      <w:r w:rsidR="004D1DDA">
        <w:t xml:space="preserve">Figure </w:t>
      </w:r>
      <w:r w:rsidR="004D1DDA">
        <w:rPr>
          <w:noProof/>
        </w:rPr>
        <w:t>35</w:t>
      </w:r>
      <w:r w:rsidR="00243450">
        <w:fldChar w:fldCharType="end"/>
      </w:r>
      <w:r w:rsidR="00243450">
        <w:t xml:space="preserve"> presents a screenshot from this web application. In this picture, the user has selected the large industrial zone in Onehunga-Penrose-Mt Wellington, Auckland and, the web application has </w:t>
      </w:r>
      <w:r>
        <w:t>plotted</w:t>
      </w:r>
      <w:r w:rsidR="00243450">
        <w:t xml:space="preserve"> land values inside and outside of the boundary. This application not only makes local analysis possible, it enables anyone</w:t>
      </w:r>
      <w:r w:rsidR="003202E3" w:rsidRPr="003202E3">
        <w:t xml:space="preserve"> </w:t>
      </w:r>
      <w:r w:rsidR="003202E3">
        <w:t>to use the data</w:t>
      </w:r>
      <w:r w:rsidR="00243450">
        <w:t>, regardless of technical ability.</w:t>
      </w:r>
    </w:p>
    <w:p w:rsidR="00243450" w:rsidRDefault="00243450" w:rsidP="00E02811">
      <w:pPr>
        <w:pStyle w:val="Caption"/>
      </w:pPr>
      <w:bookmarkStart w:id="210" w:name="_Ref458441627"/>
      <w:r>
        <w:t xml:space="preserve">Figure </w:t>
      </w:r>
      <w:r>
        <w:fldChar w:fldCharType="begin"/>
      </w:r>
      <w:r>
        <w:instrText xml:space="preserve"> SEQ Figure \* ARABIC </w:instrText>
      </w:r>
      <w:r>
        <w:fldChar w:fldCharType="separate"/>
      </w:r>
      <w:proofErr w:type="gramStart"/>
      <w:r w:rsidR="004D1DDA">
        <w:rPr>
          <w:noProof/>
        </w:rPr>
        <w:t>35</w:t>
      </w:r>
      <w:r>
        <w:fldChar w:fldCharType="end"/>
      </w:r>
      <w:bookmarkEnd w:id="210"/>
      <w:r>
        <w:t xml:space="preserve"> A visualisation of land values</w:t>
      </w:r>
      <w:proofErr w:type="gramEnd"/>
      <w:r>
        <w:t xml:space="preserve"> in and around industrial zones in Auckland</w:t>
      </w:r>
    </w:p>
    <w:p w:rsidR="00243450" w:rsidRDefault="00243450" w:rsidP="00243450">
      <w:r>
        <w:rPr>
          <w:noProof/>
          <w:lang w:eastAsia="en-NZ"/>
        </w:rPr>
        <w:drawing>
          <wp:inline distT="114300" distB="114300" distL="114300" distR="114300" wp14:anchorId="0286AABC" wp14:editId="0350A500">
            <wp:extent cx="5229225" cy="2295525"/>
            <wp:effectExtent l="0" t="0" r="9525" b="0"/>
            <wp:docPr id="8" name="image01.png" descr="Screen Shot 2016-08-08 at 4.10.39 PM.png"/>
            <wp:cNvGraphicFramePr/>
            <a:graphic xmlns:a="http://schemas.openxmlformats.org/drawingml/2006/main">
              <a:graphicData uri="http://schemas.openxmlformats.org/drawingml/2006/picture">
                <pic:pic xmlns:pic="http://schemas.openxmlformats.org/drawingml/2006/picture">
                  <pic:nvPicPr>
                    <pic:cNvPr id="0" name="image01.png" descr="Screen Shot 2016-08-08 at 4.10.39 PM.png"/>
                    <pic:cNvPicPr preferRelativeResize="0"/>
                  </pic:nvPicPr>
                  <pic:blipFill>
                    <a:blip r:embed="rId66"/>
                    <a:srcRect/>
                    <a:stretch>
                      <a:fillRect/>
                    </a:stretch>
                  </pic:blipFill>
                  <pic:spPr>
                    <a:xfrm>
                      <a:off x="0" y="0"/>
                      <a:ext cx="5226627" cy="2294384"/>
                    </a:xfrm>
                    <a:prstGeom prst="rect">
                      <a:avLst/>
                    </a:prstGeom>
                    <a:ln/>
                  </pic:spPr>
                </pic:pic>
              </a:graphicData>
            </a:graphic>
          </wp:inline>
        </w:drawing>
      </w:r>
    </w:p>
    <w:p w:rsidR="00243450" w:rsidRPr="004C33D1" w:rsidRDefault="00243450" w:rsidP="00243450">
      <w:pPr>
        <w:pStyle w:val="Heading2"/>
      </w:pPr>
      <w:bookmarkStart w:id="211" w:name="_Toc462413650"/>
      <w:bookmarkStart w:id="212" w:name="_Toc462582206"/>
      <w:r w:rsidRPr="004C33D1">
        <w:t>Current capability</w:t>
      </w:r>
      <w:bookmarkEnd w:id="211"/>
      <w:bookmarkEnd w:id="212"/>
    </w:p>
    <w:p w:rsidR="00243450" w:rsidRDefault="00243450" w:rsidP="00243450">
      <w:r>
        <w:t>We gathered information on capacity in central and local government to implement these requirements through a workshop with local government, an online survey, and discussions with members of MBIE’s data analysis team.</w:t>
      </w:r>
    </w:p>
    <w:p w:rsidR="00243450" w:rsidRDefault="00243450" w:rsidP="00243450">
      <w:pPr>
        <w:pStyle w:val="Heading3"/>
      </w:pPr>
      <w:r>
        <w:t>Local government capability</w:t>
      </w:r>
    </w:p>
    <w:p w:rsidR="00243450" w:rsidRDefault="00243450" w:rsidP="00243450">
      <w:r>
        <w:t>We circulated an online survey to 27 councils in high- and medium-growth urban areas to investigate councils’ capability and perceptions of barriers to estimating measures of price signals, followed by a workshop with local government representatives on 4 July 2016.</w:t>
      </w:r>
    </w:p>
    <w:p w:rsidR="00243450" w:rsidRDefault="00243450" w:rsidP="00243450"/>
    <w:p w:rsidR="00243450" w:rsidRDefault="00243450" w:rsidP="00243450">
      <w:r>
        <w:t>Based on responses received from 13 participants in the online survey and from the workshop, we identified the following key insights:</w:t>
      </w:r>
    </w:p>
    <w:p w:rsidR="00243450" w:rsidRDefault="00243450" w:rsidP="00243450"/>
    <w:p w:rsidR="00243450" w:rsidRDefault="00243450" w:rsidP="006277DC">
      <w:pPr>
        <w:pStyle w:val="ListParagraph"/>
        <w:numPr>
          <w:ilvl w:val="0"/>
          <w:numId w:val="95"/>
        </w:numPr>
      </w:pPr>
      <w:r>
        <w:t xml:space="preserve">As shown in </w:t>
      </w:r>
      <w:r>
        <w:fldChar w:fldCharType="begin"/>
      </w:r>
      <w:r>
        <w:instrText xml:space="preserve"> REF _Ref458440164 \h </w:instrText>
      </w:r>
      <w:r>
        <w:fldChar w:fldCharType="separate"/>
      </w:r>
      <w:r w:rsidR="004D1DDA">
        <w:t xml:space="preserve">Figure </w:t>
      </w:r>
      <w:r w:rsidR="004D1DDA">
        <w:rPr>
          <w:noProof/>
        </w:rPr>
        <w:t>36</w:t>
      </w:r>
      <w:r>
        <w:fldChar w:fldCharType="end"/>
      </w:r>
      <w:r>
        <w:t xml:space="preserve">, all councils responding to the survey had staff members responsible for maintaining GIS databases of zoning maps and / or property data. This indicates at least some capability for spatial analysis. However, less </w:t>
      </w:r>
      <w:r>
        <w:lastRenderedPageBreak/>
        <w:t xml:space="preserve">than half of respondents had staff responsible for analysis of property data or other economic data. This suggests that councils </w:t>
      </w:r>
      <w:proofErr w:type="gramStart"/>
      <w:r>
        <w:t>may have less existing capability to implement the more detailed analysis required</w:t>
      </w:r>
      <w:proofErr w:type="gramEnd"/>
      <w:r>
        <w:t xml:space="preserve"> for several price indicators.</w:t>
      </w:r>
      <w:r w:rsidR="00B415C2">
        <w:br/>
      </w:r>
    </w:p>
    <w:p w:rsidR="00243450" w:rsidRDefault="00243450" w:rsidP="006277DC">
      <w:pPr>
        <w:pStyle w:val="ListParagraph"/>
        <w:numPr>
          <w:ilvl w:val="0"/>
          <w:numId w:val="95"/>
        </w:numPr>
      </w:pPr>
      <w:r>
        <w:t xml:space="preserve">A number of councils considered access to data, including data that </w:t>
      </w:r>
      <w:r w:rsidR="00EF6E12">
        <w:t xml:space="preserve">are </w:t>
      </w:r>
      <w:r>
        <w:t>consistent between council areas, as a barrier to implementing price measures. They saw a role for central government in providing or publishing basic data on property prices to enable them to undertake their own analysis or interpretation.</w:t>
      </w:r>
      <w:r w:rsidR="00B415C2">
        <w:br/>
      </w:r>
    </w:p>
    <w:p w:rsidR="00243450" w:rsidRDefault="00243450" w:rsidP="006277DC">
      <w:pPr>
        <w:pStyle w:val="ListParagraph"/>
        <w:numPr>
          <w:ilvl w:val="0"/>
          <w:numId w:val="95"/>
        </w:numPr>
      </w:pPr>
      <w:r>
        <w:t xml:space="preserve">Several smaller councils stated that it would be challenging </w:t>
      </w:r>
      <w:proofErr w:type="gramStart"/>
      <w:r>
        <w:t>for them</w:t>
      </w:r>
      <w:proofErr w:type="gramEnd"/>
      <w:r>
        <w:t xml:space="preserve"> to monitor indicators without partnering or collaborating with other councils, as they did not necessarily have staff with the capability or capacity to monitor price signals. </w:t>
      </w:r>
    </w:p>
    <w:p w:rsidR="00243450" w:rsidRDefault="00243450" w:rsidP="00E02811">
      <w:pPr>
        <w:pStyle w:val="Caption"/>
      </w:pPr>
      <w:bookmarkStart w:id="213" w:name="_Ref458440164"/>
      <w:r>
        <w:t xml:space="preserve">Figure </w:t>
      </w:r>
      <w:r>
        <w:fldChar w:fldCharType="begin"/>
      </w:r>
      <w:r>
        <w:instrText xml:space="preserve"> SEQ Figure \* ARABIC </w:instrText>
      </w:r>
      <w:r>
        <w:fldChar w:fldCharType="separate"/>
      </w:r>
      <w:r w:rsidR="004D1DDA">
        <w:rPr>
          <w:noProof/>
        </w:rPr>
        <w:t>36</w:t>
      </w:r>
      <w:r>
        <w:fldChar w:fldCharType="end"/>
      </w:r>
      <w:bookmarkEnd w:id="213"/>
      <w:r>
        <w:t xml:space="preserve"> Councils’ self-reported assessment of existing capability</w:t>
      </w:r>
    </w:p>
    <w:p w:rsidR="00243450" w:rsidRDefault="00243450" w:rsidP="007C2FD1">
      <w:pPr>
        <w:jc w:val="center"/>
      </w:pPr>
      <w:r w:rsidRPr="00DA5DD1">
        <w:rPr>
          <w:noProof/>
          <w:lang w:eastAsia="en-NZ"/>
        </w:rPr>
        <w:drawing>
          <wp:inline distT="0" distB="0" distL="0" distR="0" wp14:anchorId="47D6950B" wp14:editId="0E209FA3">
            <wp:extent cx="4695825" cy="2775455"/>
            <wp:effectExtent l="0" t="0" r="0" b="635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96396" cy="2775793"/>
                    </a:xfrm>
                    <a:prstGeom prst="rect">
                      <a:avLst/>
                    </a:prstGeom>
                    <a:noFill/>
                    <a:ln>
                      <a:noFill/>
                    </a:ln>
                    <a:effectLst/>
                    <a:extLst/>
                  </pic:spPr>
                </pic:pic>
              </a:graphicData>
            </a:graphic>
          </wp:inline>
        </w:drawing>
      </w:r>
    </w:p>
    <w:p w:rsidR="00243450" w:rsidRDefault="00EF6E12" w:rsidP="00243450">
      <w:r>
        <w:t>Despite some limitations in the availability of experienced analysts (economics and statistics)</w:t>
      </w:r>
      <w:r w:rsidR="003202E3">
        <w:t>,</w:t>
      </w:r>
      <w:r>
        <w:t xml:space="preserve"> many councils</w:t>
      </w:r>
      <w:r w:rsidR="003202E3">
        <w:t xml:space="preserve"> </w:t>
      </w:r>
      <w:r>
        <w:t xml:space="preserve">will have local knowledge which may </w:t>
      </w:r>
      <w:r w:rsidR="003202E3">
        <w:t xml:space="preserve">provide </w:t>
      </w:r>
      <w:r>
        <w:t xml:space="preserve">good insights into the level of emerging problems. However, the data analysis skills will be useful in communicating this and in confirming whether local </w:t>
      </w:r>
      <w:r w:rsidR="007E2B7D">
        <w:t>understanding is consistent with the analysed data.</w:t>
      </w:r>
    </w:p>
    <w:p w:rsidR="00243450" w:rsidRDefault="00243450" w:rsidP="00243450">
      <w:pPr>
        <w:pStyle w:val="Heading3"/>
      </w:pPr>
      <w:r>
        <w:t>Central government capability</w:t>
      </w:r>
    </w:p>
    <w:p w:rsidR="00243450" w:rsidRDefault="00243450" w:rsidP="00243450">
      <w:r>
        <w:t xml:space="preserve">MBIE has existing resources devoted to data analysis and reporting, including capabilities in econometric analysis. MBIE has been investing in developing </w:t>
      </w:r>
      <w:r w:rsidR="007E2B7D">
        <w:t xml:space="preserve">the following </w:t>
      </w:r>
      <w:r>
        <w:t>analyt</w:t>
      </w:r>
      <w:r w:rsidR="003202E3">
        <w:t>ical capabilities in its staff:</w:t>
      </w:r>
    </w:p>
    <w:p w:rsidR="00243450" w:rsidRDefault="00243450" w:rsidP="00243450"/>
    <w:p w:rsidR="00243450" w:rsidRDefault="003202E3" w:rsidP="006277DC">
      <w:pPr>
        <w:pStyle w:val="ListParagraph"/>
        <w:numPr>
          <w:ilvl w:val="0"/>
          <w:numId w:val="71"/>
        </w:numPr>
      </w:pPr>
      <w:r>
        <w:t xml:space="preserve">data </w:t>
      </w:r>
      <w:r w:rsidR="00243450">
        <w:t>analysis in R, an open-source software package;</w:t>
      </w:r>
    </w:p>
    <w:p w:rsidR="00243450" w:rsidRDefault="00243450" w:rsidP="006277DC">
      <w:pPr>
        <w:pStyle w:val="ListParagraph"/>
        <w:numPr>
          <w:ilvl w:val="0"/>
          <w:numId w:val="71"/>
        </w:numPr>
      </w:pPr>
      <w:r>
        <w:t>SQL for storing and accessing large datasets;</w:t>
      </w:r>
    </w:p>
    <w:p w:rsidR="00243450" w:rsidRDefault="003202E3" w:rsidP="006277DC">
      <w:pPr>
        <w:pStyle w:val="ListParagraph"/>
        <w:numPr>
          <w:ilvl w:val="0"/>
          <w:numId w:val="71"/>
        </w:numPr>
      </w:pPr>
      <w:r>
        <w:t xml:space="preserve">development </w:t>
      </w:r>
      <w:r w:rsidR="00243450">
        <w:t>of web graphics and visualisation tools; and</w:t>
      </w:r>
    </w:p>
    <w:p w:rsidR="00243450" w:rsidRDefault="003202E3" w:rsidP="006277DC">
      <w:pPr>
        <w:pStyle w:val="ListParagraph"/>
        <w:numPr>
          <w:ilvl w:val="0"/>
          <w:numId w:val="71"/>
        </w:numPr>
      </w:pPr>
      <w:proofErr w:type="gramStart"/>
      <w:r>
        <w:t>fundamentals</w:t>
      </w:r>
      <w:proofErr w:type="gramEnd"/>
      <w:r>
        <w:t xml:space="preserve"> </w:t>
      </w:r>
      <w:r w:rsidR="00243450">
        <w:t>of statistical and econometric analysis, including regression analysis and time series analysis.</w:t>
      </w:r>
    </w:p>
    <w:p w:rsidR="00243450" w:rsidRDefault="00243450" w:rsidP="00243450"/>
    <w:p w:rsidR="00DE0D43" w:rsidRDefault="00DE0D43" w:rsidP="00243450">
      <w:r>
        <w:lastRenderedPageBreak/>
        <w:t xml:space="preserve">MBIE is also developing a housing affordability measure (HAM) programme </w:t>
      </w:r>
      <w:proofErr w:type="gramStart"/>
      <w:r>
        <w:t>which</w:t>
      </w:r>
      <w:proofErr w:type="gramEnd"/>
      <w:r>
        <w:t xml:space="preserve"> is collecting and processing data to better understand trends. It has access to a number of data </w:t>
      </w:r>
      <w:r w:rsidR="003202E3">
        <w:t xml:space="preserve">sets that </w:t>
      </w:r>
      <w:r>
        <w:t>are not available to councils. This would provide a very useful source of data and indicators under the NPS-UDC.</w:t>
      </w:r>
    </w:p>
    <w:p w:rsidR="007E2B7D" w:rsidRDefault="007E2B7D" w:rsidP="00243450"/>
    <w:p w:rsidR="007E2B7D" w:rsidRDefault="007E2B7D" w:rsidP="00243450">
      <w:r>
        <w:t xml:space="preserve">MBIE and/or other government agencies could also work with other data suppliers, such as Statistics New Zealand and CoreLogic, to ensure that the data necessary for monitoring indicators </w:t>
      </w:r>
      <w:proofErr w:type="gramStart"/>
      <w:r>
        <w:t>can be made</w:t>
      </w:r>
      <w:proofErr w:type="gramEnd"/>
      <w:r>
        <w:t xml:space="preserve"> available to local authorities.</w:t>
      </w:r>
    </w:p>
    <w:p w:rsidR="00442DE5" w:rsidRPr="004C33D1" w:rsidRDefault="00442DE5" w:rsidP="00442DE5">
      <w:pPr>
        <w:ind w:left="709"/>
        <w:rPr>
          <w:rFonts w:ascii="Calibri" w:hAnsi="Calibri"/>
          <w:sz w:val="22"/>
          <w:szCs w:val="22"/>
        </w:rPr>
      </w:pPr>
    </w:p>
    <w:p w:rsidR="000D0D76" w:rsidRPr="004C33D1" w:rsidRDefault="000D0D76" w:rsidP="000D0D76">
      <w:r w:rsidRPr="004C33D1">
        <w:br w:type="page"/>
      </w:r>
    </w:p>
    <w:p w:rsidR="00AB134F" w:rsidRPr="004C33D1" w:rsidRDefault="00E00813" w:rsidP="00956D3F">
      <w:pPr>
        <w:pStyle w:val="Heading1"/>
      </w:pPr>
      <w:bookmarkStart w:id="214" w:name="_Ref457978784"/>
      <w:bookmarkStart w:id="215" w:name="_Toc462413651"/>
      <w:bookmarkStart w:id="216" w:name="_Toc462582207"/>
      <w:r w:rsidRPr="004C33D1">
        <w:lastRenderedPageBreak/>
        <w:t xml:space="preserve">Conclusions and </w:t>
      </w:r>
      <w:r w:rsidR="00090831" w:rsidRPr="004C33D1">
        <w:t>Indicator Options</w:t>
      </w:r>
      <w:bookmarkEnd w:id="214"/>
      <w:bookmarkEnd w:id="215"/>
      <w:bookmarkEnd w:id="216"/>
    </w:p>
    <w:p w:rsidR="00AE79D5" w:rsidRPr="004C33D1" w:rsidRDefault="00AE79D5" w:rsidP="00220C7C">
      <w:pPr>
        <w:pStyle w:val="Heading2"/>
      </w:pPr>
      <w:bookmarkStart w:id="217" w:name="_Toc456367164"/>
      <w:bookmarkStart w:id="218" w:name="_Toc462413652"/>
      <w:bookmarkStart w:id="219" w:name="_Toc462582208"/>
      <w:r w:rsidRPr="004C33D1">
        <w:t>Long List of Indicators</w:t>
      </w:r>
      <w:bookmarkEnd w:id="217"/>
      <w:bookmarkEnd w:id="218"/>
      <w:bookmarkEnd w:id="219"/>
    </w:p>
    <w:p w:rsidR="00AE79D5" w:rsidRPr="004C33D1" w:rsidRDefault="00AE79D5" w:rsidP="00AE79D5">
      <w:r w:rsidRPr="004C33D1">
        <w:t xml:space="preserve">In this </w:t>
      </w:r>
      <w:proofErr w:type="gramStart"/>
      <w:r w:rsidRPr="004C33D1">
        <w:t>paper</w:t>
      </w:r>
      <w:proofErr w:type="gramEnd"/>
      <w:r w:rsidRPr="004C33D1">
        <w:t xml:space="preserve"> we have examined possible indictors or price signals that could be used under the NPS-UDC. These </w:t>
      </w:r>
      <w:proofErr w:type="gramStart"/>
      <w:r w:rsidRPr="004C33D1">
        <w:t>have b</w:t>
      </w:r>
      <w:r w:rsidR="00DE0D43">
        <w:t>een divided</w:t>
      </w:r>
      <w:proofErr w:type="gramEnd"/>
      <w:r w:rsidR="00DE0D43">
        <w:t xml:space="preserve"> into indicators of:</w:t>
      </w:r>
    </w:p>
    <w:p w:rsidR="00AE79D5" w:rsidRPr="004C33D1" w:rsidRDefault="00AE79D5" w:rsidP="00411653">
      <w:pPr>
        <w:pStyle w:val="ListParagraph"/>
        <w:numPr>
          <w:ilvl w:val="0"/>
          <w:numId w:val="25"/>
        </w:numPr>
      </w:pPr>
      <w:r w:rsidRPr="004C33D1">
        <w:t>Supply-demand balance;</w:t>
      </w:r>
    </w:p>
    <w:p w:rsidR="00AE79D5" w:rsidRPr="004C33D1" w:rsidRDefault="00AE79D5" w:rsidP="00411653">
      <w:pPr>
        <w:pStyle w:val="ListParagraph"/>
        <w:numPr>
          <w:ilvl w:val="0"/>
          <w:numId w:val="25"/>
        </w:numPr>
      </w:pPr>
      <w:r w:rsidRPr="004C33D1">
        <w:t>Market competitiveness;</w:t>
      </w:r>
    </w:p>
    <w:p w:rsidR="00AE79D5" w:rsidRPr="004C33D1" w:rsidRDefault="00DE0D43" w:rsidP="00411653">
      <w:pPr>
        <w:pStyle w:val="ListParagraph"/>
        <w:numPr>
          <w:ilvl w:val="0"/>
          <w:numId w:val="25"/>
        </w:numPr>
      </w:pPr>
      <w:r>
        <w:t>Efficient p</w:t>
      </w:r>
      <w:r w:rsidR="00AE79D5" w:rsidRPr="004C33D1">
        <w:t>rice; and</w:t>
      </w:r>
    </w:p>
    <w:p w:rsidR="00AE79D5" w:rsidRPr="004C33D1" w:rsidRDefault="00AE79D5" w:rsidP="00411653">
      <w:pPr>
        <w:pStyle w:val="ListParagraph"/>
        <w:numPr>
          <w:ilvl w:val="0"/>
          <w:numId w:val="25"/>
        </w:numPr>
      </w:pPr>
      <w:proofErr w:type="gramStart"/>
      <w:r w:rsidRPr="004C33D1">
        <w:t>Affordability.</w:t>
      </w:r>
      <w:proofErr w:type="gramEnd"/>
    </w:p>
    <w:p w:rsidR="00AE79D5" w:rsidRPr="004C33D1" w:rsidRDefault="00AE79D5" w:rsidP="00AE79D5"/>
    <w:p w:rsidR="00AE79D5" w:rsidRPr="004C33D1" w:rsidRDefault="00AE79D5" w:rsidP="00AE79D5">
      <w:r w:rsidRPr="004C33D1">
        <w:fldChar w:fldCharType="begin"/>
      </w:r>
      <w:r w:rsidRPr="004C33D1">
        <w:instrText xml:space="preserve"> REF _Ref456354634 \h </w:instrText>
      </w:r>
      <w:r w:rsidRPr="004C33D1">
        <w:fldChar w:fldCharType="separate"/>
      </w:r>
      <w:r w:rsidR="004D1DDA" w:rsidRPr="004C33D1">
        <w:t xml:space="preserve">Table </w:t>
      </w:r>
      <w:r w:rsidR="004D1DDA">
        <w:rPr>
          <w:noProof/>
        </w:rPr>
        <w:t>16</w:t>
      </w:r>
      <w:r w:rsidRPr="004C33D1">
        <w:fldChar w:fldCharType="end"/>
      </w:r>
      <w:r w:rsidRPr="004C33D1">
        <w:t xml:space="preserve"> is a long list of possible indicators; it summarises the results of the analysis above. In the </w:t>
      </w:r>
      <w:proofErr w:type="gramStart"/>
      <w:r w:rsidRPr="004C33D1">
        <w:t>table</w:t>
      </w:r>
      <w:proofErr w:type="gramEnd"/>
      <w:r w:rsidRPr="004C33D1">
        <w:t xml:space="preserve"> we an</w:t>
      </w:r>
      <w:r w:rsidR="003202E3">
        <w:t>alyse these indicators against four</w:t>
      </w:r>
      <w:r w:rsidRPr="004C33D1">
        <w:t xml:space="preserve"> criteria</w:t>
      </w:r>
      <w:r w:rsidR="003202E3">
        <w:t>.</w:t>
      </w:r>
    </w:p>
    <w:p w:rsidR="00AE79D5" w:rsidRPr="004C33D1" w:rsidRDefault="00AE79D5" w:rsidP="00AE79D5"/>
    <w:p w:rsidR="00AE79D5" w:rsidRPr="004C33D1" w:rsidRDefault="00AE79D5" w:rsidP="00411653">
      <w:pPr>
        <w:pStyle w:val="ListParagraph"/>
        <w:numPr>
          <w:ilvl w:val="0"/>
          <w:numId w:val="55"/>
        </w:numPr>
        <w:spacing w:line="240" w:lineRule="auto"/>
      </w:pPr>
      <w:r w:rsidRPr="004C33D1">
        <w:rPr>
          <w:b/>
          <w:bCs/>
        </w:rPr>
        <w:t xml:space="preserve">Usefulness: </w:t>
      </w:r>
      <w:r w:rsidRPr="004C33D1">
        <w:t>Does the proposed indicator help decision makers to understand the problem, including the issues of supply-demand balance, competitiveness, price and affordability?</w:t>
      </w:r>
      <w:r w:rsidRPr="004C33D1">
        <w:br/>
      </w:r>
    </w:p>
    <w:p w:rsidR="00AE79D5" w:rsidRPr="004C33D1" w:rsidRDefault="00AE79D5" w:rsidP="00411653">
      <w:pPr>
        <w:pStyle w:val="ListParagraph"/>
        <w:numPr>
          <w:ilvl w:val="0"/>
          <w:numId w:val="55"/>
        </w:numPr>
        <w:spacing w:line="240" w:lineRule="auto"/>
      </w:pPr>
      <w:r w:rsidRPr="004C33D1">
        <w:rPr>
          <w:b/>
          <w:bCs/>
        </w:rPr>
        <w:t xml:space="preserve">Understandability: </w:t>
      </w:r>
      <w:r w:rsidRPr="004C33D1">
        <w:t xml:space="preserve">Is the proposed indicator </w:t>
      </w:r>
      <w:r w:rsidRPr="004C33D1">
        <w:rPr>
          <w:i/>
          <w:iCs/>
        </w:rPr>
        <w:t>interpretable</w:t>
      </w:r>
      <w:r w:rsidRPr="004C33D1">
        <w:t xml:space="preserve"> by users, including urban planners, infrastructure providers, and policy analysts?</w:t>
      </w:r>
      <w:r w:rsidRPr="004C33D1">
        <w:br/>
      </w:r>
    </w:p>
    <w:p w:rsidR="00AE79D5" w:rsidRPr="004C33D1" w:rsidRDefault="00AE79D5" w:rsidP="00411653">
      <w:pPr>
        <w:pStyle w:val="ListParagraph"/>
        <w:numPr>
          <w:ilvl w:val="0"/>
          <w:numId w:val="55"/>
        </w:numPr>
        <w:spacing w:line="240" w:lineRule="auto"/>
      </w:pPr>
      <w:r w:rsidRPr="004C33D1">
        <w:rPr>
          <w:b/>
          <w:bCs/>
        </w:rPr>
        <w:t xml:space="preserve">Data availability: </w:t>
      </w:r>
      <w:r w:rsidRPr="004C33D1">
        <w:t>Are the necessary data available to local and/or central government to calculate the indicator on a regular basis?</w:t>
      </w:r>
      <w:r w:rsidRPr="004C33D1">
        <w:br/>
      </w:r>
    </w:p>
    <w:p w:rsidR="00AE79D5" w:rsidRPr="004C33D1" w:rsidRDefault="00AE79D5" w:rsidP="00411653">
      <w:pPr>
        <w:pStyle w:val="ListParagraph"/>
        <w:numPr>
          <w:ilvl w:val="0"/>
          <w:numId w:val="55"/>
        </w:numPr>
        <w:spacing w:line="240" w:lineRule="auto"/>
      </w:pPr>
      <w:r w:rsidRPr="004C33D1">
        <w:rPr>
          <w:b/>
          <w:bCs/>
        </w:rPr>
        <w:t xml:space="preserve">Feasibility: </w:t>
      </w:r>
      <w:proofErr w:type="gramStart"/>
      <w:r w:rsidRPr="004C33D1">
        <w:t xml:space="preserve">Is it </w:t>
      </w:r>
      <w:r w:rsidRPr="004C33D1">
        <w:rPr>
          <w:i/>
          <w:iCs/>
        </w:rPr>
        <w:t>feasible to estimate</w:t>
      </w:r>
      <w:r w:rsidRPr="004C33D1">
        <w:t xml:space="preserve"> based</w:t>
      </w:r>
      <w:proofErr w:type="gramEnd"/>
      <w:r w:rsidRPr="004C33D1">
        <w:t xml:space="preserve"> on the </w:t>
      </w:r>
      <w:r w:rsidR="00DE0D43">
        <w:t>capabilities</w:t>
      </w:r>
      <w:r w:rsidRPr="004C33D1">
        <w:t xml:space="preserve"> and econometric techniques available to local and/or central government?</w:t>
      </w:r>
    </w:p>
    <w:p w:rsidR="00AE79D5" w:rsidRPr="004C33D1" w:rsidRDefault="00AE79D5" w:rsidP="00AE79D5"/>
    <w:p w:rsidR="00AE79D5" w:rsidRPr="004C33D1" w:rsidRDefault="00AE79D5" w:rsidP="00AE79D5">
      <w:r w:rsidRPr="004C33D1">
        <w:t xml:space="preserve">The preferred indicators </w:t>
      </w:r>
      <w:proofErr w:type="gramStart"/>
      <w:r w:rsidRPr="004C33D1">
        <w:t>are highlighted</w:t>
      </w:r>
      <w:proofErr w:type="gramEnd"/>
      <w:r w:rsidRPr="004C33D1">
        <w:t xml:space="preserve"> in the table. We provide brief explanations of them in Annexes.</w:t>
      </w:r>
      <w:r w:rsidR="00DE0D43">
        <w:t xml:space="preserve"> </w:t>
      </w:r>
      <w:r w:rsidRPr="004C33D1">
        <w:t>Below we note a number of issues relating to the individual indicator categories.</w:t>
      </w:r>
    </w:p>
    <w:p w:rsidR="007E2B7D" w:rsidRDefault="007E2B7D" w:rsidP="00220C7C">
      <w:pPr>
        <w:pStyle w:val="Heading2"/>
      </w:pPr>
      <w:bookmarkStart w:id="220" w:name="_Toc462413653"/>
      <w:bookmarkStart w:id="221" w:name="_Toc462582209"/>
      <w:bookmarkStart w:id="222" w:name="_Toc456367165"/>
      <w:r>
        <w:t>General Market Indicators</w:t>
      </w:r>
      <w:bookmarkEnd w:id="220"/>
      <w:bookmarkEnd w:id="221"/>
    </w:p>
    <w:p w:rsidR="007E2B7D" w:rsidRDefault="00DB6BD8" w:rsidP="007E2B7D">
      <w:r>
        <w:t xml:space="preserve">There is regular reporting in the media on changes in property prices, but these can suggest different conclusions depending on the way in which the data are disaggregated or the time period over which changes are measured. Councils can usefully analyse and present data on a consistent basis over time. </w:t>
      </w:r>
      <w:r w:rsidR="00BC021F">
        <w:t>These general market indicators include:</w:t>
      </w:r>
    </w:p>
    <w:p w:rsidR="00BC021F" w:rsidRDefault="00BC021F" w:rsidP="007E2B7D"/>
    <w:p w:rsidR="00BC021F" w:rsidRDefault="003202E3" w:rsidP="006277DC">
      <w:pPr>
        <w:pStyle w:val="ListParagraph"/>
        <w:numPr>
          <w:ilvl w:val="0"/>
          <w:numId w:val="109"/>
        </w:numPr>
      </w:pPr>
      <w:r>
        <w:t xml:space="preserve">trends </w:t>
      </w:r>
      <w:r w:rsidR="00BC021F">
        <w:t>in ho</w:t>
      </w:r>
      <w:r w:rsidR="007D371A">
        <w:t>m</w:t>
      </w:r>
      <w:r w:rsidR="00BC021F">
        <w:t>e prices, including median ho</w:t>
      </w:r>
      <w:r w:rsidR="007D371A">
        <w:t>m</w:t>
      </w:r>
      <w:r w:rsidR="00BC021F">
        <w:t>e prices and prices per square metre of property to take account of changing preferences for property size and type;</w:t>
      </w:r>
      <w:r w:rsidR="00BC021F">
        <w:br/>
      </w:r>
    </w:p>
    <w:p w:rsidR="00BC021F" w:rsidRDefault="003202E3" w:rsidP="006277DC">
      <w:pPr>
        <w:pStyle w:val="ListParagraph"/>
        <w:numPr>
          <w:ilvl w:val="0"/>
          <w:numId w:val="109"/>
        </w:numPr>
      </w:pPr>
      <w:proofErr w:type="gramStart"/>
      <w:r>
        <w:t>land</w:t>
      </w:r>
      <w:proofErr w:type="gramEnd"/>
      <w:r>
        <w:t xml:space="preserve"> </w:t>
      </w:r>
      <w:r w:rsidR="00F02B0E">
        <w:t xml:space="preserve">values, </w:t>
      </w:r>
      <w:r w:rsidR="00BC021F">
        <w:t xml:space="preserve">including </w:t>
      </w:r>
      <w:r w:rsidR="00F02B0E">
        <w:t xml:space="preserve">indicators at a disaggregated (suburb) level. These indicators can be used to better understand relative </w:t>
      </w:r>
      <w:r w:rsidR="00132DD1">
        <w:t>price trends and emerging problems, and differences in levels of supply and demand by suburb within cities;</w:t>
      </w:r>
      <w:r w:rsidR="00217AA6">
        <w:t xml:space="preserve"> and</w:t>
      </w:r>
      <w:r w:rsidR="00132DD1">
        <w:br/>
      </w:r>
    </w:p>
    <w:bookmarkEnd w:id="222"/>
    <w:p w:rsidR="00AE79D5" w:rsidRPr="004C33D1" w:rsidRDefault="00AE79D5" w:rsidP="009476C1">
      <w:pPr>
        <w:sectPr w:rsidR="00AE79D5" w:rsidRPr="004C33D1" w:rsidSect="00E46CE7">
          <w:headerReference w:type="default" r:id="rId68"/>
          <w:footerReference w:type="default" r:id="rId69"/>
          <w:headerReference w:type="first" r:id="rId70"/>
          <w:footerReference w:type="first" r:id="rId71"/>
          <w:pgSz w:w="11907" w:h="16840" w:code="9"/>
          <w:pgMar w:top="1678" w:right="1701" w:bottom="1418" w:left="1985" w:header="720" w:footer="828" w:gutter="0"/>
          <w:cols w:space="720"/>
          <w:titlePg/>
          <w:docGrid w:linePitch="360"/>
        </w:sectPr>
      </w:pPr>
    </w:p>
    <w:p w:rsidR="00AE79D5" w:rsidRPr="004C33D1" w:rsidRDefault="00AE79D5" w:rsidP="00E02811">
      <w:pPr>
        <w:pStyle w:val="Caption"/>
      </w:pPr>
      <w:bookmarkStart w:id="223" w:name="_Ref456354634"/>
      <w:r w:rsidRPr="004C33D1">
        <w:lastRenderedPageBreak/>
        <w:t xml:space="preserve">Table </w:t>
      </w:r>
      <w:r w:rsidRPr="004C33D1">
        <w:fldChar w:fldCharType="begin"/>
      </w:r>
      <w:r w:rsidRPr="004C33D1">
        <w:instrText xml:space="preserve"> SEQ Table \* ARABIC </w:instrText>
      </w:r>
      <w:r w:rsidRPr="004C33D1">
        <w:fldChar w:fldCharType="separate"/>
      </w:r>
      <w:r w:rsidR="004D1DDA">
        <w:rPr>
          <w:noProof/>
        </w:rPr>
        <w:t>16</w:t>
      </w:r>
      <w:r w:rsidRPr="004C33D1">
        <w:fldChar w:fldCharType="end"/>
      </w:r>
      <w:bookmarkEnd w:id="223"/>
      <w:r w:rsidRPr="004C33D1">
        <w:t xml:space="preserve"> Long list of potential indicators </w:t>
      </w:r>
    </w:p>
    <w:tbl>
      <w:tblPr>
        <w:tblStyle w:val="CovecTables"/>
        <w:tblW w:w="5000" w:type="pct"/>
        <w:tblCellMar>
          <w:left w:w="57" w:type="dxa"/>
          <w:right w:w="57" w:type="dxa"/>
        </w:tblCellMar>
        <w:tblLook w:val="04E0" w:firstRow="1" w:lastRow="1" w:firstColumn="1" w:lastColumn="0" w:noHBand="0" w:noVBand="1"/>
      </w:tblPr>
      <w:tblGrid>
        <w:gridCol w:w="1511"/>
        <w:gridCol w:w="1657"/>
        <w:gridCol w:w="5474"/>
        <w:gridCol w:w="1455"/>
        <w:gridCol w:w="1380"/>
        <w:gridCol w:w="1267"/>
        <w:gridCol w:w="1114"/>
      </w:tblGrid>
      <w:tr w:rsidR="00E71B09" w:rsidRPr="004C33D1" w:rsidTr="00CB132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45" w:type="pct"/>
            <w:tcBorders>
              <w:right w:val="single" w:sz="8" w:space="0" w:color="A6A6A6" w:themeColor="background1" w:themeShade="A6"/>
            </w:tcBorders>
          </w:tcPr>
          <w:p w:rsidR="00E71B09" w:rsidRPr="004C33D1" w:rsidRDefault="00E71B09" w:rsidP="00E71B09">
            <w:pPr>
              <w:pStyle w:val="TableText"/>
            </w:pPr>
            <w:r w:rsidRPr="004C33D1">
              <w:t>Problem component</w:t>
            </w:r>
          </w:p>
        </w:tc>
        <w:tc>
          <w:tcPr>
            <w:tcW w:w="598" w:type="pct"/>
            <w:tcBorders>
              <w:left w:val="single" w:sz="8" w:space="0" w:color="A6A6A6" w:themeColor="background1" w:themeShade="A6"/>
              <w:right w:val="single" w:sz="8" w:space="0" w:color="A6A6A6" w:themeColor="background1" w:themeShade="A6"/>
            </w:tcBorders>
          </w:tcPr>
          <w:p w:rsidR="00E71B09" w:rsidRPr="004C33D1" w:rsidRDefault="00E71B09" w:rsidP="00E71B09">
            <w:pPr>
              <w:pStyle w:val="TableText"/>
              <w:jc w:val="left"/>
              <w:cnfStyle w:val="100000000000" w:firstRow="1" w:lastRow="0" w:firstColumn="0" w:lastColumn="0" w:oddVBand="0" w:evenVBand="0" w:oddHBand="0" w:evenHBand="0" w:firstRowFirstColumn="0" w:firstRowLastColumn="0" w:lastRowFirstColumn="0" w:lastRowLastColumn="0"/>
            </w:pPr>
            <w:r w:rsidRPr="004C33D1">
              <w:t>Indicator</w:t>
            </w:r>
          </w:p>
        </w:tc>
        <w:tc>
          <w:tcPr>
            <w:tcW w:w="1975" w:type="pct"/>
            <w:tcBorders>
              <w:left w:val="single" w:sz="8" w:space="0" w:color="A6A6A6" w:themeColor="background1" w:themeShade="A6"/>
              <w:right w:val="single" w:sz="8" w:space="0" w:color="A6A6A6" w:themeColor="background1" w:themeShade="A6"/>
            </w:tcBorders>
          </w:tcPr>
          <w:p w:rsidR="00E71B09" w:rsidRPr="004C33D1" w:rsidRDefault="00E71B09" w:rsidP="00E71B09">
            <w:pPr>
              <w:pStyle w:val="TableText"/>
              <w:jc w:val="left"/>
              <w:cnfStyle w:val="100000000000" w:firstRow="1" w:lastRow="0" w:firstColumn="0" w:lastColumn="0" w:oddVBand="0" w:evenVBand="0" w:oddHBand="0" w:evenHBand="0" w:firstRowFirstColumn="0" w:firstRowLastColumn="0" w:lastRowFirstColumn="0" w:lastRowLastColumn="0"/>
            </w:pPr>
            <w:r w:rsidRPr="004C33D1">
              <w:t>Interpretation and use</w:t>
            </w:r>
          </w:p>
        </w:tc>
        <w:tc>
          <w:tcPr>
            <w:tcW w:w="525" w:type="pct"/>
            <w:tcBorders>
              <w:left w:val="single" w:sz="8" w:space="0" w:color="A6A6A6" w:themeColor="background1" w:themeShade="A6"/>
              <w:right w:val="single" w:sz="8" w:space="0" w:color="A6A6A6" w:themeColor="background1" w:themeShade="A6"/>
            </w:tcBorders>
          </w:tcPr>
          <w:p w:rsidR="00E71B09" w:rsidRPr="004C33D1" w:rsidRDefault="00E71B09" w:rsidP="00E71B09">
            <w:pPr>
              <w:pStyle w:val="TableText"/>
              <w:jc w:val="center"/>
              <w:cnfStyle w:val="100000000000" w:firstRow="1" w:lastRow="0" w:firstColumn="0" w:lastColumn="0" w:oddVBand="0" w:evenVBand="0" w:oddHBand="0" w:evenHBand="0" w:firstRowFirstColumn="0" w:firstRowLastColumn="0" w:lastRowFirstColumn="0" w:lastRowLastColumn="0"/>
            </w:pPr>
            <w:r w:rsidRPr="004C33D1">
              <w:t>Useful</w:t>
            </w:r>
          </w:p>
        </w:tc>
        <w:tc>
          <w:tcPr>
            <w:tcW w:w="498" w:type="pct"/>
            <w:tcBorders>
              <w:left w:val="single" w:sz="8" w:space="0" w:color="A6A6A6" w:themeColor="background1" w:themeShade="A6"/>
              <w:right w:val="single" w:sz="8" w:space="0" w:color="A6A6A6" w:themeColor="background1" w:themeShade="A6"/>
            </w:tcBorders>
          </w:tcPr>
          <w:p w:rsidR="00E71B09" w:rsidRPr="004C33D1" w:rsidRDefault="00E71B09" w:rsidP="00E71B09">
            <w:pPr>
              <w:pStyle w:val="TableText"/>
              <w:jc w:val="center"/>
              <w:cnfStyle w:val="100000000000" w:firstRow="1" w:lastRow="0" w:firstColumn="0" w:lastColumn="0" w:oddVBand="0" w:evenVBand="0" w:oddHBand="0" w:evenHBand="0" w:firstRowFirstColumn="0" w:firstRowLastColumn="0" w:lastRowFirstColumn="0" w:lastRowLastColumn="0"/>
            </w:pPr>
            <w:r w:rsidRPr="004C33D1">
              <w:t>Under-</w:t>
            </w:r>
            <w:proofErr w:type="spellStart"/>
            <w:r w:rsidRPr="004C33D1">
              <w:t>standable</w:t>
            </w:r>
            <w:proofErr w:type="spellEnd"/>
          </w:p>
        </w:tc>
        <w:tc>
          <w:tcPr>
            <w:tcW w:w="457" w:type="pct"/>
            <w:tcBorders>
              <w:left w:val="single" w:sz="8" w:space="0" w:color="A6A6A6" w:themeColor="background1" w:themeShade="A6"/>
              <w:right w:val="single" w:sz="8" w:space="0" w:color="A6A6A6" w:themeColor="background1" w:themeShade="A6"/>
            </w:tcBorders>
          </w:tcPr>
          <w:p w:rsidR="00E71B09" w:rsidRPr="004C33D1" w:rsidRDefault="00E71B09" w:rsidP="00E71B09">
            <w:pPr>
              <w:pStyle w:val="TableText"/>
              <w:jc w:val="center"/>
              <w:cnfStyle w:val="100000000000" w:firstRow="1" w:lastRow="0" w:firstColumn="0" w:lastColumn="0" w:oddVBand="0" w:evenVBand="0" w:oddHBand="0" w:evenHBand="0" w:firstRowFirstColumn="0" w:firstRowLastColumn="0" w:lastRowFirstColumn="0" w:lastRowLastColumn="0"/>
            </w:pPr>
            <w:r w:rsidRPr="004C33D1">
              <w:t>Data available</w:t>
            </w:r>
          </w:p>
        </w:tc>
        <w:tc>
          <w:tcPr>
            <w:tcW w:w="403" w:type="pct"/>
            <w:tcBorders>
              <w:left w:val="single" w:sz="8" w:space="0" w:color="A6A6A6" w:themeColor="background1" w:themeShade="A6"/>
            </w:tcBorders>
          </w:tcPr>
          <w:p w:rsidR="00E71B09" w:rsidRPr="004C33D1" w:rsidRDefault="00E71B09" w:rsidP="00E71B09">
            <w:pPr>
              <w:pStyle w:val="TableText"/>
              <w:jc w:val="center"/>
              <w:cnfStyle w:val="100000000000" w:firstRow="1" w:lastRow="0" w:firstColumn="0" w:lastColumn="0" w:oddVBand="0" w:evenVBand="0" w:oddHBand="0" w:evenHBand="0" w:firstRowFirstColumn="0" w:firstRowLastColumn="0" w:lastRowFirstColumn="0" w:lastRowLastColumn="0"/>
            </w:pPr>
            <w:r w:rsidRPr="004C33D1">
              <w:t>Feasible</w:t>
            </w:r>
          </w:p>
        </w:tc>
      </w:tr>
      <w:tr w:rsidR="007F19BF" w:rsidRPr="004C33D1" w:rsidTr="00CB1327">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545" w:type="pct"/>
            <w:tcBorders>
              <w:right w:val="single" w:sz="8" w:space="0" w:color="A6A6A6" w:themeColor="background1" w:themeShade="A6"/>
            </w:tcBorders>
            <w:vAlign w:val="top"/>
          </w:tcPr>
          <w:p w:rsidR="007F19BF" w:rsidRPr="004C33D1" w:rsidRDefault="007F19BF" w:rsidP="007F19BF">
            <w:pPr>
              <w:pStyle w:val="TableText"/>
            </w:pPr>
            <w:r w:rsidRPr="004C33D1">
              <w:t>General market information</w:t>
            </w:r>
          </w:p>
        </w:tc>
        <w:tc>
          <w:tcPr>
            <w:tcW w:w="598" w:type="pct"/>
            <w:tcBorders>
              <w:top w:val="single" w:sz="8" w:space="0" w:color="A6A6A6" w:themeColor="background1" w:themeShade="A6"/>
              <w:left w:val="single" w:sz="8" w:space="0" w:color="A6A6A6" w:themeColor="background1" w:themeShade="A6"/>
              <w:bottom w:val="single" w:sz="4" w:space="0" w:color="A6A6A6" w:themeColor="background1" w:themeShade="A6"/>
              <w:right w:val="single" w:sz="8" w:space="0" w:color="A6A6A6" w:themeColor="background1" w:themeShade="A6"/>
            </w:tcBorders>
            <w:shd w:val="pct10" w:color="auto" w:fill="auto"/>
            <w:vAlign w:val="top"/>
          </w:tcPr>
          <w:p w:rsidR="007F19BF" w:rsidRPr="004C33D1" w:rsidRDefault="007F19BF" w:rsidP="006277DC">
            <w:pPr>
              <w:pStyle w:val="TableText"/>
              <w:numPr>
                <w:ilvl w:val="0"/>
                <w:numId w:val="91"/>
              </w:numPr>
              <w:ind w:left="36" w:firstLine="0"/>
              <w:jc w:val="left"/>
              <w:cnfStyle w:val="000000000000" w:firstRow="0" w:lastRow="0" w:firstColumn="0" w:lastColumn="0" w:oddVBand="0" w:evenVBand="0" w:oddHBand="0" w:evenHBand="0" w:firstRowFirstColumn="0" w:firstRowLastColumn="0" w:lastRowFirstColumn="0" w:lastRowLastColumn="0"/>
            </w:pPr>
            <w:r w:rsidRPr="004C33D1">
              <w:t>Ho</w:t>
            </w:r>
            <w:r w:rsidR="007D371A">
              <w:t>m</w:t>
            </w:r>
            <w:r w:rsidRPr="004C33D1">
              <w:t>e price trends: Inflation-adjusted median ho</w:t>
            </w:r>
            <w:r w:rsidR="007D371A">
              <w:t>m</w:t>
            </w:r>
            <w:r w:rsidRPr="004C33D1">
              <w:t>e prices</w:t>
            </w:r>
          </w:p>
        </w:tc>
        <w:tc>
          <w:tcPr>
            <w:tcW w:w="1975" w:type="pct"/>
            <w:tcBorders>
              <w:top w:val="single" w:sz="8" w:space="0" w:color="A6A6A6" w:themeColor="background1" w:themeShade="A6"/>
              <w:left w:val="single" w:sz="8" w:space="0" w:color="A6A6A6" w:themeColor="background1" w:themeShade="A6"/>
              <w:bottom w:val="single" w:sz="4" w:space="0" w:color="A6A6A6" w:themeColor="background1" w:themeShade="A6"/>
              <w:right w:val="single" w:sz="8" w:space="0" w:color="A6A6A6" w:themeColor="background1" w:themeShade="A6"/>
            </w:tcBorders>
            <w:shd w:val="pct10" w:color="auto" w:fill="auto"/>
            <w:vAlign w:val="top"/>
          </w:tcPr>
          <w:p w:rsidR="007F19BF" w:rsidRPr="004C33D1" w:rsidRDefault="007F19BF" w:rsidP="007F19BF">
            <w:pPr>
              <w:pStyle w:val="TableText"/>
              <w:jc w:val="left"/>
              <w:cnfStyle w:val="000000000000" w:firstRow="0" w:lastRow="0" w:firstColumn="0" w:lastColumn="0" w:oddVBand="0" w:evenVBand="0" w:oddHBand="0" w:evenHBand="0" w:firstRowFirstColumn="0" w:firstRowLastColumn="0" w:lastRowFirstColumn="0" w:lastRowLastColumn="0"/>
            </w:pPr>
            <w:r w:rsidRPr="004C33D1">
              <w:t>This indicator provides a simple indicator of the rate of increase in median ho</w:t>
            </w:r>
            <w:r w:rsidR="007D371A">
              <w:t>m</w:t>
            </w:r>
            <w:r w:rsidRPr="004C33D1">
              <w:t xml:space="preserve">e prices (in real terms, ie adjusted for inflation). Very rapid increases would lead to more questions and analysis of the causes. </w:t>
            </w:r>
          </w:p>
        </w:tc>
        <w:tc>
          <w:tcPr>
            <w:tcW w:w="525" w:type="pct"/>
            <w:tcBorders>
              <w:top w:val="single" w:sz="8" w:space="0" w:color="A6A6A6" w:themeColor="background1" w:themeShade="A6"/>
              <w:left w:val="single" w:sz="8" w:space="0" w:color="A6A6A6" w:themeColor="background1" w:themeShade="A6"/>
              <w:bottom w:val="single" w:sz="4" w:space="0" w:color="A6A6A6" w:themeColor="background1" w:themeShade="A6"/>
              <w:right w:val="single" w:sz="8" w:space="0" w:color="A6A6A6" w:themeColor="background1" w:themeShade="A6"/>
            </w:tcBorders>
            <w:shd w:val="pct10" w:color="auto" w:fill="auto"/>
          </w:tcPr>
          <w:p w:rsidR="007F19BF" w:rsidRPr="004C33D1" w:rsidRDefault="007F19BF" w:rsidP="007F19BF">
            <w:pPr>
              <w:pStyle w:val="TableText"/>
              <w:jc w:val="center"/>
              <w:cnfStyle w:val="000000000000" w:firstRow="0" w:lastRow="0" w:firstColumn="0" w:lastColumn="0" w:oddVBand="0" w:evenVBand="0" w:oddHBand="0" w:evenHBand="0" w:firstRowFirstColumn="0" w:firstRowLastColumn="0" w:lastRowFirstColumn="0" w:lastRowLastColumn="0"/>
            </w:pPr>
            <w:r w:rsidRPr="004C33D1">
              <w:t>Yes – with additional analysis</w:t>
            </w:r>
          </w:p>
        </w:tc>
        <w:tc>
          <w:tcPr>
            <w:tcW w:w="498" w:type="pct"/>
            <w:tcBorders>
              <w:top w:val="single" w:sz="8" w:space="0" w:color="A6A6A6" w:themeColor="background1" w:themeShade="A6"/>
              <w:left w:val="single" w:sz="8" w:space="0" w:color="A6A6A6" w:themeColor="background1" w:themeShade="A6"/>
              <w:bottom w:val="single" w:sz="4" w:space="0" w:color="A6A6A6" w:themeColor="background1" w:themeShade="A6"/>
              <w:right w:val="single" w:sz="8" w:space="0" w:color="A6A6A6" w:themeColor="background1" w:themeShade="A6"/>
            </w:tcBorders>
            <w:shd w:val="pct10" w:color="auto" w:fill="auto"/>
          </w:tcPr>
          <w:p w:rsidR="007F19BF" w:rsidRPr="004C33D1" w:rsidRDefault="007F19BF" w:rsidP="007F19BF">
            <w:pPr>
              <w:pStyle w:val="TableText"/>
              <w:jc w:val="center"/>
              <w:cnfStyle w:val="000000000000" w:firstRow="0" w:lastRow="0" w:firstColumn="0" w:lastColumn="0" w:oddVBand="0" w:evenVBand="0" w:oddHBand="0" w:evenHBand="0" w:firstRowFirstColumn="0" w:firstRowLastColumn="0" w:lastRowFirstColumn="0" w:lastRowLastColumn="0"/>
            </w:pPr>
            <w:r w:rsidRPr="004C33D1">
              <w:t>Yes</w:t>
            </w:r>
          </w:p>
        </w:tc>
        <w:tc>
          <w:tcPr>
            <w:tcW w:w="457" w:type="pct"/>
            <w:tcBorders>
              <w:top w:val="single" w:sz="8" w:space="0" w:color="A6A6A6" w:themeColor="background1" w:themeShade="A6"/>
              <w:left w:val="single" w:sz="8" w:space="0" w:color="A6A6A6" w:themeColor="background1" w:themeShade="A6"/>
              <w:bottom w:val="single" w:sz="4" w:space="0" w:color="A6A6A6" w:themeColor="background1" w:themeShade="A6"/>
              <w:right w:val="single" w:sz="8" w:space="0" w:color="A6A6A6" w:themeColor="background1" w:themeShade="A6"/>
            </w:tcBorders>
            <w:shd w:val="pct10" w:color="auto" w:fill="auto"/>
          </w:tcPr>
          <w:p w:rsidR="007F19BF" w:rsidRPr="004C33D1" w:rsidRDefault="007F19BF" w:rsidP="007F19BF">
            <w:pPr>
              <w:pStyle w:val="TableText"/>
              <w:jc w:val="center"/>
              <w:cnfStyle w:val="000000000000" w:firstRow="0" w:lastRow="0" w:firstColumn="0" w:lastColumn="0" w:oddVBand="0" w:evenVBand="0" w:oddHBand="0" w:evenHBand="0" w:firstRowFirstColumn="0" w:firstRowLastColumn="0" w:lastRowFirstColumn="0" w:lastRowLastColumn="0"/>
            </w:pPr>
            <w:r w:rsidRPr="004C33D1">
              <w:t>Yes – ho</w:t>
            </w:r>
            <w:r w:rsidR="00A87C87">
              <w:t>m</w:t>
            </w:r>
            <w:r w:rsidRPr="004C33D1">
              <w:t xml:space="preserve">e price data from QV; CPI from </w:t>
            </w:r>
            <w:proofErr w:type="spellStart"/>
            <w:r w:rsidRPr="004C33D1">
              <w:t>StatsNZ</w:t>
            </w:r>
            <w:proofErr w:type="spellEnd"/>
          </w:p>
        </w:tc>
        <w:tc>
          <w:tcPr>
            <w:tcW w:w="403" w:type="pct"/>
            <w:tcBorders>
              <w:top w:val="single" w:sz="8" w:space="0" w:color="A6A6A6" w:themeColor="background1" w:themeShade="A6"/>
              <w:left w:val="single" w:sz="8" w:space="0" w:color="A6A6A6" w:themeColor="background1" w:themeShade="A6"/>
              <w:bottom w:val="single" w:sz="4" w:space="0" w:color="A6A6A6" w:themeColor="background1" w:themeShade="A6"/>
            </w:tcBorders>
            <w:shd w:val="pct10" w:color="auto" w:fill="auto"/>
          </w:tcPr>
          <w:p w:rsidR="007F19BF" w:rsidRPr="004C33D1" w:rsidRDefault="007F19BF" w:rsidP="007F19BF">
            <w:pPr>
              <w:pStyle w:val="TableText"/>
              <w:jc w:val="center"/>
              <w:cnfStyle w:val="000000000000" w:firstRow="0" w:lastRow="0" w:firstColumn="0" w:lastColumn="0" w:oddVBand="0" w:evenVBand="0" w:oddHBand="0" w:evenHBand="0" w:firstRowFirstColumn="0" w:firstRowLastColumn="0" w:lastRowFirstColumn="0" w:lastRowLastColumn="0"/>
            </w:pPr>
            <w:r w:rsidRPr="004C33D1">
              <w:t>Yes</w:t>
            </w:r>
          </w:p>
        </w:tc>
      </w:tr>
      <w:tr w:rsidR="007F19BF" w:rsidRPr="004C33D1" w:rsidTr="00CB1327">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545" w:type="pct"/>
            <w:tcBorders>
              <w:right w:val="single" w:sz="8" w:space="0" w:color="A6A6A6" w:themeColor="background1" w:themeShade="A6"/>
            </w:tcBorders>
          </w:tcPr>
          <w:p w:rsidR="007F19BF" w:rsidRPr="004C33D1" w:rsidRDefault="007F19BF" w:rsidP="007F19BF">
            <w:pPr>
              <w:pStyle w:val="TableText"/>
            </w:pPr>
          </w:p>
        </w:tc>
        <w:tc>
          <w:tcPr>
            <w:tcW w:w="598" w:type="pct"/>
            <w:tcBorders>
              <w:top w:val="single" w:sz="4" w:space="0" w:color="A6A6A6" w:themeColor="background1" w:themeShade="A6"/>
              <w:left w:val="single" w:sz="8" w:space="0" w:color="A6A6A6" w:themeColor="background1" w:themeShade="A6"/>
              <w:bottom w:val="single" w:sz="4" w:space="0" w:color="A6A6A6" w:themeColor="background1" w:themeShade="A6"/>
              <w:right w:val="single" w:sz="8" w:space="0" w:color="A6A6A6" w:themeColor="background1" w:themeShade="A6"/>
            </w:tcBorders>
            <w:shd w:val="pct10" w:color="auto" w:fill="auto"/>
            <w:vAlign w:val="top"/>
          </w:tcPr>
          <w:p w:rsidR="007F19BF" w:rsidRPr="004C33D1" w:rsidRDefault="001F75A4" w:rsidP="006277DC">
            <w:pPr>
              <w:pStyle w:val="TableText"/>
              <w:numPr>
                <w:ilvl w:val="0"/>
                <w:numId w:val="91"/>
              </w:numPr>
              <w:ind w:left="36" w:firstLine="0"/>
              <w:jc w:val="left"/>
              <w:cnfStyle w:val="000000000000" w:firstRow="0" w:lastRow="0" w:firstColumn="0" w:lastColumn="0" w:oddVBand="0" w:evenVBand="0" w:oddHBand="0" w:evenHBand="0" w:firstRowFirstColumn="0" w:firstRowLastColumn="0" w:lastRowFirstColumn="0" w:lastRowLastColumn="0"/>
            </w:pPr>
            <w:r>
              <w:t>Changes in l</w:t>
            </w:r>
            <w:r w:rsidR="007F19BF">
              <w:t>and values by suburb</w:t>
            </w:r>
          </w:p>
        </w:tc>
        <w:tc>
          <w:tcPr>
            <w:tcW w:w="1975" w:type="pct"/>
            <w:tcBorders>
              <w:top w:val="single" w:sz="4" w:space="0" w:color="A6A6A6" w:themeColor="background1" w:themeShade="A6"/>
              <w:left w:val="single" w:sz="8" w:space="0" w:color="A6A6A6" w:themeColor="background1" w:themeShade="A6"/>
              <w:bottom w:val="single" w:sz="4" w:space="0" w:color="A6A6A6" w:themeColor="background1" w:themeShade="A6"/>
              <w:right w:val="single" w:sz="8" w:space="0" w:color="A6A6A6" w:themeColor="background1" w:themeShade="A6"/>
            </w:tcBorders>
            <w:shd w:val="pct10" w:color="auto" w:fill="auto"/>
            <w:vAlign w:val="top"/>
          </w:tcPr>
          <w:p w:rsidR="007F19BF" w:rsidRPr="004C33D1" w:rsidRDefault="001F75A4" w:rsidP="007F19BF">
            <w:pPr>
              <w:pStyle w:val="TableText"/>
              <w:jc w:val="left"/>
              <w:cnfStyle w:val="000000000000" w:firstRow="0" w:lastRow="0" w:firstColumn="0" w:lastColumn="0" w:oddVBand="0" w:evenVBand="0" w:oddHBand="0" w:evenHBand="0" w:firstRowFirstColumn="0" w:firstRowLastColumn="0" w:lastRowFirstColumn="0" w:lastRowLastColumn="0"/>
            </w:pPr>
            <w:r>
              <w:t>C</w:t>
            </w:r>
            <w:r w:rsidRPr="001F75A4">
              <w:t>an be used to provide insights into emerging problems, eg rapidly rising prices, and if analysed at a disaggregated level, can provide insights into the location of residential demand.</w:t>
            </w:r>
          </w:p>
        </w:tc>
        <w:tc>
          <w:tcPr>
            <w:tcW w:w="525" w:type="pct"/>
            <w:tcBorders>
              <w:top w:val="single" w:sz="4" w:space="0" w:color="A6A6A6" w:themeColor="background1" w:themeShade="A6"/>
              <w:left w:val="single" w:sz="8" w:space="0" w:color="A6A6A6" w:themeColor="background1" w:themeShade="A6"/>
              <w:bottom w:val="single" w:sz="4" w:space="0" w:color="A6A6A6" w:themeColor="background1" w:themeShade="A6"/>
              <w:right w:val="single" w:sz="8" w:space="0" w:color="A6A6A6" w:themeColor="background1" w:themeShade="A6"/>
            </w:tcBorders>
            <w:shd w:val="pct10" w:color="auto" w:fill="auto"/>
          </w:tcPr>
          <w:p w:rsidR="007F19BF" w:rsidRPr="004C33D1" w:rsidRDefault="001F75A4" w:rsidP="007F19BF">
            <w:pPr>
              <w:pStyle w:val="TableText"/>
              <w:jc w:val="center"/>
              <w:cnfStyle w:val="000000000000" w:firstRow="0" w:lastRow="0" w:firstColumn="0" w:lastColumn="0" w:oddVBand="0" w:evenVBand="0" w:oddHBand="0" w:evenHBand="0" w:firstRowFirstColumn="0" w:firstRowLastColumn="0" w:lastRowFirstColumn="0" w:lastRowLastColumn="0"/>
            </w:pPr>
            <w:r>
              <w:t>Yes</w:t>
            </w:r>
          </w:p>
        </w:tc>
        <w:tc>
          <w:tcPr>
            <w:tcW w:w="498" w:type="pct"/>
            <w:tcBorders>
              <w:top w:val="single" w:sz="4" w:space="0" w:color="A6A6A6" w:themeColor="background1" w:themeShade="A6"/>
              <w:left w:val="single" w:sz="8" w:space="0" w:color="A6A6A6" w:themeColor="background1" w:themeShade="A6"/>
              <w:bottom w:val="single" w:sz="4" w:space="0" w:color="A6A6A6" w:themeColor="background1" w:themeShade="A6"/>
              <w:right w:val="single" w:sz="8" w:space="0" w:color="A6A6A6" w:themeColor="background1" w:themeShade="A6"/>
            </w:tcBorders>
            <w:shd w:val="pct10" w:color="auto" w:fill="auto"/>
          </w:tcPr>
          <w:p w:rsidR="007F19BF" w:rsidRPr="004C33D1" w:rsidRDefault="001F75A4" w:rsidP="007F19BF">
            <w:pPr>
              <w:pStyle w:val="TableText"/>
              <w:jc w:val="center"/>
              <w:cnfStyle w:val="000000000000" w:firstRow="0" w:lastRow="0" w:firstColumn="0" w:lastColumn="0" w:oddVBand="0" w:evenVBand="0" w:oddHBand="0" w:evenHBand="0" w:firstRowFirstColumn="0" w:firstRowLastColumn="0" w:lastRowFirstColumn="0" w:lastRowLastColumn="0"/>
            </w:pPr>
            <w:r>
              <w:t>Yes</w:t>
            </w:r>
          </w:p>
        </w:tc>
        <w:tc>
          <w:tcPr>
            <w:tcW w:w="457" w:type="pct"/>
            <w:tcBorders>
              <w:top w:val="single" w:sz="4" w:space="0" w:color="A6A6A6" w:themeColor="background1" w:themeShade="A6"/>
              <w:left w:val="single" w:sz="8" w:space="0" w:color="A6A6A6" w:themeColor="background1" w:themeShade="A6"/>
              <w:bottom w:val="single" w:sz="4" w:space="0" w:color="A6A6A6" w:themeColor="background1" w:themeShade="A6"/>
              <w:right w:val="single" w:sz="8" w:space="0" w:color="A6A6A6" w:themeColor="background1" w:themeShade="A6"/>
            </w:tcBorders>
            <w:shd w:val="pct10" w:color="auto" w:fill="auto"/>
          </w:tcPr>
          <w:p w:rsidR="007F19BF" w:rsidRPr="004C33D1" w:rsidRDefault="001F75A4" w:rsidP="007F19BF">
            <w:pPr>
              <w:pStyle w:val="TableText"/>
              <w:jc w:val="center"/>
              <w:cnfStyle w:val="000000000000" w:firstRow="0" w:lastRow="0" w:firstColumn="0" w:lastColumn="0" w:oddVBand="0" w:evenVBand="0" w:oddHBand="0" w:evenHBand="0" w:firstRowFirstColumn="0" w:firstRowLastColumn="0" w:lastRowFirstColumn="0" w:lastRowLastColumn="0"/>
            </w:pPr>
            <w:r>
              <w:t>Yes</w:t>
            </w:r>
          </w:p>
        </w:tc>
        <w:tc>
          <w:tcPr>
            <w:tcW w:w="403" w:type="pct"/>
            <w:tcBorders>
              <w:top w:val="single" w:sz="4" w:space="0" w:color="A6A6A6" w:themeColor="background1" w:themeShade="A6"/>
              <w:left w:val="single" w:sz="8" w:space="0" w:color="A6A6A6" w:themeColor="background1" w:themeShade="A6"/>
              <w:bottom w:val="single" w:sz="4" w:space="0" w:color="A6A6A6" w:themeColor="background1" w:themeShade="A6"/>
            </w:tcBorders>
            <w:shd w:val="pct10" w:color="auto" w:fill="auto"/>
          </w:tcPr>
          <w:p w:rsidR="007F19BF" w:rsidRPr="004C33D1" w:rsidRDefault="001F75A4" w:rsidP="007F19BF">
            <w:pPr>
              <w:pStyle w:val="TableText"/>
              <w:jc w:val="center"/>
              <w:cnfStyle w:val="000000000000" w:firstRow="0" w:lastRow="0" w:firstColumn="0" w:lastColumn="0" w:oddVBand="0" w:evenVBand="0" w:oddHBand="0" w:evenHBand="0" w:firstRowFirstColumn="0" w:firstRowLastColumn="0" w:lastRowFirstColumn="0" w:lastRowLastColumn="0"/>
            </w:pPr>
            <w:r>
              <w:t>Yes</w:t>
            </w:r>
          </w:p>
        </w:tc>
      </w:tr>
      <w:tr w:rsidR="001F75A4" w:rsidRPr="004C33D1" w:rsidTr="00CB1327">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545" w:type="pct"/>
            <w:tcBorders>
              <w:right w:val="single" w:sz="8" w:space="0" w:color="A6A6A6" w:themeColor="background1" w:themeShade="A6"/>
            </w:tcBorders>
          </w:tcPr>
          <w:p w:rsidR="001F75A4" w:rsidRPr="004C33D1" w:rsidRDefault="001F75A4" w:rsidP="001F75A4">
            <w:pPr>
              <w:pStyle w:val="TableText"/>
            </w:pPr>
          </w:p>
        </w:tc>
        <w:tc>
          <w:tcPr>
            <w:tcW w:w="598" w:type="pct"/>
            <w:tcBorders>
              <w:top w:val="single" w:sz="4"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vAlign w:val="top"/>
          </w:tcPr>
          <w:p w:rsidR="001F75A4" w:rsidRPr="004C33D1" w:rsidRDefault="001F75A4" w:rsidP="006277DC">
            <w:pPr>
              <w:pStyle w:val="TableText"/>
              <w:numPr>
                <w:ilvl w:val="0"/>
                <w:numId w:val="91"/>
              </w:numPr>
              <w:ind w:left="36" w:firstLine="0"/>
              <w:jc w:val="left"/>
              <w:cnfStyle w:val="000000000000" w:firstRow="0" w:lastRow="0" w:firstColumn="0" w:lastColumn="0" w:oddVBand="0" w:evenVBand="0" w:oddHBand="0" w:evenHBand="0" w:firstRowFirstColumn="0" w:firstRowLastColumn="0" w:lastRowFirstColumn="0" w:lastRowLastColumn="0"/>
            </w:pPr>
            <w:r w:rsidRPr="004C33D1">
              <w:t>Trends in rents: Inflation-adjusted mean rent values</w:t>
            </w:r>
          </w:p>
        </w:tc>
        <w:tc>
          <w:tcPr>
            <w:tcW w:w="1975" w:type="pct"/>
            <w:tcBorders>
              <w:top w:val="single" w:sz="4"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vAlign w:val="top"/>
          </w:tcPr>
          <w:p w:rsidR="001F75A4" w:rsidRPr="004C33D1" w:rsidRDefault="001F75A4" w:rsidP="001F75A4">
            <w:pPr>
              <w:pStyle w:val="TableText"/>
              <w:jc w:val="left"/>
              <w:cnfStyle w:val="000000000000" w:firstRow="0" w:lastRow="0" w:firstColumn="0" w:lastColumn="0" w:oddVBand="0" w:evenVBand="0" w:oddHBand="0" w:evenHBand="0" w:firstRowFirstColumn="0" w:firstRowLastColumn="0" w:lastRowFirstColumn="0" w:lastRowLastColumn="0"/>
            </w:pPr>
            <w:r w:rsidRPr="004C33D1">
              <w:t>This indicator provides a simple indicator of the rate of increase in median (real) rents. Very rapid increases would lead to more questions and analysis of the causes.</w:t>
            </w:r>
          </w:p>
        </w:tc>
        <w:tc>
          <w:tcPr>
            <w:tcW w:w="525" w:type="pct"/>
            <w:tcBorders>
              <w:top w:val="single" w:sz="4"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tcPr>
          <w:p w:rsidR="001F75A4" w:rsidRPr="004C33D1" w:rsidRDefault="001F75A4" w:rsidP="001F75A4">
            <w:pPr>
              <w:pStyle w:val="TableText"/>
              <w:jc w:val="center"/>
              <w:cnfStyle w:val="000000000000" w:firstRow="0" w:lastRow="0" w:firstColumn="0" w:lastColumn="0" w:oddVBand="0" w:evenVBand="0" w:oddHBand="0" w:evenHBand="0" w:firstRowFirstColumn="0" w:firstRowLastColumn="0" w:lastRowFirstColumn="0" w:lastRowLastColumn="0"/>
            </w:pPr>
            <w:r w:rsidRPr="004C33D1">
              <w:t>Yes – with additional analysis</w:t>
            </w:r>
          </w:p>
        </w:tc>
        <w:tc>
          <w:tcPr>
            <w:tcW w:w="498" w:type="pct"/>
            <w:tcBorders>
              <w:top w:val="single" w:sz="4"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tcPr>
          <w:p w:rsidR="001F75A4" w:rsidRPr="004C33D1" w:rsidRDefault="001F75A4" w:rsidP="001F75A4">
            <w:pPr>
              <w:pStyle w:val="TableText"/>
              <w:jc w:val="center"/>
              <w:cnfStyle w:val="000000000000" w:firstRow="0" w:lastRow="0" w:firstColumn="0" w:lastColumn="0" w:oddVBand="0" w:evenVBand="0" w:oddHBand="0" w:evenHBand="0" w:firstRowFirstColumn="0" w:firstRowLastColumn="0" w:lastRowFirstColumn="0" w:lastRowLastColumn="0"/>
            </w:pPr>
            <w:r w:rsidRPr="004C33D1">
              <w:t>Yes</w:t>
            </w:r>
          </w:p>
        </w:tc>
        <w:tc>
          <w:tcPr>
            <w:tcW w:w="457" w:type="pct"/>
            <w:tcBorders>
              <w:top w:val="single" w:sz="4"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tcPr>
          <w:p w:rsidR="001F75A4" w:rsidRPr="004C33D1" w:rsidRDefault="001F75A4" w:rsidP="001F75A4">
            <w:pPr>
              <w:pStyle w:val="TableText"/>
              <w:jc w:val="center"/>
              <w:cnfStyle w:val="000000000000" w:firstRow="0" w:lastRow="0" w:firstColumn="0" w:lastColumn="0" w:oddVBand="0" w:evenVBand="0" w:oddHBand="0" w:evenHBand="0" w:firstRowFirstColumn="0" w:firstRowLastColumn="0" w:lastRowFirstColumn="0" w:lastRowLastColumn="0"/>
            </w:pPr>
            <w:r w:rsidRPr="004C33D1">
              <w:t>Yes via MBIE (</w:t>
            </w:r>
            <w:r>
              <w:t xml:space="preserve">tenancy </w:t>
            </w:r>
            <w:r w:rsidRPr="004C33D1">
              <w:t>bonds data)</w:t>
            </w:r>
          </w:p>
        </w:tc>
        <w:tc>
          <w:tcPr>
            <w:tcW w:w="403" w:type="pct"/>
            <w:tcBorders>
              <w:top w:val="single" w:sz="4" w:space="0" w:color="A6A6A6" w:themeColor="background1" w:themeShade="A6"/>
              <w:left w:val="single" w:sz="8" w:space="0" w:color="A6A6A6" w:themeColor="background1" w:themeShade="A6"/>
              <w:bottom w:val="single" w:sz="8" w:space="0" w:color="A6A6A6" w:themeColor="background1" w:themeShade="A6"/>
            </w:tcBorders>
            <w:shd w:val="pct10" w:color="auto" w:fill="auto"/>
          </w:tcPr>
          <w:p w:rsidR="001F75A4" w:rsidRPr="004C33D1" w:rsidRDefault="001F75A4" w:rsidP="001F75A4">
            <w:pPr>
              <w:pStyle w:val="TableText"/>
              <w:jc w:val="center"/>
              <w:cnfStyle w:val="000000000000" w:firstRow="0" w:lastRow="0" w:firstColumn="0" w:lastColumn="0" w:oddVBand="0" w:evenVBand="0" w:oddHBand="0" w:evenHBand="0" w:firstRowFirstColumn="0" w:firstRowLastColumn="0" w:lastRowFirstColumn="0" w:lastRowLastColumn="0"/>
            </w:pPr>
            <w:r w:rsidRPr="004C33D1">
              <w:t>Yes</w:t>
            </w:r>
          </w:p>
        </w:tc>
      </w:tr>
      <w:tr w:rsidR="00E71B09" w:rsidRPr="004C33D1" w:rsidTr="00CB1327">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545" w:type="pct"/>
            <w:tcBorders>
              <w:top w:val="single" w:sz="8" w:space="0" w:color="A6A6A6" w:themeColor="background1" w:themeShade="A6"/>
              <w:right w:val="single" w:sz="8" w:space="0" w:color="A6A6A6" w:themeColor="background1" w:themeShade="A6"/>
            </w:tcBorders>
            <w:vAlign w:val="top"/>
          </w:tcPr>
          <w:p w:rsidR="00E71B09" w:rsidRPr="004C33D1" w:rsidRDefault="00E71B09" w:rsidP="00E71B09">
            <w:pPr>
              <w:pStyle w:val="TableText"/>
            </w:pPr>
            <w:r w:rsidRPr="004C33D1">
              <w:t>Supply-demand balance</w:t>
            </w:r>
          </w:p>
        </w:tc>
        <w:tc>
          <w:tcPr>
            <w:tcW w:w="598"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vAlign w:val="top"/>
          </w:tcPr>
          <w:p w:rsidR="00E71B09" w:rsidRPr="004C33D1" w:rsidRDefault="00E71B09" w:rsidP="006277DC">
            <w:pPr>
              <w:pStyle w:val="TableText"/>
              <w:numPr>
                <w:ilvl w:val="0"/>
                <w:numId w:val="91"/>
              </w:numPr>
              <w:ind w:left="36" w:firstLine="0"/>
              <w:jc w:val="left"/>
              <w:cnfStyle w:val="000000000000" w:firstRow="0" w:lastRow="0" w:firstColumn="0" w:lastColumn="0" w:oddVBand="0" w:evenVBand="0" w:oddHBand="0" w:evenHBand="0" w:firstRowFirstColumn="0" w:firstRowLastColumn="0" w:lastRowFirstColumn="0" w:lastRowLastColumn="0"/>
            </w:pPr>
            <w:r w:rsidRPr="004C33D1">
              <w:t>Population growth to building consents</w:t>
            </w:r>
          </w:p>
        </w:tc>
        <w:tc>
          <w:tcPr>
            <w:tcW w:w="1975"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vAlign w:val="top"/>
          </w:tcPr>
          <w:p w:rsidR="00E71B09" w:rsidRPr="004C33D1" w:rsidRDefault="00E71B09" w:rsidP="00E71B09">
            <w:pPr>
              <w:pStyle w:val="TableText"/>
              <w:jc w:val="left"/>
              <w:cnfStyle w:val="000000000000" w:firstRow="0" w:lastRow="0" w:firstColumn="0" w:lastColumn="0" w:oddVBand="0" w:evenVBand="0" w:oddHBand="0" w:evenHBand="0" w:firstRowFirstColumn="0" w:firstRowLastColumn="0" w:lastRowFirstColumn="0" w:lastRowLastColumn="0"/>
            </w:pPr>
            <w:r w:rsidRPr="004C33D1">
              <w:t xml:space="preserve">Indicator of sufficiency of development relative to population increase: a lower number suggests that there are more dwellings per person. Interpretation requires some understanding of the types of dwellings </w:t>
            </w:r>
            <w:proofErr w:type="gramStart"/>
            <w:r w:rsidRPr="004C33D1">
              <w:t>being built</w:t>
            </w:r>
            <w:proofErr w:type="gramEnd"/>
            <w:r w:rsidRPr="004C33D1">
              <w:t>, eg sufficiency will depend on whether new dwellings are apartments or family homes.</w:t>
            </w:r>
            <w:r w:rsidR="008676FD">
              <w:t xml:space="preserve"> Data on trends in the size of new consents </w:t>
            </w:r>
            <w:proofErr w:type="gramStart"/>
            <w:r w:rsidR="008676FD">
              <w:t>should be used</w:t>
            </w:r>
            <w:proofErr w:type="gramEnd"/>
            <w:r w:rsidR="008676FD">
              <w:t xml:space="preserve"> to supplement this indicator.</w:t>
            </w:r>
          </w:p>
          <w:p w:rsidR="00E71B09" w:rsidRPr="004C33D1" w:rsidRDefault="00E71B09" w:rsidP="00E71B09">
            <w:pPr>
              <w:pStyle w:val="TableText"/>
              <w:jc w:val="left"/>
              <w:cnfStyle w:val="000000000000" w:firstRow="0" w:lastRow="0" w:firstColumn="0" w:lastColumn="0" w:oddVBand="0" w:evenVBand="0" w:oddHBand="0" w:evenHBand="0" w:firstRowFirstColumn="0" w:firstRowLastColumn="0" w:lastRowFirstColumn="0" w:lastRowLastColumn="0"/>
            </w:pPr>
            <w:r w:rsidRPr="004C33D1">
              <w:t>It is presented as population growth to ho</w:t>
            </w:r>
            <w:r w:rsidR="00A87C87">
              <w:t>m</w:t>
            </w:r>
            <w:r w:rsidRPr="004C33D1">
              <w:t xml:space="preserve">es </w:t>
            </w:r>
            <w:proofErr w:type="gramStart"/>
            <w:r w:rsidRPr="004C33D1">
              <w:t>built</w:t>
            </w:r>
            <w:proofErr w:type="gramEnd"/>
            <w:r w:rsidRPr="004C33D1">
              <w:t xml:space="preserve"> as this is more easily understandable, eg compared to the average household size.</w:t>
            </w:r>
          </w:p>
        </w:tc>
        <w:tc>
          <w:tcPr>
            <w:tcW w:w="525"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tcPr>
          <w:p w:rsidR="00E71B09" w:rsidRPr="004C33D1" w:rsidRDefault="00E71B09"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Partly – it does not measure total supply-demand balance</w:t>
            </w:r>
          </w:p>
        </w:tc>
        <w:tc>
          <w:tcPr>
            <w:tcW w:w="498"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tcPr>
          <w:p w:rsidR="00E71B09" w:rsidRPr="004C33D1" w:rsidRDefault="00E71B09"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Yes</w:t>
            </w:r>
          </w:p>
        </w:tc>
        <w:tc>
          <w:tcPr>
            <w:tcW w:w="457"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tcPr>
          <w:p w:rsidR="00E71B09" w:rsidRPr="004C33D1" w:rsidRDefault="00E71B09"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Yes</w:t>
            </w:r>
          </w:p>
          <w:p w:rsidR="00E71B09" w:rsidRPr="004C33D1" w:rsidRDefault="00E71B09"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(although consents data are not actual builds and population data are estimates only)</w:t>
            </w:r>
          </w:p>
        </w:tc>
        <w:tc>
          <w:tcPr>
            <w:tcW w:w="403" w:type="pct"/>
            <w:tcBorders>
              <w:top w:val="single" w:sz="8" w:space="0" w:color="A6A6A6" w:themeColor="background1" w:themeShade="A6"/>
              <w:left w:val="single" w:sz="8" w:space="0" w:color="A6A6A6" w:themeColor="background1" w:themeShade="A6"/>
              <w:bottom w:val="single" w:sz="8" w:space="0" w:color="A6A6A6" w:themeColor="background1" w:themeShade="A6"/>
            </w:tcBorders>
            <w:shd w:val="pct10" w:color="auto" w:fill="auto"/>
          </w:tcPr>
          <w:p w:rsidR="00E71B09" w:rsidRPr="004C33D1" w:rsidRDefault="00E71B09"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Yes</w:t>
            </w:r>
          </w:p>
        </w:tc>
      </w:tr>
      <w:tr w:rsidR="00E13091" w:rsidRPr="004C33D1" w:rsidTr="00CB1327">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545" w:type="pct"/>
            <w:tcBorders>
              <w:top w:val="single" w:sz="8" w:space="0" w:color="A6A6A6" w:themeColor="background1" w:themeShade="A6"/>
              <w:right w:val="single" w:sz="8" w:space="0" w:color="A6A6A6" w:themeColor="background1" w:themeShade="A6"/>
            </w:tcBorders>
            <w:vAlign w:val="top"/>
          </w:tcPr>
          <w:p w:rsidR="00E13091" w:rsidRPr="004C33D1" w:rsidRDefault="00E13091" w:rsidP="00E13091">
            <w:pPr>
              <w:pStyle w:val="TableText"/>
            </w:pPr>
          </w:p>
        </w:tc>
        <w:tc>
          <w:tcPr>
            <w:tcW w:w="598"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vAlign w:val="top"/>
          </w:tcPr>
          <w:p w:rsidR="00E13091" w:rsidRPr="004C33D1" w:rsidRDefault="00E13091" w:rsidP="006277DC">
            <w:pPr>
              <w:pStyle w:val="TableText"/>
              <w:numPr>
                <w:ilvl w:val="0"/>
                <w:numId w:val="91"/>
              </w:numPr>
              <w:ind w:left="36" w:firstLine="0"/>
              <w:jc w:val="left"/>
              <w:cnfStyle w:val="000000000000" w:firstRow="0" w:lastRow="0" w:firstColumn="0" w:lastColumn="0" w:oddVBand="0" w:evenVBand="0" w:oddHBand="0" w:evenHBand="0" w:firstRowFirstColumn="0" w:firstRowLastColumn="0" w:lastRowFirstColumn="0" w:lastRowLastColumn="0"/>
            </w:pPr>
            <w:r>
              <w:t>Consented floor space to population growth</w:t>
            </w:r>
          </w:p>
        </w:tc>
        <w:tc>
          <w:tcPr>
            <w:tcW w:w="1975"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vAlign w:val="top"/>
          </w:tcPr>
          <w:p w:rsidR="00E13091" w:rsidRPr="004C33D1" w:rsidRDefault="00E13091" w:rsidP="00876A9A">
            <w:pPr>
              <w:pStyle w:val="TableText"/>
              <w:jc w:val="left"/>
              <w:cnfStyle w:val="000000000000" w:firstRow="0" w:lastRow="0" w:firstColumn="0" w:lastColumn="0" w:oddVBand="0" w:evenVBand="0" w:oddHBand="0" w:evenHBand="0" w:firstRowFirstColumn="0" w:firstRowLastColumn="0" w:lastRowFirstColumn="0" w:lastRowLastColumn="0"/>
            </w:pPr>
            <w:r>
              <w:t xml:space="preserve">As for indicator </w:t>
            </w:r>
            <w:r w:rsidR="00876A9A">
              <w:t>4</w:t>
            </w:r>
          </w:p>
        </w:tc>
        <w:tc>
          <w:tcPr>
            <w:tcW w:w="525"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tcPr>
          <w:p w:rsidR="00E13091" w:rsidRPr="004C33D1" w:rsidRDefault="00E13091" w:rsidP="00E13091">
            <w:pPr>
              <w:pStyle w:val="TableText"/>
              <w:jc w:val="center"/>
              <w:cnfStyle w:val="000000000000" w:firstRow="0" w:lastRow="0" w:firstColumn="0" w:lastColumn="0" w:oddVBand="0" w:evenVBand="0" w:oddHBand="0" w:evenHBand="0" w:firstRowFirstColumn="0" w:firstRowLastColumn="0" w:lastRowFirstColumn="0" w:lastRowLastColumn="0"/>
            </w:pPr>
            <w:r>
              <w:t>ditto</w:t>
            </w:r>
          </w:p>
        </w:tc>
        <w:tc>
          <w:tcPr>
            <w:tcW w:w="498"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tcPr>
          <w:p w:rsidR="00E13091" w:rsidRPr="004C33D1" w:rsidRDefault="00E13091" w:rsidP="00E13091">
            <w:pPr>
              <w:pStyle w:val="TableText"/>
              <w:jc w:val="center"/>
              <w:cnfStyle w:val="000000000000" w:firstRow="0" w:lastRow="0" w:firstColumn="0" w:lastColumn="0" w:oddVBand="0" w:evenVBand="0" w:oddHBand="0" w:evenHBand="0" w:firstRowFirstColumn="0" w:firstRowLastColumn="0" w:lastRowFirstColumn="0" w:lastRowLastColumn="0"/>
            </w:pPr>
            <w:r>
              <w:t>ditto</w:t>
            </w:r>
          </w:p>
        </w:tc>
        <w:tc>
          <w:tcPr>
            <w:tcW w:w="457"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tcPr>
          <w:p w:rsidR="00E13091" w:rsidRPr="004C33D1" w:rsidRDefault="00E13091" w:rsidP="00E13091">
            <w:pPr>
              <w:pStyle w:val="TableText"/>
              <w:jc w:val="center"/>
              <w:cnfStyle w:val="000000000000" w:firstRow="0" w:lastRow="0" w:firstColumn="0" w:lastColumn="0" w:oddVBand="0" w:evenVBand="0" w:oddHBand="0" w:evenHBand="0" w:firstRowFirstColumn="0" w:firstRowLastColumn="0" w:lastRowFirstColumn="0" w:lastRowLastColumn="0"/>
            </w:pPr>
            <w:r>
              <w:t>ditto</w:t>
            </w:r>
          </w:p>
        </w:tc>
        <w:tc>
          <w:tcPr>
            <w:tcW w:w="403" w:type="pct"/>
            <w:tcBorders>
              <w:top w:val="single" w:sz="8" w:space="0" w:color="A6A6A6" w:themeColor="background1" w:themeShade="A6"/>
              <w:left w:val="single" w:sz="8" w:space="0" w:color="A6A6A6" w:themeColor="background1" w:themeShade="A6"/>
              <w:bottom w:val="single" w:sz="8" w:space="0" w:color="A6A6A6" w:themeColor="background1" w:themeShade="A6"/>
            </w:tcBorders>
            <w:shd w:val="pct10" w:color="auto" w:fill="auto"/>
          </w:tcPr>
          <w:p w:rsidR="00E13091" w:rsidRPr="004C33D1" w:rsidRDefault="00E13091" w:rsidP="00E13091">
            <w:pPr>
              <w:pStyle w:val="TableText"/>
              <w:jc w:val="center"/>
              <w:cnfStyle w:val="000000000000" w:firstRow="0" w:lastRow="0" w:firstColumn="0" w:lastColumn="0" w:oddVBand="0" w:evenVBand="0" w:oddHBand="0" w:evenHBand="0" w:firstRowFirstColumn="0" w:firstRowLastColumn="0" w:lastRowFirstColumn="0" w:lastRowLastColumn="0"/>
            </w:pPr>
            <w:r>
              <w:t>ditto</w:t>
            </w:r>
          </w:p>
        </w:tc>
      </w:tr>
      <w:tr w:rsidR="00BA1443" w:rsidRPr="004C33D1" w:rsidTr="00CB1327">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545" w:type="pct"/>
            <w:tcBorders>
              <w:right w:val="single" w:sz="8" w:space="0" w:color="A6A6A6" w:themeColor="background1" w:themeShade="A6"/>
            </w:tcBorders>
          </w:tcPr>
          <w:p w:rsidR="00BA1443" w:rsidRPr="004C33D1" w:rsidRDefault="00BA1443" w:rsidP="00E71B09">
            <w:pPr>
              <w:pStyle w:val="TableText"/>
            </w:pPr>
          </w:p>
        </w:tc>
        <w:tc>
          <w:tcPr>
            <w:tcW w:w="598" w:type="pct"/>
            <w:tcBorders>
              <w:top w:val="single" w:sz="8" w:space="0" w:color="A6A6A6" w:themeColor="background1" w:themeShade="A6"/>
              <w:left w:val="single" w:sz="8" w:space="0" w:color="A6A6A6" w:themeColor="background1" w:themeShade="A6"/>
              <w:bottom w:val="single" w:sz="4" w:space="0" w:color="A6A6A6" w:themeColor="background1" w:themeShade="A6"/>
              <w:right w:val="single" w:sz="8" w:space="0" w:color="A6A6A6" w:themeColor="background1" w:themeShade="A6"/>
            </w:tcBorders>
            <w:vAlign w:val="top"/>
          </w:tcPr>
          <w:p w:rsidR="00BA1443" w:rsidRPr="004C33D1" w:rsidRDefault="00BA1443" w:rsidP="00BA1443">
            <w:pPr>
              <w:pStyle w:val="TableText"/>
              <w:numPr>
                <w:ilvl w:val="0"/>
                <w:numId w:val="91"/>
              </w:numPr>
              <w:ind w:left="36" w:firstLine="0"/>
              <w:jc w:val="left"/>
              <w:cnfStyle w:val="000000000000" w:firstRow="0" w:lastRow="0" w:firstColumn="0" w:lastColumn="0" w:oddVBand="0" w:evenVBand="0" w:oddHBand="0" w:evenHBand="0" w:firstRowFirstColumn="0" w:firstRowLastColumn="0" w:lastRowFirstColumn="0" w:lastRowLastColumn="0"/>
            </w:pPr>
            <w:r w:rsidRPr="004C33D1">
              <w:t xml:space="preserve">Land leverage ratio </w:t>
            </w:r>
          </w:p>
        </w:tc>
        <w:tc>
          <w:tcPr>
            <w:tcW w:w="1975" w:type="pct"/>
            <w:tcBorders>
              <w:top w:val="single" w:sz="8" w:space="0" w:color="A6A6A6" w:themeColor="background1" w:themeShade="A6"/>
              <w:left w:val="single" w:sz="8" w:space="0" w:color="A6A6A6" w:themeColor="background1" w:themeShade="A6"/>
              <w:bottom w:val="single" w:sz="4" w:space="0" w:color="A6A6A6" w:themeColor="background1" w:themeShade="A6"/>
              <w:right w:val="single" w:sz="8" w:space="0" w:color="A6A6A6" w:themeColor="background1" w:themeShade="A6"/>
            </w:tcBorders>
            <w:vAlign w:val="top"/>
          </w:tcPr>
          <w:p w:rsidR="00BA1443" w:rsidRPr="004C33D1" w:rsidRDefault="00BA1443" w:rsidP="00BA1443">
            <w:pPr>
              <w:pStyle w:val="TableText"/>
              <w:jc w:val="left"/>
              <w:cnfStyle w:val="000000000000" w:firstRow="0" w:lastRow="0" w:firstColumn="0" w:lastColumn="0" w:oddVBand="0" w:evenVBand="0" w:oddHBand="0" w:evenHBand="0" w:firstRowFirstColumn="0" w:firstRowLastColumn="0" w:lastRowFirstColumn="0" w:lastRowLastColumn="0"/>
            </w:pPr>
            <w:proofErr w:type="gramStart"/>
            <w:r w:rsidRPr="004C33D1">
              <w:t>A ratio representing the land value proportion of a property’s overall value (similar to the land value to improvement ratio).</w:t>
            </w:r>
            <w:proofErr w:type="gramEnd"/>
            <w:r w:rsidRPr="004C33D1">
              <w:t xml:space="preserve"> Useful in explaining causes of ho</w:t>
            </w:r>
            <w:r w:rsidR="007B2A41">
              <w:t>m</w:t>
            </w:r>
            <w:r w:rsidRPr="004C33D1">
              <w:t>e price movements</w:t>
            </w:r>
            <w:r>
              <w:t xml:space="preserve"> and the relativities of supply-demand balance in land and property markets</w:t>
            </w:r>
            <w:r w:rsidRPr="004C33D1">
              <w:t xml:space="preserve">. </w:t>
            </w:r>
          </w:p>
        </w:tc>
        <w:tc>
          <w:tcPr>
            <w:tcW w:w="525" w:type="pct"/>
            <w:tcBorders>
              <w:top w:val="single" w:sz="8" w:space="0" w:color="A6A6A6" w:themeColor="background1" w:themeShade="A6"/>
              <w:left w:val="single" w:sz="8" w:space="0" w:color="A6A6A6" w:themeColor="background1" w:themeShade="A6"/>
              <w:bottom w:val="single" w:sz="4" w:space="0" w:color="A6A6A6" w:themeColor="background1" w:themeShade="A6"/>
              <w:right w:val="single" w:sz="8" w:space="0" w:color="A6A6A6" w:themeColor="background1" w:themeShade="A6"/>
            </w:tcBorders>
          </w:tcPr>
          <w:p w:rsidR="00BA1443" w:rsidRDefault="00BA1443" w:rsidP="00E71B09">
            <w:pPr>
              <w:pStyle w:val="TableText"/>
              <w:jc w:val="center"/>
              <w:cnfStyle w:val="000000000000" w:firstRow="0" w:lastRow="0" w:firstColumn="0" w:lastColumn="0" w:oddVBand="0" w:evenVBand="0" w:oddHBand="0" w:evenHBand="0" w:firstRowFirstColumn="0" w:firstRowLastColumn="0" w:lastRowFirstColumn="0" w:lastRowLastColumn="0"/>
            </w:pPr>
            <w:r>
              <w:t>Yes</w:t>
            </w:r>
          </w:p>
        </w:tc>
        <w:tc>
          <w:tcPr>
            <w:tcW w:w="498" w:type="pct"/>
            <w:tcBorders>
              <w:top w:val="single" w:sz="8" w:space="0" w:color="A6A6A6" w:themeColor="background1" w:themeShade="A6"/>
              <w:left w:val="single" w:sz="8" w:space="0" w:color="A6A6A6" w:themeColor="background1" w:themeShade="A6"/>
              <w:bottom w:val="single" w:sz="4" w:space="0" w:color="A6A6A6" w:themeColor="background1" w:themeShade="A6"/>
              <w:right w:val="single" w:sz="8" w:space="0" w:color="A6A6A6" w:themeColor="background1" w:themeShade="A6"/>
            </w:tcBorders>
          </w:tcPr>
          <w:p w:rsidR="00BA1443" w:rsidRDefault="00BA1443"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Maybe</w:t>
            </w:r>
          </w:p>
        </w:tc>
        <w:tc>
          <w:tcPr>
            <w:tcW w:w="457" w:type="pct"/>
            <w:tcBorders>
              <w:top w:val="single" w:sz="8" w:space="0" w:color="A6A6A6" w:themeColor="background1" w:themeShade="A6"/>
              <w:left w:val="single" w:sz="8" w:space="0" w:color="A6A6A6" w:themeColor="background1" w:themeShade="A6"/>
              <w:bottom w:val="single" w:sz="4" w:space="0" w:color="A6A6A6" w:themeColor="background1" w:themeShade="A6"/>
              <w:right w:val="single" w:sz="8" w:space="0" w:color="A6A6A6" w:themeColor="background1" w:themeShade="A6"/>
            </w:tcBorders>
          </w:tcPr>
          <w:p w:rsidR="00BA1443" w:rsidRPr="004C33D1" w:rsidRDefault="00BA1443" w:rsidP="00E71B09">
            <w:pPr>
              <w:pStyle w:val="TableText"/>
              <w:jc w:val="center"/>
              <w:cnfStyle w:val="000000000000" w:firstRow="0" w:lastRow="0" w:firstColumn="0" w:lastColumn="0" w:oddVBand="0" w:evenVBand="0" w:oddHBand="0" w:evenHBand="0" w:firstRowFirstColumn="0" w:firstRowLastColumn="0" w:lastRowFirstColumn="0" w:lastRowLastColumn="0"/>
            </w:pPr>
            <w:r>
              <w:t>Yes</w:t>
            </w:r>
          </w:p>
        </w:tc>
        <w:tc>
          <w:tcPr>
            <w:tcW w:w="403" w:type="pct"/>
            <w:tcBorders>
              <w:top w:val="single" w:sz="8" w:space="0" w:color="A6A6A6" w:themeColor="background1" w:themeShade="A6"/>
              <w:left w:val="single" w:sz="8" w:space="0" w:color="A6A6A6" w:themeColor="background1" w:themeShade="A6"/>
              <w:bottom w:val="single" w:sz="4" w:space="0" w:color="A6A6A6" w:themeColor="background1" w:themeShade="A6"/>
            </w:tcBorders>
          </w:tcPr>
          <w:p w:rsidR="00BA1443" w:rsidRPr="004C33D1" w:rsidRDefault="00BA1443" w:rsidP="001F75A4">
            <w:pPr>
              <w:pStyle w:val="TableText"/>
              <w:jc w:val="center"/>
              <w:cnfStyle w:val="000000000000" w:firstRow="0" w:lastRow="0" w:firstColumn="0" w:lastColumn="0" w:oddVBand="0" w:evenVBand="0" w:oddHBand="0" w:evenHBand="0" w:firstRowFirstColumn="0" w:firstRowLastColumn="0" w:lastRowFirstColumn="0" w:lastRowLastColumn="0"/>
            </w:pPr>
            <w:r w:rsidRPr="004C33D1">
              <w:t>Yes</w:t>
            </w:r>
          </w:p>
        </w:tc>
      </w:tr>
      <w:tr w:rsidR="00BA1443" w:rsidRPr="004C33D1" w:rsidTr="00CB1327">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545" w:type="pct"/>
            <w:tcBorders>
              <w:right w:val="single" w:sz="8" w:space="0" w:color="A6A6A6" w:themeColor="background1" w:themeShade="A6"/>
            </w:tcBorders>
          </w:tcPr>
          <w:p w:rsidR="00BA1443" w:rsidRPr="004C33D1" w:rsidRDefault="00BA1443" w:rsidP="00E71B09">
            <w:pPr>
              <w:pStyle w:val="TableText"/>
            </w:pPr>
          </w:p>
        </w:tc>
        <w:tc>
          <w:tcPr>
            <w:tcW w:w="598" w:type="pct"/>
            <w:tcBorders>
              <w:top w:val="single" w:sz="8" w:space="0" w:color="A6A6A6" w:themeColor="background1" w:themeShade="A6"/>
              <w:left w:val="single" w:sz="8" w:space="0" w:color="A6A6A6" w:themeColor="background1" w:themeShade="A6"/>
              <w:bottom w:val="single" w:sz="4" w:space="0" w:color="A6A6A6" w:themeColor="background1" w:themeShade="A6"/>
              <w:right w:val="single" w:sz="8" w:space="0" w:color="A6A6A6" w:themeColor="background1" w:themeShade="A6"/>
            </w:tcBorders>
            <w:vAlign w:val="top"/>
          </w:tcPr>
          <w:p w:rsidR="00BA1443" w:rsidRPr="004C33D1" w:rsidRDefault="00BA1443" w:rsidP="00BA1443">
            <w:pPr>
              <w:pStyle w:val="TableText"/>
              <w:numPr>
                <w:ilvl w:val="0"/>
                <w:numId w:val="91"/>
              </w:numPr>
              <w:ind w:left="36" w:firstLine="0"/>
              <w:jc w:val="left"/>
              <w:cnfStyle w:val="000000000000" w:firstRow="0" w:lastRow="0" w:firstColumn="0" w:lastColumn="0" w:oddVBand="0" w:evenVBand="0" w:oddHBand="0" w:evenHBand="0" w:firstRowFirstColumn="0" w:firstRowLastColumn="0" w:lastRowFirstColumn="0" w:lastRowLastColumn="0"/>
            </w:pPr>
            <w:r w:rsidRPr="004C33D1">
              <w:t>Ho</w:t>
            </w:r>
            <w:r w:rsidR="00A87C87">
              <w:t>m</w:t>
            </w:r>
            <w:r w:rsidRPr="004C33D1">
              <w:t>e price to rent ratio</w:t>
            </w:r>
          </w:p>
        </w:tc>
        <w:tc>
          <w:tcPr>
            <w:tcW w:w="1975" w:type="pct"/>
            <w:tcBorders>
              <w:top w:val="single" w:sz="8" w:space="0" w:color="A6A6A6" w:themeColor="background1" w:themeShade="A6"/>
              <w:left w:val="single" w:sz="8" w:space="0" w:color="A6A6A6" w:themeColor="background1" w:themeShade="A6"/>
              <w:bottom w:val="single" w:sz="4" w:space="0" w:color="A6A6A6" w:themeColor="background1" w:themeShade="A6"/>
              <w:right w:val="single" w:sz="8" w:space="0" w:color="A6A6A6" w:themeColor="background1" w:themeShade="A6"/>
            </w:tcBorders>
            <w:vAlign w:val="top"/>
          </w:tcPr>
          <w:p w:rsidR="00BA1443" w:rsidRPr="004C33D1" w:rsidRDefault="00BA1443" w:rsidP="00BA1443">
            <w:pPr>
              <w:pStyle w:val="TableText"/>
              <w:jc w:val="left"/>
              <w:cnfStyle w:val="000000000000" w:firstRow="0" w:lastRow="0" w:firstColumn="0" w:lastColumn="0" w:oddVBand="0" w:evenVBand="0" w:oddHBand="0" w:evenHBand="0" w:firstRowFirstColumn="0" w:firstRowLastColumn="0" w:lastRowFirstColumn="0" w:lastRowLastColumn="0"/>
            </w:pPr>
            <w:proofErr w:type="gramStart"/>
            <w:r w:rsidRPr="004C33D1">
              <w:t>Indicator of substitutability of renting for buying a home.</w:t>
            </w:r>
            <w:proofErr w:type="gramEnd"/>
            <w:r w:rsidRPr="004C33D1">
              <w:t xml:space="preserve"> Also used to predict future trends in housing market, ie if rising prices move these ratios above their long-run averages, then either incomes or rents are likely to rise, or ho</w:t>
            </w:r>
            <w:r w:rsidR="00A87C87">
              <w:t>m</w:t>
            </w:r>
            <w:r w:rsidRPr="004C33D1">
              <w:t>e prices to fall.</w:t>
            </w:r>
          </w:p>
        </w:tc>
        <w:tc>
          <w:tcPr>
            <w:tcW w:w="525" w:type="pct"/>
            <w:tcBorders>
              <w:top w:val="single" w:sz="8" w:space="0" w:color="A6A6A6" w:themeColor="background1" w:themeShade="A6"/>
              <w:left w:val="single" w:sz="8" w:space="0" w:color="A6A6A6" w:themeColor="background1" w:themeShade="A6"/>
              <w:bottom w:val="single" w:sz="4" w:space="0" w:color="A6A6A6" w:themeColor="background1" w:themeShade="A6"/>
              <w:right w:val="single" w:sz="8" w:space="0" w:color="A6A6A6" w:themeColor="background1" w:themeShade="A6"/>
            </w:tcBorders>
          </w:tcPr>
          <w:p w:rsidR="00BA1443" w:rsidRDefault="00BA1443"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Maybe</w:t>
            </w:r>
          </w:p>
        </w:tc>
        <w:tc>
          <w:tcPr>
            <w:tcW w:w="498" w:type="pct"/>
            <w:tcBorders>
              <w:top w:val="single" w:sz="8" w:space="0" w:color="A6A6A6" w:themeColor="background1" w:themeShade="A6"/>
              <w:left w:val="single" w:sz="8" w:space="0" w:color="A6A6A6" w:themeColor="background1" w:themeShade="A6"/>
              <w:bottom w:val="single" w:sz="4" w:space="0" w:color="A6A6A6" w:themeColor="background1" w:themeShade="A6"/>
              <w:right w:val="single" w:sz="8" w:space="0" w:color="A6A6A6" w:themeColor="background1" w:themeShade="A6"/>
            </w:tcBorders>
          </w:tcPr>
          <w:p w:rsidR="00BA1443" w:rsidRDefault="00BA1443"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Maybe</w:t>
            </w:r>
          </w:p>
        </w:tc>
        <w:tc>
          <w:tcPr>
            <w:tcW w:w="457" w:type="pct"/>
            <w:tcBorders>
              <w:top w:val="single" w:sz="8" w:space="0" w:color="A6A6A6" w:themeColor="background1" w:themeShade="A6"/>
              <w:left w:val="single" w:sz="8" w:space="0" w:color="A6A6A6" w:themeColor="background1" w:themeShade="A6"/>
              <w:bottom w:val="single" w:sz="4" w:space="0" w:color="A6A6A6" w:themeColor="background1" w:themeShade="A6"/>
              <w:right w:val="single" w:sz="8" w:space="0" w:color="A6A6A6" w:themeColor="background1" w:themeShade="A6"/>
            </w:tcBorders>
          </w:tcPr>
          <w:p w:rsidR="00BA1443" w:rsidRPr="004C33D1" w:rsidRDefault="00BA1443"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Yes</w:t>
            </w:r>
          </w:p>
        </w:tc>
        <w:tc>
          <w:tcPr>
            <w:tcW w:w="403" w:type="pct"/>
            <w:tcBorders>
              <w:top w:val="single" w:sz="8" w:space="0" w:color="A6A6A6" w:themeColor="background1" w:themeShade="A6"/>
              <w:left w:val="single" w:sz="8" w:space="0" w:color="A6A6A6" w:themeColor="background1" w:themeShade="A6"/>
              <w:bottom w:val="single" w:sz="4" w:space="0" w:color="A6A6A6" w:themeColor="background1" w:themeShade="A6"/>
            </w:tcBorders>
          </w:tcPr>
          <w:p w:rsidR="00BA1443" w:rsidRPr="004C33D1" w:rsidRDefault="00BA1443" w:rsidP="001F75A4">
            <w:pPr>
              <w:pStyle w:val="TableText"/>
              <w:jc w:val="center"/>
              <w:cnfStyle w:val="000000000000" w:firstRow="0" w:lastRow="0" w:firstColumn="0" w:lastColumn="0" w:oddVBand="0" w:evenVBand="0" w:oddHBand="0" w:evenHBand="0" w:firstRowFirstColumn="0" w:firstRowLastColumn="0" w:lastRowFirstColumn="0" w:lastRowLastColumn="0"/>
            </w:pPr>
            <w:r w:rsidRPr="004C33D1">
              <w:t>Yes</w:t>
            </w:r>
          </w:p>
        </w:tc>
      </w:tr>
      <w:tr w:rsidR="00E71B09" w:rsidRPr="004C33D1" w:rsidTr="00CB1327">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545" w:type="pct"/>
            <w:tcBorders>
              <w:right w:val="single" w:sz="8" w:space="0" w:color="A6A6A6" w:themeColor="background1" w:themeShade="A6"/>
            </w:tcBorders>
            <w:vAlign w:val="top"/>
          </w:tcPr>
          <w:p w:rsidR="00E71B09" w:rsidRPr="004C33D1" w:rsidRDefault="00E71B09" w:rsidP="00E71B09">
            <w:pPr>
              <w:pStyle w:val="TableText"/>
            </w:pPr>
          </w:p>
        </w:tc>
        <w:tc>
          <w:tcPr>
            <w:tcW w:w="598" w:type="pct"/>
            <w:tcBorders>
              <w:top w:val="single" w:sz="8" w:space="0" w:color="A6A6A6" w:themeColor="background1" w:themeShade="A6"/>
              <w:left w:val="single" w:sz="8" w:space="0" w:color="A6A6A6" w:themeColor="background1" w:themeShade="A6"/>
              <w:bottom w:val="single" w:sz="4" w:space="0" w:color="A6A6A6" w:themeColor="background1" w:themeShade="A6"/>
              <w:right w:val="single" w:sz="8" w:space="0" w:color="A6A6A6" w:themeColor="background1" w:themeShade="A6"/>
            </w:tcBorders>
            <w:vAlign w:val="top"/>
          </w:tcPr>
          <w:p w:rsidR="00E71B09" w:rsidRPr="004C33D1" w:rsidRDefault="00E71B09" w:rsidP="006277DC">
            <w:pPr>
              <w:pStyle w:val="TableText"/>
              <w:numPr>
                <w:ilvl w:val="0"/>
                <w:numId w:val="91"/>
              </w:numPr>
              <w:ind w:left="36" w:firstLine="0"/>
              <w:jc w:val="left"/>
              <w:cnfStyle w:val="000000000000" w:firstRow="0" w:lastRow="0" w:firstColumn="0" w:lastColumn="0" w:oddVBand="0" w:evenVBand="0" w:oddHBand="0" w:evenHBand="0" w:firstRowFirstColumn="0" w:firstRowLastColumn="0" w:lastRowFirstColumn="0" w:lastRowLastColumn="0"/>
            </w:pPr>
            <w:r w:rsidRPr="004C33D1">
              <w:t>Vacancy rates</w:t>
            </w:r>
            <w:r w:rsidR="001F75A4">
              <w:t xml:space="preserve"> - residential</w:t>
            </w:r>
          </w:p>
        </w:tc>
        <w:tc>
          <w:tcPr>
            <w:tcW w:w="1975" w:type="pct"/>
            <w:tcBorders>
              <w:top w:val="single" w:sz="8" w:space="0" w:color="A6A6A6" w:themeColor="background1" w:themeShade="A6"/>
              <w:left w:val="single" w:sz="8" w:space="0" w:color="A6A6A6" w:themeColor="background1" w:themeShade="A6"/>
              <w:bottom w:val="single" w:sz="4" w:space="0" w:color="A6A6A6" w:themeColor="background1" w:themeShade="A6"/>
              <w:right w:val="single" w:sz="8" w:space="0" w:color="A6A6A6" w:themeColor="background1" w:themeShade="A6"/>
            </w:tcBorders>
            <w:vAlign w:val="top"/>
          </w:tcPr>
          <w:p w:rsidR="00E71B09" w:rsidRPr="004C33D1" w:rsidRDefault="00E71B09" w:rsidP="00A93893">
            <w:pPr>
              <w:pStyle w:val="TableText"/>
              <w:jc w:val="left"/>
              <w:cnfStyle w:val="000000000000" w:firstRow="0" w:lastRow="0" w:firstColumn="0" w:lastColumn="0" w:oddVBand="0" w:evenVBand="0" w:oddHBand="0" w:evenHBand="0" w:firstRowFirstColumn="0" w:firstRowLastColumn="0" w:lastRowFirstColumn="0" w:lastRowLastColumn="0"/>
            </w:pPr>
            <w:r w:rsidRPr="004C33D1">
              <w:t xml:space="preserve">Vacancy rates for residential </w:t>
            </w:r>
            <w:r w:rsidR="001F75A4">
              <w:t xml:space="preserve">properties </w:t>
            </w:r>
            <w:proofErr w:type="gramStart"/>
            <w:r w:rsidRPr="004C33D1">
              <w:t>might be used</w:t>
            </w:r>
            <w:proofErr w:type="gramEnd"/>
            <w:r w:rsidRPr="004C33D1">
              <w:t xml:space="preserve">, in theory, as an estimate of levels of excess supply. However, it can be difficult to measure vacancy, eg </w:t>
            </w:r>
            <w:r w:rsidR="001F75A4">
              <w:t xml:space="preserve">because of </w:t>
            </w:r>
            <w:r w:rsidRPr="004C33D1">
              <w:t>second homes</w:t>
            </w:r>
            <w:r w:rsidR="001F75A4">
              <w:t xml:space="preserve"> or other reasons for part-time occupancy</w:t>
            </w:r>
            <w:r w:rsidRPr="004C33D1">
              <w:t xml:space="preserve">. Even then, accurate data are only available from the census. </w:t>
            </w:r>
          </w:p>
        </w:tc>
        <w:tc>
          <w:tcPr>
            <w:tcW w:w="525" w:type="pct"/>
            <w:tcBorders>
              <w:top w:val="single" w:sz="8" w:space="0" w:color="A6A6A6" w:themeColor="background1" w:themeShade="A6"/>
              <w:left w:val="single" w:sz="8" w:space="0" w:color="A6A6A6" w:themeColor="background1" w:themeShade="A6"/>
              <w:bottom w:val="single" w:sz="4" w:space="0" w:color="A6A6A6" w:themeColor="background1" w:themeShade="A6"/>
              <w:right w:val="single" w:sz="8" w:space="0" w:color="A6A6A6" w:themeColor="background1" w:themeShade="A6"/>
            </w:tcBorders>
          </w:tcPr>
          <w:p w:rsidR="00E71B09" w:rsidRPr="004C33D1" w:rsidRDefault="001F75A4" w:rsidP="00E71B09">
            <w:pPr>
              <w:pStyle w:val="TableText"/>
              <w:jc w:val="center"/>
              <w:cnfStyle w:val="000000000000" w:firstRow="0" w:lastRow="0" w:firstColumn="0" w:lastColumn="0" w:oddVBand="0" w:evenVBand="0" w:oddHBand="0" w:evenHBand="0" w:firstRowFirstColumn="0" w:firstRowLastColumn="0" w:lastRowFirstColumn="0" w:lastRowLastColumn="0"/>
            </w:pPr>
            <w:r>
              <w:t>No</w:t>
            </w:r>
          </w:p>
        </w:tc>
        <w:tc>
          <w:tcPr>
            <w:tcW w:w="498" w:type="pct"/>
            <w:tcBorders>
              <w:top w:val="single" w:sz="8" w:space="0" w:color="A6A6A6" w:themeColor="background1" w:themeShade="A6"/>
              <w:left w:val="single" w:sz="8" w:space="0" w:color="A6A6A6" w:themeColor="background1" w:themeShade="A6"/>
              <w:bottom w:val="single" w:sz="4" w:space="0" w:color="A6A6A6" w:themeColor="background1" w:themeShade="A6"/>
              <w:right w:val="single" w:sz="8" w:space="0" w:color="A6A6A6" w:themeColor="background1" w:themeShade="A6"/>
            </w:tcBorders>
          </w:tcPr>
          <w:p w:rsidR="00E71B09" w:rsidRPr="004C33D1" w:rsidRDefault="001F75A4" w:rsidP="00E71B09">
            <w:pPr>
              <w:pStyle w:val="TableText"/>
              <w:jc w:val="center"/>
              <w:cnfStyle w:val="000000000000" w:firstRow="0" w:lastRow="0" w:firstColumn="0" w:lastColumn="0" w:oddVBand="0" w:evenVBand="0" w:oddHBand="0" w:evenHBand="0" w:firstRowFirstColumn="0" w:firstRowLastColumn="0" w:lastRowFirstColumn="0" w:lastRowLastColumn="0"/>
            </w:pPr>
            <w:r>
              <w:t>No</w:t>
            </w:r>
          </w:p>
        </w:tc>
        <w:tc>
          <w:tcPr>
            <w:tcW w:w="457" w:type="pct"/>
            <w:tcBorders>
              <w:top w:val="single" w:sz="8" w:space="0" w:color="A6A6A6" w:themeColor="background1" w:themeShade="A6"/>
              <w:left w:val="single" w:sz="8" w:space="0" w:color="A6A6A6" w:themeColor="background1" w:themeShade="A6"/>
              <w:bottom w:val="single" w:sz="4" w:space="0" w:color="A6A6A6" w:themeColor="background1" w:themeShade="A6"/>
              <w:right w:val="single" w:sz="8" w:space="0" w:color="A6A6A6" w:themeColor="background1" w:themeShade="A6"/>
            </w:tcBorders>
          </w:tcPr>
          <w:p w:rsidR="00E71B09" w:rsidRPr="004C33D1" w:rsidRDefault="00E71B09"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Only from census</w:t>
            </w:r>
          </w:p>
        </w:tc>
        <w:tc>
          <w:tcPr>
            <w:tcW w:w="403" w:type="pct"/>
            <w:tcBorders>
              <w:top w:val="single" w:sz="8" w:space="0" w:color="A6A6A6" w:themeColor="background1" w:themeShade="A6"/>
              <w:left w:val="single" w:sz="8" w:space="0" w:color="A6A6A6" w:themeColor="background1" w:themeShade="A6"/>
              <w:bottom w:val="single" w:sz="4" w:space="0" w:color="A6A6A6" w:themeColor="background1" w:themeShade="A6"/>
            </w:tcBorders>
          </w:tcPr>
          <w:p w:rsidR="00E71B09" w:rsidRPr="004C33D1" w:rsidRDefault="00E71B09" w:rsidP="001F75A4">
            <w:pPr>
              <w:pStyle w:val="TableText"/>
              <w:jc w:val="center"/>
              <w:cnfStyle w:val="000000000000" w:firstRow="0" w:lastRow="0" w:firstColumn="0" w:lastColumn="0" w:oddVBand="0" w:evenVBand="0" w:oddHBand="0" w:evenHBand="0" w:firstRowFirstColumn="0" w:firstRowLastColumn="0" w:lastRowFirstColumn="0" w:lastRowLastColumn="0"/>
            </w:pPr>
            <w:r w:rsidRPr="004C33D1">
              <w:t xml:space="preserve">Yes </w:t>
            </w:r>
          </w:p>
        </w:tc>
      </w:tr>
      <w:tr w:rsidR="001F75A4" w:rsidRPr="004C33D1" w:rsidTr="00CB1327">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545" w:type="pct"/>
            <w:tcBorders>
              <w:right w:val="single" w:sz="8" w:space="0" w:color="A6A6A6" w:themeColor="background1" w:themeShade="A6"/>
            </w:tcBorders>
            <w:vAlign w:val="top"/>
          </w:tcPr>
          <w:p w:rsidR="001F75A4" w:rsidRPr="004C33D1" w:rsidRDefault="001F75A4" w:rsidP="00E71B09">
            <w:pPr>
              <w:pStyle w:val="TableText"/>
            </w:pPr>
          </w:p>
        </w:tc>
        <w:tc>
          <w:tcPr>
            <w:tcW w:w="598" w:type="pct"/>
            <w:tcBorders>
              <w:top w:val="single" w:sz="8" w:space="0" w:color="A6A6A6" w:themeColor="background1" w:themeShade="A6"/>
              <w:left w:val="single" w:sz="8" w:space="0" w:color="A6A6A6" w:themeColor="background1" w:themeShade="A6"/>
              <w:bottom w:val="single" w:sz="12" w:space="0" w:color="A6A6A6" w:themeColor="background1" w:themeShade="A6"/>
              <w:right w:val="single" w:sz="8" w:space="0" w:color="A6A6A6" w:themeColor="background1" w:themeShade="A6"/>
            </w:tcBorders>
            <w:vAlign w:val="top"/>
          </w:tcPr>
          <w:p w:rsidR="001F75A4" w:rsidRPr="004C33D1" w:rsidRDefault="001F75A4" w:rsidP="006277DC">
            <w:pPr>
              <w:pStyle w:val="TableText"/>
              <w:numPr>
                <w:ilvl w:val="0"/>
                <w:numId w:val="91"/>
              </w:numPr>
              <w:ind w:left="36" w:firstLine="0"/>
              <w:jc w:val="left"/>
              <w:cnfStyle w:val="000000000000" w:firstRow="0" w:lastRow="0" w:firstColumn="0" w:lastColumn="0" w:oddVBand="0" w:evenVBand="0" w:oddHBand="0" w:evenHBand="0" w:firstRowFirstColumn="0" w:firstRowLastColumn="0" w:lastRowFirstColumn="0" w:lastRowLastColumn="0"/>
            </w:pPr>
            <w:r>
              <w:t>Vacancy rates - business</w:t>
            </w:r>
          </w:p>
        </w:tc>
        <w:tc>
          <w:tcPr>
            <w:tcW w:w="1975" w:type="pct"/>
            <w:tcBorders>
              <w:top w:val="single" w:sz="8" w:space="0" w:color="A6A6A6" w:themeColor="background1" w:themeShade="A6"/>
              <w:left w:val="single" w:sz="8" w:space="0" w:color="A6A6A6" w:themeColor="background1" w:themeShade="A6"/>
              <w:bottom w:val="single" w:sz="12" w:space="0" w:color="A6A6A6" w:themeColor="background1" w:themeShade="A6"/>
              <w:right w:val="single" w:sz="8" w:space="0" w:color="A6A6A6" w:themeColor="background1" w:themeShade="A6"/>
            </w:tcBorders>
            <w:vAlign w:val="top"/>
          </w:tcPr>
          <w:p w:rsidR="001F75A4" w:rsidRPr="004C33D1" w:rsidRDefault="001F75A4" w:rsidP="001F75A4">
            <w:pPr>
              <w:pStyle w:val="TableText"/>
              <w:jc w:val="left"/>
              <w:cnfStyle w:val="000000000000" w:firstRow="0" w:lastRow="0" w:firstColumn="0" w:lastColumn="0" w:oddVBand="0" w:evenVBand="0" w:oddHBand="0" w:evenHBand="0" w:firstRowFirstColumn="0" w:firstRowLastColumn="0" w:lastRowFirstColumn="0" w:lastRowLastColumn="0"/>
            </w:pPr>
            <w:proofErr w:type="gramStart"/>
            <w:r>
              <w:t>M</w:t>
            </w:r>
            <w:r w:rsidRPr="004C33D1">
              <w:t>ight be used</w:t>
            </w:r>
            <w:proofErr w:type="gramEnd"/>
            <w:r>
              <w:t xml:space="preserve"> </w:t>
            </w:r>
            <w:r w:rsidRPr="004C33D1">
              <w:t xml:space="preserve">as an estimate of levels of excess supply. Business vacancy </w:t>
            </w:r>
            <w:r>
              <w:t>rates measured using customer surveys</w:t>
            </w:r>
            <w:r w:rsidRPr="004C33D1">
              <w:t>.</w:t>
            </w:r>
            <w:r>
              <w:t xml:space="preserve"> </w:t>
            </w:r>
            <w:proofErr w:type="gramStart"/>
            <w:r>
              <w:t>These may be limited by customer bases of individual property companies</w:t>
            </w:r>
            <w:proofErr w:type="gramEnd"/>
            <w:r>
              <w:t>.</w:t>
            </w:r>
          </w:p>
        </w:tc>
        <w:tc>
          <w:tcPr>
            <w:tcW w:w="525" w:type="pct"/>
            <w:tcBorders>
              <w:top w:val="single" w:sz="8" w:space="0" w:color="A6A6A6" w:themeColor="background1" w:themeShade="A6"/>
              <w:left w:val="single" w:sz="8" w:space="0" w:color="A6A6A6" w:themeColor="background1" w:themeShade="A6"/>
              <w:bottom w:val="single" w:sz="12" w:space="0" w:color="A6A6A6" w:themeColor="background1" w:themeShade="A6"/>
              <w:right w:val="single" w:sz="8" w:space="0" w:color="A6A6A6" w:themeColor="background1" w:themeShade="A6"/>
            </w:tcBorders>
          </w:tcPr>
          <w:p w:rsidR="001F75A4" w:rsidRDefault="001F75A4" w:rsidP="00E71B09">
            <w:pPr>
              <w:pStyle w:val="TableText"/>
              <w:jc w:val="center"/>
              <w:cnfStyle w:val="000000000000" w:firstRow="0" w:lastRow="0" w:firstColumn="0" w:lastColumn="0" w:oddVBand="0" w:evenVBand="0" w:oddHBand="0" w:evenHBand="0" w:firstRowFirstColumn="0" w:firstRowLastColumn="0" w:lastRowFirstColumn="0" w:lastRowLastColumn="0"/>
            </w:pPr>
            <w:r>
              <w:t>Yes</w:t>
            </w:r>
          </w:p>
        </w:tc>
        <w:tc>
          <w:tcPr>
            <w:tcW w:w="498" w:type="pct"/>
            <w:tcBorders>
              <w:top w:val="single" w:sz="8" w:space="0" w:color="A6A6A6" w:themeColor="background1" w:themeShade="A6"/>
              <w:left w:val="single" w:sz="8" w:space="0" w:color="A6A6A6" w:themeColor="background1" w:themeShade="A6"/>
              <w:bottom w:val="single" w:sz="12" w:space="0" w:color="A6A6A6" w:themeColor="background1" w:themeShade="A6"/>
              <w:right w:val="single" w:sz="8" w:space="0" w:color="A6A6A6" w:themeColor="background1" w:themeShade="A6"/>
            </w:tcBorders>
          </w:tcPr>
          <w:p w:rsidR="001F75A4" w:rsidRPr="004C33D1" w:rsidRDefault="001F75A4" w:rsidP="00E71B09">
            <w:pPr>
              <w:pStyle w:val="TableText"/>
              <w:jc w:val="center"/>
              <w:cnfStyle w:val="000000000000" w:firstRow="0" w:lastRow="0" w:firstColumn="0" w:lastColumn="0" w:oddVBand="0" w:evenVBand="0" w:oddHBand="0" w:evenHBand="0" w:firstRowFirstColumn="0" w:firstRowLastColumn="0" w:lastRowFirstColumn="0" w:lastRowLastColumn="0"/>
            </w:pPr>
            <w:r>
              <w:t>Yes</w:t>
            </w:r>
          </w:p>
        </w:tc>
        <w:tc>
          <w:tcPr>
            <w:tcW w:w="457" w:type="pct"/>
            <w:tcBorders>
              <w:top w:val="single" w:sz="8" w:space="0" w:color="A6A6A6" w:themeColor="background1" w:themeShade="A6"/>
              <w:left w:val="single" w:sz="8" w:space="0" w:color="A6A6A6" w:themeColor="background1" w:themeShade="A6"/>
              <w:bottom w:val="single" w:sz="12" w:space="0" w:color="A6A6A6" w:themeColor="background1" w:themeShade="A6"/>
              <w:right w:val="single" w:sz="8" w:space="0" w:color="A6A6A6" w:themeColor="background1" w:themeShade="A6"/>
            </w:tcBorders>
          </w:tcPr>
          <w:p w:rsidR="001F75A4" w:rsidRPr="004C33D1" w:rsidRDefault="001F75A4" w:rsidP="00E71B09">
            <w:pPr>
              <w:pStyle w:val="TableText"/>
              <w:jc w:val="center"/>
              <w:cnfStyle w:val="000000000000" w:firstRow="0" w:lastRow="0" w:firstColumn="0" w:lastColumn="0" w:oddVBand="0" w:evenVBand="0" w:oddHBand="0" w:evenHBand="0" w:firstRowFirstColumn="0" w:firstRowLastColumn="0" w:lastRowFirstColumn="0" w:lastRowLastColumn="0"/>
            </w:pPr>
            <w:r>
              <w:t>Partially</w:t>
            </w:r>
          </w:p>
        </w:tc>
        <w:tc>
          <w:tcPr>
            <w:tcW w:w="403" w:type="pct"/>
            <w:tcBorders>
              <w:top w:val="single" w:sz="8" w:space="0" w:color="A6A6A6" w:themeColor="background1" w:themeShade="A6"/>
              <w:left w:val="single" w:sz="8" w:space="0" w:color="A6A6A6" w:themeColor="background1" w:themeShade="A6"/>
              <w:bottom w:val="single" w:sz="12" w:space="0" w:color="A6A6A6" w:themeColor="background1" w:themeShade="A6"/>
            </w:tcBorders>
          </w:tcPr>
          <w:p w:rsidR="001F75A4" w:rsidRDefault="001F75A4" w:rsidP="00E71B09">
            <w:pPr>
              <w:pStyle w:val="TableText"/>
              <w:jc w:val="center"/>
              <w:cnfStyle w:val="000000000000" w:firstRow="0" w:lastRow="0" w:firstColumn="0" w:lastColumn="0" w:oddVBand="0" w:evenVBand="0" w:oddHBand="0" w:evenHBand="0" w:firstRowFirstColumn="0" w:firstRowLastColumn="0" w:lastRowFirstColumn="0" w:lastRowLastColumn="0"/>
            </w:pPr>
            <w:r>
              <w:t xml:space="preserve">Yes </w:t>
            </w:r>
          </w:p>
          <w:p w:rsidR="001F75A4" w:rsidRPr="004C33D1" w:rsidRDefault="001F75A4" w:rsidP="00E71B09">
            <w:pPr>
              <w:pStyle w:val="TableText"/>
              <w:jc w:val="center"/>
              <w:cnfStyle w:val="000000000000" w:firstRow="0" w:lastRow="0" w:firstColumn="0" w:lastColumn="0" w:oddVBand="0" w:evenVBand="0" w:oddHBand="0" w:evenHBand="0" w:firstRowFirstColumn="0" w:firstRowLastColumn="0" w:lastRowFirstColumn="0" w:lastRowLastColumn="0"/>
            </w:pPr>
            <w:r>
              <w:t>(via surveys)</w:t>
            </w:r>
          </w:p>
        </w:tc>
      </w:tr>
      <w:tr w:rsidR="00E71B09" w:rsidRPr="004C33D1" w:rsidTr="00CB1327">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545" w:type="pct"/>
            <w:tcBorders>
              <w:top w:val="single" w:sz="12" w:space="0" w:color="A6A6A6" w:themeColor="background1" w:themeShade="A6"/>
              <w:bottom w:val="single" w:sz="12" w:space="0" w:color="A6A6A6" w:themeColor="background1" w:themeShade="A6"/>
              <w:right w:val="single" w:sz="8" w:space="0" w:color="A6A6A6" w:themeColor="background1" w:themeShade="A6"/>
            </w:tcBorders>
            <w:shd w:val="clear" w:color="auto" w:fill="auto"/>
            <w:vAlign w:val="top"/>
          </w:tcPr>
          <w:p w:rsidR="00E71B09" w:rsidRPr="008676FD" w:rsidRDefault="00E71B09" w:rsidP="00E71B09">
            <w:pPr>
              <w:pStyle w:val="TableText"/>
            </w:pPr>
            <w:r w:rsidRPr="008676FD">
              <w:t xml:space="preserve">Competitiveness </w:t>
            </w:r>
          </w:p>
        </w:tc>
        <w:tc>
          <w:tcPr>
            <w:tcW w:w="598" w:type="pct"/>
            <w:tcBorders>
              <w:top w:val="single" w:sz="12" w:space="0" w:color="A6A6A6" w:themeColor="background1" w:themeShade="A6"/>
              <w:left w:val="single" w:sz="8" w:space="0" w:color="A6A6A6" w:themeColor="background1" w:themeShade="A6"/>
              <w:bottom w:val="single" w:sz="12" w:space="0" w:color="A6A6A6" w:themeColor="background1" w:themeShade="A6"/>
              <w:right w:val="single" w:sz="8" w:space="0" w:color="A6A6A6" w:themeColor="background1" w:themeShade="A6"/>
            </w:tcBorders>
            <w:shd w:val="pct10" w:color="auto" w:fill="auto"/>
            <w:vAlign w:val="top"/>
          </w:tcPr>
          <w:p w:rsidR="00E71B09" w:rsidRPr="008676FD" w:rsidRDefault="00E71B09" w:rsidP="006277DC">
            <w:pPr>
              <w:pStyle w:val="TableText"/>
              <w:numPr>
                <w:ilvl w:val="0"/>
                <w:numId w:val="91"/>
              </w:numPr>
              <w:ind w:left="0" w:firstLine="6"/>
              <w:jc w:val="left"/>
              <w:cnfStyle w:val="000000000000" w:firstRow="0" w:lastRow="0" w:firstColumn="0" w:lastColumn="0" w:oddVBand="0" w:evenVBand="0" w:oddHBand="0" w:evenHBand="0" w:firstRowFirstColumn="0" w:firstRowLastColumn="0" w:lastRowFirstColumn="0" w:lastRowLastColumn="0"/>
            </w:pPr>
            <w:r w:rsidRPr="008676FD">
              <w:t>Market concentration: Herfindahl–Hirschman Index (HHI)</w:t>
            </w:r>
          </w:p>
        </w:tc>
        <w:tc>
          <w:tcPr>
            <w:tcW w:w="1975" w:type="pct"/>
            <w:tcBorders>
              <w:top w:val="single" w:sz="12" w:space="0" w:color="A6A6A6" w:themeColor="background1" w:themeShade="A6"/>
              <w:left w:val="single" w:sz="8" w:space="0" w:color="A6A6A6" w:themeColor="background1" w:themeShade="A6"/>
              <w:bottom w:val="single" w:sz="12" w:space="0" w:color="A6A6A6" w:themeColor="background1" w:themeShade="A6"/>
              <w:right w:val="single" w:sz="8" w:space="0" w:color="A6A6A6" w:themeColor="background1" w:themeShade="A6"/>
            </w:tcBorders>
            <w:shd w:val="pct10" w:color="auto" w:fill="auto"/>
            <w:vAlign w:val="top"/>
          </w:tcPr>
          <w:p w:rsidR="00E71B09" w:rsidRPr="008676FD" w:rsidRDefault="00E71B09" w:rsidP="00E71B09">
            <w:pPr>
              <w:pStyle w:val="TableText"/>
              <w:jc w:val="left"/>
              <w:cnfStyle w:val="000000000000" w:firstRow="0" w:lastRow="0" w:firstColumn="0" w:lastColumn="0" w:oddVBand="0" w:evenVBand="0" w:oddHBand="0" w:evenHBand="0" w:firstRowFirstColumn="0" w:firstRowLastColumn="0" w:lastRowFirstColumn="0" w:lastRowLastColumn="0"/>
            </w:pPr>
            <w:r w:rsidRPr="008676FD">
              <w:t xml:space="preserve">This indicator is a measure of the competitiveness of the development capacity market based on the level of market concentration. This suggests how likely it is that a large </w:t>
            </w:r>
            <w:proofErr w:type="gramStart"/>
            <w:r w:rsidR="00A93893">
              <w:t>land-</w:t>
            </w:r>
            <w:r w:rsidRPr="008676FD">
              <w:t>owner</w:t>
            </w:r>
            <w:proofErr w:type="gramEnd"/>
            <w:r w:rsidRPr="008676FD">
              <w:t xml:space="preserve"> could exercise market power and raise prices</w:t>
            </w:r>
            <w:r w:rsidR="006D6099">
              <w:t>.</w:t>
            </w:r>
          </w:p>
        </w:tc>
        <w:tc>
          <w:tcPr>
            <w:tcW w:w="525" w:type="pct"/>
            <w:tcBorders>
              <w:top w:val="single" w:sz="12" w:space="0" w:color="A6A6A6" w:themeColor="background1" w:themeShade="A6"/>
              <w:left w:val="single" w:sz="8" w:space="0" w:color="A6A6A6" w:themeColor="background1" w:themeShade="A6"/>
              <w:bottom w:val="single" w:sz="12" w:space="0" w:color="A6A6A6" w:themeColor="background1" w:themeShade="A6"/>
              <w:right w:val="single" w:sz="8" w:space="0" w:color="A6A6A6" w:themeColor="background1" w:themeShade="A6"/>
            </w:tcBorders>
            <w:shd w:val="pct10" w:color="auto" w:fill="auto"/>
          </w:tcPr>
          <w:p w:rsidR="00E71B09" w:rsidRPr="008676FD" w:rsidRDefault="00E13091" w:rsidP="00E71B09">
            <w:pPr>
              <w:pStyle w:val="TableText"/>
              <w:jc w:val="center"/>
              <w:cnfStyle w:val="000000000000" w:firstRow="0" w:lastRow="0" w:firstColumn="0" w:lastColumn="0" w:oddVBand="0" w:evenVBand="0" w:oddHBand="0" w:evenHBand="0" w:firstRowFirstColumn="0" w:firstRowLastColumn="0" w:lastRowFirstColumn="0" w:lastRowLastColumn="0"/>
            </w:pPr>
            <w:r>
              <w:t>Partly</w:t>
            </w:r>
          </w:p>
        </w:tc>
        <w:tc>
          <w:tcPr>
            <w:tcW w:w="498" w:type="pct"/>
            <w:tcBorders>
              <w:top w:val="single" w:sz="12" w:space="0" w:color="A6A6A6" w:themeColor="background1" w:themeShade="A6"/>
              <w:left w:val="single" w:sz="8" w:space="0" w:color="A6A6A6" w:themeColor="background1" w:themeShade="A6"/>
              <w:bottom w:val="single" w:sz="12" w:space="0" w:color="A6A6A6" w:themeColor="background1" w:themeShade="A6"/>
              <w:right w:val="single" w:sz="8" w:space="0" w:color="A6A6A6" w:themeColor="background1" w:themeShade="A6"/>
            </w:tcBorders>
            <w:shd w:val="pct10" w:color="auto" w:fill="auto"/>
          </w:tcPr>
          <w:p w:rsidR="00E71B09" w:rsidRPr="008676FD" w:rsidRDefault="00E71B09"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8676FD">
              <w:t>Yes - with some explanation</w:t>
            </w:r>
          </w:p>
        </w:tc>
        <w:tc>
          <w:tcPr>
            <w:tcW w:w="457" w:type="pct"/>
            <w:tcBorders>
              <w:top w:val="single" w:sz="12" w:space="0" w:color="A6A6A6" w:themeColor="background1" w:themeShade="A6"/>
              <w:left w:val="single" w:sz="8" w:space="0" w:color="A6A6A6" w:themeColor="background1" w:themeShade="A6"/>
              <w:bottom w:val="single" w:sz="12" w:space="0" w:color="A6A6A6" w:themeColor="background1" w:themeShade="A6"/>
              <w:right w:val="single" w:sz="8" w:space="0" w:color="A6A6A6" w:themeColor="background1" w:themeShade="A6"/>
            </w:tcBorders>
            <w:shd w:val="pct10" w:color="auto" w:fill="auto"/>
          </w:tcPr>
          <w:p w:rsidR="00E71B09" w:rsidRPr="008676FD" w:rsidRDefault="00E71B09" w:rsidP="00A93893">
            <w:pPr>
              <w:pStyle w:val="TableText"/>
              <w:jc w:val="center"/>
              <w:cnfStyle w:val="000000000000" w:firstRow="0" w:lastRow="0" w:firstColumn="0" w:lastColumn="0" w:oddVBand="0" w:evenVBand="0" w:oddHBand="0" w:evenHBand="0" w:firstRowFirstColumn="0" w:firstRowLastColumn="0" w:lastRowFirstColumn="0" w:lastRowLastColumn="0"/>
            </w:pPr>
            <w:r w:rsidRPr="008676FD">
              <w:t xml:space="preserve">May require identification of ultimate owners of properties </w:t>
            </w:r>
          </w:p>
        </w:tc>
        <w:tc>
          <w:tcPr>
            <w:tcW w:w="403" w:type="pct"/>
            <w:tcBorders>
              <w:top w:val="single" w:sz="12" w:space="0" w:color="A6A6A6" w:themeColor="background1" w:themeShade="A6"/>
              <w:left w:val="single" w:sz="8" w:space="0" w:color="A6A6A6" w:themeColor="background1" w:themeShade="A6"/>
              <w:bottom w:val="single" w:sz="12" w:space="0" w:color="A6A6A6" w:themeColor="background1" w:themeShade="A6"/>
            </w:tcBorders>
            <w:shd w:val="pct10" w:color="auto" w:fill="auto"/>
          </w:tcPr>
          <w:p w:rsidR="007C2FD1" w:rsidRPr="008676FD" w:rsidRDefault="00E71B09" w:rsidP="00E13091">
            <w:pPr>
              <w:pStyle w:val="TableText"/>
              <w:jc w:val="center"/>
              <w:cnfStyle w:val="000000000000" w:firstRow="0" w:lastRow="0" w:firstColumn="0" w:lastColumn="0" w:oddVBand="0" w:evenVBand="0" w:oddHBand="0" w:evenHBand="0" w:firstRowFirstColumn="0" w:firstRowLastColumn="0" w:lastRowFirstColumn="0" w:lastRowLastColumn="0"/>
            </w:pPr>
            <w:r w:rsidRPr="008676FD">
              <w:t xml:space="preserve">Yes </w:t>
            </w:r>
            <w:r w:rsidR="00E13091">
              <w:t>via</w:t>
            </w:r>
            <w:r w:rsidRPr="008676FD">
              <w:t xml:space="preserve"> interaction with Companies Office data</w:t>
            </w:r>
          </w:p>
        </w:tc>
      </w:tr>
      <w:tr w:rsidR="00E71B09" w:rsidRPr="004C33D1" w:rsidTr="00CB1327">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545" w:type="pct"/>
            <w:tcBorders>
              <w:top w:val="single" w:sz="12" w:space="0" w:color="A6A6A6" w:themeColor="background1" w:themeShade="A6"/>
              <w:right w:val="single" w:sz="8" w:space="0" w:color="A6A6A6" w:themeColor="background1" w:themeShade="A6"/>
            </w:tcBorders>
            <w:vAlign w:val="top"/>
          </w:tcPr>
          <w:p w:rsidR="00E71B09" w:rsidRPr="004C33D1" w:rsidRDefault="00E71B09" w:rsidP="00E71B09">
            <w:pPr>
              <w:pStyle w:val="TableText"/>
            </w:pPr>
            <w:r w:rsidRPr="004C33D1">
              <w:t>Efficient prices (Price discontinuities)</w:t>
            </w:r>
          </w:p>
        </w:tc>
        <w:tc>
          <w:tcPr>
            <w:tcW w:w="598" w:type="pct"/>
            <w:tcBorders>
              <w:top w:val="single" w:sz="12"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vAlign w:val="top"/>
          </w:tcPr>
          <w:p w:rsidR="00E71B09" w:rsidRPr="004C33D1" w:rsidRDefault="00E71B09" w:rsidP="006277DC">
            <w:pPr>
              <w:pStyle w:val="TableText"/>
              <w:numPr>
                <w:ilvl w:val="0"/>
                <w:numId w:val="91"/>
              </w:numPr>
              <w:ind w:left="0" w:firstLine="6"/>
              <w:jc w:val="left"/>
              <w:cnfStyle w:val="000000000000" w:firstRow="0" w:lastRow="0" w:firstColumn="0" w:lastColumn="0" w:oddVBand="0" w:evenVBand="0" w:oddHBand="0" w:evenHBand="0" w:firstRowFirstColumn="0" w:firstRowLastColumn="0" w:lastRowFirstColumn="0" w:lastRowLastColumn="0"/>
            </w:pPr>
            <w:r w:rsidRPr="004C33D1">
              <w:t>Discontinuities in land values between zones or at the urban fringe</w:t>
            </w:r>
          </w:p>
        </w:tc>
        <w:tc>
          <w:tcPr>
            <w:tcW w:w="1975" w:type="pct"/>
            <w:tcBorders>
              <w:top w:val="single" w:sz="12"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vAlign w:val="top"/>
          </w:tcPr>
          <w:p w:rsidR="00A93893" w:rsidRPr="004C33D1" w:rsidRDefault="00A93893" w:rsidP="00A93893">
            <w:pPr>
              <w:pStyle w:val="TableText"/>
              <w:jc w:val="left"/>
              <w:cnfStyle w:val="000000000000" w:firstRow="0" w:lastRow="0" w:firstColumn="0" w:lastColumn="0" w:oddVBand="0" w:evenVBand="0" w:oddHBand="0" w:evenHBand="0" w:firstRowFirstColumn="0" w:firstRowLastColumn="0" w:lastRowFirstColumn="0" w:lastRowLastColumn="0"/>
            </w:pPr>
            <w:r w:rsidRPr="004C33D1">
              <w:t xml:space="preserve">A discontinuity in price not explainable by the </w:t>
            </w:r>
            <w:r>
              <w:t>cost to convert land between alternative uses</w:t>
            </w:r>
            <w:r w:rsidRPr="004C33D1">
              <w:t xml:space="preserve"> suggest</w:t>
            </w:r>
            <w:r>
              <w:t>s</w:t>
            </w:r>
            <w:r w:rsidRPr="004C33D1">
              <w:t xml:space="preserve"> a less than fully competitive </w:t>
            </w:r>
            <w:r w:rsidR="007C2FD1">
              <w:t xml:space="preserve">market </w:t>
            </w:r>
            <w:r w:rsidRPr="004C33D1">
              <w:t>and under-supply of one form of development capacity.</w:t>
            </w:r>
          </w:p>
          <w:p w:rsidR="00E71B09" w:rsidRPr="004C33D1" w:rsidRDefault="00A93893" w:rsidP="00A93893">
            <w:pPr>
              <w:pStyle w:val="TableText"/>
              <w:jc w:val="left"/>
              <w:cnfStyle w:val="000000000000" w:firstRow="0" w:lastRow="0" w:firstColumn="0" w:lastColumn="0" w:oddVBand="0" w:evenVBand="0" w:oddHBand="0" w:evenHBand="0" w:firstRowFirstColumn="0" w:firstRowLastColumn="0" w:lastRowFirstColumn="0" w:lastRowLastColumn="0"/>
            </w:pPr>
            <w:r w:rsidRPr="004C33D1">
              <w:t xml:space="preserve">Note it </w:t>
            </w:r>
            <w:proofErr w:type="gramStart"/>
            <w:r w:rsidRPr="004C33D1">
              <w:t>cannot be used</w:t>
            </w:r>
            <w:proofErr w:type="gramEnd"/>
            <w:r w:rsidRPr="004C33D1">
              <w:t xml:space="preserve"> to suggest misallocation of land at the specific site of the discontinuity.</w:t>
            </w:r>
          </w:p>
        </w:tc>
        <w:tc>
          <w:tcPr>
            <w:tcW w:w="525" w:type="pct"/>
            <w:tcBorders>
              <w:top w:val="single" w:sz="12"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tcPr>
          <w:p w:rsidR="00E71B09" w:rsidRPr="004C33D1" w:rsidRDefault="00E71B09"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 xml:space="preserve">Yes (although needs to be carefully interpreted with </w:t>
            </w:r>
            <w:proofErr w:type="spellStart"/>
            <w:r w:rsidRPr="004C33D1">
              <w:t>explanators</w:t>
            </w:r>
            <w:proofErr w:type="spellEnd"/>
            <w:r w:rsidRPr="004C33D1">
              <w:t>)</w:t>
            </w:r>
            <w:r w:rsidRPr="004C33D1">
              <w:rPr>
                <w:rStyle w:val="FootnoteReference"/>
              </w:rPr>
              <w:footnoteReference w:id="121"/>
            </w:r>
          </w:p>
        </w:tc>
        <w:tc>
          <w:tcPr>
            <w:tcW w:w="498" w:type="pct"/>
            <w:tcBorders>
              <w:top w:val="single" w:sz="12"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tcPr>
          <w:p w:rsidR="00E71B09" w:rsidRPr="004C33D1" w:rsidRDefault="00E71B09"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 xml:space="preserve">Yes (but with </w:t>
            </w:r>
            <w:proofErr w:type="spellStart"/>
            <w:r w:rsidRPr="004C33D1">
              <w:t>explanators</w:t>
            </w:r>
            <w:proofErr w:type="spellEnd"/>
            <w:r w:rsidRPr="004C33D1">
              <w:t xml:space="preserve"> analysed)</w:t>
            </w:r>
          </w:p>
        </w:tc>
        <w:tc>
          <w:tcPr>
            <w:tcW w:w="457" w:type="pct"/>
            <w:tcBorders>
              <w:top w:val="single" w:sz="12"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tcPr>
          <w:p w:rsidR="00E71B09" w:rsidRPr="004C33D1" w:rsidRDefault="00E71B09"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Price data available but explanatory factors may not be</w:t>
            </w:r>
          </w:p>
        </w:tc>
        <w:tc>
          <w:tcPr>
            <w:tcW w:w="403" w:type="pct"/>
            <w:tcBorders>
              <w:top w:val="single" w:sz="12" w:space="0" w:color="A6A6A6" w:themeColor="background1" w:themeShade="A6"/>
              <w:left w:val="single" w:sz="8" w:space="0" w:color="A6A6A6" w:themeColor="background1" w:themeShade="A6"/>
              <w:bottom w:val="single" w:sz="8" w:space="0" w:color="A6A6A6" w:themeColor="background1" w:themeShade="A6"/>
            </w:tcBorders>
            <w:shd w:val="pct10" w:color="auto" w:fill="auto"/>
          </w:tcPr>
          <w:p w:rsidR="00E71B09" w:rsidRPr="004C33D1" w:rsidRDefault="00E71B09"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Yes</w:t>
            </w:r>
          </w:p>
        </w:tc>
      </w:tr>
      <w:tr w:rsidR="00E71B09" w:rsidRPr="004C33D1" w:rsidTr="00CB1327">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545" w:type="pct"/>
            <w:tcBorders>
              <w:bottom w:val="dashed" w:sz="4" w:space="0" w:color="auto"/>
              <w:right w:val="single" w:sz="8" w:space="0" w:color="A6A6A6" w:themeColor="background1" w:themeShade="A6"/>
            </w:tcBorders>
            <w:vAlign w:val="top"/>
          </w:tcPr>
          <w:p w:rsidR="00E71B09" w:rsidRPr="004C33D1" w:rsidRDefault="00E71B09" w:rsidP="00E71B09">
            <w:pPr>
              <w:pStyle w:val="TableText"/>
            </w:pPr>
          </w:p>
        </w:tc>
        <w:tc>
          <w:tcPr>
            <w:tcW w:w="598"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top"/>
          </w:tcPr>
          <w:p w:rsidR="00E71B09" w:rsidRPr="004C33D1" w:rsidRDefault="00E71B09" w:rsidP="006277DC">
            <w:pPr>
              <w:pStyle w:val="TableText"/>
              <w:numPr>
                <w:ilvl w:val="0"/>
                <w:numId w:val="91"/>
              </w:numPr>
              <w:ind w:left="0" w:firstLine="6"/>
              <w:jc w:val="left"/>
              <w:cnfStyle w:val="000000000000" w:firstRow="0" w:lastRow="0" w:firstColumn="0" w:lastColumn="0" w:oddVBand="0" w:evenVBand="0" w:oddHBand="0" w:evenHBand="0" w:firstRowFirstColumn="0" w:firstRowLastColumn="0" w:lastRowFirstColumn="0" w:lastRowLastColumn="0"/>
            </w:pPr>
            <w:r w:rsidRPr="004C33D1">
              <w:t xml:space="preserve">Ratio of </w:t>
            </w:r>
            <w:r w:rsidR="007C2FD1">
              <w:t xml:space="preserve">rateable </w:t>
            </w:r>
            <w:r w:rsidRPr="004C33D1">
              <w:t xml:space="preserve">value to market value of land </w:t>
            </w:r>
            <w:r w:rsidR="007C2FD1">
              <w:t>in</w:t>
            </w:r>
            <w:r w:rsidRPr="004C33D1">
              <w:t xml:space="preserve"> best alternative use</w:t>
            </w:r>
          </w:p>
        </w:tc>
        <w:tc>
          <w:tcPr>
            <w:tcW w:w="1975"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top"/>
          </w:tcPr>
          <w:p w:rsidR="00E71B09" w:rsidRPr="004C33D1" w:rsidRDefault="00E71B09" w:rsidP="00E71B09">
            <w:pPr>
              <w:pStyle w:val="TableText"/>
              <w:jc w:val="left"/>
              <w:cnfStyle w:val="000000000000" w:firstRow="0" w:lastRow="0" w:firstColumn="0" w:lastColumn="0" w:oddVBand="0" w:evenVBand="0" w:oddHBand="0" w:evenHBand="0" w:firstRowFirstColumn="0" w:firstRowLastColumn="0" w:lastRowFirstColumn="0" w:lastRowLastColumn="0"/>
            </w:pPr>
            <w:r w:rsidRPr="004C33D1">
              <w:t>This is equivalent to the price discontinuity indicator, but explicitly analyses the opportunity cost of land supply.</w:t>
            </w:r>
          </w:p>
          <w:p w:rsidR="00E71B09" w:rsidRPr="004C33D1" w:rsidRDefault="00E71B09" w:rsidP="00E71B09">
            <w:pPr>
              <w:pStyle w:val="TableText"/>
              <w:jc w:val="left"/>
              <w:cnfStyle w:val="000000000000" w:firstRow="0" w:lastRow="0" w:firstColumn="0" w:lastColumn="0" w:oddVBand="0" w:evenVBand="0" w:oddHBand="0" w:evenHBand="0" w:firstRowFirstColumn="0" w:firstRowLastColumn="0" w:lastRowFirstColumn="0" w:lastRowLastColumn="0"/>
            </w:pPr>
            <w:r w:rsidRPr="004C33D1">
              <w:t>Measuring this would require a “counterfactual” valuation exercise across all land types. It is likely to be prohibitively expensive.</w:t>
            </w:r>
          </w:p>
        </w:tc>
        <w:tc>
          <w:tcPr>
            <w:tcW w:w="525"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E71B09" w:rsidRPr="004C33D1" w:rsidRDefault="00E71B09"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Yes (more useful than price discontinuity alone)</w:t>
            </w:r>
          </w:p>
        </w:tc>
        <w:tc>
          <w:tcPr>
            <w:tcW w:w="498"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E71B09" w:rsidRPr="004C33D1" w:rsidRDefault="00E71B09"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Yes</w:t>
            </w:r>
          </w:p>
        </w:tc>
        <w:tc>
          <w:tcPr>
            <w:tcW w:w="457"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E71B09" w:rsidRPr="004C33D1" w:rsidRDefault="00E71B09" w:rsidP="00E71B09">
            <w:pPr>
              <w:pStyle w:val="TableText"/>
              <w:jc w:val="center"/>
              <w:cnfStyle w:val="000000000000" w:firstRow="0" w:lastRow="0" w:firstColumn="0" w:lastColumn="0" w:oddVBand="0" w:evenVBand="0" w:oddHBand="0" w:evenHBand="0" w:firstRowFirstColumn="0" w:firstRowLastColumn="0" w:lastRowFirstColumn="0" w:lastRowLastColumn="0"/>
            </w:pPr>
            <w:proofErr w:type="gramStart"/>
            <w:r w:rsidRPr="004C33D1">
              <w:t>Some data available.</w:t>
            </w:r>
            <w:proofErr w:type="gramEnd"/>
            <w:r w:rsidRPr="004C33D1">
              <w:t xml:space="preserve"> Some will require new analysis</w:t>
            </w:r>
          </w:p>
        </w:tc>
        <w:tc>
          <w:tcPr>
            <w:tcW w:w="403" w:type="pct"/>
            <w:tcBorders>
              <w:top w:val="single" w:sz="8" w:space="0" w:color="A6A6A6" w:themeColor="background1" w:themeShade="A6"/>
              <w:left w:val="single" w:sz="8" w:space="0" w:color="A6A6A6" w:themeColor="background1" w:themeShade="A6"/>
              <w:bottom w:val="single" w:sz="8" w:space="0" w:color="A6A6A6" w:themeColor="background1" w:themeShade="A6"/>
            </w:tcBorders>
          </w:tcPr>
          <w:p w:rsidR="00E71B09" w:rsidRPr="004C33D1" w:rsidRDefault="00E71B09"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No</w:t>
            </w:r>
          </w:p>
        </w:tc>
      </w:tr>
      <w:tr w:rsidR="00E71B09" w:rsidRPr="004C33D1" w:rsidTr="00CB1327">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545" w:type="pct"/>
            <w:tcBorders>
              <w:top w:val="dashed" w:sz="4" w:space="0" w:color="auto"/>
              <w:right w:val="single" w:sz="8" w:space="0" w:color="A6A6A6" w:themeColor="background1" w:themeShade="A6"/>
            </w:tcBorders>
            <w:vAlign w:val="top"/>
          </w:tcPr>
          <w:p w:rsidR="00E71B09" w:rsidRPr="004C33D1" w:rsidRDefault="00E71B09" w:rsidP="00E71B09">
            <w:pPr>
              <w:pStyle w:val="TableText"/>
            </w:pPr>
            <w:r w:rsidRPr="004C33D1">
              <w:t>(Price comparisons)</w:t>
            </w:r>
          </w:p>
          <w:p w:rsidR="00E71B09" w:rsidRPr="004C33D1" w:rsidRDefault="00E71B09" w:rsidP="00E71B09">
            <w:pPr>
              <w:pStyle w:val="TableText"/>
            </w:pPr>
          </w:p>
        </w:tc>
        <w:tc>
          <w:tcPr>
            <w:tcW w:w="598"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vAlign w:val="top"/>
          </w:tcPr>
          <w:p w:rsidR="00E71B09" w:rsidRPr="004C33D1" w:rsidRDefault="00E71B09" w:rsidP="006277DC">
            <w:pPr>
              <w:pStyle w:val="TableText"/>
              <w:numPr>
                <w:ilvl w:val="0"/>
                <w:numId w:val="91"/>
              </w:numPr>
              <w:ind w:left="0" w:firstLine="6"/>
              <w:jc w:val="left"/>
              <w:cnfStyle w:val="000000000000" w:firstRow="0" w:lastRow="0" w:firstColumn="0" w:lastColumn="0" w:oddVBand="0" w:evenVBand="0" w:oddHBand="0" w:evenHBand="0" w:firstRowFirstColumn="0" w:firstRowLastColumn="0" w:lastRowFirstColumn="0" w:lastRowLastColumn="0"/>
            </w:pPr>
            <w:r w:rsidRPr="004C33D1">
              <w:t>High-rise apartment sale prices against marginal construction costs</w:t>
            </w:r>
          </w:p>
        </w:tc>
        <w:tc>
          <w:tcPr>
            <w:tcW w:w="1975"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vAlign w:val="top"/>
          </w:tcPr>
          <w:p w:rsidR="00E71B09" w:rsidRPr="004C33D1" w:rsidRDefault="00A93893" w:rsidP="00E71B09">
            <w:pPr>
              <w:pStyle w:val="TableText"/>
              <w:jc w:val="left"/>
              <w:cnfStyle w:val="000000000000" w:firstRow="0" w:lastRow="0" w:firstColumn="0" w:lastColumn="0" w:oddVBand="0" w:evenVBand="0" w:oddHBand="0" w:evenHBand="0" w:firstRowFirstColumn="0" w:firstRowLastColumn="0" w:lastRowFirstColumn="0" w:lastRowLastColumn="0"/>
            </w:pPr>
            <w:r w:rsidRPr="004C33D1">
              <w:t xml:space="preserve">In a competitive </w:t>
            </w:r>
            <w:proofErr w:type="gramStart"/>
            <w:r w:rsidRPr="004C33D1">
              <w:t>market</w:t>
            </w:r>
            <w:proofErr w:type="gramEnd"/>
            <w:r w:rsidRPr="004C33D1">
              <w:t xml:space="preserve"> the cost of property should reflect the marginal cost of supply (MCS). This indicator would analyse MCS and compare with market prices. The analysis is simpler for multi-storey apartments</w:t>
            </w:r>
            <w:r>
              <w:t>, offices, or hotels</w:t>
            </w:r>
            <w:r w:rsidRPr="004C33D1">
              <w:t xml:space="preserve"> where </w:t>
            </w:r>
            <w:r>
              <w:t>land costs make up a negligible proportion of</w:t>
            </w:r>
            <w:r w:rsidRPr="004C33D1">
              <w:t xml:space="preserve"> MCS</w:t>
            </w:r>
            <w:r>
              <w:t xml:space="preserve"> (ie adding another storey to an apartment building does not require a larger lot)</w:t>
            </w:r>
            <w:r w:rsidRPr="004C33D1">
              <w:t>.</w:t>
            </w:r>
          </w:p>
        </w:tc>
        <w:tc>
          <w:tcPr>
            <w:tcW w:w="525"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tcPr>
          <w:p w:rsidR="00E71B09" w:rsidRPr="004C33D1" w:rsidRDefault="00E71B09"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Yes</w:t>
            </w:r>
          </w:p>
        </w:tc>
        <w:tc>
          <w:tcPr>
            <w:tcW w:w="498"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tcPr>
          <w:p w:rsidR="00E71B09" w:rsidRPr="004C33D1" w:rsidRDefault="00E71B09"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Yes (with explanations)</w:t>
            </w:r>
          </w:p>
        </w:tc>
        <w:tc>
          <w:tcPr>
            <w:tcW w:w="457"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tcPr>
          <w:p w:rsidR="00E71B09" w:rsidRPr="004C33D1" w:rsidRDefault="00E71B09"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 xml:space="preserve">For apartments </w:t>
            </w:r>
          </w:p>
        </w:tc>
        <w:tc>
          <w:tcPr>
            <w:tcW w:w="403" w:type="pct"/>
            <w:tcBorders>
              <w:top w:val="single" w:sz="8" w:space="0" w:color="A6A6A6" w:themeColor="background1" w:themeShade="A6"/>
              <w:left w:val="single" w:sz="8" w:space="0" w:color="A6A6A6" w:themeColor="background1" w:themeShade="A6"/>
              <w:bottom w:val="single" w:sz="8" w:space="0" w:color="A6A6A6" w:themeColor="background1" w:themeShade="A6"/>
            </w:tcBorders>
            <w:shd w:val="pct10" w:color="auto" w:fill="auto"/>
          </w:tcPr>
          <w:p w:rsidR="00E71B09" w:rsidRPr="004C33D1" w:rsidRDefault="00E71B09"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Yes (for apartments)</w:t>
            </w:r>
          </w:p>
        </w:tc>
      </w:tr>
      <w:tr w:rsidR="0026729E" w:rsidRPr="004C33D1" w:rsidTr="00CB1327">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545" w:type="pct"/>
            <w:tcBorders>
              <w:right w:val="single" w:sz="8" w:space="0" w:color="A6A6A6" w:themeColor="background1" w:themeShade="A6"/>
            </w:tcBorders>
            <w:vAlign w:val="top"/>
          </w:tcPr>
          <w:p w:rsidR="0026729E" w:rsidRPr="004C33D1" w:rsidRDefault="0026729E" w:rsidP="0026729E">
            <w:pPr>
              <w:pStyle w:val="TableText"/>
            </w:pPr>
          </w:p>
        </w:tc>
        <w:tc>
          <w:tcPr>
            <w:tcW w:w="598"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vAlign w:val="top"/>
          </w:tcPr>
          <w:p w:rsidR="0026729E" w:rsidRPr="004C33D1" w:rsidRDefault="0026729E" w:rsidP="006277DC">
            <w:pPr>
              <w:pStyle w:val="TableText"/>
              <w:numPr>
                <w:ilvl w:val="0"/>
                <w:numId w:val="91"/>
              </w:numPr>
              <w:ind w:left="0" w:firstLine="6"/>
              <w:jc w:val="left"/>
              <w:cnfStyle w:val="000000000000" w:firstRow="0" w:lastRow="0" w:firstColumn="0" w:lastColumn="0" w:oddVBand="0" w:evenVBand="0" w:oddHBand="0" w:evenHBand="0" w:firstRowFirstColumn="0" w:firstRowLastColumn="0" w:lastRowFirstColumn="0" w:lastRowLastColumn="0"/>
            </w:pPr>
            <w:r w:rsidRPr="004C33D1">
              <w:t xml:space="preserve">Construction costs for </w:t>
            </w:r>
            <w:r w:rsidRPr="004C33D1">
              <w:lastRenderedPageBreak/>
              <w:t>residential or commercial buildings</w:t>
            </w:r>
          </w:p>
        </w:tc>
        <w:tc>
          <w:tcPr>
            <w:tcW w:w="1975"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vAlign w:val="top"/>
          </w:tcPr>
          <w:p w:rsidR="0026729E" w:rsidRDefault="0026729E" w:rsidP="0026729E">
            <w:pPr>
              <w:pStyle w:val="TableText"/>
              <w:jc w:val="left"/>
              <w:cnfStyle w:val="000000000000" w:firstRow="0" w:lastRow="0" w:firstColumn="0" w:lastColumn="0" w:oddVBand="0" w:evenVBand="0" w:oddHBand="0" w:evenHBand="0" w:firstRowFirstColumn="0" w:firstRowLastColumn="0" w:lastRowFirstColumn="0" w:lastRowLastColumn="0"/>
            </w:pPr>
            <w:r w:rsidRPr="004C33D1">
              <w:lastRenderedPageBreak/>
              <w:t xml:space="preserve">This indicator would be a simple analysis of trends in costs of construction and would provide an indicator of changes </w:t>
            </w:r>
            <w:r>
              <w:t>i</w:t>
            </w:r>
            <w:r w:rsidRPr="004C33D1">
              <w:t xml:space="preserve">n one key </w:t>
            </w:r>
            <w:r w:rsidRPr="004C33D1">
              <w:lastRenderedPageBreak/>
              <w:t xml:space="preserve">input cost </w:t>
            </w:r>
            <w:r>
              <w:t>for</w:t>
            </w:r>
            <w:r w:rsidRPr="004C33D1">
              <w:t xml:space="preserve"> housing supply</w:t>
            </w:r>
            <w:r w:rsidR="006D6099">
              <w:t>.</w:t>
            </w:r>
          </w:p>
          <w:p w:rsidR="0026729E" w:rsidRPr="004C33D1" w:rsidRDefault="0026729E" w:rsidP="007C2FD1">
            <w:pPr>
              <w:pStyle w:val="TableText"/>
              <w:jc w:val="left"/>
              <w:cnfStyle w:val="000000000000" w:firstRow="0" w:lastRow="0" w:firstColumn="0" w:lastColumn="0" w:oddVBand="0" w:evenVBand="0" w:oddHBand="0" w:evenHBand="0" w:firstRowFirstColumn="0" w:firstRowLastColumn="0" w:lastRowFirstColumn="0" w:lastRowLastColumn="0"/>
            </w:pPr>
            <w:r>
              <w:t xml:space="preserve">Construction cost data </w:t>
            </w:r>
            <w:proofErr w:type="gramStart"/>
            <w:r w:rsidR="003238C9">
              <w:t>are</w:t>
            </w:r>
            <w:r>
              <w:t xml:space="preserve"> needed</w:t>
            </w:r>
            <w:proofErr w:type="gramEnd"/>
            <w:r>
              <w:t xml:space="preserve"> to estimate measures of sale prices relative to marginal construction costs.</w:t>
            </w:r>
          </w:p>
        </w:tc>
        <w:tc>
          <w:tcPr>
            <w:tcW w:w="525"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tcPr>
          <w:p w:rsidR="0026729E" w:rsidRPr="004C33D1" w:rsidRDefault="0026729E" w:rsidP="0026729E">
            <w:pPr>
              <w:pStyle w:val="TableText"/>
              <w:jc w:val="center"/>
              <w:cnfStyle w:val="000000000000" w:firstRow="0" w:lastRow="0" w:firstColumn="0" w:lastColumn="0" w:oddVBand="0" w:evenVBand="0" w:oddHBand="0" w:evenHBand="0" w:firstRowFirstColumn="0" w:firstRowLastColumn="0" w:lastRowFirstColumn="0" w:lastRowLastColumn="0"/>
            </w:pPr>
            <w:r w:rsidRPr="004C33D1">
              <w:lastRenderedPageBreak/>
              <w:t xml:space="preserve">Yes </w:t>
            </w:r>
            <w:r>
              <w:t>– this is useful for</w:t>
            </w:r>
            <w:r w:rsidRPr="004C33D1">
              <w:t xml:space="preserve"> </w:t>
            </w:r>
            <w:r w:rsidRPr="004C33D1">
              <w:lastRenderedPageBreak/>
              <w:t>understanding the market</w:t>
            </w:r>
          </w:p>
        </w:tc>
        <w:tc>
          <w:tcPr>
            <w:tcW w:w="498"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tcPr>
          <w:p w:rsidR="0026729E" w:rsidRPr="004C33D1" w:rsidRDefault="0026729E" w:rsidP="0026729E">
            <w:pPr>
              <w:pStyle w:val="TableText"/>
              <w:jc w:val="center"/>
              <w:cnfStyle w:val="000000000000" w:firstRow="0" w:lastRow="0" w:firstColumn="0" w:lastColumn="0" w:oddVBand="0" w:evenVBand="0" w:oddHBand="0" w:evenHBand="0" w:firstRowFirstColumn="0" w:firstRowLastColumn="0" w:lastRowFirstColumn="0" w:lastRowLastColumn="0"/>
            </w:pPr>
            <w:r w:rsidRPr="004C33D1">
              <w:lastRenderedPageBreak/>
              <w:t>Yes</w:t>
            </w:r>
          </w:p>
        </w:tc>
        <w:tc>
          <w:tcPr>
            <w:tcW w:w="457"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tcPr>
          <w:p w:rsidR="0026729E" w:rsidRPr="004C33D1" w:rsidRDefault="0026729E" w:rsidP="0026729E">
            <w:pPr>
              <w:pStyle w:val="TableText"/>
              <w:jc w:val="center"/>
              <w:cnfStyle w:val="000000000000" w:firstRow="0" w:lastRow="0" w:firstColumn="0" w:lastColumn="0" w:oddVBand="0" w:evenVBand="0" w:oddHBand="0" w:evenHBand="0" w:firstRowFirstColumn="0" w:firstRowLastColumn="0" w:lastRowFirstColumn="0" w:lastRowLastColumn="0"/>
            </w:pPr>
            <w:r w:rsidRPr="004C33D1">
              <w:t xml:space="preserve">Yes </w:t>
            </w:r>
            <w:r>
              <w:t xml:space="preserve">– data can be </w:t>
            </w:r>
            <w:r>
              <w:lastRenderedPageBreak/>
              <w:t>sourced from cost estimators</w:t>
            </w:r>
          </w:p>
        </w:tc>
        <w:tc>
          <w:tcPr>
            <w:tcW w:w="403" w:type="pct"/>
            <w:tcBorders>
              <w:top w:val="single" w:sz="8" w:space="0" w:color="A6A6A6" w:themeColor="background1" w:themeShade="A6"/>
              <w:left w:val="single" w:sz="8" w:space="0" w:color="A6A6A6" w:themeColor="background1" w:themeShade="A6"/>
              <w:bottom w:val="single" w:sz="8" w:space="0" w:color="A6A6A6" w:themeColor="background1" w:themeShade="A6"/>
            </w:tcBorders>
            <w:shd w:val="pct10" w:color="auto" w:fill="auto"/>
          </w:tcPr>
          <w:p w:rsidR="0026729E" w:rsidRPr="004C33D1" w:rsidRDefault="0026729E" w:rsidP="0026729E">
            <w:pPr>
              <w:pStyle w:val="TableText"/>
              <w:jc w:val="center"/>
              <w:cnfStyle w:val="000000000000" w:firstRow="0" w:lastRow="0" w:firstColumn="0" w:lastColumn="0" w:oddVBand="0" w:evenVBand="0" w:oddHBand="0" w:evenHBand="0" w:firstRowFirstColumn="0" w:firstRowLastColumn="0" w:lastRowFirstColumn="0" w:lastRowLastColumn="0"/>
            </w:pPr>
            <w:r w:rsidRPr="004C33D1">
              <w:lastRenderedPageBreak/>
              <w:t>Yes</w:t>
            </w:r>
          </w:p>
        </w:tc>
      </w:tr>
      <w:tr w:rsidR="0026729E" w:rsidRPr="004C33D1" w:rsidTr="00CB1327">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545" w:type="pct"/>
            <w:tcBorders>
              <w:right w:val="single" w:sz="8" w:space="0" w:color="A6A6A6" w:themeColor="background1" w:themeShade="A6"/>
            </w:tcBorders>
            <w:vAlign w:val="top"/>
          </w:tcPr>
          <w:p w:rsidR="0026729E" w:rsidRPr="004C33D1" w:rsidRDefault="0026729E" w:rsidP="0026729E">
            <w:pPr>
              <w:pStyle w:val="TableText"/>
            </w:pPr>
          </w:p>
        </w:tc>
        <w:tc>
          <w:tcPr>
            <w:tcW w:w="598"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vAlign w:val="top"/>
          </w:tcPr>
          <w:p w:rsidR="0026729E" w:rsidRPr="004C33D1" w:rsidRDefault="0026729E" w:rsidP="006277DC">
            <w:pPr>
              <w:pStyle w:val="TableText"/>
              <w:numPr>
                <w:ilvl w:val="0"/>
                <w:numId w:val="91"/>
              </w:numPr>
              <w:ind w:left="0" w:firstLine="6"/>
              <w:jc w:val="left"/>
              <w:cnfStyle w:val="000000000000" w:firstRow="0" w:lastRow="0" w:firstColumn="0" w:lastColumn="0" w:oddVBand="0" w:evenVBand="0" w:oddHBand="0" w:evenHBand="0" w:firstRowFirstColumn="0" w:firstRowLastColumn="0" w:lastRowFirstColumn="0" w:lastRowLastColumn="0"/>
            </w:pPr>
            <w:r w:rsidRPr="004C33D1">
              <w:t>Land development costs for new subdivisions</w:t>
            </w:r>
          </w:p>
        </w:tc>
        <w:tc>
          <w:tcPr>
            <w:tcW w:w="1975"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vAlign w:val="top"/>
          </w:tcPr>
          <w:p w:rsidR="0026729E" w:rsidRDefault="0026729E" w:rsidP="0026729E">
            <w:pPr>
              <w:pStyle w:val="TableText"/>
              <w:jc w:val="left"/>
              <w:cnfStyle w:val="000000000000" w:firstRow="0" w:lastRow="0" w:firstColumn="0" w:lastColumn="0" w:oddVBand="0" w:evenVBand="0" w:oddHBand="0" w:evenHBand="0" w:firstRowFirstColumn="0" w:firstRowLastColumn="0" w:lastRowFirstColumn="0" w:lastRowLastColumn="0"/>
            </w:pPr>
            <w:r w:rsidRPr="004C33D1">
              <w:t>This indicator would be a simple analysis of trends in</w:t>
            </w:r>
            <w:r>
              <w:t xml:space="preserve"> private</w:t>
            </w:r>
            <w:r w:rsidRPr="004C33D1">
              <w:t xml:space="preserve"> costs of </w:t>
            </w:r>
            <w:r>
              <w:t>land supply</w:t>
            </w:r>
            <w:r w:rsidRPr="004C33D1">
              <w:t xml:space="preserve"> and would provide an indicator of changes </w:t>
            </w:r>
            <w:r>
              <w:t>i</w:t>
            </w:r>
            <w:r w:rsidRPr="004C33D1">
              <w:t>n one key input cost</w:t>
            </w:r>
            <w:r>
              <w:t xml:space="preserve"> for</w:t>
            </w:r>
            <w:r w:rsidRPr="004C33D1">
              <w:t xml:space="preserve"> housing supply</w:t>
            </w:r>
            <w:r>
              <w:t>.</w:t>
            </w:r>
          </w:p>
          <w:p w:rsidR="0026729E" w:rsidRPr="004C33D1" w:rsidRDefault="0026729E" w:rsidP="007C2FD1">
            <w:pPr>
              <w:pStyle w:val="TableText"/>
              <w:jc w:val="left"/>
              <w:cnfStyle w:val="000000000000" w:firstRow="0" w:lastRow="0" w:firstColumn="0" w:lastColumn="0" w:oddVBand="0" w:evenVBand="0" w:oddHBand="0" w:evenHBand="0" w:firstRowFirstColumn="0" w:firstRowLastColumn="0" w:lastRowFirstColumn="0" w:lastRowLastColumn="0"/>
            </w:pPr>
            <w:r>
              <w:t xml:space="preserve">Land development cost data </w:t>
            </w:r>
            <w:proofErr w:type="gramStart"/>
            <w:r w:rsidR="003238C9">
              <w:t>are</w:t>
            </w:r>
            <w:r>
              <w:t xml:space="preserve"> needed</w:t>
            </w:r>
            <w:proofErr w:type="gramEnd"/>
            <w:r>
              <w:t xml:space="preserve"> to estimate the “efficient” level of price discontinuities at the urban fringe.</w:t>
            </w:r>
          </w:p>
        </w:tc>
        <w:tc>
          <w:tcPr>
            <w:tcW w:w="525"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tcPr>
          <w:p w:rsidR="0026729E" w:rsidRPr="004C33D1" w:rsidRDefault="0026729E" w:rsidP="0026729E">
            <w:pPr>
              <w:pStyle w:val="TableText"/>
              <w:jc w:val="center"/>
              <w:cnfStyle w:val="000000000000" w:firstRow="0" w:lastRow="0" w:firstColumn="0" w:lastColumn="0" w:oddVBand="0" w:evenVBand="0" w:oddHBand="0" w:evenHBand="0" w:firstRowFirstColumn="0" w:firstRowLastColumn="0" w:lastRowFirstColumn="0" w:lastRowLastColumn="0"/>
            </w:pPr>
            <w:r w:rsidRPr="004C33D1">
              <w:t xml:space="preserve">Yes </w:t>
            </w:r>
            <w:r>
              <w:t>– this is useful for</w:t>
            </w:r>
            <w:r w:rsidRPr="004C33D1">
              <w:t xml:space="preserve"> understanding the market</w:t>
            </w:r>
          </w:p>
        </w:tc>
        <w:tc>
          <w:tcPr>
            <w:tcW w:w="498"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tcPr>
          <w:p w:rsidR="0026729E" w:rsidRPr="004C33D1" w:rsidRDefault="0026729E" w:rsidP="0026729E">
            <w:pPr>
              <w:pStyle w:val="TableText"/>
              <w:jc w:val="center"/>
              <w:cnfStyle w:val="000000000000" w:firstRow="0" w:lastRow="0" w:firstColumn="0" w:lastColumn="0" w:oddVBand="0" w:evenVBand="0" w:oddHBand="0" w:evenHBand="0" w:firstRowFirstColumn="0" w:firstRowLastColumn="0" w:lastRowFirstColumn="0" w:lastRowLastColumn="0"/>
            </w:pPr>
            <w:r w:rsidRPr="004C33D1">
              <w:t>Maybe</w:t>
            </w:r>
          </w:p>
        </w:tc>
        <w:tc>
          <w:tcPr>
            <w:tcW w:w="457"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tcPr>
          <w:p w:rsidR="0026729E" w:rsidRPr="004C33D1" w:rsidRDefault="0026729E" w:rsidP="0026729E">
            <w:pPr>
              <w:pStyle w:val="TableText"/>
              <w:jc w:val="center"/>
              <w:cnfStyle w:val="000000000000" w:firstRow="0" w:lastRow="0" w:firstColumn="0" w:lastColumn="0" w:oddVBand="0" w:evenVBand="0" w:oddHBand="0" w:evenHBand="0" w:firstRowFirstColumn="0" w:firstRowLastColumn="0" w:lastRowFirstColumn="0" w:lastRowLastColumn="0"/>
            </w:pPr>
            <w:r w:rsidRPr="004C33D1">
              <w:t>Yes</w:t>
            </w:r>
            <w:r>
              <w:t>– data can be sourced from cost estimators</w:t>
            </w:r>
          </w:p>
        </w:tc>
        <w:tc>
          <w:tcPr>
            <w:tcW w:w="403" w:type="pct"/>
            <w:tcBorders>
              <w:top w:val="single" w:sz="8" w:space="0" w:color="A6A6A6" w:themeColor="background1" w:themeShade="A6"/>
              <w:left w:val="single" w:sz="8" w:space="0" w:color="A6A6A6" w:themeColor="background1" w:themeShade="A6"/>
              <w:bottom w:val="single" w:sz="8" w:space="0" w:color="A6A6A6" w:themeColor="background1" w:themeShade="A6"/>
            </w:tcBorders>
            <w:shd w:val="pct10" w:color="auto" w:fill="auto"/>
          </w:tcPr>
          <w:p w:rsidR="0026729E" w:rsidRPr="004C33D1" w:rsidRDefault="0026729E" w:rsidP="0026729E">
            <w:pPr>
              <w:pStyle w:val="TableText"/>
              <w:jc w:val="center"/>
              <w:cnfStyle w:val="000000000000" w:firstRow="0" w:lastRow="0" w:firstColumn="0" w:lastColumn="0" w:oddVBand="0" w:evenVBand="0" w:oddHBand="0" w:evenHBand="0" w:firstRowFirstColumn="0" w:firstRowLastColumn="0" w:lastRowFirstColumn="0" w:lastRowLastColumn="0"/>
            </w:pPr>
            <w:r w:rsidRPr="004C33D1">
              <w:t>Yes</w:t>
            </w:r>
          </w:p>
        </w:tc>
      </w:tr>
      <w:tr w:rsidR="0026729E" w:rsidRPr="004C33D1" w:rsidTr="00CB1327">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545" w:type="pct"/>
            <w:tcBorders>
              <w:bottom w:val="single" w:sz="12" w:space="0" w:color="A6A6A6" w:themeColor="background1" w:themeShade="A6"/>
              <w:right w:val="single" w:sz="8" w:space="0" w:color="A6A6A6" w:themeColor="background1" w:themeShade="A6"/>
            </w:tcBorders>
            <w:vAlign w:val="top"/>
          </w:tcPr>
          <w:p w:rsidR="0026729E" w:rsidRPr="004C33D1" w:rsidRDefault="0026729E" w:rsidP="0026729E">
            <w:pPr>
              <w:pStyle w:val="TableText"/>
            </w:pPr>
          </w:p>
        </w:tc>
        <w:tc>
          <w:tcPr>
            <w:tcW w:w="598"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vAlign w:val="top"/>
          </w:tcPr>
          <w:p w:rsidR="0026729E" w:rsidRPr="004C33D1" w:rsidRDefault="0026729E" w:rsidP="006277DC">
            <w:pPr>
              <w:pStyle w:val="TableText"/>
              <w:numPr>
                <w:ilvl w:val="0"/>
                <w:numId w:val="91"/>
              </w:numPr>
              <w:ind w:left="0" w:firstLine="6"/>
              <w:jc w:val="left"/>
              <w:cnfStyle w:val="000000000000" w:firstRow="0" w:lastRow="0" w:firstColumn="0" w:lastColumn="0" w:oddVBand="0" w:evenVBand="0" w:oddHBand="0" w:evenHBand="0" w:firstRowFirstColumn="0" w:firstRowLastColumn="0" w:lastRowFirstColumn="0" w:lastRowLastColumn="0"/>
            </w:pPr>
            <w:r w:rsidRPr="004C33D1">
              <w:t>Public infrastructure costs for new dwellings</w:t>
            </w:r>
          </w:p>
        </w:tc>
        <w:tc>
          <w:tcPr>
            <w:tcW w:w="1975"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vAlign w:val="top"/>
          </w:tcPr>
          <w:p w:rsidR="0026729E" w:rsidRDefault="0026729E" w:rsidP="0026729E">
            <w:pPr>
              <w:pStyle w:val="TableText"/>
              <w:jc w:val="left"/>
              <w:cnfStyle w:val="000000000000" w:firstRow="0" w:lastRow="0" w:firstColumn="0" w:lastColumn="0" w:oddVBand="0" w:evenVBand="0" w:oddHBand="0" w:evenHBand="0" w:firstRowFirstColumn="0" w:firstRowLastColumn="0" w:lastRowFirstColumn="0" w:lastRowLastColumn="0"/>
            </w:pPr>
            <w:r w:rsidRPr="004C33D1">
              <w:t>This indicator would be a simple analysis of trends in</w:t>
            </w:r>
            <w:r>
              <w:t xml:space="preserve"> public</w:t>
            </w:r>
            <w:r w:rsidRPr="004C33D1">
              <w:t xml:space="preserve"> costs </w:t>
            </w:r>
            <w:r>
              <w:t>to provide development capacity</w:t>
            </w:r>
            <w:r w:rsidRPr="004C33D1">
              <w:t xml:space="preserve"> and would provide an indicator of </w:t>
            </w:r>
            <w:r>
              <w:t>financial constraints facing councils.</w:t>
            </w:r>
          </w:p>
          <w:p w:rsidR="0026729E" w:rsidRPr="004C33D1" w:rsidRDefault="0026729E" w:rsidP="007C2FD1">
            <w:pPr>
              <w:pStyle w:val="TableText"/>
              <w:jc w:val="left"/>
              <w:cnfStyle w:val="000000000000" w:firstRow="0" w:lastRow="0" w:firstColumn="0" w:lastColumn="0" w:oddVBand="0" w:evenVBand="0" w:oddHBand="0" w:evenHBand="0" w:firstRowFirstColumn="0" w:firstRowLastColumn="0" w:lastRowFirstColumn="0" w:lastRowLastColumn="0"/>
            </w:pPr>
            <w:r>
              <w:t xml:space="preserve">Public infrastructure cost data </w:t>
            </w:r>
            <w:proofErr w:type="gramStart"/>
            <w:r w:rsidR="003238C9">
              <w:t>are</w:t>
            </w:r>
            <w:r>
              <w:t xml:space="preserve"> needed</w:t>
            </w:r>
            <w:proofErr w:type="gramEnd"/>
            <w:r>
              <w:t xml:space="preserve"> to estimate the “efficient” level of price discontinuities at the urban fringe</w:t>
            </w:r>
            <w:r w:rsidR="006D6099">
              <w:t>.</w:t>
            </w:r>
          </w:p>
        </w:tc>
        <w:tc>
          <w:tcPr>
            <w:tcW w:w="525"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tcPr>
          <w:p w:rsidR="0026729E" w:rsidRPr="004C33D1" w:rsidRDefault="0026729E" w:rsidP="0026729E">
            <w:pPr>
              <w:pStyle w:val="TableText"/>
              <w:jc w:val="center"/>
              <w:cnfStyle w:val="000000000000" w:firstRow="0" w:lastRow="0" w:firstColumn="0" w:lastColumn="0" w:oddVBand="0" w:evenVBand="0" w:oddHBand="0" w:evenHBand="0" w:firstRowFirstColumn="0" w:firstRowLastColumn="0" w:lastRowFirstColumn="0" w:lastRowLastColumn="0"/>
            </w:pPr>
            <w:r w:rsidRPr="004C33D1">
              <w:t>Maybe</w:t>
            </w:r>
          </w:p>
        </w:tc>
        <w:tc>
          <w:tcPr>
            <w:tcW w:w="498"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tcPr>
          <w:p w:rsidR="0026729E" w:rsidRPr="004C33D1" w:rsidRDefault="0026729E" w:rsidP="0026729E">
            <w:pPr>
              <w:pStyle w:val="TableText"/>
              <w:jc w:val="center"/>
              <w:cnfStyle w:val="000000000000" w:firstRow="0" w:lastRow="0" w:firstColumn="0" w:lastColumn="0" w:oddVBand="0" w:evenVBand="0" w:oddHBand="0" w:evenHBand="0" w:firstRowFirstColumn="0" w:firstRowLastColumn="0" w:lastRowFirstColumn="0" w:lastRowLastColumn="0"/>
            </w:pPr>
            <w:r w:rsidRPr="004C33D1">
              <w:t>Maybe</w:t>
            </w:r>
          </w:p>
        </w:tc>
        <w:tc>
          <w:tcPr>
            <w:tcW w:w="457"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tcPr>
          <w:p w:rsidR="0026729E" w:rsidRPr="004C33D1" w:rsidRDefault="0026729E" w:rsidP="0026729E">
            <w:pPr>
              <w:pStyle w:val="TableText"/>
              <w:jc w:val="center"/>
              <w:cnfStyle w:val="000000000000" w:firstRow="0" w:lastRow="0" w:firstColumn="0" w:lastColumn="0" w:oddVBand="0" w:evenVBand="0" w:oddHBand="0" w:evenHBand="0" w:firstRowFirstColumn="0" w:firstRowLastColumn="0" w:lastRowFirstColumn="0" w:lastRowLastColumn="0"/>
            </w:pPr>
            <w:r w:rsidRPr="004C33D1">
              <w:t>Yes</w:t>
            </w:r>
            <w:r>
              <w:t>– data can be sourced from agencies</w:t>
            </w:r>
          </w:p>
        </w:tc>
        <w:tc>
          <w:tcPr>
            <w:tcW w:w="403" w:type="pct"/>
            <w:tcBorders>
              <w:top w:val="single" w:sz="8" w:space="0" w:color="A6A6A6" w:themeColor="background1" w:themeShade="A6"/>
              <w:left w:val="single" w:sz="8" w:space="0" w:color="A6A6A6" w:themeColor="background1" w:themeShade="A6"/>
              <w:bottom w:val="single" w:sz="8" w:space="0" w:color="A6A6A6" w:themeColor="background1" w:themeShade="A6"/>
            </w:tcBorders>
            <w:shd w:val="pct10" w:color="auto" w:fill="auto"/>
          </w:tcPr>
          <w:p w:rsidR="0026729E" w:rsidRPr="004C33D1" w:rsidRDefault="0026729E" w:rsidP="0026729E">
            <w:pPr>
              <w:pStyle w:val="TableText"/>
              <w:jc w:val="center"/>
              <w:cnfStyle w:val="000000000000" w:firstRow="0" w:lastRow="0" w:firstColumn="0" w:lastColumn="0" w:oddVBand="0" w:evenVBand="0" w:oddHBand="0" w:evenHBand="0" w:firstRowFirstColumn="0" w:firstRowLastColumn="0" w:lastRowFirstColumn="0" w:lastRowLastColumn="0"/>
            </w:pPr>
            <w:r w:rsidRPr="004C33D1">
              <w:t>Yes</w:t>
            </w:r>
          </w:p>
        </w:tc>
      </w:tr>
      <w:tr w:rsidR="00E71B09" w:rsidRPr="004C33D1" w:rsidTr="00CB1327">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545" w:type="pct"/>
            <w:tcBorders>
              <w:top w:val="single" w:sz="12" w:space="0" w:color="A6A6A6" w:themeColor="background1" w:themeShade="A6"/>
              <w:right w:val="single" w:sz="8" w:space="0" w:color="A6A6A6" w:themeColor="background1" w:themeShade="A6"/>
            </w:tcBorders>
            <w:vAlign w:val="top"/>
          </w:tcPr>
          <w:p w:rsidR="00E71B09" w:rsidRPr="004C33D1" w:rsidRDefault="00E71B09" w:rsidP="00E71B09">
            <w:pPr>
              <w:pStyle w:val="TableText"/>
            </w:pPr>
            <w:r w:rsidRPr="004C33D1">
              <w:t>Affordability</w:t>
            </w:r>
          </w:p>
        </w:tc>
        <w:tc>
          <w:tcPr>
            <w:tcW w:w="598" w:type="pct"/>
            <w:tcBorders>
              <w:top w:val="single" w:sz="12"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vAlign w:val="top"/>
          </w:tcPr>
          <w:p w:rsidR="00E71B09" w:rsidRPr="004C33D1" w:rsidRDefault="00E71B09" w:rsidP="006277DC">
            <w:pPr>
              <w:pStyle w:val="TableText"/>
              <w:numPr>
                <w:ilvl w:val="0"/>
                <w:numId w:val="91"/>
              </w:numPr>
              <w:ind w:left="0" w:firstLine="6"/>
              <w:jc w:val="left"/>
              <w:cnfStyle w:val="000000000000" w:firstRow="0" w:lastRow="0" w:firstColumn="0" w:lastColumn="0" w:oddVBand="0" w:evenVBand="0" w:oddHBand="0" w:evenHBand="0" w:firstRowFirstColumn="0" w:firstRowLastColumn="0" w:lastRowFirstColumn="0" w:lastRowLastColumn="0"/>
            </w:pPr>
            <w:r w:rsidRPr="004C33D1">
              <w:t>Ho</w:t>
            </w:r>
            <w:r w:rsidR="00A87C87">
              <w:t>m</w:t>
            </w:r>
            <w:r w:rsidRPr="004C33D1">
              <w:t>e price to income: lower quartile ho</w:t>
            </w:r>
            <w:r w:rsidR="00A87C87">
              <w:t>m</w:t>
            </w:r>
            <w:r w:rsidRPr="004C33D1">
              <w:t>e price to median household income</w:t>
            </w:r>
          </w:p>
        </w:tc>
        <w:tc>
          <w:tcPr>
            <w:tcW w:w="1975" w:type="pct"/>
            <w:tcBorders>
              <w:top w:val="single" w:sz="12"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vAlign w:val="top"/>
          </w:tcPr>
          <w:p w:rsidR="00E71B09" w:rsidRPr="004C33D1" w:rsidRDefault="00E71B09" w:rsidP="007C2FD1">
            <w:pPr>
              <w:pStyle w:val="TableText"/>
              <w:jc w:val="left"/>
              <w:cnfStyle w:val="000000000000" w:firstRow="0" w:lastRow="0" w:firstColumn="0" w:lastColumn="0" w:oddVBand="0" w:evenVBand="0" w:oddHBand="0" w:evenHBand="0" w:firstRowFirstColumn="0" w:firstRowLastColumn="0" w:lastRowFirstColumn="0" w:lastRowLastColumn="0"/>
            </w:pPr>
            <w:r w:rsidRPr="004C33D1">
              <w:t>An indicator of housing affordability that is particularly relevant for first homebuyers or would-be homeowners. It does not take account of costs of ownership that will differ with equity in a ho</w:t>
            </w:r>
            <w:r w:rsidR="00A87C87">
              <w:t>m</w:t>
            </w:r>
            <w:r w:rsidRPr="004C33D1">
              <w:t>e and mortgage interest rates.</w:t>
            </w:r>
          </w:p>
        </w:tc>
        <w:tc>
          <w:tcPr>
            <w:tcW w:w="525" w:type="pct"/>
            <w:tcBorders>
              <w:top w:val="single" w:sz="12"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tcPr>
          <w:p w:rsidR="00E71B09" w:rsidRPr="004C33D1" w:rsidRDefault="00E71B09"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Yes</w:t>
            </w:r>
          </w:p>
        </w:tc>
        <w:tc>
          <w:tcPr>
            <w:tcW w:w="498" w:type="pct"/>
            <w:tcBorders>
              <w:top w:val="single" w:sz="12"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tcPr>
          <w:p w:rsidR="00E71B09" w:rsidRPr="004C33D1" w:rsidRDefault="00E71B09"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Yes (although it has clear limitations)</w:t>
            </w:r>
          </w:p>
        </w:tc>
        <w:tc>
          <w:tcPr>
            <w:tcW w:w="457" w:type="pct"/>
            <w:tcBorders>
              <w:top w:val="single" w:sz="12"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tcPr>
          <w:p w:rsidR="00E71B09" w:rsidRPr="004C33D1" w:rsidRDefault="00E71B09"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Yes</w:t>
            </w:r>
          </w:p>
          <w:p w:rsidR="00E71B09" w:rsidRPr="004C33D1" w:rsidRDefault="00E13091" w:rsidP="00E71B09">
            <w:pPr>
              <w:pStyle w:val="TableText"/>
              <w:jc w:val="center"/>
              <w:cnfStyle w:val="000000000000" w:firstRow="0" w:lastRow="0" w:firstColumn="0" w:lastColumn="0" w:oddVBand="0" w:evenVBand="0" w:oddHBand="0" w:evenHBand="0" w:firstRowFirstColumn="0" w:firstRowLastColumn="0" w:lastRowFirstColumn="0" w:lastRowLastColumn="0"/>
            </w:pPr>
            <w:r>
              <w:t>(HAM)</w:t>
            </w:r>
          </w:p>
        </w:tc>
        <w:tc>
          <w:tcPr>
            <w:tcW w:w="403" w:type="pct"/>
            <w:tcBorders>
              <w:top w:val="single" w:sz="12" w:space="0" w:color="A6A6A6" w:themeColor="background1" w:themeShade="A6"/>
              <w:left w:val="single" w:sz="8" w:space="0" w:color="A6A6A6" w:themeColor="background1" w:themeShade="A6"/>
              <w:bottom w:val="single" w:sz="8" w:space="0" w:color="A6A6A6" w:themeColor="background1" w:themeShade="A6"/>
            </w:tcBorders>
            <w:shd w:val="pct10" w:color="auto" w:fill="auto"/>
          </w:tcPr>
          <w:p w:rsidR="00E71B09" w:rsidRPr="004C33D1" w:rsidRDefault="00E71B09"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Yes</w:t>
            </w:r>
          </w:p>
        </w:tc>
      </w:tr>
      <w:tr w:rsidR="00E71B09" w:rsidRPr="004C33D1" w:rsidTr="00CB1327">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545" w:type="pct"/>
            <w:tcBorders>
              <w:right w:val="single" w:sz="8" w:space="0" w:color="A6A6A6" w:themeColor="background1" w:themeShade="A6"/>
            </w:tcBorders>
            <w:vAlign w:val="top"/>
          </w:tcPr>
          <w:p w:rsidR="00E71B09" w:rsidRPr="004C33D1" w:rsidRDefault="00E71B09" w:rsidP="00E71B09">
            <w:pPr>
              <w:pStyle w:val="TableText"/>
            </w:pPr>
          </w:p>
        </w:tc>
        <w:tc>
          <w:tcPr>
            <w:tcW w:w="598"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vAlign w:val="top"/>
          </w:tcPr>
          <w:p w:rsidR="00E71B09" w:rsidRPr="004C33D1" w:rsidRDefault="00E71B09" w:rsidP="006277DC">
            <w:pPr>
              <w:pStyle w:val="TableText"/>
              <w:numPr>
                <w:ilvl w:val="0"/>
                <w:numId w:val="91"/>
              </w:numPr>
              <w:ind w:left="0" w:firstLine="6"/>
              <w:jc w:val="left"/>
              <w:cnfStyle w:val="000000000000" w:firstRow="0" w:lastRow="0" w:firstColumn="0" w:lastColumn="0" w:oddVBand="0" w:evenVBand="0" w:oddHBand="0" w:evenHBand="0" w:firstRowFirstColumn="0" w:firstRowLastColumn="0" w:lastRowFirstColumn="0" w:lastRowLastColumn="0"/>
            </w:pPr>
            <w:r w:rsidRPr="004C33D1">
              <w:t>Mortgage repayments to income ratio</w:t>
            </w:r>
          </w:p>
        </w:tc>
        <w:tc>
          <w:tcPr>
            <w:tcW w:w="1975"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vAlign w:val="top"/>
          </w:tcPr>
          <w:p w:rsidR="00E71B09" w:rsidRPr="004C33D1" w:rsidRDefault="00E71B09" w:rsidP="007C2FD1">
            <w:pPr>
              <w:pStyle w:val="TableText"/>
              <w:jc w:val="left"/>
              <w:cnfStyle w:val="000000000000" w:firstRow="0" w:lastRow="0" w:firstColumn="0" w:lastColumn="0" w:oddVBand="0" w:evenVBand="0" w:oddHBand="0" w:evenHBand="0" w:firstRowFirstColumn="0" w:firstRowLastColumn="0" w:lastRowFirstColumn="0" w:lastRowLastColumn="0"/>
            </w:pPr>
            <w:r w:rsidRPr="004C33D1">
              <w:t xml:space="preserve">Similar to price to income ratio yet controls for interest rates – an important determinant of affordability for homeowners. For </w:t>
            </w:r>
            <w:proofErr w:type="gramStart"/>
            <w:r w:rsidRPr="004C33D1">
              <w:t>simplicity</w:t>
            </w:r>
            <w:proofErr w:type="gramEnd"/>
            <w:r w:rsidRPr="004C33D1">
              <w:t xml:space="preserve"> we assume a 100% mortgage.</w:t>
            </w:r>
          </w:p>
        </w:tc>
        <w:tc>
          <w:tcPr>
            <w:tcW w:w="525"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tcPr>
          <w:p w:rsidR="00E71B09" w:rsidRPr="004C33D1" w:rsidRDefault="00E71B09"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Yes</w:t>
            </w:r>
          </w:p>
        </w:tc>
        <w:tc>
          <w:tcPr>
            <w:tcW w:w="498"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tcPr>
          <w:p w:rsidR="00E71B09" w:rsidRPr="004C33D1" w:rsidRDefault="00E71B09"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Yes (</w:t>
            </w:r>
            <w:r w:rsidR="00CB1327">
              <w:t>requires</w:t>
            </w:r>
            <w:r w:rsidRPr="004C33D1">
              <w:t xml:space="preserve"> assumptions about equity)</w:t>
            </w:r>
          </w:p>
        </w:tc>
        <w:tc>
          <w:tcPr>
            <w:tcW w:w="457"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tcPr>
          <w:p w:rsidR="00E71B09" w:rsidRDefault="00E71B09"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Yes</w:t>
            </w:r>
          </w:p>
          <w:p w:rsidR="00E13091" w:rsidRPr="004C33D1" w:rsidRDefault="00E13091" w:rsidP="00E71B09">
            <w:pPr>
              <w:pStyle w:val="TableText"/>
              <w:jc w:val="center"/>
              <w:cnfStyle w:val="000000000000" w:firstRow="0" w:lastRow="0" w:firstColumn="0" w:lastColumn="0" w:oddVBand="0" w:evenVBand="0" w:oddHBand="0" w:evenHBand="0" w:firstRowFirstColumn="0" w:firstRowLastColumn="0" w:lastRowFirstColumn="0" w:lastRowLastColumn="0"/>
            </w:pPr>
            <w:r>
              <w:t>(HAM)</w:t>
            </w:r>
          </w:p>
        </w:tc>
        <w:tc>
          <w:tcPr>
            <w:tcW w:w="403" w:type="pct"/>
            <w:tcBorders>
              <w:top w:val="single" w:sz="8" w:space="0" w:color="A6A6A6" w:themeColor="background1" w:themeShade="A6"/>
              <w:left w:val="single" w:sz="8" w:space="0" w:color="A6A6A6" w:themeColor="background1" w:themeShade="A6"/>
              <w:bottom w:val="single" w:sz="8" w:space="0" w:color="A6A6A6" w:themeColor="background1" w:themeShade="A6"/>
            </w:tcBorders>
            <w:shd w:val="pct10" w:color="auto" w:fill="auto"/>
          </w:tcPr>
          <w:p w:rsidR="00E71B09" w:rsidRPr="004C33D1" w:rsidRDefault="00E71B09"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Yes</w:t>
            </w:r>
          </w:p>
        </w:tc>
      </w:tr>
      <w:tr w:rsidR="00E71B09" w:rsidRPr="004C33D1" w:rsidTr="00CB1327">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545" w:type="pct"/>
            <w:tcBorders>
              <w:right w:val="single" w:sz="8" w:space="0" w:color="A6A6A6" w:themeColor="background1" w:themeShade="A6"/>
            </w:tcBorders>
            <w:vAlign w:val="top"/>
          </w:tcPr>
          <w:p w:rsidR="00E71B09" w:rsidRPr="004C33D1" w:rsidRDefault="00E71B09" w:rsidP="00E71B09">
            <w:pPr>
              <w:pStyle w:val="TableText"/>
            </w:pPr>
          </w:p>
        </w:tc>
        <w:tc>
          <w:tcPr>
            <w:tcW w:w="598"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vAlign w:val="top"/>
          </w:tcPr>
          <w:p w:rsidR="00E71B09" w:rsidRPr="004C33D1" w:rsidRDefault="00E71B09" w:rsidP="006277DC">
            <w:pPr>
              <w:pStyle w:val="TableText"/>
              <w:numPr>
                <w:ilvl w:val="0"/>
                <w:numId w:val="91"/>
              </w:numPr>
              <w:ind w:left="0" w:firstLine="6"/>
              <w:jc w:val="left"/>
              <w:cnfStyle w:val="000000000000" w:firstRow="0" w:lastRow="0" w:firstColumn="0" w:lastColumn="0" w:oddVBand="0" w:evenVBand="0" w:oddHBand="0" w:evenHBand="0" w:firstRowFirstColumn="0" w:firstRowLastColumn="0" w:lastRowFirstColumn="0" w:lastRowLastColumn="0"/>
            </w:pPr>
            <w:r w:rsidRPr="004C33D1">
              <w:t>Rent payments to income</w:t>
            </w:r>
          </w:p>
        </w:tc>
        <w:tc>
          <w:tcPr>
            <w:tcW w:w="1975"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vAlign w:val="top"/>
          </w:tcPr>
          <w:p w:rsidR="00E71B09" w:rsidRPr="004C33D1" w:rsidRDefault="00E71B09" w:rsidP="007C2FD1">
            <w:pPr>
              <w:pStyle w:val="TableText"/>
              <w:jc w:val="left"/>
              <w:cnfStyle w:val="000000000000" w:firstRow="0" w:lastRow="0" w:firstColumn="0" w:lastColumn="0" w:oddVBand="0" w:evenVBand="0" w:oddHBand="0" w:evenHBand="0" w:firstRowFirstColumn="0" w:firstRowLastColumn="0" w:lastRowFirstColumn="0" w:lastRowLastColumn="0"/>
            </w:pPr>
            <w:proofErr w:type="gramStart"/>
            <w:r w:rsidRPr="004C33D1">
              <w:t>As for mortgage payment to income ratio, but for renters</w:t>
            </w:r>
            <w:r w:rsidR="006D6099">
              <w:t>.</w:t>
            </w:r>
            <w:proofErr w:type="gramEnd"/>
          </w:p>
        </w:tc>
        <w:tc>
          <w:tcPr>
            <w:tcW w:w="525"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tcPr>
          <w:p w:rsidR="00E71B09" w:rsidRPr="004C33D1" w:rsidRDefault="00E71B09"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Yes</w:t>
            </w:r>
          </w:p>
        </w:tc>
        <w:tc>
          <w:tcPr>
            <w:tcW w:w="498"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tcPr>
          <w:p w:rsidR="00E71B09" w:rsidRPr="004C33D1" w:rsidRDefault="00E71B09"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Yes</w:t>
            </w:r>
          </w:p>
        </w:tc>
        <w:tc>
          <w:tcPr>
            <w:tcW w:w="457"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pct10" w:color="auto" w:fill="auto"/>
          </w:tcPr>
          <w:p w:rsidR="00E71B09" w:rsidRDefault="00E71B09"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Yes</w:t>
            </w:r>
          </w:p>
          <w:p w:rsidR="00E13091" w:rsidRPr="004C33D1" w:rsidRDefault="00E13091" w:rsidP="00E71B09">
            <w:pPr>
              <w:pStyle w:val="TableText"/>
              <w:jc w:val="center"/>
              <w:cnfStyle w:val="000000000000" w:firstRow="0" w:lastRow="0" w:firstColumn="0" w:lastColumn="0" w:oddVBand="0" w:evenVBand="0" w:oddHBand="0" w:evenHBand="0" w:firstRowFirstColumn="0" w:firstRowLastColumn="0" w:lastRowFirstColumn="0" w:lastRowLastColumn="0"/>
            </w:pPr>
            <w:r>
              <w:t>(HAM)</w:t>
            </w:r>
          </w:p>
        </w:tc>
        <w:tc>
          <w:tcPr>
            <w:tcW w:w="403" w:type="pct"/>
            <w:tcBorders>
              <w:top w:val="single" w:sz="8" w:space="0" w:color="A6A6A6" w:themeColor="background1" w:themeShade="A6"/>
              <w:left w:val="single" w:sz="8" w:space="0" w:color="A6A6A6" w:themeColor="background1" w:themeShade="A6"/>
              <w:bottom w:val="single" w:sz="8" w:space="0" w:color="A6A6A6" w:themeColor="background1" w:themeShade="A6"/>
            </w:tcBorders>
            <w:shd w:val="pct10" w:color="auto" w:fill="auto"/>
          </w:tcPr>
          <w:p w:rsidR="00E71B09" w:rsidRPr="004C33D1" w:rsidRDefault="00E71B09"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Yes</w:t>
            </w:r>
          </w:p>
        </w:tc>
      </w:tr>
      <w:tr w:rsidR="0026729E" w:rsidRPr="004C33D1" w:rsidTr="00CB1327">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545" w:type="pct"/>
            <w:tcBorders>
              <w:right w:val="single" w:sz="8" w:space="0" w:color="A6A6A6" w:themeColor="background1" w:themeShade="A6"/>
            </w:tcBorders>
            <w:vAlign w:val="top"/>
          </w:tcPr>
          <w:p w:rsidR="0026729E" w:rsidRPr="004C33D1" w:rsidRDefault="0026729E" w:rsidP="0026729E">
            <w:pPr>
              <w:pStyle w:val="TableText"/>
            </w:pPr>
          </w:p>
        </w:tc>
        <w:tc>
          <w:tcPr>
            <w:tcW w:w="598"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26729E" w:rsidRPr="004C33D1" w:rsidRDefault="0026729E" w:rsidP="006277DC">
            <w:pPr>
              <w:pStyle w:val="TableText"/>
              <w:numPr>
                <w:ilvl w:val="0"/>
                <w:numId w:val="91"/>
              </w:numPr>
              <w:ind w:left="0" w:firstLine="6"/>
              <w:jc w:val="left"/>
              <w:cnfStyle w:val="000000000000" w:firstRow="0" w:lastRow="0" w:firstColumn="0" w:lastColumn="0" w:oddVBand="0" w:evenVBand="0" w:oddHBand="0" w:evenHBand="0" w:firstRowFirstColumn="0" w:firstRowLastColumn="0" w:lastRowFirstColumn="0" w:lastRowLastColumn="0"/>
            </w:pPr>
            <w:r w:rsidRPr="004C33D1">
              <w:t>Crowding index</w:t>
            </w:r>
          </w:p>
        </w:tc>
        <w:tc>
          <w:tcPr>
            <w:tcW w:w="1975"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26729E" w:rsidRPr="004C33D1" w:rsidRDefault="0026729E" w:rsidP="007C2FD1">
            <w:pPr>
              <w:pStyle w:val="TableText"/>
              <w:jc w:val="left"/>
              <w:cnfStyle w:val="000000000000" w:firstRow="0" w:lastRow="0" w:firstColumn="0" w:lastColumn="0" w:oddVBand="0" w:evenVBand="0" w:oddHBand="0" w:evenHBand="0" w:firstRowFirstColumn="0" w:firstRowLastColumn="0" w:lastRowFirstColumn="0" w:lastRowLastColumn="0"/>
            </w:pPr>
            <w:proofErr w:type="gramStart"/>
            <w:r w:rsidRPr="004C33D1">
              <w:t>An indicator of one outcome of unaffordability: crowding to reduce individual housing costs.</w:t>
            </w:r>
            <w:proofErr w:type="gramEnd"/>
            <w:r w:rsidRPr="004C33D1">
              <w:t xml:space="preserve"> Statistics NZ already use a variety of crowding indices.</w:t>
            </w:r>
          </w:p>
          <w:p w:rsidR="0026729E" w:rsidRPr="004C33D1" w:rsidRDefault="0026729E" w:rsidP="007C2FD1">
            <w:pPr>
              <w:pStyle w:val="TableText"/>
              <w:jc w:val="left"/>
              <w:cnfStyle w:val="000000000000" w:firstRow="0" w:lastRow="0" w:firstColumn="0" w:lastColumn="0" w:oddVBand="0" w:evenVBand="0" w:oddHBand="0" w:evenHBand="0" w:firstRowFirstColumn="0" w:firstRowLastColumn="0" w:lastRowFirstColumn="0" w:lastRowLastColumn="0"/>
            </w:pPr>
            <w:r w:rsidRPr="004C33D1">
              <w:t xml:space="preserve">This </w:t>
            </w:r>
            <w:proofErr w:type="gramStart"/>
            <w:r w:rsidRPr="004C33D1">
              <w:t>can be measured</w:t>
            </w:r>
            <w:proofErr w:type="gramEnd"/>
            <w:r w:rsidRPr="004C33D1">
              <w:t xml:space="preserve"> based on Census data but this is only updated periodically.</w:t>
            </w:r>
          </w:p>
        </w:tc>
        <w:tc>
          <w:tcPr>
            <w:tcW w:w="525"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Pr>
          <w:p w:rsidR="0026729E" w:rsidRPr="004C33D1" w:rsidRDefault="0026729E" w:rsidP="0026729E">
            <w:pPr>
              <w:pStyle w:val="TableText"/>
              <w:jc w:val="center"/>
              <w:cnfStyle w:val="000000000000" w:firstRow="0" w:lastRow="0" w:firstColumn="0" w:lastColumn="0" w:oddVBand="0" w:evenVBand="0" w:oddHBand="0" w:evenHBand="0" w:firstRowFirstColumn="0" w:firstRowLastColumn="0" w:lastRowFirstColumn="0" w:lastRowLastColumn="0"/>
            </w:pPr>
            <w:r w:rsidRPr="004C33D1">
              <w:t>Yes</w:t>
            </w:r>
          </w:p>
        </w:tc>
        <w:tc>
          <w:tcPr>
            <w:tcW w:w="498"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Pr>
          <w:p w:rsidR="0026729E" w:rsidRPr="004C33D1" w:rsidRDefault="0026729E" w:rsidP="0026729E">
            <w:pPr>
              <w:pStyle w:val="TableText"/>
              <w:jc w:val="center"/>
              <w:cnfStyle w:val="000000000000" w:firstRow="0" w:lastRow="0" w:firstColumn="0" w:lastColumn="0" w:oddVBand="0" w:evenVBand="0" w:oddHBand="0" w:evenHBand="0" w:firstRowFirstColumn="0" w:firstRowLastColumn="0" w:lastRowFirstColumn="0" w:lastRowLastColumn="0"/>
            </w:pPr>
            <w:r w:rsidRPr="004C33D1">
              <w:t>Yes</w:t>
            </w:r>
          </w:p>
        </w:tc>
        <w:tc>
          <w:tcPr>
            <w:tcW w:w="457"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Pr>
          <w:p w:rsidR="0026729E" w:rsidRPr="004C33D1" w:rsidRDefault="00E13091" w:rsidP="0026729E">
            <w:pPr>
              <w:pStyle w:val="TableText"/>
              <w:jc w:val="center"/>
              <w:cnfStyle w:val="000000000000" w:firstRow="0" w:lastRow="0" w:firstColumn="0" w:lastColumn="0" w:oddVBand="0" w:evenVBand="0" w:oddHBand="0" w:evenHBand="0" w:firstRowFirstColumn="0" w:firstRowLastColumn="0" w:lastRowFirstColumn="0" w:lastRowLastColumn="0"/>
            </w:pPr>
            <w:r>
              <w:t>Infrequently</w:t>
            </w:r>
          </w:p>
        </w:tc>
        <w:tc>
          <w:tcPr>
            <w:tcW w:w="403" w:type="pct"/>
            <w:tcBorders>
              <w:top w:val="single" w:sz="8" w:space="0" w:color="A6A6A6" w:themeColor="background1" w:themeShade="A6"/>
              <w:left w:val="single" w:sz="8" w:space="0" w:color="A6A6A6" w:themeColor="background1" w:themeShade="A6"/>
              <w:bottom w:val="single" w:sz="8" w:space="0" w:color="A6A6A6" w:themeColor="background1" w:themeShade="A6"/>
            </w:tcBorders>
            <w:shd w:val="clear" w:color="auto" w:fill="auto"/>
          </w:tcPr>
          <w:p w:rsidR="0026729E" w:rsidRPr="004C33D1" w:rsidRDefault="0026729E" w:rsidP="0026729E">
            <w:pPr>
              <w:pStyle w:val="TableText"/>
              <w:jc w:val="center"/>
              <w:cnfStyle w:val="000000000000" w:firstRow="0" w:lastRow="0" w:firstColumn="0" w:lastColumn="0" w:oddVBand="0" w:evenVBand="0" w:oddHBand="0" w:evenHBand="0" w:firstRowFirstColumn="0" w:firstRowLastColumn="0" w:lastRowFirstColumn="0" w:lastRowLastColumn="0"/>
            </w:pPr>
            <w:r>
              <w:t>Only from census</w:t>
            </w:r>
          </w:p>
        </w:tc>
      </w:tr>
      <w:tr w:rsidR="0026729E" w:rsidRPr="004C33D1" w:rsidTr="00CB1327">
        <w:tblPrEx>
          <w:tblCellMar>
            <w:top w:w="0" w:type="dxa"/>
            <w:bottom w:w="0"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545" w:type="pct"/>
            <w:tcBorders>
              <w:right w:val="single" w:sz="8" w:space="0" w:color="A6A6A6" w:themeColor="background1" w:themeShade="A6"/>
            </w:tcBorders>
            <w:vAlign w:val="top"/>
          </w:tcPr>
          <w:p w:rsidR="0026729E" w:rsidRPr="004C33D1" w:rsidRDefault="0026729E" w:rsidP="0026729E">
            <w:pPr>
              <w:pStyle w:val="TableText"/>
            </w:pPr>
          </w:p>
        </w:tc>
        <w:tc>
          <w:tcPr>
            <w:tcW w:w="598" w:type="pct"/>
            <w:tcBorders>
              <w:top w:val="single" w:sz="8" w:space="0" w:color="A6A6A6" w:themeColor="background1" w:themeShade="A6"/>
              <w:left w:val="single" w:sz="8" w:space="0" w:color="A6A6A6" w:themeColor="background1" w:themeShade="A6"/>
              <w:right w:val="single" w:sz="8" w:space="0" w:color="A6A6A6" w:themeColor="background1" w:themeShade="A6"/>
            </w:tcBorders>
            <w:shd w:val="clear" w:color="auto" w:fill="auto"/>
            <w:vAlign w:val="top"/>
          </w:tcPr>
          <w:p w:rsidR="0026729E" w:rsidRPr="004C33D1" w:rsidRDefault="0026729E" w:rsidP="006277DC">
            <w:pPr>
              <w:pStyle w:val="TableText"/>
              <w:numPr>
                <w:ilvl w:val="0"/>
                <w:numId w:val="91"/>
              </w:numPr>
              <w:ind w:left="0" w:firstLine="6"/>
              <w:jc w:val="left"/>
              <w:cnfStyle w:val="010000000000" w:firstRow="0" w:lastRow="1" w:firstColumn="0" w:lastColumn="0" w:oddVBand="0" w:evenVBand="0" w:oddHBand="0" w:evenHBand="0" w:firstRowFirstColumn="0" w:firstRowLastColumn="0" w:lastRowFirstColumn="0" w:lastRowLastColumn="0"/>
            </w:pPr>
            <w:r w:rsidRPr="004C33D1">
              <w:t>Households in temporary accommodation</w:t>
            </w:r>
          </w:p>
        </w:tc>
        <w:tc>
          <w:tcPr>
            <w:tcW w:w="1975" w:type="pct"/>
            <w:tcBorders>
              <w:top w:val="single" w:sz="8" w:space="0" w:color="A6A6A6" w:themeColor="background1" w:themeShade="A6"/>
              <w:left w:val="single" w:sz="8" w:space="0" w:color="A6A6A6" w:themeColor="background1" w:themeShade="A6"/>
              <w:right w:val="single" w:sz="8" w:space="0" w:color="A6A6A6" w:themeColor="background1" w:themeShade="A6"/>
            </w:tcBorders>
            <w:shd w:val="clear" w:color="auto" w:fill="auto"/>
            <w:vAlign w:val="top"/>
          </w:tcPr>
          <w:p w:rsidR="0026729E" w:rsidRPr="004C33D1" w:rsidRDefault="0026729E" w:rsidP="00BA1443">
            <w:pPr>
              <w:pStyle w:val="TableText"/>
              <w:jc w:val="left"/>
              <w:cnfStyle w:val="010000000000" w:firstRow="0" w:lastRow="1" w:firstColumn="0" w:lastColumn="0" w:oddVBand="0" w:evenVBand="0" w:oddHBand="0" w:evenHBand="0" w:firstRowFirstColumn="0" w:firstRowLastColumn="0" w:lastRowFirstColumn="0" w:lastRowLastColumn="0"/>
            </w:pPr>
            <w:proofErr w:type="gramStart"/>
            <w:r w:rsidRPr="004C33D1">
              <w:t xml:space="preserve">Measures unmet housing need </w:t>
            </w:r>
            <w:r w:rsidR="00BA1443">
              <w:t>by</w:t>
            </w:r>
            <w:r w:rsidRPr="004C33D1">
              <w:t xml:space="preserve"> analysing distribution of households in temporary accommodation (motel accommodation and emergency accommodation</w:t>
            </w:r>
            <w:r w:rsidR="00BA1443">
              <w:t xml:space="preserve">) </w:t>
            </w:r>
            <w:r w:rsidRPr="004C33D1">
              <w:t>from census data).</w:t>
            </w:r>
            <w:proofErr w:type="gramEnd"/>
          </w:p>
        </w:tc>
        <w:tc>
          <w:tcPr>
            <w:tcW w:w="525" w:type="pct"/>
            <w:tcBorders>
              <w:top w:val="single" w:sz="8" w:space="0" w:color="A6A6A6" w:themeColor="background1" w:themeShade="A6"/>
              <w:left w:val="single" w:sz="8" w:space="0" w:color="A6A6A6" w:themeColor="background1" w:themeShade="A6"/>
              <w:right w:val="single" w:sz="8" w:space="0" w:color="A6A6A6" w:themeColor="background1" w:themeShade="A6"/>
            </w:tcBorders>
            <w:shd w:val="clear" w:color="auto" w:fill="auto"/>
          </w:tcPr>
          <w:p w:rsidR="0026729E" w:rsidRPr="004C33D1" w:rsidRDefault="0026729E" w:rsidP="00E13091">
            <w:pPr>
              <w:pStyle w:val="TableText"/>
              <w:jc w:val="center"/>
              <w:cnfStyle w:val="010000000000" w:firstRow="0" w:lastRow="1" w:firstColumn="0" w:lastColumn="0" w:oddVBand="0" w:evenVBand="0" w:oddHBand="0" w:evenHBand="0" w:firstRowFirstColumn="0" w:firstRowLastColumn="0" w:lastRowFirstColumn="0" w:lastRowLastColumn="0"/>
            </w:pPr>
            <w:r w:rsidRPr="004C33D1">
              <w:t>Yes</w:t>
            </w:r>
          </w:p>
        </w:tc>
        <w:tc>
          <w:tcPr>
            <w:tcW w:w="498" w:type="pct"/>
            <w:tcBorders>
              <w:top w:val="single" w:sz="8" w:space="0" w:color="A6A6A6" w:themeColor="background1" w:themeShade="A6"/>
              <w:left w:val="single" w:sz="8" w:space="0" w:color="A6A6A6" w:themeColor="background1" w:themeShade="A6"/>
              <w:right w:val="single" w:sz="8" w:space="0" w:color="A6A6A6" w:themeColor="background1" w:themeShade="A6"/>
            </w:tcBorders>
            <w:shd w:val="clear" w:color="auto" w:fill="auto"/>
          </w:tcPr>
          <w:p w:rsidR="0026729E" w:rsidRPr="004C33D1" w:rsidRDefault="0026729E" w:rsidP="00E13091">
            <w:pPr>
              <w:pStyle w:val="TableText"/>
              <w:jc w:val="center"/>
              <w:cnfStyle w:val="010000000000" w:firstRow="0" w:lastRow="1" w:firstColumn="0" w:lastColumn="0" w:oddVBand="0" w:evenVBand="0" w:oddHBand="0" w:evenHBand="0" w:firstRowFirstColumn="0" w:firstRowLastColumn="0" w:lastRowFirstColumn="0" w:lastRowLastColumn="0"/>
            </w:pPr>
            <w:r w:rsidRPr="004C33D1">
              <w:t>Yes</w:t>
            </w:r>
          </w:p>
        </w:tc>
        <w:tc>
          <w:tcPr>
            <w:tcW w:w="457" w:type="pct"/>
            <w:tcBorders>
              <w:top w:val="single" w:sz="8" w:space="0" w:color="A6A6A6" w:themeColor="background1" w:themeShade="A6"/>
              <w:left w:val="single" w:sz="8" w:space="0" w:color="A6A6A6" w:themeColor="background1" w:themeShade="A6"/>
              <w:right w:val="single" w:sz="8" w:space="0" w:color="A6A6A6" w:themeColor="background1" w:themeShade="A6"/>
            </w:tcBorders>
            <w:shd w:val="clear" w:color="auto" w:fill="auto"/>
          </w:tcPr>
          <w:p w:rsidR="0026729E" w:rsidRPr="004C33D1" w:rsidRDefault="00E13091" w:rsidP="00E13091">
            <w:pPr>
              <w:pStyle w:val="TableText"/>
              <w:jc w:val="center"/>
              <w:cnfStyle w:val="010000000000" w:firstRow="0" w:lastRow="1" w:firstColumn="0" w:lastColumn="0" w:oddVBand="0" w:evenVBand="0" w:oddHBand="0" w:evenHBand="0" w:firstRowFirstColumn="0" w:firstRowLastColumn="0" w:lastRowFirstColumn="0" w:lastRowLastColumn="0"/>
            </w:pPr>
            <w:r>
              <w:t>No</w:t>
            </w:r>
          </w:p>
        </w:tc>
        <w:tc>
          <w:tcPr>
            <w:tcW w:w="403" w:type="pct"/>
            <w:tcBorders>
              <w:top w:val="single" w:sz="8" w:space="0" w:color="A6A6A6" w:themeColor="background1" w:themeShade="A6"/>
              <w:left w:val="single" w:sz="8" w:space="0" w:color="A6A6A6" w:themeColor="background1" w:themeShade="A6"/>
            </w:tcBorders>
            <w:shd w:val="clear" w:color="auto" w:fill="auto"/>
          </w:tcPr>
          <w:p w:rsidR="0026729E" w:rsidRDefault="00E13091" w:rsidP="00E13091">
            <w:pPr>
              <w:pStyle w:val="TableText"/>
              <w:jc w:val="center"/>
              <w:cnfStyle w:val="010000000000" w:firstRow="0" w:lastRow="1" w:firstColumn="0" w:lastColumn="0" w:oddVBand="0" w:evenVBand="0" w:oddHBand="0" w:evenHBand="0" w:firstRowFirstColumn="0" w:firstRowLastColumn="0" w:lastRowFirstColumn="0" w:lastRowLastColumn="0"/>
            </w:pPr>
            <w:r>
              <w:t>No</w:t>
            </w:r>
          </w:p>
        </w:tc>
      </w:tr>
    </w:tbl>
    <w:p w:rsidR="00AE79D5" w:rsidRPr="004C33D1" w:rsidRDefault="00AE79D5" w:rsidP="009476C1">
      <w:pPr>
        <w:sectPr w:rsidR="00AE79D5" w:rsidRPr="004C33D1" w:rsidSect="007B712E">
          <w:pgSz w:w="16840" w:h="11907" w:orient="landscape" w:code="9"/>
          <w:pgMar w:top="1985" w:right="1678" w:bottom="1701" w:left="1418" w:header="720" w:footer="828" w:gutter="0"/>
          <w:cols w:space="720"/>
          <w:titlePg/>
          <w:docGrid w:linePitch="360"/>
        </w:sectPr>
      </w:pPr>
    </w:p>
    <w:p w:rsidR="00A86124" w:rsidRDefault="00217AA6" w:rsidP="006277DC">
      <w:pPr>
        <w:pStyle w:val="ListParagraph"/>
        <w:numPr>
          <w:ilvl w:val="0"/>
          <w:numId w:val="109"/>
        </w:numPr>
      </w:pPr>
      <w:proofErr w:type="gramStart"/>
      <w:r>
        <w:lastRenderedPageBreak/>
        <w:t>trends</w:t>
      </w:r>
      <w:proofErr w:type="gramEnd"/>
      <w:r>
        <w:t xml:space="preserve"> </w:t>
      </w:r>
      <w:r w:rsidR="00A86124">
        <w:t xml:space="preserve">in rents by property type, size and location, and changes in </w:t>
      </w:r>
      <w:proofErr w:type="spellStart"/>
      <w:r w:rsidR="00A86124">
        <w:t>rent:property</w:t>
      </w:r>
      <w:proofErr w:type="spellEnd"/>
      <w:r w:rsidR="00A86124">
        <w:t xml:space="preserve"> price ratios. These data </w:t>
      </w:r>
      <w:proofErr w:type="gramStart"/>
      <w:r w:rsidR="00A86124">
        <w:t>can be used</w:t>
      </w:r>
      <w:proofErr w:type="gramEnd"/>
      <w:r w:rsidR="00A86124">
        <w:t xml:space="preserve"> to identify rapidly increasing prices and differences between trends in purchase prices and rents as indicators of relative supply and demand.</w:t>
      </w:r>
    </w:p>
    <w:p w:rsidR="00A86124" w:rsidRPr="004C33D1" w:rsidRDefault="00A86124" w:rsidP="00A86124">
      <w:pPr>
        <w:pStyle w:val="Heading2"/>
      </w:pPr>
      <w:bookmarkStart w:id="224" w:name="_Toc462413654"/>
      <w:bookmarkStart w:id="225" w:name="_Toc462582210"/>
      <w:r w:rsidRPr="004C33D1">
        <w:t>Supply-Demand Indicators</w:t>
      </w:r>
      <w:bookmarkEnd w:id="224"/>
      <w:bookmarkEnd w:id="225"/>
    </w:p>
    <w:p w:rsidR="00A86124" w:rsidRPr="004C33D1" w:rsidRDefault="00A86124" w:rsidP="00A86124">
      <w:r w:rsidRPr="004C33D1">
        <w:t xml:space="preserve">The supply-demand indicators suggested are those that show the extent to which </w:t>
      </w:r>
      <w:r>
        <w:t>development</w:t>
      </w:r>
      <w:r w:rsidRPr="004C33D1">
        <w:t xml:space="preserve"> is keeping pace with demand from population growth</w:t>
      </w:r>
      <w:r>
        <w:t>, in addition to overall trends in prices</w:t>
      </w:r>
      <w:r w:rsidRPr="004C33D1">
        <w:t>. We note a number of issues:</w:t>
      </w:r>
    </w:p>
    <w:p w:rsidR="00A86124" w:rsidRPr="004C33D1" w:rsidRDefault="00A86124" w:rsidP="00A86124"/>
    <w:p w:rsidR="00A86124" w:rsidRDefault="00217AA6" w:rsidP="00A86124">
      <w:pPr>
        <w:pStyle w:val="ListParagraph"/>
        <w:numPr>
          <w:ilvl w:val="0"/>
          <w:numId w:val="56"/>
        </w:numPr>
      </w:pPr>
      <w:proofErr w:type="gramStart"/>
      <w:r w:rsidRPr="004C33D1">
        <w:t>the</w:t>
      </w:r>
      <w:proofErr w:type="gramEnd"/>
      <w:r w:rsidRPr="004C33D1">
        <w:t xml:space="preserve"> </w:t>
      </w:r>
      <w:r w:rsidR="00A86124" w:rsidRPr="004C33D1">
        <w:t>overall supply-demand balance differs with price</w:t>
      </w:r>
      <w:r w:rsidR="00A86124">
        <w:t xml:space="preserve"> in addition to population</w:t>
      </w:r>
      <w:r w:rsidR="00A86124" w:rsidRPr="004C33D1">
        <w:t>.</w:t>
      </w:r>
      <w:r w:rsidR="00A86124">
        <w:t xml:space="preserve"> Given the concern with affordability and competitive markets for development capacity, t</w:t>
      </w:r>
      <w:r w:rsidR="00A86124" w:rsidRPr="004C33D1">
        <w:t xml:space="preserve">he main interest is in defining the level of demand </w:t>
      </w:r>
      <w:r w:rsidR="00A86124">
        <w:t xml:space="preserve">at a </w:t>
      </w:r>
      <w:r w:rsidR="00A86124" w:rsidRPr="004C33D1">
        <w:t xml:space="preserve">price equal to the marginal social cost of supply, ie the price </w:t>
      </w:r>
      <w:proofErr w:type="gramStart"/>
      <w:r w:rsidR="00A86124" w:rsidRPr="004C33D1">
        <w:t>which</w:t>
      </w:r>
      <w:proofErr w:type="gramEnd"/>
      <w:r w:rsidR="00A86124" w:rsidRPr="004C33D1">
        <w:t xml:space="preserve"> would </w:t>
      </w:r>
      <w:r w:rsidR="00A86124">
        <w:t xml:space="preserve">result in an optimal level of supply and demand of </w:t>
      </w:r>
      <w:r w:rsidR="00E2063E">
        <w:t xml:space="preserve">land and </w:t>
      </w:r>
      <w:r w:rsidR="00A86124">
        <w:t xml:space="preserve">development </w:t>
      </w:r>
      <w:r w:rsidR="00E2063E">
        <w:t>opportunities</w:t>
      </w:r>
      <w:r w:rsidR="00A86124">
        <w:t xml:space="preserve">. </w:t>
      </w:r>
      <w:r w:rsidR="00A86124" w:rsidRPr="004C33D1">
        <w:t>This requires detailed analysis of that price and the elasticity of demand with respect to price;</w:t>
      </w:r>
      <w:r w:rsidR="00A86124">
        <w:t xml:space="preserve"> and</w:t>
      </w:r>
      <w:r w:rsidR="00A86124" w:rsidRPr="004C33D1">
        <w:br/>
      </w:r>
    </w:p>
    <w:p w:rsidR="00A86124" w:rsidRPr="004C33D1" w:rsidRDefault="00217AA6" w:rsidP="00A86124">
      <w:pPr>
        <w:pStyle w:val="ListParagraph"/>
        <w:numPr>
          <w:ilvl w:val="0"/>
          <w:numId w:val="56"/>
        </w:numPr>
      </w:pPr>
      <w:proofErr w:type="gramStart"/>
      <w:r w:rsidRPr="004C33D1">
        <w:t>indicators</w:t>
      </w:r>
      <w:proofErr w:type="gramEnd"/>
      <w:r w:rsidRPr="004C33D1">
        <w:t xml:space="preserve"> </w:t>
      </w:r>
      <w:r w:rsidR="00A86124" w:rsidRPr="004C33D1">
        <w:t>of the increase in demand with population growth ignore other factors that will increase demand, eg income which results in a demand for more floor space and changes in a</w:t>
      </w:r>
      <w:r w:rsidR="00A86124">
        <w:t>ge structure of the population.</w:t>
      </w:r>
    </w:p>
    <w:p w:rsidR="00A86124" w:rsidRDefault="00A86124" w:rsidP="00DE0D43"/>
    <w:p w:rsidR="00344C8E" w:rsidRDefault="00DE0D43" w:rsidP="00DE0D43">
      <w:r>
        <w:t xml:space="preserve">However, despite these limitations, </w:t>
      </w:r>
      <w:r w:rsidR="00CB6210">
        <w:t xml:space="preserve">the ratio of population growth to new consents, when combined with data on the size of new consents, can provide some information on whether levels of supply are improving or not. </w:t>
      </w:r>
    </w:p>
    <w:p w:rsidR="00CB6210" w:rsidRDefault="00CB6210" w:rsidP="00DE0D43"/>
    <w:p w:rsidR="00CB6210" w:rsidRPr="004C33D1" w:rsidRDefault="00CB6210" w:rsidP="00DE0D43">
      <w:r>
        <w:t xml:space="preserve">Inflation-adjusted property prices and rents data provide background information and a better understanding of emerging problems, especially where these data </w:t>
      </w:r>
      <w:proofErr w:type="gramStart"/>
      <w:r>
        <w:t>are compared</w:t>
      </w:r>
      <w:proofErr w:type="gramEnd"/>
      <w:r>
        <w:t xml:space="preserve"> between council areas.</w:t>
      </w:r>
    </w:p>
    <w:p w:rsidR="00344C8E" w:rsidRPr="004C33D1" w:rsidRDefault="00344C8E" w:rsidP="00220C7C">
      <w:pPr>
        <w:pStyle w:val="Heading2"/>
      </w:pPr>
      <w:bookmarkStart w:id="226" w:name="_Toc456367166"/>
      <w:bookmarkStart w:id="227" w:name="_Toc462413655"/>
      <w:bookmarkStart w:id="228" w:name="_Toc462582211"/>
      <w:r w:rsidRPr="004C33D1">
        <w:t>Competitiveness Indicators</w:t>
      </w:r>
      <w:bookmarkEnd w:id="226"/>
      <w:bookmarkEnd w:id="227"/>
      <w:bookmarkEnd w:id="228"/>
    </w:p>
    <w:p w:rsidR="00217AA6" w:rsidRDefault="00344C8E" w:rsidP="00344C8E">
      <w:r w:rsidRPr="004C33D1">
        <w:t xml:space="preserve">Market competition is the result of many factors, although our main interest is in the impacts of reductions in supply and of market concentration from small numbers of market participants. </w:t>
      </w:r>
    </w:p>
    <w:p w:rsidR="00217AA6" w:rsidRDefault="00217AA6" w:rsidP="00344C8E"/>
    <w:p w:rsidR="00E06FFE" w:rsidRPr="004C33D1" w:rsidRDefault="00E2063E" w:rsidP="00344C8E">
      <w:r>
        <w:t>T</w:t>
      </w:r>
      <w:r w:rsidR="00CB6210">
        <w:t xml:space="preserve">he HHI </w:t>
      </w:r>
      <w:r>
        <w:t xml:space="preserve">is </w:t>
      </w:r>
      <w:r w:rsidR="00CB6210">
        <w:t xml:space="preserve">a </w:t>
      </w:r>
      <w:r w:rsidR="00217AA6">
        <w:t>useful</w:t>
      </w:r>
      <w:r w:rsidR="00CB6210">
        <w:t xml:space="preserve"> indicator of market concentration</w:t>
      </w:r>
      <w:r w:rsidR="00E06FFE">
        <w:t xml:space="preserve">. </w:t>
      </w:r>
      <w:r>
        <w:t>It analyse</w:t>
      </w:r>
      <w:r w:rsidR="0066583C">
        <w:t>s</w:t>
      </w:r>
      <w:r>
        <w:t xml:space="preserve"> whether there is a concentrated market problem and </w:t>
      </w:r>
      <w:r w:rsidR="0066583C">
        <w:t>i</w:t>
      </w:r>
      <w:r>
        <w:t xml:space="preserve">s a means for communicating the size of the problem. </w:t>
      </w:r>
      <w:proofErr w:type="gramStart"/>
      <w:r>
        <w:t>It is widely understood by competition economists</w:t>
      </w:r>
      <w:r w:rsidR="0066583C">
        <w:t xml:space="preserve"> and w</w:t>
      </w:r>
      <w:r>
        <w:t>ould be a useful addition to the suite of indicators used by councils.</w:t>
      </w:r>
      <w:proofErr w:type="gramEnd"/>
    </w:p>
    <w:p w:rsidR="009F54E4" w:rsidRPr="004C33D1" w:rsidRDefault="009F54E4" w:rsidP="00220C7C">
      <w:pPr>
        <w:pStyle w:val="Heading2"/>
      </w:pPr>
      <w:bookmarkStart w:id="229" w:name="_Toc462413656"/>
      <w:bookmarkStart w:id="230" w:name="_Toc462582212"/>
      <w:r w:rsidRPr="004C33D1">
        <w:t>Indicators</w:t>
      </w:r>
      <w:r w:rsidR="00E06FFE">
        <w:t xml:space="preserve"> of Efficient Price</w:t>
      </w:r>
      <w:bookmarkEnd w:id="229"/>
      <w:bookmarkEnd w:id="230"/>
    </w:p>
    <w:p w:rsidR="00AD3848" w:rsidRDefault="00713DC4" w:rsidP="00713DC4">
      <w:r w:rsidRPr="004C33D1">
        <w:t xml:space="preserve">The </w:t>
      </w:r>
      <w:r>
        <w:t xml:space="preserve">efficient </w:t>
      </w:r>
      <w:r w:rsidRPr="004C33D1">
        <w:t>pric</w:t>
      </w:r>
      <w:r>
        <w:t>ing</w:t>
      </w:r>
      <w:r w:rsidRPr="004C33D1">
        <w:t xml:space="preserve"> indicators </w:t>
      </w:r>
      <w:r w:rsidR="00E06FFE">
        <w:t xml:space="preserve">are the most important indicators in identifying whether prices of land and development </w:t>
      </w:r>
      <w:r w:rsidR="00E2063E">
        <w:t>opportunities</w:t>
      </w:r>
      <w:r w:rsidR="00E06FFE">
        <w:t xml:space="preserve"> are higher than is optimal </w:t>
      </w:r>
      <w:r w:rsidR="00AD3848">
        <w:t>because</w:t>
      </w:r>
      <w:r w:rsidR="00E06FFE">
        <w:t xml:space="preserve"> of uncompetitive markets. They are the key </w:t>
      </w:r>
      <w:r w:rsidR="00AD3848">
        <w:t>indicators that</w:t>
      </w:r>
      <w:r w:rsidR="00E06FFE">
        <w:t xml:space="preserve"> wo</w:t>
      </w:r>
      <w:r w:rsidR="00AD3848">
        <w:t>uld trigger an analysis of whet</w:t>
      </w:r>
      <w:r w:rsidR="00E06FFE">
        <w:t>h</w:t>
      </w:r>
      <w:r w:rsidR="00AD3848">
        <w:t>e</w:t>
      </w:r>
      <w:r w:rsidR="00E06FFE">
        <w:t xml:space="preserve">r </w:t>
      </w:r>
      <w:r w:rsidR="00AD3848">
        <w:t>current zoning controls are a significant factor.</w:t>
      </w:r>
    </w:p>
    <w:p w:rsidR="00E06FFE" w:rsidRDefault="00E06FFE" w:rsidP="00713DC4">
      <w:r>
        <w:t xml:space="preserve"> </w:t>
      </w:r>
    </w:p>
    <w:p w:rsidR="00713DC4" w:rsidRPr="004C33D1" w:rsidRDefault="00AD3848" w:rsidP="00713DC4">
      <w:r>
        <w:lastRenderedPageBreak/>
        <w:t xml:space="preserve">The indicators </w:t>
      </w:r>
      <w:r w:rsidR="00713DC4" w:rsidRPr="004C33D1">
        <w:t xml:space="preserve">examined </w:t>
      </w:r>
      <w:r>
        <w:t xml:space="preserve">are </w:t>
      </w:r>
      <w:r w:rsidR="00713DC4" w:rsidRPr="004C33D1">
        <w:t xml:space="preserve">price </w:t>
      </w:r>
      <w:r>
        <w:t>differences</w:t>
      </w:r>
      <w:r w:rsidR="00713DC4" w:rsidRPr="004C33D1">
        <w:t xml:space="preserve"> </w:t>
      </w:r>
      <w:r>
        <w:t xml:space="preserve">between adjacent </w:t>
      </w:r>
      <w:r w:rsidR="00713DC4" w:rsidRPr="004C33D1">
        <w:t>zones</w:t>
      </w:r>
      <w:r w:rsidR="00713DC4">
        <w:t xml:space="preserve">, </w:t>
      </w:r>
      <w:r>
        <w:t xml:space="preserve">and differences between </w:t>
      </w:r>
      <w:r w:rsidR="00713DC4">
        <w:t xml:space="preserve">market prices </w:t>
      </w:r>
      <w:r>
        <w:t xml:space="preserve">and </w:t>
      </w:r>
      <w:r w:rsidR="00713DC4">
        <w:t>marginal costs</w:t>
      </w:r>
      <w:r>
        <w:t xml:space="preserve"> of development</w:t>
      </w:r>
      <w:r w:rsidR="00713DC4" w:rsidRPr="004C33D1">
        <w:t>. We noted a number of issues:</w:t>
      </w:r>
    </w:p>
    <w:p w:rsidR="00A763B0" w:rsidRPr="004C33D1" w:rsidRDefault="00A763B0" w:rsidP="009F54E4"/>
    <w:p w:rsidR="00585125" w:rsidRPr="004C33D1" w:rsidRDefault="00585125" w:rsidP="00411653">
      <w:pPr>
        <w:pStyle w:val="ListParagraph"/>
        <w:numPr>
          <w:ilvl w:val="0"/>
          <w:numId w:val="26"/>
        </w:numPr>
      </w:pPr>
      <w:r w:rsidRPr="004C33D1">
        <w:t xml:space="preserve">Price discontinuities </w:t>
      </w:r>
      <w:proofErr w:type="gramStart"/>
      <w:r w:rsidRPr="004C33D1">
        <w:t>are best observed</w:t>
      </w:r>
      <w:proofErr w:type="gramEnd"/>
      <w:r w:rsidRPr="004C33D1">
        <w:t xml:space="preserve"> at specific locations. However, the existence of a price discontinuity in a specific location does not mean that the market or regulatory failure is located there also. Rather, it </w:t>
      </w:r>
      <w:r w:rsidR="00E0389A" w:rsidRPr="004C33D1">
        <w:t>should be considered</w:t>
      </w:r>
      <w:r w:rsidRPr="004C33D1">
        <w:t xml:space="preserve"> as evidence of a </w:t>
      </w:r>
      <w:proofErr w:type="gramStart"/>
      <w:r w:rsidRPr="004C33D1">
        <w:t>city-wide</w:t>
      </w:r>
      <w:proofErr w:type="gramEnd"/>
      <w:r w:rsidRPr="004C33D1">
        <w:t xml:space="preserve"> </w:t>
      </w:r>
      <w:r w:rsidR="00E0389A" w:rsidRPr="004C33D1">
        <w:t>shortfall in development</w:t>
      </w:r>
      <w:r w:rsidR="00E2063E">
        <w:t xml:space="preserve"> opportunities</w:t>
      </w:r>
      <w:r w:rsidRPr="004C33D1">
        <w:t xml:space="preserve">. Addressing the problem still requires careful consideration of where </w:t>
      </w:r>
      <w:r w:rsidR="00E2063E">
        <w:t xml:space="preserve">plans </w:t>
      </w:r>
      <w:proofErr w:type="spellStart"/>
      <w:r w:rsidR="00E2063E">
        <w:t>shou;d</w:t>
      </w:r>
      <w:proofErr w:type="spellEnd"/>
      <w:r w:rsidR="00E2063E">
        <w:t xml:space="preserve"> provide </w:t>
      </w:r>
      <w:r w:rsidR="004D7CEA" w:rsidRPr="004C33D1">
        <w:t xml:space="preserve">more </w:t>
      </w:r>
      <w:r w:rsidR="00E2063E">
        <w:t xml:space="preserve">development </w:t>
      </w:r>
      <w:r w:rsidR="004D7CEA" w:rsidRPr="004C33D1">
        <w:t>capacity most efficiently</w:t>
      </w:r>
      <w:r w:rsidR="00E0389A" w:rsidRPr="004C33D1">
        <w:t>, taking into account demand for housing (or business floorspace) at different locations as well as development costs, infrastructure costs, and other external costs such as environmental externalities.</w:t>
      </w:r>
      <w:r w:rsidRPr="004C33D1">
        <w:br/>
      </w:r>
    </w:p>
    <w:p w:rsidR="004D7CEA" w:rsidRPr="004C33D1" w:rsidRDefault="004D7CEA" w:rsidP="00411653">
      <w:pPr>
        <w:pStyle w:val="ListParagraph"/>
        <w:numPr>
          <w:ilvl w:val="0"/>
          <w:numId w:val="26"/>
        </w:numPr>
      </w:pPr>
      <w:r w:rsidRPr="004C33D1">
        <w:t xml:space="preserve">There </w:t>
      </w:r>
      <w:r w:rsidR="00E44C45" w:rsidRPr="004C33D1">
        <w:t>are</w:t>
      </w:r>
      <w:r w:rsidRPr="004C33D1">
        <w:t xml:space="preserve"> limited data that </w:t>
      </w:r>
      <w:proofErr w:type="gramStart"/>
      <w:r w:rsidRPr="004C33D1">
        <w:t>can be used</w:t>
      </w:r>
      <w:proofErr w:type="gramEnd"/>
      <w:r w:rsidRPr="004C33D1">
        <w:t xml:space="preserve"> to update indicators</w:t>
      </w:r>
      <w:r w:rsidR="00E0389A" w:rsidRPr="004C33D1">
        <w:t xml:space="preserve"> of price discontinuities</w:t>
      </w:r>
      <w:r w:rsidRPr="004C33D1">
        <w:t xml:space="preserve"> on a regular basis. Valuation data, which separate prices into land and improvement value components, are comprehensive but </w:t>
      </w:r>
      <w:proofErr w:type="gramStart"/>
      <w:r w:rsidRPr="004C33D1">
        <w:t>are only produced</w:t>
      </w:r>
      <w:proofErr w:type="gramEnd"/>
      <w:r w:rsidRPr="004C33D1">
        <w:t xml:space="preserve"> every three years. Sales data are available more frequently but are not comprehensive and require additional work to separate out the different elements of price.</w:t>
      </w:r>
      <w:r w:rsidRPr="004C33D1">
        <w:br/>
      </w:r>
    </w:p>
    <w:p w:rsidR="00A763B0" w:rsidRPr="004C33D1" w:rsidRDefault="00A763B0" w:rsidP="00411653">
      <w:pPr>
        <w:pStyle w:val="ListParagraph"/>
        <w:numPr>
          <w:ilvl w:val="0"/>
          <w:numId w:val="26"/>
        </w:numPr>
      </w:pPr>
      <w:r w:rsidRPr="004C33D1">
        <w:t xml:space="preserve">Discontinuities need to </w:t>
      </w:r>
      <w:proofErr w:type="gramStart"/>
      <w:r w:rsidRPr="004C33D1">
        <w:t xml:space="preserve">be </w:t>
      </w:r>
      <w:r w:rsidR="0066583C" w:rsidRPr="004C33D1">
        <w:t>examined</w:t>
      </w:r>
      <w:proofErr w:type="gramEnd"/>
      <w:r w:rsidR="0066583C" w:rsidRPr="004C33D1">
        <w:t xml:space="preserve"> </w:t>
      </w:r>
      <w:r w:rsidRPr="004C33D1">
        <w:t>carefully to ensure that they are not simply different shapes of curves rather than genuine discontinuities</w:t>
      </w:r>
      <w:r w:rsidR="00585125" w:rsidRPr="004C33D1">
        <w:t>—nonlinear relationships can easily be mistaken for discontinuities</w:t>
      </w:r>
      <w:r w:rsidR="004D7CEA" w:rsidRPr="004C33D1">
        <w:t>.</w:t>
      </w:r>
      <w:r w:rsidR="004D7CEA" w:rsidRPr="004C33D1">
        <w:br/>
      </w:r>
    </w:p>
    <w:p w:rsidR="004D7CEA" w:rsidRPr="004C33D1" w:rsidRDefault="004D7CEA" w:rsidP="00411653">
      <w:pPr>
        <w:pStyle w:val="ListParagraph"/>
        <w:numPr>
          <w:ilvl w:val="0"/>
          <w:numId w:val="26"/>
        </w:numPr>
      </w:pPr>
      <w:r w:rsidRPr="004C33D1">
        <w:t xml:space="preserve">Comparisons of market prices with the marginal costs of construction (or supply) are a useful indicator of market efficiency. These </w:t>
      </w:r>
      <w:proofErr w:type="gramStart"/>
      <w:r w:rsidRPr="004C33D1">
        <w:t>are most easily developed</w:t>
      </w:r>
      <w:proofErr w:type="gramEnd"/>
      <w:r w:rsidRPr="004C33D1">
        <w:t xml:space="preserve"> for apartments </w:t>
      </w:r>
      <w:r w:rsidR="00E0389A" w:rsidRPr="004C33D1">
        <w:t xml:space="preserve">or offices </w:t>
      </w:r>
      <w:r w:rsidRPr="004C33D1">
        <w:t xml:space="preserve">in multi-storey </w:t>
      </w:r>
      <w:r w:rsidR="00E0389A" w:rsidRPr="004C33D1">
        <w:t xml:space="preserve">buildings </w:t>
      </w:r>
      <w:r w:rsidRPr="004C33D1">
        <w:t xml:space="preserve">where land value is insignificant in the value of each individual </w:t>
      </w:r>
      <w:r w:rsidR="00E0389A" w:rsidRPr="004C33D1">
        <w:t>unit</w:t>
      </w:r>
      <w:r w:rsidRPr="004C33D1">
        <w:t xml:space="preserve">. Marginal construction cost data are not collected systematically and would need to be </w:t>
      </w:r>
      <w:proofErr w:type="gramStart"/>
      <w:r w:rsidRPr="004C33D1">
        <w:t>updated</w:t>
      </w:r>
      <w:proofErr w:type="gramEnd"/>
      <w:r w:rsidRPr="004C33D1">
        <w:t xml:space="preserve"> periodically or adjusted from existing data using price indices.</w:t>
      </w:r>
      <w:r w:rsidR="005C033F" w:rsidRPr="004C33D1">
        <w:br/>
      </w:r>
    </w:p>
    <w:p w:rsidR="00E06FFE" w:rsidRDefault="00E06FFE" w:rsidP="00E06FFE">
      <w:pPr>
        <w:pStyle w:val="ListParagraph"/>
        <w:numPr>
          <w:ilvl w:val="0"/>
          <w:numId w:val="26"/>
        </w:numPr>
      </w:pPr>
      <w:r>
        <w:t>Efficient p</w:t>
      </w:r>
      <w:r w:rsidR="005C033F" w:rsidRPr="004C33D1">
        <w:t xml:space="preserve">rice indicators can be difficult to interpret during periods of disequilibrium, eg </w:t>
      </w:r>
      <w:proofErr w:type="gramStart"/>
      <w:r w:rsidR="005C033F" w:rsidRPr="004C33D1">
        <w:t>as a result</w:t>
      </w:r>
      <w:proofErr w:type="gramEnd"/>
      <w:r w:rsidR="005C033F" w:rsidRPr="004C33D1">
        <w:t xml:space="preserve"> of economic shocks, major plan changes or natural disasters.</w:t>
      </w:r>
    </w:p>
    <w:p w:rsidR="00E00813" w:rsidRPr="004C33D1" w:rsidRDefault="004D7CEA" w:rsidP="00220C7C">
      <w:pPr>
        <w:pStyle w:val="Heading2"/>
      </w:pPr>
      <w:bookmarkStart w:id="231" w:name="_Toc462413657"/>
      <w:bookmarkStart w:id="232" w:name="_Toc462582213"/>
      <w:r w:rsidRPr="004C33D1">
        <w:t>Affordability Indicators</w:t>
      </w:r>
      <w:bookmarkEnd w:id="231"/>
      <w:bookmarkEnd w:id="232"/>
    </w:p>
    <w:p w:rsidR="008D4BF8" w:rsidRPr="004C33D1" w:rsidRDefault="005C033F" w:rsidP="004D7CEA">
      <w:r w:rsidRPr="004C33D1">
        <w:t>Affordability indicators are measuring something closer to the real issues of concern to policy makers. In contrast</w:t>
      </w:r>
      <w:r w:rsidR="00AD3848">
        <w:t>,</w:t>
      </w:r>
      <w:r w:rsidRPr="004C33D1">
        <w:t xml:space="preserve"> indicators </w:t>
      </w:r>
      <w:r w:rsidR="00AD3848">
        <w:t xml:space="preserve">of efficient prices </w:t>
      </w:r>
      <w:r w:rsidRPr="004C33D1">
        <w:t xml:space="preserve">are measuring a proxy: </w:t>
      </w:r>
      <w:r w:rsidR="008D4BF8" w:rsidRPr="004C33D1">
        <w:t>market un</w:t>
      </w:r>
      <w:r w:rsidR="005A1898" w:rsidRPr="004C33D1">
        <w:t>-</w:t>
      </w:r>
      <w:r w:rsidR="008D4BF8" w:rsidRPr="004C33D1">
        <w:t>competitiveness as an indicator of likely unaffordability problems.</w:t>
      </w:r>
      <w:r w:rsidR="00E0389A" w:rsidRPr="004C33D1">
        <w:t xml:space="preserve"> </w:t>
      </w:r>
      <w:r w:rsidR="008D4BF8" w:rsidRPr="004C33D1">
        <w:t xml:space="preserve">Affordability indicators include those that: </w:t>
      </w:r>
    </w:p>
    <w:p w:rsidR="00E0389A" w:rsidRPr="004C33D1" w:rsidRDefault="00E0389A" w:rsidP="004D7CEA"/>
    <w:p w:rsidR="008D4BF8" w:rsidRPr="004C33D1" w:rsidRDefault="008D4BF8" w:rsidP="00411653">
      <w:pPr>
        <w:pStyle w:val="ListParagraph"/>
        <w:numPr>
          <w:ilvl w:val="0"/>
          <w:numId w:val="27"/>
        </w:numPr>
      </w:pPr>
      <w:r w:rsidRPr="004C33D1">
        <w:t>measure ho</w:t>
      </w:r>
      <w:r w:rsidR="00B1320B">
        <w:t>m</w:t>
      </w:r>
      <w:r w:rsidRPr="004C33D1">
        <w:t xml:space="preserve">e prices </w:t>
      </w:r>
      <w:r w:rsidR="00E2063E">
        <w:t xml:space="preserve">and </w:t>
      </w:r>
      <w:r w:rsidRPr="004C33D1">
        <w:t>or rentals</w:t>
      </w:r>
      <w:r w:rsidR="00E2063E">
        <w:t>,</w:t>
      </w:r>
      <w:r w:rsidRPr="004C33D1">
        <w:t xml:space="preserve"> and compare these with some measures of income; and</w:t>
      </w:r>
      <w:r w:rsidRPr="004C33D1">
        <w:br/>
      </w:r>
    </w:p>
    <w:p w:rsidR="008D4BF8" w:rsidRPr="004C33D1" w:rsidRDefault="008D4BF8" w:rsidP="00411653">
      <w:pPr>
        <w:pStyle w:val="ListParagraph"/>
        <w:numPr>
          <w:ilvl w:val="0"/>
          <w:numId w:val="27"/>
        </w:numPr>
      </w:pPr>
      <w:proofErr w:type="gramStart"/>
      <w:r w:rsidRPr="004C33D1">
        <w:t>those</w:t>
      </w:r>
      <w:proofErr w:type="gramEnd"/>
      <w:r w:rsidRPr="004C33D1">
        <w:t xml:space="preserve"> that measure actual expenditure on housing in comparison with total income.</w:t>
      </w:r>
    </w:p>
    <w:p w:rsidR="004D30C1" w:rsidRPr="004C33D1" w:rsidRDefault="004D30C1" w:rsidP="008D4BF8">
      <w:r w:rsidRPr="004C33D1">
        <w:lastRenderedPageBreak/>
        <w:t>We make the following comments:</w:t>
      </w:r>
    </w:p>
    <w:p w:rsidR="004D30C1" w:rsidRPr="004C33D1" w:rsidRDefault="004D30C1" w:rsidP="008D4BF8"/>
    <w:p w:rsidR="004D30C1" w:rsidRPr="004C33D1" w:rsidRDefault="004D30C1" w:rsidP="00411653">
      <w:pPr>
        <w:pStyle w:val="ListParagraph"/>
        <w:numPr>
          <w:ilvl w:val="0"/>
          <w:numId w:val="29"/>
        </w:numPr>
      </w:pPr>
      <w:r w:rsidRPr="004C33D1">
        <w:t xml:space="preserve">Affordability indicators </w:t>
      </w:r>
      <w:r w:rsidR="00E0389A" w:rsidRPr="004C33D1">
        <w:t>do not necessarily</w:t>
      </w:r>
      <w:r w:rsidRPr="004C33D1">
        <w:t xml:space="preserve"> produce a reliable absolute measure of unaffordability. They are better at measuring changes in affordability over time or </w:t>
      </w:r>
      <w:r w:rsidR="00E0389A" w:rsidRPr="004C33D1">
        <w:t xml:space="preserve">making </w:t>
      </w:r>
      <w:r w:rsidRPr="004C33D1">
        <w:t>comparisons across or between cities.</w:t>
      </w:r>
      <w:r w:rsidRPr="004C33D1">
        <w:br/>
      </w:r>
    </w:p>
    <w:p w:rsidR="008D4BF8" w:rsidRPr="004C33D1" w:rsidRDefault="008D4BF8" w:rsidP="00411653">
      <w:pPr>
        <w:pStyle w:val="ListParagraph"/>
        <w:numPr>
          <w:ilvl w:val="0"/>
          <w:numId w:val="29"/>
        </w:numPr>
      </w:pPr>
      <w:r w:rsidRPr="004C33D1">
        <w:t>The ho</w:t>
      </w:r>
      <w:r w:rsidR="00B1320B">
        <w:t>m</w:t>
      </w:r>
      <w:r w:rsidRPr="004C33D1">
        <w:t>e price</w:t>
      </w:r>
      <w:r w:rsidR="00E0389A" w:rsidRPr="004C33D1">
        <w:t xml:space="preserve"> to </w:t>
      </w:r>
      <w:r w:rsidRPr="004C33D1">
        <w:t xml:space="preserve">income ratio measures </w:t>
      </w:r>
      <w:r w:rsidR="004D30C1" w:rsidRPr="004C33D1">
        <w:t>can</w:t>
      </w:r>
      <w:r w:rsidRPr="004C33D1">
        <w:t>not take account of differe</w:t>
      </w:r>
      <w:r w:rsidR="004D30C1" w:rsidRPr="004C33D1">
        <w:t>nt circumstances which include:</w:t>
      </w:r>
    </w:p>
    <w:p w:rsidR="008D4BF8" w:rsidRPr="004C33D1" w:rsidRDefault="008D4BF8" w:rsidP="00411653">
      <w:pPr>
        <w:pStyle w:val="ListParagraph"/>
        <w:numPr>
          <w:ilvl w:val="0"/>
          <w:numId w:val="28"/>
        </w:numPr>
      </w:pPr>
      <w:r w:rsidRPr="004C33D1">
        <w:t>the differences in equity in ho</w:t>
      </w:r>
      <w:r w:rsidR="00B1320B">
        <w:t>m</w:t>
      </w:r>
      <w:r w:rsidRPr="004C33D1">
        <w:t>es which determine costs of ownership;</w:t>
      </w:r>
    </w:p>
    <w:p w:rsidR="008D4BF8" w:rsidRPr="004C33D1" w:rsidRDefault="008D4BF8" w:rsidP="00411653">
      <w:pPr>
        <w:pStyle w:val="ListParagraph"/>
        <w:numPr>
          <w:ilvl w:val="0"/>
          <w:numId w:val="28"/>
        </w:numPr>
      </w:pPr>
      <w:proofErr w:type="gramStart"/>
      <w:r w:rsidRPr="004C33D1">
        <w:t>life</w:t>
      </w:r>
      <w:proofErr w:type="gramEnd"/>
      <w:r w:rsidRPr="004C33D1">
        <w:t xml:space="preserve"> circumstances and people’s ability to face short-term “unaffordability” when there is the prospect of higher future income (and greater future affordability).</w:t>
      </w:r>
    </w:p>
    <w:p w:rsidR="008D4BF8" w:rsidRPr="004C33D1" w:rsidRDefault="008D4BF8" w:rsidP="008D4BF8"/>
    <w:p w:rsidR="008D4BF8" w:rsidRPr="004C33D1" w:rsidRDefault="008D4BF8" w:rsidP="00411653">
      <w:pPr>
        <w:pStyle w:val="ListParagraph"/>
        <w:numPr>
          <w:ilvl w:val="0"/>
          <w:numId w:val="29"/>
        </w:numPr>
      </w:pPr>
      <w:r w:rsidRPr="004C33D1">
        <w:t xml:space="preserve">Indicators that </w:t>
      </w:r>
      <w:r w:rsidR="000947E7" w:rsidRPr="004C33D1">
        <w:t xml:space="preserve">measure actual housing expenditure, eg amounts spent on rent or mortgages, </w:t>
      </w:r>
      <w:r w:rsidR="00E0389A" w:rsidRPr="004C33D1">
        <w:t xml:space="preserve">for individual households </w:t>
      </w:r>
      <w:r w:rsidR="000947E7" w:rsidRPr="004C33D1">
        <w:t xml:space="preserve">are useful. However, </w:t>
      </w:r>
      <w:r w:rsidR="00E2063E">
        <w:t xml:space="preserve">until now, </w:t>
      </w:r>
      <w:r w:rsidR="000947E7" w:rsidRPr="004C33D1">
        <w:t>data are only available from surveys. Because of the limited numbers of respondents</w:t>
      </w:r>
      <w:r w:rsidR="00E2063E">
        <w:t>,</w:t>
      </w:r>
      <w:r w:rsidR="000947E7" w:rsidRPr="004C33D1">
        <w:t xml:space="preserve"> they </w:t>
      </w:r>
      <w:r w:rsidR="00E2063E">
        <w:t xml:space="preserve">have </w:t>
      </w:r>
      <w:r w:rsidR="000947E7" w:rsidRPr="004C33D1">
        <w:t>provide</w:t>
      </w:r>
      <w:r w:rsidR="00E2063E">
        <w:t>d</w:t>
      </w:r>
      <w:r w:rsidR="000947E7" w:rsidRPr="004C33D1">
        <w:t xml:space="preserve"> data at a regional level but not at a more disaggregated level, such as TLA. In addition, the surveys, eg the HES, </w:t>
      </w:r>
      <w:proofErr w:type="gramStart"/>
      <w:r w:rsidR="000947E7" w:rsidRPr="004C33D1">
        <w:t>are only undertaken</w:t>
      </w:r>
      <w:proofErr w:type="gramEnd"/>
      <w:r w:rsidR="000947E7" w:rsidRPr="004C33D1">
        <w:t xml:space="preserve"> every three years. This does not allow up-to-date assessments of affordability.</w:t>
      </w:r>
      <w:r w:rsidR="00C87616" w:rsidRPr="004C33D1">
        <w:br/>
      </w:r>
    </w:p>
    <w:p w:rsidR="00C87616" w:rsidRPr="004C33D1" w:rsidRDefault="00C87616" w:rsidP="00411653">
      <w:pPr>
        <w:pStyle w:val="ListParagraph"/>
        <w:numPr>
          <w:ilvl w:val="0"/>
          <w:numId w:val="29"/>
        </w:numPr>
      </w:pPr>
      <w:r w:rsidRPr="004C33D1">
        <w:t>The conclusions of the Treasury’s 2006 paper are useful, ie that “</w:t>
      </w:r>
      <w:r w:rsidRPr="004C33D1">
        <w:rPr>
          <w:i/>
        </w:rPr>
        <w:t>There is no single measure of affordability that can tell us everything, and different measures reveal different movements over time. A basket of measures needs to be considered to obtain a complete picture of affordability trends.</w:t>
      </w:r>
      <w:r w:rsidRPr="004C33D1">
        <w:t>”</w:t>
      </w:r>
      <w:r w:rsidRPr="004C33D1">
        <w:rPr>
          <w:rStyle w:val="FootnoteReference"/>
        </w:rPr>
        <w:footnoteReference w:id="122"/>
      </w:r>
    </w:p>
    <w:p w:rsidR="000947E7" w:rsidRPr="004C33D1" w:rsidRDefault="000947E7" w:rsidP="008D4BF8"/>
    <w:p w:rsidR="005B1564" w:rsidRPr="004C33D1" w:rsidRDefault="00AD3848" w:rsidP="005B1564">
      <w:r>
        <w:t>MBIE is developing a series of indicators in the context of the housing affordability measure (HAM) programme</w:t>
      </w:r>
      <w:r w:rsidR="00E2063E">
        <w:t xml:space="preserve">, which will address many of these issues. MBIE </w:t>
      </w:r>
      <w:r>
        <w:t>has access to more data than is available to councils and is measuring the same indicators as we recommend in this report. It would be</w:t>
      </w:r>
      <w:r w:rsidR="00E2063E">
        <w:t xml:space="preserve"> </w:t>
      </w:r>
      <w:r>
        <w:t>a useful source of data and indicators for councils.</w:t>
      </w:r>
    </w:p>
    <w:p w:rsidR="00344C8E" w:rsidRPr="004C33D1" w:rsidRDefault="00BC034B" w:rsidP="00220C7C">
      <w:pPr>
        <w:pStyle w:val="Heading2"/>
      </w:pPr>
      <w:bookmarkStart w:id="233" w:name="_Toc462413658"/>
      <w:bookmarkStart w:id="234" w:name="_Toc462582214"/>
      <w:r w:rsidRPr="004C33D1">
        <w:t>Recommendations</w:t>
      </w:r>
      <w:bookmarkEnd w:id="233"/>
      <w:bookmarkEnd w:id="234"/>
    </w:p>
    <w:p w:rsidR="0072433C" w:rsidRPr="004C33D1" w:rsidRDefault="00A922B0" w:rsidP="0072433C">
      <w:pPr>
        <w:pStyle w:val="Heading3"/>
      </w:pPr>
      <w:r>
        <w:t>I</w:t>
      </w:r>
      <w:r w:rsidR="0072433C" w:rsidRPr="004C33D1">
        <w:t>ndicators</w:t>
      </w:r>
    </w:p>
    <w:p w:rsidR="00463018" w:rsidRDefault="0072433C" w:rsidP="00463018">
      <w:r w:rsidRPr="004C33D1">
        <w:t>The review above shows the potential usefulness of a wide range of indicators.</w:t>
      </w:r>
      <w:r w:rsidR="00463018">
        <w:t xml:space="preserve"> </w:t>
      </w:r>
      <w:proofErr w:type="gramStart"/>
      <w:r w:rsidR="00463018">
        <w:t>Ideally</w:t>
      </w:r>
      <w:proofErr w:type="gramEnd"/>
      <w:r w:rsidR="00463018">
        <w:t xml:space="preserve"> </w:t>
      </w:r>
      <w:r w:rsidRPr="004C33D1">
        <w:t xml:space="preserve">a </w:t>
      </w:r>
      <w:r w:rsidRPr="004C33D1">
        <w:rPr>
          <w:i/>
        </w:rPr>
        <w:t>package</w:t>
      </w:r>
      <w:r w:rsidRPr="004C33D1">
        <w:t xml:space="preserve"> of indicators </w:t>
      </w:r>
      <w:r w:rsidR="00463018">
        <w:t xml:space="preserve">would be developed </w:t>
      </w:r>
      <w:r w:rsidRPr="004C33D1">
        <w:t>covering</w:t>
      </w:r>
      <w:r w:rsidR="00463018">
        <w:t>:</w:t>
      </w:r>
      <w:r w:rsidRPr="004C33D1">
        <w:t xml:space="preserve"> </w:t>
      </w:r>
    </w:p>
    <w:p w:rsidR="00463018" w:rsidRDefault="00463018" w:rsidP="00463018"/>
    <w:p w:rsidR="00463018" w:rsidRDefault="00463018" w:rsidP="006277DC">
      <w:pPr>
        <w:pStyle w:val="ListParagraph"/>
        <w:numPr>
          <w:ilvl w:val="0"/>
          <w:numId w:val="100"/>
        </w:numPr>
      </w:pPr>
      <w:r>
        <w:t>Trends in ho</w:t>
      </w:r>
      <w:r w:rsidR="00B1320B">
        <w:t>m</w:t>
      </w:r>
      <w:r>
        <w:t>e prices and rents, plus the ratio of new capacity to population increase as background information on the emerging problem;</w:t>
      </w:r>
      <w:r>
        <w:br/>
      </w:r>
    </w:p>
    <w:p w:rsidR="00AC49DF" w:rsidRDefault="00AC49DF" w:rsidP="006277DC">
      <w:pPr>
        <w:pStyle w:val="ListParagraph"/>
        <w:numPr>
          <w:ilvl w:val="0"/>
          <w:numId w:val="100"/>
        </w:numPr>
      </w:pPr>
      <w:r>
        <w:t xml:space="preserve">Housing affordability indicators, making use of the HAM being developed by MBIE; and </w:t>
      </w:r>
      <w:r>
        <w:br/>
      </w:r>
    </w:p>
    <w:p w:rsidR="0072433C" w:rsidRPr="004C33D1" w:rsidRDefault="00AC49DF" w:rsidP="006277DC">
      <w:pPr>
        <w:pStyle w:val="ListParagraph"/>
        <w:numPr>
          <w:ilvl w:val="0"/>
          <w:numId w:val="100"/>
        </w:numPr>
      </w:pPr>
      <w:r>
        <w:lastRenderedPageBreak/>
        <w:t xml:space="preserve">Indicators of the extent of price inefficiency </w:t>
      </w:r>
      <w:r w:rsidR="0072433C" w:rsidRPr="004C33D1">
        <w:t xml:space="preserve">that </w:t>
      </w:r>
      <w:proofErr w:type="gramStart"/>
      <w:r w:rsidR="0072433C" w:rsidRPr="004C33D1">
        <w:t>might be used</w:t>
      </w:r>
      <w:proofErr w:type="gramEnd"/>
      <w:r w:rsidR="0072433C" w:rsidRPr="004C33D1">
        <w:t xml:space="preserve"> </w:t>
      </w:r>
      <w:r>
        <w:t>as the basis for investigating whether current zoning controls are limiting market entry.</w:t>
      </w:r>
      <w:r w:rsidRPr="004C33D1">
        <w:t xml:space="preserve"> </w:t>
      </w:r>
      <w:r w:rsidR="0072433C" w:rsidRPr="004C33D1">
        <w:br/>
      </w:r>
    </w:p>
    <w:p w:rsidR="0072433C" w:rsidRDefault="0072433C" w:rsidP="00AC49DF">
      <w:r w:rsidRPr="004C33D1">
        <w:t>Different indicators may be more appropriate in some places than others, eg apartment sale price to marginal construction cost ratio is only feasible to estimate in Auckla</w:t>
      </w:r>
      <w:r w:rsidR="00AC49DF">
        <w:t xml:space="preserve">nd and Wellington (at present). </w:t>
      </w:r>
      <w:r w:rsidRPr="004C33D1">
        <w:t>Indicators of competitiveness</w:t>
      </w:r>
      <w:r w:rsidR="00AC49DF">
        <w:t>, eg using the HHI,</w:t>
      </w:r>
      <w:r w:rsidRPr="004C33D1">
        <w:t xml:space="preserve"> may be useful in some areas, but they may involve more effort than is justified by the information provided.</w:t>
      </w:r>
    </w:p>
    <w:p w:rsidR="00AC49DF" w:rsidRDefault="00AC49DF" w:rsidP="00AC49DF"/>
    <w:p w:rsidR="00AC49DF" w:rsidRPr="004C33D1" w:rsidRDefault="00AC49DF" w:rsidP="00AC49DF">
      <w:r w:rsidRPr="004C33D1">
        <w:t xml:space="preserve">It </w:t>
      </w:r>
      <w:proofErr w:type="gramStart"/>
      <w:r w:rsidRPr="004C33D1">
        <w:t>is recommended</w:t>
      </w:r>
      <w:proofErr w:type="gramEnd"/>
      <w:r w:rsidRPr="004C33D1">
        <w:t xml:space="preserve"> that price discontinuities should be measured using a mix of “sophisticated” and “focussed” methodologies (see Section</w:t>
      </w:r>
      <w:r>
        <w:t xml:space="preserve"> </w:t>
      </w:r>
      <w:r>
        <w:fldChar w:fldCharType="begin"/>
      </w:r>
      <w:r>
        <w:instrText xml:space="preserve"> REF _Ref457985773 \r \h </w:instrText>
      </w:r>
      <w:r>
        <w:fldChar w:fldCharType="separate"/>
      </w:r>
      <w:r w:rsidR="004D1DDA">
        <w:t>1.2.2</w:t>
      </w:r>
      <w:r>
        <w:fldChar w:fldCharType="end"/>
      </w:r>
      <w:r w:rsidRPr="004C33D1">
        <w:t>) depending on the particular price signal being measured (</w:t>
      </w:r>
      <w:r w:rsidRPr="004C33D1">
        <w:fldChar w:fldCharType="begin"/>
      </w:r>
      <w:r w:rsidRPr="004C33D1">
        <w:instrText xml:space="preserve"> REF _Ref456619015 \h </w:instrText>
      </w:r>
      <w:r w:rsidRPr="004C33D1">
        <w:fldChar w:fldCharType="separate"/>
      </w:r>
      <w:r w:rsidR="004D1DDA" w:rsidRPr="004C33D1">
        <w:t xml:space="preserve">Box </w:t>
      </w:r>
      <w:r w:rsidR="004D1DDA">
        <w:rPr>
          <w:noProof/>
        </w:rPr>
        <w:t>5</w:t>
      </w:r>
      <w:r w:rsidRPr="004C33D1">
        <w:fldChar w:fldCharType="end"/>
      </w:r>
      <w:r w:rsidRPr="004C33D1">
        <w:t xml:space="preserve">). </w:t>
      </w:r>
    </w:p>
    <w:p w:rsidR="00AC49DF" w:rsidRPr="004C33D1" w:rsidRDefault="00AC49DF" w:rsidP="00E02811">
      <w:pPr>
        <w:pStyle w:val="Caption"/>
      </w:pPr>
      <w:bookmarkStart w:id="235" w:name="_Ref456619015"/>
      <w:r w:rsidRPr="004C33D1">
        <w:t xml:space="preserve">Box </w:t>
      </w:r>
      <w:r w:rsidRPr="004C33D1">
        <w:fldChar w:fldCharType="begin"/>
      </w:r>
      <w:r w:rsidRPr="004C33D1">
        <w:instrText xml:space="preserve"> SEQ Box \* ARABIC </w:instrText>
      </w:r>
      <w:r w:rsidRPr="004C33D1">
        <w:fldChar w:fldCharType="separate"/>
      </w:r>
      <w:r w:rsidR="004D1DDA">
        <w:rPr>
          <w:noProof/>
        </w:rPr>
        <w:t>5</w:t>
      </w:r>
      <w:r w:rsidRPr="004C33D1">
        <w:fldChar w:fldCharType="end"/>
      </w:r>
      <w:bookmarkEnd w:id="235"/>
      <w:r w:rsidRPr="004C33D1">
        <w:t xml:space="preserve"> Key sophisticated and focussed approaches</w:t>
      </w:r>
    </w:p>
    <w:tbl>
      <w:tblPr>
        <w:tblStyle w:val="TableGrid"/>
        <w:tblW w:w="0" w:type="auto"/>
        <w:tblBorders>
          <w:insideH w:val="none" w:sz="0" w:space="0" w:color="auto"/>
        </w:tblBorders>
        <w:tblLook w:val="04A0" w:firstRow="1" w:lastRow="0" w:firstColumn="1" w:lastColumn="0" w:noHBand="0" w:noVBand="1"/>
      </w:tblPr>
      <w:tblGrid>
        <w:gridCol w:w="8437"/>
      </w:tblGrid>
      <w:tr w:rsidR="00AC49DF" w:rsidRPr="004C33D1" w:rsidTr="00021361">
        <w:tc>
          <w:tcPr>
            <w:tcW w:w="8437" w:type="dxa"/>
          </w:tcPr>
          <w:p w:rsidR="00AC49DF" w:rsidRPr="004C33D1" w:rsidRDefault="00AC49DF" w:rsidP="00021361">
            <w:pPr>
              <w:pStyle w:val="TableText"/>
            </w:pPr>
            <w:r w:rsidRPr="004C33D1">
              <w:t>Key “sophisticated” approaches include:</w:t>
            </w:r>
          </w:p>
          <w:p w:rsidR="00AC49DF" w:rsidRPr="004C33D1" w:rsidRDefault="00AC49DF" w:rsidP="006277DC">
            <w:pPr>
              <w:pStyle w:val="TableText"/>
              <w:numPr>
                <w:ilvl w:val="0"/>
                <w:numId w:val="60"/>
              </w:numPr>
              <w:ind w:left="284" w:hanging="284"/>
            </w:pPr>
            <w:r w:rsidRPr="004C33D1">
              <w:t>Spatial regression models of property values;</w:t>
            </w:r>
          </w:p>
          <w:p w:rsidR="00AC49DF" w:rsidRPr="004C33D1" w:rsidRDefault="00AC49DF" w:rsidP="006277DC">
            <w:pPr>
              <w:pStyle w:val="TableText"/>
              <w:numPr>
                <w:ilvl w:val="0"/>
                <w:numId w:val="60"/>
              </w:numPr>
              <w:ind w:left="284" w:hanging="284"/>
            </w:pPr>
            <w:proofErr w:type="gramStart"/>
            <w:r w:rsidRPr="004C33D1">
              <w:t>Propensity score matching models to compare like with like.</w:t>
            </w:r>
            <w:proofErr w:type="gramEnd"/>
            <w:r w:rsidRPr="004C33D1">
              <w:t xml:space="preserve"> These are “parametric” approaches – they require the analyst to identify an underlying economic relationship and include variables to control for other influences on prices (eg proximity to the coast, school zones).</w:t>
            </w:r>
          </w:p>
        </w:tc>
      </w:tr>
      <w:tr w:rsidR="00AC49DF" w:rsidRPr="004C33D1" w:rsidTr="00021361">
        <w:tc>
          <w:tcPr>
            <w:tcW w:w="8437" w:type="dxa"/>
          </w:tcPr>
          <w:p w:rsidR="00AC49DF" w:rsidRPr="004C33D1" w:rsidRDefault="00AC49DF" w:rsidP="00021361">
            <w:pPr>
              <w:pStyle w:val="TableText"/>
            </w:pPr>
            <w:r w:rsidRPr="004C33D1">
              <w:t>Key “focused” approaches include:</w:t>
            </w:r>
          </w:p>
          <w:p w:rsidR="00AC49DF" w:rsidRPr="004C33D1" w:rsidRDefault="00AC49DF" w:rsidP="006277DC">
            <w:pPr>
              <w:pStyle w:val="TableText"/>
              <w:numPr>
                <w:ilvl w:val="0"/>
                <w:numId w:val="60"/>
              </w:numPr>
              <w:ind w:left="284" w:hanging="284"/>
            </w:pPr>
            <w:r w:rsidRPr="004C33D1">
              <w:t>Comparison of average rateable land values on either side of a (short) zoning boundary</w:t>
            </w:r>
          </w:p>
          <w:p w:rsidR="00AC49DF" w:rsidRPr="004C33D1" w:rsidRDefault="00AC49DF" w:rsidP="006277DC">
            <w:pPr>
              <w:pStyle w:val="TableText"/>
              <w:numPr>
                <w:ilvl w:val="0"/>
                <w:numId w:val="60"/>
              </w:numPr>
              <w:ind w:left="284" w:hanging="284"/>
            </w:pPr>
            <w:r w:rsidRPr="004C33D1">
              <w:t>Comparison of average apartment sale prices with marginal construction costs</w:t>
            </w:r>
          </w:p>
          <w:p w:rsidR="00AC49DF" w:rsidRPr="004C33D1" w:rsidRDefault="00AC49DF" w:rsidP="006277DC">
            <w:pPr>
              <w:pStyle w:val="TableText"/>
              <w:numPr>
                <w:ilvl w:val="0"/>
                <w:numId w:val="60"/>
              </w:numPr>
              <w:ind w:left="284" w:hanging="284"/>
            </w:pPr>
            <w:r w:rsidRPr="004C33D1">
              <w:t>These are non-parametric approaches – by averaging prices within a small “window” they require less information on other determinants of prices, underl</w:t>
            </w:r>
            <w:r w:rsidR="00CB1327">
              <w:t>ying economic relationships etc</w:t>
            </w:r>
          </w:p>
        </w:tc>
      </w:tr>
    </w:tbl>
    <w:p w:rsidR="0066583C" w:rsidRDefault="0066583C" w:rsidP="0072433C"/>
    <w:p w:rsidR="00AC49DF" w:rsidRDefault="00DB3FBB" w:rsidP="0072433C">
      <w:r>
        <w:t xml:space="preserve">The preferred set of indicators </w:t>
      </w:r>
      <w:proofErr w:type="gramStart"/>
      <w:r>
        <w:t>is shown</w:t>
      </w:r>
      <w:proofErr w:type="gramEnd"/>
      <w:r>
        <w:t xml:space="preserve"> in </w:t>
      </w:r>
      <w:r w:rsidR="00AC49DF">
        <w:fldChar w:fldCharType="begin"/>
      </w:r>
      <w:r w:rsidR="00AC49DF">
        <w:instrText xml:space="preserve"> REF _Ref458441648 \h </w:instrText>
      </w:r>
      <w:r w:rsidR="00AC49DF">
        <w:fldChar w:fldCharType="separate"/>
      </w:r>
      <w:r w:rsidR="004D1DDA">
        <w:t xml:space="preserve">Table </w:t>
      </w:r>
      <w:r w:rsidR="004D1DDA">
        <w:rPr>
          <w:noProof/>
        </w:rPr>
        <w:t>17</w:t>
      </w:r>
      <w:r w:rsidR="00AC49DF">
        <w:fldChar w:fldCharType="end"/>
      </w:r>
      <w:r w:rsidR="00AC49DF">
        <w:t>.</w:t>
      </w:r>
    </w:p>
    <w:p w:rsidR="00DB3FBB" w:rsidRDefault="00DB3FBB" w:rsidP="00E02811">
      <w:pPr>
        <w:pStyle w:val="Caption"/>
      </w:pPr>
      <w:bookmarkStart w:id="236" w:name="_Ref458441648"/>
      <w:r>
        <w:t xml:space="preserve">Table </w:t>
      </w:r>
      <w:r>
        <w:fldChar w:fldCharType="begin"/>
      </w:r>
      <w:r>
        <w:instrText xml:space="preserve"> SEQ Table \* ARABIC </w:instrText>
      </w:r>
      <w:r>
        <w:fldChar w:fldCharType="separate"/>
      </w:r>
      <w:r w:rsidR="004D1DDA">
        <w:rPr>
          <w:noProof/>
        </w:rPr>
        <w:t>17</w:t>
      </w:r>
      <w:r>
        <w:fldChar w:fldCharType="end"/>
      </w:r>
      <w:bookmarkEnd w:id="236"/>
      <w:r>
        <w:t xml:space="preserve"> Suggested indicators</w:t>
      </w:r>
    </w:p>
    <w:tbl>
      <w:tblPr>
        <w:tblStyle w:val="CovecTables"/>
        <w:tblW w:w="5000" w:type="pct"/>
        <w:tblInd w:w="0" w:type="dxa"/>
        <w:tblBorders>
          <w:bottom w:val="single" w:sz="12" w:space="0" w:color="A6A6A6" w:themeColor="background1" w:themeShade="A6"/>
          <w:insideH w:val="single" w:sz="8" w:space="0" w:color="A6A6A6" w:themeColor="background1" w:themeShade="A6"/>
        </w:tblBorders>
        <w:tblCellMar>
          <w:left w:w="57" w:type="dxa"/>
          <w:right w:w="57" w:type="dxa"/>
        </w:tblCellMar>
        <w:tblLook w:val="04E0" w:firstRow="1" w:lastRow="1" w:firstColumn="1" w:lastColumn="0" w:noHBand="0" w:noVBand="1"/>
      </w:tblPr>
      <w:tblGrid>
        <w:gridCol w:w="1461"/>
        <w:gridCol w:w="1845"/>
        <w:gridCol w:w="5029"/>
      </w:tblGrid>
      <w:tr w:rsidR="00DB3FBB" w:rsidTr="003C6AF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76" w:type="pct"/>
          </w:tcPr>
          <w:p w:rsidR="00DB3FBB" w:rsidRDefault="00DB3FBB" w:rsidP="00E31755">
            <w:pPr>
              <w:pStyle w:val="TableText"/>
            </w:pPr>
            <w:r>
              <w:t>Component</w:t>
            </w:r>
          </w:p>
        </w:tc>
        <w:tc>
          <w:tcPr>
            <w:tcW w:w="1107" w:type="pct"/>
          </w:tcPr>
          <w:p w:rsidR="00DB3FBB" w:rsidRDefault="00DB3FBB" w:rsidP="00E31755">
            <w:pPr>
              <w:pStyle w:val="TableText"/>
              <w:jc w:val="left"/>
              <w:cnfStyle w:val="100000000000" w:firstRow="1" w:lastRow="0" w:firstColumn="0" w:lastColumn="0" w:oddVBand="0" w:evenVBand="0" w:oddHBand="0" w:evenHBand="0" w:firstRowFirstColumn="0" w:firstRowLastColumn="0" w:lastRowFirstColumn="0" w:lastRowLastColumn="0"/>
            </w:pPr>
            <w:r>
              <w:t>Preferred   indicators</w:t>
            </w:r>
          </w:p>
        </w:tc>
        <w:tc>
          <w:tcPr>
            <w:tcW w:w="3017" w:type="pct"/>
          </w:tcPr>
          <w:p w:rsidR="00DB3FBB" w:rsidRDefault="00DB3FBB" w:rsidP="00E31755">
            <w:pPr>
              <w:pStyle w:val="TableText"/>
              <w:jc w:val="left"/>
              <w:cnfStyle w:val="100000000000" w:firstRow="1" w:lastRow="0" w:firstColumn="0" w:lastColumn="0" w:oddVBand="0" w:evenVBand="0" w:oddHBand="0" w:evenHBand="0" w:firstRowFirstColumn="0" w:firstRowLastColumn="0" w:lastRowFirstColumn="0" w:lastRowLastColumn="0"/>
            </w:pPr>
            <w:r>
              <w:t>Description</w:t>
            </w:r>
          </w:p>
        </w:tc>
      </w:tr>
      <w:tr w:rsidR="00C06350" w:rsidTr="003C6AF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A6A6A6" w:themeColor="background1" w:themeShade="A6"/>
              <w:bottom w:val="nil"/>
            </w:tcBorders>
          </w:tcPr>
          <w:p w:rsidR="00C06350" w:rsidRDefault="00C06350" w:rsidP="00C06350">
            <w:pPr>
              <w:pStyle w:val="TableText"/>
            </w:pPr>
            <w:r>
              <w:t>General market information</w:t>
            </w:r>
          </w:p>
        </w:tc>
        <w:tc>
          <w:tcPr>
            <w:tcW w:w="1107" w:type="pct"/>
            <w:vAlign w:val="top"/>
          </w:tcPr>
          <w:p w:rsidR="00C06350" w:rsidRDefault="00C06350" w:rsidP="00EE6E51">
            <w:pPr>
              <w:pStyle w:val="TableText"/>
              <w:numPr>
                <w:ilvl w:val="0"/>
                <w:numId w:val="119"/>
              </w:numPr>
              <w:jc w:val="left"/>
              <w:cnfStyle w:val="000000000000" w:firstRow="0" w:lastRow="0" w:firstColumn="0" w:lastColumn="0" w:oddVBand="0" w:evenVBand="0" w:oddHBand="0" w:evenHBand="0" w:firstRowFirstColumn="0" w:firstRowLastColumn="0" w:lastRowFirstColumn="0" w:lastRowLastColumn="0"/>
            </w:pPr>
            <w:r>
              <w:t>Ho</w:t>
            </w:r>
            <w:r w:rsidR="00B1320B">
              <w:t>m</w:t>
            </w:r>
            <w:r>
              <w:t>e price trends</w:t>
            </w:r>
            <w:r w:rsidRPr="004C33D1">
              <w:t xml:space="preserve"> </w:t>
            </w:r>
          </w:p>
        </w:tc>
        <w:tc>
          <w:tcPr>
            <w:tcW w:w="3017" w:type="pct"/>
            <w:vAlign w:val="top"/>
          </w:tcPr>
          <w:p w:rsidR="00C06350" w:rsidRDefault="00C06350" w:rsidP="00C06350">
            <w:pPr>
              <w:pStyle w:val="TableText"/>
              <w:jc w:val="left"/>
              <w:cnfStyle w:val="000000000000" w:firstRow="0" w:lastRow="0" w:firstColumn="0" w:lastColumn="0" w:oddVBand="0" w:evenVBand="0" w:oddHBand="0" w:evenHBand="0" w:firstRowFirstColumn="0" w:firstRowLastColumn="0" w:lastRowFirstColumn="0" w:lastRowLastColumn="0"/>
            </w:pPr>
            <w:r>
              <w:t>Trends in ho</w:t>
            </w:r>
            <w:r w:rsidR="00B1320B">
              <w:t>m</w:t>
            </w:r>
            <w:r>
              <w:t>e prices over time</w:t>
            </w:r>
            <w:r w:rsidR="00FB6985">
              <w:t xml:space="preserve"> (inflation adjusted)</w:t>
            </w:r>
          </w:p>
        </w:tc>
      </w:tr>
      <w:tr w:rsidR="00C06350" w:rsidTr="003C6AF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876" w:type="pct"/>
            <w:tcBorders>
              <w:top w:val="nil"/>
              <w:bottom w:val="nil"/>
            </w:tcBorders>
          </w:tcPr>
          <w:p w:rsidR="00C06350" w:rsidRDefault="00C06350" w:rsidP="00C06350">
            <w:pPr>
              <w:pStyle w:val="TableText"/>
            </w:pPr>
          </w:p>
        </w:tc>
        <w:tc>
          <w:tcPr>
            <w:tcW w:w="1107" w:type="pct"/>
            <w:vAlign w:val="top"/>
          </w:tcPr>
          <w:p w:rsidR="00C06350" w:rsidRDefault="00FB6985" w:rsidP="00EE6E51">
            <w:pPr>
              <w:pStyle w:val="TableText"/>
              <w:numPr>
                <w:ilvl w:val="0"/>
                <w:numId w:val="119"/>
              </w:numPr>
              <w:jc w:val="left"/>
              <w:cnfStyle w:val="000000000000" w:firstRow="0" w:lastRow="0" w:firstColumn="0" w:lastColumn="0" w:oddVBand="0" w:evenVBand="0" w:oddHBand="0" w:evenHBand="0" w:firstRowFirstColumn="0" w:firstRowLastColumn="0" w:lastRowFirstColumn="0" w:lastRowLastColumn="0"/>
            </w:pPr>
            <w:r>
              <w:t>Trends in land values</w:t>
            </w:r>
          </w:p>
        </w:tc>
        <w:tc>
          <w:tcPr>
            <w:tcW w:w="3017" w:type="pct"/>
            <w:vAlign w:val="top"/>
          </w:tcPr>
          <w:p w:rsidR="00C06350" w:rsidRDefault="00FB6985" w:rsidP="00C06350">
            <w:pPr>
              <w:pStyle w:val="TableText"/>
              <w:jc w:val="left"/>
              <w:cnfStyle w:val="000000000000" w:firstRow="0" w:lastRow="0" w:firstColumn="0" w:lastColumn="0" w:oddVBand="0" w:evenVBand="0" w:oddHBand="0" w:evenHBand="0" w:firstRowFirstColumn="0" w:firstRowLastColumn="0" w:lastRowFirstColumn="0" w:lastRowLastColumn="0"/>
            </w:pPr>
            <w:r>
              <w:t xml:space="preserve">Changes in land values by suburb </w:t>
            </w:r>
          </w:p>
        </w:tc>
      </w:tr>
      <w:tr w:rsidR="00C06350" w:rsidTr="003C6AF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876" w:type="pct"/>
            <w:tcBorders>
              <w:top w:val="nil"/>
              <w:bottom w:val="single" w:sz="8" w:space="0" w:color="A6A6A6" w:themeColor="background1" w:themeShade="A6"/>
            </w:tcBorders>
          </w:tcPr>
          <w:p w:rsidR="00C06350" w:rsidRDefault="00C06350" w:rsidP="00C06350">
            <w:pPr>
              <w:pStyle w:val="TableText"/>
            </w:pPr>
          </w:p>
        </w:tc>
        <w:tc>
          <w:tcPr>
            <w:tcW w:w="1107" w:type="pct"/>
          </w:tcPr>
          <w:p w:rsidR="00C06350" w:rsidRDefault="00C06350" w:rsidP="00EE6E51">
            <w:pPr>
              <w:pStyle w:val="TableText"/>
              <w:numPr>
                <w:ilvl w:val="0"/>
                <w:numId w:val="119"/>
              </w:numPr>
              <w:jc w:val="left"/>
              <w:cnfStyle w:val="000000000000" w:firstRow="0" w:lastRow="0" w:firstColumn="0" w:lastColumn="0" w:oddVBand="0" w:evenVBand="0" w:oddHBand="0" w:evenHBand="0" w:firstRowFirstColumn="0" w:firstRowLastColumn="0" w:lastRowFirstColumn="0" w:lastRowLastColumn="0"/>
            </w:pPr>
            <w:r>
              <w:t>Trends in rents</w:t>
            </w:r>
          </w:p>
        </w:tc>
        <w:tc>
          <w:tcPr>
            <w:tcW w:w="3017" w:type="pct"/>
            <w:vAlign w:val="top"/>
          </w:tcPr>
          <w:p w:rsidR="00C06350" w:rsidRDefault="00FB6985" w:rsidP="00C06350">
            <w:pPr>
              <w:pStyle w:val="TableText"/>
              <w:jc w:val="left"/>
              <w:cnfStyle w:val="000000000000" w:firstRow="0" w:lastRow="0" w:firstColumn="0" w:lastColumn="0" w:oddVBand="0" w:evenVBand="0" w:oddHBand="0" w:evenHBand="0" w:firstRowFirstColumn="0" w:firstRowLastColumn="0" w:lastRowFirstColumn="0" w:lastRowLastColumn="0"/>
            </w:pPr>
            <w:r>
              <w:t>Inflation-adjusted average rents by size category (1-bedroom, 3-bedroom)</w:t>
            </w:r>
          </w:p>
        </w:tc>
      </w:tr>
      <w:tr w:rsidR="00C06350" w:rsidTr="003C6AF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876" w:type="pct"/>
            <w:tcBorders>
              <w:top w:val="nil"/>
              <w:bottom w:val="single" w:sz="6" w:space="0" w:color="A6A6A6" w:themeColor="background1" w:themeShade="A6"/>
            </w:tcBorders>
            <w:vAlign w:val="top"/>
          </w:tcPr>
          <w:p w:rsidR="00C06350" w:rsidRDefault="00FB6985" w:rsidP="00C06350">
            <w:pPr>
              <w:pStyle w:val="TableText"/>
            </w:pPr>
            <w:r>
              <w:t>Supply-demand balance</w:t>
            </w:r>
          </w:p>
        </w:tc>
        <w:tc>
          <w:tcPr>
            <w:tcW w:w="1107" w:type="pct"/>
            <w:tcBorders>
              <w:top w:val="single" w:sz="6" w:space="0" w:color="A6A6A6" w:themeColor="background1" w:themeShade="A6"/>
              <w:bottom w:val="single" w:sz="6" w:space="0" w:color="A6A6A6" w:themeColor="background1" w:themeShade="A6"/>
            </w:tcBorders>
            <w:vAlign w:val="top"/>
          </w:tcPr>
          <w:p w:rsidR="00C06350" w:rsidRDefault="00C06350" w:rsidP="00EE6E51">
            <w:pPr>
              <w:pStyle w:val="TableText"/>
              <w:numPr>
                <w:ilvl w:val="0"/>
                <w:numId w:val="119"/>
              </w:numPr>
              <w:jc w:val="left"/>
              <w:cnfStyle w:val="000000000000" w:firstRow="0" w:lastRow="0" w:firstColumn="0" w:lastColumn="0" w:oddVBand="0" w:evenVBand="0" w:oddHBand="0" w:evenHBand="0" w:firstRowFirstColumn="0" w:firstRowLastColumn="0" w:lastRowFirstColumn="0" w:lastRowLastColumn="0"/>
            </w:pPr>
            <w:r>
              <w:t>New build to population growth ratio</w:t>
            </w:r>
          </w:p>
        </w:tc>
        <w:tc>
          <w:tcPr>
            <w:tcW w:w="3017" w:type="pct"/>
            <w:tcBorders>
              <w:top w:val="single" w:sz="6" w:space="0" w:color="A6A6A6" w:themeColor="background1" w:themeShade="A6"/>
              <w:bottom w:val="single" w:sz="6" w:space="0" w:color="A6A6A6" w:themeColor="background1" w:themeShade="A6"/>
            </w:tcBorders>
            <w:vAlign w:val="top"/>
          </w:tcPr>
          <w:p w:rsidR="00C06350" w:rsidRPr="006A5317" w:rsidRDefault="00C06350" w:rsidP="00494002">
            <w:pPr>
              <w:pStyle w:val="TableText"/>
              <w:jc w:val="left"/>
              <w:cnfStyle w:val="000000000000" w:firstRow="0" w:lastRow="0" w:firstColumn="0" w:lastColumn="0" w:oddVBand="0" w:evenVBand="0" w:oddHBand="0" w:evenHBand="0" w:firstRowFirstColumn="0" w:firstRowLastColumn="0" w:lastRowFirstColumn="0" w:lastRowLastColumn="0"/>
            </w:pPr>
            <w:r>
              <w:t xml:space="preserve">Ratio of population growth to: number of new build consents (supplemented by data on average size of new builds and </w:t>
            </w:r>
            <w:r w:rsidR="002A75B9">
              <w:t>number of buildings in different size categories</w:t>
            </w:r>
          </w:p>
        </w:tc>
      </w:tr>
      <w:tr w:rsidR="00C06350" w:rsidTr="003C6AF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876" w:type="pct"/>
            <w:tcBorders>
              <w:top w:val="nil"/>
              <w:bottom w:val="single" w:sz="6" w:space="0" w:color="A6A6A6" w:themeColor="background1" w:themeShade="A6"/>
            </w:tcBorders>
            <w:vAlign w:val="top"/>
          </w:tcPr>
          <w:p w:rsidR="00C06350" w:rsidRDefault="00C06350" w:rsidP="00C06350">
            <w:pPr>
              <w:pStyle w:val="TableText"/>
            </w:pPr>
            <w:r>
              <w:t>Competitiveness</w:t>
            </w:r>
          </w:p>
        </w:tc>
        <w:tc>
          <w:tcPr>
            <w:tcW w:w="1107" w:type="pct"/>
            <w:tcBorders>
              <w:top w:val="single" w:sz="6" w:space="0" w:color="A6A6A6" w:themeColor="background1" w:themeShade="A6"/>
              <w:bottom w:val="single" w:sz="6" w:space="0" w:color="A6A6A6" w:themeColor="background1" w:themeShade="A6"/>
            </w:tcBorders>
            <w:vAlign w:val="top"/>
          </w:tcPr>
          <w:p w:rsidR="00C06350" w:rsidRDefault="00C06350" w:rsidP="00EE6E51">
            <w:pPr>
              <w:pStyle w:val="TableText"/>
              <w:numPr>
                <w:ilvl w:val="0"/>
                <w:numId w:val="119"/>
              </w:numPr>
              <w:jc w:val="left"/>
              <w:cnfStyle w:val="000000000000" w:firstRow="0" w:lastRow="0" w:firstColumn="0" w:lastColumn="0" w:oddVBand="0" w:evenVBand="0" w:oddHBand="0" w:evenHBand="0" w:firstRowFirstColumn="0" w:firstRowLastColumn="0" w:lastRowFirstColumn="0" w:lastRowLastColumn="0"/>
            </w:pPr>
            <w:r>
              <w:t>HHI</w:t>
            </w:r>
          </w:p>
        </w:tc>
        <w:tc>
          <w:tcPr>
            <w:tcW w:w="3017" w:type="pct"/>
            <w:tcBorders>
              <w:top w:val="single" w:sz="6" w:space="0" w:color="A6A6A6" w:themeColor="background1" w:themeShade="A6"/>
              <w:bottom w:val="single" w:sz="6" w:space="0" w:color="A6A6A6" w:themeColor="background1" w:themeShade="A6"/>
            </w:tcBorders>
            <w:vAlign w:val="top"/>
          </w:tcPr>
          <w:p w:rsidR="00C06350" w:rsidRDefault="003C6AF9" w:rsidP="00C06350">
            <w:pPr>
              <w:pStyle w:val="TableText"/>
              <w:jc w:val="left"/>
              <w:cnfStyle w:val="000000000000" w:firstRow="0" w:lastRow="0" w:firstColumn="0" w:lastColumn="0" w:oddVBand="0" w:evenVBand="0" w:oddHBand="0" w:evenHBand="0" w:firstRowFirstColumn="0" w:firstRowLastColumn="0" w:lastRowFirstColumn="0" w:lastRowLastColumn="0"/>
            </w:pPr>
            <w:r>
              <w:t>S</w:t>
            </w:r>
            <w:r w:rsidR="00C06350" w:rsidRPr="00C06350">
              <w:t xml:space="preserve">um of the squares of market shares </w:t>
            </w:r>
            <w:r w:rsidR="00C06350">
              <w:t xml:space="preserve">(% of </w:t>
            </w:r>
            <w:r>
              <w:t>development land available</w:t>
            </w:r>
            <w:r w:rsidR="00C06350">
              <w:t xml:space="preserve">) </w:t>
            </w:r>
            <w:r w:rsidR="00C06350" w:rsidRPr="00C06350">
              <w:t xml:space="preserve">of each </w:t>
            </w:r>
            <w:r w:rsidR="00842BA3">
              <w:t>land</w:t>
            </w:r>
            <w:r w:rsidR="00C06350">
              <w:t>owner</w:t>
            </w:r>
            <w:r w:rsidR="00C06350" w:rsidRPr="00C06350">
              <w:t xml:space="preserve"> in the market</w:t>
            </w:r>
          </w:p>
        </w:tc>
      </w:tr>
      <w:tr w:rsidR="00C06350" w:rsidTr="003C6AF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876" w:type="pct"/>
            <w:tcBorders>
              <w:top w:val="single" w:sz="6" w:space="0" w:color="A6A6A6" w:themeColor="background1" w:themeShade="A6"/>
              <w:bottom w:val="nil"/>
            </w:tcBorders>
            <w:vAlign w:val="top"/>
          </w:tcPr>
          <w:p w:rsidR="00C06350" w:rsidRDefault="00C06350" w:rsidP="00C06350">
            <w:pPr>
              <w:pStyle w:val="TableText"/>
            </w:pPr>
            <w:r>
              <w:t>Price efficiency</w:t>
            </w:r>
          </w:p>
        </w:tc>
        <w:tc>
          <w:tcPr>
            <w:tcW w:w="1107" w:type="pct"/>
            <w:tcBorders>
              <w:top w:val="single" w:sz="6" w:space="0" w:color="A6A6A6" w:themeColor="background1" w:themeShade="A6"/>
              <w:bottom w:val="single" w:sz="6" w:space="0" w:color="A6A6A6" w:themeColor="background1" w:themeShade="A6"/>
            </w:tcBorders>
            <w:vAlign w:val="top"/>
          </w:tcPr>
          <w:p w:rsidR="00C06350" w:rsidRDefault="00C06350" w:rsidP="00EE6E51">
            <w:pPr>
              <w:pStyle w:val="TableText"/>
              <w:numPr>
                <w:ilvl w:val="0"/>
                <w:numId w:val="119"/>
              </w:numPr>
              <w:jc w:val="left"/>
              <w:cnfStyle w:val="000000000000" w:firstRow="0" w:lastRow="0" w:firstColumn="0" w:lastColumn="0" w:oddVBand="0" w:evenVBand="0" w:oddHBand="0" w:evenHBand="0" w:firstRowFirstColumn="0" w:firstRowLastColumn="0" w:lastRowFirstColumn="0" w:lastRowLastColumn="0"/>
            </w:pPr>
            <w:r>
              <w:t>Price discontinuities</w:t>
            </w:r>
          </w:p>
        </w:tc>
        <w:tc>
          <w:tcPr>
            <w:tcW w:w="3017" w:type="pct"/>
            <w:tcBorders>
              <w:top w:val="single" w:sz="6" w:space="0" w:color="A6A6A6" w:themeColor="background1" w:themeShade="A6"/>
              <w:bottom w:val="single" w:sz="6" w:space="0" w:color="A6A6A6" w:themeColor="background1" w:themeShade="A6"/>
            </w:tcBorders>
            <w:vAlign w:val="top"/>
          </w:tcPr>
          <w:p w:rsidR="00C06350" w:rsidRDefault="00C06350" w:rsidP="00C06350">
            <w:pPr>
              <w:pStyle w:val="TableText"/>
              <w:jc w:val="left"/>
              <w:cnfStyle w:val="000000000000" w:firstRow="0" w:lastRow="0" w:firstColumn="0" w:lastColumn="0" w:oddVBand="0" w:evenVBand="0" w:oddHBand="0" w:evenHBand="0" w:firstRowFirstColumn="0" w:firstRowLastColumn="0" w:lastRowFirstColumn="0" w:lastRowLastColumn="0"/>
            </w:pPr>
            <w:r>
              <w:t>Discontinuities in land values: (1) either side of urban limit; (2) adjacent uses zones, eg residential &amp; industrial; (3) adjacent zones with different density potentials</w:t>
            </w:r>
          </w:p>
        </w:tc>
      </w:tr>
      <w:tr w:rsidR="00C06350" w:rsidTr="003C6AF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876" w:type="pct"/>
            <w:tcBorders>
              <w:top w:val="nil"/>
              <w:bottom w:val="single" w:sz="6" w:space="0" w:color="A6A6A6" w:themeColor="background1" w:themeShade="A6"/>
            </w:tcBorders>
            <w:vAlign w:val="top"/>
          </w:tcPr>
          <w:p w:rsidR="00C06350" w:rsidRDefault="00C06350" w:rsidP="00C06350">
            <w:pPr>
              <w:pStyle w:val="TableText"/>
            </w:pPr>
          </w:p>
        </w:tc>
        <w:tc>
          <w:tcPr>
            <w:tcW w:w="1107" w:type="pct"/>
            <w:tcBorders>
              <w:top w:val="single" w:sz="6" w:space="0" w:color="A6A6A6" w:themeColor="background1" w:themeShade="A6"/>
              <w:bottom w:val="single" w:sz="6" w:space="0" w:color="A6A6A6" w:themeColor="background1" w:themeShade="A6"/>
            </w:tcBorders>
            <w:vAlign w:val="top"/>
          </w:tcPr>
          <w:p w:rsidR="00C06350" w:rsidRDefault="00C06350" w:rsidP="00EE6E51">
            <w:pPr>
              <w:pStyle w:val="TableText"/>
              <w:numPr>
                <w:ilvl w:val="0"/>
                <w:numId w:val="119"/>
              </w:numPr>
              <w:jc w:val="left"/>
              <w:cnfStyle w:val="000000000000" w:firstRow="0" w:lastRow="0" w:firstColumn="0" w:lastColumn="0" w:oddVBand="0" w:evenVBand="0" w:oddHBand="0" w:evenHBand="0" w:firstRowFirstColumn="0" w:firstRowLastColumn="0" w:lastRowFirstColumn="0" w:lastRowLastColumn="0"/>
            </w:pPr>
            <w:proofErr w:type="spellStart"/>
            <w:r>
              <w:t>Price:market</w:t>
            </w:r>
            <w:proofErr w:type="spellEnd"/>
            <w:r>
              <w:t xml:space="preserve"> price ratio</w:t>
            </w:r>
          </w:p>
        </w:tc>
        <w:tc>
          <w:tcPr>
            <w:tcW w:w="3017" w:type="pct"/>
            <w:tcBorders>
              <w:top w:val="single" w:sz="6" w:space="0" w:color="A6A6A6" w:themeColor="background1" w:themeShade="A6"/>
              <w:bottom w:val="single" w:sz="6" w:space="0" w:color="A6A6A6" w:themeColor="background1" w:themeShade="A6"/>
            </w:tcBorders>
            <w:vAlign w:val="top"/>
          </w:tcPr>
          <w:p w:rsidR="00C06350" w:rsidRDefault="00C06350" w:rsidP="00C06350">
            <w:pPr>
              <w:pStyle w:val="TableText"/>
              <w:jc w:val="left"/>
              <w:cnfStyle w:val="000000000000" w:firstRow="0" w:lastRow="0" w:firstColumn="0" w:lastColumn="0" w:oddVBand="0" w:evenVBand="0" w:oddHBand="0" w:evenHBand="0" w:firstRowFirstColumn="0" w:firstRowLastColumn="0" w:lastRowFirstColumn="0" w:lastRowLastColumn="0"/>
            </w:pPr>
            <w:r>
              <w:t xml:space="preserve">Ratio of estimated marginal costs of </w:t>
            </w:r>
            <w:r w:rsidR="003C6AF9">
              <w:t>building</w:t>
            </w:r>
            <w:r>
              <w:t xml:space="preserve"> to market price, eg for one more floor on an apartment building</w:t>
            </w:r>
          </w:p>
        </w:tc>
      </w:tr>
      <w:tr w:rsidR="00C06350" w:rsidTr="003C6AF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876" w:type="pct"/>
            <w:tcBorders>
              <w:top w:val="single" w:sz="6" w:space="0" w:color="A6A6A6" w:themeColor="background1" w:themeShade="A6"/>
              <w:bottom w:val="nil"/>
            </w:tcBorders>
            <w:vAlign w:val="top"/>
          </w:tcPr>
          <w:p w:rsidR="00C06350" w:rsidRDefault="00C06350" w:rsidP="00C06350">
            <w:pPr>
              <w:pStyle w:val="TableText"/>
            </w:pPr>
            <w:r>
              <w:t>Affordability</w:t>
            </w:r>
          </w:p>
        </w:tc>
        <w:tc>
          <w:tcPr>
            <w:tcW w:w="1107" w:type="pct"/>
            <w:tcBorders>
              <w:top w:val="single" w:sz="6" w:space="0" w:color="A6A6A6" w:themeColor="background1" w:themeShade="A6"/>
              <w:bottom w:val="single" w:sz="6" w:space="0" w:color="A6A6A6" w:themeColor="background1" w:themeShade="A6"/>
            </w:tcBorders>
            <w:vAlign w:val="top"/>
          </w:tcPr>
          <w:p w:rsidR="00C06350" w:rsidRDefault="00C06350" w:rsidP="00EE6E51">
            <w:pPr>
              <w:pStyle w:val="TableText"/>
              <w:numPr>
                <w:ilvl w:val="0"/>
                <w:numId w:val="119"/>
              </w:numPr>
              <w:jc w:val="left"/>
              <w:cnfStyle w:val="000000000000" w:firstRow="0" w:lastRow="0" w:firstColumn="0" w:lastColumn="0" w:oddVBand="0" w:evenVBand="0" w:oddHBand="0" w:evenHBand="0" w:firstRowFirstColumn="0" w:firstRowLastColumn="0" w:lastRowFirstColumn="0" w:lastRowLastColumn="0"/>
            </w:pPr>
            <w:r>
              <w:t>Ho</w:t>
            </w:r>
            <w:r w:rsidR="00B1320B">
              <w:t>m</w:t>
            </w:r>
            <w:r>
              <w:t>e price to income ratio</w:t>
            </w:r>
          </w:p>
        </w:tc>
        <w:tc>
          <w:tcPr>
            <w:tcW w:w="3017" w:type="pct"/>
            <w:tcBorders>
              <w:top w:val="single" w:sz="6" w:space="0" w:color="A6A6A6" w:themeColor="background1" w:themeShade="A6"/>
              <w:bottom w:val="single" w:sz="6" w:space="0" w:color="A6A6A6" w:themeColor="background1" w:themeShade="A6"/>
            </w:tcBorders>
            <w:vAlign w:val="top"/>
          </w:tcPr>
          <w:p w:rsidR="00C06350" w:rsidRDefault="00C06350" w:rsidP="00C06350">
            <w:pPr>
              <w:pStyle w:val="TableText"/>
              <w:jc w:val="left"/>
              <w:cnfStyle w:val="000000000000" w:firstRow="0" w:lastRow="0" w:firstColumn="0" w:lastColumn="0" w:oddVBand="0" w:evenVBand="0" w:oddHBand="0" w:evenHBand="0" w:firstRowFirstColumn="0" w:firstRowLastColumn="0" w:lastRowFirstColumn="0" w:lastRowLastColumn="0"/>
            </w:pPr>
            <w:r>
              <w:t>Ratio of lower quartile ho</w:t>
            </w:r>
            <w:r w:rsidR="00B1320B">
              <w:t>m</w:t>
            </w:r>
            <w:r>
              <w:t>e price to median household income</w:t>
            </w:r>
          </w:p>
        </w:tc>
      </w:tr>
      <w:tr w:rsidR="00C06350" w:rsidTr="003C6AF9">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876" w:type="pct"/>
            <w:tcBorders>
              <w:top w:val="nil"/>
              <w:bottom w:val="nil"/>
            </w:tcBorders>
            <w:vAlign w:val="top"/>
          </w:tcPr>
          <w:p w:rsidR="00C06350" w:rsidRDefault="00C06350" w:rsidP="00C06350">
            <w:pPr>
              <w:pStyle w:val="TableText"/>
            </w:pPr>
          </w:p>
        </w:tc>
        <w:tc>
          <w:tcPr>
            <w:tcW w:w="1107" w:type="pct"/>
            <w:tcBorders>
              <w:top w:val="single" w:sz="6" w:space="0" w:color="A6A6A6" w:themeColor="background1" w:themeShade="A6"/>
              <w:bottom w:val="single" w:sz="6" w:space="0" w:color="A6A6A6" w:themeColor="background1" w:themeShade="A6"/>
            </w:tcBorders>
            <w:vAlign w:val="top"/>
          </w:tcPr>
          <w:p w:rsidR="00C06350" w:rsidRDefault="00C06350" w:rsidP="00EE6E51">
            <w:pPr>
              <w:pStyle w:val="TableText"/>
              <w:numPr>
                <w:ilvl w:val="0"/>
                <w:numId w:val="119"/>
              </w:numPr>
              <w:jc w:val="left"/>
              <w:cnfStyle w:val="000000000000" w:firstRow="0" w:lastRow="0" w:firstColumn="0" w:lastColumn="0" w:oddVBand="0" w:evenVBand="0" w:oddHBand="0" w:evenHBand="0" w:firstRowFirstColumn="0" w:firstRowLastColumn="0" w:lastRowFirstColumn="0" w:lastRowLastColumn="0"/>
            </w:pPr>
            <w:r>
              <w:t>Housing costs (owners) to income ratio</w:t>
            </w:r>
          </w:p>
        </w:tc>
        <w:tc>
          <w:tcPr>
            <w:tcW w:w="3017" w:type="pct"/>
            <w:tcBorders>
              <w:top w:val="single" w:sz="6" w:space="0" w:color="A6A6A6" w:themeColor="background1" w:themeShade="A6"/>
              <w:bottom w:val="single" w:sz="6" w:space="0" w:color="A6A6A6" w:themeColor="background1" w:themeShade="A6"/>
            </w:tcBorders>
            <w:vAlign w:val="top"/>
          </w:tcPr>
          <w:p w:rsidR="00C06350" w:rsidRDefault="00C06350" w:rsidP="00C06350">
            <w:pPr>
              <w:pStyle w:val="TableText"/>
              <w:jc w:val="left"/>
              <w:cnfStyle w:val="000000000000" w:firstRow="0" w:lastRow="0" w:firstColumn="0" w:lastColumn="0" w:oddVBand="0" w:evenVBand="0" w:oddHBand="0" w:evenHBand="0" w:firstRowFirstColumn="0" w:firstRowLastColumn="0" w:lastRowFirstColumn="0" w:lastRowLastColumn="0"/>
            </w:pPr>
            <w:r>
              <w:t>Ratio of mortgage payments (100% mortgage, 30-year term, average 2-year fixed &amp; floating interest rate) for median ho</w:t>
            </w:r>
            <w:r w:rsidR="00B1320B">
              <w:t>m</w:t>
            </w:r>
            <w:r>
              <w:t>e price to median household income</w:t>
            </w:r>
          </w:p>
        </w:tc>
      </w:tr>
      <w:tr w:rsidR="00C06350" w:rsidTr="003C6AF9">
        <w:tblPrEx>
          <w:tblCellMar>
            <w:top w:w="0" w:type="dxa"/>
            <w:bottom w:w="0"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876" w:type="pct"/>
            <w:tcBorders>
              <w:top w:val="nil"/>
            </w:tcBorders>
            <w:vAlign w:val="top"/>
          </w:tcPr>
          <w:p w:rsidR="00C06350" w:rsidRDefault="00C06350" w:rsidP="00C06350">
            <w:pPr>
              <w:pStyle w:val="TableText"/>
            </w:pPr>
          </w:p>
        </w:tc>
        <w:tc>
          <w:tcPr>
            <w:tcW w:w="1107" w:type="pct"/>
            <w:tcBorders>
              <w:top w:val="single" w:sz="6" w:space="0" w:color="A6A6A6" w:themeColor="background1" w:themeShade="A6"/>
            </w:tcBorders>
            <w:vAlign w:val="top"/>
          </w:tcPr>
          <w:p w:rsidR="00C06350" w:rsidRDefault="00C06350" w:rsidP="00EE6E51">
            <w:pPr>
              <w:pStyle w:val="TableText"/>
              <w:numPr>
                <w:ilvl w:val="0"/>
                <w:numId w:val="119"/>
              </w:numPr>
              <w:jc w:val="left"/>
              <w:cnfStyle w:val="010000000000" w:firstRow="0" w:lastRow="1" w:firstColumn="0" w:lastColumn="0" w:oddVBand="0" w:evenVBand="0" w:oddHBand="0" w:evenHBand="0" w:firstRowFirstColumn="0" w:firstRowLastColumn="0" w:lastRowFirstColumn="0" w:lastRowLastColumn="0"/>
            </w:pPr>
            <w:r>
              <w:t>Housing costs (renters) to income ratio</w:t>
            </w:r>
          </w:p>
        </w:tc>
        <w:tc>
          <w:tcPr>
            <w:tcW w:w="3017" w:type="pct"/>
            <w:tcBorders>
              <w:top w:val="single" w:sz="6" w:space="0" w:color="A6A6A6" w:themeColor="background1" w:themeShade="A6"/>
            </w:tcBorders>
            <w:vAlign w:val="top"/>
          </w:tcPr>
          <w:p w:rsidR="00C06350" w:rsidRDefault="00C06350" w:rsidP="00C06350">
            <w:pPr>
              <w:pStyle w:val="TableText"/>
              <w:jc w:val="left"/>
              <w:cnfStyle w:val="010000000000" w:firstRow="0" w:lastRow="1" w:firstColumn="0" w:lastColumn="0" w:oddVBand="0" w:evenVBand="0" w:oddHBand="0" w:evenHBand="0" w:firstRowFirstColumn="0" w:firstRowLastColumn="0" w:lastRowFirstColumn="0" w:lastRowLastColumn="0"/>
            </w:pPr>
            <w:r>
              <w:t>Ratio of average rent payments to median household income</w:t>
            </w:r>
          </w:p>
        </w:tc>
      </w:tr>
    </w:tbl>
    <w:p w:rsidR="00A922B0" w:rsidRDefault="00A922B0" w:rsidP="00DB3FBB">
      <w:r w:rsidRPr="004C33D1">
        <w:lastRenderedPageBreak/>
        <w:t>To the extent possible, data should be published in spatial form, eg as a map of price discontinuities at different locations within the city and the edge of the city. This makes it easier for council staff to interpret the information and provides appropriate local context. Mapped data may be supplementary to numerical analysis.</w:t>
      </w:r>
    </w:p>
    <w:p w:rsidR="0072433C" w:rsidRPr="004C33D1" w:rsidRDefault="0072433C" w:rsidP="0072433C">
      <w:pPr>
        <w:pStyle w:val="Heading3"/>
      </w:pPr>
      <w:r w:rsidRPr="004C33D1">
        <w:t>Interpretation</w:t>
      </w:r>
    </w:p>
    <w:p w:rsidR="00397ABD" w:rsidRDefault="00397ABD" w:rsidP="0072433C">
      <w:r>
        <w:fldChar w:fldCharType="begin"/>
      </w:r>
      <w:r>
        <w:instrText xml:space="preserve"> REF _Ref458488155 \h </w:instrText>
      </w:r>
      <w:r>
        <w:fldChar w:fldCharType="separate"/>
      </w:r>
      <w:r w:rsidR="004D1DDA">
        <w:t xml:space="preserve">Figure </w:t>
      </w:r>
      <w:r w:rsidR="004D1DDA">
        <w:rPr>
          <w:noProof/>
        </w:rPr>
        <w:t>37</w:t>
      </w:r>
      <w:r>
        <w:fldChar w:fldCharType="end"/>
      </w:r>
      <w:r>
        <w:t xml:space="preserve"> illustrates how the indicators </w:t>
      </w:r>
      <w:proofErr w:type="gramStart"/>
      <w:r>
        <w:t>might be used</w:t>
      </w:r>
      <w:proofErr w:type="gramEnd"/>
      <w:r>
        <w:t xml:space="preserve"> to analyse and interpret the problem, and to provide a trigger for release of development capacity.</w:t>
      </w:r>
    </w:p>
    <w:p w:rsidR="00397ABD" w:rsidRDefault="00397ABD" w:rsidP="00E02811">
      <w:pPr>
        <w:pStyle w:val="Caption"/>
      </w:pPr>
      <w:bookmarkStart w:id="237" w:name="_Ref458488155"/>
      <w:r>
        <w:t xml:space="preserve">Figure </w:t>
      </w:r>
      <w:r>
        <w:fldChar w:fldCharType="begin"/>
      </w:r>
      <w:r>
        <w:instrText xml:space="preserve"> SEQ Figure \* ARABIC </w:instrText>
      </w:r>
      <w:r>
        <w:fldChar w:fldCharType="separate"/>
      </w:r>
      <w:r w:rsidR="004D1DDA">
        <w:rPr>
          <w:noProof/>
        </w:rPr>
        <w:t>37</w:t>
      </w:r>
      <w:r>
        <w:fldChar w:fldCharType="end"/>
      </w:r>
      <w:bookmarkEnd w:id="237"/>
      <w:r>
        <w:t xml:space="preserve"> Use of indicators to diagnose the problem</w:t>
      </w:r>
    </w:p>
    <w:p w:rsidR="00397ABD" w:rsidRDefault="00FB6985" w:rsidP="00FB6985">
      <w:pPr>
        <w:jc w:val="center"/>
      </w:pPr>
      <w:r w:rsidRPr="00FB6985">
        <w:rPr>
          <w:noProof/>
          <w:lang w:eastAsia="en-NZ"/>
        </w:rPr>
        <w:drawing>
          <wp:inline distT="0" distB="0" distL="0" distR="0" wp14:anchorId="1498D77B" wp14:editId="468F440D">
            <wp:extent cx="4436534" cy="2453233"/>
            <wp:effectExtent l="0" t="0" r="2540" b="444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41180" cy="2455802"/>
                    </a:xfrm>
                    <a:prstGeom prst="rect">
                      <a:avLst/>
                    </a:prstGeom>
                    <a:noFill/>
                    <a:ln>
                      <a:noFill/>
                    </a:ln>
                  </pic:spPr>
                </pic:pic>
              </a:graphicData>
            </a:graphic>
          </wp:inline>
        </w:drawing>
      </w:r>
    </w:p>
    <w:p w:rsidR="00FB6985" w:rsidRDefault="00FB6985" w:rsidP="00397ABD"/>
    <w:p w:rsidR="00021361" w:rsidRDefault="00397ABD" w:rsidP="00397ABD">
      <w:r>
        <w:fldChar w:fldCharType="begin"/>
      </w:r>
      <w:r>
        <w:instrText xml:space="preserve"> REF _Ref458440448 \h </w:instrText>
      </w:r>
      <w:r>
        <w:fldChar w:fldCharType="separate"/>
      </w:r>
      <w:r w:rsidR="004D1DDA" w:rsidRPr="004C33D1">
        <w:t xml:space="preserve">Table </w:t>
      </w:r>
      <w:r w:rsidR="004D1DDA">
        <w:rPr>
          <w:noProof/>
        </w:rPr>
        <w:t>18</w:t>
      </w:r>
      <w:r>
        <w:fldChar w:fldCharType="end"/>
      </w:r>
      <w:r>
        <w:t xml:space="preserve"> provides more detail relating to the individual recommended indicators and how they </w:t>
      </w:r>
      <w:proofErr w:type="gramStart"/>
      <w:r>
        <w:t>might be interpreted</w:t>
      </w:r>
      <w:proofErr w:type="gramEnd"/>
      <w:r>
        <w:t xml:space="preserve"> to assist decisions.</w:t>
      </w:r>
    </w:p>
    <w:p w:rsidR="00B82927" w:rsidRDefault="00B82927" w:rsidP="00397ABD"/>
    <w:p w:rsidR="00B82927" w:rsidRDefault="00B82927" w:rsidP="00B82927">
      <w:r>
        <w:t>The way in which the different groups of indicators function is as follows:</w:t>
      </w:r>
    </w:p>
    <w:p w:rsidR="00B82927" w:rsidRDefault="00B82927" w:rsidP="00B82927"/>
    <w:p w:rsidR="00B82927" w:rsidRDefault="00B82927" w:rsidP="00B82927">
      <w:pPr>
        <w:pStyle w:val="ListParagraph"/>
        <w:numPr>
          <w:ilvl w:val="0"/>
          <w:numId w:val="92"/>
        </w:numPr>
      </w:pPr>
      <w:r>
        <w:t>The supply-demand indicators (price trends + population to consents ratio) provide background information that helps to identify if there is an emerging problem that requires further investigation.</w:t>
      </w:r>
      <w:r>
        <w:br/>
      </w:r>
    </w:p>
    <w:p w:rsidR="00B82927" w:rsidRDefault="00B82927" w:rsidP="00B82927">
      <w:pPr>
        <w:pStyle w:val="ListParagraph"/>
        <w:numPr>
          <w:ilvl w:val="0"/>
          <w:numId w:val="92"/>
        </w:numPr>
      </w:pPr>
      <w:r>
        <w:t>The competitiveness indicator (HHI) can provide information on whether market concentration is a problem.</w:t>
      </w:r>
      <w:r>
        <w:br/>
      </w:r>
    </w:p>
    <w:p w:rsidR="00B82927" w:rsidRDefault="00B82927" w:rsidP="00B82927">
      <w:pPr>
        <w:pStyle w:val="ListParagraph"/>
        <w:numPr>
          <w:ilvl w:val="0"/>
          <w:numId w:val="92"/>
        </w:numPr>
      </w:pPr>
      <w:r>
        <w:t xml:space="preserve">The affordability indicators provide information on whether the identified trends </w:t>
      </w:r>
      <w:proofErr w:type="gramStart"/>
      <w:r>
        <w:t>are matched</w:t>
      </w:r>
      <w:proofErr w:type="gramEnd"/>
      <w:r>
        <w:t xml:space="preserve"> by increasing signs of unaffordability. They </w:t>
      </w:r>
      <w:proofErr w:type="gramStart"/>
      <w:r>
        <w:t>are best interpreted</w:t>
      </w:r>
      <w:proofErr w:type="gramEnd"/>
      <w:r>
        <w:t xml:space="preserve"> through comparisons over time and between cities. This may include NZ cities and international examples.</w:t>
      </w:r>
      <w:r>
        <w:br/>
      </w:r>
    </w:p>
    <w:p w:rsidR="00B82927" w:rsidRDefault="00B82927" w:rsidP="00B82927">
      <w:pPr>
        <w:pStyle w:val="ListParagraph"/>
        <w:numPr>
          <w:ilvl w:val="0"/>
          <w:numId w:val="92"/>
        </w:numPr>
      </w:pPr>
      <w:r>
        <w:t xml:space="preserve">The efficient price indicators are the chief indicators to provide evidence of a problem of uncompetitive markets leading to elevated prices. They require additional information to interpret them, and specifically the costs of development and of building. </w:t>
      </w:r>
      <w:r>
        <w:br/>
      </w:r>
    </w:p>
    <w:p w:rsidR="005930B7" w:rsidRPr="004C33D1" w:rsidRDefault="005930B7" w:rsidP="00E02811">
      <w:pPr>
        <w:pStyle w:val="Caption"/>
      </w:pPr>
      <w:bookmarkStart w:id="238" w:name="_Ref458440448"/>
      <w:r w:rsidRPr="004C33D1">
        <w:lastRenderedPageBreak/>
        <w:t xml:space="preserve">Table </w:t>
      </w:r>
      <w:r w:rsidRPr="004C33D1">
        <w:fldChar w:fldCharType="begin"/>
      </w:r>
      <w:r w:rsidRPr="004C33D1">
        <w:instrText xml:space="preserve"> SEQ Table \* ARABIC </w:instrText>
      </w:r>
      <w:r w:rsidRPr="004C33D1">
        <w:fldChar w:fldCharType="separate"/>
      </w:r>
      <w:r w:rsidR="004D1DDA">
        <w:rPr>
          <w:noProof/>
        </w:rPr>
        <w:t>18</w:t>
      </w:r>
      <w:r w:rsidRPr="004C33D1">
        <w:fldChar w:fldCharType="end"/>
      </w:r>
      <w:bookmarkEnd w:id="238"/>
      <w:r w:rsidRPr="004C33D1">
        <w:t xml:space="preserve"> </w:t>
      </w:r>
      <w:r w:rsidR="00E8250A">
        <w:t>Interpretation of recommended</w:t>
      </w:r>
      <w:r w:rsidRPr="004C33D1">
        <w:t xml:space="preserve"> indicators </w:t>
      </w:r>
    </w:p>
    <w:tbl>
      <w:tblPr>
        <w:tblStyle w:val="CovecTables"/>
        <w:tblW w:w="5000" w:type="pct"/>
        <w:tblInd w:w="0" w:type="dxa"/>
        <w:tblCellMar>
          <w:left w:w="57" w:type="dxa"/>
          <w:right w:w="57" w:type="dxa"/>
        </w:tblCellMar>
        <w:tblLook w:val="04E0" w:firstRow="1" w:lastRow="1" w:firstColumn="1" w:lastColumn="0" w:noHBand="0" w:noVBand="1"/>
      </w:tblPr>
      <w:tblGrid>
        <w:gridCol w:w="1441"/>
        <w:gridCol w:w="1884"/>
        <w:gridCol w:w="5010"/>
      </w:tblGrid>
      <w:tr w:rsidR="004430C9" w:rsidRPr="004C33D1" w:rsidTr="00B8292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5" w:type="pct"/>
            <w:tcBorders>
              <w:left w:val="single" w:sz="8" w:space="0" w:color="A6A6A6" w:themeColor="background1" w:themeShade="A6"/>
              <w:right w:val="single" w:sz="8" w:space="0" w:color="A6A6A6" w:themeColor="background1" w:themeShade="A6"/>
            </w:tcBorders>
          </w:tcPr>
          <w:p w:rsidR="004430C9" w:rsidRPr="004C33D1" w:rsidRDefault="004430C9" w:rsidP="00E31755">
            <w:pPr>
              <w:pStyle w:val="TableText"/>
            </w:pPr>
            <w:r>
              <w:t>Category</w:t>
            </w:r>
          </w:p>
        </w:tc>
        <w:tc>
          <w:tcPr>
            <w:tcW w:w="1220" w:type="pct"/>
            <w:tcBorders>
              <w:left w:val="single" w:sz="8" w:space="0" w:color="A6A6A6" w:themeColor="background1" w:themeShade="A6"/>
              <w:right w:val="single" w:sz="8" w:space="0" w:color="A6A6A6" w:themeColor="background1" w:themeShade="A6"/>
            </w:tcBorders>
            <w:shd w:val="clear" w:color="auto" w:fill="auto"/>
          </w:tcPr>
          <w:p w:rsidR="004430C9" w:rsidRPr="004C33D1" w:rsidRDefault="004430C9" w:rsidP="00E31755">
            <w:pPr>
              <w:pStyle w:val="TableText"/>
              <w:jc w:val="left"/>
              <w:cnfStyle w:val="100000000000" w:firstRow="1" w:lastRow="0" w:firstColumn="0" w:lastColumn="0" w:oddVBand="0" w:evenVBand="0" w:oddHBand="0" w:evenHBand="0" w:firstRowFirstColumn="0" w:firstRowLastColumn="0" w:lastRowFirstColumn="0" w:lastRowLastColumn="0"/>
            </w:pPr>
            <w:r w:rsidRPr="004C33D1">
              <w:t>Indicator</w:t>
            </w:r>
          </w:p>
        </w:tc>
        <w:tc>
          <w:tcPr>
            <w:tcW w:w="3095" w:type="pct"/>
            <w:tcBorders>
              <w:left w:val="single" w:sz="8" w:space="0" w:color="A6A6A6" w:themeColor="background1" w:themeShade="A6"/>
              <w:right w:val="single" w:sz="8" w:space="0" w:color="A6A6A6" w:themeColor="background1" w:themeShade="A6"/>
            </w:tcBorders>
            <w:shd w:val="clear" w:color="auto" w:fill="auto"/>
          </w:tcPr>
          <w:p w:rsidR="004430C9" w:rsidRPr="004C33D1" w:rsidRDefault="004430C9" w:rsidP="00E31755">
            <w:pPr>
              <w:pStyle w:val="TableText"/>
              <w:jc w:val="left"/>
              <w:cnfStyle w:val="100000000000" w:firstRow="1" w:lastRow="0" w:firstColumn="0" w:lastColumn="0" w:oddVBand="0" w:evenVBand="0" w:oddHBand="0" w:evenHBand="0" w:firstRowFirstColumn="0" w:firstRowLastColumn="0" w:lastRowFirstColumn="0" w:lastRowLastColumn="0"/>
            </w:pPr>
            <w:r>
              <w:t>Interpretation</w:t>
            </w:r>
          </w:p>
        </w:tc>
      </w:tr>
      <w:tr w:rsidR="0066583C" w:rsidRPr="004C33D1" w:rsidTr="00B82927">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685" w:type="pct"/>
            <w:tcBorders>
              <w:left w:val="single" w:sz="8" w:space="0" w:color="A6A6A6" w:themeColor="background1" w:themeShade="A6"/>
              <w:right w:val="single" w:sz="8" w:space="0" w:color="A6A6A6" w:themeColor="background1" w:themeShade="A6"/>
            </w:tcBorders>
          </w:tcPr>
          <w:p w:rsidR="0066583C" w:rsidRDefault="0066583C" w:rsidP="00E31755">
            <w:pPr>
              <w:pStyle w:val="TableText"/>
            </w:pPr>
            <w:r>
              <w:t>General market information</w:t>
            </w:r>
          </w:p>
        </w:tc>
        <w:tc>
          <w:tcPr>
            <w:tcW w:w="1220" w:type="pct"/>
            <w:tcBorders>
              <w:top w:val="single" w:sz="8" w:space="0" w:color="A6A6A6" w:themeColor="background1" w:themeShade="A6"/>
              <w:left w:val="single" w:sz="8" w:space="0" w:color="A6A6A6" w:themeColor="background1" w:themeShade="A6"/>
              <w:bottom w:val="single" w:sz="4" w:space="0" w:color="A6A6A6" w:themeColor="background1" w:themeShade="A6"/>
              <w:right w:val="single" w:sz="8" w:space="0" w:color="A6A6A6" w:themeColor="background1" w:themeShade="A6"/>
            </w:tcBorders>
            <w:shd w:val="clear" w:color="auto" w:fill="auto"/>
            <w:vAlign w:val="top"/>
          </w:tcPr>
          <w:p w:rsidR="0066583C" w:rsidRPr="004C33D1" w:rsidRDefault="0066583C" w:rsidP="00646189">
            <w:pPr>
              <w:pStyle w:val="TableText"/>
              <w:numPr>
                <w:ilvl w:val="0"/>
                <w:numId w:val="114"/>
              </w:numPr>
              <w:ind w:left="0" w:firstLine="0"/>
              <w:jc w:val="left"/>
              <w:cnfStyle w:val="000000000000" w:firstRow="0" w:lastRow="0" w:firstColumn="0" w:lastColumn="0" w:oddVBand="0" w:evenVBand="0" w:oddHBand="0" w:evenHBand="0" w:firstRowFirstColumn="0" w:firstRowLastColumn="0" w:lastRowFirstColumn="0" w:lastRowLastColumn="0"/>
            </w:pPr>
            <w:r w:rsidRPr="004C33D1">
              <w:t>Ho</w:t>
            </w:r>
            <w:r w:rsidR="00B1320B">
              <w:t>m</w:t>
            </w:r>
            <w:r w:rsidRPr="004C33D1">
              <w:t>e price trends: Inflation-adjusted median ho</w:t>
            </w:r>
            <w:r w:rsidR="00B1320B">
              <w:t>m</w:t>
            </w:r>
            <w:r w:rsidRPr="004C33D1">
              <w:t>e prices</w:t>
            </w:r>
          </w:p>
        </w:tc>
        <w:tc>
          <w:tcPr>
            <w:tcW w:w="3095" w:type="pct"/>
            <w:tcBorders>
              <w:top w:val="single" w:sz="8" w:space="0" w:color="A6A6A6" w:themeColor="background1" w:themeShade="A6"/>
              <w:left w:val="single" w:sz="8" w:space="0" w:color="A6A6A6" w:themeColor="background1" w:themeShade="A6"/>
              <w:bottom w:val="single" w:sz="4" w:space="0" w:color="A6A6A6" w:themeColor="background1" w:themeShade="A6"/>
              <w:right w:val="single" w:sz="8" w:space="0" w:color="A6A6A6" w:themeColor="background1" w:themeShade="A6"/>
            </w:tcBorders>
            <w:shd w:val="clear" w:color="auto" w:fill="auto"/>
            <w:vAlign w:val="top"/>
          </w:tcPr>
          <w:p w:rsidR="0066583C" w:rsidRDefault="0066583C" w:rsidP="0066583C">
            <w:pPr>
              <w:pStyle w:val="TableText"/>
              <w:jc w:val="left"/>
              <w:cnfStyle w:val="000000000000" w:firstRow="0" w:lastRow="0" w:firstColumn="0" w:lastColumn="0" w:oddVBand="0" w:evenVBand="0" w:oddHBand="0" w:evenHBand="0" w:firstRowFirstColumn="0" w:firstRowLastColumn="0" w:lastRowFirstColumn="0" w:lastRowLastColumn="0"/>
            </w:pPr>
            <w:proofErr w:type="gramStart"/>
            <w:r>
              <w:t>Significantly</w:t>
            </w:r>
            <w:proofErr w:type="gramEnd"/>
            <w:r>
              <w:t xml:space="preserve"> increasing prices relative to those in other locations should signal a potential for uncompetitive land and development markets, requiring further analysis</w:t>
            </w:r>
            <w:r w:rsidR="000E19B4">
              <w:t>.</w:t>
            </w:r>
          </w:p>
        </w:tc>
      </w:tr>
      <w:tr w:rsidR="00FB6985" w:rsidRPr="004C33D1" w:rsidTr="00B82927">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685" w:type="pct"/>
            <w:tcBorders>
              <w:left w:val="single" w:sz="8" w:space="0" w:color="A6A6A6" w:themeColor="background1" w:themeShade="A6"/>
              <w:right w:val="single" w:sz="8" w:space="0" w:color="A6A6A6" w:themeColor="background1" w:themeShade="A6"/>
            </w:tcBorders>
          </w:tcPr>
          <w:p w:rsidR="00FB6985" w:rsidRDefault="00FB6985" w:rsidP="00E31755">
            <w:pPr>
              <w:pStyle w:val="TableText"/>
            </w:pPr>
          </w:p>
        </w:tc>
        <w:tc>
          <w:tcPr>
            <w:tcW w:w="1220" w:type="pct"/>
            <w:tcBorders>
              <w:top w:val="single" w:sz="4" w:space="0" w:color="A6A6A6" w:themeColor="background1" w:themeShade="A6"/>
              <w:left w:val="single" w:sz="8" w:space="0" w:color="A6A6A6" w:themeColor="background1" w:themeShade="A6"/>
              <w:bottom w:val="single" w:sz="4" w:space="0" w:color="A6A6A6" w:themeColor="background1" w:themeShade="A6"/>
              <w:right w:val="single" w:sz="8" w:space="0" w:color="A6A6A6" w:themeColor="background1" w:themeShade="A6"/>
            </w:tcBorders>
            <w:shd w:val="clear" w:color="auto" w:fill="auto"/>
            <w:vAlign w:val="top"/>
          </w:tcPr>
          <w:p w:rsidR="00FB6985" w:rsidRPr="004C33D1" w:rsidRDefault="0066583C" w:rsidP="00646189">
            <w:pPr>
              <w:pStyle w:val="TableText"/>
              <w:numPr>
                <w:ilvl w:val="0"/>
                <w:numId w:val="114"/>
              </w:numPr>
              <w:ind w:left="0" w:firstLine="0"/>
              <w:jc w:val="left"/>
              <w:cnfStyle w:val="000000000000" w:firstRow="0" w:lastRow="0" w:firstColumn="0" w:lastColumn="0" w:oddVBand="0" w:evenVBand="0" w:oddHBand="0" w:evenHBand="0" w:firstRowFirstColumn="0" w:firstRowLastColumn="0" w:lastRowFirstColumn="0" w:lastRowLastColumn="0"/>
            </w:pPr>
            <w:r>
              <w:t>Trends in land values</w:t>
            </w:r>
          </w:p>
        </w:tc>
        <w:tc>
          <w:tcPr>
            <w:tcW w:w="3095" w:type="pct"/>
            <w:tcBorders>
              <w:top w:val="single" w:sz="4" w:space="0" w:color="A6A6A6" w:themeColor="background1" w:themeShade="A6"/>
              <w:left w:val="single" w:sz="8" w:space="0" w:color="A6A6A6" w:themeColor="background1" w:themeShade="A6"/>
              <w:bottom w:val="single" w:sz="4" w:space="0" w:color="A6A6A6" w:themeColor="background1" w:themeShade="A6"/>
              <w:right w:val="single" w:sz="8" w:space="0" w:color="A6A6A6" w:themeColor="background1" w:themeShade="A6"/>
            </w:tcBorders>
            <w:shd w:val="clear" w:color="auto" w:fill="auto"/>
            <w:vAlign w:val="top"/>
          </w:tcPr>
          <w:p w:rsidR="00FB6985" w:rsidRDefault="0066583C" w:rsidP="0066583C">
            <w:pPr>
              <w:pStyle w:val="TableText"/>
              <w:jc w:val="left"/>
              <w:cnfStyle w:val="000000000000" w:firstRow="0" w:lastRow="0" w:firstColumn="0" w:lastColumn="0" w:oddVBand="0" w:evenVBand="0" w:oddHBand="0" w:evenHBand="0" w:firstRowFirstColumn="0" w:firstRowLastColumn="0" w:lastRowFirstColumn="0" w:lastRowLastColumn="0"/>
            </w:pPr>
            <w:proofErr w:type="gramStart"/>
            <w:r>
              <w:t>Significantly</w:t>
            </w:r>
            <w:proofErr w:type="gramEnd"/>
            <w:r>
              <w:t xml:space="preserve"> increasing prices can be used to identify emerging problems, as can divergence of land and property values</w:t>
            </w:r>
            <w:r w:rsidR="000E19B4">
              <w:t>.</w:t>
            </w:r>
          </w:p>
        </w:tc>
      </w:tr>
      <w:tr w:rsidR="0066583C" w:rsidRPr="004C33D1" w:rsidTr="00B82927">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685" w:type="pct"/>
            <w:tcBorders>
              <w:left w:val="single" w:sz="8" w:space="0" w:color="A6A6A6" w:themeColor="background1" w:themeShade="A6"/>
              <w:right w:val="single" w:sz="8" w:space="0" w:color="A6A6A6" w:themeColor="background1" w:themeShade="A6"/>
            </w:tcBorders>
          </w:tcPr>
          <w:p w:rsidR="0066583C" w:rsidRDefault="0066583C" w:rsidP="00E31755">
            <w:pPr>
              <w:pStyle w:val="TableText"/>
            </w:pPr>
          </w:p>
        </w:tc>
        <w:tc>
          <w:tcPr>
            <w:tcW w:w="1220" w:type="pct"/>
            <w:tcBorders>
              <w:top w:val="single" w:sz="4"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66583C" w:rsidRPr="004C33D1" w:rsidRDefault="0066583C" w:rsidP="00646189">
            <w:pPr>
              <w:pStyle w:val="TableText"/>
              <w:numPr>
                <w:ilvl w:val="0"/>
                <w:numId w:val="114"/>
              </w:numPr>
              <w:ind w:left="0" w:firstLine="0"/>
              <w:jc w:val="left"/>
              <w:cnfStyle w:val="000000000000" w:firstRow="0" w:lastRow="0" w:firstColumn="0" w:lastColumn="0" w:oddVBand="0" w:evenVBand="0" w:oddHBand="0" w:evenHBand="0" w:firstRowFirstColumn="0" w:firstRowLastColumn="0" w:lastRowFirstColumn="0" w:lastRowLastColumn="0"/>
            </w:pPr>
            <w:r w:rsidRPr="004C33D1">
              <w:t>Trends in rents: Inflation-adjusted mean rent values</w:t>
            </w:r>
          </w:p>
        </w:tc>
        <w:tc>
          <w:tcPr>
            <w:tcW w:w="3095" w:type="pct"/>
            <w:tcBorders>
              <w:top w:val="single" w:sz="4"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66583C" w:rsidRDefault="0066583C" w:rsidP="0066583C">
            <w:pPr>
              <w:pStyle w:val="TableText"/>
              <w:jc w:val="left"/>
              <w:cnfStyle w:val="000000000000" w:firstRow="0" w:lastRow="0" w:firstColumn="0" w:lastColumn="0" w:oddVBand="0" w:evenVBand="0" w:oddHBand="0" w:evenHBand="0" w:firstRowFirstColumn="0" w:firstRowLastColumn="0" w:lastRowFirstColumn="0" w:lastRowLastColumn="0"/>
            </w:pPr>
            <w:r>
              <w:t>Significant differences between changes in price trends for rents and ho</w:t>
            </w:r>
            <w:r w:rsidR="00B1320B">
              <w:t>m</w:t>
            </w:r>
            <w:r>
              <w:t>e prices can provide further suggestions on which parts of the market are least competitive.</w:t>
            </w:r>
          </w:p>
        </w:tc>
      </w:tr>
      <w:tr w:rsidR="004430C9" w:rsidRPr="004C33D1" w:rsidTr="00B82927">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685" w:type="pct"/>
            <w:tcBorders>
              <w:top w:val="single" w:sz="8" w:space="0" w:color="A6A6A6" w:themeColor="background1" w:themeShade="A6"/>
              <w:left w:val="single" w:sz="8" w:space="0" w:color="A6A6A6" w:themeColor="background1" w:themeShade="A6"/>
              <w:right w:val="single" w:sz="8" w:space="0" w:color="A6A6A6" w:themeColor="background1" w:themeShade="A6"/>
            </w:tcBorders>
            <w:vAlign w:val="top"/>
          </w:tcPr>
          <w:p w:rsidR="004430C9" w:rsidRPr="004C33D1" w:rsidRDefault="004430C9" w:rsidP="004430C9">
            <w:pPr>
              <w:pStyle w:val="TableText"/>
            </w:pPr>
            <w:r>
              <w:t>Supply-demand</w:t>
            </w:r>
          </w:p>
        </w:tc>
        <w:tc>
          <w:tcPr>
            <w:tcW w:w="1220" w:type="pct"/>
            <w:tcBorders>
              <w:top w:val="single" w:sz="8" w:space="0" w:color="A6A6A6" w:themeColor="background1" w:themeShade="A6"/>
              <w:left w:val="single" w:sz="8" w:space="0" w:color="A6A6A6" w:themeColor="background1" w:themeShade="A6"/>
              <w:right w:val="single" w:sz="8" w:space="0" w:color="A6A6A6" w:themeColor="background1" w:themeShade="A6"/>
            </w:tcBorders>
            <w:shd w:val="clear" w:color="auto" w:fill="auto"/>
            <w:vAlign w:val="top"/>
          </w:tcPr>
          <w:p w:rsidR="004430C9" w:rsidRPr="004C33D1" w:rsidRDefault="004430C9" w:rsidP="00646189">
            <w:pPr>
              <w:pStyle w:val="TableText"/>
              <w:numPr>
                <w:ilvl w:val="0"/>
                <w:numId w:val="114"/>
              </w:numPr>
              <w:ind w:left="0" w:firstLine="0"/>
              <w:jc w:val="left"/>
              <w:cnfStyle w:val="000000000000" w:firstRow="0" w:lastRow="0" w:firstColumn="0" w:lastColumn="0" w:oddVBand="0" w:evenVBand="0" w:oddHBand="0" w:evenHBand="0" w:firstRowFirstColumn="0" w:firstRowLastColumn="0" w:lastRowFirstColumn="0" w:lastRowLastColumn="0"/>
            </w:pPr>
            <w:r w:rsidRPr="004C33D1">
              <w:t>Population growth to building consents</w:t>
            </w:r>
          </w:p>
        </w:tc>
        <w:tc>
          <w:tcPr>
            <w:tcW w:w="3095"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4430C9" w:rsidRPr="004C33D1" w:rsidRDefault="004430C9" w:rsidP="005930B7">
            <w:pPr>
              <w:pStyle w:val="TableText"/>
              <w:jc w:val="left"/>
              <w:cnfStyle w:val="000000000000" w:firstRow="0" w:lastRow="0" w:firstColumn="0" w:lastColumn="0" w:oddVBand="0" w:evenVBand="0" w:oddHBand="0" w:evenHBand="0" w:firstRowFirstColumn="0" w:firstRowLastColumn="0" w:lastRowFirstColumn="0" w:lastRowLastColumn="0"/>
            </w:pPr>
            <w:r>
              <w:t>If ratio of population growth to new building consents is greater than average household size, it suggests that there is insufficient new building</w:t>
            </w:r>
            <w:r w:rsidR="000E19B4">
              <w:t>.</w:t>
            </w:r>
          </w:p>
        </w:tc>
      </w:tr>
      <w:tr w:rsidR="004430C9" w:rsidRPr="004C33D1" w:rsidTr="00B82927">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685" w:type="pct"/>
            <w:tcBorders>
              <w:left w:val="single" w:sz="8" w:space="0" w:color="A6A6A6" w:themeColor="background1" w:themeShade="A6"/>
              <w:right w:val="single" w:sz="8" w:space="0" w:color="A6A6A6" w:themeColor="background1" w:themeShade="A6"/>
            </w:tcBorders>
            <w:vAlign w:val="top"/>
          </w:tcPr>
          <w:p w:rsidR="004430C9" w:rsidRPr="004C33D1" w:rsidRDefault="004430C9" w:rsidP="004430C9">
            <w:pPr>
              <w:pStyle w:val="TableText"/>
            </w:pPr>
          </w:p>
        </w:tc>
        <w:tc>
          <w:tcPr>
            <w:tcW w:w="1220" w:type="pct"/>
            <w:tcBorders>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4430C9" w:rsidRPr="004C33D1" w:rsidRDefault="004430C9" w:rsidP="00646189">
            <w:pPr>
              <w:pStyle w:val="TableText"/>
              <w:jc w:val="left"/>
              <w:cnfStyle w:val="000000000000" w:firstRow="0" w:lastRow="0" w:firstColumn="0" w:lastColumn="0" w:oddVBand="0" w:evenVBand="0" w:oddHBand="0" w:evenHBand="0" w:firstRowFirstColumn="0" w:firstRowLastColumn="0" w:lastRowFirstColumn="0" w:lastRowLastColumn="0"/>
            </w:pPr>
          </w:p>
        </w:tc>
        <w:tc>
          <w:tcPr>
            <w:tcW w:w="3095"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4430C9" w:rsidRPr="004C33D1" w:rsidRDefault="004430C9" w:rsidP="00E31755">
            <w:pPr>
              <w:pStyle w:val="TableText"/>
              <w:jc w:val="left"/>
              <w:cnfStyle w:val="000000000000" w:firstRow="0" w:lastRow="0" w:firstColumn="0" w:lastColumn="0" w:oddVBand="0" w:evenVBand="0" w:oddHBand="0" w:evenHBand="0" w:firstRowFirstColumn="0" w:firstRowLastColumn="0" w:lastRowFirstColumn="0" w:lastRowLastColumn="0"/>
            </w:pPr>
            <w:r>
              <w:t xml:space="preserve">Average building size for new consents and number of buildings in different size categories should be used to supplement the analysis and interpret whether: (1) there is a shift to different size categories that might provide </w:t>
            </w:r>
            <w:proofErr w:type="gramStart"/>
            <w:r>
              <w:t>more or less total</w:t>
            </w:r>
            <w:proofErr w:type="gramEnd"/>
            <w:r>
              <w:t xml:space="preserve"> residential space, or (2) if there is a shift to more or less affordable housing types, eg bigger </w:t>
            </w:r>
            <w:r w:rsidR="000E19B4">
              <w:t>houses.</w:t>
            </w:r>
            <w:r>
              <w:t xml:space="preserve"> </w:t>
            </w:r>
          </w:p>
        </w:tc>
      </w:tr>
      <w:tr w:rsidR="0066583C" w:rsidRPr="004C33D1" w:rsidTr="00B82927">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685" w:type="pct"/>
            <w:tcBorders>
              <w:top w:val="single" w:sz="12" w:space="0" w:color="A6A6A6" w:themeColor="background1" w:themeShade="A6"/>
              <w:left w:val="single" w:sz="8" w:space="0" w:color="A6A6A6" w:themeColor="background1" w:themeShade="A6"/>
              <w:right w:val="single" w:sz="8" w:space="0" w:color="A6A6A6" w:themeColor="background1" w:themeShade="A6"/>
            </w:tcBorders>
            <w:vAlign w:val="top"/>
          </w:tcPr>
          <w:p w:rsidR="0066583C" w:rsidRDefault="0066583C" w:rsidP="004430C9">
            <w:pPr>
              <w:pStyle w:val="TableText"/>
            </w:pPr>
            <w:r>
              <w:t>Competitiveness</w:t>
            </w:r>
          </w:p>
        </w:tc>
        <w:tc>
          <w:tcPr>
            <w:tcW w:w="1220" w:type="pct"/>
            <w:tcBorders>
              <w:top w:val="single" w:sz="12"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66583C" w:rsidRPr="004C33D1" w:rsidRDefault="0066583C" w:rsidP="00646189">
            <w:pPr>
              <w:pStyle w:val="TableText"/>
              <w:numPr>
                <w:ilvl w:val="0"/>
                <w:numId w:val="114"/>
              </w:numPr>
              <w:ind w:left="0" w:firstLine="0"/>
              <w:jc w:val="left"/>
              <w:cnfStyle w:val="000000000000" w:firstRow="0" w:lastRow="0" w:firstColumn="0" w:lastColumn="0" w:oddVBand="0" w:evenVBand="0" w:oddHBand="0" w:evenHBand="0" w:firstRowFirstColumn="0" w:firstRowLastColumn="0" w:lastRowFirstColumn="0" w:lastRowLastColumn="0"/>
            </w:pPr>
            <w:r>
              <w:t>HHI</w:t>
            </w:r>
          </w:p>
        </w:tc>
        <w:tc>
          <w:tcPr>
            <w:tcW w:w="3095" w:type="pct"/>
            <w:tcBorders>
              <w:top w:val="single" w:sz="12"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66583C" w:rsidRDefault="00712A3C" w:rsidP="00712A3C">
            <w:pPr>
              <w:pStyle w:val="TableText"/>
              <w:jc w:val="left"/>
              <w:cnfStyle w:val="000000000000" w:firstRow="0" w:lastRow="0" w:firstColumn="0" w:lastColumn="0" w:oddVBand="0" w:evenVBand="0" w:oddHBand="0" w:evenHBand="0" w:firstRowFirstColumn="0" w:firstRowLastColumn="0" w:lastRowFirstColumn="0" w:lastRowLastColumn="0"/>
            </w:pPr>
            <w:r>
              <w:t xml:space="preserve">1,500 </w:t>
            </w:r>
            <w:r w:rsidR="0066583C">
              <w:t xml:space="preserve">- </w:t>
            </w:r>
            <w:r w:rsidR="0066583C" w:rsidRPr="0066583C">
              <w:t>2,500</w:t>
            </w:r>
            <w:r w:rsidR="0066583C">
              <w:t xml:space="preserve">: </w:t>
            </w:r>
            <w:r w:rsidR="0066583C" w:rsidRPr="0066583C">
              <w:t>moderately concentrated</w:t>
            </w:r>
            <w:proofErr w:type="gramStart"/>
            <w:r w:rsidR="0066583C">
              <w:t>;</w:t>
            </w:r>
            <w:proofErr w:type="gramEnd"/>
            <w:r>
              <w:t xml:space="preserve"> </w:t>
            </w:r>
            <w:r w:rsidR="0066583C">
              <w:t>&gt;</w:t>
            </w:r>
            <w:r w:rsidR="0066583C" w:rsidRPr="0066583C">
              <w:t>2,500</w:t>
            </w:r>
            <w:r w:rsidR="0066583C">
              <w:t xml:space="preserve">: </w:t>
            </w:r>
            <w:r w:rsidR="0066583C" w:rsidRPr="0066583C">
              <w:t>highly concentrated</w:t>
            </w:r>
            <w:r>
              <w:t xml:space="preserve">. If moderate to high concentration is combined with high prices, planning rules should be investigated to see if they </w:t>
            </w:r>
            <w:proofErr w:type="gramStart"/>
            <w:r>
              <w:t>can</w:t>
            </w:r>
            <w:proofErr w:type="gramEnd"/>
            <w:r>
              <w:t xml:space="preserve"> enable greater market entry and more competition.</w:t>
            </w:r>
          </w:p>
        </w:tc>
      </w:tr>
      <w:tr w:rsidR="004430C9" w:rsidRPr="004C33D1" w:rsidTr="00B82927">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685" w:type="pct"/>
            <w:tcBorders>
              <w:top w:val="single" w:sz="12" w:space="0" w:color="A6A6A6" w:themeColor="background1" w:themeShade="A6"/>
              <w:left w:val="single" w:sz="8" w:space="0" w:color="A6A6A6" w:themeColor="background1" w:themeShade="A6"/>
              <w:right w:val="single" w:sz="8" w:space="0" w:color="A6A6A6" w:themeColor="background1" w:themeShade="A6"/>
            </w:tcBorders>
            <w:vAlign w:val="top"/>
          </w:tcPr>
          <w:p w:rsidR="004430C9" w:rsidRPr="004C33D1" w:rsidRDefault="004430C9" w:rsidP="004430C9">
            <w:pPr>
              <w:pStyle w:val="TableText"/>
            </w:pPr>
            <w:r>
              <w:t>Efficient prices</w:t>
            </w:r>
          </w:p>
        </w:tc>
        <w:tc>
          <w:tcPr>
            <w:tcW w:w="1220" w:type="pct"/>
            <w:tcBorders>
              <w:top w:val="single" w:sz="12"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4430C9" w:rsidRPr="004C33D1" w:rsidRDefault="004430C9" w:rsidP="00646189">
            <w:pPr>
              <w:pStyle w:val="TableText"/>
              <w:numPr>
                <w:ilvl w:val="0"/>
                <w:numId w:val="114"/>
              </w:numPr>
              <w:ind w:left="0" w:firstLine="0"/>
              <w:jc w:val="left"/>
              <w:cnfStyle w:val="000000000000" w:firstRow="0" w:lastRow="0" w:firstColumn="0" w:lastColumn="0" w:oddVBand="0" w:evenVBand="0" w:oddHBand="0" w:evenHBand="0" w:firstRowFirstColumn="0" w:firstRowLastColumn="0" w:lastRowFirstColumn="0" w:lastRowLastColumn="0"/>
            </w:pPr>
            <w:r w:rsidRPr="004C33D1">
              <w:t>Discontinuities in land values between zones or at the urban fringe</w:t>
            </w:r>
          </w:p>
        </w:tc>
        <w:tc>
          <w:tcPr>
            <w:tcW w:w="3095" w:type="pct"/>
            <w:tcBorders>
              <w:top w:val="single" w:sz="12"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4430C9" w:rsidRDefault="004430C9" w:rsidP="005930B7">
            <w:pPr>
              <w:pStyle w:val="TableText"/>
              <w:jc w:val="left"/>
              <w:cnfStyle w:val="000000000000" w:firstRow="0" w:lastRow="0" w:firstColumn="0" w:lastColumn="0" w:oddVBand="0" w:evenVBand="0" w:oddHBand="0" w:evenHBand="0" w:firstRowFirstColumn="0" w:firstRowLastColumn="0" w:lastRowFirstColumn="0" w:lastRowLastColumn="0"/>
            </w:pPr>
            <w:r>
              <w:t xml:space="preserve">If there are significant absolute differences in land values across </w:t>
            </w:r>
            <w:proofErr w:type="gramStart"/>
            <w:r>
              <w:t>zones which</w:t>
            </w:r>
            <w:proofErr w:type="gramEnd"/>
            <w:r>
              <w:t xml:space="preserve"> cannot be explained by an analysis of the costs of development of land, it suggests that there is a lack of competitiveness in development markets.</w:t>
            </w:r>
          </w:p>
          <w:p w:rsidR="004430C9" w:rsidRPr="004C33D1" w:rsidRDefault="004430C9" w:rsidP="005930B7">
            <w:pPr>
              <w:pStyle w:val="TableText"/>
              <w:jc w:val="left"/>
              <w:cnfStyle w:val="000000000000" w:firstRow="0" w:lastRow="0" w:firstColumn="0" w:lastColumn="0" w:oddVBand="0" w:evenVBand="0" w:oddHBand="0" w:evenHBand="0" w:firstRowFirstColumn="0" w:firstRowLastColumn="0" w:lastRowFirstColumn="0" w:lastRowLastColumn="0"/>
            </w:pPr>
            <w:r>
              <w:t xml:space="preserve">Planning rules </w:t>
            </w:r>
            <w:proofErr w:type="gramStart"/>
            <w:r>
              <w:t>should be investigated</w:t>
            </w:r>
            <w:proofErr w:type="gramEnd"/>
            <w:r>
              <w:t xml:space="preserve"> to see if they are providing significant barriers to market entry.</w:t>
            </w:r>
          </w:p>
        </w:tc>
      </w:tr>
      <w:tr w:rsidR="004430C9" w:rsidRPr="004C33D1" w:rsidTr="00B82927">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685" w:type="pct"/>
            <w:tcBorders>
              <w:left w:val="single" w:sz="8" w:space="0" w:color="A6A6A6" w:themeColor="background1" w:themeShade="A6"/>
              <w:bottom w:val="single" w:sz="12" w:space="0" w:color="A6A6A6" w:themeColor="background1" w:themeShade="A6"/>
              <w:right w:val="single" w:sz="8" w:space="0" w:color="A6A6A6" w:themeColor="background1" w:themeShade="A6"/>
            </w:tcBorders>
            <w:vAlign w:val="top"/>
          </w:tcPr>
          <w:p w:rsidR="004430C9" w:rsidRPr="004C33D1" w:rsidRDefault="004430C9" w:rsidP="004430C9">
            <w:pPr>
              <w:pStyle w:val="TableText"/>
            </w:pPr>
          </w:p>
        </w:tc>
        <w:tc>
          <w:tcPr>
            <w:tcW w:w="122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4430C9" w:rsidRPr="004C33D1" w:rsidRDefault="004430C9" w:rsidP="00646189">
            <w:pPr>
              <w:pStyle w:val="TableText"/>
              <w:numPr>
                <w:ilvl w:val="0"/>
                <w:numId w:val="114"/>
              </w:numPr>
              <w:ind w:left="0" w:firstLine="0"/>
              <w:jc w:val="left"/>
              <w:cnfStyle w:val="000000000000" w:firstRow="0" w:lastRow="0" w:firstColumn="0" w:lastColumn="0" w:oddVBand="0" w:evenVBand="0" w:oddHBand="0" w:evenHBand="0" w:firstRowFirstColumn="0" w:firstRowLastColumn="0" w:lastRowFirstColumn="0" w:lastRowLastColumn="0"/>
            </w:pPr>
            <w:r w:rsidRPr="004C33D1">
              <w:t>High-rise apartment sale prices against marginal construction costs</w:t>
            </w:r>
          </w:p>
        </w:tc>
        <w:tc>
          <w:tcPr>
            <w:tcW w:w="3095"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4430C9" w:rsidRDefault="004430C9" w:rsidP="005930B7">
            <w:pPr>
              <w:pStyle w:val="TableText"/>
              <w:jc w:val="left"/>
              <w:cnfStyle w:val="000000000000" w:firstRow="0" w:lastRow="0" w:firstColumn="0" w:lastColumn="0" w:oddVBand="0" w:evenVBand="0" w:oddHBand="0" w:evenHBand="0" w:firstRowFirstColumn="0" w:firstRowLastColumn="0" w:lastRowFirstColumn="0" w:lastRowLastColumn="0"/>
            </w:pPr>
            <w:r>
              <w:t xml:space="preserve">If there are significant absolute differences </w:t>
            </w:r>
            <w:r w:rsidR="00DD6005">
              <w:t>between the price of high-rise apartments (or offices, hotels, etc) and marginal construction costs that cannot be explained by quantifiable factors, such as ‘lumpiness’ related to earthquake strengthening or building infrastructure costs</w:t>
            </w:r>
            <w:r>
              <w:t>, it suggests that there is a lack of competitiveness in development markets</w:t>
            </w:r>
            <w:r w:rsidR="00712A3C">
              <w:t>.</w:t>
            </w:r>
          </w:p>
          <w:p w:rsidR="004430C9" w:rsidRPr="004C33D1" w:rsidRDefault="004430C9" w:rsidP="005930B7">
            <w:pPr>
              <w:pStyle w:val="TableText"/>
              <w:jc w:val="left"/>
              <w:cnfStyle w:val="000000000000" w:firstRow="0" w:lastRow="0" w:firstColumn="0" w:lastColumn="0" w:oddVBand="0" w:evenVBand="0" w:oddHBand="0" w:evenHBand="0" w:firstRowFirstColumn="0" w:firstRowLastColumn="0" w:lastRowFirstColumn="0" w:lastRowLastColumn="0"/>
            </w:pPr>
            <w:r>
              <w:t xml:space="preserve">Planning rules </w:t>
            </w:r>
            <w:proofErr w:type="gramStart"/>
            <w:r>
              <w:t>should be investigated</w:t>
            </w:r>
            <w:proofErr w:type="gramEnd"/>
            <w:r>
              <w:t xml:space="preserve"> to see if they are providing significant barriers to market entry.</w:t>
            </w:r>
          </w:p>
        </w:tc>
      </w:tr>
      <w:tr w:rsidR="004430C9" w:rsidRPr="004C33D1" w:rsidTr="00B82927">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685" w:type="pct"/>
            <w:tcBorders>
              <w:top w:val="single" w:sz="12" w:space="0" w:color="A6A6A6" w:themeColor="background1" w:themeShade="A6"/>
              <w:left w:val="single" w:sz="8" w:space="0" w:color="A6A6A6" w:themeColor="background1" w:themeShade="A6"/>
              <w:right w:val="single" w:sz="8" w:space="0" w:color="A6A6A6" w:themeColor="background1" w:themeShade="A6"/>
            </w:tcBorders>
            <w:vAlign w:val="top"/>
          </w:tcPr>
          <w:p w:rsidR="004430C9" w:rsidRPr="004C33D1" w:rsidRDefault="004430C9" w:rsidP="004430C9">
            <w:pPr>
              <w:pStyle w:val="TableText"/>
            </w:pPr>
            <w:r>
              <w:t>Affordability</w:t>
            </w:r>
          </w:p>
        </w:tc>
        <w:tc>
          <w:tcPr>
            <w:tcW w:w="1220" w:type="pct"/>
            <w:tcBorders>
              <w:top w:val="single" w:sz="12"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4430C9" w:rsidRPr="004C33D1" w:rsidRDefault="004430C9" w:rsidP="00646189">
            <w:pPr>
              <w:pStyle w:val="TableText"/>
              <w:numPr>
                <w:ilvl w:val="0"/>
                <w:numId w:val="114"/>
              </w:numPr>
              <w:ind w:left="0" w:firstLine="0"/>
              <w:jc w:val="left"/>
              <w:cnfStyle w:val="000000000000" w:firstRow="0" w:lastRow="0" w:firstColumn="0" w:lastColumn="0" w:oddVBand="0" w:evenVBand="0" w:oddHBand="0" w:evenHBand="0" w:firstRowFirstColumn="0" w:firstRowLastColumn="0" w:lastRowFirstColumn="0" w:lastRowLastColumn="0"/>
            </w:pPr>
            <w:r w:rsidRPr="004C33D1">
              <w:t>Ho</w:t>
            </w:r>
            <w:r w:rsidR="007B2A41">
              <w:t>m</w:t>
            </w:r>
            <w:r w:rsidRPr="004C33D1">
              <w:t>e price to income: lower quartile ho</w:t>
            </w:r>
            <w:r w:rsidR="007B2A41">
              <w:t>m</w:t>
            </w:r>
            <w:r w:rsidRPr="004C33D1">
              <w:t>e price to median household income</w:t>
            </w:r>
          </w:p>
        </w:tc>
        <w:tc>
          <w:tcPr>
            <w:tcW w:w="3095" w:type="pct"/>
            <w:tcBorders>
              <w:top w:val="single" w:sz="12"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4430C9" w:rsidRPr="004C33D1" w:rsidRDefault="004430C9" w:rsidP="005930B7">
            <w:pPr>
              <w:pStyle w:val="TableText"/>
              <w:jc w:val="left"/>
              <w:cnfStyle w:val="000000000000" w:firstRow="0" w:lastRow="0" w:firstColumn="0" w:lastColumn="0" w:oddVBand="0" w:evenVBand="0" w:oddHBand="0" w:evenHBand="0" w:firstRowFirstColumn="0" w:firstRowLastColumn="0" w:lastRowFirstColumn="0" w:lastRowLastColumn="0"/>
            </w:pPr>
            <w:r>
              <w:t xml:space="preserve">If the ratio of price to income is </w:t>
            </w:r>
            <w:proofErr w:type="gramStart"/>
            <w:r>
              <w:t>increasing</w:t>
            </w:r>
            <w:proofErr w:type="gramEnd"/>
            <w:r>
              <w:t xml:space="preserve"> it suggests an increasing affordability problem. This </w:t>
            </w:r>
            <w:proofErr w:type="gramStart"/>
            <w:r>
              <w:t>should be further investigated</w:t>
            </w:r>
            <w:proofErr w:type="gramEnd"/>
            <w:r>
              <w:t xml:space="preserve"> by examining trends in housing costs ratio (see below) and by comparing trends between cities to see if the problem is location-specific</w:t>
            </w:r>
            <w:r w:rsidR="000E19B4">
              <w:t>.</w:t>
            </w:r>
          </w:p>
        </w:tc>
      </w:tr>
      <w:tr w:rsidR="004430C9" w:rsidRPr="004C33D1" w:rsidTr="00B82927">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685" w:type="pct"/>
            <w:tcBorders>
              <w:left w:val="single" w:sz="8" w:space="0" w:color="A6A6A6" w:themeColor="background1" w:themeShade="A6"/>
              <w:right w:val="single" w:sz="8" w:space="0" w:color="A6A6A6" w:themeColor="background1" w:themeShade="A6"/>
            </w:tcBorders>
            <w:vAlign w:val="top"/>
          </w:tcPr>
          <w:p w:rsidR="004430C9" w:rsidRPr="004C33D1" w:rsidRDefault="004430C9" w:rsidP="004430C9">
            <w:pPr>
              <w:pStyle w:val="TableText"/>
            </w:pPr>
          </w:p>
        </w:tc>
        <w:tc>
          <w:tcPr>
            <w:tcW w:w="122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4430C9" w:rsidRPr="004C33D1" w:rsidRDefault="004430C9" w:rsidP="00646189">
            <w:pPr>
              <w:pStyle w:val="TableText"/>
              <w:numPr>
                <w:ilvl w:val="0"/>
                <w:numId w:val="114"/>
              </w:numPr>
              <w:ind w:left="0" w:firstLine="0"/>
              <w:jc w:val="left"/>
              <w:cnfStyle w:val="000000000000" w:firstRow="0" w:lastRow="0" w:firstColumn="0" w:lastColumn="0" w:oddVBand="0" w:evenVBand="0" w:oddHBand="0" w:evenHBand="0" w:firstRowFirstColumn="0" w:firstRowLastColumn="0" w:lastRowFirstColumn="0" w:lastRowLastColumn="0"/>
            </w:pPr>
            <w:r w:rsidRPr="004C33D1">
              <w:t>Mortgage repayments to income ratio</w:t>
            </w:r>
          </w:p>
        </w:tc>
        <w:tc>
          <w:tcPr>
            <w:tcW w:w="3095"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top"/>
          </w:tcPr>
          <w:p w:rsidR="004430C9" w:rsidRPr="004C33D1" w:rsidRDefault="004430C9" w:rsidP="00654BF7">
            <w:pPr>
              <w:pStyle w:val="TableText"/>
              <w:jc w:val="left"/>
              <w:cnfStyle w:val="000000000000" w:firstRow="0" w:lastRow="0" w:firstColumn="0" w:lastColumn="0" w:oddVBand="0" w:evenVBand="0" w:oddHBand="0" w:evenHBand="0" w:firstRowFirstColumn="0" w:firstRowLastColumn="0" w:lastRowFirstColumn="0" w:lastRowLastColumn="0"/>
            </w:pPr>
            <w:r>
              <w:t xml:space="preserve">If the ratio is </w:t>
            </w:r>
            <w:proofErr w:type="gramStart"/>
            <w:r>
              <w:t>increasing</w:t>
            </w:r>
            <w:proofErr w:type="gramEnd"/>
            <w:r>
              <w:t xml:space="preserve"> it suggests an increasing affordability problem. This </w:t>
            </w:r>
            <w:proofErr w:type="gramStart"/>
            <w:r>
              <w:t>should be further investigated</w:t>
            </w:r>
            <w:proofErr w:type="gramEnd"/>
            <w:r>
              <w:t xml:space="preserve"> by separating the effects of prices versus interest rates. Additional information to assist interpretation would include trends in prices and in incomes, including by age category.</w:t>
            </w:r>
          </w:p>
        </w:tc>
      </w:tr>
      <w:tr w:rsidR="004430C9" w:rsidRPr="004C33D1" w:rsidTr="00B82927">
        <w:tblPrEx>
          <w:tblCellMar>
            <w:top w:w="0" w:type="dxa"/>
            <w:bottom w:w="0"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685" w:type="pct"/>
            <w:tcBorders>
              <w:left w:val="single" w:sz="8" w:space="0" w:color="A6A6A6" w:themeColor="background1" w:themeShade="A6"/>
              <w:right w:val="single" w:sz="8" w:space="0" w:color="A6A6A6" w:themeColor="background1" w:themeShade="A6"/>
            </w:tcBorders>
            <w:vAlign w:val="top"/>
          </w:tcPr>
          <w:p w:rsidR="004430C9" w:rsidRPr="004C33D1" w:rsidRDefault="004430C9" w:rsidP="004430C9">
            <w:pPr>
              <w:pStyle w:val="TableText"/>
            </w:pPr>
          </w:p>
        </w:tc>
        <w:tc>
          <w:tcPr>
            <w:tcW w:w="1220" w:type="pct"/>
            <w:tcBorders>
              <w:top w:val="single" w:sz="8" w:space="0" w:color="A6A6A6" w:themeColor="background1" w:themeShade="A6"/>
              <w:left w:val="single" w:sz="8" w:space="0" w:color="A6A6A6" w:themeColor="background1" w:themeShade="A6"/>
              <w:right w:val="single" w:sz="8" w:space="0" w:color="A6A6A6" w:themeColor="background1" w:themeShade="A6"/>
            </w:tcBorders>
            <w:shd w:val="clear" w:color="auto" w:fill="auto"/>
            <w:vAlign w:val="top"/>
          </w:tcPr>
          <w:p w:rsidR="004430C9" w:rsidRPr="004C33D1" w:rsidRDefault="004430C9" w:rsidP="00646189">
            <w:pPr>
              <w:pStyle w:val="TableText"/>
              <w:numPr>
                <w:ilvl w:val="0"/>
                <w:numId w:val="114"/>
              </w:numPr>
              <w:ind w:left="0" w:firstLine="0"/>
              <w:jc w:val="left"/>
              <w:cnfStyle w:val="010000000000" w:firstRow="0" w:lastRow="1" w:firstColumn="0" w:lastColumn="0" w:oddVBand="0" w:evenVBand="0" w:oddHBand="0" w:evenHBand="0" w:firstRowFirstColumn="0" w:firstRowLastColumn="0" w:lastRowFirstColumn="0" w:lastRowLastColumn="0"/>
            </w:pPr>
            <w:r w:rsidRPr="004C33D1">
              <w:t>Rent payments to income</w:t>
            </w:r>
            <w:r>
              <w:t xml:space="preserve"> ratio</w:t>
            </w:r>
          </w:p>
        </w:tc>
        <w:tc>
          <w:tcPr>
            <w:tcW w:w="3095" w:type="pct"/>
            <w:tcBorders>
              <w:top w:val="single" w:sz="8" w:space="0" w:color="A6A6A6" w:themeColor="background1" w:themeShade="A6"/>
              <w:left w:val="single" w:sz="8" w:space="0" w:color="A6A6A6" w:themeColor="background1" w:themeShade="A6"/>
              <w:right w:val="single" w:sz="8" w:space="0" w:color="A6A6A6" w:themeColor="background1" w:themeShade="A6"/>
            </w:tcBorders>
            <w:shd w:val="clear" w:color="auto" w:fill="auto"/>
            <w:vAlign w:val="top"/>
          </w:tcPr>
          <w:p w:rsidR="004430C9" w:rsidRPr="004C33D1" w:rsidRDefault="004430C9" w:rsidP="008676FD">
            <w:pPr>
              <w:pStyle w:val="TableText"/>
              <w:jc w:val="left"/>
              <w:cnfStyle w:val="010000000000" w:firstRow="0" w:lastRow="1" w:firstColumn="0" w:lastColumn="0" w:oddVBand="0" w:evenVBand="0" w:oddHBand="0" w:evenHBand="0" w:firstRowFirstColumn="0" w:firstRowLastColumn="0" w:lastRowFirstColumn="0" w:lastRowLastColumn="0"/>
            </w:pPr>
            <w:r>
              <w:t xml:space="preserve">If the ratio is </w:t>
            </w:r>
            <w:proofErr w:type="gramStart"/>
            <w:r>
              <w:t>increasing</w:t>
            </w:r>
            <w:proofErr w:type="gramEnd"/>
            <w:r>
              <w:t xml:space="preserve"> it suggests an increasing affordability problem. This </w:t>
            </w:r>
            <w:proofErr w:type="gramStart"/>
            <w:r>
              <w:t>should be further investigated</w:t>
            </w:r>
            <w:proofErr w:type="gramEnd"/>
            <w:r>
              <w:t xml:space="preserve"> by comparing trends in rents with trends in ho</w:t>
            </w:r>
            <w:r w:rsidR="007B2A41">
              <w:t>m</w:t>
            </w:r>
            <w:r>
              <w:t>e prices.</w:t>
            </w:r>
          </w:p>
        </w:tc>
      </w:tr>
    </w:tbl>
    <w:p w:rsidR="005930B7" w:rsidRPr="004C33D1" w:rsidRDefault="005930B7" w:rsidP="005930B7"/>
    <w:p w:rsidR="00021361" w:rsidRPr="004C33D1" w:rsidRDefault="00A922B0" w:rsidP="00397ABD">
      <w:r>
        <w:t xml:space="preserve">Where the efficient price indicators suggest that there are significant price differences that are not explainable by other factors, </w:t>
      </w:r>
      <w:r w:rsidR="00FB6985">
        <w:t xml:space="preserve">this information indicates plans should provide </w:t>
      </w:r>
      <w:r>
        <w:t xml:space="preserve">additional development capacity. </w:t>
      </w:r>
      <w:r w:rsidR="00021361">
        <w:t xml:space="preserve">The indicators </w:t>
      </w:r>
      <w:proofErr w:type="gramStart"/>
      <w:r w:rsidR="00021361">
        <w:t>cannot</w:t>
      </w:r>
      <w:r w:rsidR="00B82927">
        <w:t>,</w:t>
      </w:r>
      <w:r w:rsidR="00021361">
        <w:t xml:space="preserve"> by themselves</w:t>
      </w:r>
      <w:r w:rsidR="00B82927">
        <w:t>,</w:t>
      </w:r>
      <w:r w:rsidR="00021361">
        <w:t xml:space="preserve"> lead</w:t>
      </w:r>
      <w:proofErr w:type="gramEnd"/>
      <w:r w:rsidR="00021361">
        <w:t xml:space="preserve"> to </w:t>
      </w:r>
      <w:r w:rsidR="00021361">
        <w:lastRenderedPageBreak/>
        <w:t xml:space="preserve">conclusions about </w:t>
      </w:r>
      <w:r>
        <w:t>exactly what kind of capacity or the location, but they are the starting point for that analysis as a matter of urgency.</w:t>
      </w:r>
    </w:p>
    <w:p w:rsidR="00060F94" w:rsidRPr="004C33D1" w:rsidRDefault="00060F94" w:rsidP="00060F94">
      <w:pPr>
        <w:pStyle w:val="Heading3"/>
      </w:pPr>
      <w:r w:rsidRPr="004C33D1">
        <w:t>Institutional Arrangements</w:t>
      </w:r>
    </w:p>
    <w:p w:rsidR="00060F94" w:rsidRPr="004C33D1" w:rsidRDefault="00060F94" w:rsidP="00060F94">
      <w:pPr>
        <w:pStyle w:val="Heading4"/>
      </w:pPr>
      <w:r w:rsidRPr="004C33D1">
        <w:t>National direction and non-statutory guidance</w:t>
      </w:r>
    </w:p>
    <w:p w:rsidR="00060F94" w:rsidRPr="004C33D1" w:rsidRDefault="00B82927" w:rsidP="00060F94">
      <w:r>
        <w:t>There are three main options.</w:t>
      </w:r>
      <w:r>
        <w:br/>
      </w:r>
    </w:p>
    <w:p w:rsidR="00060F94" w:rsidRDefault="00060F94" w:rsidP="006277DC">
      <w:pPr>
        <w:pStyle w:val="ListParagraph"/>
        <w:numPr>
          <w:ilvl w:val="0"/>
          <w:numId w:val="89"/>
        </w:numPr>
      </w:pPr>
      <w:r w:rsidRPr="004C33D1">
        <w:t>Include all specific price signal measures in the NPS-UDC, and provide additional explanation on how to calculate and interpret them in guidance.</w:t>
      </w:r>
    </w:p>
    <w:p w:rsidR="00021361" w:rsidRPr="004C33D1" w:rsidRDefault="00021361" w:rsidP="00021361">
      <w:pPr>
        <w:pStyle w:val="ListParagraph"/>
        <w:numPr>
          <w:ilvl w:val="0"/>
          <w:numId w:val="0"/>
        </w:numPr>
        <w:ind w:left="720"/>
      </w:pPr>
    </w:p>
    <w:p w:rsidR="00021361" w:rsidRDefault="00060F94" w:rsidP="006277DC">
      <w:pPr>
        <w:pStyle w:val="ListParagraph"/>
        <w:numPr>
          <w:ilvl w:val="0"/>
          <w:numId w:val="89"/>
        </w:numPr>
      </w:pPr>
      <w:r w:rsidRPr="004C33D1">
        <w:t xml:space="preserve">Include </w:t>
      </w:r>
      <w:r w:rsidRPr="004C33D1">
        <w:rPr>
          <w:i/>
        </w:rPr>
        <w:t>some</w:t>
      </w:r>
      <w:r w:rsidRPr="004C33D1">
        <w:t xml:space="preserve"> specific price signal measures in the NPS-UDC, and provide guidance that includes additional price signals that are optional to measure.</w:t>
      </w:r>
    </w:p>
    <w:p w:rsidR="00021361" w:rsidRPr="004C33D1" w:rsidRDefault="00021361" w:rsidP="00021361">
      <w:pPr>
        <w:pStyle w:val="ListParagraph"/>
        <w:numPr>
          <w:ilvl w:val="0"/>
          <w:numId w:val="0"/>
        </w:numPr>
        <w:ind w:left="720"/>
      </w:pPr>
    </w:p>
    <w:p w:rsidR="00060F94" w:rsidRPr="004C33D1" w:rsidRDefault="00060F94" w:rsidP="006277DC">
      <w:pPr>
        <w:pStyle w:val="ListParagraph"/>
        <w:numPr>
          <w:ilvl w:val="0"/>
          <w:numId w:val="89"/>
        </w:numPr>
      </w:pPr>
      <w:r w:rsidRPr="004C33D1">
        <w:t xml:space="preserve">Provide guidance on the </w:t>
      </w:r>
      <w:r w:rsidRPr="004C33D1">
        <w:rPr>
          <w:i/>
        </w:rPr>
        <w:t>type</w:t>
      </w:r>
      <w:r w:rsidRPr="004C33D1">
        <w:t xml:space="preserve"> of price signals to measure in the NPS-UDC, and provide guidance that sets out options for a range of price signals that councils could choose to measure.</w:t>
      </w:r>
    </w:p>
    <w:p w:rsidR="00060F94" w:rsidRPr="004C33D1" w:rsidRDefault="00060F94" w:rsidP="00060F94"/>
    <w:p w:rsidR="00060F94" w:rsidRDefault="00060F94" w:rsidP="00060F94">
      <w:r w:rsidRPr="004C33D1">
        <w:t xml:space="preserve">Our recommendation would be to opt for option 2. Having a small set of indicators measured across all councils would provide the ability to make comparisons. It is also likely that a small set of indicators would be useful in most circumstances. </w:t>
      </w:r>
    </w:p>
    <w:p w:rsidR="004430C9" w:rsidRDefault="004430C9" w:rsidP="0072433C"/>
    <w:p w:rsidR="00021361" w:rsidRDefault="00021361" w:rsidP="0072433C">
      <w:r>
        <w:t>Of the indicators listed above (</w:t>
      </w:r>
      <w:r>
        <w:fldChar w:fldCharType="begin"/>
      </w:r>
      <w:r>
        <w:instrText xml:space="preserve"> REF _Ref458441648 \h </w:instrText>
      </w:r>
      <w:r>
        <w:fldChar w:fldCharType="separate"/>
      </w:r>
      <w:r w:rsidR="004D1DDA">
        <w:t xml:space="preserve">Table </w:t>
      </w:r>
      <w:r w:rsidR="004D1DDA">
        <w:rPr>
          <w:noProof/>
        </w:rPr>
        <w:t>17</w:t>
      </w:r>
      <w:r>
        <w:fldChar w:fldCharType="end"/>
      </w:r>
      <w:r>
        <w:t>)</w:t>
      </w:r>
      <w:r w:rsidR="00A1745B">
        <w:t>, we suggest that:</w:t>
      </w:r>
    </w:p>
    <w:p w:rsidR="00A1745B" w:rsidRDefault="00A1745B" w:rsidP="0072433C"/>
    <w:p w:rsidR="00714B46" w:rsidRDefault="00B82927" w:rsidP="006277DC">
      <w:pPr>
        <w:pStyle w:val="ListParagraph"/>
        <w:numPr>
          <w:ilvl w:val="0"/>
          <w:numId w:val="101"/>
        </w:numPr>
      </w:pPr>
      <w:r>
        <w:t xml:space="preserve">the </w:t>
      </w:r>
      <w:r w:rsidR="00A1745B">
        <w:t xml:space="preserve">price trend indicators </w:t>
      </w:r>
      <w:r w:rsidR="00714B46">
        <w:t>(house prices and rents) are collected by all councils;</w:t>
      </w:r>
      <w:r>
        <w:br/>
      </w:r>
    </w:p>
    <w:p w:rsidR="00714B46" w:rsidRDefault="00B82927" w:rsidP="006277DC">
      <w:pPr>
        <w:pStyle w:val="ListParagraph"/>
        <w:numPr>
          <w:ilvl w:val="0"/>
          <w:numId w:val="101"/>
        </w:numPr>
      </w:pPr>
      <w:r>
        <w:t xml:space="preserve">the </w:t>
      </w:r>
      <w:r w:rsidR="00714B46">
        <w:t>ratio of population growth to new consents plus data on the size of new consented dwellings are collected by all councils; and</w:t>
      </w:r>
      <w:r>
        <w:br/>
      </w:r>
    </w:p>
    <w:p w:rsidR="00A1745B" w:rsidRDefault="00B82927" w:rsidP="006277DC">
      <w:pPr>
        <w:pStyle w:val="ListParagraph"/>
        <w:numPr>
          <w:ilvl w:val="0"/>
          <w:numId w:val="101"/>
        </w:numPr>
      </w:pPr>
      <w:proofErr w:type="gramStart"/>
      <w:r>
        <w:t>affordability</w:t>
      </w:r>
      <w:proofErr w:type="gramEnd"/>
      <w:r>
        <w:t xml:space="preserve"> </w:t>
      </w:r>
      <w:r w:rsidR="00714B46">
        <w:t>indicators are published for all council areas using data from the HAM.</w:t>
      </w:r>
    </w:p>
    <w:p w:rsidR="00714B46" w:rsidRDefault="00714B46" w:rsidP="00714B46"/>
    <w:p w:rsidR="00714B46" w:rsidRDefault="00714B46" w:rsidP="00714B46">
      <w:r>
        <w:t xml:space="preserve">Efficient price indicators </w:t>
      </w:r>
      <w:proofErr w:type="gramStart"/>
      <w:r>
        <w:t>should be developed</w:t>
      </w:r>
      <w:proofErr w:type="gramEnd"/>
      <w:r>
        <w:t xml:space="preserve"> where these indicators suggest that: </w:t>
      </w:r>
    </w:p>
    <w:p w:rsidR="00B82927" w:rsidRDefault="00B82927" w:rsidP="00714B46"/>
    <w:p w:rsidR="00714B46" w:rsidRDefault="00714B46" w:rsidP="006277DC">
      <w:pPr>
        <w:pStyle w:val="ListParagraph"/>
        <w:numPr>
          <w:ilvl w:val="0"/>
          <w:numId w:val="102"/>
        </w:numPr>
      </w:pPr>
      <w:r>
        <w:t>prices are rising significantly faster than inflation rates;</w:t>
      </w:r>
    </w:p>
    <w:p w:rsidR="00B82927" w:rsidRDefault="00B82927" w:rsidP="00B82927">
      <w:pPr>
        <w:pStyle w:val="ListParagraph"/>
        <w:numPr>
          <w:ilvl w:val="0"/>
          <w:numId w:val="0"/>
        </w:numPr>
        <w:ind w:left="720"/>
      </w:pPr>
    </w:p>
    <w:p w:rsidR="00714B46" w:rsidRDefault="00714B46" w:rsidP="006277DC">
      <w:pPr>
        <w:pStyle w:val="ListParagraph"/>
        <w:numPr>
          <w:ilvl w:val="0"/>
          <w:numId w:val="102"/>
        </w:numPr>
      </w:pPr>
      <w:r>
        <w:t>new consents are not keeping pace with population growth or buildings are only meeting the requirements of certain segments of the population; or</w:t>
      </w:r>
      <w:r w:rsidR="00B82927">
        <w:br/>
      </w:r>
    </w:p>
    <w:p w:rsidR="00714B46" w:rsidRDefault="00714B46" w:rsidP="006277DC">
      <w:pPr>
        <w:pStyle w:val="ListParagraph"/>
        <w:numPr>
          <w:ilvl w:val="0"/>
          <w:numId w:val="102"/>
        </w:numPr>
      </w:pPr>
      <w:proofErr w:type="gramStart"/>
      <w:r>
        <w:t>the</w:t>
      </w:r>
      <w:proofErr w:type="gramEnd"/>
      <w:r>
        <w:t xml:space="preserve"> HAM indicators suggest that affordability is becoming significantly worse.</w:t>
      </w:r>
    </w:p>
    <w:p w:rsidR="0072433C" w:rsidRPr="004C33D1" w:rsidRDefault="0072433C" w:rsidP="0072433C">
      <w:pPr>
        <w:pStyle w:val="Heading4"/>
      </w:pPr>
      <w:r w:rsidRPr="004C33D1">
        <w:t xml:space="preserve">The role of central and local government: </w:t>
      </w:r>
    </w:p>
    <w:p w:rsidR="0072433C" w:rsidRPr="004C33D1" w:rsidRDefault="0072433C" w:rsidP="00714B46">
      <w:r w:rsidRPr="004C33D1">
        <w:t xml:space="preserve">Central government has better access to consistent data, eg through purchase arrangement with CoreLogic and access to administrative data through Statistics New Zealand’s Integrated Data Infrastructure, eg tax data. At a </w:t>
      </w:r>
      <w:proofErr w:type="gramStart"/>
      <w:r w:rsidRPr="004C33D1">
        <w:t>minimum</w:t>
      </w:r>
      <w:proofErr w:type="gramEnd"/>
      <w:r w:rsidRPr="004C33D1">
        <w:t xml:space="preserve"> there is a role for central government in providing data to councils.</w:t>
      </w:r>
      <w:r w:rsidRPr="004C33D1">
        <w:br/>
      </w:r>
    </w:p>
    <w:p w:rsidR="003C6AF9" w:rsidRDefault="003C6AF9" w:rsidP="00714B46"/>
    <w:p w:rsidR="0072433C" w:rsidRDefault="0072433C" w:rsidP="00714B46">
      <w:r w:rsidRPr="004C33D1">
        <w:lastRenderedPageBreak/>
        <w:t>Central government may have better ability to</w:t>
      </w:r>
      <w:r w:rsidR="00FB6985">
        <w:t>:</w:t>
      </w:r>
    </w:p>
    <w:p w:rsidR="00B82927" w:rsidRPr="004C33D1" w:rsidRDefault="00B82927" w:rsidP="00714B46"/>
    <w:p w:rsidR="0072433C" w:rsidRPr="004C33D1" w:rsidRDefault="0072433C" w:rsidP="006277DC">
      <w:pPr>
        <w:pStyle w:val="ListParagraph"/>
        <w:numPr>
          <w:ilvl w:val="0"/>
          <w:numId w:val="60"/>
        </w:numPr>
      </w:pPr>
      <w:r w:rsidRPr="004C33D1">
        <w:t>develop and implement consistent and sophisticated methodologies</w:t>
      </w:r>
      <w:r w:rsidR="00FB6985">
        <w:t>, and interpret indicators</w:t>
      </w:r>
      <w:r w:rsidRPr="004C33D1">
        <w:t>; and/or</w:t>
      </w:r>
      <w:r w:rsidR="00B82927">
        <w:br/>
      </w:r>
    </w:p>
    <w:p w:rsidR="0072433C" w:rsidRPr="004C33D1" w:rsidRDefault="0072433C" w:rsidP="006277DC">
      <w:pPr>
        <w:pStyle w:val="ListParagraph"/>
        <w:numPr>
          <w:ilvl w:val="0"/>
          <w:numId w:val="60"/>
        </w:numPr>
      </w:pPr>
      <w:proofErr w:type="gramStart"/>
      <w:r w:rsidRPr="004C33D1">
        <w:t>purchase</w:t>
      </w:r>
      <w:proofErr w:type="gramEnd"/>
      <w:r w:rsidRPr="004C33D1">
        <w:t xml:space="preserve"> skills without duplicating effort. </w:t>
      </w:r>
      <w:r w:rsidRPr="004C33D1">
        <w:br/>
      </w:r>
    </w:p>
    <w:p w:rsidR="0072433C" w:rsidRPr="004C33D1" w:rsidRDefault="0072433C" w:rsidP="00714B46">
      <w:r w:rsidRPr="004C33D1">
        <w:t>Local government potentially has better local information on determinants of prices, development costs, and so on.</w:t>
      </w:r>
      <w:r w:rsidR="00714B46">
        <w:t xml:space="preserve"> However, l</w:t>
      </w:r>
      <w:r w:rsidRPr="004C33D1">
        <w:t xml:space="preserve">ocal government capability to develop indicators </w:t>
      </w:r>
      <w:proofErr w:type="gramStart"/>
      <w:r w:rsidRPr="004C33D1">
        <w:t>is mixed</w:t>
      </w:r>
      <w:proofErr w:type="gramEnd"/>
      <w:r w:rsidRPr="004C33D1">
        <w:t>, reflecting council size and skill levels of staff.</w:t>
      </w:r>
      <w:r w:rsidR="00714B46">
        <w:t xml:space="preserve"> Therefore</w:t>
      </w:r>
      <w:r w:rsidR="00FB6985">
        <w:t>,</w:t>
      </w:r>
      <w:r w:rsidR="00714B46">
        <w:t xml:space="preserve"> p</w:t>
      </w:r>
      <w:r w:rsidRPr="004C33D1">
        <w:t xml:space="preserve">artnership approaches between councils, or between councils and central government, should be </w:t>
      </w:r>
      <w:r w:rsidR="00A922B0">
        <w:t>encouraged.</w:t>
      </w:r>
    </w:p>
    <w:p w:rsidR="0072433C" w:rsidRDefault="0072433C" w:rsidP="0072433C"/>
    <w:p w:rsidR="00714B46" w:rsidRDefault="00714B46" w:rsidP="0072433C">
      <w:r>
        <w:t xml:space="preserve">It </w:t>
      </w:r>
      <w:proofErr w:type="gramStart"/>
      <w:r>
        <w:t>is recommended</w:t>
      </w:r>
      <w:proofErr w:type="gramEnd"/>
      <w:r>
        <w:t xml:space="preserve"> that:</w:t>
      </w:r>
    </w:p>
    <w:p w:rsidR="00714B46" w:rsidRDefault="00714B46" w:rsidP="0072433C"/>
    <w:p w:rsidR="00714B46" w:rsidRDefault="00714B46" w:rsidP="006277DC">
      <w:pPr>
        <w:pStyle w:val="ListParagraph"/>
        <w:numPr>
          <w:ilvl w:val="0"/>
          <w:numId w:val="103"/>
        </w:numPr>
      </w:pPr>
      <w:r>
        <w:t>central government</w:t>
      </w:r>
    </w:p>
    <w:p w:rsidR="00714B46" w:rsidRDefault="00714B46" w:rsidP="006277DC">
      <w:pPr>
        <w:pStyle w:val="ListParagraph"/>
        <w:numPr>
          <w:ilvl w:val="1"/>
          <w:numId w:val="103"/>
        </w:numPr>
      </w:pPr>
      <w:r>
        <w:t>compiles a consistent set of data on house prices and rents which it provides to councils;</w:t>
      </w:r>
    </w:p>
    <w:p w:rsidR="00714B46" w:rsidRDefault="00B72FB0" w:rsidP="006277DC">
      <w:pPr>
        <w:pStyle w:val="ListParagraph"/>
        <w:numPr>
          <w:ilvl w:val="1"/>
          <w:numId w:val="103"/>
        </w:numPr>
      </w:pPr>
      <w:r>
        <w:t xml:space="preserve">continues to develop the HAM and provides housing affordability indicator results to councils; </w:t>
      </w:r>
    </w:p>
    <w:p w:rsidR="006F39EB" w:rsidRDefault="00B72FB0" w:rsidP="006277DC">
      <w:pPr>
        <w:pStyle w:val="ListParagraph"/>
        <w:numPr>
          <w:ilvl w:val="1"/>
          <w:numId w:val="103"/>
        </w:numPr>
      </w:pPr>
      <w:r>
        <w:t>provides advice to councils on</w:t>
      </w:r>
      <w:r w:rsidR="006F39EB">
        <w:t>:</w:t>
      </w:r>
      <w:r>
        <w:t xml:space="preserve"> </w:t>
      </w:r>
      <w:r w:rsidR="006F39EB">
        <w:t xml:space="preserve">(1) </w:t>
      </w:r>
      <w:r>
        <w:t xml:space="preserve">the development of models to analyse price discontinuities across zones and </w:t>
      </w:r>
      <w:r w:rsidR="006F39EB">
        <w:t>(2) the analysis of the differences between prices and marginal construction costs; and</w:t>
      </w:r>
    </w:p>
    <w:p w:rsidR="006F39EB" w:rsidRDefault="006F39EB" w:rsidP="006277DC">
      <w:pPr>
        <w:pStyle w:val="ListParagraph"/>
        <w:numPr>
          <w:ilvl w:val="1"/>
          <w:numId w:val="103"/>
        </w:numPr>
      </w:pPr>
      <w:proofErr w:type="gramStart"/>
      <w:r>
        <w:t>provides</w:t>
      </w:r>
      <w:proofErr w:type="gramEnd"/>
      <w:r>
        <w:t xml:space="preserve"> other technical advice as required.</w:t>
      </w:r>
      <w:r>
        <w:br/>
      </w:r>
    </w:p>
    <w:p w:rsidR="006F39EB" w:rsidRDefault="006F39EB" w:rsidP="006277DC">
      <w:pPr>
        <w:pStyle w:val="ListParagraph"/>
        <w:numPr>
          <w:ilvl w:val="0"/>
          <w:numId w:val="103"/>
        </w:numPr>
      </w:pPr>
      <w:r>
        <w:t>local government</w:t>
      </w:r>
    </w:p>
    <w:p w:rsidR="00B72FB0" w:rsidRDefault="006F39EB" w:rsidP="006277DC">
      <w:pPr>
        <w:pStyle w:val="ListParagraph"/>
        <w:numPr>
          <w:ilvl w:val="1"/>
          <w:numId w:val="103"/>
        </w:numPr>
      </w:pPr>
      <w:r>
        <w:t>develops and publishes indicators of price trends, and the ratio of population increase to new building consents with building size data;</w:t>
      </w:r>
    </w:p>
    <w:p w:rsidR="006F39EB" w:rsidRDefault="006F39EB" w:rsidP="006277DC">
      <w:pPr>
        <w:pStyle w:val="ListParagraph"/>
        <w:numPr>
          <w:ilvl w:val="1"/>
          <w:numId w:val="103"/>
        </w:numPr>
      </w:pPr>
      <w:r>
        <w:t>analyses these data and the HAM indicators</w:t>
      </w:r>
      <w:r w:rsidR="00A922B0">
        <w:t xml:space="preserve">; </w:t>
      </w:r>
    </w:p>
    <w:p w:rsidR="006F39EB" w:rsidRDefault="006F39EB" w:rsidP="006277DC">
      <w:pPr>
        <w:pStyle w:val="ListParagraph"/>
        <w:numPr>
          <w:ilvl w:val="1"/>
          <w:numId w:val="103"/>
        </w:numPr>
      </w:pPr>
      <w:r>
        <w:t>develops efficient price indicators</w:t>
      </w:r>
      <w:r w:rsidR="00A922B0">
        <w:t>, as required,  in response to the initial problem identification; and</w:t>
      </w:r>
    </w:p>
    <w:p w:rsidR="00A922B0" w:rsidRDefault="00A922B0" w:rsidP="006277DC">
      <w:pPr>
        <w:pStyle w:val="ListParagraph"/>
        <w:numPr>
          <w:ilvl w:val="1"/>
          <w:numId w:val="103"/>
        </w:numPr>
      </w:pPr>
      <w:proofErr w:type="gramStart"/>
      <w:r>
        <w:t>responds</w:t>
      </w:r>
      <w:proofErr w:type="gramEnd"/>
      <w:r>
        <w:t xml:space="preserve"> to a significant price problem if identified.</w:t>
      </w:r>
    </w:p>
    <w:p w:rsidR="006F39EB" w:rsidRDefault="006F39EB" w:rsidP="006F39EB"/>
    <w:p w:rsidR="006F39EB" w:rsidRDefault="006F39EB" w:rsidP="00A922B0">
      <w:pPr>
        <w:rPr>
          <w:rFonts w:ascii="Century Gothic" w:hAnsi="Century Gothic" w:cs="Arial"/>
          <w:b/>
          <w:bCs/>
          <w:sz w:val="36"/>
          <w:szCs w:val="32"/>
        </w:rPr>
      </w:pPr>
      <w:bookmarkStart w:id="239" w:name="_Toc456367169"/>
      <w:r>
        <w:br w:type="page"/>
      </w:r>
    </w:p>
    <w:p w:rsidR="002E72D4" w:rsidRDefault="00FB6985" w:rsidP="00B82927">
      <w:pPr>
        <w:pStyle w:val="Annex1"/>
        <w:numPr>
          <w:ilvl w:val="0"/>
          <w:numId w:val="0"/>
        </w:numPr>
      </w:pPr>
      <w:bookmarkStart w:id="240" w:name="_Toc462413659"/>
      <w:bookmarkStart w:id="241" w:name="_Toc462582215"/>
      <w:r w:rsidRPr="004C33D1">
        <w:lastRenderedPageBreak/>
        <w:t xml:space="preserve">Annex: </w:t>
      </w:r>
      <w:r w:rsidR="002E72D4">
        <w:t>General Market Indicators</w:t>
      </w:r>
      <w:bookmarkEnd w:id="240"/>
      <w:bookmarkEnd w:id="241"/>
    </w:p>
    <w:p w:rsidR="002E72D4" w:rsidRDefault="002E72D4" w:rsidP="002E72D4"/>
    <w:p w:rsidR="00B82927" w:rsidRDefault="00B82927">
      <w:pPr>
        <w:spacing w:line="240" w:lineRule="auto"/>
      </w:pPr>
      <w:r>
        <w:br w:type="page"/>
      </w:r>
    </w:p>
    <w:p w:rsidR="00B82927" w:rsidRPr="004C33D1" w:rsidRDefault="00B82927" w:rsidP="00B82927">
      <w:pPr>
        <w:pStyle w:val="Annex1"/>
      </w:pPr>
      <w:bookmarkStart w:id="242" w:name="_Toc458464586"/>
      <w:bookmarkStart w:id="243" w:name="_Toc458489807"/>
      <w:bookmarkStart w:id="244" w:name="_Toc462405016"/>
      <w:bookmarkStart w:id="245" w:name="_Toc462413662"/>
      <w:bookmarkStart w:id="246" w:name="_Toc462582216"/>
      <w:r w:rsidRPr="004C33D1">
        <w:lastRenderedPageBreak/>
        <w:t>Inflation-adjusted Median House Prices</w:t>
      </w:r>
      <w:bookmarkEnd w:id="242"/>
      <w:bookmarkEnd w:id="243"/>
      <w:bookmarkEnd w:id="244"/>
      <w:bookmarkEnd w:id="245"/>
      <w:bookmarkEnd w:id="246"/>
    </w:p>
    <w:p w:rsidR="00B82927" w:rsidRPr="004C33D1" w:rsidRDefault="00B82927" w:rsidP="00B82927">
      <w:pPr>
        <w:pStyle w:val="Annex2"/>
      </w:pPr>
      <w:bookmarkStart w:id="247" w:name="_Toc456367187"/>
      <w:bookmarkStart w:id="248" w:name="_Toc456624653"/>
      <w:bookmarkStart w:id="249" w:name="_Toc457985368"/>
      <w:bookmarkStart w:id="250" w:name="_Toc457988514"/>
      <w:bookmarkStart w:id="251" w:name="_Toc458160009"/>
      <w:bookmarkStart w:id="252" w:name="_Toc462582217"/>
      <w:r w:rsidRPr="004C33D1">
        <w:t>Description</w:t>
      </w:r>
      <w:bookmarkEnd w:id="247"/>
      <w:bookmarkEnd w:id="248"/>
      <w:bookmarkEnd w:id="249"/>
      <w:bookmarkEnd w:id="250"/>
      <w:bookmarkEnd w:id="251"/>
      <w:bookmarkEnd w:id="252"/>
    </w:p>
    <w:p w:rsidR="00B82927" w:rsidRPr="004C33D1" w:rsidRDefault="00B82927" w:rsidP="00B82927">
      <w:r w:rsidRPr="004C33D1">
        <w:t>Annual median house prices for a given territorial authority, adjusted by annual inflation in the consumer price index (CPI).</w:t>
      </w:r>
    </w:p>
    <w:p w:rsidR="00B82927" w:rsidRPr="004C33D1" w:rsidRDefault="00B82927" w:rsidP="00B82927">
      <w:pPr>
        <w:pStyle w:val="Annex2"/>
      </w:pPr>
      <w:bookmarkStart w:id="253" w:name="_Toc456367188"/>
      <w:bookmarkStart w:id="254" w:name="_Toc456624654"/>
      <w:bookmarkStart w:id="255" w:name="_Toc457985369"/>
      <w:bookmarkStart w:id="256" w:name="_Toc457988515"/>
      <w:bookmarkStart w:id="257" w:name="_Toc458160010"/>
      <w:bookmarkStart w:id="258" w:name="_Toc462582218"/>
      <w:r w:rsidRPr="004C33D1">
        <w:t>Interpretation</w:t>
      </w:r>
      <w:bookmarkEnd w:id="253"/>
      <w:bookmarkEnd w:id="254"/>
      <w:bookmarkEnd w:id="255"/>
      <w:bookmarkEnd w:id="256"/>
      <w:bookmarkEnd w:id="257"/>
      <w:bookmarkEnd w:id="258"/>
    </w:p>
    <w:p w:rsidR="00B82927" w:rsidRPr="004C33D1" w:rsidRDefault="00B82927" w:rsidP="00B82927">
      <w:r w:rsidRPr="004C33D1">
        <w:t xml:space="preserve">This simple indicator allows a local area to track or compare annual median house prices over time or between different areas. Adjusting for inflation allows for a better comparison of past and present prices through controlling for changes to the purchasing power of the dollar. Prices adjusted for inflation </w:t>
      </w:r>
      <w:proofErr w:type="gramStart"/>
      <w:r w:rsidRPr="004C33D1">
        <w:t>are often referred</w:t>
      </w:r>
      <w:proofErr w:type="gramEnd"/>
      <w:r w:rsidRPr="004C33D1">
        <w:t xml:space="preserve"> to as ‘real’ prices and un-adjusted prices are known as ‘nominal’ prices. Median values are used instead of average values to </w:t>
      </w:r>
      <w:proofErr w:type="gramStart"/>
      <w:r w:rsidRPr="004C33D1">
        <w:t>mitigate</w:t>
      </w:r>
      <w:proofErr w:type="gramEnd"/>
      <w:r w:rsidRPr="004C33D1">
        <w:t xml:space="preserve"> against potential biases caused by price outliers. For example, median values will give a better interpretation of the market when a small number of houses sold within a given period are drastically higher (or lower) than the typical sale price. </w:t>
      </w:r>
    </w:p>
    <w:p w:rsidR="00B82927" w:rsidRPr="004C33D1" w:rsidRDefault="00B82927" w:rsidP="00B82927">
      <w:pPr>
        <w:pStyle w:val="Annex2"/>
      </w:pPr>
      <w:bookmarkStart w:id="259" w:name="_Toc456367189"/>
      <w:bookmarkStart w:id="260" w:name="_Toc456624655"/>
      <w:bookmarkStart w:id="261" w:name="_Toc457985370"/>
      <w:bookmarkStart w:id="262" w:name="_Toc457988516"/>
      <w:bookmarkStart w:id="263" w:name="_Toc458160011"/>
      <w:bookmarkStart w:id="264" w:name="_Toc462582219"/>
      <w:r w:rsidRPr="004C33D1">
        <w:t>Data availability</w:t>
      </w:r>
      <w:bookmarkEnd w:id="259"/>
      <w:bookmarkEnd w:id="260"/>
      <w:bookmarkEnd w:id="261"/>
      <w:bookmarkEnd w:id="262"/>
      <w:bookmarkEnd w:id="263"/>
      <w:bookmarkEnd w:id="264"/>
    </w:p>
    <w:p w:rsidR="00B82927" w:rsidRPr="004C33D1" w:rsidRDefault="00B82927" w:rsidP="00B82927">
      <w:pPr>
        <w:rPr>
          <w:szCs w:val="21"/>
        </w:rPr>
      </w:pPr>
      <w:r w:rsidRPr="004C33D1">
        <w:t xml:space="preserve">House price data by territorial authority </w:t>
      </w:r>
      <w:proofErr w:type="gramStart"/>
      <w:r w:rsidRPr="004C33D1">
        <w:t>can be purchased</w:t>
      </w:r>
      <w:proofErr w:type="gramEnd"/>
      <w:r w:rsidRPr="004C33D1">
        <w:t xml:space="preserve"> from QVNZ.</w:t>
      </w:r>
      <w:r w:rsidRPr="004C33D1">
        <w:rPr>
          <w:szCs w:val="21"/>
        </w:rPr>
        <w:t xml:space="preserve">  CPI values are publicly available from the Reserve Bank of New Zealand (</w:t>
      </w:r>
      <w:r w:rsidRPr="004C33D1">
        <w:rPr>
          <w:szCs w:val="21"/>
        </w:rPr>
        <w:fldChar w:fldCharType="begin"/>
      </w:r>
      <w:r w:rsidRPr="004C33D1">
        <w:rPr>
          <w:szCs w:val="21"/>
        </w:rPr>
        <w:instrText xml:space="preserve"> REF _Ref456363120 \h </w:instrText>
      </w:r>
      <w:r w:rsidRPr="004C33D1">
        <w:rPr>
          <w:szCs w:val="21"/>
        </w:rPr>
      </w:r>
      <w:r w:rsidRPr="004C33D1">
        <w:rPr>
          <w:szCs w:val="21"/>
        </w:rPr>
        <w:fldChar w:fldCharType="separate"/>
      </w:r>
      <w:r w:rsidR="004D1DDA" w:rsidRPr="004C33D1">
        <w:t xml:space="preserve">Table </w:t>
      </w:r>
      <w:r w:rsidR="004D1DDA">
        <w:rPr>
          <w:noProof/>
        </w:rPr>
        <w:t>19</w:t>
      </w:r>
      <w:r w:rsidRPr="004C33D1">
        <w:rPr>
          <w:szCs w:val="21"/>
        </w:rPr>
        <w:fldChar w:fldCharType="end"/>
      </w:r>
      <w:r w:rsidRPr="004C33D1">
        <w:rPr>
          <w:szCs w:val="21"/>
        </w:rPr>
        <w:t>).</w:t>
      </w:r>
    </w:p>
    <w:p w:rsidR="00B82927" w:rsidRPr="004C33D1" w:rsidRDefault="00B82927" w:rsidP="00B82927">
      <w:pPr>
        <w:pStyle w:val="Caption"/>
        <w:rPr>
          <w:szCs w:val="21"/>
        </w:rPr>
      </w:pPr>
      <w:bookmarkStart w:id="265" w:name="_Ref456363120"/>
      <w:r w:rsidRPr="004C33D1">
        <w:t xml:space="preserve">Table </w:t>
      </w:r>
      <w:r w:rsidRPr="004C33D1">
        <w:fldChar w:fldCharType="begin"/>
      </w:r>
      <w:r w:rsidRPr="004C33D1">
        <w:instrText xml:space="preserve"> SEQ Table \* ARABIC </w:instrText>
      </w:r>
      <w:r w:rsidRPr="004C33D1">
        <w:fldChar w:fldCharType="separate"/>
      </w:r>
      <w:r w:rsidR="004D1DDA">
        <w:rPr>
          <w:noProof/>
        </w:rPr>
        <w:t>19</w:t>
      </w:r>
      <w:r w:rsidRPr="004C33D1">
        <w:fldChar w:fldCharType="end"/>
      </w:r>
      <w:bookmarkEnd w:id="265"/>
      <w:r w:rsidRPr="004C33D1">
        <w:t>: Data sources</w:t>
      </w:r>
    </w:p>
    <w:tbl>
      <w:tblPr>
        <w:tblStyle w:val="CovecTables"/>
        <w:tblW w:w="5000" w:type="pct"/>
        <w:tblInd w:w="0" w:type="dxa"/>
        <w:tblBorders>
          <w:bottom w:val="single" w:sz="12" w:space="0" w:color="A6A6A6" w:themeColor="background1" w:themeShade="A6"/>
          <w:insideH w:val="single" w:sz="8" w:space="0" w:color="A6A6A6" w:themeColor="background1" w:themeShade="A6"/>
        </w:tblBorders>
        <w:tblLook w:val="04E0" w:firstRow="1" w:lastRow="1" w:firstColumn="1" w:lastColumn="0" w:noHBand="0" w:noVBand="1"/>
      </w:tblPr>
      <w:tblGrid>
        <w:gridCol w:w="1834"/>
        <w:gridCol w:w="1389"/>
        <w:gridCol w:w="4998"/>
      </w:tblGrid>
      <w:tr w:rsidR="00B82927" w:rsidRPr="004C33D1" w:rsidTr="00876A9A">
        <w:trPr>
          <w:cnfStyle w:val="100000000000" w:firstRow="1" w:lastRow="0" w:firstColumn="0" w:lastColumn="0" w:oddVBand="0" w:evenVBand="0" w:oddHBand="0" w:evenHBand="0" w:firstRowFirstColumn="0" w:firstRowLastColumn="0" w:lastRowFirstColumn="0" w:lastRowLastColumn="0"/>
          <w:trHeight w:val="256"/>
        </w:trPr>
        <w:tc>
          <w:tcPr>
            <w:cnfStyle w:val="001000000100" w:firstRow="0" w:lastRow="0" w:firstColumn="1" w:lastColumn="0" w:oddVBand="0" w:evenVBand="0" w:oddHBand="0" w:evenHBand="0" w:firstRowFirstColumn="1" w:firstRowLastColumn="0" w:lastRowFirstColumn="0" w:lastRowLastColumn="0"/>
            <w:tcW w:w="1115" w:type="pct"/>
          </w:tcPr>
          <w:p w:rsidR="00B82927" w:rsidRPr="004C33D1" w:rsidRDefault="00B82927" w:rsidP="00876A9A">
            <w:pPr>
              <w:pStyle w:val="TableText"/>
            </w:pPr>
            <w:r w:rsidRPr="004C33D1">
              <w:t>Data</w:t>
            </w:r>
          </w:p>
        </w:tc>
        <w:tc>
          <w:tcPr>
            <w:tcW w:w="845" w:type="pct"/>
          </w:tcPr>
          <w:p w:rsidR="00B82927" w:rsidRPr="004C33D1" w:rsidRDefault="00B82927" w:rsidP="00876A9A">
            <w:pPr>
              <w:pStyle w:val="TableText"/>
              <w:jc w:val="left"/>
              <w:cnfStyle w:val="100000000000" w:firstRow="1" w:lastRow="0" w:firstColumn="0" w:lastColumn="0" w:oddVBand="0" w:evenVBand="0" w:oddHBand="0" w:evenHBand="0" w:firstRowFirstColumn="0" w:firstRowLastColumn="0" w:lastRowFirstColumn="0" w:lastRowLastColumn="0"/>
            </w:pPr>
            <w:r w:rsidRPr="004C33D1">
              <w:t>Source</w:t>
            </w:r>
          </w:p>
        </w:tc>
        <w:tc>
          <w:tcPr>
            <w:tcW w:w="3040" w:type="pct"/>
          </w:tcPr>
          <w:p w:rsidR="00B82927" w:rsidRPr="004C33D1" w:rsidRDefault="00B82927" w:rsidP="00876A9A">
            <w:pPr>
              <w:pStyle w:val="TableText"/>
              <w:jc w:val="left"/>
              <w:cnfStyle w:val="100000000000" w:firstRow="1" w:lastRow="0" w:firstColumn="0" w:lastColumn="0" w:oddVBand="0" w:evenVBand="0" w:oddHBand="0" w:evenHBand="0" w:firstRowFirstColumn="0" w:firstRowLastColumn="0" w:lastRowFirstColumn="0" w:lastRowLastColumn="0"/>
            </w:pPr>
            <w:r w:rsidRPr="004C33D1">
              <w:t>Location</w:t>
            </w:r>
          </w:p>
        </w:tc>
      </w:tr>
      <w:tr w:rsidR="00B82927" w:rsidRPr="004C33D1" w:rsidTr="00876A9A">
        <w:tblPrEx>
          <w:tblCellMar>
            <w:top w:w="0" w:type="dxa"/>
            <w:left w:w="0" w:type="dxa"/>
            <w:bottom w:w="0" w:type="dxa"/>
            <w:right w:w="0" w:type="dxa"/>
          </w:tblCellMar>
        </w:tblPrEx>
        <w:trPr>
          <w:trHeight w:val="245"/>
        </w:trPr>
        <w:tc>
          <w:tcPr>
            <w:cnfStyle w:val="001000000000" w:firstRow="0" w:lastRow="0" w:firstColumn="1" w:lastColumn="0" w:oddVBand="0" w:evenVBand="0" w:oddHBand="0" w:evenHBand="0" w:firstRowFirstColumn="0" w:firstRowLastColumn="0" w:lastRowFirstColumn="0" w:lastRowLastColumn="0"/>
            <w:tcW w:w="1115" w:type="pct"/>
            <w:vAlign w:val="top"/>
          </w:tcPr>
          <w:p w:rsidR="00B82927" w:rsidRPr="004C33D1" w:rsidRDefault="00B82927" w:rsidP="00876A9A">
            <w:pPr>
              <w:pStyle w:val="TableText"/>
            </w:pPr>
            <w:r w:rsidRPr="004C33D1">
              <w:t>Median house price</w:t>
            </w:r>
          </w:p>
        </w:tc>
        <w:tc>
          <w:tcPr>
            <w:tcW w:w="845" w:type="pct"/>
            <w:vAlign w:val="top"/>
          </w:tcPr>
          <w:p w:rsidR="00B82927" w:rsidRPr="004C33D1" w:rsidRDefault="00B82927" w:rsidP="00876A9A">
            <w:pPr>
              <w:pStyle w:val="TableText"/>
              <w:jc w:val="left"/>
              <w:cnfStyle w:val="000000000000" w:firstRow="0" w:lastRow="0" w:firstColumn="0" w:lastColumn="0" w:oddVBand="0" w:evenVBand="0" w:oddHBand="0" w:evenHBand="0" w:firstRowFirstColumn="0" w:firstRowLastColumn="0" w:lastRowFirstColumn="0" w:lastRowLastColumn="0"/>
            </w:pPr>
            <w:r w:rsidRPr="004C33D1">
              <w:t>QVNZ</w:t>
            </w:r>
          </w:p>
        </w:tc>
        <w:tc>
          <w:tcPr>
            <w:tcW w:w="3040" w:type="pct"/>
            <w:vAlign w:val="top"/>
          </w:tcPr>
          <w:p w:rsidR="00B82927" w:rsidRPr="004C33D1" w:rsidRDefault="00B82927" w:rsidP="00876A9A">
            <w:pPr>
              <w:pStyle w:val="TableText"/>
              <w:jc w:val="left"/>
              <w:cnfStyle w:val="000000000000" w:firstRow="0" w:lastRow="0" w:firstColumn="0" w:lastColumn="0" w:oddVBand="0" w:evenVBand="0" w:oddHBand="0" w:evenHBand="0" w:firstRowFirstColumn="0" w:firstRowLastColumn="0" w:lastRowFirstColumn="0" w:lastRowLastColumn="0"/>
            </w:pPr>
            <w:r w:rsidRPr="004C33D1">
              <w:t>QVNZ</w:t>
            </w:r>
          </w:p>
        </w:tc>
      </w:tr>
      <w:tr w:rsidR="00B82927" w:rsidRPr="004C33D1" w:rsidTr="00876A9A">
        <w:tblPrEx>
          <w:tblCellMar>
            <w:top w:w="0" w:type="dxa"/>
            <w:left w:w="0" w:type="dxa"/>
            <w:bottom w:w="0" w:type="dxa"/>
            <w:right w:w="0" w:type="dxa"/>
          </w:tblCellMar>
        </w:tblPrEx>
        <w:trPr>
          <w:cnfStyle w:val="010000000000" w:firstRow="0" w:lastRow="1" w:firstColumn="0" w:lastColumn="0" w:oddVBand="0" w:evenVBand="0" w:oddHBand="0" w:evenHBand="0" w:firstRowFirstColumn="0" w:firstRowLastColumn="0" w:lastRowFirstColumn="0" w:lastRowLastColumn="0"/>
          <w:trHeight w:val="256"/>
        </w:trPr>
        <w:tc>
          <w:tcPr>
            <w:cnfStyle w:val="001000000001" w:firstRow="0" w:lastRow="0" w:firstColumn="1" w:lastColumn="0" w:oddVBand="0" w:evenVBand="0" w:oddHBand="0" w:evenHBand="0" w:firstRowFirstColumn="0" w:firstRowLastColumn="0" w:lastRowFirstColumn="1" w:lastRowLastColumn="0"/>
            <w:tcW w:w="1115" w:type="pct"/>
            <w:vAlign w:val="top"/>
          </w:tcPr>
          <w:p w:rsidR="00B82927" w:rsidRPr="004C33D1" w:rsidRDefault="00B82927" w:rsidP="00876A9A">
            <w:pPr>
              <w:pStyle w:val="TableText"/>
            </w:pPr>
            <w:r w:rsidRPr="004C33D1">
              <w:t xml:space="preserve">CPI </w:t>
            </w:r>
          </w:p>
        </w:tc>
        <w:tc>
          <w:tcPr>
            <w:tcW w:w="845" w:type="pct"/>
            <w:vAlign w:val="top"/>
          </w:tcPr>
          <w:p w:rsidR="00B82927" w:rsidRPr="004C33D1" w:rsidRDefault="00B82927" w:rsidP="00876A9A">
            <w:pPr>
              <w:pStyle w:val="TableText"/>
              <w:ind w:right="114"/>
              <w:jc w:val="left"/>
              <w:cnfStyle w:val="010000000000" w:firstRow="0" w:lastRow="1" w:firstColumn="0" w:lastColumn="0" w:oddVBand="0" w:evenVBand="0" w:oddHBand="0" w:evenHBand="0" w:firstRowFirstColumn="0" w:firstRowLastColumn="0" w:lastRowFirstColumn="0" w:lastRowLastColumn="0"/>
            </w:pPr>
            <w:r w:rsidRPr="004C33D1">
              <w:t xml:space="preserve">RBNZ </w:t>
            </w:r>
          </w:p>
        </w:tc>
        <w:tc>
          <w:tcPr>
            <w:tcW w:w="3040" w:type="pct"/>
            <w:vAlign w:val="top"/>
          </w:tcPr>
          <w:p w:rsidR="00B82927" w:rsidRPr="004C33D1" w:rsidRDefault="00B82927" w:rsidP="00876A9A">
            <w:pPr>
              <w:pStyle w:val="TableText"/>
              <w:jc w:val="left"/>
              <w:cnfStyle w:val="010000000000" w:firstRow="0" w:lastRow="1" w:firstColumn="0" w:lastColumn="0" w:oddVBand="0" w:evenVBand="0" w:oddHBand="0" w:evenHBand="0" w:firstRowFirstColumn="0" w:firstRowLastColumn="0" w:lastRowFirstColumn="0" w:lastRowLastColumn="0"/>
            </w:pPr>
            <w:r w:rsidRPr="004C33D1">
              <w:t>RBNZ Statistics</w:t>
            </w:r>
            <w:r w:rsidRPr="004C33D1">
              <w:rPr>
                <w:rStyle w:val="FootnoteReference"/>
              </w:rPr>
              <w:footnoteReference w:id="123"/>
            </w:r>
            <w:r w:rsidRPr="004C33D1">
              <w:t xml:space="preserve"> </w:t>
            </w:r>
            <w:r w:rsidRPr="004C33D1">
              <w:rPr>
                <w:i/>
              </w:rPr>
              <w:t>Economic Indicators &gt; M1(1988-current)</w:t>
            </w:r>
          </w:p>
        </w:tc>
      </w:tr>
    </w:tbl>
    <w:p w:rsidR="00B82927" w:rsidRPr="004C33D1" w:rsidRDefault="00B82927" w:rsidP="00B82927">
      <w:pPr>
        <w:pStyle w:val="Annex2"/>
      </w:pPr>
      <w:bookmarkStart w:id="266" w:name="_Toc456367190"/>
      <w:bookmarkStart w:id="267" w:name="_Toc456624656"/>
      <w:bookmarkStart w:id="268" w:name="_Toc457985371"/>
      <w:bookmarkStart w:id="269" w:name="_Toc457988517"/>
      <w:bookmarkStart w:id="270" w:name="_Toc458160012"/>
      <w:bookmarkStart w:id="271" w:name="_Toc462582220"/>
      <w:r w:rsidRPr="004C33D1">
        <w:t>Examples of Use</w:t>
      </w:r>
      <w:bookmarkEnd w:id="266"/>
      <w:bookmarkEnd w:id="267"/>
      <w:bookmarkEnd w:id="268"/>
      <w:bookmarkEnd w:id="269"/>
      <w:bookmarkEnd w:id="270"/>
      <w:bookmarkEnd w:id="271"/>
    </w:p>
    <w:p w:rsidR="00B82927" w:rsidRPr="004C33D1" w:rsidRDefault="00B82927" w:rsidP="00B82927">
      <w:r w:rsidRPr="004C33D1">
        <w:fldChar w:fldCharType="begin"/>
      </w:r>
      <w:r w:rsidRPr="004C33D1">
        <w:instrText xml:space="preserve"> REF _Ref456352434 \h </w:instrText>
      </w:r>
      <w:r w:rsidRPr="004C33D1">
        <w:fldChar w:fldCharType="separate"/>
      </w:r>
      <w:r w:rsidR="004D1DDA" w:rsidRPr="004C33D1">
        <w:t xml:space="preserve">Figure </w:t>
      </w:r>
      <w:r w:rsidR="004D1DDA">
        <w:rPr>
          <w:noProof/>
        </w:rPr>
        <w:t>38</w:t>
      </w:r>
      <w:r w:rsidRPr="004C33D1">
        <w:fldChar w:fldCharType="end"/>
      </w:r>
      <w:r w:rsidRPr="004C33D1">
        <w:t xml:space="preserve"> shows that real median house prices were steadily increasing until the 2008 global financial </w:t>
      </w:r>
      <w:proofErr w:type="gramStart"/>
      <w:r w:rsidRPr="004C33D1">
        <w:t>crisis which</w:t>
      </w:r>
      <w:proofErr w:type="gramEnd"/>
      <w:r w:rsidRPr="004C33D1">
        <w:t xml:space="preserve"> subdued house price growth over the following years. Auckland has experienced the sharpest increase in prices in recent years whilst other fast growth areas have only just recently reached pre-2007 ‘real’ price levels.</w:t>
      </w:r>
    </w:p>
    <w:p w:rsidR="00B82927" w:rsidRPr="004C33D1" w:rsidRDefault="00B82927" w:rsidP="00B82927">
      <w:pPr>
        <w:pStyle w:val="Caption"/>
      </w:pPr>
      <w:bookmarkStart w:id="272" w:name="_Ref456352434"/>
      <w:r w:rsidRPr="004C33D1">
        <w:lastRenderedPageBreak/>
        <w:t xml:space="preserve">Figure </w:t>
      </w:r>
      <w:r w:rsidRPr="004C33D1">
        <w:fldChar w:fldCharType="begin"/>
      </w:r>
      <w:r w:rsidRPr="004C33D1">
        <w:instrText xml:space="preserve"> SEQ Figure \* ARABIC </w:instrText>
      </w:r>
      <w:r w:rsidRPr="004C33D1">
        <w:fldChar w:fldCharType="separate"/>
      </w:r>
      <w:r w:rsidR="004D1DDA">
        <w:rPr>
          <w:noProof/>
        </w:rPr>
        <w:t>38</w:t>
      </w:r>
      <w:r w:rsidRPr="004C33D1">
        <w:fldChar w:fldCharType="end"/>
      </w:r>
      <w:bookmarkEnd w:id="272"/>
      <w:r w:rsidRPr="004C33D1">
        <w:t xml:space="preserve"> Inflation-adjusted median house prices for high growth areas 2000-2015</w:t>
      </w:r>
    </w:p>
    <w:p w:rsidR="00B82927" w:rsidRPr="004C33D1" w:rsidRDefault="00B82927" w:rsidP="00B82927">
      <w:pPr>
        <w:jc w:val="center"/>
      </w:pPr>
      <w:r w:rsidRPr="004C33D1">
        <w:rPr>
          <w:noProof/>
          <w:lang w:eastAsia="en-NZ"/>
        </w:rPr>
        <w:drawing>
          <wp:inline distT="0" distB="0" distL="0" distR="0" wp14:anchorId="013293AC" wp14:editId="0C57E502">
            <wp:extent cx="4860603" cy="2849880"/>
            <wp:effectExtent l="0" t="0" r="0" b="762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862819" cy="2851179"/>
                    </a:xfrm>
                    <a:prstGeom prst="rect">
                      <a:avLst/>
                    </a:prstGeom>
                    <a:noFill/>
                    <a:ln>
                      <a:noFill/>
                    </a:ln>
                  </pic:spPr>
                </pic:pic>
              </a:graphicData>
            </a:graphic>
          </wp:inline>
        </w:drawing>
      </w:r>
    </w:p>
    <w:p w:rsidR="00B82927" w:rsidRPr="004C33D1" w:rsidRDefault="00B82927" w:rsidP="00B82927">
      <w:pPr>
        <w:rPr>
          <w:sz w:val="18"/>
          <w:szCs w:val="18"/>
        </w:rPr>
      </w:pPr>
      <w:r w:rsidRPr="004C33D1">
        <w:rPr>
          <w:sz w:val="18"/>
          <w:szCs w:val="18"/>
        </w:rPr>
        <w:t>Source: QVNZ and RBNZ</w:t>
      </w:r>
    </w:p>
    <w:p w:rsidR="00B82927" w:rsidRPr="004C33D1" w:rsidRDefault="00B82927" w:rsidP="00B82927">
      <w:pPr>
        <w:spacing w:line="240" w:lineRule="auto"/>
        <w:rPr>
          <w:szCs w:val="18"/>
        </w:rPr>
      </w:pPr>
    </w:p>
    <w:p w:rsidR="00B82927" w:rsidRPr="00ED1D62" w:rsidRDefault="00B82927" w:rsidP="00B82927">
      <w:r w:rsidRPr="004C33D1">
        <w:t xml:space="preserve">If the average house size </w:t>
      </w:r>
      <w:proofErr w:type="gramStart"/>
      <w:r w:rsidRPr="004C33D1">
        <w:t>is known or suspected to be changing over time,</w:t>
      </w:r>
      <w:proofErr w:type="gramEnd"/>
      <w:r w:rsidRPr="004C33D1">
        <w:t xml:space="preserve"> a preferred indicator would be the inflation-adjusted median house price per square </w:t>
      </w:r>
      <w:r w:rsidRPr="00ED1D62">
        <w:t>metre (</w:t>
      </w:r>
      <w:r w:rsidRPr="00ED1D62">
        <w:fldChar w:fldCharType="begin"/>
      </w:r>
      <w:r w:rsidRPr="00ED1D62">
        <w:instrText xml:space="preserve"> REF _Ref457907141 \h </w:instrText>
      </w:r>
      <w:r w:rsidRPr="00ED1D62">
        <w:fldChar w:fldCharType="separate"/>
      </w:r>
      <w:r w:rsidR="004D1DDA" w:rsidRPr="004C33D1">
        <w:rPr>
          <w:bCs/>
          <w:sz w:val="18"/>
          <w:szCs w:val="20"/>
        </w:rPr>
        <w:t xml:space="preserve">Figure </w:t>
      </w:r>
      <w:r w:rsidR="004D1DDA">
        <w:rPr>
          <w:bCs/>
          <w:noProof/>
          <w:sz w:val="18"/>
          <w:szCs w:val="20"/>
        </w:rPr>
        <w:t>39</w:t>
      </w:r>
      <w:r w:rsidRPr="00ED1D62">
        <w:fldChar w:fldCharType="end"/>
      </w:r>
      <w:r w:rsidRPr="00ED1D62">
        <w:t>).</w:t>
      </w:r>
    </w:p>
    <w:p w:rsidR="00B82927" w:rsidRPr="004C33D1" w:rsidRDefault="00B82927" w:rsidP="00B82927">
      <w:pPr>
        <w:keepNext/>
        <w:spacing w:before="120" w:after="120"/>
        <w:rPr>
          <w:bCs/>
          <w:sz w:val="18"/>
          <w:szCs w:val="20"/>
        </w:rPr>
      </w:pPr>
      <w:bookmarkStart w:id="273" w:name="_Ref457907141"/>
      <w:r w:rsidRPr="004C33D1">
        <w:rPr>
          <w:bCs/>
          <w:sz w:val="18"/>
          <w:szCs w:val="20"/>
        </w:rPr>
        <w:t xml:space="preserve">Figure </w:t>
      </w:r>
      <w:r w:rsidRPr="004C33D1">
        <w:rPr>
          <w:bCs/>
          <w:sz w:val="18"/>
          <w:szCs w:val="20"/>
        </w:rPr>
        <w:fldChar w:fldCharType="begin"/>
      </w:r>
      <w:r w:rsidRPr="004C33D1">
        <w:rPr>
          <w:bCs/>
          <w:sz w:val="18"/>
          <w:szCs w:val="20"/>
        </w:rPr>
        <w:instrText xml:space="preserve"> SEQ Figure \* ARABIC </w:instrText>
      </w:r>
      <w:r w:rsidRPr="004C33D1">
        <w:rPr>
          <w:bCs/>
          <w:sz w:val="18"/>
          <w:szCs w:val="20"/>
        </w:rPr>
        <w:fldChar w:fldCharType="separate"/>
      </w:r>
      <w:r w:rsidR="004D1DDA">
        <w:rPr>
          <w:bCs/>
          <w:noProof/>
          <w:sz w:val="18"/>
          <w:szCs w:val="20"/>
        </w:rPr>
        <w:t>39</w:t>
      </w:r>
      <w:r w:rsidRPr="004C33D1">
        <w:rPr>
          <w:bCs/>
          <w:sz w:val="18"/>
          <w:szCs w:val="20"/>
        </w:rPr>
        <w:fldChar w:fldCharType="end"/>
      </w:r>
      <w:bookmarkEnd w:id="273"/>
      <w:r w:rsidRPr="004C33D1">
        <w:rPr>
          <w:bCs/>
          <w:sz w:val="18"/>
          <w:szCs w:val="20"/>
        </w:rPr>
        <w:t xml:space="preserve"> Inflation-adjusted median house price per m</w:t>
      </w:r>
      <w:r w:rsidRPr="004C33D1">
        <w:rPr>
          <w:bCs/>
          <w:sz w:val="18"/>
          <w:szCs w:val="20"/>
          <w:vertAlign w:val="superscript"/>
        </w:rPr>
        <w:t>2</w:t>
      </w:r>
      <w:r w:rsidRPr="004C33D1">
        <w:rPr>
          <w:bCs/>
          <w:sz w:val="18"/>
          <w:szCs w:val="20"/>
        </w:rPr>
        <w:t xml:space="preserve"> for high growth areas 2000-2015 (2015$ values)</w:t>
      </w:r>
    </w:p>
    <w:p w:rsidR="00B82927" w:rsidRPr="004C33D1" w:rsidRDefault="00B82927" w:rsidP="00B82927">
      <w:pPr>
        <w:jc w:val="center"/>
      </w:pPr>
      <w:r w:rsidRPr="004C33D1">
        <w:rPr>
          <w:noProof/>
          <w:lang w:eastAsia="en-NZ"/>
        </w:rPr>
        <w:drawing>
          <wp:inline distT="0" distB="0" distL="0" distR="0" wp14:anchorId="22F9480F" wp14:editId="504E2D9E">
            <wp:extent cx="4907280" cy="2934852"/>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14505" cy="2939173"/>
                    </a:xfrm>
                    <a:prstGeom prst="rect">
                      <a:avLst/>
                    </a:prstGeom>
                    <a:noFill/>
                    <a:ln>
                      <a:noFill/>
                    </a:ln>
                  </pic:spPr>
                </pic:pic>
              </a:graphicData>
            </a:graphic>
          </wp:inline>
        </w:drawing>
      </w:r>
    </w:p>
    <w:p w:rsidR="00B82927" w:rsidRPr="004C33D1" w:rsidRDefault="00B82927" w:rsidP="00B82927">
      <w:pPr>
        <w:keepNext/>
        <w:spacing w:before="120" w:after="120"/>
        <w:rPr>
          <w:bCs/>
          <w:sz w:val="18"/>
          <w:szCs w:val="18"/>
        </w:rPr>
      </w:pPr>
      <w:r w:rsidRPr="004C33D1">
        <w:rPr>
          <w:bCs/>
          <w:sz w:val="18"/>
          <w:szCs w:val="20"/>
        </w:rPr>
        <w:t xml:space="preserve">Source: </w:t>
      </w:r>
      <w:r w:rsidRPr="004C33D1">
        <w:rPr>
          <w:bCs/>
          <w:sz w:val="18"/>
          <w:szCs w:val="18"/>
        </w:rPr>
        <w:t>QVNZ and RBNZ</w:t>
      </w:r>
    </w:p>
    <w:p w:rsidR="00B82927" w:rsidRPr="004C33D1" w:rsidRDefault="00B82927" w:rsidP="00B82927">
      <w:pPr>
        <w:spacing w:line="240" w:lineRule="auto"/>
        <w:rPr>
          <w:szCs w:val="18"/>
        </w:rPr>
      </w:pPr>
      <w:r w:rsidRPr="004C33D1">
        <w:rPr>
          <w:szCs w:val="18"/>
        </w:rPr>
        <w:br w:type="page"/>
      </w:r>
    </w:p>
    <w:p w:rsidR="00B82927" w:rsidRDefault="00B82927" w:rsidP="00B82927">
      <w:pPr>
        <w:pStyle w:val="Annex1"/>
      </w:pPr>
      <w:bookmarkStart w:id="274" w:name="_Toc462582221"/>
      <w:bookmarkStart w:id="275" w:name="_Toc456367191"/>
      <w:bookmarkStart w:id="276" w:name="_Toc458179035"/>
      <w:bookmarkStart w:id="277" w:name="_Toc458464587"/>
      <w:bookmarkStart w:id="278" w:name="_Toc458489808"/>
      <w:bookmarkStart w:id="279" w:name="_Toc462405017"/>
      <w:bookmarkStart w:id="280" w:name="_Toc462413663"/>
      <w:r>
        <w:lastRenderedPageBreak/>
        <w:t>Land Values</w:t>
      </w:r>
      <w:bookmarkEnd w:id="274"/>
    </w:p>
    <w:p w:rsidR="00B82927" w:rsidRPr="004C33D1" w:rsidRDefault="00B82927" w:rsidP="00B82927">
      <w:pPr>
        <w:pStyle w:val="Annex2"/>
      </w:pPr>
      <w:bookmarkStart w:id="281" w:name="_Toc462582222"/>
      <w:r w:rsidRPr="004C33D1">
        <w:t>Description</w:t>
      </w:r>
      <w:bookmarkEnd w:id="281"/>
    </w:p>
    <w:p w:rsidR="00B171B6" w:rsidRDefault="00B171B6" w:rsidP="00B171B6">
      <w:r>
        <w:t>Trends in a</w:t>
      </w:r>
      <w:r w:rsidR="00B82927" w:rsidRPr="004C33D1">
        <w:t>verage</w:t>
      </w:r>
      <w:r>
        <w:t xml:space="preserve"> land values ($/m</w:t>
      </w:r>
      <w:r>
        <w:rPr>
          <w:vertAlign w:val="superscript"/>
        </w:rPr>
        <w:t>2</w:t>
      </w:r>
      <w:r>
        <w:t>) by territorial area and at a more disaggregated level, eg by suburb. To be presented as a heat map or using charts.</w:t>
      </w:r>
    </w:p>
    <w:p w:rsidR="00B171B6" w:rsidRDefault="00B171B6" w:rsidP="00B171B6">
      <w:pPr>
        <w:pStyle w:val="Annex2"/>
      </w:pPr>
      <w:bookmarkStart w:id="282" w:name="_Toc462582223"/>
      <w:r>
        <w:t>Interpretation</w:t>
      </w:r>
      <w:bookmarkEnd w:id="282"/>
    </w:p>
    <w:p w:rsidR="00B171B6" w:rsidRDefault="00B171B6" w:rsidP="00B171B6">
      <w:r>
        <w:t xml:space="preserve">Data on changes in land values over time can be used to identify emerging, eg if there are rapidly increasing values or values which diverge significantly from other locations. The data can also be used, in association with data on property values, </w:t>
      </w:r>
      <w:r w:rsidR="005006B0">
        <w:t xml:space="preserve">eg as a land </w:t>
      </w:r>
      <w:proofErr w:type="gramStart"/>
      <w:r w:rsidR="005006B0">
        <w:t>leverage</w:t>
      </w:r>
      <w:proofErr w:type="gramEnd"/>
      <w:r w:rsidR="005006B0">
        <w:t xml:space="preserve"> ratio, </w:t>
      </w:r>
      <w:r>
        <w:t xml:space="preserve">to identify </w:t>
      </w:r>
      <w:r w:rsidR="005006B0">
        <w:t>divergence of trends, suggesting the markets in which there is emerging scarcity of supply.</w:t>
      </w:r>
    </w:p>
    <w:p w:rsidR="00B171B6" w:rsidRPr="004C33D1" w:rsidRDefault="00B171B6" w:rsidP="00B171B6">
      <w:pPr>
        <w:pStyle w:val="Annex2"/>
      </w:pPr>
      <w:bookmarkStart w:id="283" w:name="_Toc462582224"/>
      <w:r w:rsidRPr="004C33D1">
        <w:t>Data availability</w:t>
      </w:r>
      <w:bookmarkEnd w:id="283"/>
    </w:p>
    <w:p w:rsidR="00B171B6" w:rsidRDefault="005006B0" w:rsidP="00B171B6">
      <w:proofErr w:type="gramStart"/>
      <w:r>
        <w:t>Land values are estimated by CoreLogic</w:t>
      </w:r>
      <w:proofErr w:type="gramEnd"/>
      <w:r>
        <w:t xml:space="preserve">, often for councils. These values </w:t>
      </w:r>
      <w:proofErr w:type="gramStart"/>
      <w:r>
        <w:t>are estimated</w:t>
      </w:r>
      <w:proofErr w:type="gramEnd"/>
      <w:r>
        <w:t xml:space="preserve"> only and only periodically, eg every three years. Alternative sources of data would be from statistical analysis of sales data. If there are sufficient data, this can be used to identify the contributing factors to total value, eg the contribution of land (by location), property type, </w:t>
      </w:r>
      <w:proofErr w:type="gramStart"/>
      <w:r>
        <w:t>size</w:t>
      </w:r>
      <w:proofErr w:type="gramEnd"/>
      <w:r>
        <w:t xml:space="preserve"> and so on.</w:t>
      </w:r>
    </w:p>
    <w:p w:rsidR="00B171B6" w:rsidRDefault="00B82927" w:rsidP="00B171B6">
      <w:pPr>
        <w:pStyle w:val="Annex2"/>
      </w:pPr>
      <w:r>
        <w:t xml:space="preserve"> </w:t>
      </w:r>
      <w:bookmarkStart w:id="284" w:name="_Toc462582225"/>
      <w:r w:rsidR="00B171B6" w:rsidRPr="004C33D1">
        <w:t>Examples of use</w:t>
      </w:r>
      <w:bookmarkEnd w:id="284"/>
    </w:p>
    <w:p w:rsidR="00B171B6" w:rsidRDefault="005006B0" w:rsidP="00B171B6">
      <w:r>
        <w:fldChar w:fldCharType="begin"/>
      </w:r>
      <w:r>
        <w:instrText xml:space="preserve"> REF _Ref462581043 \h </w:instrText>
      </w:r>
      <w:r>
        <w:fldChar w:fldCharType="separate"/>
      </w:r>
      <w:r w:rsidR="004D1DDA">
        <w:t xml:space="preserve">Figure </w:t>
      </w:r>
      <w:r w:rsidR="004D1DDA">
        <w:rPr>
          <w:noProof/>
        </w:rPr>
        <w:t>40</w:t>
      </w:r>
      <w:r>
        <w:fldChar w:fldCharType="end"/>
      </w:r>
      <w:r>
        <w:t xml:space="preserve"> is an example using Auckland data.</w:t>
      </w:r>
      <w:r w:rsidR="00236ADF">
        <w:t xml:space="preserve"> It shows absolute land value estimates and changes in value from 2011 to 2014. These need to </w:t>
      </w:r>
      <w:proofErr w:type="gramStart"/>
      <w:r w:rsidR="00236ADF">
        <w:t>be interpreted</w:t>
      </w:r>
      <w:proofErr w:type="gramEnd"/>
      <w:r w:rsidR="00236ADF">
        <w:t xml:space="preserve"> with caution because they are modelled estimates only.</w:t>
      </w:r>
    </w:p>
    <w:p w:rsidR="00B171B6" w:rsidRDefault="00B171B6" w:rsidP="00B171B6">
      <w:pPr>
        <w:pStyle w:val="Caption"/>
        <w:spacing w:after="0"/>
      </w:pPr>
      <w:bookmarkStart w:id="285" w:name="_Ref462581043"/>
      <w:r>
        <w:t xml:space="preserve">Figure </w:t>
      </w:r>
      <w:r>
        <w:fldChar w:fldCharType="begin"/>
      </w:r>
      <w:r>
        <w:instrText xml:space="preserve"> SEQ Figure \* ARABIC </w:instrText>
      </w:r>
      <w:r>
        <w:fldChar w:fldCharType="separate"/>
      </w:r>
      <w:r w:rsidR="004D1DDA">
        <w:rPr>
          <w:noProof/>
        </w:rPr>
        <w:t>40</w:t>
      </w:r>
      <w:r>
        <w:fldChar w:fldCharType="end"/>
      </w:r>
      <w:bookmarkEnd w:id="285"/>
      <w:r>
        <w:t xml:space="preserve"> Auckland land values ($/m</w:t>
      </w:r>
      <w:r w:rsidRPr="00382685">
        <w:rPr>
          <w:vertAlign w:val="superscript"/>
        </w:rPr>
        <w:t>2</w:t>
      </w:r>
      <w:r>
        <w:t>)</w:t>
      </w:r>
    </w:p>
    <w:p w:rsidR="00B171B6" w:rsidRPr="00E54E01" w:rsidRDefault="00B171B6" w:rsidP="00B171B6">
      <w:pPr>
        <w:pStyle w:val="ListParagraph"/>
        <w:numPr>
          <w:ilvl w:val="0"/>
          <w:numId w:val="0"/>
        </w:numPr>
        <w:ind w:left="567"/>
        <w:rPr>
          <w:sz w:val="18"/>
          <w:szCs w:val="18"/>
        </w:rPr>
      </w:pPr>
      <w:r>
        <w:rPr>
          <w:sz w:val="18"/>
          <w:szCs w:val="18"/>
        </w:rPr>
        <w:t xml:space="preserve">(a)   </w:t>
      </w:r>
      <w:r w:rsidRPr="00E54E01">
        <w:rPr>
          <w:sz w:val="18"/>
          <w:szCs w:val="18"/>
        </w:rPr>
        <w:t>2014 land values ($/m</w:t>
      </w:r>
      <w:r w:rsidRPr="00E54E01">
        <w:rPr>
          <w:sz w:val="18"/>
          <w:szCs w:val="18"/>
          <w:vertAlign w:val="superscript"/>
        </w:rPr>
        <w:t>2</w:t>
      </w:r>
      <w:r w:rsidRPr="00E54E01">
        <w:rPr>
          <w:sz w:val="18"/>
          <w:szCs w:val="18"/>
        </w:rPr>
        <w:t>)</w:t>
      </w:r>
      <w:r w:rsidRPr="00E54E01">
        <w:rPr>
          <w:sz w:val="18"/>
          <w:szCs w:val="18"/>
        </w:rPr>
        <w:tab/>
      </w:r>
      <w:r w:rsidRPr="00E54E01">
        <w:rPr>
          <w:sz w:val="18"/>
          <w:szCs w:val="18"/>
        </w:rPr>
        <w:tab/>
      </w:r>
      <w:r w:rsidRPr="00E54E01">
        <w:rPr>
          <w:sz w:val="18"/>
          <w:szCs w:val="18"/>
        </w:rPr>
        <w:tab/>
      </w:r>
      <w:r w:rsidRPr="00E54E01">
        <w:rPr>
          <w:sz w:val="18"/>
          <w:szCs w:val="18"/>
        </w:rPr>
        <w:tab/>
      </w:r>
      <w:r>
        <w:rPr>
          <w:sz w:val="18"/>
          <w:szCs w:val="18"/>
        </w:rPr>
        <w:tab/>
      </w:r>
      <w:r>
        <w:rPr>
          <w:sz w:val="18"/>
          <w:szCs w:val="18"/>
        </w:rPr>
        <w:tab/>
      </w:r>
      <w:r w:rsidRPr="00E54E01">
        <w:rPr>
          <w:sz w:val="18"/>
          <w:szCs w:val="18"/>
        </w:rPr>
        <w:t>(b)   change in land values (2011-14)</w:t>
      </w:r>
    </w:p>
    <w:p w:rsidR="00B171B6" w:rsidRPr="00DE17C0" w:rsidRDefault="00B171B6" w:rsidP="00236ADF">
      <w:pPr>
        <w:jc w:val="center"/>
      </w:pPr>
      <w:r>
        <w:rPr>
          <w:noProof/>
          <w:lang w:eastAsia="en-NZ"/>
        </w:rPr>
        <w:drawing>
          <wp:inline distT="0" distB="0" distL="0" distR="0" wp14:anchorId="6238F780" wp14:editId="3E7BDDB7">
            <wp:extent cx="4648200" cy="314365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KL land values.jpg"/>
                    <pic:cNvPicPr/>
                  </pic:nvPicPr>
                  <pic:blipFill>
                    <a:blip r:embed="rId32">
                      <a:extLst>
                        <a:ext uri="{28A0092B-C50C-407E-A947-70E740481C1C}">
                          <a14:useLocalDpi xmlns:a14="http://schemas.microsoft.com/office/drawing/2010/main" val="0"/>
                        </a:ext>
                      </a:extLst>
                    </a:blip>
                    <a:stretch>
                      <a:fillRect/>
                    </a:stretch>
                  </pic:blipFill>
                  <pic:spPr>
                    <a:xfrm>
                      <a:off x="0" y="0"/>
                      <a:ext cx="4683289" cy="3167387"/>
                    </a:xfrm>
                    <a:prstGeom prst="rect">
                      <a:avLst/>
                    </a:prstGeom>
                  </pic:spPr>
                </pic:pic>
              </a:graphicData>
            </a:graphic>
          </wp:inline>
        </w:drawing>
      </w:r>
      <w:r>
        <w:rPr>
          <w:noProof/>
          <w:lang w:eastAsia="en-NZ"/>
        </w:rPr>
        <mc:AlternateContent>
          <mc:Choice Requires="wps">
            <w:drawing>
              <wp:anchor distT="0" distB="0" distL="114300" distR="114300" simplePos="0" relativeHeight="251695104" behindDoc="0" locked="0" layoutInCell="1" allowOverlap="1" wp14:anchorId="30F584C1" wp14:editId="55F2C0B2">
                <wp:simplePos x="0" y="0"/>
                <wp:positionH relativeFrom="column">
                  <wp:posOffset>2418715</wp:posOffset>
                </wp:positionH>
                <wp:positionV relativeFrom="paragraph">
                  <wp:posOffset>17145</wp:posOffset>
                </wp:positionV>
                <wp:extent cx="350520" cy="365760"/>
                <wp:effectExtent l="0" t="1905" r="1905" b="3810"/>
                <wp:wrapNone/>
                <wp:docPr id="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805" w:rsidRPr="005371C7" w:rsidRDefault="000B6805" w:rsidP="00B171B6">
                            <w:pPr>
                              <w:rPr>
                                <w:rFonts w:ascii="Century Gothic" w:hAnsi="Century Gothic"/>
                                <w:b/>
                                <w:color w:val="FFFFFF" w:themeColor="background1"/>
                                <w:sz w:val="28"/>
                                <w:szCs w:val="28"/>
                              </w:rPr>
                            </w:pPr>
                            <w:r>
                              <w:rPr>
                                <w:rFonts w:ascii="Century Gothic" w:hAnsi="Century Gothic"/>
                                <w:b/>
                                <w:color w:val="FFFFFF" w:themeColor="background1"/>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540AC9E" id="_x0000_s1032" type="#_x0000_t202" style="position:absolute;left:0;text-align:left;margin-left:190.45pt;margin-top:1.35pt;width:27.6pt;height:28.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" filled="f" stroked="f">
                <v:textbox>
                  <w:txbxContent>
                    <w:p w:rsidR="000B6805" w:rsidRPr="005371C7" w:rsidRDefault="000B6805" w:rsidP="00B171B6">
                      <w:pPr>
                        <w:rPr>
                          <w:rFonts w:ascii="Century Gothic" w:hAnsi="Century Gothic"/>
                          <w:b/>
                          <w:color w:val="FFFFFF" w:themeColor="background1"/>
                          <w:sz w:val="28"/>
                          <w:szCs w:val="28"/>
                        </w:rPr>
                      </w:pPr>
                      <w:r>
                        <w:rPr>
                          <w:rFonts w:ascii="Century Gothic" w:hAnsi="Century Gothic"/>
                          <w:b/>
                          <w:color w:val="FFFFFF" w:themeColor="background1"/>
                          <w:sz w:val="28"/>
                          <w:szCs w:val="28"/>
                        </w:rPr>
                        <w:t>B</w:t>
                      </w:r>
                    </w:p>
                  </w:txbxContent>
                </v:textbox>
              </v:shape>
            </w:pict>
          </mc:Fallback>
        </mc:AlternateContent>
      </w:r>
      <w:r>
        <w:rPr>
          <w:noProof/>
          <w:lang w:eastAsia="en-NZ"/>
        </w:rPr>
        <mc:AlternateContent>
          <mc:Choice Requires="wps">
            <w:drawing>
              <wp:anchor distT="0" distB="0" distL="114300" distR="114300" simplePos="0" relativeHeight="251694080" behindDoc="0" locked="0" layoutInCell="1" allowOverlap="1" wp14:anchorId="5CD74BAC" wp14:editId="4A7EEB9C">
                <wp:simplePos x="0" y="0"/>
                <wp:positionH relativeFrom="column">
                  <wp:posOffset>-492125</wp:posOffset>
                </wp:positionH>
                <wp:positionV relativeFrom="paragraph">
                  <wp:posOffset>17145</wp:posOffset>
                </wp:positionV>
                <wp:extent cx="350520" cy="365760"/>
                <wp:effectExtent l="0" t="0" r="254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805" w:rsidRPr="005371C7" w:rsidRDefault="000B6805" w:rsidP="00B171B6">
                            <w:pPr>
                              <w:rPr>
                                <w:rFonts w:ascii="Century Gothic" w:hAnsi="Century Gothic"/>
                                <w:b/>
                                <w:color w:val="FFFFFF" w:themeColor="background1"/>
                                <w:sz w:val="28"/>
                                <w:szCs w:val="28"/>
                              </w:rPr>
                            </w:pPr>
                            <w:r w:rsidRPr="005371C7">
                              <w:rPr>
                                <w:rFonts w:ascii="Century Gothic" w:hAnsi="Century Gothic"/>
                                <w:b/>
                                <w:color w:val="FFFFFF" w:themeColor="background1"/>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20EDC0A" id="_x0000_s1033" type="#_x0000_t202" style="position:absolute;left:0;text-align:left;margin-left:-38.75pt;margin-top:1.35pt;width:27.6pt;height:28.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oUytwIAAMA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" filled="f" stroked="f">
                <v:textbox>
                  <w:txbxContent>
                    <w:p w:rsidR="000B6805" w:rsidRPr="005371C7" w:rsidRDefault="000B6805" w:rsidP="00B171B6">
                      <w:pPr>
                        <w:rPr>
                          <w:rFonts w:ascii="Century Gothic" w:hAnsi="Century Gothic"/>
                          <w:b/>
                          <w:color w:val="FFFFFF" w:themeColor="background1"/>
                          <w:sz w:val="28"/>
                          <w:szCs w:val="28"/>
                        </w:rPr>
                      </w:pPr>
                      <w:r w:rsidRPr="005371C7">
                        <w:rPr>
                          <w:rFonts w:ascii="Century Gothic" w:hAnsi="Century Gothic"/>
                          <w:b/>
                          <w:color w:val="FFFFFF" w:themeColor="background1"/>
                          <w:sz w:val="28"/>
                          <w:szCs w:val="28"/>
                        </w:rPr>
                        <w:t>A</w:t>
                      </w:r>
                    </w:p>
                  </w:txbxContent>
                </v:textbox>
              </v:shape>
            </w:pict>
          </mc:Fallback>
        </mc:AlternateContent>
      </w:r>
    </w:p>
    <w:p w:rsidR="00B82927" w:rsidRPr="00236ADF" w:rsidRDefault="00B171B6" w:rsidP="00236ADF">
      <w:pPr>
        <w:spacing w:line="240" w:lineRule="auto"/>
        <w:rPr>
          <w:sz w:val="18"/>
          <w:szCs w:val="18"/>
        </w:rPr>
      </w:pPr>
      <w:r w:rsidRPr="0086661F">
        <w:rPr>
          <w:sz w:val="18"/>
          <w:szCs w:val="18"/>
        </w:rPr>
        <w:t>Source: Auckland Council’s GIS viewer</w:t>
      </w:r>
      <w:r w:rsidRPr="0086661F">
        <w:rPr>
          <w:rStyle w:val="FootnoteReference"/>
          <w:sz w:val="18"/>
          <w:szCs w:val="18"/>
        </w:rPr>
        <w:t xml:space="preserve"> </w:t>
      </w:r>
      <w:r w:rsidRPr="0086661F">
        <w:rPr>
          <w:sz w:val="18"/>
          <w:szCs w:val="18"/>
        </w:rPr>
        <w:t xml:space="preserve">via </w:t>
      </w:r>
      <w:hyperlink r:id="rId74" w:history="1">
        <w:r w:rsidR="00236ADF" w:rsidRPr="006E113C">
          <w:rPr>
            <w:rStyle w:val="Hyperlink"/>
            <w:rFonts w:ascii="Palatino Linotype" w:hAnsi="Palatino Linotype"/>
            <w:sz w:val="18"/>
            <w:szCs w:val="18"/>
          </w:rPr>
          <w:t>http://transportblog.co.nz/2014/11/11/new-auckland-valuation-maps/</w:t>
        </w:r>
      </w:hyperlink>
      <w:r w:rsidR="00B82927">
        <w:br w:type="page"/>
      </w:r>
    </w:p>
    <w:p w:rsidR="00B82927" w:rsidRPr="004C33D1" w:rsidRDefault="00B82927" w:rsidP="00B82927">
      <w:pPr>
        <w:pStyle w:val="Annex1"/>
      </w:pPr>
      <w:bookmarkStart w:id="286" w:name="_Toc462582226"/>
      <w:r w:rsidRPr="004C33D1">
        <w:lastRenderedPageBreak/>
        <w:t>Inflation-adjusted Mean Rent Values</w:t>
      </w:r>
      <w:bookmarkEnd w:id="275"/>
      <w:bookmarkEnd w:id="276"/>
      <w:bookmarkEnd w:id="277"/>
      <w:bookmarkEnd w:id="278"/>
      <w:bookmarkEnd w:id="279"/>
      <w:bookmarkEnd w:id="280"/>
      <w:bookmarkEnd w:id="286"/>
    </w:p>
    <w:p w:rsidR="00B82927" w:rsidRPr="004C33D1" w:rsidRDefault="00B82927" w:rsidP="00B82927">
      <w:pPr>
        <w:pStyle w:val="Annex2"/>
      </w:pPr>
      <w:bookmarkStart w:id="287" w:name="_Toc456367192"/>
      <w:bookmarkStart w:id="288" w:name="_Toc456624657"/>
      <w:bookmarkStart w:id="289" w:name="_Toc457985372"/>
      <w:bookmarkStart w:id="290" w:name="_Toc457988518"/>
      <w:bookmarkStart w:id="291" w:name="_Toc458160013"/>
      <w:bookmarkStart w:id="292" w:name="_Toc462582227"/>
      <w:r w:rsidRPr="004C33D1">
        <w:t>Description</w:t>
      </w:r>
      <w:bookmarkEnd w:id="287"/>
      <w:bookmarkEnd w:id="288"/>
      <w:bookmarkEnd w:id="289"/>
      <w:bookmarkEnd w:id="290"/>
      <w:bookmarkEnd w:id="291"/>
      <w:bookmarkEnd w:id="292"/>
    </w:p>
    <w:p w:rsidR="00B82927" w:rsidRPr="004C33D1" w:rsidRDefault="00B82927" w:rsidP="00B82927">
      <w:r w:rsidRPr="004C33D1">
        <w:t>Average weekly rent values by month and territorial authority, adjusted by annual inflation in the consumer price index (CPI).</w:t>
      </w:r>
    </w:p>
    <w:p w:rsidR="00B82927" w:rsidRPr="004C33D1" w:rsidRDefault="00B82927" w:rsidP="00B82927">
      <w:pPr>
        <w:pStyle w:val="Annex2"/>
      </w:pPr>
      <w:bookmarkStart w:id="293" w:name="_Toc456367193"/>
      <w:bookmarkStart w:id="294" w:name="_Toc456624658"/>
      <w:bookmarkStart w:id="295" w:name="_Toc457985373"/>
      <w:bookmarkStart w:id="296" w:name="_Toc457988519"/>
      <w:bookmarkStart w:id="297" w:name="_Toc458160014"/>
      <w:bookmarkStart w:id="298" w:name="_Toc462582228"/>
      <w:r w:rsidRPr="004C33D1">
        <w:t>Interpretation</w:t>
      </w:r>
      <w:bookmarkEnd w:id="293"/>
      <w:bookmarkEnd w:id="294"/>
      <w:bookmarkEnd w:id="295"/>
      <w:bookmarkEnd w:id="296"/>
      <w:bookmarkEnd w:id="297"/>
      <w:bookmarkEnd w:id="298"/>
    </w:p>
    <w:p w:rsidR="00B82927" w:rsidRPr="004C33D1" w:rsidRDefault="00B82927" w:rsidP="00B82927">
      <w:r w:rsidRPr="004C33D1">
        <w:t xml:space="preserve">This simple indicator allows a local area to track or compare average rent values over time or between different areas. Adjusting for inflation allows for a better comparison of past and present prices through controlling for changes to the purchasing power of the dollar. Prices adjusted for inflation </w:t>
      </w:r>
      <w:proofErr w:type="gramStart"/>
      <w:r w:rsidRPr="004C33D1">
        <w:t>are often referred</w:t>
      </w:r>
      <w:proofErr w:type="gramEnd"/>
      <w:r w:rsidRPr="004C33D1">
        <w:t xml:space="preserve"> to as ‘real’ prices and un-adjusted prices are known as ‘nominal’ prices. Although median values will give a better representation of rental price movements when large outliers exist, median rent values were readily available.</w:t>
      </w:r>
    </w:p>
    <w:p w:rsidR="00B82927" w:rsidRPr="004C33D1" w:rsidRDefault="00B82927" w:rsidP="00B82927">
      <w:pPr>
        <w:pStyle w:val="Annex2"/>
      </w:pPr>
      <w:bookmarkStart w:id="299" w:name="_Toc456367194"/>
      <w:bookmarkStart w:id="300" w:name="_Toc456624659"/>
      <w:bookmarkStart w:id="301" w:name="_Toc457985374"/>
      <w:bookmarkStart w:id="302" w:name="_Toc457988520"/>
      <w:bookmarkStart w:id="303" w:name="_Toc458160015"/>
      <w:bookmarkStart w:id="304" w:name="_Toc462582229"/>
      <w:r w:rsidRPr="004C33D1">
        <w:t>Data availability</w:t>
      </w:r>
      <w:bookmarkEnd w:id="299"/>
      <w:bookmarkEnd w:id="300"/>
      <w:bookmarkEnd w:id="301"/>
      <w:bookmarkEnd w:id="302"/>
      <w:bookmarkEnd w:id="303"/>
      <w:bookmarkEnd w:id="304"/>
    </w:p>
    <w:p w:rsidR="00B82927" w:rsidRPr="004C33D1" w:rsidRDefault="00B82927" w:rsidP="00B82927">
      <w:pPr>
        <w:rPr>
          <w:szCs w:val="21"/>
        </w:rPr>
      </w:pPr>
      <w:r w:rsidRPr="004C33D1">
        <w:rPr>
          <w:szCs w:val="21"/>
        </w:rPr>
        <w:t xml:space="preserve">Average rental data by territorial authority </w:t>
      </w:r>
      <w:proofErr w:type="gramStart"/>
      <w:r w:rsidRPr="004C33D1">
        <w:rPr>
          <w:szCs w:val="21"/>
        </w:rPr>
        <w:t>was obtained</w:t>
      </w:r>
      <w:proofErr w:type="gramEnd"/>
      <w:r w:rsidRPr="004C33D1">
        <w:rPr>
          <w:szCs w:val="21"/>
        </w:rPr>
        <w:t xml:space="preserve"> from the bond tenancy services database and is administered by MBIE. CPI vales are publicly available from the Reserve Bank of New Zealand (</w:t>
      </w:r>
      <w:r w:rsidRPr="004C33D1">
        <w:rPr>
          <w:szCs w:val="21"/>
        </w:rPr>
        <w:fldChar w:fldCharType="begin"/>
      </w:r>
      <w:r w:rsidRPr="004C33D1">
        <w:rPr>
          <w:szCs w:val="21"/>
        </w:rPr>
        <w:instrText xml:space="preserve"> REF _Ref456685259 \h </w:instrText>
      </w:r>
      <w:r w:rsidRPr="004C33D1">
        <w:rPr>
          <w:szCs w:val="21"/>
        </w:rPr>
      </w:r>
      <w:r w:rsidRPr="004C33D1">
        <w:rPr>
          <w:szCs w:val="21"/>
        </w:rPr>
        <w:fldChar w:fldCharType="separate"/>
      </w:r>
      <w:r w:rsidR="004D1DDA" w:rsidRPr="004C33D1">
        <w:t xml:space="preserve">Table </w:t>
      </w:r>
      <w:r w:rsidR="004D1DDA">
        <w:rPr>
          <w:noProof/>
        </w:rPr>
        <w:t>20</w:t>
      </w:r>
      <w:r w:rsidRPr="004C33D1">
        <w:rPr>
          <w:szCs w:val="21"/>
        </w:rPr>
        <w:fldChar w:fldCharType="end"/>
      </w:r>
      <w:r w:rsidRPr="004C33D1">
        <w:rPr>
          <w:szCs w:val="21"/>
        </w:rPr>
        <w:t>).</w:t>
      </w:r>
    </w:p>
    <w:p w:rsidR="00B82927" w:rsidRPr="004C33D1" w:rsidRDefault="00B82927" w:rsidP="00B82927">
      <w:pPr>
        <w:pStyle w:val="Caption"/>
        <w:rPr>
          <w:szCs w:val="21"/>
        </w:rPr>
      </w:pPr>
      <w:bookmarkStart w:id="305" w:name="_Ref456685259"/>
      <w:r w:rsidRPr="004C33D1">
        <w:t xml:space="preserve">Table </w:t>
      </w:r>
      <w:r w:rsidRPr="004C33D1">
        <w:fldChar w:fldCharType="begin"/>
      </w:r>
      <w:r w:rsidRPr="004C33D1">
        <w:instrText xml:space="preserve"> SEQ Table \* ARABIC </w:instrText>
      </w:r>
      <w:r w:rsidRPr="004C33D1">
        <w:fldChar w:fldCharType="separate"/>
      </w:r>
      <w:r w:rsidR="004D1DDA">
        <w:rPr>
          <w:noProof/>
        </w:rPr>
        <w:t>20</w:t>
      </w:r>
      <w:r w:rsidRPr="004C33D1">
        <w:fldChar w:fldCharType="end"/>
      </w:r>
      <w:bookmarkEnd w:id="305"/>
      <w:r w:rsidRPr="004C33D1">
        <w:t>: Data sources</w:t>
      </w:r>
    </w:p>
    <w:tbl>
      <w:tblPr>
        <w:tblStyle w:val="CovecTables"/>
        <w:tblW w:w="5000" w:type="pct"/>
        <w:tblInd w:w="0" w:type="dxa"/>
        <w:tblBorders>
          <w:bottom w:val="single" w:sz="12" w:space="0" w:color="A6A6A6" w:themeColor="background1" w:themeShade="A6"/>
          <w:insideH w:val="single" w:sz="8" w:space="0" w:color="A6A6A6" w:themeColor="background1" w:themeShade="A6"/>
        </w:tblBorders>
        <w:tblLook w:val="04E0" w:firstRow="1" w:lastRow="1" w:firstColumn="1" w:lastColumn="0" w:noHBand="0" w:noVBand="1"/>
      </w:tblPr>
      <w:tblGrid>
        <w:gridCol w:w="1834"/>
        <w:gridCol w:w="1389"/>
        <w:gridCol w:w="4998"/>
      </w:tblGrid>
      <w:tr w:rsidR="00B82927" w:rsidRPr="004C33D1" w:rsidTr="00876A9A">
        <w:trPr>
          <w:cnfStyle w:val="100000000000" w:firstRow="1" w:lastRow="0" w:firstColumn="0" w:lastColumn="0" w:oddVBand="0" w:evenVBand="0" w:oddHBand="0" w:evenHBand="0" w:firstRowFirstColumn="0" w:firstRowLastColumn="0" w:lastRowFirstColumn="0" w:lastRowLastColumn="0"/>
          <w:trHeight w:val="256"/>
        </w:trPr>
        <w:tc>
          <w:tcPr>
            <w:cnfStyle w:val="001000000100" w:firstRow="0" w:lastRow="0" w:firstColumn="1" w:lastColumn="0" w:oddVBand="0" w:evenVBand="0" w:oddHBand="0" w:evenHBand="0" w:firstRowFirstColumn="1" w:firstRowLastColumn="0" w:lastRowFirstColumn="0" w:lastRowLastColumn="0"/>
            <w:tcW w:w="1115" w:type="pct"/>
          </w:tcPr>
          <w:p w:rsidR="00B82927" w:rsidRPr="004C33D1" w:rsidRDefault="00B82927" w:rsidP="00876A9A">
            <w:pPr>
              <w:pStyle w:val="TableText"/>
            </w:pPr>
            <w:r w:rsidRPr="004C33D1">
              <w:t>Data</w:t>
            </w:r>
          </w:p>
        </w:tc>
        <w:tc>
          <w:tcPr>
            <w:tcW w:w="845" w:type="pct"/>
          </w:tcPr>
          <w:p w:rsidR="00B82927" w:rsidRPr="004C33D1" w:rsidRDefault="00B82927" w:rsidP="00876A9A">
            <w:pPr>
              <w:pStyle w:val="TableText"/>
              <w:jc w:val="left"/>
              <w:cnfStyle w:val="100000000000" w:firstRow="1" w:lastRow="0" w:firstColumn="0" w:lastColumn="0" w:oddVBand="0" w:evenVBand="0" w:oddHBand="0" w:evenHBand="0" w:firstRowFirstColumn="0" w:firstRowLastColumn="0" w:lastRowFirstColumn="0" w:lastRowLastColumn="0"/>
            </w:pPr>
            <w:r w:rsidRPr="004C33D1">
              <w:t>Source</w:t>
            </w:r>
          </w:p>
        </w:tc>
        <w:tc>
          <w:tcPr>
            <w:tcW w:w="3040" w:type="pct"/>
          </w:tcPr>
          <w:p w:rsidR="00B82927" w:rsidRPr="004C33D1" w:rsidRDefault="00B82927" w:rsidP="00876A9A">
            <w:pPr>
              <w:pStyle w:val="TableText"/>
              <w:jc w:val="left"/>
              <w:cnfStyle w:val="100000000000" w:firstRow="1" w:lastRow="0" w:firstColumn="0" w:lastColumn="0" w:oddVBand="0" w:evenVBand="0" w:oddHBand="0" w:evenHBand="0" w:firstRowFirstColumn="0" w:firstRowLastColumn="0" w:lastRowFirstColumn="0" w:lastRowLastColumn="0"/>
            </w:pPr>
            <w:r w:rsidRPr="004C33D1">
              <w:t>Location</w:t>
            </w:r>
          </w:p>
        </w:tc>
      </w:tr>
      <w:tr w:rsidR="00B82927" w:rsidRPr="004C33D1" w:rsidTr="00876A9A">
        <w:tblPrEx>
          <w:tblCellMar>
            <w:top w:w="0" w:type="dxa"/>
            <w:left w:w="0" w:type="dxa"/>
            <w:bottom w:w="0" w:type="dxa"/>
            <w:right w:w="0" w:type="dxa"/>
          </w:tblCellMar>
        </w:tblPrEx>
        <w:trPr>
          <w:trHeight w:val="245"/>
        </w:trPr>
        <w:tc>
          <w:tcPr>
            <w:cnfStyle w:val="001000000000" w:firstRow="0" w:lastRow="0" w:firstColumn="1" w:lastColumn="0" w:oddVBand="0" w:evenVBand="0" w:oddHBand="0" w:evenHBand="0" w:firstRowFirstColumn="0" w:firstRowLastColumn="0" w:lastRowFirstColumn="0" w:lastRowLastColumn="0"/>
            <w:tcW w:w="1115" w:type="pct"/>
            <w:vAlign w:val="top"/>
          </w:tcPr>
          <w:p w:rsidR="00B82927" w:rsidRPr="004C33D1" w:rsidRDefault="00B82927" w:rsidP="00876A9A">
            <w:pPr>
              <w:pStyle w:val="TableText"/>
            </w:pPr>
            <w:r w:rsidRPr="004C33D1">
              <w:t>Mean rents</w:t>
            </w:r>
          </w:p>
        </w:tc>
        <w:tc>
          <w:tcPr>
            <w:tcW w:w="845" w:type="pct"/>
            <w:vAlign w:val="top"/>
          </w:tcPr>
          <w:p w:rsidR="00B82927" w:rsidRPr="004C33D1" w:rsidRDefault="00B82927" w:rsidP="00876A9A">
            <w:pPr>
              <w:pStyle w:val="TableText"/>
              <w:jc w:val="left"/>
              <w:cnfStyle w:val="000000000000" w:firstRow="0" w:lastRow="0" w:firstColumn="0" w:lastColumn="0" w:oddVBand="0" w:evenVBand="0" w:oddHBand="0" w:evenHBand="0" w:firstRowFirstColumn="0" w:firstRowLastColumn="0" w:lastRowFirstColumn="0" w:lastRowLastColumn="0"/>
            </w:pPr>
            <w:r w:rsidRPr="004C33D1">
              <w:t>Tenancy Bond Database</w:t>
            </w:r>
          </w:p>
        </w:tc>
        <w:tc>
          <w:tcPr>
            <w:tcW w:w="3040" w:type="pct"/>
            <w:vAlign w:val="top"/>
          </w:tcPr>
          <w:p w:rsidR="00B82927" w:rsidRPr="004C33D1" w:rsidRDefault="00B82927" w:rsidP="00876A9A">
            <w:pPr>
              <w:pStyle w:val="TableText"/>
              <w:jc w:val="left"/>
              <w:cnfStyle w:val="000000000000" w:firstRow="0" w:lastRow="0" w:firstColumn="0" w:lastColumn="0" w:oddVBand="0" w:evenVBand="0" w:oddHBand="0" w:evenHBand="0" w:firstRowFirstColumn="0" w:firstRowLastColumn="0" w:lastRowFirstColumn="0" w:lastRowLastColumn="0"/>
            </w:pPr>
            <w:r w:rsidRPr="004C33D1">
              <w:t>MBIE</w:t>
            </w:r>
          </w:p>
        </w:tc>
      </w:tr>
      <w:tr w:rsidR="00B82927" w:rsidRPr="004C33D1" w:rsidTr="00876A9A">
        <w:tblPrEx>
          <w:tblCellMar>
            <w:top w:w="0" w:type="dxa"/>
            <w:left w:w="0" w:type="dxa"/>
            <w:bottom w:w="0" w:type="dxa"/>
            <w:right w:w="0" w:type="dxa"/>
          </w:tblCellMar>
        </w:tblPrEx>
        <w:trPr>
          <w:cnfStyle w:val="010000000000" w:firstRow="0" w:lastRow="1" w:firstColumn="0" w:lastColumn="0" w:oddVBand="0" w:evenVBand="0" w:oddHBand="0" w:evenHBand="0" w:firstRowFirstColumn="0" w:firstRowLastColumn="0" w:lastRowFirstColumn="0" w:lastRowLastColumn="0"/>
          <w:trHeight w:val="256"/>
        </w:trPr>
        <w:tc>
          <w:tcPr>
            <w:cnfStyle w:val="001000000001" w:firstRow="0" w:lastRow="0" w:firstColumn="1" w:lastColumn="0" w:oddVBand="0" w:evenVBand="0" w:oddHBand="0" w:evenHBand="0" w:firstRowFirstColumn="0" w:firstRowLastColumn="0" w:lastRowFirstColumn="1" w:lastRowLastColumn="0"/>
            <w:tcW w:w="1115" w:type="pct"/>
            <w:vAlign w:val="top"/>
          </w:tcPr>
          <w:p w:rsidR="00B82927" w:rsidRPr="004C33D1" w:rsidRDefault="00B82927" w:rsidP="00876A9A">
            <w:pPr>
              <w:pStyle w:val="TableText"/>
            </w:pPr>
            <w:r w:rsidRPr="004C33D1">
              <w:t xml:space="preserve">CPI </w:t>
            </w:r>
          </w:p>
        </w:tc>
        <w:tc>
          <w:tcPr>
            <w:tcW w:w="845" w:type="pct"/>
            <w:vAlign w:val="top"/>
          </w:tcPr>
          <w:p w:rsidR="00B82927" w:rsidRPr="004C33D1" w:rsidRDefault="00B82927" w:rsidP="00876A9A">
            <w:pPr>
              <w:pStyle w:val="TableText"/>
              <w:ind w:right="114"/>
              <w:jc w:val="left"/>
              <w:cnfStyle w:val="010000000000" w:firstRow="0" w:lastRow="1" w:firstColumn="0" w:lastColumn="0" w:oddVBand="0" w:evenVBand="0" w:oddHBand="0" w:evenHBand="0" w:firstRowFirstColumn="0" w:firstRowLastColumn="0" w:lastRowFirstColumn="0" w:lastRowLastColumn="0"/>
            </w:pPr>
            <w:r w:rsidRPr="004C33D1">
              <w:t xml:space="preserve">RBNZ </w:t>
            </w:r>
          </w:p>
        </w:tc>
        <w:tc>
          <w:tcPr>
            <w:tcW w:w="3040" w:type="pct"/>
            <w:vAlign w:val="top"/>
          </w:tcPr>
          <w:p w:rsidR="00B82927" w:rsidRPr="004C33D1" w:rsidRDefault="00B82927" w:rsidP="00876A9A">
            <w:pPr>
              <w:pStyle w:val="TableText"/>
              <w:jc w:val="left"/>
              <w:cnfStyle w:val="010000000000" w:firstRow="0" w:lastRow="1" w:firstColumn="0" w:lastColumn="0" w:oddVBand="0" w:evenVBand="0" w:oddHBand="0" w:evenHBand="0" w:firstRowFirstColumn="0" w:firstRowLastColumn="0" w:lastRowFirstColumn="0" w:lastRowLastColumn="0"/>
            </w:pPr>
            <w:r w:rsidRPr="004C33D1">
              <w:t>RBNZ Statistics</w:t>
            </w:r>
            <w:r w:rsidRPr="004C33D1">
              <w:rPr>
                <w:rStyle w:val="FootnoteReference"/>
              </w:rPr>
              <w:footnoteReference w:id="124"/>
            </w:r>
            <w:r w:rsidRPr="004C33D1">
              <w:t xml:space="preserve"> </w:t>
            </w:r>
            <w:r w:rsidRPr="004C33D1">
              <w:rPr>
                <w:i/>
              </w:rPr>
              <w:t>Economic Indicators &gt; M1(1988-current)</w:t>
            </w:r>
          </w:p>
        </w:tc>
      </w:tr>
    </w:tbl>
    <w:p w:rsidR="00B82927" w:rsidRPr="004C33D1" w:rsidRDefault="00B82927" w:rsidP="00B82927">
      <w:pPr>
        <w:pStyle w:val="Annex2"/>
      </w:pPr>
      <w:bookmarkStart w:id="306" w:name="_Toc456367195"/>
      <w:bookmarkStart w:id="307" w:name="_Toc456624660"/>
      <w:bookmarkStart w:id="308" w:name="_Toc457985375"/>
      <w:bookmarkStart w:id="309" w:name="_Toc457988521"/>
      <w:bookmarkStart w:id="310" w:name="_Toc458160016"/>
      <w:bookmarkStart w:id="311" w:name="_Toc462582230"/>
      <w:r w:rsidRPr="004C33D1">
        <w:t>Examples of use</w:t>
      </w:r>
      <w:bookmarkEnd w:id="306"/>
      <w:bookmarkEnd w:id="307"/>
      <w:bookmarkEnd w:id="308"/>
      <w:bookmarkEnd w:id="309"/>
      <w:bookmarkEnd w:id="310"/>
      <w:bookmarkEnd w:id="311"/>
    </w:p>
    <w:p w:rsidR="00B82927" w:rsidRPr="004C33D1" w:rsidRDefault="00B82927" w:rsidP="00B82927">
      <w:r w:rsidRPr="004C33D1">
        <w:fldChar w:fldCharType="begin"/>
      </w:r>
      <w:r w:rsidRPr="004C33D1">
        <w:instrText xml:space="preserve"> REF _Ref457985106 \h </w:instrText>
      </w:r>
      <w:r w:rsidRPr="004C33D1">
        <w:fldChar w:fldCharType="separate"/>
      </w:r>
      <w:r w:rsidR="004D1DDA" w:rsidRPr="004C33D1">
        <w:t xml:space="preserve">Figure </w:t>
      </w:r>
      <w:r w:rsidR="004D1DDA">
        <w:rPr>
          <w:noProof/>
        </w:rPr>
        <w:t>41</w:t>
      </w:r>
      <w:r w:rsidRPr="004C33D1">
        <w:fldChar w:fldCharType="end"/>
      </w:r>
      <w:r w:rsidRPr="004C33D1">
        <w:t xml:space="preserve"> shows that real rent prices for </w:t>
      </w:r>
      <w:proofErr w:type="gramStart"/>
      <w:r w:rsidRPr="004C33D1">
        <w:t>1</w:t>
      </w:r>
      <w:proofErr w:type="gramEnd"/>
      <w:r w:rsidRPr="004C33D1">
        <w:t xml:space="preserve"> and 3 bedroom homes in Tauranga and Christchurch since 2000. By restricting the indicator to </w:t>
      </w:r>
      <w:proofErr w:type="gramStart"/>
      <w:r w:rsidRPr="004C33D1">
        <w:t>1</w:t>
      </w:r>
      <w:proofErr w:type="gramEnd"/>
      <w:r w:rsidRPr="004C33D1">
        <w:t xml:space="preserve"> and 3 bedroom homes, we are able to control for potential changes in the size that influence rent price.</w:t>
      </w:r>
    </w:p>
    <w:p w:rsidR="00B82927" w:rsidRPr="004C33D1" w:rsidRDefault="00B82927" w:rsidP="00B82927"/>
    <w:p w:rsidR="00B82927" w:rsidRPr="004C33D1" w:rsidRDefault="00B82927" w:rsidP="00B82927">
      <w:r w:rsidRPr="004C33D1">
        <w:t xml:space="preserve">Separating trends by bedroom number is useful given that levels of supply and demand can be specific to the number of bedrooms in a home (ie house size). For example, the post-earthquake spike in </w:t>
      </w:r>
      <w:proofErr w:type="gramStart"/>
      <w:r w:rsidRPr="004C33D1">
        <w:t>1 bedroom</w:t>
      </w:r>
      <w:proofErr w:type="gramEnd"/>
      <w:r w:rsidRPr="004C33D1">
        <w:t xml:space="preserve"> rental prices in Christchurch is far less pronounced for that of 3 bedroom houses. This may indicate that either the surplus in demand or supply shortage of </w:t>
      </w:r>
      <w:proofErr w:type="gramStart"/>
      <w:r w:rsidRPr="004C33D1">
        <w:t>1 bedroom</w:t>
      </w:r>
      <w:proofErr w:type="gramEnd"/>
      <w:r w:rsidRPr="004C33D1">
        <w:t xml:space="preserve"> houses in Christchurch following the earthquake was less substantial than that of 3 bedroom houses.</w:t>
      </w:r>
    </w:p>
    <w:p w:rsidR="00B82927" w:rsidRPr="004C33D1" w:rsidRDefault="00B82927" w:rsidP="00B82927"/>
    <w:p w:rsidR="00B82927" w:rsidRPr="004C33D1" w:rsidRDefault="00B82927" w:rsidP="00B82927">
      <w:pPr>
        <w:pStyle w:val="Caption"/>
      </w:pPr>
      <w:bookmarkStart w:id="312" w:name="_Ref457985106"/>
      <w:r w:rsidRPr="004C33D1">
        <w:lastRenderedPageBreak/>
        <w:t xml:space="preserve">Figure </w:t>
      </w:r>
      <w:r w:rsidRPr="004C33D1">
        <w:fldChar w:fldCharType="begin"/>
      </w:r>
      <w:r w:rsidRPr="004C33D1">
        <w:instrText xml:space="preserve"> SEQ Figure \* ARABIC </w:instrText>
      </w:r>
      <w:r w:rsidRPr="004C33D1">
        <w:fldChar w:fldCharType="separate"/>
      </w:r>
      <w:r w:rsidR="004D1DDA">
        <w:rPr>
          <w:noProof/>
        </w:rPr>
        <w:t>41</w:t>
      </w:r>
      <w:r w:rsidRPr="004C33D1">
        <w:fldChar w:fldCharType="end"/>
      </w:r>
      <w:bookmarkEnd w:id="312"/>
      <w:r w:rsidRPr="004C33D1">
        <w:t xml:space="preserve"> Inflation-adjusted mean rents for 1 and 3 bedroom homes in Christchurch and Tauranga 2000-2015 (2015$ values)</w:t>
      </w:r>
    </w:p>
    <w:p w:rsidR="00B82927" w:rsidRPr="004C33D1" w:rsidRDefault="00B82927" w:rsidP="00B82927">
      <w:r w:rsidRPr="004C33D1">
        <w:rPr>
          <w:noProof/>
          <w:lang w:eastAsia="en-NZ"/>
        </w:rPr>
        <w:drawing>
          <wp:inline distT="0" distB="0" distL="0" distR="0" wp14:anchorId="0221AF9E" wp14:editId="615B021C">
            <wp:extent cx="5220335" cy="3104726"/>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220335" cy="3104726"/>
                    </a:xfrm>
                    <a:prstGeom prst="rect">
                      <a:avLst/>
                    </a:prstGeom>
                    <a:noFill/>
                    <a:ln>
                      <a:noFill/>
                    </a:ln>
                  </pic:spPr>
                </pic:pic>
              </a:graphicData>
            </a:graphic>
          </wp:inline>
        </w:drawing>
      </w:r>
    </w:p>
    <w:p w:rsidR="00B82927" w:rsidRPr="004C33D1" w:rsidRDefault="00B82927" w:rsidP="00B82927">
      <w:pPr>
        <w:rPr>
          <w:sz w:val="18"/>
          <w:szCs w:val="18"/>
        </w:rPr>
      </w:pPr>
      <w:r w:rsidRPr="004C33D1">
        <w:rPr>
          <w:sz w:val="18"/>
          <w:szCs w:val="18"/>
        </w:rPr>
        <w:t>Source: MBIE and RBNZ</w:t>
      </w:r>
    </w:p>
    <w:p w:rsidR="00B82927" w:rsidRPr="004C33D1" w:rsidRDefault="00B82927" w:rsidP="00B82927"/>
    <w:p w:rsidR="00B82927" w:rsidRPr="004C33D1" w:rsidRDefault="00B82927" w:rsidP="00B82927">
      <w:r w:rsidRPr="004C33D1">
        <w:fldChar w:fldCharType="begin"/>
      </w:r>
      <w:r w:rsidRPr="004C33D1">
        <w:instrText xml:space="preserve"> REF _Ref456365626 \h  \* MERGEFORMAT </w:instrText>
      </w:r>
      <w:r w:rsidRPr="004C33D1">
        <w:fldChar w:fldCharType="separate"/>
      </w:r>
      <w:r w:rsidR="004D1DDA" w:rsidRPr="004C33D1">
        <w:t xml:space="preserve">Figure </w:t>
      </w:r>
      <w:r w:rsidR="004D1DDA">
        <w:rPr>
          <w:noProof/>
        </w:rPr>
        <w:t>42</w:t>
      </w:r>
      <w:r w:rsidRPr="004C33D1">
        <w:fldChar w:fldCharType="end"/>
      </w:r>
      <w:r w:rsidRPr="004C33D1">
        <w:t xml:space="preserve"> shows that real rent prices have been increasing at a slower rate than that of real house prices in </w:t>
      </w:r>
      <w:r w:rsidRPr="004C33D1">
        <w:fldChar w:fldCharType="begin"/>
      </w:r>
      <w:r w:rsidRPr="004C33D1">
        <w:instrText xml:space="preserve"> REF _Ref456352434 \h </w:instrText>
      </w:r>
      <w:r w:rsidRPr="004C33D1">
        <w:fldChar w:fldCharType="separate"/>
      </w:r>
      <w:r w:rsidR="004D1DDA" w:rsidRPr="004C33D1">
        <w:t xml:space="preserve">Figure </w:t>
      </w:r>
      <w:r w:rsidR="004D1DDA">
        <w:rPr>
          <w:noProof/>
        </w:rPr>
        <w:t>38</w:t>
      </w:r>
      <w:r w:rsidRPr="004C33D1">
        <w:fldChar w:fldCharType="end"/>
      </w:r>
      <w:r w:rsidRPr="004C33D1">
        <w:t>. Although Auckland has had the highest proportionate increase in real house prices since 2000 of 113%, its real rent price has only increased by 26% in real terms; this is substantially lower than rent price increases of other high growth areas, such as Christchurch (56%) and Queenstown (52%).</w:t>
      </w:r>
    </w:p>
    <w:p w:rsidR="00B82927" w:rsidRPr="004C33D1" w:rsidRDefault="00B82927" w:rsidP="00B82927"/>
    <w:p w:rsidR="00B82927" w:rsidRPr="004C33D1" w:rsidRDefault="00B82927" w:rsidP="00B82927">
      <w:pPr>
        <w:pStyle w:val="Caption"/>
      </w:pPr>
      <w:bookmarkStart w:id="313" w:name="_Ref456365626"/>
      <w:r w:rsidRPr="004C33D1">
        <w:t xml:space="preserve">Figure </w:t>
      </w:r>
      <w:r w:rsidRPr="004C33D1">
        <w:fldChar w:fldCharType="begin"/>
      </w:r>
      <w:r w:rsidRPr="004C33D1">
        <w:instrText xml:space="preserve"> SEQ Figure \* ARABIC </w:instrText>
      </w:r>
      <w:r w:rsidRPr="004C33D1">
        <w:fldChar w:fldCharType="separate"/>
      </w:r>
      <w:r w:rsidR="004D1DDA">
        <w:rPr>
          <w:noProof/>
        </w:rPr>
        <w:t>42</w:t>
      </w:r>
      <w:r w:rsidRPr="004C33D1">
        <w:fldChar w:fldCharType="end"/>
      </w:r>
      <w:bookmarkEnd w:id="313"/>
      <w:r w:rsidRPr="004C33D1">
        <w:t xml:space="preserve"> Inflation-adjusted mean rents for high growth areas 2000-2015</w:t>
      </w:r>
    </w:p>
    <w:p w:rsidR="00B82927" w:rsidRPr="004C33D1" w:rsidRDefault="00B82927" w:rsidP="00B82927">
      <w:r w:rsidRPr="004C33D1">
        <w:rPr>
          <w:noProof/>
          <w:lang w:eastAsia="en-NZ"/>
        </w:rPr>
        <w:drawing>
          <wp:inline distT="0" distB="0" distL="0" distR="0" wp14:anchorId="7B6CD179" wp14:editId="18AD15FB">
            <wp:extent cx="5220335" cy="306724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220335" cy="3067240"/>
                    </a:xfrm>
                    <a:prstGeom prst="rect">
                      <a:avLst/>
                    </a:prstGeom>
                    <a:noFill/>
                    <a:ln>
                      <a:noFill/>
                    </a:ln>
                  </pic:spPr>
                </pic:pic>
              </a:graphicData>
            </a:graphic>
          </wp:inline>
        </w:drawing>
      </w:r>
    </w:p>
    <w:p w:rsidR="00FB6985" w:rsidRDefault="00B82927" w:rsidP="002E72D4">
      <w:r w:rsidRPr="004C33D1">
        <w:rPr>
          <w:sz w:val="18"/>
          <w:szCs w:val="18"/>
        </w:rPr>
        <w:t>Source: MBIE and RBNZ</w:t>
      </w:r>
      <w:r w:rsidR="00FB6985">
        <w:br w:type="page"/>
      </w:r>
    </w:p>
    <w:p w:rsidR="00E431F6" w:rsidRPr="004C33D1" w:rsidRDefault="00344C8E" w:rsidP="00956D3F">
      <w:pPr>
        <w:pStyle w:val="Heading1"/>
        <w:numPr>
          <w:ilvl w:val="0"/>
          <w:numId w:val="0"/>
        </w:numPr>
      </w:pPr>
      <w:bookmarkStart w:id="314" w:name="_Toc462413660"/>
      <w:bookmarkStart w:id="315" w:name="_Toc462582231"/>
      <w:r w:rsidRPr="004C33D1">
        <w:lastRenderedPageBreak/>
        <w:t>Annex: Supply-Demand Indicators</w:t>
      </w:r>
      <w:bookmarkEnd w:id="239"/>
      <w:bookmarkEnd w:id="314"/>
      <w:bookmarkEnd w:id="315"/>
      <w:r w:rsidRPr="004C33D1">
        <w:br w:type="page"/>
      </w:r>
      <w:bookmarkStart w:id="316" w:name="_Toc456367170"/>
    </w:p>
    <w:p w:rsidR="003F4090" w:rsidRPr="004C33D1" w:rsidRDefault="00344C8E" w:rsidP="007039AA">
      <w:pPr>
        <w:pStyle w:val="Annex1"/>
      </w:pPr>
      <w:bookmarkStart w:id="317" w:name="_Toc458179029"/>
      <w:bookmarkStart w:id="318" w:name="_Toc458464585"/>
      <w:bookmarkStart w:id="319" w:name="_Toc458489806"/>
      <w:bookmarkStart w:id="320" w:name="_Toc462405015"/>
      <w:bookmarkStart w:id="321" w:name="_Toc462413661"/>
      <w:bookmarkStart w:id="322" w:name="_Toc462582232"/>
      <w:r w:rsidRPr="004C33D1">
        <w:lastRenderedPageBreak/>
        <w:t>Population growth to building consents</w:t>
      </w:r>
      <w:bookmarkEnd w:id="316"/>
      <w:bookmarkEnd w:id="317"/>
      <w:bookmarkEnd w:id="318"/>
      <w:bookmarkEnd w:id="319"/>
      <w:bookmarkEnd w:id="320"/>
      <w:bookmarkEnd w:id="321"/>
      <w:bookmarkEnd w:id="322"/>
    </w:p>
    <w:p w:rsidR="00344C8E" w:rsidRPr="004C33D1" w:rsidRDefault="00344C8E" w:rsidP="007039AA">
      <w:pPr>
        <w:pStyle w:val="Annex2"/>
      </w:pPr>
      <w:bookmarkStart w:id="323" w:name="_Toc456367171"/>
      <w:bookmarkStart w:id="324" w:name="_Toc456624640"/>
      <w:bookmarkStart w:id="325" w:name="_Toc457985355"/>
      <w:bookmarkStart w:id="326" w:name="_Toc457988501"/>
      <w:bookmarkStart w:id="327" w:name="_Toc458159996"/>
      <w:bookmarkStart w:id="328" w:name="_Toc462582233"/>
      <w:r w:rsidRPr="004C33D1">
        <w:t>Description</w:t>
      </w:r>
      <w:bookmarkEnd w:id="323"/>
      <w:bookmarkEnd w:id="324"/>
      <w:bookmarkEnd w:id="325"/>
      <w:bookmarkEnd w:id="326"/>
      <w:bookmarkEnd w:id="327"/>
      <w:bookmarkEnd w:id="328"/>
    </w:p>
    <w:p w:rsidR="00344C8E" w:rsidRPr="004C33D1" w:rsidRDefault="00344C8E" w:rsidP="004A5A2D">
      <w:r w:rsidRPr="004C33D1">
        <w:t xml:space="preserve">Annual population growth divided by the annual number of building consents issued for new dwellings. </w:t>
      </w:r>
    </w:p>
    <w:p w:rsidR="00344C8E" w:rsidRPr="004C33D1" w:rsidRDefault="00344C8E" w:rsidP="007039AA">
      <w:pPr>
        <w:pStyle w:val="Annex2"/>
      </w:pPr>
      <w:bookmarkStart w:id="329" w:name="_Toc456367172"/>
      <w:bookmarkStart w:id="330" w:name="_Toc456624641"/>
      <w:bookmarkStart w:id="331" w:name="_Toc457985356"/>
      <w:bookmarkStart w:id="332" w:name="_Toc457988502"/>
      <w:bookmarkStart w:id="333" w:name="_Toc458159997"/>
      <w:bookmarkStart w:id="334" w:name="_Toc462582234"/>
      <w:r w:rsidRPr="004C33D1">
        <w:t>Interpretation</w:t>
      </w:r>
      <w:bookmarkEnd w:id="329"/>
      <w:bookmarkEnd w:id="330"/>
      <w:bookmarkEnd w:id="331"/>
      <w:bookmarkEnd w:id="332"/>
      <w:bookmarkEnd w:id="333"/>
      <w:bookmarkEnd w:id="334"/>
    </w:p>
    <w:p w:rsidR="00344C8E" w:rsidRDefault="00344C8E" w:rsidP="00344C8E">
      <w:r w:rsidRPr="004C33D1">
        <w:t xml:space="preserve">This indicator measures whether the rate of residential development is keeping pace with population growth. It </w:t>
      </w:r>
      <w:proofErr w:type="gramStart"/>
      <w:r w:rsidRPr="004C33D1">
        <w:t>might be measured</w:t>
      </w:r>
      <w:proofErr w:type="gramEnd"/>
      <w:r w:rsidRPr="004C33D1">
        <w:t xml:space="preserve"> over time or between territorial authorities. Higher values indicate that an area’s population is increasing at a greater rate than that of new dwelling building consents. </w:t>
      </w:r>
    </w:p>
    <w:p w:rsidR="004E058B" w:rsidRDefault="004E058B" w:rsidP="00344C8E"/>
    <w:p w:rsidR="004E058B" w:rsidRPr="002D3B8A" w:rsidRDefault="004E058B" w:rsidP="00344C8E">
      <w:r>
        <w:t xml:space="preserve">The indicators </w:t>
      </w:r>
      <w:proofErr w:type="gramStart"/>
      <w:r>
        <w:t>should always be used</w:t>
      </w:r>
      <w:proofErr w:type="gramEnd"/>
      <w:r>
        <w:t xml:space="preserve"> alongside additional analysis of changes in the average size of new dwellings and/or the number of new dwellings in different size categories: small (&lt;100m</w:t>
      </w:r>
      <w:r>
        <w:rPr>
          <w:vertAlign w:val="superscript"/>
        </w:rPr>
        <w:t>2</w:t>
      </w:r>
      <w:r>
        <w:t>), medium (100-</w:t>
      </w:r>
      <w:r w:rsidR="002D3B8A">
        <w:t>200</w:t>
      </w:r>
      <w:r>
        <w:t>m</w:t>
      </w:r>
      <w:r>
        <w:rPr>
          <w:vertAlign w:val="superscript"/>
        </w:rPr>
        <w:t>2</w:t>
      </w:r>
      <w:r>
        <w:t>)</w:t>
      </w:r>
      <w:r w:rsidR="002D3B8A">
        <w:t xml:space="preserve"> or large (&gt;200m</w:t>
      </w:r>
      <w:r w:rsidR="002D3B8A">
        <w:rPr>
          <w:vertAlign w:val="superscript"/>
        </w:rPr>
        <w:t>2</w:t>
      </w:r>
      <w:r w:rsidR="002D3B8A">
        <w:t xml:space="preserve">). This provides additional information on whether sufficient capacity </w:t>
      </w:r>
      <w:proofErr w:type="gramStart"/>
      <w:r w:rsidR="002D3B8A">
        <w:t>is being provided</w:t>
      </w:r>
      <w:proofErr w:type="gramEnd"/>
      <w:r w:rsidR="002D3B8A">
        <w:t xml:space="preserve"> or if the new capacity is meeting the demands of only certain parts of the market.</w:t>
      </w:r>
    </w:p>
    <w:p w:rsidR="00344C8E" w:rsidRPr="004C33D1" w:rsidRDefault="00344C8E" w:rsidP="007039AA">
      <w:pPr>
        <w:pStyle w:val="Annex2"/>
      </w:pPr>
      <w:bookmarkStart w:id="335" w:name="_Toc456367173"/>
      <w:bookmarkStart w:id="336" w:name="_Toc456624642"/>
      <w:bookmarkStart w:id="337" w:name="_Toc457985357"/>
      <w:bookmarkStart w:id="338" w:name="_Toc457988503"/>
      <w:bookmarkStart w:id="339" w:name="_Toc458159998"/>
      <w:bookmarkStart w:id="340" w:name="_Toc462582235"/>
      <w:r w:rsidRPr="004C33D1">
        <w:t>Data availability</w:t>
      </w:r>
      <w:bookmarkEnd w:id="335"/>
      <w:bookmarkEnd w:id="336"/>
      <w:bookmarkEnd w:id="337"/>
      <w:bookmarkEnd w:id="338"/>
      <w:bookmarkEnd w:id="339"/>
      <w:bookmarkEnd w:id="340"/>
    </w:p>
    <w:p w:rsidR="00344C8E" w:rsidRPr="004C33D1" w:rsidRDefault="00344C8E" w:rsidP="00344C8E">
      <w:r w:rsidRPr="004C33D1">
        <w:t xml:space="preserve">Monthly building consent and population data are available by territorial authority from Statistics NZ </w:t>
      </w:r>
      <w:proofErr w:type="spellStart"/>
      <w:r w:rsidRPr="004C33D1">
        <w:t>Infoshare</w:t>
      </w:r>
      <w:proofErr w:type="spellEnd"/>
      <w:r w:rsidRPr="004C33D1">
        <w:t xml:space="preserve"> as described in </w:t>
      </w:r>
      <w:r w:rsidRPr="004C33D1">
        <w:fldChar w:fldCharType="begin"/>
      </w:r>
      <w:r w:rsidRPr="004C33D1">
        <w:instrText xml:space="preserve"> REF _Ref455587745 \h </w:instrText>
      </w:r>
      <w:r w:rsidRPr="004C33D1">
        <w:fldChar w:fldCharType="separate"/>
      </w:r>
      <w:r w:rsidR="004D1DDA" w:rsidRPr="004C33D1">
        <w:t xml:space="preserve">Table </w:t>
      </w:r>
      <w:r w:rsidR="004D1DDA">
        <w:rPr>
          <w:noProof/>
        </w:rPr>
        <w:t>21</w:t>
      </w:r>
      <w:r w:rsidRPr="004C33D1">
        <w:fldChar w:fldCharType="end"/>
      </w:r>
      <w:r w:rsidRPr="004C33D1">
        <w:t xml:space="preserve">. </w:t>
      </w:r>
    </w:p>
    <w:p w:rsidR="00344C8E" w:rsidRPr="004C33D1" w:rsidRDefault="00344C8E" w:rsidP="00E02811">
      <w:pPr>
        <w:pStyle w:val="Caption"/>
      </w:pPr>
      <w:bookmarkStart w:id="341" w:name="_Ref455587745"/>
      <w:r w:rsidRPr="004C33D1">
        <w:t xml:space="preserve">Table </w:t>
      </w:r>
      <w:r w:rsidRPr="004C33D1">
        <w:fldChar w:fldCharType="begin"/>
      </w:r>
      <w:r w:rsidRPr="004C33D1">
        <w:instrText xml:space="preserve"> SEQ Table \* ARABIC </w:instrText>
      </w:r>
      <w:r w:rsidRPr="004C33D1">
        <w:fldChar w:fldCharType="separate"/>
      </w:r>
      <w:r w:rsidR="004D1DDA">
        <w:rPr>
          <w:noProof/>
        </w:rPr>
        <w:t>21</w:t>
      </w:r>
      <w:r w:rsidRPr="004C33D1">
        <w:fldChar w:fldCharType="end"/>
      </w:r>
      <w:bookmarkEnd w:id="341"/>
      <w:r w:rsidRPr="004C33D1">
        <w:t>: Data sources</w:t>
      </w:r>
    </w:p>
    <w:tbl>
      <w:tblPr>
        <w:tblStyle w:val="CovecTables"/>
        <w:tblW w:w="4984" w:type="pct"/>
        <w:tblInd w:w="0" w:type="dxa"/>
        <w:tblBorders>
          <w:bottom w:val="single" w:sz="12" w:space="0" w:color="A6A6A6" w:themeColor="background1" w:themeShade="A6"/>
          <w:insideH w:val="single" w:sz="8" w:space="0" w:color="A6A6A6" w:themeColor="background1" w:themeShade="A6"/>
        </w:tblBorders>
        <w:tblLook w:val="04E0" w:firstRow="1" w:lastRow="1" w:firstColumn="1" w:lastColumn="0" w:noHBand="0" w:noVBand="1"/>
      </w:tblPr>
      <w:tblGrid>
        <w:gridCol w:w="2142"/>
        <w:gridCol w:w="1549"/>
        <w:gridCol w:w="4504"/>
      </w:tblGrid>
      <w:tr w:rsidR="00344C8E" w:rsidRPr="004C33D1" w:rsidTr="003508FB">
        <w:trPr>
          <w:cnfStyle w:val="100000000000" w:firstRow="1" w:lastRow="0" w:firstColumn="0" w:lastColumn="0" w:oddVBand="0" w:evenVBand="0" w:oddHBand="0" w:evenHBand="0" w:firstRowFirstColumn="0" w:firstRowLastColumn="0" w:lastRowFirstColumn="0" w:lastRowLastColumn="0"/>
          <w:trHeight w:val="256"/>
        </w:trPr>
        <w:tc>
          <w:tcPr>
            <w:cnfStyle w:val="001000000100" w:firstRow="0" w:lastRow="0" w:firstColumn="1" w:lastColumn="0" w:oddVBand="0" w:evenVBand="0" w:oddHBand="0" w:evenHBand="0" w:firstRowFirstColumn="1" w:firstRowLastColumn="0" w:lastRowFirstColumn="0" w:lastRowLastColumn="0"/>
            <w:tcW w:w="1307" w:type="pct"/>
          </w:tcPr>
          <w:p w:rsidR="00344C8E" w:rsidRPr="004C33D1" w:rsidRDefault="00344C8E" w:rsidP="003508FB">
            <w:pPr>
              <w:pStyle w:val="TableText"/>
            </w:pPr>
            <w:r w:rsidRPr="004C33D1">
              <w:t>Data</w:t>
            </w:r>
          </w:p>
        </w:tc>
        <w:tc>
          <w:tcPr>
            <w:tcW w:w="945" w:type="pct"/>
          </w:tcPr>
          <w:p w:rsidR="00344C8E" w:rsidRPr="004C33D1" w:rsidRDefault="00344C8E" w:rsidP="003508FB">
            <w:pPr>
              <w:pStyle w:val="TableText"/>
              <w:jc w:val="left"/>
              <w:cnfStyle w:val="100000000000" w:firstRow="1" w:lastRow="0" w:firstColumn="0" w:lastColumn="0" w:oddVBand="0" w:evenVBand="0" w:oddHBand="0" w:evenHBand="0" w:firstRowFirstColumn="0" w:firstRowLastColumn="0" w:lastRowFirstColumn="0" w:lastRowLastColumn="0"/>
            </w:pPr>
            <w:r w:rsidRPr="004C33D1">
              <w:t>Source</w:t>
            </w:r>
          </w:p>
        </w:tc>
        <w:tc>
          <w:tcPr>
            <w:tcW w:w="2749" w:type="pct"/>
          </w:tcPr>
          <w:p w:rsidR="00344C8E" w:rsidRPr="004C33D1" w:rsidRDefault="00344C8E" w:rsidP="003508FB">
            <w:pPr>
              <w:pStyle w:val="TableText"/>
              <w:jc w:val="left"/>
              <w:cnfStyle w:val="100000000000" w:firstRow="1" w:lastRow="0" w:firstColumn="0" w:lastColumn="0" w:oddVBand="0" w:evenVBand="0" w:oddHBand="0" w:evenHBand="0" w:firstRowFirstColumn="0" w:firstRowLastColumn="0" w:lastRowFirstColumn="0" w:lastRowLastColumn="0"/>
            </w:pPr>
            <w:r w:rsidRPr="004C33D1">
              <w:t>Location</w:t>
            </w:r>
          </w:p>
        </w:tc>
      </w:tr>
      <w:tr w:rsidR="00344C8E" w:rsidRPr="004C33D1" w:rsidTr="003508FB">
        <w:tblPrEx>
          <w:tblCellMar>
            <w:top w:w="0" w:type="dxa"/>
            <w:left w:w="0" w:type="dxa"/>
            <w:bottom w:w="0" w:type="dxa"/>
            <w:right w:w="0" w:type="dxa"/>
          </w:tblCellMar>
        </w:tblPrEx>
        <w:trPr>
          <w:trHeight w:val="245"/>
        </w:trPr>
        <w:tc>
          <w:tcPr>
            <w:cnfStyle w:val="001000000000" w:firstRow="0" w:lastRow="0" w:firstColumn="1" w:lastColumn="0" w:oddVBand="0" w:evenVBand="0" w:oddHBand="0" w:evenHBand="0" w:firstRowFirstColumn="0" w:firstRowLastColumn="0" w:lastRowFirstColumn="0" w:lastRowLastColumn="0"/>
            <w:tcW w:w="1307" w:type="pct"/>
          </w:tcPr>
          <w:p w:rsidR="00344C8E" w:rsidRPr="004C33D1" w:rsidRDefault="00344C8E" w:rsidP="003508FB">
            <w:pPr>
              <w:pStyle w:val="TableText"/>
            </w:pPr>
            <w:r w:rsidRPr="004C33D1">
              <w:t>Building consents</w:t>
            </w:r>
          </w:p>
        </w:tc>
        <w:tc>
          <w:tcPr>
            <w:tcW w:w="945" w:type="pct"/>
          </w:tcPr>
          <w:p w:rsidR="00344C8E" w:rsidRPr="004C33D1" w:rsidRDefault="00344C8E" w:rsidP="003508FB">
            <w:pPr>
              <w:pStyle w:val="TableText"/>
              <w:jc w:val="left"/>
              <w:cnfStyle w:val="000000000000" w:firstRow="0" w:lastRow="0" w:firstColumn="0" w:lastColumn="0" w:oddVBand="0" w:evenVBand="0" w:oddHBand="0" w:evenHBand="0" w:firstRowFirstColumn="0" w:firstRowLastColumn="0" w:lastRowFirstColumn="0" w:lastRowLastColumn="0"/>
            </w:pPr>
            <w:r w:rsidRPr="004C33D1">
              <w:t>Statistics NZ</w:t>
            </w:r>
          </w:p>
        </w:tc>
        <w:tc>
          <w:tcPr>
            <w:tcW w:w="2749" w:type="pct"/>
          </w:tcPr>
          <w:p w:rsidR="00344C8E" w:rsidRPr="004C33D1" w:rsidRDefault="00344C8E" w:rsidP="003508FB">
            <w:pPr>
              <w:pStyle w:val="TableText"/>
              <w:jc w:val="left"/>
              <w:cnfStyle w:val="000000000000" w:firstRow="0" w:lastRow="0" w:firstColumn="0" w:lastColumn="0" w:oddVBand="0" w:evenVBand="0" w:oddHBand="0" w:evenHBand="0" w:firstRowFirstColumn="0" w:firstRowLastColumn="0" w:lastRowFirstColumn="0" w:lastRowLastColumn="0"/>
              <w:rPr>
                <w:i/>
              </w:rPr>
            </w:pPr>
            <w:proofErr w:type="spellStart"/>
            <w:r w:rsidRPr="004C33D1">
              <w:t>Infoshare</w:t>
            </w:r>
            <w:proofErr w:type="spellEnd"/>
            <w:r w:rsidRPr="004C33D1">
              <w:rPr>
                <w:rStyle w:val="FootnoteReference"/>
              </w:rPr>
              <w:footnoteReference w:id="125"/>
            </w:r>
            <w:r w:rsidRPr="004C33D1">
              <w:t xml:space="preserve"> </w:t>
            </w:r>
            <w:r w:rsidRPr="004C33D1">
              <w:rPr>
                <w:i/>
              </w:rPr>
              <w:t xml:space="preserve">Industry sectors </w:t>
            </w:r>
            <w:r w:rsidRPr="004C33D1">
              <w:t>&gt;</w:t>
            </w:r>
            <w:r w:rsidRPr="004C33D1">
              <w:rPr>
                <w:i/>
              </w:rPr>
              <w:t xml:space="preserve"> Building consents </w:t>
            </w:r>
          </w:p>
        </w:tc>
      </w:tr>
      <w:tr w:rsidR="00344C8E" w:rsidRPr="004C33D1" w:rsidTr="003508FB">
        <w:tblPrEx>
          <w:tblCellMar>
            <w:top w:w="0" w:type="dxa"/>
            <w:left w:w="0" w:type="dxa"/>
            <w:bottom w:w="0" w:type="dxa"/>
            <w:right w:w="0" w:type="dxa"/>
          </w:tblCellMar>
        </w:tblPrEx>
        <w:trPr>
          <w:cnfStyle w:val="010000000000" w:firstRow="0" w:lastRow="1" w:firstColumn="0" w:lastColumn="0" w:oddVBand="0" w:evenVBand="0" w:oddHBand="0" w:evenHBand="0" w:firstRowFirstColumn="0" w:firstRowLastColumn="0" w:lastRowFirstColumn="0" w:lastRowLastColumn="0"/>
          <w:trHeight w:val="256"/>
        </w:trPr>
        <w:tc>
          <w:tcPr>
            <w:cnfStyle w:val="001000000001" w:firstRow="0" w:lastRow="0" w:firstColumn="1" w:lastColumn="0" w:oddVBand="0" w:evenVBand="0" w:oddHBand="0" w:evenHBand="0" w:firstRowFirstColumn="0" w:firstRowLastColumn="0" w:lastRowFirstColumn="1" w:lastRowLastColumn="0"/>
            <w:tcW w:w="1307" w:type="pct"/>
          </w:tcPr>
          <w:p w:rsidR="00344C8E" w:rsidRPr="004C33D1" w:rsidRDefault="00344C8E" w:rsidP="003508FB">
            <w:pPr>
              <w:pStyle w:val="TableText"/>
            </w:pPr>
            <w:r w:rsidRPr="004C33D1">
              <w:t>Population</w:t>
            </w:r>
          </w:p>
        </w:tc>
        <w:tc>
          <w:tcPr>
            <w:tcW w:w="945" w:type="pct"/>
          </w:tcPr>
          <w:p w:rsidR="00344C8E" w:rsidRPr="004C33D1" w:rsidRDefault="00344C8E" w:rsidP="003508FB">
            <w:pPr>
              <w:pStyle w:val="TableText"/>
              <w:jc w:val="left"/>
              <w:cnfStyle w:val="010000000000" w:firstRow="0" w:lastRow="1" w:firstColumn="0" w:lastColumn="0" w:oddVBand="0" w:evenVBand="0" w:oddHBand="0" w:evenHBand="0" w:firstRowFirstColumn="0" w:firstRowLastColumn="0" w:lastRowFirstColumn="0" w:lastRowLastColumn="0"/>
            </w:pPr>
            <w:r w:rsidRPr="004C33D1">
              <w:t>Statistics NZ</w:t>
            </w:r>
          </w:p>
        </w:tc>
        <w:tc>
          <w:tcPr>
            <w:tcW w:w="2749" w:type="pct"/>
          </w:tcPr>
          <w:p w:rsidR="00344C8E" w:rsidRPr="004C33D1" w:rsidRDefault="00344C8E" w:rsidP="003508FB">
            <w:pPr>
              <w:pStyle w:val="TableText"/>
              <w:jc w:val="left"/>
              <w:cnfStyle w:val="010000000000" w:firstRow="0" w:lastRow="1" w:firstColumn="0" w:lastColumn="0" w:oddVBand="0" w:evenVBand="0" w:oddHBand="0" w:evenHBand="0" w:firstRowFirstColumn="0" w:firstRowLastColumn="0" w:lastRowFirstColumn="0" w:lastRowLastColumn="0"/>
              <w:rPr>
                <w:i/>
              </w:rPr>
            </w:pPr>
            <w:proofErr w:type="spellStart"/>
            <w:r w:rsidRPr="004C33D1">
              <w:t>Infoshare</w:t>
            </w:r>
            <w:proofErr w:type="spellEnd"/>
            <w:r w:rsidRPr="004C33D1">
              <w:t xml:space="preserve">  </w:t>
            </w:r>
            <w:r w:rsidRPr="004C33D1">
              <w:rPr>
                <w:i/>
              </w:rPr>
              <w:t xml:space="preserve">Population </w:t>
            </w:r>
            <w:r w:rsidRPr="004C33D1">
              <w:t>&gt;</w:t>
            </w:r>
            <w:r w:rsidRPr="004C33D1">
              <w:rPr>
                <w:i/>
              </w:rPr>
              <w:t xml:space="preserve"> Population Estimates</w:t>
            </w:r>
          </w:p>
        </w:tc>
      </w:tr>
    </w:tbl>
    <w:p w:rsidR="00344C8E" w:rsidRPr="004C33D1" w:rsidRDefault="00344C8E" w:rsidP="007039AA">
      <w:pPr>
        <w:pStyle w:val="Annex2"/>
      </w:pPr>
      <w:bookmarkStart w:id="342" w:name="_Toc456367174"/>
      <w:bookmarkStart w:id="343" w:name="_Toc456624643"/>
      <w:bookmarkStart w:id="344" w:name="_Toc457985358"/>
      <w:bookmarkStart w:id="345" w:name="_Toc457988504"/>
      <w:bookmarkStart w:id="346" w:name="_Toc458159999"/>
      <w:bookmarkStart w:id="347" w:name="_Toc462582236"/>
      <w:r w:rsidRPr="004C33D1">
        <w:t>Examples of Use</w:t>
      </w:r>
      <w:bookmarkEnd w:id="342"/>
      <w:bookmarkEnd w:id="343"/>
      <w:bookmarkEnd w:id="344"/>
      <w:bookmarkEnd w:id="345"/>
      <w:bookmarkEnd w:id="346"/>
      <w:bookmarkEnd w:id="347"/>
    </w:p>
    <w:p w:rsidR="00344C8E" w:rsidRDefault="00344C8E" w:rsidP="00344C8E">
      <w:r w:rsidRPr="004C33D1">
        <w:fldChar w:fldCharType="begin"/>
      </w:r>
      <w:r w:rsidRPr="004C33D1">
        <w:instrText xml:space="preserve"> REF _Ref456258841 \h </w:instrText>
      </w:r>
      <w:r w:rsidRPr="004C33D1">
        <w:fldChar w:fldCharType="separate"/>
      </w:r>
      <w:r w:rsidR="004D1DDA" w:rsidRPr="004C33D1">
        <w:t xml:space="preserve">Figure </w:t>
      </w:r>
      <w:r w:rsidR="004D1DDA">
        <w:rPr>
          <w:noProof/>
        </w:rPr>
        <w:t>43</w:t>
      </w:r>
      <w:r w:rsidRPr="004C33D1">
        <w:fldChar w:fldCharType="end"/>
      </w:r>
      <w:r w:rsidRPr="004C33D1">
        <w:t xml:space="preserve"> illustrates a time series of the ‘5 year moving average’ of annual population growth per new dwelling building consents for a selected number of high growth areas. The recent downward trend for Auckland, Hamilton and Tauranga may indicate increased effort to catch up with their fast growing </w:t>
      </w:r>
      <w:proofErr w:type="gramStart"/>
      <w:r w:rsidRPr="004C33D1">
        <w:t>populations,</w:t>
      </w:r>
      <w:proofErr w:type="gramEnd"/>
      <w:r w:rsidRPr="004C33D1">
        <w:t xml:space="preserve"> however Hamilton’s population growth to new residential building consents has remained relatively high.</w:t>
      </w:r>
    </w:p>
    <w:p w:rsidR="002D3B8A" w:rsidRDefault="002D3B8A" w:rsidP="00344C8E"/>
    <w:p w:rsidR="002D3B8A" w:rsidRPr="004C33D1" w:rsidRDefault="002D3B8A" w:rsidP="00344C8E">
      <w:r>
        <w:fldChar w:fldCharType="begin"/>
      </w:r>
      <w:r>
        <w:instrText xml:space="preserve"> REF _Ref458439525 \h </w:instrText>
      </w:r>
      <w:r>
        <w:fldChar w:fldCharType="separate"/>
      </w:r>
      <w:r w:rsidR="004D1DDA">
        <w:t xml:space="preserve">Figure </w:t>
      </w:r>
      <w:r w:rsidR="004D1DDA">
        <w:rPr>
          <w:noProof/>
        </w:rPr>
        <w:t>44</w:t>
      </w:r>
      <w:r>
        <w:fldChar w:fldCharType="end"/>
      </w:r>
      <w:r>
        <w:t xml:space="preserve"> provides additional information to help interpret these trends. It shows the shift in the proportion of new buildings that fall in different size categories. The example provided is for Tauranga City. </w:t>
      </w:r>
    </w:p>
    <w:p w:rsidR="00344C8E" w:rsidRPr="004C33D1" w:rsidRDefault="00344C8E" w:rsidP="00E02811">
      <w:pPr>
        <w:pStyle w:val="Caption"/>
      </w:pPr>
      <w:bookmarkStart w:id="348" w:name="_Ref456258841"/>
      <w:r w:rsidRPr="004C33D1">
        <w:lastRenderedPageBreak/>
        <w:t xml:space="preserve">Figure </w:t>
      </w:r>
      <w:r w:rsidRPr="004C33D1">
        <w:fldChar w:fldCharType="begin"/>
      </w:r>
      <w:r w:rsidRPr="004C33D1">
        <w:instrText xml:space="preserve"> SEQ Figure \* ARABIC </w:instrText>
      </w:r>
      <w:r w:rsidRPr="004C33D1">
        <w:fldChar w:fldCharType="separate"/>
      </w:r>
      <w:r w:rsidR="004D1DDA">
        <w:rPr>
          <w:noProof/>
        </w:rPr>
        <w:t>43</w:t>
      </w:r>
      <w:r w:rsidRPr="004C33D1">
        <w:fldChar w:fldCharType="end"/>
      </w:r>
      <w:bookmarkEnd w:id="348"/>
      <w:r w:rsidRPr="004C33D1">
        <w:t xml:space="preserve"> Five year moving average of population growth per building consent for a new dwelling</w:t>
      </w:r>
    </w:p>
    <w:p w:rsidR="00344C8E" w:rsidRPr="004C33D1" w:rsidRDefault="002D3B8A" w:rsidP="00344C8E">
      <w:r w:rsidRPr="002D3B8A">
        <w:rPr>
          <w:noProof/>
          <w:lang w:eastAsia="en-NZ"/>
        </w:rPr>
        <w:drawing>
          <wp:inline distT="0" distB="0" distL="0" distR="0" wp14:anchorId="4330FDCC" wp14:editId="49855D1E">
            <wp:extent cx="4216400" cy="2277745"/>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16400" cy="2277745"/>
                    </a:xfrm>
                    <a:prstGeom prst="rect">
                      <a:avLst/>
                    </a:prstGeom>
                    <a:noFill/>
                    <a:ln>
                      <a:noFill/>
                    </a:ln>
                  </pic:spPr>
                </pic:pic>
              </a:graphicData>
            </a:graphic>
          </wp:inline>
        </w:drawing>
      </w:r>
    </w:p>
    <w:p w:rsidR="00344C8E" w:rsidRPr="004C33D1" w:rsidRDefault="00344C8E" w:rsidP="00E02811">
      <w:pPr>
        <w:pStyle w:val="Caption"/>
      </w:pPr>
    </w:p>
    <w:p w:rsidR="00344C8E" w:rsidRPr="004C33D1" w:rsidRDefault="00344C8E" w:rsidP="00344C8E">
      <w:pPr>
        <w:rPr>
          <w:sz w:val="18"/>
          <w:szCs w:val="18"/>
        </w:rPr>
      </w:pPr>
      <w:r w:rsidRPr="004C33D1">
        <w:rPr>
          <w:sz w:val="18"/>
          <w:szCs w:val="18"/>
        </w:rPr>
        <w:t xml:space="preserve">Source: Data retrieved from </w:t>
      </w:r>
      <w:proofErr w:type="spellStart"/>
      <w:r w:rsidRPr="004C33D1">
        <w:rPr>
          <w:sz w:val="18"/>
          <w:szCs w:val="18"/>
        </w:rPr>
        <w:t>Infoshare</w:t>
      </w:r>
      <w:proofErr w:type="spellEnd"/>
      <w:r w:rsidRPr="004C33D1">
        <w:rPr>
          <w:sz w:val="18"/>
          <w:szCs w:val="18"/>
        </w:rPr>
        <w:t>, Statistics NZ</w:t>
      </w:r>
    </w:p>
    <w:p w:rsidR="00344C8E" w:rsidRPr="004C33D1" w:rsidRDefault="00344C8E" w:rsidP="00344C8E"/>
    <w:p w:rsidR="002D3B8A" w:rsidRDefault="002D3B8A" w:rsidP="00E02811">
      <w:pPr>
        <w:pStyle w:val="Caption"/>
      </w:pPr>
      <w:bookmarkStart w:id="349" w:name="_Ref458439525"/>
      <w:bookmarkStart w:id="350" w:name="_Toc456367186"/>
      <w:bookmarkStart w:id="351" w:name="_Toc458179034"/>
      <w:bookmarkStart w:id="352" w:name="_Toc456367180"/>
      <w:r>
        <w:t xml:space="preserve">Figure </w:t>
      </w:r>
      <w:r>
        <w:fldChar w:fldCharType="begin"/>
      </w:r>
      <w:r>
        <w:instrText xml:space="preserve"> SEQ Figure \* ARABIC </w:instrText>
      </w:r>
      <w:r>
        <w:fldChar w:fldCharType="separate"/>
      </w:r>
      <w:r w:rsidR="004D1DDA">
        <w:rPr>
          <w:noProof/>
        </w:rPr>
        <w:t>44</w:t>
      </w:r>
      <w:r>
        <w:fldChar w:fldCharType="end"/>
      </w:r>
      <w:bookmarkEnd w:id="349"/>
      <w:r>
        <w:t xml:space="preserve"> Percentage share of new dwellings consented by size in Tauranga City 2000-2015</w:t>
      </w:r>
    </w:p>
    <w:p w:rsidR="002D3B8A" w:rsidRDefault="002D3B8A" w:rsidP="002D3B8A">
      <w:pPr>
        <w:jc w:val="center"/>
      </w:pPr>
      <w:r w:rsidRPr="002D3B8A">
        <w:rPr>
          <w:noProof/>
          <w:lang w:eastAsia="en-NZ"/>
        </w:rPr>
        <w:drawing>
          <wp:inline distT="0" distB="0" distL="0" distR="0" wp14:anchorId="1C5211DB" wp14:editId="1383BCC1">
            <wp:extent cx="4631267" cy="3135926"/>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35652" cy="3138895"/>
                    </a:xfrm>
                    <a:prstGeom prst="rect">
                      <a:avLst/>
                    </a:prstGeom>
                    <a:noFill/>
                    <a:ln>
                      <a:noFill/>
                    </a:ln>
                  </pic:spPr>
                </pic:pic>
              </a:graphicData>
            </a:graphic>
          </wp:inline>
        </w:drawing>
      </w:r>
    </w:p>
    <w:p w:rsidR="002D3B8A" w:rsidRPr="007C1B89" w:rsidRDefault="002D3B8A" w:rsidP="002D3B8A">
      <w:pPr>
        <w:rPr>
          <w:sz w:val="18"/>
          <w:szCs w:val="18"/>
        </w:rPr>
      </w:pPr>
      <w:r w:rsidRPr="007C1B89">
        <w:rPr>
          <w:sz w:val="18"/>
          <w:szCs w:val="18"/>
        </w:rPr>
        <w:t>Source: Statistics NZ</w:t>
      </w:r>
    </w:p>
    <w:p w:rsidR="002D3B8A" w:rsidRDefault="002D3B8A">
      <w:pPr>
        <w:spacing w:line="240" w:lineRule="auto"/>
        <w:rPr>
          <w:rFonts w:ascii="Century Gothic" w:hAnsi="Century Gothic" w:cs="Arial"/>
          <w:b/>
          <w:bCs/>
          <w:sz w:val="36"/>
          <w:szCs w:val="32"/>
        </w:rPr>
      </w:pPr>
      <w:r>
        <w:br w:type="page"/>
      </w:r>
    </w:p>
    <w:p w:rsidR="00344C8E" w:rsidRPr="004C33D1" w:rsidRDefault="00344C8E" w:rsidP="00956D3F">
      <w:pPr>
        <w:pStyle w:val="Heading1"/>
        <w:numPr>
          <w:ilvl w:val="0"/>
          <w:numId w:val="0"/>
        </w:numPr>
      </w:pPr>
      <w:bookmarkStart w:id="353" w:name="_Toc462413664"/>
      <w:bookmarkStart w:id="354" w:name="_Toc462582237"/>
      <w:bookmarkEnd w:id="350"/>
      <w:bookmarkEnd w:id="351"/>
      <w:r w:rsidRPr="004C33D1">
        <w:lastRenderedPageBreak/>
        <w:t>Annex: Competitiveness Indicators</w:t>
      </w:r>
      <w:bookmarkEnd w:id="352"/>
      <w:bookmarkEnd w:id="353"/>
      <w:bookmarkEnd w:id="354"/>
    </w:p>
    <w:p w:rsidR="00344C8E" w:rsidRPr="004C33D1" w:rsidRDefault="00344C8E" w:rsidP="00344C8E">
      <w:pPr>
        <w:spacing w:line="240" w:lineRule="auto"/>
      </w:pPr>
      <w:r w:rsidRPr="004C33D1">
        <w:br w:type="page"/>
      </w:r>
    </w:p>
    <w:p w:rsidR="00344C8E" w:rsidRPr="004C33D1" w:rsidRDefault="00344C8E" w:rsidP="003C255B">
      <w:pPr>
        <w:pStyle w:val="Annex1"/>
      </w:pPr>
      <w:bookmarkStart w:id="355" w:name="_Toc456367181"/>
      <w:bookmarkStart w:id="356" w:name="_Toc458179032"/>
      <w:bookmarkStart w:id="357" w:name="_Toc458464589"/>
      <w:bookmarkStart w:id="358" w:name="_Toc458489810"/>
      <w:bookmarkStart w:id="359" w:name="_Toc462413665"/>
      <w:bookmarkStart w:id="360" w:name="_Toc462582238"/>
      <w:r w:rsidRPr="004C33D1">
        <w:lastRenderedPageBreak/>
        <w:t>Market Concentration: HHI</w:t>
      </w:r>
      <w:bookmarkEnd w:id="355"/>
      <w:bookmarkEnd w:id="356"/>
      <w:bookmarkEnd w:id="357"/>
      <w:bookmarkEnd w:id="358"/>
      <w:bookmarkEnd w:id="359"/>
      <w:bookmarkEnd w:id="360"/>
    </w:p>
    <w:p w:rsidR="00344C8E" w:rsidRPr="004C33D1" w:rsidRDefault="00344C8E" w:rsidP="004A5A2D">
      <w:pPr>
        <w:pStyle w:val="Annex2"/>
      </w:pPr>
      <w:bookmarkStart w:id="361" w:name="_Toc456367182"/>
      <w:bookmarkStart w:id="362" w:name="_Toc456624649"/>
      <w:bookmarkStart w:id="363" w:name="_Toc457985364"/>
      <w:bookmarkStart w:id="364" w:name="_Toc457988510"/>
      <w:bookmarkStart w:id="365" w:name="_Toc458160005"/>
      <w:bookmarkStart w:id="366" w:name="_Toc462582239"/>
      <w:r w:rsidRPr="004C33D1">
        <w:t>Description</w:t>
      </w:r>
      <w:bookmarkEnd w:id="361"/>
      <w:bookmarkEnd w:id="362"/>
      <w:bookmarkEnd w:id="363"/>
      <w:bookmarkEnd w:id="364"/>
      <w:bookmarkEnd w:id="365"/>
      <w:bookmarkEnd w:id="366"/>
    </w:p>
    <w:p w:rsidR="003C255B" w:rsidRPr="004C33D1" w:rsidRDefault="00344C8E" w:rsidP="00344C8E">
      <w:r w:rsidRPr="004C33D1">
        <w:t xml:space="preserve">The Herfindahl–Hirschman Index (HHI) is a measure of market concentration. It </w:t>
      </w:r>
      <w:proofErr w:type="gramStart"/>
      <w:r w:rsidRPr="004C33D1">
        <w:t>is calculated</w:t>
      </w:r>
      <w:proofErr w:type="gramEnd"/>
      <w:r w:rsidRPr="004C33D1">
        <w:t xml:space="preserve"> as the sum of the squares of market shares of each firm competing in the market. For example, for a market consisting of five firms with shares of 50, 30, 10, 5 and 5 percent, the HHI is 3,550 (50</w:t>
      </w:r>
      <w:r w:rsidRPr="004C33D1">
        <w:rPr>
          <w:vertAlign w:val="superscript"/>
        </w:rPr>
        <w:t>2</w:t>
      </w:r>
      <w:r w:rsidRPr="004C33D1">
        <w:t xml:space="preserve"> + 30</w:t>
      </w:r>
      <w:r w:rsidRPr="004C33D1">
        <w:rPr>
          <w:vertAlign w:val="superscript"/>
        </w:rPr>
        <w:t>2</w:t>
      </w:r>
      <w:r w:rsidRPr="004C33D1">
        <w:t xml:space="preserve"> + 10</w:t>
      </w:r>
      <w:r w:rsidRPr="004C33D1">
        <w:rPr>
          <w:vertAlign w:val="superscript"/>
        </w:rPr>
        <w:t>2</w:t>
      </w:r>
      <w:r w:rsidRPr="004C33D1">
        <w:t xml:space="preserve"> + 5</w:t>
      </w:r>
      <w:r w:rsidRPr="004C33D1">
        <w:rPr>
          <w:vertAlign w:val="superscript"/>
        </w:rPr>
        <w:t>2</w:t>
      </w:r>
      <w:r w:rsidRPr="004C33D1">
        <w:t xml:space="preserve"> + 5</w:t>
      </w:r>
      <w:r w:rsidRPr="004C33D1">
        <w:rPr>
          <w:vertAlign w:val="superscript"/>
        </w:rPr>
        <w:t>2</w:t>
      </w:r>
      <w:r w:rsidRPr="004C33D1">
        <w:t xml:space="preserve"> = 3,550); in contrast if there are ten firms, each with 10% market share, the HHI is 1,000.</w:t>
      </w:r>
    </w:p>
    <w:p w:rsidR="00344C8E" w:rsidRPr="004C33D1" w:rsidRDefault="00344C8E" w:rsidP="004A5A2D">
      <w:pPr>
        <w:pStyle w:val="Annex2"/>
      </w:pPr>
      <w:bookmarkStart w:id="367" w:name="_Toc456367183"/>
      <w:bookmarkStart w:id="368" w:name="_Toc456624650"/>
      <w:bookmarkStart w:id="369" w:name="_Toc457985365"/>
      <w:bookmarkStart w:id="370" w:name="_Toc457988511"/>
      <w:bookmarkStart w:id="371" w:name="_Toc458160006"/>
      <w:bookmarkStart w:id="372" w:name="_Toc462582240"/>
      <w:r w:rsidRPr="004C33D1">
        <w:t>Interpretation</w:t>
      </w:r>
      <w:bookmarkEnd w:id="367"/>
      <w:bookmarkEnd w:id="368"/>
      <w:bookmarkEnd w:id="369"/>
      <w:bookmarkEnd w:id="370"/>
      <w:bookmarkEnd w:id="371"/>
      <w:bookmarkEnd w:id="372"/>
    </w:p>
    <w:p w:rsidR="00344C8E" w:rsidRPr="004C33D1" w:rsidRDefault="00344C8E" w:rsidP="00344C8E">
      <w:r w:rsidRPr="004C33D1">
        <w:t xml:space="preserve">According to the US Department of Justice, markets in which the HHI is between 1,500 and 2,500 points are considered </w:t>
      </w:r>
      <w:proofErr w:type="gramStart"/>
      <w:r w:rsidRPr="004C33D1">
        <w:t>to be moderately</w:t>
      </w:r>
      <w:proofErr w:type="gramEnd"/>
      <w:r w:rsidRPr="004C33D1">
        <w:t xml:space="preserve"> concentrated, and markets in which the HHI is in excess of 2,500 points to be highly concentrated.</w:t>
      </w:r>
    </w:p>
    <w:p w:rsidR="00344C8E" w:rsidRPr="004C33D1" w:rsidRDefault="00344C8E" w:rsidP="004A5A2D">
      <w:pPr>
        <w:pStyle w:val="Annex2"/>
      </w:pPr>
      <w:bookmarkStart w:id="373" w:name="_Toc456367184"/>
      <w:bookmarkStart w:id="374" w:name="_Toc456624651"/>
      <w:bookmarkStart w:id="375" w:name="_Toc457985366"/>
      <w:bookmarkStart w:id="376" w:name="_Toc457988512"/>
      <w:bookmarkStart w:id="377" w:name="_Toc458160007"/>
      <w:bookmarkStart w:id="378" w:name="_Toc462582241"/>
      <w:r w:rsidRPr="004C33D1">
        <w:t>Data Availability</w:t>
      </w:r>
      <w:bookmarkEnd w:id="373"/>
      <w:bookmarkEnd w:id="374"/>
      <w:bookmarkEnd w:id="375"/>
      <w:bookmarkEnd w:id="376"/>
      <w:bookmarkEnd w:id="377"/>
      <w:bookmarkEnd w:id="378"/>
    </w:p>
    <w:p w:rsidR="00344C8E" w:rsidRPr="004C33D1" w:rsidRDefault="00344C8E" w:rsidP="00344C8E">
      <w:r w:rsidRPr="004C33D1">
        <w:t>Measuring an HHI for development capacity would require the following information:</w:t>
      </w:r>
    </w:p>
    <w:p w:rsidR="00344C8E" w:rsidRPr="004C33D1" w:rsidRDefault="00344C8E" w:rsidP="00344C8E"/>
    <w:p w:rsidR="00344C8E" w:rsidRPr="004C33D1" w:rsidRDefault="00344C8E" w:rsidP="006277DC">
      <w:pPr>
        <w:pStyle w:val="ListParagraph"/>
        <w:numPr>
          <w:ilvl w:val="0"/>
          <w:numId w:val="57"/>
        </w:numPr>
      </w:pPr>
      <w:r w:rsidRPr="004C33D1">
        <w:t>Identification of the market for development capacity, ie is it all property in an urban area or a more narrowly defined sub-set of new capacity?</w:t>
      </w:r>
    </w:p>
    <w:p w:rsidR="00344C8E" w:rsidRPr="004C33D1" w:rsidRDefault="00344C8E" w:rsidP="006277DC">
      <w:pPr>
        <w:pStyle w:val="ListParagraph"/>
        <w:numPr>
          <w:ilvl w:val="0"/>
          <w:numId w:val="57"/>
        </w:numPr>
      </w:pPr>
      <w:r w:rsidRPr="004C33D1">
        <w:t>The total number of owners of “development capacity”;</w:t>
      </w:r>
    </w:p>
    <w:p w:rsidR="00344C8E" w:rsidRPr="004C33D1" w:rsidRDefault="00344C8E" w:rsidP="006277DC">
      <w:pPr>
        <w:pStyle w:val="ListParagraph"/>
        <w:numPr>
          <w:ilvl w:val="0"/>
          <w:numId w:val="57"/>
        </w:numPr>
      </w:pPr>
      <w:proofErr w:type="gramStart"/>
      <w:r w:rsidRPr="004C33D1">
        <w:t>The market share of each owner.</w:t>
      </w:r>
      <w:proofErr w:type="gramEnd"/>
    </w:p>
    <w:p w:rsidR="00344C8E" w:rsidRPr="004C33D1" w:rsidRDefault="00344C8E" w:rsidP="00344C8E"/>
    <w:p w:rsidR="00344C8E" w:rsidRPr="004C33D1" w:rsidRDefault="00344C8E" w:rsidP="00344C8E">
      <w:r w:rsidRPr="004C33D1">
        <w:t xml:space="preserve">The analysis </w:t>
      </w:r>
      <w:proofErr w:type="gramStart"/>
      <w:r w:rsidRPr="004C33D1">
        <w:t>could be simplified</w:t>
      </w:r>
      <w:proofErr w:type="gramEnd"/>
      <w:r w:rsidRPr="004C33D1">
        <w:t>. For example:</w:t>
      </w:r>
    </w:p>
    <w:p w:rsidR="00344C8E" w:rsidRPr="004C33D1" w:rsidRDefault="00344C8E" w:rsidP="00411653">
      <w:pPr>
        <w:pStyle w:val="ListParagraph"/>
        <w:numPr>
          <w:ilvl w:val="0"/>
          <w:numId w:val="43"/>
        </w:numPr>
      </w:pPr>
      <w:proofErr w:type="gramStart"/>
      <w:r w:rsidRPr="004C33D1">
        <w:t>if</w:t>
      </w:r>
      <w:proofErr w:type="gramEnd"/>
      <w:r w:rsidRPr="004C33D1">
        <w:t xml:space="preserve"> no one had more than 10% market share, the maximum HHI would be 1,000, which is not regarded as concentrated. The analysis could simply record an HHI of less than 1,000;</w:t>
      </w:r>
    </w:p>
    <w:p w:rsidR="00344C8E" w:rsidRPr="004C33D1" w:rsidRDefault="00344C8E" w:rsidP="00411653">
      <w:pPr>
        <w:pStyle w:val="ListParagraph"/>
        <w:numPr>
          <w:ilvl w:val="0"/>
          <w:numId w:val="43"/>
        </w:numPr>
      </w:pPr>
      <w:proofErr w:type="gramStart"/>
      <w:r w:rsidRPr="004C33D1">
        <w:t>if</w:t>
      </w:r>
      <w:proofErr w:type="gramEnd"/>
      <w:r w:rsidRPr="004C33D1">
        <w:t xml:space="preserve"> there were a few landowners with significant market shares, the analysis could be truncated below a certain level, eg not counting below those with 3% market share. They would add a maximum of 9 to the total HHI.</w:t>
      </w:r>
    </w:p>
    <w:p w:rsidR="00344C8E" w:rsidRPr="004C33D1" w:rsidRDefault="00344C8E" w:rsidP="00344C8E"/>
    <w:p w:rsidR="00344C8E" w:rsidRPr="004C33D1" w:rsidRDefault="00344C8E" w:rsidP="00344C8E">
      <w:r w:rsidRPr="004C33D1">
        <w:t xml:space="preserve">Data on ownership and land area is available to councils via ratings databases. The more complicated analysis would be to identify ultimate owners of property, eg if there are layers of share ownerships. This would require analysis of data held by the Companies Office. </w:t>
      </w:r>
    </w:p>
    <w:p w:rsidR="00344C8E" w:rsidRPr="004C33D1" w:rsidRDefault="00344C8E" w:rsidP="00344C8E"/>
    <w:p w:rsidR="00344C8E" w:rsidRPr="004C33D1" w:rsidRDefault="00344C8E" w:rsidP="00344C8E"/>
    <w:p w:rsidR="00344C8E" w:rsidRPr="004C33D1" w:rsidRDefault="00344C8E" w:rsidP="00344C8E"/>
    <w:p w:rsidR="00344C8E" w:rsidRPr="004C33D1" w:rsidRDefault="00344C8E" w:rsidP="00344C8E"/>
    <w:p w:rsidR="00344C8E" w:rsidRPr="004C33D1" w:rsidRDefault="00344C8E" w:rsidP="00344C8E">
      <w:r w:rsidRPr="004C33D1">
        <w:br w:type="page"/>
      </w:r>
    </w:p>
    <w:p w:rsidR="00344C8E" w:rsidRPr="004C33D1" w:rsidRDefault="00344C8E" w:rsidP="00956D3F">
      <w:pPr>
        <w:pStyle w:val="Heading1"/>
        <w:numPr>
          <w:ilvl w:val="0"/>
          <w:numId w:val="0"/>
        </w:numPr>
      </w:pPr>
      <w:bookmarkStart w:id="379" w:name="_Toc456367185"/>
      <w:bookmarkStart w:id="380" w:name="_Ref456683763"/>
      <w:bookmarkStart w:id="381" w:name="_Toc462413666"/>
      <w:bookmarkStart w:id="382" w:name="_Toc462582242"/>
      <w:r w:rsidRPr="004C33D1">
        <w:lastRenderedPageBreak/>
        <w:t xml:space="preserve">Annex: </w:t>
      </w:r>
      <w:bookmarkEnd w:id="379"/>
      <w:bookmarkEnd w:id="380"/>
      <w:r w:rsidR="00E46CE7" w:rsidRPr="004C33D1">
        <w:t>Indicators of Efficient Prices</w:t>
      </w:r>
      <w:bookmarkEnd w:id="381"/>
      <w:bookmarkEnd w:id="382"/>
    </w:p>
    <w:p w:rsidR="00344C8E" w:rsidRPr="004C33D1" w:rsidRDefault="00344C8E" w:rsidP="00344C8E"/>
    <w:p w:rsidR="00344C8E" w:rsidRPr="004C33D1" w:rsidRDefault="00344C8E" w:rsidP="00344C8E"/>
    <w:p w:rsidR="00344C8E" w:rsidRPr="004C33D1" w:rsidRDefault="00344C8E" w:rsidP="00344C8E">
      <w:pPr>
        <w:spacing w:line="240" w:lineRule="auto"/>
      </w:pPr>
      <w:r w:rsidRPr="004C33D1">
        <w:br w:type="page"/>
      </w:r>
    </w:p>
    <w:p w:rsidR="00344C8E" w:rsidRPr="004C33D1" w:rsidRDefault="00344C8E" w:rsidP="003C255B">
      <w:pPr>
        <w:pStyle w:val="Annex1"/>
      </w:pPr>
      <w:bookmarkStart w:id="383" w:name="_Toc458179036"/>
      <w:bookmarkStart w:id="384" w:name="_Toc458464591"/>
      <w:bookmarkStart w:id="385" w:name="_Toc458489812"/>
      <w:bookmarkStart w:id="386" w:name="_Toc462413667"/>
      <w:bookmarkStart w:id="387" w:name="_Toc462582243"/>
      <w:bookmarkStart w:id="388" w:name="_Toc456367196"/>
      <w:r w:rsidRPr="004C33D1">
        <w:lastRenderedPageBreak/>
        <w:t>Land price discontinuity at zoning boundaries</w:t>
      </w:r>
      <w:bookmarkEnd w:id="383"/>
      <w:bookmarkEnd w:id="384"/>
      <w:bookmarkEnd w:id="385"/>
      <w:bookmarkEnd w:id="386"/>
      <w:bookmarkEnd w:id="387"/>
    </w:p>
    <w:p w:rsidR="00344C8E" w:rsidRPr="004C33D1" w:rsidRDefault="00344C8E" w:rsidP="004A5A2D">
      <w:pPr>
        <w:pStyle w:val="Annex2"/>
      </w:pPr>
      <w:bookmarkStart w:id="389" w:name="_Toc456624661"/>
      <w:bookmarkStart w:id="390" w:name="_Toc457985376"/>
      <w:bookmarkStart w:id="391" w:name="_Toc457988522"/>
      <w:bookmarkStart w:id="392" w:name="_Toc458160017"/>
      <w:bookmarkStart w:id="393" w:name="_Toc462582244"/>
      <w:r w:rsidRPr="004C33D1">
        <w:t>Description</w:t>
      </w:r>
      <w:bookmarkEnd w:id="389"/>
      <w:bookmarkEnd w:id="390"/>
      <w:bookmarkEnd w:id="391"/>
      <w:bookmarkEnd w:id="392"/>
      <w:bookmarkEnd w:id="393"/>
    </w:p>
    <w:p w:rsidR="00344C8E" w:rsidRPr="004C33D1" w:rsidRDefault="00344C8E" w:rsidP="00344C8E">
      <w:r w:rsidRPr="004C33D1">
        <w:t xml:space="preserve">The difference in rateable land values for residential or commercial properties </w:t>
      </w:r>
      <w:r w:rsidRPr="004C33D1">
        <w:rPr>
          <w:i/>
        </w:rPr>
        <w:t>just inside</w:t>
      </w:r>
      <w:r w:rsidRPr="004C33D1">
        <w:t xml:space="preserve"> and </w:t>
      </w:r>
      <w:r w:rsidRPr="004C33D1">
        <w:rPr>
          <w:i/>
        </w:rPr>
        <w:t>just outside</w:t>
      </w:r>
      <w:r w:rsidRPr="004C33D1">
        <w:t xml:space="preserve"> a zoning boundary.</w:t>
      </w:r>
    </w:p>
    <w:p w:rsidR="00344C8E" w:rsidRPr="004C33D1" w:rsidRDefault="00344C8E" w:rsidP="004A5A2D">
      <w:pPr>
        <w:pStyle w:val="Annex2"/>
      </w:pPr>
      <w:bookmarkStart w:id="394" w:name="_Toc456624662"/>
      <w:bookmarkStart w:id="395" w:name="_Toc457985377"/>
      <w:bookmarkStart w:id="396" w:name="_Toc457988523"/>
      <w:bookmarkStart w:id="397" w:name="_Toc458160018"/>
      <w:bookmarkStart w:id="398" w:name="_Toc462582245"/>
      <w:r w:rsidRPr="004C33D1">
        <w:t>Interpretation</w:t>
      </w:r>
      <w:bookmarkEnd w:id="394"/>
      <w:bookmarkEnd w:id="395"/>
      <w:bookmarkEnd w:id="396"/>
      <w:bookmarkEnd w:id="397"/>
      <w:bookmarkEnd w:id="398"/>
    </w:p>
    <w:p w:rsidR="00344C8E" w:rsidRPr="004C33D1" w:rsidRDefault="00344C8E" w:rsidP="00344C8E">
      <w:r w:rsidRPr="004C33D1">
        <w:t xml:space="preserve">This indicator measures whether urban planning policies result in an artificial scarcity of development capacity for one purpose relative to another purpose. It </w:t>
      </w:r>
      <w:proofErr w:type="gramStart"/>
      <w:r w:rsidRPr="004C33D1">
        <w:t>can be measured</w:t>
      </w:r>
      <w:proofErr w:type="gramEnd"/>
      <w:r w:rsidRPr="004C33D1">
        <w:t xml:space="preserve">: </w:t>
      </w:r>
    </w:p>
    <w:p w:rsidR="00344C8E" w:rsidRPr="004C33D1" w:rsidRDefault="00344C8E" w:rsidP="00344C8E"/>
    <w:p w:rsidR="00344C8E" w:rsidRPr="004C33D1" w:rsidRDefault="00344C8E" w:rsidP="006277DC">
      <w:pPr>
        <w:pStyle w:val="ListParagraph"/>
        <w:numPr>
          <w:ilvl w:val="0"/>
          <w:numId w:val="98"/>
        </w:numPr>
      </w:pPr>
      <w:r w:rsidRPr="004C33D1">
        <w:t>at different zone boundaries within the city, eg to estimate whether discontinuities are greater in one location or another; and</w:t>
      </w:r>
      <w:r w:rsidR="00F319A1">
        <w:br/>
      </w:r>
    </w:p>
    <w:p w:rsidR="00344C8E" w:rsidRPr="004C33D1" w:rsidRDefault="00344C8E" w:rsidP="006277DC">
      <w:pPr>
        <w:pStyle w:val="ListParagraph"/>
        <w:numPr>
          <w:ilvl w:val="0"/>
          <w:numId w:val="98"/>
        </w:numPr>
      </w:pPr>
      <w:proofErr w:type="gramStart"/>
      <w:r w:rsidRPr="004C33D1">
        <w:t>over</w:t>
      </w:r>
      <w:proofErr w:type="gramEnd"/>
      <w:r w:rsidRPr="004C33D1">
        <w:t xml:space="preserve"> time, eg to estimate if development capacity is keeping up with growing demand or falling behind demand. </w:t>
      </w:r>
    </w:p>
    <w:p w:rsidR="00F319A1" w:rsidRDefault="00F319A1" w:rsidP="00344C8E"/>
    <w:p w:rsidR="00344C8E" w:rsidRPr="004C33D1" w:rsidRDefault="00344C8E" w:rsidP="00344C8E">
      <w:r w:rsidRPr="004C33D1">
        <w:t xml:space="preserve">In principle, land price discontinuities at zoning boundaries can result from both limits on the supply of land for particular purposes </w:t>
      </w:r>
      <w:r w:rsidRPr="004C33D1">
        <w:rPr>
          <w:i/>
        </w:rPr>
        <w:t>and</w:t>
      </w:r>
      <w:r w:rsidRPr="004C33D1">
        <w:t xml:space="preserve"> limits on more intensive development within the city. Interpreting this measure can be challenging, as it requires contextual information on:</w:t>
      </w:r>
    </w:p>
    <w:p w:rsidR="00344C8E" w:rsidRPr="004C33D1" w:rsidRDefault="00344C8E" w:rsidP="00344C8E"/>
    <w:p w:rsidR="00344C8E" w:rsidRPr="004C33D1" w:rsidRDefault="00344C8E" w:rsidP="006277DC">
      <w:pPr>
        <w:pStyle w:val="ListParagraph"/>
        <w:numPr>
          <w:ilvl w:val="0"/>
          <w:numId w:val="97"/>
        </w:numPr>
      </w:pPr>
      <w:r w:rsidRPr="004C33D1">
        <w:t>Underlying growth in dem</w:t>
      </w:r>
      <w:r w:rsidR="00F319A1">
        <w:t>and for different activities, e</w:t>
      </w:r>
      <w:r w:rsidRPr="004C33D1">
        <w:t>g the degree to which demand for industrial floorspace or residential floorspace is increasing</w:t>
      </w:r>
      <w:r w:rsidR="00F319A1">
        <w:t>;</w:t>
      </w:r>
      <w:r w:rsidR="00F319A1">
        <w:br/>
      </w:r>
    </w:p>
    <w:p w:rsidR="00344C8E" w:rsidRPr="004C33D1" w:rsidRDefault="00344C8E" w:rsidP="006277DC">
      <w:pPr>
        <w:pStyle w:val="ListParagraph"/>
        <w:numPr>
          <w:ilvl w:val="0"/>
          <w:numId w:val="97"/>
        </w:numPr>
      </w:pPr>
      <w:r w:rsidRPr="004C33D1">
        <w:t>Recent trends in property prices – when housing and business floorspace prices are rising rapidly, land valuation data can become outdated</w:t>
      </w:r>
      <w:r w:rsidR="00F319A1">
        <w:t>;</w:t>
      </w:r>
      <w:r w:rsidR="00F319A1">
        <w:br/>
      </w:r>
    </w:p>
    <w:p w:rsidR="00344C8E" w:rsidRPr="004C33D1" w:rsidRDefault="00344C8E" w:rsidP="006277DC">
      <w:pPr>
        <w:pStyle w:val="ListParagraph"/>
        <w:numPr>
          <w:ilvl w:val="0"/>
          <w:numId w:val="97"/>
        </w:numPr>
      </w:pPr>
      <w:r w:rsidRPr="004C33D1">
        <w:t>Localised externalities associated with activities that occur in or around particular zones – eg noise and poor air quality associated with industrial activities that may reduce neighbouring residential property values</w:t>
      </w:r>
      <w:r w:rsidR="00F319A1">
        <w:t>; and</w:t>
      </w:r>
      <w:r w:rsidR="00F319A1">
        <w:br/>
      </w:r>
    </w:p>
    <w:p w:rsidR="00344C8E" w:rsidRPr="004C33D1" w:rsidRDefault="00344C8E" w:rsidP="006277DC">
      <w:pPr>
        <w:pStyle w:val="ListParagraph"/>
        <w:numPr>
          <w:ilvl w:val="0"/>
          <w:numId w:val="97"/>
        </w:numPr>
      </w:pPr>
      <w:r w:rsidRPr="004C33D1">
        <w:t xml:space="preserve">Other non-regulatory constraints, such as </w:t>
      </w:r>
      <w:proofErr w:type="gramStart"/>
      <w:r w:rsidRPr="004C33D1">
        <w:t>land-banking</w:t>
      </w:r>
      <w:proofErr w:type="gramEnd"/>
      <w:r w:rsidRPr="004C33D1">
        <w:t xml:space="preserve"> by major property owners, which may result in an artificial scarcity that cannot be attributed to urban planning rules alone.</w:t>
      </w:r>
    </w:p>
    <w:p w:rsidR="00344C8E" w:rsidRPr="004C33D1" w:rsidRDefault="00344C8E" w:rsidP="004A5A2D">
      <w:pPr>
        <w:pStyle w:val="Annex2"/>
      </w:pPr>
      <w:bookmarkStart w:id="399" w:name="_Toc456624663"/>
      <w:bookmarkStart w:id="400" w:name="_Toc457985378"/>
      <w:bookmarkStart w:id="401" w:name="_Toc457988524"/>
      <w:bookmarkStart w:id="402" w:name="_Toc458160019"/>
      <w:bookmarkStart w:id="403" w:name="_Toc462582246"/>
      <w:r w:rsidRPr="004C33D1">
        <w:t>Data availability</w:t>
      </w:r>
      <w:bookmarkEnd w:id="399"/>
      <w:bookmarkEnd w:id="400"/>
      <w:bookmarkEnd w:id="401"/>
      <w:bookmarkEnd w:id="402"/>
      <w:bookmarkEnd w:id="403"/>
    </w:p>
    <w:p w:rsidR="00344C8E" w:rsidRPr="004C33D1" w:rsidRDefault="00344C8E" w:rsidP="00344C8E">
      <w:r w:rsidRPr="004C33D1">
        <w:t>Calculating this measure requires information on land valuations and district plan zoning maps, as well as GIS analysis of property parcel locations. Th</w:t>
      </w:r>
      <w:r w:rsidR="00956D3F" w:rsidRPr="004C33D1">
        <w:t>ese</w:t>
      </w:r>
      <w:r w:rsidRPr="004C33D1">
        <w:t xml:space="preserve"> data </w:t>
      </w:r>
      <w:proofErr w:type="gramStart"/>
      <w:r w:rsidR="00956D3F" w:rsidRPr="004C33D1">
        <w:t>are</w:t>
      </w:r>
      <w:r w:rsidRPr="004C33D1">
        <w:t xml:space="preserve"> briefly described</w:t>
      </w:r>
      <w:proofErr w:type="gramEnd"/>
      <w:r w:rsidRPr="004C33D1">
        <w:t xml:space="preserve"> in</w:t>
      </w:r>
      <w:r w:rsidR="00956D3F" w:rsidRPr="004C33D1">
        <w:t xml:space="preserve"> </w:t>
      </w:r>
      <w:r w:rsidR="00956D3F" w:rsidRPr="004C33D1">
        <w:fldChar w:fldCharType="begin"/>
      </w:r>
      <w:r w:rsidR="00956D3F" w:rsidRPr="004C33D1">
        <w:instrText xml:space="preserve"> REF _Ref456624367 \h </w:instrText>
      </w:r>
      <w:r w:rsidR="00956D3F" w:rsidRPr="004C33D1">
        <w:fldChar w:fldCharType="separate"/>
      </w:r>
      <w:r w:rsidR="004D1DDA" w:rsidRPr="004C33D1">
        <w:t xml:space="preserve">Table </w:t>
      </w:r>
      <w:r w:rsidR="004D1DDA">
        <w:rPr>
          <w:noProof/>
        </w:rPr>
        <w:t>22</w:t>
      </w:r>
      <w:r w:rsidR="00956D3F" w:rsidRPr="004C33D1">
        <w:fldChar w:fldCharType="end"/>
      </w:r>
      <w:r w:rsidRPr="004C33D1">
        <w:t>.</w:t>
      </w:r>
    </w:p>
    <w:p w:rsidR="00344C8E" w:rsidRPr="004C33D1" w:rsidRDefault="00344C8E" w:rsidP="00344C8E"/>
    <w:p w:rsidR="00344C8E" w:rsidRPr="004C33D1" w:rsidRDefault="00344C8E" w:rsidP="00344C8E">
      <w:r w:rsidRPr="004C33D1">
        <w:t>Land valuation data is available from three-yearly rating valuations conducted by territorial local authorities. Other data on the location of properties inside or outside the urban boundary can be estimated using GIS analysis of zoning maps</w:t>
      </w:r>
      <w:r w:rsidR="00801180">
        <w:t>.</w:t>
      </w:r>
    </w:p>
    <w:p w:rsidR="00344C8E" w:rsidRPr="004C33D1" w:rsidRDefault="00344C8E" w:rsidP="00E02811">
      <w:pPr>
        <w:pStyle w:val="Caption"/>
      </w:pPr>
      <w:bookmarkStart w:id="404" w:name="_Ref456624367"/>
      <w:r w:rsidRPr="004C33D1">
        <w:lastRenderedPageBreak/>
        <w:t xml:space="preserve">Table </w:t>
      </w:r>
      <w:r w:rsidRPr="004C33D1">
        <w:fldChar w:fldCharType="begin"/>
      </w:r>
      <w:r w:rsidRPr="004C33D1">
        <w:instrText xml:space="preserve"> SEQ Table \* ARABIC </w:instrText>
      </w:r>
      <w:r w:rsidRPr="004C33D1">
        <w:fldChar w:fldCharType="separate"/>
      </w:r>
      <w:r w:rsidR="004D1DDA">
        <w:rPr>
          <w:noProof/>
        </w:rPr>
        <w:t>22</w:t>
      </w:r>
      <w:r w:rsidRPr="004C33D1">
        <w:fldChar w:fldCharType="end"/>
      </w:r>
      <w:bookmarkEnd w:id="404"/>
      <w:r w:rsidRPr="004C33D1">
        <w:t>: Data sources</w:t>
      </w:r>
    </w:p>
    <w:tbl>
      <w:tblPr>
        <w:tblStyle w:val="CovecTables"/>
        <w:tblW w:w="4984" w:type="pct"/>
        <w:tblInd w:w="0" w:type="dxa"/>
        <w:tblBorders>
          <w:bottom w:val="single" w:sz="12" w:space="0" w:color="A6A6A6" w:themeColor="background1" w:themeShade="A6"/>
          <w:insideH w:val="single" w:sz="8" w:space="0" w:color="A6A6A6" w:themeColor="background1" w:themeShade="A6"/>
        </w:tblBorders>
        <w:tblLook w:val="04E0" w:firstRow="1" w:lastRow="1" w:firstColumn="1" w:lastColumn="0" w:noHBand="0" w:noVBand="1"/>
      </w:tblPr>
      <w:tblGrid>
        <w:gridCol w:w="2142"/>
        <w:gridCol w:w="1549"/>
        <w:gridCol w:w="4504"/>
      </w:tblGrid>
      <w:tr w:rsidR="00344C8E" w:rsidRPr="004C33D1" w:rsidTr="003508FB">
        <w:trPr>
          <w:cnfStyle w:val="100000000000" w:firstRow="1" w:lastRow="0" w:firstColumn="0" w:lastColumn="0" w:oddVBand="0" w:evenVBand="0" w:oddHBand="0" w:evenHBand="0" w:firstRowFirstColumn="0" w:firstRowLastColumn="0" w:lastRowFirstColumn="0" w:lastRowLastColumn="0"/>
          <w:trHeight w:val="256"/>
        </w:trPr>
        <w:tc>
          <w:tcPr>
            <w:cnfStyle w:val="001000000100" w:firstRow="0" w:lastRow="0" w:firstColumn="1" w:lastColumn="0" w:oddVBand="0" w:evenVBand="0" w:oddHBand="0" w:evenHBand="0" w:firstRowFirstColumn="1" w:firstRowLastColumn="0" w:lastRowFirstColumn="0" w:lastRowLastColumn="0"/>
            <w:tcW w:w="1307" w:type="pct"/>
          </w:tcPr>
          <w:p w:rsidR="00344C8E" w:rsidRPr="004C33D1" w:rsidRDefault="00344C8E" w:rsidP="003508FB">
            <w:pPr>
              <w:pStyle w:val="TableText"/>
            </w:pPr>
            <w:r w:rsidRPr="004C33D1">
              <w:t>Data</w:t>
            </w:r>
          </w:p>
        </w:tc>
        <w:tc>
          <w:tcPr>
            <w:tcW w:w="945" w:type="pct"/>
          </w:tcPr>
          <w:p w:rsidR="00344C8E" w:rsidRPr="004C33D1" w:rsidRDefault="00344C8E" w:rsidP="003508FB">
            <w:pPr>
              <w:pStyle w:val="TableText"/>
              <w:jc w:val="left"/>
              <w:cnfStyle w:val="100000000000" w:firstRow="1" w:lastRow="0" w:firstColumn="0" w:lastColumn="0" w:oddVBand="0" w:evenVBand="0" w:oddHBand="0" w:evenHBand="0" w:firstRowFirstColumn="0" w:firstRowLastColumn="0" w:lastRowFirstColumn="0" w:lastRowLastColumn="0"/>
            </w:pPr>
            <w:r w:rsidRPr="004C33D1">
              <w:t>Source</w:t>
            </w:r>
          </w:p>
        </w:tc>
        <w:tc>
          <w:tcPr>
            <w:tcW w:w="2748" w:type="pct"/>
          </w:tcPr>
          <w:p w:rsidR="00344C8E" w:rsidRPr="004C33D1" w:rsidRDefault="00344C8E" w:rsidP="003508FB">
            <w:pPr>
              <w:pStyle w:val="TableText"/>
              <w:jc w:val="left"/>
              <w:cnfStyle w:val="100000000000" w:firstRow="1" w:lastRow="0" w:firstColumn="0" w:lastColumn="0" w:oddVBand="0" w:evenVBand="0" w:oddHBand="0" w:evenHBand="0" w:firstRowFirstColumn="0" w:firstRowLastColumn="0" w:lastRowFirstColumn="0" w:lastRowLastColumn="0"/>
            </w:pPr>
            <w:r w:rsidRPr="004C33D1">
              <w:t>Location</w:t>
            </w:r>
          </w:p>
        </w:tc>
      </w:tr>
      <w:tr w:rsidR="00713DC4" w:rsidRPr="004C33D1" w:rsidTr="00713DC4">
        <w:tblPrEx>
          <w:tblCellMar>
            <w:top w:w="0" w:type="dxa"/>
            <w:left w:w="0" w:type="dxa"/>
            <w:bottom w:w="0" w:type="dxa"/>
            <w:right w:w="0" w:type="dxa"/>
          </w:tblCellMar>
        </w:tblPrEx>
        <w:trPr>
          <w:trHeight w:val="245"/>
        </w:trPr>
        <w:tc>
          <w:tcPr>
            <w:cnfStyle w:val="001000000000" w:firstRow="0" w:lastRow="0" w:firstColumn="1" w:lastColumn="0" w:oddVBand="0" w:evenVBand="0" w:oddHBand="0" w:evenHBand="0" w:firstRowFirstColumn="0" w:firstRowLastColumn="0" w:lastRowFirstColumn="0" w:lastRowLastColumn="0"/>
            <w:tcW w:w="1307" w:type="pct"/>
            <w:vAlign w:val="top"/>
          </w:tcPr>
          <w:p w:rsidR="00713DC4" w:rsidRPr="004C33D1" w:rsidRDefault="00713DC4" w:rsidP="00713DC4">
            <w:pPr>
              <w:pStyle w:val="TableText"/>
            </w:pPr>
            <w:r w:rsidRPr="004C33D1">
              <w:t>Land valuation data</w:t>
            </w:r>
          </w:p>
        </w:tc>
        <w:tc>
          <w:tcPr>
            <w:tcW w:w="945" w:type="pct"/>
            <w:vAlign w:val="top"/>
          </w:tcPr>
          <w:p w:rsidR="00713DC4" w:rsidRPr="004C33D1" w:rsidRDefault="00713DC4" w:rsidP="00713DC4">
            <w:pPr>
              <w:pStyle w:val="TableText"/>
              <w:jc w:val="left"/>
              <w:cnfStyle w:val="000000000000" w:firstRow="0" w:lastRow="0" w:firstColumn="0" w:lastColumn="0" w:oddVBand="0" w:evenVBand="0" w:oddHBand="0" w:evenHBand="0" w:firstRowFirstColumn="0" w:firstRowLastColumn="0" w:lastRowFirstColumn="0" w:lastRowLastColumn="0"/>
            </w:pPr>
            <w:r w:rsidRPr="004C33D1">
              <w:t xml:space="preserve">TLAs / </w:t>
            </w:r>
            <w:proofErr w:type="spellStart"/>
            <w:r w:rsidRPr="004C33D1">
              <w:t>Corelogic</w:t>
            </w:r>
            <w:proofErr w:type="spellEnd"/>
          </w:p>
        </w:tc>
        <w:tc>
          <w:tcPr>
            <w:tcW w:w="2748" w:type="pct"/>
            <w:vAlign w:val="top"/>
          </w:tcPr>
          <w:p w:rsidR="00713DC4" w:rsidRPr="004C33D1" w:rsidRDefault="00713DC4" w:rsidP="00713DC4">
            <w:pPr>
              <w:pStyle w:val="TableText"/>
              <w:jc w:val="left"/>
              <w:cnfStyle w:val="000000000000" w:firstRow="0" w:lastRow="0" w:firstColumn="0" w:lastColumn="0" w:oddVBand="0" w:evenVBand="0" w:oddHBand="0" w:evenHBand="0" w:firstRowFirstColumn="0" w:firstRowLastColumn="0" w:lastRowFirstColumn="0" w:lastRowLastColumn="0"/>
              <w:rPr>
                <w:i/>
              </w:rPr>
            </w:pPr>
            <w:r>
              <w:t>CoreLogic and councils; MBIE has purchased CoreLogic valuation data for residential properties</w:t>
            </w:r>
          </w:p>
        </w:tc>
      </w:tr>
      <w:tr w:rsidR="00713DC4" w:rsidRPr="004C33D1" w:rsidTr="00713DC4">
        <w:tblPrEx>
          <w:tblCellMar>
            <w:top w:w="0" w:type="dxa"/>
            <w:left w:w="0" w:type="dxa"/>
            <w:bottom w:w="0" w:type="dxa"/>
            <w:right w:w="0" w:type="dxa"/>
          </w:tblCellMar>
        </w:tblPrEx>
        <w:trPr>
          <w:trHeight w:val="256"/>
        </w:trPr>
        <w:tc>
          <w:tcPr>
            <w:cnfStyle w:val="001000000000" w:firstRow="0" w:lastRow="0" w:firstColumn="1" w:lastColumn="0" w:oddVBand="0" w:evenVBand="0" w:oddHBand="0" w:evenHBand="0" w:firstRowFirstColumn="0" w:firstRowLastColumn="0" w:lastRowFirstColumn="0" w:lastRowLastColumn="0"/>
            <w:tcW w:w="1307" w:type="pct"/>
            <w:vAlign w:val="top"/>
          </w:tcPr>
          <w:p w:rsidR="00713DC4" w:rsidRPr="004C33D1" w:rsidRDefault="00713DC4" w:rsidP="00713DC4">
            <w:pPr>
              <w:pStyle w:val="TableText"/>
            </w:pPr>
            <w:r w:rsidRPr="004C33D1">
              <w:t>District plan zoning maps</w:t>
            </w:r>
          </w:p>
        </w:tc>
        <w:tc>
          <w:tcPr>
            <w:tcW w:w="945" w:type="pct"/>
            <w:vAlign w:val="top"/>
          </w:tcPr>
          <w:p w:rsidR="00713DC4" w:rsidRPr="004C33D1" w:rsidRDefault="00713DC4" w:rsidP="00713DC4">
            <w:pPr>
              <w:pStyle w:val="TableText"/>
              <w:jc w:val="left"/>
              <w:cnfStyle w:val="000000000000" w:firstRow="0" w:lastRow="0" w:firstColumn="0" w:lastColumn="0" w:oddVBand="0" w:evenVBand="0" w:oddHBand="0" w:evenHBand="0" w:firstRowFirstColumn="0" w:firstRowLastColumn="0" w:lastRowFirstColumn="0" w:lastRowLastColumn="0"/>
            </w:pPr>
            <w:r w:rsidRPr="004C33D1">
              <w:t>TLAs</w:t>
            </w:r>
          </w:p>
        </w:tc>
        <w:tc>
          <w:tcPr>
            <w:tcW w:w="2748" w:type="pct"/>
            <w:vAlign w:val="top"/>
          </w:tcPr>
          <w:p w:rsidR="00713DC4" w:rsidRPr="004C33D1" w:rsidRDefault="00713DC4" w:rsidP="00713DC4">
            <w:pPr>
              <w:pStyle w:val="TableText"/>
              <w:jc w:val="left"/>
              <w:cnfStyle w:val="000000000000" w:firstRow="0" w:lastRow="0" w:firstColumn="0" w:lastColumn="0" w:oddVBand="0" w:evenVBand="0" w:oddHBand="0" w:evenHBand="0" w:firstRowFirstColumn="0" w:firstRowLastColumn="0" w:lastRowFirstColumn="0" w:lastRowLastColumn="0"/>
              <w:rPr>
                <w:i/>
              </w:rPr>
            </w:pPr>
            <w:r>
              <w:t>District councils hold this data</w:t>
            </w:r>
          </w:p>
        </w:tc>
      </w:tr>
      <w:tr w:rsidR="00713DC4" w:rsidRPr="004C33D1" w:rsidTr="00713DC4">
        <w:tblPrEx>
          <w:tblCellMar>
            <w:top w:w="0" w:type="dxa"/>
            <w:left w:w="0" w:type="dxa"/>
            <w:bottom w:w="0" w:type="dxa"/>
            <w:right w:w="0" w:type="dxa"/>
          </w:tblCellMar>
        </w:tblPrEx>
        <w:trPr>
          <w:cnfStyle w:val="010000000000" w:firstRow="0" w:lastRow="1" w:firstColumn="0" w:lastColumn="0" w:oddVBand="0" w:evenVBand="0" w:oddHBand="0" w:evenHBand="0" w:firstRowFirstColumn="0" w:firstRowLastColumn="0" w:lastRowFirstColumn="0" w:lastRowLastColumn="0"/>
          <w:trHeight w:val="256"/>
        </w:trPr>
        <w:tc>
          <w:tcPr>
            <w:cnfStyle w:val="001000000001" w:firstRow="0" w:lastRow="0" w:firstColumn="1" w:lastColumn="0" w:oddVBand="0" w:evenVBand="0" w:oddHBand="0" w:evenHBand="0" w:firstRowFirstColumn="0" w:firstRowLastColumn="0" w:lastRowFirstColumn="1" w:lastRowLastColumn="0"/>
            <w:tcW w:w="1307" w:type="pct"/>
            <w:vAlign w:val="top"/>
          </w:tcPr>
          <w:p w:rsidR="00713DC4" w:rsidRPr="004C33D1" w:rsidRDefault="00713DC4" w:rsidP="00713DC4">
            <w:pPr>
              <w:pStyle w:val="TableText"/>
            </w:pPr>
            <w:r w:rsidRPr="004C33D1">
              <w:t>GIS analysis of property parcel location</w:t>
            </w:r>
          </w:p>
        </w:tc>
        <w:tc>
          <w:tcPr>
            <w:tcW w:w="945" w:type="pct"/>
            <w:vAlign w:val="top"/>
          </w:tcPr>
          <w:p w:rsidR="00713DC4" w:rsidRPr="004C33D1" w:rsidRDefault="00713DC4" w:rsidP="00713DC4">
            <w:pPr>
              <w:pStyle w:val="TableText"/>
              <w:jc w:val="left"/>
              <w:cnfStyle w:val="010000000000" w:firstRow="0" w:lastRow="1" w:firstColumn="0" w:lastColumn="0" w:oddVBand="0" w:evenVBand="0" w:oddHBand="0" w:evenHBand="0" w:firstRowFirstColumn="0" w:firstRowLastColumn="0" w:lastRowFirstColumn="0" w:lastRowLastColumn="0"/>
            </w:pPr>
            <w:r>
              <w:t>Custom analysis</w:t>
            </w:r>
          </w:p>
        </w:tc>
        <w:tc>
          <w:tcPr>
            <w:tcW w:w="2748" w:type="pct"/>
            <w:vAlign w:val="top"/>
          </w:tcPr>
          <w:p w:rsidR="00713DC4" w:rsidRPr="004C33D1" w:rsidRDefault="00713DC4" w:rsidP="00713DC4">
            <w:pPr>
              <w:pStyle w:val="TableText"/>
              <w:jc w:val="left"/>
              <w:cnfStyle w:val="010000000000" w:firstRow="0" w:lastRow="1" w:firstColumn="0" w:lastColumn="0" w:oddVBand="0" w:evenVBand="0" w:oddHBand="0" w:evenHBand="0" w:firstRowFirstColumn="0" w:firstRowLastColumn="0" w:lastRowFirstColumn="0" w:lastRowLastColumn="0"/>
            </w:pPr>
            <w:r>
              <w:t>Must be undertaken on a case-by-case basis</w:t>
            </w:r>
          </w:p>
        </w:tc>
      </w:tr>
    </w:tbl>
    <w:p w:rsidR="00344C8E" w:rsidRPr="004C33D1" w:rsidRDefault="00344C8E" w:rsidP="004A5A2D">
      <w:pPr>
        <w:pStyle w:val="Annex2"/>
      </w:pPr>
      <w:bookmarkStart w:id="405" w:name="_Toc456624664"/>
      <w:bookmarkStart w:id="406" w:name="_Toc457985379"/>
      <w:bookmarkStart w:id="407" w:name="_Toc457988525"/>
      <w:bookmarkStart w:id="408" w:name="_Toc458160020"/>
      <w:bookmarkStart w:id="409" w:name="_Toc462582247"/>
      <w:r w:rsidRPr="004C33D1">
        <w:t>Examples of Use</w:t>
      </w:r>
      <w:bookmarkEnd w:id="405"/>
      <w:bookmarkEnd w:id="406"/>
      <w:bookmarkEnd w:id="407"/>
      <w:bookmarkEnd w:id="408"/>
      <w:bookmarkEnd w:id="409"/>
    </w:p>
    <w:p w:rsidR="00344C8E" w:rsidRPr="004C33D1" w:rsidRDefault="00344C8E" w:rsidP="00344C8E">
      <w:r w:rsidRPr="004C33D1">
        <w:fldChar w:fldCharType="begin"/>
      </w:r>
      <w:r w:rsidRPr="004C33D1">
        <w:instrText xml:space="preserve"> REF _Ref456254046 \h </w:instrText>
      </w:r>
      <w:r w:rsidRPr="004C33D1">
        <w:fldChar w:fldCharType="separate"/>
      </w:r>
      <w:r w:rsidR="004D1DDA" w:rsidRPr="004C33D1">
        <w:t xml:space="preserve">Figure </w:t>
      </w:r>
      <w:r w:rsidR="004D1DDA">
        <w:rPr>
          <w:noProof/>
        </w:rPr>
        <w:t>45</w:t>
      </w:r>
      <w:r w:rsidRPr="004C33D1">
        <w:fldChar w:fldCharType="end"/>
      </w:r>
      <w:r w:rsidRPr="004C33D1">
        <w:t xml:space="preserve"> shows data on land values just inside and outside two industrial zones in Auckland. The top panel shows average land values in buffers ranging from 0-100m to 0-1000m immediately inside and outside the industrial zone boundaries. The bottom panel shows a scatterplot of land valuations inside and outside the industrial zones </w:t>
      </w:r>
      <w:proofErr w:type="gramStart"/>
      <w:r w:rsidRPr="004C33D1">
        <w:t>to better understand</w:t>
      </w:r>
      <w:proofErr w:type="gramEnd"/>
      <w:r w:rsidRPr="004C33D1">
        <w:t xml:space="preserve"> the distribution of values. In 2011, the median difference in land values in </w:t>
      </w:r>
      <w:proofErr w:type="gramStart"/>
      <w:r w:rsidRPr="004C33D1">
        <w:t>100 metre</w:t>
      </w:r>
      <w:proofErr w:type="gramEnd"/>
      <w:r w:rsidRPr="004C33D1">
        <w:t xml:space="preserve"> buffers immediately inside and outside the industrial zone boundaries was in the range of $40-$60/m</w:t>
      </w:r>
      <w:r w:rsidR="00EE6E51">
        <w:rPr>
          <w:vertAlign w:val="superscript"/>
        </w:rPr>
        <w:t>2</w:t>
      </w:r>
      <w:r w:rsidRPr="004C33D1">
        <w:t>.</w:t>
      </w:r>
    </w:p>
    <w:p w:rsidR="00344C8E" w:rsidRPr="004C33D1" w:rsidRDefault="00344C8E" w:rsidP="00344C8E"/>
    <w:p w:rsidR="00344C8E" w:rsidRPr="004C33D1" w:rsidRDefault="00344C8E" w:rsidP="00344C8E">
      <w:r w:rsidRPr="004C33D1">
        <w:t xml:space="preserve">This is a simple comparison of average land prices inside and outside zoning boundaries. In principle, </w:t>
      </w:r>
      <w:proofErr w:type="gramStart"/>
      <w:r w:rsidRPr="004C33D1">
        <w:t>more sophisticated econometric techniques</w:t>
      </w:r>
      <w:proofErr w:type="gramEnd"/>
      <w:r w:rsidRPr="004C33D1">
        <w:t xml:space="preserve"> could be applied, as Grimes and Liang (2009) and Zheng (2013) use to identify the MUL boundary discontinuity in land prices.</w:t>
      </w:r>
    </w:p>
    <w:p w:rsidR="00344C8E" w:rsidRPr="004C33D1" w:rsidRDefault="00344C8E" w:rsidP="00E02811">
      <w:pPr>
        <w:pStyle w:val="Caption"/>
      </w:pPr>
      <w:bookmarkStart w:id="410" w:name="_Ref456254046"/>
      <w:r w:rsidRPr="004C33D1">
        <w:t xml:space="preserve">Figure </w:t>
      </w:r>
      <w:r w:rsidRPr="004C33D1">
        <w:fldChar w:fldCharType="begin"/>
      </w:r>
      <w:r w:rsidRPr="004C33D1">
        <w:instrText xml:space="preserve"> SEQ Figure \* ARABIC </w:instrText>
      </w:r>
      <w:r w:rsidRPr="004C33D1">
        <w:fldChar w:fldCharType="separate"/>
      </w:r>
      <w:r w:rsidR="004D1DDA">
        <w:rPr>
          <w:noProof/>
        </w:rPr>
        <w:t>45</w:t>
      </w:r>
      <w:r w:rsidRPr="004C33D1">
        <w:fldChar w:fldCharType="end"/>
      </w:r>
      <w:bookmarkEnd w:id="410"/>
      <w:r w:rsidRPr="004C33D1">
        <w:t xml:space="preserve"> Land values around two industrial zones in Auckland</w:t>
      </w:r>
    </w:p>
    <w:tbl>
      <w:tblPr>
        <w:tblStyle w:val="TableGrid"/>
        <w:tblW w:w="5000" w:type="pct"/>
        <w:tblLayout w:type="fixed"/>
        <w:tblLook w:val="04A0" w:firstRow="1" w:lastRow="0" w:firstColumn="1" w:lastColumn="0" w:noHBand="0" w:noVBand="1"/>
      </w:tblPr>
      <w:tblGrid>
        <w:gridCol w:w="4218"/>
        <w:gridCol w:w="4219"/>
      </w:tblGrid>
      <w:tr w:rsidR="00344C8E" w:rsidRPr="004C33D1" w:rsidTr="003508FB">
        <w:tc>
          <w:tcPr>
            <w:tcW w:w="2500" w:type="pct"/>
          </w:tcPr>
          <w:p w:rsidR="00344C8E" w:rsidRPr="004C33D1" w:rsidRDefault="00344C8E" w:rsidP="003508FB">
            <w:pPr>
              <w:pStyle w:val="TableText"/>
              <w:jc w:val="center"/>
            </w:pPr>
            <w:r w:rsidRPr="004C33D1">
              <w:t>Onehunga – Penrose – Mt Wellington</w:t>
            </w:r>
          </w:p>
          <w:p w:rsidR="00344C8E" w:rsidRPr="004C33D1" w:rsidRDefault="00344C8E" w:rsidP="003508FB">
            <w:pPr>
              <w:pStyle w:val="TableText"/>
              <w:jc w:val="center"/>
            </w:pPr>
            <w:r w:rsidRPr="004C33D1">
              <w:rPr>
                <w:noProof/>
                <w:lang w:eastAsia="en-NZ"/>
              </w:rPr>
              <w:drawing>
                <wp:inline distT="0" distB="0" distL="0" distR="0" wp14:anchorId="3FECE273" wp14:editId="7DB8214D">
                  <wp:extent cx="2560320" cy="1463084"/>
                  <wp:effectExtent l="0" t="0" r="5080" b="10160"/>
                  <wp:docPr id="84" name="Picture 84" descr="../../Working%20documents/Indicator%20summaries/Industrial%20zones%20160715/Onehunga_M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ing%20documents/Indicator%20summaries/Industrial%20zones%20160715/Onehunga_Mean.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60320" cy="1463084"/>
                          </a:xfrm>
                          <a:prstGeom prst="rect">
                            <a:avLst/>
                          </a:prstGeom>
                          <a:noFill/>
                          <a:ln>
                            <a:noFill/>
                          </a:ln>
                        </pic:spPr>
                      </pic:pic>
                    </a:graphicData>
                  </a:graphic>
                </wp:inline>
              </w:drawing>
            </w:r>
          </w:p>
          <w:p w:rsidR="00344C8E" w:rsidRPr="004C33D1" w:rsidRDefault="00344C8E" w:rsidP="003508FB">
            <w:pPr>
              <w:pStyle w:val="TableText"/>
              <w:jc w:val="center"/>
            </w:pPr>
            <w:r w:rsidRPr="004C33D1">
              <w:rPr>
                <w:noProof/>
                <w:lang w:eastAsia="en-NZ"/>
              </w:rPr>
              <w:drawing>
                <wp:inline distT="0" distB="0" distL="0" distR="0" wp14:anchorId="1BE28AC6" wp14:editId="5CF294E3">
                  <wp:extent cx="2560320" cy="1463084"/>
                  <wp:effectExtent l="0" t="0" r="5080" b="10160"/>
                  <wp:docPr id="85" name="Picture 85" descr="../../Working%20documents/Indicator%20summaries/Industrial%20zones%20160715/Onehunga_R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king%20documents/Indicator%20summaries/Industrial%20zones%20160715/Onehunga_Raw.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60320" cy="1463084"/>
                          </a:xfrm>
                          <a:prstGeom prst="rect">
                            <a:avLst/>
                          </a:prstGeom>
                          <a:noFill/>
                          <a:ln>
                            <a:noFill/>
                          </a:ln>
                        </pic:spPr>
                      </pic:pic>
                    </a:graphicData>
                  </a:graphic>
                </wp:inline>
              </w:drawing>
            </w:r>
          </w:p>
        </w:tc>
        <w:tc>
          <w:tcPr>
            <w:tcW w:w="2500" w:type="pct"/>
          </w:tcPr>
          <w:p w:rsidR="00344C8E" w:rsidRPr="004C33D1" w:rsidRDefault="00344C8E" w:rsidP="003508FB">
            <w:pPr>
              <w:pStyle w:val="TableText"/>
              <w:jc w:val="center"/>
            </w:pPr>
            <w:r w:rsidRPr="004C33D1">
              <w:t>Wairau Park</w:t>
            </w:r>
          </w:p>
          <w:p w:rsidR="00344C8E" w:rsidRPr="004C33D1" w:rsidRDefault="00344C8E" w:rsidP="003508FB">
            <w:pPr>
              <w:pStyle w:val="TableText"/>
              <w:jc w:val="center"/>
            </w:pPr>
            <w:r w:rsidRPr="004C33D1">
              <w:rPr>
                <w:noProof/>
                <w:lang w:eastAsia="en-NZ"/>
              </w:rPr>
              <w:drawing>
                <wp:inline distT="0" distB="0" distL="0" distR="0" wp14:anchorId="6146A2D4" wp14:editId="6DE17B1A">
                  <wp:extent cx="2534920" cy="1451610"/>
                  <wp:effectExtent l="0" t="0" r="5080" b="0"/>
                  <wp:docPr id="95" name="Picture 95" descr="../../Working%20documents/Indicator%20summaries/Industrial%20zones%20160715/Wairau_M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king%20documents/Indicator%20summaries/Industrial%20zones%20160715/Wairau_Mean.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34920" cy="1451610"/>
                          </a:xfrm>
                          <a:prstGeom prst="rect">
                            <a:avLst/>
                          </a:prstGeom>
                          <a:noFill/>
                          <a:ln>
                            <a:noFill/>
                          </a:ln>
                        </pic:spPr>
                      </pic:pic>
                    </a:graphicData>
                  </a:graphic>
                </wp:inline>
              </w:drawing>
            </w:r>
          </w:p>
          <w:p w:rsidR="00344C8E" w:rsidRPr="004C33D1" w:rsidRDefault="00344C8E" w:rsidP="003508FB">
            <w:pPr>
              <w:pStyle w:val="TableText"/>
              <w:jc w:val="center"/>
            </w:pPr>
            <w:r w:rsidRPr="004C33D1">
              <w:rPr>
                <w:noProof/>
                <w:lang w:eastAsia="en-NZ"/>
              </w:rPr>
              <w:drawing>
                <wp:inline distT="0" distB="0" distL="0" distR="0" wp14:anchorId="7E3C7759" wp14:editId="70BB888A">
                  <wp:extent cx="2534920" cy="1451610"/>
                  <wp:effectExtent l="0" t="0" r="5080" b="0"/>
                  <wp:docPr id="96" name="Picture 96" descr="../../Working%20documents/Indicator%20summaries/Industrial%20zones%20160715/Wairau_R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king%20documents/Indicator%20summaries/Industrial%20zones%20160715/Wairau_Raw.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34920" cy="1451610"/>
                          </a:xfrm>
                          <a:prstGeom prst="rect">
                            <a:avLst/>
                          </a:prstGeom>
                          <a:noFill/>
                          <a:ln>
                            <a:noFill/>
                          </a:ln>
                        </pic:spPr>
                      </pic:pic>
                    </a:graphicData>
                  </a:graphic>
                </wp:inline>
              </w:drawing>
            </w:r>
          </w:p>
        </w:tc>
      </w:tr>
    </w:tbl>
    <w:p w:rsidR="00344C8E" w:rsidRPr="004C33D1" w:rsidRDefault="00344C8E" w:rsidP="009C6CC3">
      <w:pPr>
        <w:spacing w:line="240" w:lineRule="auto"/>
        <w:rPr>
          <w:sz w:val="18"/>
          <w:szCs w:val="18"/>
        </w:rPr>
      </w:pPr>
      <w:r w:rsidRPr="004C33D1">
        <w:rPr>
          <w:sz w:val="18"/>
          <w:szCs w:val="18"/>
        </w:rPr>
        <w:t>Note: Land valuation data sourced from 2011 district valuation roll obtained for an analysis of the economic impact of minimum parking requirements (MRCagney, 2013)</w:t>
      </w:r>
    </w:p>
    <w:p w:rsidR="00344C8E" w:rsidRPr="004C33D1" w:rsidRDefault="00344C8E" w:rsidP="00344C8E"/>
    <w:p w:rsidR="00344C8E" w:rsidRPr="004C33D1" w:rsidRDefault="00344C8E" w:rsidP="00344C8E">
      <w:r w:rsidRPr="004C33D1">
        <w:fldChar w:fldCharType="begin"/>
      </w:r>
      <w:r w:rsidRPr="004C33D1">
        <w:instrText xml:space="preserve"> REF _Ref456550022 \h </w:instrText>
      </w:r>
      <w:r w:rsidRPr="004C33D1">
        <w:fldChar w:fldCharType="separate"/>
      </w:r>
      <w:r w:rsidR="004D1DDA" w:rsidRPr="004C33D1">
        <w:t xml:space="preserve">Table </w:t>
      </w:r>
      <w:r w:rsidR="004D1DDA">
        <w:rPr>
          <w:noProof/>
        </w:rPr>
        <w:t>23</w:t>
      </w:r>
      <w:r w:rsidRPr="004C33D1">
        <w:fldChar w:fldCharType="end"/>
      </w:r>
      <w:r w:rsidRPr="004C33D1">
        <w:t xml:space="preserve"> summarises the results of this analysis for the ten largest industrial zones in Auckland, focusing on average land values within 200m buffers inside and outside of the zone boundaries. This shows large variations in price discontinuities. In some locations, such as Takanini and Glenbrook, industrial land is valued higher than </w:t>
      </w:r>
      <w:r w:rsidRPr="004C33D1">
        <w:lastRenderedPageBreak/>
        <w:t>adjacent non-industrial areas. In other cases, such as the Albany-Rosedale industrial area, adjacent non-industrial land is considerably more valuable.</w:t>
      </w:r>
    </w:p>
    <w:p w:rsidR="00344C8E" w:rsidRPr="004C33D1" w:rsidRDefault="00344C8E" w:rsidP="00344C8E"/>
    <w:p w:rsidR="00344C8E" w:rsidRPr="004C33D1" w:rsidRDefault="00344C8E" w:rsidP="00E02811">
      <w:pPr>
        <w:pStyle w:val="Caption"/>
      </w:pPr>
      <w:bookmarkStart w:id="411" w:name="_Ref456550022"/>
      <w:r w:rsidRPr="004C33D1">
        <w:t xml:space="preserve">Table </w:t>
      </w:r>
      <w:r w:rsidRPr="004C33D1">
        <w:fldChar w:fldCharType="begin"/>
      </w:r>
      <w:r w:rsidRPr="004C33D1">
        <w:instrText xml:space="preserve"> SEQ Table \* ARABIC </w:instrText>
      </w:r>
      <w:r w:rsidRPr="004C33D1">
        <w:fldChar w:fldCharType="separate"/>
      </w:r>
      <w:r w:rsidR="004D1DDA">
        <w:rPr>
          <w:noProof/>
        </w:rPr>
        <w:t>23</w:t>
      </w:r>
      <w:r w:rsidRPr="004C33D1">
        <w:fldChar w:fldCharType="end"/>
      </w:r>
      <w:bookmarkEnd w:id="411"/>
      <w:r w:rsidRPr="004C33D1">
        <w:t xml:space="preserve"> Land values in 200m buffers inside and outside industrial zone boundaries</w:t>
      </w:r>
    </w:p>
    <w:tbl>
      <w:tblPr>
        <w:tblStyle w:val="CovecTables"/>
        <w:tblW w:w="5000" w:type="pct"/>
        <w:tblLayout w:type="fixed"/>
        <w:tblLook w:val="04E0" w:firstRow="1" w:lastRow="1" w:firstColumn="1" w:lastColumn="0" w:noHBand="0" w:noVBand="1"/>
      </w:tblPr>
      <w:tblGrid>
        <w:gridCol w:w="2140"/>
        <w:gridCol w:w="1520"/>
        <w:gridCol w:w="1521"/>
        <w:gridCol w:w="1519"/>
        <w:gridCol w:w="1521"/>
      </w:tblGrid>
      <w:tr w:rsidR="00344C8E" w:rsidRPr="004C33D1" w:rsidTr="003508FB">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1301" w:type="pct"/>
            <w:noWrap/>
            <w:vAlign w:val="top"/>
            <w:hideMark/>
          </w:tcPr>
          <w:p w:rsidR="00344C8E" w:rsidRPr="004C33D1" w:rsidRDefault="00344C8E" w:rsidP="003508FB">
            <w:pPr>
              <w:pStyle w:val="TableText"/>
            </w:pPr>
            <w:r w:rsidRPr="004C33D1">
              <w:t>Industrial zone location</w:t>
            </w:r>
          </w:p>
        </w:tc>
        <w:tc>
          <w:tcPr>
            <w:tcW w:w="924" w:type="pct"/>
            <w:noWrap/>
            <w:vAlign w:val="top"/>
            <w:hideMark/>
          </w:tcPr>
          <w:p w:rsidR="00344C8E" w:rsidRPr="004C33D1" w:rsidRDefault="00344C8E" w:rsidP="003508FB">
            <w:pPr>
              <w:pStyle w:val="TableText"/>
              <w:cnfStyle w:val="100000000000" w:firstRow="1" w:lastRow="0" w:firstColumn="0" w:lastColumn="0" w:oddVBand="0" w:evenVBand="0" w:oddHBand="0" w:evenHBand="0" w:firstRowFirstColumn="0" w:firstRowLastColumn="0" w:lastRowFirstColumn="0" w:lastRowLastColumn="0"/>
            </w:pPr>
            <w:r w:rsidRPr="004C33D1">
              <w:t>Mean inside industrial zone ($/m2)</w:t>
            </w:r>
          </w:p>
        </w:tc>
        <w:tc>
          <w:tcPr>
            <w:tcW w:w="925" w:type="pct"/>
            <w:noWrap/>
            <w:vAlign w:val="top"/>
            <w:hideMark/>
          </w:tcPr>
          <w:p w:rsidR="00344C8E" w:rsidRPr="004C33D1" w:rsidRDefault="00344C8E" w:rsidP="003508FB">
            <w:pPr>
              <w:pStyle w:val="TableText"/>
              <w:cnfStyle w:val="100000000000" w:firstRow="1" w:lastRow="0" w:firstColumn="0" w:lastColumn="0" w:oddVBand="0" w:evenVBand="0" w:oddHBand="0" w:evenHBand="0" w:firstRowFirstColumn="0" w:firstRowLastColumn="0" w:lastRowFirstColumn="0" w:lastRowLastColumn="0"/>
            </w:pPr>
            <w:r w:rsidRPr="004C33D1">
              <w:t>Mean outside industrial zone ($/m2)</w:t>
            </w:r>
          </w:p>
        </w:tc>
        <w:tc>
          <w:tcPr>
            <w:tcW w:w="924" w:type="pct"/>
            <w:noWrap/>
            <w:vAlign w:val="top"/>
            <w:hideMark/>
          </w:tcPr>
          <w:p w:rsidR="00344C8E" w:rsidRPr="004C33D1" w:rsidRDefault="00344C8E" w:rsidP="003508FB">
            <w:pPr>
              <w:pStyle w:val="TableText"/>
              <w:cnfStyle w:val="100000000000" w:firstRow="1" w:lastRow="0" w:firstColumn="0" w:lastColumn="0" w:oddVBand="0" w:evenVBand="0" w:oddHBand="0" w:evenHBand="0" w:firstRowFirstColumn="0" w:firstRowLastColumn="0" w:lastRowFirstColumn="0" w:lastRowLastColumn="0"/>
            </w:pPr>
            <w:r w:rsidRPr="004C33D1">
              <w:t>Difference ($/m2)</w:t>
            </w:r>
          </w:p>
        </w:tc>
        <w:tc>
          <w:tcPr>
            <w:tcW w:w="925" w:type="pct"/>
            <w:noWrap/>
            <w:vAlign w:val="top"/>
            <w:hideMark/>
          </w:tcPr>
          <w:p w:rsidR="00344C8E" w:rsidRPr="004C33D1" w:rsidRDefault="00344C8E" w:rsidP="003508FB">
            <w:pPr>
              <w:pStyle w:val="TableText"/>
              <w:cnfStyle w:val="100000000000" w:firstRow="1" w:lastRow="0" w:firstColumn="0" w:lastColumn="0" w:oddVBand="0" w:evenVBand="0" w:oddHBand="0" w:evenHBand="0" w:firstRowFirstColumn="0" w:firstRowLastColumn="0" w:lastRowFirstColumn="0" w:lastRowLastColumn="0"/>
            </w:pPr>
            <w:r w:rsidRPr="004C33D1">
              <w:t>Ratio</w:t>
            </w:r>
          </w:p>
        </w:tc>
      </w:tr>
      <w:tr w:rsidR="00344C8E" w:rsidRPr="004C33D1" w:rsidTr="003508FB">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1301" w:type="pct"/>
            <w:noWrap/>
            <w:vAlign w:val="top"/>
            <w:hideMark/>
          </w:tcPr>
          <w:p w:rsidR="00344C8E" w:rsidRPr="004C33D1" w:rsidRDefault="00344C8E" w:rsidP="003508FB">
            <w:pPr>
              <w:pStyle w:val="TableText"/>
            </w:pPr>
            <w:r w:rsidRPr="004C33D1">
              <w:t>Glenbrook Steel Mill</w:t>
            </w:r>
          </w:p>
        </w:tc>
        <w:tc>
          <w:tcPr>
            <w:tcW w:w="924" w:type="pct"/>
            <w:noWrap/>
            <w:vAlign w:val="top"/>
            <w:hideMark/>
          </w:tcPr>
          <w:p w:rsidR="00344C8E" w:rsidRPr="004C33D1" w:rsidRDefault="00344C8E" w:rsidP="003508FB">
            <w:pPr>
              <w:pStyle w:val="TableText"/>
              <w:cnfStyle w:val="000000000000" w:firstRow="0" w:lastRow="0" w:firstColumn="0" w:lastColumn="0" w:oddVBand="0" w:evenVBand="0" w:oddHBand="0" w:evenHBand="0" w:firstRowFirstColumn="0" w:firstRowLastColumn="0" w:lastRowFirstColumn="0" w:lastRowLastColumn="0"/>
            </w:pPr>
            <w:r w:rsidRPr="004C33D1">
              <w:t>$37.92</w:t>
            </w:r>
          </w:p>
        </w:tc>
        <w:tc>
          <w:tcPr>
            <w:tcW w:w="925" w:type="pct"/>
            <w:noWrap/>
            <w:vAlign w:val="top"/>
            <w:hideMark/>
          </w:tcPr>
          <w:p w:rsidR="00344C8E" w:rsidRPr="004C33D1" w:rsidRDefault="00344C8E" w:rsidP="003508FB">
            <w:pPr>
              <w:pStyle w:val="TableText"/>
              <w:cnfStyle w:val="000000000000" w:firstRow="0" w:lastRow="0" w:firstColumn="0" w:lastColumn="0" w:oddVBand="0" w:evenVBand="0" w:oddHBand="0" w:evenHBand="0" w:firstRowFirstColumn="0" w:firstRowLastColumn="0" w:lastRowFirstColumn="0" w:lastRowLastColumn="0"/>
            </w:pPr>
            <w:r w:rsidRPr="004C33D1">
              <w:t>$9.29</w:t>
            </w:r>
          </w:p>
        </w:tc>
        <w:tc>
          <w:tcPr>
            <w:tcW w:w="924" w:type="pct"/>
            <w:noWrap/>
            <w:vAlign w:val="top"/>
            <w:hideMark/>
          </w:tcPr>
          <w:p w:rsidR="00344C8E" w:rsidRPr="004C33D1" w:rsidRDefault="00344C8E" w:rsidP="003508FB">
            <w:pPr>
              <w:pStyle w:val="TableText"/>
              <w:cnfStyle w:val="000000000000" w:firstRow="0" w:lastRow="0" w:firstColumn="0" w:lastColumn="0" w:oddVBand="0" w:evenVBand="0" w:oddHBand="0" w:evenHBand="0" w:firstRowFirstColumn="0" w:firstRowLastColumn="0" w:lastRowFirstColumn="0" w:lastRowLastColumn="0"/>
            </w:pPr>
            <w:r w:rsidRPr="004C33D1">
              <w:t>-$28.63</w:t>
            </w:r>
          </w:p>
        </w:tc>
        <w:tc>
          <w:tcPr>
            <w:tcW w:w="925" w:type="pct"/>
            <w:noWrap/>
            <w:vAlign w:val="top"/>
            <w:hideMark/>
          </w:tcPr>
          <w:p w:rsidR="00344C8E" w:rsidRPr="004C33D1" w:rsidRDefault="00344C8E" w:rsidP="003508FB">
            <w:pPr>
              <w:pStyle w:val="TableText"/>
              <w:cnfStyle w:val="000000000000" w:firstRow="0" w:lastRow="0" w:firstColumn="0" w:lastColumn="0" w:oddVBand="0" w:evenVBand="0" w:oddHBand="0" w:evenHBand="0" w:firstRowFirstColumn="0" w:firstRowLastColumn="0" w:lastRowFirstColumn="0" w:lastRowLastColumn="0"/>
            </w:pPr>
            <w:r w:rsidRPr="004C33D1">
              <w:t>0.24</w:t>
            </w:r>
          </w:p>
        </w:tc>
      </w:tr>
      <w:tr w:rsidR="00344C8E" w:rsidRPr="004C33D1" w:rsidTr="003508FB">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1301" w:type="pct"/>
            <w:noWrap/>
            <w:vAlign w:val="top"/>
            <w:hideMark/>
          </w:tcPr>
          <w:p w:rsidR="00344C8E" w:rsidRPr="004C33D1" w:rsidRDefault="00344C8E" w:rsidP="003508FB">
            <w:pPr>
              <w:pStyle w:val="TableText"/>
            </w:pPr>
            <w:r w:rsidRPr="004C33D1">
              <w:t>Takanini</w:t>
            </w:r>
          </w:p>
        </w:tc>
        <w:tc>
          <w:tcPr>
            <w:tcW w:w="924" w:type="pct"/>
            <w:noWrap/>
            <w:vAlign w:val="top"/>
            <w:hideMark/>
          </w:tcPr>
          <w:p w:rsidR="00344C8E" w:rsidRPr="004C33D1" w:rsidRDefault="00344C8E" w:rsidP="003508FB">
            <w:pPr>
              <w:pStyle w:val="TableText"/>
              <w:cnfStyle w:val="000000000000" w:firstRow="0" w:lastRow="0" w:firstColumn="0" w:lastColumn="0" w:oddVBand="0" w:evenVBand="0" w:oddHBand="0" w:evenHBand="0" w:firstRowFirstColumn="0" w:firstRowLastColumn="0" w:lastRowFirstColumn="0" w:lastRowLastColumn="0"/>
            </w:pPr>
            <w:r w:rsidRPr="004C33D1">
              <w:t>$359.14</w:t>
            </w:r>
          </w:p>
        </w:tc>
        <w:tc>
          <w:tcPr>
            <w:tcW w:w="925" w:type="pct"/>
            <w:noWrap/>
            <w:vAlign w:val="top"/>
            <w:hideMark/>
          </w:tcPr>
          <w:p w:rsidR="00344C8E" w:rsidRPr="004C33D1" w:rsidRDefault="00344C8E" w:rsidP="003508FB">
            <w:pPr>
              <w:pStyle w:val="TableText"/>
              <w:cnfStyle w:val="000000000000" w:firstRow="0" w:lastRow="0" w:firstColumn="0" w:lastColumn="0" w:oddVBand="0" w:evenVBand="0" w:oddHBand="0" w:evenHBand="0" w:firstRowFirstColumn="0" w:firstRowLastColumn="0" w:lastRowFirstColumn="0" w:lastRowLastColumn="0"/>
            </w:pPr>
            <w:r w:rsidRPr="004C33D1">
              <w:t>$216.37</w:t>
            </w:r>
          </w:p>
        </w:tc>
        <w:tc>
          <w:tcPr>
            <w:tcW w:w="924" w:type="pct"/>
            <w:noWrap/>
            <w:vAlign w:val="top"/>
            <w:hideMark/>
          </w:tcPr>
          <w:p w:rsidR="00344C8E" w:rsidRPr="004C33D1" w:rsidRDefault="00344C8E" w:rsidP="003508FB">
            <w:pPr>
              <w:pStyle w:val="TableText"/>
              <w:cnfStyle w:val="000000000000" w:firstRow="0" w:lastRow="0" w:firstColumn="0" w:lastColumn="0" w:oddVBand="0" w:evenVBand="0" w:oddHBand="0" w:evenHBand="0" w:firstRowFirstColumn="0" w:firstRowLastColumn="0" w:lastRowFirstColumn="0" w:lastRowLastColumn="0"/>
            </w:pPr>
            <w:r w:rsidRPr="004C33D1">
              <w:t>-$142.76</w:t>
            </w:r>
          </w:p>
        </w:tc>
        <w:tc>
          <w:tcPr>
            <w:tcW w:w="925" w:type="pct"/>
            <w:noWrap/>
            <w:vAlign w:val="top"/>
            <w:hideMark/>
          </w:tcPr>
          <w:p w:rsidR="00344C8E" w:rsidRPr="004C33D1" w:rsidRDefault="00344C8E" w:rsidP="003508FB">
            <w:pPr>
              <w:pStyle w:val="TableText"/>
              <w:cnfStyle w:val="000000000000" w:firstRow="0" w:lastRow="0" w:firstColumn="0" w:lastColumn="0" w:oddVBand="0" w:evenVBand="0" w:oddHBand="0" w:evenHBand="0" w:firstRowFirstColumn="0" w:firstRowLastColumn="0" w:lastRowFirstColumn="0" w:lastRowLastColumn="0"/>
            </w:pPr>
            <w:r w:rsidRPr="004C33D1">
              <w:t>0.60</w:t>
            </w:r>
          </w:p>
        </w:tc>
      </w:tr>
      <w:tr w:rsidR="00344C8E" w:rsidRPr="004C33D1" w:rsidTr="003508FB">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1301" w:type="pct"/>
            <w:noWrap/>
            <w:vAlign w:val="top"/>
            <w:hideMark/>
          </w:tcPr>
          <w:p w:rsidR="00344C8E" w:rsidRPr="004C33D1" w:rsidRDefault="00344C8E" w:rsidP="003508FB">
            <w:pPr>
              <w:pStyle w:val="TableText"/>
            </w:pPr>
            <w:proofErr w:type="spellStart"/>
            <w:r w:rsidRPr="004C33D1">
              <w:t>Manukau</w:t>
            </w:r>
            <w:proofErr w:type="spellEnd"/>
          </w:p>
        </w:tc>
        <w:tc>
          <w:tcPr>
            <w:tcW w:w="924" w:type="pct"/>
            <w:noWrap/>
            <w:vAlign w:val="top"/>
            <w:hideMark/>
          </w:tcPr>
          <w:p w:rsidR="00344C8E" w:rsidRPr="004C33D1" w:rsidRDefault="00344C8E" w:rsidP="003508FB">
            <w:pPr>
              <w:pStyle w:val="TableText"/>
              <w:cnfStyle w:val="000000000000" w:firstRow="0" w:lastRow="0" w:firstColumn="0" w:lastColumn="0" w:oddVBand="0" w:evenVBand="0" w:oddHBand="0" w:evenHBand="0" w:firstRowFirstColumn="0" w:firstRowLastColumn="0" w:lastRowFirstColumn="0" w:lastRowLastColumn="0"/>
            </w:pPr>
            <w:r w:rsidRPr="004C33D1">
              <w:t>$138.15</w:t>
            </w:r>
          </w:p>
        </w:tc>
        <w:tc>
          <w:tcPr>
            <w:tcW w:w="925" w:type="pct"/>
            <w:noWrap/>
            <w:vAlign w:val="top"/>
            <w:hideMark/>
          </w:tcPr>
          <w:p w:rsidR="00344C8E" w:rsidRPr="004C33D1" w:rsidRDefault="00344C8E" w:rsidP="003508FB">
            <w:pPr>
              <w:pStyle w:val="TableText"/>
              <w:cnfStyle w:val="000000000000" w:firstRow="0" w:lastRow="0" w:firstColumn="0" w:lastColumn="0" w:oddVBand="0" w:evenVBand="0" w:oddHBand="0" w:evenHBand="0" w:firstRowFirstColumn="0" w:firstRowLastColumn="0" w:lastRowFirstColumn="0" w:lastRowLastColumn="0"/>
            </w:pPr>
            <w:r w:rsidRPr="004C33D1">
              <w:t>$218.93</w:t>
            </w:r>
          </w:p>
        </w:tc>
        <w:tc>
          <w:tcPr>
            <w:tcW w:w="924" w:type="pct"/>
            <w:noWrap/>
            <w:vAlign w:val="top"/>
            <w:hideMark/>
          </w:tcPr>
          <w:p w:rsidR="00344C8E" w:rsidRPr="004C33D1" w:rsidRDefault="00344C8E" w:rsidP="003508FB">
            <w:pPr>
              <w:pStyle w:val="TableText"/>
              <w:cnfStyle w:val="000000000000" w:firstRow="0" w:lastRow="0" w:firstColumn="0" w:lastColumn="0" w:oddVBand="0" w:evenVBand="0" w:oddHBand="0" w:evenHBand="0" w:firstRowFirstColumn="0" w:firstRowLastColumn="0" w:lastRowFirstColumn="0" w:lastRowLastColumn="0"/>
            </w:pPr>
            <w:r w:rsidRPr="004C33D1">
              <w:t>$80.78</w:t>
            </w:r>
          </w:p>
        </w:tc>
        <w:tc>
          <w:tcPr>
            <w:tcW w:w="925" w:type="pct"/>
            <w:noWrap/>
            <w:vAlign w:val="top"/>
            <w:hideMark/>
          </w:tcPr>
          <w:p w:rsidR="00344C8E" w:rsidRPr="004C33D1" w:rsidRDefault="00344C8E" w:rsidP="003508FB">
            <w:pPr>
              <w:pStyle w:val="TableText"/>
              <w:cnfStyle w:val="000000000000" w:firstRow="0" w:lastRow="0" w:firstColumn="0" w:lastColumn="0" w:oddVBand="0" w:evenVBand="0" w:oddHBand="0" w:evenHBand="0" w:firstRowFirstColumn="0" w:firstRowLastColumn="0" w:lastRowFirstColumn="0" w:lastRowLastColumn="0"/>
            </w:pPr>
            <w:r w:rsidRPr="004C33D1">
              <w:t>1.58</w:t>
            </w:r>
          </w:p>
        </w:tc>
      </w:tr>
      <w:tr w:rsidR="00344C8E" w:rsidRPr="004C33D1" w:rsidTr="003508FB">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1301" w:type="pct"/>
            <w:noWrap/>
            <w:vAlign w:val="top"/>
            <w:hideMark/>
          </w:tcPr>
          <w:p w:rsidR="00344C8E" w:rsidRPr="004C33D1" w:rsidRDefault="00344C8E" w:rsidP="003508FB">
            <w:pPr>
              <w:pStyle w:val="TableText"/>
            </w:pPr>
            <w:r w:rsidRPr="004C33D1">
              <w:t>Airport</w:t>
            </w:r>
          </w:p>
        </w:tc>
        <w:tc>
          <w:tcPr>
            <w:tcW w:w="924" w:type="pct"/>
            <w:noWrap/>
            <w:vAlign w:val="top"/>
            <w:hideMark/>
          </w:tcPr>
          <w:p w:rsidR="00344C8E" w:rsidRPr="004C33D1" w:rsidRDefault="00344C8E" w:rsidP="003508FB">
            <w:pPr>
              <w:pStyle w:val="TableText"/>
              <w:cnfStyle w:val="000000000000" w:firstRow="0" w:lastRow="0" w:firstColumn="0" w:lastColumn="0" w:oddVBand="0" w:evenVBand="0" w:oddHBand="0" w:evenHBand="0" w:firstRowFirstColumn="0" w:firstRowLastColumn="0" w:lastRowFirstColumn="0" w:lastRowLastColumn="0"/>
            </w:pPr>
            <w:r w:rsidRPr="004C33D1">
              <w:t>$167.04</w:t>
            </w:r>
          </w:p>
        </w:tc>
        <w:tc>
          <w:tcPr>
            <w:tcW w:w="925" w:type="pct"/>
            <w:noWrap/>
            <w:vAlign w:val="top"/>
            <w:hideMark/>
          </w:tcPr>
          <w:p w:rsidR="00344C8E" w:rsidRPr="004C33D1" w:rsidRDefault="00344C8E" w:rsidP="003508FB">
            <w:pPr>
              <w:pStyle w:val="TableText"/>
              <w:cnfStyle w:val="000000000000" w:firstRow="0" w:lastRow="0" w:firstColumn="0" w:lastColumn="0" w:oddVBand="0" w:evenVBand="0" w:oddHBand="0" w:evenHBand="0" w:firstRowFirstColumn="0" w:firstRowLastColumn="0" w:lastRowFirstColumn="0" w:lastRowLastColumn="0"/>
            </w:pPr>
            <w:r w:rsidRPr="004C33D1">
              <w:t>$230.68</w:t>
            </w:r>
          </w:p>
        </w:tc>
        <w:tc>
          <w:tcPr>
            <w:tcW w:w="924" w:type="pct"/>
            <w:noWrap/>
            <w:vAlign w:val="top"/>
            <w:hideMark/>
          </w:tcPr>
          <w:p w:rsidR="00344C8E" w:rsidRPr="004C33D1" w:rsidRDefault="00344C8E" w:rsidP="003508FB">
            <w:pPr>
              <w:pStyle w:val="TableText"/>
              <w:cnfStyle w:val="000000000000" w:firstRow="0" w:lastRow="0" w:firstColumn="0" w:lastColumn="0" w:oddVBand="0" w:evenVBand="0" w:oddHBand="0" w:evenHBand="0" w:firstRowFirstColumn="0" w:firstRowLastColumn="0" w:lastRowFirstColumn="0" w:lastRowLastColumn="0"/>
            </w:pPr>
            <w:r w:rsidRPr="004C33D1">
              <w:t>$63.64</w:t>
            </w:r>
          </w:p>
        </w:tc>
        <w:tc>
          <w:tcPr>
            <w:tcW w:w="925" w:type="pct"/>
            <w:noWrap/>
            <w:vAlign w:val="top"/>
            <w:hideMark/>
          </w:tcPr>
          <w:p w:rsidR="00344C8E" w:rsidRPr="004C33D1" w:rsidRDefault="00344C8E" w:rsidP="003508FB">
            <w:pPr>
              <w:pStyle w:val="TableText"/>
              <w:cnfStyle w:val="000000000000" w:firstRow="0" w:lastRow="0" w:firstColumn="0" w:lastColumn="0" w:oddVBand="0" w:evenVBand="0" w:oddHBand="0" w:evenHBand="0" w:firstRowFirstColumn="0" w:firstRowLastColumn="0" w:lastRowFirstColumn="0" w:lastRowLastColumn="0"/>
            </w:pPr>
            <w:r w:rsidRPr="004C33D1">
              <w:t>1.38</w:t>
            </w:r>
          </w:p>
        </w:tc>
      </w:tr>
      <w:tr w:rsidR="00344C8E" w:rsidRPr="004C33D1" w:rsidTr="003508FB">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1301" w:type="pct"/>
            <w:noWrap/>
            <w:vAlign w:val="top"/>
            <w:hideMark/>
          </w:tcPr>
          <w:p w:rsidR="00344C8E" w:rsidRPr="004C33D1" w:rsidRDefault="00344C8E" w:rsidP="003508FB">
            <w:pPr>
              <w:pStyle w:val="TableText"/>
            </w:pPr>
            <w:r w:rsidRPr="004C33D1">
              <w:t>East Tamaki</w:t>
            </w:r>
          </w:p>
        </w:tc>
        <w:tc>
          <w:tcPr>
            <w:tcW w:w="924" w:type="pct"/>
            <w:noWrap/>
            <w:vAlign w:val="top"/>
            <w:hideMark/>
          </w:tcPr>
          <w:p w:rsidR="00344C8E" w:rsidRPr="004C33D1" w:rsidRDefault="00344C8E" w:rsidP="003508FB">
            <w:pPr>
              <w:pStyle w:val="TableText"/>
              <w:cnfStyle w:val="000000000000" w:firstRow="0" w:lastRow="0" w:firstColumn="0" w:lastColumn="0" w:oddVBand="0" w:evenVBand="0" w:oddHBand="0" w:evenHBand="0" w:firstRowFirstColumn="0" w:firstRowLastColumn="0" w:lastRowFirstColumn="0" w:lastRowLastColumn="0"/>
            </w:pPr>
            <w:r w:rsidRPr="004C33D1">
              <w:t>$114.81</w:t>
            </w:r>
          </w:p>
        </w:tc>
        <w:tc>
          <w:tcPr>
            <w:tcW w:w="925" w:type="pct"/>
            <w:noWrap/>
            <w:vAlign w:val="top"/>
            <w:hideMark/>
          </w:tcPr>
          <w:p w:rsidR="00344C8E" w:rsidRPr="004C33D1" w:rsidRDefault="00344C8E" w:rsidP="003508FB">
            <w:pPr>
              <w:pStyle w:val="TableText"/>
              <w:cnfStyle w:val="000000000000" w:firstRow="0" w:lastRow="0" w:firstColumn="0" w:lastColumn="0" w:oddVBand="0" w:evenVBand="0" w:oddHBand="0" w:evenHBand="0" w:firstRowFirstColumn="0" w:firstRowLastColumn="0" w:lastRowFirstColumn="0" w:lastRowLastColumn="0"/>
            </w:pPr>
            <w:r w:rsidRPr="004C33D1">
              <w:t>$370.69</w:t>
            </w:r>
          </w:p>
        </w:tc>
        <w:tc>
          <w:tcPr>
            <w:tcW w:w="924" w:type="pct"/>
            <w:noWrap/>
            <w:vAlign w:val="top"/>
            <w:hideMark/>
          </w:tcPr>
          <w:p w:rsidR="00344C8E" w:rsidRPr="004C33D1" w:rsidRDefault="00344C8E" w:rsidP="003508FB">
            <w:pPr>
              <w:pStyle w:val="TableText"/>
              <w:cnfStyle w:val="000000000000" w:firstRow="0" w:lastRow="0" w:firstColumn="0" w:lastColumn="0" w:oddVBand="0" w:evenVBand="0" w:oddHBand="0" w:evenHBand="0" w:firstRowFirstColumn="0" w:firstRowLastColumn="0" w:lastRowFirstColumn="0" w:lastRowLastColumn="0"/>
            </w:pPr>
            <w:r w:rsidRPr="004C33D1">
              <w:t>$255.88</w:t>
            </w:r>
          </w:p>
        </w:tc>
        <w:tc>
          <w:tcPr>
            <w:tcW w:w="925" w:type="pct"/>
            <w:noWrap/>
            <w:vAlign w:val="top"/>
            <w:hideMark/>
          </w:tcPr>
          <w:p w:rsidR="00344C8E" w:rsidRPr="004C33D1" w:rsidRDefault="00344C8E" w:rsidP="003508FB">
            <w:pPr>
              <w:pStyle w:val="TableText"/>
              <w:cnfStyle w:val="000000000000" w:firstRow="0" w:lastRow="0" w:firstColumn="0" w:lastColumn="0" w:oddVBand="0" w:evenVBand="0" w:oddHBand="0" w:evenHBand="0" w:firstRowFirstColumn="0" w:firstRowLastColumn="0" w:lastRowFirstColumn="0" w:lastRowLastColumn="0"/>
            </w:pPr>
            <w:r w:rsidRPr="004C33D1">
              <w:t>3.23</w:t>
            </w:r>
          </w:p>
        </w:tc>
      </w:tr>
      <w:tr w:rsidR="00344C8E" w:rsidRPr="004C33D1" w:rsidTr="003508FB">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1301" w:type="pct"/>
            <w:noWrap/>
            <w:vAlign w:val="top"/>
            <w:hideMark/>
          </w:tcPr>
          <w:p w:rsidR="00344C8E" w:rsidRPr="004C33D1" w:rsidRDefault="00344C8E" w:rsidP="003508FB">
            <w:pPr>
              <w:pStyle w:val="TableText"/>
            </w:pPr>
            <w:r w:rsidRPr="004C33D1">
              <w:t>Onehunga-Penrose-Mt Wellington</w:t>
            </w:r>
          </w:p>
        </w:tc>
        <w:tc>
          <w:tcPr>
            <w:tcW w:w="924" w:type="pct"/>
            <w:noWrap/>
            <w:vAlign w:val="top"/>
            <w:hideMark/>
          </w:tcPr>
          <w:p w:rsidR="00344C8E" w:rsidRPr="004C33D1" w:rsidRDefault="00344C8E" w:rsidP="003508FB">
            <w:pPr>
              <w:pStyle w:val="TableText"/>
              <w:cnfStyle w:val="000000000000" w:firstRow="0" w:lastRow="0" w:firstColumn="0" w:lastColumn="0" w:oddVBand="0" w:evenVBand="0" w:oddHBand="0" w:evenHBand="0" w:firstRowFirstColumn="0" w:firstRowLastColumn="0" w:lastRowFirstColumn="0" w:lastRowLastColumn="0"/>
            </w:pPr>
            <w:r w:rsidRPr="004C33D1">
              <w:t>$218.28</w:t>
            </w:r>
          </w:p>
        </w:tc>
        <w:tc>
          <w:tcPr>
            <w:tcW w:w="925" w:type="pct"/>
            <w:noWrap/>
            <w:vAlign w:val="top"/>
            <w:hideMark/>
          </w:tcPr>
          <w:p w:rsidR="00344C8E" w:rsidRPr="004C33D1" w:rsidRDefault="00344C8E" w:rsidP="003508FB">
            <w:pPr>
              <w:pStyle w:val="TableText"/>
              <w:cnfStyle w:val="000000000000" w:firstRow="0" w:lastRow="0" w:firstColumn="0" w:lastColumn="0" w:oddVBand="0" w:evenVBand="0" w:oddHBand="0" w:evenHBand="0" w:firstRowFirstColumn="0" w:firstRowLastColumn="0" w:lastRowFirstColumn="0" w:lastRowLastColumn="0"/>
            </w:pPr>
            <w:r w:rsidRPr="004C33D1">
              <w:t>$269.01</w:t>
            </w:r>
          </w:p>
        </w:tc>
        <w:tc>
          <w:tcPr>
            <w:tcW w:w="924" w:type="pct"/>
            <w:noWrap/>
            <w:vAlign w:val="top"/>
            <w:hideMark/>
          </w:tcPr>
          <w:p w:rsidR="00344C8E" w:rsidRPr="004C33D1" w:rsidRDefault="00344C8E" w:rsidP="003508FB">
            <w:pPr>
              <w:pStyle w:val="TableText"/>
              <w:cnfStyle w:val="000000000000" w:firstRow="0" w:lastRow="0" w:firstColumn="0" w:lastColumn="0" w:oddVBand="0" w:evenVBand="0" w:oddHBand="0" w:evenHBand="0" w:firstRowFirstColumn="0" w:firstRowLastColumn="0" w:lastRowFirstColumn="0" w:lastRowLastColumn="0"/>
            </w:pPr>
            <w:r w:rsidRPr="004C33D1">
              <w:t>$50.73</w:t>
            </w:r>
          </w:p>
        </w:tc>
        <w:tc>
          <w:tcPr>
            <w:tcW w:w="925" w:type="pct"/>
            <w:noWrap/>
            <w:vAlign w:val="top"/>
            <w:hideMark/>
          </w:tcPr>
          <w:p w:rsidR="00344C8E" w:rsidRPr="004C33D1" w:rsidRDefault="00344C8E" w:rsidP="003508FB">
            <w:pPr>
              <w:pStyle w:val="TableText"/>
              <w:cnfStyle w:val="000000000000" w:firstRow="0" w:lastRow="0" w:firstColumn="0" w:lastColumn="0" w:oddVBand="0" w:evenVBand="0" w:oddHBand="0" w:evenHBand="0" w:firstRowFirstColumn="0" w:firstRowLastColumn="0" w:lastRowFirstColumn="0" w:lastRowLastColumn="0"/>
            </w:pPr>
            <w:r w:rsidRPr="004C33D1">
              <w:t>1.23</w:t>
            </w:r>
          </w:p>
        </w:tc>
      </w:tr>
      <w:tr w:rsidR="00344C8E" w:rsidRPr="004C33D1" w:rsidTr="003508FB">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1301" w:type="pct"/>
            <w:noWrap/>
            <w:vAlign w:val="top"/>
            <w:hideMark/>
          </w:tcPr>
          <w:p w:rsidR="00344C8E" w:rsidRPr="004C33D1" w:rsidRDefault="00344C8E" w:rsidP="003508FB">
            <w:pPr>
              <w:pStyle w:val="TableText"/>
            </w:pPr>
            <w:proofErr w:type="spellStart"/>
            <w:r w:rsidRPr="004C33D1">
              <w:t>Te</w:t>
            </w:r>
            <w:proofErr w:type="spellEnd"/>
            <w:r w:rsidRPr="004C33D1">
              <w:t xml:space="preserve"> </w:t>
            </w:r>
            <w:proofErr w:type="spellStart"/>
            <w:r w:rsidRPr="004C33D1">
              <w:t>Atatu</w:t>
            </w:r>
            <w:proofErr w:type="spellEnd"/>
          </w:p>
        </w:tc>
        <w:tc>
          <w:tcPr>
            <w:tcW w:w="924" w:type="pct"/>
            <w:noWrap/>
            <w:vAlign w:val="top"/>
            <w:hideMark/>
          </w:tcPr>
          <w:p w:rsidR="00344C8E" w:rsidRPr="004C33D1" w:rsidRDefault="00344C8E" w:rsidP="003508FB">
            <w:pPr>
              <w:pStyle w:val="TableText"/>
              <w:cnfStyle w:val="000000000000" w:firstRow="0" w:lastRow="0" w:firstColumn="0" w:lastColumn="0" w:oddVBand="0" w:evenVBand="0" w:oddHBand="0" w:evenHBand="0" w:firstRowFirstColumn="0" w:firstRowLastColumn="0" w:lastRowFirstColumn="0" w:lastRowLastColumn="0"/>
            </w:pPr>
            <w:r w:rsidRPr="004C33D1">
              <w:t>$183.68</w:t>
            </w:r>
          </w:p>
        </w:tc>
        <w:tc>
          <w:tcPr>
            <w:tcW w:w="925" w:type="pct"/>
            <w:noWrap/>
            <w:vAlign w:val="top"/>
            <w:hideMark/>
          </w:tcPr>
          <w:p w:rsidR="00344C8E" w:rsidRPr="004C33D1" w:rsidRDefault="00344C8E" w:rsidP="003508FB">
            <w:pPr>
              <w:pStyle w:val="TableText"/>
              <w:cnfStyle w:val="000000000000" w:firstRow="0" w:lastRow="0" w:firstColumn="0" w:lastColumn="0" w:oddVBand="0" w:evenVBand="0" w:oddHBand="0" w:evenHBand="0" w:firstRowFirstColumn="0" w:firstRowLastColumn="0" w:lastRowFirstColumn="0" w:lastRowLastColumn="0"/>
            </w:pPr>
            <w:r w:rsidRPr="004C33D1">
              <w:t>$330.54</w:t>
            </w:r>
          </w:p>
        </w:tc>
        <w:tc>
          <w:tcPr>
            <w:tcW w:w="924" w:type="pct"/>
            <w:noWrap/>
            <w:vAlign w:val="top"/>
            <w:hideMark/>
          </w:tcPr>
          <w:p w:rsidR="00344C8E" w:rsidRPr="004C33D1" w:rsidRDefault="00344C8E" w:rsidP="003508FB">
            <w:pPr>
              <w:pStyle w:val="TableText"/>
              <w:cnfStyle w:val="000000000000" w:firstRow="0" w:lastRow="0" w:firstColumn="0" w:lastColumn="0" w:oddVBand="0" w:evenVBand="0" w:oddHBand="0" w:evenHBand="0" w:firstRowFirstColumn="0" w:firstRowLastColumn="0" w:lastRowFirstColumn="0" w:lastRowLastColumn="0"/>
            </w:pPr>
            <w:r w:rsidRPr="004C33D1">
              <w:t>$146.86</w:t>
            </w:r>
          </w:p>
        </w:tc>
        <w:tc>
          <w:tcPr>
            <w:tcW w:w="925" w:type="pct"/>
            <w:noWrap/>
            <w:vAlign w:val="top"/>
            <w:hideMark/>
          </w:tcPr>
          <w:p w:rsidR="00344C8E" w:rsidRPr="004C33D1" w:rsidRDefault="00344C8E" w:rsidP="003508FB">
            <w:pPr>
              <w:pStyle w:val="TableText"/>
              <w:cnfStyle w:val="000000000000" w:firstRow="0" w:lastRow="0" w:firstColumn="0" w:lastColumn="0" w:oddVBand="0" w:evenVBand="0" w:oddHBand="0" w:evenHBand="0" w:firstRowFirstColumn="0" w:firstRowLastColumn="0" w:lastRowFirstColumn="0" w:lastRowLastColumn="0"/>
            </w:pPr>
            <w:r w:rsidRPr="004C33D1">
              <w:t>1.80</w:t>
            </w:r>
          </w:p>
        </w:tc>
      </w:tr>
      <w:tr w:rsidR="00344C8E" w:rsidRPr="004C33D1" w:rsidTr="003508FB">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1301" w:type="pct"/>
            <w:noWrap/>
            <w:vAlign w:val="top"/>
            <w:hideMark/>
          </w:tcPr>
          <w:p w:rsidR="00344C8E" w:rsidRPr="004C33D1" w:rsidRDefault="00344C8E" w:rsidP="003508FB">
            <w:pPr>
              <w:pStyle w:val="TableText"/>
            </w:pPr>
            <w:r w:rsidRPr="004C33D1">
              <w:t>Lincoln Road</w:t>
            </w:r>
          </w:p>
        </w:tc>
        <w:tc>
          <w:tcPr>
            <w:tcW w:w="924" w:type="pct"/>
            <w:noWrap/>
            <w:vAlign w:val="top"/>
            <w:hideMark/>
          </w:tcPr>
          <w:p w:rsidR="00344C8E" w:rsidRPr="004C33D1" w:rsidRDefault="00344C8E" w:rsidP="003508FB">
            <w:pPr>
              <w:pStyle w:val="TableText"/>
              <w:cnfStyle w:val="000000000000" w:firstRow="0" w:lastRow="0" w:firstColumn="0" w:lastColumn="0" w:oddVBand="0" w:evenVBand="0" w:oddHBand="0" w:evenHBand="0" w:firstRowFirstColumn="0" w:firstRowLastColumn="0" w:lastRowFirstColumn="0" w:lastRowLastColumn="0"/>
            </w:pPr>
            <w:r w:rsidRPr="004C33D1">
              <w:t>$159.23</w:t>
            </w:r>
          </w:p>
        </w:tc>
        <w:tc>
          <w:tcPr>
            <w:tcW w:w="925" w:type="pct"/>
            <w:noWrap/>
            <w:vAlign w:val="top"/>
            <w:hideMark/>
          </w:tcPr>
          <w:p w:rsidR="00344C8E" w:rsidRPr="004C33D1" w:rsidRDefault="00344C8E" w:rsidP="003508FB">
            <w:pPr>
              <w:pStyle w:val="TableText"/>
              <w:cnfStyle w:val="000000000000" w:firstRow="0" w:lastRow="0" w:firstColumn="0" w:lastColumn="0" w:oddVBand="0" w:evenVBand="0" w:oddHBand="0" w:evenHBand="0" w:firstRowFirstColumn="0" w:firstRowLastColumn="0" w:lastRowFirstColumn="0" w:lastRowLastColumn="0"/>
            </w:pPr>
            <w:r w:rsidRPr="004C33D1">
              <w:t>$268.91</w:t>
            </w:r>
          </w:p>
        </w:tc>
        <w:tc>
          <w:tcPr>
            <w:tcW w:w="924" w:type="pct"/>
            <w:noWrap/>
            <w:vAlign w:val="top"/>
            <w:hideMark/>
          </w:tcPr>
          <w:p w:rsidR="00344C8E" w:rsidRPr="004C33D1" w:rsidRDefault="00344C8E" w:rsidP="003508FB">
            <w:pPr>
              <w:pStyle w:val="TableText"/>
              <w:cnfStyle w:val="000000000000" w:firstRow="0" w:lastRow="0" w:firstColumn="0" w:lastColumn="0" w:oddVBand="0" w:evenVBand="0" w:oddHBand="0" w:evenHBand="0" w:firstRowFirstColumn="0" w:firstRowLastColumn="0" w:lastRowFirstColumn="0" w:lastRowLastColumn="0"/>
            </w:pPr>
            <w:r w:rsidRPr="004C33D1">
              <w:t>$109.68</w:t>
            </w:r>
          </w:p>
        </w:tc>
        <w:tc>
          <w:tcPr>
            <w:tcW w:w="925" w:type="pct"/>
            <w:noWrap/>
            <w:vAlign w:val="top"/>
            <w:hideMark/>
          </w:tcPr>
          <w:p w:rsidR="00344C8E" w:rsidRPr="004C33D1" w:rsidRDefault="00344C8E" w:rsidP="003508FB">
            <w:pPr>
              <w:pStyle w:val="TableText"/>
              <w:cnfStyle w:val="000000000000" w:firstRow="0" w:lastRow="0" w:firstColumn="0" w:lastColumn="0" w:oddVBand="0" w:evenVBand="0" w:oddHBand="0" w:evenHBand="0" w:firstRowFirstColumn="0" w:firstRowLastColumn="0" w:lastRowFirstColumn="0" w:lastRowLastColumn="0"/>
            </w:pPr>
            <w:r w:rsidRPr="004C33D1">
              <w:t>1.69</w:t>
            </w:r>
          </w:p>
        </w:tc>
      </w:tr>
      <w:tr w:rsidR="00344C8E" w:rsidRPr="004C33D1" w:rsidTr="003508FB">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1301" w:type="pct"/>
            <w:noWrap/>
            <w:vAlign w:val="top"/>
            <w:hideMark/>
          </w:tcPr>
          <w:p w:rsidR="00344C8E" w:rsidRPr="004C33D1" w:rsidRDefault="00344C8E" w:rsidP="003508FB">
            <w:pPr>
              <w:pStyle w:val="TableText"/>
            </w:pPr>
            <w:r w:rsidRPr="004C33D1">
              <w:t>Wairau</w:t>
            </w:r>
          </w:p>
        </w:tc>
        <w:tc>
          <w:tcPr>
            <w:tcW w:w="924" w:type="pct"/>
            <w:noWrap/>
            <w:vAlign w:val="top"/>
            <w:hideMark/>
          </w:tcPr>
          <w:p w:rsidR="00344C8E" w:rsidRPr="004C33D1" w:rsidRDefault="00344C8E" w:rsidP="003508FB">
            <w:pPr>
              <w:pStyle w:val="TableText"/>
              <w:cnfStyle w:val="000000000000" w:firstRow="0" w:lastRow="0" w:firstColumn="0" w:lastColumn="0" w:oddVBand="0" w:evenVBand="0" w:oddHBand="0" w:evenHBand="0" w:firstRowFirstColumn="0" w:firstRowLastColumn="0" w:lastRowFirstColumn="0" w:lastRowLastColumn="0"/>
            </w:pPr>
            <w:r w:rsidRPr="004C33D1">
              <w:t>$202.01</w:t>
            </w:r>
          </w:p>
        </w:tc>
        <w:tc>
          <w:tcPr>
            <w:tcW w:w="925" w:type="pct"/>
            <w:noWrap/>
            <w:vAlign w:val="top"/>
            <w:hideMark/>
          </w:tcPr>
          <w:p w:rsidR="00344C8E" w:rsidRPr="004C33D1" w:rsidRDefault="00344C8E" w:rsidP="003508FB">
            <w:pPr>
              <w:pStyle w:val="TableText"/>
              <w:cnfStyle w:val="000000000000" w:firstRow="0" w:lastRow="0" w:firstColumn="0" w:lastColumn="0" w:oddVBand="0" w:evenVBand="0" w:oddHBand="0" w:evenHBand="0" w:firstRowFirstColumn="0" w:firstRowLastColumn="0" w:lastRowFirstColumn="0" w:lastRowLastColumn="0"/>
            </w:pPr>
            <w:r w:rsidRPr="004C33D1">
              <w:t>$294.08</w:t>
            </w:r>
          </w:p>
        </w:tc>
        <w:tc>
          <w:tcPr>
            <w:tcW w:w="924" w:type="pct"/>
            <w:noWrap/>
            <w:vAlign w:val="top"/>
            <w:hideMark/>
          </w:tcPr>
          <w:p w:rsidR="00344C8E" w:rsidRPr="004C33D1" w:rsidRDefault="00344C8E" w:rsidP="003508FB">
            <w:pPr>
              <w:pStyle w:val="TableText"/>
              <w:cnfStyle w:val="000000000000" w:firstRow="0" w:lastRow="0" w:firstColumn="0" w:lastColumn="0" w:oddVBand="0" w:evenVBand="0" w:oddHBand="0" w:evenHBand="0" w:firstRowFirstColumn="0" w:firstRowLastColumn="0" w:lastRowFirstColumn="0" w:lastRowLastColumn="0"/>
            </w:pPr>
            <w:r w:rsidRPr="004C33D1">
              <w:t>$92.07</w:t>
            </w:r>
          </w:p>
        </w:tc>
        <w:tc>
          <w:tcPr>
            <w:tcW w:w="925" w:type="pct"/>
            <w:noWrap/>
            <w:vAlign w:val="top"/>
            <w:hideMark/>
          </w:tcPr>
          <w:p w:rsidR="00344C8E" w:rsidRPr="004C33D1" w:rsidRDefault="00344C8E" w:rsidP="003508FB">
            <w:pPr>
              <w:pStyle w:val="TableText"/>
              <w:cnfStyle w:val="000000000000" w:firstRow="0" w:lastRow="0" w:firstColumn="0" w:lastColumn="0" w:oddVBand="0" w:evenVBand="0" w:oddHBand="0" w:evenHBand="0" w:firstRowFirstColumn="0" w:firstRowLastColumn="0" w:lastRowFirstColumn="0" w:lastRowLastColumn="0"/>
            </w:pPr>
            <w:r w:rsidRPr="004C33D1">
              <w:t>1.46</w:t>
            </w:r>
          </w:p>
        </w:tc>
      </w:tr>
      <w:tr w:rsidR="00344C8E" w:rsidRPr="004C33D1" w:rsidTr="003508FB">
        <w:tblPrEx>
          <w:tblCellMar>
            <w:top w:w="0" w:type="dxa"/>
            <w:left w:w="0" w:type="dxa"/>
            <w:bottom w:w="0" w:type="dxa"/>
            <w:right w:w="0" w:type="dxa"/>
          </w:tblCellMar>
        </w:tblPrEx>
        <w:trPr>
          <w:cnfStyle w:val="010000000000" w:firstRow="0" w:lastRow="1" w:firstColumn="0" w:lastColumn="0" w:oddVBand="0" w:evenVBand="0" w:oddHBand="0" w:evenHBand="0" w:firstRowFirstColumn="0" w:firstRowLastColumn="0" w:lastRowFirstColumn="0" w:lastRowLastColumn="0"/>
          <w:trHeight w:val="320"/>
        </w:trPr>
        <w:tc>
          <w:tcPr>
            <w:cnfStyle w:val="001000000001" w:firstRow="0" w:lastRow="0" w:firstColumn="1" w:lastColumn="0" w:oddVBand="0" w:evenVBand="0" w:oddHBand="0" w:evenHBand="0" w:firstRowFirstColumn="0" w:firstRowLastColumn="0" w:lastRowFirstColumn="1" w:lastRowLastColumn="0"/>
            <w:tcW w:w="1301" w:type="pct"/>
            <w:noWrap/>
            <w:vAlign w:val="top"/>
            <w:hideMark/>
          </w:tcPr>
          <w:p w:rsidR="00344C8E" w:rsidRPr="004C33D1" w:rsidRDefault="00344C8E" w:rsidP="003508FB">
            <w:pPr>
              <w:pStyle w:val="TableText"/>
            </w:pPr>
            <w:r w:rsidRPr="004C33D1">
              <w:t>Albany-Rosedale</w:t>
            </w:r>
          </w:p>
        </w:tc>
        <w:tc>
          <w:tcPr>
            <w:tcW w:w="924" w:type="pct"/>
            <w:noWrap/>
            <w:vAlign w:val="top"/>
            <w:hideMark/>
          </w:tcPr>
          <w:p w:rsidR="00344C8E" w:rsidRPr="004C33D1" w:rsidRDefault="00344C8E" w:rsidP="003508FB">
            <w:pPr>
              <w:pStyle w:val="TableText"/>
              <w:cnfStyle w:val="010000000000" w:firstRow="0" w:lastRow="1" w:firstColumn="0" w:lastColumn="0" w:oddVBand="0" w:evenVBand="0" w:oddHBand="0" w:evenHBand="0" w:firstRowFirstColumn="0" w:firstRowLastColumn="0" w:lastRowFirstColumn="0" w:lastRowLastColumn="0"/>
            </w:pPr>
            <w:r w:rsidRPr="004C33D1">
              <w:t>$103.31</w:t>
            </w:r>
          </w:p>
        </w:tc>
        <w:tc>
          <w:tcPr>
            <w:tcW w:w="925" w:type="pct"/>
            <w:noWrap/>
            <w:vAlign w:val="top"/>
            <w:hideMark/>
          </w:tcPr>
          <w:p w:rsidR="00344C8E" w:rsidRPr="004C33D1" w:rsidRDefault="00344C8E" w:rsidP="003508FB">
            <w:pPr>
              <w:pStyle w:val="TableText"/>
              <w:cnfStyle w:val="010000000000" w:firstRow="0" w:lastRow="1" w:firstColumn="0" w:lastColumn="0" w:oddVBand="0" w:evenVBand="0" w:oddHBand="0" w:evenHBand="0" w:firstRowFirstColumn="0" w:firstRowLastColumn="0" w:lastRowFirstColumn="0" w:lastRowLastColumn="0"/>
            </w:pPr>
            <w:r w:rsidRPr="004C33D1">
              <w:t>$327.91</w:t>
            </w:r>
          </w:p>
        </w:tc>
        <w:tc>
          <w:tcPr>
            <w:tcW w:w="924" w:type="pct"/>
            <w:noWrap/>
            <w:vAlign w:val="top"/>
            <w:hideMark/>
          </w:tcPr>
          <w:p w:rsidR="00344C8E" w:rsidRPr="004C33D1" w:rsidRDefault="00344C8E" w:rsidP="003508FB">
            <w:pPr>
              <w:pStyle w:val="TableText"/>
              <w:cnfStyle w:val="010000000000" w:firstRow="0" w:lastRow="1" w:firstColumn="0" w:lastColumn="0" w:oddVBand="0" w:evenVBand="0" w:oddHBand="0" w:evenHBand="0" w:firstRowFirstColumn="0" w:firstRowLastColumn="0" w:lastRowFirstColumn="0" w:lastRowLastColumn="0"/>
            </w:pPr>
            <w:r w:rsidRPr="004C33D1">
              <w:t>$224.59</w:t>
            </w:r>
          </w:p>
        </w:tc>
        <w:tc>
          <w:tcPr>
            <w:tcW w:w="925" w:type="pct"/>
            <w:noWrap/>
            <w:vAlign w:val="top"/>
            <w:hideMark/>
          </w:tcPr>
          <w:p w:rsidR="00344C8E" w:rsidRPr="004C33D1" w:rsidRDefault="00344C8E" w:rsidP="003508FB">
            <w:pPr>
              <w:pStyle w:val="TableText"/>
              <w:cnfStyle w:val="010000000000" w:firstRow="0" w:lastRow="1" w:firstColumn="0" w:lastColumn="0" w:oddVBand="0" w:evenVBand="0" w:oddHBand="0" w:evenHBand="0" w:firstRowFirstColumn="0" w:firstRowLastColumn="0" w:lastRowFirstColumn="0" w:lastRowLastColumn="0"/>
            </w:pPr>
            <w:r w:rsidRPr="004C33D1">
              <w:t>3.17</w:t>
            </w:r>
          </w:p>
        </w:tc>
      </w:tr>
    </w:tbl>
    <w:p w:rsidR="00344C8E" w:rsidRPr="004C33D1" w:rsidRDefault="00344C8E" w:rsidP="00344C8E"/>
    <w:p w:rsidR="00344C8E" w:rsidRPr="004C33D1" w:rsidRDefault="00344C8E" w:rsidP="00344C8E">
      <w:r w:rsidRPr="004C33D1">
        <w:t xml:space="preserve">A significant challenge in assessing the existence and magnitude of land price discontinuities around industrial zone boundaries </w:t>
      </w:r>
      <w:proofErr w:type="gramStart"/>
      <w:r w:rsidRPr="004C33D1">
        <w:t>is understanding</w:t>
      </w:r>
      <w:proofErr w:type="gramEnd"/>
      <w:r w:rsidRPr="004C33D1">
        <w:t xml:space="preserve"> the impact of localised negative externalities arising from industrial activities. The charts above indicate that average residential land prices fall with increased proximity to industrial zones.</w:t>
      </w:r>
    </w:p>
    <w:p w:rsidR="00344C8E" w:rsidRPr="004C33D1" w:rsidRDefault="00344C8E" w:rsidP="00344C8E"/>
    <w:p w:rsidR="00344C8E" w:rsidRPr="004C33D1" w:rsidRDefault="00344C8E" w:rsidP="00344C8E">
      <w:r w:rsidRPr="004C33D1">
        <w:t>If this is due to negative external effects arising from activities taking place in the industrial zone, then a comparison of land values immediately inside and outside the boundary will under-state the magnitude of the price discontinuity. However, if it is due to other land uses that are adjacent to the industrial zone, such as major roads, then this will be a more accurate reflection of the discontinuity. Assessing which is the case requires a degree of local knowledge.</w:t>
      </w:r>
    </w:p>
    <w:p w:rsidR="00344C8E" w:rsidRPr="004C33D1" w:rsidRDefault="00344C8E" w:rsidP="00344C8E"/>
    <w:p w:rsidR="00344C8E" w:rsidRPr="004C33D1" w:rsidRDefault="00344C8E" w:rsidP="00344C8E">
      <w:pPr>
        <w:spacing w:line="240" w:lineRule="auto"/>
      </w:pPr>
    </w:p>
    <w:p w:rsidR="00344C8E" w:rsidRPr="004C33D1" w:rsidRDefault="00344C8E" w:rsidP="00344C8E">
      <w:pPr>
        <w:spacing w:line="240" w:lineRule="auto"/>
      </w:pPr>
      <w:r w:rsidRPr="004C33D1">
        <w:br w:type="page"/>
      </w:r>
    </w:p>
    <w:p w:rsidR="00344C8E" w:rsidRPr="004C33D1" w:rsidRDefault="00344C8E" w:rsidP="003C255B">
      <w:pPr>
        <w:pStyle w:val="Annex1"/>
      </w:pPr>
      <w:bookmarkStart w:id="412" w:name="_Toc458179037"/>
      <w:bookmarkStart w:id="413" w:name="_Toc458464592"/>
      <w:bookmarkStart w:id="414" w:name="_Toc458489813"/>
      <w:bookmarkStart w:id="415" w:name="_Toc462413668"/>
      <w:bookmarkStart w:id="416" w:name="_Toc462582248"/>
      <w:r w:rsidRPr="004C33D1">
        <w:lastRenderedPageBreak/>
        <w:t>Section price discontinuities arising from minimum lot sizes / density controls</w:t>
      </w:r>
      <w:bookmarkEnd w:id="412"/>
      <w:bookmarkEnd w:id="413"/>
      <w:bookmarkEnd w:id="414"/>
      <w:bookmarkEnd w:id="415"/>
      <w:bookmarkEnd w:id="416"/>
    </w:p>
    <w:p w:rsidR="00344C8E" w:rsidRPr="004C33D1" w:rsidRDefault="00344C8E" w:rsidP="004A5A2D">
      <w:pPr>
        <w:pStyle w:val="Annex2"/>
      </w:pPr>
      <w:bookmarkStart w:id="417" w:name="_Toc456624665"/>
      <w:bookmarkStart w:id="418" w:name="_Toc457985380"/>
      <w:bookmarkStart w:id="419" w:name="_Toc457988526"/>
      <w:bookmarkStart w:id="420" w:name="_Toc458160021"/>
      <w:bookmarkStart w:id="421" w:name="_Toc462582249"/>
      <w:r w:rsidRPr="004C33D1">
        <w:t>Description</w:t>
      </w:r>
      <w:bookmarkEnd w:id="417"/>
      <w:bookmarkEnd w:id="418"/>
      <w:bookmarkEnd w:id="419"/>
      <w:bookmarkEnd w:id="420"/>
      <w:bookmarkEnd w:id="421"/>
    </w:p>
    <w:p w:rsidR="00344C8E" w:rsidRPr="004C33D1" w:rsidRDefault="00344C8E" w:rsidP="00344C8E">
      <w:r w:rsidRPr="004C33D1">
        <w:t>The difference in property sale prices for comparable residential lots that can be subdivided or intensified to different extents, either due to variations in residential zoning or minimum lot size rules that allow some sites to be subdivided, while other sites that are slightly smaller cannot be subdivided.</w:t>
      </w:r>
    </w:p>
    <w:p w:rsidR="00344C8E" w:rsidRPr="004C33D1" w:rsidRDefault="00344C8E" w:rsidP="004A5A2D">
      <w:pPr>
        <w:pStyle w:val="Annex2"/>
      </w:pPr>
      <w:bookmarkStart w:id="422" w:name="_Toc456624666"/>
      <w:bookmarkStart w:id="423" w:name="_Toc457985381"/>
      <w:bookmarkStart w:id="424" w:name="_Toc457988527"/>
      <w:bookmarkStart w:id="425" w:name="_Toc458160022"/>
      <w:bookmarkStart w:id="426" w:name="_Toc462582250"/>
      <w:r w:rsidRPr="004C33D1">
        <w:t>Interpretation</w:t>
      </w:r>
      <w:bookmarkEnd w:id="422"/>
      <w:bookmarkEnd w:id="423"/>
      <w:bookmarkEnd w:id="424"/>
      <w:bookmarkEnd w:id="425"/>
      <w:bookmarkEnd w:id="426"/>
    </w:p>
    <w:p w:rsidR="00344C8E" w:rsidRPr="004C33D1" w:rsidRDefault="00344C8E" w:rsidP="00344C8E">
      <w:r w:rsidRPr="004C33D1">
        <w:t xml:space="preserve">This indicator measures whether urban planning policies result in an artificial scarcity of development </w:t>
      </w:r>
      <w:r w:rsidR="002E72D4">
        <w:t>opportunities</w:t>
      </w:r>
      <w:r w:rsidRPr="004C33D1">
        <w:t xml:space="preserve"> for higher-density residential dwellings. It </w:t>
      </w:r>
      <w:proofErr w:type="gramStart"/>
      <w:r w:rsidRPr="004C33D1">
        <w:t>can be measured</w:t>
      </w:r>
      <w:proofErr w:type="gramEnd"/>
      <w:r w:rsidRPr="004C33D1">
        <w:t xml:space="preserve">: </w:t>
      </w:r>
    </w:p>
    <w:p w:rsidR="00344C8E" w:rsidRPr="004C33D1" w:rsidRDefault="00344C8E" w:rsidP="00344C8E"/>
    <w:p w:rsidR="00344C8E" w:rsidRPr="004C33D1" w:rsidRDefault="00344C8E" w:rsidP="00411653">
      <w:pPr>
        <w:pStyle w:val="ListParagraph"/>
        <w:numPr>
          <w:ilvl w:val="0"/>
          <w:numId w:val="52"/>
        </w:numPr>
        <w:spacing w:after="200" w:line="276" w:lineRule="auto"/>
      </w:pPr>
      <w:r w:rsidRPr="004C33D1">
        <w:t>between different types of residential zones, or between residential properties of different sizes within one residential zone; and</w:t>
      </w:r>
    </w:p>
    <w:p w:rsidR="00344C8E" w:rsidRPr="004C33D1" w:rsidRDefault="00344C8E" w:rsidP="00411653">
      <w:pPr>
        <w:pStyle w:val="ListParagraph"/>
        <w:numPr>
          <w:ilvl w:val="0"/>
          <w:numId w:val="52"/>
        </w:numPr>
        <w:spacing w:after="200" w:line="276" w:lineRule="auto"/>
      </w:pPr>
      <w:proofErr w:type="gramStart"/>
      <w:r w:rsidRPr="004C33D1">
        <w:t>over</w:t>
      </w:r>
      <w:proofErr w:type="gramEnd"/>
      <w:r w:rsidRPr="004C33D1">
        <w:t xml:space="preserve"> time, eg to estimate if development is keeping up with growing demand or falling behind demand. </w:t>
      </w:r>
    </w:p>
    <w:p w:rsidR="00344C8E" w:rsidRPr="004C33D1" w:rsidRDefault="00344C8E" w:rsidP="00344C8E">
      <w:r w:rsidRPr="004C33D1">
        <w:t xml:space="preserve">In principle, price discontinuities between comparable residential properties with different potential for subdivision or intensification can result from both limits on the supply of land for particular purposes </w:t>
      </w:r>
      <w:r w:rsidRPr="004C33D1">
        <w:rPr>
          <w:i/>
        </w:rPr>
        <w:t>and</w:t>
      </w:r>
      <w:r w:rsidRPr="004C33D1">
        <w:t xml:space="preserve"> limits on more intensive development within the city. Interpreting this measure can be challenging, as it requires contextual information on:</w:t>
      </w:r>
    </w:p>
    <w:p w:rsidR="00344C8E" w:rsidRPr="004C33D1" w:rsidRDefault="00344C8E" w:rsidP="00344C8E"/>
    <w:p w:rsidR="00344C8E" w:rsidRPr="004C33D1" w:rsidRDefault="00344C8E" w:rsidP="00411653">
      <w:pPr>
        <w:pStyle w:val="ListParagraph"/>
        <w:numPr>
          <w:ilvl w:val="0"/>
          <w:numId w:val="53"/>
        </w:numPr>
        <w:spacing w:after="200" w:line="276" w:lineRule="auto"/>
      </w:pPr>
      <w:r w:rsidRPr="004C33D1">
        <w:t>Infrastructure costs associated with subdividing or intensifying sites, such as development contributions levied on new lots</w:t>
      </w:r>
    </w:p>
    <w:p w:rsidR="00344C8E" w:rsidRPr="004C33D1" w:rsidRDefault="00344C8E" w:rsidP="00411653">
      <w:pPr>
        <w:pStyle w:val="ListParagraph"/>
        <w:numPr>
          <w:ilvl w:val="0"/>
          <w:numId w:val="53"/>
        </w:numPr>
        <w:spacing w:after="200" w:line="276" w:lineRule="auto"/>
      </w:pPr>
      <w:r w:rsidRPr="004C33D1">
        <w:t>Externalities associated with different residential development forms, if any</w:t>
      </w:r>
    </w:p>
    <w:p w:rsidR="00344C8E" w:rsidRPr="004C33D1" w:rsidRDefault="00344C8E" w:rsidP="00411653">
      <w:pPr>
        <w:pStyle w:val="ListParagraph"/>
        <w:numPr>
          <w:ilvl w:val="0"/>
          <w:numId w:val="53"/>
        </w:numPr>
        <w:spacing w:after="200" w:line="276" w:lineRule="auto"/>
      </w:pPr>
      <w:r w:rsidRPr="004C33D1">
        <w:t xml:space="preserve">Other non-regulatory constraints, such as </w:t>
      </w:r>
      <w:proofErr w:type="gramStart"/>
      <w:r w:rsidRPr="004C33D1">
        <w:t>land-banking</w:t>
      </w:r>
      <w:proofErr w:type="gramEnd"/>
      <w:r w:rsidRPr="004C33D1">
        <w:t xml:space="preserve"> by major property owners, which may result in an artificial scarcity that cannot be attributed to urban planning rules alone.</w:t>
      </w:r>
    </w:p>
    <w:p w:rsidR="00344C8E" w:rsidRPr="004C33D1" w:rsidRDefault="00344C8E" w:rsidP="004A5A2D">
      <w:pPr>
        <w:pStyle w:val="Annex2"/>
      </w:pPr>
      <w:bookmarkStart w:id="427" w:name="_Toc456624667"/>
      <w:bookmarkStart w:id="428" w:name="_Toc457985382"/>
      <w:bookmarkStart w:id="429" w:name="_Toc457988528"/>
      <w:bookmarkStart w:id="430" w:name="_Toc458160023"/>
      <w:bookmarkStart w:id="431" w:name="_Toc462582251"/>
      <w:r w:rsidRPr="004C33D1">
        <w:t>Data availability</w:t>
      </w:r>
      <w:bookmarkEnd w:id="427"/>
      <w:bookmarkEnd w:id="428"/>
      <w:bookmarkEnd w:id="429"/>
      <w:bookmarkEnd w:id="430"/>
      <w:bookmarkEnd w:id="431"/>
    </w:p>
    <w:p w:rsidR="00344C8E" w:rsidRPr="004C33D1" w:rsidRDefault="00344C8E" w:rsidP="00344C8E">
      <w:r w:rsidRPr="004C33D1">
        <w:t xml:space="preserve">Calculating this measure requires information on residential property sales (and in particular sales of standalone houses without cross-lease arrangements) and district plan zoning maps, as well as GIS analysis of property parcel locations. This data </w:t>
      </w:r>
      <w:proofErr w:type="gramStart"/>
      <w:r w:rsidRPr="004C33D1">
        <w:t>is briefly described</w:t>
      </w:r>
      <w:proofErr w:type="gramEnd"/>
      <w:r w:rsidRPr="004C33D1">
        <w:t xml:space="preserve"> in</w:t>
      </w:r>
      <w:r w:rsidR="006C2EC4" w:rsidRPr="004C33D1">
        <w:t xml:space="preserve"> </w:t>
      </w:r>
      <w:r w:rsidR="006C2EC4" w:rsidRPr="004C33D1">
        <w:fldChar w:fldCharType="begin"/>
      </w:r>
      <w:r w:rsidR="006C2EC4" w:rsidRPr="004C33D1">
        <w:instrText xml:space="preserve"> REF _Ref456685359 \h </w:instrText>
      </w:r>
      <w:r w:rsidR="006C2EC4" w:rsidRPr="004C33D1">
        <w:fldChar w:fldCharType="separate"/>
      </w:r>
      <w:r w:rsidR="004D1DDA" w:rsidRPr="004C33D1">
        <w:t xml:space="preserve">Table </w:t>
      </w:r>
      <w:r w:rsidR="004D1DDA">
        <w:rPr>
          <w:noProof/>
        </w:rPr>
        <w:t>24</w:t>
      </w:r>
      <w:r w:rsidR="006C2EC4" w:rsidRPr="004C33D1">
        <w:fldChar w:fldCharType="end"/>
      </w:r>
      <w:r w:rsidRPr="004C33D1">
        <w:t>.</w:t>
      </w:r>
    </w:p>
    <w:p w:rsidR="00344C8E" w:rsidRPr="004C33D1" w:rsidRDefault="00344C8E" w:rsidP="00344C8E"/>
    <w:p w:rsidR="00344C8E" w:rsidRPr="004C33D1" w:rsidRDefault="00344C8E" w:rsidP="00344C8E">
      <w:r w:rsidRPr="004C33D1">
        <w:t>Property sales data is available on an annual basis. Other data on the location of properties inside or outside the urban boundary can be estimated using GIS analysis of zoning maps.</w:t>
      </w:r>
    </w:p>
    <w:p w:rsidR="00344C8E" w:rsidRPr="004C33D1" w:rsidRDefault="00344C8E" w:rsidP="00344C8E"/>
    <w:p w:rsidR="00344C8E" w:rsidRPr="004C33D1" w:rsidRDefault="00344C8E" w:rsidP="00344C8E">
      <w:r w:rsidRPr="004C33D1">
        <w:t>In addition, econometric analysis (eg spatial regression models or propensity score matching) is required in order to estimate the magnitude of discontinuities in prices for comparable dwellings with different residential zoning or subdivision potential.</w:t>
      </w:r>
    </w:p>
    <w:p w:rsidR="00344C8E" w:rsidRPr="004C33D1" w:rsidRDefault="00344C8E" w:rsidP="00E02811">
      <w:pPr>
        <w:pStyle w:val="Caption"/>
      </w:pPr>
      <w:bookmarkStart w:id="432" w:name="_Ref456685359"/>
      <w:r w:rsidRPr="004C33D1">
        <w:lastRenderedPageBreak/>
        <w:t xml:space="preserve">Table </w:t>
      </w:r>
      <w:r w:rsidRPr="004C33D1">
        <w:fldChar w:fldCharType="begin"/>
      </w:r>
      <w:r w:rsidRPr="004C33D1">
        <w:instrText xml:space="preserve"> SEQ Table \* ARABIC </w:instrText>
      </w:r>
      <w:r w:rsidRPr="004C33D1">
        <w:fldChar w:fldCharType="separate"/>
      </w:r>
      <w:r w:rsidR="004D1DDA">
        <w:rPr>
          <w:noProof/>
        </w:rPr>
        <w:t>24</w:t>
      </w:r>
      <w:r w:rsidRPr="004C33D1">
        <w:fldChar w:fldCharType="end"/>
      </w:r>
      <w:bookmarkEnd w:id="432"/>
      <w:r w:rsidRPr="004C33D1">
        <w:t xml:space="preserve"> Data sources</w:t>
      </w:r>
    </w:p>
    <w:tbl>
      <w:tblPr>
        <w:tblStyle w:val="CovecTables"/>
        <w:tblW w:w="4984" w:type="pct"/>
        <w:tblInd w:w="0" w:type="dxa"/>
        <w:tblBorders>
          <w:bottom w:val="single" w:sz="12" w:space="0" w:color="A6A6A6" w:themeColor="background1" w:themeShade="A6"/>
          <w:insideH w:val="single" w:sz="8" w:space="0" w:color="A6A6A6" w:themeColor="background1" w:themeShade="A6"/>
        </w:tblBorders>
        <w:tblLook w:val="04E0" w:firstRow="1" w:lastRow="1" w:firstColumn="1" w:lastColumn="0" w:noHBand="0" w:noVBand="1"/>
      </w:tblPr>
      <w:tblGrid>
        <w:gridCol w:w="2142"/>
        <w:gridCol w:w="1549"/>
        <w:gridCol w:w="4504"/>
      </w:tblGrid>
      <w:tr w:rsidR="00344C8E" w:rsidRPr="004C33D1" w:rsidTr="003508FB">
        <w:trPr>
          <w:cnfStyle w:val="100000000000" w:firstRow="1" w:lastRow="0" w:firstColumn="0" w:lastColumn="0" w:oddVBand="0" w:evenVBand="0" w:oddHBand="0" w:evenHBand="0" w:firstRowFirstColumn="0" w:firstRowLastColumn="0" w:lastRowFirstColumn="0" w:lastRowLastColumn="0"/>
          <w:trHeight w:val="256"/>
        </w:trPr>
        <w:tc>
          <w:tcPr>
            <w:cnfStyle w:val="001000000100" w:firstRow="0" w:lastRow="0" w:firstColumn="1" w:lastColumn="0" w:oddVBand="0" w:evenVBand="0" w:oddHBand="0" w:evenHBand="0" w:firstRowFirstColumn="1" w:firstRowLastColumn="0" w:lastRowFirstColumn="0" w:lastRowLastColumn="0"/>
            <w:tcW w:w="1307" w:type="pct"/>
          </w:tcPr>
          <w:p w:rsidR="00344C8E" w:rsidRPr="004C33D1" w:rsidRDefault="00344C8E" w:rsidP="003508FB">
            <w:pPr>
              <w:pStyle w:val="TableText"/>
            </w:pPr>
            <w:r w:rsidRPr="004C33D1">
              <w:t>Data</w:t>
            </w:r>
          </w:p>
        </w:tc>
        <w:tc>
          <w:tcPr>
            <w:tcW w:w="945" w:type="pct"/>
          </w:tcPr>
          <w:p w:rsidR="00344C8E" w:rsidRPr="004C33D1" w:rsidRDefault="00344C8E" w:rsidP="003508FB">
            <w:pPr>
              <w:pStyle w:val="TableText"/>
              <w:jc w:val="left"/>
              <w:cnfStyle w:val="100000000000" w:firstRow="1" w:lastRow="0" w:firstColumn="0" w:lastColumn="0" w:oddVBand="0" w:evenVBand="0" w:oddHBand="0" w:evenHBand="0" w:firstRowFirstColumn="0" w:firstRowLastColumn="0" w:lastRowFirstColumn="0" w:lastRowLastColumn="0"/>
            </w:pPr>
            <w:r w:rsidRPr="004C33D1">
              <w:t>Source</w:t>
            </w:r>
          </w:p>
        </w:tc>
        <w:tc>
          <w:tcPr>
            <w:tcW w:w="2748" w:type="pct"/>
          </w:tcPr>
          <w:p w:rsidR="00344C8E" w:rsidRPr="004C33D1" w:rsidRDefault="00344C8E" w:rsidP="003508FB">
            <w:pPr>
              <w:pStyle w:val="TableText"/>
              <w:jc w:val="left"/>
              <w:cnfStyle w:val="100000000000" w:firstRow="1" w:lastRow="0" w:firstColumn="0" w:lastColumn="0" w:oddVBand="0" w:evenVBand="0" w:oddHBand="0" w:evenHBand="0" w:firstRowFirstColumn="0" w:firstRowLastColumn="0" w:lastRowFirstColumn="0" w:lastRowLastColumn="0"/>
            </w:pPr>
            <w:r w:rsidRPr="004C33D1">
              <w:t>Location</w:t>
            </w:r>
          </w:p>
        </w:tc>
      </w:tr>
      <w:tr w:rsidR="00713DC4" w:rsidRPr="004C33D1" w:rsidTr="00713DC4">
        <w:tblPrEx>
          <w:tblCellMar>
            <w:top w:w="0" w:type="dxa"/>
            <w:left w:w="0" w:type="dxa"/>
            <w:bottom w:w="0" w:type="dxa"/>
            <w:right w:w="0" w:type="dxa"/>
          </w:tblCellMar>
        </w:tblPrEx>
        <w:trPr>
          <w:trHeight w:val="245"/>
        </w:trPr>
        <w:tc>
          <w:tcPr>
            <w:cnfStyle w:val="001000000000" w:firstRow="0" w:lastRow="0" w:firstColumn="1" w:lastColumn="0" w:oddVBand="0" w:evenVBand="0" w:oddHBand="0" w:evenHBand="0" w:firstRowFirstColumn="0" w:firstRowLastColumn="0" w:lastRowFirstColumn="0" w:lastRowLastColumn="0"/>
            <w:tcW w:w="1307" w:type="pct"/>
            <w:vAlign w:val="top"/>
          </w:tcPr>
          <w:p w:rsidR="00713DC4" w:rsidRPr="004C33D1" w:rsidRDefault="00713DC4" w:rsidP="00713DC4">
            <w:pPr>
              <w:pStyle w:val="TableText"/>
              <w:jc w:val="both"/>
            </w:pPr>
            <w:r w:rsidRPr="004C33D1">
              <w:t>Residential property sales</w:t>
            </w:r>
          </w:p>
        </w:tc>
        <w:tc>
          <w:tcPr>
            <w:tcW w:w="945" w:type="pct"/>
            <w:vAlign w:val="top"/>
          </w:tcPr>
          <w:p w:rsidR="00713DC4" w:rsidRPr="004C33D1" w:rsidRDefault="00713DC4" w:rsidP="00713DC4">
            <w:pPr>
              <w:pStyle w:val="TableText"/>
              <w:jc w:val="both"/>
              <w:cnfStyle w:val="000000000000" w:firstRow="0" w:lastRow="0" w:firstColumn="0" w:lastColumn="0" w:oddVBand="0" w:evenVBand="0" w:oddHBand="0" w:evenHBand="0" w:firstRowFirstColumn="0" w:firstRowLastColumn="0" w:lastRowFirstColumn="0" w:lastRowLastColumn="0"/>
            </w:pPr>
            <w:r w:rsidRPr="004C33D1">
              <w:t xml:space="preserve">TLAs / </w:t>
            </w:r>
            <w:proofErr w:type="spellStart"/>
            <w:r w:rsidRPr="004C33D1">
              <w:t>Corelogic</w:t>
            </w:r>
            <w:proofErr w:type="spellEnd"/>
          </w:p>
        </w:tc>
        <w:tc>
          <w:tcPr>
            <w:tcW w:w="2748" w:type="pct"/>
            <w:vAlign w:val="top"/>
          </w:tcPr>
          <w:p w:rsidR="00713DC4" w:rsidRPr="004C33D1" w:rsidRDefault="00713DC4" w:rsidP="00713DC4">
            <w:pPr>
              <w:pStyle w:val="TableText"/>
              <w:jc w:val="both"/>
              <w:cnfStyle w:val="000000000000" w:firstRow="0" w:lastRow="0" w:firstColumn="0" w:lastColumn="0" w:oddVBand="0" w:evenVBand="0" w:oddHBand="0" w:evenHBand="0" w:firstRowFirstColumn="0" w:firstRowLastColumn="0" w:lastRowFirstColumn="0" w:lastRowLastColumn="0"/>
              <w:rPr>
                <w:i/>
              </w:rPr>
            </w:pPr>
            <w:r>
              <w:t>CoreLogic and councils; MBIE has purchased CoreLogic valuation data for residential properties</w:t>
            </w:r>
          </w:p>
        </w:tc>
      </w:tr>
      <w:tr w:rsidR="00713DC4" w:rsidRPr="004C33D1" w:rsidTr="00713DC4">
        <w:tblPrEx>
          <w:tblCellMar>
            <w:top w:w="0" w:type="dxa"/>
            <w:left w:w="0" w:type="dxa"/>
            <w:bottom w:w="0" w:type="dxa"/>
            <w:right w:w="0" w:type="dxa"/>
          </w:tblCellMar>
        </w:tblPrEx>
        <w:trPr>
          <w:trHeight w:val="256"/>
        </w:trPr>
        <w:tc>
          <w:tcPr>
            <w:cnfStyle w:val="001000000000" w:firstRow="0" w:lastRow="0" w:firstColumn="1" w:lastColumn="0" w:oddVBand="0" w:evenVBand="0" w:oddHBand="0" w:evenHBand="0" w:firstRowFirstColumn="0" w:firstRowLastColumn="0" w:lastRowFirstColumn="0" w:lastRowLastColumn="0"/>
            <w:tcW w:w="1307" w:type="pct"/>
            <w:vAlign w:val="top"/>
          </w:tcPr>
          <w:p w:rsidR="00713DC4" w:rsidRPr="004C33D1" w:rsidRDefault="00713DC4" w:rsidP="00713DC4">
            <w:pPr>
              <w:pStyle w:val="TableText"/>
              <w:jc w:val="both"/>
            </w:pPr>
            <w:r w:rsidRPr="004C33D1">
              <w:t>District plan zoning maps</w:t>
            </w:r>
          </w:p>
        </w:tc>
        <w:tc>
          <w:tcPr>
            <w:tcW w:w="945" w:type="pct"/>
            <w:vAlign w:val="top"/>
          </w:tcPr>
          <w:p w:rsidR="00713DC4" w:rsidRPr="004C33D1" w:rsidRDefault="00713DC4" w:rsidP="00713DC4">
            <w:pPr>
              <w:pStyle w:val="TableText"/>
              <w:jc w:val="both"/>
              <w:cnfStyle w:val="000000000000" w:firstRow="0" w:lastRow="0" w:firstColumn="0" w:lastColumn="0" w:oddVBand="0" w:evenVBand="0" w:oddHBand="0" w:evenHBand="0" w:firstRowFirstColumn="0" w:firstRowLastColumn="0" w:lastRowFirstColumn="0" w:lastRowLastColumn="0"/>
            </w:pPr>
            <w:r w:rsidRPr="004C33D1">
              <w:t>TLAs</w:t>
            </w:r>
          </w:p>
        </w:tc>
        <w:tc>
          <w:tcPr>
            <w:tcW w:w="2748" w:type="pct"/>
            <w:vAlign w:val="top"/>
          </w:tcPr>
          <w:p w:rsidR="00713DC4" w:rsidRPr="004C33D1" w:rsidRDefault="00713DC4" w:rsidP="00713DC4">
            <w:pPr>
              <w:pStyle w:val="TableText"/>
              <w:jc w:val="both"/>
              <w:cnfStyle w:val="000000000000" w:firstRow="0" w:lastRow="0" w:firstColumn="0" w:lastColumn="0" w:oddVBand="0" w:evenVBand="0" w:oddHBand="0" w:evenHBand="0" w:firstRowFirstColumn="0" w:firstRowLastColumn="0" w:lastRowFirstColumn="0" w:lastRowLastColumn="0"/>
              <w:rPr>
                <w:i/>
              </w:rPr>
            </w:pPr>
            <w:r>
              <w:t>District councils hold this data</w:t>
            </w:r>
          </w:p>
        </w:tc>
      </w:tr>
      <w:tr w:rsidR="00713DC4" w:rsidRPr="004C33D1" w:rsidTr="00713DC4">
        <w:tblPrEx>
          <w:tblCellMar>
            <w:top w:w="0" w:type="dxa"/>
            <w:left w:w="0" w:type="dxa"/>
            <w:bottom w:w="0" w:type="dxa"/>
            <w:right w:w="0" w:type="dxa"/>
          </w:tblCellMar>
        </w:tblPrEx>
        <w:trPr>
          <w:cnfStyle w:val="010000000000" w:firstRow="0" w:lastRow="1" w:firstColumn="0" w:lastColumn="0" w:oddVBand="0" w:evenVBand="0" w:oddHBand="0" w:evenHBand="0" w:firstRowFirstColumn="0" w:firstRowLastColumn="0" w:lastRowFirstColumn="0" w:lastRowLastColumn="0"/>
          <w:trHeight w:val="256"/>
        </w:trPr>
        <w:tc>
          <w:tcPr>
            <w:cnfStyle w:val="001000000001" w:firstRow="0" w:lastRow="0" w:firstColumn="1" w:lastColumn="0" w:oddVBand="0" w:evenVBand="0" w:oddHBand="0" w:evenHBand="0" w:firstRowFirstColumn="0" w:firstRowLastColumn="0" w:lastRowFirstColumn="1" w:lastRowLastColumn="0"/>
            <w:tcW w:w="1307" w:type="pct"/>
            <w:vAlign w:val="top"/>
          </w:tcPr>
          <w:p w:rsidR="00713DC4" w:rsidRPr="004C33D1" w:rsidRDefault="00713DC4" w:rsidP="00713DC4">
            <w:pPr>
              <w:pStyle w:val="TableText"/>
              <w:jc w:val="both"/>
            </w:pPr>
            <w:r w:rsidRPr="004C33D1">
              <w:t>GIS analysis of property parcel location</w:t>
            </w:r>
          </w:p>
        </w:tc>
        <w:tc>
          <w:tcPr>
            <w:tcW w:w="945" w:type="pct"/>
            <w:vAlign w:val="top"/>
          </w:tcPr>
          <w:p w:rsidR="00713DC4" w:rsidRPr="004C33D1" w:rsidRDefault="00713DC4" w:rsidP="00713DC4">
            <w:pPr>
              <w:pStyle w:val="TableText"/>
              <w:jc w:val="both"/>
              <w:cnfStyle w:val="010000000000" w:firstRow="0" w:lastRow="1" w:firstColumn="0" w:lastColumn="0" w:oddVBand="0" w:evenVBand="0" w:oddHBand="0" w:evenHBand="0" w:firstRowFirstColumn="0" w:firstRowLastColumn="0" w:lastRowFirstColumn="0" w:lastRowLastColumn="0"/>
            </w:pPr>
            <w:r>
              <w:t>Custom analysis</w:t>
            </w:r>
          </w:p>
        </w:tc>
        <w:tc>
          <w:tcPr>
            <w:tcW w:w="2748" w:type="pct"/>
            <w:vAlign w:val="top"/>
          </w:tcPr>
          <w:p w:rsidR="00713DC4" w:rsidRPr="004C33D1" w:rsidRDefault="00713DC4" w:rsidP="00713DC4">
            <w:pPr>
              <w:pStyle w:val="TableText"/>
              <w:jc w:val="both"/>
              <w:cnfStyle w:val="010000000000" w:firstRow="0" w:lastRow="1" w:firstColumn="0" w:lastColumn="0" w:oddVBand="0" w:evenVBand="0" w:oddHBand="0" w:evenHBand="0" w:firstRowFirstColumn="0" w:firstRowLastColumn="0" w:lastRowFirstColumn="0" w:lastRowLastColumn="0"/>
            </w:pPr>
            <w:r>
              <w:t>Must be undertaken on a case-by-case basis</w:t>
            </w:r>
          </w:p>
        </w:tc>
      </w:tr>
    </w:tbl>
    <w:p w:rsidR="00344C8E" w:rsidRPr="004C33D1" w:rsidRDefault="00344C8E" w:rsidP="004A5A2D">
      <w:pPr>
        <w:pStyle w:val="Annex2"/>
      </w:pPr>
      <w:bookmarkStart w:id="433" w:name="_Toc456624668"/>
      <w:bookmarkStart w:id="434" w:name="_Toc457985383"/>
      <w:bookmarkStart w:id="435" w:name="_Toc457988529"/>
      <w:bookmarkStart w:id="436" w:name="_Toc458160024"/>
      <w:bookmarkStart w:id="437" w:name="_Toc462582252"/>
      <w:r w:rsidRPr="004C33D1">
        <w:t>Examples of Use</w:t>
      </w:r>
      <w:bookmarkEnd w:id="433"/>
      <w:bookmarkEnd w:id="434"/>
      <w:bookmarkEnd w:id="435"/>
      <w:bookmarkEnd w:id="436"/>
      <w:bookmarkEnd w:id="437"/>
    </w:p>
    <w:p w:rsidR="00344C8E" w:rsidRPr="004C33D1" w:rsidRDefault="00344C8E" w:rsidP="00344C8E">
      <w:pPr>
        <w:spacing w:line="240" w:lineRule="auto"/>
      </w:pPr>
      <w:r w:rsidRPr="004C33D1">
        <w:t xml:space="preserve">This measure </w:t>
      </w:r>
      <w:proofErr w:type="gramStart"/>
      <w:r w:rsidRPr="004C33D1">
        <w:t>has not previously been estimated</w:t>
      </w:r>
      <w:proofErr w:type="gramEnd"/>
      <w:r w:rsidRPr="004C33D1">
        <w:t xml:space="preserve"> for New Zealand cities. Initial analysis suggests that it is feasible to estimate, provided that:</w:t>
      </w:r>
    </w:p>
    <w:p w:rsidR="00344C8E" w:rsidRPr="004C33D1" w:rsidRDefault="00344C8E" w:rsidP="00344C8E">
      <w:pPr>
        <w:spacing w:line="240" w:lineRule="auto"/>
      </w:pPr>
    </w:p>
    <w:p w:rsidR="00344C8E" w:rsidRPr="004C33D1" w:rsidRDefault="00344C8E" w:rsidP="00411653">
      <w:pPr>
        <w:pStyle w:val="ListParagraph"/>
        <w:numPr>
          <w:ilvl w:val="0"/>
          <w:numId w:val="53"/>
        </w:numPr>
        <w:spacing w:line="240" w:lineRule="auto"/>
      </w:pPr>
      <w:r w:rsidRPr="004C33D1">
        <w:t>Data on residential property sales can be sourced</w:t>
      </w:r>
    </w:p>
    <w:p w:rsidR="00344C8E" w:rsidRPr="004C33D1" w:rsidRDefault="00344C8E" w:rsidP="00411653">
      <w:pPr>
        <w:pStyle w:val="ListParagraph"/>
        <w:numPr>
          <w:ilvl w:val="0"/>
          <w:numId w:val="53"/>
        </w:numPr>
        <w:spacing w:line="240" w:lineRule="auto"/>
      </w:pPr>
      <w:r w:rsidRPr="004C33D1">
        <w:t>Zoning maps are available in an appropriate format to enable identification of the zoning of individual residential properties</w:t>
      </w:r>
    </w:p>
    <w:p w:rsidR="00344C8E" w:rsidRPr="004C33D1" w:rsidRDefault="00344C8E" w:rsidP="00411653">
      <w:pPr>
        <w:pStyle w:val="ListParagraph"/>
        <w:numPr>
          <w:ilvl w:val="0"/>
          <w:numId w:val="53"/>
        </w:numPr>
        <w:spacing w:line="240" w:lineRule="auto"/>
      </w:pPr>
      <w:r w:rsidRPr="004C33D1">
        <w:t xml:space="preserve">Minimum lot size / density controls </w:t>
      </w:r>
      <w:proofErr w:type="gramStart"/>
      <w:r w:rsidRPr="004C33D1">
        <w:t>are stated</w:t>
      </w:r>
      <w:proofErr w:type="gramEnd"/>
      <w:r w:rsidRPr="004C33D1">
        <w:t xml:space="preserve"> in a way that would allow subdivision potential for individual sites to be assessed.</w:t>
      </w:r>
    </w:p>
    <w:p w:rsidR="00344C8E" w:rsidRPr="004C33D1" w:rsidRDefault="00344C8E" w:rsidP="00344C8E">
      <w:pPr>
        <w:spacing w:line="240" w:lineRule="auto"/>
      </w:pPr>
    </w:p>
    <w:p w:rsidR="00F319A1" w:rsidRPr="004C33D1" w:rsidRDefault="00F319A1" w:rsidP="00F319A1">
      <w:r>
        <w:t>S</w:t>
      </w:r>
      <w:r w:rsidRPr="004C33D1">
        <w:t xml:space="preserve">patial hedonic regression techniques </w:t>
      </w:r>
      <w:r>
        <w:t xml:space="preserve">can be used </w:t>
      </w:r>
      <w:r w:rsidRPr="004C33D1">
        <w:t xml:space="preserve">to measure whether density controls result in discontinuities in property values. It would be most appropriate to apply these techniques to analyse prices for standalone houses without cross-leases or similar barriers to redevelopment. There are three approaches to measurement that </w:t>
      </w:r>
      <w:proofErr w:type="gramStart"/>
      <w:r w:rsidRPr="004C33D1">
        <w:t>could be tested</w:t>
      </w:r>
      <w:proofErr w:type="gramEnd"/>
      <w:r w:rsidRPr="004C33D1">
        <w:t>.</w:t>
      </w:r>
      <w:r>
        <w:t xml:space="preserve"> However, we note that preliminary testing of these measures in Auckland did not find consistent evidence of price discontinuities. This may be due to the fact that, during the period in which we examined prices (end 2013-end 2014), the city’s future zoning rules were under review by an Independent Hearings Panel, making it difficult to determine what future rules would apply to individual sites.</w:t>
      </w:r>
    </w:p>
    <w:p w:rsidR="00344C8E" w:rsidRPr="004C33D1" w:rsidRDefault="00344C8E" w:rsidP="00344C8E">
      <w:pPr>
        <w:spacing w:line="240" w:lineRule="auto"/>
      </w:pPr>
    </w:p>
    <w:p w:rsidR="00344C8E" w:rsidRPr="004C33D1" w:rsidRDefault="00344C8E" w:rsidP="00344C8E">
      <w:pPr>
        <w:spacing w:line="240" w:lineRule="auto"/>
      </w:pPr>
      <w:r w:rsidRPr="004C33D1">
        <w:rPr>
          <w:b/>
        </w:rPr>
        <w:t>Approach 1: Impact of different residential zoning on property values</w:t>
      </w:r>
    </w:p>
    <w:p w:rsidR="00344C8E" w:rsidRPr="004C33D1" w:rsidRDefault="00344C8E" w:rsidP="00344C8E">
      <w:pPr>
        <w:spacing w:line="240" w:lineRule="auto"/>
      </w:pPr>
      <w:r w:rsidRPr="004C33D1">
        <w:t xml:space="preserve">This approach takes advantage of the fact that different residential zones allow sites to </w:t>
      </w:r>
      <w:proofErr w:type="gramStart"/>
      <w:r w:rsidRPr="004C33D1">
        <w:t>be developed</w:t>
      </w:r>
      <w:proofErr w:type="gramEnd"/>
      <w:r w:rsidRPr="004C33D1">
        <w:t xml:space="preserve"> to different extents. For example, in the notified version of the Auckland Unitary Plan, the Mixed Housing Urban zone allowed three-storey buildings and less land per dwelling, while the Mixed Housing Suburban zone allowed two-storey buildings and required more land per dwelling.</w:t>
      </w:r>
    </w:p>
    <w:p w:rsidR="00344C8E" w:rsidRPr="004C33D1" w:rsidRDefault="00344C8E" w:rsidP="00344C8E">
      <w:pPr>
        <w:spacing w:line="240" w:lineRule="auto"/>
      </w:pPr>
    </w:p>
    <w:p w:rsidR="00344C8E" w:rsidRPr="004C33D1" w:rsidRDefault="00344C8E" w:rsidP="00344C8E">
      <w:pPr>
        <w:spacing w:line="240" w:lineRule="auto"/>
      </w:pPr>
      <w:r w:rsidRPr="004C33D1">
        <w:t xml:space="preserve">A regression model </w:t>
      </w:r>
      <w:proofErr w:type="gramStart"/>
      <w:r w:rsidRPr="004C33D1">
        <w:t>could be specified</w:t>
      </w:r>
      <w:proofErr w:type="gramEnd"/>
      <w:r w:rsidRPr="004C33D1">
        <w:t xml:space="preserve"> as follows:</w:t>
      </w:r>
    </w:p>
    <w:p w:rsidR="00344C8E" w:rsidRPr="004C33D1" w:rsidRDefault="00344C8E" w:rsidP="00344C8E">
      <w:pPr>
        <w:spacing w:line="240" w:lineRule="auto"/>
      </w:pPr>
    </w:p>
    <w:p w:rsidR="00344C8E" w:rsidRPr="004C33D1" w:rsidRDefault="00B65F1A" w:rsidP="00344C8E">
      <w:pPr>
        <w:spacing w:line="240" w:lineRule="auto"/>
      </w:pPr>
      <m:oMathPara>
        <m:oMath>
          <m:sSub>
            <m:sSubPr>
              <m:ctrlPr>
                <w:rPr>
                  <w:rFonts w:ascii="Cambria Math" w:hAnsi="Cambria Math"/>
                  <w:i/>
                </w:rPr>
              </m:ctrlPr>
            </m:sSubPr>
            <m:e>
              <m:r>
                <w:rPr>
                  <w:rFonts w:ascii="Cambria Math" w:hAnsi="Cambria Math"/>
                </w:rPr>
                <m:t>Price</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Zoning</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Other characteristics</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m:t>
              </m:r>
            </m:sub>
          </m:sSub>
        </m:oMath>
      </m:oMathPara>
    </w:p>
    <w:p w:rsidR="00344C8E" w:rsidRPr="004C33D1" w:rsidRDefault="00344C8E" w:rsidP="00344C8E">
      <w:pPr>
        <w:spacing w:line="240" w:lineRule="auto"/>
      </w:pPr>
    </w:p>
    <w:p w:rsidR="00344C8E" w:rsidRPr="004C33D1" w:rsidRDefault="00344C8E" w:rsidP="00344C8E">
      <w:pPr>
        <w:spacing w:line="240" w:lineRule="auto"/>
      </w:pPr>
      <w:r w:rsidRPr="004C33D1">
        <w:t xml:space="preserve">If the model coefficient </w:t>
      </w:r>
      <w:r w:rsidRPr="004C33D1">
        <w:sym w:font="Symbol" w:char="F062"/>
      </w:r>
      <w:r w:rsidRPr="004C33D1">
        <w:rPr>
          <w:vertAlign w:val="subscript"/>
        </w:rPr>
        <w:t>1</w:t>
      </w:r>
      <w:r w:rsidRPr="004C33D1">
        <w:t xml:space="preserve"> was positive and statistically significant, indicating that higher-density zoning was associated with higher sale prices after controlling for other characteristics of the dwelling (including its location within the city), then it would suggest that there was a price discontinuity between similar residential properties located in different zones.</w:t>
      </w:r>
    </w:p>
    <w:p w:rsidR="00344C8E" w:rsidRDefault="00344C8E" w:rsidP="00344C8E">
      <w:pPr>
        <w:spacing w:line="240" w:lineRule="auto"/>
      </w:pPr>
    </w:p>
    <w:p w:rsidR="00713DC4" w:rsidRDefault="00713DC4" w:rsidP="00344C8E">
      <w:pPr>
        <w:spacing w:line="240" w:lineRule="auto"/>
      </w:pPr>
    </w:p>
    <w:p w:rsidR="00713DC4" w:rsidRPr="004C33D1" w:rsidRDefault="00713DC4" w:rsidP="00344C8E">
      <w:pPr>
        <w:spacing w:line="240" w:lineRule="auto"/>
      </w:pPr>
    </w:p>
    <w:p w:rsidR="00344C8E" w:rsidRPr="004C33D1" w:rsidRDefault="00344C8E" w:rsidP="00344C8E">
      <w:pPr>
        <w:spacing w:line="240" w:lineRule="auto"/>
      </w:pPr>
      <w:r w:rsidRPr="004C33D1">
        <w:rPr>
          <w:b/>
        </w:rPr>
        <w:lastRenderedPageBreak/>
        <w:t>Approach 2: Impact of different subdivision potential</w:t>
      </w:r>
    </w:p>
    <w:p w:rsidR="00344C8E" w:rsidRPr="004C33D1" w:rsidRDefault="00344C8E" w:rsidP="00344C8E">
      <w:pPr>
        <w:spacing w:line="240" w:lineRule="auto"/>
      </w:pPr>
      <w:r w:rsidRPr="004C33D1">
        <w:t xml:space="preserve">This approach takes advantage of the fact that minimum lot size / density controls allow some sites to be </w:t>
      </w:r>
      <w:proofErr w:type="gramStart"/>
      <w:r w:rsidRPr="004C33D1">
        <w:t>subdivided</w:t>
      </w:r>
      <w:proofErr w:type="gramEnd"/>
      <w:r w:rsidRPr="004C33D1">
        <w:t xml:space="preserve"> or developed for multiple dwellings, but not others. If the subdivision potential of individual residential lots can be estimated, eg by analysing the relationship between site area and density controls, </w:t>
      </w:r>
      <w:proofErr w:type="gramStart"/>
      <w:r w:rsidRPr="004C33D1">
        <w:t>then</w:t>
      </w:r>
      <w:proofErr w:type="gramEnd"/>
      <w:r w:rsidRPr="004C33D1">
        <w:t xml:space="preserve"> the following regression model could be tested:</w:t>
      </w:r>
    </w:p>
    <w:p w:rsidR="00344C8E" w:rsidRPr="004C33D1" w:rsidRDefault="00344C8E" w:rsidP="00344C8E">
      <w:pPr>
        <w:spacing w:line="240" w:lineRule="auto"/>
      </w:pPr>
    </w:p>
    <w:p w:rsidR="00344C8E" w:rsidRPr="004C33D1" w:rsidRDefault="00B65F1A" w:rsidP="00344C8E">
      <w:pPr>
        <w:spacing w:line="240" w:lineRule="auto"/>
      </w:pPr>
      <m:oMathPara>
        <m:oMath>
          <m:sSub>
            <m:sSubPr>
              <m:ctrlPr>
                <w:rPr>
                  <w:rFonts w:ascii="Cambria Math" w:hAnsi="Cambria Math"/>
                  <w:i/>
                </w:rPr>
              </m:ctrlPr>
            </m:sSubPr>
            <m:e>
              <m:r>
                <w:rPr>
                  <w:rFonts w:ascii="Cambria Math" w:hAnsi="Cambria Math"/>
                </w:rPr>
                <m:t>Price</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Subdivision potential</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Other characteristics</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m:t>
              </m:r>
            </m:sub>
          </m:sSub>
        </m:oMath>
      </m:oMathPara>
    </w:p>
    <w:p w:rsidR="00344C8E" w:rsidRPr="004C33D1" w:rsidRDefault="00344C8E" w:rsidP="00344C8E">
      <w:pPr>
        <w:spacing w:line="240" w:lineRule="auto"/>
      </w:pPr>
    </w:p>
    <w:p w:rsidR="00344C8E" w:rsidRPr="004C33D1" w:rsidRDefault="00344C8E" w:rsidP="00344C8E">
      <w:pPr>
        <w:spacing w:line="240" w:lineRule="auto"/>
      </w:pPr>
      <w:r w:rsidRPr="004C33D1">
        <w:t xml:space="preserve">If the model coefficient </w:t>
      </w:r>
      <w:r w:rsidRPr="004C33D1">
        <w:sym w:font="Symbol" w:char="F062"/>
      </w:r>
      <w:r w:rsidRPr="004C33D1">
        <w:rPr>
          <w:vertAlign w:val="subscript"/>
        </w:rPr>
        <w:t>1</w:t>
      </w:r>
      <w:r w:rsidRPr="004C33D1">
        <w:t xml:space="preserve"> was positive and statistically significant, indicating that greater subdivision potential was associated with higher sale prices after controlling for other characteristics of the dwelling (including its location within the city), then it would suggest that there was a price discontinuity arising from minimum lot size / density controls.</w:t>
      </w:r>
    </w:p>
    <w:p w:rsidR="00344C8E" w:rsidRPr="004C33D1" w:rsidRDefault="00344C8E" w:rsidP="00344C8E">
      <w:pPr>
        <w:spacing w:line="240" w:lineRule="auto"/>
      </w:pPr>
    </w:p>
    <w:p w:rsidR="00344C8E" w:rsidRPr="004C33D1" w:rsidRDefault="00344C8E" w:rsidP="00344C8E">
      <w:pPr>
        <w:spacing w:line="240" w:lineRule="auto"/>
      </w:pPr>
      <w:r w:rsidRPr="004C33D1">
        <w:rPr>
          <w:b/>
        </w:rPr>
        <w:t>Approach 3: Marginal value of land in different residential zones</w:t>
      </w:r>
    </w:p>
    <w:p w:rsidR="00344C8E" w:rsidRPr="004C33D1" w:rsidRDefault="00344C8E" w:rsidP="00344C8E">
      <w:pPr>
        <w:spacing w:line="240" w:lineRule="auto"/>
      </w:pPr>
      <w:r w:rsidRPr="004C33D1">
        <w:t xml:space="preserve">This approach takes advantage of the fact that different zoning rules may result in different marginal value of land in different zones. There may be some countervailing effects. For instance, if one zone allows subdivision to smaller lot sizes, larger lots may not be as valued </w:t>
      </w:r>
      <w:proofErr w:type="gramStart"/>
      <w:r w:rsidRPr="004C33D1">
        <w:t>due to the fact that</w:t>
      </w:r>
      <w:proofErr w:type="gramEnd"/>
      <w:r w:rsidRPr="004C33D1">
        <w:t xml:space="preserve"> they are not needed for subdivision. Conversely, zones that allow land to </w:t>
      </w:r>
      <w:proofErr w:type="gramStart"/>
      <w:r w:rsidRPr="004C33D1">
        <w:t>be developed</w:t>
      </w:r>
      <w:proofErr w:type="gramEnd"/>
      <w:r w:rsidRPr="004C33D1">
        <w:t xml:space="preserve"> more intensely may be worth more due to greater development potential.</w:t>
      </w:r>
    </w:p>
    <w:p w:rsidR="00344C8E" w:rsidRPr="004C33D1" w:rsidRDefault="00344C8E" w:rsidP="00344C8E">
      <w:pPr>
        <w:spacing w:line="240" w:lineRule="auto"/>
      </w:pPr>
    </w:p>
    <w:p w:rsidR="00344C8E" w:rsidRPr="004C33D1" w:rsidRDefault="00344C8E" w:rsidP="00344C8E">
      <w:pPr>
        <w:spacing w:line="240" w:lineRule="auto"/>
      </w:pPr>
      <w:r w:rsidRPr="004C33D1">
        <w:t xml:space="preserve">A regression model </w:t>
      </w:r>
      <w:proofErr w:type="gramStart"/>
      <w:r w:rsidRPr="004C33D1">
        <w:t>could be specified</w:t>
      </w:r>
      <w:proofErr w:type="gramEnd"/>
      <w:r w:rsidRPr="004C33D1">
        <w:t xml:space="preserve"> as follows:</w:t>
      </w:r>
    </w:p>
    <w:p w:rsidR="00344C8E" w:rsidRPr="004C33D1" w:rsidRDefault="00344C8E" w:rsidP="00344C8E">
      <w:pPr>
        <w:spacing w:line="240" w:lineRule="auto"/>
      </w:pPr>
    </w:p>
    <w:p w:rsidR="00344C8E" w:rsidRPr="004C33D1" w:rsidRDefault="00B65F1A" w:rsidP="00344C8E">
      <w:pPr>
        <w:spacing w:line="240" w:lineRule="auto"/>
      </w:pPr>
      <m:oMathPara>
        <m:oMath>
          <m:sSub>
            <m:sSubPr>
              <m:ctrlPr>
                <w:rPr>
                  <w:rFonts w:ascii="Cambria Math" w:hAnsi="Cambria Math"/>
                  <w:i/>
                </w:rPr>
              </m:ctrlPr>
            </m:sSubPr>
            <m:e>
              <m:r>
                <w:rPr>
                  <w:rFonts w:ascii="Cambria Math" w:hAnsi="Cambria Math"/>
                </w:rPr>
                <m:t>Price</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Zoning</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Land area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Other characteristics</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m:t>
              </m:r>
            </m:sub>
          </m:sSub>
        </m:oMath>
      </m:oMathPara>
    </w:p>
    <w:p w:rsidR="00344C8E" w:rsidRPr="004C33D1" w:rsidRDefault="00344C8E" w:rsidP="00344C8E">
      <w:pPr>
        <w:spacing w:line="240" w:lineRule="auto"/>
      </w:pPr>
    </w:p>
    <w:p w:rsidR="00344C8E" w:rsidRPr="004C33D1" w:rsidRDefault="00344C8E" w:rsidP="00344C8E">
      <w:pPr>
        <w:spacing w:line="240" w:lineRule="auto"/>
      </w:pPr>
      <w:r w:rsidRPr="004C33D1">
        <w:t xml:space="preserve">If the model coefficients </w:t>
      </w:r>
      <w:r w:rsidRPr="004C33D1">
        <w:sym w:font="Symbol" w:char="F062"/>
      </w:r>
      <w:r w:rsidRPr="004C33D1">
        <w:rPr>
          <w:vertAlign w:val="subscript"/>
        </w:rPr>
        <w:t>1</w:t>
      </w:r>
      <w:r w:rsidRPr="004C33D1">
        <w:t xml:space="preserve"> differ between zones, it may suggest that zoning rules result in similar residential lots being valued differently. This may suggest the presence of a price discontinuity arising from minimum lot size / density controls.</w:t>
      </w:r>
    </w:p>
    <w:p w:rsidR="00344C8E" w:rsidRPr="004C33D1" w:rsidRDefault="00344C8E" w:rsidP="00344C8E">
      <w:pPr>
        <w:spacing w:line="240" w:lineRule="auto"/>
      </w:pPr>
    </w:p>
    <w:p w:rsidR="00344C8E" w:rsidRPr="004C33D1" w:rsidRDefault="00344C8E" w:rsidP="00344C8E">
      <w:pPr>
        <w:spacing w:line="240" w:lineRule="auto"/>
        <w:rPr>
          <w:rFonts w:ascii="Century Gothic" w:hAnsi="Century Gothic" w:cs="Arial"/>
          <w:b/>
          <w:bCs/>
          <w:sz w:val="36"/>
          <w:szCs w:val="32"/>
        </w:rPr>
      </w:pPr>
      <w:r w:rsidRPr="004C33D1">
        <w:br w:type="page"/>
      </w:r>
    </w:p>
    <w:p w:rsidR="00344C8E" w:rsidRPr="004C33D1" w:rsidRDefault="00344C8E" w:rsidP="003C255B">
      <w:pPr>
        <w:pStyle w:val="Annex1"/>
      </w:pPr>
      <w:bookmarkStart w:id="438" w:name="_Toc458179038"/>
      <w:bookmarkStart w:id="439" w:name="_Toc458464593"/>
      <w:bookmarkStart w:id="440" w:name="_Toc458489814"/>
      <w:bookmarkStart w:id="441" w:name="_Toc462413669"/>
      <w:bookmarkStart w:id="442" w:name="_Toc462582253"/>
      <w:r w:rsidRPr="004C33D1">
        <w:lastRenderedPageBreak/>
        <w:t>High-rise apartment sale prices against marginal construction costs</w:t>
      </w:r>
      <w:bookmarkEnd w:id="388"/>
      <w:bookmarkEnd w:id="438"/>
      <w:bookmarkEnd w:id="439"/>
      <w:bookmarkEnd w:id="440"/>
      <w:bookmarkEnd w:id="441"/>
      <w:bookmarkEnd w:id="442"/>
    </w:p>
    <w:p w:rsidR="00344C8E" w:rsidRPr="004C33D1" w:rsidRDefault="00344C8E" w:rsidP="004A5A2D">
      <w:pPr>
        <w:pStyle w:val="Annex2"/>
      </w:pPr>
      <w:bookmarkStart w:id="443" w:name="_Toc456367197"/>
      <w:bookmarkStart w:id="444" w:name="_Toc456624669"/>
      <w:bookmarkStart w:id="445" w:name="_Toc457985384"/>
      <w:bookmarkStart w:id="446" w:name="_Toc457988530"/>
      <w:bookmarkStart w:id="447" w:name="_Toc458160025"/>
      <w:bookmarkStart w:id="448" w:name="_Toc462582254"/>
      <w:r w:rsidRPr="004C33D1">
        <w:t>Description</w:t>
      </w:r>
      <w:bookmarkEnd w:id="443"/>
      <w:bookmarkEnd w:id="444"/>
      <w:bookmarkEnd w:id="445"/>
      <w:bookmarkEnd w:id="446"/>
      <w:bookmarkEnd w:id="447"/>
      <w:bookmarkEnd w:id="448"/>
    </w:p>
    <w:p w:rsidR="00344C8E" w:rsidRPr="004C33D1" w:rsidRDefault="00344C8E" w:rsidP="00344C8E">
      <w:r w:rsidRPr="004C33D1">
        <w:t xml:space="preserve">The ratio of </w:t>
      </w:r>
      <w:proofErr w:type="gramStart"/>
      <w:r w:rsidRPr="004C33D1">
        <w:t>average apartment sale prices</w:t>
      </w:r>
      <w:proofErr w:type="gramEnd"/>
      <w:r w:rsidRPr="004C33D1">
        <w:t xml:space="preserve"> against marginal construction costs associated with adding an additional storey.</w:t>
      </w:r>
    </w:p>
    <w:p w:rsidR="00344C8E" w:rsidRPr="004C33D1" w:rsidRDefault="00344C8E" w:rsidP="004A5A2D">
      <w:pPr>
        <w:pStyle w:val="Annex2"/>
      </w:pPr>
      <w:bookmarkStart w:id="449" w:name="_Toc456367198"/>
      <w:bookmarkStart w:id="450" w:name="_Toc456624670"/>
      <w:bookmarkStart w:id="451" w:name="_Toc457985385"/>
      <w:bookmarkStart w:id="452" w:name="_Toc457988531"/>
      <w:bookmarkStart w:id="453" w:name="_Toc458160026"/>
      <w:bookmarkStart w:id="454" w:name="_Toc462582255"/>
      <w:r w:rsidRPr="004C33D1">
        <w:t>Interpretation</w:t>
      </w:r>
      <w:bookmarkEnd w:id="449"/>
      <w:bookmarkEnd w:id="450"/>
      <w:bookmarkEnd w:id="451"/>
      <w:bookmarkEnd w:id="452"/>
      <w:bookmarkEnd w:id="453"/>
      <w:bookmarkEnd w:id="454"/>
    </w:p>
    <w:p w:rsidR="00344C8E" w:rsidRPr="004C33D1" w:rsidRDefault="00344C8E" w:rsidP="00344C8E">
      <w:r w:rsidRPr="004C33D1">
        <w:t xml:space="preserve">This indicator measures whether building height limits and other rules limiting high-rise development are limiting development </w:t>
      </w:r>
      <w:r w:rsidR="002E72D4">
        <w:t>opportunities</w:t>
      </w:r>
      <w:r w:rsidRPr="004C33D1">
        <w:t xml:space="preserve">. It </w:t>
      </w:r>
      <w:proofErr w:type="gramStart"/>
      <w:r w:rsidRPr="004C33D1">
        <w:t>can be measured</w:t>
      </w:r>
      <w:proofErr w:type="gramEnd"/>
      <w:r w:rsidRPr="004C33D1">
        <w:t xml:space="preserve">: </w:t>
      </w:r>
      <w:r w:rsidRPr="004C33D1">
        <w:br/>
      </w:r>
    </w:p>
    <w:p w:rsidR="00344C8E" w:rsidRPr="004C33D1" w:rsidRDefault="00344C8E" w:rsidP="00411653">
      <w:pPr>
        <w:pStyle w:val="ListParagraph"/>
        <w:numPr>
          <w:ilvl w:val="0"/>
          <w:numId w:val="46"/>
        </w:numPr>
      </w:pPr>
      <w:r w:rsidRPr="004C33D1">
        <w:t>within areas with a sufficient density of tall apartment buildings; and</w:t>
      </w:r>
    </w:p>
    <w:p w:rsidR="00344C8E" w:rsidRPr="004C33D1" w:rsidRDefault="00344C8E" w:rsidP="00411653">
      <w:pPr>
        <w:pStyle w:val="ListParagraph"/>
        <w:numPr>
          <w:ilvl w:val="0"/>
          <w:numId w:val="46"/>
        </w:numPr>
      </w:pPr>
      <w:proofErr w:type="gramStart"/>
      <w:r w:rsidRPr="004C33D1">
        <w:t>over</w:t>
      </w:r>
      <w:proofErr w:type="gramEnd"/>
      <w:r w:rsidRPr="004C33D1">
        <w:t xml:space="preserve"> time, eg to estimate if development is keeping up with growing demand or falling behind demand. </w:t>
      </w:r>
    </w:p>
    <w:p w:rsidR="00344C8E" w:rsidRPr="004C33D1" w:rsidRDefault="00344C8E" w:rsidP="00344C8E"/>
    <w:p w:rsidR="00344C8E" w:rsidRPr="004C33D1" w:rsidRDefault="00344C8E" w:rsidP="00344C8E">
      <w:r w:rsidRPr="004C33D1">
        <w:t>Interpreting this measure can be challenging, as it requires contextual information on:</w:t>
      </w:r>
    </w:p>
    <w:p w:rsidR="00344C8E" w:rsidRPr="004C33D1" w:rsidRDefault="00344C8E" w:rsidP="00344C8E"/>
    <w:p w:rsidR="00344C8E" w:rsidRPr="004C33D1" w:rsidRDefault="00344C8E" w:rsidP="00411653">
      <w:pPr>
        <w:pStyle w:val="ListParagraph"/>
        <w:numPr>
          <w:ilvl w:val="0"/>
          <w:numId w:val="45"/>
        </w:numPr>
      </w:pPr>
      <w:r w:rsidRPr="004C33D1">
        <w:t>Marginal construction costs, which may rise in a “lumpy” fashion if buildings over a certain height require more internal services or earthquake strengthening;</w:t>
      </w:r>
    </w:p>
    <w:p w:rsidR="00344C8E" w:rsidRPr="004C33D1" w:rsidRDefault="00344C8E" w:rsidP="00411653">
      <w:pPr>
        <w:pStyle w:val="ListParagraph"/>
        <w:numPr>
          <w:ilvl w:val="0"/>
          <w:numId w:val="45"/>
        </w:numPr>
      </w:pPr>
      <w:r w:rsidRPr="004C33D1">
        <w:t>Non-regulatory constraints on high-rise development, such as limited availability of development finance or construction labour, which may result in scarcity that cannot be attributed to urban planning rules alone;</w:t>
      </w:r>
    </w:p>
    <w:p w:rsidR="00344C8E" w:rsidRPr="004C33D1" w:rsidRDefault="00344C8E" w:rsidP="00411653">
      <w:pPr>
        <w:pStyle w:val="ListParagraph"/>
        <w:numPr>
          <w:ilvl w:val="0"/>
          <w:numId w:val="45"/>
        </w:numPr>
      </w:pPr>
      <w:r w:rsidRPr="004C33D1">
        <w:t xml:space="preserve">Building consent trends – because high-rise buildings are time-consuming to develop, there may be a “lag” between when prices rise and when new supply enters the market. Comparing this ratio against building consent applications for apartments (or dwellings in general) can provide valuable insight into whether </w:t>
      </w:r>
    </w:p>
    <w:p w:rsidR="00344C8E" w:rsidRPr="004C33D1" w:rsidRDefault="00344C8E" w:rsidP="004A5A2D">
      <w:pPr>
        <w:pStyle w:val="Annex2"/>
      </w:pPr>
      <w:bookmarkStart w:id="455" w:name="_Toc456367199"/>
      <w:bookmarkStart w:id="456" w:name="_Toc456624671"/>
      <w:bookmarkStart w:id="457" w:name="_Toc457985386"/>
      <w:bookmarkStart w:id="458" w:name="_Toc457988532"/>
      <w:bookmarkStart w:id="459" w:name="_Toc458160027"/>
      <w:bookmarkStart w:id="460" w:name="_Toc462582256"/>
      <w:r w:rsidRPr="004C33D1">
        <w:t>Data availability</w:t>
      </w:r>
      <w:bookmarkEnd w:id="455"/>
      <w:bookmarkEnd w:id="456"/>
      <w:bookmarkEnd w:id="457"/>
      <w:bookmarkEnd w:id="458"/>
      <w:bookmarkEnd w:id="459"/>
      <w:bookmarkEnd w:id="460"/>
    </w:p>
    <w:p w:rsidR="00344C8E" w:rsidRPr="004C33D1" w:rsidRDefault="00344C8E" w:rsidP="00713DC4">
      <w:r w:rsidRPr="004C33D1">
        <w:t>Calculating this measure requires information on apartment sales, as well as GIS analysis of apartment locations. This data, which is briefly described in</w:t>
      </w:r>
      <w:r w:rsidR="006C2EC4" w:rsidRPr="004C33D1">
        <w:t xml:space="preserve"> </w:t>
      </w:r>
      <w:r w:rsidR="006C2EC4" w:rsidRPr="004C33D1">
        <w:fldChar w:fldCharType="begin"/>
      </w:r>
      <w:r w:rsidR="006C2EC4" w:rsidRPr="004C33D1">
        <w:instrText xml:space="preserve"> REF _Ref456685437 \h </w:instrText>
      </w:r>
      <w:r w:rsidR="006C2EC4" w:rsidRPr="004C33D1">
        <w:fldChar w:fldCharType="separate"/>
      </w:r>
      <w:r w:rsidR="004D1DDA" w:rsidRPr="004C33D1">
        <w:t xml:space="preserve">Table </w:t>
      </w:r>
      <w:r w:rsidR="004D1DDA">
        <w:rPr>
          <w:noProof/>
        </w:rPr>
        <w:t>25</w:t>
      </w:r>
      <w:r w:rsidR="006C2EC4" w:rsidRPr="004C33D1">
        <w:fldChar w:fldCharType="end"/>
      </w:r>
      <w:r w:rsidRPr="004C33D1">
        <w:t>, is available from property sales datasets maintained by councils (or private data providers like CoreLogic) as an input into ratings valuations. Property sales data i</w:t>
      </w:r>
      <w:r w:rsidR="00713DC4">
        <w:t>s available on an annual basis.</w:t>
      </w:r>
    </w:p>
    <w:p w:rsidR="00713DC4" w:rsidRPr="00AF00C8" w:rsidRDefault="00344C8E" w:rsidP="00E02811">
      <w:pPr>
        <w:pStyle w:val="Caption"/>
      </w:pPr>
      <w:bookmarkStart w:id="461" w:name="_Ref456685437"/>
      <w:r w:rsidRPr="004C33D1">
        <w:t xml:space="preserve">Table </w:t>
      </w:r>
      <w:r w:rsidRPr="004C33D1">
        <w:fldChar w:fldCharType="begin"/>
      </w:r>
      <w:r w:rsidRPr="004C33D1">
        <w:instrText xml:space="preserve"> SEQ Table \* ARABIC </w:instrText>
      </w:r>
      <w:r w:rsidRPr="004C33D1">
        <w:fldChar w:fldCharType="separate"/>
      </w:r>
      <w:r w:rsidR="004D1DDA">
        <w:rPr>
          <w:noProof/>
        </w:rPr>
        <w:t>25</w:t>
      </w:r>
      <w:r w:rsidRPr="004C33D1">
        <w:fldChar w:fldCharType="end"/>
      </w:r>
      <w:bookmarkEnd w:id="461"/>
      <w:r w:rsidRPr="004C33D1">
        <w:t>: Data sources</w:t>
      </w:r>
    </w:p>
    <w:tbl>
      <w:tblPr>
        <w:tblStyle w:val="CovecTables"/>
        <w:tblW w:w="4917" w:type="pct"/>
        <w:tblInd w:w="56" w:type="dxa"/>
        <w:tblBorders>
          <w:bottom w:val="single" w:sz="12" w:space="0" w:color="A6A6A6" w:themeColor="background1" w:themeShade="A6"/>
          <w:insideH w:val="single" w:sz="8" w:space="0" w:color="A6A6A6" w:themeColor="background1" w:themeShade="A6"/>
        </w:tblBorders>
        <w:tblLook w:val="04E0" w:firstRow="1" w:lastRow="1" w:firstColumn="1" w:lastColumn="0" w:noHBand="0" w:noVBand="1"/>
      </w:tblPr>
      <w:tblGrid>
        <w:gridCol w:w="2071"/>
        <w:gridCol w:w="2269"/>
        <w:gridCol w:w="3745"/>
      </w:tblGrid>
      <w:tr w:rsidR="00713DC4" w:rsidRPr="004C33D1" w:rsidTr="005570ED">
        <w:trPr>
          <w:cnfStyle w:val="100000000000" w:firstRow="1" w:lastRow="0" w:firstColumn="0" w:lastColumn="0" w:oddVBand="0" w:evenVBand="0" w:oddHBand="0" w:evenHBand="0" w:firstRowFirstColumn="0" w:firstRowLastColumn="0" w:lastRowFirstColumn="0" w:lastRowLastColumn="0"/>
          <w:trHeight w:val="256"/>
        </w:trPr>
        <w:tc>
          <w:tcPr>
            <w:cnfStyle w:val="001000000100" w:firstRow="0" w:lastRow="0" w:firstColumn="1" w:lastColumn="0" w:oddVBand="0" w:evenVBand="0" w:oddHBand="0" w:evenHBand="0" w:firstRowFirstColumn="1" w:firstRowLastColumn="0" w:lastRowFirstColumn="0" w:lastRowLastColumn="0"/>
            <w:tcW w:w="1281" w:type="pct"/>
          </w:tcPr>
          <w:p w:rsidR="00713DC4" w:rsidRPr="004C33D1" w:rsidRDefault="00713DC4" w:rsidP="006F545D">
            <w:pPr>
              <w:pStyle w:val="TableText"/>
            </w:pPr>
            <w:r w:rsidRPr="004C33D1">
              <w:t>Data</w:t>
            </w:r>
          </w:p>
        </w:tc>
        <w:tc>
          <w:tcPr>
            <w:tcW w:w="1403" w:type="pct"/>
          </w:tcPr>
          <w:p w:rsidR="00713DC4" w:rsidRPr="004C33D1" w:rsidRDefault="00713DC4" w:rsidP="006F545D">
            <w:pPr>
              <w:pStyle w:val="TableText"/>
              <w:jc w:val="left"/>
              <w:cnfStyle w:val="100000000000" w:firstRow="1" w:lastRow="0" w:firstColumn="0" w:lastColumn="0" w:oddVBand="0" w:evenVBand="0" w:oddHBand="0" w:evenHBand="0" w:firstRowFirstColumn="0" w:firstRowLastColumn="0" w:lastRowFirstColumn="0" w:lastRowLastColumn="0"/>
            </w:pPr>
            <w:r w:rsidRPr="004C33D1">
              <w:t>Source</w:t>
            </w:r>
          </w:p>
        </w:tc>
        <w:tc>
          <w:tcPr>
            <w:tcW w:w="2317" w:type="pct"/>
          </w:tcPr>
          <w:p w:rsidR="00713DC4" w:rsidRPr="004C33D1" w:rsidRDefault="00713DC4" w:rsidP="006F545D">
            <w:pPr>
              <w:pStyle w:val="TableText"/>
              <w:jc w:val="left"/>
              <w:cnfStyle w:val="100000000000" w:firstRow="1" w:lastRow="0" w:firstColumn="0" w:lastColumn="0" w:oddVBand="0" w:evenVBand="0" w:oddHBand="0" w:evenHBand="0" w:firstRowFirstColumn="0" w:firstRowLastColumn="0" w:lastRowFirstColumn="0" w:lastRowLastColumn="0"/>
            </w:pPr>
            <w:r w:rsidRPr="004C33D1">
              <w:t>Location</w:t>
            </w:r>
          </w:p>
        </w:tc>
      </w:tr>
      <w:tr w:rsidR="00713DC4" w:rsidRPr="004C33D1" w:rsidTr="005570ED">
        <w:tblPrEx>
          <w:tblCellMar>
            <w:top w:w="0" w:type="dxa"/>
            <w:left w:w="0" w:type="dxa"/>
            <w:bottom w:w="0" w:type="dxa"/>
            <w:right w:w="0" w:type="dxa"/>
          </w:tblCellMar>
        </w:tblPrEx>
        <w:trPr>
          <w:trHeight w:val="245"/>
        </w:trPr>
        <w:tc>
          <w:tcPr>
            <w:cnfStyle w:val="001000000000" w:firstRow="0" w:lastRow="0" w:firstColumn="1" w:lastColumn="0" w:oddVBand="0" w:evenVBand="0" w:oddHBand="0" w:evenHBand="0" w:firstRowFirstColumn="0" w:firstRowLastColumn="0" w:lastRowFirstColumn="0" w:lastRowLastColumn="0"/>
            <w:tcW w:w="1281" w:type="pct"/>
            <w:vAlign w:val="top"/>
          </w:tcPr>
          <w:p w:rsidR="00713DC4" w:rsidRPr="004C33D1" w:rsidRDefault="00713DC4" w:rsidP="006F545D">
            <w:pPr>
              <w:pStyle w:val="TableText"/>
            </w:pPr>
            <w:r w:rsidRPr="004C33D1">
              <w:t>Apartment sales data</w:t>
            </w:r>
          </w:p>
        </w:tc>
        <w:tc>
          <w:tcPr>
            <w:tcW w:w="1403" w:type="pct"/>
            <w:vAlign w:val="top"/>
          </w:tcPr>
          <w:p w:rsidR="00713DC4" w:rsidRPr="004C33D1" w:rsidRDefault="00713DC4" w:rsidP="006F545D">
            <w:pPr>
              <w:pStyle w:val="TableText"/>
              <w:jc w:val="left"/>
              <w:cnfStyle w:val="000000000000" w:firstRow="0" w:lastRow="0" w:firstColumn="0" w:lastColumn="0" w:oddVBand="0" w:evenVBand="0" w:oddHBand="0" w:evenHBand="0" w:firstRowFirstColumn="0" w:firstRowLastColumn="0" w:lastRowFirstColumn="0" w:lastRowLastColumn="0"/>
            </w:pPr>
            <w:r w:rsidRPr="004C33D1">
              <w:t>TLAs / CoreLogic</w:t>
            </w:r>
          </w:p>
        </w:tc>
        <w:tc>
          <w:tcPr>
            <w:tcW w:w="2317" w:type="pct"/>
            <w:vAlign w:val="top"/>
          </w:tcPr>
          <w:p w:rsidR="00713DC4" w:rsidRPr="004C33D1" w:rsidRDefault="00713DC4" w:rsidP="006F545D">
            <w:pPr>
              <w:pStyle w:val="TableText"/>
              <w:jc w:val="left"/>
              <w:cnfStyle w:val="000000000000" w:firstRow="0" w:lastRow="0" w:firstColumn="0" w:lastColumn="0" w:oddVBand="0" w:evenVBand="0" w:oddHBand="0" w:evenHBand="0" w:firstRowFirstColumn="0" w:firstRowLastColumn="0" w:lastRowFirstColumn="0" w:lastRowLastColumn="0"/>
              <w:rPr>
                <w:i/>
              </w:rPr>
            </w:pPr>
            <w:r>
              <w:t>CoreLogic and councils; MBIE has purchased CoreLogic valuation data for residential properties</w:t>
            </w:r>
          </w:p>
        </w:tc>
      </w:tr>
      <w:tr w:rsidR="00713DC4" w:rsidRPr="004C33D1" w:rsidTr="005570ED">
        <w:tblPrEx>
          <w:tblCellMar>
            <w:top w:w="0" w:type="dxa"/>
            <w:left w:w="0" w:type="dxa"/>
            <w:bottom w:w="0" w:type="dxa"/>
            <w:right w:w="0" w:type="dxa"/>
          </w:tblCellMar>
        </w:tblPrEx>
        <w:trPr>
          <w:trHeight w:val="498"/>
        </w:trPr>
        <w:tc>
          <w:tcPr>
            <w:cnfStyle w:val="001000000000" w:firstRow="0" w:lastRow="0" w:firstColumn="1" w:lastColumn="0" w:oddVBand="0" w:evenVBand="0" w:oddHBand="0" w:evenHBand="0" w:firstRowFirstColumn="0" w:firstRowLastColumn="0" w:lastRowFirstColumn="0" w:lastRowLastColumn="0"/>
            <w:tcW w:w="1281" w:type="pct"/>
            <w:vAlign w:val="top"/>
          </w:tcPr>
          <w:p w:rsidR="00713DC4" w:rsidRPr="004C33D1" w:rsidRDefault="00713DC4" w:rsidP="006F545D">
            <w:pPr>
              <w:pStyle w:val="TableText"/>
            </w:pPr>
            <w:r w:rsidRPr="004C33D1">
              <w:t>GIS analysis of apartment sale location</w:t>
            </w:r>
          </w:p>
        </w:tc>
        <w:tc>
          <w:tcPr>
            <w:tcW w:w="1403" w:type="pct"/>
            <w:vAlign w:val="top"/>
          </w:tcPr>
          <w:p w:rsidR="00713DC4" w:rsidRPr="004C33D1" w:rsidRDefault="00713DC4" w:rsidP="006F545D">
            <w:pPr>
              <w:pStyle w:val="TableText"/>
              <w:jc w:val="left"/>
              <w:cnfStyle w:val="000000000000" w:firstRow="0" w:lastRow="0" w:firstColumn="0" w:lastColumn="0" w:oddVBand="0" w:evenVBand="0" w:oddHBand="0" w:evenHBand="0" w:firstRowFirstColumn="0" w:firstRowLastColumn="0" w:lastRowFirstColumn="0" w:lastRowLastColumn="0"/>
            </w:pPr>
            <w:r>
              <w:t>Custom analysis</w:t>
            </w:r>
          </w:p>
        </w:tc>
        <w:tc>
          <w:tcPr>
            <w:tcW w:w="2317" w:type="pct"/>
            <w:vAlign w:val="top"/>
          </w:tcPr>
          <w:p w:rsidR="00713DC4" w:rsidRPr="004C33D1" w:rsidRDefault="00713DC4" w:rsidP="006F545D">
            <w:pPr>
              <w:pStyle w:val="TableText"/>
              <w:jc w:val="left"/>
              <w:cnfStyle w:val="000000000000" w:firstRow="0" w:lastRow="0" w:firstColumn="0" w:lastColumn="0" w:oddVBand="0" w:evenVBand="0" w:oddHBand="0" w:evenHBand="0" w:firstRowFirstColumn="0" w:firstRowLastColumn="0" w:lastRowFirstColumn="0" w:lastRowLastColumn="0"/>
            </w:pPr>
            <w:r>
              <w:t>Must be undertaken on a case-by-case basis, with reference to zoning maps and existing land uses</w:t>
            </w:r>
          </w:p>
        </w:tc>
      </w:tr>
      <w:tr w:rsidR="00713DC4" w:rsidRPr="004C33D1" w:rsidTr="005570ED">
        <w:tblPrEx>
          <w:tblCellMar>
            <w:top w:w="0" w:type="dxa"/>
            <w:left w:w="0" w:type="dxa"/>
            <w:bottom w:w="0" w:type="dxa"/>
            <w:right w:w="0" w:type="dxa"/>
          </w:tblCellMar>
        </w:tblPrEx>
        <w:trPr>
          <w:cnfStyle w:val="010000000000" w:firstRow="0" w:lastRow="1" w:firstColumn="0" w:lastColumn="0" w:oddVBand="0" w:evenVBand="0" w:oddHBand="0" w:evenHBand="0" w:firstRowFirstColumn="0" w:firstRowLastColumn="0" w:lastRowFirstColumn="0" w:lastRowLastColumn="0"/>
          <w:trHeight w:val="256"/>
        </w:trPr>
        <w:tc>
          <w:tcPr>
            <w:cnfStyle w:val="001000000001" w:firstRow="0" w:lastRow="0" w:firstColumn="1" w:lastColumn="0" w:oddVBand="0" w:evenVBand="0" w:oddHBand="0" w:evenHBand="0" w:firstRowFirstColumn="0" w:firstRowLastColumn="0" w:lastRowFirstColumn="1" w:lastRowLastColumn="0"/>
            <w:tcW w:w="1281" w:type="pct"/>
            <w:vAlign w:val="top"/>
          </w:tcPr>
          <w:p w:rsidR="00713DC4" w:rsidRPr="004C33D1" w:rsidRDefault="00713DC4" w:rsidP="006F545D">
            <w:pPr>
              <w:pStyle w:val="TableText"/>
            </w:pPr>
            <w:r>
              <w:t>Marginal cost of construction</w:t>
            </w:r>
          </w:p>
        </w:tc>
        <w:tc>
          <w:tcPr>
            <w:tcW w:w="1403" w:type="pct"/>
            <w:vAlign w:val="top"/>
          </w:tcPr>
          <w:p w:rsidR="00713DC4" w:rsidRPr="004C33D1" w:rsidDel="00E7655B" w:rsidRDefault="00713DC4" w:rsidP="006F545D">
            <w:pPr>
              <w:pStyle w:val="TableText"/>
              <w:jc w:val="left"/>
              <w:cnfStyle w:val="010000000000" w:firstRow="0" w:lastRow="1" w:firstColumn="0" w:lastColumn="0" w:oddVBand="0" w:evenVBand="0" w:oddHBand="0" w:evenHBand="0" w:firstRowFirstColumn="0" w:firstRowLastColumn="0" w:lastRowFirstColumn="0" w:lastRowLastColumn="0"/>
            </w:pPr>
            <w:r>
              <w:t>Quantity surveyors or cost estimators</w:t>
            </w:r>
          </w:p>
        </w:tc>
        <w:tc>
          <w:tcPr>
            <w:tcW w:w="2317" w:type="pct"/>
            <w:vAlign w:val="top"/>
          </w:tcPr>
          <w:p w:rsidR="00713DC4" w:rsidRDefault="00713DC4" w:rsidP="006F545D">
            <w:pPr>
              <w:pStyle w:val="TableText"/>
              <w:jc w:val="left"/>
              <w:cnfStyle w:val="010000000000" w:firstRow="0" w:lastRow="1" w:firstColumn="0" w:lastColumn="0" w:oddVBand="0" w:evenVBand="0" w:oddHBand="0" w:evenHBand="0" w:firstRowFirstColumn="0" w:firstRowLastColumn="0" w:lastRowFirstColumn="0" w:lastRowLastColumn="0"/>
            </w:pPr>
            <w:r>
              <w:t>Held by private data suppliers; some relevant data is summarised in this report</w:t>
            </w:r>
          </w:p>
        </w:tc>
      </w:tr>
    </w:tbl>
    <w:p w:rsidR="005570ED" w:rsidRDefault="005570ED" w:rsidP="005570ED">
      <w:bookmarkStart w:id="462" w:name="_Toc456367200"/>
      <w:bookmarkStart w:id="463" w:name="_Toc456624672"/>
      <w:bookmarkStart w:id="464" w:name="_Toc457985387"/>
      <w:bookmarkStart w:id="465" w:name="_Toc457988533"/>
      <w:bookmarkStart w:id="466" w:name="_Toc458160028"/>
    </w:p>
    <w:p w:rsidR="00344C8E" w:rsidRPr="004C33D1" w:rsidRDefault="00344C8E" w:rsidP="004A5A2D">
      <w:pPr>
        <w:pStyle w:val="Annex2"/>
      </w:pPr>
      <w:bookmarkStart w:id="467" w:name="_Toc462582257"/>
      <w:r w:rsidRPr="004C33D1">
        <w:lastRenderedPageBreak/>
        <w:t>Examples of Use</w:t>
      </w:r>
      <w:bookmarkEnd w:id="462"/>
      <w:bookmarkEnd w:id="463"/>
      <w:bookmarkEnd w:id="464"/>
      <w:bookmarkEnd w:id="465"/>
      <w:bookmarkEnd w:id="466"/>
      <w:bookmarkEnd w:id="467"/>
    </w:p>
    <w:p w:rsidR="00344C8E" w:rsidRPr="004C33D1" w:rsidRDefault="00344C8E" w:rsidP="00344C8E">
      <w:r w:rsidRPr="004C33D1">
        <w:fldChar w:fldCharType="begin"/>
      </w:r>
      <w:r w:rsidRPr="004C33D1">
        <w:instrText xml:space="preserve"> REF _Ref455667837 \h </w:instrText>
      </w:r>
      <w:r w:rsidRPr="004C33D1">
        <w:fldChar w:fldCharType="separate"/>
      </w:r>
      <w:r w:rsidR="004D1DDA" w:rsidRPr="004C33D1">
        <w:t xml:space="preserve">Table </w:t>
      </w:r>
      <w:r w:rsidR="004D1DDA">
        <w:rPr>
          <w:noProof/>
        </w:rPr>
        <w:t>26</w:t>
      </w:r>
      <w:r w:rsidRPr="004C33D1">
        <w:fldChar w:fldCharType="end"/>
      </w:r>
      <w:r w:rsidRPr="004C33D1">
        <w:t xml:space="preserve"> summarises data on </w:t>
      </w:r>
      <w:proofErr w:type="gramStart"/>
      <w:r w:rsidRPr="004C33D1">
        <w:t>average apartment sale prices</w:t>
      </w:r>
      <w:proofErr w:type="gramEnd"/>
      <w:r w:rsidRPr="004C33D1">
        <w:t xml:space="preserve"> in the Auckland and Wellington city centres over the 2000-2015 period. This data covers the areas of the city where high-rise apartments are most likely to </w:t>
      </w:r>
      <w:proofErr w:type="gramStart"/>
      <w:r w:rsidRPr="004C33D1">
        <w:t>be found</w:t>
      </w:r>
      <w:proofErr w:type="gramEnd"/>
      <w:r w:rsidRPr="004C33D1">
        <w:t xml:space="preserve">. To avoid biasing the results, it </w:t>
      </w:r>
      <w:proofErr w:type="gramStart"/>
      <w:r w:rsidRPr="004C33D1">
        <w:t>has been filtered</w:t>
      </w:r>
      <w:proofErr w:type="gramEnd"/>
      <w:r w:rsidRPr="004C33D1">
        <w:t xml:space="preserve"> to exclude apartments that are at high risk of being leaky buildings, as well as apartments sold with a significant amount of land. The floor area of apartments </w:t>
      </w:r>
      <w:proofErr w:type="gramStart"/>
      <w:r w:rsidRPr="004C33D1">
        <w:t>has been calculated</w:t>
      </w:r>
      <w:proofErr w:type="gramEnd"/>
      <w:r w:rsidRPr="004C33D1">
        <w:t xml:space="preserve"> as including balconies (assuming</w:t>
      </w:r>
      <w:r w:rsidR="0045134F">
        <w:t xml:space="preserve"> an average of 8m per balcony).</w:t>
      </w:r>
    </w:p>
    <w:p w:rsidR="00344C8E" w:rsidRPr="004C33D1" w:rsidRDefault="00344C8E" w:rsidP="00E02811">
      <w:pPr>
        <w:pStyle w:val="Caption"/>
      </w:pPr>
      <w:bookmarkStart w:id="468" w:name="_Ref455667837"/>
      <w:r w:rsidRPr="004C33D1">
        <w:t xml:space="preserve">Table </w:t>
      </w:r>
      <w:r w:rsidRPr="004C33D1">
        <w:fldChar w:fldCharType="begin"/>
      </w:r>
      <w:r w:rsidRPr="004C33D1">
        <w:instrText xml:space="preserve"> SEQ Table \* ARABIC </w:instrText>
      </w:r>
      <w:r w:rsidRPr="004C33D1">
        <w:fldChar w:fldCharType="separate"/>
      </w:r>
      <w:r w:rsidR="004D1DDA">
        <w:rPr>
          <w:noProof/>
        </w:rPr>
        <w:t>26</w:t>
      </w:r>
      <w:r w:rsidRPr="004C33D1">
        <w:fldChar w:fldCharType="end"/>
      </w:r>
      <w:bookmarkEnd w:id="468"/>
      <w:r w:rsidRPr="004C33D1">
        <w:t xml:space="preserve"> </w:t>
      </w:r>
      <w:proofErr w:type="gramStart"/>
      <w:r w:rsidRPr="004C33D1">
        <w:t>Average apartment sale prices</w:t>
      </w:r>
      <w:proofErr w:type="gramEnd"/>
      <w:r w:rsidRPr="004C33D1">
        <w:t xml:space="preserve"> (nominal) in the Auckland and Wellington city centres</w:t>
      </w:r>
    </w:p>
    <w:tbl>
      <w:tblPr>
        <w:tblStyle w:val="CovecTables"/>
        <w:tblW w:w="0" w:type="auto"/>
        <w:tblLook w:val="04E0" w:firstRow="1" w:lastRow="1" w:firstColumn="1" w:lastColumn="0" w:noHBand="0" w:noVBand="1"/>
      </w:tblPr>
      <w:tblGrid>
        <w:gridCol w:w="1108"/>
        <w:gridCol w:w="1372"/>
        <w:gridCol w:w="2128"/>
        <w:gridCol w:w="1372"/>
        <w:gridCol w:w="2128"/>
      </w:tblGrid>
      <w:tr w:rsidR="00344C8E" w:rsidRPr="004C33D1" w:rsidTr="00236ADF">
        <w:trPr>
          <w:cnfStyle w:val="100000000000" w:firstRow="1" w:lastRow="0" w:firstColumn="0" w:lastColumn="0" w:oddVBand="0" w:evenVBand="0" w:oddHBand="0" w:evenHBand="0" w:firstRowFirstColumn="0" w:firstRowLastColumn="0" w:lastRowFirstColumn="0" w:lastRowLastColumn="0"/>
          <w:trHeight w:val="170"/>
        </w:trPr>
        <w:tc>
          <w:tcPr>
            <w:cnfStyle w:val="001000000100" w:firstRow="0" w:lastRow="0" w:firstColumn="1" w:lastColumn="0" w:oddVBand="0" w:evenVBand="0" w:oddHBand="0" w:evenHBand="0" w:firstRowFirstColumn="1" w:firstRowLastColumn="0" w:lastRowFirstColumn="0" w:lastRowLastColumn="0"/>
            <w:tcW w:w="1268" w:type="dxa"/>
            <w:vMerge w:val="restart"/>
            <w:noWrap/>
            <w:hideMark/>
          </w:tcPr>
          <w:p w:rsidR="00344C8E" w:rsidRPr="004C33D1" w:rsidRDefault="00344C8E" w:rsidP="003508FB">
            <w:pPr>
              <w:pStyle w:val="TableText"/>
            </w:pPr>
            <w:r w:rsidRPr="004C33D1">
              <w:t>Year</w:t>
            </w:r>
          </w:p>
        </w:tc>
        <w:tc>
          <w:tcPr>
            <w:tcW w:w="4046" w:type="dxa"/>
            <w:gridSpan w:val="2"/>
            <w:tcBorders>
              <w:bottom w:val="none" w:sz="0" w:space="0" w:color="auto"/>
            </w:tcBorders>
            <w:noWrap/>
            <w:hideMark/>
          </w:tcPr>
          <w:p w:rsidR="00344C8E" w:rsidRPr="004C33D1" w:rsidRDefault="00344C8E" w:rsidP="003508FB">
            <w:pPr>
              <w:pStyle w:val="TableText"/>
              <w:jc w:val="center"/>
              <w:cnfStyle w:val="100000000000" w:firstRow="1" w:lastRow="0" w:firstColumn="0" w:lastColumn="0" w:oddVBand="0" w:evenVBand="0" w:oddHBand="0" w:evenHBand="0" w:firstRowFirstColumn="0" w:firstRowLastColumn="0" w:lastRowFirstColumn="0" w:lastRowLastColumn="0"/>
            </w:pPr>
            <w:r w:rsidRPr="004C33D1">
              <w:t>Auckland</w:t>
            </w:r>
          </w:p>
        </w:tc>
        <w:tc>
          <w:tcPr>
            <w:tcW w:w="4046" w:type="dxa"/>
            <w:gridSpan w:val="2"/>
            <w:tcBorders>
              <w:bottom w:val="none" w:sz="0" w:space="0" w:color="auto"/>
            </w:tcBorders>
            <w:noWrap/>
            <w:hideMark/>
          </w:tcPr>
          <w:p w:rsidR="00344C8E" w:rsidRPr="004C33D1" w:rsidRDefault="00344C8E" w:rsidP="003508FB">
            <w:pPr>
              <w:pStyle w:val="TableText"/>
              <w:jc w:val="center"/>
              <w:cnfStyle w:val="100000000000" w:firstRow="1" w:lastRow="0" w:firstColumn="0" w:lastColumn="0" w:oddVBand="0" w:evenVBand="0" w:oddHBand="0" w:evenHBand="0" w:firstRowFirstColumn="0" w:firstRowLastColumn="0" w:lastRowFirstColumn="0" w:lastRowLastColumn="0"/>
            </w:pPr>
            <w:r w:rsidRPr="004C33D1">
              <w:t>Wellington</w:t>
            </w:r>
          </w:p>
        </w:tc>
      </w:tr>
      <w:tr w:rsidR="00344C8E" w:rsidRPr="004C33D1" w:rsidTr="00236ADF">
        <w:tblPrEx>
          <w:tblCellMar>
            <w:top w:w="0" w:type="dxa"/>
            <w:left w:w="0" w:type="dxa"/>
            <w:bottom w:w="0" w:type="dxa"/>
            <w:right w:w="0"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1268" w:type="dxa"/>
            <w:vMerge/>
            <w:tcBorders>
              <w:bottom w:val="single" w:sz="8" w:space="0" w:color="A6A6A6" w:themeColor="background1" w:themeShade="A6"/>
            </w:tcBorders>
            <w:hideMark/>
          </w:tcPr>
          <w:p w:rsidR="00344C8E" w:rsidRPr="00F319A1" w:rsidRDefault="00344C8E" w:rsidP="003508FB">
            <w:pPr>
              <w:pStyle w:val="TableText"/>
              <w:rPr>
                <w:b/>
                <w:color w:val="780000"/>
              </w:rPr>
            </w:pPr>
          </w:p>
        </w:tc>
        <w:tc>
          <w:tcPr>
            <w:tcW w:w="1577" w:type="dxa"/>
            <w:tcBorders>
              <w:bottom w:val="single" w:sz="8" w:space="0" w:color="A6A6A6" w:themeColor="background1" w:themeShade="A6"/>
            </w:tcBorders>
            <w:noWrap/>
            <w:hideMark/>
          </w:tcPr>
          <w:p w:rsidR="00344C8E" w:rsidRPr="00F319A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rPr>
                <w:b/>
                <w:color w:val="780000"/>
              </w:rPr>
            </w:pPr>
            <w:r w:rsidRPr="00F319A1">
              <w:rPr>
                <w:b/>
                <w:color w:val="780000"/>
              </w:rPr>
              <w:t>Number of sales</w:t>
            </w:r>
          </w:p>
        </w:tc>
        <w:tc>
          <w:tcPr>
            <w:tcW w:w="2469" w:type="dxa"/>
            <w:tcBorders>
              <w:bottom w:val="single" w:sz="8" w:space="0" w:color="A6A6A6" w:themeColor="background1" w:themeShade="A6"/>
            </w:tcBorders>
            <w:noWrap/>
            <w:hideMark/>
          </w:tcPr>
          <w:p w:rsidR="00344C8E" w:rsidRPr="00F319A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rPr>
                <w:b/>
                <w:color w:val="780000"/>
              </w:rPr>
            </w:pPr>
            <w:r w:rsidRPr="00F319A1">
              <w:rPr>
                <w:b/>
                <w:color w:val="780000"/>
              </w:rPr>
              <w:t>Average sale price ($/m2)</w:t>
            </w:r>
          </w:p>
        </w:tc>
        <w:tc>
          <w:tcPr>
            <w:tcW w:w="1577" w:type="dxa"/>
            <w:tcBorders>
              <w:bottom w:val="single" w:sz="8" w:space="0" w:color="A6A6A6" w:themeColor="background1" w:themeShade="A6"/>
            </w:tcBorders>
            <w:noWrap/>
            <w:hideMark/>
          </w:tcPr>
          <w:p w:rsidR="00344C8E" w:rsidRPr="00F319A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rPr>
                <w:b/>
                <w:color w:val="780000"/>
              </w:rPr>
            </w:pPr>
            <w:r w:rsidRPr="00F319A1">
              <w:rPr>
                <w:b/>
                <w:color w:val="780000"/>
              </w:rPr>
              <w:t>Number of sales</w:t>
            </w:r>
          </w:p>
        </w:tc>
        <w:tc>
          <w:tcPr>
            <w:tcW w:w="2469" w:type="dxa"/>
            <w:tcBorders>
              <w:bottom w:val="single" w:sz="8" w:space="0" w:color="A6A6A6" w:themeColor="background1" w:themeShade="A6"/>
            </w:tcBorders>
            <w:noWrap/>
            <w:hideMark/>
          </w:tcPr>
          <w:p w:rsidR="00344C8E" w:rsidRPr="00F319A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rPr>
                <w:b/>
                <w:color w:val="780000"/>
              </w:rPr>
            </w:pPr>
            <w:r w:rsidRPr="00F319A1">
              <w:rPr>
                <w:b/>
                <w:color w:val="780000"/>
              </w:rPr>
              <w:t>Average sale price ($/m2)</w:t>
            </w:r>
          </w:p>
        </w:tc>
      </w:tr>
      <w:tr w:rsidR="00344C8E" w:rsidRPr="004C33D1" w:rsidTr="00236ADF">
        <w:tblPrEx>
          <w:tblCellMar>
            <w:top w:w="0" w:type="dxa"/>
            <w:left w:w="0" w:type="dxa"/>
            <w:bottom w:w="0" w:type="dxa"/>
            <w:right w:w="0"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1268" w:type="dxa"/>
            <w:tcBorders>
              <w:top w:val="single" w:sz="8" w:space="0" w:color="A6A6A6" w:themeColor="background1" w:themeShade="A6"/>
            </w:tcBorders>
            <w:noWrap/>
            <w:hideMark/>
          </w:tcPr>
          <w:p w:rsidR="00344C8E" w:rsidRPr="004C33D1" w:rsidRDefault="00344C8E" w:rsidP="003508FB">
            <w:pPr>
              <w:pStyle w:val="TableText"/>
            </w:pPr>
            <w:r w:rsidRPr="004C33D1">
              <w:t>2000</w:t>
            </w:r>
          </w:p>
        </w:tc>
        <w:tc>
          <w:tcPr>
            <w:tcW w:w="1577" w:type="dxa"/>
            <w:tcBorders>
              <w:top w:val="single" w:sz="8" w:space="0" w:color="A6A6A6" w:themeColor="background1" w:themeShade="A6"/>
            </w:tcBorders>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244</w:t>
            </w:r>
          </w:p>
        </w:tc>
        <w:tc>
          <w:tcPr>
            <w:tcW w:w="2469" w:type="dxa"/>
            <w:tcBorders>
              <w:top w:val="single" w:sz="8" w:space="0" w:color="A6A6A6" w:themeColor="background1" w:themeShade="A6"/>
            </w:tcBorders>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$3,228</w:t>
            </w:r>
          </w:p>
        </w:tc>
        <w:tc>
          <w:tcPr>
            <w:tcW w:w="1577" w:type="dxa"/>
            <w:tcBorders>
              <w:top w:val="single" w:sz="8" w:space="0" w:color="A6A6A6" w:themeColor="background1" w:themeShade="A6"/>
            </w:tcBorders>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205</w:t>
            </w:r>
          </w:p>
        </w:tc>
        <w:tc>
          <w:tcPr>
            <w:tcW w:w="2469" w:type="dxa"/>
            <w:tcBorders>
              <w:top w:val="single" w:sz="8" w:space="0" w:color="A6A6A6" w:themeColor="background1" w:themeShade="A6"/>
            </w:tcBorders>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$3,018</w:t>
            </w:r>
          </w:p>
        </w:tc>
      </w:tr>
      <w:tr w:rsidR="00344C8E" w:rsidRPr="004C33D1" w:rsidTr="00236ADF">
        <w:tblPrEx>
          <w:tblCellMar>
            <w:top w:w="0" w:type="dxa"/>
            <w:left w:w="0" w:type="dxa"/>
            <w:bottom w:w="0" w:type="dxa"/>
            <w:right w:w="0"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1268" w:type="dxa"/>
            <w:noWrap/>
            <w:hideMark/>
          </w:tcPr>
          <w:p w:rsidR="00344C8E" w:rsidRPr="004C33D1" w:rsidRDefault="00344C8E" w:rsidP="003508FB">
            <w:pPr>
              <w:pStyle w:val="TableText"/>
            </w:pPr>
            <w:r w:rsidRPr="004C33D1">
              <w:t>2001</w:t>
            </w:r>
          </w:p>
        </w:tc>
        <w:tc>
          <w:tcPr>
            <w:tcW w:w="1577"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500</w:t>
            </w:r>
          </w:p>
        </w:tc>
        <w:tc>
          <w:tcPr>
            <w:tcW w:w="2469"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$3,344</w:t>
            </w:r>
          </w:p>
        </w:tc>
        <w:tc>
          <w:tcPr>
            <w:tcW w:w="1577"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261</w:t>
            </w:r>
          </w:p>
        </w:tc>
        <w:tc>
          <w:tcPr>
            <w:tcW w:w="2469"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$2,999</w:t>
            </w:r>
          </w:p>
        </w:tc>
      </w:tr>
      <w:tr w:rsidR="00344C8E" w:rsidRPr="004C33D1" w:rsidTr="00236ADF">
        <w:tblPrEx>
          <w:tblCellMar>
            <w:top w:w="0" w:type="dxa"/>
            <w:left w:w="0" w:type="dxa"/>
            <w:bottom w:w="0" w:type="dxa"/>
            <w:right w:w="0"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1268" w:type="dxa"/>
            <w:noWrap/>
            <w:hideMark/>
          </w:tcPr>
          <w:p w:rsidR="00344C8E" w:rsidRPr="004C33D1" w:rsidRDefault="00344C8E" w:rsidP="003508FB">
            <w:pPr>
              <w:pStyle w:val="TableText"/>
            </w:pPr>
            <w:r w:rsidRPr="004C33D1">
              <w:t>2002</w:t>
            </w:r>
          </w:p>
        </w:tc>
        <w:tc>
          <w:tcPr>
            <w:tcW w:w="1577"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946</w:t>
            </w:r>
          </w:p>
        </w:tc>
        <w:tc>
          <w:tcPr>
            <w:tcW w:w="2469"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$3,903</w:t>
            </w:r>
          </w:p>
        </w:tc>
        <w:tc>
          <w:tcPr>
            <w:tcW w:w="1577"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398</w:t>
            </w:r>
          </w:p>
        </w:tc>
        <w:tc>
          <w:tcPr>
            <w:tcW w:w="2469"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$3,441</w:t>
            </w:r>
          </w:p>
        </w:tc>
      </w:tr>
      <w:tr w:rsidR="00344C8E" w:rsidRPr="004C33D1" w:rsidTr="00236ADF">
        <w:tblPrEx>
          <w:tblCellMar>
            <w:top w:w="0" w:type="dxa"/>
            <w:left w:w="0" w:type="dxa"/>
            <w:bottom w:w="0" w:type="dxa"/>
            <w:right w:w="0"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1268" w:type="dxa"/>
            <w:noWrap/>
            <w:hideMark/>
          </w:tcPr>
          <w:p w:rsidR="00344C8E" w:rsidRPr="004C33D1" w:rsidRDefault="00344C8E" w:rsidP="003508FB">
            <w:pPr>
              <w:pStyle w:val="TableText"/>
            </w:pPr>
            <w:r w:rsidRPr="004C33D1">
              <w:t>2003</w:t>
            </w:r>
          </w:p>
        </w:tc>
        <w:tc>
          <w:tcPr>
            <w:tcW w:w="1577"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2024</w:t>
            </w:r>
          </w:p>
        </w:tc>
        <w:tc>
          <w:tcPr>
            <w:tcW w:w="2469"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$4,518</w:t>
            </w:r>
          </w:p>
        </w:tc>
        <w:tc>
          <w:tcPr>
            <w:tcW w:w="1577"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322</w:t>
            </w:r>
          </w:p>
        </w:tc>
        <w:tc>
          <w:tcPr>
            <w:tcW w:w="2469"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$3,526</w:t>
            </w:r>
          </w:p>
        </w:tc>
      </w:tr>
      <w:tr w:rsidR="00344C8E" w:rsidRPr="004C33D1" w:rsidTr="00236ADF">
        <w:tblPrEx>
          <w:tblCellMar>
            <w:top w:w="0" w:type="dxa"/>
            <w:left w:w="0" w:type="dxa"/>
            <w:bottom w:w="0" w:type="dxa"/>
            <w:right w:w="0"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1268" w:type="dxa"/>
            <w:noWrap/>
            <w:hideMark/>
          </w:tcPr>
          <w:p w:rsidR="00344C8E" w:rsidRPr="004C33D1" w:rsidRDefault="00344C8E" w:rsidP="003508FB">
            <w:pPr>
              <w:pStyle w:val="TableText"/>
            </w:pPr>
            <w:r w:rsidRPr="004C33D1">
              <w:t>2004</w:t>
            </w:r>
          </w:p>
        </w:tc>
        <w:tc>
          <w:tcPr>
            <w:tcW w:w="1577"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1682</w:t>
            </w:r>
          </w:p>
        </w:tc>
        <w:tc>
          <w:tcPr>
            <w:tcW w:w="2469"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$4,670</w:t>
            </w:r>
          </w:p>
        </w:tc>
        <w:tc>
          <w:tcPr>
            <w:tcW w:w="1577"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339</w:t>
            </w:r>
          </w:p>
        </w:tc>
        <w:tc>
          <w:tcPr>
            <w:tcW w:w="2469"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$3,817</w:t>
            </w:r>
          </w:p>
        </w:tc>
      </w:tr>
      <w:tr w:rsidR="00344C8E" w:rsidRPr="004C33D1" w:rsidTr="00236ADF">
        <w:tblPrEx>
          <w:tblCellMar>
            <w:top w:w="0" w:type="dxa"/>
            <w:left w:w="0" w:type="dxa"/>
            <w:bottom w:w="0" w:type="dxa"/>
            <w:right w:w="0"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1268" w:type="dxa"/>
            <w:noWrap/>
            <w:hideMark/>
          </w:tcPr>
          <w:p w:rsidR="00344C8E" w:rsidRPr="004C33D1" w:rsidRDefault="00344C8E" w:rsidP="003508FB">
            <w:pPr>
              <w:pStyle w:val="TableText"/>
            </w:pPr>
            <w:r w:rsidRPr="004C33D1">
              <w:t>2005</w:t>
            </w:r>
          </w:p>
        </w:tc>
        <w:tc>
          <w:tcPr>
            <w:tcW w:w="1577"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1597</w:t>
            </w:r>
          </w:p>
        </w:tc>
        <w:tc>
          <w:tcPr>
            <w:tcW w:w="2469"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$4,869</w:t>
            </w:r>
          </w:p>
        </w:tc>
        <w:tc>
          <w:tcPr>
            <w:tcW w:w="1577"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285</w:t>
            </w:r>
          </w:p>
        </w:tc>
        <w:tc>
          <w:tcPr>
            <w:tcW w:w="2469"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$4,261</w:t>
            </w:r>
          </w:p>
        </w:tc>
      </w:tr>
      <w:tr w:rsidR="00344C8E" w:rsidRPr="004C33D1" w:rsidTr="00236ADF">
        <w:tblPrEx>
          <w:tblCellMar>
            <w:top w:w="0" w:type="dxa"/>
            <w:left w:w="0" w:type="dxa"/>
            <w:bottom w:w="0" w:type="dxa"/>
            <w:right w:w="0"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1268" w:type="dxa"/>
            <w:noWrap/>
            <w:hideMark/>
          </w:tcPr>
          <w:p w:rsidR="00344C8E" w:rsidRPr="004C33D1" w:rsidRDefault="00344C8E" w:rsidP="003508FB">
            <w:pPr>
              <w:pStyle w:val="TableText"/>
            </w:pPr>
            <w:r w:rsidRPr="004C33D1">
              <w:t>2006</w:t>
            </w:r>
          </w:p>
        </w:tc>
        <w:tc>
          <w:tcPr>
            <w:tcW w:w="1577"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1926</w:t>
            </w:r>
          </w:p>
        </w:tc>
        <w:tc>
          <w:tcPr>
            <w:tcW w:w="2469"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$5,303</w:t>
            </w:r>
          </w:p>
        </w:tc>
        <w:tc>
          <w:tcPr>
            <w:tcW w:w="1577"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257</w:t>
            </w:r>
          </w:p>
        </w:tc>
        <w:tc>
          <w:tcPr>
            <w:tcW w:w="2469"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$4,620</w:t>
            </w:r>
          </w:p>
        </w:tc>
      </w:tr>
      <w:tr w:rsidR="00344C8E" w:rsidRPr="004C33D1" w:rsidTr="00236ADF">
        <w:tblPrEx>
          <w:tblCellMar>
            <w:top w:w="0" w:type="dxa"/>
            <w:left w:w="0" w:type="dxa"/>
            <w:bottom w:w="0" w:type="dxa"/>
            <w:right w:w="0"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1268" w:type="dxa"/>
            <w:noWrap/>
            <w:hideMark/>
          </w:tcPr>
          <w:p w:rsidR="00344C8E" w:rsidRPr="004C33D1" w:rsidRDefault="00344C8E" w:rsidP="003508FB">
            <w:pPr>
              <w:pStyle w:val="TableText"/>
            </w:pPr>
            <w:r w:rsidRPr="004C33D1">
              <w:t>2007</w:t>
            </w:r>
          </w:p>
        </w:tc>
        <w:tc>
          <w:tcPr>
            <w:tcW w:w="1577"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1260</w:t>
            </w:r>
          </w:p>
        </w:tc>
        <w:tc>
          <w:tcPr>
            <w:tcW w:w="2469"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$5,197</w:t>
            </w:r>
          </w:p>
        </w:tc>
        <w:tc>
          <w:tcPr>
            <w:tcW w:w="1577"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521</w:t>
            </w:r>
          </w:p>
        </w:tc>
        <w:tc>
          <w:tcPr>
            <w:tcW w:w="2469"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$6,099</w:t>
            </w:r>
          </w:p>
        </w:tc>
      </w:tr>
      <w:tr w:rsidR="00344C8E" w:rsidRPr="004C33D1" w:rsidTr="00236ADF">
        <w:tblPrEx>
          <w:tblCellMar>
            <w:top w:w="0" w:type="dxa"/>
            <w:left w:w="0" w:type="dxa"/>
            <w:bottom w:w="0" w:type="dxa"/>
            <w:right w:w="0"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1268" w:type="dxa"/>
            <w:noWrap/>
            <w:hideMark/>
          </w:tcPr>
          <w:p w:rsidR="00344C8E" w:rsidRPr="004C33D1" w:rsidRDefault="00344C8E" w:rsidP="003508FB">
            <w:pPr>
              <w:pStyle w:val="TableText"/>
            </w:pPr>
            <w:r w:rsidRPr="004C33D1">
              <w:t>2008</w:t>
            </w:r>
          </w:p>
        </w:tc>
        <w:tc>
          <w:tcPr>
            <w:tcW w:w="1577"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781</w:t>
            </w:r>
          </w:p>
        </w:tc>
        <w:tc>
          <w:tcPr>
            <w:tcW w:w="2469"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$5,127</w:t>
            </w:r>
          </w:p>
        </w:tc>
        <w:tc>
          <w:tcPr>
            <w:tcW w:w="1577"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168</w:t>
            </w:r>
          </w:p>
        </w:tc>
        <w:tc>
          <w:tcPr>
            <w:tcW w:w="2469"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$5,497</w:t>
            </w:r>
          </w:p>
        </w:tc>
      </w:tr>
      <w:tr w:rsidR="00344C8E" w:rsidRPr="004C33D1" w:rsidTr="00236ADF">
        <w:tblPrEx>
          <w:tblCellMar>
            <w:top w:w="0" w:type="dxa"/>
            <w:left w:w="0" w:type="dxa"/>
            <w:bottom w:w="0" w:type="dxa"/>
            <w:right w:w="0"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1268" w:type="dxa"/>
            <w:noWrap/>
            <w:hideMark/>
          </w:tcPr>
          <w:p w:rsidR="00344C8E" w:rsidRPr="004C33D1" w:rsidRDefault="00344C8E" w:rsidP="003508FB">
            <w:pPr>
              <w:pStyle w:val="TableText"/>
            </w:pPr>
            <w:r w:rsidRPr="004C33D1">
              <w:t>2009</w:t>
            </w:r>
          </w:p>
        </w:tc>
        <w:tc>
          <w:tcPr>
            <w:tcW w:w="1577"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1031</w:t>
            </w:r>
          </w:p>
        </w:tc>
        <w:tc>
          <w:tcPr>
            <w:tcW w:w="2469"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$4,622</w:t>
            </w:r>
          </w:p>
        </w:tc>
        <w:tc>
          <w:tcPr>
            <w:tcW w:w="1577"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166</w:t>
            </w:r>
          </w:p>
        </w:tc>
        <w:tc>
          <w:tcPr>
            <w:tcW w:w="2469"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$5,494</w:t>
            </w:r>
          </w:p>
        </w:tc>
      </w:tr>
      <w:tr w:rsidR="00344C8E" w:rsidRPr="004C33D1" w:rsidTr="00236ADF">
        <w:tblPrEx>
          <w:tblCellMar>
            <w:top w:w="0" w:type="dxa"/>
            <w:left w:w="0" w:type="dxa"/>
            <w:bottom w:w="0" w:type="dxa"/>
            <w:right w:w="0"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1268" w:type="dxa"/>
            <w:noWrap/>
            <w:hideMark/>
          </w:tcPr>
          <w:p w:rsidR="00344C8E" w:rsidRPr="004C33D1" w:rsidRDefault="00344C8E" w:rsidP="003508FB">
            <w:pPr>
              <w:pStyle w:val="TableText"/>
            </w:pPr>
            <w:r w:rsidRPr="004C33D1">
              <w:t>2010</w:t>
            </w:r>
          </w:p>
        </w:tc>
        <w:tc>
          <w:tcPr>
            <w:tcW w:w="1577"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852</w:t>
            </w:r>
          </w:p>
        </w:tc>
        <w:tc>
          <w:tcPr>
            <w:tcW w:w="2469"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$4,635</w:t>
            </w:r>
          </w:p>
        </w:tc>
        <w:tc>
          <w:tcPr>
            <w:tcW w:w="1577"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250</w:t>
            </w:r>
          </w:p>
        </w:tc>
        <w:tc>
          <w:tcPr>
            <w:tcW w:w="2469"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$6,443</w:t>
            </w:r>
          </w:p>
        </w:tc>
      </w:tr>
      <w:tr w:rsidR="00344C8E" w:rsidRPr="004C33D1" w:rsidTr="00236ADF">
        <w:tblPrEx>
          <w:tblCellMar>
            <w:top w:w="0" w:type="dxa"/>
            <w:left w:w="0" w:type="dxa"/>
            <w:bottom w:w="0" w:type="dxa"/>
            <w:right w:w="0"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1268" w:type="dxa"/>
            <w:noWrap/>
            <w:hideMark/>
          </w:tcPr>
          <w:p w:rsidR="00344C8E" w:rsidRPr="004C33D1" w:rsidRDefault="00344C8E" w:rsidP="003508FB">
            <w:pPr>
              <w:pStyle w:val="TableText"/>
            </w:pPr>
            <w:r w:rsidRPr="004C33D1">
              <w:t>2011</w:t>
            </w:r>
          </w:p>
        </w:tc>
        <w:tc>
          <w:tcPr>
            <w:tcW w:w="1577"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1032</w:t>
            </w:r>
          </w:p>
        </w:tc>
        <w:tc>
          <w:tcPr>
            <w:tcW w:w="2469"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$4,502</w:t>
            </w:r>
          </w:p>
        </w:tc>
        <w:tc>
          <w:tcPr>
            <w:tcW w:w="1577"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155</w:t>
            </w:r>
          </w:p>
        </w:tc>
        <w:tc>
          <w:tcPr>
            <w:tcW w:w="2469"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$5,632</w:t>
            </w:r>
          </w:p>
        </w:tc>
      </w:tr>
      <w:tr w:rsidR="00344C8E" w:rsidRPr="004C33D1" w:rsidTr="00236ADF">
        <w:tblPrEx>
          <w:tblCellMar>
            <w:top w:w="0" w:type="dxa"/>
            <w:left w:w="0" w:type="dxa"/>
            <w:bottom w:w="0" w:type="dxa"/>
            <w:right w:w="0"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1268" w:type="dxa"/>
            <w:noWrap/>
            <w:hideMark/>
          </w:tcPr>
          <w:p w:rsidR="00344C8E" w:rsidRPr="004C33D1" w:rsidRDefault="00344C8E" w:rsidP="003508FB">
            <w:pPr>
              <w:pStyle w:val="TableText"/>
            </w:pPr>
            <w:r w:rsidRPr="004C33D1">
              <w:t>2012</w:t>
            </w:r>
          </w:p>
        </w:tc>
        <w:tc>
          <w:tcPr>
            <w:tcW w:w="1577"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1234</w:t>
            </w:r>
          </w:p>
        </w:tc>
        <w:tc>
          <w:tcPr>
            <w:tcW w:w="2469"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$4,750</w:t>
            </w:r>
          </w:p>
        </w:tc>
        <w:tc>
          <w:tcPr>
            <w:tcW w:w="1577"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222</w:t>
            </w:r>
          </w:p>
        </w:tc>
        <w:tc>
          <w:tcPr>
            <w:tcW w:w="2469"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$5,237</w:t>
            </w:r>
          </w:p>
        </w:tc>
      </w:tr>
      <w:tr w:rsidR="00344C8E" w:rsidRPr="004C33D1" w:rsidTr="00236ADF">
        <w:tblPrEx>
          <w:tblCellMar>
            <w:top w:w="0" w:type="dxa"/>
            <w:left w:w="0" w:type="dxa"/>
            <w:bottom w:w="0" w:type="dxa"/>
            <w:right w:w="0"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1268" w:type="dxa"/>
            <w:noWrap/>
            <w:hideMark/>
          </w:tcPr>
          <w:p w:rsidR="00344C8E" w:rsidRPr="004C33D1" w:rsidRDefault="00344C8E" w:rsidP="003508FB">
            <w:pPr>
              <w:pStyle w:val="TableText"/>
            </w:pPr>
            <w:r w:rsidRPr="004C33D1">
              <w:t>2013</w:t>
            </w:r>
          </w:p>
        </w:tc>
        <w:tc>
          <w:tcPr>
            <w:tcW w:w="1577"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1398</w:t>
            </w:r>
          </w:p>
        </w:tc>
        <w:tc>
          <w:tcPr>
            <w:tcW w:w="2469"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$5,239</w:t>
            </w:r>
          </w:p>
        </w:tc>
        <w:tc>
          <w:tcPr>
            <w:tcW w:w="1577"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147</w:t>
            </w:r>
          </w:p>
        </w:tc>
        <w:tc>
          <w:tcPr>
            <w:tcW w:w="2469"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$5,081</w:t>
            </w:r>
          </w:p>
        </w:tc>
      </w:tr>
      <w:tr w:rsidR="00344C8E" w:rsidRPr="004C33D1" w:rsidTr="00236ADF">
        <w:tblPrEx>
          <w:tblCellMar>
            <w:top w:w="0" w:type="dxa"/>
            <w:left w:w="0" w:type="dxa"/>
            <w:bottom w:w="0" w:type="dxa"/>
            <w:right w:w="0"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1268" w:type="dxa"/>
            <w:noWrap/>
            <w:hideMark/>
          </w:tcPr>
          <w:p w:rsidR="00344C8E" w:rsidRPr="004C33D1" w:rsidRDefault="00344C8E" w:rsidP="003508FB">
            <w:pPr>
              <w:pStyle w:val="TableText"/>
            </w:pPr>
            <w:r w:rsidRPr="004C33D1">
              <w:t>2014</w:t>
            </w:r>
          </w:p>
        </w:tc>
        <w:tc>
          <w:tcPr>
            <w:tcW w:w="1577"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1210</w:t>
            </w:r>
          </w:p>
        </w:tc>
        <w:tc>
          <w:tcPr>
            <w:tcW w:w="2469"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$5,505</w:t>
            </w:r>
          </w:p>
        </w:tc>
        <w:tc>
          <w:tcPr>
            <w:tcW w:w="1577"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167</w:t>
            </w:r>
          </w:p>
        </w:tc>
        <w:tc>
          <w:tcPr>
            <w:tcW w:w="2469" w:type="dxa"/>
            <w:noWrap/>
            <w:hideMark/>
          </w:tcPr>
          <w:p w:rsidR="00344C8E" w:rsidRPr="004C33D1" w:rsidRDefault="00344C8E" w:rsidP="003508FB">
            <w:pPr>
              <w:pStyle w:val="TableText"/>
              <w:jc w:val="center"/>
              <w:cnfStyle w:val="000000000000" w:firstRow="0" w:lastRow="0" w:firstColumn="0" w:lastColumn="0" w:oddVBand="0" w:evenVBand="0" w:oddHBand="0" w:evenHBand="0" w:firstRowFirstColumn="0" w:firstRowLastColumn="0" w:lastRowFirstColumn="0" w:lastRowLastColumn="0"/>
            </w:pPr>
            <w:r w:rsidRPr="004C33D1">
              <w:t>$5,156</w:t>
            </w:r>
          </w:p>
        </w:tc>
      </w:tr>
      <w:tr w:rsidR="00344C8E" w:rsidRPr="004C33D1" w:rsidTr="00236ADF">
        <w:tblPrEx>
          <w:tblCellMar>
            <w:top w:w="0" w:type="dxa"/>
            <w:left w:w="0" w:type="dxa"/>
            <w:bottom w:w="0" w:type="dxa"/>
            <w:right w:w="0" w:type="dxa"/>
          </w:tblCellMar>
        </w:tblPrEx>
        <w:trPr>
          <w:cnfStyle w:val="010000000000" w:firstRow="0" w:lastRow="1" w:firstColumn="0" w:lastColumn="0" w:oddVBand="0" w:evenVBand="0" w:oddHBand="0" w:evenHBand="0" w:firstRowFirstColumn="0" w:firstRowLastColumn="0" w:lastRowFirstColumn="0" w:lastRowLastColumn="0"/>
          <w:trHeight w:val="170"/>
        </w:trPr>
        <w:tc>
          <w:tcPr>
            <w:cnfStyle w:val="001000000001" w:firstRow="0" w:lastRow="0" w:firstColumn="1" w:lastColumn="0" w:oddVBand="0" w:evenVBand="0" w:oddHBand="0" w:evenHBand="0" w:firstRowFirstColumn="0" w:firstRowLastColumn="0" w:lastRowFirstColumn="1" w:lastRowLastColumn="0"/>
            <w:tcW w:w="1268" w:type="dxa"/>
            <w:noWrap/>
            <w:hideMark/>
          </w:tcPr>
          <w:p w:rsidR="00344C8E" w:rsidRPr="004C33D1" w:rsidRDefault="00344C8E" w:rsidP="003508FB">
            <w:pPr>
              <w:pStyle w:val="TableText"/>
            </w:pPr>
            <w:r w:rsidRPr="004C33D1">
              <w:t>2015</w:t>
            </w:r>
          </w:p>
        </w:tc>
        <w:tc>
          <w:tcPr>
            <w:tcW w:w="1577" w:type="dxa"/>
            <w:noWrap/>
            <w:hideMark/>
          </w:tcPr>
          <w:p w:rsidR="00344C8E" w:rsidRPr="004C33D1" w:rsidRDefault="00344C8E" w:rsidP="003508FB">
            <w:pPr>
              <w:pStyle w:val="TableText"/>
              <w:jc w:val="center"/>
              <w:cnfStyle w:val="010000000000" w:firstRow="0" w:lastRow="1" w:firstColumn="0" w:lastColumn="0" w:oddVBand="0" w:evenVBand="0" w:oddHBand="0" w:evenHBand="0" w:firstRowFirstColumn="0" w:firstRowLastColumn="0" w:lastRowFirstColumn="0" w:lastRowLastColumn="0"/>
            </w:pPr>
            <w:r w:rsidRPr="004C33D1">
              <w:t>1143</w:t>
            </w:r>
          </w:p>
        </w:tc>
        <w:tc>
          <w:tcPr>
            <w:tcW w:w="2469" w:type="dxa"/>
            <w:noWrap/>
            <w:hideMark/>
          </w:tcPr>
          <w:p w:rsidR="00344C8E" w:rsidRPr="004C33D1" w:rsidRDefault="00344C8E" w:rsidP="003508FB">
            <w:pPr>
              <w:pStyle w:val="TableText"/>
              <w:jc w:val="center"/>
              <w:cnfStyle w:val="010000000000" w:firstRow="0" w:lastRow="1" w:firstColumn="0" w:lastColumn="0" w:oddVBand="0" w:evenVBand="0" w:oddHBand="0" w:evenHBand="0" w:firstRowFirstColumn="0" w:firstRowLastColumn="0" w:lastRowFirstColumn="0" w:lastRowLastColumn="0"/>
            </w:pPr>
            <w:r w:rsidRPr="004C33D1">
              <w:t>$6,581</w:t>
            </w:r>
          </w:p>
        </w:tc>
        <w:tc>
          <w:tcPr>
            <w:tcW w:w="1577" w:type="dxa"/>
            <w:noWrap/>
            <w:hideMark/>
          </w:tcPr>
          <w:p w:rsidR="00344C8E" w:rsidRPr="004C33D1" w:rsidRDefault="00344C8E" w:rsidP="003508FB">
            <w:pPr>
              <w:pStyle w:val="TableText"/>
              <w:jc w:val="center"/>
              <w:cnfStyle w:val="010000000000" w:firstRow="0" w:lastRow="1" w:firstColumn="0" w:lastColumn="0" w:oddVBand="0" w:evenVBand="0" w:oddHBand="0" w:evenHBand="0" w:firstRowFirstColumn="0" w:firstRowLastColumn="0" w:lastRowFirstColumn="0" w:lastRowLastColumn="0"/>
            </w:pPr>
            <w:r w:rsidRPr="004C33D1">
              <w:t>140</w:t>
            </w:r>
          </w:p>
        </w:tc>
        <w:tc>
          <w:tcPr>
            <w:tcW w:w="2469" w:type="dxa"/>
            <w:noWrap/>
            <w:hideMark/>
          </w:tcPr>
          <w:p w:rsidR="00344C8E" w:rsidRPr="004C33D1" w:rsidRDefault="00344C8E" w:rsidP="003508FB">
            <w:pPr>
              <w:pStyle w:val="TableText"/>
              <w:jc w:val="center"/>
              <w:cnfStyle w:val="010000000000" w:firstRow="0" w:lastRow="1" w:firstColumn="0" w:lastColumn="0" w:oddVBand="0" w:evenVBand="0" w:oddHBand="0" w:evenHBand="0" w:firstRowFirstColumn="0" w:firstRowLastColumn="0" w:lastRowFirstColumn="0" w:lastRowLastColumn="0"/>
            </w:pPr>
            <w:r w:rsidRPr="004C33D1">
              <w:t>$5,407</w:t>
            </w:r>
          </w:p>
        </w:tc>
      </w:tr>
    </w:tbl>
    <w:p w:rsidR="00344C8E" w:rsidRPr="004C33D1" w:rsidRDefault="00344C8E" w:rsidP="00344C8E"/>
    <w:p w:rsidR="00344C8E" w:rsidRPr="004C33D1" w:rsidRDefault="00344C8E" w:rsidP="00344C8E">
      <w:r w:rsidRPr="004C33D1">
        <w:fldChar w:fldCharType="begin"/>
      </w:r>
      <w:r w:rsidRPr="004C33D1">
        <w:instrText xml:space="preserve"> REF _Ref455504938 \h </w:instrText>
      </w:r>
      <w:r w:rsidRPr="004C33D1">
        <w:fldChar w:fldCharType="separate"/>
      </w:r>
      <w:r w:rsidR="004D1DDA" w:rsidRPr="004C33D1">
        <w:t xml:space="preserve">Figure </w:t>
      </w:r>
      <w:r w:rsidR="004D1DDA">
        <w:rPr>
          <w:noProof/>
        </w:rPr>
        <w:t>46</w:t>
      </w:r>
      <w:r w:rsidRPr="004C33D1">
        <w:fldChar w:fldCharType="end"/>
      </w:r>
      <w:r w:rsidRPr="004C33D1">
        <w:t xml:space="preserve"> compares observed sale prices against marginal construction costs for high-rise apartments (8-24 storeys; medium size; high quality finish). Construction costs </w:t>
      </w:r>
      <w:proofErr w:type="gramStart"/>
      <w:r w:rsidRPr="004C33D1">
        <w:t>have been deflated to nominal NZD using the Capital Goods Price Index for Residential Construction, and adjusted dow</w:t>
      </w:r>
      <w:r w:rsidR="00236ADF">
        <w:t>nwards slightly for Wellington</w:t>
      </w:r>
      <w:proofErr w:type="gramEnd"/>
      <w:r w:rsidR="00236ADF">
        <w:t>.</w:t>
      </w:r>
    </w:p>
    <w:p w:rsidR="00344C8E" w:rsidRPr="004C33D1" w:rsidRDefault="00344C8E" w:rsidP="00E02811">
      <w:pPr>
        <w:pStyle w:val="Caption"/>
      </w:pPr>
      <w:bookmarkStart w:id="469" w:name="_Ref455504938"/>
      <w:r w:rsidRPr="004C33D1">
        <w:t xml:space="preserve">Figure </w:t>
      </w:r>
      <w:r w:rsidRPr="004C33D1">
        <w:fldChar w:fldCharType="begin"/>
      </w:r>
      <w:r w:rsidRPr="004C33D1">
        <w:instrText xml:space="preserve"> SEQ Figure \* ARABIC </w:instrText>
      </w:r>
      <w:r w:rsidRPr="004C33D1">
        <w:fldChar w:fldCharType="separate"/>
      </w:r>
      <w:r w:rsidR="004D1DDA">
        <w:rPr>
          <w:noProof/>
        </w:rPr>
        <w:t>46</w:t>
      </w:r>
      <w:r w:rsidRPr="004C33D1">
        <w:fldChar w:fldCharType="end"/>
      </w:r>
      <w:bookmarkEnd w:id="469"/>
      <w:r w:rsidRPr="004C33D1">
        <w:t xml:space="preserve"> Ratio of apartment sale prices to marginal construction costs</w:t>
      </w:r>
    </w:p>
    <w:p w:rsidR="00344C8E" w:rsidRPr="004C33D1" w:rsidRDefault="00344C8E" w:rsidP="00344C8E">
      <w:r w:rsidRPr="004C33D1">
        <w:rPr>
          <w:noProof/>
          <w:lang w:eastAsia="en-NZ"/>
        </w:rPr>
        <w:drawing>
          <wp:inline distT="0" distB="0" distL="0" distR="0" wp14:anchorId="65721609" wp14:editId="64C43381">
            <wp:extent cx="2560320" cy="1706984"/>
            <wp:effectExtent l="0" t="0" r="508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560320" cy="1706984"/>
                    </a:xfrm>
                    <a:prstGeom prst="rect">
                      <a:avLst/>
                    </a:prstGeom>
                  </pic:spPr>
                </pic:pic>
              </a:graphicData>
            </a:graphic>
          </wp:inline>
        </w:drawing>
      </w:r>
      <w:r w:rsidRPr="004C33D1">
        <w:rPr>
          <w:noProof/>
          <w:lang w:eastAsia="en-NZ"/>
        </w:rPr>
        <w:drawing>
          <wp:inline distT="0" distB="0" distL="0" distR="0" wp14:anchorId="55F8CCB4" wp14:editId="44D2045C">
            <wp:extent cx="2560320" cy="1706984"/>
            <wp:effectExtent l="0" t="0" r="508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560320" cy="1706984"/>
                    </a:xfrm>
                    <a:prstGeom prst="rect">
                      <a:avLst/>
                    </a:prstGeom>
                  </pic:spPr>
                </pic:pic>
              </a:graphicData>
            </a:graphic>
          </wp:inline>
        </w:drawing>
      </w:r>
    </w:p>
    <w:p w:rsidR="00344C8E" w:rsidRPr="004C33D1" w:rsidRDefault="00344C8E" w:rsidP="00344C8E">
      <w:pPr>
        <w:pStyle w:val="ListParagraph"/>
        <w:numPr>
          <w:ilvl w:val="0"/>
          <w:numId w:val="0"/>
        </w:numPr>
        <w:rPr>
          <w:sz w:val="18"/>
          <w:szCs w:val="18"/>
        </w:rPr>
      </w:pPr>
      <w:r w:rsidRPr="004C33D1">
        <w:rPr>
          <w:sz w:val="18"/>
          <w:szCs w:val="18"/>
        </w:rPr>
        <w:t xml:space="preserve">Source: Consultants’ analysis of CoreLogic property sales data; </w:t>
      </w:r>
      <w:proofErr w:type="spellStart"/>
      <w:r w:rsidRPr="004C33D1">
        <w:rPr>
          <w:sz w:val="18"/>
          <w:szCs w:val="18"/>
        </w:rPr>
        <w:t>Luen</w:t>
      </w:r>
      <w:proofErr w:type="spellEnd"/>
      <w:r w:rsidRPr="004C33D1">
        <w:rPr>
          <w:sz w:val="18"/>
          <w:szCs w:val="18"/>
        </w:rPr>
        <w:t xml:space="preserve"> (2014); Statistics NZ CGPI</w:t>
      </w:r>
    </w:p>
    <w:p w:rsidR="00344C8E" w:rsidRDefault="00344C8E" w:rsidP="00344C8E">
      <w:pPr>
        <w:spacing w:line="240" w:lineRule="auto"/>
      </w:pPr>
    </w:p>
    <w:p w:rsidR="00236ADF" w:rsidRPr="004C33D1" w:rsidRDefault="00236ADF" w:rsidP="00236ADF">
      <w:r w:rsidRPr="004C33D1">
        <w:fldChar w:fldCharType="begin"/>
      </w:r>
      <w:r w:rsidRPr="004C33D1">
        <w:instrText xml:space="preserve"> REF _Ref455504938 \h </w:instrText>
      </w:r>
      <w:r w:rsidRPr="004C33D1">
        <w:fldChar w:fldCharType="separate"/>
      </w:r>
      <w:r w:rsidR="004D1DDA" w:rsidRPr="004C33D1">
        <w:t xml:space="preserve">Figure </w:t>
      </w:r>
      <w:r w:rsidR="004D1DDA">
        <w:rPr>
          <w:noProof/>
        </w:rPr>
        <w:t>46</w:t>
      </w:r>
      <w:r w:rsidRPr="004C33D1">
        <w:fldChar w:fldCharType="end"/>
      </w:r>
      <w:r w:rsidRPr="004C33D1">
        <w:t xml:space="preserve"> shows that apartment prices have consistently been above marginal construction costs in both cities throughout the entire </w:t>
      </w:r>
      <w:proofErr w:type="gramStart"/>
      <w:r w:rsidRPr="004C33D1">
        <w:t>time period</w:t>
      </w:r>
      <w:proofErr w:type="gramEnd"/>
      <w:r w:rsidRPr="004C33D1">
        <w:t xml:space="preserve">. However, there is a </w:t>
      </w:r>
      <w:r w:rsidRPr="004C33D1">
        <w:lastRenderedPageBreak/>
        <w:t>marked difference in the trend. In Wellington, apartment prices have fallen relative to build costs over the last five years, while in Auc</w:t>
      </w:r>
      <w:r>
        <w:t>kland they have risen markedly.</w:t>
      </w:r>
    </w:p>
    <w:p w:rsidR="00236ADF" w:rsidRPr="004C33D1" w:rsidRDefault="00236ADF" w:rsidP="00344C8E">
      <w:pPr>
        <w:spacing w:line="240" w:lineRule="auto"/>
      </w:pPr>
    </w:p>
    <w:p w:rsidR="00236ADF" w:rsidRPr="004C33D1" w:rsidRDefault="00236ADF" w:rsidP="00236ADF">
      <w:r w:rsidRPr="004C33D1">
        <w:t xml:space="preserve">Furthermore, the dotted lines that show the distribution of prices indicate that less than one in four </w:t>
      </w:r>
      <w:proofErr w:type="gramStart"/>
      <w:r w:rsidRPr="004C33D1">
        <w:t>apartments</w:t>
      </w:r>
      <w:proofErr w:type="gramEnd"/>
      <w:r w:rsidRPr="004C33D1">
        <w:t xml:space="preserve"> sells for less than marginal construction costs – a surprising finding given that we would expect apartments to depreciate over time.</w:t>
      </w:r>
    </w:p>
    <w:p w:rsidR="00236ADF" w:rsidRDefault="00236ADF" w:rsidP="00344C8E">
      <w:pPr>
        <w:spacing w:line="240" w:lineRule="auto"/>
      </w:pPr>
    </w:p>
    <w:p w:rsidR="00344C8E" w:rsidRPr="004C33D1" w:rsidRDefault="00344C8E" w:rsidP="00344C8E">
      <w:pPr>
        <w:spacing w:line="240" w:lineRule="auto"/>
      </w:pPr>
      <w:r w:rsidRPr="004C33D1">
        <w:t>While th</w:t>
      </w:r>
      <w:r w:rsidR="00E44C45" w:rsidRPr="004C33D1">
        <w:t>ese data suggest</w:t>
      </w:r>
      <w:r w:rsidRPr="004C33D1">
        <w:t xml:space="preserve"> that apartment sale prices have consistently exceeded marginal construction costs in both cities, </w:t>
      </w:r>
      <w:r w:rsidR="00E44C45" w:rsidRPr="004C33D1">
        <w:t xml:space="preserve">they do </w:t>
      </w:r>
      <w:r w:rsidRPr="004C33D1">
        <w:t xml:space="preserve">not provide conclusive evidence of a problem with planning regulations. For example, rising prices </w:t>
      </w:r>
      <w:r w:rsidR="00E44C45" w:rsidRPr="004C33D1">
        <w:t xml:space="preserve">may </w:t>
      </w:r>
      <w:r w:rsidRPr="004C33D1">
        <w:t xml:space="preserve">provoke a supply response, albeit with a slight lag due to the time required to get </w:t>
      </w:r>
      <w:r w:rsidR="005570ED">
        <w:t>apartment development underway.</w:t>
      </w:r>
    </w:p>
    <w:p w:rsidR="005570ED" w:rsidRDefault="005570ED" w:rsidP="005570ED">
      <w:pPr>
        <w:pStyle w:val="Annex2"/>
      </w:pPr>
      <w:bookmarkStart w:id="470" w:name="_Toc462582258"/>
      <w:r>
        <w:t>Estimating Marginal Construction Costs</w:t>
      </w:r>
      <w:bookmarkEnd w:id="470"/>
    </w:p>
    <w:p w:rsidR="00D83B52" w:rsidRPr="004C33D1" w:rsidRDefault="00D83B52" w:rsidP="00D83B52">
      <w:r w:rsidRPr="004C33D1">
        <w:t>We employ a conservative approach to estimating marginal construction costs to ensure the robustness of our results. In particular, we:</w:t>
      </w:r>
    </w:p>
    <w:p w:rsidR="00D83B52" w:rsidRPr="004C33D1" w:rsidRDefault="00D83B52" w:rsidP="00D83B52"/>
    <w:p w:rsidR="00D83B52" w:rsidRPr="004C33D1" w:rsidRDefault="00D83B52" w:rsidP="00411653">
      <w:pPr>
        <w:pStyle w:val="ListParagraph"/>
        <w:numPr>
          <w:ilvl w:val="0"/>
          <w:numId w:val="22"/>
        </w:numPr>
      </w:pPr>
      <w:r w:rsidRPr="004C33D1">
        <w:t>Compare apartment sale prices against the highest available construction cost estimates – ie construction costs for high-quality apartments – although some apartments are built to a lower standard and at a lower cost;</w:t>
      </w:r>
    </w:p>
    <w:p w:rsidR="00D83B52" w:rsidRPr="004C33D1" w:rsidRDefault="00D83B52" w:rsidP="00411653">
      <w:pPr>
        <w:pStyle w:val="ListParagraph"/>
        <w:numPr>
          <w:ilvl w:val="0"/>
          <w:numId w:val="22"/>
        </w:numPr>
      </w:pPr>
      <w:r w:rsidRPr="004C33D1">
        <w:t>Include decks in our estimate of building floorspace – assuming that the average deck takes up 8m</w:t>
      </w:r>
      <w:r w:rsidRPr="004C33D1">
        <w:rPr>
          <w:vertAlign w:val="superscript"/>
        </w:rPr>
        <w:t>2</w:t>
      </w:r>
      <w:r w:rsidRPr="004C33D1">
        <w:t xml:space="preserve"> of space and costs the same to construct as the equivalent area of floorspace; and</w:t>
      </w:r>
    </w:p>
    <w:p w:rsidR="00D83B52" w:rsidRPr="004C33D1" w:rsidRDefault="00D83B52" w:rsidP="00411653">
      <w:pPr>
        <w:pStyle w:val="ListParagraph"/>
        <w:numPr>
          <w:ilvl w:val="0"/>
          <w:numId w:val="22"/>
        </w:numPr>
      </w:pPr>
      <w:r w:rsidRPr="004C33D1">
        <w:t>Ignore depreciation for older dwellings – ie not adjusting construction costs downward for older apartments that are likely to require renovation to bring them up to the same standard as a new apartment.</w:t>
      </w:r>
    </w:p>
    <w:p w:rsidR="00D83B52" w:rsidRPr="004C33D1" w:rsidRDefault="00D83B52" w:rsidP="00D83B52"/>
    <w:p w:rsidR="00D83B52" w:rsidRDefault="00D83B52" w:rsidP="00D83B52">
      <w:r w:rsidRPr="004C33D1">
        <w:fldChar w:fldCharType="begin"/>
      </w:r>
      <w:r w:rsidRPr="004C33D1">
        <w:instrText xml:space="preserve"> REF _Ref454614917 \h </w:instrText>
      </w:r>
      <w:r w:rsidRPr="004C33D1">
        <w:fldChar w:fldCharType="separate"/>
      </w:r>
      <w:r w:rsidR="004D1DDA" w:rsidRPr="004C33D1">
        <w:t xml:space="preserve">Table </w:t>
      </w:r>
      <w:r w:rsidR="004D1DDA">
        <w:rPr>
          <w:noProof/>
        </w:rPr>
        <w:t>27</w:t>
      </w:r>
      <w:r w:rsidRPr="004C33D1">
        <w:fldChar w:fldCharType="end"/>
      </w:r>
      <w:r w:rsidRPr="004C33D1">
        <w:t xml:space="preserve"> summarises some data on construction costs for apartments and office buildings in Auckland and Wellington. Note that Wellington construction costs are generally similar to, but slightly lower than, Auckland construction costs. </w:t>
      </w:r>
    </w:p>
    <w:p w:rsidR="005006B0" w:rsidRDefault="005006B0" w:rsidP="00D83B52"/>
    <w:p w:rsidR="005006B0" w:rsidRPr="004C33D1" w:rsidRDefault="005006B0" w:rsidP="005006B0">
      <w:proofErr w:type="spellStart"/>
      <w:r w:rsidRPr="004C33D1">
        <w:t>Luen</w:t>
      </w:r>
      <w:proofErr w:type="spellEnd"/>
      <w:r w:rsidRPr="004C33D1">
        <w:t xml:space="preserve"> (2014) provides estimated construction costs for low-rise, mid-rise, and high-rise apartments of varying size and quality (</w:t>
      </w:r>
      <w:r w:rsidRPr="004C33D1">
        <w:fldChar w:fldCharType="begin"/>
      </w:r>
      <w:r w:rsidRPr="004C33D1">
        <w:instrText xml:space="preserve"> REF _Ref454735151 \h </w:instrText>
      </w:r>
      <w:r w:rsidRPr="004C33D1">
        <w:fldChar w:fldCharType="separate"/>
      </w:r>
      <w:r w:rsidR="004D1DDA" w:rsidRPr="004C33D1">
        <w:rPr>
          <w:bCs/>
        </w:rPr>
        <w:t xml:space="preserve">Table </w:t>
      </w:r>
      <w:r w:rsidR="004D1DDA">
        <w:rPr>
          <w:bCs/>
          <w:noProof/>
        </w:rPr>
        <w:t>28</w:t>
      </w:r>
      <w:r w:rsidRPr="004C33D1">
        <w:fldChar w:fldCharType="end"/>
      </w:r>
      <w:r w:rsidRPr="004C33D1">
        <w:t xml:space="preserve">). These costs are in the same approximate range as those in </w:t>
      </w:r>
      <w:r w:rsidRPr="004C33D1">
        <w:fldChar w:fldCharType="begin"/>
      </w:r>
      <w:r w:rsidRPr="004C33D1">
        <w:instrText xml:space="preserve"> REF _Ref454614917 \h </w:instrText>
      </w:r>
      <w:r w:rsidRPr="004C33D1">
        <w:fldChar w:fldCharType="separate"/>
      </w:r>
      <w:r w:rsidR="004D1DDA" w:rsidRPr="004C33D1">
        <w:t xml:space="preserve">Table </w:t>
      </w:r>
      <w:r w:rsidR="004D1DDA">
        <w:rPr>
          <w:noProof/>
        </w:rPr>
        <w:t>27</w:t>
      </w:r>
      <w:r w:rsidRPr="004C33D1">
        <w:fldChar w:fldCharType="end"/>
      </w:r>
      <w:r w:rsidRPr="004C33D1">
        <w:t>; however, they provide additional detail about how construction costs vary with building height. They show that construction costs rise as building height increases.</w:t>
      </w:r>
    </w:p>
    <w:p w:rsidR="005006B0" w:rsidRPr="004C33D1" w:rsidRDefault="005006B0" w:rsidP="005006B0"/>
    <w:p w:rsidR="005006B0" w:rsidRPr="004C33D1" w:rsidRDefault="005006B0" w:rsidP="005006B0">
      <w:r w:rsidRPr="004C33D1">
        <w:t xml:space="preserve">It is possible that </w:t>
      </w:r>
      <w:proofErr w:type="spellStart"/>
      <w:r w:rsidRPr="004C33D1">
        <w:t>Luen’s</w:t>
      </w:r>
      <w:proofErr w:type="spellEnd"/>
      <w:r w:rsidRPr="004C33D1">
        <w:t xml:space="preserve"> data underestimate marginal construction costs for some locations, eg where earthquake risks or challenging soil require additional strengthening for tall buildings. It may be necessary to obtain site-specific information on construction costs and techniques to assess whether this is likely to be the case.</w:t>
      </w:r>
    </w:p>
    <w:p w:rsidR="005006B0" w:rsidRDefault="005006B0" w:rsidP="00D83B52"/>
    <w:p w:rsidR="00236ADF" w:rsidRPr="004C33D1" w:rsidRDefault="00236ADF" w:rsidP="00D83B52"/>
    <w:p w:rsidR="00D83B52" w:rsidRPr="004C33D1" w:rsidRDefault="00D83B52" w:rsidP="00E02811">
      <w:pPr>
        <w:pStyle w:val="Caption"/>
      </w:pPr>
      <w:bookmarkStart w:id="471" w:name="_Ref454614917"/>
      <w:r w:rsidRPr="004C33D1">
        <w:t xml:space="preserve">Table </w:t>
      </w:r>
      <w:r w:rsidRPr="004C33D1">
        <w:fldChar w:fldCharType="begin"/>
      </w:r>
      <w:r w:rsidRPr="004C33D1">
        <w:instrText xml:space="preserve"> SEQ Table \* ARABIC </w:instrText>
      </w:r>
      <w:r w:rsidRPr="004C33D1">
        <w:fldChar w:fldCharType="separate"/>
      </w:r>
      <w:r w:rsidR="004D1DDA">
        <w:rPr>
          <w:noProof/>
        </w:rPr>
        <w:t>27</w:t>
      </w:r>
      <w:r w:rsidRPr="004C33D1">
        <w:fldChar w:fldCharType="end"/>
      </w:r>
      <w:bookmarkEnd w:id="471"/>
      <w:r w:rsidRPr="004C33D1">
        <w:t xml:space="preserve">: Construction cost estimates ($/m2) for high-rise buildings (Source: </w:t>
      </w:r>
      <w:proofErr w:type="spellStart"/>
      <w:r w:rsidRPr="004C33D1">
        <w:t>Rawlinsons</w:t>
      </w:r>
      <w:proofErr w:type="spellEnd"/>
      <w:r w:rsidRPr="004C33D1">
        <w:t>, 2013)</w:t>
      </w:r>
    </w:p>
    <w:tbl>
      <w:tblPr>
        <w:tblW w:w="8891" w:type="dxa"/>
        <w:tblInd w:w="113" w:type="dxa"/>
        <w:tblLayout w:type="fixed"/>
        <w:tblCellMar>
          <w:top w:w="28" w:type="dxa"/>
          <w:left w:w="57" w:type="dxa"/>
          <w:bottom w:w="28" w:type="dxa"/>
          <w:right w:w="57" w:type="dxa"/>
        </w:tblCellMar>
        <w:tblLook w:val="04E0" w:firstRow="1" w:lastRow="1" w:firstColumn="1" w:lastColumn="0" w:noHBand="0" w:noVBand="1"/>
      </w:tblPr>
      <w:tblGrid>
        <w:gridCol w:w="2557"/>
        <w:gridCol w:w="1038"/>
        <w:gridCol w:w="1059"/>
        <w:gridCol w:w="1059"/>
        <w:gridCol w:w="1059"/>
        <w:gridCol w:w="1059"/>
        <w:gridCol w:w="1060"/>
      </w:tblGrid>
      <w:tr w:rsidR="00D83B52" w:rsidRPr="004C33D1" w:rsidTr="00E71B09">
        <w:trPr>
          <w:trHeight w:val="170"/>
          <w:tblHeader/>
        </w:trPr>
        <w:tc>
          <w:tcPr>
            <w:tcW w:w="2557" w:type="dxa"/>
            <w:vMerge w:val="restart"/>
            <w:tcBorders>
              <w:bottom w:val="single" w:sz="8" w:space="0" w:color="A6A6A6"/>
            </w:tcBorders>
            <w:shd w:val="clear" w:color="auto" w:fill="auto"/>
            <w:noWrap/>
            <w:vAlign w:val="bottom"/>
            <w:hideMark/>
          </w:tcPr>
          <w:p w:rsidR="00D83B52" w:rsidRPr="004C33D1" w:rsidRDefault="00D83B52" w:rsidP="00E71B09">
            <w:pPr>
              <w:pStyle w:val="TableText"/>
              <w:rPr>
                <w:b/>
                <w:color w:val="780000"/>
              </w:rPr>
            </w:pPr>
            <w:r w:rsidRPr="004C33D1">
              <w:rPr>
                <w:b/>
                <w:color w:val="780000"/>
              </w:rPr>
              <w:t>Building type</w:t>
            </w:r>
          </w:p>
        </w:tc>
        <w:tc>
          <w:tcPr>
            <w:tcW w:w="2097" w:type="dxa"/>
            <w:gridSpan w:val="2"/>
            <w:tcBorders>
              <w:bottom w:val="single" w:sz="8" w:space="0" w:color="A6A6A6"/>
            </w:tcBorders>
            <w:shd w:val="pct15" w:color="auto" w:fill="auto"/>
            <w:noWrap/>
            <w:vAlign w:val="bottom"/>
            <w:hideMark/>
          </w:tcPr>
          <w:p w:rsidR="00D83B52" w:rsidRPr="004C33D1" w:rsidRDefault="00D83B52" w:rsidP="00E71B09">
            <w:pPr>
              <w:pStyle w:val="TableText"/>
              <w:jc w:val="center"/>
              <w:rPr>
                <w:b/>
                <w:color w:val="780000"/>
              </w:rPr>
            </w:pPr>
            <w:r w:rsidRPr="004C33D1">
              <w:rPr>
                <w:b/>
                <w:color w:val="780000"/>
              </w:rPr>
              <w:t>Auckland</w:t>
            </w:r>
          </w:p>
        </w:tc>
        <w:tc>
          <w:tcPr>
            <w:tcW w:w="2118" w:type="dxa"/>
            <w:gridSpan w:val="2"/>
            <w:tcBorders>
              <w:bottom w:val="single" w:sz="8" w:space="0" w:color="A6A6A6"/>
            </w:tcBorders>
            <w:shd w:val="clear" w:color="auto" w:fill="auto"/>
            <w:noWrap/>
            <w:vAlign w:val="bottom"/>
            <w:hideMark/>
          </w:tcPr>
          <w:p w:rsidR="00D83B52" w:rsidRPr="004C33D1" w:rsidRDefault="00D83B52" w:rsidP="00E71B09">
            <w:pPr>
              <w:pStyle w:val="TableText"/>
              <w:jc w:val="center"/>
              <w:rPr>
                <w:b/>
                <w:color w:val="780000"/>
              </w:rPr>
            </w:pPr>
            <w:r w:rsidRPr="004C33D1">
              <w:rPr>
                <w:b/>
                <w:color w:val="780000"/>
              </w:rPr>
              <w:t>Wellington</w:t>
            </w:r>
          </w:p>
        </w:tc>
        <w:tc>
          <w:tcPr>
            <w:tcW w:w="2119" w:type="dxa"/>
            <w:gridSpan w:val="2"/>
            <w:tcBorders>
              <w:bottom w:val="single" w:sz="8" w:space="0" w:color="A6A6A6"/>
            </w:tcBorders>
            <w:shd w:val="pct15" w:color="auto" w:fill="auto"/>
            <w:noWrap/>
            <w:vAlign w:val="bottom"/>
            <w:hideMark/>
          </w:tcPr>
          <w:p w:rsidR="00D83B52" w:rsidRPr="004C33D1" w:rsidRDefault="00D83B52" w:rsidP="00E71B09">
            <w:pPr>
              <w:pStyle w:val="TableText"/>
              <w:jc w:val="center"/>
              <w:rPr>
                <w:b/>
                <w:color w:val="780000"/>
              </w:rPr>
            </w:pPr>
            <w:r w:rsidRPr="004C33D1">
              <w:rPr>
                <w:b/>
                <w:color w:val="780000"/>
              </w:rPr>
              <w:t xml:space="preserve">Ratio of </w:t>
            </w:r>
            <w:proofErr w:type="spellStart"/>
            <w:r w:rsidRPr="004C33D1">
              <w:rPr>
                <w:b/>
                <w:color w:val="780000"/>
              </w:rPr>
              <w:t>Wgtn</w:t>
            </w:r>
            <w:proofErr w:type="spellEnd"/>
            <w:r w:rsidRPr="004C33D1">
              <w:rPr>
                <w:b/>
                <w:color w:val="780000"/>
              </w:rPr>
              <w:t xml:space="preserve"> to </w:t>
            </w:r>
            <w:proofErr w:type="spellStart"/>
            <w:r w:rsidRPr="004C33D1">
              <w:rPr>
                <w:b/>
                <w:color w:val="780000"/>
              </w:rPr>
              <w:t>Akl</w:t>
            </w:r>
            <w:proofErr w:type="spellEnd"/>
          </w:p>
        </w:tc>
      </w:tr>
      <w:tr w:rsidR="00D83B52" w:rsidRPr="004C33D1" w:rsidTr="00E71B09">
        <w:tblPrEx>
          <w:tblCellMar>
            <w:top w:w="0" w:type="dxa"/>
            <w:bottom w:w="0" w:type="dxa"/>
          </w:tblCellMar>
        </w:tblPrEx>
        <w:trPr>
          <w:trHeight w:val="170"/>
        </w:trPr>
        <w:tc>
          <w:tcPr>
            <w:tcW w:w="2557" w:type="dxa"/>
            <w:vMerge/>
            <w:tcBorders>
              <w:bottom w:val="single" w:sz="8" w:space="0" w:color="A6A6A6"/>
            </w:tcBorders>
            <w:shd w:val="clear" w:color="auto" w:fill="auto"/>
            <w:noWrap/>
          </w:tcPr>
          <w:p w:rsidR="00D83B52" w:rsidRPr="004C33D1" w:rsidRDefault="00D83B52" w:rsidP="00E71B09">
            <w:pPr>
              <w:pStyle w:val="TableText"/>
            </w:pPr>
          </w:p>
        </w:tc>
        <w:tc>
          <w:tcPr>
            <w:tcW w:w="1038" w:type="dxa"/>
            <w:tcBorders>
              <w:top w:val="single" w:sz="8" w:space="0" w:color="A6A6A6"/>
              <w:bottom w:val="single" w:sz="8" w:space="0" w:color="A6A6A6"/>
            </w:tcBorders>
            <w:shd w:val="pct15" w:color="auto" w:fill="auto"/>
            <w:noWrap/>
            <w:hideMark/>
          </w:tcPr>
          <w:p w:rsidR="00D83B52" w:rsidRPr="004C33D1" w:rsidRDefault="00D83B52" w:rsidP="00E71B09">
            <w:pPr>
              <w:pStyle w:val="TableText"/>
              <w:jc w:val="center"/>
              <w:rPr>
                <w:b/>
                <w:color w:val="780000"/>
              </w:rPr>
            </w:pPr>
            <w:r w:rsidRPr="004C33D1">
              <w:rPr>
                <w:b/>
                <w:color w:val="780000"/>
              </w:rPr>
              <w:t>Low</w:t>
            </w:r>
          </w:p>
        </w:tc>
        <w:tc>
          <w:tcPr>
            <w:tcW w:w="1059" w:type="dxa"/>
            <w:tcBorders>
              <w:top w:val="single" w:sz="8" w:space="0" w:color="A6A6A6"/>
              <w:bottom w:val="single" w:sz="8" w:space="0" w:color="A6A6A6"/>
            </w:tcBorders>
            <w:shd w:val="pct15" w:color="auto" w:fill="auto"/>
            <w:noWrap/>
            <w:hideMark/>
          </w:tcPr>
          <w:p w:rsidR="00D83B52" w:rsidRPr="004C33D1" w:rsidRDefault="00D83B52" w:rsidP="00E71B09">
            <w:pPr>
              <w:pStyle w:val="TableText"/>
              <w:jc w:val="center"/>
              <w:rPr>
                <w:b/>
                <w:color w:val="780000"/>
              </w:rPr>
            </w:pPr>
            <w:r w:rsidRPr="004C33D1">
              <w:rPr>
                <w:b/>
                <w:color w:val="780000"/>
              </w:rPr>
              <w:t>High</w:t>
            </w:r>
          </w:p>
        </w:tc>
        <w:tc>
          <w:tcPr>
            <w:tcW w:w="1059" w:type="dxa"/>
            <w:tcBorders>
              <w:bottom w:val="single" w:sz="8" w:space="0" w:color="A6A6A6"/>
            </w:tcBorders>
            <w:shd w:val="clear" w:color="auto" w:fill="auto"/>
            <w:noWrap/>
            <w:hideMark/>
          </w:tcPr>
          <w:p w:rsidR="00D83B52" w:rsidRPr="004C33D1" w:rsidRDefault="00D83B52" w:rsidP="00E71B09">
            <w:pPr>
              <w:pStyle w:val="TableText"/>
              <w:jc w:val="center"/>
              <w:rPr>
                <w:b/>
                <w:color w:val="780000"/>
              </w:rPr>
            </w:pPr>
            <w:r w:rsidRPr="004C33D1">
              <w:rPr>
                <w:b/>
                <w:color w:val="780000"/>
              </w:rPr>
              <w:t>Low</w:t>
            </w:r>
          </w:p>
        </w:tc>
        <w:tc>
          <w:tcPr>
            <w:tcW w:w="1059" w:type="dxa"/>
            <w:tcBorders>
              <w:bottom w:val="single" w:sz="8" w:space="0" w:color="A6A6A6"/>
            </w:tcBorders>
            <w:shd w:val="clear" w:color="auto" w:fill="auto"/>
            <w:noWrap/>
            <w:hideMark/>
          </w:tcPr>
          <w:p w:rsidR="00D83B52" w:rsidRPr="004C33D1" w:rsidRDefault="00D83B52" w:rsidP="00E71B09">
            <w:pPr>
              <w:pStyle w:val="TableText"/>
              <w:jc w:val="center"/>
              <w:rPr>
                <w:b/>
                <w:color w:val="780000"/>
              </w:rPr>
            </w:pPr>
            <w:r w:rsidRPr="004C33D1">
              <w:rPr>
                <w:b/>
                <w:color w:val="780000"/>
              </w:rPr>
              <w:t>High</w:t>
            </w:r>
          </w:p>
        </w:tc>
        <w:tc>
          <w:tcPr>
            <w:tcW w:w="1059" w:type="dxa"/>
            <w:tcBorders>
              <w:top w:val="single" w:sz="8" w:space="0" w:color="A6A6A6"/>
              <w:bottom w:val="single" w:sz="8" w:space="0" w:color="A6A6A6"/>
            </w:tcBorders>
            <w:shd w:val="pct15" w:color="auto" w:fill="auto"/>
            <w:noWrap/>
            <w:hideMark/>
          </w:tcPr>
          <w:p w:rsidR="00D83B52" w:rsidRPr="004C33D1" w:rsidRDefault="00D83B52" w:rsidP="00E71B09">
            <w:pPr>
              <w:pStyle w:val="TableText"/>
              <w:jc w:val="center"/>
              <w:rPr>
                <w:b/>
                <w:color w:val="780000"/>
              </w:rPr>
            </w:pPr>
            <w:r w:rsidRPr="004C33D1">
              <w:rPr>
                <w:b/>
                <w:color w:val="780000"/>
              </w:rPr>
              <w:t>Low</w:t>
            </w:r>
          </w:p>
        </w:tc>
        <w:tc>
          <w:tcPr>
            <w:tcW w:w="1060" w:type="dxa"/>
            <w:tcBorders>
              <w:top w:val="single" w:sz="8" w:space="0" w:color="A6A6A6"/>
              <w:bottom w:val="single" w:sz="8" w:space="0" w:color="A6A6A6"/>
            </w:tcBorders>
            <w:shd w:val="pct15" w:color="auto" w:fill="auto"/>
            <w:noWrap/>
            <w:hideMark/>
          </w:tcPr>
          <w:p w:rsidR="00D83B52" w:rsidRPr="004C33D1" w:rsidRDefault="00D83B52" w:rsidP="00E71B09">
            <w:pPr>
              <w:pStyle w:val="TableText"/>
              <w:jc w:val="center"/>
              <w:rPr>
                <w:b/>
                <w:color w:val="780000"/>
              </w:rPr>
            </w:pPr>
            <w:r w:rsidRPr="004C33D1">
              <w:rPr>
                <w:b/>
                <w:color w:val="780000"/>
              </w:rPr>
              <w:t>High</w:t>
            </w:r>
          </w:p>
        </w:tc>
      </w:tr>
      <w:tr w:rsidR="00D83B52" w:rsidRPr="004C33D1" w:rsidTr="00E71B09">
        <w:tblPrEx>
          <w:tblCellMar>
            <w:top w:w="0" w:type="dxa"/>
            <w:bottom w:w="0" w:type="dxa"/>
          </w:tblCellMar>
        </w:tblPrEx>
        <w:trPr>
          <w:trHeight w:val="170"/>
        </w:trPr>
        <w:tc>
          <w:tcPr>
            <w:tcW w:w="2557" w:type="dxa"/>
            <w:shd w:val="clear" w:color="auto" w:fill="auto"/>
            <w:hideMark/>
          </w:tcPr>
          <w:p w:rsidR="00D83B52" w:rsidRPr="004C33D1" w:rsidRDefault="00D83B52" w:rsidP="00E71B09">
            <w:pPr>
              <w:pStyle w:val="TableText"/>
            </w:pPr>
            <w:r w:rsidRPr="004C33D1">
              <w:rPr>
                <w:b/>
              </w:rPr>
              <w:lastRenderedPageBreak/>
              <w:t>Multi-Storey Apartments</w:t>
            </w:r>
          </w:p>
          <w:p w:rsidR="00D83B52" w:rsidRPr="004C33D1" w:rsidRDefault="00D83B52" w:rsidP="00E71B09">
            <w:pPr>
              <w:pStyle w:val="TableText"/>
            </w:pPr>
            <w:proofErr w:type="gramStart"/>
            <w:r w:rsidRPr="004C33D1">
              <w:t>2 or 3 bedrooms.</w:t>
            </w:r>
            <w:proofErr w:type="gramEnd"/>
            <w:r w:rsidRPr="004C33D1">
              <w:t xml:space="preserve"> Medium quality fittings </w:t>
            </w:r>
          </w:p>
        </w:tc>
        <w:tc>
          <w:tcPr>
            <w:tcW w:w="1038" w:type="dxa"/>
            <w:shd w:val="pct15" w:color="auto" w:fill="auto"/>
            <w:noWrap/>
            <w:hideMark/>
          </w:tcPr>
          <w:p w:rsidR="00D83B52" w:rsidRPr="004C33D1" w:rsidRDefault="00D83B52" w:rsidP="00E71B09">
            <w:pPr>
              <w:pStyle w:val="TableText"/>
              <w:jc w:val="center"/>
            </w:pPr>
            <w:r w:rsidRPr="004C33D1">
              <w:t>2,400</w:t>
            </w:r>
          </w:p>
        </w:tc>
        <w:tc>
          <w:tcPr>
            <w:tcW w:w="1059" w:type="dxa"/>
            <w:shd w:val="pct15" w:color="auto" w:fill="auto"/>
            <w:noWrap/>
            <w:hideMark/>
          </w:tcPr>
          <w:p w:rsidR="00D83B52" w:rsidRPr="004C33D1" w:rsidRDefault="00D83B52" w:rsidP="00E71B09">
            <w:pPr>
              <w:pStyle w:val="TableText"/>
              <w:jc w:val="center"/>
            </w:pPr>
            <w:r w:rsidRPr="004C33D1">
              <w:t>2,700</w:t>
            </w:r>
          </w:p>
        </w:tc>
        <w:tc>
          <w:tcPr>
            <w:tcW w:w="1059" w:type="dxa"/>
            <w:shd w:val="clear" w:color="auto" w:fill="auto"/>
            <w:noWrap/>
            <w:hideMark/>
          </w:tcPr>
          <w:p w:rsidR="00D83B52" w:rsidRPr="004C33D1" w:rsidRDefault="00D83B52" w:rsidP="00E71B09">
            <w:pPr>
              <w:pStyle w:val="TableText"/>
              <w:jc w:val="center"/>
            </w:pPr>
            <w:r w:rsidRPr="004C33D1">
              <w:t>2,350</w:t>
            </w:r>
          </w:p>
        </w:tc>
        <w:tc>
          <w:tcPr>
            <w:tcW w:w="1059" w:type="dxa"/>
            <w:shd w:val="clear" w:color="auto" w:fill="auto"/>
            <w:noWrap/>
            <w:hideMark/>
          </w:tcPr>
          <w:p w:rsidR="00D83B52" w:rsidRPr="004C33D1" w:rsidRDefault="00D83B52" w:rsidP="00E71B09">
            <w:pPr>
              <w:pStyle w:val="TableText"/>
              <w:jc w:val="center"/>
            </w:pPr>
            <w:r w:rsidRPr="004C33D1">
              <w:t>2,650</w:t>
            </w:r>
          </w:p>
        </w:tc>
        <w:tc>
          <w:tcPr>
            <w:tcW w:w="1059" w:type="dxa"/>
            <w:tcBorders>
              <w:top w:val="single" w:sz="8" w:space="0" w:color="A6A6A6"/>
            </w:tcBorders>
            <w:shd w:val="pct15" w:color="auto" w:fill="auto"/>
            <w:noWrap/>
            <w:hideMark/>
          </w:tcPr>
          <w:p w:rsidR="00D83B52" w:rsidRPr="004C33D1" w:rsidRDefault="00D83B52" w:rsidP="00E71B09">
            <w:pPr>
              <w:pStyle w:val="TableText"/>
              <w:jc w:val="center"/>
            </w:pPr>
            <w:r w:rsidRPr="004C33D1">
              <w:t>97.9%</w:t>
            </w:r>
          </w:p>
        </w:tc>
        <w:tc>
          <w:tcPr>
            <w:tcW w:w="1060" w:type="dxa"/>
            <w:tcBorders>
              <w:top w:val="single" w:sz="8" w:space="0" w:color="A6A6A6"/>
            </w:tcBorders>
            <w:shd w:val="pct15" w:color="auto" w:fill="auto"/>
            <w:noWrap/>
            <w:hideMark/>
          </w:tcPr>
          <w:p w:rsidR="00D83B52" w:rsidRPr="004C33D1" w:rsidRDefault="00D83B52" w:rsidP="00E71B09">
            <w:pPr>
              <w:pStyle w:val="TableText"/>
              <w:jc w:val="center"/>
            </w:pPr>
            <w:r w:rsidRPr="004C33D1">
              <w:t>98.1%</w:t>
            </w:r>
          </w:p>
        </w:tc>
      </w:tr>
      <w:tr w:rsidR="00D83B52" w:rsidRPr="004C33D1" w:rsidTr="00E71B09">
        <w:tblPrEx>
          <w:tblCellMar>
            <w:top w:w="0" w:type="dxa"/>
            <w:bottom w:w="0" w:type="dxa"/>
          </w:tblCellMar>
        </w:tblPrEx>
        <w:trPr>
          <w:trHeight w:val="170"/>
        </w:trPr>
        <w:tc>
          <w:tcPr>
            <w:tcW w:w="2557" w:type="dxa"/>
            <w:tcBorders>
              <w:bottom w:val="single" w:sz="8" w:space="0" w:color="A6A6A6"/>
            </w:tcBorders>
            <w:shd w:val="clear" w:color="auto" w:fill="auto"/>
            <w:hideMark/>
          </w:tcPr>
          <w:p w:rsidR="00D83B52" w:rsidRPr="004C33D1" w:rsidRDefault="00D83B52" w:rsidP="00E71B09">
            <w:pPr>
              <w:pStyle w:val="TableText"/>
            </w:pPr>
            <w:proofErr w:type="gramStart"/>
            <w:r w:rsidRPr="004C33D1">
              <w:t>2 or 3 bedrooms.</w:t>
            </w:r>
            <w:proofErr w:type="gramEnd"/>
            <w:r w:rsidRPr="004C33D1">
              <w:t xml:space="preserve"> </w:t>
            </w:r>
            <w:proofErr w:type="spellStart"/>
            <w:proofErr w:type="gramStart"/>
            <w:r w:rsidRPr="004C33D1">
              <w:t>Ensuite</w:t>
            </w:r>
            <w:proofErr w:type="spellEnd"/>
            <w:r w:rsidRPr="004C33D1">
              <w:t>.</w:t>
            </w:r>
            <w:proofErr w:type="gramEnd"/>
            <w:r w:rsidRPr="004C33D1">
              <w:t xml:space="preserve"> High quality fittings </w:t>
            </w:r>
          </w:p>
        </w:tc>
        <w:tc>
          <w:tcPr>
            <w:tcW w:w="1038" w:type="dxa"/>
            <w:tcBorders>
              <w:bottom w:val="single" w:sz="8" w:space="0" w:color="A6A6A6"/>
            </w:tcBorders>
            <w:shd w:val="pct15" w:color="auto" w:fill="auto"/>
            <w:noWrap/>
            <w:hideMark/>
          </w:tcPr>
          <w:p w:rsidR="00D83B52" w:rsidRPr="004C33D1" w:rsidRDefault="00D83B52" w:rsidP="00E71B09">
            <w:pPr>
              <w:pStyle w:val="TableText"/>
              <w:jc w:val="center"/>
            </w:pPr>
            <w:r w:rsidRPr="004C33D1">
              <w:t>2,800</w:t>
            </w:r>
          </w:p>
        </w:tc>
        <w:tc>
          <w:tcPr>
            <w:tcW w:w="1059" w:type="dxa"/>
            <w:tcBorders>
              <w:bottom w:val="single" w:sz="8" w:space="0" w:color="A6A6A6"/>
            </w:tcBorders>
            <w:shd w:val="pct15" w:color="auto" w:fill="auto"/>
            <w:noWrap/>
            <w:hideMark/>
          </w:tcPr>
          <w:p w:rsidR="00D83B52" w:rsidRPr="004C33D1" w:rsidRDefault="00D83B52" w:rsidP="00E71B09">
            <w:pPr>
              <w:pStyle w:val="TableText"/>
              <w:jc w:val="center"/>
            </w:pPr>
            <w:r w:rsidRPr="004C33D1">
              <w:t>3,100</w:t>
            </w:r>
          </w:p>
        </w:tc>
        <w:tc>
          <w:tcPr>
            <w:tcW w:w="1059" w:type="dxa"/>
            <w:tcBorders>
              <w:bottom w:val="single" w:sz="8" w:space="0" w:color="A6A6A6"/>
            </w:tcBorders>
            <w:shd w:val="clear" w:color="auto" w:fill="auto"/>
            <w:noWrap/>
            <w:hideMark/>
          </w:tcPr>
          <w:p w:rsidR="00D83B52" w:rsidRPr="004C33D1" w:rsidRDefault="00D83B52" w:rsidP="00E71B09">
            <w:pPr>
              <w:pStyle w:val="TableText"/>
              <w:jc w:val="center"/>
            </w:pPr>
            <w:r w:rsidRPr="004C33D1">
              <w:t>2,600</w:t>
            </w:r>
          </w:p>
        </w:tc>
        <w:tc>
          <w:tcPr>
            <w:tcW w:w="1059" w:type="dxa"/>
            <w:tcBorders>
              <w:bottom w:val="single" w:sz="8" w:space="0" w:color="A6A6A6"/>
            </w:tcBorders>
            <w:shd w:val="clear" w:color="auto" w:fill="auto"/>
            <w:noWrap/>
            <w:hideMark/>
          </w:tcPr>
          <w:p w:rsidR="00D83B52" w:rsidRPr="004C33D1" w:rsidRDefault="00D83B52" w:rsidP="00E71B09">
            <w:pPr>
              <w:pStyle w:val="TableText"/>
              <w:jc w:val="center"/>
            </w:pPr>
            <w:r w:rsidRPr="004C33D1">
              <w:t>2,900</w:t>
            </w:r>
          </w:p>
        </w:tc>
        <w:tc>
          <w:tcPr>
            <w:tcW w:w="1059" w:type="dxa"/>
            <w:tcBorders>
              <w:bottom w:val="single" w:sz="8" w:space="0" w:color="A6A6A6"/>
            </w:tcBorders>
            <w:shd w:val="pct15" w:color="auto" w:fill="auto"/>
            <w:noWrap/>
            <w:hideMark/>
          </w:tcPr>
          <w:p w:rsidR="00D83B52" w:rsidRPr="004C33D1" w:rsidRDefault="00D83B52" w:rsidP="00E71B09">
            <w:pPr>
              <w:pStyle w:val="TableText"/>
              <w:jc w:val="center"/>
            </w:pPr>
            <w:r w:rsidRPr="004C33D1">
              <w:t>92.9%</w:t>
            </w:r>
          </w:p>
        </w:tc>
        <w:tc>
          <w:tcPr>
            <w:tcW w:w="1060" w:type="dxa"/>
            <w:tcBorders>
              <w:bottom w:val="single" w:sz="8" w:space="0" w:color="A6A6A6"/>
            </w:tcBorders>
            <w:shd w:val="pct15" w:color="auto" w:fill="auto"/>
            <w:noWrap/>
            <w:hideMark/>
          </w:tcPr>
          <w:p w:rsidR="00D83B52" w:rsidRPr="004C33D1" w:rsidRDefault="00D83B52" w:rsidP="00E71B09">
            <w:pPr>
              <w:pStyle w:val="TableText"/>
              <w:jc w:val="center"/>
            </w:pPr>
            <w:r w:rsidRPr="004C33D1">
              <w:t>93.5%</w:t>
            </w:r>
          </w:p>
        </w:tc>
      </w:tr>
      <w:tr w:rsidR="00D83B52" w:rsidRPr="004C33D1" w:rsidTr="00E71B09">
        <w:tblPrEx>
          <w:tblCellMar>
            <w:top w:w="0" w:type="dxa"/>
            <w:bottom w:w="0" w:type="dxa"/>
          </w:tblCellMar>
        </w:tblPrEx>
        <w:trPr>
          <w:trHeight w:val="170"/>
        </w:trPr>
        <w:tc>
          <w:tcPr>
            <w:tcW w:w="2557" w:type="dxa"/>
            <w:shd w:val="clear" w:color="auto" w:fill="auto"/>
            <w:noWrap/>
            <w:hideMark/>
          </w:tcPr>
          <w:p w:rsidR="00D83B52" w:rsidRPr="004C33D1" w:rsidRDefault="00D83B52" w:rsidP="00E71B09">
            <w:pPr>
              <w:pStyle w:val="TableText"/>
            </w:pPr>
            <w:r w:rsidRPr="004C33D1">
              <w:rPr>
                <w:b/>
              </w:rPr>
              <w:t>Low Rise Offices</w:t>
            </w:r>
          </w:p>
          <w:p w:rsidR="00D83B52" w:rsidRPr="004C33D1" w:rsidRDefault="00D83B52" w:rsidP="00E71B09">
            <w:pPr>
              <w:pStyle w:val="TableText"/>
            </w:pPr>
            <w:r w:rsidRPr="004C33D1">
              <w:t xml:space="preserve">Up to 2 storeys, no lifts </w:t>
            </w:r>
          </w:p>
        </w:tc>
        <w:tc>
          <w:tcPr>
            <w:tcW w:w="1038" w:type="dxa"/>
            <w:shd w:val="pct15" w:color="auto" w:fill="auto"/>
            <w:noWrap/>
            <w:vAlign w:val="bottom"/>
            <w:hideMark/>
          </w:tcPr>
          <w:p w:rsidR="00D83B52" w:rsidRPr="004C33D1" w:rsidRDefault="00D83B52" w:rsidP="00E71B09">
            <w:pPr>
              <w:pStyle w:val="TableText"/>
              <w:jc w:val="center"/>
            </w:pPr>
            <w:r w:rsidRPr="004C33D1">
              <w:t>1,475</w:t>
            </w:r>
          </w:p>
        </w:tc>
        <w:tc>
          <w:tcPr>
            <w:tcW w:w="1059" w:type="dxa"/>
            <w:shd w:val="pct15" w:color="auto" w:fill="auto"/>
            <w:noWrap/>
            <w:vAlign w:val="bottom"/>
            <w:hideMark/>
          </w:tcPr>
          <w:p w:rsidR="00D83B52" w:rsidRPr="004C33D1" w:rsidRDefault="00D83B52" w:rsidP="00E71B09">
            <w:pPr>
              <w:pStyle w:val="TableText"/>
              <w:jc w:val="center"/>
            </w:pPr>
            <w:r w:rsidRPr="004C33D1">
              <w:t>1,675</w:t>
            </w:r>
          </w:p>
        </w:tc>
        <w:tc>
          <w:tcPr>
            <w:tcW w:w="1059" w:type="dxa"/>
            <w:shd w:val="clear" w:color="auto" w:fill="auto"/>
            <w:noWrap/>
            <w:vAlign w:val="bottom"/>
            <w:hideMark/>
          </w:tcPr>
          <w:p w:rsidR="00D83B52" w:rsidRPr="004C33D1" w:rsidRDefault="00D83B52" w:rsidP="00E71B09">
            <w:pPr>
              <w:pStyle w:val="TableText"/>
              <w:jc w:val="center"/>
            </w:pPr>
            <w:r w:rsidRPr="004C33D1">
              <w:t>1,425</w:t>
            </w:r>
          </w:p>
        </w:tc>
        <w:tc>
          <w:tcPr>
            <w:tcW w:w="1059" w:type="dxa"/>
            <w:shd w:val="clear" w:color="auto" w:fill="auto"/>
            <w:noWrap/>
            <w:vAlign w:val="bottom"/>
            <w:hideMark/>
          </w:tcPr>
          <w:p w:rsidR="00D83B52" w:rsidRPr="004C33D1" w:rsidRDefault="00D83B52" w:rsidP="00E71B09">
            <w:pPr>
              <w:pStyle w:val="TableText"/>
              <w:jc w:val="center"/>
            </w:pPr>
            <w:r w:rsidRPr="004C33D1">
              <w:t>1,625</w:t>
            </w:r>
          </w:p>
        </w:tc>
        <w:tc>
          <w:tcPr>
            <w:tcW w:w="1059" w:type="dxa"/>
            <w:tcBorders>
              <w:top w:val="single" w:sz="8" w:space="0" w:color="A6A6A6"/>
            </w:tcBorders>
            <w:shd w:val="pct15" w:color="auto" w:fill="auto"/>
            <w:noWrap/>
            <w:vAlign w:val="bottom"/>
            <w:hideMark/>
          </w:tcPr>
          <w:p w:rsidR="00D83B52" w:rsidRPr="004C33D1" w:rsidRDefault="00D83B52" w:rsidP="00E71B09">
            <w:pPr>
              <w:pStyle w:val="TableText"/>
              <w:jc w:val="center"/>
            </w:pPr>
            <w:r w:rsidRPr="004C33D1">
              <w:t>96.6%</w:t>
            </w:r>
          </w:p>
        </w:tc>
        <w:tc>
          <w:tcPr>
            <w:tcW w:w="1060" w:type="dxa"/>
            <w:tcBorders>
              <w:top w:val="single" w:sz="8" w:space="0" w:color="A6A6A6"/>
            </w:tcBorders>
            <w:shd w:val="pct15" w:color="auto" w:fill="auto"/>
            <w:noWrap/>
            <w:vAlign w:val="bottom"/>
            <w:hideMark/>
          </w:tcPr>
          <w:p w:rsidR="00D83B52" w:rsidRPr="004C33D1" w:rsidRDefault="00D83B52" w:rsidP="00E71B09">
            <w:pPr>
              <w:pStyle w:val="TableText"/>
              <w:jc w:val="center"/>
            </w:pPr>
            <w:r w:rsidRPr="004C33D1">
              <w:t>97.0%</w:t>
            </w:r>
          </w:p>
        </w:tc>
      </w:tr>
      <w:tr w:rsidR="00D83B52" w:rsidRPr="004C33D1" w:rsidTr="00E71B09">
        <w:tblPrEx>
          <w:tblCellMar>
            <w:top w:w="0" w:type="dxa"/>
            <w:bottom w:w="0" w:type="dxa"/>
          </w:tblCellMar>
        </w:tblPrEx>
        <w:trPr>
          <w:trHeight w:val="170"/>
        </w:trPr>
        <w:tc>
          <w:tcPr>
            <w:tcW w:w="2557" w:type="dxa"/>
            <w:tcBorders>
              <w:bottom w:val="single" w:sz="8" w:space="0" w:color="A6A6A6"/>
            </w:tcBorders>
            <w:shd w:val="clear" w:color="auto" w:fill="auto"/>
            <w:noWrap/>
            <w:hideMark/>
          </w:tcPr>
          <w:p w:rsidR="00D83B52" w:rsidRPr="004C33D1" w:rsidRDefault="00D83B52" w:rsidP="00E71B09">
            <w:pPr>
              <w:pStyle w:val="TableText"/>
            </w:pPr>
            <w:r w:rsidRPr="004C33D1">
              <w:t>3 to 5 storeys, with lifts</w:t>
            </w:r>
          </w:p>
        </w:tc>
        <w:tc>
          <w:tcPr>
            <w:tcW w:w="1038" w:type="dxa"/>
            <w:tcBorders>
              <w:bottom w:val="single" w:sz="8" w:space="0" w:color="A6A6A6"/>
            </w:tcBorders>
            <w:shd w:val="pct15" w:color="auto" w:fill="auto"/>
            <w:noWrap/>
            <w:hideMark/>
          </w:tcPr>
          <w:p w:rsidR="00D83B52" w:rsidRPr="004C33D1" w:rsidRDefault="00D83B52" w:rsidP="00E71B09">
            <w:pPr>
              <w:pStyle w:val="TableText"/>
              <w:jc w:val="center"/>
            </w:pPr>
            <w:r w:rsidRPr="004C33D1">
              <w:t>1,750</w:t>
            </w:r>
          </w:p>
        </w:tc>
        <w:tc>
          <w:tcPr>
            <w:tcW w:w="1059" w:type="dxa"/>
            <w:tcBorders>
              <w:bottom w:val="single" w:sz="8" w:space="0" w:color="A6A6A6"/>
            </w:tcBorders>
            <w:shd w:val="pct15" w:color="auto" w:fill="auto"/>
            <w:noWrap/>
            <w:hideMark/>
          </w:tcPr>
          <w:p w:rsidR="00D83B52" w:rsidRPr="004C33D1" w:rsidRDefault="00D83B52" w:rsidP="00E71B09">
            <w:pPr>
              <w:pStyle w:val="TableText"/>
              <w:jc w:val="center"/>
            </w:pPr>
            <w:r w:rsidRPr="004C33D1">
              <w:t>1,950</w:t>
            </w:r>
          </w:p>
        </w:tc>
        <w:tc>
          <w:tcPr>
            <w:tcW w:w="1059" w:type="dxa"/>
            <w:tcBorders>
              <w:bottom w:val="single" w:sz="8" w:space="0" w:color="A6A6A6"/>
            </w:tcBorders>
            <w:shd w:val="clear" w:color="auto" w:fill="auto"/>
            <w:noWrap/>
            <w:hideMark/>
          </w:tcPr>
          <w:p w:rsidR="00D83B52" w:rsidRPr="004C33D1" w:rsidRDefault="00D83B52" w:rsidP="00E71B09">
            <w:pPr>
              <w:pStyle w:val="TableText"/>
              <w:jc w:val="center"/>
            </w:pPr>
            <w:r w:rsidRPr="004C33D1">
              <w:t>1,675</w:t>
            </w:r>
          </w:p>
        </w:tc>
        <w:tc>
          <w:tcPr>
            <w:tcW w:w="1059" w:type="dxa"/>
            <w:tcBorders>
              <w:bottom w:val="single" w:sz="8" w:space="0" w:color="A6A6A6"/>
            </w:tcBorders>
            <w:shd w:val="clear" w:color="auto" w:fill="auto"/>
            <w:noWrap/>
            <w:hideMark/>
          </w:tcPr>
          <w:p w:rsidR="00D83B52" w:rsidRPr="004C33D1" w:rsidRDefault="00D83B52" w:rsidP="00E71B09">
            <w:pPr>
              <w:pStyle w:val="TableText"/>
              <w:jc w:val="center"/>
            </w:pPr>
            <w:r w:rsidRPr="004C33D1">
              <w:t>1,875</w:t>
            </w:r>
          </w:p>
        </w:tc>
        <w:tc>
          <w:tcPr>
            <w:tcW w:w="1059" w:type="dxa"/>
            <w:tcBorders>
              <w:bottom w:val="single" w:sz="8" w:space="0" w:color="A6A6A6"/>
            </w:tcBorders>
            <w:shd w:val="pct15" w:color="auto" w:fill="auto"/>
            <w:noWrap/>
            <w:hideMark/>
          </w:tcPr>
          <w:p w:rsidR="00D83B52" w:rsidRPr="004C33D1" w:rsidRDefault="00D83B52" w:rsidP="00E71B09">
            <w:pPr>
              <w:pStyle w:val="TableText"/>
              <w:jc w:val="center"/>
            </w:pPr>
            <w:r w:rsidRPr="004C33D1">
              <w:t>95.7%</w:t>
            </w:r>
          </w:p>
        </w:tc>
        <w:tc>
          <w:tcPr>
            <w:tcW w:w="1060" w:type="dxa"/>
            <w:tcBorders>
              <w:bottom w:val="single" w:sz="8" w:space="0" w:color="A6A6A6"/>
            </w:tcBorders>
            <w:shd w:val="pct15" w:color="auto" w:fill="auto"/>
            <w:noWrap/>
            <w:hideMark/>
          </w:tcPr>
          <w:p w:rsidR="00D83B52" w:rsidRPr="004C33D1" w:rsidRDefault="00D83B52" w:rsidP="00E71B09">
            <w:pPr>
              <w:pStyle w:val="TableText"/>
              <w:jc w:val="center"/>
            </w:pPr>
            <w:r w:rsidRPr="004C33D1">
              <w:t>96.2%</w:t>
            </w:r>
          </w:p>
        </w:tc>
      </w:tr>
      <w:tr w:rsidR="00D83B52" w:rsidRPr="004C33D1" w:rsidTr="00E71B09">
        <w:tblPrEx>
          <w:tblCellMar>
            <w:top w:w="0" w:type="dxa"/>
            <w:bottom w:w="0" w:type="dxa"/>
          </w:tblCellMar>
        </w:tblPrEx>
        <w:trPr>
          <w:trHeight w:val="170"/>
        </w:trPr>
        <w:tc>
          <w:tcPr>
            <w:tcW w:w="2557" w:type="dxa"/>
            <w:tcBorders>
              <w:bottom w:val="single" w:sz="12" w:space="0" w:color="A6A6A6"/>
            </w:tcBorders>
            <w:shd w:val="clear" w:color="auto" w:fill="auto"/>
            <w:noWrap/>
            <w:hideMark/>
          </w:tcPr>
          <w:p w:rsidR="00D83B52" w:rsidRPr="004C33D1" w:rsidRDefault="00D83B52" w:rsidP="00E71B09">
            <w:pPr>
              <w:pStyle w:val="TableText"/>
            </w:pPr>
            <w:r w:rsidRPr="004C33D1">
              <w:rPr>
                <w:b/>
              </w:rPr>
              <w:t>High Rise Offices</w:t>
            </w:r>
          </w:p>
          <w:p w:rsidR="00D83B52" w:rsidRPr="004C33D1" w:rsidRDefault="00D83B52" w:rsidP="00E71B09">
            <w:pPr>
              <w:pStyle w:val="TableText"/>
            </w:pPr>
            <w:r w:rsidRPr="004C33D1">
              <w:t>6 to 15 storeys</w:t>
            </w:r>
          </w:p>
        </w:tc>
        <w:tc>
          <w:tcPr>
            <w:tcW w:w="1038" w:type="dxa"/>
            <w:tcBorders>
              <w:bottom w:val="single" w:sz="12" w:space="0" w:color="A6A6A6"/>
            </w:tcBorders>
            <w:shd w:val="pct15" w:color="auto" w:fill="auto"/>
            <w:noWrap/>
            <w:vAlign w:val="bottom"/>
            <w:hideMark/>
          </w:tcPr>
          <w:p w:rsidR="00D83B52" w:rsidRPr="004C33D1" w:rsidRDefault="00D83B52" w:rsidP="00E71B09">
            <w:pPr>
              <w:pStyle w:val="TableText"/>
              <w:jc w:val="center"/>
            </w:pPr>
            <w:r w:rsidRPr="004C33D1">
              <w:t>2,500</w:t>
            </w:r>
          </w:p>
        </w:tc>
        <w:tc>
          <w:tcPr>
            <w:tcW w:w="1059" w:type="dxa"/>
            <w:tcBorders>
              <w:bottom w:val="single" w:sz="12" w:space="0" w:color="A6A6A6"/>
            </w:tcBorders>
            <w:shd w:val="pct15" w:color="auto" w:fill="auto"/>
            <w:noWrap/>
            <w:vAlign w:val="bottom"/>
            <w:hideMark/>
          </w:tcPr>
          <w:p w:rsidR="00D83B52" w:rsidRPr="004C33D1" w:rsidRDefault="00D83B52" w:rsidP="00E71B09">
            <w:pPr>
              <w:pStyle w:val="TableText"/>
              <w:jc w:val="center"/>
            </w:pPr>
            <w:r w:rsidRPr="004C33D1">
              <w:t>2,800</w:t>
            </w:r>
          </w:p>
        </w:tc>
        <w:tc>
          <w:tcPr>
            <w:tcW w:w="1059" w:type="dxa"/>
            <w:tcBorders>
              <w:bottom w:val="single" w:sz="12" w:space="0" w:color="A6A6A6"/>
            </w:tcBorders>
            <w:shd w:val="clear" w:color="auto" w:fill="auto"/>
            <w:noWrap/>
            <w:vAlign w:val="bottom"/>
            <w:hideMark/>
          </w:tcPr>
          <w:p w:rsidR="00D83B52" w:rsidRPr="004C33D1" w:rsidRDefault="00D83B52" w:rsidP="00E71B09">
            <w:pPr>
              <w:pStyle w:val="TableText"/>
              <w:jc w:val="center"/>
            </w:pPr>
            <w:r w:rsidRPr="004C33D1">
              <w:t>2,400</w:t>
            </w:r>
          </w:p>
        </w:tc>
        <w:tc>
          <w:tcPr>
            <w:tcW w:w="1059" w:type="dxa"/>
            <w:tcBorders>
              <w:bottom w:val="single" w:sz="12" w:space="0" w:color="A6A6A6"/>
            </w:tcBorders>
            <w:shd w:val="clear" w:color="auto" w:fill="auto"/>
            <w:noWrap/>
            <w:vAlign w:val="bottom"/>
            <w:hideMark/>
          </w:tcPr>
          <w:p w:rsidR="00D83B52" w:rsidRPr="004C33D1" w:rsidRDefault="00D83B52" w:rsidP="00E71B09">
            <w:pPr>
              <w:pStyle w:val="TableText"/>
              <w:jc w:val="center"/>
            </w:pPr>
            <w:r w:rsidRPr="004C33D1">
              <w:t>2,700</w:t>
            </w:r>
          </w:p>
        </w:tc>
        <w:tc>
          <w:tcPr>
            <w:tcW w:w="1059" w:type="dxa"/>
            <w:tcBorders>
              <w:top w:val="single" w:sz="8" w:space="0" w:color="A6A6A6"/>
              <w:bottom w:val="single" w:sz="12" w:space="0" w:color="A6A6A6"/>
            </w:tcBorders>
            <w:shd w:val="pct15" w:color="auto" w:fill="auto"/>
            <w:noWrap/>
            <w:vAlign w:val="bottom"/>
            <w:hideMark/>
          </w:tcPr>
          <w:p w:rsidR="00D83B52" w:rsidRPr="004C33D1" w:rsidRDefault="00D83B52" w:rsidP="00E71B09">
            <w:pPr>
              <w:pStyle w:val="TableText"/>
              <w:jc w:val="center"/>
            </w:pPr>
            <w:r w:rsidRPr="004C33D1">
              <w:t>96.0%</w:t>
            </w:r>
          </w:p>
        </w:tc>
        <w:tc>
          <w:tcPr>
            <w:tcW w:w="1060" w:type="dxa"/>
            <w:tcBorders>
              <w:top w:val="single" w:sz="8" w:space="0" w:color="A6A6A6"/>
              <w:bottom w:val="single" w:sz="12" w:space="0" w:color="A6A6A6"/>
            </w:tcBorders>
            <w:shd w:val="pct15" w:color="auto" w:fill="auto"/>
            <w:noWrap/>
            <w:vAlign w:val="bottom"/>
            <w:hideMark/>
          </w:tcPr>
          <w:p w:rsidR="00D83B52" w:rsidRPr="004C33D1" w:rsidRDefault="00D83B52" w:rsidP="00E71B09">
            <w:pPr>
              <w:pStyle w:val="TableText"/>
              <w:jc w:val="center"/>
            </w:pPr>
            <w:r w:rsidRPr="004C33D1">
              <w:t>96.4%</w:t>
            </w:r>
          </w:p>
        </w:tc>
      </w:tr>
    </w:tbl>
    <w:p w:rsidR="00D83B52" w:rsidRPr="004C33D1" w:rsidRDefault="00D83B52" w:rsidP="00D83B52">
      <w:pPr>
        <w:rPr>
          <w:bCs/>
          <w:sz w:val="18"/>
          <w:szCs w:val="18"/>
        </w:rPr>
      </w:pPr>
      <w:r w:rsidRPr="004C33D1">
        <w:rPr>
          <w:sz w:val="18"/>
          <w:szCs w:val="18"/>
        </w:rPr>
        <w:t xml:space="preserve">Source: </w:t>
      </w:r>
      <w:proofErr w:type="spellStart"/>
      <w:r w:rsidRPr="004C33D1">
        <w:rPr>
          <w:bCs/>
          <w:sz w:val="18"/>
          <w:szCs w:val="18"/>
        </w:rPr>
        <w:t>Rawlinsons</w:t>
      </w:r>
      <w:proofErr w:type="spellEnd"/>
      <w:r w:rsidRPr="004C33D1">
        <w:rPr>
          <w:bCs/>
          <w:sz w:val="18"/>
          <w:szCs w:val="18"/>
        </w:rPr>
        <w:t xml:space="preserve"> Construction Cost Handbook, 2013</w:t>
      </w:r>
    </w:p>
    <w:p w:rsidR="00D83B52" w:rsidRPr="004C33D1" w:rsidRDefault="00D83B52" w:rsidP="00D83B52"/>
    <w:p w:rsidR="00D83B52" w:rsidRPr="004C33D1" w:rsidRDefault="00D83B52" w:rsidP="00D83B52"/>
    <w:p w:rsidR="00D83B52" w:rsidRPr="004C33D1" w:rsidRDefault="00D83B52" w:rsidP="00D83B52">
      <w:pPr>
        <w:rPr>
          <w:bCs/>
        </w:rPr>
      </w:pPr>
      <w:bookmarkStart w:id="472" w:name="_Ref454735151"/>
      <w:r w:rsidRPr="004C33D1">
        <w:rPr>
          <w:bCs/>
        </w:rPr>
        <w:t xml:space="preserve">Table </w:t>
      </w:r>
      <w:r w:rsidRPr="004C33D1">
        <w:rPr>
          <w:bCs/>
        </w:rPr>
        <w:fldChar w:fldCharType="begin"/>
      </w:r>
      <w:r w:rsidRPr="004C33D1">
        <w:rPr>
          <w:bCs/>
        </w:rPr>
        <w:instrText xml:space="preserve"> SEQ Table \* ARABIC </w:instrText>
      </w:r>
      <w:r w:rsidRPr="004C33D1">
        <w:rPr>
          <w:bCs/>
        </w:rPr>
        <w:fldChar w:fldCharType="separate"/>
      </w:r>
      <w:r w:rsidR="004D1DDA">
        <w:rPr>
          <w:bCs/>
          <w:noProof/>
        </w:rPr>
        <w:t>28</w:t>
      </w:r>
      <w:r w:rsidRPr="004C33D1">
        <w:fldChar w:fldCharType="end"/>
      </w:r>
      <w:bookmarkEnd w:id="472"/>
      <w:r w:rsidRPr="004C33D1">
        <w:rPr>
          <w:bCs/>
        </w:rPr>
        <w:t>: Construction cost estimates ($/m</w:t>
      </w:r>
      <w:r w:rsidRPr="004C33D1">
        <w:rPr>
          <w:bCs/>
          <w:vertAlign w:val="superscript"/>
        </w:rPr>
        <w:t>2</w:t>
      </w:r>
      <w:r w:rsidRPr="004C33D1">
        <w:rPr>
          <w:bCs/>
        </w:rPr>
        <w:t>) for apartments in Auckland</w:t>
      </w:r>
    </w:p>
    <w:tbl>
      <w:tblPr>
        <w:tblW w:w="5000" w:type="pct"/>
        <w:tblInd w:w="113" w:type="dxa"/>
        <w:tblLayout w:type="fixed"/>
        <w:tblCellMar>
          <w:top w:w="28" w:type="dxa"/>
          <w:left w:w="28" w:type="dxa"/>
          <w:bottom w:w="28" w:type="dxa"/>
          <w:right w:w="28" w:type="dxa"/>
        </w:tblCellMar>
        <w:tblLook w:val="04E0" w:firstRow="1" w:lastRow="1" w:firstColumn="1" w:lastColumn="0" w:noHBand="0" w:noVBand="1"/>
      </w:tblPr>
      <w:tblGrid>
        <w:gridCol w:w="1421"/>
        <w:gridCol w:w="1714"/>
        <w:gridCol w:w="1714"/>
        <w:gridCol w:w="1713"/>
        <w:gridCol w:w="1715"/>
      </w:tblGrid>
      <w:tr w:rsidR="00D83B52" w:rsidRPr="004C33D1" w:rsidTr="00E71B09">
        <w:trPr>
          <w:trHeight w:val="170"/>
          <w:tblHeader/>
        </w:trPr>
        <w:tc>
          <w:tcPr>
            <w:tcW w:w="858" w:type="pct"/>
            <w:tcBorders>
              <w:bottom w:val="single" w:sz="8" w:space="0" w:color="A6A6A6"/>
            </w:tcBorders>
            <w:shd w:val="clear" w:color="auto" w:fill="auto"/>
            <w:noWrap/>
            <w:vAlign w:val="bottom"/>
            <w:hideMark/>
          </w:tcPr>
          <w:p w:rsidR="00D83B52" w:rsidRPr="004C33D1" w:rsidRDefault="00D83B52" w:rsidP="00E71B09">
            <w:pPr>
              <w:pStyle w:val="TableText"/>
              <w:rPr>
                <w:b/>
                <w:color w:val="780000"/>
              </w:rPr>
            </w:pPr>
            <w:r w:rsidRPr="004C33D1">
              <w:rPr>
                <w:b/>
                <w:color w:val="780000"/>
              </w:rPr>
              <w:t xml:space="preserve">Apartment </w:t>
            </w:r>
          </w:p>
          <w:p w:rsidR="00D83B52" w:rsidRPr="004C33D1" w:rsidRDefault="00D83B52" w:rsidP="00E71B09">
            <w:pPr>
              <w:pStyle w:val="TableText"/>
              <w:rPr>
                <w:b/>
                <w:color w:val="780000"/>
              </w:rPr>
            </w:pPr>
            <w:r w:rsidRPr="004C33D1">
              <w:rPr>
                <w:b/>
                <w:color w:val="780000"/>
              </w:rPr>
              <w:t>size</w:t>
            </w:r>
          </w:p>
        </w:tc>
        <w:tc>
          <w:tcPr>
            <w:tcW w:w="1035" w:type="pct"/>
            <w:tcBorders>
              <w:bottom w:val="single" w:sz="8" w:space="0" w:color="A6A6A6"/>
            </w:tcBorders>
            <w:shd w:val="clear" w:color="auto" w:fill="auto"/>
            <w:noWrap/>
            <w:vAlign w:val="bottom"/>
            <w:hideMark/>
          </w:tcPr>
          <w:p w:rsidR="00D83B52" w:rsidRPr="004C33D1" w:rsidRDefault="00D83B52" w:rsidP="00E71B09">
            <w:pPr>
              <w:pStyle w:val="TableText"/>
              <w:rPr>
                <w:b/>
                <w:color w:val="780000"/>
              </w:rPr>
            </w:pPr>
            <w:r w:rsidRPr="004C33D1">
              <w:rPr>
                <w:b/>
                <w:color w:val="780000"/>
              </w:rPr>
              <w:t>Building</w:t>
            </w:r>
          </w:p>
          <w:p w:rsidR="00D83B52" w:rsidRPr="004C33D1" w:rsidRDefault="00D83B52" w:rsidP="00E71B09">
            <w:pPr>
              <w:pStyle w:val="TableText"/>
              <w:rPr>
                <w:b/>
                <w:color w:val="780000"/>
              </w:rPr>
            </w:pPr>
            <w:r w:rsidRPr="004C33D1">
              <w:rPr>
                <w:b/>
                <w:color w:val="780000"/>
              </w:rPr>
              <w:t>height</w:t>
            </w:r>
          </w:p>
        </w:tc>
        <w:tc>
          <w:tcPr>
            <w:tcW w:w="1035" w:type="pct"/>
            <w:tcBorders>
              <w:bottom w:val="single" w:sz="8" w:space="0" w:color="A6A6A6"/>
            </w:tcBorders>
            <w:shd w:val="clear" w:color="auto" w:fill="auto"/>
            <w:noWrap/>
            <w:vAlign w:val="bottom"/>
            <w:hideMark/>
          </w:tcPr>
          <w:p w:rsidR="00D83B52" w:rsidRPr="004C33D1" w:rsidRDefault="00D83B52" w:rsidP="00E71B09">
            <w:pPr>
              <w:pStyle w:val="TableText"/>
              <w:jc w:val="center"/>
              <w:rPr>
                <w:b/>
                <w:bCs/>
                <w:color w:val="780000"/>
              </w:rPr>
            </w:pPr>
            <w:r w:rsidRPr="004C33D1">
              <w:rPr>
                <w:b/>
                <w:bCs/>
                <w:color w:val="780000"/>
              </w:rPr>
              <w:t>Low-average quality</w:t>
            </w:r>
          </w:p>
        </w:tc>
        <w:tc>
          <w:tcPr>
            <w:tcW w:w="1035" w:type="pct"/>
            <w:tcBorders>
              <w:bottom w:val="single" w:sz="8" w:space="0" w:color="A6A6A6"/>
            </w:tcBorders>
            <w:shd w:val="clear" w:color="auto" w:fill="auto"/>
            <w:noWrap/>
            <w:vAlign w:val="bottom"/>
            <w:hideMark/>
          </w:tcPr>
          <w:p w:rsidR="00D83B52" w:rsidRPr="004C33D1" w:rsidRDefault="00D83B52" w:rsidP="00E71B09">
            <w:pPr>
              <w:pStyle w:val="TableText"/>
              <w:jc w:val="center"/>
              <w:rPr>
                <w:b/>
                <w:bCs/>
                <w:color w:val="780000"/>
              </w:rPr>
            </w:pPr>
            <w:r w:rsidRPr="004C33D1">
              <w:rPr>
                <w:b/>
                <w:bCs/>
                <w:color w:val="780000"/>
              </w:rPr>
              <w:t>Medium</w:t>
            </w:r>
          </w:p>
          <w:p w:rsidR="00D83B52" w:rsidRPr="004C33D1" w:rsidRDefault="00D83B52" w:rsidP="00E71B09">
            <w:pPr>
              <w:pStyle w:val="TableText"/>
              <w:jc w:val="center"/>
              <w:rPr>
                <w:b/>
                <w:bCs/>
                <w:color w:val="780000"/>
              </w:rPr>
            </w:pPr>
            <w:r w:rsidRPr="004C33D1">
              <w:rPr>
                <w:b/>
                <w:bCs/>
                <w:color w:val="780000"/>
              </w:rPr>
              <w:t>quality</w:t>
            </w:r>
          </w:p>
        </w:tc>
        <w:tc>
          <w:tcPr>
            <w:tcW w:w="1036" w:type="pct"/>
            <w:tcBorders>
              <w:bottom w:val="single" w:sz="8" w:space="0" w:color="A6A6A6"/>
            </w:tcBorders>
            <w:shd w:val="clear" w:color="auto" w:fill="auto"/>
            <w:noWrap/>
            <w:vAlign w:val="bottom"/>
            <w:hideMark/>
          </w:tcPr>
          <w:p w:rsidR="00D83B52" w:rsidRPr="004C33D1" w:rsidRDefault="00D83B52" w:rsidP="00E71B09">
            <w:pPr>
              <w:pStyle w:val="TableText"/>
              <w:jc w:val="center"/>
              <w:rPr>
                <w:b/>
                <w:bCs/>
                <w:color w:val="780000"/>
              </w:rPr>
            </w:pPr>
            <w:r w:rsidRPr="004C33D1">
              <w:rPr>
                <w:b/>
                <w:bCs/>
                <w:color w:val="780000"/>
              </w:rPr>
              <w:t>High</w:t>
            </w:r>
          </w:p>
          <w:p w:rsidR="00D83B52" w:rsidRPr="004C33D1" w:rsidRDefault="00D83B52" w:rsidP="00E71B09">
            <w:pPr>
              <w:pStyle w:val="TableText"/>
              <w:jc w:val="center"/>
              <w:rPr>
                <w:b/>
                <w:bCs/>
                <w:color w:val="780000"/>
              </w:rPr>
            </w:pPr>
            <w:r w:rsidRPr="004C33D1">
              <w:rPr>
                <w:b/>
                <w:bCs/>
                <w:color w:val="780000"/>
              </w:rPr>
              <w:t>quality</w:t>
            </w:r>
          </w:p>
        </w:tc>
      </w:tr>
      <w:tr w:rsidR="00D83B52" w:rsidRPr="004C33D1" w:rsidTr="00E71B09">
        <w:tblPrEx>
          <w:tblCellMar>
            <w:top w:w="0" w:type="dxa"/>
            <w:left w:w="0" w:type="dxa"/>
            <w:bottom w:w="0" w:type="dxa"/>
            <w:right w:w="0" w:type="dxa"/>
          </w:tblCellMar>
        </w:tblPrEx>
        <w:trPr>
          <w:trHeight w:val="170"/>
        </w:trPr>
        <w:tc>
          <w:tcPr>
            <w:tcW w:w="858" w:type="pct"/>
            <w:vMerge w:val="restart"/>
            <w:tcBorders>
              <w:top w:val="single" w:sz="8" w:space="0" w:color="A6A6A6"/>
            </w:tcBorders>
            <w:shd w:val="clear" w:color="auto" w:fill="auto"/>
            <w:hideMark/>
          </w:tcPr>
          <w:p w:rsidR="00D83B52" w:rsidRPr="004C33D1" w:rsidRDefault="00D83B52" w:rsidP="00E71B09">
            <w:pPr>
              <w:pStyle w:val="TableText"/>
            </w:pPr>
            <w:r w:rsidRPr="004C33D1">
              <w:t>Small (20-35m2)</w:t>
            </w:r>
          </w:p>
        </w:tc>
        <w:tc>
          <w:tcPr>
            <w:tcW w:w="1035" w:type="pct"/>
            <w:tcBorders>
              <w:top w:val="single" w:sz="8" w:space="0" w:color="A6A6A6"/>
            </w:tcBorders>
            <w:shd w:val="clear" w:color="auto" w:fill="auto"/>
            <w:noWrap/>
            <w:hideMark/>
          </w:tcPr>
          <w:p w:rsidR="00D83B52" w:rsidRPr="004C33D1" w:rsidRDefault="00D83B52" w:rsidP="00E71B09">
            <w:pPr>
              <w:pStyle w:val="TableText"/>
            </w:pPr>
            <w:r w:rsidRPr="004C33D1">
              <w:t>1 to 3 storeys</w:t>
            </w:r>
          </w:p>
        </w:tc>
        <w:tc>
          <w:tcPr>
            <w:tcW w:w="1035" w:type="pct"/>
            <w:tcBorders>
              <w:top w:val="single" w:sz="8" w:space="0" w:color="A6A6A6"/>
            </w:tcBorders>
            <w:shd w:val="clear" w:color="auto" w:fill="auto"/>
            <w:noWrap/>
            <w:hideMark/>
          </w:tcPr>
          <w:p w:rsidR="00D83B52" w:rsidRPr="004C33D1" w:rsidRDefault="00D83B52" w:rsidP="00E71B09">
            <w:pPr>
              <w:pStyle w:val="TableText"/>
              <w:jc w:val="center"/>
            </w:pPr>
            <w:r w:rsidRPr="004C33D1">
              <w:t>$2,604</w:t>
            </w:r>
          </w:p>
        </w:tc>
        <w:tc>
          <w:tcPr>
            <w:tcW w:w="1035" w:type="pct"/>
            <w:tcBorders>
              <w:top w:val="single" w:sz="8" w:space="0" w:color="A6A6A6"/>
            </w:tcBorders>
            <w:shd w:val="clear" w:color="auto" w:fill="auto"/>
            <w:noWrap/>
            <w:hideMark/>
          </w:tcPr>
          <w:p w:rsidR="00D83B52" w:rsidRPr="004C33D1" w:rsidRDefault="00D83B52" w:rsidP="00E71B09">
            <w:pPr>
              <w:pStyle w:val="TableText"/>
              <w:jc w:val="center"/>
            </w:pPr>
            <w:r w:rsidRPr="004C33D1">
              <w:t>$3,100</w:t>
            </w:r>
          </w:p>
        </w:tc>
        <w:tc>
          <w:tcPr>
            <w:tcW w:w="1036" w:type="pct"/>
            <w:tcBorders>
              <w:top w:val="single" w:sz="8" w:space="0" w:color="A6A6A6"/>
            </w:tcBorders>
            <w:shd w:val="clear" w:color="auto" w:fill="auto"/>
            <w:noWrap/>
            <w:hideMark/>
          </w:tcPr>
          <w:p w:rsidR="00D83B52" w:rsidRPr="004C33D1" w:rsidRDefault="00D83B52" w:rsidP="00E71B09">
            <w:pPr>
              <w:pStyle w:val="TableText"/>
              <w:jc w:val="center"/>
            </w:pPr>
            <w:r w:rsidRPr="004C33D1">
              <w:t>$3,348</w:t>
            </w:r>
          </w:p>
        </w:tc>
      </w:tr>
      <w:tr w:rsidR="00D83B52" w:rsidRPr="004C33D1" w:rsidTr="00E71B09">
        <w:tblPrEx>
          <w:tblCellMar>
            <w:top w:w="0" w:type="dxa"/>
            <w:left w:w="0" w:type="dxa"/>
            <w:bottom w:w="0" w:type="dxa"/>
            <w:right w:w="0" w:type="dxa"/>
          </w:tblCellMar>
        </w:tblPrEx>
        <w:trPr>
          <w:trHeight w:val="170"/>
        </w:trPr>
        <w:tc>
          <w:tcPr>
            <w:tcW w:w="858" w:type="pct"/>
            <w:vMerge/>
            <w:shd w:val="clear" w:color="auto" w:fill="auto"/>
            <w:vAlign w:val="center"/>
            <w:hideMark/>
          </w:tcPr>
          <w:p w:rsidR="00D83B52" w:rsidRPr="004C33D1" w:rsidRDefault="00D83B52" w:rsidP="00E71B09">
            <w:pPr>
              <w:pStyle w:val="TableText"/>
            </w:pPr>
          </w:p>
        </w:tc>
        <w:tc>
          <w:tcPr>
            <w:tcW w:w="1035" w:type="pct"/>
            <w:shd w:val="clear" w:color="auto" w:fill="auto"/>
            <w:noWrap/>
            <w:vAlign w:val="center"/>
            <w:hideMark/>
          </w:tcPr>
          <w:p w:rsidR="00D83B52" w:rsidRPr="004C33D1" w:rsidRDefault="00D83B52" w:rsidP="00E71B09">
            <w:pPr>
              <w:pStyle w:val="TableText"/>
            </w:pPr>
            <w:r w:rsidRPr="004C33D1">
              <w:t>4 to 7 storeys</w:t>
            </w:r>
          </w:p>
        </w:tc>
        <w:tc>
          <w:tcPr>
            <w:tcW w:w="1035" w:type="pct"/>
            <w:shd w:val="clear" w:color="auto" w:fill="auto"/>
            <w:noWrap/>
            <w:vAlign w:val="center"/>
            <w:hideMark/>
          </w:tcPr>
          <w:p w:rsidR="00D83B52" w:rsidRPr="004C33D1" w:rsidRDefault="00D83B52" w:rsidP="00E71B09">
            <w:pPr>
              <w:pStyle w:val="TableText"/>
              <w:jc w:val="center"/>
            </w:pPr>
            <w:r w:rsidRPr="004C33D1">
              <w:t>$2,695</w:t>
            </w:r>
          </w:p>
        </w:tc>
        <w:tc>
          <w:tcPr>
            <w:tcW w:w="1035" w:type="pct"/>
            <w:shd w:val="clear" w:color="auto" w:fill="auto"/>
            <w:noWrap/>
            <w:vAlign w:val="center"/>
            <w:hideMark/>
          </w:tcPr>
          <w:p w:rsidR="00D83B52" w:rsidRPr="004C33D1" w:rsidRDefault="00D83B52" w:rsidP="00E71B09">
            <w:pPr>
              <w:pStyle w:val="TableText"/>
              <w:jc w:val="center"/>
            </w:pPr>
            <w:r w:rsidRPr="004C33D1">
              <w:t>$3,209</w:t>
            </w:r>
          </w:p>
        </w:tc>
        <w:tc>
          <w:tcPr>
            <w:tcW w:w="1036" w:type="pct"/>
            <w:shd w:val="clear" w:color="auto" w:fill="auto"/>
            <w:noWrap/>
            <w:vAlign w:val="center"/>
            <w:hideMark/>
          </w:tcPr>
          <w:p w:rsidR="00D83B52" w:rsidRPr="004C33D1" w:rsidRDefault="00D83B52" w:rsidP="00E71B09">
            <w:pPr>
              <w:pStyle w:val="TableText"/>
              <w:jc w:val="center"/>
            </w:pPr>
            <w:r w:rsidRPr="004C33D1">
              <w:t>$3,468</w:t>
            </w:r>
          </w:p>
        </w:tc>
      </w:tr>
      <w:tr w:rsidR="00D83B52" w:rsidRPr="004C33D1" w:rsidTr="00E71B09">
        <w:tblPrEx>
          <w:tblCellMar>
            <w:top w:w="0" w:type="dxa"/>
            <w:left w:w="0" w:type="dxa"/>
            <w:bottom w:w="0" w:type="dxa"/>
            <w:right w:w="0" w:type="dxa"/>
          </w:tblCellMar>
        </w:tblPrEx>
        <w:trPr>
          <w:trHeight w:val="170"/>
        </w:trPr>
        <w:tc>
          <w:tcPr>
            <w:tcW w:w="858" w:type="pct"/>
            <w:vMerge/>
            <w:tcBorders>
              <w:bottom w:val="single" w:sz="8" w:space="0" w:color="A6A6A6"/>
            </w:tcBorders>
            <w:shd w:val="clear" w:color="auto" w:fill="auto"/>
            <w:hideMark/>
          </w:tcPr>
          <w:p w:rsidR="00D83B52" w:rsidRPr="004C33D1" w:rsidRDefault="00D83B52" w:rsidP="00E71B09">
            <w:pPr>
              <w:pStyle w:val="TableText"/>
            </w:pPr>
          </w:p>
        </w:tc>
        <w:tc>
          <w:tcPr>
            <w:tcW w:w="1035" w:type="pct"/>
            <w:tcBorders>
              <w:bottom w:val="single" w:sz="8" w:space="0" w:color="A6A6A6"/>
            </w:tcBorders>
            <w:shd w:val="clear" w:color="auto" w:fill="auto"/>
            <w:noWrap/>
            <w:hideMark/>
          </w:tcPr>
          <w:p w:rsidR="00D83B52" w:rsidRPr="004C33D1" w:rsidRDefault="00D83B52" w:rsidP="00E71B09">
            <w:pPr>
              <w:pStyle w:val="TableText"/>
            </w:pPr>
            <w:r w:rsidRPr="004C33D1">
              <w:t>8 to 24 storeys</w:t>
            </w:r>
          </w:p>
        </w:tc>
        <w:tc>
          <w:tcPr>
            <w:tcW w:w="1035" w:type="pct"/>
            <w:tcBorders>
              <w:bottom w:val="single" w:sz="8" w:space="0" w:color="A6A6A6"/>
            </w:tcBorders>
            <w:shd w:val="clear" w:color="auto" w:fill="auto"/>
            <w:noWrap/>
            <w:hideMark/>
          </w:tcPr>
          <w:p w:rsidR="00D83B52" w:rsidRPr="004C33D1" w:rsidRDefault="00D83B52" w:rsidP="00E71B09">
            <w:pPr>
              <w:pStyle w:val="TableText"/>
              <w:jc w:val="center"/>
            </w:pPr>
            <w:r w:rsidRPr="004C33D1">
              <w:t>$2,976</w:t>
            </w:r>
          </w:p>
        </w:tc>
        <w:tc>
          <w:tcPr>
            <w:tcW w:w="1035" w:type="pct"/>
            <w:tcBorders>
              <w:bottom w:val="single" w:sz="8" w:space="0" w:color="A6A6A6"/>
            </w:tcBorders>
            <w:shd w:val="clear" w:color="auto" w:fill="auto"/>
            <w:noWrap/>
            <w:hideMark/>
          </w:tcPr>
          <w:p w:rsidR="00D83B52" w:rsidRPr="004C33D1" w:rsidRDefault="00D83B52" w:rsidP="00E71B09">
            <w:pPr>
              <w:pStyle w:val="TableText"/>
              <w:jc w:val="center"/>
            </w:pPr>
            <w:r w:rsidRPr="004C33D1">
              <w:t>$3,472</w:t>
            </w:r>
          </w:p>
        </w:tc>
        <w:tc>
          <w:tcPr>
            <w:tcW w:w="1036" w:type="pct"/>
            <w:tcBorders>
              <w:bottom w:val="single" w:sz="8" w:space="0" w:color="A6A6A6"/>
            </w:tcBorders>
            <w:shd w:val="clear" w:color="auto" w:fill="auto"/>
            <w:noWrap/>
            <w:hideMark/>
          </w:tcPr>
          <w:p w:rsidR="00D83B52" w:rsidRPr="004C33D1" w:rsidRDefault="00D83B52" w:rsidP="00E71B09">
            <w:pPr>
              <w:pStyle w:val="TableText"/>
              <w:jc w:val="center"/>
            </w:pPr>
            <w:r w:rsidRPr="004C33D1">
              <w:t>$3,720</w:t>
            </w:r>
          </w:p>
        </w:tc>
      </w:tr>
      <w:tr w:rsidR="00D83B52" w:rsidRPr="004C33D1" w:rsidTr="00E71B09">
        <w:tblPrEx>
          <w:tblCellMar>
            <w:top w:w="0" w:type="dxa"/>
            <w:left w:w="0" w:type="dxa"/>
            <w:bottom w:w="0" w:type="dxa"/>
            <w:right w:w="0" w:type="dxa"/>
          </w:tblCellMar>
        </w:tblPrEx>
        <w:trPr>
          <w:trHeight w:val="170"/>
        </w:trPr>
        <w:tc>
          <w:tcPr>
            <w:tcW w:w="858" w:type="pct"/>
            <w:vMerge w:val="restart"/>
            <w:tcBorders>
              <w:top w:val="single" w:sz="8" w:space="0" w:color="A6A6A6"/>
            </w:tcBorders>
            <w:shd w:val="clear" w:color="auto" w:fill="auto"/>
            <w:hideMark/>
          </w:tcPr>
          <w:p w:rsidR="00D83B52" w:rsidRPr="004C33D1" w:rsidRDefault="00D83B52" w:rsidP="00E71B09">
            <w:pPr>
              <w:pStyle w:val="TableText"/>
            </w:pPr>
            <w:r w:rsidRPr="004C33D1">
              <w:t>Medium (50-70m2)</w:t>
            </w:r>
          </w:p>
        </w:tc>
        <w:tc>
          <w:tcPr>
            <w:tcW w:w="1035" w:type="pct"/>
            <w:tcBorders>
              <w:top w:val="single" w:sz="8" w:space="0" w:color="A6A6A6"/>
            </w:tcBorders>
            <w:shd w:val="clear" w:color="auto" w:fill="auto"/>
            <w:noWrap/>
            <w:hideMark/>
          </w:tcPr>
          <w:p w:rsidR="00D83B52" w:rsidRPr="004C33D1" w:rsidRDefault="00D83B52" w:rsidP="00E71B09">
            <w:pPr>
              <w:pStyle w:val="TableText"/>
            </w:pPr>
            <w:r w:rsidRPr="004C33D1">
              <w:t>1 to 3 storeys</w:t>
            </w:r>
          </w:p>
        </w:tc>
        <w:tc>
          <w:tcPr>
            <w:tcW w:w="1035" w:type="pct"/>
            <w:tcBorders>
              <w:top w:val="single" w:sz="8" w:space="0" w:color="A6A6A6"/>
            </w:tcBorders>
            <w:shd w:val="clear" w:color="auto" w:fill="auto"/>
            <w:noWrap/>
            <w:hideMark/>
          </w:tcPr>
          <w:p w:rsidR="00D83B52" w:rsidRPr="004C33D1" w:rsidRDefault="00D83B52" w:rsidP="00E71B09">
            <w:pPr>
              <w:pStyle w:val="TableText"/>
              <w:jc w:val="center"/>
            </w:pPr>
            <w:r w:rsidRPr="004C33D1">
              <w:t>$2,108</w:t>
            </w:r>
          </w:p>
        </w:tc>
        <w:tc>
          <w:tcPr>
            <w:tcW w:w="1035" w:type="pct"/>
            <w:tcBorders>
              <w:top w:val="single" w:sz="8" w:space="0" w:color="A6A6A6"/>
            </w:tcBorders>
            <w:shd w:val="clear" w:color="auto" w:fill="auto"/>
            <w:noWrap/>
            <w:hideMark/>
          </w:tcPr>
          <w:p w:rsidR="00D83B52" w:rsidRPr="004C33D1" w:rsidRDefault="00D83B52" w:rsidP="00E71B09">
            <w:pPr>
              <w:pStyle w:val="TableText"/>
              <w:jc w:val="center"/>
            </w:pPr>
            <w:r w:rsidRPr="004C33D1">
              <w:t>$2,852</w:t>
            </w:r>
          </w:p>
        </w:tc>
        <w:tc>
          <w:tcPr>
            <w:tcW w:w="1036" w:type="pct"/>
            <w:tcBorders>
              <w:top w:val="single" w:sz="8" w:space="0" w:color="A6A6A6"/>
            </w:tcBorders>
            <w:shd w:val="clear" w:color="auto" w:fill="auto"/>
            <w:noWrap/>
            <w:hideMark/>
          </w:tcPr>
          <w:p w:rsidR="00D83B52" w:rsidRPr="004C33D1" w:rsidRDefault="00D83B52" w:rsidP="00E71B09">
            <w:pPr>
              <w:pStyle w:val="TableText"/>
              <w:jc w:val="center"/>
            </w:pPr>
            <w:r w:rsidRPr="004C33D1">
              <w:t>$3,100</w:t>
            </w:r>
          </w:p>
        </w:tc>
      </w:tr>
      <w:tr w:rsidR="00D83B52" w:rsidRPr="004C33D1" w:rsidTr="00E71B09">
        <w:tblPrEx>
          <w:tblCellMar>
            <w:top w:w="0" w:type="dxa"/>
            <w:left w:w="0" w:type="dxa"/>
            <w:bottom w:w="0" w:type="dxa"/>
            <w:right w:w="0" w:type="dxa"/>
          </w:tblCellMar>
        </w:tblPrEx>
        <w:trPr>
          <w:trHeight w:val="170"/>
        </w:trPr>
        <w:tc>
          <w:tcPr>
            <w:tcW w:w="858" w:type="pct"/>
            <w:vMerge/>
            <w:shd w:val="clear" w:color="auto" w:fill="auto"/>
            <w:vAlign w:val="center"/>
            <w:hideMark/>
          </w:tcPr>
          <w:p w:rsidR="00D83B52" w:rsidRPr="004C33D1" w:rsidRDefault="00D83B52" w:rsidP="00E71B09">
            <w:pPr>
              <w:pStyle w:val="TableText"/>
            </w:pPr>
          </w:p>
        </w:tc>
        <w:tc>
          <w:tcPr>
            <w:tcW w:w="1035" w:type="pct"/>
            <w:shd w:val="clear" w:color="auto" w:fill="auto"/>
            <w:noWrap/>
            <w:vAlign w:val="center"/>
            <w:hideMark/>
          </w:tcPr>
          <w:p w:rsidR="00D83B52" w:rsidRPr="004C33D1" w:rsidRDefault="00D83B52" w:rsidP="00E71B09">
            <w:pPr>
              <w:pStyle w:val="TableText"/>
            </w:pPr>
            <w:r w:rsidRPr="004C33D1">
              <w:t>4 to 7 storeys</w:t>
            </w:r>
          </w:p>
        </w:tc>
        <w:tc>
          <w:tcPr>
            <w:tcW w:w="1035" w:type="pct"/>
            <w:shd w:val="clear" w:color="auto" w:fill="auto"/>
            <w:noWrap/>
            <w:vAlign w:val="center"/>
            <w:hideMark/>
          </w:tcPr>
          <w:p w:rsidR="00D83B52" w:rsidRPr="004C33D1" w:rsidRDefault="00D83B52" w:rsidP="00E71B09">
            <w:pPr>
              <w:pStyle w:val="TableText"/>
              <w:jc w:val="center"/>
            </w:pPr>
            <w:r w:rsidRPr="004C33D1">
              <w:t>$2,171</w:t>
            </w:r>
          </w:p>
        </w:tc>
        <w:tc>
          <w:tcPr>
            <w:tcW w:w="1035" w:type="pct"/>
            <w:shd w:val="clear" w:color="auto" w:fill="auto"/>
            <w:noWrap/>
            <w:vAlign w:val="center"/>
            <w:hideMark/>
          </w:tcPr>
          <w:p w:rsidR="00D83B52" w:rsidRPr="004C33D1" w:rsidRDefault="00D83B52" w:rsidP="00E71B09">
            <w:pPr>
              <w:pStyle w:val="TableText"/>
              <w:jc w:val="center"/>
            </w:pPr>
            <w:r w:rsidRPr="004C33D1">
              <w:t>$2,938</w:t>
            </w:r>
          </w:p>
        </w:tc>
        <w:tc>
          <w:tcPr>
            <w:tcW w:w="1036" w:type="pct"/>
            <w:shd w:val="clear" w:color="auto" w:fill="auto"/>
            <w:noWrap/>
            <w:vAlign w:val="center"/>
            <w:hideMark/>
          </w:tcPr>
          <w:p w:rsidR="00D83B52" w:rsidRPr="004C33D1" w:rsidRDefault="00D83B52" w:rsidP="00E71B09">
            <w:pPr>
              <w:pStyle w:val="TableText"/>
              <w:jc w:val="center"/>
            </w:pPr>
            <w:r w:rsidRPr="004C33D1">
              <w:t>$3,209</w:t>
            </w:r>
          </w:p>
        </w:tc>
      </w:tr>
      <w:tr w:rsidR="00D83B52" w:rsidRPr="004C33D1" w:rsidTr="00E71B09">
        <w:tblPrEx>
          <w:tblCellMar>
            <w:top w:w="0" w:type="dxa"/>
            <w:left w:w="0" w:type="dxa"/>
            <w:bottom w:w="0" w:type="dxa"/>
            <w:right w:w="0" w:type="dxa"/>
          </w:tblCellMar>
        </w:tblPrEx>
        <w:trPr>
          <w:trHeight w:val="170"/>
        </w:trPr>
        <w:tc>
          <w:tcPr>
            <w:tcW w:w="858" w:type="pct"/>
            <w:vMerge/>
            <w:tcBorders>
              <w:bottom w:val="single" w:sz="8" w:space="0" w:color="A6A6A6"/>
            </w:tcBorders>
            <w:shd w:val="clear" w:color="auto" w:fill="auto"/>
            <w:hideMark/>
          </w:tcPr>
          <w:p w:rsidR="00D83B52" w:rsidRPr="004C33D1" w:rsidRDefault="00D83B52" w:rsidP="00E71B09">
            <w:pPr>
              <w:pStyle w:val="TableText"/>
            </w:pPr>
          </w:p>
        </w:tc>
        <w:tc>
          <w:tcPr>
            <w:tcW w:w="1035" w:type="pct"/>
            <w:tcBorders>
              <w:bottom w:val="single" w:sz="8" w:space="0" w:color="A6A6A6"/>
            </w:tcBorders>
            <w:shd w:val="clear" w:color="auto" w:fill="auto"/>
            <w:noWrap/>
            <w:hideMark/>
          </w:tcPr>
          <w:p w:rsidR="00D83B52" w:rsidRPr="004C33D1" w:rsidRDefault="00D83B52" w:rsidP="00E71B09">
            <w:pPr>
              <w:pStyle w:val="TableText"/>
            </w:pPr>
            <w:r w:rsidRPr="004C33D1">
              <w:t>8 to 24 storeys</w:t>
            </w:r>
          </w:p>
        </w:tc>
        <w:tc>
          <w:tcPr>
            <w:tcW w:w="1035" w:type="pct"/>
            <w:tcBorders>
              <w:bottom w:val="single" w:sz="8" w:space="0" w:color="A6A6A6"/>
            </w:tcBorders>
            <w:shd w:val="clear" w:color="auto" w:fill="auto"/>
            <w:noWrap/>
            <w:hideMark/>
          </w:tcPr>
          <w:p w:rsidR="00D83B52" w:rsidRPr="004C33D1" w:rsidRDefault="00D83B52" w:rsidP="00E71B09">
            <w:pPr>
              <w:pStyle w:val="TableText"/>
              <w:jc w:val="center"/>
            </w:pPr>
            <w:r w:rsidRPr="004C33D1">
              <w:t>$2,480</w:t>
            </w:r>
          </w:p>
        </w:tc>
        <w:tc>
          <w:tcPr>
            <w:tcW w:w="1035" w:type="pct"/>
            <w:tcBorders>
              <w:bottom w:val="single" w:sz="8" w:space="0" w:color="A6A6A6"/>
            </w:tcBorders>
            <w:shd w:val="clear" w:color="auto" w:fill="auto"/>
            <w:noWrap/>
            <w:hideMark/>
          </w:tcPr>
          <w:p w:rsidR="00D83B52" w:rsidRPr="004C33D1" w:rsidRDefault="00D83B52" w:rsidP="00E71B09">
            <w:pPr>
              <w:pStyle w:val="TableText"/>
              <w:jc w:val="center"/>
            </w:pPr>
            <w:r w:rsidRPr="004C33D1">
              <w:t>$3,224</w:t>
            </w:r>
          </w:p>
        </w:tc>
        <w:tc>
          <w:tcPr>
            <w:tcW w:w="1036" w:type="pct"/>
            <w:tcBorders>
              <w:bottom w:val="single" w:sz="8" w:space="0" w:color="A6A6A6"/>
            </w:tcBorders>
            <w:shd w:val="clear" w:color="auto" w:fill="auto"/>
            <w:noWrap/>
            <w:hideMark/>
          </w:tcPr>
          <w:p w:rsidR="00D83B52" w:rsidRPr="004C33D1" w:rsidRDefault="00D83B52" w:rsidP="00E71B09">
            <w:pPr>
              <w:pStyle w:val="TableText"/>
              <w:jc w:val="center"/>
            </w:pPr>
            <w:r w:rsidRPr="004C33D1">
              <w:t>$3,472</w:t>
            </w:r>
            <w:r w:rsidRPr="004C33D1">
              <w:rPr>
                <w:vertAlign w:val="superscript"/>
              </w:rPr>
              <w:t>1</w:t>
            </w:r>
          </w:p>
        </w:tc>
      </w:tr>
      <w:tr w:rsidR="00D83B52" w:rsidRPr="004C33D1" w:rsidTr="00E71B09">
        <w:tblPrEx>
          <w:tblCellMar>
            <w:top w:w="0" w:type="dxa"/>
            <w:left w:w="0" w:type="dxa"/>
            <w:bottom w:w="0" w:type="dxa"/>
            <w:right w:w="0" w:type="dxa"/>
          </w:tblCellMar>
        </w:tblPrEx>
        <w:trPr>
          <w:trHeight w:val="170"/>
        </w:trPr>
        <w:tc>
          <w:tcPr>
            <w:tcW w:w="858" w:type="pct"/>
            <w:vMerge w:val="restart"/>
            <w:tcBorders>
              <w:top w:val="single" w:sz="8" w:space="0" w:color="A6A6A6"/>
            </w:tcBorders>
            <w:shd w:val="clear" w:color="auto" w:fill="auto"/>
            <w:hideMark/>
          </w:tcPr>
          <w:p w:rsidR="00D83B52" w:rsidRPr="004C33D1" w:rsidRDefault="00D83B52" w:rsidP="00E71B09">
            <w:pPr>
              <w:pStyle w:val="TableText"/>
            </w:pPr>
            <w:r w:rsidRPr="004C33D1">
              <w:t>Large (90+m2)</w:t>
            </w:r>
          </w:p>
        </w:tc>
        <w:tc>
          <w:tcPr>
            <w:tcW w:w="1035" w:type="pct"/>
            <w:tcBorders>
              <w:top w:val="single" w:sz="8" w:space="0" w:color="A6A6A6"/>
            </w:tcBorders>
            <w:shd w:val="clear" w:color="auto" w:fill="auto"/>
            <w:noWrap/>
            <w:hideMark/>
          </w:tcPr>
          <w:p w:rsidR="00D83B52" w:rsidRPr="004C33D1" w:rsidRDefault="00D83B52" w:rsidP="00E71B09">
            <w:pPr>
              <w:pStyle w:val="TableText"/>
            </w:pPr>
            <w:r w:rsidRPr="004C33D1">
              <w:t>1 to 3 storeys</w:t>
            </w:r>
          </w:p>
        </w:tc>
        <w:tc>
          <w:tcPr>
            <w:tcW w:w="1035" w:type="pct"/>
            <w:tcBorders>
              <w:top w:val="single" w:sz="8" w:space="0" w:color="A6A6A6"/>
            </w:tcBorders>
            <w:shd w:val="clear" w:color="auto" w:fill="auto"/>
            <w:noWrap/>
            <w:hideMark/>
          </w:tcPr>
          <w:p w:rsidR="00D83B52" w:rsidRPr="004C33D1" w:rsidRDefault="00D83B52" w:rsidP="00E71B09">
            <w:pPr>
              <w:pStyle w:val="TableText"/>
              <w:jc w:val="center"/>
            </w:pPr>
            <w:r w:rsidRPr="004C33D1">
              <w:t>$1,860</w:t>
            </w:r>
          </w:p>
        </w:tc>
        <w:tc>
          <w:tcPr>
            <w:tcW w:w="1035" w:type="pct"/>
            <w:tcBorders>
              <w:top w:val="single" w:sz="8" w:space="0" w:color="A6A6A6"/>
            </w:tcBorders>
            <w:shd w:val="clear" w:color="auto" w:fill="auto"/>
            <w:noWrap/>
            <w:hideMark/>
          </w:tcPr>
          <w:p w:rsidR="00D83B52" w:rsidRPr="004C33D1" w:rsidRDefault="00D83B52" w:rsidP="00E71B09">
            <w:pPr>
              <w:pStyle w:val="TableText"/>
              <w:jc w:val="center"/>
            </w:pPr>
            <w:r w:rsidRPr="004C33D1">
              <w:t>$2,356</w:t>
            </w:r>
          </w:p>
        </w:tc>
        <w:tc>
          <w:tcPr>
            <w:tcW w:w="1036" w:type="pct"/>
            <w:tcBorders>
              <w:top w:val="single" w:sz="8" w:space="0" w:color="A6A6A6"/>
            </w:tcBorders>
            <w:shd w:val="clear" w:color="auto" w:fill="auto"/>
            <w:noWrap/>
            <w:hideMark/>
          </w:tcPr>
          <w:p w:rsidR="00D83B52" w:rsidRPr="004C33D1" w:rsidRDefault="00D83B52" w:rsidP="00E71B09">
            <w:pPr>
              <w:pStyle w:val="TableText"/>
              <w:jc w:val="center"/>
            </w:pPr>
            <w:r w:rsidRPr="004C33D1">
              <w:t>$2,604</w:t>
            </w:r>
          </w:p>
        </w:tc>
      </w:tr>
      <w:tr w:rsidR="00D83B52" w:rsidRPr="004C33D1" w:rsidTr="00E71B09">
        <w:tblPrEx>
          <w:tblCellMar>
            <w:top w:w="0" w:type="dxa"/>
            <w:left w:w="0" w:type="dxa"/>
            <w:bottom w:w="0" w:type="dxa"/>
            <w:right w:w="0" w:type="dxa"/>
          </w:tblCellMar>
        </w:tblPrEx>
        <w:trPr>
          <w:trHeight w:val="170"/>
        </w:trPr>
        <w:tc>
          <w:tcPr>
            <w:tcW w:w="858" w:type="pct"/>
            <w:vMerge/>
            <w:shd w:val="clear" w:color="auto" w:fill="auto"/>
            <w:vAlign w:val="center"/>
            <w:hideMark/>
          </w:tcPr>
          <w:p w:rsidR="00D83B52" w:rsidRPr="004C33D1" w:rsidRDefault="00D83B52" w:rsidP="00E71B09">
            <w:pPr>
              <w:pStyle w:val="TableText"/>
            </w:pPr>
          </w:p>
        </w:tc>
        <w:tc>
          <w:tcPr>
            <w:tcW w:w="1035" w:type="pct"/>
            <w:shd w:val="clear" w:color="auto" w:fill="auto"/>
            <w:noWrap/>
            <w:vAlign w:val="center"/>
            <w:hideMark/>
          </w:tcPr>
          <w:p w:rsidR="00D83B52" w:rsidRPr="004C33D1" w:rsidRDefault="00D83B52" w:rsidP="00E71B09">
            <w:pPr>
              <w:pStyle w:val="TableText"/>
            </w:pPr>
            <w:r w:rsidRPr="004C33D1">
              <w:t>4 to 7 storeys</w:t>
            </w:r>
          </w:p>
        </w:tc>
        <w:tc>
          <w:tcPr>
            <w:tcW w:w="1035" w:type="pct"/>
            <w:shd w:val="clear" w:color="auto" w:fill="auto"/>
            <w:noWrap/>
            <w:vAlign w:val="center"/>
            <w:hideMark/>
          </w:tcPr>
          <w:p w:rsidR="00D83B52" w:rsidRPr="004C33D1" w:rsidRDefault="00D83B52" w:rsidP="00E71B09">
            <w:pPr>
              <w:pStyle w:val="TableText"/>
              <w:jc w:val="center"/>
            </w:pPr>
            <w:r w:rsidRPr="004C33D1">
              <w:t>$1,916</w:t>
            </w:r>
          </w:p>
        </w:tc>
        <w:tc>
          <w:tcPr>
            <w:tcW w:w="1035" w:type="pct"/>
            <w:shd w:val="clear" w:color="auto" w:fill="auto"/>
            <w:noWrap/>
            <w:vAlign w:val="center"/>
            <w:hideMark/>
          </w:tcPr>
          <w:p w:rsidR="00D83B52" w:rsidRPr="004C33D1" w:rsidRDefault="00D83B52" w:rsidP="00E71B09">
            <w:pPr>
              <w:pStyle w:val="TableText"/>
              <w:jc w:val="center"/>
            </w:pPr>
            <w:r w:rsidRPr="004C33D1">
              <w:t>$2,427</w:t>
            </w:r>
          </w:p>
        </w:tc>
        <w:tc>
          <w:tcPr>
            <w:tcW w:w="1036" w:type="pct"/>
            <w:shd w:val="clear" w:color="auto" w:fill="auto"/>
            <w:noWrap/>
            <w:vAlign w:val="center"/>
            <w:hideMark/>
          </w:tcPr>
          <w:p w:rsidR="00D83B52" w:rsidRPr="004C33D1" w:rsidRDefault="00D83B52" w:rsidP="00E71B09">
            <w:pPr>
              <w:pStyle w:val="TableText"/>
              <w:jc w:val="center"/>
            </w:pPr>
            <w:r w:rsidRPr="004C33D1">
              <w:t>$2,682</w:t>
            </w:r>
          </w:p>
        </w:tc>
      </w:tr>
      <w:tr w:rsidR="00D83B52" w:rsidRPr="004C33D1" w:rsidTr="00E71B09">
        <w:tblPrEx>
          <w:tblCellMar>
            <w:top w:w="0" w:type="dxa"/>
            <w:left w:w="0" w:type="dxa"/>
            <w:bottom w:w="0" w:type="dxa"/>
            <w:right w:w="0" w:type="dxa"/>
          </w:tblCellMar>
        </w:tblPrEx>
        <w:trPr>
          <w:trHeight w:val="170"/>
        </w:trPr>
        <w:tc>
          <w:tcPr>
            <w:tcW w:w="858" w:type="pct"/>
            <w:vMerge/>
            <w:tcBorders>
              <w:bottom w:val="single" w:sz="12" w:space="0" w:color="A6A6A6"/>
            </w:tcBorders>
            <w:shd w:val="clear" w:color="auto" w:fill="auto"/>
            <w:hideMark/>
          </w:tcPr>
          <w:p w:rsidR="00D83B52" w:rsidRPr="004C33D1" w:rsidRDefault="00D83B52" w:rsidP="00E71B09">
            <w:pPr>
              <w:pStyle w:val="TableText"/>
            </w:pPr>
          </w:p>
        </w:tc>
        <w:tc>
          <w:tcPr>
            <w:tcW w:w="1035" w:type="pct"/>
            <w:tcBorders>
              <w:bottom w:val="single" w:sz="12" w:space="0" w:color="A6A6A6"/>
            </w:tcBorders>
            <w:shd w:val="clear" w:color="auto" w:fill="auto"/>
            <w:noWrap/>
            <w:hideMark/>
          </w:tcPr>
          <w:p w:rsidR="00D83B52" w:rsidRPr="004C33D1" w:rsidRDefault="00D83B52" w:rsidP="00E71B09">
            <w:pPr>
              <w:pStyle w:val="TableText"/>
            </w:pPr>
            <w:r w:rsidRPr="004C33D1">
              <w:t>8 to 24 storeys</w:t>
            </w:r>
          </w:p>
        </w:tc>
        <w:tc>
          <w:tcPr>
            <w:tcW w:w="1035" w:type="pct"/>
            <w:tcBorders>
              <w:bottom w:val="single" w:sz="12" w:space="0" w:color="A6A6A6"/>
            </w:tcBorders>
            <w:shd w:val="clear" w:color="auto" w:fill="auto"/>
            <w:noWrap/>
            <w:hideMark/>
          </w:tcPr>
          <w:p w:rsidR="00D83B52" w:rsidRPr="004C33D1" w:rsidRDefault="00D83B52" w:rsidP="00E71B09">
            <w:pPr>
              <w:pStyle w:val="TableText"/>
              <w:jc w:val="center"/>
            </w:pPr>
            <w:r w:rsidRPr="004C33D1">
              <w:t>$2,232</w:t>
            </w:r>
          </w:p>
        </w:tc>
        <w:tc>
          <w:tcPr>
            <w:tcW w:w="1035" w:type="pct"/>
            <w:tcBorders>
              <w:bottom w:val="single" w:sz="12" w:space="0" w:color="A6A6A6"/>
            </w:tcBorders>
            <w:shd w:val="clear" w:color="auto" w:fill="auto"/>
            <w:noWrap/>
            <w:hideMark/>
          </w:tcPr>
          <w:p w:rsidR="00D83B52" w:rsidRPr="004C33D1" w:rsidRDefault="00D83B52" w:rsidP="00E71B09">
            <w:pPr>
              <w:pStyle w:val="TableText"/>
              <w:jc w:val="center"/>
            </w:pPr>
            <w:r w:rsidRPr="004C33D1">
              <w:t>$2,604</w:t>
            </w:r>
          </w:p>
        </w:tc>
        <w:tc>
          <w:tcPr>
            <w:tcW w:w="1036" w:type="pct"/>
            <w:tcBorders>
              <w:bottom w:val="single" w:sz="12" w:space="0" w:color="A6A6A6"/>
            </w:tcBorders>
            <w:shd w:val="clear" w:color="auto" w:fill="auto"/>
            <w:noWrap/>
            <w:hideMark/>
          </w:tcPr>
          <w:p w:rsidR="00D83B52" w:rsidRPr="004C33D1" w:rsidRDefault="00D83B52" w:rsidP="00E71B09">
            <w:pPr>
              <w:pStyle w:val="TableText"/>
              <w:jc w:val="center"/>
            </w:pPr>
            <w:r w:rsidRPr="004C33D1">
              <w:t>$2,976</w:t>
            </w:r>
          </w:p>
        </w:tc>
      </w:tr>
    </w:tbl>
    <w:p w:rsidR="00D83B52" w:rsidRPr="004C33D1" w:rsidRDefault="00D83B52" w:rsidP="00D83B52">
      <w:pPr>
        <w:spacing w:line="240" w:lineRule="auto"/>
        <w:rPr>
          <w:sz w:val="18"/>
          <w:szCs w:val="18"/>
        </w:rPr>
      </w:pPr>
      <w:r w:rsidRPr="004C33D1">
        <w:rPr>
          <w:sz w:val="18"/>
          <w:szCs w:val="18"/>
        </w:rPr>
        <w:t xml:space="preserve">Source: </w:t>
      </w:r>
      <w:proofErr w:type="spellStart"/>
      <w:r w:rsidRPr="004C33D1">
        <w:rPr>
          <w:sz w:val="18"/>
          <w:szCs w:val="18"/>
        </w:rPr>
        <w:t>Luen</w:t>
      </w:r>
      <w:proofErr w:type="spellEnd"/>
      <w:r w:rsidRPr="004C33D1">
        <w:rPr>
          <w:sz w:val="18"/>
          <w:szCs w:val="18"/>
        </w:rPr>
        <w:t xml:space="preserve"> M (2014) </w:t>
      </w:r>
      <w:proofErr w:type="gramStart"/>
      <w:r w:rsidRPr="004C33D1">
        <w:rPr>
          <w:sz w:val="18"/>
          <w:szCs w:val="18"/>
        </w:rPr>
        <w:t>Up</w:t>
      </w:r>
      <w:proofErr w:type="gramEnd"/>
      <w:r w:rsidRPr="004C33D1">
        <w:rPr>
          <w:sz w:val="18"/>
          <w:szCs w:val="18"/>
        </w:rPr>
        <w:t xml:space="preserve"> or out? </w:t>
      </w:r>
      <w:proofErr w:type="gramStart"/>
      <w:r w:rsidRPr="004C33D1">
        <w:rPr>
          <w:sz w:val="18"/>
          <w:szCs w:val="18"/>
        </w:rPr>
        <w:t>Residential building height regulations in Auckland - understanding the effects and implications.</w:t>
      </w:r>
      <w:proofErr w:type="gramEnd"/>
      <w:r w:rsidRPr="004C33D1">
        <w:rPr>
          <w:sz w:val="18"/>
          <w:szCs w:val="18"/>
        </w:rPr>
        <w:t xml:space="preserve"> Paper presented at New Zealand Association of Economists Annual Conference 2014, Auckland</w:t>
      </w:r>
    </w:p>
    <w:p w:rsidR="00D83B52" w:rsidRPr="004C33D1" w:rsidRDefault="00D83B52" w:rsidP="00D83B52">
      <w:pPr>
        <w:spacing w:line="240" w:lineRule="auto"/>
        <w:rPr>
          <w:sz w:val="18"/>
          <w:szCs w:val="18"/>
        </w:rPr>
      </w:pPr>
      <w:r w:rsidRPr="004C33D1">
        <w:rPr>
          <w:sz w:val="18"/>
          <w:szCs w:val="18"/>
        </w:rPr>
        <w:t xml:space="preserve">Note: </w:t>
      </w:r>
      <w:proofErr w:type="gramStart"/>
      <w:r w:rsidRPr="004C33D1">
        <w:rPr>
          <w:sz w:val="18"/>
          <w:szCs w:val="18"/>
          <w:vertAlign w:val="superscript"/>
        </w:rPr>
        <w:t>1</w:t>
      </w:r>
      <w:proofErr w:type="gramEnd"/>
      <w:r w:rsidRPr="004C33D1">
        <w:rPr>
          <w:sz w:val="18"/>
          <w:szCs w:val="18"/>
        </w:rPr>
        <w:t xml:space="preserve"> this figure (costs for high-quality, medium-sized apartments in the 8-24 storey range) is used as a basis for marginal construction costs.</w:t>
      </w:r>
    </w:p>
    <w:p w:rsidR="00D83B52" w:rsidRPr="004C33D1" w:rsidRDefault="00D83B52" w:rsidP="00D83B52"/>
    <w:p w:rsidR="005570ED" w:rsidRDefault="005570ED" w:rsidP="00344C8E">
      <w:pPr>
        <w:spacing w:line="240" w:lineRule="auto"/>
      </w:pPr>
      <w:r w:rsidRPr="004C33D1">
        <w:t>Marginal construction costs can be “back-casted” using Statistics New Zealand’s Capital Goods Price Index for Residential Construction.</w:t>
      </w:r>
      <w:r>
        <w:t xml:space="preserve"> The following table shows the estimates of marginal construction cost that we used in our analysis. We used prices for a m</w:t>
      </w:r>
      <w:r w:rsidRPr="007C0999">
        <w:t>edium-sized</w:t>
      </w:r>
      <w:r>
        <w:t>, high-quality</w:t>
      </w:r>
      <w:r w:rsidRPr="007C0999">
        <w:t xml:space="preserve"> apartment</w:t>
      </w:r>
      <w:r>
        <w:t xml:space="preserve"> in an 8-24 storey building as a baseline for Auckland, and a multiple of 0.96 to convert this figure to the Wellington context.</w:t>
      </w:r>
    </w:p>
    <w:p w:rsidR="005570ED" w:rsidRDefault="005570ED" w:rsidP="00344C8E">
      <w:pPr>
        <w:spacing w:line="240" w:lineRule="auto"/>
      </w:pPr>
    </w:p>
    <w:p w:rsidR="005006B0" w:rsidRDefault="005006B0" w:rsidP="00344C8E">
      <w:pPr>
        <w:spacing w:line="240" w:lineRule="auto"/>
      </w:pPr>
    </w:p>
    <w:p w:rsidR="005006B0" w:rsidRDefault="005006B0" w:rsidP="00344C8E">
      <w:pPr>
        <w:spacing w:line="240" w:lineRule="auto"/>
      </w:pPr>
    </w:p>
    <w:p w:rsidR="005006B0" w:rsidRDefault="005006B0" w:rsidP="00344C8E">
      <w:pPr>
        <w:spacing w:line="240" w:lineRule="auto"/>
      </w:pPr>
    </w:p>
    <w:p w:rsidR="005006B0" w:rsidRDefault="005006B0" w:rsidP="00344C8E">
      <w:pPr>
        <w:spacing w:line="240" w:lineRule="auto"/>
      </w:pPr>
    </w:p>
    <w:p w:rsidR="005006B0" w:rsidRDefault="005006B0" w:rsidP="00344C8E">
      <w:pPr>
        <w:spacing w:line="240" w:lineRule="auto"/>
      </w:pPr>
    </w:p>
    <w:p w:rsidR="005006B0" w:rsidRDefault="005006B0" w:rsidP="00344C8E">
      <w:pPr>
        <w:spacing w:line="240" w:lineRule="auto"/>
      </w:pPr>
    </w:p>
    <w:p w:rsidR="00617EA1" w:rsidRDefault="00617EA1" w:rsidP="00344C8E">
      <w:pPr>
        <w:spacing w:line="240" w:lineRule="auto"/>
      </w:pPr>
    </w:p>
    <w:p w:rsidR="00617EA1" w:rsidRDefault="00617EA1" w:rsidP="00344C8E">
      <w:pPr>
        <w:spacing w:line="240" w:lineRule="auto"/>
      </w:pPr>
    </w:p>
    <w:p w:rsidR="00617EA1" w:rsidRDefault="00617EA1" w:rsidP="00344C8E">
      <w:pPr>
        <w:spacing w:line="240" w:lineRule="auto"/>
      </w:pPr>
    </w:p>
    <w:p w:rsidR="005570ED" w:rsidRPr="004C33D1" w:rsidRDefault="005570ED" w:rsidP="00E02811">
      <w:pPr>
        <w:pStyle w:val="Caption"/>
      </w:pPr>
      <w:r w:rsidRPr="004C33D1">
        <w:lastRenderedPageBreak/>
        <w:t xml:space="preserve">Table </w:t>
      </w:r>
      <w:r w:rsidRPr="004C33D1">
        <w:fldChar w:fldCharType="begin"/>
      </w:r>
      <w:r w:rsidRPr="004C33D1">
        <w:instrText xml:space="preserve"> SEQ Table \* ARABIC </w:instrText>
      </w:r>
      <w:r w:rsidRPr="004C33D1">
        <w:fldChar w:fldCharType="separate"/>
      </w:r>
      <w:r w:rsidR="004D1DDA">
        <w:rPr>
          <w:noProof/>
        </w:rPr>
        <w:t>29</w:t>
      </w:r>
      <w:r w:rsidRPr="004C33D1">
        <w:fldChar w:fldCharType="end"/>
      </w:r>
      <w:r w:rsidRPr="004C33D1">
        <w:t xml:space="preserve"> </w:t>
      </w:r>
      <w:r>
        <w:t>Estimated marginal construction costs (in nominal NZD)</w:t>
      </w:r>
    </w:p>
    <w:tbl>
      <w:tblPr>
        <w:tblStyle w:val="CovecTables"/>
        <w:tblW w:w="4798" w:type="pct"/>
        <w:tblInd w:w="280" w:type="dxa"/>
        <w:tblLayout w:type="fixed"/>
        <w:tblLook w:val="04E0" w:firstRow="1" w:lastRow="1" w:firstColumn="1" w:lastColumn="0" w:noHBand="0" w:noVBand="1"/>
      </w:tblPr>
      <w:tblGrid>
        <w:gridCol w:w="473"/>
        <w:gridCol w:w="2472"/>
        <w:gridCol w:w="2472"/>
        <w:gridCol w:w="2472"/>
      </w:tblGrid>
      <w:tr w:rsidR="005570ED" w:rsidTr="005570ED">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299" w:type="pct"/>
            <w:noWrap/>
            <w:hideMark/>
          </w:tcPr>
          <w:p w:rsidR="005570ED" w:rsidRDefault="005570ED" w:rsidP="006F545D">
            <w:pPr>
              <w:pStyle w:val="TableText"/>
            </w:pPr>
            <w:r>
              <w:t>Year</w:t>
            </w:r>
          </w:p>
        </w:tc>
        <w:tc>
          <w:tcPr>
            <w:tcW w:w="1567" w:type="pct"/>
            <w:noWrap/>
            <w:hideMark/>
          </w:tcPr>
          <w:p w:rsidR="005570ED" w:rsidRDefault="005570ED" w:rsidP="005570ED">
            <w:pPr>
              <w:pStyle w:val="TableText"/>
              <w:jc w:val="center"/>
              <w:cnfStyle w:val="100000000000" w:firstRow="1" w:lastRow="0" w:firstColumn="0" w:lastColumn="0" w:oddVBand="0" w:evenVBand="0" w:oddHBand="0" w:evenHBand="0" w:firstRowFirstColumn="0" w:firstRowLastColumn="0" w:lastRowFirstColumn="0" w:lastRowLastColumn="0"/>
            </w:pPr>
            <w:r>
              <w:t>Construction price inflator (rebased to 2014)</w:t>
            </w:r>
          </w:p>
        </w:tc>
        <w:tc>
          <w:tcPr>
            <w:tcW w:w="1567" w:type="pct"/>
            <w:noWrap/>
            <w:hideMark/>
          </w:tcPr>
          <w:p w:rsidR="005570ED" w:rsidRDefault="005570ED" w:rsidP="005570ED">
            <w:pPr>
              <w:pStyle w:val="TableText"/>
              <w:jc w:val="center"/>
              <w:cnfStyle w:val="100000000000" w:firstRow="1" w:lastRow="0" w:firstColumn="0" w:lastColumn="0" w:oddVBand="0" w:evenVBand="0" w:oddHBand="0" w:evenHBand="0" w:firstRowFirstColumn="0" w:firstRowLastColumn="0" w:lastRowFirstColumn="0" w:lastRowLastColumn="0"/>
            </w:pPr>
            <w:r>
              <w:t>Auckland MCC ($/m2)</w:t>
            </w:r>
          </w:p>
        </w:tc>
        <w:tc>
          <w:tcPr>
            <w:tcW w:w="1567" w:type="pct"/>
            <w:noWrap/>
            <w:hideMark/>
          </w:tcPr>
          <w:p w:rsidR="005570ED" w:rsidRDefault="005570ED" w:rsidP="005570ED">
            <w:pPr>
              <w:pStyle w:val="TableText"/>
              <w:jc w:val="center"/>
              <w:cnfStyle w:val="100000000000" w:firstRow="1" w:lastRow="0" w:firstColumn="0" w:lastColumn="0" w:oddVBand="0" w:evenVBand="0" w:oddHBand="0" w:evenHBand="0" w:firstRowFirstColumn="0" w:firstRowLastColumn="0" w:lastRowFirstColumn="0" w:lastRowLastColumn="0"/>
            </w:pPr>
            <w:r>
              <w:t>Wellington MCC ($/m2)</w:t>
            </w:r>
          </w:p>
        </w:tc>
      </w:tr>
      <w:tr w:rsidR="005570ED" w:rsidTr="005570ED">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299" w:type="pct"/>
            <w:noWrap/>
            <w:hideMark/>
          </w:tcPr>
          <w:p w:rsidR="005570ED" w:rsidRDefault="005570ED" w:rsidP="006F545D">
            <w:pPr>
              <w:pStyle w:val="TableText"/>
            </w:pPr>
            <w:r>
              <w:t>2000</w:t>
            </w:r>
          </w:p>
        </w:tc>
        <w:tc>
          <w:tcPr>
            <w:tcW w:w="1567" w:type="pct"/>
            <w:noWrap/>
            <w:hideMark/>
          </w:tcPr>
          <w:p w:rsidR="005570ED" w:rsidRDefault="005570ED" w:rsidP="005570ED">
            <w:pPr>
              <w:pStyle w:val="TableText"/>
              <w:jc w:val="center"/>
              <w:cnfStyle w:val="000000000000" w:firstRow="0" w:lastRow="0" w:firstColumn="0" w:lastColumn="0" w:oddVBand="0" w:evenVBand="0" w:oddHBand="0" w:evenHBand="0" w:firstRowFirstColumn="0" w:firstRowLastColumn="0" w:lastRowFirstColumn="0" w:lastRowLastColumn="0"/>
            </w:pPr>
            <w:r>
              <w:t>0.583</w:t>
            </w:r>
          </w:p>
        </w:tc>
        <w:tc>
          <w:tcPr>
            <w:tcW w:w="1567" w:type="pct"/>
            <w:noWrap/>
            <w:hideMark/>
          </w:tcPr>
          <w:p w:rsidR="005570ED" w:rsidRDefault="005570ED" w:rsidP="005570ED">
            <w:pPr>
              <w:pStyle w:val="TableText"/>
              <w:jc w:val="center"/>
              <w:cnfStyle w:val="000000000000" w:firstRow="0" w:lastRow="0" w:firstColumn="0" w:lastColumn="0" w:oddVBand="0" w:evenVBand="0" w:oddHBand="0" w:evenHBand="0" w:firstRowFirstColumn="0" w:firstRowLastColumn="0" w:lastRowFirstColumn="0" w:lastRowLastColumn="0"/>
            </w:pPr>
            <w:r>
              <w:t>$2,023</w:t>
            </w:r>
          </w:p>
        </w:tc>
        <w:tc>
          <w:tcPr>
            <w:tcW w:w="1567" w:type="pct"/>
            <w:noWrap/>
            <w:hideMark/>
          </w:tcPr>
          <w:p w:rsidR="005570ED" w:rsidRDefault="005570ED" w:rsidP="005570ED">
            <w:pPr>
              <w:pStyle w:val="TableText"/>
              <w:jc w:val="center"/>
              <w:cnfStyle w:val="000000000000" w:firstRow="0" w:lastRow="0" w:firstColumn="0" w:lastColumn="0" w:oddVBand="0" w:evenVBand="0" w:oddHBand="0" w:evenHBand="0" w:firstRowFirstColumn="0" w:firstRowLastColumn="0" w:lastRowFirstColumn="0" w:lastRowLastColumn="0"/>
            </w:pPr>
            <w:r>
              <w:t>$1,942</w:t>
            </w:r>
          </w:p>
        </w:tc>
      </w:tr>
      <w:tr w:rsidR="005570ED" w:rsidTr="005570ED">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299" w:type="pct"/>
            <w:noWrap/>
            <w:hideMark/>
          </w:tcPr>
          <w:p w:rsidR="005570ED" w:rsidRDefault="005570ED" w:rsidP="006F545D">
            <w:pPr>
              <w:pStyle w:val="TableText"/>
            </w:pPr>
            <w:r>
              <w:t>2001</w:t>
            </w:r>
          </w:p>
        </w:tc>
        <w:tc>
          <w:tcPr>
            <w:tcW w:w="1567" w:type="pct"/>
            <w:noWrap/>
            <w:hideMark/>
          </w:tcPr>
          <w:p w:rsidR="005570ED" w:rsidRDefault="005570ED" w:rsidP="005570ED">
            <w:pPr>
              <w:pStyle w:val="TableText"/>
              <w:jc w:val="center"/>
              <w:cnfStyle w:val="000000000000" w:firstRow="0" w:lastRow="0" w:firstColumn="0" w:lastColumn="0" w:oddVBand="0" w:evenVBand="0" w:oddHBand="0" w:evenHBand="0" w:firstRowFirstColumn="0" w:firstRowLastColumn="0" w:lastRowFirstColumn="0" w:lastRowLastColumn="0"/>
            </w:pPr>
            <w:r>
              <w:t>0.596</w:t>
            </w:r>
          </w:p>
        </w:tc>
        <w:tc>
          <w:tcPr>
            <w:tcW w:w="1567" w:type="pct"/>
            <w:noWrap/>
            <w:hideMark/>
          </w:tcPr>
          <w:p w:rsidR="005570ED" w:rsidRDefault="005570ED" w:rsidP="005570ED">
            <w:pPr>
              <w:pStyle w:val="TableText"/>
              <w:jc w:val="center"/>
              <w:cnfStyle w:val="000000000000" w:firstRow="0" w:lastRow="0" w:firstColumn="0" w:lastColumn="0" w:oddVBand="0" w:evenVBand="0" w:oddHBand="0" w:evenHBand="0" w:firstRowFirstColumn="0" w:firstRowLastColumn="0" w:lastRowFirstColumn="0" w:lastRowLastColumn="0"/>
            </w:pPr>
            <w:r>
              <w:t>$2,068</w:t>
            </w:r>
          </w:p>
        </w:tc>
        <w:tc>
          <w:tcPr>
            <w:tcW w:w="1567" w:type="pct"/>
            <w:noWrap/>
            <w:hideMark/>
          </w:tcPr>
          <w:p w:rsidR="005570ED" w:rsidRDefault="005570ED" w:rsidP="005570ED">
            <w:pPr>
              <w:pStyle w:val="TableText"/>
              <w:jc w:val="center"/>
              <w:cnfStyle w:val="000000000000" w:firstRow="0" w:lastRow="0" w:firstColumn="0" w:lastColumn="0" w:oddVBand="0" w:evenVBand="0" w:oddHBand="0" w:evenHBand="0" w:firstRowFirstColumn="0" w:firstRowLastColumn="0" w:lastRowFirstColumn="0" w:lastRowLastColumn="0"/>
            </w:pPr>
            <w:r>
              <w:t>$1,986</w:t>
            </w:r>
          </w:p>
        </w:tc>
      </w:tr>
      <w:tr w:rsidR="005570ED" w:rsidTr="005570ED">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299" w:type="pct"/>
            <w:noWrap/>
            <w:hideMark/>
          </w:tcPr>
          <w:p w:rsidR="005570ED" w:rsidRDefault="005570ED" w:rsidP="006F545D">
            <w:pPr>
              <w:pStyle w:val="TableText"/>
            </w:pPr>
            <w:r>
              <w:t>2002</w:t>
            </w:r>
          </w:p>
        </w:tc>
        <w:tc>
          <w:tcPr>
            <w:tcW w:w="1567" w:type="pct"/>
            <w:noWrap/>
            <w:hideMark/>
          </w:tcPr>
          <w:p w:rsidR="005570ED" w:rsidRDefault="005570ED" w:rsidP="005570ED">
            <w:pPr>
              <w:pStyle w:val="TableText"/>
              <w:jc w:val="center"/>
              <w:cnfStyle w:val="000000000000" w:firstRow="0" w:lastRow="0" w:firstColumn="0" w:lastColumn="0" w:oddVBand="0" w:evenVBand="0" w:oddHBand="0" w:evenHBand="0" w:firstRowFirstColumn="0" w:firstRowLastColumn="0" w:lastRowFirstColumn="0" w:lastRowLastColumn="0"/>
            </w:pPr>
            <w:r>
              <w:t>0.615</w:t>
            </w:r>
          </w:p>
        </w:tc>
        <w:tc>
          <w:tcPr>
            <w:tcW w:w="1567" w:type="pct"/>
            <w:noWrap/>
            <w:hideMark/>
          </w:tcPr>
          <w:p w:rsidR="005570ED" w:rsidRDefault="005570ED" w:rsidP="005570ED">
            <w:pPr>
              <w:pStyle w:val="TableText"/>
              <w:jc w:val="center"/>
              <w:cnfStyle w:val="000000000000" w:firstRow="0" w:lastRow="0" w:firstColumn="0" w:lastColumn="0" w:oddVBand="0" w:evenVBand="0" w:oddHBand="0" w:evenHBand="0" w:firstRowFirstColumn="0" w:firstRowLastColumn="0" w:lastRowFirstColumn="0" w:lastRowLastColumn="0"/>
            </w:pPr>
            <w:r>
              <w:t>$2,134</w:t>
            </w:r>
          </w:p>
        </w:tc>
        <w:tc>
          <w:tcPr>
            <w:tcW w:w="1567" w:type="pct"/>
            <w:noWrap/>
            <w:hideMark/>
          </w:tcPr>
          <w:p w:rsidR="005570ED" w:rsidRDefault="005570ED" w:rsidP="005570ED">
            <w:pPr>
              <w:pStyle w:val="TableText"/>
              <w:jc w:val="center"/>
              <w:cnfStyle w:val="000000000000" w:firstRow="0" w:lastRow="0" w:firstColumn="0" w:lastColumn="0" w:oddVBand="0" w:evenVBand="0" w:oddHBand="0" w:evenHBand="0" w:firstRowFirstColumn="0" w:firstRowLastColumn="0" w:lastRowFirstColumn="0" w:lastRowLastColumn="0"/>
            </w:pPr>
            <w:r>
              <w:t>$2,049</w:t>
            </w:r>
          </w:p>
        </w:tc>
      </w:tr>
      <w:tr w:rsidR="005570ED" w:rsidTr="005570ED">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299" w:type="pct"/>
            <w:noWrap/>
            <w:hideMark/>
          </w:tcPr>
          <w:p w:rsidR="005570ED" w:rsidRDefault="005570ED" w:rsidP="006F545D">
            <w:pPr>
              <w:pStyle w:val="TableText"/>
            </w:pPr>
            <w:r>
              <w:t>2003</w:t>
            </w:r>
          </w:p>
        </w:tc>
        <w:tc>
          <w:tcPr>
            <w:tcW w:w="1567" w:type="pct"/>
            <w:noWrap/>
            <w:hideMark/>
          </w:tcPr>
          <w:p w:rsidR="005570ED" w:rsidRDefault="005570ED" w:rsidP="005570ED">
            <w:pPr>
              <w:pStyle w:val="TableText"/>
              <w:jc w:val="center"/>
              <w:cnfStyle w:val="000000000000" w:firstRow="0" w:lastRow="0" w:firstColumn="0" w:lastColumn="0" w:oddVBand="0" w:evenVBand="0" w:oddHBand="0" w:evenHBand="0" w:firstRowFirstColumn="0" w:firstRowLastColumn="0" w:lastRowFirstColumn="0" w:lastRowLastColumn="0"/>
            </w:pPr>
            <w:r>
              <w:t>0.652</w:t>
            </w:r>
          </w:p>
        </w:tc>
        <w:tc>
          <w:tcPr>
            <w:tcW w:w="1567" w:type="pct"/>
            <w:noWrap/>
            <w:hideMark/>
          </w:tcPr>
          <w:p w:rsidR="005570ED" w:rsidRDefault="005570ED" w:rsidP="005570ED">
            <w:pPr>
              <w:pStyle w:val="TableText"/>
              <w:jc w:val="center"/>
              <w:cnfStyle w:val="000000000000" w:firstRow="0" w:lastRow="0" w:firstColumn="0" w:lastColumn="0" w:oddVBand="0" w:evenVBand="0" w:oddHBand="0" w:evenHBand="0" w:firstRowFirstColumn="0" w:firstRowLastColumn="0" w:lastRowFirstColumn="0" w:lastRowLastColumn="0"/>
            </w:pPr>
            <w:r>
              <w:t>$2,263</w:t>
            </w:r>
          </w:p>
        </w:tc>
        <w:tc>
          <w:tcPr>
            <w:tcW w:w="1567" w:type="pct"/>
            <w:noWrap/>
            <w:hideMark/>
          </w:tcPr>
          <w:p w:rsidR="005570ED" w:rsidRDefault="005570ED" w:rsidP="005570ED">
            <w:pPr>
              <w:pStyle w:val="TableText"/>
              <w:jc w:val="center"/>
              <w:cnfStyle w:val="000000000000" w:firstRow="0" w:lastRow="0" w:firstColumn="0" w:lastColumn="0" w:oddVBand="0" w:evenVBand="0" w:oddHBand="0" w:evenHBand="0" w:firstRowFirstColumn="0" w:firstRowLastColumn="0" w:lastRowFirstColumn="0" w:lastRowLastColumn="0"/>
            </w:pPr>
            <w:r>
              <w:t>$2,173</w:t>
            </w:r>
          </w:p>
        </w:tc>
      </w:tr>
      <w:tr w:rsidR="005570ED" w:rsidTr="005570ED">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299" w:type="pct"/>
            <w:noWrap/>
            <w:hideMark/>
          </w:tcPr>
          <w:p w:rsidR="005570ED" w:rsidRDefault="005570ED" w:rsidP="006F545D">
            <w:pPr>
              <w:pStyle w:val="TableText"/>
            </w:pPr>
            <w:r>
              <w:t>2004</w:t>
            </w:r>
          </w:p>
        </w:tc>
        <w:tc>
          <w:tcPr>
            <w:tcW w:w="1567" w:type="pct"/>
            <w:noWrap/>
            <w:hideMark/>
          </w:tcPr>
          <w:p w:rsidR="005570ED" w:rsidRDefault="005570ED" w:rsidP="005570ED">
            <w:pPr>
              <w:pStyle w:val="TableText"/>
              <w:jc w:val="center"/>
              <w:cnfStyle w:val="000000000000" w:firstRow="0" w:lastRow="0" w:firstColumn="0" w:lastColumn="0" w:oddVBand="0" w:evenVBand="0" w:oddHBand="0" w:evenHBand="0" w:firstRowFirstColumn="0" w:firstRowLastColumn="0" w:lastRowFirstColumn="0" w:lastRowLastColumn="0"/>
            </w:pPr>
            <w:r>
              <w:t>0.713</w:t>
            </w:r>
          </w:p>
        </w:tc>
        <w:tc>
          <w:tcPr>
            <w:tcW w:w="1567" w:type="pct"/>
            <w:noWrap/>
            <w:hideMark/>
          </w:tcPr>
          <w:p w:rsidR="005570ED" w:rsidRDefault="005570ED" w:rsidP="005570ED">
            <w:pPr>
              <w:pStyle w:val="TableText"/>
              <w:jc w:val="center"/>
              <w:cnfStyle w:val="000000000000" w:firstRow="0" w:lastRow="0" w:firstColumn="0" w:lastColumn="0" w:oddVBand="0" w:evenVBand="0" w:oddHBand="0" w:evenHBand="0" w:firstRowFirstColumn="0" w:firstRowLastColumn="0" w:lastRowFirstColumn="0" w:lastRowLastColumn="0"/>
            </w:pPr>
            <w:r>
              <w:t>$2,474</w:t>
            </w:r>
          </w:p>
        </w:tc>
        <w:tc>
          <w:tcPr>
            <w:tcW w:w="1567" w:type="pct"/>
            <w:noWrap/>
            <w:hideMark/>
          </w:tcPr>
          <w:p w:rsidR="005570ED" w:rsidRDefault="005570ED" w:rsidP="005570ED">
            <w:pPr>
              <w:pStyle w:val="TableText"/>
              <w:jc w:val="center"/>
              <w:cnfStyle w:val="000000000000" w:firstRow="0" w:lastRow="0" w:firstColumn="0" w:lastColumn="0" w:oddVBand="0" w:evenVBand="0" w:oddHBand="0" w:evenHBand="0" w:firstRowFirstColumn="0" w:firstRowLastColumn="0" w:lastRowFirstColumn="0" w:lastRowLastColumn="0"/>
            </w:pPr>
            <w:r>
              <w:t>$2,375</w:t>
            </w:r>
          </w:p>
        </w:tc>
      </w:tr>
      <w:tr w:rsidR="005570ED" w:rsidTr="005570ED">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299" w:type="pct"/>
            <w:noWrap/>
            <w:hideMark/>
          </w:tcPr>
          <w:p w:rsidR="005570ED" w:rsidRDefault="005570ED" w:rsidP="006F545D">
            <w:pPr>
              <w:pStyle w:val="TableText"/>
            </w:pPr>
            <w:r>
              <w:t>2005</w:t>
            </w:r>
          </w:p>
        </w:tc>
        <w:tc>
          <w:tcPr>
            <w:tcW w:w="1567" w:type="pct"/>
            <w:noWrap/>
            <w:hideMark/>
          </w:tcPr>
          <w:p w:rsidR="005570ED" w:rsidRDefault="005570ED" w:rsidP="005570ED">
            <w:pPr>
              <w:pStyle w:val="TableText"/>
              <w:jc w:val="center"/>
              <w:cnfStyle w:val="000000000000" w:firstRow="0" w:lastRow="0" w:firstColumn="0" w:lastColumn="0" w:oddVBand="0" w:evenVBand="0" w:oddHBand="0" w:evenHBand="0" w:firstRowFirstColumn="0" w:firstRowLastColumn="0" w:lastRowFirstColumn="0" w:lastRowLastColumn="0"/>
            </w:pPr>
            <w:r>
              <w:t>0.763</w:t>
            </w:r>
          </w:p>
        </w:tc>
        <w:tc>
          <w:tcPr>
            <w:tcW w:w="1567" w:type="pct"/>
            <w:noWrap/>
            <w:hideMark/>
          </w:tcPr>
          <w:p w:rsidR="005570ED" w:rsidRDefault="005570ED" w:rsidP="005570ED">
            <w:pPr>
              <w:pStyle w:val="TableText"/>
              <w:jc w:val="center"/>
              <w:cnfStyle w:val="000000000000" w:firstRow="0" w:lastRow="0" w:firstColumn="0" w:lastColumn="0" w:oddVBand="0" w:evenVBand="0" w:oddHBand="0" w:evenHBand="0" w:firstRowFirstColumn="0" w:firstRowLastColumn="0" w:lastRowFirstColumn="0" w:lastRowLastColumn="0"/>
            </w:pPr>
            <w:r>
              <w:t>$2,649</w:t>
            </w:r>
          </w:p>
        </w:tc>
        <w:tc>
          <w:tcPr>
            <w:tcW w:w="1567" w:type="pct"/>
            <w:noWrap/>
            <w:hideMark/>
          </w:tcPr>
          <w:p w:rsidR="005570ED" w:rsidRDefault="005570ED" w:rsidP="005570ED">
            <w:pPr>
              <w:pStyle w:val="TableText"/>
              <w:jc w:val="center"/>
              <w:cnfStyle w:val="000000000000" w:firstRow="0" w:lastRow="0" w:firstColumn="0" w:lastColumn="0" w:oddVBand="0" w:evenVBand="0" w:oddHBand="0" w:evenHBand="0" w:firstRowFirstColumn="0" w:firstRowLastColumn="0" w:lastRowFirstColumn="0" w:lastRowLastColumn="0"/>
            </w:pPr>
            <w:r>
              <w:t>$2,543</w:t>
            </w:r>
          </w:p>
        </w:tc>
      </w:tr>
      <w:tr w:rsidR="005570ED" w:rsidTr="005570ED">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299" w:type="pct"/>
            <w:noWrap/>
            <w:hideMark/>
          </w:tcPr>
          <w:p w:rsidR="005570ED" w:rsidRDefault="005570ED" w:rsidP="006F545D">
            <w:pPr>
              <w:pStyle w:val="TableText"/>
            </w:pPr>
            <w:r>
              <w:t>2006</w:t>
            </w:r>
          </w:p>
        </w:tc>
        <w:tc>
          <w:tcPr>
            <w:tcW w:w="1567" w:type="pct"/>
            <w:noWrap/>
            <w:hideMark/>
          </w:tcPr>
          <w:p w:rsidR="005570ED" w:rsidRDefault="005570ED" w:rsidP="005570ED">
            <w:pPr>
              <w:pStyle w:val="TableText"/>
              <w:jc w:val="center"/>
              <w:cnfStyle w:val="000000000000" w:firstRow="0" w:lastRow="0" w:firstColumn="0" w:lastColumn="0" w:oddVBand="0" w:evenVBand="0" w:oddHBand="0" w:evenHBand="0" w:firstRowFirstColumn="0" w:firstRowLastColumn="0" w:lastRowFirstColumn="0" w:lastRowLastColumn="0"/>
            </w:pPr>
            <w:r>
              <w:t>0.804</w:t>
            </w:r>
          </w:p>
        </w:tc>
        <w:tc>
          <w:tcPr>
            <w:tcW w:w="1567" w:type="pct"/>
            <w:noWrap/>
            <w:hideMark/>
          </w:tcPr>
          <w:p w:rsidR="005570ED" w:rsidRDefault="005570ED" w:rsidP="005570ED">
            <w:pPr>
              <w:pStyle w:val="TableText"/>
              <w:jc w:val="center"/>
              <w:cnfStyle w:val="000000000000" w:firstRow="0" w:lastRow="0" w:firstColumn="0" w:lastColumn="0" w:oddVBand="0" w:evenVBand="0" w:oddHBand="0" w:evenHBand="0" w:firstRowFirstColumn="0" w:firstRowLastColumn="0" w:lastRowFirstColumn="0" w:lastRowLastColumn="0"/>
            </w:pPr>
            <w:r>
              <w:t>$2,793</w:t>
            </w:r>
          </w:p>
        </w:tc>
        <w:tc>
          <w:tcPr>
            <w:tcW w:w="1567" w:type="pct"/>
            <w:noWrap/>
            <w:hideMark/>
          </w:tcPr>
          <w:p w:rsidR="005570ED" w:rsidRDefault="005570ED" w:rsidP="005570ED">
            <w:pPr>
              <w:pStyle w:val="TableText"/>
              <w:jc w:val="center"/>
              <w:cnfStyle w:val="000000000000" w:firstRow="0" w:lastRow="0" w:firstColumn="0" w:lastColumn="0" w:oddVBand="0" w:evenVBand="0" w:oddHBand="0" w:evenHBand="0" w:firstRowFirstColumn="0" w:firstRowLastColumn="0" w:lastRowFirstColumn="0" w:lastRowLastColumn="0"/>
            </w:pPr>
            <w:r>
              <w:t>$2,681</w:t>
            </w:r>
          </w:p>
        </w:tc>
      </w:tr>
      <w:tr w:rsidR="005570ED" w:rsidTr="005570ED">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299" w:type="pct"/>
            <w:noWrap/>
            <w:hideMark/>
          </w:tcPr>
          <w:p w:rsidR="005570ED" w:rsidRDefault="005570ED" w:rsidP="006F545D">
            <w:pPr>
              <w:pStyle w:val="TableText"/>
            </w:pPr>
            <w:r>
              <w:t>2007</w:t>
            </w:r>
          </w:p>
        </w:tc>
        <w:tc>
          <w:tcPr>
            <w:tcW w:w="1567" w:type="pct"/>
            <w:noWrap/>
            <w:hideMark/>
          </w:tcPr>
          <w:p w:rsidR="005570ED" w:rsidRDefault="005570ED" w:rsidP="005570ED">
            <w:pPr>
              <w:pStyle w:val="TableText"/>
              <w:jc w:val="center"/>
              <w:cnfStyle w:val="000000000000" w:firstRow="0" w:lastRow="0" w:firstColumn="0" w:lastColumn="0" w:oddVBand="0" w:evenVBand="0" w:oddHBand="0" w:evenHBand="0" w:firstRowFirstColumn="0" w:firstRowLastColumn="0" w:lastRowFirstColumn="0" w:lastRowLastColumn="0"/>
            </w:pPr>
            <w:r>
              <w:t>0.845</w:t>
            </w:r>
          </w:p>
        </w:tc>
        <w:tc>
          <w:tcPr>
            <w:tcW w:w="1567" w:type="pct"/>
            <w:noWrap/>
            <w:hideMark/>
          </w:tcPr>
          <w:p w:rsidR="005570ED" w:rsidRDefault="005570ED" w:rsidP="005570ED">
            <w:pPr>
              <w:pStyle w:val="TableText"/>
              <w:jc w:val="center"/>
              <w:cnfStyle w:val="000000000000" w:firstRow="0" w:lastRow="0" w:firstColumn="0" w:lastColumn="0" w:oddVBand="0" w:evenVBand="0" w:oddHBand="0" w:evenHBand="0" w:firstRowFirstColumn="0" w:firstRowLastColumn="0" w:lastRowFirstColumn="0" w:lastRowLastColumn="0"/>
            </w:pPr>
            <w:r>
              <w:t>$2,933</w:t>
            </w:r>
          </w:p>
        </w:tc>
        <w:tc>
          <w:tcPr>
            <w:tcW w:w="1567" w:type="pct"/>
            <w:noWrap/>
            <w:hideMark/>
          </w:tcPr>
          <w:p w:rsidR="005570ED" w:rsidRDefault="005570ED" w:rsidP="005570ED">
            <w:pPr>
              <w:pStyle w:val="TableText"/>
              <w:jc w:val="center"/>
              <w:cnfStyle w:val="000000000000" w:firstRow="0" w:lastRow="0" w:firstColumn="0" w:lastColumn="0" w:oddVBand="0" w:evenVBand="0" w:oddHBand="0" w:evenHBand="0" w:firstRowFirstColumn="0" w:firstRowLastColumn="0" w:lastRowFirstColumn="0" w:lastRowLastColumn="0"/>
            </w:pPr>
            <w:r>
              <w:t>$2,816</w:t>
            </w:r>
          </w:p>
        </w:tc>
      </w:tr>
      <w:tr w:rsidR="005570ED" w:rsidTr="005570ED">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299" w:type="pct"/>
            <w:noWrap/>
            <w:hideMark/>
          </w:tcPr>
          <w:p w:rsidR="005570ED" w:rsidRDefault="005570ED" w:rsidP="006F545D">
            <w:pPr>
              <w:pStyle w:val="TableText"/>
            </w:pPr>
            <w:r>
              <w:t>2008</w:t>
            </w:r>
          </w:p>
        </w:tc>
        <w:tc>
          <w:tcPr>
            <w:tcW w:w="1567" w:type="pct"/>
            <w:noWrap/>
            <w:hideMark/>
          </w:tcPr>
          <w:p w:rsidR="005570ED" w:rsidRDefault="005570ED" w:rsidP="005570ED">
            <w:pPr>
              <w:pStyle w:val="TableText"/>
              <w:jc w:val="center"/>
              <w:cnfStyle w:val="000000000000" w:firstRow="0" w:lastRow="0" w:firstColumn="0" w:lastColumn="0" w:oddVBand="0" w:evenVBand="0" w:oddHBand="0" w:evenHBand="0" w:firstRowFirstColumn="0" w:firstRowLastColumn="0" w:lastRowFirstColumn="0" w:lastRowLastColumn="0"/>
            </w:pPr>
            <w:r>
              <w:t>0.880</w:t>
            </w:r>
          </w:p>
        </w:tc>
        <w:tc>
          <w:tcPr>
            <w:tcW w:w="1567" w:type="pct"/>
            <w:noWrap/>
            <w:hideMark/>
          </w:tcPr>
          <w:p w:rsidR="005570ED" w:rsidRDefault="005570ED" w:rsidP="005570ED">
            <w:pPr>
              <w:pStyle w:val="TableText"/>
              <w:jc w:val="center"/>
              <w:cnfStyle w:val="000000000000" w:firstRow="0" w:lastRow="0" w:firstColumn="0" w:lastColumn="0" w:oddVBand="0" w:evenVBand="0" w:oddHBand="0" w:evenHBand="0" w:firstRowFirstColumn="0" w:firstRowLastColumn="0" w:lastRowFirstColumn="0" w:lastRowLastColumn="0"/>
            </w:pPr>
            <w:r>
              <w:t>$3,055</w:t>
            </w:r>
          </w:p>
        </w:tc>
        <w:tc>
          <w:tcPr>
            <w:tcW w:w="1567" w:type="pct"/>
            <w:noWrap/>
            <w:hideMark/>
          </w:tcPr>
          <w:p w:rsidR="005570ED" w:rsidRDefault="005570ED" w:rsidP="005570ED">
            <w:pPr>
              <w:pStyle w:val="TableText"/>
              <w:jc w:val="center"/>
              <w:cnfStyle w:val="000000000000" w:firstRow="0" w:lastRow="0" w:firstColumn="0" w:lastColumn="0" w:oddVBand="0" w:evenVBand="0" w:oddHBand="0" w:evenHBand="0" w:firstRowFirstColumn="0" w:firstRowLastColumn="0" w:lastRowFirstColumn="0" w:lastRowLastColumn="0"/>
            </w:pPr>
            <w:r>
              <w:t>$2,933</w:t>
            </w:r>
          </w:p>
        </w:tc>
      </w:tr>
      <w:tr w:rsidR="005570ED" w:rsidTr="005570ED">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299" w:type="pct"/>
            <w:noWrap/>
            <w:hideMark/>
          </w:tcPr>
          <w:p w:rsidR="005570ED" w:rsidRDefault="005570ED" w:rsidP="006F545D">
            <w:pPr>
              <w:pStyle w:val="TableText"/>
            </w:pPr>
            <w:r>
              <w:t>2009</w:t>
            </w:r>
          </w:p>
        </w:tc>
        <w:tc>
          <w:tcPr>
            <w:tcW w:w="1567" w:type="pct"/>
            <w:noWrap/>
            <w:hideMark/>
          </w:tcPr>
          <w:p w:rsidR="005570ED" w:rsidRDefault="005570ED" w:rsidP="005570ED">
            <w:pPr>
              <w:pStyle w:val="TableText"/>
              <w:jc w:val="center"/>
              <w:cnfStyle w:val="000000000000" w:firstRow="0" w:lastRow="0" w:firstColumn="0" w:lastColumn="0" w:oddVBand="0" w:evenVBand="0" w:oddHBand="0" w:evenHBand="0" w:firstRowFirstColumn="0" w:firstRowLastColumn="0" w:lastRowFirstColumn="0" w:lastRowLastColumn="0"/>
            </w:pPr>
            <w:r>
              <w:t>0.883</w:t>
            </w:r>
          </w:p>
        </w:tc>
        <w:tc>
          <w:tcPr>
            <w:tcW w:w="1567" w:type="pct"/>
            <w:noWrap/>
            <w:hideMark/>
          </w:tcPr>
          <w:p w:rsidR="005570ED" w:rsidRDefault="005570ED" w:rsidP="005570ED">
            <w:pPr>
              <w:pStyle w:val="TableText"/>
              <w:jc w:val="center"/>
              <w:cnfStyle w:val="000000000000" w:firstRow="0" w:lastRow="0" w:firstColumn="0" w:lastColumn="0" w:oddVBand="0" w:evenVBand="0" w:oddHBand="0" w:evenHBand="0" w:firstRowFirstColumn="0" w:firstRowLastColumn="0" w:lastRowFirstColumn="0" w:lastRowLastColumn="0"/>
            </w:pPr>
            <w:r>
              <w:t>$3,064</w:t>
            </w:r>
          </w:p>
        </w:tc>
        <w:tc>
          <w:tcPr>
            <w:tcW w:w="1567" w:type="pct"/>
            <w:noWrap/>
            <w:hideMark/>
          </w:tcPr>
          <w:p w:rsidR="005570ED" w:rsidRDefault="005570ED" w:rsidP="005570ED">
            <w:pPr>
              <w:pStyle w:val="TableText"/>
              <w:jc w:val="center"/>
              <w:cnfStyle w:val="000000000000" w:firstRow="0" w:lastRow="0" w:firstColumn="0" w:lastColumn="0" w:oddVBand="0" w:evenVBand="0" w:oddHBand="0" w:evenHBand="0" w:firstRowFirstColumn="0" w:firstRowLastColumn="0" w:lastRowFirstColumn="0" w:lastRowLastColumn="0"/>
            </w:pPr>
            <w:r>
              <w:t>$2,942</w:t>
            </w:r>
          </w:p>
        </w:tc>
      </w:tr>
      <w:tr w:rsidR="005570ED" w:rsidTr="005570ED">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299" w:type="pct"/>
            <w:noWrap/>
            <w:hideMark/>
          </w:tcPr>
          <w:p w:rsidR="005570ED" w:rsidRDefault="005570ED" w:rsidP="006F545D">
            <w:pPr>
              <w:pStyle w:val="TableText"/>
            </w:pPr>
            <w:r>
              <w:t>2010</w:t>
            </w:r>
          </w:p>
        </w:tc>
        <w:tc>
          <w:tcPr>
            <w:tcW w:w="1567" w:type="pct"/>
            <w:noWrap/>
            <w:hideMark/>
          </w:tcPr>
          <w:p w:rsidR="005570ED" w:rsidRDefault="005570ED" w:rsidP="005570ED">
            <w:pPr>
              <w:pStyle w:val="TableText"/>
              <w:jc w:val="center"/>
              <w:cnfStyle w:val="000000000000" w:firstRow="0" w:lastRow="0" w:firstColumn="0" w:lastColumn="0" w:oddVBand="0" w:evenVBand="0" w:oddHBand="0" w:evenHBand="0" w:firstRowFirstColumn="0" w:firstRowLastColumn="0" w:lastRowFirstColumn="0" w:lastRowLastColumn="0"/>
            </w:pPr>
            <w:r>
              <w:t>0.886</w:t>
            </w:r>
          </w:p>
        </w:tc>
        <w:tc>
          <w:tcPr>
            <w:tcW w:w="1567" w:type="pct"/>
            <w:noWrap/>
            <w:hideMark/>
          </w:tcPr>
          <w:p w:rsidR="005570ED" w:rsidRDefault="005570ED" w:rsidP="005570ED">
            <w:pPr>
              <w:pStyle w:val="TableText"/>
              <w:jc w:val="center"/>
              <w:cnfStyle w:val="000000000000" w:firstRow="0" w:lastRow="0" w:firstColumn="0" w:lastColumn="0" w:oddVBand="0" w:evenVBand="0" w:oddHBand="0" w:evenHBand="0" w:firstRowFirstColumn="0" w:firstRowLastColumn="0" w:lastRowFirstColumn="0" w:lastRowLastColumn="0"/>
            </w:pPr>
            <w:r>
              <w:t>$3,075</w:t>
            </w:r>
          </w:p>
        </w:tc>
        <w:tc>
          <w:tcPr>
            <w:tcW w:w="1567" w:type="pct"/>
            <w:noWrap/>
            <w:hideMark/>
          </w:tcPr>
          <w:p w:rsidR="005570ED" w:rsidRDefault="005570ED" w:rsidP="005570ED">
            <w:pPr>
              <w:pStyle w:val="TableText"/>
              <w:jc w:val="center"/>
              <w:cnfStyle w:val="000000000000" w:firstRow="0" w:lastRow="0" w:firstColumn="0" w:lastColumn="0" w:oddVBand="0" w:evenVBand="0" w:oddHBand="0" w:evenHBand="0" w:firstRowFirstColumn="0" w:firstRowLastColumn="0" w:lastRowFirstColumn="0" w:lastRowLastColumn="0"/>
            </w:pPr>
            <w:r>
              <w:t>$2,952</w:t>
            </w:r>
          </w:p>
        </w:tc>
      </w:tr>
      <w:tr w:rsidR="005570ED" w:rsidTr="005570ED">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299" w:type="pct"/>
            <w:noWrap/>
            <w:hideMark/>
          </w:tcPr>
          <w:p w:rsidR="005570ED" w:rsidRDefault="005570ED" w:rsidP="006F545D">
            <w:pPr>
              <w:pStyle w:val="TableText"/>
            </w:pPr>
            <w:r>
              <w:t>2011</w:t>
            </w:r>
          </w:p>
        </w:tc>
        <w:tc>
          <w:tcPr>
            <w:tcW w:w="1567" w:type="pct"/>
            <w:noWrap/>
            <w:hideMark/>
          </w:tcPr>
          <w:p w:rsidR="005570ED" w:rsidRDefault="005570ED" w:rsidP="005570ED">
            <w:pPr>
              <w:pStyle w:val="TableText"/>
              <w:jc w:val="center"/>
              <w:cnfStyle w:val="000000000000" w:firstRow="0" w:lastRow="0" w:firstColumn="0" w:lastColumn="0" w:oddVBand="0" w:evenVBand="0" w:oddHBand="0" w:evenHBand="0" w:firstRowFirstColumn="0" w:firstRowLastColumn="0" w:lastRowFirstColumn="0" w:lastRowLastColumn="0"/>
            </w:pPr>
            <w:r>
              <w:t>0.897</w:t>
            </w:r>
          </w:p>
        </w:tc>
        <w:tc>
          <w:tcPr>
            <w:tcW w:w="1567" w:type="pct"/>
            <w:noWrap/>
            <w:hideMark/>
          </w:tcPr>
          <w:p w:rsidR="005570ED" w:rsidRDefault="005570ED" w:rsidP="005570ED">
            <w:pPr>
              <w:pStyle w:val="TableText"/>
              <w:jc w:val="center"/>
              <w:cnfStyle w:val="000000000000" w:firstRow="0" w:lastRow="0" w:firstColumn="0" w:lastColumn="0" w:oddVBand="0" w:evenVBand="0" w:oddHBand="0" w:evenHBand="0" w:firstRowFirstColumn="0" w:firstRowLastColumn="0" w:lastRowFirstColumn="0" w:lastRowLastColumn="0"/>
            </w:pPr>
            <w:r>
              <w:t>$3,115</w:t>
            </w:r>
          </w:p>
        </w:tc>
        <w:tc>
          <w:tcPr>
            <w:tcW w:w="1567" w:type="pct"/>
            <w:noWrap/>
            <w:hideMark/>
          </w:tcPr>
          <w:p w:rsidR="005570ED" w:rsidRDefault="005570ED" w:rsidP="005570ED">
            <w:pPr>
              <w:pStyle w:val="TableText"/>
              <w:jc w:val="center"/>
              <w:cnfStyle w:val="000000000000" w:firstRow="0" w:lastRow="0" w:firstColumn="0" w:lastColumn="0" w:oddVBand="0" w:evenVBand="0" w:oddHBand="0" w:evenHBand="0" w:firstRowFirstColumn="0" w:firstRowLastColumn="0" w:lastRowFirstColumn="0" w:lastRowLastColumn="0"/>
            </w:pPr>
            <w:r>
              <w:t>$2,990</w:t>
            </w:r>
          </w:p>
        </w:tc>
      </w:tr>
      <w:tr w:rsidR="005570ED" w:rsidTr="005570ED">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299" w:type="pct"/>
            <w:noWrap/>
            <w:hideMark/>
          </w:tcPr>
          <w:p w:rsidR="005570ED" w:rsidRDefault="005570ED" w:rsidP="006F545D">
            <w:pPr>
              <w:pStyle w:val="TableText"/>
            </w:pPr>
            <w:r>
              <w:t>2012</w:t>
            </w:r>
          </w:p>
        </w:tc>
        <w:tc>
          <w:tcPr>
            <w:tcW w:w="1567" w:type="pct"/>
            <w:noWrap/>
            <w:hideMark/>
          </w:tcPr>
          <w:p w:rsidR="005570ED" w:rsidRDefault="005570ED" w:rsidP="005570ED">
            <w:pPr>
              <w:pStyle w:val="TableText"/>
              <w:jc w:val="center"/>
              <w:cnfStyle w:val="000000000000" w:firstRow="0" w:lastRow="0" w:firstColumn="0" w:lastColumn="0" w:oddVBand="0" w:evenVBand="0" w:oddHBand="0" w:evenHBand="0" w:firstRowFirstColumn="0" w:firstRowLastColumn="0" w:lastRowFirstColumn="0" w:lastRowLastColumn="0"/>
            </w:pPr>
            <w:r>
              <w:t>0.919</w:t>
            </w:r>
          </w:p>
        </w:tc>
        <w:tc>
          <w:tcPr>
            <w:tcW w:w="1567" w:type="pct"/>
            <w:noWrap/>
            <w:hideMark/>
          </w:tcPr>
          <w:p w:rsidR="005570ED" w:rsidRDefault="005570ED" w:rsidP="005570ED">
            <w:pPr>
              <w:pStyle w:val="TableText"/>
              <w:jc w:val="center"/>
              <w:cnfStyle w:val="000000000000" w:firstRow="0" w:lastRow="0" w:firstColumn="0" w:lastColumn="0" w:oddVBand="0" w:evenVBand="0" w:oddHBand="0" w:evenHBand="0" w:firstRowFirstColumn="0" w:firstRowLastColumn="0" w:lastRowFirstColumn="0" w:lastRowLastColumn="0"/>
            </w:pPr>
            <w:r>
              <w:t>$3,192</w:t>
            </w:r>
          </w:p>
        </w:tc>
        <w:tc>
          <w:tcPr>
            <w:tcW w:w="1567" w:type="pct"/>
            <w:noWrap/>
            <w:hideMark/>
          </w:tcPr>
          <w:p w:rsidR="005570ED" w:rsidRDefault="005570ED" w:rsidP="005570ED">
            <w:pPr>
              <w:pStyle w:val="TableText"/>
              <w:jc w:val="center"/>
              <w:cnfStyle w:val="000000000000" w:firstRow="0" w:lastRow="0" w:firstColumn="0" w:lastColumn="0" w:oddVBand="0" w:evenVBand="0" w:oddHBand="0" w:evenHBand="0" w:firstRowFirstColumn="0" w:firstRowLastColumn="0" w:lastRowFirstColumn="0" w:lastRowLastColumn="0"/>
            </w:pPr>
            <w:r>
              <w:t>$3,064</w:t>
            </w:r>
          </w:p>
        </w:tc>
      </w:tr>
      <w:tr w:rsidR="005570ED" w:rsidTr="005570ED">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299" w:type="pct"/>
            <w:noWrap/>
            <w:hideMark/>
          </w:tcPr>
          <w:p w:rsidR="005570ED" w:rsidRDefault="005570ED" w:rsidP="006F545D">
            <w:pPr>
              <w:pStyle w:val="TableText"/>
            </w:pPr>
            <w:r>
              <w:t>2013</w:t>
            </w:r>
          </w:p>
        </w:tc>
        <w:tc>
          <w:tcPr>
            <w:tcW w:w="1567" w:type="pct"/>
            <w:noWrap/>
            <w:hideMark/>
          </w:tcPr>
          <w:p w:rsidR="005570ED" w:rsidRDefault="005570ED" w:rsidP="005570ED">
            <w:pPr>
              <w:pStyle w:val="TableText"/>
              <w:jc w:val="center"/>
              <w:cnfStyle w:val="000000000000" w:firstRow="0" w:lastRow="0" w:firstColumn="0" w:lastColumn="0" w:oddVBand="0" w:evenVBand="0" w:oddHBand="0" w:evenHBand="0" w:firstRowFirstColumn="0" w:firstRowLastColumn="0" w:lastRowFirstColumn="0" w:lastRowLastColumn="0"/>
            </w:pPr>
            <w:r>
              <w:t>0.954</w:t>
            </w:r>
          </w:p>
        </w:tc>
        <w:tc>
          <w:tcPr>
            <w:tcW w:w="1567" w:type="pct"/>
            <w:noWrap/>
            <w:hideMark/>
          </w:tcPr>
          <w:p w:rsidR="005570ED" w:rsidRDefault="005570ED" w:rsidP="005570ED">
            <w:pPr>
              <w:pStyle w:val="TableText"/>
              <w:jc w:val="center"/>
              <w:cnfStyle w:val="000000000000" w:firstRow="0" w:lastRow="0" w:firstColumn="0" w:lastColumn="0" w:oddVBand="0" w:evenVBand="0" w:oddHBand="0" w:evenHBand="0" w:firstRowFirstColumn="0" w:firstRowLastColumn="0" w:lastRowFirstColumn="0" w:lastRowLastColumn="0"/>
            </w:pPr>
            <w:r>
              <w:t>$3,313</w:t>
            </w:r>
          </w:p>
        </w:tc>
        <w:tc>
          <w:tcPr>
            <w:tcW w:w="1567" w:type="pct"/>
            <w:noWrap/>
            <w:hideMark/>
          </w:tcPr>
          <w:p w:rsidR="005570ED" w:rsidRDefault="005570ED" w:rsidP="005570ED">
            <w:pPr>
              <w:pStyle w:val="TableText"/>
              <w:jc w:val="center"/>
              <w:cnfStyle w:val="000000000000" w:firstRow="0" w:lastRow="0" w:firstColumn="0" w:lastColumn="0" w:oddVBand="0" w:evenVBand="0" w:oddHBand="0" w:evenHBand="0" w:firstRowFirstColumn="0" w:firstRowLastColumn="0" w:lastRowFirstColumn="0" w:lastRowLastColumn="0"/>
            </w:pPr>
            <w:r>
              <w:t>$3,180</w:t>
            </w:r>
          </w:p>
        </w:tc>
      </w:tr>
      <w:tr w:rsidR="005570ED" w:rsidTr="005570ED">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299" w:type="pct"/>
            <w:noWrap/>
            <w:hideMark/>
          </w:tcPr>
          <w:p w:rsidR="005570ED" w:rsidRDefault="005570ED" w:rsidP="006F545D">
            <w:pPr>
              <w:pStyle w:val="TableText"/>
            </w:pPr>
            <w:r>
              <w:t>2014</w:t>
            </w:r>
          </w:p>
        </w:tc>
        <w:tc>
          <w:tcPr>
            <w:tcW w:w="1567" w:type="pct"/>
            <w:noWrap/>
            <w:hideMark/>
          </w:tcPr>
          <w:p w:rsidR="005570ED" w:rsidRDefault="005570ED" w:rsidP="005570ED">
            <w:pPr>
              <w:pStyle w:val="TableText"/>
              <w:jc w:val="center"/>
              <w:cnfStyle w:val="000000000000" w:firstRow="0" w:lastRow="0" w:firstColumn="0" w:lastColumn="0" w:oddVBand="0" w:evenVBand="0" w:oddHBand="0" w:evenHBand="0" w:firstRowFirstColumn="0" w:firstRowLastColumn="0" w:lastRowFirstColumn="0" w:lastRowLastColumn="0"/>
            </w:pPr>
            <w:r>
              <w:t>1.000</w:t>
            </w:r>
          </w:p>
        </w:tc>
        <w:tc>
          <w:tcPr>
            <w:tcW w:w="1567" w:type="pct"/>
            <w:noWrap/>
            <w:hideMark/>
          </w:tcPr>
          <w:p w:rsidR="005570ED" w:rsidRDefault="005570ED" w:rsidP="005570ED">
            <w:pPr>
              <w:pStyle w:val="TableText"/>
              <w:jc w:val="center"/>
              <w:cnfStyle w:val="000000000000" w:firstRow="0" w:lastRow="0" w:firstColumn="0" w:lastColumn="0" w:oddVBand="0" w:evenVBand="0" w:oddHBand="0" w:evenHBand="0" w:firstRowFirstColumn="0" w:firstRowLastColumn="0" w:lastRowFirstColumn="0" w:lastRowLastColumn="0"/>
            </w:pPr>
            <w:r>
              <w:t>$3,472</w:t>
            </w:r>
          </w:p>
        </w:tc>
        <w:tc>
          <w:tcPr>
            <w:tcW w:w="1567" w:type="pct"/>
            <w:noWrap/>
            <w:hideMark/>
          </w:tcPr>
          <w:p w:rsidR="005570ED" w:rsidRDefault="005570ED" w:rsidP="005570ED">
            <w:pPr>
              <w:pStyle w:val="TableText"/>
              <w:jc w:val="center"/>
              <w:cnfStyle w:val="000000000000" w:firstRow="0" w:lastRow="0" w:firstColumn="0" w:lastColumn="0" w:oddVBand="0" w:evenVBand="0" w:oddHBand="0" w:evenHBand="0" w:firstRowFirstColumn="0" w:firstRowLastColumn="0" w:lastRowFirstColumn="0" w:lastRowLastColumn="0"/>
            </w:pPr>
            <w:r>
              <w:t>$3,333</w:t>
            </w:r>
          </w:p>
        </w:tc>
      </w:tr>
      <w:tr w:rsidR="005570ED" w:rsidTr="005570ED">
        <w:tblPrEx>
          <w:tblCellMar>
            <w:top w:w="0" w:type="dxa"/>
            <w:left w:w="0" w:type="dxa"/>
            <w:bottom w:w="0" w:type="dxa"/>
            <w:right w:w="0" w:type="dxa"/>
          </w:tblCellMar>
        </w:tblPrEx>
        <w:trPr>
          <w:cnfStyle w:val="010000000000" w:firstRow="0" w:lastRow="1" w:firstColumn="0" w:lastColumn="0" w:oddVBand="0" w:evenVBand="0" w:oddHBand="0" w:evenHBand="0" w:firstRowFirstColumn="0" w:firstRowLastColumn="0" w:lastRowFirstColumn="0" w:lastRowLastColumn="0"/>
          <w:trHeight w:val="320"/>
        </w:trPr>
        <w:tc>
          <w:tcPr>
            <w:cnfStyle w:val="001000000001" w:firstRow="0" w:lastRow="0" w:firstColumn="1" w:lastColumn="0" w:oddVBand="0" w:evenVBand="0" w:oddHBand="0" w:evenHBand="0" w:firstRowFirstColumn="0" w:firstRowLastColumn="0" w:lastRowFirstColumn="1" w:lastRowLastColumn="0"/>
            <w:tcW w:w="299" w:type="pct"/>
            <w:noWrap/>
            <w:hideMark/>
          </w:tcPr>
          <w:p w:rsidR="005570ED" w:rsidRDefault="005570ED" w:rsidP="006F545D">
            <w:pPr>
              <w:pStyle w:val="TableText"/>
            </w:pPr>
            <w:r>
              <w:t>2015</w:t>
            </w:r>
          </w:p>
        </w:tc>
        <w:tc>
          <w:tcPr>
            <w:tcW w:w="1567" w:type="pct"/>
            <w:noWrap/>
            <w:hideMark/>
          </w:tcPr>
          <w:p w:rsidR="005570ED" w:rsidRDefault="005570ED" w:rsidP="005570ED">
            <w:pPr>
              <w:pStyle w:val="TableText"/>
              <w:jc w:val="center"/>
              <w:cnfStyle w:val="010000000000" w:firstRow="0" w:lastRow="1" w:firstColumn="0" w:lastColumn="0" w:oddVBand="0" w:evenVBand="0" w:oddHBand="0" w:evenHBand="0" w:firstRowFirstColumn="0" w:firstRowLastColumn="0" w:lastRowFirstColumn="0" w:lastRowLastColumn="0"/>
            </w:pPr>
            <w:r>
              <w:t>1.049</w:t>
            </w:r>
          </w:p>
        </w:tc>
        <w:tc>
          <w:tcPr>
            <w:tcW w:w="1567" w:type="pct"/>
            <w:noWrap/>
            <w:hideMark/>
          </w:tcPr>
          <w:p w:rsidR="005570ED" w:rsidRDefault="005570ED" w:rsidP="005570ED">
            <w:pPr>
              <w:pStyle w:val="TableText"/>
              <w:jc w:val="center"/>
              <w:cnfStyle w:val="010000000000" w:firstRow="0" w:lastRow="1" w:firstColumn="0" w:lastColumn="0" w:oddVBand="0" w:evenVBand="0" w:oddHBand="0" w:evenHBand="0" w:firstRowFirstColumn="0" w:firstRowLastColumn="0" w:lastRowFirstColumn="0" w:lastRowLastColumn="0"/>
            </w:pPr>
            <w:r>
              <w:t>$3,643</w:t>
            </w:r>
          </w:p>
        </w:tc>
        <w:tc>
          <w:tcPr>
            <w:tcW w:w="1567" w:type="pct"/>
            <w:noWrap/>
            <w:hideMark/>
          </w:tcPr>
          <w:p w:rsidR="005570ED" w:rsidRDefault="005570ED" w:rsidP="005570ED">
            <w:pPr>
              <w:pStyle w:val="TableText"/>
              <w:jc w:val="center"/>
              <w:cnfStyle w:val="010000000000" w:firstRow="0" w:lastRow="1" w:firstColumn="0" w:lastColumn="0" w:oddVBand="0" w:evenVBand="0" w:oddHBand="0" w:evenHBand="0" w:firstRowFirstColumn="0" w:firstRowLastColumn="0" w:lastRowFirstColumn="0" w:lastRowLastColumn="0"/>
            </w:pPr>
            <w:r>
              <w:t>$3,497</w:t>
            </w:r>
          </w:p>
        </w:tc>
      </w:tr>
    </w:tbl>
    <w:p w:rsidR="00344C8E" w:rsidRPr="004C33D1" w:rsidRDefault="00344C8E" w:rsidP="00344C8E">
      <w:pPr>
        <w:spacing w:line="240" w:lineRule="auto"/>
      </w:pPr>
      <w:r w:rsidRPr="004C33D1">
        <w:br w:type="page"/>
      </w:r>
    </w:p>
    <w:p w:rsidR="00344C8E" w:rsidRPr="004C33D1" w:rsidRDefault="00344C8E" w:rsidP="003C255B">
      <w:pPr>
        <w:pStyle w:val="Annex1"/>
      </w:pPr>
      <w:bookmarkStart w:id="473" w:name="_Toc456367201"/>
      <w:bookmarkStart w:id="474" w:name="_Toc458179039"/>
      <w:bookmarkStart w:id="475" w:name="_Toc458464594"/>
      <w:bookmarkStart w:id="476" w:name="_Toc458489815"/>
      <w:bookmarkStart w:id="477" w:name="_Toc462413670"/>
      <w:bookmarkStart w:id="478" w:name="_Toc462582259"/>
      <w:r w:rsidRPr="004C33D1">
        <w:lastRenderedPageBreak/>
        <w:t>Land price discontinuity at the urban boundary</w:t>
      </w:r>
      <w:bookmarkEnd w:id="473"/>
      <w:bookmarkEnd w:id="474"/>
      <w:bookmarkEnd w:id="475"/>
      <w:bookmarkEnd w:id="476"/>
      <w:bookmarkEnd w:id="477"/>
      <w:bookmarkEnd w:id="478"/>
    </w:p>
    <w:p w:rsidR="00344C8E" w:rsidRPr="004C33D1" w:rsidRDefault="00344C8E" w:rsidP="004A5A2D">
      <w:pPr>
        <w:pStyle w:val="Annex2"/>
      </w:pPr>
      <w:bookmarkStart w:id="479" w:name="_Toc456367202"/>
      <w:bookmarkStart w:id="480" w:name="_Toc456624673"/>
      <w:bookmarkStart w:id="481" w:name="_Toc457985388"/>
      <w:bookmarkStart w:id="482" w:name="_Toc457988534"/>
      <w:bookmarkStart w:id="483" w:name="_Toc458160029"/>
      <w:bookmarkStart w:id="484" w:name="_Toc462582260"/>
      <w:r w:rsidRPr="004C33D1">
        <w:t>Description</w:t>
      </w:r>
      <w:bookmarkEnd w:id="479"/>
      <w:bookmarkEnd w:id="480"/>
      <w:bookmarkEnd w:id="481"/>
      <w:bookmarkEnd w:id="482"/>
      <w:bookmarkEnd w:id="483"/>
      <w:bookmarkEnd w:id="484"/>
    </w:p>
    <w:p w:rsidR="00344C8E" w:rsidRPr="004C33D1" w:rsidRDefault="00344C8E" w:rsidP="00344C8E">
      <w:r w:rsidRPr="004C33D1">
        <w:t xml:space="preserve">The difference in rateable land values for comparable residential properties </w:t>
      </w:r>
      <w:r w:rsidRPr="004C33D1">
        <w:rPr>
          <w:i/>
        </w:rPr>
        <w:t>just inside</w:t>
      </w:r>
      <w:r w:rsidRPr="004C33D1">
        <w:t xml:space="preserve"> and </w:t>
      </w:r>
      <w:r w:rsidRPr="004C33D1">
        <w:rPr>
          <w:i/>
        </w:rPr>
        <w:t>just outside</w:t>
      </w:r>
      <w:r w:rsidRPr="004C33D1">
        <w:t xml:space="preserve"> the urban boundary, net of land conversion and infrastructure costs.</w:t>
      </w:r>
    </w:p>
    <w:p w:rsidR="00344C8E" w:rsidRPr="004C33D1" w:rsidRDefault="00344C8E" w:rsidP="004A5A2D">
      <w:pPr>
        <w:pStyle w:val="Annex2"/>
      </w:pPr>
      <w:bookmarkStart w:id="485" w:name="_Toc456367203"/>
      <w:bookmarkStart w:id="486" w:name="_Toc456624674"/>
      <w:bookmarkStart w:id="487" w:name="_Toc457985389"/>
      <w:bookmarkStart w:id="488" w:name="_Toc457988535"/>
      <w:bookmarkStart w:id="489" w:name="_Toc458160030"/>
      <w:bookmarkStart w:id="490" w:name="_Toc462582261"/>
      <w:r w:rsidRPr="004C33D1">
        <w:t>Interpretation</w:t>
      </w:r>
      <w:bookmarkEnd w:id="485"/>
      <w:bookmarkEnd w:id="486"/>
      <w:bookmarkEnd w:id="487"/>
      <w:bookmarkEnd w:id="488"/>
      <w:bookmarkEnd w:id="489"/>
      <w:bookmarkEnd w:id="490"/>
    </w:p>
    <w:p w:rsidR="00344C8E" w:rsidRPr="004C33D1" w:rsidRDefault="00344C8E" w:rsidP="00344C8E">
      <w:r w:rsidRPr="004C33D1">
        <w:t xml:space="preserve">This indicator measures whether urban planning policies result in an artificial scarcity of development </w:t>
      </w:r>
      <w:r w:rsidR="002E72D4">
        <w:t>opportunities</w:t>
      </w:r>
      <w:r w:rsidRPr="004C33D1">
        <w:t xml:space="preserve">. It </w:t>
      </w:r>
      <w:proofErr w:type="gramStart"/>
      <w:r w:rsidRPr="004C33D1">
        <w:t>can be measured</w:t>
      </w:r>
      <w:proofErr w:type="gramEnd"/>
      <w:r w:rsidRPr="004C33D1">
        <w:t xml:space="preserve">: </w:t>
      </w:r>
      <w:r w:rsidRPr="004C33D1">
        <w:br/>
      </w:r>
    </w:p>
    <w:p w:rsidR="00344C8E" w:rsidRPr="004C33D1" w:rsidRDefault="00344C8E" w:rsidP="00411653">
      <w:pPr>
        <w:pStyle w:val="ListParagraph"/>
        <w:numPr>
          <w:ilvl w:val="0"/>
          <w:numId w:val="47"/>
        </w:numPr>
      </w:pPr>
      <w:r w:rsidRPr="004C33D1">
        <w:t>at different locations on the urban boundary, eg to estimate whether discontinuities are greater in one location or another; and</w:t>
      </w:r>
    </w:p>
    <w:p w:rsidR="00344C8E" w:rsidRPr="004C33D1" w:rsidRDefault="00344C8E" w:rsidP="00411653">
      <w:pPr>
        <w:pStyle w:val="ListParagraph"/>
        <w:numPr>
          <w:ilvl w:val="0"/>
          <w:numId w:val="47"/>
        </w:numPr>
      </w:pPr>
      <w:proofErr w:type="gramStart"/>
      <w:r w:rsidRPr="004C33D1">
        <w:t>over</w:t>
      </w:r>
      <w:proofErr w:type="gramEnd"/>
      <w:r w:rsidRPr="004C33D1">
        <w:t xml:space="preserve"> time, eg to estimate if development is keeping up with growing demand or falling behind demand. </w:t>
      </w:r>
    </w:p>
    <w:p w:rsidR="00344C8E" w:rsidRPr="004C33D1" w:rsidRDefault="00344C8E" w:rsidP="00344C8E"/>
    <w:p w:rsidR="00344C8E" w:rsidRPr="004C33D1" w:rsidRDefault="00344C8E" w:rsidP="00344C8E">
      <w:r w:rsidRPr="004C33D1">
        <w:t xml:space="preserve">In principle, land price discontinuities at the urban boundary can result from both limits on the supply of land for development </w:t>
      </w:r>
      <w:r w:rsidRPr="004C33D1">
        <w:rPr>
          <w:i/>
        </w:rPr>
        <w:t>and</w:t>
      </w:r>
      <w:r w:rsidRPr="004C33D1">
        <w:t xml:space="preserve"> limits on more intensive development within the city. Interpreting this measure can be challenging, as it requires contextual information on:</w:t>
      </w:r>
    </w:p>
    <w:p w:rsidR="00344C8E" w:rsidRPr="004C33D1" w:rsidRDefault="00344C8E" w:rsidP="00344C8E"/>
    <w:p w:rsidR="00344C8E" w:rsidRPr="004C33D1" w:rsidRDefault="00344C8E" w:rsidP="00411653">
      <w:pPr>
        <w:pStyle w:val="ListParagraph"/>
        <w:numPr>
          <w:ilvl w:val="0"/>
          <w:numId w:val="48"/>
        </w:numPr>
      </w:pPr>
      <w:r w:rsidRPr="004C33D1">
        <w:t>Recent trends in property prices – when housing prices are rising rapidly, land valuation data can become outdated</w:t>
      </w:r>
    </w:p>
    <w:p w:rsidR="00344C8E" w:rsidRPr="004C33D1" w:rsidRDefault="00344C8E" w:rsidP="00411653">
      <w:pPr>
        <w:pStyle w:val="ListParagraph"/>
        <w:numPr>
          <w:ilvl w:val="0"/>
          <w:numId w:val="48"/>
        </w:numPr>
      </w:pPr>
      <w:r w:rsidRPr="004C33D1">
        <w:t>Infrastructure provision, eg locations that are served by network infrastructure</w:t>
      </w:r>
    </w:p>
    <w:p w:rsidR="00344C8E" w:rsidRPr="004C33D1" w:rsidRDefault="00344C8E" w:rsidP="00411653">
      <w:pPr>
        <w:pStyle w:val="ListParagraph"/>
        <w:numPr>
          <w:ilvl w:val="0"/>
          <w:numId w:val="48"/>
        </w:numPr>
      </w:pPr>
      <w:r w:rsidRPr="004C33D1">
        <w:t>Topographical constraints, eg steep hillsides or flood plains that are unusually costly to develop</w:t>
      </w:r>
    </w:p>
    <w:p w:rsidR="00344C8E" w:rsidRPr="004C33D1" w:rsidRDefault="00344C8E" w:rsidP="00411653">
      <w:pPr>
        <w:pStyle w:val="ListParagraph"/>
        <w:numPr>
          <w:ilvl w:val="0"/>
          <w:numId w:val="48"/>
        </w:numPr>
      </w:pPr>
      <w:r w:rsidRPr="004C33D1">
        <w:t>Other non-regulatory constraints, such as land-banking by major property owners, which may result in an artificial scarcity that cannot be attributed to urban planning rules alone</w:t>
      </w:r>
    </w:p>
    <w:p w:rsidR="00344C8E" w:rsidRPr="004C33D1" w:rsidRDefault="00344C8E" w:rsidP="004A5A2D">
      <w:pPr>
        <w:pStyle w:val="Annex2"/>
      </w:pPr>
      <w:bookmarkStart w:id="491" w:name="_Toc456367204"/>
      <w:bookmarkStart w:id="492" w:name="_Toc456624675"/>
      <w:bookmarkStart w:id="493" w:name="_Toc457985390"/>
      <w:bookmarkStart w:id="494" w:name="_Toc457988536"/>
      <w:bookmarkStart w:id="495" w:name="_Toc458160031"/>
      <w:bookmarkStart w:id="496" w:name="_Toc462582262"/>
      <w:r w:rsidRPr="004C33D1">
        <w:t>Data availability</w:t>
      </w:r>
      <w:bookmarkEnd w:id="491"/>
      <w:bookmarkEnd w:id="492"/>
      <w:bookmarkEnd w:id="493"/>
      <w:bookmarkEnd w:id="494"/>
      <w:bookmarkEnd w:id="495"/>
      <w:bookmarkEnd w:id="496"/>
    </w:p>
    <w:p w:rsidR="00344C8E" w:rsidRPr="004C33D1" w:rsidRDefault="00344C8E" w:rsidP="00344C8E">
      <w:r w:rsidRPr="004C33D1">
        <w:t xml:space="preserve">Calculating this measure requires information on land valuations and district plan zoning maps, as well as GIS analysis of property parcel locations. This data </w:t>
      </w:r>
      <w:proofErr w:type="gramStart"/>
      <w:r w:rsidRPr="004C33D1">
        <w:t>is briefly described</w:t>
      </w:r>
      <w:proofErr w:type="gramEnd"/>
      <w:r w:rsidRPr="004C33D1">
        <w:t xml:space="preserve"> in</w:t>
      </w:r>
      <w:r w:rsidR="006C2EC4" w:rsidRPr="004C33D1">
        <w:t xml:space="preserve"> </w:t>
      </w:r>
      <w:r w:rsidR="006C2EC4" w:rsidRPr="004C33D1">
        <w:fldChar w:fldCharType="begin"/>
      </w:r>
      <w:r w:rsidR="006C2EC4" w:rsidRPr="004C33D1">
        <w:instrText xml:space="preserve"> REF _Ref456685607 \h </w:instrText>
      </w:r>
      <w:r w:rsidR="006C2EC4" w:rsidRPr="004C33D1">
        <w:fldChar w:fldCharType="separate"/>
      </w:r>
      <w:r w:rsidR="004D1DDA" w:rsidRPr="004C33D1">
        <w:t xml:space="preserve">Table </w:t>
      </w:r>
      <w:r w:rsidR="004D1DDA">
        <w:rPr>
          <w:noProof/>
        </w:rPr>
        <w:t>30</w:t>
      </w:r>
      <w:r w:rsidR="006C2EC4" w:rsidRPr="004C33D1">
        <w:fldChar w:fldCharType="end"/>
      </w:r>
      <w:r w:rsidRPr="004C33D1">
        <w:t>.</w:t>
      </w:r>
    </w:p>
    <w:p w:rsidR="00344C8E" w:rsidRPr="004C33D1" w:rsidRDefault="00344C8E" w:rsidP="00344C8E"/>
    <w:p w:rsidR="00344C8E" w:rsidRDefault="00344C8E" w:rsidP="00344C8E">
      <w:r w:rsidRPr="004C33D1">
        <w:t>Land valuation data is available from three-yearly rating valuations conducted by territorial local authorities. Other data on the location of properties inside or outside the urban boundary can be estimated using GIS analysis of zoning maps.</w:t>
      </w:r>
    </w:p>
    <w:p w:rsidR="005006B0" w:rsidRDefault="005006B0" w:rsidP="00344C8E"/>
    <w:p w:rsidR="005006B0" w:rsidRDefault="005006B0" w:rsidP="00344C8E"/>
    <w:p w:rsidR="005006B0" w:rsidRDefault="005006B0" w:rsidP="00344C8E"/>
    <w:p w:rsidR="005006B0" w:rsidRDefault="005006B0" w:rsidP="00344C8E"/>
    <w:p w:rsidR="005006B0" w:rsidRPr="004C33D1" w:rsidRDefault="005006B0" w:rsidP="00344C8E"/>
    <w:p w:rsidR="005570ED" w:rsidRPr="00AF00C8" w:rsidRDefault="00344C8E" w:rsidP="005006B0">
      <w:pPr>
        <w:pStyle w:val="Caption"/>
      </w:pPr>
      <w:bookmarkStart w:id="497" w:name="_Ref456685607"/>
      <w:r w:rsidRPr="004C33D1">
        <w:lastRenderedPageBreak/>
        <w:t xml:space="preserve">Table </w:t>
      </w:r>
      <w:r w:rsidRPr="004C33D1">
        <w:fldChar w:fldCharType="begin"/>
      </w:r>
      <w:r w:rsidRPr="004C33D1">
        <w:instrText xml:space="preserve"> SEQ Table \* ARABIC </w:instrText>
      </w:r>
      <w:r w:rsidRPr="004C33D1">
        <w:fldChar w:fldCharType="separate"/>
      </w:r>
      <w:r w:rsidR="004D1DDA">
        <w:rPr>
          <w:noProof/>
        </w:rPr>
        <w:t>30</w:t>
      </w:r>
      <w:r w:rsidRPr="004C33D1">
        <w:fldChar w:fldCharType="end"/>
      </w:r>
      <w:bookmarkEnd w:id="497"/>
      <w:r w:rsidRPr="004C33D1">
        <w:t>: Data sources</w:t>
      </w:r>
    </w:p>
    <w:tbl>
      <w:tblPr>
        <w:tblStyle w:val="CovecTables"/>
        <w:tblW w:w="4884" w:type="pct"/>
        <w:tblInd w:w="84" w:type="dxa"/>
        <w:tblBorders>
          <w:bottom w:val="single" w:sz="12" w:space="0" w:color="A6A6A6" w:themeColor="background1" w:themeShade="A6"/>
          <w:insideH w:val="single" w:sz="8" w:space="0" w:color="A6A6A6" w:themeColor="background1" w:themeShade="A6"/>
        </w:tblBorders>
        <w:tblLook w:val="04E0" w:firstRow="1" w:lastRow="1" w:firstColumn="1" w:lastColumn="0" w:noHBand="0" w:noVBand="1"/>
      </w:tblPr>
      <w:tblGrid>
        <w:gridCol w:w="1774"/>
        <w:gridCol w:w="1550"/>
        <w:gridCol w:w="4706"/>
      </w:tblGrid>
      <w:tr w:rsidR="005570ED" w:rsidRPr="004C33D1" w:rsidTr="005006B0">
        <w:trPr>
          <w:cnfStyle w:val="100000000000" w:firstRow="1" w:lastRow="0" w:firstColumn="0" w:lastColumn="0" w:oddVBand="0" w:evenVBand="0" w:oddHBand="0" w:evenHBand="0" w:firstRowFirstColumn="0" w:firstRowLastColumn="0" w:lastRowFirstColumn="0" w:lastRowLastColumn="0"/>
          <w:trHeight w:val="256"/>
        </w:trPr>
        <w:tc>
          <w:tcPr>
            <w:cnfStyle w:val="001000000100" w:firstRow="0" w:lastRow="0" w:firstColumn="1" w:lastColumn="0" w:oddVBand="0" w:evenVBand="0" w:oddHBand="0" w:evenHBand="0" w:firstRowFirstColumn="1" w:firstRowLastColumn="0" w:lastRowFirstColumn="0" w:lastRowLastColumn="0"/>
            <w:tcW w:w="1105" w:type="pct"/>
          </w:tcPr>
          <w:p w:rsidR="005570ED" w:rsidRPr="004C33D1" w:rsidRDefault="005570ED" w:rsidP="006F545D">
            <w:pPr>
              <w:pStyle w:val="TableText"/>
            </w:pPr>
            <w:r w:rsidRPr="004C33D1">
              <w:t>Data</w:t>
            </w:r>
          </w:p>
        </w:tc>
        <w:tc>
          <w:tcPr>
            <w:tcW w:w="965" w:type="pct"/>
          </w:tcPr>
          <w:p w:rsidR="005570ED" w:rsidRPr="004C33D1" w:rsidRDefault="005570ED" w:rsidP="006F545D">
            <w:pPr>
              <w:pStyle w:val="TableText"/>
              <w:jc w:val="left"/>
              <w:cnfStyle w:val="100000000000" w:firstRow="1" w:lastRow="0" w:firstColumn="0" w:lastColumn="0" w:oddVBand="0" w:evenVBand="0" w:oddHBand="0" w:evenHBand="0" w:firstRowFirstColumn="0" w:firstRowLastColumn="0" w:lastRowFirstColumn="0" w:lastRowLastColumn="0"/>
            </w:pPr>
            <w:r w:rsidRPr="004C33D1">
              <w:t>Source</w:t>
            </w:r>
          </w:p>
        </w:tc>
        <w:tc>
          <w:tcPr>
            <w:tcW w:w="2931" w:type="pct"/>
          </w:tcPr>
          <w:p w:rsidR="005570ED" w:rsidRPr="004C33D1" w:rsidRDefault="005570ED" w:rsidP="006F545D">
            <w:pPr>
              <w:pStyle w:val="TableText"/>
              <w:jc w:val="left"/>
              <w:cnfStyle w:val="100000000000" w:firstRow="1" w:lastRow="0" w:firstColumn="0" w:lastColumn="0" w:oddVBand="0" w:evenVBand="0" w:oddHBand="0" w:evenHBand="0" w:firstRowFirstColumn="0" w:firstRowLastColumn="0" w:lastRowFirstColumn="0" w:lastRowLastColumn="0"/>
            </w:pPr>
            <w:r w:rsidRPr="004C33D1">
              <w:t>Location</w:t>
            </w:r>
          </w:p>
        </w:tc>
      </w:tr>
      <w:tr w:rsidR="005570ED" w:rsidRPr="004C33D1" w:rsidTr="005006B0">
        <w:tblPrEx>
          <w:tblCellMar>
            <w:top w:w="0" w:type="dxa"/>
            <w:left w:w="0" w:type="dxa"/>
            <w:bottom w:w="0" w:type="dxa"/>
            <w:right w:w="0"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1105" w:type="pct"/>
          </w:tcPr>
          <w:p w:rsidR="005570ED" w:rsidRPr="004C33D1" w:rsidRDefault="005570ED" w:rsidP="006F545D">
            <w:pPr>
              <w:pStyle w:val="TableText"/>
            </w:pPr>
            <w:r w:rsidRPr="004C33D1">
              <w:t>Land valuation data</w:t>
            </w:r>
          </w:p>
        </w:tc>
        <w:tc>
          <w:tcPr>
            <w:tcW w:w="965" w:type="pct"/>
          </w:tcPr>
          <w:p w:rsidR="005570ED" w:rsidRPr="004C33D1" w:rsidRDefault="005570ED" w:rsidP="006F545D">
            <w:pPr>
              <w:pStyle w:val="TableText"/>
              <w:jc w:val="left"/>
              <w:cnfStyle w:val="000000000000" w:firstRow="0" w:lastRow="0" w:firstColumn="0" w:lastColumn="0" w:oddVBand="0" w:evenVBand="0" w:oddHBand="0" w:evenHBand="0" w:firstRowFirstColumn="0" w:firstRowLastColumn="0" w:lastRowFirstColumn="0" w:lastRowLastColumn="0"/>
            </w:pPr>
            <w:r w:rsidRPr="004C33D1">
              <w:t xml:space="preserve">TLAs / </w:t>
            </w:r>
            <w:proofErr w:type="spellStart"/>
            <w:r w:rsidRPr="004C33D1">
              <w:t>Corelogic</w:t>
            </w:r>
            <w:proofErr w:type="spellEnd"/>
          </w:p>
        </w:tc>
        <w:tc>
          <w:tcPr>
            <w:tcW w:w="2931" w:type="pct"/>
          </w:tcPr>
          <w:p w:rsidR="005570ED" w:rsidRPr="004C33D1" w:rsidRDefault="005570ED" w:rsidP="006F545D">
            <w:pPr>
              <w:pStyle w:val="TableText"/>
              <w:jc w:val="left"/>
              <w:cnfStyle w:val="000000000000" w:firstRow="0" w:lastRow="0" w:firstColumn="0" w:lastColumn="0" w:oddVBand="0" w:evenVBand="0" w:oddHBand="0" w:evenHBand="0" w:firstRowFirstColumn="0" w:firstRowLastColumn="0" w:lastRowFirstColumn="0" w:lastRowLastColumn="0"/>
              <w:rPr>
                <w:i/>
              </w:rPr>
            </w:pPr>
            <w:r>
              <w:t>CoreLogic and councils; MBIE has purchased CoreLogic valuation data for residential properties</w:t>
            </w:r>
          </w:p>
        </w:tc>
      </w:tr>
      <w:tr w:rsidR="005570ED" w:rsidRPr="004C33D1" w:rsidTr="005006B0">
        <w:tblPrEx>
          <w:tblCellMar>
            <w:top w:w="0" w:type="dxa"/>
            <w:left w:w="0" w:type="dxa"/>
            <w:bottom w:w="0" w:type="dxa"/>
            <w:right w:w="0" w:type="dxa"/>
          </w:tblCellMar>
        </w:tblPrEx>
        <w:trPr>
          <w:trHeight w:val="256"/>
        </w:trPr>
        <w:tc>
          <w:tcPr>
            <w:cnfStyle w:val="001000000000" w:firstRow="0" w:lastRow="0" w:firstColumn="1" w:lastColumn="0" w:oddVBand="0" w:evenVBand="0" w:oddHBand="0" w:evenHBand="0" w:firstRowFirstColumn="0" w:firstRowLastColumn="0" w:lastRowFirstColumn="0" w:lastRowLastColumn="0"/>
            <w:tcW w:w="1105" w:type="pct"/>
          </w:tcPr>
          <w:p w:rsidR="005570ED" w:rsidRPr="004C33D1" w:rsidRDefault="005570ED" w:rsidP="006F545D">
            <w:pPr>
              <w:pStyle w:val="TableText"/>
            </w:pPr>
            <w:r w:rsidRPr="004C33D1">
              <w:t>District plan zoning maps</w:t>
            </w:r>
          </w:p>
        </w:tc>
        <w:tc>
          <w:tcPr>
            <w:tcW w:w="965" w:type="pct"/>
          </w:tcPr>
          <w:p w:rsidR="005570ED" w:rsidRPr="004C33D1" w:rsidRDefault="005570ED" w:rsidP="006F545D">
            <w:pPr>
              <w:pStyle w:val="TableText"/>
              <w:jc w:val="left"/>
              <w:cnfStyle w:val="000000000000" w:firstRow="0" w:lastRow="0" w:firstColumn="0" w:lastColumn="0" w:oddVBand="0" w:evenVBand="0" w:oddHBand="0" w:evenHBand="0" w:firstRowFirstColumn="0" w:firstRowLastColumn="0" w:lastRowFirstColumn="0" w:lastRowLastColumn="0"/>
            </w:pPr>
            <w:r w:rsidRPr="004C33D1">
              <w:t>TLAs</w:t>
            </w:r>
          </w:p>
        </w:tc>
        <w:tc>
          <w:tcPr>
            <w:tcW w:w="2931" w:type="pct"/>
          </w:tcPr>
          <w:p w:rsidR="005570ED" w:rsidRPr="004C33D1" w:rsidRDefault="005570ED" w:rsidP="006F545D">
            <w:pPr>
              <w:pStyle w:val="TableText"/>
              <w:jc w:val="left"/>
              <w:cnfStyle w:val="000000000000" w:firstRow="0" w:lastRow="0" w:firstColumn="0" w:lastColumn="0" w:oddVBand="0" w:evenVBand="0" w:oddHBand="0" w:evenHBand="0" w:firstRowFirstColumn="0" w:firstRowLastColumn="0" w:lastRowFirstColumn="0" w:lastRowLastColumn="0"/>
              <w:rPr>
                <w:i/>
              </w:rPr>
            </w:pPr>
            <w:r>
              <w:t>District councils hold this data</w:t>
            </w:r>
          </w:p>
        </w:tc>
      </w:tr>
      <w:tr w:rsidR="005570ED" w:rsidRPr="004C33D1" w:rsidTr="005006B0">
        <w:tblPrEx>
          <w:tblCellMar>
            <w:top w:w="0" w:type="dxa"/>
            <w:left w:w="0" w:type="dxa"/>
            <w:bottom w:w="0" w:type="dxa"/>
            <w:right w:w="0" w:type="dxa"/>
          </w:tblCellMar>
        </w:tblPrEx>
        <w:trPr>
          <w:trHeight w:val="256"/>
        </w:trPr>
        <w:tc>
          <w:tcPr>
            <w:cnfStyle w:val="001000000000" w:firstRow="0" w:lastRow="0" w:firstColumn="1" w:lastColumn="0" w:oddVBand="0" w:evenVBand="0" w:oddHBand="0" w:evenHBand="0" w:firstRowFirstColumn="0" w:firstRowLastColumn="0" w:lastRowFirstColumn="0" w:lastRowLastColumn="0"/>
            <w:tcW w:w="1105" w:type="pct"/>
          </w:tcPr>
          <w:p w:rsidR="005570ED" w:rsidRPr="004C33D1" w:rsidRDefault="005570ED" w:rsidP="006F545D">
            <w:pPr>
              <w:pStyle w:val="TableText"/>
            </w:pPr>
            <w:r w:rsidRPr="004C33D1">
              <w:t xml:space="preserve">GIS analysis of </w:t>
            </w:r>
            <w:r>
              <w:t xml:space="preserve">zoning maps and </w:t>
            </w:r>
            <w:r w:rsidRPr="004C33D1">
              <w:t>property parcel location</w:t>
            </w:r>
          </w:p>
        </w:tc>
        <w:tc>
          <w:tcPr>
            <w:tcW w:w="965" w:type="pct"/>
          </w:tcPr>
          <w:p w:rsidR="005570ED" w:rsidRPr="004C33D1" w:rsidRDefault="005570ED" w:rsidP="006F545D">
            <w:pPr>
              <w:pStyle w:val="TableText"/>
              <w:jc w:val="left"/>
              <w:cnfStyle w:val="000000000000" w:firstRow="0" w:lastRow="0" w:firstColumn="0" w:lastColumn="0" w:oddVBand="0" w:evenVBand="0" w:oddHBand="0" w:evenHBand="0" w:firstRowFirstColumn="0" w:firstRowLastColumn="0" w:lastRowFirstColumn="0" w:lastRowLastColumn="0"/>
            </w:pPr>
            <w:r>
              <w:t>Custom analysis</w:t>
            </w:r>
          </w:p>
        </w:tc>
        <w:tc>
          <w:tcPr>
            <w:tcW w:w="2931" w:type="pct"/>
          </w:tcPr>
          <w:p w:rsidR="005570ED" w:rsidRPr="004C33D1" w:rsidRDefault="005570ED" w:rsidP="006F545D">
            <w:pPr>
              <w:pStyle w:val="TableText"/>
              <w:jc w:val="left"/>
              <w:cnfStyle w:val="000000000000" w:firstRow="0" w:lastRow="0" w:firstColumn="0" w:lastColumn="0" w:oddVBand="0" w:evenVBand="0" w:oddHBand="0" w:evenHBand="0" w:firstRowFirstColumn="0" w:firstRowLastColumn="0" w:lastRowFirstColumn="0" w:lastRowLastColumn="0"/>
            </w:pPr>
            <w:r>
              <w:t>GIS analysis is required to identify the location of urban boundaries (see below) and identify how close properties are to the boundary. This analysis must be undertaken on a case-by-case basis</w:t>
            </w:r>
            <w:r w:rsidRPr="004C33D1" w:rsidDel="00A37AE7">
              <w:t xml:space="preserve"> </w:t>
            </w:r>
          </w:p>
        </w:tc>
      </w:tr>
      <w:tr w:rsidR="005570ED" w:rsidRPr="004C33D1" w:rsidTr="005006B0">
        <w:tblPrEx>
          <w:tblCellMar>
            <w:top w:w="0" w:type="dxa"/>
            <w:left w:w="0" w:type="dxa"/>
            <w:bottom w:w="0" w:type="dxa"/>
            <w:right w:w="0" w:type="dxa"/>
          </w:tblCellMar>
        </w:tblPrEx>
        <w:trPr>
          <w:cnfStyle w:val="010000000000" w:firstRow="0" w:lastRow="1" w:firstColumn="0" w:lastColumn="0" w:oddVBand="0" w:evenVBand="0" w:oddHBand="0" w:evenHBand="0" w:firstRowFirstColumn="0" w:firstRowLastColumn="0" w:lastRowFirstColumn="0" w:lastRowLastColumn="0"/>
          <w:trHeight w:val="256"/>
        </w:trPr>
        <w:tc>
          <w:tcPr>
            <w:cnfStyle w:val="001000000001" w:firstRow="0" w:lastRow="0" w:firstColumn="1" w:lastColumn="0" w:oddVBand="0" w:evenVBand="0" w:oddHBand="0" w:evenHBand="0" w:firstRowFirstColumn="0" w:firstRowLastColumn="0" w:lastRowFirstColumn="1" w:lastRowLastColumn="0"/>
            <w:tcW w:w="1105" w:type="pct"/>
            <w:vAlign w:val="top"/>
          </w:tcPr>
          <w:p w:rsidR="005570ED" w:rsidRPr="004C33D1" w:rsidRDefault="005570ED" w:rsidP="006F545D">
            <w:pPr>
              <w:pStyle w:val="TableText"/>
            </w:pPr>
            <w:r>
              <w:t>Land development costs</w:t>
            </w:r>
          </w:p>
        </w:tc>
        <w:tc>
          <w:tcPr>
            <w:tcW w:w="965" w:type="pct"/>
            <w:vAlign w:val="top"/>
          </w:tcPr>
          <w:p w:rsidR="005570ED" w:rsidRPr="004C33D1" w:rsidRDefault="005570ED" w:rsidP="006F545D">
            <w:pPr>
              <w:pStyle w:val="TableText"/>
              <w:jc w:val="left"/>
              <w:cnfStyle w:val="010000000000" w:firstRow="0" w:lastRow="1" w:firstColumn="0" w:lastColumn="0" w:oddVBand="0" w:evenVBand="0" w:oddHBand="0" w:evenHBand="0" w:firstRowFirstColumn="0" w:firstRowLastColumn="0" w:lastRowFirstColumn="0" w:lastRowLastColumn="0"/>
            </w:pPr>
            <w:r>
              <w:t>Surveying or land development companies</w:t>
            </w:r>
          </w:p>
        </w:tc>
        <w:tc>
          <w:tcPr>
            <w:tcW w:w="2931" w:type="pct"/>
            <w:vAlign w:val="top"/>
          </w:tcPr>
          <w:p w:rsidR="005570ED" w:rsidRPr="004C33D1" w:rsidRDefault="005570ED" w:rsidP="006F545D">
            <w:pPr>
              <w:pStyle w:val="TableText"/>
              <w:jc w:val="left"/>
              <w:cnfStyle w:val="010000000000" w:firstRow="0" w:lastRow="1" w:firstColumn="0" w:lastColumn="0" w:oddVBand="0" w:evenVBand="0" w:oddHBand="0" w:evenHBand="0" w:firstRowFirstColumn="0" w:firstRowLastColumn="0" w:lastRowFirstColumn="0" w:lastRowLastColumn="0"/>
            </w:pPr>
            <w:r>
              <w:t>Held by private data suppliers; some relevant data is summarised in this report.</w:t>
            </w:r>
          </w:p>
        </w:tc>
      </w:tr>
    </w:tbl>
    <w:p w:rsidR="00344C8E" w:rsidRPr="004C33D1" w:rsidRDefault="00344C8E" w:rsidP="004A5A2D">
      <w:pPr>
        <w:pStyle w:val="Annex2"/>
      </w:pPr>
      <w:bookmarkStart w:id="498" w:name="_Toc456367205"/>
      <w:bookmarkStart w:id="499" w:name="_Toc456624676"/>
      <w:bookmarkStart w:id="500" w:name="_Toc457985391"/>
      <w:bookmarkStart w:id="501" w:name="_Toc457988537"/>
      <w:bookmarkStart w:id="502" w:name="_Toc458160032"/>
      <w:bookmarkStart w:id="503" w:name="_Toc462582263"/>
      <w:r w:rsidRPr="004C33D1">
        <w:t>Examples of Use</w:t>
      </w:r>
      <w:bookmarkEnd w:id="498"/>
      <w:bookmarkEnd w:id="499"/>
      <w:bookmarkEnd w:id="500"/>
      <w:bookmarkEnd w:id="501"/>
      <w:bookmarkEnd w:id="502"/>
      <w:bookmarkEnd w:id="503"/>
    </w:p>
    <w:p w:rsidR="00F319A1" w:rsidRPr="004C33D1" w:rsidRDefault="00F319A1" w:rsidP="00F319A1">
      <w:pPr>
        <w:rPr>
          <w:sz w:val="18"/>
          <w:szCs w:val="18"/>
        </w:rPr>
      </w:pPr>
      <w:r>
        <w:t xml:space="preserve">Several previous papers have investigated the impact of Auckland’s Metropolitan Urban Limit (MUL) on land values at the city fringe. </w:t>
      </w:r>
      <w:r w:rsidRPr="004C33D1">
        <w:t>Grimes and Liang (2009) and Zheng (2013) apply several econometric models to identify the MUL boundary discontinuity in land prices, taking into account other factors such as distance to the coast, distance to employment centres, and local demographics.</w:t>
      </w:r>
      <w:r>
        <w:t xml:space="preserve"> </w:t>
      </w:r>
    </w:p>
    <w:p w:rsidR="00F319A1" w:rsidRPr="004C33D1" w:rsidRDefault="00F319A1" w:rsidP="00F319A1">
      <w:r>
        <w:t>In this paper, we replicate their analysis for six New Zealand cities: Auckland, Wellington (including Kapiti Coast), Tauranga, Hamilton, Nelson, and Palmerston North. We also take into account land development</w:t>
      </w:r>
      <w:r w:rsidRPr="004C33D1">
        <w:t xml:space="preserve"> and infrastructure costs</w:t>
      </w:r>
      <w:r>
        <w:t>, which are</w:t>
      </w:r>
      <w:r w:rsidRPr="004C33D1">
        <w:t xml:space="preserve"> </w:t>
      </w:r>
      <w:proofErr w:type="gramStart"/>
      <w:r w:rsidRPr="004C33D1">
        <w:t>important</w:t>
      </w:r>
      <w:proofErr w:type="gramEnd"/>
      <w:r w:rsidRPr="004C33D1">
        <w:t xml:space="preserve"> as land located within the urban boundary is more likely to be subdivided for residential use and / or served by public infrastructure.</w:t>
      </w:r>
    </w:p>
    <w:p w:rsidR="00F319A1" w:rsidRDefault="00F319A1" w:rsidP="00F319A1"/>
    <w:p w:rsidR="005006B0" w:rsidRPr="004C33D1" w:rsidRDefault="005006B0" w:rsidP="00F319A1">
      <w:r>
        <w:fldChar w:fldCharType="begin"/>
      </w:r>
      <w:r>
        <w:instrText xml:space="preserve"> REF _Ref462581276 \h </w:instrText>
      </w:r>
      <w:r>
        <w:fldChar w:fldCharType="separate"/>
      </w:r>
      <w:r w:rsidR="004D1DDA" w:rsidRPr="004C33D1">
        <w:t xml:space="preserve">Table </w:t>
      </w:r>
      <w:r w:rsidR="004D1DDA">
        <w:rPr>
          <w:noProof/>
        </w:rPr>
        <w:t>31</w:t>
      </w:r>
      <w:r>
        <w:fldChar w:fldCharType="end"/>
      </w:r>
      <w:r>
        <w:t xml:space="preserve"> </w:t>
      </w:r>
      <w:r w:rsidR="00F319A1">
        <w:t>provide</w:t>
      </w:r>
      <w:r>
        <w:t>s</w:t>
      </w:r>
      <w:r w:rsidR="00F319A1">
        <w:t xml:space="preserve"> descriptive statistics on average land values inside and outside these cities’ urban boundaries. </w:t>
      </w:r>
    </w:p>
    <w:p w:rsidR="00F319A1" w:rsidRDefault="00F319A1" w:rsidP="00E02811">
      <w:pPr>
        <w:pStyle w:val="Caption"/>
      </w:pPr>
      <w:bookmarkStart w:id="504" w:name="_Ref462581276"/>
      <w:r w:rsidRPr="004C33D1">
        <w:t xml:space="preserve">Table </w:t>
      </w:r>
      <w:r w:rsidRPr="004C33D1">
        <w:fldChar w:fldCharType="begin"/>
      </w:r>
      <w:r w:rsidRPr="004C33D1">
        <w:instrText xml:space="preserve"> SEQ Table \* ARABIC </w:instrText>
      </w:r>
      <w:r w:rsidRPr="004C33D1">
        <w:fldChar w:fldCharType="separate"/>
      </w:r>
      <w:r w:rsidR="004D1DDA">
        <w:rPr>
          <w:noProof/>
        </w:rPr>
        <w:t>31</w:t>
      </w:r>
      <w:r w:rsidRPr="004C33D1">
        <w:fldChar w:fldCharType="end"/>
      </w:r>
      <w:bookmarkEnd w:id="504"/>
      <w:r w:rsidRPr="004C33D1">
        <w:t xml:space="preserve"> </w:t>
      </w:r>
      <w:r>
        <w:t>Descriptive statistics on average land values and section sizes inside and outside urban boundaries</w:t>
      </w:r>
    </w:p>
    <w:tbl>
      <w:tblPr>
        <w:tblStyle w:val="CovecTables"/>
        <w:tblW w:w="5000" w:type="pct"/>
        <w:tblInd w:w="0" w:type="dxa"/>
        <w:tblLayout w:type="fixed"/>
        <w:tblLook w:val="04E0" w:firstRow="1" w:lastRow="1" w:firstColumn="1" w:lastColumn="0" w:noHBand="0" w:noVBand="1"/>
      </w:tblPr>
      <w:tblGrid>
        <w:gridCol w:w="2280"/>
        <w:gridCol w:w="986"/>
        <w:gridCol w:w="1126"/>
        <w:gridCol w:w="127"/>
        <w:gridCol w:w="799"/>
        <w:gridCol w:w="903"/>
        <w:gridCol w:w="847"/>
        <w:gridCol w:w="1153"/>
      </w:tblGrid>
      <w:tr w:rsidR="00823541" w:rsidTr="00021361">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1387" w:type="pct"/>
            <w:noWrap/>
            <w:hideMark/>
          </w:tcPr>
          <w:p w:rsidR="00823541" w:rsidRDefault="00823541" w:rsidP="00021361">
            <w:pPr>
              <w:pStyle w:val="TableText"/>
            </w:pPr>
            <w:r>
              <w:t>City</w:t>
            </w:r>
          </w:p>
        </w:tc>
        <w:tc>
          <w:tcPr>
            <w:tcW w:w="600" w:type="pct"/>
            <w:noWrap/>
            <w:hideMark/>
          </w:tcPr>
          <w:p w:rsidR="00823541" w:rsidRDefault="00823541" w:rsidP="00021361">
            <w:pPr>
              <w:pStyle w:val="TableText"/>
              <w:jc w:val="left"/>
              <w:cnfStyle w:val="100000000000" w:firstRow="1" w:lastRow="0" w:firstColumn="0" w:lastColumn="0" w:oddVBand="0" w:evenVBand="0" w:oddHBand="0" w:evenHBand="0" w:firstRowFirstColumn="0" w:firstRowLastColumn="0" w:lastRowFirstColumn="0" w:lastRowLastColumn="0"/>
            </w:pPr>
            <w:r>
              <w:t>Auckland</w:t>
            </w:r>
          </w:p>
        </w:tc>
        <w:tc>
          <w:tcPr>
            <w:tcW w:w="685" w:type="pct"/>
            <w:noWrap/>
            <w:hideMark/>
          </w:tcPr>
          <w:p w:rsidR="00823541" w:rsidRDefault="00823541" w:rsidP="00021361">
            <w:pPr>
              <w:pStyle w:val="TableText"/>
              <w:jc w:val="left"/>
              <w:cnfStyle w:val="100000000000" w:firstRow="1" w:lastRow="0" w:firstColumn="0" w:lastColumn="0" w:oddVBand="0" w:evenVBand="0" w:oddHBand="0" w:evenHBand="0" w:firstRowFirstColumn="0" w:firstRowLastColumn="0" w:lastRowFirstColumn="0" w:lastRowLastColumn="0"/>
            </w:pPr>
            <w:r>
              <w:t>Wellington</w:t>
            </w:r>
          </w:p>
        </w:tc>
        <w:tc>
          <w:tcPr>
            <w:tcW w:w="563" w:type="pct"/>
            <w:gridSpan w:val="2"/>
            <w:noWrap/>
            <w:hideMark/>
          </w:tcPr>
          <w:p w:rsidR="00823541" w:rsidRDefault="00823541" w:rsidP="00021361">
            <w:pPr>
              <w:pStyle w:val="TableText"/>
              <w:jc w:val="left"/>
              <w:cnfStyle w:val="100000000000" w:firstRow="1" w:lastRow="0" w:firstColumn="0" w:lastColumn="0" w:oddVBand="0" w:evenVBand="0" w:oddHBand="0" w:evenHBand="0" w:firstRowFirstColumn="0" w:firstRowLastColumn="0" w:lastRowFirstColumn="0" w:lastRowLastColumn="0"/>
            </w:pPr>
            <w:r>
              <w:t>Tauranga</w:t>
            </w:r>
          </w:p>
        </w:tc>
        <w:tc>
          <w:tcPr>
            <w:tcW w:w="549" w:type="pct"/>
            <w:noWrap/>
            <w:hideMark/>
          </w:tcPr>
          <w:p w:rsidR="00823541" w:rsidRDefault="00823541" w:rsidP="00021361">
            <w:pPr>
              <w:pStyle w:val="TableText"/>
              <w:jc w:val="left"/>
              <w:cnfStyle w:val="100000000000" w:firstRow="1" w:lastRow="0" w:firstColumn="0" w:lastColumn="0" w:oddVBand="0" w:evenVBand="0" w:oddHBand="0" w:evenHBand="0" w:firstRowFirstColumn="0" w:firstRowLastColumn="0" w:lastRowFirstColumn="0" w:lastRowLastColumn="0"/>
            </w:pPr>
            <w:r>
              <w:t>Hamilton</w:t>
            </w:r>
          </w:p>
        </w:tc>
        <w:tc>
          <w:tcPr>
            <w:tcW w:w="515" w:type="pct"/>
            <w:noWrap/>
            <w:hideMark/>
          </w:tcPr>
          <w:p w:rsidR="00823541" w:rsidRDefault="00823541" w:rsidP="00021361">
            <w:pPr>
              <w:pStyle w:val="TableText"/>
              <w:jc w:val="left"/>
              <w:cnfStyle w:val="100000000000" w:firstRow="1" w:lastRow="0" w:firstColumn="0" w:lastColumn="0" w:oddVBand="0" w:evenVBand="0" w:oddHBand="0" w:evenHBand="0" w:firstRowFirstColumn="0" w:firstRowLastColumn="0" w:lastRowFirstColumn="0" w:lastRowLastColumn="0"/>
            </w:pPr>
            <w:r>
              <w:t>Nelson</w:t>
            </w:r>
          </w:p>
        </w:tc>
        <w:tc>
          <w:tcPr>
            <w:tcW w:w="701" w:type="pct"/>
            <w:noWrap/>
            <w:hideMark/>
          </w:tcPr>
          <w:p w:rsidR="00823541" w:rsidRDefault="00823541" w:rsidP="00021361">
            <w:pPr>
              <w:pStyle w:val="TableText"/>
              <w:jc w:val="left"/>
              <w:cnfStyle w:val="100000000000" w:firstRow="1" w:lastRow="0" w:firstColumn="0" w:lastColumn="0" w:oddVBand="0" w:evenVBand="0" w:oddHBand="0" w:evenHBand="0" w:firstRowFirstColumn="0" w:firstRowLastColumn="0" w:lastRowFirstColumn="0" w:lastRowLastColumn="0"/>
            </w:pPr>
            <w:r>
              <w:t>Palmerston North</w:t>
            </w:r>
          </w:p>
        </w:tc>
      </w:tr>
      <w:tr w:rsidR="00823541" w:rsidTr="00021361">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2672" w:type="pct"/>
            <w:gridSpan w:val="3"/>
            <w:noWrap/>
            <w:hideMark/>
          </w:tcPr>
          <w:p w:rsidR="00823541" w:rsidRPr="00823541" w:rsidRDefault="00823541" w:rsidP="00021361">
            <w:pPr>
              <w:pStyle w:val="TableText"/>
              <w:rPr>
                <w:b/>
                <w:sz w:val="20"/>
                <w:szCs w:val="20"/>
              </w:rPr>
            </w:pPr>
            <w:r w:rsidRPr="00823541">
              <w:rPr>
                <w:b/>
              </w:rPr>
              <w:t>Weighted average land values ($m/ha)</w:t>
            </w:r>
          </w:p>
        </w:tc>
        <w:tc>
          <w:tcPr>
            <w:tcW w:w="563" w:type="pct"/>
            <w:gridSpan w:val="2"/>
            <w:noWrap/>
            <w:hideMark/>
          </w:tcPr>
          <w:p w:rsidR="00823541" w:rsidRDefault="00823541" w:rsidP="00021361">
            <w:pPr>
              <w:pStyle w:val="TableTex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549" w:type="pct"/>
            <w:noWrap/>
            <w:hideMark/>
          </w:tcPr>
          <w:p w:rsidR="00823541" w:rsidRDefault="00823541" w:rsidP="00021361">
            <w:pPr>
              <w:pStyle w:val="TableTex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515" w:type="pct"/>
            <w:noWrap/>
            <w:hideMark/>
          </w:tcPr>
          <w:p w:rsidR="00823541" w:rsidRDefault="00823541" w:rsidP="00021361">
            <w:pPr>
              <w:pStyle w:val="TableTex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701" w:type="pct"/>
            <w:noWrap/>
            <w:hideMark/>
          </w:tcPr>
          <w:p w:rsidR="00823541" w:rsidRDefault="00823541" w:rsidP="00021361">
            <w:pPr>
              <w:pStyle w:val="TableText"/>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823541" w:rsidRPr="00823541" w:rsidTr="00021361">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1387" w:type="pct"/>
            <w:noWrap/>
            <w:hideMark/>
          </w:tcPr>
          <w:p w:rsidR="00823541" w:rsidRDefault="00823541" w:rsidP="00021361">
            <w:pPr>
              <w:pStyle w:val="TableText"/>
            </w:pPr>
            <w:r>
              <w:t>Inside urban boundary (2km distance)</w:t>
            </w:r>
          </w:p>
        </w:tc>
        <w:tc>
          <w:tcPr>
            <w:tcW w:w="600" w:type="pct"/>
            <w:noWrap/>
            <w:vAlign w:val="bottom"/>
            <w:hideMark/>
          </w:tcPr>
          <w:p w:rsidR="00823541" w:rsidRPr="00823541" w:rsidRDefault="00823541" w:rsidP="00021361">
            <w:pPr>
              <w:pStyle w:val="TableText"/>
              <w:jc w:val="center"/>
              <w:cnfStyle w:val="000000000000" w:firstRow="0" w:lastRow="0" w:firstColumn="0" w:lastColumn="0" w:oddVBand="0" w:evenVBand="0" w:oddHBand="0" w:evenHBand="0" w:firstRowFirstColumn="0" w:firstRowLastColumn="0" w:lastRowFirstColumn="0" w:lastRowLastColumn="0"/>
            </w:pPr>
            <w:r w:rsidRPr="00823541">
              <w:t>$2.90</w:t>
            </w:r>
          </w:p>
        </w:tc>
        <w:tc>
          <w:tcPr>
            <w:tcW w:w="685" w:type="pct"/>
            <w:noWrap/>
            <w:vAlign w:val="bottom"/>
            <w:hideMark/>
          </w:tcPr>
          <w:p w:rsidR="00823541" w:rsidRPr="00823541" w:rsidRDefault="00823541" w:rsidP="00021361">
            <w:pPr>
              <w:pStyle w:val="TableText"/>
              <w:jc w:val="center"/>
              <w:cnfStyle w:val="000000000000" w:firstRow="0" w:lastRow="0" w:firstColumn="0" w:lastColumn="0" w:oddVBand="0" w:evenVBand="0" w:oddHBand="0" w:evenHBand="0" w:firstRowFirstColumn="0" w:firstRowLastColumn="0" w:lastRowFirstColumn="0" w:lastRowLastColumn="0"/>
            </w:pPr>
            <w:r w:rsidRPr="00823541">
              <w:t>$2.92</w:t>
            </w:r>
          </w:p>
        </w:tc>
        <w:tc>
          <w:tcPr>
            <w:tcW w:w="563" w:type="pct"/>
            <w:gridSpan w:val="2"/>
            <w:noWrap/>
            <w:vAlign w:val="bottom"/>
            <w:hideMark/>
          </w:tcPr>
          <w:p w:rsidR="00823541" w:rsidRPr="00823541" w:rsidRDefault="00823541" w:rsidP="00021361">
            <w:pPr>
              <w:pStyle w:val="TableText"/>
              <w:jc w:val="center"/>
              <w:cnfStyle w:val="000000000000" w:firstRow="0" w:lastRow="0" w:firstColumn="0" w:lastColumn="0" w:oddVBand="0" w:evenVBand="0" w:oddHBand="0" w:evenHBand="0" w:firstRowFirstColumn="0" w:firstRowLastColumn="0" w:lastRowFirstColumn="0" w:lastRowLastColumn="0"/>
            </w:pPr>
            <w:r w:rsidRPr="00823541">
              <w:t>$3.07</w:t>
            </w:r>
          </w:p>
        </w:tc>
        <w:tc>
          <w:tcPr>
            <w:tcW w:w="549" w:type="pct"/>
            <w:noWrap/>
            <w:vAlign w:val="bottom"/>
            <w:hideMark/>
          </w:tcPr>
          <w:p w:rsidR="00823541" w:rsidRPr="00823541" w:rsidRDefault="00823541" w:rsidP="00021361">
            <w:pPr>
              <w:pStyle w:val="TableText"/>
              <w:jc w:val="center"/>
              <w:cnfStyle w:val="000000000000" w:firstRow="0" w:lastRow="0" w:firstColumn="0" w:lastColumn="0" w:oddVBand="0" w:evenVBand="0" w:oddHBand="0" w:evenHBand="0" w:firstRowFirstColumn="0" w:firstRowLastColumn="0" w:lastRowFirstColumn="0" w:lastRowLastColumn="0"/>
            </w:pPr>
            <w:r w:rsidRPr="00823541">
              <w:t>$1.40</w:t>
            </w:r>
          </w:p>
        </w:tc>
        <w:tc>
          <w:tcPr>
            <w:tcW w:w="515" w:type="pct"/>
            <w:noWrap/>
            <w:vAlign w:val="bottom"/>
            <w:hideMark/>
          </w:tcPr>
          <w:p w:rsidR="00823541" w:rsidRPr="00823541" w:rsidRDefault="00823541" w:rsidP="00021361">
            <w:pPr>
              <w:pStyle w:val="TableText"/>
              <w:jc w:val="center"/>
              <w:cnfStyle w:val="000000000000" w:firstRow="0" w:lastRow="0" w:firstColumn="0" w:lastColumn="0" w:oddVBand="0" w:evenVBand="0" w:oddHBand="0" w:evenHBand="0" w:firstRowFirstColumn="0" w:firstRowLastColumn="0" w:lastRowFirstColumn="0" w:lastRowLastColumn="0"/>
            </w:pPr>
            <w:r w:rsidRPr="00823541">
              <w:t>$2.40</w:t>
            </w:r>
          </w:p>
        </w:tc>
        <w:tc>
          <w:tcPr>
            <w:tcW w:w="701" w:type="pct"/>
            <w:noWrap/>
            <w:vAlign w:val="bottom"/>
            <w:hideMark/>
          </w:tcPr>
          <w:p w:rsidR="00823541" w:rsidRPr="00823541" w:rsidRDefault="00823541" w:rsidP="00021361">
            <w:pPr>
              <w:pStyle w:val="TableText"/>
              <w:jc w:val="center"/>
              <w:cnfStyle w:val="000000000000" w:firstRow="0" w:lastRow="0" w:firstColumn="0" w:lastColumn="0" w:oddVBand="0" w:evenVBand="0" w:oddHBand="0" w:evenHBand="0" w:firstRowFirstColumn="0" w:firstRowLastColumn="0" w:lastRowFirstColumn="0" w:lastRowLastColumn="0"/>
            </w:pPr>
            <w:r w:rsidRPr="00823541">
              <w:t>$1.82</w:t>
            </w:r>
          </w:p>
        </w:tc>
      </w:tr>
      <w:tr w:rsidR="00823541" w:rsidRPr="00823541" w:rsidTr="00021361">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1387" w:type="pct"/>
            <w:noWrap/>
            <w:hideMark/>
          </w:tcPr>
          <w:p w:rsidR="00823541" w:rsidRDefault="00823541" w:rsidP="00021361">
            <w:pPr>
              <w:pStyle w:val="TableText"/>
            </w:pPr>
            <w:r>
              <w:t>Outside urban boundary (2km distance)</w:t>
            </w:r>
          </w:p>
        </w:tc>
        <w:tc>
          <w:tcPr>
            <w:tcW w:w="600" w:type="pct"/>
            <w:noWrap/>
            <w:vAlign w:val="bottom"/>
            <w:hideMark/>
          </w:tcPr>
          <w:p w:rsidR="00823541" w:rsidRPr="00823541" w:rsidRDefault="00823541" w:rsidP="00021361">
            <w:pPr>
              <w:pStyle w:val="TableText"/>
              <w:jc w:val="center"/>
              <w:cnfStyle w:val="000000000000" w:firstRow="0" w:lastRow="0" w:firstColumn="0" w:lastColumn="0" w:oddVBand="0" w:evenVBand="0" w:oddHBand="0" w:evenHBand="0" w:firstRowFirstColumn="0" w:firstRowLastColumn="0" w:lastRowFirstColumn="0" w:lastRowLastColumn="0"/>
            </w:pPr>
            <w:r w:rsidRPr="00823541">
              <w:t>$0.34</w:t>
            </w:r>
          </w:p>
        </w:tc>
        <w:tc>
          <w:tcPr>
            <w:tcW w:w="685" w:type="pct"/>
            <w:noWrap/>
            <w:vAlign w:val="bottom"/>
            <w:hideMark/>
          </w:tcPr>
          <w:p w:rsidR="00823541" w:rsidRPr="00823541" w:rsidRDefault="00823541" w:rsidP="00021361">
            <w:pPr>
              <w:pStyle w:val="TableText"/>
              <w:jc w:val="center"/>
              <w:cnfStyle w:val="000000000000" w:firstRow="0" w:lastRow="0" w:firstColumn="0" w:lastColumn="0" w:oddVBand="0" w:evenVBand="0" w:oddHBand="0" w:evenHBand="0" w:firstRowFirstColumn="0" w:firstRowLastColumn="0" w:lastRowFirstColumn="0" w:lastRowLastColumn="0"/>
            </w:pPr>
            <w:r w:rsidRPr="00823541">
              <w:t>$0.17</w:t>
            </w:r>
          </w:p>
        </w:tc>
        <w:tc>
          <w:tcPr>
            <w:tcW w:w="563" w:type="pct"/>
            <w:gridSpan w:val="2"/>
            <w:noWrap/>
            <w:vAlign w:val="bottom"/>
            <w:hideMark/>
          </w:tcPr>
          <w:p w:rsidR="00823541" w:rsidRPr="00823541" w:rsidRDefault="00823541" w:rsidP="00021361">
            <w:pPr>
              <w:pStyle w:val="TableText"/>
              <w:jc w:val="center"/>
              <w:cnfStyle w:val="000000000000" w:firstRow="0" w:lastRow="0" w:firstColumn="0" w:lastColumn="0" w:oddVBand="0" w:evenVBand="0" w:oddHBand="0" w:evenHBand="0" w:firstRowFirstColumn="0" w:firstRowLastColumn="0" w:lastRowFirstColumn="0" w:lastRowLastColumn="0"/>
            </w:pPr>
            <w:r w:rsidRPr="00823541">
              <w:t>$0.26</w:t>
            </w:r>
          </w:p>
        </w:tc>
        <w:tc>
          <w:tcPr>
            <w:tcW w:w="549" w:type="pct"/>
            <w:noWrap/>
            <w:vAlign w:val="bottom"/>
            <w:hideMark/>
          </w:tcPr>
          <w:p w:rsidR="00823541" w:rsidRPr="00823541" w:rsidRDefault="00823541" w:rsidP="00021361">
            <w:pPr>
              <w:pStyle w:val="TableText"/>
              <w:jc w:val="center"/>
              <w:cnfStyle w:val="000000000000" w:firstRow="0" w:lastRow="0" w:firstColumn="0" w:lastColumn="0" w:oddVBand="0" w:evenVBand="0" w:oddHBand="0" w:evenHBand="0" w:firstRowFirstColumn="0" w:firstRowLastColumn="0" w:lastRowFirstColumn="0" w:lastRowLastColumn="0"/>
            </w:pPr>
            <w:r w:rsidRPr="00823541">
              <w:t>$0.19</w:t>
            </w:r>
          </w:p>
        </w:tc>
        <w:tc>
          <w:tcPr>
            <w:tcW w:w="515" w:type="pct"/>
            <w:noWrap/>
            <w:vAlign w:val="bottom"/>
            <w:hideMark/>
          </w:tcPr>
          <w:p w:rsidR="00823541" w:rsidRPr="00823541" w:rsidRDefault="00823541" w:rsidP="00021361">
            <w:pPr>
              <w:pStyle w:val="TableText"/>
              <w:jc w:val="center"/>
              <w:cnfStyle w:val="000000000000" w:firstRow="0" w:lastRow="0" w:firstColumn="0" w:lastColumn="0" w:oddVBand="0" w:evenVBand="0" w:oddHBand="0" w:evenHBand="0" w:firstRowFirstColumn="0" w:firstRowLastColumn="0" w:lastRowFirstColumn="0" w:lastRowLastColumn="0"/>
            </w:pPr>
            <w:r w:rsidRPr="00823541">
              <w:t>$0.20</w:t>
            </w:r>
          </w:p>
        </w:tc>
        <w:tc>
          <w:tcPr>
            <w:tcW w:w="701" w:type="pct"/>
            <w:noWrap/>
            <w:vAlign w:val="bottom"/>
            <w:hideMark/>
          </w:tcPr>
          <w:p w:rsidR="00823541" w:rsidRPr="00823541" w:rsidRDefault="00823541" w:rsidP="00021361">
            <w:pPr>
              <w:pStyle w:val="TableText"/>
              <w:jc w:val="center"/>
              <w:cnfStyle w:val="000000000000" w:firstRow="0" w:lastRow="0" w:firstColumn="0" w:lastColumn="0" w:oddVBand="0" w:evenVBand="0" w:oddHBand="0" w:evenHBand="0" w:firstRowFirstColumn="0" w:firstRowLastColumn="0" w:lastRowFirstColumn="0" w:lastRowLastColumn="0"/>
            </w:pPr>
            <w:r w:rsidRPr="00823541">
              <w:t>$0.13</w:t>
            </w:r>
          </w:p>
        </w:tc>
      </w:tr>
      <w:tr w:rsidR="00823541" w:rsidRPr="00823541" w:rsidTr="00021361">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1387" w:type="pct"/>
            <w:tcBorders>
              <w:bottom w:val="single" w:sz="8" w:space="0" w:color="A6A6A6" w:themeColor="background1" w:themeShade="A6"/>
            </w:tcBorders>
            <w:noWrap/>
            <w:hideMark/>
          </w:tcPr>
          <w:p w:rsidR="00823541" w:rsidRDefault="00823541" w:rsidP="00021361">
            <w:pPr>
              <w:pStyle w:val="TableText"/>
            </w:pPr>
            <w:r>
              <w:t>Difference</w:t>
            </w:r>
          </w:p>
        </w:tc>
        <w:tc>
          <w:tcPr>
            <w:tcW w:w="600" w:type="pct"/>
            <w:tcBorders>
              <w:bottom w:val="single" w:sz="8" w:space="0" w:color="A6A6A6" w:themeColor="background1" w:themeShade="A6"/>
            </w:tcBorders>
            <w:noWrap/>
            <w:vAlign w:val="bottom"/>
            <w:hideMark/>
          </w:tcPr>
          <w:p w:rsidR="00823541" w:rsidRPr="00823541" w:rsidRDefault="00823541" w:rsidP="00021361">
            <w:pPr>
              <w:pStyle w:val="TableText"/>
              <w:jc w:val="center"/>
              <w:cnfStyle w:val="000000000000" w:firstRow="0" w:lastRow="0" w:firstColumn="0" w:lastColumn="0" w:oddVBand="0" w:evenVBand="0" w:oddHBand="0" w:evenHBand="0" w:firstRowFirstColumn="0" w:firstRowLastColumn="0" w:lastRowFirstColumn="0" w:lastRowLastColumn="0"/>
            </w:pPr>
            <w:r w:rsidRPr="00823541">
              <w:t>$2.56</w:t>
            </w:r>
          </w:p>
        </w:tc>
        <w:tc>
          <w:tcPr>
            <w:tcW w:w="685" w:type="pct"/>
            <w:tcBorders>
              <w:bottom w:val="single" w:sz="8" w:space="0" w:color="A6A6A6" w:themeColor="background1" w:themeShade="A6"/>
            </w:tcBorders>
            <w:noWrap/>
            <w:vAlign w:val="bottom"/>
            <w:hideMark/>
          </w:tcPr>
          <w:p w:rsidR="00823541" w:rsidRPr="00823541" w:rsidRDefault="00823541" w:rsidP="00021361">
            <w:pPr>
              <w:pStyle w:val="TableText"/>
              <w:jc w:val="center"/>
              <w:cnfStyle w:val="000000000000" w:firstRow="0" w:lastRow="0" w:firstColumn="0" w:lastColumn="0" w:oddVBand="0" w:evenVBand="0" w:oddHBand="0" w:evenHBand="0" w:firstRowFirstColumn="0" w:firstRowLastColumn="0" w:lastRowFirstColumn="0" w:lastRowLastColumn="0"/>
            </w:pPr>
            <w:r w:rsidRPr="00823541">
              <w:t>$2.75</w:t>
            </w:r>
          </w:p>
        </w:tc>
        <w:tc>
          <w:tcPr>
            <w:tcW w:w="563" w:type="pct"/>
            <w:gridSpan w:val="2"/>
            <w:tcBorders>
              <w:bottom w:val="single" w:sz="8" w:space="0" w:color="A6A6A6" w:themeColor="background1" w:themeShade="A6"/>
            </w:tcBorders>
            <w:noWrap/>
            <w:vAlign w:val="bottom"/>
            <w:hideMark/>
          </w:tcPr>
          <w:p w:rsidR="00823541" w:rsidRPr="00823541" w:rsidRDefault="00823541" w:rsidP="00021361">
            <w:pPr>
              <w:pStyle w:val="TableText"/>
              <w:jc w:val="center"/>
              <w:cnfStyle w:val="000000000000" w:firstRow="0" w:lastRow="0" w:firstColumn="0" w:lastColumn="0" w:oddVBand="0" w:evenVBand="0" w:oddHBand="0" w:evenHBand="0" w:firstRowFirstColumn="0" w:firstRowLastColumn="0" w:lastRowFirstColumn="0" w:lastRowLastColumn="0"/>
            </w:pPr>
            <w:r w:rsidRPr="00823541">
              <w:t>$2.81</w:t>
            </w:r>
          </w:p>
        </w:tc>
        <w:tc>
          <w:tcPr>
            <w:tcW w:w="549" w:type="pct"/>
            <w:tcBorders>
              <w:bottom w:val="single" w:sz="8" w:space="0" w:color="A6A6A6" w:themeColor="background1" w:themeShade="A6"/>
            </w:tcBorders>
            <w:noWrap/>
            <w:vAlign w:val="bottom"/>
            <w:hideMark/>
          </w:tcPr>
          <w:p w:rsidR="00823541" w:rsidRPr="00823541" w:rsidRDefault="00823541" w:rsidP="00021361">
            <w:pPr>
              <w:pStyle w:val="TableText"/>
              <w:jc w:val="center"/>
              <w:cnfStyle w:val="000000000000" w:firstRow="0" w:lastRow="0" w:firstColumn="0" w:lastColumn="0" w:oddVBand="0" w:evenVBand="0" w:oddHBand="0" w:evenHBand="0" w:firstRowFirstColumn="0" w:firstRowLastColumn="0" w:lastRowFirstColumn="0" w:lastRowLastColumn="0"/>
            </w:pPr>
            <w:r w:rsidRPr="00823541">
              <w:t>$1.21</w:t>
            </w:r>
          </w:p>
        </w:tc>
        <w:tc>
          <w:tcPr>
            <w:tcW w:w="515" w:type="pct"/>
            <w:tcBorders>
              <w:bottom w:val="single" w:sz="8" w:space="0" w:color="A6A6A6" w:themeColor="background1" w:themeShade="A6"/>
            </w:tcBorders>
            <w:noWrap/>
            <w:vAlign w:val="bottom"/>
            <w:hideMark/>
          </w:tcPr>
          <w:p w:rsidR="00823541" w:rsidRPr="00823541" w:rsidRDefault="00823541" w:rsidP="00021361">
            <w:pPr>
              <w:pStyle w:val="TableText"/>
              <w:jc w:val="center"/>
              <w:cnfStyle w:val="000000000000" w:firstRow="0" w:lastRow="0" w:firstColumn="0" w:lastColumn="0" w:oddVBand="0" w:evenVBand="0" w:oddHBand="0" w:evenHBand="0" w:firstRowFirstColumn="0" w:firstRowLastColumn="0" w:lastRowFirstColumn="0" w:lastRowLastColumn="0"/>
            </w:pPr>
            <w:r w:rsidRPr="00823541">
              <w:t>$2.20</w:t>
            </w:r>
          </w:p>
        </w:tc>
        <w:tc>
          <w:tcPr>
            <w:tcW w:w="701" w:type="pct"/>
            <w:tcBorders>
              <w:bottom w:val="single" w:sz="8" w:space="0" w:color="A6A6A6" w:themeColor="background1" w:themeShade="A6"/>
            </w:tcBorders>
            <w:noWrap/>
            <w:vAlign w:val="bottom"/>
            <w:hideMark/>
          </w:tcPr>
          <w:p w:rsidR="00823541" w:rsidRPr="00823541" w:rsidRDefault="00823541" w:rsidP="00021361">
            <w:pPr>
              <w:pStyle w:val="TableText"/>
              <w:jc w:val="center"/>
              <w:cnfStyle w:val="000000000000" w:firstRow="0" w:lastRow="0" w:firstColumn="0" w:lastColumn="0" w:oddVBand="0" w:evenVBand="0" w:oddHBand="0" w:evenHBand="0" w:firstRowFirstColumn="0" w:firstRowLastColumn="0" w:lastRowFirstColumn="0" w:lastRowLastColumn="0"/>
            </w:pPr>
            <w:r w:rsidRPr="00823541">
              <w:t>$1.69</w:t>
            </w:r>
          </w:p>
        </w:tc>
      </w:tr>
      <w:tr w:rsidR="00823541" w:rsidTr="00021361">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2672" w:type="pct"/>
            <w:gridSpan w:val="3"/>
            <w:tcBorders>
              <w:top w:val="single" w:sz="8" w:space="0" w:color="A6A6A6" w:themeColor="background1" w:themeShade="A6"/>
            </w:tcBorders>
            <w:noWrap/>
            <w:hideMark/>
          </w:tcPr>
          <w:p w:rsidR="00823541" w:rsidRPr="00823541" w:rsidRDefault="00823541" w:rsidP="00021361">
            <w:pPr>
              <w:pStyle w:val="TableText"/>
              <w:rPr>
                <w:b/>
                <w:sz w:val="20"/>
                <w:szCs w:val="20"/>
              </w:rPr>
            </w:pPr>
            <w:r w:rsidRPr="00823541">
              <w:rPr>
                <w:b/>
              </w:rPr>
              <w:t>Weighted average lot size (m</w:t>
            </w:r>
            <w:r w:rsidRPr="00823541">
              <w:rPr>
                <w:b/>
                <w:vertAlign w:val="superscript"/>
              </w:rPr>
              <w:t>2</w:t>
            </w:r>
            <w:r w:rsidRPr="00823541">
              <w:rPr>
                <w:b/>
              </w:rPr>
              <w:t>/section)</w:t>
            </w:r>
          </w:p>
        </w:tc>
        <w:tc>
          <w:tcPr>
            <w:tcW w:w="563" w:type="pct"/>
            <w:gridSpan w:val="2"/>
            <w:tcBorders>
              <w:top w:val="single" w:sz="8" w:space="0" w:color="A6A6A6" w:themeColor="background1" w:themeShade="A6"/>
            </w:tcBorders>
            <w:noWrap/>
            <w:hideMark/>
          </w:tcPr>
          <w:p w:rsidR="00823541" w:rsidRDefault="00823541" w:rsidP="00021361">
            <w:pPr>
              <w:pStyle w:val="TableTex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549" w:type="pct"/>
            <w:tcBorders>
              <w:top w:val="single" w:sz="8" w:space="0" w:color="A6A6A6" w:themeColor="background1" w:themeShade="A6"/>
            </w:tcBorders>
            <w:noWrap/>
            <w:hideMark/>
          </w:tcPr>
          <w:p w:rsidR="00823541" w:rsidRDefault="00823541" w:rsidP="00021361">
            <w:pPr>
              <w:pStyle w:val="TableTex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515" w:type="pct"/>
            <w:tcBorders>
              <w:top w:val="single" w:sz="8" w:space="0" w:color="A6A6A6" w:themeColor="background1" w:themeShade="A6"/>
            </w:tcBorders>
            <w:noWrap/>
            <w:hideMark/>
          </w:tcPr>
          <w:p w:rsidR="00823541" w:rsidRDefault="00823541" w:rsidP="00021361">
            <w:pPr>
              <w:pStyle w:val="TableTex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701" w:type="pct"/>
            <w:tcBorders>
              <w:top w:val="single" w:sz="8" w:space="0" w:color="A6A6A6" w:themeColor="background1" w:themeShade="A6"/>
            </w:tcBorders>
            <w:noWrap/>
            <w:hideMark/>
          </w:tcPr>
          <w:p w:rsidR="00823541" w:rsidRDefault="00823541" w:rsidP="00021361">
            <w:pPr>
              <w:pStyle w:val="TableText"/>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823541" w:rsidTr="00021361">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1387" w:type="pct"/>
            <w:noWrap/>
            <w:hideMark/>
          </w:tcPr>
          <w:p w:rsidR="00823541" w:rsidRDefault="00823541" w:rsidP="00021361">
            <w:pPr>
              <w:pStyle w:val="TableText"/>
            </w:pPr>
            <w:r>
              <w:t>Inside urban boundary (2km distance)</w:t>
            </w:r>
          </w:p>
        </w:tc>
        <w:tc>
          <w:tcPr>
            <w:tcW w:w="600" w:type="pct"/>
            <w:noWrap/>
            <w:hideMark/>
          </w:tcPr>
          <w:p w:rsidR="00823541" w:rsidRDefault="00823541" w:rsidP="00021361">
            <w:pPr>
              <w:pStyle w:val="TableText"/>
              <w:jc w:val="center"/>
              <w:cnfStyle w:val="000000000000" w:firstRow="0" w:lastRow="0" w:firstColumn="0" w:lastColumn="0" w:oddVBand="0" w:evenVBand="0" w:oddHBand="0" w:evenHBand="0" w:firstRowFirstColumn="0" w:firstRowLastColumn="0" w:lastRowFirstColumn="0" w:lastRowLastColumn="0"/>
            </w:pPr>
            <w:r>
              <w:t>1,165</w:t>
            </w:r>
          </w:p>
        </w:tc>
        <w:tc>
          <w:tcPr>
            <w:tcW w:w="685" w:type="pct"/>
            <w:noWrap/>
            <w:hideMark/>
          </w:tcPr>
          <w:p w:rsidR="00823541" w:rsidRDefault="00823541" w:rsidP="00021361">
            <w:pPr>
              <w:pStyle w:val="TableText"/>
              <w:jc w:val="center"/>
              <w:cnfStyle w:val="000000000000" w:firstRow="0" w:lastRow="0" w:firstColumn="0" w:lastColumn="0" w:oddVBand="0" w:evenVBand="0" w:oddHBand="0" w:evenHBand="0" w:firstRowFirstColumn="0" w:firstRowLastColumn="0" w:lastRowFirstColumn="0" w:lastRowLastColumn="0"/>
            </w:pPr>
            <w:r>
              <w:t>754</w:t>
            </w:r>
          </w:p>
        </w:tc>
        <w:tc>
          <w:tcPr>
            <w:tcW w:w="563" w:type="pct"/>
            <w:gridSpan w:val="2"/>
            <w:noWrap/>
            <w:hideMark/>
          </w:tcPr>
          <w:p w:rsidR="00823541" w:rsidRDefault="00823541" w:rsidP="00021361">
            <w:pPr>
              <w:pStyle w:val="TableText"/>
              <w:jc w:val="center"/>
              <w:cnfStyle w:val="000000000000" w:firstRow="0" w:lastRow="0" w:firstColumn="0" w:lastColumn="0" w:oddVBand="0" w:evenVBand="0" w:oddHBand="0" w:evenHBand="0" w:firstRowFirstColumn="0" w:firstRowLastColumn="0" w:lastRowFirstColumn="0" w:lastRowLastColumn="0"/>
            </w:pPr>
            <w:r>
              <w:t>753</w:t>
            </w:r>
          </w:p>
        </w:tc>
        <w:tc>
          <w:tcPr>
            <w:tcW w:w="549" w:type="pct"/>
            <w:noWrap/>
            <w:hideMark/>
          </w:tcPr>
          <w:p w:rsidR="00823541" w:rsidRDefault="00823541" w:rsidP="00021361">
            <w:pPr>
              <w:pStyle w:val="TableText"/>
              <w:jc w:val="center"/>
              <w:cnfStyle w:val="000000000000" w:firstRow="0" w:lastRow="0" w:firstColumn="0" w:lastColumn="0" w:oddVBand="0" w:evenVBand="0" w:oddHBand="0" w:evenHBand="0" w:firstRowFirstColumn="0" w:firstRowLastColumn="0" w:lastRowFirstColumn="0" w:lastRowLastColumn="0"/>
            </w:pPr>
            <w:r>
              <w:t>1,101</w:t>
            </w:r>
          </w:p>
        </w:tc>
        <w:tc>
          <w:tcPr>
            <w:tcW w:w="515" w:type="pct"/>
            <w:noWrap/>
            <w:hideMark/>
          </w:tcPr>
          <w:p w:rsidR="00823541" w:rsidRDefault="00823541" w:rsidP="00021361">
            <w:pPr>
              <w:pStyle w:val="TableText"/>
              <w:jc w:val="center"/>
              <w:cnfStyle w:val="000000000000" w:firstRow="0" w:lastRow="0" w:firstColumn="0" w:lastColumn="0" w:oddVBand="0" w:evenVBand="0" w:oddHBand="0" w:evenHBand="0" w:firstRowFirstColumn="0" w:firstRowLastColumn="0" w:lastRowFirstColumn="0" w:lastRowLastColumn="0"/>
            </w:pPr>
            <w:r>
              <w:t>840</w:t>
            </w:r>
          </w:p>
        </w:tc>
        <w:tc>
          <w:tcPr>
            <w:tcW w:w="701" w:type="pct"/>
            <w:noWrap/>
            <w:hideMark/>
          </w:tcPr>
          <w:p w:rsidR="00823541" w:rsidRDefault="00823541" w:rsidP="00021361">
            <w:pPr>
              <w:pStyle w:val="TableText"/>
              <w:jc w:val="center"/>
              <w:cnfStyle w:val="000000000000" w:firstRow="0" w:lastRow="0" w:firstColumn="0" w:lastColumn="0" w:oddVBand="0" w:evenVBand="0" w:oddHBand="0" w:evenHBand="0" w:firstRowFirstColumn="0" w:firstRowLastColumn="0" w:lastRowFirstColumn="0" w:lastRowLastColumn="0"/>
            </w:pPr>
            <w:r>
              <w:t>862</w:t>
            </w:r>
          </w:p>
        </w:tc>
      </w:tr>
      <w:tr w:rsidR="00823541" w:rsidTr="00021361">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1387" w:type="pct"/>
            <w:tcBorders>
              <w:bottom w:val="single" w:sz="8" w:space="0" w:color="A6A6A6" w:themeColor="background1" w:themeShade="A6"/>
            </w:tcBorders>
            <w:noWrap/>
            <w:hideMark/>
          </w:tcPr>
          <w:p w:rsidR="00823541" w:rsidRDefault="00823541" w:rsidP="00021361">
            <w:pPr>
              <w:pStyle w:val="TableText"/>
            </w:pPr>
            <w:r>
              <w:t>Outside urban boundary (2km distance)</w:t>
            </w:r>
          </w:p>
        </w:tc>
        <w:tc>
          <w:tcPr>
            <w:tcW w:w="600" w:type="pct"/>
            <w:tcBorders>
              <w:bottom w:val="single" w:sz="8" w:space="0" w:color="A6A6A6" w:themeColor="background1" w:themeShade="A6"/>
            </w:tcBorders>
            <w:noWrap/>
            <w:hideMark/>
          </w:tcPr>
          <w:p w:rsidR="00823541" w:rsidRDefault="00823541" w:rsidP="00021361">
            <w:pPr>
              <w:pStyle w:val="TableText"/>
              <w:jc w:val="center"/>
              <w:cnfStyle w:val="000000000000" w:firstRow="0" w:lastRow="0" w:firstColumn="0" w:lastColumn="0" w:oddVBand="0" w:evenVBand="0" w:oddHBand="0" w:evenHBand="0" w:firstRowFirstColumn="0" w:firstRowLastColumn="0" w:lastRowFirstColumn="0" w:lastRowLastColumn="0"/>
            </w:pPr>
            <w:r>
              <w:t>16,266</w:t>
            </w:r>
          </w:p>
        </w:tc>
        <w:tc>
          <w:tcPr>
            <w:tcW w:w="685" w:type="pct"/>
            <w:tcBorders>
              <w:bottom w:val="single" w:sz="8" w:space="0" w:color="A6A6A6" w:themeColor="background1" w:themeShade="A6"/>
            </w:tcBorders>
            <w:noWrap/>
            <w:hideMark/>
          </w:tcPr>
          <w:p w:rsidR="00823541" w:rsidRDefault="00823541" w:rsidP="00021361">
            <w:pPr>
              <w:pStyle w:val="TableText"/>
              <w:jc w:val="center"/>
              <w:cnfStyle w:val="000000000000" w:firstRow="0" w:lastRow="0" w:firstColumn="0" w:lastColumn="0" w:oddVBand="0" w:evenVBand="0" w:oddHBand="0" w:evenHBand="0" w:firstRowFirstColumn="0" w:firstRowLastColumn="0" w:lastRowFirstColumn="0" w:lastRowLastColumn="0"/>
            </w:pPr>
            <w:r>
              <w:t>13,866</w:t>
            </w:r>
          </w:p>
        </w:tc>
        <w:tc>
          <w:tcPr>
            <w:tcW w:w="563" w:type="pct"/>
            <w:gridSpan w:val="2"/>
            <w:tcBorders>
              <w:bottom w:val="single" w:sz="8" w:space="0" w:color="A6A6A6" w:themeColor="background1" w:themeShade="A6"/>
            </w:tcBorders>
            <w:noWrap/>
            <w:hideMark/>
          </w:tcPr>
          <w:p w:rsidR="00823541" w:rsidRDefault="00823541" w:rsidP="00021361">
            <w:pPr>
              <w:pStyle w:val="TableText"/>
              <w:jc w:val="center"/>
              <w:cnfStyle w:val="000000000000" w:firstRow="0" w:lastRow="0" w:firstColumn="0" w:lastColumn="0" w:oddVBand="0" w:evenVBand="0" w:oddHBand="0" w:evenHBand="0" w:firstRowFirstColumn="0" w:firstRowLastColumn="0" w:lastRowFirstColumn="0" w:lastRowLastColumn="0"/>
            </w:pPr>
            <w:r>
              <w:t>12,750</w:t>
            </w:r>
          </w:p>
        </w:tc>
        <w:tc>
          <w:tcPr>
            <w:tcW w:w="549" w:type="pct"/>
            <w:tcBorders>
              <w:bottom w:val="single" w:sz="8" w:space="0" w:color="A6A6A6" w:themeColor="background1" w:themeShade="A6"/>
            </w:tcBorders>
            <w:noWrap/>
            <w:hideMark/>
          </w:tcPr>
          <w:p w:rsidR="00823541" w:rsidRDefault="00823541" w:rsidP="00021361">
            <w:pPr>
              <w:pStyle w:val="TableText"/>
              <w:jc w:val="center"/>
              <w:cnfStyle w:val="000000000000" w:firstRow="0" w:lastRow="0" w:firstColumn="0" w:lastColumn="0" w:oddVBand="0" w:evenVBand="0" w:oddHBand="0" w:evenHBand="0" w:firstRowFirstColumn="0" w:firstRowLastColumn="0" w:lastRowFirstColumn="0" w:lastRowLastColumn="0"/>
            </w:pPr>
            <w:r>
              <w:t>14,758</w:t>
            </w:r>
          </w:p>
        </w:tc>
        <w:tc>
          <w:tcPr>
            <w:tcW w:w="515" w:type="pct"/>
            <w:tcBorders>
              <w:bottom w:val="single" w:sz="8" w:space="0" w:color="A6A6A6" w:themeColor="background1" w:themeShade="A6"/>
            </w:tcBorders>
            <w:noWrap/>
            <w:hideMark/>
          </w:tcPr>
          <w:p w:rsidR="00823541" w:rsidRDefault="00823541" w:rsidP="00021361">
            <w:pPr>
              <w:pStyle w:val="TableText"/>
              <w:jc w:val="center"/>
              <w:cnfStyle w:val="000000000000" w:firstRow="0" w:lastRow="0" w:firstColumn="0" w:lastColumn="0" w:oddVBand="0" w:evenVBand="0" w:oddHBand="0" w:evenHBand="0" w:firstRowFirstColumn="0" w:firstRowLastColumn="0" w:lastRowFirstColumn="0" w:lastRowLastColumn="0"/>
            </w:pPr>
            <w:r>
              <w:t>14,192</w:t>
            </w:r>
          </w:p>
        </w:tc>
        <w:tc>
          <w:tcPr>
            <w:tcW w:w="701" w:type="pct"/>
            <w:tcBorders>
              <w:bottom w:val="single" w:sz="8" w:space="0" w:color="A6A6A6" w:themeColor="background1" w:themeShade="A6"/>
            </w:tcBorders>
            <w:noWrap/>
            <w:hideMark/>
          </w:tcPr>
          <w:p w:rsidR="00823541" w:rsidRDefault="00823541" w:rsidP="00021361">
            <w:pPr>
              <w:pStyle w:val="TableText"/>
              <w:jc w:val="center"/>
              <w:cnfStyle w:val="000000000000" w:firstRow="0" w:lastRow="0" w:firstColumn="0" w:lastColumn="0" w:oddVBand="0" w:evenVBand="0" w:oddHBand="0" w:evenHBand="0" w:firstRowFirstColumn="0" w:firstRowLastColumn="0" w:lastRowFirstColumn="0" w:lastRowLastColumn="0"/>
            </w:pPr>
            <w:r>
              <w:t>14,253</w:t>
            </w:r>
          </w:p>
        </w:tc>
      </w:tr>
      <w:tr w:rsidR="00823541" w:rsidTr="00021361">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3235" w:type="pct"/>
            <w:gridSpan w:val="5"/>
            <w:tcBorders>
              <w:top w:val="single" w:sz="8" w:space="0" w:color="A6A6A6" w:themeColor="background1" w:themeShade="A6"/>
            </w:tcBorders>
            <w:noWrap/>
            <w:hideMark/>
          </w:tcPr>
          <w:p w:rsidR="00823541" w:rsidRDefault="00823541" w:rsidP="00021361">
            <w:pPr>
              <w:pStyle w:val="TableText"/>
              <w:rPr>
                <w:sz w:val="20"/>
                <w:szCs w:val="20"/>
              </w:rPr>
            </w:pPr>
            <w:r w:rsidRPr="00823541">
              <w:rPr>
                <w:b/>
              </w:rPr>
              <w:t>Estimated land development costs</w:t>
            </w:r>
          </w:p>
        </w:tc>
        <w:tc>
          <w:tcPr>
            <w:tcW w:w="549" w:type="pct"/>
            <w:tcBorders>
              <w:top w:val="single" w:sz="8" w:space="0" w:color="A6A6A6" w:themeColor="background1" w:themeShade="A6"/>
            </w:tcBorders>
            <w:noWrap/>
            <w:hideMark/>
          </w:tcPr>
          <w:p w:rsidR="00823541" w:rsidRDefault="00823541" w:rsidP="00021361">
            <w:pPr>
              <w:pStyle w:val="TableTex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515" w:type="pct"/>
            <w:tcBorders>
              <w:top w:val="single" w:sz="8" w:space="0" w:color="A6A6A6" w:themeColor="background1" w:themeShade="A6"/>
            </w:tcBorders>
            <w:noWrap/>
            <w:hideMark/>
          </w:tcPr>
          <w:p w:rsidR="00823541" w:rsidRDefault="00823541" w:rsidP="00021361">
            <w:pPr>
              <w:pStyle w:val="TableTex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701" w:type="pct"/>
            <w:tcBorders>
              <w:top w:val="single" w:sz="8" w:space="0" w:color="A6A6A6" w:themeColor="background1" w:themeShade="A6"/>
            </w:tcBorders>
            <w:noWrap/>
            <w:hideMark/>
          </w:tcPr>
          <w:p w:rsidR="00823541" w:rsidRDefault="00823541" w:rsidP="00021361">
            <w:pPr>
              <w:pStyle w:val="TableText"/>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823541" w:rsidTr="00021361">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1387" w:type="pct"/>
            <w:noWrap/>
            <w:hideMark/>
          </w:tcPr>
          <w:p w:rsidR="00823541" w:rsidRDefault="00823541" w:rsidP="005006B0">
            <w:pPr>
              <w:pStyle w:val="TableText"/>
            </w:pPr>
            <w:r>
              <w:t>Costs per site ($</w:t>
            </w:r>
            <w:r w:rsidR="005006B0">
              <w:t>’000</w:t>
            </w:r>
            <w:r>
              <w:t>)</w:t>
            </w:r>
          </w:p>
        </w:tc>
        <w:tc>
          <w:tcPr>
            <w:tcW w:w="600" w:type="pct"/>
            <w:noWrap/>
            <w:hideMark/>
          </w:tcPr>
          <w:p w:rsidR="00823541" w:rsidRDefault="00823541" w:rsidP="005006B0">
            <w:pPr>
              <w:pStyle w:val="TableText"/>
              <w:jc w:val="center"/>
              <w:cnfStyle w:val="000000000000" w:firstRow="0" w:lastRow="0" w:firstColumn="0" w:lastColumn="0" w:oddVBand="0" w:evenVBand="0" w:oddHBand="0" w:evenHBand="0" w:firstRowFirstColumn="0" w:firstRowLastColumn="0" w:lastRowFirstColumn="0" w:lastRowLastColumn="0"/>
            </w:pPr>
            <w:r>
              <w:t>$120</w:t>
            </w:r>
          </w:p>
        </w:tc>
        <w:tc>
          <w:tcPr>
            <w:tcW w:w="762" w:type="pct"/>
            <w:gridSpan w:val="2"/>
            <w:noWrap/>
            <w:hideMark/>
          </w:tcPr>
          <w:p w:rsidR="00823541" w:rsidRDefault="00823541" w:rsidP="005006B0">
            <w:pPr>
              <w:pStyle w:val="TableText"/>
              <w:jc w:val="center"/>
              <w:cnfStyle w:val="000000000000" w:firstRow="0" w:lastRow="0" w:firstColumn="0" w:lastColumn="0" w:oddVBand="0" w:evenVBand="0" w:oddHBand="0" w:evenHBand="0" w:firstRowFirstColumn="0" w:firstRowLastColumn="0" w:lastRowFirstColumn="0" w:lastRowLastColumn="0"/>
            </w:pPr>
            <w:r>
              <w:t>$100</w:t>
            </w:r>
          </w:p>
        </w:tc>
        <w:tc>
          <w:tcPr>
            <w:tcW w:w="486" w:type="pct"/>
            <w:noWrap/>
            <w:hideMark/>
          </w:tcPr>
          <w:p w:rsidR="00823541" w:rsidRDefault="00823541" w:rsidP="005006B0">
            <w:pPr>
              <w:pStyle w:val="TableText"/>
              <w:jc w:val="center"/>
              <w:cnfStyle w:val="000000000000" w:firstRow="0" w:lastRow="0" w:firstColumn="0" w:lastColumn="0" w:oddVBand="0" w:evenVBand="0" w:oddHBand="0" w:evenHBand="0" w:firstRowFirstColumn="0" w:firstRowLastColumn="0" w:lastRowFirstColumn="0" w:lastRowLastColumn="0"/>
            </w:pPr>
            <w:r>
              <w:t>$120</w:t>
            </w:r>
          </w:p>
        </w:tc>
        <w:tc>
          <w:tcPr>
            <w:tcW w:w="549" w:type="pct"/>
            <w:noWrap/>
            <w:hideMark/>
          </w:tcPr>
          <w:p w:rsidR="00823541" w:rsidRDefault="00823541" w:rsidP="005006B0">
            <w:pPr>
              <w:pStyle w:val="TableText"/>
              <w:jc w:val="center"/>
              <w:cnfStyle w:val="000000000000" w:firstRow="0" w:lastRow="0" w:firstColumn="0" w:lastColumn="0" w:oddVBand="0" w:evenVBand="0" w:oddHBand="0" w:evenHBand="0" w:firstRowFirstColumn="0" w:firstRowLastColumn="0" w:lastRowFirstColumn="0" w:lastRowLastColumn="0"/>
            </w:pPr>
            <w:r>
              <w:t>$100</w:t>
            </w:r>
          </w:p>
        </w:tc>
        <w:tc>
          <w:tcPr>
            <w:tcW w:w="515" w:type="pct"/>
            <w:noWrap/>
            <w:hideMark/>
          </w:tcPr>
          <w:p w:rsidR="00823541" w:rsidRDefault="00823541" w:rsidP="005006B0">
            <w:pPr>
              <w:pStyle w:val="TableText"/>
              <w:jc w:val="center"/>
              <w:cnfStyle w:val="000000000000" w:firstRow="0" w:lastRow="0" w:firstColumn="0" w:lastColumn="0" w:oddVBand="0" w:evenVBand="0" w:oddHBand="0" w:evenHBand="0" w:firstRowFirstColumn="0" w:firstRowLastColumn="0" w:lastRowFirstColumn="0" w:lastRowLastColumn="0"/>
            </w:pPr>
            <w:r>
              <w:t>$100</w:t>
            </w:r>
          </w:p>
        </w:tc>
        <w:tc>
          <w:tcPr>
            <w:tcW w:w="701" w:type="pct"/>
            <w:noWrap/>
            <w:hideMark/>
          </w:tcPr>
          <w:p w:rsidR="00823541" w:rsidRDefault="00823541" w:rsidP="005006B0">
            <w:pPr>
              <w:pStyle w:val="TableText"/>
              <w:jc w:val="center"/>
              <w:cnfStyle w:val="000000000000" w:firstRow="0" w:lastRow="0" w:firstColumn="0" w:lastColumn="0" w:oddVBand="0" w:evenVBand="0" w:oddHBand="0" w:evenHBand="0" w:firstRowFirstColumn="0" w:firstRowLastColumn="0" w:lastRowFirstColumn="0" w:lastRowLastColumn="0"/>
            </w:pPr>
            <w:r>
              <w:t>$100</w:t>
            </w:r>
          </w:p>
        </w:tc>
      </w:tr>
      <w:tr w:rsidR="00823541" w:rsidTr="00021361">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1387" w:type="pct"/>
            <w:noWrap/>
            <w:hideMark/>
          </w:tcPr>
          <w:p w:rsidR="00823541" w:rsidRDefault="00823541" w:rsidP="00021361">
            <w:pPr>
              <w:pStyle w:val="TableText"/>
            </w:pPr>
            <w:r>
              <w:t>Total costs ($m/ha)</w:t>
            </w:r>
          </w:p>
        </w:tc>
        <w:tc>
          <w:tcPr>
            <w:tcW w:w="600" w:type="pct"/>
            <w:noWrap/>
            <w:vAlign w:val="bottom"/>
            <w:hideMark/>
          </w:tcPr>
          <w:p w:rsidR="00823541" w:rsidRPr="00823541" w:rsidRDefault="00823541" w:rsidP="00021361">
            <w:pPr>
              <w:pStyle w:val="TableText"/>
              <w:jc w:val="center"/>
              <w:cnfStyle w:val="000000000000" w:firstRow="0" w:lastRow="0" w:firstColumn="0" w:lastColumn="0" w:oddVBand="0" w:evenVBand="0" w:oddHBand="0" w:evenHBand="0" w:firstRowFirstColumn="0" w:firstRowLastColumn="0" w:lastRowFirstColumn="0" w:lastRowLastColumn="0"/>
            </w:pPr>
            <w:r w:rsidRPr="00823541">
              <w:t>$0.96</w:t>
            </w:r>
          </w:p>
        </w:tc>
        <w:tc>
          <w:tcPr>
            <w:tcW w:w="762" w:type="pct"/>
            <w:gridSpan w:val="2"/>
            <w:noWrap/>
            <w:vAlign w:val="bottom"/>
            <w:hideMark/>
          </w:tcPr>
          <w:p w:rsidR="00823541" w:rsidRPr="00823541" w:rsidRDefault="00823541" w:rsidP="00021361">
            <w:pPr>
              <w:pStyle w:val="TableText"/>
              <w:jc w:val="center"/>
              <w:cnfStyle w:val="000000000000" w:firstRow="0" w:lastRow="0" w:firstColumn="0" w:lastColumn="0" w:oddVBand="0" w:evenVBand="0" w:oddHBand="0" w:evenHBand="0" w:firstRowFirstColumn="0" w:firstRowLastColumn="0" w:lastRowFirstColumn="0" w:lastRowLastColumn="0"/>
            </w:pPr>
            <w:r w:rsidRPr="00823541">
              <w:t>$1.25</w:t>
            </w:r>
          </w:p>
        </w:tc>
        <w:tc>
          <w:tcPr>
            <w:tcW w:w="486" w:type="pct"/>
            <w:noWrap/>
            <w:vAlign w:val="bottom"/>
            <w:hideMark/>
          </w:tcPr>
          <w:p w:rsidR="00823541" w:rsidRPr="00823541" w:rsidRDefault="00823541" w:rsidP="00021361">
            <w:pPr>
              <w:pStyle w:val="TableText"/>
              <w:jc w:val="center"/>
              <w:cnfStyle w:val="000000000000" w:firstRow="0" w:lastRow="0" w:firstColumn="0" w:lastColumn="0" w:oddVBand="0" w:evenVBand="0" w:oddHBand="0" w:evenHBand="0" w:firstRowFirstColumn="0" w:firstRowLastColumn="0" w:lastRowFirstColumn="0" w:lastRowLastColumn="0"/>
            </w:pPr>
            <w:r w:rsidRPr="00823541">
              <w:t>$1.50</w:t>
            </w:r>
          </w:p>
        </w:tc>
        <w:tc>
          <w:tcPr>
            <w:tcW w:w="549" w:type="pct"/>
            <w:noWrap/>
            <w:vAlign w:val="bottom"/>
            <w:hideMark/>
          </w:tcPr>
          <w:p w:rsidR="00823541" w:rsidRPr="00823541" w:rsidRDefault="00823541" w:rsidP="00021361">
            <w:pPr>
              <w:pStyle w:val="TableText"/>
              <w:jc w:val="center"/>
              <w:cnfStyle w:val="000000000000" w:firstRow="0" w:lastRow="0" w:firstColumn="0" w:lastColumn="0" w:oddVBand="0" w:evenVBand="0" w:oddHBand="0" w:evenHBand="0" w:firstRowFirstColumn="0" w:firstRowLastColumn="0" w:lastRowFirstColumn="0" w:lastRowLastColumn="0"/>
            </w:pPr>
            <w:r w:rsidRPr="00823541">
              <w:t>$0.84</w:t>
            </w:r>
          </w:p>
        </w:tc>
        <w:tc>
          <w:tcPr>
            <w:tcW w:w="515" w:type="pct"/>
            <w:noWrap/>
            <w:vAlign w:val="bottom"/>
            <w:hideMark/>
          </w:tcPr>
          <w:p w:rsidR="00823541" w:rsidRPr="00823541" w:rsidRDefault="00823541" w:rsidP="00021361">
            <w:pPr>
              <w:pStyle w:val="TableText"/>
              <w:jc w:val="center"/>
              <w:cnfStyle w:val="000000000000" w:firstRow="0" w:lastRow="0" w:firstColumn="0" w:lastColumn="0" w:oddVBand="0" w:evenVBand="0" w:oddHBand="0" w:evenHBand="0" w:firstRowFirstColumn="0" w:firstRowLastColumn="0" w:lastRowFirstColumn="0" w:lastRowLastColumn="0"/>
            </w:pPr>
            <w:r w:rsidRPr="00823541">
              <w:t>$1.12</w:t>
            </w:r>
          </w:p>
        </w:tc>
        <w:tc>
          <w:tcPr>
            <w:tcW w:w="701" w:type="pct"/>
            <w:noWrap/>
            <w:vAlign w:val="bottom"/>
            <w:hideMark/>
          </w:tcPr>
          <w:p w:rsidR="00823541" w:rsidRPr="00823541" w:rsidRDefault="00823541" w:rsidP="00021361">
            <w:pPr>
              <w:pStyle w:val="TableText"/>
              <w:jc w:val="center"/>
              <w:cnfStyle w:val="000000000000" w:firstRow="0" w:lastRow="0" w:firstColumn="0" w:lastColumn="0" w:oddVBand="0" w:evenVBand="0" w:oddHBand="0" w:evenHBand="0" w:firstRowFirstColumn="0" w:firstRowLastColumn="0" w:lastRowFirstColumn="0" w:lastRowLastColumn="0"/>
            </w:pPr>
            <w:r w:rsidRPr="00823541">
              <w:t>$1.09</w:t>
            </w:r>
          </w:p>
        </w:tc>
      </w:tr>
      <w:tr w:rsidR="00823541" w:rsidTr="00021361">
        <w:tblPrEx>
          <w:tblCellMar>
            <w:top w:w="0" w:type="dxa"/>
            <w:left w:w="0" w:type="dxa"/>
            <w:bottom w:w="0" w:type="dxa"/>
            <w:right w:w="0" w:type="dxa"/>
          </w:tblCellMar>
        </w:tblPrEx>
        <w:trPr>
          <w:cnfStyle w:val="010000000000" w:firstRow="0" w:lastRow="1" w:firstColumn="0" w:lastColumn="0" w:oddVBand="0" w:evenVBand="0" w:oddHBand="0" w:evenHBand="0" w:firstRowFirstColumn="0" w:firstRowLastColumn="0" w:lastRowFirstColumn="0" w:lastRowLastColumn="0"/>
          <w:trHeight w:val="640"/>
        </w:trPr>
        <w:tc>
          <w:tcPr>
            <w:cnfStyle w:val="001000000001" w:firstRow="0" w:lastRow="0" w:firstColumn="1" w:lastColumn="0" w:oddVBand="0" w:evenVBand="0" w:oddHBand="0" w:evenHBand="0" w:firstRowFirstColumn="0" w:firstRowLastColumn="0" w:lastRowFirstColumn="1" w:lastRowLastColumn="0"/>
            <w:tcW w:w="1387" w:type="pct"/>
            <w:hideMark/>
          </w:tcPr>
          <w:p w:rsidR="00823541" w:rsidRDefault="00823541" w:rsidP="00021361">
            <w:pPr>
              <w:pStyle w:val="TableText"/>
            </w:pPr>
            <w:r>
              <w:t>Share of price discontinuity "explained" by land development costs</w:t>
            </w:r>
          </w:p>
        </w:tc>
        <w:tc>
          <w:tcPr>
            <w:tcW w:w="600" w:type="pct"/>
            <w:noWrap/>
            <w:hideMark/>
          </w:tcPr>
          <w:p w:rsidR="00823541" w:rsidRDefault="00823541" w:rsidP="00021361">
            <w:pPr>
              <w:pStyle w:val="TableText"/>
              <w:jc w:val="center"/>
              <w:cnfStyle w:val="010000000000" w:firstRow="0" w:lastRow="1" w:firstColumn="0" w:lastColumn="0" w:oddVBand="0" w:evenVBand="0" w:oddHBand="0" w:evenHBand="0" w:firstRowFirstColumn="0" w:firstRowLastColumn="0" w:lastRowFirstColumn="0" w:lastRowLastColumn="0"/>
            </w:pPr>
            <w:r>
              <w:t>37%</w:t>
            </w:r>
          </w:p>
        </w:tc>
        <w:tc>
          <w:tcPr>
            <w:tcW w:w="762" w:type="pct"/>
            <w:gridSpan w:val="2"/>
            <w:noWrap/>
            <w:hideMark/>
          </w:tcPr>
          <w:p w:rsidR="00823541" w:rsidRDefault="00823541" w:rsidP="00021361">
            <w:pPr>
              <w:pStyle w:val="TableText"/>
              <w:jc w:val="center"/>
              <w:cnfStyle w:val="010000000000" w:firstRow="0" w:lastRow="1" w:firstColumn="0" w:lastColumn="0" w:oddVBand="0" w:evenVBand="0" w:oddHBand="0" w:evenHBand="0" w:firstRowFirstColumn="0" w:firstRowLastColumn="0" w:lastRowFirstColumn="0" w:lastRowLastColumn="0"/>
            </w:pPr>
            <w:r>
              <w:t>46%</w:t>
            </w:r>
          </w:p>
        </w:tc>
        <w:tc>
          <w:tcPr>
            <w:tcW w:w="486" w:type="pct"/>
            <w:noWrap/>
            <w:hideMark/>
          </w:tcPr>
          <w:p w:rsidR="00823541" w:rsidRDefault="00823541" w:rsidP="00021361">
            <w:pPr>
              <w:pStyle w:val="TableText"/>
              <w:jc w:val="center"/>
              <w:cnfStyle w:val="010000000000" w:firstRow="0" w:lastRow="1" w:firstColumn="0" w:lastColumn="0" w:oddVBand="0" w:evenVBand="0" w:oddHBand="0" w:evenHBand="0" w:firstRowFirstColumn="0" w:firstRowLastColumn="0" w:lastRowFirstColumn="0" w:lastRowLastColumn="0"/>
            </w:pPr>
            <w:r>
              <w:t>53%</w:t>
            </w:r>
          </w:p>
        </w:tc>
        <w:tc>
          <w:tcPr>
            <w:tcW w:w="549" w:type="pct"/>
            <w:noWrap/>
            <w:hideMark/>
          </w:tcPr>
          <w:p w:rsidR="00823541" w:rsidRDefault="00823541" w:rsidP="00021361">
            <w:pPr>
              <w:pStyle w:val="TableText"/>
              <w:jc w:val="center"/>
              <w:cnfStyle w:val="010000000000" w:firstRow="0" w:lastRow="1" w:firstColumn="0" w:lastColumn="0" w:oddVBand="0" w:evenVBand="0" w:oddHBand="0" w:evenHBand="0" w:firstRowFirstColumn="0" w:firstRowLastColumn="0" w:lastRowFirstColumn="0" w:lastRowLastColumn="0"/>
            </w:pPr>
            <w:r>
              <w:t>70%</w:t>
            </w:r>
          </w:p>
        </w:tc>
        <w:tc>
          <w:tcPr>
            <w:tcW w:w="515" w:type="pct"/>
            <w:noWrap/>
            <w:hideMark/>
          </w:tcPr>
          <w:p w:rsidR="00823541" w:rsidRDefault="00823541" w:rsidP="00021361">
            <w:pPr>
              <w:pStyle w:val="TableText"/>
              <w:jc w:val="center"/>
              <w:cnfStyle w:val="010000000000" w:firstRow="0" w:lastRow="1" w:firstColumn="0" w:lastColumn="0" w:oddVBand="0" w:evenVBand="0" w:oddHBand="0" w:evenHBand="0" w:firstRowFirstColumn="0" w:firstRowLastColumn="0" w:lastRowFirstColumn="0" w:lastRowLastColumn="0"/>
            </w:pPr>
            <w:r>
              <w:t>51%</w:t>
            </w:r>
          </w:p>
        </w:tc>
        <w:tc>
          <w:tcPr>
            <w:tcW w:w="701" w:type="pct"/>
            <w:noWrap/>
            <w:hideMark/>
          </w:tcPr>
          <w:p w:rsidR="00823541" w:rsidRDefault="00823541" w:rsidP="00021361">
            <w:pPr>
              <w:pStyle w:val="TableText"/>
              <w:jc w:val="center"/>
              <w:cnfStyle w:val="010000000000" w:firstRow="0" w:lastRow="1" w:firstColumn="0" w:lastColumn="0" w:oddVBand="0" w:evenVBand="0" w:oddHBand="0" w:evenHBand="0" w:firstRowFirstColumn="0" w:firstRowLastColumn="0" w:lastRowFirstColumn="0" w:lastRowLastColumn="0"/>
            </w:pPr>
            <w:r>
              <w:t>65%</w:t>
            </w:r>
          </w:p>
        </w:tc>
      </w:tr>
    </w:tbl>
    <w:p w:rsidR="005006B0" w:rsidRDefault="005006B0" w:rsidP="005006B0">
      <w:r>
        <w:lastRenderedPageBreak/>
        <w:t>This allows us to identify the difference in average land values (in dollar terms) across the urban boundary. In addition, we also summarise data on average section sizes immediately inside and outside the urban boundary. This enables us to estimate differences in land development costs – for instance, per-hectare land values in an area with average section sizes of 500m</w:t>
      </w:r>
      <w:r w:rsidRPr="00AB0433">
        <w:rPr>
          <w:vertAlign w:val="superscript"/>
        </w:rPr>
        <w:t>2</w:t>
      </w:r>
      <w:r>
        <w:t xml:space="preserve"> (20 sections/ha) would include land development costs for 20 sections. We discuss our approach to estimating land development costs below.</w:t>
      </w:r>
    </w:p>
    <w:p w:rsidR="005006B0" w:rsidRDefault="005006B0" w:rsidP="005006B0"/>
    <w:p w:rsidR="005006B0" w:rsidRDefault="005006B0" w:rsidP="005006B0">
      <w:r>
        <w:t xml:space="preserve">This analysis indicates that, on average, land immediately inside each city’s urban boundary is more valuable than land outside it. These discontinuities are large in some cases, in the range of $1-3 million per hectare. However, in all cases, a significant share of the difference, although not necessary all, </w:t>
      </w:r>
      <w:proofErr w:type="gramStart"/>
      <w:r>
        <w:t>can be explained</w:t>
      </w:r>
      <w:proofErr w:type="gramEnd"/>
      <w:r>
        <w:t xml:space="preserve"> by land development costs. Land development costs make up the largest share of the difference in Hamilton (70%) and the smallest in Auckland (37%). </w:t>
      </w:r>
    </w:p>
    <w:p w:rsidR="005006B0" w:rsidRDefault="005006B0" w:rsidP="005006B0"/>
    <w:p w:rsidR="00823541" w:rsidRDefault="005006B0" w:rsidP="00F319A1">
      <w:r>
        <w:t xml:space="preserve">Econometric analysis of land valuation data is a more robust way of assessing the existence and magnitude of price discontinuities at urban boundaries. Our methodology for this analysis is set out below, and key results are summarised in </w:t>
      </w:r>
      <w:r>
        <w:fldChar w:fldCharType="begin"/>
      </w:r>
      <w:r>
        <w:instrText xml:space="preserve"> REF _Ref462581419 \h </w:instrText>
      </w:r>
      <w:r>
        <w:fldChar w:fldCharType="separate"/>
      </w:r>
      <w:r w:rsidR="004D1DDA" w:rsidRPr="004C33D1">
        <w:t xml:space="preserve">Table </w:t>
      </w:r>
      <w:r w:rsidR="004D1DDA">
        <w:rPr>
          <w:noProof/>
        </w:rPr>
        <w:t>32</w:t>
      </w:r>
      <w:r>
        <w:fldChar w:fldCharType="end"/>
      </w:r>
      <w:r>
        <w:t xml:space="preserve">. The top rows report OLS estimates, while the lower rows report estimates from spatial error regression models </w:t>
      </w:r>
      <w:proofErr w:type="gramStart"/>
      <w:r>
        <w:t>that better</w:t>
      </w:r>
      <w:proofErr w:type="gramEnd"/>
      <w:r>
        <w:t xml:space="preserve"> address localised spatial correlations in land values.</w:t>
      </w:r>
    </w:p>
    <w:p w:rsidR="00F319A1" w:rsidRPr="004C33D1" w:rsidRDefault="00F319A1" w:rsidP="00183668">
      <w:pPr>
        <w:pStyle w:val="Caption"/>
        <w:spacing w:after="0"/>
      </w:pPr>
      <w:bookmarkStart w:id="505" w:name="_Ref462581419"/>
      <w:r w:rsidRPr="004C33D1">
        <w:t xml:space="preserve">Table </w:t>
      </w:r>
      <w:r w:rsidRPr="004C33D1">
        <w:fldChar w:fldCharType="begin"/>
      </w:r>
      <w:r w:rsidRPr="004C33D1">
        <w:instrText xml:space="preserve"> SEQ Table \* ARABIC </w:instrText>
      </w:r>
      <w:r w:rsidRPr="004C33D1">
        <w:fldChar w:fldCharType="separate"/>
      </w:r>
      <w:r w:rsidR="004D1DDA">
        <w:rPr>
          <w:noProof/>
        </w:rPr>
        <w:t>32</w:t>
      </w:r>
      <w:r w:rsidRPr="004C33D1">
        <w:fldChar w:fldCharType="end"/>
      </w:r>
      <w:bookmarkEnd w:id="505"/>
      <w:r w:rsidRPr="004C33D1">
        <w:t xml:space="preserve"> </w:t>
      </w:r>
      <w:r>
        <w:t>Econometric estimates of discontinuities in land values</w:t>
      </w:r>
      <w:r w:rsidRPr="004C33D1">
        <w:t xml:space="preserve"> inside and outside of urban boundaries</w:t>
      </w:r>
    </w:p>
    <w:tbl>
      <w:tblPr>
        <w:tblStyle w:val="CovecTables"/>
        <w:tblW w:w="5000" w:type="pct"/>
        <w:tblLayout w:type="fixed"/>
        <w:tblLook w:val="04E0" w:firstRow="1" w:lastRow="1" w:firstColumn="1" w:lastColumn="0" w:noHBand="0" w:noVBand="1"/>
      </w:tblPr>
      <w:tblGrid>
        <w:gridCol w:w="2745"/>
        <w:gridCol w:w="913"/>
        <w:gridCol w:w="913"/>
        <w:gridCol w:w="913"/>
        <w:gridCol w:w="913"/>
        <w:gridCol w:w="839"/>
        <w:gridCol w:w="985"/>
      </w:tblGrid>
      <w:tr w:rsidR="00F319A1" w:rsidTr="00183668">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1670" w:type="pct"/>
            <w:noWrap/>
            <w:hideMark/>
          </w:tcPr>
          <w:p w:rsidR="00F319A1" w:rsidRDefault="00F319A1" w:rsidP="00F319A1">
            <w:pPr>
              <w:pStyle w:val="TableText"/>
            </w:pPr>
          </w:p>
        </w:tc>
        <w:tc>
          <w:tcPr>
            <w:tcW w:w="555" w:type="pct"/>
            <w:noWrap/>
            <w:hideMark/>
          </w:tcPr>
          <w:p w:rsidR="00F319A1" w:rsidRPr="00183668" w:rsidRDefault="00F319A1" w:rsidP="00183668">
            <w:pPr>
              <w:pStyle w:val="TableText"/>
              <w:jc w:val="center"/>
              <w:cnfStyle w:val="100000000000" w:firstRow="1" w:lastRow="0" w:firstColumn="0" w:lastColumn="0" w:oddVBand="0" w:evenVBand="0" w:oddHBand="0" w:evenHBand="0" w:firstRowFirstColumn="0" w:firstRowLastColumn="0" w:lastRowFirstColumn="0" w:lastRowLastColumn="0"/>
              <w:rPr>
                <w:sz w:val="14"/>
                <w:szCs w:val="14"/>
              </w:rPr>
            </w:pPr>
            <w:r w:rsidRPr="00183668">
              <w:rPr>
                <w:sz w:val="14"/>
                <w:szCs w:val="14"/>
              </w:rPr>
              <w:t>Auckland</w:t>
            </w:r>
          </w:p>
        </w:tc>
        <w:tc>
          <w:tcPr>
            <w:tcW w:w="555" w:type="pct"/>
            <w:noWrap/>
            <w:hideMark/>
          </w:tcPr>
          <w:p w:rsidR="00F319A1" w:rsidRPr="00183668" w:rsidRDefault="00F319A1" w:rsidP="00183668">
            <w:pPr>
              <w:pStyle w:val="TableText"/>
              <w:jc w:val="center"/>
              <w:cnfStyle w:val="100000000000" w:firstRow="1" w:lastRow="0" w:firstColumn="0" w:lastColumn="0" w:oddVBand="0" w:evenVBand="0" w:oddHBand="0" w:evenHBand="0" w:firstRowFirstColumn="0" w:firstRowLastColumn="0" w:lastRowFirstColumn="0" w:lastRowLastColumn="0"/>
              <w:rPr>
                <w:sz w:val="14"/>
                <w:szCs w:val="14"/>
              </w:rPr>
            </w:pPr>
            <w:r w:rsidRPr="00183668">
              <w:rPr>
                <w:sz w:val="14"/>
                <w:szCs w:val="14"/>
              </w:rPr>
              <w:t>Wellington</w:t>
            </w:r>
          </w:p>
        </w:tc>
        <w:tc>
          <w:tcPr>
            <w:tcW w:w="555" w:type="pct"/>
            <w:noWrap/>
            <w:hideMark/>
          </w:tcPr>
          <w:p w:rsidR="00F319A1" w:rsidRPr="00183668" w:rsidRDefault="00F319A1" w:rsidP="00183668">
            <w:pPr>
              <w:pStyle w:val="TableText"/>
              <w:jc w:val="center"/>
              <w:cnfStyle w:val="100000000000" w:firstRow="1" w:lastRow="0" w:firstColumn="0" w:lastColumn="0" w:oddVBand="0" w:evenVBand="0" w:oddHBand="0" w:evenHBand="0" w:firstRowFirstColumn="0" w:firstRowLastColumn="0" w:lastRowFirstColumn="0" w:lastRowLastColumn="0"/>
              <w:rPr>
                <w:sz w:val="14"/>
                <w:szCs w:val="14"/>
              </w:rPr>
            </w:pPr>
            <w:r w:rsidRPr="00183668">
              <w:rPr>
                <w:sz w:val="14"/>
                <w:szCs w:val="14"/>
              </w:rPr>
              <w:t>Tauranga</w:t>
            </w:r>
          </w:p>
        </w:tc>
        <w:tc>
          <w:tcPr>
            <w:tcW w:w="555" w:type="pct"/>
            <w:noWrap/>
            <w:hideMark/>
          </w:tcPr>
          <w:p w:rsidR="00F319A1" w:rsidRPr="00183668" w:rsidRDefault="00F319A1" w:rsidP="00183668">
            <w:pPr>
              <w:pStyle w:val="TableText"/>
              <w:jc w:val="center"/>
              <w:cnfStyle w:val="100000000000" w:firstRow="1" w:lastRow="0" w:firstColumn="0" w:lastColumn="0" w:oddVBand="0" w:evenVBand="0" w:oddHBand="0" w:evenHBand="0" w:firstRowFirstColumn="0" w:firstRowLastColumn="0" w:lastRowFirstColumn="0" w:lastRowLastColumn="0"/>
              <w:rPr>
                <w:sz w:val="14"/>
                <w:szCs w:val="14"/>
              </w:rPr>
            </w:pPr>
            <w:r w:rsidRPr="00183668">
              <w:rPr>
                <w:sz w:val="14"/>
                <w:szCs w:val="14"/>
              </w:rPr>
              <w:t>Hamilton</w:t>
            </w:r>
          </w:p>
        </w:tc>
        <w:tc>
          <w:tcPr>
            <w:tcW w:w="510" w:type="pct"/>
            <w:noWrap/>
            <w:hideMark/>
          </w:tcPr>
          <w:p w:rsidR="00F319A1" w:rsidRPr="00183668" w:rsidRDefault="00F319A1" w:rsidP="00183668">
            <w:pPr>
              <w:pStyle w:val="TableText"/>
              <w:jc w:val="center"/>
              <w:cnfStyle w:val="100000000000" w:firstRow="1" w:lastRow="0" w:firstColumn="0" w:lastColumn="0" w:oddVBand="0" w:evenVBand="0" w:oddHBand="0" w:evenHBand="0" w:firstRowFirstColumn="0" w:firstRowLastColumn="0" w:lastRowFirstColumn="0" w:lastRowLastColumn="0"/>
              <w:rPr>
                <w:sz w:val="14"/>
                <w:szCs w:val="14"/>
              </w:rPr>
            </w:pPr>
            <w:r w:rsidRPr="00183668">
              <w:rPr>
                <w:sz w:val="14"/>
                <w:szCs w:val="14"/>
              </w:rPr>
              <w:t>Nelson</w:t>
            </w:r>
          </w:p>
        </w:tc>
        <w:tc>
          <w:tcPr>
            <w:tcW w:w="599" w:type="pct"/>
            <w:noWrap/>
            <w:hideMark/>
          </w:tcPr>
          <w:p w:rsidR="00F319A1" w:rsidRPr="00183668" w:rsidRDefault="00F319A1" w:rsidP="00183668">
            <w:pPr>
              <w:pStyle w:val="TableText"/>
              <w:jc w:val="center"/>
              <w:cnfStyle w:val="100000000000" w:firstRow="1" w:lastRow="0" w:firstColumn="0" w:lastColumn="0" w:oddVBand="0" w:evenVBand="0" w:oddHBand="0" w:evenHBand="0" w:firstRowFirstColumn="0" w:firstRowLastColumn="0" w:lastRowFirstColumn="0" w:lastRowLastColumn="0"/>
              <w:rPr>
                <w:sz w:val="14"/>
                <w:szCs w:val="14"/>
              </w:rPr>
            </w:pPr>
            <w:r w:rsidRPr="00183668">
              <w:rPr>
                <w:sz w:val="14"/>
                <w:szCs w:val="14"/>
              </w:rPr>
              <w:t>Palmerston North</w:t>
            </w:r>
          </w:p>
        </w:tc>
      </w:tr>
      <w:tr w:rsidR="00F319A1" w:rsidTr="00183668">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1670" w:type="pct"/>
            <w:noWrap/>
            <w:hideMark/>
          </w:tcPr>
          <w:p w:rsidR="00F319A1" w:rsidRPr="00F319A1" w:rsidRDefault="00F319A1" w:rsidP="00F319A1">
            <w:pPr>
              <w:pStyle w:val="TableText"/>
              <w:rPr>
                <w:rFonts w:ascii="Calibri" w:hAnsi="Calibri"/>
                <w:b/>
                <w:color w:val="000000"/>
              </w:rPr>
            </w:pPr>
            <w:r w:rsidRPr="00F319A1">
              <w:rPr>
                <w:rFonts w:ascii="Calibri" w:hAnsi="Calibri"/>
                <w:b/>
                <w:color w:val="000000"/>
              </w:rPr>
              <w:t>OLS regression outputs (1)</w:t>
            </w:r>
          </w:p>
        </w:tc>
        <w:tc>
          <w:tcPr>
            <w:tcW w:w="555" w:type="pct"/>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555" w:type="pct"/>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pPr>
          </w:p>
        </w:tc>
        <w:tc>
          <w:tcPr>
            <w:tcW w:w="555" w:type="pct"/>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pPr>
          </w:p>
        </w:tc>
        <w:tc>
          <w:tcPr>
            <w:tcW w:w="555" w:type="pct"/>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pPr>
          </w:p>
        </w:tc>
        <w:tc>
          <w:tcPr>
            <w:tcW w:w="510" w:type="pct"/>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pPr>
          </w:p>
        </w:tc>
        <w:tc>
          <w:tcPr>
            <w:tcW w:w="599" w:type="pct"/>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pPr>
          </w:p>
        </w:tc>
      </w:tr>
      <w:tr w:rsidR="00F319A1" w:rsidTr="00183668">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1670" w:type="pct"/>
            <w:noWrap/>
            <w:hideMark/>
          </w:tcPr>
          <w:p w:rsidR="00F319A1" w:rsidRDefault="00F319A1" w:rsidP="00F319A1">
            <w:pPr>
              <w:pStyle w:val="TableText"/>
              <w:rPr>
                <w:rFonts w:ascii="Calibri" w:hAnsi="Calibri"/>
                <w:color w:val="000000"/>
                <w:sz w:val="24"/>
                <w:szCs w:val="24"/>
              </w:rPr>
            </w:pPr>
            <w:r>
              <w:rPr>
                <w:rFonts w:ascii="Calibri" w:hAnsi="Calibri"/>
                <w:color w:val="000000"/>
              </w:rPr>
              <w:t>Dist_boundary_2 (2km inside boundary)</w:t>
            </w:r>
          </w:p>
        </w:tc>
        <w:tc>
          <w:tcPr>
            <w:tcW w:w="555" w:type="pct"/>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-0.244</w:t>
            </w:r>
          </w:p>
        </w:tc>
        <w:tc>
          <w:tcPr>
            <w:tcW w:w="555" w:type="pct"/>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-0.098</w:t>
            </w:r>
          </w:p>
        </w:tc>
        <w:tc>
          <w:tcPr>
            <w:tcW w:w="555" w:type="pct"/>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-0.862</w:t>
            </w:r>
          </w:p>
        </w:tc>
        <w:tc>
          <w:tcPr>
            <w:tcW w:w="555" w:type="pct"/>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-0.285</w:t>
            </w:r>
          </w:p>
        </w:tc>
        <w:tc>
          <w:tcPr>
            <w:tcW w:w="510" w:type="pct"/>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w:t>
            </w:r>
          </w:p>
        </w:tc>
        <w:tc>
          <w:tcPr>
            <w:tcW w:w="599" w:type="pct"/>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0.129</w:t>
            </w:r>
          </w:p>
        </w:tc>
      </w:tr>
      <w:tr w:rsidR="00F319A1" w:rsidTr="00183668">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1670" w:type="pct"/>
            <w:noWrap/>
            <w:hideMark/>
          </w:tcPr>
          <w:p w:rsidR="00F319A1" w:rsidRDefault="00F319A1" w:rsidP="00F319A1">
            <w:pPr>
              <w:pStyle w:val="TableText"/>
              <w:rPr>
                <w:rFonts w:ascii="Calibri" w:hAnsi="Calibri"/>
                <w:color w:val="000000"/>
              </w:rPr>
            </w:pPr>
            <w:r>
              <w:rPr>
                <w:rFonts w:ascii="Calibri" w:hAnsi="Calibri"/>
                <w:color w:val="000000"/>
              </w:rPr>
              <w:t>Dist_boundary_3 (2km outside boundary)</w:t>
            </w:r>
          </w:p>
        </w:tc>
        <w:tc>
          <w:tcPr>
            <w:tcW w:w="555" w:type="pct"/>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-2.335</w:t>
            </w:r>
          </w:p>
        </w:tc>
        <w:tc>
          <w:tcPr>
            <w:tcW w:w="555" w:type="pct"/>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-1.63</w:t>
            </w:r>
          </w:p>
        </w:tc>
        <w:tc>
          <w:tcPr>
            <w:tcW w:w="555" w:type="pct"/>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-2.721</w:t>
            </w:r>
          </w:p>
        </w:tc>
        <w:tc>
          <w:tcPr>
            <w:tcW w:w="555" w:type="pct"/>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-1.83</w:t>
            </w:r>
          </w:p>
        </w:tc>
        <w:tc>
          <w:tcPr>
            <w:tcW w:w="510" w:type="pct"/>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-2.027</w:t>
            </w:r>
          </w:p>
        </w:tc>
        <w:tc>
          <w:tcPr>
            <w:tcW w:w="599" w:type="pct"/>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-1.756</w:t>
            </w:r>
          </w:p>
        </w:tc>
      </w:tr>
      <w:tr w:rsidR="00F319A1" w:rsidTr="00183668">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1670" w:type="pct"/>
            <w:tcBorders>
              <w:bottom w:val="single" w:sz="8" w:space="0" w:color="A6A6A6" w:themeColor="background1" w:themeShade="A6"/>
            </w:tcBorders>
            <w:noWrap/>
            <w:hideMark/>
          </w:tcPr>
          <w:p w:rsidR="00F319A1" w:rsidRDefault="00F319A1" w:rsidP="00F319A1">
            <w:pPr>
              <w:pStyle w:val="TableText"/>
              <w:rPr>
                <w:rFonts w:ascii="Calibri" w:hAnsi="Calibri"/>
                <w:color w:val="000000"/>
              </w:rPr>
            </w:pPr>
            <w:r>
              <w:rPr>
                <w:rFonts w:ascii="Calibri" w:hAnsi="Calibri"/>
                <w:color w:val="000000"/>
              </w:rPr>
              <w:t>Estimated ratio of land prices (2)</w:t>
            </w:r>
          </w:p>
        </w:tc>
        <w:tc>
          <w:tcPr>
            <w:tcW w:w="555" w:type="pct"/>
            <w:tcBorders>
              <w:bottom w:val="single" w:sz="8" w:space="0" w:color="A6A6A6" w:themeColor="background1" w:themeShade="A6"/>
            </w:tcBorders>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8.1</w:t>
            </w:r>
          </w:p>
        </w:tc>
        <w:tc>
          <w:tcPr>
            <w:tcW w:w="555" w:type="pct"/>
            <w:tcBorders>
              <w:bottom w:val="single" w:sz="8" w:space="0" w:color="A6A6A6" w:themeColor="background1" w:themeShade="A6"/>
            </w:tcBorders>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4.6</w:t>
            </w:r>
          </w:p>
        </w:tc>
        <w:tc>
          <w:tcPr>
            <w:tcW w:w="555" w:type="pct"/>
            <w:tcBorders>
              <w:bottom w:val="single" w:sz="8" w:space="0" w:color="A6A6A6" w:themeColor="background1" w:themeShade="A6"/>
            </w:tcBorders>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6.4</w:t>
            </w:r>
          </w:p>
        </w:tc>
        <w:tc>
          <w:tcPr>
            <w:tcW w:w="555" w:type="pct"/>
            <w:tcBorders>
              <w:bottom w:val="single" w:sz="8" w:space="0" w:color="A6A6A6" w:themeColor="background1" w:themeShade="A6"/>
            </w:tcBorders>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4.7</w:t>
            </w:r>
          </w:p>
        </w:tc>
        <w:tc>
          <w:tcPr>
            <w:tcW w:w="510" w:type="pct"/>
            <w:tcBorders>
              <w:bottom w:val="single" w:sz="8" w:space="0" w:color="A6A6A6" w:themeColor="background1" w:themeShade="A6"/>
            </w:tcBorders>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7.6</w:t>
            </w:r>
          </w:p>
        </w:tc>
        <w:tc>
          <w:tcPr>
            <w:tcW w:w="599" w:type="pct"/>
            <w:tcBorders>
              <w:bottom w:val="single" w:sz="8" w:space="0" w:color="A6A6A6" w:themeColor="background1" w:themeShade="A6"/>
            </w:tcBorders>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6.6</w:t>
            </w:r>
          </w:p>
        </w:tc>
      </w:tr>
      <w:tr w:rsidR="00F319A1" w:rsidTr="00183668">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1670" w:type="pct"/>
            <w:tcBorders>
              <w:top w:val="single" w:sz="8" w:space="0" w:color="A6A6A6" w:themeColor="background1" w:themeShade="A6"/>
            </w:tcBorders>
            <w:noWrap/>
            <w:hideMark/>
          </w:tcPr>
          <w:p w:rsidR="00F319A1" w:rsidRPr="00F319A1" w:rsidRDefault="00F319A1" w:rsidP="00F319A1">
            <w:pPr>
              <w:pStyle w:val="TableText"/>
              <w:rPr>
                <w:rFonts w:ascii="Calibri" w:hAnsi="Calibri"/>
                <w:b/>
                <w:color w:val="000000"/>
              </w:rPr>
            </w:pPr>
            <w:r w:rsidRPr="00F319A1">
              <w:rPr>
                <w:rFonts w:ascii="Calibri" w:hAnsi="Calibri"/>
                <w:b/>
                <w:color w:val="000000"/>
              </w:rPr>
              <w:t>Spatial error regression outputs (1)</w:t>
            </w:r>
          </w:p>
        </w:tc>
        <w:tc>
          <w:tcPr>
            <w:tcW w:w="555" w:type="pct"/>
            <w:tcBorders>
              <w:top w:val="single" w:sz="8" w:space="0" w:color="A6A6A6" w:themeColor="background1" w:themeShade="A6"/>
            </w:tcBorders>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555" w:type="pct"/>
            <w:tcBorders>
              <w:top w:val="single" w:sz="8" w:space="0" w:color="A6A6A6" w:themeColor="background1" w:themeShade="A6"/>
            </w:tcBorders>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pPr>
          </w:p>
        </w:tc>
        <w:tc>
          <w:tcPr>
            <w:tcW w:w="555" w:type="pct"/>
            <w:tcBorders>
              <w:top w:val="single" w:sz="8" w:space="0" w:color="A6A6A6" w:themeColor="background1" w:themeShade="A6"/>
            </w:tcBorders>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pPr>
          </w:p>
        </w:tc>
        <w:tc>
          <w:tcPr>
            <w:tcW w:w="555" w:type="pct"/>
            <w:tcBorders>
              <w:top w:val="single" w:sz="8" w:space="0" w:color="A6A6A6" w:themeColor="background1" w:themeShade="A6"/>
            </w:tcBorders>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pPr>
          </w:p>
        </w:tc>
        <w:tc>
          <w:tcPr>
            <w:tcW w:w="510" w:type="pct"/>
            <w:tcBorders>
              <w:top w:val="single" w:sz="8" w:space="0" w:color="A6A6A6" w:themeColor="background1" w:themeShade="A6"/>
            </w:tcBorders>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pPr>
          </w:p>
        </w:tc>
        <w:tc>
          <w:tcPr>
            <w:tcW w:w="599" w:type="pct"/>
            <w:tcBorders>
              <w:top w:val="single" w:sz="8" w:space="0" w:color="A6A6A6" w:themeColor="background1" w:themeShade="A6"/>
            </w:tcBorders>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pPr>
          </w:p>
        </w:tc>
      </w:tr>
      <w:tr w:rsidR="00F319A1" w:rsidTr="00183668">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1670" w:type="pct"/>
            <w:noWrap/>
            <w:hideMark/>
          </w:tcPr>
          <w:p w:rsidR="00F319A1" w:rsidRDefault="00F319A1" w:rsidP="00F319A1">
            <w:pPr>
              <w:pStyle w:val="TableText"/>
              <w:rPr>
                <w:rFonts w:ascii="Calibri" w:hAnsi="Calibri"/>
                <w:color w:val="000000"/>
                <w:sz w:val="24"/>
                <w:szCs w:val="24"/>
              </w:rPr>
            </w:pPr>
            <w:r>
              <w:rPr>
                <w:rFonts w:ascii="Calibri" w:hAnsi="Calibri"/>
                <w:color w:val="000000"/>
              </w:rPr>
              <w:t>Dist_boundary_2 (2km inside boundary)</w:t>
            </w:r>
          </w:p>
        </w:tc>
        <w:tc>
          <w:tcPr>
            <w:tcW w:w="555" w:type="pct"/>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-0.128</w:t>
            </w:r>
          </w:p>
        </w:tc>
        <w:tc>
          <w:tcPr>
            <w:tcW w:w="555" w:type="pct"/>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0.018</w:t>
            </w:r>
          </w:p>
        </w:tc>
        <w:tc>
          <w:tcPr>
            <w:tcW w:w="555" w:type="pct"/>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-0.562</w:t>
            </w:r>
          </w:p>
        </w:tc>
        <w:tc>
          <w:tcPr>
            <w:tcW w:w="555" w:type="pct"/>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-0.101</w:t>
            </w:r>
          </w:p>
        </w:tc>
        <w:tc>
          <w:tcPr>
            <w:tcW w:w="510" w:type="pct"/>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w:t>
            </w:r>
          </w:p>
        </w:tc>
        <w:tc>
          <w:tcPr>
            <w:tcW w:w="599" w:type="pct"/>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0.179</w:t>
            </w:r>
          </w:p>
        </w:tc>
      </w:tr>
      <w:tr w:rsidR="00F319A1" w:rsidTr="00183668">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1670" w:type="pct"/>
            <w:noWrap/>
            <w:hideMark/>
          </w:tcPr>
          <w:p w:rsidR="00F319A1" w:rsidRDefault="00F319A1" w:rsidP="00F319A1">
            <w:pPr>
              <w:pStyle w:val="TableText"/>
              <w:rPr>
                <w:rFonts w:ascii="Calibri" w:hAnsi="Calibri"/>
                <w:color w:val="000000"/>
              </w:rPr>
            </w:pPr>
            <w:r>
              <w:rPr>
                <w:rFonts w:ascii="Calibri" w:hAnsi="Calibri"/>
                <w:color w:val="000000"/>
              </w:rPr>
              <w:t>Dist_boundary_3 (2km outside boundary)</w:t>
            </w:r>
          </w:p>
        </w:tc>
        <w:tc>
          <w:tcPr>
            <w:tcW w:w="555" w:type="pct"/>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-1.404</w:t>
            </w:r>
          </w:p>
        </w:tc>
        <w:tc>
          <w:tcPr>
            <w:tcW w:w="555" w:type="pct"/>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-1.087</w:t>
            </w:r>
          </w:p>
        </w:tc>
        <w:tc>
          <w:tcPr>
            <w:tcW w:w="555" w:type="pct"/>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-1.83</w:t>
            </w:r>
          </w:p>
        </w:tc>
        <w:tc>
          <w:tcPr>
            <w:tcW w:w="555" w:type="pct"/>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-1.409</w:t>
            </w:r>
          </w:p>
        </w:tc>
        <w:tc>
          <w:tcPr>
            <w:tcW w:w="510" w:type="pct"/>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-1.641</w:t>
            </w:r>
          </w:p>
        </w:tc>
        <w:tc>
          <w:tcPr>
            <w:tcW w:w="599" w:type="pct"/>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-1.258</w:t>
            </w:r>
          </w:p>
        </w:tc>
      </w:tr>
      <w:tr w:rsidR="00F319A1" w:rsidTr="00183668">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1670" w:type="pct"/>
            <w:tcBorders>
              <w:bottom w:val="single" w:sz="8" w:space="0" w:color="A6A6A6" w:themeColor="background1" w:themeShade="A6"/>
            </w:tcBorders>
            <w:noWrap/>
            <w:hideMark/>
          </w:tcPr>
          <w:p w:rsidR="00F319A1" w:rsidRDefault="00F319A1" w:rsidP="00F319A1">
            <w:pPr>
              <w:pStyle w:val="TableText"/>
              <w:rPr>
                <w:rFonts w:ascii="Calibri" w:hAnsi="Calibri"/>
                <w:color w:val="000000"/>
              </w:rPr>
            </w:pPr>
            <w:r>
              <w:rPr>
                <w:rFonts w:ascii="Calibri" w:hAnsi="Calibri"/>
                <w:color w:val="000000"/>
              </w:rPr>
              <w:t>Estimated ratio of land prices (2)</w:t>
            </w:r>
          </w:p>
        </w:tc>
        <w:tc>
          <w:tcPr>
            <w:tcW w:w="555" w:type="pct"/>
            <w:tcBorders>
              <w:bottom w:val="single" w:sz="8" w:space="0" w:color="A6A6A6" w:themeColor="background1" w:themeShade="A6"/>
            </w:tcBorders>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3.6</w:t>
            </w:r>
          </w:p>
        </w:tc>
        <w:tc>
          <w:tcPr>
            <w:tcW w:w="555" w:type="pct"/>
            <w:tcBorders>
              <w:bottom w:val="single" w:sz="8" w:space="0" w:color="A6A6A6" w:themeColor="background1" w:themeShade="A6"/>
            </w:tcBorders>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3.0</w:t>
            </w:r>
          </w:p>
        </w:tc>
        <w:tc>
          <w:tcPr>
            <w:tcW w:w="555" w:type="pct"/>
            <w:tcBorders>
              <w:bottom w:val="single" w:sz="8" w:space="0" w:color="A6A6A6" w:themeColor="background1" w:themeShade="A6"/>
            </w:tcBorders>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3.6</w:t>
            </w:r>
          </w:p>
        </w:tc>
        <w:tc>
          <w:tcPr>
            <w:tcW w:w="555" w:type="pct"/>
            <w:tcBorders>
              <w:bottom w:val="single" w:sz="8" w:space="0" w:color="A6A6A6" w:themeColor="background1" w:themeShade="A6"/>
            </w:tcBorders>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3.7</w:t>
            </w:r>
          </w:p>
        </w:tc>
        <w:tc>
          <w:tcPr>
            <w:tcW w:w="510" w:type="pct"/>
            <w:tcBorders>
              <w:bottom w:val="single" w:sz="8" w:space="0" w:color="A6A6A6" w:themeColor="background1" w:themeShade="A6"/>
            </w:tcBorders>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5.2</w:t>
            </w:r>
          </w:p>
        </w:tc>
        <w:tc>
          <w:tcPr>
            <w:tcW w:w="599" w:type="pct"/>
            <w:tcBorders>
              <w:bottom w:val="single" w:sz="8" w:space="0" w:color="A6A6A6" w:themeColor="background1" w:themeShade="A6"/>
            </w:tcBorders>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4.2</w:t>
            </w:r>
          </w:p>
        </w:tc>
      </w:tr>
      <w:tr w:rsidR="00F319A1" w:rsidTr="00183668">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1670" w:type="pct"/>
            <w:tcBorders>
              <w:top w:val="single" w:sz="8" w:space="0" w:color="A6A6A6" w:themeColor="background1" w:themeShade="A6"/>
            </w:tcBorders>
            <w:noWrap/>
            <w:hideMark/>
          </w:tcPr>
          <w:p w:rsidR="00F319A1" w:rsidRPr="00F319A1" w:rsidRDefault="00F319A1" w:rsidP="00F319A1">
            <w:pPr>
              <w:pStyle w:val="TableText"/>
              <w:rPr>
                <w:rFonts w:ascii="Calibri" w:hAnsi="Calibri"/>
                <w:b/>
                <w:color w:val="000000"/>
              </w:rPr>
            </w:pPr>
            <w:r w:rsidRPr="00F319A1">
              <w:rPr>
                <w:rFonts w:ascii="Calibri" w:hAnsi="Calibri"/>
                <w:b/>
                <w:color w:val="000000"/>
              </w:rPr>
              <w:t>Control variables included in models (3)</w:t>
            </w:r>
          </w:p>
        </w:tc>
        <w:tc>
          <w:tcPr>
            <w:tcW w:w="555" w:type="pct"/>
            <w:tcBorders>
              <w:top w:val="single" w:sz="8" w:space="0" w:color="A6A6A6" w:themeColor="background1" w:themeShade="A6"/>
            </w:tcBorders>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555" w:type="pct"/>
            <w:tcBorders>
              <w:top w:val="single" w:sz="8" w:space="0" w:color="A6A6A6" w:themeColor="background1" w:themeShade="A6"/>
            </w:tcBorders>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pPr>
          </w:p>
        </w:tc>
        <w:tc>
          <w:tcPr>
            <w:tcW w:w="555" w:type="pct"/>
            <w:tcBorders>
              <w:top w:val="single" w:sz="8" w:space="0" w:color="A6A6A6" w:themeColor="background1" w:themeShade="A6"/>
            </w:tcBorders>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pPr>
          </w:p>
        </w:tc>
        <w:tc>
          <w:tcPr>
            <w:tcW w:w="555" w:type="pct"/>
            <w:tcBorders>
              <w:top w:val="single" w:sz="8" w:space="0" w:color="A6A6A6" w:themeColor="background1" w:themeShade="A6"/>
            </w:tcBorders>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pPr>
          </w:p>
        </w:tc>
        <w:tc>
          <w:tcPr>
            <w:tcW w:w="510" w:type="pct"/>
            <w:tcBorders>
              <w:top w:val="single" w:sz="8" w:space="0" w:color="A6A6A6" w:themeColor="background1" w:themeShade="A6"/>
            </w:tcBorders>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pPr>
          </w:p>
        </w:tc>
        <w:tc>
          <w:tcPr>
            <w:tcW w:w="599" w:type="pct"/>
            <w:tcBorders>
              <w:top w:val="single" w:sz="8" w:space="0" w:color="A6A6A6" w:themeColor="background1" w:themeShade="A6"/>
            </w:tcBorders>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pPr>
          </w:p>
        </w:tc>
      </w:tr>
      <w:tr w:rsidR="00F319A1" w:rsidTr="00183668">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1670" w:type="pct"/>
            <w:noWrap/>
            <w:hideMark/>
          </w:tcPr>
          <w:p w:rsidR="00F319A1" w:rsidRDefault="00F319A1" w:rsidP="00F319A1">
            <w:pPr>
              <w:pStyle w:val="TableText"/>
              <w:rPr>
                <w:rFonts w:ascii="Calibri" w:hAnsi="Calibri"/>
                <w:color w:val="000000"/>
                <w:sz w:val="24"/>
                <w:szCs w:val="24"/>
              </w:rPr>
            </w:pPr>
            <w:r>
              <w:rPr>
                <w:rFonts w:ascii="Calibri" w:hAnsi="Calibri"/>
                <w:color w:val="000000"/>
              </w:rPr>
              <w:t>Distance to CBD</w:t>
            </w:r>
          </w:p>
        </w:tc>
        <w:tc>
          <w:tcPr>
            <w:tcW w:w="555" w:type="pct"/>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w:t>
            </w:r>
          </w:p>
        </w:tc>
        <w:tc>
          <w:tcPr>
            <w:tcW w:w="555" w:type="pct"/>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w:t>
            </w:r>
          </w:p>
        </w:tc>
        <w:tc>
          <w:tcPr>
            <w:tcW w:w="555" w:type="pct"/>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w:t>
            </w:r>
          </w:p>
        </w:tc>
        <w:tc>
          <w:tcPr>
            <w:tcW w:w="555" w:type="pct"/>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w:t>
            </w:r>
          </w:p>
        </w:tc>
        <w:tc>
          <w:tcPr>
            <w:tcW w:w="510" w:type="pct"/>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w:t>
            </w:r>
          </w:p>
        </w:tc>
        <w:tc>
          <w:tcPr>
            <w:tcW w:w="599" w:type="pct"/>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w:t>
            </w:r>
          </w:p>
        </w:tc>
      </w:tr>
      <w:tr w:rsidR="00F319A1" w:rsidTr="00183668">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1670" w:type="pct"/>
            <w:noWrap/>
            <w:hideMark/>
          </w:tcPr>
          <w:p w:rsidR="00F319A1" w:rsidRDefault="00F319A1" w:rsidP="00F319A1">
            <w:pPr>
              <w:pStyle w:val="TableText"/>
              <w:rPr>
                <w:rFonts w:ascii="Calibri" w:hAnsi="Calibri"/>
                <w:color w:val="000000"/>
              </w:rPr>
            </w:pPr>
            <w:r>
              <w:rPr>
                <w:rFonts w:ascii="Calibri" w:hAnsi="Calibri"/>
                <w:color w:val="000000"/>
              </w:rPr>
              <w:t>Distance to coast</w:t>
            </w:r>
          </w:p>
        </w:tc>
        <w:tc>
          <w:tcPr>
            <w:tcW w:w="555" w:type="pct"/>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w:t>
            </w:r>
          </w:p>
        </w:tc>
        <w:tc>
          <w:tcPr>
            <w:tcW w:w="555" w:type="pct"/>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w:t>
            </w:r>
          </w:p>
        </w:tc>
        <w:tc>
          <w:tcPr>
            <w:tcW w:w="555" w:type="pct"/>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w:t>
            </w:r>
          </w:p>
        </w:tc>
        <w:tc>
          <w:tcPr>
            <w:tcW w:w="555" w:type="pct"/>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510" w:type="pct"/>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r>
              <w:rPr>
                <w:rFonts w:ascii="Calibri" w:hAnsi="Calibri"/>
                <w:color w:val="000000"/>
              </w:rPr>
              <w:t>Y</w:t>
            </w:r>
          </w:p>
        </w:tc>
        <w:tc>
          <w:tcPr>
            <w:tcW w:w="599" w:type="pct"/>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r>
      <w:tr w:rsidR="00F319A1" w:rsidTr="00183668">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1670" w:type="pct"/>
            <w:noWrap/>
            <w:hideMark/>
          </w:tcPr>
          <w:p w:rsidR="00F319A1" w:rsidRDefault="00F319A1" w:rsidP="00F319A1">
            <w:pPr>
              <w:pStyle w:val="TableText"/>
              <w:rPr>
                <w:rFonts w:ascii="Calibri" w:hAnsi="Calibri"/>
                <w:color w:val="000000"/>
                <w:sz w:val="24"/>
                <w:szCs w:val="24"/>
              </w:rPr>
            </w:pPr>
            <w:r>
              <w:rPr>
                <w:rFonts w:ascii="Calibri" w:hAnsi="Calibri"/>
                <w:color w:val="000000"/>
              </w:rPr>
              <w:t>Distance to sub-regional centres</w:t>
            </w:r>
          </w:p>
        </w:tc>
        <w:tc>
          <w:tcPr>
            <w:tcW w:w="555" w:type="pct"/>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w:t>
            </w:r>
          </w:p>
        </w:tc>
        <w:tc>
          <w:tcPr>
            <w:tcW w:w="555" w:type="pct"/>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w:t>
            </w:r>
          </w:p>
        </w:tc>
        <w:tc>
          <w:tcPr>
            <w:tcW w:w="555" w:type="pct"/>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555" w:type="pct"/>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pPr>
          </w:p>
        </w:tc>
        <w:tc>
          <w:tcPr>
            <w:tcW w:w="510" w:type="pct"/>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pPr>
          </w:p>
        </w:tc>
        <w:tc>
          <w:tcPr>
            <w:tcW w:w="599" w:type="pct"/>
            <w:noWrap/>
            <w:hideMark/>
          </w:tcPr>
          <w:p w:rsidR="00F319A1" w:rsidRDefault="00F319A1" w:rsidP="00183668">
            <w:pPr>
              <w:pStyle w:val="TableText"/>
              <w:jc w:val="center"/>
              <w:cnfStyle w:val="000000000000" w:firstRow="0" w:lastRow="0" w:firstColumn="0" w:lastColumn="0" w:oddVBand="0" w:evenVBand="0" w:oddHBand="0" w:evenHBand="0" w:firstRowFirstColumn="0" w:firstRowLastColumn="0" w:lastRowFirstColumn="0" w:lastRowLastColumn="0"/>
            </w:pPr>
          </w:p>
        </w:tc>
      </w:tr>
      <w:tr w:rsidR="00F319A1" w:rsidTr="00183668">
        <w:tblPrEx>
          <w:tblCellMar>
            <w:top w:w="0" w:type="dxa"/>
            <w:left w:w="0" w:type="dxa"/>
            <w:bottom w:w="0" w:type="dxa"/>
            <w:right w:w="0" w:type="dxa"/>
          </w:tblCellMar>
        </w:tblPrEx>
        <w:trPr>
          <w:cnfStyle w:val="010000000000" w:firstRow="0" w:lastRow="1" w:firstColumn="0" w:lastColumn="0" w:oddVBand="0" w:evenVBand="0" w:oddHBand="0" w:evenHBand="0" w:firstRowFirstColumn="0" w:firstRowLastColumn="0" w:lastRowFirstColumn="0" w:lastRowLastColumn="0"/>
          <w:trHeight w:val="320"/>
        </w:trPr>
        <w:tc>
          <w:tcPr>
            <w:cnfStyle w:val="001000000001" w:firstRow="0" w:lastRow="0" w:firstColumn="1" w:lastColumn="0" w:oddVBand="0" w:evenVBand="0" w:oddHBand="0" w:evenHBand="0" w:firstRowFirstColumn="0" w:firstRowLastColumn="0" w:lastRowFirstColumn="1" w:lastRowLastColumn="0"/>
            <w:tcW w:w="1670" w:type="pct"/>
            <w:noWrap/>
            <w:hideMark/>
          </w:tcPr>
          <w:p w:rsidR="00F319A1" w:rsidRDefault="00F319A1" w:rsidP="00F319A1">
            <w:pPr>
              <w:pStyle w:val="TableText"/>
              <w:rPr>
                <w:rFonts w:ascii="Calibri" w:hAnsi="Calibri"/>
                <w:color w:val="000000"/>
                <w:sz w:val="24"/>
                <w:szCs w:val="24"/>
              </w:rPr>
            </w:pPr>
            <w:r>
              <w:rPr>
                <w:rFonts w:ascii="Calibri" w:hAnsi="Calibri"/>
                <w:color w:val="000000"/>
              </w:rPr>
              <w:t>Territorial authority</w:t>
            </w:r>
          </w:p>
        </w:tc>
        <w:tc>
          <w:tcPr>
            <w:tcW w:w="555" w:type="pct"/>
            <w:noWrap/>
            <w:hideMark/>
          </w:tcPr>
          <w:p w:rsidR="00F319A1" w:rsidRDefault="00F319A1" w:rsidP="00183668">
            <w:pPr>
              <w:pStyle w:val="TableText"/>
              <w:jc w:val="center"/>
              <w:cnfStyle w:val="010000000000" w:firstRow="0" w:lastRow="1" w:firstColumn="0" w:lastColumn="0" w:oddVBand="0" w:evenVBand="0" w:oddHBand="0" w:evenHBand="0" w:firstRowFirstColumn="0" w:firstRowLastColumn="0" w:lastRowFirstColumn="0" w:lastRowLastColumn="0"/>
              <w:rPr>
                <w:rFonts w:ascii="Calibri" w:hAnsi="Calibri"/>
                <w:color w:val="000000"/>
              </w:rPr>
            </w:pPr>
          </w:p>
        </w:tc>
        <w:tc>
          <w:tcPr>
            <w:tcW w:w="555" w:type="pct"/>
            <w:noWrap/>
            <w:hideMark/>
          </w:tcPr>
          <w:p w:rsidR="00F319A1" w:rsidRDefault="00F319A1" w:rsidP="00183668">
            <w:pPr>
              <w:pStyle w:val="TableText"/>
              <w:jc w:val="center"/>
              <w:cnfStyle w:val="010000000000" w:firstRow="0" w:lastRow="1" w:firstColumn="0" w:lastColumn="0" w:oddVBand="0" w:evenVBand="0" w:oddHBand="0" w:evenHBand="0" w:firstRowFirstColumn="0" w:firstRowLastColumn="0" w:lastRowFirstColumn="0" w:lastRowLastColumn="0"/>
              <w:rPr>
                <w:rFonts w:ascii="Calibri" w:hAnsi="Calibri"/>
                <w:color w:val="000000"/>
                <w:sz w:val="24"/>
                <w:szCs w:val="24"/>
              </w:rPr>
            </w:pPr>
            <w:r>
              <w:rPr>
                <w:rFonts w:ascii="Calibri" w:hAnsi="Calibri"/>
                <w:color w:val="000000"/>
              </w:rPr>
              <w:t>Y</w:t>
            </w:r>
          </w:p>
        </w:tc>
        <w:tc>
          <w:tcPr>
            <w:tcW w:w="555" w:type="pct"/>
            <w:noWrap/>
            <w:hideMark/>
          </w:tcPr>
          <w:p w:rsidR="00F319A1" w:rsidRDefault="00F319A1" w:rsidP="00183668">
            <w:pPr>
              <w:pStyle w:val="TableText"/>
              <w:jc w:val="center"/>
              <w:cnfStyle w:val="010000000000" w:firstRow="0" w:lastRow="1"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w:t>
            </w:r>
          </w:p>
        </w:tc>
        <w:tc>
          <w:tcPr>
            <w:tcW w:w="555" w:type="pct"/>
            <w:noWrap/>
            <w:hideMark/>
          </w:tcPr>
          <w:p w:rsidR="00F319A1" w:rsidRDefault="00F319A1" w:rsidP="00183668">
            <w:pPr>
              <w:pStyle w:val="TableText"/>
              <w:jc w:val="center"/>
              <w:cnfStyle w:val="010000000000" w:firstRow="0" w:lastRow="1"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w:t>
            </w:r>
          </w:p>
        </w:tc>
        <w:tc>
          <w:tcPr>
            <w:tcW w:w="510" w:type="pct"/>
            <w:noWrap/>
            <w:hideMark/>
          </w:tcPr>
          <w:p w:rsidR="00F319A1" w:rsidRDefault="00F319A1" w:rsidP="00183668">
            <w:pPr>
              <w:pStyle w:val="TableText"/>
              <w:jc w:val="center"/>
              <w:cnfStyle w:val="010000000000" w:firstRow="0" w:lastRow="1"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w:t>
            </w:r>
          </w:p>
        </w:tc>
        <w:tc>
          <w:tcPr>
            <w:tcW w:w="599" w:type="pct"/>
            <w:noWrap/>
            <w:hideMark/>
          </w:tcPr>
          <w:p w:rsidR="00F319A1" w:rsidRDefault="00F319A1" w:rsidP="00183668">
            <w:pPr>
              <w:pStyle w:val="TableText"/>
              <w:jc w:val="center"/>
              <w:cnfStyle w:val="010000000000" w:firstRow="0" w:lastRow="1"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w:t>
            </w:r>
          </w:p>
        </w:tc>
      </w:tr>
    </w:tbl>
    <w:p w:rsidR="00F319A1" w:rsidRPr="00F319A1" w:rsidRDefault="00F319A1" w:rsidP="0025540B">
      <w:pPr>
        <w:spacing w:line="240" w:lineRule="auto"/>
        <w:rPr>
          <w:sz w:val="18"/>
          <w:szCs w:val="18"/>
        </w:rPr>
      </w:pPr>
      <w:r w:rsidRPr="00F319A1">
        <w:rPr>
          <w:sz w:val="18"/>
          <w:szCs w:val="18"/>
        </w:rPr>
        <w:t>Notes: (1) All coefficients were statistically significant at the 1% level except for the Dist_boundary_2 variable for Palmerston North and Wellington, and the Dist_boundary_2 variable for Hamilton in the spatial error model. This indicates that, in all cases, land immediately outside the urban boundary was valued at a discount relative to land immediately inside.</w:t>
      </w:r>
    </w:p>
    <w:p w:rsidR="00F319A1" w:rsidRPr="00F319A1" w:rsidRDefault="00F319A1" w:rsidP="0025540B">
      <w:pPr>
        <w:spacing w:line="240" w:lineRule="auto"/>
        <w:rPr>
          <w:sz w:val="18"/>
          <w:szCs w:val="18"/>
        </w:rPr>
      </w:pPr>
      <w:r w:rsidRPr="00F319A1">
        <w:rPr>
          <w:sz w:val="18"/>
          <w:szCs w:val="18"/>
        </w:rPr>
        <w:t xml:space="preserve">(2) As land values were log-transformed, this ratio was calculated by taking the exponent of the difference between the coefficients on the Dist_boundary_2 and Dist_boundary_3 variables – eg for Auckland it was calculated as </w:t>
      </w:r>
      <w:proofErr w:type="spellStart"/>
      <w:proofErr w:type="gramStart"/>
      <w:r w:rsidRPr="00F319A1">
        <w:rPr>
          <w:sz w:val="18"/>
          <w:szCs w:val="18"/>
        </w:rPr>
        <w:t>exp</w:t>
      </w:r>
      <w:proofErr w:type="spellEnd"/>
      <w:r w:rsidRPr="00F319A1">
        <w:rPr>
          <w:sz w:val="18"/>
          <w:szCs w:val="18"/>
        </w:rPr>
        <w:t>(</w:t>
      </w:r>
      <w:proofErr w:type="gramEnd"/>
      <w:r w:rsidRPr="00F319A1">
        <w:rPr>
          <w:sz w:val="18"/>
          <w:szCs w:val="18"/>
        </w:rPr>
        <w:t>-0.244-(-2.335)).</w:t>
      </w:r>
    </w:p>
    <w:p w:rsidR="005570ED" w:rsidRPr="00F319A1" w:rsidRDefault="00F319A1" w:rsidP="0025540B">
      <w:pPr>
        <w:spacing w:line="240" w:lineRule="auto"/>
        <w:rPr>
          <w:sz w:val="18"/>
          <w:szCs w:val="18"/>
        </w:rPr>
      </w:pPr>
      <w:r w:rsidRPr="00F319A1">
        <w:rPr>
          <w:sz w:val="18"/>
          <w:szCs w:val="18"/>
        </w:rPr>
        <w:t>(3) Demographic controls were not included in this version of the model. Consistent with Grimes and Liang (2009), we find that they did not have a large impact on the results.</w:t>
      </w:r>
    </w:p>
    <w:p w:rsidR="005006B0" w:rsidRDefault="005006B0" w:rsidP="005006B0">
      <w:r>
        <w:lastRenderedPageBreak/>
        <w:t>This analysis shows that, even after controlling for several other determinants of land values, such as distance to the centre, land immediately outside the urban boundary in all cities was valued at a discount. This indicates that the differences in average land values observed in the above table may reflect a genuine discontinuity rather than varying proximity to urban and natural amenities. However, the magnitude of the discontinuities estimated in these models is smaller than the simple averages reported above.</w:t>
      </w:r>
    </w:p>
    <w:p w:rsidR="005006B0" w:rsidRDefault="005006B0" w:rsidP="005006B0"/>
    <w:p w:rsidR="005006B0" w:rsidRDefault="005006B0" w:rsidP="005006B0">
      <w:r>
        <w:t>The quantitative difference in results between the OLS and spatial error models bears further investigation. While the literature on hedonic analysis of property values generally supports the use of spatial error models, previous research on Auckland’s MUL boundary discontinuity did not find such large differences between results these two types of models.</w:t>
      </w:r>
      <w:r>
        <w:rPr>
          <w:rStyle w:val="FootnoteReference"/>
        </w:rPr>
        <w:footnoteReference w:id="126"/>
      </w:r>
      <w:r>
        <w:t xml:space="preserve"> It is unclear whether this reflects the impact of modelling choices (eg about how to define ‘neighbourhoods’ for </w:t>
      </w:r>
      <w:proofErr w:type="spellStart"/>
      <w:r>
        <w:t>meshblocks</w:t>
      </w:r>
      <w:proofErr w:type="spellEnd"/>
      <w:r>
        <w:t>) or subsequent policy changes.</w:t>
      </w:r>
    </w:p>
    <w:p w:rsidR="005570ED" w:rsidRDefault="005570ED" w:rsidP="005570ED">
      <w:pPr>
        <w:pStyle w:val="Annex2"/>
      </w:pPr>
      <w:bookmarkStart w:id="506" w:name="_Toc462582264"/>
      <w:r>
        <w:t>Modelling land price discontinuities</w:t>
      </w:r>
      <w:bookmarkEnd w:id="506"/>
    </w:p>
    <w:p w:rsidR="005570ED" w:rsidRDefault="005570ED" w:rsidP="005570ED">
      <w:r>
        <w:t>Here, we describe in detail our methodology for modelling land price discontinuities at these cities’ urban boundaries.</w:t>
      </w:r>
    </w:p>
    <w:p w:rsidR="005570ED" w:rsidRDefault="005570ED" w:rsidP="005570ED">
      <w:pPr>
        <w:pStyle w:val="Annex3"/>
      </w:pPr>
      <w:r>
        <w:t>Land valuation data</w:t>
      </w:r>
    </w:p>
    <w:p w:rsidR="005570ED" w:rsidRDefault="005570ED" w:rsidP="005570ED">
      <w:r>
        <w:t xml:space="preserve">This analysis </w:t>
      </w:r>
      <w:proofErr w:type="gramStart"/>
      <w:r>
        <w:t>is based</w:t>
      </w:r>
      <w:proofErr w:type="gramEnd"/>
      <w:r>
        <w:t xml:space="preserve"> on the most recently available land valuation data for six New Zealand urban areas: Auckland, Wellington, Tauranga, Hamilton, Nelson, and Palmerston North. All but one of these urban areas extends into (or abuts) multiple district councils, and as a result it has been necessary to combine valuation data across multiple councils, as summarised in </w:t>
      </w:r>
      <w:r w:rsidR="00183668">
        <w:fldChar w:fldCharType="begin"/>
      </w:r>
      <w:r w:rsidR="00183668">
        <w:instrText xml:space="preserve"> REF _Ref462581751 \h </w:instrText>
      </w:r>
      <w:r w:rsidR="00183668">
        <w:fldChar w:fldCharType="separate"/>
      </w:r>
      <w:r w:rsidR="004D1DDA">
        <w:t xml:space="preserve">Table </w:t>
      </w:r>
      <w:r w:rsidR="004D1DDA">
        <w:rPr>
          <w:noProof/>
        </w:rPr>
        <w:t>33</w:t>
      </w:r>
      <w:r w:rsidR="00183668">
        <w:fldChar w:fldCharType="end"/>
      </w:r>
      <w:r>
        <w:t>.</w:t>
      </w:r>
    </w:p>
    <w:p w:rsidR="005570ED" w:rsidRDefault="00183668" w:rsidP="00183668">
      <w:pPr>
        <w:pStyle w:val="Caption"/>
      </w:pPr>
      <w:bookmarkStart w:id="507" w:name="_Ref462581751"/>
      <w:r>
        <w:t xml:space="preserve">Table </w:t>
      </w:r>
      <w:r>
        <w:fldChar w:fldCharType="begin"/>
      </w:r>
      <w:r>
        <w:instrText xml:space="preserve"> SEQ Table \* ARABIC </w:instrText>
      </w:r>
      <w:r>
        <w:fldChar w:fldCharType="separate"/>
      </w:r>
      <w:r w:rsidR="004D1DDA">
        <w:rPr>
          <w:noProof/>
        </w:rPr>
        <w:t>33</w:t>
      </w:r>
      <w:r>
        <w:fldChar w:fldCharType="end"/>
      </w:r>
      <w:bookmarkEnd w:id="507"/>
      <w:r>
        <w:t xml:space="preserve"> Urban area descriptions</w:t>
      </w:r>
    </w:p>
    <w:tbl>
      <w:tblPr>
        <w:tblStyle w:val="CovecTables"/>
        <w:tblW w:w="0" w:type="auto"/>
        <w:tblLook w:val="04E0" w:firstRow="1" w:lastRow="1" w:firstColumn="1" w:lastColumn="0" w:noHBand="0" w:noVBand="1"/>
      </w:tblPr>
      <w:tblGrid>
        <w:gridCol w:w="1798"/>
        <w:gridCol w:w="6310"/>
      </w:tblGrid>
      <w:tr w:rsidR="005570ED" w:rsidRPr="00F319A1" w:rsidTr="00F319A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75" w:type="dxa"/>
          </w:tcPr>
          <w:p w:rsidR="005570ED" w:rsidRPr="00F319A1" w:rsidRDefault="005570ED" w:rsidP="00F319A1">
            <w:pPr>
              <w:pStyle w:val="TableText"/>
            </w:pPr>
            <w:r w:rsidRPr="00F319A1">
              <w:t>Urban area</w:t>
            </w:r>
          </w:p>
        </w:tc>
        <w:tc>
          <w:tcPr>
            <w:tcW w:w="7375" w:type="dxa"/>
          </w:tcPr>
          <w:p w:rsidR="005570ED" w:rsidRPr="00F319A1" w:rsidRDefault="005570ED" w:rsidP="00F319A1">
            <w:pPr>
              <w:pStyle w:val="TableText"/>
              <w:jc w:val="left"/>
              <w:cnfStyle w:val="100000000000" w:firstRow="1" w:lastRow="0" w:firstColumn="0" w:lastColumn="0" w:oddVBand="0" w:evenVBand="0" w:oddHBand="0" w:evenHBand="0" w:firstRowFirstColumn="0" w:firstRowLastColumn="0" w:lastRowFirstColumn="0" w:lastRowLastColumn="0"/>
            </w:pPr>
            <w:r w:rsidRPr="00F319A1">
              <w:t>District councils included in urban area (and fringe of urban area)</w:t>
            </w:r>
          </w:p>
        </w:tc>
      </w:tr>
      <w:tr w:rsidR="005570ED" w:rsidRPr="00F319A1" w:rsidTr="00F319A1">
        <w:tblPrEx>
          <w:tblCellMar>
            <w:top w:w="0" w:type="dxa"/>
            <w:left w:w="0" w:type="dxa"/>
            <w:bottom w:w="0" w:type="dxa"/>
            <w:right w:w="0" w:type="dxa"/>
          </w:tblCellMar>
        </w:tblPrEx>
        <w:tc>
          <w:tcPr>
            <w:cnfStyle w:val="001000000000" w:firstRow="0" w:lastRow="0" w:firstColumn="1" w:lastColumn="0" w:oddVBand="0" w:evenVBand="0" w:oddHBand="0" w:evenHBand="0" w:firstRowFirstColumn="0" w:firstRowLastColumn="0" w:lastRowFirstColumn="0" w:lastRowLastColumn="0"/>
            <w:tcW w:w="1975" w:type="dxa"/>
          </w:tcPr>
          <w:p w:rsidR="005570ED" w:rsidRPr="00F319A1" w:rsidRDefault="005570ED" w:rsidP="00F319A1">
            <w:pPr>
              <w:pStyle w:val="TableText"/>
            </w:pPr>
            <w:r w:rsidRPr="00F319A1">
              <w:t>Auckland</w:t>
            </w:r>
          </w:p>
        </w:tc>
        <w:tc>
          <w:tcPr>
            <w:tcW w:w="7375" w:type="dxa"/>
          </w:tcPr>
          <w:p w:rsidR="005570ED" w:rsidRPr="00F319A1" w:rsidRDefault="005570ED" w:rsidP="00F319A1">
            <w:pPr>
              <w:pStyle w:val="TableText"/>
              <w:jc w:val="left"/>
              <w:cnfStyle w:val="000000000000" w:firstRow="0" w:lastRow="0" w:firstColumn="0" w:lastColumn="0" w:oddVBand="0" w:evenVBand="0" w:oddHBand="0" w:evenHBand="0" w:firstRowFirstColumn="0" w:firstRowLastColumn="0" w:lastRowFirstColumn="0" w:lastRowLastColumn="0"/>
            </w:pPr>
            <w:r w:rsidRPr="00F319A1">
              <w:t>Auckland</w:t>
            </w:r>
          </w:p>
        </w:tc>
      </w:tr>
      <w:tr w:rsidR="005570ED" w:rsidRPr="00F319A1" w:rsidTr="00F319A1">
        <w:tblPrEx>
          <w:tblCellMar>
            <w:top w:w="0" w:type="dxa"/>
            <w:left w:w="0" w:type="dxa"/>
            <w:bottom w:w="0" w:type="dxa"/>
            <w:right w:w="0" w:type="dxa"/>
          </w:tblCellMar>
        </w:tblPrEx>
        <w:tc>
          <w:tcPr>
            <w:cnfStyle w:val="001000000000" w:firstRow="0" w:lastRow="0" w:firstColumn="1" w:lastColumn="0" w:oddVBand="0" w:evenVBand="0" w:oddHBand="0" w:evenHBand="0" w:firstRowFirstColumn="0" w:firstRowLastColumn="0" w:lastRowFirstColumn="0" w:lastRowLastColumn="0"/>
            <w:tcW w:w="1975" w:type="dxa"/>
          </w:tcPr>
          <w:p w:rsidR="005570ED" w:rsidRPr="00F319A1" w:rsidRDefault="005570ED" w:rsidP="00F319A1">
            <w:pPr>
              <w:pStyle w:val="TableText"/>
            </w:pPr>
            <w:r w:rsidRPr="00F319A1">
              <w:t>Wellington</w:t>
            </w:r>
          </w:p>
        </w:tc>
        <w:tc>
          <w:tcPr>
            <w:tcW w:w="7375" w:type="dxa"/>
          </w:tcPr>
          <w:p w:rsidR="005570ED" w:rsidRPr="00F319A1" w:rsidRDefault="005570ED" w:rsidP="00F319A1">
            <w:pPr>
              <w:pStyle w:val="TableText"/>
              <w:jc w:val="left"/>
              <w:cnfStyle w:val="000000000000" w:firstRow="0" w:lastRow="0" w:firstColumn="0" w:lastColumn="0" w:oddVBand="0" w:evenVBand="0" w:oddHBand="0" w:evenHBand="0" w:firstRowFirstColumn="0" w:firstRowLastColumn="0" w:lastRowFirstColumn="0" w:lastRowLastColumn="0"/>
            </w:pPr>
            <w:r w:rsidRPr="00F319A1">
              <w:t>Wellington City, Lower Hutt City, Upper Hutt City, Porirua City, Kapiti Coast District</w:t>
            </w:r>
          </w:p>
        </w:tc>
      </w:tr>
      <w:tr w:rsidR="005570ED" w:rsidRPr="00F319A1" w:rsidTr="00F319A1">
        <w:tblPrEx>
          <w:tblCellMar>
            <w:top w:w="0" w:type="dxa"/>
            <w:left w:w="0" w:type="dxa"/>
            <w:bottom w:w="0" w:type="dxa"/>
            <w:right w:w="0" w:type="dxa"/>
          </w:tblCellMar>
        </w:tblPrEx>
        <w:tc>
          <w:tcPr>
            <w:cnfStyle w:val="001000000000" w:firstRow="0" w:lastRow="0" w:firstColumn="1" w:lastColumn="0" w:oddVBand="0" w:evenVBand="0" w:oddHBand="0" w:evenHBand="0" w:firstRowFirstColumn="0" w:firstRowLastColumn="0" w:lastRowFirstColumn="0" w:lastRowLastColumn="0"/>
            <w:tcW w:w="1975" w:type="dxa"/>
          </w:tcPr>
          <w:p w:rsidR="005570ED" w:rsidRPr="00F319A1" w:rsidRDefault="005570ED" w:rsidP="00F319A1">
            <w:pPr>
              <w:pStyle w:val="TableText"/>
            </w:pPr>
            <w:r w:rsidRPr="00F319A1">
              <w:t>Tauranga</w:t>
            </w:r>
          </w:p>
        </w:tc>
        <w:tc>
          <w:tcPr>
            <w:tcW w:w="7375" w:type="dxa"/>
          </w:tcPr>
          <w:p w:rsidR="005570ED" w:rsidRPr="00F319A1" w:rsidRDefault="005570ED" w:rsidP="00F319A1">
            <w:pPr>
              <w:pStyle w:val="TableText"/>
              <w:jc w:val="left"/>
              <w:cnfStyle w:val="000000000000" w:firstRow="0" w:lastRow="0" w:firstColumn="0" w:lastColumn="0" w:oddVBand="0" w:evenVBand="0" w:oddHBand="0" w:evenHBand="0" w:firstRowFirstColumn="0" w:firstRowLastColumn="0" w:lastRowFirstColumn="0" w:lastRowLastColumn="0"/>
            </w:pPr>
            <w:r w:rsidRPr="00F319A1">
              <w:t>Tauranga City, Western Bay of Plenty District</w:t>
            </w:r>
          </w:p>
        </w:tc>
      </w:tr>
      <w:tr w:rsidR="005570ED" w:rsidRPr="00F319A1" w:rsidTr="00F319A1">
        <w:tblPrEx>
          <w:tblCellMar>
            <w:top w:w="0" w:type="dxa"/>
            <w:left w:w="0" w:type="dxa"/>
            <w:bottom w:w="0" w:type="dxa"/>
            <w:right w:w="0" w:type="dxa"/>
          </w:tblCellMar>
        </w:tblPrEx>
        <w:tc>
          <w:tcPr>
            <w:cnfStyle w:val="001000000000" w:firstRow="0" w:lastRow="0" w:firstColumn="1" w:lastColumn="0" w:oddVBand="0" w:evenVBand="0" w:oddHBand="0" w:evenHBand="0" w:firstRowFirstColumn="0" w:firstRowLastColumn="0" w:lastRowFirstColumn="0" w:lastRowLastColumn="0"/>
            <w:tcW w:w="1975" w:type="dxa"/>
          </w:tcPr>
          <w:p w:rsidR="005570ED" w:rsidRPr="00F319A1" w:rsidRDefault="005570ED" w:rsidP="00F319A1">
            <w:pPr>
              <w:pStyle w:val="TableText"/>
            </w:pPr>
            <w:r w:rsidRPr="00F319A1">
              <w:t>Hamilton</w:t>
            </w:r>
          </w:p>
        </w:tc>
        <w:tc>
          <w:tcPr>
            <w:tcW w:w="7375" w:type="dxa"/>
          </w:tcPr>
          <w:p w:rsidR="005570ED" w:rsidRPr="00F319A1" w:rsidRDefault="005570ED" w:rsidP="00F319A1">
            <w:pPr>
              <w:pStyle w:val="TableText"/>
              <w:jc w:val="left"/>
              <w:cnfStyle w:val="000000000000" w:firstRow="0" w:lastRow="0" w:firstColumn="0" w:lastColumn="0" w:oddVBand="0" w:evenVBand="0" w:oddHBand="0" w:evenHBand="0" w:firstRowFirstColumn="0" w:firstRowLastColumn="0" w:lastRowFirstColumn="0" w:lastRowLastColumn="0"/>
            </w:pPr>
            <w:r w:rsidRPr="00F319A1">
              <w:t>Hamilton City, Waikato District, Waipa District</w:t>
            </w:r>
          </w:p>
        </w:tc>
      </w:tr>
      <w:tr w:rsidR="005570ED" w:rsidRPr="00F319A1" w:rsidTr="00F319A1">
        <w:tblPrEx>
          <w:tblCellMar>
            <w:top w:w="0" w:type="dxa"/>
            <w:left w:w="0" w:type="dxa"/>
            <w:bottom w:w="0" w:type="dxa"/>
            <w:right w:w="0" w:type="dxa"/>
          </w:tblCellMar>
        </w:tblPrEx>
        <w:tc>
          <w:tcPr>
            <w:cnfStyle w:val="001000000000" w:firstRow="0" w:lastRow="0" w:firstColumn="1" w:lastColumn="0" w:oddVBand="0" w:evenVBand="0" w:oddHBand="0" w:evenHBand="0" w:firstRowFirstColumn="0" w:firstRowLastColumn="0" w:lastRowFirstColumn="0" w:lastRowLastColumn="0"/>
            <w:tcW w:w="1975" w:type="dxa"/>
          </w:tcPr>
          <w:p w:rsidR="005570ED" w:rsidRPr="00F319A1" w:rsidRDefault="005570ED" w:rsidP="00F319A1">
            <w:pPr>
              <w:pStyle w:val="TableText"/>
            </w:pPr>
            <w:r w:rsidRPr="00F319A1">
              <w:t>Nelson</w:t>
            </w:r>
          </w:p>
        </w:tc>
        <w:tc>
          <w:tcPr>
            <w:tcW w:w="7375" w:type="dxa"/>
          </w:tcPr>
          <w:p w:rsidR="005570ED" w:rsidRPr="00F319A1" w:rsidRDefault="005570ED" w:rsidP="00F319A1">
            <w:pPr>
              <w:pStyle w:val="TableText"/>
              <w:jc w:val="left"/>
              <w:cnfStyle w:val="000000000000" w:firstRow="0" w:lastRow="0" w:firstColumn="0" w:lastColumn="0" w:oddVBand="0" w:evenVBand="0" w:oddHBand="0" w:evenHBand="0" w:firstRowFirstColumn="0" w:firstRowLastColumn="0" w:lastRowFirstColumn="0" w:lastRowLastColumn="0"/>
            </w:pPr>
            <w:r w:rsidRPr="00F319A1">
              <w:t>Nelson City, Tasman District</w:t>
            </w:r>
          </w:p>
        </w:tc>
      </w:tr>
      <w:tr w:rsidR="005570ED" w:rsidRPr="00F319A1" w:rsidTr="00F319A1">
        <w:tblPrEx>
          <w:tblCellMar>
            <w:top w:w="0" w:type="dxa"/>
            <w:left w:w="0" w:type="dxa"/>
            <w:bottom w:w="0" w:type="dxa"/>
            <w:right w:w="0"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975" w:type="dxa"/>
          </w:tcPr>
          <w:p w:rsidR="005570ED" w:rsidRPr="00F319A1" w:rsidRDefault="005570ED" w:rsidP="00F319A1">
            <w:pPr>
              <w:pStyle w:val="TableText"/>
            </w:pPr>
            <w:r w:rsidRPr="00F319A1">
              <w:t>Palmerston North</w:t>
            </w:r>
          </w:p>
        </w:tc>
        <w:tc>
          <w:tcPr>
            <w:tcW w:w="7375" w:type="dxa"/>
          </w:tcPr>
          <w:p w:rsidR="005570ED" w:rsidRPr="00F319A1" w:rsidRDefault="005570ED" w:rsidP="00F319A1">
            <w:pPr>
              <w:pStyle w:val="TableText"/>
              <w:jc w:val="left"/>
              <w:cnfStyle w:val="010000000000" w:firstRow="0" w:lastRow="1" w:firstColumn="0" w:lastColumn="0" w:oddVBand="0" w:evenVBand="0" w:oddHBand="0" w:evenHBand="0" w:firstRowFirstColumn="0" w:firstRowLastColumn="0" w:lastRowFirstColumn="0" w:lastRowLastColumn="0"/>
            </w:pPr>
            <w:r w:rsidRPr="00F319A1">
              <w:t xml:space="preserve">Palmerston North City, Manawatu District, </w:t>
            </w:r>
            <w:proofErr w:type="spellStart"/>
            <w:r w:rsidRPr="00F319A1">
              <w:t>Tararua</w:t>
            </w:r>
            <w:proofErr w:type="spellEnd"/>
            <w:r w:rsidRPr="00F319A1">
              <w:t xml:space="preserve"> District</w:t>
            </w:r>
          </w:p>
        </w:tc>
      </w:tr>
    </w:tbl>
    <w:p w:rsidR="005570ED" w:rsidRDefault="005570ED" w:rsidP="005570ED"/>
    <w:p w:rsidR="005570ED" w:rsidRDefault="005570ED" w:rsidP="005570ED">
      <w:r>
        <w:t xml:space="preserve">Land valuation data for two types of residential properties – standalone dwellings (property type RD) and lifestyle blocks (property type LI) was sourced from CoreLogic (via MBIE). We then aggregated this data by Census </w:t>
      </w:r>
      <w:proofErr w:type="spellStart"/>
      <w:r>
        <w:t>meshblock</w:t>
      </w:r>
      <w:proofErr w:type="spellEnd"/>
      <w:r>
        <w:t xml:space="preserve"> and calculated the following summary measures:</w:t>
      </w:r>
    </w:p>
    <w:p w:rsidR="005570ED" w:rsidRDefault="00183668" w:rsidP="006277DC">
      <w:pPr>
        <w:pStyle w:val="ListParagraph"/>
        <w:numPr>
          <w:ilvl w:val="0"/>
          <w:numId w:val="96"/>
        </w:numPr>
        <w:spacing w:line="240" w:lineRule="auto"/>
      </w:pPr>
      <w:r>
        <w:t xml:space="preserve">the </w:t>
      </w:r>
      <w:r w:rsidR="005570ED">
        <w:t xml:space="preserve">number of residential properties in each </w:t>
      </w:r>
      <w:proofErr w:type="spellStart"/>
      <w:r w:rsidR="005570ED">
        <w:t>meshblock</w:t>
      </w:r>
      <w:proofErr w:type="spellEnd"/>
      <w:r>
        <w:t>;</w:t>
      </w:r>
    </w:p>
    <w:p w:rsidR="005570ED" w:rsidRDefault="00183668" w:rsidP="006277DC">
      <w:pPr>
        <w:pStyle w:val="ListParagraph"/>
        <w:numPr>
          <w:ilvl w:val="0"/>
          <w:numId w:val="96"/>
        </w:numPr>
        <w:spacing w:line="240" w:lineRule="auto"/>
      </w:pPr>
      <w:r>
        <w:t xml:space="preserve">the </w:t>
      </w:r>
      <w:r w:rsidR="005570ED">
        <w:t>average area of those properties (in hectares)</w:t>
      </w:r>
      <w:r>
        <w:t>; and</w:t>
      </w:r>
    </w:p>
    <w:p w:rsidR="005570ED" w:rsidRDefault="00183668" w:rsidP="006277DC">
      <w:pPr>
        <w:pStyle w:val="ListParagraph"/>
        <w:numPr>
          <w:ilvl w:val="0"/>
          <w:numId w:val="96"/>
        </w:numPr>
        <w:spacing w:line="240" w:lineRule="auto"/>
      </w:pPr>
      <w:proofErr w:type="gramStart"/>
      <w:r>
        <w:t>the</w:t>
      </w:r>
      <w:proofErr w:type="gramEnd"/>
      <w:r>
        <w:t xml:space="preserve"> </w:t>
      </w:r>
      <w:r w:rsidR="005570ED">
        <w:t>average land value (in nominal dollars per hectare).</w:t>
      </w:r>
    </w:p>
    <w:p w:rsidR="005570ED" w:rsidRDefault="005570ED" w:rsidP="005570ED"/>
    <w:p w:rsidR="005570ED" w:rsidRDefault="005570ED" w:rsidP="00F319A1">
      <w:r>
        <w:lastRenderedPageBreak/>
        <w:t xml:space="preserve">Valuations take place on a three-yearly cycle, but councils are not </w:t>
      </w:r>
      <w:proofErr w:type="gramStart"/>
      <w:r>
        <w:t>in sync</w:t>
      </w:r>
      <w:proofErr w:type="gramEnd"/>
      <w:r>
        <w:t xml:space="preserve"> with each other. The dates of the most recent valuations varied between 2013 and 2015. A small number of properties were also subsequently revalued – eg due to objections from </w:t>
      </w:r>
      <w:proofErr w:type="gramStart"/>
      <w:r>
        <w:t>land-owners</w:t>
      </w:r>
      <w:proofErr w:type="gramEnd"/>
      <w:r>
        <w:t>. Rather than attempting to adjust valuations to account for land price inflation in different locations, we have controlled for differences in valuation years by including indicator variables for di</w:t>
      </w:r>
      <w:r w:rsidR="00F319A1">
        <w:t>strict councils.</w:t>
      </w:r>
    </w:p>
    <w:p w:rsidR="005570ED" w:rsidRDefault="005570ED" w:rsidP="005570ED">
      <w:pPr>
        <w:pStyle w:val="Annex3"/>
      </w:pPr>
      <w:r>
        <w:t>Measuring urban boundaries</w:t>
      </w:r>
    </w:p>
    <w:p w:rsidR="005570ED" w:rsidRDefault="005570ED" w:rsidP="005570ED">
      <w:r>
        <w:t xml:space="preserve">In order to estimate the land price discontinuity at the rural-urban boundary, it is first necessary to establish </w:t>
      </w:r>
      <w:r>
        <w:rPr>
          <w:i/>
        </w:rPr>
        <w:t>what</w:t>
      </w:r>
      <w:r>
        <w:t xml:space="preserve"> that boundary is. In Auckland, this is relatively straightforward, as the Auckland Unitary Plan establishes a rural-urban boundary that </w:t>
      </w:r>
      <w:proofErr w:type="gramStart"/>
      <w:r>
        <w:t>is intended</w:t>
      </w:r>
      <w:proofErr w:type="gramEnd"/>
      <w:r>
        <w:t xml:space="preserve"> to form the future edge of the city. In other cities, it is less straightforward as they have not established fixed rural-urban boundaries. Instead, urban boundaries </w:t>
      </w:r>
      <w:proofErr w:type="gramStart"/>
      <w:r>
        <w:t>are established</w:t>
      </w:r>
      <w:proofErr w:type="gramEnd"/>
      <w:r>
        <w:t xml:space="preserve"> by the extent of the existing urban-zoned land.</w:t>
      </w:r>
    </w:p>
    <w:p w:rsidR="005570ED" w:rsidRDefault="005570ED" w:rsidP="005570ED"/>
    <w:p w:rsidR="005570ED" w:rsidRPr="00EE5A59" w:rsidRDefault="005570ED" w:rsidP="005570ED">
      <w:r>
        <w:t>We identified the location of current rural-urban boundaries using district plans sourced from the sixteen councils included in the analysis. We used the most recent available district plans, accepting that in some cases aspects of these plans are still under review by RMA commissioners. We developed new spatial analysis tools (in R) to convert zoning maps into analytically tractable rural-urban boundaries, smoothing and simplifying zone boundaries to account for roads, rail reserves, and coastlines.</w:t>
      </w:r>
      <w:r w:rsidR="00F319A1">
        <w:t xml:space="preserve"> The resulting urban boundaries </w:t>
      </w:r>
      <w:proofErr w:type="gramStart"/>
      <w:r w:rsidR="00F319A1">
        <w:t>are mapped</w:t>
      </w:r>
      <w:proofErr w:type="gramEnd"/>
      <w:r w:rsidR="00F319A1">
        <w:t xml:space="preserve"> in </w:t>
      </w:r>
      <w:r w:rsidR="00F319A1">
        <w:fldChar w:fldCharType="begin"/>
      </w:r>
      <w:r w:rsidR="00F319A1">
        <w:instrText xml:space="preserve"> REF _Ref458451648 \h </w:instrText>
      </w:r>
      <w:r w:rsidR="00F319A1">
        <w:fldChar w:fldCharType="separate"/>
      </w:r>
      <w:r w:rsidR="004D1DDA">
        <w:t xml:space="preserve">Figure </w:t>
      </w:r>
      <w:r w:rsidR="004D1DDA">
        <w:rPr>
          <w:noProof/>
        </w:rPr>
        <w:t>47</w:t>
      </w:r>
      <w:r w:rsidR="00F319A1">
        <w:fldChar w:fldCharType="end"/>
      </w:r>
      <w:r w:rsidR="00F319A1">
        <w:t>.</w:t>
      </w:r>
    </w:p>
    <w:p w:rsidR="005570ED" w:rsidRDefault="005570ED" w:rsidP="005570ED"/>
    <w:p w:rsidR="005570ED" w:rsidRDefault="005570ED" w:rsidP="005570ED">
      <w:r>
        <w:t xml:space="preserve">After identifying current urban boundaries, we followed Zheng (2013)’s approach to categorising </w:t>
      </w:r>
      <w:proofErr w:type="spellStart"/>
      <w:r>
        <w:t>meshblocks</w:t>
      </w:r>
      <w:proofErr w:type="spellEnd"/>
      <w:r>
        <w:t xml:space="preserve"> according to the straight-line distance between the </w:t>
      </w:r>
      <w:proofErr w:type="spellStart"/>
      <w:r>
        <w:t>meshblock</w:t>
      </w:r>
      <w:proofErr w:type="spellEnd"/>
      <w:r>
        <w:t xml:space="preserve"> centroid (</w:t>
      </w:r>
      <w:proofErr w:type="gramStart"/>
      <w:r>
        <w:t>or</w:t>
      </w:r>
      <w:proofErr w:type="gramEnd"/>
      <w:r>
        <w:t xml:space="preserve"> property parcel centroid for sales records) and the urban boundary. After measuring this distance, we created a series of dummy (indicator) variables that reflect whether the </w:t>
      </w:r>
      <w:proofErr w:type="spellStart"/>
      <w:r>
        <w:t>meshblock</w:t>
      </w:r>
      <w:proofErr w:type="spellEnd"/>
      <w:r>
        <w:t xml:space="preserve"> is inside or outside the urban boundary, as summarised in</w:t>
      </w:r>
      <w:r w:rsidR="00183668">
        <w:t xml:space="preserve"> </w:t>
      </w:r>
      <w:r w:rsidR="00183668">
        <w:fldChar w:fldCharType="begin"/>
      </w:r>
      <w:r w:rsidR="00183668">
        <w:instrText xml:space="preserve"> REF _Ref462581666 \h </w:instrText>
      </w:r>
      <w:r w:rsidR="00183668">
        <w:fldChar w:fldCharType="separate"/>
      </w:r>
      <w:r w:rsidR="004D1DDA">
        <w:t xml:space="preserve">Table </w:t>
      </w:r>
      <w:r w:rsidR="004D1DDA">
        <w:rPr>
          <w:noProof/>
        </w:rPr>
        <w:t>34</w:t>
      </w:r>
      <w:r w:rsidR="00183668">
        <w:fldChar w:fldCharType="end"/>
      </w:r>
      <w:r>
        <w:t>.</w:t>
      </w:r>
    </w:p>
    <w:p w:rsidR="005570ED" w:rsidRDefault="00183668" w:rsidP="00183668">
      <w:pPr>
        <w:pStyle w:val="Caption"/>
      </w:pPr>
      <w:bookmarkStart w:id="508" w:name="_Ref462581666"/>
      <w:r>
        <w:t xml:space="preserve">Table </w:t>
      </w:r>
      <w:r>
        <w:fldChar w:fldCharType="begin"/>
      </w:r>
      <w:r>
        <w:instrText xml:space="preserve"> SEQ Table \* ARABIC </w:instrText>
      </w:r>
      <w:r>
        <w:fldChar w:fldCharType="separate"/>
      </w:r>
      <w:r w:rsidR="004D1DDA">
        <w:rPr>
          <w:noProof/>
        </w:rPr>
        <w:t>34</w:t>
      </w:r>
      <w:r>
        <w:fldChar w:fldCharType="end"/>
      </w:r>
      <w:bookmarkEnd w:id="508"/>
      <w:r>
        <w:t xml:space="preserve"> Variable descriptions – distance from boundary</w:t>
      </w:r>
    </w:p>
    <w:tbl>
      <w:tblPr>
        <w:tblStyle w:val="CovecTables"/>
        <w:tblW w:w="0" w:type="auto"/>
        <w:tblLook w:val="04E0" w:firstRow="1" w:lastRow="1" w:firstColumn="1" w:lastColumn="0" w:noHBand="0" w:noVBand="1"/>
      </w:tblPr>
      <w:tblGrid>
        <w:gridCol w:w="1762"/>
        <w:gridCol w:w="6346"/>
      </w:tblGrid>
      <w:tr w:rsidR="005570ED" w:rsidTr="005570E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85" w:type="dxa"/>
            <w:vAlign w:val="top"/>
          </w:tcPr>
          <w:p w:rsidR="005570ED" w:rsidRDefault="005570ED" w:rsidP="006F545D">
            <w:pPr>
              <w:pStyle w:val="TableText"/>
            </w:pPr>
            <w:r>
              <w:t>Variable</w:t>
            </w:r>
          </w:p>
        </w:tc>
        <w:tc>
          <w:tcPr>
            <w:tcW w:w="7465" w:type="dxa"/>
            <w:vAlign w:val="top"/>
          </w:tcPr>
          <w:p w:rsidR="005570ED" w:rsidRDefault="005570ED" w:rsidP="006F545D">
            <w:pPr>
              <w:pStyle w:val="TableText"/>
              <w:jc w:val="left"/>
              <w:cnfStyle w:val="100000000000" w:firstRow="1" w:lastRow="0" w:firstColumn="0" w:lastColumn="0" w:oddVBand="0" w:evenVBand="0" w:oddHBand="0" w:evenHBand="0" w:firstRowFirstColumn="0" w:firstRowLastColumn="0" w:lastRowFirstColumn="0" w:lastRowLastColumn="0"/>
            </w:pPr>
            <w:r>
              <w:t>Description</w:t>
            </w:r>
          </w:p>
        </w:tc>
      </w:tr>
      <w:tr w:rsidR="005570ED" w:rsidTr="005570ED">
        <w:tblPrEx>
          <w:tblCellMar>
            <w:top w:w="0" w:type="dxa"/>
            <w:left w:w="0" w:type="dxa"/>
            <w:bottom w:w="0" w:type="dxa"/>
            <w:right w:w="0" w:type="dxa"/>
          </w:tblCellMar>
        </w:tblPrEx>
        <w:tc>
          <w:tcPr>
            <w:cnfStyle w:val="001000000000" w:firstRow="0" w:lastRow="0" w:firstColumn="1" w:lastColumn="0" w:oddVBand="0" w:evenVBand="0" w:oddHBand="0" w:evenHBand="0" w:firstRowFirstColumn="0" w:firstRowLastColumn="0" w:lastRowFirstColumn="0" w:lastRowLastColumn="0"/>
            <w:tcW w:w="1885" w:type="dxa"/>
            <w:vAlign w:val="top"/>
          </w:tcPr>
          <w:p w:rsidR="005570ED" w:rsidRDefault="005570ED" w:rsidP="006F545D">
            <w:pPr>
              <w:pStyle w:val="TableText"/>
            </w:pPr>
            <w:r>
              <w:t>DistBoundary1</w:t>
            </w:r>
          </w:p>
        </w:tc>
        <w:tc>
          <w:tcPr>
            <w:tcW w:w="7465" w:type="dxa"/>
            <w:vAlign w:val="top"/>
          </w:tcPr>
          <w:p w:rsidR="005570ED" w:rsidRPr="008D5CCF" w:rsidRDefault="005570ED" w:rsidP="006F545D">
            <w:pPr>
              <w:pStyle w:val="TableText"/>
              <w:jc w:val="left"/>
              <w:cnfStyle w:val="000000000000" w:firstRow="0" w:lastRow="0" w:firstColumn="0" w:lastColumn="0" w:oddVBand="0" w:evenVBand="0" w:oddHBand="0" w:evenHBand="0" w:firstRowFirstColumn="0" w:firstRowLastColumn="0" w:lastRowFirstColumn="0" w:lastRowLastColumn="0"/>
            </w:pPr>
            <w:r>
              <w:t xml:space="preserve">Land </w:t>
            </w:r>
            <w:r>
              <w:rPr>
                <w:i/>
              </w:rPr>
              <w:t>inside</w:t>
            </w:r>
            <w:r>
              <w:t xml:space="preserve"> the urban boundary and located </w:t>
            </w:r>
            <w:r w:rsidRPr="008D5CCF">
              <w:rPr>
                <w:i/>
              </w:rPr>
              <w:t>more than 2km</w:t>
            </w:r>
            <w:r>
              <w:t xml:space="preserve"> away from the boundary</w:t>
            </w:r>
          </w:p>
        </w:tc>
      </w:tr>
      <w:tr w:rsidR="005570ED" w:rsidTr="005570ED">
        <w:tblPrEx>
          <w:tblCellMar>
            <w:top w:w="0" w:type="dxa"/>
            <w:left w:w="0" w:type="dxa"/>
            <w:bottom w:w="0" w:type="dxa"/>
            <w:right w:w="0" w:type="dxa"/>
          </w:tblCellMar>
        </w:tblPrEx>
        <w:tc>
          <w:tcPr>
            <w:cnfStyle w:val="001000000000" w:firstRow="0" w:lastRow="0" w:firstColumn="1" w:lastColumn="0" w:oddVBand="0" w:evenVBand="0" w:oddHBand="0" w:evenHBand="0" w:firstRowFirstColumn="0" w:firstRowLastColumn="0" w:lastRowFirstColumn="0" w:lastRowLastColumn="0"/>
            <w:tcW w:w="1885" w:type="dxa"/>
            <w:vAlign w:val="top"/>
          </w:tcPr>
          <w:p w:rsidR="005570ED" w:rsidRDefault="005570ED" w:rsidP="006F545D">
            <w:pPr>
              <w:pStyle w:val="TableText"/>
            </w:pPr>
            <w:r>
              <w:t>DistBoundary2</w:t>
            </w:r>
          </w:p>
        </w:tc>
        <w:tc>
          <w:tcPr>
            <w:tcW w:w="7465" w:type="dxa"/>
            <w:vAlign w:val="top"/>
          </w:tcPr>
          <w:p w:rsidR="005570ED" w:rsidRPr="008D5CCF" w:rsidRDefault="005570ED" w:rsidP="006F545D">
            <w:pPr>
              <w:pStyle w:val="TableText"/>
              <w:jc w:val="left"/>
              <w:cnfStyle w:val="000000000000" w:firstRow="0" w:lastRow="0" w:firstColumn="0" w:lastColumn="0" w:oddVBand="0" w:evenVBand="0" w:oddHBand="0" w:evenHBand="0" w:firstRowFirstColumn="0" w:firstRowLastColumn="0" w:lastRowFirstColumn="0" w:lastRowLastColumn="0"/>
            </w:pPr>
            <w:r>
              <w:t xml:space="preserve">Land </w:t>
            </w:r>
            <w:r>
              <w:rPr>
                <w:i/>
              </w:rPr>
              <w:t>inside</w:t>
            </w:r>
            <w:r>
              <w:t xml:space="preserve"> the urban boundary and located </w:t>
            </w:r>
            <w:r w:rsidRPr="008D5CCF">
              <w:rPr>
                <w:i/>
              </w:rPr>
              <w:t>less than 2km</w:t>
            </w:r>
            <w:r>
              <w:t xml:space="preserve"> away from the boundary</w:t>
            </w:r>
          </w:p>
        </w:tc>
      </w:tr>
      <w:tr w:rsidR="005570ED" w:rsidTr="005570ED">
        <w:tblPrEx>
          <w:tblCellMar>
            <w:top w:w="0" w:type="dxa"/>
            <w:left w:w="0" w:type="dxa"/>
            <w:bottom w:w="0" w:type="dxa"/>
            <w:right w:w="0" w:type="dxa"/>
          </w:tblCellMar>
        </w:tblPrEx>
        <w:tc>
          <w:tcPr>
            <w:cnfStyle w:val="001000000000" w:firstRow="0" w:lastRow="0" w:firstColumn="1" w:lastColumn="0" w:oddVBand="0" w:evenVBand="0" w:oddHBand="0" w:evenHBand="0" w:firstRowFirstColumn="0" w:firstRowLastColumn="0" w:lastRowFirstColumn="0" w:lastRowLastColumn="0"/>
            <w:tcW w:w="1885" w:type="dxa"/>
            <w:vAlign w:val="top"/>
          </w:tcPr>
          <w:p w:rsidR="005570ED" w:rsidRDefault="005570ED" w:rsidP="006F545D">
            <w:pPr>
              <w:pStyle w:val="TableText"/>
            </w:pPr>
            <w:r>
              <w:t>DistBoundary3</w:t>
            </w:r>
          </w:p>
        </w:tc>
        <w:tc>
          <w:tcPr>
            <w:tcW w:w="7465" w:type="dxa"/>
            <w:vAlign w:val="top"/>
          </w:tcPr>
          <w:p w:rsidR="005570ED" w:rsidRPr="008D5CCF" w:rsidRDefault="005570ED" w:rsidP="006F545D">
            <w:pPr>
              <w:pStyle w:val="TableText"/>
              <w:jc w:val="left"/>
              <w:cnfStyle w:val="000000000000" w:firstRow="0" w:lastRow="0" w:firstColumn="0" w:lastColumn="0" w:oddVBand="0" w:evenVBand="0" w:oddHBand="0" w:evenHBand="0" w:firstRowFirstColumn="0" w:firstRowLastColumn="0" w:lastRowFirstColumn="0" w:lastRowLastColumn="0"/>
            </w:pPr>
            <w:r>
              <w:t xml:space="preserve">Land </w:t>
            </w:r>
            <w:r>
              <w:rPr>
                <w:i/>
              </w:rPr>
              <w:t>outside</w:t>
            </w:r>
            <w:r>
              <w:t xml:space="preserve"> the urban boundary and located </w:t>
            </w:r>
            <w:r w:rsidRPr="008D5CCF">
              <w:rPr>
                <w:i/>
              </w:rPr>
              <w:t>less than 2km</w:t>
            </w:r>
            <w:r>
              <w:t xml:space="preserve"> away from the boundary</w:t>
            </w:r>
          </w:p>
        </w:tc>
      </w:tr>
      <w:tr w:rsidR="005570ED" w:rsidTr="005570ED">
        <w:tblPrEx>
          <w:tblCellMar>
            <w:top w:w="0" w:type="dxa"/>
            <w:left w:w="0" w:type="dxa"/>
            <w:bottom w:w="0" w:type="dxa"/>
            <w:right w:w="0"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885" w:type="dxa"/>
            <w:vAlign w:val="top"/>
          </w:tcPr>
          <w:p w:rsidR="005570ED" w:rsidRDefault="005570ED" w:rsidP="006F545D">
            <w:pPr>
              <w:pStyle w:val="TableText"/>
            </w:pPr>
            <w:r>
              <w:t>DistBoundary4</w:t>
            </w:r>
          </w:p>
        </w:tc>
        <w:tc>
          <w:tcPr>
            <w:tcW w:w="7465" w:type="dxa"/>
            <w:vAlign w:val="top"/>
          </w:tcPr>
          <w:p w:rsidR="005570ED" w:rsidRPr="008D5CCF" w:rsidRDefault="005570ED" w:rsidP="006F545D">
            <w:pPr>
              <w:pStyle w:val="TableText"/>
              <w:jc w:val="left"/>
              <w:cnfStyle w:val="010000000000" w:firstRow="0" w:lastRow="1" w:firstColumn="0" w:lastColumn="0" w:oddVBand="0" w:evenVBand="0" w:oddHBand="0" w:evenHBand="0" w:firstRowFirstColumn="0" w:firstRowLastColumn="0" w:lastRowFirstColumn="0" w:lastRowLastColumn="0"/>
            </w:pPr>
            <w:r>
              <w:t xml:space="preserve">Land </w:t>
            </w:r>
            <w:r>
              <w:rPr>
                <w:i/>
              </w:rPr>
              <w:t>outside</w:t>
            </w:r>
            <w:r>
              <w:t xml:space="preserve"> the urban boundary and located </w:t>
            </w:r>
            <w:r w:rsidRPr="008D5CCF">
              <w:rPr>
                <w:i/>
              </w:rPr>
              <w:t>more than 2km</w:t>
            </w:r>
            <w:r>
              <w:t xml:space="preserve"> away from the boundary</w:t>
            </w:r>
          </w:p>
        </w:tc>
      </w:tr>
    </w:tbl>
    <w:p w:rsidR="005570ED" w:rsidRDefault="005570ED" w:rsidP="005570ED"/>
    <w:p w:rsidR="00F319A1" w:rsidRDefault="00F319A1" w:rsidP="00E02811">
      <w:pPr>
        <w:pStyle w:val="Caption"/>
      </w:pPr>
      <w:bookmarkStart w:id="509" w:name="_Ref458451648"/>
      <w:r>
        <w:lastRenderedPageBreak/>
        <w:t xml:space="preserve">Figure </w:t>
      </w:r>
      <w:r>
        <w:fldChar w:fldCharType="begin"/>
      </w:r>
      <w:r>
        <w:instrText xml:space="preserve"> SEQ Figure \* ARABIC </w:instrText>
      </w:r>
      <w:r>
        <w:fldChar w:fldCharType="separate"/>
      </w:r>
      <w:r w:rsidR="004D1DDA">
        <w:rPr>
          <w:noProof/>
        </w:rPr>
        <w:t>47</w:t>
      </w:r>
      <w:r>
        <w:fldChar w:fldCharType="end"/>
      </w:r>
      <w:bookmarkEnd w:id="509"/>
      <w:r>
        <w:t xml:space="preserve"> </w:t>
      </w:r>
      <w:r w:rsidRPr="00F319A1">
        <w:t>Urban</w:t>
      </w:r>
      <w:r>
        <w:t xml:space="preserve"> boundaries in six New Zealand cities</w:t>
      </w:r>
    </w:p>
    <w:p w:rsidR="00F319A1" w:rsidRPr="00F61185" w:rsidRDefault="00F319A1" w:rsidP="00F319A1">
      <w:r>
        <w:rPr>
          <w:noProof/>
          <w:lang w:eastAsia="en-NZ"/>
        </w:rPr>
        <w:drawing>
          <wp:inline distT="0" distB="0" distL="0" distR="0" wp14:anchorId="47FE17A3" wp14:editId="79DD965D">
            <wp:extent cx="4624535" cy="6209414"/>
            <wp:effectExtent l="0" t="0" r="5080" b="1270"/>
            <wp:docPr id="55" name="Picture 55" descr="../../Data%20and%20analysis/Urban%20boundary%20discontinuity/Maps/Urban_boundary_maps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20and%20analysis/Urban%20boundary%20discontinuity/Maps/Urban_boundary_maps_v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628113" cy="6214218"/>
                    </a:xfrm>
                    <a:prstGeom prst="rect">
                      <a:avLst/>
                    </a:prstGeom>
                    <a:noFill/>
                    <a:ln>
                      <a:noFill/>
                    </a:ln>
                  </pic:spPr>
                </pic:pic>
              </a:graphicData>
            </a:graphic>
          </wp:inline>
        </w:drawing>
      </w:r>
    </w:p>
    <w:p w:rsidR="00F319A1" w:rsidRDefault="00F319A1" w:rsidP="005570ED"/>
    <w:p w:rsidR="00CD007A" w:rsidRDefault="00CD007A" w:rsidP="005570ED">
      <w:r>
        <w:t>In doing so, we note that some small cities have no land more than 2km from their urban boundary. This is unlikely to create any issues for analysis.</w:t>
      </w:r>
    </w:p>
    <w:p w:rsidR="005570ED" w:rsidRDefault="005570ED" w:rsidP="005570ED">
      <w:pPr>
        <w:pStyle w:val="Annex3"/>
      </w:pPr>
      <w:r>
        <w:t>Other control variables</w:t>
      </w:r>
    </w:p>
    <w:p w:rsidR="005570ED" w:rsidRDefault="005570ED" w:rsidP="005570ED">
      <w:r>
        <w:t xml:space="preserve">It is also necessary to control for other determinants of land values, to the extent possible. </w:t>
      </w:r>
      <w:r w:rsidR="00183668">
        <w:fldChar w:fldCharType="begin"/>
      </w:r>
      <w:r w:rsidR="00183668">
        <w:instrText xml:space="preserve"> REF _Ref462581619 \h </w:instrText>
      </w:r>
      <w:r w:rsidR="00183668">
        <w:fldChar w:fldCharType="separate"/>
      </w:r>
      <w:r w:rsidR="004D1DDA">
        <w:t xml:space="preserve">Table </w:t>
      </w:r>
      <w:r w:rsidR="004D1DDA">
        <w:rPr>
          <w:noProof/>
        </w:rPr>
        <w:t>35</w:t>
      </w:r>
      <w:r w:rsidR="00183668">
        <w:fldChar w:fldCharType="end"/>
      </w:r>
      <w:r w:rsidR="00183668">
        <w:t xml:space="preserve"> </w:t>
      </w:r>
      <w:r>
        <w:t xml:space="preserve">describes the key control variables to measure, and the rationale for adopting them. This selection of variables </w:t>
      </w:r>
      <w:proofErr w:type="gramStart"/>
      <w:r>
        <w:t>is informed</w:t>
      </w:r>
      <w:proofErr w:type="gramEnd"/>
      <w:r>
        <w:t xml:space="preserve"> by the approaches of Grimes and Liang (2009) and Zheng (2013).</w:t>
      </w:r>
    </w:p>
    <w:p w:rsidR="00183668" w:rsidRDefault="00183668" w:rsidP="005570ED"/>
    <w:p w:rsidR="005570ED" w:rsidRDefault="005570ED" w:rsidP="005570ED"/>
    <w:p w:rsidR="00183668" w:rsidRDefault="00183668" w:rsidP="005570ED"/>
    <w:p w:rsidR="00183668" w:rsidRDefault="00183668" w:rsidP="00183668">
      <w:pPr>
        <w:pStyle w:val="Caption"/>
      </w:pPr>
      <w:bookmarkStart w:id="510" w:name="_Ref462581619"/>
      <w:r>
        <w:lastRenderedPageBreak/>
        <w:t xml:space="preserve">Table </w:t>
      </w:r>
      <w:r>
        <w:fldChar w:fldCharType="begin"/>
      </w:r>
      <w:r>
        <w:instrText xml:space="preserve"> SEQ Table \* ARABIC </w:instrText>
      </w:r>
      <w:r>
        <w:fldChar w:fldCharType="separate"/>
      </w:r>
      <w:r w:rsidR="004D1DDA">
        <w:rPr>
          <w:noProof/>
        </w:rPr>
        <w:t>35</w:t>
      </w:r>
      <w:r>
        <w:fldChar w:fldCharType="end"/>
      </w:r>
      <w:bookmarkEnd w:id="510"/>
      <w:r>
        <w:t xml:space="preserve"> Control variables and rationale</w:t>
      </w:r>
    </w:p>
    <w:tbl>
      <w:tblPr>
        <w:tblStyle w:val="CovecTables"/>
        <w:tblW w:w="0" w:type="auto"/>
        <w:tblLook w:val="04E0" w:firstRow="1" w:lastRow="1" w:firstColumn="1" w:lastColumn="0" w:noHBand="0" w:noVBand="1"/>
      </w:tblPr>
      <w:tblGrid>
        <w:gridCol w:w="1719"/>
        <w:gridCol w:w="6389"/>
      </w:tblGrid>
      <w:tr w:rsidR="005570ED" w:rsidTr="005570E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85" w:type="dxa"/>
            <w:vAlign w:val="top"/>
          </w:tcPr>
          <w:p w:rsidR="005570ED" w:rsidRDefault="005570ED" w:rsidP="006F545D">
            <w:pPr>
              <w:pStyle w:val="TableText"/>
            </w:pPr>
            <w:r>
              <w:t>Variable</w:t>
            </w:r>
          </w:p>
        </w:tc>
        <w:tc>
          <w:tcPr>
            <w:tcW w:w="7465" w:type="dxa"/>
            <w:vAlign w:val="top"/>
          </w:tcPr>
          <w:p w:rsidR="005570ED" w:rsidRDefault="005570ED" w:rsidP="006F545D">
            <w:pPr>
              <w:pStyle w:val="TableText"/>
              <w:jc w:val="left"/>
              <w:cnfStyle w:val="100000000000" w:firstRow="1" w:lastRow="0" w:firstColumn="0" w:lastColumn="0" w:oddVBand="0" w:evenVBand="0" w:oddHBand="0" w:evenHBand="0" w:firstRowFirstColumn="0" w:firstRowLastColumn="0" w:lastRowFirstColumn="0" w:lastRowLastColumn="0"/>
            </w:pPr>
            <w:r>
              <w:t>Description and rationale</w:t>
            </w:r>
          </w:p>
        </w:tc>
      </w:tr>
      <w:tr w:rsidR="005570ED" w:rsidRPr="008D5CCF" w:rsidTr="005570ED">
        <w:tblPrEx>
          <w:tblCellMar>
            <w:top w:w="0" w:type="dxa"/>
            <w:left w:w="0" w:type="dxa"/>
            <w:bottom w:w="0" w:type="dxa"/>
            <w:right w:w="0" w:type="dxa"/>
          </w:tblCellMar>
        </w:tblPrEx>
        <w:tc>
          <w:tcPr>
            <w:cnfStyle w:val="001000000000" w:firstRow="0" w:lastRow="0" w:firstColumn="1" w:lastColumn="0" w:oddVBand="0" w:evenVBand="0" w:oddHBand="0" w:evenHBand="0" w:firstRowFirstColumn="0" w:firstRowLastColumn="0" w:lastRowFirstColumn="0" w:lastRowLastColumn="0"/>
            <w:tcW w:w="1885" w:type="dxa"/>
            <w:vAlign w:val="top"/>
          </w:tcPr>
          <w:p w:rsidR="005570ED" w:rsidRDefault="005570ED" w:rsidP="006F545D">
            <w:pPr>
              <w:pStyle w:val="TableText"/>
            </w:pPr>
            <w:proofErr w:type="spellStart"/>
            <w:r>
              <w:t>DistCBD</w:t>
            </w:r>
            <w:proofErr w:type="spellEnd"/>
          </w:p>
        </w:tc>
        <w:tc>
          <w:tcPr>
            <w:tcW w:w="7465" w:type="dxa"/>
            <w:vAlign w:val="top"/>
          </w:tcPr>
          <w:p w:rsidR="005570ED" w:rsidRDefault="005570ED" w:rsidP="006F545D">
            <w:pPr>
              <w:pStyle w:val="TableText"/>
              <w:jc w:val="left"/>
              <w:cnfStyle w:val="000000000000" w:firstRow="0" w:lastRow="0" w:firstColumn="0" w:lastColumn="0" w:oddVBand="0" w:evenVBand="0" w:oddHBand="0" w:evenHBand="0" w:firstRowFirstColumn="0" w:firstRowLastColumn="0" w:lastRowFirstColumn="0" w:lastRowLastColumn="0"/>
            </w:pPr>
            <w:r>
              <w:t xml:space="preserve">Distance in metres to the centre of the urban area – </w:t>
            </w:r>
            <w:proofErr w:type="spellStart"/>
            <w:r>
              <w:t>proxied</w:t>
            </w:r>
            <w:proofErr w:type="spellEnd"/>
            <w:r>
              <w:t xml:space="preserve"> by town hall location. Can be measured </w:t>
            </w:r>
            <w:proofErr w:type="gramStart"/>
            <w:r>
              <w:t xml:space="preserve">either for </w:t>
            </w:r>
            <w:proofErr w:type="spellStart"/>
            <w:r>
              <w:t>meshblock</w:t>
            </w:r>
            <w:proofErr w:type="spellEnd"/>
            <w:r>
              <w:t xml:space="preserve"> centroids or individual</w:t>
            </w:r>
            <w:proofErr w:type="gramEnd"/>
            <w:r>
              <w:t xml:space="preserve"> property sales records.</w:t>
            </w:r>
          </w:p>
          <w:p w:rsidR="005570ED" w:rsidRPr="008D5CCF" w:rsidRDefault="005570ED" w:rsidP="006F545D">
            <w:pPr>
              <w:pStyle w:val="TableText"/>
              <w:jc w:val="left"/>
              <w:cnfStyle w:val="000000000000" w:firstRow="0" w:lastRow="0" w:firstColumn="0" w:lastColumn="0" w:oddVBand="0" w:evenVBand="0" w:oddHBand="0" w:evenHBand="0" w:firstRowFirstColumn="0" w:firstRowLastColumn="0" w:lastRowFirstColumn="0" w:lastRowLastColumn="0"/>
            </w:pPr>
            <w:r>
              <w:t>This variable controls for locations’ accessibility to employment and amenities, which tend to be higher near the middle of the city.</w:t>
            </w:r>
          </w:p>
        </w:tc>
      </w:tr>
      <w:tr w:rsidR="005570ED" w:rsidRPr="008D5CCF" w:rsidTr="005570ED">
        <w:tblPrEx>
          <w:tblCellMar>
            <w:top w:w="0" w:type="dxa"/>
            <w:left w:w="0" w:type="dxa"/>
            <w:bottom w:w="0" w:type="dxa"/>
            <w:right w:w="0" w:type="dxa"/>
          </w:tblCellMar>
        </w:tblPrEx>
        <w:tc>
          <w:tcPr>
            <w:cnfStyle w:val="001000000000" w:firstRow="0" w:lastRow="0" w:firstColumn="1" w:lastColumn="0" w:oddVBand="0" w:evenVBand="0" w:oddHBand="0" w:evenHBand="0" w:firstRowFirstColumn="0" w:firstRowLastColumn="0" w:lastRowFirstColumn="0" w:lastRowLastColumn="0"/>
            <w:tcW w:w="1885" w:type="dxa"/>
            <w:vAlign w:val="top"/>
          </w:tcPr>
          <w:p w:rsidR="005570ED" w:rsidRDefault="005570ED" w:rsidP="006F545D">
            <w:pPr>
              <w:pStyle w:val="TableText"/>
            </w:pPr>
            <w:proofErr w:type="spellStart"/>
            <w:r>
              <w:t>DistCentres</w:t>
            </w:r>
            <w:proofErr w:type="spellEnd"/>
          </w:p>
        </w:tc>
        <w:tc>
          <w:tcPr>
            <w:tcW w:w="7465" w:type="dxa"/>
            <w:vAlign w:val="top"/>
          </w:tcPr>
          <w:p w:rsidR="005570ED" w:rsidRDefault="005570ED" w:rsidP="006F545D">
            <w:pPr>
              <w:pStyle w:val="TableText"/>
              <w:jc w:val="left"/>
              <w:cnfStyle w:val="000000000000" w:firstRow="0" w:lastRow="0" w:firstColumn="0" w:lastColumn="0" w:oddVBand="0" w:evenVBand="0" w:oddHBand="0" w:evenHBand="0" w:firstRowFirstColumn="0" w:firstRowLastColumn="0" w:lastRowFirstColumn="0" w:lastRowLastColumn="0"/>
            </w:pPr>
            <w:r>
              <w:t>In Auckland and Wellington, which are large polycentric cities, we also measured the straight-line distance in metres to a number of sub-regional centres.</w:t>
            </w:r>
          </w:p>
          <w:p w:rsidR="005570ED" w:rsidRDefault="005570ED" w:rsidP="006F545D">
            <w:pPr>
              <w:pStyle w:val="TableText"/>
              <w:jc w:val="left"/>
              <w:cnfStyle w:val="000000000000" w:firstRow="0" w:lastRow="0" w:firstColumn="0" w:lastColumn="0" w:oddVBand="0" w:evenVBand="0" w:oddHBand="0" w:evenHBand="0" w:firstRowFirstColumn="0" w:firstRowLastColumn="0" w:lastRowFirstColumn="0" w:lastRowLastColumn="0"/>
            </w:pPr>
            <w:r>
              <w:t xml:space="preserve">In Auckland, we measured the distance to ten metropolitan centres designated in the Auckland Unitary Plan – </w:t>
            </w:r>
            <w:proofErr w:type="spellStart"/>
            <w:r>
              <w:t>Takapuna</w:t>
            </w:r>
            <w:proofErr w:type="spellEnd"/>
            <w:r>
              <w:t xml:space="preserve">, Albany, Westgate, Henderson, New Lynn, Newmarket, Sylvia Park, Botany, </w:t>
            </w:r>
            <w:proofErr w:type="spellStart"/>
            <w:r>
              <w:t>Manukau</w:t>
            </w:r>
            <w:proofErr w:type="spellEnd"/>
            <w:r>
              <w:t xml:space="preserve">, and </w:t>
            </w:r>
            <w:proofErr w:type="spellStart"/>
            <w:r>
              <w:t>Papakura</w:t>
            </w:r>
            <w:proofErr w:type="spellEnd"/>
            <w:r>
              <w:t xml:space="preserve"> – as well as three rural centres that were within a reasonable distance of the main urban area – </w:t>
            </w:r>
            <w:proofErr w:type="spellStart"/>
            <w:r>
              <w:t>Orewa</w:t>
            </w:r>
            <w:proofErr w:type="spellEnd"/>
            <w:r>
              <w:t xml:space="preserve">, </w:t>
            </w:r>
            <w:proofErr w:type="spellStart"/>
            <w:r>
              <w:t>Kumeu</w:t>
            </w:r>
            <w:proofErr w:type="spellEnd"/>
            <w:r>
              <w:t xml:space="preserve">, and </w:t>
            </w:r>
            <w:proofErr w:type="spellStart"/>
            <w:r>
              <w:t>Beachlands</w:t>
            </w:r>
            <w:proofErr w:type="spellEnd"/>
            <w:r>
              <w:t>.</w:t>
            </w:r>
          </w:p>
          <w:p w:rsidR="005570ED" w:rsidRDefault="005570ED" w:rsidP="006F545D">
            <w:pPr>
              <w:pStyle w:val="TableText"/>
              <w:jc w:val="left"/>
              <w:cnfStyle w:val="000000000000" w:firstRow="0" w:lastRow="0" w:firstColumn="0" w:lastColumn="0" w:oddVBand="0" w:evenVBand="0" w:oddHBand="0" w:evenHBand="0" w:firstRowFirstColumn="0" w:firstRowLastColumn="0" w:lastRowFirstColumn="0" w:lastRowLastColumn="0"/>
            </w:pPr>
            <w:r>
              <w:t xml:space="preserve">In Wellington, we measured the distance to the two sub-regional centres designated in the Wellington City District Plan – </w:t>
            </w:r>
            <w:proofErr w:type="spellStart"/>
            <w:r>
              <w:t>Kilbirnie</w:t>
            </w:r>
            <w:proofErr w:type="spellEnd"/>
            <w:r>
              <w:t xml:space="preserve"> and Johnsonville – as well as the main commercial centres of Hutt City, Upper Hutt, Porirua City, and Kapiti Coast (Paraparaumu).</w:t>
            </w:r>
          </w:p>
        </w:tc>
      </w:tr>
      <w:tr w:rsidR="005570ED" w:rsidRPr="008D5CCF" w:rsidTr="005570ED">
        <w:tblPrEx>
          <w:tblCellMar>
            <w:top w:w="0" w:type="dxa"/>
            <w:left w:w="0" w:type="dxa"/>
            <w:bottom w:w="0" w:type="dxa"/>
            <w:right w:w="0" w:type="dxa"/>
          </w:tblCellMar>
        </w:tblPrEx>
        <w:tc>
          <w:tcPr>
            <w:cnfStyle w:val="001000000000" w:firstRow="0" w:lastRow="0" w:firstColumn="1" w:lastColumn="0" w:oddVBand="0" w:evenVBand="0" w:oddHBand="0" w:evenHBand="0" w:firstRowFirstColumn="0" w:firstRowLastColumn="0" w:lastRowFirstColumn="0" w:lastRowLastColumn="0"/>
            <w:tcW w:w="1885" w:type="dxa"/>
            <w:vAlign w:val="top"/>
          </w:tcPr>
          <w:p w:rsidR="005570ED" w:rsidRDefault="005570ED" w:rsidP="006F545D">
            <w:pPr>
              <w:pStyle w:val="TableText"/>
            </w:pPr>
            <w:proofErr w:type="spellStart"/>
            <w:r>
              <w:t>DistCoast</w:t>
            </w:r>
            <w:proofErr w:type="spellEnd"/>
          </w:p>
        </w:tc>
        <w:tc>
          <w:tcPr>
            <w:tcW w:w="7465" w:type="dxa"/>
            <w:vAlign w:val="top"/>
          </w:tcPr>
          <w:p w:rsidR="005570ED" w:rsidRDefault="005570ED" w:rsidP="006F545D">
            <w:pPr>
              <w:pStyle w:val="TableText"/>
              <w:jc w:val="left"/>
              <w:cnfStyle w:val="000000000000" w:firstRow="0" w:lastRow="0" w:firstColumn="0" w:lastColumn="0" w:oddVBand="0" w:evenVBand="0" w:oddHBand="0" w:evenHBand="0" w:firstRowFirstColumn="0" w:firstRowLastColumn="0" w:lastRowFirstColumn="0" w:lastRowLastColumn="0"/>
            </w:pPr>
            <w:r>
              <w:t xml:space="preserve">Distance in metres to the nearest coastline (or major lake, where applicable). Can be measured </w:t>
            </w:r>
            <w:proofErr w:type="gramStart"/>
            <w:r>
              <w:t xml:space="preserve">either for </w:t>
            </w:r>
            <w:proofErr w:type="spellStart"/>
            <w:r>
              <w:t>meshblock</w:t>
            </w:r>
            <w:proofErr w:type="spellEnd"/>
            <w:r>
              <w:t xml:space="preserve"> centroids or individual</w:t>
            </w:r>
            <w:proofErr w:type="gramEnd"/>
            <w:r>
              <w:t xml:space="preserve"> property sales records.</w:t>
            </w:r>
          </w:p>
          <w:p w:rsidR="005570ED" w:rsidRPr="008D5CCF" w:rsidRDefault="005570ED" w:rsidP="006F545D">
            <w:pPr>
              <w:pStyle w:val="TableText"/>
              <w:jc w:val="left"/>
              <w:cnfStyle w:val="000000000000" w:firstRow="0" w:lastRow="0" w:firstColumn="0" w:lastColumn="0" w:oddVBand="0" w:evenVBand="0" w:oddHBand="0" w:evenHBand="0" w:firstRowFirstColumn="0" w:firstRowLastColumn="0" w:lastRowFirstColumn="0" w:lastRowLastColumn="0"/>
            </w:pPr>
            <w:r>
              <w:t xml:space="preserve">This variable controls for locations’ accessibility to natural amenities in the form of beaches and coastlines </w:t>
            </w:r>
          </w:p>
        </w:tc>
      </w:tr>
      <w:tr w:rsidR="005570ED" w:rsidRPr="008D5CCF" w:rsidTr="005570ED">
        <w:tblPrEx>
          <w:tblCellMar>
            <w:top w:w="0" w:type="dxa"/>
            <w:left w:w="0" w:type="dxa"/>
            <w:bottom w:w="0" w:type="dxa"/>
            <w:right w:w="0" w:type="dxa"/>
          </w:tblCellMar>
        </w:tblPrEx>
        <w:tc>
          <w:tcPr>
            <w:cnfStyle w:val="001000000000" w:firstRow="0" w:lastRow="0" w:firstColumn="1" w:lastColumn="0" w:oddVBand="0" w:evenVBand="0" w:oddHBand="0" w:evenHBand="0" w:firstRowFirstColumn="0" w:firstRowLastColumn="0" w:lastRowFirstColumn="0" w:lastRowLastColumn="0"/>
            <w:tcW w:w="1885" w:type="dxa"/>
            <w:vAlign w:val="top"/>
          </w:tcPr>
          <w:p w:rsidR="005570ED" w:rsidRDefault="005570ED" w:rsidP="006F545D">
            <w:pPr>
              <w:pStyle w:val="TableText"/>
            </w:pPr>
            <w:r>
              <w:t>TA</w:t>
            </w:r>
          </w:p>
        </w:tc>
        <w:tc>
          <w:tcPr>
            <w:tcW w:w="7465" w:type="dxa"/>
            <w:vAlign w:val="top"/>
          </w:tcPr>
          <w:p w:rsidR="005570ED" w:rsidRDefault="005570ED" w:rsidP="006F545D">
            <w:pPr>
              <w:pStyle w:val="TableText"/>
              <w:jc w:val="left"/>
              <w:cnfStyle w:val="000000000000" w:firstRow="0" w:lastRow="0" w:firstColumn="0" w:lastColumn="0" w:oddVBand="0" w:evenVBand="0" w:oddHBand="0" w:evenHBand="0" w:firstRowFirstColumn="0" w:firstRowLastColumn="0" w:lastRowFirstColumn="0" w:lastRowLastColumn="0"/>
            </w:pPr>
            <w:r>
              <w:t xml:space="preserve">Dummy variables for the territorial authority that the </w:t>
            </w:r>
            <w:proofErr w:type="spellStart"/>
            <w:r>
              <w:t>meshblock</w:t>
            </w:r>
            <w:proofErr w:type="spellEnd"/>
            <w:r>
              <w:t xml:space="preserve"> (or property sale) is located in</w:t>
            </w:r>
          </w:p>
          <w:p w:rsidR="005570ED" w:rsidRDefault="005570ED" w:rsidP="006F545D">
            <w:pPr>
              <w:pStyle w:val="TableText"/>
              <w:jc w:val="left"/>
              <w:cnfStyle w:val="000000000000" w:firstRow="0" w:lastRow="0" w:firstColumn="0" w:lastColumn="0" w:oddVBand="0" w:evenVBand="0" w:oddHBand="0" w:evenHBand="0" w:firstRowFirstColumn="0" w:firstRowLastColumn="0" w:lastRowFirstColumn="0" w:lastRowLastColumn="0"/>
            </w:pPr>
            <w:r>
              <w:t xml:space="preserve">This variable controls for variations in local property taxes (rates), infrastructure provision, regulatory approaches, </w:t>
            </w:r>
            <w:proofErr w:type="gramStart"/>
            <w:r>
              <w:t>and also</w:t>
            </w:r>
            <w:proofErr w:type="gramEnd"/>
            <w:r>
              <w:t xml:space="preserve"> different valuation dates between adjacent councils.</w:t>
            </w:r>
          </w:p>
          <w:p w:rsidR="005570ED" w:rsidRPr="008D5CCF" w:rsidRDefault="005570ED" w:rsidP="006F545D">
            <w:pPr>
              <w:pStyle w:val="TableText"/>
              <w:jc w:val="left"/>
              <w:cnfStyle w:val="000000000000" w:firstRow="0" w:lastRow="0" w:firstColumn="0" w:lastColumn="0" w:oddVBand="0" w:evenVBand="0" w:oddHBand="0" w:evenHBand="0" w:firstRowFirstColumn="0" w:firstRowLastColumn="0" w:lastRowFirstColumn="0" w:lastRowLastColumn="0"/>
            </w:pPr>
            <w:r>
              <w:t>In Hamilton, the urban boundary exactly coincides with the edge of TA boundaries. In this case, it may be necessary to estimate alternative models with and without the TA variables, with the understanding that the true value of the price discontinuity will lie between the values from the alternative models.</w:t>
            </w:r>
          </w:p>
        </w:tc>
      </w:tr>
      <w:tr w:rsidR="005570ED" w:rsidRPr="008D5CCF" w:rsidTr="005570ED">
        <w:tblPrEx>
          <w:tblCellMar>
            <w:top w:w="0" w:type="dxa"/>
            <w:left w:w="0" w:type="dxa"/>
            <w:bottom w:w="0" w:type="dxa"/>
            <w:right w:w="0" w:type="dxa"/>
          </w:tblCellMar>
        </w:tblPrEx>
        <w:tc>
          <w:tcPr>
            <w:cnfStyle w:val="001000000000" w:firstRow="0" w:lastRow="0" w:firstColumn="1" w:lastColumn="0" w:oddVBand="0" w:evenVBand="0" w:oddHBand="0" w:evenHBand="0" w:firstRowFirstColumn="0" w:firstRowLastColumn="0" w:lastRowFirstColumn="0" w:lastRowLastColumn="0"/>
            <w:tcW w:w="1885" w:type="dxa"/>
            <w:vAlign w:val="top"/>
          </w:tcPr>
          <w:p w:rsidR="005570ED" w:rsidRDefault="005570ED" w:rsidP="006F545D">
            <w:pPr>
              <w:pStyle w:val="TableText"/>
            </w:pPr>
            <w:r>
              <w:t>Income01</w:t>
            </w:r>
          </w:p>
        </w:tc>
        <w:tc>
          <w:tcPr>
            <w:tcW w:w="7465" w:type="dxa"/>
            <w:vAlign w:val="top"/>
          </w:tcPr>
          <w:p w:rsidR="005570ED" w:rsidRDefault="005570ED" w:rsidP="006F545D">
            <w:pPr>
              <w:pStyle w:val="TableText"/>
              <w:jc w:val="left"/>
              <w:cnfStyle w:val="000000000000" w:firstRow="0" w:lastRow="0" w:firstColumn="0" w:lastColumn="0" w:oddVBand="0" w:evenVBand="0" w:oddHBand="0" w:evenHBand="0" w:firstRowFirstColumn="0" w:firstRowLastColumn="0" w:lastRowFirstColumn="0" w:lastRowLastColumn="0"/>
            </w:pPr>
            <w:r>
              <w:t xml:space="preserve">Median household income within the Census </w:t>
            </w:r>
            <w:proofErr w:type="spellStart"/>
            <w:r>
              <w:t>meshblock</w:t>
            </w:r>
            <w:proofErr w:type="spellEnd"/>
            <w:r>
              <w:t>, measured at the 2001 Census</w:t>
            </w:r>
          </w:p>
          <w:p w:rsidR="005570ED" w:rsidRPr="008D5CCF" w:rsidRDefault="005570ED" w:rsidP="006F545D">
            <w:pPr>
              <w:pStyle w:val="TableText"/>
              <w:jc w:val="left"/>
              <w:cnfStyle w:val="000000000000" w:firstRow="0" w:lastRow="0" w:firstColumn="0" w:lastColumn="0" w:oddVBand="0" w:evenVBand="0" w:oddHBand="0" w:evenHBand="0" w:firstRowFirstColumn="0" w:firstRowLastColumn="0" w:lastRowFirstColumn="0" w:lastRowLastColumn="0"/>
            </w:pPr>
            <w:r>
              <w:t>This controls for areas’ amenity levels and demographic characteristics – eg the fact that higher-income households will tend to “sort” themselves into higher-amenity areas. Following Grimes and Liang (2009), we measure it in an earlier year to minimise endogeneity problems.</w:t>
            </w:r>
          </w:p>
        </w:tc>
      </w:tr>
      <w:tr w:rsidR="005570ED" w:rsidRPr="008D5CCF" w:rsidTr="005570ED">
        <w:tblPrEx>
          <w:tblCellMar>
            <w:top w:w="0" w:type="dxa"/>
            <w:left w:w="0" w:type="dxa"/>
            <w:bottom w:w="0" w:type="dxa"/>
            <w:right w:w="0"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885" w:type="dxa"/>
            <w:vAlign w:val="top"/>
          </w:tcPr>
          <w:p w:rsidR="005570ED" w:rsidRDefault="005570ED" w:rsidP="006F545D">
            <w:pPr>
              <w:pStyle w:val="TableText"/>
            </w:pPr>
            <w:r>
              <w:t>PopDen01</w:t>
            </w:r>
          </w:p>
        </w:tc>
        <w:tc>
          <w:tcPr>
            <w:tcW w:w="7465" w:type="dxa"/>
            <w:vAlign w:val="top"/>
          </w:tcPr>
          <w:p w:rsidR="005570ED" w:rsidRDefault="005570ED" w:rsidP="006F545D">
            <w:pPr>
              <w:pStyle w:val="TableText"/>
              <w:jc w:val="left"/>
              <w:cnfStyle w:val="010000000000" w:firstRow="0" w:lastRow="1" w:firstColumn="0" w:lastColumn="0" w:oddVBand="0" w:evenVBand="0" w:oddHBand="0" w:evenHBand="0" w:firstRowFirstColumn="0" w:firstRowLastColumn="0" w:lastRowFirstColumn="0" w:lastRowLastColumn="0"/>
            </w:pPr>
            <w:r>
              <w:t xml:space="preserve">Population density in within the Census </w:t>
            </w:r>
            <w:proofErr w:type="spellStart"/>
            <w:r>
              <w:t>meshblock</w:t>
            </w:r>
            <w:proofErr w:type="spellEnd"/>
            <w:r>
              <w:t>, measured at the 2001 Census.</w:t>
            </w:r>
          </w:p>
          <w:p w:rsidR="005570ED" w:rsidRDefault="005570ED" w:rsidP="006F545D">
            <w:pPr>
              <w:pStyle w:val="TableText"/>
              <w:jc w:val="left"/>
              <w:cnfStyle w:val="010000000000" w:firstRow="0" w:lastRow="1" w:firstColumn="0" w:lastColumn="0" w:oddVBand="0" w:evenVBand="0" w:oddHBand="0" w:evenHBand="0" w:firstRowFirstColumn="0" w:firstRowLastColumn="0" w:lastRowFirstColumn="0" w:lastRowLastColumn="0"/>
            </w:pPr>
            <w:r>
              <w:t>This controls for areas’ pre-existing level of development and demographics. Following Grimes and Liang (2009), we measure it in an earlier year to minimise endogeneity problems.</w:t>
            </w:r>
          </w:p>
        </w:tc>
      </w:tr>
    </w:tbl>
    <w:p w:rsidR="005570ED" w:rsidRDefault="005570ED" w:rsidP="005570ED">
      <w:pPr>
        <w:pStyle w:val="Annex3"/>
      </w:pPr>
      <w:r>
        <w:t>Modelling the impact of urban boundaries on land valuations</w:t>
      </w:r>
    </w:p>
    <w:p w:rsidR="005570ED" w:rsidRDefault="005570ED" w:rsidP="005570ED">
      <w:r>
        <w:t xml:space="preserve">In the first stage, we model land valuations, aggregated to 2013 Census </w:t>
      </w:r>
      <w:proofErr w:type="spellStart"/>
      <w:r>
        <w:t>meshblocks</w:t>
      </w:r>
      <w:proofErr w:type="spellEnd"/>
      <w:r>
        <w:t xml:space="preserve">, as a function of distance to urban boundaries and the control variables specified above. The model described here </w:t>
      </w:r>
      <w:proofErr w:type="gramStart"/>
      <w:r>
        <w:t>is estimated</w:t>
      </w:r>
      <w:proofErr w:type="gramEnd"/>
      <w:r>
        <w:t xml:space="preserve"> on a city-by-city basis. It provides more robust evidence of boundary discontinuities than descriptive statistics alone.</w:t>
      </w:r>
    </w:p>
    <w:p w:rsidR="005570ED" w:rsidRDefault="005570ED" w:rsidP="005570ED"/>
    <w:p w:rsidR="005570ED" w:rsidRDefault="005570ED" w:rsidP="005570ED">
      <w:r>
        <w:t>This model allows us to determine whether land immediately inside a city’s urban boundary (DistBoundary2) is valued more highly than land immediately outside the boundary (DistBoundary3), after other determinants of value (eg distance to the centre or coast) are taken into account.</w:t>
      </w:r>
    </w:p>
    <w:p w:rsidR="005570ED" w:rsidRDefault="005570ED" w:rsidP="005570ED"/>
    <w:p w:rsidR="005570ED" w:rsidRDefault="005570ED" w:rsidP="005570ED">
      <w:r>
        <w:lastRenderedPageBreak/>
        <w:t>We adapt the approaches of Grimes and Liang (2009) and Zheng (2013), testing two regression models with and without demographic controls. The purpose of the demographic controls is to control for the influence of localised amenities and other determinants of prices – eg areas with better amenities may attract higher-income people, all else being equal.</w:t>
      </w:r>
    </w:p>
    <w:p w:rsidR="005570ED" w:rsidRDefault="005570ED" w:rsidP="00E02811">
      <w:pPr>
        <w:pStyle w:val="Caption"/>
      </w:pPr>
      <w:r>
        <w:t xml:space="preserve">Equation </w:t>
      </w:r>
      <w:r>
        <w:fldChar w:fldCharType="begin"/>
      </w:r>
      <w:r>
        <w:instrText xml:space="preserve"> SEQ Equation \* ARABIC </w:instrText>
      </w:r>
      <w:r>
        <w:fldChar w:fldCharType="separate"/>
      </w:r>
      <w:r w:rsidR="004D1DDA">
        <w:rPr>
          <w:noProof/>
        </w:rPr>
        <w:t>1</w:t>
      </w:r>
      <w:r>
        <w:fldChar w:fldCharType="end"/>
      </w:r>
      <w:r>
        <w:t>: OLS Model 1: Without demographic controls</w:t>
      </w:r>
    </w:p>
    <w:p w:rsidR="005570ED" w:rsidRPr="004F296C" w:rsidRDefault="00B65F1A" w:rsidP="005570ED">
      <w:pPr>
        <w:rPr>
          <w:rFonts w:eastAsiaTheme="minorEastAsia"/>
        </w:rPr>
      </w:pPr>
      <m:oMathPara>
        <m:oMath>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sSub>
                    <m:sSubPr>
                      <m:ctrlPr>
                        <w:rPr>
                          <w:rFonts w:ascii="Cambria Math" w:hAnsi="Cambria Math"/>
                          <w:i/>
                        </w:rPr>
                      </m:ctrlPr>
                    </m:sSubPr>
                    <m:e>
                      <m:r>
                        <w:rPr>
                          <w:rFonts w:ascii="Cambria Math" w:hAnsi="Cambria Math"/>
                        </w:rPr>
                        <m:t>LV</m:t>
                      </m:r>
                    </m:e>
                    <m:sub>
                      <m:r>
                        <w:rPr>
                          <w:rFonts w:ascii="Cambria Math" w:hAnsi="Cambria Math"/>
                        </w:rPr>
                        <m:t>i</m:t>
                      </m:r>
                    </m:sub>
                  </m:sSub>
                </m:e>
              </m:d>
            </m:e>
          </m:func>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DistBoundary1</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DistBoundary2</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DistBoundary3</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DistBoundary4</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5</m:t>
              </m:r>
            </m:sub>
          </m:sSub>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log</m:t>
              </m:r>
              <m:ctrlPr>
                <w:rPr>
                  <w:rFonts w:ascii="Cambria Math" w:eastAsiaTheme="minorEastAsia" w:hAnsi="Cambria Math"/>
                  <w:i/>
                </w:rPr>
              </m:ctrlPr>
            </m:fName>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DistCBD</m:t>
                      </m:r>
                    </m:e>
                    <m:sub>
                      <m:r>
                        <w:rPr>
                          <w:rFonts w:ascii="Cambria Math" w:eastAsiaTheme="minorEastAsia" w:hAnsi="Cambria Math"/>
                        </w:rPr>
                        <m:t>i</m:t>
                      </m:r>
                    </m:sub>
                  </m:sSub>
                </m:e>
              </m:d>
            </m:e>
          </m:fun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6</m:t>
              </m:r>
            </m:sub>
          </m:sSub>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log</m:t>
              </m:r>
              <m:ctrlPr>
                <w:rPr>
                  <w:rFonts w:ascii="Cambria Math" w:eastAsiaTheme="minorEastAsia" w:hAnsi="Cambria Math"/>
                  <w:i/>
                </w:rPr>
              </m:ctrlPr>
            </m:fName>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DistCoast</m:t>
                      </m:r>
                    </m:e>
                    <m:sub>
                      <m:r>
                        <w:rPr>
                          <w:rFonts w:ascii="Cambria Math" w:eastAsiaTheme="minorEastAsia" w:hAnsi="Cambria Math"/>
                        </w:rPr>
                        <m:t>i</m:t>
                      </m:r>
                    </m:sub>
                  </m:sSub>
                </m:e>
              </m:d>
            </m:e>
          </m:func>
          <m:r>
            <w:rPr>
              <w:rFonts w:ascii="Cambria Math" w:eastAsiaTheme="minorEastAsia" w:hAnsi="Cambria Math"/>
            </w:rPr>
            <m:t>+</m:t>
          </m:r>
          <m:nary>
            <m:naryPr>
              <m:chr m:val="∑"/>
              <m:limLoc m:val="undOvr"/>
              <m:supHide m:val="1"/>
              <m:ctrlPr>
                <w:rPr>
                  <w:rFonts w:ascii="Cambria Math" w:eastAsiaTheme="minorEastAsia" w:hAnsi="Cambria Math"/>
                  <w:i/>
                </w:rPr>
              </m:ctrlPr>
            </m:naryPr>
            <m:sub>
              <m:r>
                <w:rPr>
                  <w:rFonts w:ascii="Cambria Math" w:eastAsiaTheme="minorEastAsia" w:hAnsi="Cambria Math"/>
                </w:rPr>
                <m:t>k</m:t>
              </m:r>
            </m:sub>
            <m:sup/>
            <m:e>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k</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TLA</m:t>
                  </m:r>
                </m:e>
                <m:sub>
                  <m:r>
                    <w:rPr>
                      <w:rFonts w:ascii="Cambria Math" w:eastAsiaTheme="minorEastAsia" w:hAnsi="Cambria Math"/>
                    </w:rPr>
                    <m:t>i</m:t>
                  </m:r>
                </m:sub>
                <m:sup>
                  <m:r>
                    <w:rPr>
                      <w:rFonts w:ascii="Cambria Math" w:eastAsiaTheme="minorEastAsia" w:hAnsi="Cambria Math"/>
                    </w:rPr>
                    <m:t>k</m:t>
                  </m:r>
                </m:sup>
              </m:sSubSup>
            </m:e>
          </m:nary>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i</m:t>
              </m:r>
            </m:sub>
          </m:sSub>
        </m:oMath>
      </m:oMathPara>
    </w:p>
    <w:p w:rsidR="005570ED" w:rsidRDefault="005570ED" w:rsidP="00E02811">
      <w:pPr>
        <w:pStyle w:val="Caption"/>
      </w:pPr>
      <w:r>
        <w:t xml:space="preserve">Equation </w:t>
      </w:r>
      <w:r>
        <w:fldChar w:fldCharType="begin"/>
      </w:r>
      <w:r>
        <w:instrText xml:space="preserve"> SEQ Equation \* ARABIC </w:instrText>
      </w:r>
      <w:r>
        <w:fldChar w:fldCharType="separate"/>
      </w:r>
      <w:r w:rsidR="004D1DDA">
        <w:rPr>
          <w:noProof/>
        </w:rPr>
        <w:t>2</w:t>
      </w:r>
      <w:r>
        <w:fldChar w:fldCharType="end"/>
      </w:r>
      <w:r>
        <w:t>: OLS Model 2: With demographic controls</w:t>
      </w:r>
    </w:p>
    <w:p w:rsidR="005570ED" w:rsidRPr="004F296C" w:rsidRDefault="00B65F1A" w:rsidP="005570ED">
      <w:pPr>
        <w:rPr>
          <w:rFonts w:eastAsiaTheme="minorEastAsia"/>
        </w:rPr>
      </w:pPr>
      <m:oMathPara>
        <m:oMath>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sSub>
                    <m:sSubPr>
                      <m:ctrlPr>
                        <w:rPr>
                          <w:rFonts w:ascii="Cambria Math" w:hAnsi="Cambria Math"/>
                          <w:i/>
                        </w:rPr>
                      </m:ctrlPr>
                    </m:sSubPr>
                    <m:e>
                      <m:r>
                        <w:rPr>
                          <w:rFonts w:ascii="Cambria Math" w:hAnsi="Cambria Math"/>
                        </w:rPr>
                        <m:t>LV</m:t>
                      </m:r>
                    </m:e>
                    <m:sub>
                      <m:r>
                        <w:rPr>
                          <w:rFonts w:ascii="Cambria Math" w:hAnsi="Cambria Math"/>
                        </w:rPr>
                        <m:t>i</m:t>
                      </m:r>
                    </m:sub>
                  </m:sSub>
                </m:e>
              </m:d>
            </m:e>
          </m:func>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DistBoundary1</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DistBoundary2</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DistBoundary3</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DistBoundary4</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5</m:t>
              </m:r>
            </m:sub>
          </m:sSub>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log</m:t>
              </m:r>
              <m:ctrlPr>
                <w:rPr>
                  <w:rFonts w:ascii="Cambria Math" w:eastAsiaTheme="minorEastAsia" w:hAnsi="Cambria Math"/>
                  <w:i/>
                </w:rPr>
              </m:ctrlPr>
            </m:fName>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DistCBD</m:t>
                      </m:r>
                    </m:e>
                    <m:sub>
                      <m:r>
                        <w:rPr>
                          <w:rFonts w:ascii="Cambria Math" w:eastAsiaTheme="minorEastAsia" w:hAnsi="Cambria Math"/>
                        </w:rPr>
                        <m:t>i</m:t>
                      </m:r>
                    </m:sub>
                  </m:sSub>
                </m:e>
              </m:d>
            </m:e>
          </m:fun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6</m:t>
              </m:r>
            </m:sub>
          </m:sSub>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log</m:t>
              </m:r>
              <m:ctrlPr>
                <w:rPr>
                  <w:rFonts w:ascii="Cambria Math" w:eastAsiaTheme="minorEastAsia" w:hAnsi="Cambria Math"/>
                  <w:i/>
                </w:rPr>
              </m:ctrlPr>
            </m:fName>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DistCoast</m:t>
                      </m:r>
                    </m:e>
                    <m:sub>
                      <m:r>
                        <w:rPr>
                          <w:rFonts w:ascii="Cambria Math" w:eastAsiaTheme="minorEastAsia" w:hAnsi="Cambria Math"/>
                        </w:rPr>
                        <m:t>i</m:t>
                      </m:r>
                    </m:sub>
                  </m:sSub>
                </m:e>
              </m:d>
            </m:e>
          </m:fun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6</m:t>
              </m:r>
            </m:sub>
          </m:sSub>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log</m:t>
              </m:r>
              <m:ctrlPr>
                <w:rPr>
                  <w:rFonts w:ascii="Cambria Math" w:eastAsiaTheme="minorEastAsia" w:hAnsi="Cambria Math"/>
                  <w:i/>
                </w:rPr>
              </m:ctrlPr>
            </m:fName>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Income01</m:t>
                      </m:r>
                    </m:e>
                    <m:sub>
                      <m:r>
                        <w:rPr>
                          <w:rFonts w:ascii="Cambria Math" w:eastAsiaTheme="minorEastAsia" w:hAnsi="Cambria Math"/>
                        </w:rPr>
                        <m:t>i</m:t>
                      </m:r>
                    </m:sub>
                  </m:sSub>
                </m:e>
              </m:d>
            </m:e>
          </m:fun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7</m:t>
              </m:r>
            </m:sub>
          </m:sSub>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log</m:t>
              </m:r>
              <m:ctrlPr>
                <w:rPr>
                  <w:rFonts w:ascii="Cambria Math" w:eastAsiaTheme="minorEastAsia" w:hAnsi="Cambria Math"/>
                  <w:i/>
                </w:rPr>
              </m:ctrlPr>
            </m:fName>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PopDen01</m:t>
                      </m:r>
                    </m:e>
                    <m:sub>
                      <m:r>
                        <w:rPr>
                          <w:rFonts w:ascii="Cambria Math" w:eastAsiaTheme="minorEastAsia" w:hAnsi="Cambria Math"/>
                        </w:rPr>
                        <m:t>i</m:t>
                      </m:r>
                    </m:sub>
                  </m:sSub>
                </m:e>
              </m:d>
            </m:e>
          </m:func>
          <m:r>
            <w:rPr>
              <w:rFonts w:ascii="Cambria Math" w:eastAsiaTheme="minorEastAsia" w:hAnsi="Cambria Math"/>
            </w:rPr>
            <m:t>+</m:t>
          </m:r>
          <m:nary>
            <m:naryPr>
              <m:chr m:val="∑"/>
              <m:limLoc m:val="undOvr"/>
              <m:supHide m:val="1"/>
              <m:ctrlPr>
                <w:rPr>
                  <w:rFonts w:ascii="Cambria Math" w:eastAsiaTheme="minorEastAsia" w:hAnsi="Cambria Math"/>
                  <w:i/>
                </w:rPr>
              </m:ctrlPr>
            </m:naryPr>
            <m:sub>
              <m:r>
                <w:rPr>
                  <w:rFonts w:ascii="Cambria Math" w:eastAsiaTheme="minorEastAsia" w:hAnsi="Cambria Math"/>
                </w:rPr>
                <m:t>k</m:t>
              </m:r>
            </m:sub>
            <m:sup/>
            <m:e>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k</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TLA</m:t>
                  </m:r>
                </m:e>
                <m:sub>
                  <m:r>
                    <w:rPr>
                      <w:rFonts w:ascii="Cambria Math" w:eastAsiaTheme="minorEastAsia" w:hAnsi="Cambria Math"/>
                    </w:rPr>
                    <m:t>i</m:t>
                  </m:r>
                </m:sub>
                <m:sup>
                  <m:r>
                    <w:rPr>
                      <w:rFonts w:ascii="Cambria Math" w:eastAsiaTheme="minorEastAsia" w:hAnsi="Cambria Math"/>
                    </w:rPr>
                    <m:t>k</m:t>
                  </m:r>
                </m:sup>
              </m:sSubSup>
            </m:e>
          </m:nary>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i</m:t>
              </m:r>
            </m:sub>
          </m:sSub>
        </m:oMath>
      </m:oMathPara>
    </w:p>
    <w:p w:rsidR="005570ED" w:rsidRDefault="005570ED" w:rsidP="005570ED">
      <w:pPr>
        <w:rPr>
          <w:rFonts w:eastAsiaTheme="minorEastAsia"/>
        </w:rPr>
      </w:pPr>
      <w:r>
        <w:rPr>
          <w:rFonts w:eastAsiaTheme="minorEastAsia"/>
        </w:rPr>
        <w:t xml:space="preserve">Where </w:t>
      </w:r>
      <w:proofErr w:type="spellStart"/>
      <w:r>
        <w:rPr>
          <w:rFonts w:eastAsiaTheme="minorEastAsia"/>
        </w:rPr>
        <w:t>LV</w:t>
      </w:r>
      <w:r w:rsidRPr="004F296C">
        <w:rPr>
          <w:rFonts w:eastAsiaTheme="minorEastAsia"/>
          <w:vertAlign w:val="subscript"/>
        </w:rPr>
        <w:t>i</w:t>
      </w:r>
      <w:proofErr w:type="spellEnd"/>
      <w:r>
        <w:rPr>
          <w:rFonts w:eastAsiaTheme="minorEastAsia"/>
        </w:rPr>
        <w:t xml:space="preserve"> is the average land value ($/ha) in </w:t>
      </w:r>
      <w:proofErr w:type="spellStart"/>
      <w:r>
        <w:rPr>
          <w:rFonts w:eastAsiaTheme="minorEastAsia"/>
        </w:rPr>
        <w:t>meshblock</w:t>
      </w:r>
      <w:proofErr w:type="spellEnd"/>
      <w:r>
        <w:rPr>
          <w:rFonts w:eastAsiaTheme="minorEastAsia"/>
        </w:rPr>
        <w:t xml:space="preserve"> </w:t>
      </w:r>
      <w:proofErr w:type="spellStart"/>
      <w:r>
        <w:rPr>
          <w:rFonts w:eastAsiaTheme="minorEastAsia"/>
        </w:rPr>
        <w:t>i</w:t>
      </w:r>
      <w:proofErr w:type="spellEnd"/>
      <w:r>
        <w:rPr>
          <w:rFonts w:eastAsiaTheme="minorEastAsia"/>
        </w:rPr>
        <w:t xml:space="preserve">, and all other variables are as described above. Note that many variables have been log-transformed to normalise them. </w:t>
      </w:r>
      <w:proofErr w:type="gramStart"/>
      <w:r>
        <w:rPr>
          <w:rFonts w:eastAsiaTheme="minorEastAsia"/>
        </w:rPr>
        <w:t xml:space="preserve">The </w:t>
      </w:r>
      <w:r>
        <w:rPr>
          <w:rFonts w:eastAsiaTheme="minorEastAsia"/>
        </w:rPr>
        <w:sym w:font="Symbol" w:char="F062"/>
      </w:r>
      <w:r>
        <w:rPr>
          <w:rFonts w:eastAsiaTheme="minorEastAsia"/>
        </w:rPr>
        <w:t xml:space="preserve"> and</w:t>
      </w:r>
      <w:proofErr w:type="gramEnd"/>
      <w:r>
        <w:rPr>
          <w:rFonts w:eastAsiaTheme="minorEastAsia"/>
        </w:rPr>
        <w:t xml:space="preserve"> </w:t>
      </w:r>
      <w:r>
        <w:rPr>
          <w:rFonts w:eastAsiaTheme="minorEastAsia"/>
        </w:rPr>
        <w:sym w:font="Symbol" w:char="F064"/>
      </w:r>
      <w:r>
        <w:rPr>
          <w:rFonts w:eastAsiaTheme="minorEastAsia"/>
        </w:rPr>
        <w:t xml:space="preserve"> terms are coefficients to be estimated in the model, and </w:t>
      </w:r>
      <w:r>
        <w:rPr>
          <w:rFonts w:eastAsiaTheme="minorEastAsia"/>
        </w:rPr>
        <w:sym w:font="Symbol" w:char="F065"/>
      </w:r>
      <w:proofErr w:type="spellStart"/>
      <w:r w:rsidRPr="004F296C">
        <w:rPr>
          <w:rFonts w:eastAsiaTheme="minorEastAsia"/>
          <w:vertAlign w:val="subscript"/>
        </w:rPr>
        <w:t>i</w:t>
      </w:r>
      <w:proofErr w:type="spellEnd"/>
      <w:r>
        <w:rPr>
          <w:rFonts w:eastAsiaTheme="minorEastAsia"/>
        </w:rPr>
        <w:t xml:space="preserve"> is a random error term with mean zero.</w:t>
      </w:r>
    </w:p>
    <w:p w:rsidR="005570ED" w:rsidRDefault="005570ED" w:rsidP="005570ED">
      <w:pPr>
        <w:rPr>
          <w:rFonts w:eastAsiaTheme="minorEastAsia"/>
        </w:rPr>
      </w:pPr>
    </w:p>
    <w:p w:rsidR="005570ED" w:rsidRPr="005F7D8B" w:rsidRDefault="005570ED" w:rsidP="005570ED">
      <w:pPr>
        <w:rPr>
          <w:rFonts w:eastAsiaTheme="minorEastAsia"/>
        </w:rPr>
      </w:pPr>
      <w:r>
        <w:rPr>
          <w:rFonts w:eastAsiaTheme="minorEastAsia"/>
        </w:rPr>
        <w:t xml:space="preserve">In Auckland and Wellington, we also included controls for distance to sub-regional centres, specified using the same approach as the </w:t>
      </w:r>
      <w:proofErr w:type="spellStart"/>
      <w:r>
        <w:rPr>
          <w:rFonts w:eastAsiaTheme="minorEastAsia"/>
        </w:rPr>
        <w:t>DistCBD</w:t>
      </w:r>
      <w:proofErr w:type="spellEnd"/>
      <w:r>
        <w:rPr>
          <w:rFonts w:eastAsiaTheme="minorEastAsia"/>
        </w:rPr>
        <w:t xml:space="preserve"> variables. Conversely, in Hamilton and Palmerston North, which are </w:t>
      </w:r>
      <w:r w:rsidRPr="006B247D">
        <w:rPr>
          <w:rFonts w:eastAsiaTheme="minorEastAsia"/>
        </w:rPr>
        <w:t>both inland</w:t>
      </w:r>
      <w:r>
        <w:rPr>
          <w:rFonts w:eastAsiaTheme="minorEastAsia"/>
        </w:rPr>
        <w:t xml:space="preserve"> cities</w:t>
      </w:r>
      <w:r w:rsidRPr="006B247D">
        <w:rPr>
          <w:rFonts w:eastAsiaTheme="minorEastAsia"/>
        </w:rPr>
        <w:t xml:space="preserve">, </w:t>
      </w:r>
      <w:r>
        <w:rPr>
          <w:rFonts w:eastAsiaTheme="minorEastAsia"/>
        </w:rPr>
        <w:t xml:space="preserve">we excluded the </w:t>
      </w:r>
      <w:proofErr w:type="spellStart"/>
      <w:r>
        <w:rPr>
          <w:rFonts w:eastAsiaTheme="minorEastAsia"/>
        </w:rPr>
        <w:t>DistCoast</w:t>
      </w:r>
      <w:proofErr w:type="spellEnd"/>
      <w:r>
        <w:rPr>
          <w:rFonts w:eastAsiaTheme="minorEastAsia"/>
        </w:rPr>
        <w:t xml:space="preserve"> variable.</w:t>
      </w:r>
    </w:p>
    <w:p w:rsidR="005570ED" w:rsidRDefault="005570ED" w:rsidP="005570ED">
      <w:pPr>
        <w:rPr>
          <w:rFonts w:eastAsiaTheme="minorEastAsia"/>
        </w:rPr>
      </w:pPr>
    </w:p>
    <w:p w:rsidR="005570ED" w:rsidRDefault="005570ED" w:rsidP="005570ED">
      <w:pPr>
        <w:rPr>
          <w:rFonts w:eastAsiaTheme="minorEastAsia"/>
        </w:rPr>
      </w:pPr>
      <w:r>
        <w:rPr>
          <w:rFonts w:eastAsiaTheme="minorEastAsia"/>
        </w:rPr>
        <w:t xml:space="preserve">We began by estimating these models using an ordinary least squares (OLS) model with heteroscedasticity-robust standard errors. After testing these models for spatial dependence (correlations between the error terms in neighbouring </w:t>
      </w:r>
      <w:proofErr w:type="spellStart"/>
      <w:r>
        <w:rPr>
          <w:rFonts w:eastAsiaTheme="minorEastAsia"/>
        </w:rPr>
        <w:t>meshblocks</w:t>
      </w:r>
      <w:proofErr w:type="spellEnd"/>
      <w:r>
        <w:rPr>
          <w:rFonts w:eastAsiaTheme="minorEastAsia"/>
        </w:rPr>
        <w:t>, which violate OLS modelling assumptions) using Moran’s I, we re-estimated them using spatial error models, which decompose the error term as follows:</w:t>
      </w:r>
    </w:p>
    <w:p w:rsidR="005570ED" w:rsidRDefault="005570ED" w:rsidP="00E02811">
      <w:pPr>
        <w:pStyle w:val="Caption"/>
        <w:rPr>
          <w:rFonts w:eastAsiaTheme="minorEastAsia"/>
        </w:rPr>
      </w:pPr>
      <w:r>
        <w:t xml:space="preserve">Equation </w:t>
      </w:r>
      <w:r>
        <w:fldChar w:fldCharType="begin"/>
      </w:r>
      <w:r>
        <w:instrText xml:space="preserve"> SEQ Equation \* ARABIC </w:instrText>
      </w:r>
      <w:r>
        <w:fldChar w:fldCharType="separate"/>
      </w:r>
      <w:r w:rsidR="004D1DDA">
        <w:rPr>
          <w:noProof/>
        </w:rPr>
        <w:t>3</w:t>
      </w:r>
      <w:r>
        <w:fldChar w:fldCharType="end"/>
      </w:r>
      <w:r>
        <w:t>: Decomposition of error terms in a spatial error model</w:t>
      </w:r>
    </w:p>
    <w:p w:rsidR="005570ED" w:rsidRPr="004F296C" w:rsidRDefault="00B65F1A" w:rsidP="005570ED">
      <m:oMathPara>
        <m:oMath>
          <m:sSub>
            <m:sSubPr>
              <m:ctrlPr>
                <w:rPr>
                  <w:rFonts w:ascii="Cambria Math" w:hAnsi="Cambria Math"/>
                  <w:i/>
                </w:rPr>
              </m:ctrlPr>
            </m:sSubPr>
            <m:e>
              <m:r>
                <w:rPr>
                  <w:rFonts w:ascii="Cambria Math" w:hAnsi="Cambria Math"/>
                </w:rPr>
                <m:t>ε</m:t>
              </m:r>
            </m:e>
            <m:sub>
              <m:r>
                <w:rPr>
                  <w:rFonts w:ascii="Cambria Math" w:hAnsi="Cambria Math"/>
                </w:rPr>
                <m:t>i</m:t>
              </m:r>
            </m:sub>
          </m:sSub>
          <m:r>
            <w:rPr>
              <w:rFonts w:ascii="Cambria Math" w:hAnsi="Cambria Math"/>
            </w:rPr>
            <m:t>=λ</m:t>
          </m:r>
          <m:sSub>
            <m:sSubPr>
              <m:ctrlPr>
                <w:rPr>
                  <w:rFonts w:ascii="Cambria Math" w:hAnsi="Cambria Math"/>
                  <w:i/>
                </w:rPr>
              </m:ctrlPr>
            </m:sSubPr>
            <m:e>
              <m:r>
                <w:rPr>
                  <w:rFonts w:ascii="Cambria Math" w:hAnsi="Cambria Math"/>
                </w:rPr>
                <m:t>W</m:t>
              </m:r>
            </m:e>
            <m:sub>
              <m:r>
                <w:rPr>
                  <w:rFonts w:ascii="Cambria Math" w:hAnsi="Cambria Math"/>
                </w:rPr>
                <m:t>ij</m:t>
              </m:r>
            </m:sub>
          </m:sSub>
          <m:sSub>
            <m:sSubPr>
              <m:ctrlPr>
                <w:rPr>
                  <w:rFonts w:ascii="Cambria Math" w:hAnsi="Cambria Math"/>
                  <w:i/>
                </w:rPr>
              </m:ctrlPr>
            </m:sSubPr>
            <m:e>
              <m:r>
                <w:rPr>
                  <w:rFonts w:ascii="Cambria Math" w:hAnsi="Cambria Math"/>
                </w:rPr>
                <m:t>ε</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ξ</m:t>
              </m:r>
            </m:e>
            <m:sub>
              <m:r>
                <w:rPr>
                  <w:rFonts w:ascii="Cambria Math" w:hAnsi="Cambria Math"/>
                </w:rPr>
                <m:t>i</m:t>
              </m:r>
            </m:sub>
          </m:sSub>
        </m:oMath>
      </m:oMathPara>
    </w:p>
    <w:p w:rsidR="005570ED" w:rsidRDefault="005570ED" w:rsidP="005570ED"/>
    <w:p w:rsidR="005570ED" w:rsidRDefault="005570ED" w:rsidP="005570ED">
      <w:r w:rsidRPr="004F296C">
        <w:t xml:space="preserve">where </w:t>
      </w:r>
      <w:proofErr w:type="spellStart"/>
      <w:r w:rsidRPr="004F296C">
        <w:t>ε</w:t>
      </w:r>
      <w:r w:rsidRPr="004F296C">
        <w:rPr>
          <w:vertAlign w:val="subscript"/>
        </w:rPr>
        <w:t>j</w:t>
      </w:r>
      <w:proofErr w:type="spellEnd"/>
      <w:r w:rsidRPr="004F296C">
        <w:t xml:space="preserve"> is a vector of error terms for </w:t>
      </w:r>
      <m:oMath>
        <m:r>
          <w:rPr>
            <w:rFonts w:ascii="Cambria Math" w:hAnsi="Cambria Math"/>
          </w:rPr>
          <m:t>j≠i</m:t>
        </m:r>
      </m:oMath>
      <w:r w:rsidRPr="004F296C">
        <w:t xml:space="preserve">, weighted using spatial weights matrix </w:t>
      </w:r>
      <w:proofErr w:type="spellStart"/>
      <w:r w:rsidRPr="004F296C">
        <w:rPr>
          <w:i/>
        </w:rPr>
        <w:t>W</w:t>
      </w:r>
      <w:r w:rsidRPr="004F296C">
        <w:rPr>
          <w:i/>
          <w:vertAlign w:val="subscript"/>
        </w:rPr>
        <w:t>ij</w:t>
      </w:r>
      <w:proofErr w:type="spellEnd"/>
      <w:r>
        <w:t xml:space="preserve"> based on a selected definition of neighbouring </w:t>
      </w:r>
      <w:proofErr w:type="spellStart"/>
      <w:r>
        <w:t>meshblocks</w:t>
      </w:r>
      <w:proofErr w:type="spellEnd"/>
      <w:r>
        <w:t>,</w:t>
      </w:r>
      <w:r w:rsidRPr="004F296C">
        <w:t xml:space="preserve"> </w:t>
      </w:r>
      <w:r w:rsidRPr="004F296C">
        <w:sym w:font="Symbol" w:char="F06C"/>
      </w:r>
      <w:r w:rsidRPr="004F296C">
        <w:t xml:space="preserve"> is the spatial error coefficient, </w:t>
      </w:r>
      <w:r w:rsidRPr="004F296C">
        <w:sym w:font="Symbol" w:char="F078"/>
      </w:r>
      <w:proofErr w:type="spellStart"/>
      <w:r w:rsidRPr="004F296C">
        <w:rPr>
          <w:vertAlign w:val="subscript"/>
        </w:rPr>
        <w:t>i</w:t>
      </w:r>
      <w:proofErr w:type="spellEnd"/>
      <w:r w:rsidRPr="004F296C">
        <w:t xml:space="preserve"> is a vector of uncorrelated error terms, and </w:t>
      </w:r>
      <w:r w:rsidRPr="004F296C">
        <w:rPr>
          <w:i/>
        </w:rPr>
        <w:t xml:space="preserve">j=1,2,…,n, </w:t>
      </w:r>
      <w:proofErr w:type="spellStart"/>
      <w:r w:rsidRPr="004F296C">
        <w:rPr>
          <w:i/>
        </w:rPr>
        <w:t>j≠i</w:t>
      </w:r>
      <w:proofErr w:type="spellEnd"/>
      <w:r w:rsidRPr="004F296C">
        <w:t xml:space="preserve"> are index values for </w:t>
      </w:r>
      <w:proofErr w:type="spellStart"/>
      <w:r>
        <w:t>meshblocks</w:t>
      </w:r>
      <w:proofErr w:type="spellEnd"/>
      <w:r w:rsidRPr="004F296C">
        <w:t xml:space="preserve">. </w:t>
      </w:r>
      <w:r>
        <w:t xml:space="preserve">As we are undertaking this analysis at the </w:t>
      </w:r>
      <w:proofErr w:type="spellStart"/>
      <w:r>
        <w:t>meshblock</w:t>
      </w:r>
      <w:proofErr w:type="spellEnd"/>
      <w:r>
        <w:t xml:space="preserve"> level, we have defined the “neighbourhood” for each individual </w:t>
      </w:r>
      <w:proofErr w:type="spellStart"/>
      <w:r>
        <w:t>meshblock</w:t>
      </w:r>
      <w:proofErr w:type="spellEnd"/>
      <w:r>
        <w:t xml:space="preserve"> as all </w:t>
      </w:r>
      <w:proofErr w:type="spellStart"/>
      <w:r>
        <w:t>meshblocks</w:t>
      </w:r>
      <w:proofErr w:type="spellEnd"/>
      <w:r>
        <w:t xml:space="preserve"> that share a boundary with a given </w:t>
      </w:r>
      <w:proofErr w:type="spellStart"/>
      <w:r>
        <w:t>meshblock</w:t>
      </w:r>
      <w:proofErr w:type="spellEnd"/>
      <w:r>
        <w:t>.</w:t>
      </w:r>
      <w:r>
        <w:rPr>
          <w:rStyle w:val="FootnoteReference"/>
        </w:rPr>
        <w:footnoteReference w:id="127"/>
      </w:r>
    </w:p>
    <w:p w:rsidR="005570ED" w:rsidRDefault="005570ED" w:rsidP="005570ED"/>
    <w:p w:rsidR="005570ED" w:rsidRDefault="005570ED" w:rsidP="005570ED">
      <w:r>
        <w:t>The first approach is probably more appropriate given the format of the data.</w:t>
      </w:r>
    </w:p>
    <w:p w:rsidR="005570ED" w:rsidRDefault="005570ED" w:rsidP="00183668">
      <w:pPr>
        <w:pStyle w:val="Annex3"/>
        <w:keepNext/>
      </w:pPr>
      <w:r>
        <w:lastRenderedPageBreak/>
        <w:t>Using property sale data as a robustness check</w:t>
      </w:r>
    </w:p>
    <w:p w:rsidR="005570ED" w:rsidRDefault="005570ED" w:rsidP="005570ED">
      <w:r>
        <w:t xml:space="preserve">As a robustness check on results based on land valuations, we recommend also modelling the impact of urban boundaries on prices for residential properties that </w:t>
      </w:r>
      <w:proofErr w:type="gramStart"/>
      <w:r>
        <w:t>are actually bought or sold</w:t>
      </w:r>
      <w:proofErr w:type="gramEnd"/>
      <w:r>
        <w:t xml:space="preserve">. The aim of this analysis is to ensure that the results from the first model (of land values) do not simply reflect the assumptions made by </w:t>
      </w:r>
      <w:proofErr w:type="spellStart"/>
      <w:r>
        <w:t>valuers</w:t>
      </w:r>
      <w:proofErr w:type="spellEnd"/>
      <w:r>
        <w:t>.</w:t>
      </w:r>
    </w:p>
    <w:p w:rsidR="005570ED" w:rsidRDefault="005570ED" w:rsidP="005570ED"/>
    <w:p w:rsidR="005570ED" w:rsidRDefault="005570ED" w:rsidP="005570ED">
      <w:r>
        <w:t xml:space="preserve">If the coefficients on the </w:t>
      </w:r>
      <w:proofErr w:type="spellStart"/>
      <w:r>
        <w:t>DistBoundary</w:t>
      </w:r>
      <w:proofErr w:type="spellEnd"/>
      <w:r>
        <w:t xml:space="preserve"> variables in this model exhibit the same sign and statistical significance as the coefficients from the previous model, then it suggests that the observed boundary discontinuity is a “real” phenomenon rather than an artefact of valuation methodologies.</w:t>
      </w:r>
    </w:p>
    <w:p w:rsidR="005570ED" w:rsidRDefault="005570ED" w:rsidP="005570ED"/>
    <w:p w:rsidR="005570ED" w:rsidRDefault="005570ED" w:rsidP="005570ED">
      <w:r>
        <w:t>The model used to test this is similar to the one used above, except that it includes additional control variables for dwelling characteristics. This model should be applied to sales of detached houses (property type RD) and lifestyle blocks (property type LI) that were sold in the same calendar year as the ratings valuation was conducted.</w:t>
      </w:r>
    </w:p>
    <w:p w:rsidR="005570ED" w:rsidRDefault="005570ED" w:rsidP="005570ED"/>
    <w:p w:rsidR="005570ED" w:rsidRDefault="005570ED" w:rsidP="00E02811">
      <w:pPr>
        <w:pStyle w:val="Caption"/>
      </w:pPr>
      <w:r>
        <w:t xml:space="preserve">Equation </w:t>
      </w:r>
      <w:r>
        <w:fldChar w:fldCharType="begin"/>
      </w:r>
      <w:r>
        <w:instrText xml:space="preserve"> SEQ Equation \* ARABIC </w:instrText>
      </w:r>
      <w:r>
        <w:fldChar w:fldCharType="separate"/>
      </w:r>
      <w:r w:rsidR="004D1DDA">
        <w:rPr>
          <w:noProof/>
        </w:rPr>
        <w:t>4</w:t>
      </w:r>
      <w:r>
        <w:fldChar w:fldCharType="end"/>
      </w:r>
      <w:r>
        <w:t>: Proposed OLS model for robustness checks using property sales data</w:t>
      </w:r>
    </w:p>
    <w:p w:rsidR="005570ED" w:rsidRPr="004F296C" w:rsidRDefault="00B65F1A" w:rsidP="005570ED">
      <w:pPr>
        <w:rPr>
          <w:rFonts w:eastAsiaTheme="minorEastAsia"/>
        </w:rPr>
      </w:pPr>
      <m:oMathPara>
        <m:oMath>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sSub>
                    <m:sSubPr>
                      <m:ctrlPr>
                        <w:rPr>
                          <w:rFonts w:ascii="Cambria Math" w:hAnsi="Cambria Math"/>
                          <w:i/>
                        </w:rPr>
                      </m:ctrlPr>
                    </m:sSubPr>
                    <m:e>
                      <m:r>
                        <w:rPr>
                          <w:rFonts w:ascii="Cambria Math" w:hAnsi="Cambria Math"/>
                        </w:rPr>
                        <m:t>Price</m:t>
                      </m:r>
                    </m:e>
                    <m:sub>
                      <m:r>
                        <w:rPr>
                          <w:rFonts w:ascii="Cambria Math" w:hAnsi="Cambria Math"/>
                        </w:rPr>
                        <m:t>i</m:t>
                      </m:r>
                    </m:sub>
                  </m:sSub>
                </m:e>
              </m:d>
            </m:e>
          </m:func>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DistBoundary1</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DistBoundary2</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DistBoundary3</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DistBoundary4</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5</m:t>
              </m:r>
            </m:sub>
          </m:sSub>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log</m:t>
              </m:r>
              <m:ctrlPr>
                <w:rPr>
                  <w:rFonts w:ascii="Cambria Math" w:eastAsiaTheme="minorEastAsia" w:hAnsi="Cambria Math"/>
                  <w:i/>
                </w:rPr>
              </m:ctrlPr>
            </m:fName>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DistCBD</m:t>
                      </m:r>
                    </m:e>
                    <m:sub>
                      <m:r>
                        <w:rPr>
                          <w:rFonts w:ascii="Cambria Math" w:eastAsiaTheme="minorEastAsia" w:hAnsi="Cambria Math"/>
                        </w:rPr>
                        <m:t>i</m:t>
                      </m:r>
                    </m:sub>
                  </m:sSub>
                </m:e>
              </m:d>
            </m:e>
          </m:fun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6</m:t>
              </m:r>
            </m:sub>
          </m:sSub>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log</m:t>
              </m:r>
              <m:ctrlPr>
                <w:rPr>
                  <w:rFonts w:ascii="Cambria Math" w:eastAsiaTheme="minorEastAsia" w:hAnsi="Cambria Math"/>
                  <w:i/>
                </w:rPr>
              </m:ctrlPr>
            </m:fName>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DistCoast</m:t>
                      </m:r>
                    </m:e>
                    <m:sub>
                      <m:r>
                        <w:rPr>
                          <w:rFonts w:ascii="Cambria Math" w:eastAsiaTheme="minorEastAsia" w:hAnsi="Cambria Math"/>
                        </w:rPr>
                        <m:t>i</m:t>
                      </m:r>
                    </m:sub>
                  </m:sSub>
                </m:e>
              </m:d>
            </m:e>
          </m:fun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6</m:t>
              </m:r>
            </m:sub>
          </m:sSub>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log</m:t>
              </m:r>
              <m:ctrlPr>
                <w:rPr>
                  <w:rFonts w:ascii="Cambria Math" w:eastAsiaTheme="minorEastAsia" w:hAnsi="Cambria Math"/>
                  <w:i/>
                </w:rPr>
              </m:ctrlPr>
            </m:fName>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Income01</m:t>
                      </m:r>
                    </m:e>
                    <m:sub>
                      <m:r>
                        <w:rPr>
                          <w:rFonts w:ascii="Cambria Math" w:eastAsiaTheme="minorEastAsia" w:hAnsi="Cambria Math"/>
                        </w:rPr>
                        <m:t>i</m:t>
                      </m:r>
                    </m:sub>
                  </m:sSub>
                </m:e>
              </m:d>
            </m:e>
          </m:fun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7</m:t>
              </m:r>
            </m:sub>
          </m:sSub>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log</m:t>
              </m:r>
              <m:ctrlPr>
                <w:rPr>
                  <w:rFonts w:ascii="Cambria Math" w:eastAsiaTheme="minorEastAsia" w:hAnsi="Cambria Math"/>
                  <w:i/>
                </w:rPr>
              </m:ctrlPr>
            </m:fName>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PopDen01</m:t>
                      </m:r>
                    </m:e>
                    <m:sub>
                      <m:r>
                        <w:rPr>
                          <w:rFonts w:ascii="Cambria Math" w:eastAsiaTheme="minorEastAsia" w:hAnsi="Cambria Math"/>
                        </w:rPr>
                        <m:t>i</m:t>
                      </m:r>
                    </m:sub>
                  </m:sSub>
                </m:e>
              </m:d>
            </m:e>
          </m:fun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8</m:t>
              </m:r>
            </m:sub>
          </m:sSub>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log</m:t>
              </m:r>
              <m:ctrlPr>
                <w:rPr>
                  <w:rFonts w:ascii="Cambria Math" w:eastAsiaTheme="minorEastAsia" w:hAnsi="Cambria Math"/>
                  <w:i/>
                </w:rPr>
              </m:ctrlPr>
            </m:fName>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Land</m:t>
                      </m:r>
                    </m:e>
                    <m:sub>
                      <m:r>
                        <w:rPr>
                          <w:rFonts w:ascii="Cambria Math" w:eastAsiaTheme="minorEastAsia" w:hAnsi="Cambria Math"/>
                        </w:rPr>
                        <m:t>i</m:t>
                      </m:r>
                    </m:sub>
                  </m:sSub>
                </m:e>
              </m:d>
            </m:e>
          </m:fun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8</m:t>
              </m:r>
            </m:sub>
          </m:sSub>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log</m:t>
              </m:r>
              <m:ctrlPr>
                <w:rPr>
                  <w:rFonts w:ascii="Cambria Math" w:eastAsiaTheme="minorEastAsia" w:hAnsi="Cambria Math"/>
                  <w:i/>
                </w:rPr>
              </m:ctrlPr>
            </m:fName>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Floorspace</m:t>
                      </m:r>
                    </m:e>
                    <m:sub>
                      <m:r>
                        <w:rPr>
                          <w:rFonts w:ascii="Cambria Math" w:eastAsiaTheme="minorEastAsia" w:hAnsi="Cambria Math"/>
                        </w:rPr>
                        <m:t>i</m:t>
                      </m:r>
                    </m:sub>
                  </m:sSub>
                </m:e>
              </m:d>
            </m:e>
          </m:fun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9</m:t>
              </m:r>
            </m:sub>
          </m:sSub>
          <m: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Age</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10</m:t>
              </m:r>
            </m:sub>
          </m:sSub>
          <m: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Condition</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11</m:t>
              </m:r>
            </m:sub>
          </m:sSub>
          <m: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Garage</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12</m:t>
              </m:r>
            </m:sub>
          </m:sSub>
          <m: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View</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13</m:t>
              </m:r>
            </m:sub>
          </m:sSub>
          <m: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Type</m:t>
              </m:r>
            </m:e>
            <m:sub>
              <m:r>
                <w:rPr>
                  <w:rFonts w:ascii="Cambria Math" w:eastAsiaTheme="minorEastAsia" w:hAnsi="Cambria Math"/>
                </w:rPr>
                <m:t>i</m:t>
              </m:r>
            </m:sub>
          </m:sSub>
          <m:r>
            <w:rPr>
              <w:rFonts w:ascii="Cambria Math" w:eastAsiaTheme="minorEastAsia" w:hAnsi="Cambria Math"/>
            </w:rPr>
            <m:t>+</m:t>
          </m:r>
          <m:nary>
            <m:naryPr>
              <m:chr m:val="∑"/>
              <m:limLoc m:val="undOvr"/>
              <m:supHide m:val="1"/>
              <m:ctrlPr>
                <w:rPr>
                  <w:rFonts w:ascii="Cambria Math" w:eastAsiaTheme="minorEastAsia" w:hAnsi="Cambria Math"/>
                  <w:i/>
                </w:rPr>
              </m:ctrlPr>
            </m:naryPr>
            <m:sub>
              <m:r>
                <w:rPr>
                  <w:rFonts w:ascii="Cambria Math" w:eastAsiaTheme="minorEastAsia" w:hAnsi="Cambria Math"/>
                </w:rPr>
                <m:t>k</m:t>
              </m:r>
            </m:sub>
            <m:sup/>
            <m:e>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13+k</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TLA</m:t>
                  </m:r>
                </m:e>
                <m:sub>
                  <m:r>
                    <w:rPr>
                      <w:rFonts w:ascii="Cambria Math" w:eastAsiaTheme="minorEastAsia" w:hAnsi="Cambria Math"/>
                    </w:rPr>
                    <m:t>i</m:t>
                  </m:r>
                </m:sub>
                <m:sup>
                  <m:r>
                    <w:rPr>
                      <w:rFonts w:ascii="Cambria Math" w:eastAsiaTheme="minorEastAsia" w:hAnsi="Cambria Math"/>
                    </w:rPr>
                    <m:t>k</m:t>
                  </m:r>
                </m:sup>
              </m:sSubSup>
            </m:e>
          </m:nary>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i</m:t>
              </m:r>
            </m:sub>
          </m:sSub>
        </m:oMath>
      </m:oMathPara>
    </w:p>
    <w:p w:rsidR="005570ED" w:rsidRDefault="005570ED" w:rsidP="005570ED">
      <w:pPr>
        <w:rPr>
          <w:rFonts w:eastAsiaTheme="minorEastAsia"/>
        </w:rPr>
      </w:pPr>
    </w:p>
    <w:p w:rsidR="005570ED" w:rsidRDefault="005570ED" w:rsidP="005570ED">
      <w:pPr>
        <w:rPr>
          <w:rFonts w:eastAsiaTheme="minorEastAsia"/>
        </w:rPr>
      </w:pPr>
      <w:r>
        <w:rPr>
          <w:rFonts w:eastAsiaTheme="minorEastAsia"/>
        </w:rPr>
        <w:t xml:space="preserve">Where </w:t>
      </w:r>
      <w:proofErr w:type="spellStart"/>
      <w:r>
        <w:rPr>
          <w:rFonts w:eastAsiaTheme="minorEastAsia"/>
        </w:rPr>
        <w:t>Price</w:t>
      </w:r>
      <w:r w:rsidRPr="004F296C">
        <w:rPr>
          <w:rFonts w:eastAsiaTheme="minorEastAsia"/>
          <w:vertAlign w:val="subscript"/>
        </w:rPr>
        <w:t>i</w:t>
      </w:r>
      <w:proofErr w:type="spellEnd"/>
      <w:r>
        <w:rPr>
          <w:rFonts w:eastAsiaTheme="minorEastAsia"/>
        </w:rPr>
        <w:t xml:space="preserve"> is the sale price for dwelling </w:t>
      </w:r>
      <w:proofErr w:type="spellStart"/>
      <w:r>
        <w:rPr>
          <w:rFonts w:eastAsiaTheme="minorEastAsia"/>
        </w:rPr>
        <w:t>i</w:t>
      </w:r>
      <w:proofErr w:type="spellEnd"/>
      <w:r>
        <w:rPr>
          <w:rFonts w:eastAsiaTheme="minorEastAsia"/>
        </w:rPr>
        <w:t xml:space="preserve">, and all other variables are as described </w:t>
      </w:r>
      <w:proofErr w:type="gramStart"/>
      <w:r>
        <w:rPr>
          <w:rFonts w:eastAsiaTheme="minorEastAsia"/>
        </w:rPr>
        <w:t>above</w:t>
      </w:r>
      <w:proofErr w:type="gramEnd"/>
      <w:r>
        <w:rPr>
          <w:rFonts w:eastAsiaTheme="minorEastAsia"/>
        </w:rPr>
        <w:t xml:space="preserve">. Note that many variables have been log-transformed to normalise them. The </w:t>
      </w:r>
      <w:r>
        <w:rPr>
          <w:rFonts w:eastAsiaTheme="minorEastAsia"/>
        </w:rPr>
        <w:sym w:font="Symbol" w:char="F064"/>
      </w:r>
      <w:r>
        <w:rPr>
          <w:rFonts w:eastAsiaTheme="minorEastAsia"/>
        </w:rPr>
        <w:t xml:space="preserve"> terms are coefficients to be estimated in the model, and </w:t>
      </w:r>
      <w:r>
        <w:rPr>
          <w:rFonts w:eastAsiaTheme="minorEastAsia"/>
        </w:rPr>
        <w:sym w:font="Symbol" w:char="F065"/>
      </w:r>
      <w:proofErr w:type="spellStart"/>
      <w:r w:rsidRPr="004F296C">
        <w:rPr>
          <w:rFonts w:eastAsiaTheme="minorEastAsia"/>
          <w:vertAlign w:val="subscript"/>
        </w:rPr>
        <w:t>i</w:t>
      </w:r>
      <w:proofErr w:type="spellEnd"/>
      <w:r>
        <w:rPr>
          <w:rFonts w:eastAsiaTheme="minorEastAsia"/>
        </w:rPr>
        <w:t xml:space="preserve"> </w:t>
      </w:r>
      <w:proofErr w:type="gramStart"/>
      <w:r>
        <w:rPr>
          <w:rFonts w:eastAsiaTheme="minorEastAsia"/>
        </w:rPr>
        <w:t>is</w:t>
      </w:r>
      <w:proofErr w:type="gramEnd"/>
      <w:r>
        <w:rPr>
          <w:rFonts w:eastAsiaTheme="minorEastAsia"/>
        </w:rPr>
        <w:t xml:space="preserve"> a random error term with mean zero.</w:t>
      </w:r>
    </w:p>
    <w:p w:rsidR="005570ED" w:rsidRDefault="005570ED" w:rsidP="005570ED">
      <w:pPr>
        <w:rPr>
          <w:rFonts w:eastAsiaTheme="minorEastAsia"/>
        </w:rPr>
      </w:pPr>
    </w:p>
    <w:p w:rsidR="005570ED" w:rsidRDefault="005570ED" w:rsidP="005570ED">
      <w:pPr>
        <w:rPr>
          <w:rFonts w:eastAsiaTheme="minorEastAsia"/>
        </w:rPr>
      </w:pPr>
      <w:r>
        <w:rPr>
          <w:rFonts w:eastAsiaTheme="minorEastAsia"/>
        </w:rPr>
        <w:t>Note that this model also includes the following variables controlli</w:t>
      </w:r>
      <w:r w:rsidR="00183668">
        <w:rPr>
          <w:rFonts w:eastAsiaTheme="minorEastAsia"/>
        </w:rPr>
        <w:t>ng for dwelling characteristics (</w:t>
      </w:r>
      <w:r w:rsidR="00183668">
        <w:rPr>
          <w:rFonts w:eastAsiaTheme="minorEastAsia"/>
        </w:rPr>
        <w:fldChar w:fldCharType="begin"/>
      </w:r>
      <w:r w:rsidR="00183668">
        <w:rPr>
          <w:rFonts w:eastAsiaTheme="minorEastAsia"/>
        </w:rPr>
        <w:instrText xml:space="preserve"> REF _Ref462581571 \h </w:instrText>
      </w:r>
      <w:r w:rsidR="00183668">
        <w:rPr>
          <w:rFonts w:eastAsiaTheme="minorEastAsia"/>
        </w:rPr>
      </w:r>
      <w:r w:rsidR="00183668">
        <w:rPr>
          <w:rFonts w:eastAsiaTheme="minorEastAsia"/>
        </w:rPr>
        <w:fldChar w:fldCharType="separate"/>
      </w:r>
      <w:r w:rsidR="004D1DDA">
        <w:t xml:space="preserve">Table </w:t>
      </w:r>
      <w:r w:rsidR="004D1DDA">
        <w:rPr>
          <w:noProof/>
        </w:rPr>
        <w:t>36</w:t>
      </w:r>
      <w:r w:rsidR="00183668">
        <w:rPr>
          <w:rFonts w:eastAsiaTheme="minorEastAsia"/>
        </w:rPr>
        <w:fldChar w:fldCharType="end"/>
      </w:r>
      <w:r w:rsidR="00183668">
        <w:rPr>
          <w:rFonts w:eastAsiaTheme="minorEastAsia"/>
        </w:rPr>
        <w:t>).</w:t>
      </w:r>
    </w:p>
    <w:p w:rsidR="005570ED" w:rsidRDefault="00183668" w:rsidP="00183668">
      <w:pPr>
        <w:pStyle w:val="Caption"/>
        <w:rPr>
          <w:rFonts w:eastAsiaTheme="minorEastAsia"/>
        </w:rPr>
      </w:pPr>
      <w:bookmarkStart w:id="511" w:name="_Ref462581571"/>
      <w:r>
        <w:t xml:space="preserve">Table </w:t>
      </w:r>
      <w:r>
        <w:fldChar w:fldCharType="begin"/>
      </w:r>
      <w:r>
        <w:instrText xml:space="preserve"> SEQ Table \* ARABIC </w:instrText>
      </w:r>
      <w:r>
        <w:fldChar w:fldCharType="separate"/>
      </w:r>
      <w:r w:rsidR="004D1DDA">
        <w:rPr>
          <w:noProof/>
        </w:rPr>
        <w:t>36</w:t>
      </w:r>
      <w:r>
        <w:fldChar w:fldCharType="end"/>
      </w:r>
      <w:bookmarkEnd w:id="511"/>
      <w:r>
        <w:t xml:space="preserve"> Variable descriptions</w:t>
      </w:r>
    </w:p>
    <w:tbl>
      <w:tblPr>
        <w:tblStyle w:val="CovecTables"/>
        <w:tblW w:w="0" w:type="auto"/>
        <w:tblLook w:val="04E0" w:firstRow="1" w:lastRow="1" w:firstColumn="1" w:lastColumn="0" w:noHBand="0" w:noVBand="1"/>
      </w:tblPr>
      <w:tblGrid>
        <w:gridCol w:w="1713"/>
        <w:gridCol w:w="6395"/>
      </w:tblGrid>
      <w:tr w:rsidR="005570ED" w:rsidTr="005570E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85" w:type="dxa"/>
          </w:tcPr>
          <w:p w:rsidR="005570ED" w:rsidRDefault="005570ED" w:rsidP="006F545D">
            <w:pPr>
              <w:pStyle w:val="TableText"/>
            </w:pPr>
            <w:r>
              <w:t>Variable</w:t>
            </w:r>
          </w:p>
        </w:tc>
        <w:tc>
          <w:tcPr>
            <w:tcW w:w="7465" w:type="dxa"/>
          </w:tcPr>
          <w:p w:rsidR="005570ED" w:rsidRDefault="005570ED" w:rsidP="00183668">
            <w:pPr>
              <w:pStyle w:val="TableText"/>
              <w:jc w:val="left"/>
              <w:cnfStyle w:val="100000000000" w:firstRow="1" w:lastRow="0" w:firstColumn="0" w:lastColumn="0" w:oddVBand="0" w:evenVBand="0" w:oddHBand="0" w:evenHBand="0" w:firstRowFirstColumn="0" w:firstRowLastColumn="0" w:lastRowFirstColumn="0" w:lastRowLastColumn="0"/>
            </w:pPr>
            <w:r>
              <w:t>Description</w:t>
            </w:r>
          </w:p>
        </w:tc>
      </w:tr>
      <w:tr w:rsidR="005570ED" w:rsidRPr="008D5CCF" w:rsidTr="005570ED">
        <w:tblPrEx>
          <w:tblCellMar>
            <w:top w:w="0" w:type="dxa"/>
            <w:left w:w="0" w:type="dxa"/>
            <w:bottom w:w="0" w:type="dxa"/>
            <w:right w:w="0" w:type="dxa"/>
          </w:tblCellMar>
        </w:tblPrEx>
        <w:tc>
          <w:tcPr>
            <w:cnfStyle w:val="001000000000" w:firstRow="0" w:lastRow="0" w:firstColumn="1" w:lastColumn="0" w:oddVBand="0" w:evenVBand="0" w:oddHBand="0" w:evenHBand="0" w:firstRowFirstColumn="0" w:firstRowLastColumn="0" w:lastRowFirstColumn="0" w:lastRowLastColumn="0"/>
            <w:tcW w:w="1885" w:type="dxa"/>
          </w:tcPr>
          <w:p w:rsidR="005570ED" w:rsidRDefault="005570ED" w:rsidP="006F545D">
            <w:pPr>
              <w:pStyle w:val="TableText"/>
            </w:pPr>
            <w:r>
              <w:t>Land</w:t>
            </w:r>
          </w:p>
        </w:tc>
        <w:tc>
          <w:tcPr>
            <w:tcW w:w="7465" w:type="dxa"/>
          </w:tcPr>
          <w:p w:rsidR="005570ED" w:rsidRPr="008D5CCF" w:rsidRDefault="005570ED" w:rsidP="00183668">
            <w:pPr>
              <w:pStyle w:val="TableText"/>
              <w:jc w:val="left"/>
              <w:cnfStyle w:val="000000000000" w:firstRow="0" w:lastRow="0" w:firstColumn="0" w:lastColumn="0" w:oddVBand="0" w:evenVBand="0" w:oddHBand="0" w:evenHBand="0" w:firstRowFirstColumn="0" w:firstRowLastColumn="0" w:lastRowFirstColumn="0" w:lastRowLastColumn="0"/>
            </w:pPr>
            <w:r>
              <w:t>Land area (either in hectares or square metres) of the residential property</w:t>
            </w:r>
          </w:p>
        </w:tc>
      </w:tr>
      <w:tr w:rsidR="005570ED" w:rsidRPr="008D5CCF" w:rsidTr="005570ED">
        <w:tblPrEx>
          <w:tblCellMar>
            <w:top w:w="0" w:type="dxa"/>
            <w:left w:w="0" w:type="dxa"/>
            <w:bottom w:w="0" w:type="dxa"/>
            <w:right w:w="0" w:type="dxa"/>
          </w:tblCellMar>
        </w:tblPrEx>
        <w:tc>
          <w:tcPr>
            <w:cnfStyle w:val="001000000000" w:firstRow="0" w:lastRow="0" w:firstColumn="1" w:lastColumn="0" w:oddVBand="0" w:evenVBand="0" w:oddHBand="0" w:evenHBand="0" w:firstRowFirstColumn="0" w:firstRowLastColumn="0" w:lastRowFirstColumn="0" w:lastRowLastColumn="0"/>
            <w:tcW w:w="1885" w:type="dxa"/>
          </w:tcPr>
          <w:p w:rsidR="005570ED" w:rsidRDefault="005570ED" w:rsidP="006F545D">
            <w:pPr>
              <w:pStyle w:val="TableText"/>
            </w:pPr>
            <w:r>
              <w:t>Floorspace</w:t>
            </w:r>
          </w:p>
        </w:tc>
        <w:tc>
          <w:tcPr>
            <w:tcW w:w="7465" w:type="dxa"/>
          </w:tcPr>
          <w:p w:rsidR="005570ED" w:rsidRPr="008D5CCF" w:rsidRDefault="005570ED" w:rsidP="00183668">
            <w:pPr>
              <w:pStyle w:val="TableText"/>
              <w:jc w:val="left"/>
              <w:cnfStyle w:val="000000000000" w:firstRow="0" w:lastRow="0" w:firstColumn="0" w:lastColumn="0" w:oddVBand="0" w:evenVBand="0" w:oddHBand="0" w:evenHBand="0" w:firstRowFirstColumn="0" w:firstRowLastColumn="0" w:lastRowFirstColumn="0" w:lastRowLastColumn="0"/>
            </w:pPr>
            <w:r>
              <w:t>Floor area (in square metres) of the residential property</w:t>
            </w:r>
          </w:p>
        </w:tc>
      </w:tr>
      <w:tr w:rsidR="005570ED" w:rsidRPr="008D5CCF" w:rsidTr="005570ED">
        <w:tblPrEx>
          <w:tblCellMar>
            <w:top w:w="0" w:type="dxa"/>
            <w:left w:w="0" w:type="dxa"/>
            <w:bottom w:w="0" w:type="dxa"/>
            <w:right w:w="0" w:type="dxa"/>
          </w:tblCellMar>
        </w:tblPrEx>
        <w:tc>
          <w:tcPr>
            <w:cnfStyle w:val="001000000000" w:firstRow="0" w:lastRow="0" w:firstColumn="1" w:lastColumn="0" w:oddVBand="0" w:evenVBand="0" w:oddHBand="0" w:evenHBand="0" w:firstRowFirstColumn="0" w:firstRowLastColumn="0" w:lastRowFirstColumn="0" w:lastRowLastColumn="0"/>
            <w:tcW w:w="1885" w:type="dxa"/>
          </w:tcPr>
          <w:p w:rsidR="005570ED" w:rsidRDefault="005570ED" w:rsidP="006F545D">
            <w:pPr>
              <w:pStyle w:val="TableText"/>
            </w:pPr>
            <w:r>
              <w:t>Age</w:t>
            </w:r>
          </w:p>
        </w:tc>
        <w:tc>
          <w:tcPr>
            <w:tcW w:w="7465" w:type="dxa"/>
          </w:tcPr>
          <w:p w:rsidR="005570ED" w:rsidRPr="008D5CCF" w:rsidRDefault="005570ED" w:rsidP="00183668">
            <w:pPr>
              <w:pStyle w:val="TableText"/>
              <w:jc w:val="left"/>
              <w:cnfStyle w:val="000000000000" w:firstRow="0" w:lastRow="0" w:firstColumn="0" w:lastColumn="0" w:oddVBand="0" w:evenVBand="0" w:oddHBand="0" w:evenHBand="0" w:firstRowFirstColumn="0" w:firstRowLastColumn="0" w:lastRowFirstColumn="0" w:lastRowLastColumn="0"/>
            </w:pPr>
            <w:r>
              <w:t>An indicator variable for the decade that the building was constructed</w:t>
            </w:r>
          </w:p>
        </w:tc>
      </w:tr>
      <w:tr w:rsidR="005570ED" w:rsidRPr="008D5CCF" w:rsidTr="005570ED">
        <w:tblPrEx>
          <w:tblCellMar>
            <w:top w:w="0" w:type="dxa"/>
            <w:left w:w="0" w:type="dxa"/>
            <w:bottom w:w="0" w:type="dxa"/>
            <w:right w:w="0" w:type="dxa"/>
          </w:tblCellMar>
        </w:tblPrEx>
        <w:tc>
          <w:tcPr>
            <w:cnfStyle w:val="001000000000" w:firstRow="0" w:lastRow="0" w:firstColumn="1" w:lastColumn="0" w:oddVBand="0" w:evenVBand="0" w:oddHBand="0" w:evenHBand="0" w:firstRowFirstColumn="0" w:firstRowLastColumn="0" w:lastRowFirstColumn="0" w:lastRowLastColumn="0"/>
            <w:tcW w:w="1885" w:type="dxa"/>
          </w:tcPr>
          <w:p w:rsidR="005570ED" w:rsidRDefault="005570ED" w:rsidP="006F545D">
            <w:pPr>
              <w:pStyle w:val="TableText"/>
            </w:pPr>
            <w:r>
              <w:t>Condition</w:t>
            </w:r>
          </w:p>
        </w:tc>
        <w:tc>
          <w:tcPr>
            <w:tcW w:w="7465" w:type="dxa"/>
          </w:tcPr>
          <w:p w:rsidR="005570ED" w:rsidRPr="008D5CCF" w:rsidRDefault="005570ED" w:rsidP="00183668">
            <w:pPr>
              <w:pStyle w:val="TableText"/>
              <w:jc w:val="left"/>
              <w:cnfStyle w:val="000000000000" w:firstRow="0" w:lastRow="0" w:firstColumn="0" w:lastColumn="0" w:oddVBand="0" w:evenVBand="0" w:oddHBand="0" w:evenHBand="0" w:firstRowFirstColumn="0" w:firstRowLastColumn="0" w:lastRowFirstColumn="0" w:lastRowLastColumn="0"/>
            </w:pPr>
            <w:r>
              <w:t>An indicator variable for the condition of the building’s walls and roof</w:t>
            </w:r>
          </w:p>
        </w:tc>
      </w:tr>
      <w:tr w:rsidR="005570ED" w:rsidTr="005570ED">
        <w:tblPrEx>
          <w:tblCellMar>
            <w:top w:w="0" w:type="dxa"/>
            <w:left w:w="0" w:type="dxa"/>
            <w:bottom w:w="0" w:type="dxa"/>
            <w:right w:w="0" w:type="dxa"/>
          </w:tblCellMar>
        </w:tblPrEx>
        <w:tc>
          <w:tcPr>
            <w:cnfStyle w:val="001000000000" w:firstRow="0" w:lastRow="0" w:firstColumn="1" w:lastColumn="0" w:oddVBand="0" w:evenVBand="0" w:oddHBand="0" w:evenHBand="0" w:firstRowFirstColumn="0" w:firstRowLastColumn="0" w:lastRowFirstColumn="0" w:lastRowLastColumn="0"/>
            <w:tcW w:w="1885" w:type="dxa"/>
          </w:tcPr>
          <w:p w:rsidR="005570ED" w:rsidRDefault="005570ED" w:rsidP="006F545D">
            <w:pPr>
              <w:pStyle w:val="TableText"/>
            </w:pPr>
            <w:r>
              <w:t>Garage</w:t>
            </w:r>
          </w:p>
        </w:tc>
        <w:tc>
          <w:tcPr>
            <w:tcW w:w="7465" w:type="dxa"/>
          </w:tcPr>
          <w:p w:rsidR="005570ED" w:rsidRDefault="005570ED" w:rsidP="00183668">
            <w:pPr>
              <w:pStyle w:val="TableText"/>
              <w:jc w:val="left"/>
              <w:cnfStyle w:val="000000000000" w:firstRow="0" w:lastRow="0" w:firstColumn="0" w:lastColumn="0" w:oddVBand="0" w:evenVBand="0" w:oddHBand="0" w:evenHBand="0" w:firstRowFirstColumn="0" w:firstRowLastColumn="0" w:lastRowFirstColumn="0" w:lastRowLastColumn="0"/>
            </w:pPr>
            <w:r>
              <w:t>An indicator of whether or not the dwelling has a garage. May be expressed as two separate variables – one for freestanding garages and one for garages under the main roof.</w:t>
            </w:r>
          </w:p>
        </w:tc>
      </w:tr>
      <w:tr w:rsidR="005570ED" w:rsidTr="005570ED">
        <w:tblPrEx>
          <w:tblCellMar>
            <w:top w:w="0" w:type="dxa"/>
            <w:left w:w="0" w:type="dxa"/>
            <w:bottom w:w="0" w:type="dxa"/>
            <w:right w:w="0" w:type="dxa"/>
          </w:tblCellMar>
        </w:tblPrEx>
        <w:tc>
          <w:tcPr>
            <w:cnfStyle w:val="001000000000" w:firstRow="0" w:lastRow="0" w:firstColumn="1" w:lastColumn="0" w:oddVBand="0" w:evenVBand="0" w:oddHBand="0" w:evenHBand="0" w:firstRowFirstColumn="0" w:firstRowLastColumn="0" w:lastRowFirstColumn="0" w:lastRowLastColumn="0"/>
            <w:tcW w:w="1885" w:type="dxa"/>
          </w:tcPr>
          <w:p w:rsidR="005570ED" w:rsidRDefault="005570ED" w:rsidP="006F545D">
            <w:pPr>
              <w:pStyle w:val="TableText"/>
            </w:pPr>
            <w:r>
              <w:t>View</w:t>
            </w:r>
          </w:p>
        </w:tc>
        <w:tc>
          <w:tcPr>
            <w:tcW w:w="7465" w:type="dxa"/>
          </w:tcPr>
          <w:p w:rsidR="005570ED" w:rsidRDefault="005570ED" w:rsidP="00183668">
            <w:pPr>
              <w:pStyle w:val="TableText"/>
              <w:jc w:val="left"/>
              <w:cnfStyle w:val="000000000000" w:firstRow="0" w:lastRow="0" w:firstColumn="0" w:lastColumn="0" w:oddVBand="0" w:evenVBand="0" w:oddHBand="0" w:evenHBand="0" w:firstRowFirstColumn="0" w:firstRowLastColumn="0" w:lastRowFirstColumn="0" w:lastRowLastColumn="0"/>
            </w:pPr>
            <w:r>
              <w:t>An indicator variable of whether the dwelling has a sea view, land view, or no view at all.</w:t>
            </w:r>
          </w:p>
        </w:tc>
      </w:tr>
      <w:tr w:rsidR="005570ED" w:rsidTr="005570ED">
        <w:tblPrEx>
          <w:tblCellMar>
            <w:top w:w="0" w:type="dxa"/>
            <w:left w:w="0" w:type="dxa"/>
            <w:bottom w:w="0" w:type="dxa"/>
            <w:right w:w="0"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885" w:type="dxa"/>
          </w:tcPr>
          <w:p w:rsidR="005570ED" w:rsidRDefault="005570ED" w:rsidP="006F545D">
            <w:pPr>
              <w:pStyle w:val="TableText"/>
            </w:pPr>
            <w:r>
              <w:t>Type</w:t>
            </w:r>
          </w:p>
        </w:tc>
        <w:tc>
          <w:tcPr>
            <w:tcW w:w="7465" w:type="dxa"/>
          </w:tcPr>
          <w:p w:rsidR="005570ED" w:rsidRDefault="005570ED" w:rsidP="00183668">
            <w:pPr>
              <w:pStyle w:val="TableText"/>
              <w:jc w:val="left"/>
              <w:cnfStyle w:val="010000000000" w:firstRow="0" w:lastRow="1" w:firstColumn="0" w:lastColumn="0" w:oddVBand="0" w:evenVBand="0" w:oddHBand="0" w:evenHBand="0" w:firstRowFirstColumn="0" w:firstRowLastColumn="0" w:lastRowFirstColumn="0" w:lastRowLastColumn="0"/>
            </w:pPr>
            <w:r>
              <w:t xml:space="preserve">An indicator of the property type – ie detached house (RD) or lifestyle block (LI). </w:t>
            </w:r>
          </w:p>
        </w:tc>
      </w:tr>
    </w:tbl>
    <w:p w:rsidR="005570ED" w:rsidRDefault="005570ED" w:rsidP="005570ED">
      <w:pPr>
        <w:rPr>
          <w:rFonts w:eastAsiaTheme="minorEastAsia"/>
        </w:rPr>
      </w:pPr>
    </w:p>
    <w:p w:rsidR="005570ED" w:rsidRPr="005F7D8B" w:rsidRDefault="005570ED" w:rsidP="005570ED">
      <w:pPr>
        <w:rPr>
          <w:rFonts w:eastAsiaTheme="minorEastAsia"/>
        </w:rPr>
      </w:pPr>
      <w:r>
        <w:rPr>
          <w:rFonts w:eastAsiaTheme="minorEastAsia"/>
        </w:rPr>
        <w:lastRenderedPageBreak/>
        <w:t xml:space="preserve">As above, this model </w:t>
      </w:r>
      <w:proofErr w:type="gramStart"/>
      <w:r>
        <w:rPr>
          <w:rFonts w:eastAsiaTheme="minorEastAsia"/>
        </w:rPr>
        <w:t xml:space="preserve">can be extended to include variables for distance to sub-regional centres in Auckland and Wellington, and simplified to exclude the </w:t>
      </w:r>
      <w:proofErr w:type="spellStart"/>
      <w:r>
        <w:rPr>
          <w:rFonts w:eastAsiaTheme="minorEastAsia"/>
        </w:rPr>
        <w:t>DistCoast</w:t>
      </w:r>
      <w:proofErr w:type="spellEnd"/>
      <w:r>
        <w:rPr>
          <w:rFonts w:eastAsiaTheme="minorEastAsia"/>
        </w:rPr>
        <w:t xml:space="preserve"> variable in inland cities Hamilton and Palmerston North</w:t>
      </w:r>
      <w:proofErr w:type="gramEnd"/>
      <w:r>
        <w:rPr>
          <w:rFonts w:eastAsiaTheme="minorEastAsia"/>
        </w:rPr>
        <w:t>.</w:t>
      </w:r>
    </w:p>
    <w:p w:rsidR="005570ED" w:rsidRDefault="005570ED" w:rsidP="005570ED">
      <w:pPr>
        <w:rPr>
          <w:rFonts w:eastAsiaTheme="minorEastAsia"/>
        </w:rPr>
      </w:pPr>
    </w:p>
    <w:p w:rsidR="005570ED" w:rsidRDefault="005570ED" w:rsidP="005570ED">
      <w:pPr>
        <w:rPr>
          <w:rFonts w:eastAsiaTheme="minorEastAsia"/>
        </w:rPr>
      </w:pPr>
      <w:r>
        <w:rPr>
          <w:rFonts w:eastAsiaTheme="minorEastAsia"/>
        </w:rPr>
        <w:t>Begin by estimating this model using an ordinary least squares (OLS) model with heteroscedasticity-robust standard errors. Then estimate it using a spatial error model, which decomposes the error term as follows:</w:t>
      </w:r>
    </w:p>
    <w:p w:rsidR="005570ED" w:rsidRDefault="005570ED" w:rsidP="005570ED">
      <w:pPr>
        <w:rPr>
          <w:rFonts w:eastAsiaTheme="minorEastAsia"/>
        </w:rPr>
      </w:pPr>
    </w:p>
    <w:p w:rsidR="005570ED" w:rsidRPr="004F296C" w:rsidRDefault="00B65F1A" w:rsidP="005570ED">
      <m:oMathPara>
        <m:oMath>
          <m:sSub>
            <m:sSubPr>
              <m:ctrlPr>
                <w:rPr>
                  <w:rFonts w:ascii="Cambria Math" w:hAnsi="Cambria Math"/>
                  <w:i/>
                </w:rPr>
              </m:ctrlPr>
            </m:sSubPr>
            <m:e>
              <m:r>
                <w:rPr>
                  <w:rFonts w:ascii="Cambria Math" w:hAnsi="Cambria Math"/>
                </w:rPr>
                <m:t>ε</m:t>
              </m:r>
            </m:e>
            <m:sub>
              <m:r>
                <w:rPr>
                  <w:rFonts w:ascii="Cambria Math" w:hAnsi="Cambria Math"/>
                </w:rPr>
                <m:t>i</m:t>
              </m:r>
            </m:sub>
          </m:sSub>
          <m:r>
            <w:rPr>
              <w:rFonts w:ascii="Cambria Math" w:hAnsi="Cambria Math"/>
            </w:rPr>
            <m:t>=λ</m:t>
          </m:r>
          <m:sSub>
            <m:sSubPr>
              <m:ctrlPr>
                <w:rPr>
                  <w:rFonts w:ascii="Cambria Math" w:hAnsi="Cambria Math"/>
                  <w:i/>
                </w:rPr>
              </m:ctrlPr>
            </m:sSubPr>
            <m:e>
              <m:r>
                <w:rPr>
                  <w:rFonts w:ascii="Cambria Math" w:hAnsi="Cambria Math"/>
                </w:rPr>
                <m:t>W</m:t>
              </m:r>
            </m:e>
            <m:sub>
              <m:r>
                <w:rPr>
                  <w:rFonts w:ascii="Cambria Math" w:hAnsi="Cambria Math"/>
                </w:rPr>
                <m:t>ij</m:t>
              </m:r>
            </m:sub>
          </m:sSub>
          <m:sSub>
            <m:sSubPr>
              <m:ctrlPr>
                <w:rPr>
                  <w:rFonts w:ascii="Cambria Math" w:hAnsi="Cambria Math"/>
                  <w:i/>
                </w:rPr>
              </m:ctrlPr>
            </m:sSubPr>
            <m:e>
              <m:r>
                <w:rPr>
                  <w:rFonts w:ascii="Cambria Math" w:hAnsi="Cambria Math"/>
                </w:rPr>
                <m:t>ε</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ξ</m:t>
              </m:r>
            </m:e>
            <m:sub>
              <m:r>
                <w:rPr>
                  <w:rFonts w:ascii="Cambria Math" w:hAnsi="Cambria Math"/>
                </w:rPr>
                <m:t>i</m:t>
              </m:r>
            </m:sub>
          </m:sSub>
        </m:oMath>
      </m:oMathPara>
    </w:p>
    <w:p w:rsidR="005570ED" w:rsidRDefault="005570ED" w:rsidP="005570ED"/>
    <w:p w:rsidR="005570ED" w:rsidRDefault="005570ED" w:rsidP="005570ED">
      <w:r w:rsidRPr="004F296C">
        <w:t xml:space="preserve">where </w:t>
      </w:r>
      <w:proofErr w:type="spellStart"/>
      <w:r w:rsidRPr="004F296C">
        <w:t>ε</w:t>
      </w:r>
      <w:r w:rsidRPr="004F296C">
        <w:rPr>
          <w:vertAlign w:val="subscript"/>
        </w:rPr>
        <w:t>j</w:t>
      </w:r>
      <w:proofErr w:type="spellEnd"/>
      <w:r w:rsidRPr="004F296C">
        <w:t xml:space="preserve"> is a vector of error terms for </w:t>
      </w:r>
      <m:oMath>
        <m:r>
          <w:rPr>
            <w:rFonts w:ascii="Cambria Math" w:hAnsi="Cambria Math"/>
          </w:rPr>
          <m:t>j≠i</m:t>
        </m:r>
      </m:oMath>
      <w:r w:rsidRPr="004F296C">
        <w:t xml:space="preserve">, weighted using spatial weights matrix </w:t>
      </w:r>
      <w:proofErr w:type="spellStart"/>
      <w:r w:rsidRPr="004F296C">
        <w:rPr>
          <w:i/>
        </w:rPr>
        <w:t>W</w:t>
      </w:r>
      <w:r w:rsidRPr="004F296C">
        <w:rPr>
          <w:i/>
          <w:vertAlign w:val="subscript"/>
        </w:rPr>
        <w:t>ij</w:t>
      </w:r>
      <w:proofErr w:type="spellEnd"/>
      <w:r>
        <w:t xml:space="preserve"> based on a selected definition of neighbouring properties,</w:t>
      </w:r>
      <w:r w:rsidRPr="004F296C">
        <w:t xml:space="preserve"> </w:t>
      </w:r>
      <w:r w:rsidRPr="004F296C">
        <w:sym w:font="Symbol" w:char="F06C"/>
      </w:r>
      <w:r w:rsidRPr="004F296C">
        <w:t xml:space="preserve"> is the spatial error coefficient, </w:t>
      </w:r>
      <w:r w:rsidRPr="004F296C">
        <w:sym w:font="Symbol" w:char="F078"/>
      </w:r>
      <w:proofErr w:type="spellStart"/>
      <w:r w:rsidRPr="004F296C">
        <w:rPr>
          <w:vertAlign w:val="subscript"/>
        </w:rPr>
        <w:t>i</w:t>
      </w:r>
      <w:proofErr w:type="spellEnd"/>
      <w:r w:rsidRPr="004F296C">
        <w:t xml:space="preserve"> is a vector of uncorrelated error terms, and </w:t>
      </w:r>
      <w:r w:rsidRPr="004F296C">
        <w:rPr>
          <w:i/>
        </w:rPr>
        <w:t xml:space="preserve">j=1,2,…,n, </w:t>
      </w:r>
      <w:proofErr w:type="spellStart"/>
      <w:r w:rsidRPr="004F296C">
        <w:rPr>
          <w:i/>
        </w:rPr>
        <w:t>j≠i</w:t>
      </w:r>
      <w:proofErr w:type="spellEnd"/>
      <w:r w:rsidRPr="004F296C">
        <w:t xml:space="preserve"> are index values for </w:t>
      </w:r>
      <w:r>
        <w:t>property sales.</w:t>
      </w:r>
    </w:p>
    <w:p w:rsidR="005570ED" w:rsidRDefault="005570ED" w:rsidP="005570ED"/>
    <w:p w:rsidR="005570ED" w:rsidRPr="00A77263" w:rsidRDefault="005570ED" w:rsidP="005570ED">
      <w:r>
        <w:t xml:space="preserve">The recommended approach to defining a neighbourhood for residential property sales is to define neighbours as those within a short straight-line distance of the property, approximating the walking catchment around each property. Following </w:t>
      </w:r>
      <w:proofErr w:type="spellStart"/>
      <w:r>
        <w:t>Nunns</w:t>
      </w:r>
      <w:proofErr w:type="spellEnd"/>
      <w:r>
        <w:t xml:space="preserve"> et al (2015), we recommend using a distance of 1.25km, which roughly approximates a 15-minute walk.</w:t>
      </w:r>
    </w:p>
    <w:p w:rsidR="005570ED" w:rsidRDefault="005570ED" w:rsidP="005570ED">
      <w:pPr>
        <w:pStyle w:val="Annex2"/>
      </w:pPr>
      <w:bookmarkStart w:id="512" w:name="_Toc462582265"/>
      <w:r>
        <w:t>Estimating land development costs</w:t>
      </w:r>
      <w:bookmarkEnd w:id="512"/>
    </w:p>
    <w:p w:rsidR="00D83B52" w:rsidRPr="004C33D1" w:rsidRDefault="00D83B52" w:rsidP="00D83B52">
      <w:r w:rsidRPr="004C33D1">
        <w:t>To estimate land development costs, we drew on two BRANZ reports on the cost of new house construction, which provide data on costs in a number of locations around New Zealand.</w:t>
      </w:r>
      <w:r w:rsidRPr="004C33D1">
        <w:rPr>
          <w:rStyle w:val="FootnoteReference"/>
        </w:rPr>
        <w:footnoteReference w:id="128"/>
      </w:r>
      <w:r w:rsidRPr="004C33D1">
        <w:t xml:space="preserve"> We supplemented this with information on three subdivisions in south Auckland and the northern Waikato from a subdivision company.</w:t>
      </w:r>
      <w:r w:rsidRPr="004C33D1">
        <w:rPr>
          <w:rStyle w:val="FootnoteReference"/>
        </w:rPr>
        <w:footnoteReference w:id="129"/>
      </w:r>
      <w:r w:rsidRPr="004C33D1">
        <w:t xml:space="preserve"> According to these sources, land development costs include:</w:t>
      </w:r>
    </w:p>
    <w:p w:rsidR="00D83B52" w:rsidRPr="004C33D1" w:rsidRDefault="00D83B52" w:rsidP="00D83B52"/>
    <w:p w:rsidR="00D83B52" w:rsidRPr="004C33D1" w:rsidRDefault="00D83B52" w:rsidP="00411653">
      <w:pPr>
        <w:pStyle w:val="ListParagraph"/>
        <w:numPr>
          <w:ilvl w:val="0"/>
          <w:numId w:val="48"/>
        </w:numPr>
      </w:pPr>
      <w:proofErr w:type="spellStart"/>
      <w:r w:rsidRPr="004C33D1">
        <w:t>Siteworks</w:t>
      </w:r>
      <w:proofErr w:type="spellEnd"/>
      <w:r w:rsidRPr="004C33D1">
        <w:t xml:space="preserve"> and infrastructure, eg earthworks, electrical infrastructure, landscaping;</w:t>
      </w:r>
    </w:p>
    <w:p w:rsidR="00D83B52" w:rsidRPr="004C33D1" w:rsidRDefault="00D83B52" w:rsidP="00411653">
      <w:pPr>
        <w:pStyle w:val="ListParagraph"/>
        <w:numPr>
          <w:ilvl w:val="0"/>
          <w:numId w:val="48"/>
        </w:numPr>
      </w:pPr>
      <w:r w:rsidRPr="004C33D1">
        <w:t>Professional fees, eg infrastructure design and quantity surveying;</w:t>
      </w:r>
    </w:p>
    <w:p w:rsidR="00D83B52" w:rsidRPr="004C33D1" w:rsidRDefault="00D83B52" w:rsidP="00411653">
      <w:pPr>
        <w:pStyle w:val="ListParagraph"/>
        <w:numPr>
          <w:ilvl w:val="0"/>
          <w:numId w:val="48"/>
        </w:numPr>
      </w:pPr>
      <w:r w:rsidRPr="004C33D1">
        <w:t>Subdivision resource consents; and</w:t>
      </w:r>
    </w:p>
    <w:p w:rsidR="00D83B52" w:rsidRPr="004C33D1" w:rsidRDefault="00D83B52" w:rsidP="00411653">
      <w:pPr>
        <w:pStyle w:val="ListParagraph"/>
        <w:numPr>
          <w:ilvl w:val="0"/>
          <w:numId w:val="48"/>
        </w:numPr>
      </w:pPr>
      <w:r w:rsidRPr="004C33D1">
        <w:t xml:space="preserve">Development and financial contributions for network infrastructure – in principle, these should reflect a large share of network infrastructure costs, but in </w:t>
      </w:r>
      <w:proofErr w:type="gramStart"/>
      <w:r w:rsidRPr="004C33D1">
        <w:t>practice</w:t>
      </w:r>
      <w:proofErr w:type="gramEnd"/>
      <w:r w:rsidRPr="004C33D1">
        <w:t xml:space="preserve"> the degree to which they do so will depend upon individual councils’ pricing policies, especially for water and wastewater infrastructure where there are large variations in council practices.</w:t>
      </w:r>
    </w:p>
    <w:p w:rsidR="00D83B52" w:rsidRPr="004C33D1" w:rsidRDefault="00D83B52" w:rsidP="00D83B52"/>
    <w:p w:rsidR="00D83B52" w:rsidRPr="004C33D1" w:rsidRDefault="00D83B52" w:rsidP="00D83B52">
      <w:r w:rsidRPr="004C33D1">
        <w:fldChar w:fldCharType="begin"/>
      </w:r>
      <w:r w:rsidRPr="004C33D1">
        <w:instrText xml:space="preserve"> REF _Ref455682530 \h </w:instrText>
      </w:r>
      <w:r w:rsidRPr="004C33D1">
        <w:fldChar w:fldCharType="separate"/>
      </w:r>
      <w:r w:rsidR="004D1DDA" w:rsidRPr="004C33D1">
        <w:t xml:space="preserve">Table </w:t>
      </w:r>
      <w:r w:rsidR="004D1DDA">
        <w:rPr>
          <w:noProof/>
        </w:rPr>
        <w:t>37</w:t>
      </w:r>
      <w:r w:rsidRPr="004C33D1">
        <w:fldChar w:fldCharType="end"/>
      </w:r>
      <w:r w:rsidRPr="004C33D1">
        <w:t xml:space="preserve"> summarises this data on land development costs. On a per-section basis, land development costs range from $63,525 (Northland) to $386,608 (Queenstown). Average subdivision costs were highest in Queenstown by a considerable margin. They were also higher, on average, in Auckland than in the Waikato, Hawkes Bay, or Wellington.</w:t>
      </w:r>
    </w:p>
    <w:p w:rsidR="00D83B52" w:rsidRPr="004C33D1" w:rsidRDefault="00D83B52" w:rsidP="00D83B52"/>
    <w:p w:rsidR="00D83B52" w:rsidRPr="004C33D1" w:rsidRDefault="00D83B52" w:rsidP="00D83B52">
      <w:r w:rsidRPr="004C33D1">
        <w:lastRenderedPageBreak/>
        <w:t xml:space="preserve">According to a personal communication with John </w:t>
      </w:r>
      <w:proofErr w:type="spellStart"/>
      <w:r w:rsidRPr="004C33D1">
        <w:t>Gasson</w:t>
      </w:r>
      <w:proofErr w:type="spellEnd"/>
      <w:r w:rsidRPr="004C33D1">
        <w:t xml:space="preserve"> (The Subdivision Company), variations in land development costs per section are more likely to reflect councils’ development contributions policies and local terrain, rather than variations in lot size:</w:t>
      </w:r>
    </w:p>
    <w:p w:rsidR="00D83B52" w:rsidRPr="004C33D1" w:rsidRDefault="00D83B52" w:rsidP="00D83B52"/>
    <w:p w:rsidR="00D83B52" w:rsidRPr="004C33D1" w:rsidRDefault="00D83B52" w:rsidP="00D83B52">
      <w:pPr>
        <w:ind w:left="357"/>
      </w:pPr>
      <w:r w:rsidRPr="004C33D1">
        <w:t xml:space="preserve">“Construction costs, engineering design, engineering observation and engineering completion varies from location to location. These can be considerably higher where topographical restraints are limiting and the land is steeper. The earthworks volumes in these areas significantly increase… Another limiting factor is areas prone to flooding or areas within a 1 in </w:t>
      </w:r>
      <w:proofErr w:type="gramStart"/>
      <w:r w:rsidRPr="004C33D1">
        <w:t>100 year</w:t>
      </w:r>
      <w:proofErr w:type="gramEnd"/>
      <w:r w:rsidRPr="004C33D1">
        <w:t xml:space="preserve"> storm event area. These areas require full stormwater catchment analysis and hydraulic </w:t>
      </w:r>
      <w:proofErr w:type="gramStart"/>
      <w:r w:rsidRPr="004C33D1">
        <w:t>analysis which</w:t>
      </w:r>
      <w:proofErr w:type="gramEnd"/>
      <w:r w:rsidRPr="004C33D1">
        <w:t xml:space="preserve"> adds time and cost to the subdivision… Furthermore, deeper top soil depths within the </w:t>
      </w:r>
      <w:proofErr w:type="spellStart"/>
      <w:r w:rsidRPr="004C33D1">
        <w:t>Pukekohe</w:t>
      </w:r>
      <w:proofErr w:type="spellEnd"/>
      <w:r w:rsidRPr="004C33D1">
        <w:t xml:space="preserve"> area can often mean that the foundations for building houses can be $5,000 to $10,000 more expensive than other areas.</w:t>
      </w:r>
    </w:p>
    <w:p w:rsidR="00D83B52" w:rsidRPr="004C33D1" w:rsidRDefault="00D83B52" w:rsidP="00D83B52">
      <w:pPr>
        <w:ind w:left="357"/>
      </w:pPr>
    </w:p>
    <w:p w:rsidR="00D83B52" w:rsidRPr="004C33D1" w:rsidRDefault="00D83B52" w:rsidP="00D83B52">
      <w:pPr>
        <w:ind w:left="357"/>
      </w:pPr>
      <w:r w:rsidRPr="004C33D1">
        <w:t>“The main difference [between council areas] is purely the financial contributions and development contributions. For example, the development contributions in the Waikato District Council area are approximately $15,000 plus GST cheaper per additional lot than they are in the Auckland Council area.</w:t>
      </w:r>
    </w:p>
    <w:p w:rsidR="00D83B52" w:rsidRPr="004C33D1" w:rsidRDefault="00D83B52" w:rsidP="00D83B52">
      <w:pPr>
        <w:ind w:left="357"/>
      </w:pPr>
    </w:p>
    <w:p w:rsidR="00D83B52" w:rsidRPr="004C33D1" w:rsidRDefault="00D83B52" w:rsidP="00D83B52">
      <w:pPr>
        <w:ind w:left="357"/>
      </w:pPr>
      <w:r w:rsidRPr="004C33D1">
        <w:t xml:space="preserve">“Generally speaking the costs for subdivision of lots between 300sqm to 1,000sqm are very similar. This means that the price per lot is approximately the same. However, once you get lots less than 300sqm then the cost to subdivide each additional lot can decrease by up to 10 to 20%. </w:t>
      </w:r>
      <w:proofErr w:type="gramStart"/>
      <w:r w:rsidRPr="004C33D1">
        <w:t>Furthermore</w:t>
      </w:r>
      <w:proofErr w:type="gramEnd"/>
      <w:r w:rsidRPr="004C33D1">
        <w:t xml:space="preserve"> at the other end of the spectrum rural residential lots in excess of 2,500sqm can also be increased by 20 to 30% per lot. The reason for this is the distance for infrastructure is reduced for small lots and in turn increased for larger lots.” </w:t>
      </w:r>
    </w:p>
    <w:p w:rsidR="00D83B52" w:rsidRPr="004C33D1" w:rsidRDefault="00D83B52" w:rsidP="00D83B52"/>
    <w:p w:rsidR="00D83B52" w:rsidRPr="004C33D1" w:rsidRDefault="00D83B52" w:rsidP="00D83B52">
      <w:r w:rsidRPr="004C33D1">
        <w:t xml:space="preserve">In light of this, it is more appropriate to address land development costs on a per-site basis rather than a per-square metre basis. This </w:t>
      </w:r>
      <w:proofErr w:type="gramStart"/>
      <w:r w:rsidRPr="004C33D1">
        <w:t>could be done</w:t>
      </w:r>
      <w:proofErr w:type="gramEnd"/>
      <w:r w:rsidRPr="004C33D1">
        <w:t xml:space="preserve"> by estimating the average land area of residential parcels immediately inside cities urban boundaries. For instance, if residential parcels within 2km of the edge of a city had an average size of 500m</w:t>
      </w:r>
      <w:r w:rsidRPr="004C33D1">
        <w:rPr>
          <w:vertAlign w:val="superscript"/>
        </w:rPr>
        <w:t>2</w:t>
      </w:r>
      <w:r w:rsidRPr="004C33D1">
        <w:t>, then it would indicate that converting 1 hectare of rural land to residential land would require developers to incur land development costs for twenty sections.</w:t>
      </w:r>
    </w:p>
    <w:p w:rsidR="00D83B52" w:rsidRPr="004C33D1" w:rsidRDefault="00D83B52" w:rsidP="00D83B52"/>
    <w:p w:rsidR="00D83B52" w:rsidRDefault="00D83B52" w:rsidP="00D83B52">
      <w:r w:rsidRPr="004C33D1">
        <w:t>There is significant variation in per-section costs between different regions. We suggest that a conservative approach would be to use the weighted Auckland land development costs of $120,000 per site as a baseline for estimating costs in locations with high development contributions, and the range observed in locations – $80,000-$100,000 per site – for estimating costs in locations with low development contributions.</w:t>
      </w:r>
      <w:r w:rsidRPr="004C33D1">
        <w:rPr>
          <w:rStyle w:val="FootnoteReference"/>
        </w:rPr>
        <w:footnoteReference w:id="130"/>
      </w:r>
    </w:p>
    <w:p w:rsidR="00236ADF" w:rsidRPr="004C33D1" w:rsidRDefault="00236ADF" w:rsidP="00D83B52"/>
    <w:p w:rsidR="00D83B52" w:rsidRPr="004C33D1" w:rsidRDefault="00D83B52" w:rsidP="00E02811">
      <w:pPr>
        <w:pStyle w:val="Caption"/>
      </w:pPr>
      <w:bookmarkStart w:id="513" w:name="_Ref455682530"/>
      <w:bookmarkStart w:id="514" w:name="_Ref455682518"/>
      <w:r w:rsidRPr="004C33D1">
        <w:t xml:space="preserve">Table </w:t>
      </w:r>
      <w:r w:rsidRPr="004C33D1">
        <w:fldChar w:fldCharType="begin"/>
      </w:r>
      <w:r w:rsidRPr="004C33D1">
        <w:instrText xml:space="preserve"> SEQ Table \* ARABIC </w:instrText>
      </w:r>
      <w:r w:rsidRPr="004C33D1">
        <w:fldChar w:fldCharType="separate"/>
      </w:r>
      <w:r w:rsidR="004D1DDA">
        <w:rPr>
          <w:noProof/>
        </w:rPr>
        <w:t>37</w:t>
      </w:r>
      <w:r w:rsidRPr="004C33D1">
        <w:fldChar w:fldCharType="end"/>
      </w:r>
      <w:bookmarkEnd w:id="513"/>
      <w:r w:rsidRPr="004C33D1">
        <w:t xml:space="preserve"> Land development costs for 17 subdivisions</w:t>
      </w:r>
      <w:bookmarkEnd w:id="514"/>
    </w:p>
    <w:tbl>
      <w:tblPr>
        <w:tblStyle w:val="CovecTables"/>
        <w:tblW w:w="5000" w:type="pct"/>
        <w:tblLayout w:type="fixed"/>
        <w:tblLook w:val="04E0" w:firstRow="1" w:lastRow="1" w:firstColumn="1" w:lastColumn="0" w:noHBand="0" w:noVBand="1"/>
      </w:tblPr>
      <w:tblGrid>
        <w:gridCol w:w="2297"/>
        <w:gridCol w:w="1023"/>
        <w:gridCol w:w="1634"/>
        <w:gridCol w:w="1634"/>
        <w:gridCol w:w="1633"/>
      </w:tblGrid>
      <w:tr w:rsidR="00D83B52" w:rsidRPr="004C33D1" w:rsidTr="00D83B52">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1397" w:type="pct"/>
            <w:noWrap/>
            <w:hideMark/>
          </w:tcPr>
          <w:p w:rsidR="00D83B52" w:rsidRPr="004C33D1" w:rsidRDefault="00D83B52" w:rsidP="00E71B09">
            <w:pPr>
              <w:pStyle w:val="TableText"/>
            </w:pPr>
            <w:r w:rsidRPr="004C33D1">
              <w:t>Location</w:t>
            </w:r>
          </w:p>
        </w:tc>
        <w:tc>
          <w:tcPr>
            <w:tcW w:w="622" w:type="pct"/>
            <w:noWrap/>
            <w:hideMark/>
          </w:tcPr>
          <w:p w:rsidR="00D83B52" w:rsidRPr="004C33D1" w:rsidRDefault="00D83B52" w:rsidP="00E71B09">
            <w:pPr>
              <w:pStyle w:val="TableText"/>
              <w:jc w:val="center"/>
              <w:cnfStyle w:val="100000000000" w:firstRow="1" w:lastRow="0" w:firstColumn="0" w:lastColumn="0" w:oddVBand="0" w:evenVBand="0" w:oddHBand="0" w:evenHBand="0" w:firstRowFirstColumn="0" w:firstRowLastColumn="0" w:lastRowFirstColumn="0" w:lastRowLastColumn="0"/>
            </w:pPr>
            <w:r w:rsidRPr="004C33D1">
              <w:t>Dwellings</w:t>
            </w:r>
          </w:p>
        </w:tc>
        <w:tc>
          <w:tcPr>
            <w:tcW w:w="994" w:type="pct"/>
            <w:noWrap/>
            <w:hideMark/>
          </w:tcPr>
          <w:p w:rsidR="00D83B52" w:rsidRPr="004C33D1" w:rsidRDefault="00D83B52" w:rsidP="00E71B09">
            <w:pPr>
              <w:pStyle w:val="TableText"/>
              <w:jc w:val="center"/>
              <w:cnfStyle w:val="100000000000" w:firstRow="1" w:lastRow="0" w:firstColumn="0" w:lastColumn="0" w:oddVBand="0" w:evenVBand="0" w:oddHBand="0" w:evenHBand="0" w:firstRowFirstColumn="0" w:firstRowLastColumn="0" w:lastRowFirstColumn="0" w:lastRowLastColumn="0"/>
            </w:pPr>
            <w:r w:rsidRPr="004C33D1">
              <w:t>Average site area (m</w:t>
            </w:r>
            <w:r w:rsidRPr="004C33D1">
              <w:rPr>
                <w:vertAlign w:val="superscript"/>
              </w:rPr>
              <w:t>2</w:t>
            </w:r>
            <w:r w:rsidRPr="004C33D1">
              <w:t>)</w:t>
            </w:r>
          </w:p>
        </w:tc>
        <w:tc>
          <w:tcPr>
            <w:tcW w:w="994" w:type="pct"/>
            <w:noWrap/>
            <w:hideMark/>
          </w:tcPr>
          <w:p w:rsidR="00D83B52" w:rsidRPr="004C33D1" w:rsidRDefault="00D83B52" w:rsidP="00E71B09">
            <w:pPr>
              <w:pStyle w:val="TableText"/>
              <w:jc w:val="center"/>
              <w:cnfStyle w:val="100000000000" w:firstRow="1" w:lastRow="0" w:firstColumn="0" w:lastColumn="0" w:oddVBand="0" w:evenVBand="0" w:oddHBand="0" w:evenHBand="0" w:firstRowFirstColumn="0" w:firstRowLastColumn="0" w:lastRowFirstColumn="0" w:lastRowLastColumn="0"/>
            </w:pPr>
            <w:r w:rsidRPr="004C33D1">
              <w:t>Land development costs ($)</w:t>
            </w:r>
          </w:p>
        </w:tc>
        <w:tc>
          <w:tcPr>
            <w:tcW w:w="993" w:type="pct"/>
            <w:noWrap/>
            <w:hideMark/>
          </w:tcPr>
          <w:p w:rsidR="00D83B52" w:rsidRPr="004C33D1" w:rsidRDefault="00D83B52" w:rsidP="00E71B09">
            <w:pPr>
              <w:pStyle w:val="TableText"/>
              <w:jc w:val="center"/>
              <w:cnfStyle w:val="100000000000" w:firstRow="1" w:lastRow="0" w:firstColumn="0" w:lastColumn="0" w:oddVBand="0" w:evenVBand="0" w:oddHBand="0" w:evenHBand="0" w:firstRowFirstColumn="0" w:firstRowLastColumn="0" w:lastRowFirstColumn="0" w:lastRowLastColumn="0"/>
            </w:pPr>
            <w:r w:rsidRPr="004C33D1">
              <w:t>Average land development costs ($/m</w:t>
            </w:r>
            <w:r w:rsidRPr="004C33D1">
              <w:rPr>
                <w:vertAlign w:val="superscript"/>
              </w:rPr>
              <w:t>2</w:t>
            </w:r>
            <w:r w:rsidRPr="004C33D1">
              <w:t>)</w:t>
            </w:r>
          </w:p>
        </w:tc>
      </w:tr>
      <w:tr w:rsidR="00D83B52" w:rsidRPr="004C33D1" w:rsidTr="00D83B52">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1397" w:type="pct"/>
            <w:noWrap/>
            <w:hideMark/>
          </w:tcPr>
          <w:p w:rsidR="00D83B52" w:rsidRPr="004C33D1" w:rsidRDefault="00D83B52" w:rsidP="00E71B09">
            <w:pPr>
              <w:pStyle w:val="TableText"/>
            </w:pPr>
            <w:r w:rsidRPr="004C33D1">
              <w:lastRenderedPageBreak/>
              <w:t>Auckland - North Shore (1)</w:t>
            </w:r>
          </w:p>
        </w:tc>
        <w:tc>
          <w:tcPr>
            <w:tcW w:w="622"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24</w:t>
            </w:r>
          </w:p>
        </w:tc>
        <w:tc>
          <w:tcPr>
            <w:tcW w:w="994"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2152</w:t>
            </w:r>
          </w:p>
        </w:tc>
        <w:tc>
          <w:tcPr>
            <w:tcW w:w="994"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$113,753</w:t>
            </w:r>
          </w:p>
        </w:tc>
        <w:tc>
          <w:tcPr>
            <w:tcW w:w="993"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$53</w:t>
            </w:r>
          </w:p>
        </w:tc>
      </w:tr>
      <w:tr w:rsidR="00D83B52" w:rsidRPr="004C33D1" w:rsidTr="00D83B52">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1397" w:type="pct"/>
            <w:noWrap/>
            <w:hideMark/>
          </w:tcPr>
          <w:p w:rsidR="00D83B52" w:rsidRPr="004C33D1" w:rsidRDefault="00D83B52" w:rsidP="00E71B09">
            <w:pPr>
              <w:pStyle w:val="TableText"/>
            </w:pPr>
            <w:r w:rsidRPr="004C33D1">
              <w:t>Auckland - North Shore (2)</w:t>
            </w:r>
          </w:p>
        </w:tc>
        <w:tc>
          <w:tcPr>
            <w:tcW w:w="622"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22</w:t>
            </w:r>
          </w:p>
        </w:tc>
        <w:tc>
          <w:tcPr>
            <w:tcW w:w="994"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230</w:t>
            </w:r>
          </w:p>
        </w:tc>
        <w:tc>
          <w:tcPr>
            <w:tcW w:w="994"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$98,973</w:t>
            </w:r>
          </w:p>
        </w:tc>
        <w:tc>
          <w:tcPr>
            <w:tcW w:w="993"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$430</w:t>
            </w:r>
          </w:p>
        </w:tc>
      </w:tr>
      <w:tr w:rsidR="00D83B52" w:rsidRPr="004C33D1" w:rsidTr="00D83B52">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1397" w:type="pct"/>
            <w:noWrap/>
            <w:hideMark/>
          </w:tcPr>
          <w:p w:rsidR="00D83B52" w:rsidRPr="004C33D1" w:rsidRDefault="00D83B52" w:rsidP="00E71B09">
            <w:pPr>
              <w:pStyle w:val="TableText"/>
            </w:pPr>
            <w:r w:rsidRPr="004C33D1">
              <w:t xml:space="preserve">Auckland - </w:t>
            </w:r>
            <w:proofErr w:type="spellStart"/>
            <w:r w:rsidRPr="004C33D1">
              <w:t>Pukekohe</w:t>
            </w:r>
            <w:proofErr w:type="spellEnd"/>
            <w:r w:rsidRPr="004C33D1">
              <w:t xml:space="preserve"> (3)</w:t>
            </w:r>
          </w:p>
        </w:tc>
        <w:tc>
          <w:tcPr>
            <w:tcW w:w="622"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41</w:t>
            </w:r>
          </w:p>
        </w:tc>
        <w:tc>
          <w:tcPr>
            <w:tcW w:w="994"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1000</w:t>
            </w:r>
          </w:p>
        </w:tc>
        <w:tc>
          <w:tcPr>
            <w:tcW w:w="994"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$124,154</w:t>
            </w:r>
          </w:p>
        </w:tc>
        <w:tc>
          <w:tcPr>
            <w:tcW w:w="993"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$124</w:t>
            </w:r>
          </w:p>
        </w:tc>
      </w:tr>
      <w:tr w:rsidR="00D83B52" w:rsidRPr="004C33D1" w:rsidTr="00D83B52">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1397" w:type="pct"/>
            <w:noWrap/>
            <w:hideMark/>
          </w:tcPr>
          <w:p w:rsidR="00D83B52" w:rsidRPr="004C33D1" w:rsidRDefault="00D83B52" w:rsidP="00E71B09">
            <w:pPr>
              <w:pStyle w:val="TableText"/>
            </w:pPr>
            <w:r w:rsidRPr="004C33D1">
              <w:t xml:space="preserve">Auckland - </w:t>
            </w:r>
            <w:proofErr w:type="spellStart"/>
            <w:r w:rsidRPr="004C33D1">
              <w:t>Pukekohe</w:t>
            </w:r>
            <w:proofErr w:type="spellEnd"/>
            <w:r w:rsidRPr="004C33D1">
              <w:t xml:space="preserve"> (3)</w:t>
            </w:r>
          </w:p>
        </w:tc>
        <w:tc>
          <w:tcPr>
            <w:tcW w:w="622"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33</w:t>
            </w:r>
          </w:p>
        </w:tc>
        <w:tc>
          <w:tcPr>
            <w:tcW w:w="994"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1000</w:t>
            </w:r>
          </w:p>
        </w:tc>
        <w:tc>
          <w:tcPr>
            <w:tcW w:w="994"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$130,584</w:t>
            </w:r>
          </w:p>
        </w:tc>
        <w:tc>
          <w:tcPr>
            <w:tcW w:w="993"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$131</w:t>
            </w:r>
          </w:p>
        </w:tc>
      </w:tr>
      <w:tr w:rsidR="00D83B52" w:rsidRPr="004C33D1" w:rsidTr="00D83B52">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1397" w:type="pct"/>
            <w:noWrap/>
            <w:hideMark/>
          </w:tcPr>
          <w:p w:rsidR="00D83B52" w:rsidRPr="004C33D1" w:rsidRDefault="00D83B52" w:rsidP="00E71B09">
            <w:pPr>
              <w:pStyle w:val="TableText"/>
            </w:pPr>
            <w:r w:rsidRPr="004C33D1">
              <w:t>Hawkes Bay (1)</w:t>
            </w:r>
          </w:p>
        </w:tc>
        <w:tc>
          <w:tcPr>
            <w:tcW w:w="622"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149</w:t>
            </w:r>
          </w:p>
        </w:tc>
        <w:tc>
          <w:tcPr>
            <w:tcW w:w="994"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500</w:t>
            </w:r>
          </w:p>
        </w:tc>
        <w:tc>
          <w:tcPr>
            <w:tcW w:w="994"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$74,388</w:t>
            </w:r>
          </w:p>
        </w:tc>
        <w:tc>
          <w:tcPr>
            <w:tcW w:w="993"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$149</w:t>
            </w:r>
          </w:p>
        </w:tc>
      </w:tr>
      <w:tr w:rsidR="00D83B52" w:rsidRPr="004C33D1" w:rsidTr="00D83B52">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1397" w:type="pct"/>
            <w:noWrap/>
            <w:hideMark/>
          </w:tcPr>
          <w:p w:rsidR="00D83B52" w:rsidRPr="004C33D1" w:rsidRDefault="00D83B52" w:rsidP="00E71B09">
            <w:pPr>
              <w:pStyle w:val="TableText"/>
            </w:pPr>
            <w:r w:rsidRPr="004C33D1">
              <w:t>Hawkes Bay (1)</w:t>
            </w:r>
          </w:p>
        </w:tc>
        <w:tc>
          <w:tcPr>
            <w:tcW w:w="622"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128</w:t>
            </w:r>
          </w:p>
        </w:tc>
        <w:tc>
          <w:tcPr>
            <w:tcW w:w="994"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500</w:t>
            </w:r>
          </w:p>
        </w:tc>
        <w:tc>
          <w:tcPr>
            <w:tcW w:w="994"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$65,887</w:t>
            </w:r>
          </w:p>
        </w:tc>
        <w:tc>
          <w:tcPr>
            <w:tcW w:w="993"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$132</w:t>
            </w:r>
          </w:p>
        </w:tc>
      </w:tr>
      <w:tr w:rsidR="00D83B52" w:rsidRPr="004C33D1" w:rsidTr="00D83B52">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1397" w:type="pct"/>
            <w:noWrap/>
            <w:hideMark/>
          </w:tcPr>
          <w:p w:rsidR="00D83B52" w:rsidRPr="004C33D1" w:rsidRDefault="00D83B52" w:rsidP="00E71B09">
            <w:pPr>
              <w:pStyle w:val="TableText"/>
            </w:pPr>
            <w:r w:rsidRPr="004C33D1">
              <w:t>Hawkes Bay (2)</w:t>
            </w:r>
          </w:p>
        </w:tc>
        <w:tc>
          <w:tcPr>
            <w:tcW w:w="622"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26</w:t>
            </w:r>
          </w:p>
        </w:tc>
        <w:tc>
          <w:tcPr>
            <w:tcW w:w="994"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338</w:t>
            </w:r>
          </w:p>
        </w:tc>
        <w:tc>
          <w:tcPr>
            <w:tcW w:w="994"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$75,784</w:t>
            </w:r>
          </w:p>
        </w:tc>
        <w:tc>
          <w:tcPr>
            <w:tcW w:w="993"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$224</w:t>
            </w:r>
          </w:p>
        </w:tc>
      </w:tr>
      <w:tr w:rsidR="00D83B52" w:rsidRPr="004C33D1" w:rsidTr="00D83B52">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1397" w:type="pct"/>
            <w:noWrap/>
            <w:hideMark/>
          </w:tcPr>
          <w:p w:rsidR="00D83B52" w:rsidRPr="004C33D1" w:rsidRDefault="00D83B52" w:rsidP="00E71B09">
            <w:pPr>
              <w:pStyle w:val="TableText"/>
            </w:pPr>
            <w:r w:rsidRPr="004C33D1">
              <w:t>Northland (1)</w:t>
            </w:r>
          </w:p>
        </w:tc>
        <w:tc>
          <w:tcPr>
            <w:tcW w:w="622"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56</w:t>
            </w:r>
          </w:p>
        </w:tc>
        <w:tc>
          <w:tcPr>
            <w:tcW w:w="994"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761</w:t>
            </w:r>
          </w:p>
        </w:tc>
        <w:tc>
          <w:tcPr>
            <w:tcW w:w="994"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$63,525</w:t>
            </w:r>
          </w:p>
        </w:tc>
        <w:tc>
          <w:tcPr>
            <w:tcW w:w="993"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$83</w:t>
            </w:r>
          </w:p>
        </w:tc>
      </w:tr>
      <w:tr w:rsidR="00D83B52" w:rsidRPr="004C33D1" w:rsidTr="00D83B52">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1397" w:type="pct"/>
            <w:noWrap/>
            <w:hideMark/>
          </w:tcPr>
          <w:p w:rsidR="00D83B52" w:rsidRPr="004C33D1" w:rsidRDefault="00D83B52" w:rsidP="00E71B09">
            <w:pPr>
              <w:pStyle w:val="TableText"/>
            </w:pPr>
            <w:r w:rsidRPr="004C33D1">
              <w:t>Queenstown (1)</w:t>
            </w:r>
          </w:p>
        </w:tc>
        <w:tc>
          <w:tcPr>
            <w:tcW w:w="622"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89</w:t>
            </w:r>
          </w:p>
        </w:tc>
        <w:tc>
          <w:tcPr>
            <w:tcW w:w="994"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900</w:t>
            </w:r>
          </w:p>
        </w:tc>
        <w:tc>
          <w:tcPr>
            <w:tcW w:w="994"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$149,044</w:t>
            </w:r>
          </w:p>
        </w:tc>
        <w:tc>
          <w:tcPr>
            <w:tcW w:w="993"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$166</w:t>
            </w:r>
          </w:p>
        </w:tc>
      </w:tr>
      <w:tr w:rsidR="00D83B52" w:rsidRPr="004C33D1" w:rsidTr="00D83B52">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1397" w:type="pct"/>
            <w:noWrap/>
            <w:hideMark/>
          </w:tcPr>
          <w:p w:rsidR="00D83B52" w:rsidRPr="004C33D1" w:rsidRDefault="00D83B52" w:rsidP="00E71B09">
            <w:pPr>
              <w:pStyle w:val="TableText"/>
            </w:pPr>
            <w:r w:rsidRPr="004C33D1">
              <w:t>Queenstown (1)</w:t>
            </w:r>
          </w:p>
        </w:tc>
        <w:tc>
          <w:tcPr>
            <w:tcW w:w="622"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15</w:t>
            </w:r>
          </w:p>
        </w:tc>
        <w:tc>
          <w:tcPr>
            <w:tcW w:w="994"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1400</w:t>
            </w:r>
          </w:p>
        </w:tc>
        <w:tc>
          <w:tcPr>
            <w:tcW w:w="994"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$268,368</w:t>
            </w:r>
          </w:p>
        </w:tc>
        <w:tc>
          <w:tcPr>
            <w:tcW w:w="993"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$192</w:t>
            </w:r>
          </w:p>
        </w:tc>
      </w:tr>
      <w:tr w:rsidR="00D83B52" w:rsidRPr="004C33D1" w:rsidTr="00D83B52">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1397" w:type="pct"/>
            <w:noWrap/>
            <w:hideMark/>
          </w:tcPr>
          <w:p w:rsidR="00D83B52" w:rsidRPr="004C33D1" w:rsidRDefault="00D83B52" w:rsidP="00E71B09">
            <w:pPr>
              <w:pStyle w:val="TableText"/>
            </w:pPr>
            <w:r w:rsidRPr="004C33D1">
              <w:t>Queenstown (1)</w:t>
            </w:r>
          </w:p>
        </w:tc>
        <w:tc>
          <w:tcPr>
            <w:tcW w:w="622"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18</w:t>
            </w:r>
          </w:p>
        </w:tc>
        <w:tc>
          <w:tcPr>
            <w:tcW w:w="994"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2500</w:t>
            </w:r>
          </w:p>
        </w:tc>
        <w:tc>
          <w:tcPr>
            <w:tcW w:w="994"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$286,594</w:t>
            </w:r>
          </w:p>
        </w:tc>
        <w:tc>
          <w:tcPr>
            <w:tcW w:w="993"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$115</w:t>
            </w:r>
          </w:p>
        </w:tc>
      </w:tr>
      <w:tr w:rsidR="00D83B52" w:rsidRPr="004C33D1" w:rsidTr="00D83B52">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1397" w:type="pct"/>
            <w:noWrap/>
            <w:hideMark/>
          </w:tcPr>
          <w:p w:rsidR="00D83B52" w:rsidRPr="004C33D1" w:rsidRDefault="00D83B52" w:rsidP="00E71B09">
            <w:pPr>
              <w:pStyle w:val="TableText"/>
            </w:pPr>
            <w:r w:rsidRPr="004C33D1">
              <w:t>Queenstown (1)</w:t>
            </w:r>
          </w:p>
        </w:tc>
        <w:tc>
          <w:tcPr>
            <w:tcW w:w="622"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10</w:t>
            </w:r>
          </w:p>
        </w:tc>
        <w:tc>
          <w:tcPr>
            <w:tcW w:w="994"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1200</w:t>
            </w:r>
          </w:p>
        </w:tc>
        <w:tc>
          <w:tcPr>
            <w:tcW w:w="994"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$386,608</w:t>
            </w:r>
          </w:p>
        </w:tc>
        <w:tc>
          <w:tcPr>
            <w:tcW w:w="993"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$322</w:t>
            </w:r>
          </w:p>
        </w:tc>
      </w:tr>
      <w:tr w:rsidR="00D83B52" w:rsidRPr="004C33D1" w:rsidTr="00D83B52">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1397" w:type="pct"/>
            <w:noWrap/>
            <w:hideMark/>
          </w:tcPr>
          <w:p w:rsidR="00D83B52" w:rsidRPr="004C33D1" w:rsidRDefault="00D83B52" w:rsidP="00E71B09">
            <w:pPr>
              <w:pStyle w:val="TableText"/>
            </w:pPr>
            <w:r w:rsidRPr="004C33D1">
              <w:t>Queenstown (1)</w:t>
            </w:r>
          </w:p>
        </w:tc>
        <w:tc>
          <w:tcPr>
            <w:tcW w:w="622"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95</w:t>
            </w:r>
          </w:p>
        </w:tc>
        <w:tc>
          <w:tcPr>
            <w:tcW w:w="994"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800</w:t>
            </w:r>
          </w:p>
        </w:tc>
        <w:tc>
          <w:tcPr>
            <w:tcW w:w="994"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$89,070</w:t>
            </w:r>
          </w:p>
        </w:tc>
        <w:tc>
          <w:tcPr>
            <w:tcW w:w="993"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$111</w:t>
            </w:r>
          </w:p>
        </w:tc>
      </w:tr>
      <w:tr w:rsidR="00D83B52" w:rsidRPr="004C33D1" w:rsidTr="00D83B52">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1397" w:type="pct"/>
            <w:noWrap/>
            <w:hideMark/>
          </w:tcPr>
          <w:p w:rsidR="00D83B52" w:rsidRPr="004C33D1" w:rsidRDefault="00D83B52" w:rsidP="00E71B09">
            <w:pPr>
              <w:pStyle w:val="TableText"/>
            </w:pPr>
            <w:r w:rsidRPr="004C33D1">
              <w:t>Southland (1)</w:t>
            </w:r>
          </w:p>
        </w:tc>
        <w:tc>
          <w:tcPr>
            <w:tcW w:w="622"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70</w:t>
            </w:r>
          </w:p>
        </w:tc>
        <w:tc>
          <w:tcPr>
            <w:tcW w:w="994"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800</w:t>
            </w:r>
          </w:p>
        </w:tc>
        <w:tc>
          <w:tcPr>
            <w:tcW w:w="994"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$67,154</w:t>
            </w:r>
          </w:p>
        </w:tc>
        <w:tc>
          <w:tcPr>
            <w:tcW w:w="993"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$84</w:t>
            </w:r>
          </w:p>
        </w:tc>
      </w:tr>
      <w:tr w:rsidR="00D83B52" w:rsidRPr="004C33D1" w:rsidTr="00D83B52">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1397" w:type="pct"/>
            <w:noWrap/>
            <w:hideMark/>
          </w:tcPr>
          <w:p w:rsidR="00D83B52" w:rsidRPr="004C33D1" w:rsidRDefault="00D83B52" w:rsidP="00E71B09">
            <w:pPr>
              <w:pStyle w:val="TableText"/>
            </w:pPr>
            <w:r w:rsidRPr="004C33D1">
              <w:t xml:space="preserve">Waikato - </w:t>
            </w:r>
            <w:proofErr w:type="spellStart"/>
            <w:r w:rsidRPr="004C33D1">
              <w:t>Tuakau</w:t>
            </w:r>
            <w:proofErr w:type="spellEnd"/>
            <w:r w:rsidRPr="004C33D1">
              <w:t xml:space="preserve"> (3)</w:t>
            </w:r>
          </w:p>
        </w:tc>
        <w:tc>
          <w:tcPr>
            <w:tcW w:w="622"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21</w:t>
            </w:r>
          </w:p>
        </w:tc>
        <w:tc>
          <w:tcPr>
            <w:tcW w:w="994"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650</w:t>
            </w:r>
          </w:p>
        </w:tc>
        <w:tc>
          <w:tcPr>
            <w:tcW w:w="994"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$95,565</w:t>
            </w:r>
          </w:p>
        </w:tc>
        <w:tc>
          <w:tcPr>
            <w:tcW w:w="993"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$147</w:t>
            </w:r>
          </w:p>
        </w:tc>
      </w:tr>
      <w:tr w:rsidR="00D83B52" w:rsidRPr="004C33D1" w:rsidTr="00D83B52">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1397" w:type="pct"/>
            <w:noWrap/>
            <w:hideMark/>
          </w:tcPr>
          <w:p w:rsidR="00D83B52" w:rsidRPr="004C33D1" w:rsidRDefault="00D83B52" w:rsidP="00E71B09">
            <w:pPr>
              <w:pStyle w:val="TableText"/>
            </w:pPr>
            <w:r w:rsidRPr="004C33D1">
              <w:t>Waikato (2)</w:t>
            </w:r>
          </w:p>
        </w:tc>
        <w:tc>
          <w:tcPr>
            <w:tcW w:w="622"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71</w:t>
            </w:r>
          </w:p>
        </w:tc>
        <w:tc>
          <w:tcPr>
            <w:tcW w:w="994"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162</w:t>
            </w:r>
          </w:p>
        </w:tc>
        <w:tc>
          <w:tcPr>
            <w:tcW w:w="994"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$75,952</w:t>
            </w:r>
          </w:p>
        </w:tc>
        <w:tc>
          <w:tcPr>
            <w:tcW w:w="993"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$469</w:t>
            </w:r>
          </w:p>
        </w:tc>
      </w:tr>
      <w:tr w:rsidR="00D83B52" w:rsidRPr="004C33D1" w:rsidTr="00D83B52">
        <w:tblPrEx>
          <w:tblCellMar>
            <w:top w:w="0" w:type="dxa"/>
            <w:left w:w="0" w:type="dxa"/>
            <w:bottom w:w="0" w:type="dxa"/>
            <w:right w:w="0" w:type="dxa"/>
          </w:tblCellMar>
        </w:tblPrEx>
        <w:trPr>
          <w:trHeight w:val="320"/>
        </w:trPr>
        <w:tc>
          <w:tcPr>
            <w:cnfStyle w:val="001000000000" w:firstRow="0" w:lastRow="0" w:firstColumn="1" w:lastColumn="0" w:oddVBand="0" w:evenVBand="0" w:oddHBand="0" w:evenHBand="0" w:firstRowFirstColumn="0" w:firstRowLastColumn="0" w:lastRowFirstColumn="0" w:lastRowLastColumn="0"/>
            <w:tcW w:w="1397" w:type="pct"/>
            <w:noWrap/>
            <w:hideMark/>
          </w:tcPr>
          <w:p w:rsidR="00D83B52" w:rsidRPr="004C33D1" w:rsidRDefault="00D83B52" w:rsidP="00E71B09">
            <w:pPr>
              <w:pStyle w:val="TableText"/>
            </w:pPr>
            <w:r w:rsidRPr="004C33D1">
              <w:t>Wellington (1)</w:t>
            </w:r>
          </w:p>
        </w:tc>
        <w:tc>
          <w:tcPr>
            <w:tcW w:w="622"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170</w:t>
            </w:r>
          </w:p>
        </w:tc>
        <w:tc>
          <w:tcPr>
            <w:tcW w:w="994"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500</w:t>
            </w:r>
          </w:p>
        </w:tc>
        <w:tc>
          <w:tcPr>
            <w:tcW w:w="994"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$63,909</w:t>
            </w:r>
          </w:p>
        </w:tc>
        <w:tc>
          <w:tcPr>
            <w:tcW w:w="993" w:type="pct"/>
            <w:noWrap/>
            <w:hideMark/>
          </w:tcPr>
          <w:p w:rsidR="00D83B52" w:rsidRPr="004C33D1" w:rsidRDefault="00D83B52" w:rsidP="00E71B09">
            <w:pPr>
              <w:pStyle w:val="TableText"/>
              <w:jc w:val="center"/>
              <w:cnfStyle w:val="000000000000" w:firstRow="0" w:lastRow="0" w:firstColumn="0" w:lastColumn="0" w:oddVBand="0" w:evenVBand="0" w:oddHBand="0" w:evenHBand="0" w:firstRowFirstColumn="0" w:firstRowLastColumn="0" w:lastRowFirstColumn="0" w:lastRowLastColumn="0"/>
            </w:pPr>
            <w:r w:rsidRPr="004C33D1">
              <w:t>$128</w:t>
            </w:r>
          </w:p>
        </w:tc>
      </w:tr>
      <w:tr w:rsidR="00D83B52" w:rsidRPr="004C33D1" w:rsidTr="00D83B52">
        <w:tblPrEx>
          <w:tblCellMar>
            <w:top w:w="0" w:type="dxa"/>
            <w:left w:w="0" w:type="dxa"/>
            <w:bottom w:w="0" w:type="dxa"/>
            <w:right w:w="0" w:type="dxa"/>
          </w:tblCellMar>
        </w:tblPrEx>
        <w:trPr>
          <w:cnfStyle w:val="010000000000" w:firstRow="0" w:lastRow="1" w:firstColumn="0" w:lastColumn="0" w:oddVBand="0" w:evenVBand="0" w:oddHBand="0" w:evenHBand="0" w:firstRowFirstColumn="0" w:firstRowLastColumn="0" w:lastRowFirstColumn="0" w:lastRowLastColumn="0"/>
          <w:trHeight w:val="320"/>
        </w:trPr>
        <w:tc>
          <w:tcPr>
            <w:cnfStyle w:val="001000000001" w:firstRow="0" w:lastRow="0" w:firstColumn="1" w:lastColumn="0" w:oddVBand="0" w:evenVBand="0" w:oddHBand="0" w:evenHBand="0" w:firstRowFirstColumn="0" w:firstRowLastColumn="0" w:lastRowFirstColumn="1" w:lastRowLastColumn="0"/>
            <w:tcW w:w="1397" w:type="pct"/>
            <w:noWrap/>
            <w:hideMark/>
          </w:tcPr>
          <w:p w:rsidR="00D83B52" w:rsidRPr="004C33D1" w:rsidRDefault="00D83B52" w:rsidP="00E71B09">
            <w:pPr>
              <w:pStyle w:val="TableText"/>
              <w:rPr>
                <w:b/>
              </w:rPr>
            </w:pPr>
            <w:r w:rsidRPr="004C33D1">
              <w:rPr>
                <w:b/>
              </w:rPr>
              <w:t>Weighted average</w:t>
            </w:r>
          </w:p>
        </w:tc>
        <w:tc>
          <w:tcPr>
            <w:tcW w:w="622" w:type="pct"/>
            <w:noWrap/>
            <w:hideMark/>
          </w:tcPr>
          <w:p w:rsidR="00D83B52" w:rsidRPr="004C33D1" w:rsidRDefault="00D83B52" w:rsidP="00E71B09">
            <w:pPr>
              <w:pStyle w:val="TableText"/>
              <w:jc w:val="center"/>
              <w:cnfStyle w:val="010000000000" w:firstRow="0" w:lastRow="1" w:firstColumn="0" w:lastColumn="0" w:oddVBand="0" w:evenVBand="0" w:oddHBand="0" w:evenHBand="0" w:firstRowFirstColumn="0" w:firstRowLastColumn="0" w:lastRowFirstColumn="0" w:lastRowLastColumn="0"/>
              <w:rPr>
                <w:b/>
              </w:rPr>
            </w:pPr>
          </w:p>
        </w:tc>
        <w:tc>
          <w:tcPr>
            <w:tcW w:w="994" w:type="pct"/>
            <w:noWrap/>
            <w:hideMark/>
          </w:tcPr>
          <w:p w:rsidR="00D83B52" w:rsidRPr="004C33D1" w:rsidRDefault="00D83B52" w:rsidP="00E71B09">
            <w:pPr>
              <w:pStyle w:val="TableText"/>
              <w:jc w:val="center"/>
              <w:cnfStyle w:val="010000000000" w:firstRow="0" w:lastRow="1" w:firstColumn="0" w:lastColumn="0" w:oddVBand="0" w:evenVBand="0" w:oddHBand="0" w:evenHBand="0" w:firstRowFirstColumn="0" w:firstRowLastColumn="0" w:lastRowFirstColumn="0" w:lastRowLastColumn="0"/>
              <w:rPr>
                <w:b/>
              </w:rPr>
            </w:pPr>
            <w:r w:rsidRPr="004C33D1">
              <w:rPr>
                <w:b/>
              </w:rPr>
              <w:t>694</w:t>
            </w:r>
          </w:p>
        </w:tc>
        <w:tc>
          <w:tcPr>
            <w:tcW w:w="994" w:type="pct"/>
            <w:noWrap/>
            <w:hideMark/>
          </w:tcPr>
          <w:p w:rsidR="00D83B52" w:rsidRPr="004C33D1" w:rsidRDefault="00D83B52" w:rsidP="00E71B09">
            <w:pPr>
              <w:pStyle w:val="TableText"/>
              <w:jc w:val="center"/>
              <w:cnfStyle w:val="010000000000" w:firstRow="0" w:lastRow="1" w:firstColumn="0" w:lastColumn="0" w:oddVBand="0" w:evenVBand="0" w:oddHBand="0" w:evenHBand="0" w:firstRowFirstColumn="0" w:firstRowLastColumn="0" w:lastRowFirstColumn="0" w:lastRowLastColumn="0"/>
              <w:rPr>
                <w:b/>
              </w:rPr>
            </w:pPr>
            <w:r w:rsidRPr="004C33D1">
              <w:rPr>
                <w:b/>
              </w:rPr>
              <w:t>$93,539</w:t>
            </w:r>
          </w:p>
        </w:tc>
        <w:tc>
          <w:tcPr>
            <w:tcW w:w="993" w:type="pct"/>
            <w:noWrap/>
            <w:hideMark/>
          </w:tcPr>
          <w:p w:rsidR="00D83B52" w:rsidRPr="004C33D1" w:rsidRDefault="00D83B52" w:rsidP="00E71B09">
            <w:pPr>
              <w:pStyle w:val="TableText"/>
              <w:jc w:val="center"/>
              <w:cnfStyle w:val="010000000000" w:firstRow="0" w:lastRow="1" w:firstColumn="0" w:lastColumn="0" w:oddVBand="0" w:evenVBand="0" w:oddHBand="0" w:evenHBand="0" w:firstRowFirstColumn="0" w:firstRowLastColumn="0" w:lastRowFirstColumn="0" w:lastRowLastColumn="0"/>
              <w:rPr>
                <w:b/>
              </w:rPr>
            </w:pPr>
            <w:r w:rsidRPr="004C33D1">
              <w:rPr>
                <w:b/>
              </w:rPr>
              <w:t>$135</w:t>
            </w:r>
          </w:p>
        </w:tc>
      </w:tr>
    </w:tbl>
    <w:p w:rsidR="00D83B52" w:rsidRPr="004C33D1" w:rsidRDefault="00D83B52" w:rsidP="00D83B52">
      <w:pPr>
        <w:pStyle w:val="TableText"/>
      </w:pPr>
      <w:proofErr w:type="gramStart"/>
      <w:r w:rsidRPr="004C33D1">
        <w:t>Source: (1) Page (2008); (2) Page and Curtis (2013); (3) The Surveying Company (2016).</w:t>
      </w:r>
      <w:proofErr w:type="gramEnd"/>
      <w:r w:rsidRPr="004C33D1">
        <w:t xml:space="preserve"> All costs inflated to 2015Q4 dollars using Statistics New Zealand’s Capital Goods Price Index for Land Improvements.</w:t>
      </w:r>
    </w:p>
    <w:p w:rsidR="00A24ACF" w:rsidRPr="004C33D1" w:rsidRDefault="00A24ACF">
      <w:pPr>
        <w:spacing w:line="240" w:lineRule="auto"/>
      </w:pPr>
      <w:bookmarkStart w:id="515" w:name="_Toc456367206"/>
      <w:r w:rsidRPr="004C33D1">
        <w:br w:type="page"/>
      </w:r>
    </w:p>
    <w:p w:rsidR="00344C8E" w:rsidRPr="004C33D1" w:rsidRDefault="00344C8E" w:rsidP="00956D3F">
      <w:pPr>
        <w:pStyle w:val="Heading1"/>
        <w:numPr>
          <w:ilvl w:val="0"/>
          <w:numId w:val="0"/>
        </w:numPr>
      </w:pPr>
      <w:bookmarkStart w:id="516" w:name="_Toc462413671"/>
      <w:bookmarkStart w:id="517" w:name="_Toc462582266"/>
      <w:r w:rsidRPr="004C33D1">
        <w:lastRenderedPageBreak/>
        <w:t>Annex: Affordability Indicators</w:t>
      </w:r>
      <w:bookmarkEnd w:id="515"/>
      <w:bookmarkEnd w:id="516"/>
      <w:bookmarkEnd w:id="517"/>
    </w:p>
    <w:p w:rsidR="00344C8E" w:rsidRPr="004C33D1" w:rsidRDefault="00344C8E" w:rsidP="00344C8E"/>
    <w:p w:rsidR="00344C8E" w:rsidRPr="004C33D1" w:rsidRDefault="00344C8E" w:rsidP="00344C8E">
      <w:r w:rsidRPr="004C33D1">
        <w:br w:type="page"/>
      </w:r>
    </w:p>
    <w:p w:rsidR="006D7D81" w:rsidRPr="004C33D1" w:rsidRDefault="006D7D81" w:rsidP="009C6CC3">
      <w:pPr>
        <w:pStyle w:val="Annex1"/>
      </w:pPr>
      <w:bookmarkStart w:id="518" w:name="_Toc458179041"/>
      <w:bookmarkStart w:id="519" w:name="_Toc458464596"/>
      <w:bookmarkStart w:id="520" w:name="_Toc458489817"/>
      <w:bookmarkStart w:id="521" w:name="_Toc462413672"/>
      <w:bookmarkStart w:id="522" w:name="_Toc462582267"/>
      <w:r w:rsidRPr="004C33D1">
        <w:lastRenderedPageBreak/>
        <w:t>House price to income</w:t>
      </w:r>
      <w:bookmarkEnd w:id="518"/>
      <w:bookmarkEnd w:id="519"/>
      <w:bookmarkEnd w:id="520"/>
      <w:bookmarkEnd w:id="521"/>
      <w:bookmarkEnd w:id="522"/>
    </w:p>
    <w:p w:rsidR="006D7D81" w:rsidRPr="004C33D1" w:rsidRDefault="006D7D81" w:rsidP="009C6CC3">
      <w:pPr>
        <w:pStyle w:val="Annex2"/>
      </w:pPr>
      <w:bookmarkStart w:id="523" w:name="_Toc457985397"/>
      <w:bookmarkStart w:id="524" w:name="_Toc457988539"/>
      <w:bookmarkStart w:id="525" w:name="_Toc458160034"/>
      <w:bookmarkStart w:id="526" w:name="_Toc462582268"/>
      <w:r w:rsidRPr="004C33D1">
        <w:t>Description</w:t>
      </w:r>
      <w:bookmarkEnd w:id="523"/>
      <w:bookmarkEnd w:id="524"/>
      <w:bookmarkEnd w:id="525"/>
      <w:bookmarkEnd w:id="526"/>
    </w:p>
    <w:p w:rsidR="006D7D81" w:rsidRPr="004C33D1" w:rsidRDefault="006D7D81" w:rsidP="00344C8E">
      <w:proofErr w:type="gramStart"/>
      <w:r w:rsidRPr="004C33D1">
        <w:t>The annual lower quartile house price within a given territorial authority divided by the median household income for that area</w:t>
      </w:r>
      <w:r w:rsidR="00617EA1">
        <w:t>.</w:t>
      </w:r>
      <w:proofErr w:type="gramEnd"/>
    </w:p>
    <w:p w:rsidR="006D7D81" w:rsidRPr="004C33D1" w:rsidRDefault="006D7D81" w:rsidP="009C6CC3">
      <w:pPr>
        <w:pStyle w:val="Annex2"/>
      </w:pPr>
      <w:bookmarkStart w:id="527" w:name="_Toc457985398"/>
      <w:bookmarkStart w:id="528" w:name="_Toc457988540"/>
      <w:bookmarkStart w:id="529" w:name="_Toc458160035"/>
      <w:bookmarkStart w:id="530" w:name="_Toc462582269"/>
      <w:r w:rsidRPr="004C33D1">
        <w:t>Interpretation</w:t>
      </w:r>
      <w:bookmarkEnd w:id="527"/>
      <w:bookmarkEnd w:id="528"/>
      <w:bookmarkEnd w:id="529"/>
      <w:bookmarkEnd w:id="530"/>
    </w:p>
    <w:p w:rsidR="006D7D81" w:rsidRPr="004C33D1" w:rsidRDefault="006D7D81" w:rsidP="00344C8E">
      <w:r w:rsidRPr="004C33D1">
        <w:t>This indicator measures the affordability of purchasing a house at the</w:t>
      </w:r>
      <w:r w:rsidR="00B73629" w:rsidRPr="004C33D1">
        <w:t xml:space="preserve"> ‘lower end’ of the market for those households on ‘middle level’ incomes. This would best reflect house price affordability for would-be </w:t>
      </w:r>
      <w:proofErr w:type="gramStart"/>
      <w:r w:rsidR="00B73629" w:rsidRPr="004C33D1">
        <w:t>home owners</w:t>
      </w:r>
      <w:proofErr w:type="gramEnd"/>
      <w:r w:rsidR="00B73629" w:rsidRPr="004C33D1">
        <w:t xml:space="preserve"> and/or first home buyers with limited access to capital. It </w:t>
      </w:r>
      <w:proofErr w:type="gramStart"/>
      <w:r w:rsidR="00B73629" w:rsidRPr="004C33D1">
        <w:t>could be measured</w:t>
      </w:r>
      <w:proofErr w:type="gramEnd"/>
      <w:r w:rsidR="00B73629" w:rsidRPr="004C33D1">
        <w:t xml:space="preserve"> over time or across territorial authorities.</w:t>
      </w:r>
    </w:p>
    <w:p w:rsidR="006D7D81" w:rsidRPr="004C33D1" w:rsidRDefault="00B73629" w:rsidP="009C6CC3">
      <w:pPr>
        <w:pStyle w:val="Annex2"/>
      </w:pPr>
      <w:bookmarkStart w:id="531" w:name="_Toc457985399"/>
      <w:bookmarkStart w:id="532" w:name="_Toc457988541"/>
      <w:bookmarkStart w:id="533" w:name="_Toc458160036"/>
      <w:bookmarkStart w:id="534" w:name="_Toc462582270"/>
      <w:r w:rsidRPr="004C33D1">
        <w:t>Data Availability</w:t>
      </w:r>
      <w:bookmarkEnd w:id="531"/>
      <w:bookmarkEnd w:id="532"/>
      <w:bookmarkEnd w:id="533"/>
      <w:bookmarkEnd w:id="534"/>
    </w:p>
    <w:p w:rsidR="00B73629" w:rsidRPr="004C33D1" w:rsidRDefault="00B73629" w:rsidP="00B73629">
      <w:r w:rsidRPr="004C33D1">
        <w:t xml:space="preserve">House price data </w:t>
      </w:r>
      <w:proofErr w:type="gramStart"/>
      <w:r w:rsidRPr="004C33D1">
        <w:t>can be retrieved</w:t>
      </w:r>
      <w:proofErr w:type="gramEnd"/>
      <w:r w:rsidRPr="004C33D1">
        <w:t xml:space="preserve"> from a QVNZ and median incomes by territorial authority can be found from Statistics NZ (</w:t>
      </w:r>
      <w:r w:rsidRPr="004C33D1">
        <w:fldChar w:fldCharType="begin"/>
      </w:r>
      <w:r w:rsidRPr="004C33D1">
        <w:instrText xml:space="preserve"> REF _Ref456801122 \h </w:instrText>
      </w:r>
      <w:r w:rsidRPr="004C33D1">
        <w:fldChar w:fldCharType="separate"/>
      </w:r>
      <w:r w:rsidR="004D1DDA" w:rsidRPr="004C33D1">
        <w:t xml:space="preserve">Table </w:t>
      </w:r>
      <w:r w:rsidR="004D1DDA">
        <w:rPr>
          <w:noProof/>
        </w:rPr>
        <w:t>38</w:t>
      </w:r>
      <w:r w:rsidRPr="004C33D1">
        <w:fldChar w:fldCharType="end"/>
      </w:r>
      <w:r w:rsidRPr="004C33D1">
        <w:t xml:space="preserve">). </w:t>
      </w:r>
      <w:proofErr w:type="gramStart"/>
      <w:r w:rsidRPr="004C33D1">
        <w:t>Time series income data</w:t>
      </w:r>
      <w:proofErr w:type="gramEnd"/>
      <w:r w:rsidRPr="004C33D1">
        <w:t xml:space="preserve"> by territorial authority are available from the Linked Employer-Employee Data (LEED) and only at the individual level, rather than by household. Other sources of income data include the Household Economic Survey (HES), but to convert LEED data into household income, we divide 2013 household income (from the 2013 Census) by the 2013 median individual income for each individual area. The resulting values represent an ‘individual income to household income multiplier’ and </w:t>
      </w:r>
      <w:proofErr w:type="gramStart"/>
      <w:r w:rsidRPr="004C33D1">
        <w:t>can then be applied</w:t>
      </w:r>
      <w:proofErr w:type="gramEnd"/>
      <w:r w:rsidRPr="004C33D1">
        <w:t xml:space="preserve"> to each respective area’s annual individual income to yield an estimate of annual household income. MBIE’s access to IRD data may be helpful in order to obtain more reliable household income</w:t>
      </w:r>
      <w:r w:rsidR="00183668">
        <w:t xml:space="preserve"> data by territorial authority.</w:t>
      </w:r>
    </w:p>
    <w:p w:rsidR="006D7D81" w:rsidRPr="004C33D1" w:rsidRDefault="00B73629" w:rsidP="00E02811">
      <w:pPr>
        <w:pStyle w:val="Caption"/>
      </w:pPr>
      <w:bookmarkStart w:id="535" w:name="_Ref456801122"/>
      <w:r w:rsidRPr="004C33D1">
        <w:t xml:space="preserve">Table </w:t>
      </w:r>
      <w:r w:rsidRPr="004C33D1">
        <w:fldChar w:fldCharType="begin"/>
      </w:r>
      <w:r w:rsidRPr="004C33D1">
        <w:instrText xml:space="preserve"> SEQ Table \* ARABIC </w:instrText>
      </w:r>
      <w:r w:rsidRPr="004C33D1">
        <w:fldChar w:fldCharType="separate"/>
      </w:r>
      <w:r w:rsidR="004D1DDA">
        <w:rPr>
          <w:noProof/>
        </w:rPr>
        <w:t>38</w:t>
      </w:r>
      <w:r w:rsidRPr="004C33D1">
        <w:fldChar w:fldCharType="end"/>
      </w:r>
      <w:bookmarkEnd w:id="535"/>
      <w:r w:rsidRPr="004C33D1">
        <w:t xml:space="preserve"> Data sources</w:t>
      </w:r>
    </w:p>
    <w:tbl>
      <w:tblPr>
        <w:tblStyle w:val="CovecTables"/>
        <w:tblW w:w="5000" w:type="pct"/>
        <w:tblInd w:w="0" w:type="dxa"/>
        <w:tblBorders>
          <w:bottom w:val="single" w:sz="12" w:space="0" w:color="A6A6A6" w:themeColor="background1" w:themeShade="A6"/>
          <w:insideH w:val="single" w:sz="8" w:space="0" w:color="A6A6A6" w:themeColor="background1" w:themeShade="A6"/>
        </w:tblBorders>
        <w:tblLook w:val="04E0" w:firstRow="1" w:lastRow="1" w:firstColumn="1" w:lastColumn="0" w:noHBand="0" w:noVBand="1"/>
      </w:tblPr>
      <w:tblGrid>
        <w:gridCol w:w="1834"/>
        <w:gridCol w:w="1389"/>
        <w:gridCol w:w="4998"/>
      </w:tblGrid>
      <w:tr w:rsidR="00B73629" w:rsidRPr="004C33D1" w:rsidTr="00AD072D">
        <w:trPr>
          <w:cnfStyle w:val="100000000000" w:firstRow="1" w:lastRow="0" w:firstColumn="0" w:lastColumn="0" w:oddVBand="0" w:evenVBand="0" w:oddHBand="0" w:evenHBand="0" w:firstRowFirstColumn="0" w:firstRowLastColumn="0" w:lastRowFirstColumn="0" w:lastRowLastColumn="0"/>
          <w:trHeight w:val="256"/>
        </w:trPr>
        <w:tc>
          <w:tcPr>
            <w:cnfStyle w:val="001000000100" w:firstRow="0" w:lastRow="0" w:firstColumn="1" w:lastColumn="0" w:oddVBand="0" w:evenVBand="0" w:oddHBand="0" w:evenHBand="0" w:firstRowFirstColumn="1" w:firstRowLastColumn="0" w:lastRowFirstColumn="0" w:lastRowLastColumn="0"/>
            <w:tcW w:w="1115" w:type="pct"/>
          </w:tcPr>
          <w:p w:rsidR="00B73629" w:rsidRPr="004C33D1" w:rsidRDefault="00B73629" w:rsidP="00AD072D">
            <w:pPr>
              <w:pStyle w:val="TableText"/>
            </w:pPr>
            <w:r w:rsidRPr="004C33D1">
              <w:t>Data</w:t>
            </w:r>
          </w:p>
        </w:tc>
        <w:tc>
          <w:tcPr>
            <w:tcW w:w="845" w:type="pct"/>
          </w:tcPr>
          <w:p w:rsidR="00B73629" w:rsidRPr="004C33D1" w:rsidRDefault="00B73629" w:rsidP="00AD072D">
            <w:pPr>
              <w:pStyle w:val="TableText"/>
              <w:jc w:val="left"/>
              <w:cnfStyle w:val="100000000000" w:firstRow="1" w:lastRow="0" w:firstColumn="0" w:lastColumn="0" w:oddVBand="0" w:evenVBand="0" w:oddHBand="0" w:evenHBand="0" w:firstRowFirstColumn="0" w:firstRowLastColumn="0" w:lastRowFirstColumn="0" w:lastRowLastColumn="0"/>
            </w:pPr>
            <w:r w:rsidRPr="004C33D1">
              <w:t>Source</w:t>
            </w:r>
          </w:p>
        </w:tc>
        <w:tc>
          <w:tcPr>
            <w:tcW w:w="3040" w:type="pct"/>
          </w:tcPr>
          <w:p w:rsidR="00B73629" w:rsidRPr="004C33D1" w:rsidRDefault="00B73629" w:rsidP="00AD072D">
            <w:pPr>
              <w:pStyle w:val="TableText"/>
              <w:jc w:val="left"/>
              <w:cnfStyle w:val="100000000000" w:firstRow="1" w:lastRow="0" w:firstColumn="0" w:lastColumn="0" w:oddVBand="0" w:evenVBand="0" w:oddHBand="0" w:evenHBand="0" w:firstRowFirstColumn="0" w:firstRowLastColumn="0" w:lastRowFirstColumn="0" w:lastRowLastColumn="0"/>
            </w:pPr>
            <w:r w:rsidRPr="004C33D1">
              <w:t>Location</w:t>
            </w:r>
          </w:p>
        </w:tc>
      </w:tr>
      <w:tr w:rsidR="00B73629" w:rsidRPr="004C33D1" w:rsidTr="00AD072D">
        <w:tblPrEx>
          <w:tblCellMar>
            <w:top w:w="0" w:type="dxa"/>
            <w:left w:w="0" w:type="dxa"/>
            <w:bottom w:w="0" w:type="dxa"/>
            <w:right w:w="0" w:type="dxa"/>
          </w:tblCellMar>
        </w:tblPrEx>
        <w:trPr>
          <w:trHeight w:val="245"/>
        </w:trPr>
        <w:tc>
          <w:tcPr>
            <w:cnfStyle w:val="001000000000" w:firstRow="0" w:lastRow="0" w:firstColumn="1" w:lastColumn="0" w:oddVBand="0" w:evenVBand="0" w:oddHBand="0" w:evenHBand="0" w:firstRowFirstColumn="0" w:firstRowLastColumn="0" w:lastRowFirstColumn="0" w:lastRowLastColumn="0"/>
            <w:tcW w:w="1115" w:type="pct"/>
            <w:vAlign w:val="top"/>
          </w:tcPr>
          <w:p w:rsidR="00B73629" w:rsidRPr="004C33D1" w:rsidRDefault="00B73629" w:rsidP="00AD072D">
            <w:pPr>
              <w:pStyle w:val="TableText"/>
            </w:pPr>
            <w:r w:rsidRPr="004C33D1">
              <w:t>Lower quartile house price</w:t>
            </w:r>
          </w:p>
        </w:tc>
        <w:tc>
          <w:tcPr>
            <w:tcW w:w="845" w:type="pct"/>
            <w:vAlign w:val="top"/>
          </w:tcPr>
          <w:p w:rsidR="00B73629" w:rsidRPr="004C33D1" w:rsidRDefault="00B73629" w:rsidP="00AD072D">
            <w:pPr>
              <w:pStyle w:val="TableText"/>
              <w:jc w:val="left"/>
              <w:cnfStyle w:val="000000000000" w:firstRow="0" w:lastRow="0" w:firstColumn="0" w:lastColumn="0" w:oddVBand="0" w:evenVBand="0" w:oddHBand="0" w:evenHBand="0" w:firstRowFirstColumn="0" w:firstRowLastColumn="0" w:lastRowFirstColumn="0" w:lastRowLastColumn="0"/>
            </w:pPr>
            <w:r w:rsidRPr="004C33D1">
              <w:t>QVNZ</w:t>
            </w:r>
          </w:p>
        </w:tc>
        <w:tc>
          <w:tcPr>
            <w:tcW w:w="3040" w:type="pct"/>
            <w:vAlign w:val="top"/>
          </w:tcPr>
          <w:p w:rsidR="00B73629" w:rsidRPr="004C33D1" w:rsidRDefault="00B73629" w:rsidP="00AD072D">
            <w:pPr>
              <w:pStyle w:val="TableText"/>
              <w:jc w:val="left"/>
              <w:cnfStyle w:val="000000000000" w:firstRow="0" w:lastRow="0" w:firstColumn="0" w:lastColumn="0" w:oddVBand="0" w:evenVBand="0" w:oddHBand="0" w:evenHBand="0" w:firstRowFirstColumn="0" w:firstRowLastColumn="0" w:lastRowFirstColumn="0" w:lastRowLastColumn="0"/>
            </w:pPr>
            <w:r w:rsidRPr="004C33D1">
              <w:t>QVNZ</w:t>
            </w:r>
          </w:p>
        </w:tc>
      </w:tr>
      <w:tr w:rsidR="00B73629" w:rsidRPr="004C33D1" w:rsidTr="00AD072D">
        <w:tblPrEx>
          <w:tblCellMar>
            <w:top w:w="0" w:type="dxa"/>
            <w:left w:w="0" w:type="dxa"/>
            <w:bottom w:w="0" w:type="dxa"/>
            <w:right w:w="0" w:type="dxa"/>
          </w:tblCellMar>
        </w:tblPrEx>
        <w:trPr>
          <w:trHeight w:val="256"/>
        </w:trPr>
        <w:tc>
          <w:tcPr>
            <w:cnfStyle w:val="001000000000" w:firstRow="0" w:lastRow="0" w:firstColumn="1" w:lastColumn="0" w:oddVBand="0" w:evenVBand="0" w:oddHBand="0" w:evenHBand="0" w:firstRowFirstColumn="0" w:firstRowLastColumn="0" w:lastRowFirstColumn="0" w:lastRowLastColumn="0"/>
            <w:tcW w:w="1115" w:type="pct"/>
            <w:vAlign w:val="top"/>
          </w:tcPr>
          <w:p w:rsidR="00B73629" w:rsidRPr="004C33D1" w:rsidRDefault="00B73629" w:rsidP="00AD072D">
            <w:pPr>
              <w:pStyle w:val="TableText"/>
            </w:pPr>
            <w:r w:rsidRPr="004C33D1">
              <w:t>Individual earnings</w:t>
            </w:r>
          </w:p>
        </w:tc>
        <w:tc>
          <w:tcPr>
            <w:tcW w:w="845" w:type="pct"/>
            <w:vAlign w:val="top"/>
          </w:tcPr>
          <w:p w:rsidR="00B73629" w:rsidRPr="004C33D1" w:rsidRDefault="00B73629" w:rsidP="00AD072D">
            <w:pPr>
              <w:pStyle w:val="TableText"/>
              <w:jc w:val="left"/>
              <w:cnfStyle w:val="000000000000" w:firstRow="0" w:lastRow="0" w:firstColumn="0" w:lastColumn="0" w:oddVBand="0" w:evenVBand="0" w:oddHBand="0" w:evenHBand="0" w:firstRowFirstColumn="0" w:firstRowLastColumn="0" w:lastRowFirstColumn="0" w:lastRowLastColumn="0"/>
            </w:pPr>
            <w:r w:rsidRPr="004C33D1">
              <w:t>Statistics NZ</w:t>
            </w:r>
          </w:p>
        </w:tc>
        <w:tc>
          <w:tcPr>
            <w:tcW w:w="3040" w:type="pct"/>
            <w:vAlign w:val="top"/>
          </w:tcPr>
          <w:p w:rsidR="00B73629" w:rsidRPr="004C33D1" w:rsidRDefault="00B73629" w:rsidP="00AD072D">
            <w:pPr>
              <w:pStyle w:val="TableText"/>
              <w:jc w:val="left"/>
              <w:cnfStyle w:val="000000000000" w:firstRow="0" w:lastRow="0" w:firstColumn="0" w:lastColumn="0" w:oddVBand="0" w:evenVBand="0" w:oddHBand="0" w:evenHBand="0" w:firstRowFirstColumn="0" w:firstRowLastColumn="0" w:lastRowFirstColumn="0" w:lastRowLastColumn="0"/>
            </w:pPr>
            <w:proofErr w:type="spellStart"/>
            <w:r w:rsidRPr="004C33D1">
              <w:t>NZ.stat</w:t>
            </w:r>
            <w:proofErr w:type="spellEnd"/>
            <w:r w:rsidRPr="004C33D1">
              <w:rPr>
                <w:rStyle w:val="FootnoteReference"/>
              </w:rPr>
              <w:footnoteReference w:id="131"/>
            </w:r>
            <w:r w:rsidRPr="004C33D1">
              <w:t xml:space="preserve"> </w:t>
            </w:r>
            <w:r w:rsidRPr="004C33D1">
              <w:rPr>
                <w:i/>
              </w:rPr>
              <w:t>LEED &gt; 1-way &gt; LEED by territorial authority &gt; Median earnings of continuing jobs</w:t>
            </w:r>
          </w:p>
        </w:tc>
      </w:tr>
      <w:tr w:rsidR="00B73629" w:rsidRPr="004C33D1" w:rsidTr="00AD072D">
        <w:tblPrEx>
          <w:tblCellMar>
            <w:top w:w="0" w:type="dxa"/>
            <w:left w:w="0" w:type="dxa"/>
            <w:bottom w:w="0" w:type="dxa"/>
            <w:right w:w="0" w:type="dxa"/>
          </w:tblCellMar>
        </w:tblPrEx>
        <w:trPr>
          <w:cnfStyle w:val="010000000000" w:firstRow="0" w:lastRow="1" w:firstColumn="0" w:lastColumn="0" w:oddVBand="0" w:evenVBand="0" w:oddHBand="0" w:evenHBand="0" w:firstRowFirstColumn="0" w:firstRowLastColumn="0" w:lastRowFirstColumn="0" w:lastRowLastColumn="0"/>
          <w:trHeight w:val="256"/>
        </w:trPr>
        <w:tc>
          <w:tcPr>
            <w:cnfStyle w:val="001000000001" w:firstRow="0" w:lastRow="0" w:firstColumn="1" w:lastColumn="0" w:oddVBand="0" w:evenVBand="0" w:oddHBand="0" w:evenHBand="0" w:firstRowFirstColumn="0" w:firstRowLastColumn="0" w:lastRowFirstColumn="1" w:lastRowLastColumn="0"/>
            <w:tcW w:w="1115" w:type="pct"/>
            <w:vAlign w:val="top"/>
          </w:tcPr>
          <w:p w:rsidR="00B73629" w:rsidRPr="004C33D1" w:rsidRDefault="00B73629" w:rsidP="00AD072D">
            <w:pPr>
              <w:pStyle w:val="TableText"/>
            </w:pPr>
            <w:r w:rsidRPr="004C33D1">
              <w:t>Household income</w:t>
            </w:r>
          </w:p>
        </w:tc>
        <w:tc>
          <w:tcPr>
            <w:tcW w:w="845" w:type="pct"/>
            <w:vAlign w:val="top"/>
          </w:tcPr>
          <w:p w:rsidR="00B73629" w:rsidRPr="004C33D1" w:rsidRDefault="00B73629" w:rsidP="00AD072D">
            <w:pPr>
              <w:pStyle w:val="TableText"/>
              <w:jc w:val="left"/>
              <w:cnfStyle w:val="010000000000" w:firstRow="0" w:lastRow="1" w:firstColumn="0" w:lastColumn="0" w:oddVBand="0" w:evenVBand="0" w:oddHBand="0" w:evenHBand="0" w:firstRowFirstColumn="0" w:firstRowLastColumn="0" w:lastRowFirstColumn="0" w:lastRowLastColumn="0"/>
            </w:pPr>
            <w:r w:rsidRPr="004C33D1">
              <w:t>Statistics NZ</w:t>
            </w:r>
          </w:p>
        </w:tc>
        <w:tc>
          <w:tcPr>
            <w:tcW w:w="3040" w:type="pct"/>
            <w:vAlign w:val="top"/>
          </w:tcPr>
          <w:p w:rsidR="00B73629" w:rsidRPr="004C33D1" w:rsidRDefault="00B73629" w:rsidP="00AD072D">
            <w:pPr>
              <w:pStyle w:val="TableText"/>
              <w:jc w:val="left"/>
              <w:cnfStyle w:val="010000000000" w:firstRow="0" w:lastRow="1" w:firstColumn="0" w:lastColumn="0" w:oddVBand="0" w:evenVBand="0" w:oddHBand="0" w:evenHBand="0" w:firstRowFirstColumn="0" w:firstRowLastColumn="0" w:lastRowFirstColumn="0" w:lastRowLastColumn="0"/>
            </w:pPr>
            <w:r w:rsidRPr="004C33D1">
              <w:t>Statistics NZ</w:t>
            </w:r>
            <w:r w:rsidRPr="004C33D1">
              <w:rPr>
                <w:i/>
              </w:rPr>
              <w:t xml:space="preserve"> </w:t>
            </w:r>
            <w:proofErr w:type="spellStart"/>
            <w:r w:rsidRPr="004C33D1">
              <w:t>Quickstats</w:t>
            </w:r>
            <w:proofErr w:type="spellEnd"/>
            <w:r w:rsidRPr="004C33D1">
              <w:t xml:space="preserve"> about income</w:t>
            </w:r>
            <w:r w:rsidRPr="004C33D1">
              <w:rPr>
                <w:rStyle w:val="FootnoteReference"/>
              </w:rPr>
              <w:footnoteReference w:id="132"/>
            </w:r>
            <w:r w:rsidRPr="004C33D1">
              <w:t xml:space="preserve"> </w:t>
            </w:r>
            <w:r w:rsidRPr="004C33D1">
              <w:rPr>
                <w:i/>
              </w:rPr>
              <w:t xml:space="preserve"> &gt; 2013 Census </w:t>
            </w:r>
            <w:proofErr w:type="spellStart"/>
            <w:r w:rsidRPr="004C33D1">
              <w:rPr>
                <w:i/>
              </w:rPr>
              <w:t>QuickStats</w:t>
            </w:r>
            <w:proofErr w:type="spellEnd"/>
            <w:r w:rsidRPr="004C33D1">
              <w:rPr>
                <w:i/>
              </w:rPr>
              <w:t xml:space="preserve"> about income – tables &gt; Table 32</w:t>
            </w:r>
          </w:p>
        </w:tc>
      </w:tr>
    </w:tbl>
    <w:p w:rsidR="006D7D81" w:rsidRPr="004C33D1" w:rsidRDefault="00B73629" w:rsidP="009C6CC3">
      <w:pPr>
        <w:pStyle w:val="Annex2"/>
      </w:pPr>
      <w:bookmarkStart w:id="536" w:name="_Toc457985400"/>
      <w:bookmarkStart w:id="537" w:name="_Toc457988542"/>
      <w:bookmarkStart w:id="538" w:name="_Toc458160037"/>
      <w:bookmarkStart w:id="539" w:name="_Toc462582271"/>
      <w:r w:rsidRPr="004C33D1">
        <w:t>Examples of use</w:t>
      </w:r>
      <w:bookmarkEnd w:id="536"/>
      <w:bookmarkEnd w:id="537"/>
      <w:bookmarkEnd w:id="538"/>
      <w:bookmarkEnd w:id="539"/>
    </w:p>
    <w:p w:rsidR="00AD072D" w:rsidRPr="004C33D1" w:rsidRDefault="00AD072D">
      <w:r w:rsidRPr="004C33D1">
        <w:fldChar w:fldCharType="begin"/>
      </w:r>
      <w:r w:rsidRPr="004C33D1">
        <w:instrText xml:space="preserve"> REF _Ref456854409 \h </w:instrText>
      </w:r>
      <w:r w:rsidRPr="004C33D1">
        <w:fldChar w:fldCharType="separate"/>
      </w:r>
      <w:r w:rsidR="004D1DDA" w:rsidRPr="004C33D1">
        <w:t xml:space="preserve">Figure </w:t>
      </w:r>
      <w:r w:rsidR="004D1DDA">
        <w:rPr>
          <w:noProof/>
        </w:rPr>
        <w:t>48</w:t>
      </w:r>
      <w:r w:rsidRPr="004C33D1">
        <w:fldChar w:fldCharType="end"/>
      </w:r>
      <w:r w:rsidRPr="004C33D1">
        <w:t xml:space="preserve"> shows lower quartile house price to median household income in selected high growth areas (solid line) and non-high growth areas (dotted line). From 2000 to 2010</w:t>
      </w:r>
      <w:r w:rsidR="00C50166" w:rsidRPr="004C33D1">
        <w:t xml:space="preserve">, </w:t>
      </w:r>
      <w:r w:rsidRPr="004C33D1">
        <w:t xml:space="preserve">lower quartile house prices to household income </w:t>
      </w:r>
      <w:r w:rsidR="00C50166" w:rsidRPr="004C33D1">
        <w:t xml:space="preserve">were much the same for all </w:t>
      </w:r>
      <w:r w:rsidRPr="004C33D1">
        <w:t>areas represented in the figure</w:t>
      </w:r>
      <w:r w:rsidR="00C50166" w:rsidRPr="004C33D1">
        <w:t>: worsening affordability (ie increasing ratio) until 2007-08 when</w:t>
      </w:r>
      <w:r w:rsidRPr="004C33D1">
        <w:t xml:space="preserve"> </w:t>
      </w:r>
      <w:r w:rsidR="00C50166" w:rsidRPr="004C33D1">
        <w:t xml:space="preserve">affordability began to improve (ie declining ratio). Recently, however, </w:t>
      </w:r>
      <w:r w:rsidRPr="004C33D1">
        <w:t xml:space="preserve">high growth areas </w:t>
      </w:r>
      <w:r w:rsidR="00C50166" w:rsidRPr="004C33D1">
        <w:t xml:space="preserve">have experienced a noticeable worsening in </w:t>
      </w:r>
      <w:r w:rsidRPr="004C33D1">
        <w:t>affordability</w:t>
      </w:r>
      <w:r w:rsidR="00C50166" w:rsidRPr="004C33D1">
        <w:t>,</w:t>
      </w:r>
      <w:r w:rsidRPr="004C33D1">
        <w:t xml:space="preserve"> </w:t>
      </w:r>
      <w:r w:rsidR="00C50166" w:rsidRPr="004C33D1">
        <w:t>whereas non-high growth areas have continued their stead</w:t>
      </w:r>
      <w:r w:rsidRPr="004C33D1">
        <w:t xml:space="preserve">y </w:t>
      </w:r>
      <w:r w:rsidR="00C50166" w:rsidRPr="004C33D1">
        <w:t>improvement in lower quartile housing affordability</w:t>
      </w:r>
      <w:r w:rsidRPr="004C33D1">
        <w:t>.</w:t>
      </w:r>
    </w:p>
    <w:p w:rsidR="00AD072D" w:rsidRPr="004C33D1" w:rsidRDefault="00AD072D" w:rsidP="00E02811">
      <w:pPr>
        <w:pStyle w:val="Caption"/>
      </w:pPr>
      <w:bookmarkStart w:id="540" w:name="_Ref456854409"/>
      <w:r w:rsidRPr="004C33D1">
        <w:lastRenderedPageBreak/>
        <w:t xml:space="preserve">Figure </w:t>
      </w:r>
      <w:r w:rsidRPr="004C33D1">
        <w:fldChar w:fldCharType="begin"/>
      </w:r>
      <w:r w:rsidRPr="004C33D1">
        <w:instrText xml:space="preserve"> SEQ Figure \* ARABIC </w:instrText>
      </w:r>
      <w:r w:rsidRPr="004C33D1">
        <w:fldChar w:fldCharType="separate"/>
      </w:r>
      <w:proofErr w:type="gramStart"/>
      <w:r w:rsidR="004D1DDA">
        <w:rPr>
          <w:noProof/>
        </w:rPr>
        <w:t>48</w:t>
      </w:r>
      <w:r w:rsidRPr="004C33D1">
        <w:fldChar w:fldCharType="end"/>
      </w:r>
      <w:bookmarkEnd w:id="540"/>
      <w:r w:rsidRPr="004C33D1">
        <w:t xml:space="preserve"> Lower quartile house price</w:t>
      </w:r>
      <w:proofErr w:type="gramEnd"/>
      <w:r w:rsidRPr="004C33D1">
        <w:t xml:space="preserve"> to median household income 2000-2015</w:t>
      </w:r>
    </w:p>
    <w:p w:rsidR="006D7D81" w:rsidRPr="004C33D1" w:rsidRDefault="00AD072D" w:rsidP="00183668">
      <w:pPr>
        <w:jc w:val="center"/>
      </w:pPr>
      <w:r w:rsidRPr="004C33D1">
        <w:rPr>
          <w:noProof/>
          <w:lang w:eastAsia="en-NZ"/>
        </w:rPr>
        <w:drawing>
          <wp:inline distT="0" distB="0" distL="0" distR="0" wp14:anchorId="44DE58EF" wp14:editId="210698ED">
            <wp:extent cx="4762500" cy="2852461"/>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766276" cy="2854723"/>
                    </a:xfrm>
                    <a:prstGeom prst="rect">
                      <a:avLst/>
                    </a:prstGeom>
                    <a:noFill/>
                    <a:ln>
                      <a:noFill/>
                    </a:ln>
                  </pic:spPr>
                </pic:pic>
              </a:graphicData>
            </a:graphic>
          </wp:inline>
        </w:drawing>
      </w:r>
    </w:p>
    <w:p w:rsidR="00AD072D" w:rsidRPr="004C33D1" w:rsidRDefault="00AD072D" w:rsidP="00E02811">
      <w:pPr>
        <w:pStyle w:val="Caption"/>
      </w:pPr>
      <w:r w:rsidRPr="004C33D1">
        <w:t>Source: QVNZ &amp; LEED</w:t>
      </w:r>
    </w:p>
    <w:p w:rsidR="006D7D81" w:rsidRPr="004C33D1" w:rsidRDefault="00AD072D" w:rsidP="009C6CC3">
      <w:pPr>
        <w:spacing w:line="240" w:lineRule="auto"/>
      </w:pPr>
      <w:r w:rsidRPr="004C33D1">
        <w:br w:type="page"/>
      </w:r>
    </w:p>
    <w:p w:rsidR="006D7D81" w:rsidRPr="004C33D1" w:rsidRDefault="006D7D81" w:rsidP="00344C8E"/>
    <w:p w:rsidR="00344C8E" w:rsidRPr="004C33D1" w:rsidRDefault="00344C8E" w:rsidP="003C255B">
      <w:pPr>
        <w:pStyle w:val="Annex1"/>
      </w:pPr>
      <w:bookmarkStart w:id="541" w:name="_Toc456367207"/>
      <w:bookmarkStart w:id="542" w:name="_Toc458179042"/>
      <w:bookmarkStart w:id="543" w:name="_Toc458464597"/>
      <w:bookmarkStart w:id="544" w:name="_Toc458489818"/>
      <w:bookmarkStart w:id="545" w:name="_Toc462413673"/>
      <w:bookmarkStart w:id="546" w:name="_Toc462582272"/>
      <w:r w:rsidRPr="004C33D1">
        <w:t>Mortgage payments to income</w:t>
      </w:r>
      <w:bookmarkEnd w:id="541"/>
      <w:bookmarkEnd w:id="542"/>
      <w:bookmarkEnd w:id="543"/>
      <w:bookmarkEnd w:id="544"/>
      <w:bookmarkEnd w:id="545"/>
      <w:bookmarkEnd w:id="546"/>
      <w:r w:rsidRPr="004C33D1">
        <w:t xml:space="preserve"> </w:t>
      </w:r>
    </w:p>
    <w:p w:rsidR="00344C8E" w:rsidRPr="004C33D1" w:rsidRDefault="00344C8E" w:rsidP="004A5A2D">
      <w:pPr>
        <w:pStyle w:val="Annex2"/>
      </w:pPr>
      <w:bookmarkStart w:id="547" w:name="_Toc456367208"/>
      <w:bookmarkStart w:id="548" w:name="_Toc456624682"/>
      <w:bookmarkStart w:id="549" w:name="_Toc457985401"/>
      <w:bookmarkStart w:id="550" w:name="_Toc457988543"/>
      <w:bookmarkStart w:id="551" w:name="_Toc458160038"/>
      <w:bookmarkStart w:id="552" w:name="_Toc462582273"/>
      <w:r w:rsidRPr="004C33D1">
        <w:t>Description</w:t>
      </w:r>
      <w:bookmarkEnd w:id="547"/>
      <w:bookmarkEnd w:id="548"/>
      <w:bookmarkEnd w:id="549"/>
      <w:bookmarkEnd w:id="550"/>
      <w:bookmarkEnd w:id="551"/>
      <w:bookmarkEnd w:id="552"/>
    </w:p>
    <w:p w:rsidR="00344C8E" w:rsidRPr="004C33D1" w:rsidRDefault="00344C8E" w:rsidP="00344C8E">
      <w:proofErr w:type="gramStart"/>
      <w:r w:rsidRPr="004C33D1">
        <w:t>The annual mortgage repayments on a median priced house divided by the median household income.</w:t>
      </w:r>
      <w:proofErr w:type="gramEnd"/>
      <w:r w:rsidRPr="004C33D1">
        <w:t xml:space="preserve"> Annual mortgage repayments </w:t>
      </w:r>
      <w:proofErr w:type="gramStart"/>
      <w:r w:rsidRPr="004C33D1">
        <w:t>might be estimated</w:t>
      </w:r>
      <w:proofErr w:type="gramEnd"/>
      <w:r w:rsidRPr="004C33D1">
        <w:t xml:space="preserve"> on the following assumptions:</w:t>
      </w:r>
    </w:p>
    <w:p w:rsidR="00344C8E" w:rsidRPr="004C33D1" w:rsidRDefault="00344C8E" w:rsidP="00411653">
      <w:pPr>
        <w:pStyle w:val="ListParagraph"/>
        <w:numPr>
          <w:ilvl w:val="0"/>
          <w:numId w:val="44"/>
        </w:numPr>
        <w:spacing w:after="200" w:line="276" w:lineRule="auto"/>
      </w:pPr>
      <w:r w:rsidRPr="004C33D1">
        <w:t>a 100% mortgage (zero deposit);</w:t>
      </w:r>
    </w:p>
    <w:p w:rsidR="00344C8E" w:rsidRPr="004C33D1" w:rsidRDefault="00344C8E" w:rsidP="00411653">
      <w:pPr>
        <w:pStyle w:val="ListParagraph"/>
        <w:numPr>
          <w:ilvl w:val="0"/>
          <w:numId w:val="44"/>
        </w:numPr>
        <w:spacing w:after="200" w:line="276" w:lineRule="auto"/>
      </w:pPr>
      <w:r w:rsidRPr="004C33D1">
        <w:t xml:space="preserve">a 30 year loan repayment period; and </w:t>
      </w:r>
    </w:p>
    <w:p w:rsidR="00344C8E" w:rsidRPr="004C33D1" w:rsidRDefault="00344C8E" w:rsidP="00411653">
      <w:pPr>
        <w:pStyle w:val="ListParagraph"/>
        <w:numPr>
          <w:ilvl w:val="0"/>
          <w:numId w:val="44"/>
        </w:numPr>
        <w:spacing w:after="200" w:line="276" w:lineRule="auto"/>
      </w:pPr>
      <w:proofErr w:type="gramStart"/>
      <w:r w:rsidRPr="004C33D1">
        <w:t>average</w:t>
      </w:r>
      <w:proofErr w:type="gramEnd"/>
      <w:r w:rsidRPr="004C33D1">
        <w:t xml:space="preserve"> of the 2 year fixed and floating mortgage rate. </w:t>
      </w:r>
    </w:p>
    <w:p w:rsidR="00344C8E" w:rsidRPr="004C33D1" w:rsidRDefault="00344C8E" w:rsidP="004A5A2D">
      <w:pPr>
        <w:pStyle w:val="Annex2"/>
      </w:pPr>
      <w:bookmarkStart w:id="553" w:name="_Toc456367209"/>
      <w:bookmarkStart w:id="554" w:name="_Toc456624683"/>
      <w:bookmarkStart w:id="555" w:name="_Toc457985402"/>
      <w:bookmarkStart w:id="556" w:name="_Toc457988544"/>
      <w:bookmarkStart w:id="557" w:name="_Toc458160039"/>
      <w:bookmarkStart w:id="558" w:name="_Toc462582274"/>
      <w:r w:rsidRPr="004C33D1">
        <w:t>Interpretation</w:t>
      </w:r>
      <w:bookmarkEnd w:id="553"/>
      <w:bookmarkEnd w:id="554"/>
      <w:bookmarkEnd w:id="555"/>
      <w:bookmarkEnd w:id="556"/>
      <w:bookmarkEnd w:id="557"/>
      <w:bookmarkEnd w:id="558"/>
    </w:p>
    <w:p w:rsidR="00344C8E" w:rsidRPr="004C33D1" w:rsidRDefault="00344C8E" w:rsidP="00344C8E">
      <w:r w:rsidRPr="004C33D1">
        <w:t xml:space="preserve">This indicator measures the affordability of purchasing a house given two key contributing factors: household income and the prevailing interest rate. This indicator is most relevant to first </w:t>
      </w:r>
      <w:proofErr w:type="gramStart"/>
      <w:r w:rsidRPr="004C33D1">
        <w:t>home buyers</w:t>
      </w:r>
      <w:proofErr w:type="gramEnd"/>
      <w:r w:rsidRPr="004C33D1">
        <w:t xml:space="preserve"> who tend to use a relatively small deposit and a longer repayment period to ease the financial burden of purchasing a home. Although the assumption of a 100% mortgage is unrealistic currently, it provides a means of measurement consistency. </w:t>
      </w:r>
    </w:p>
    <w:p w:rsidR="00344C8E" w:rsidRPr="004C33D1" w:rsidRDefault="00344C8E" w:rsidP="004A5A2D">
      <w:pPr>
        <w:pStyle w:val="Annex2"/>
      </w:pPr>
      <w:bookmarkStart w:id="559" w:name="_Toc456367210"/>
      <w:bookmarkStart w:id="560" w:name="_Toc456624684"/>
      <w:bookmarkStart w:id="561" w:name="_Toc457985403"/>
      <w:bookmarkStart w:id="562" w:name="_Toc457988545"/>
      <w:bookmarkStart w:id="563" w:name="_Toc458160040"/>
      <w:bookmarkStart w:id="564" w:name="_Toc462582275"/>
      <w:r w:rsidRPr="004C33D1">
        <w:t>Data availability</w:t>
      </w:r>
      <w:bookmarkEnd w:id="559"/>
      <w:bookmarkEnd w:id="560"/>
      <w:bookmarkEnd w:id="561"/>
      <w:bookmarkEnd w:id="562"/>
      <w:bookmarkEnd w:id="563"/>
      <w:bookmarkEnd w:id="564"/>
    </w:p>
    <w:p w:rsidR="00344C8E" w:rsidRPr="004C33D1" w:rsidRDefault="00344C8E" w:rsidP="00344C8E">
      <w:r w:rsidRPr="004C33D1">
        <w:t xml:space="preserve">Data </w:t>
      </w:r>
      <w:proofErr w:type="gramStart"/>
      <w:r w:rsidRPr="004C33D1">
        <w:t>are retrieved</w:t>
      </w:r>
      <w:proofErr w:type="gramEnd"/>
      <w:r w:rsidRPr="004C33D1">
        <w:t xml:space="preserve"> from a variety of sources as shown in </w:t>
      </w:r>
      <w:r w:rsidRPr="004C33D1">
        <w:fldChar w:fldCharType="begin"/>
      </w:r>
      <w:r w:rsidRPr="004C33D1">
        <w:instrText xml:space="preserve"> REF _Ref455661539 \h </w:instrText>
      </w:r>
      <w:r w:rsidRPr="004C33D1">
        <w:fldChar w:fldCharType="separate"/>
      </w:r>
      <w:r w:rsidR="004D1DDA" w:rsidRPr="004C33D1">
        <w:t xml:space="preserve">Table </w:t>
      </w:r>
      <w:r w:rsidR="004D1DDA">
        <w:rPr>
          <w:noProof/>
        </w:rPr>
        <w:t>39</w:t>
      </w:r>
      <w:r w:rsidRPr="004C33D1">
        <w:fldChar w:fldCharType="end"/>
      </w:r>
      <w:r w:rsidRPr="004C33D1">
        <w:t xml:space="preserve">. House price data by territorial authority </w:t>
      </w:r>
      <w:proofErr w:type="gramStart"/>
      <w:r w:rsidRPr="004C33D1">
        <w:t>can be purchased</w:t>
      </w:r>
      <w:proofErr w:type="gramEnd"/>
      <w:r w:rsidRPr="004C33D1">
        <w:t xml:space="preserve"> from QVNZ. </w:t>
      </w:r>
      <w:proofErr w:type="gramStart"/>
      <w:r w:rsidRPr="004C33D1">
        <w:t>Time series income data</w:t>
      </w:r>
      <w:proofErr w:type="gramEnd"/>
      <w:r w:rsidRPr="004C33D1">
        <w:t xml:space="preserve"> by territorial authority are available from the Linked Employer-Employee Data (LEED) and only at the individual level, rather than by household. Other sources of income data include the Household Economic Survey (HES), but to convert LEED data into household income, we divide 2013 household income (from the 2013 Census) by the 2013 median individual income for each individual area. The resulting values represent an ‘individual income to household income multiplier’ and </w:t>
      </w:r>
      <w:proofErr w:type="gramStart"/>
      <w:r w:rsidRPr="004C33D1">
        <w:t>can then be applied</w:t>
      </w:r>
      <w:proofErr w:type="gramEnd"/>
      <w:r w:rsidRPr="004C33D1">
        <w:t xml:space="preserve"> to each respective area’s annual individual income to yield an estimate of annual household income. MBIE’s access to IRD data may be helpful in order to obtain more reliable household income data by territorial authority.</w:t>
      </w:r>
    </w:p>
    <w:p w:rsidR="00344C8E" w:rsidRPr="004C33D1" w:rsidRDefault="00344C8E" w:rsidP="00E02811">
      <w:pPr>
        <w:pStyle w:val="Caption"/>
      </w:pPr>
      <w:bookmarkStart w:id="565" w:name="_Ref455661539"/>
      <w:r w:rsidRPr="004C33D1">
        <w:t xml:space="preserve">Table </w:t>
      </w:r>
      <w:r w:rsidRPr="004C33D1">
        <w:fldChar w:fldCharType="begin"/>
      </w:r>
      <w:r w:rsidRPr="004C33D1">
        <w:instrText xml:space="preserve"> SEQ Table \* ARABIC </w:instrText>
      </w:r>
      <w:r w:rsidRPr="004C33D1">
        <w:fldChar w:fldCharType="separate"/>
      </w:r>
      <w:r w:rsidR="004D1DDA">
        <w:rPr>
          <w:noProof/>
        </w:rPr>
        <w:t>39</w:t>
      </w:r>
      <w:r w:rsidRPr="004C33D1">
        <w:fldChar w:fldCharType="end"/>
      </w:r>
      <w:bookmarkEnd w:id="565"/>
      <w:r w:rsidRPr="004C33D1">
        <w:t>: Data sources</w:t>
      </w:r>
    </w:p>
    <w:tbl>
      <w:tblPr>
        <w:tblStyle w:val="CovecTables"/>
        <w:tblW w:w="5000" w:type="pct"/>
        <w:tblInd w:w="0" w:type="dxa"/>
        <w:tblBorders>
          <w:bottom w:val="single" w:sz="12" w:space="0" w:color="A6A6A6" w:themeColor="background1" w:themeShade="A6"/>
          <w:insideH w:val="single" w:sz="8" w:space="0" w:color="A6A6A6" w:themeColor="background1" w:themeShade="A6"/>
        </w:tblBorders>
        <w:tblLook w:val="04E0" w:firstRow="1" w:lastRow="1" w:firstColumn="1" w:lastColumn="0" w:noHBand="0" w:noVBand="1"/>
      </w:tblPr>
      <w:tblGrid>
        <w:gridCol w:w="1834"/>
        <w:gridCol w:w="1389"/>
        <w:gridCol w:w="4998"/>
      </w:tblGrid>
      <w:tr w:rsidR="00344C8E" w:rsidRPr="004C33D1" w:rsidTr="003508FB">
        <w:trPr>
          <w:cnfStyle w:val="100000000000" w:firstRow="1" w:lastRow="0" w:firstColumn="0" w:lastColumn="0" w:oddVBand="0" w:evenVBand="0" w:oddHBand="0" w:evenHBand="0" w:firstRowFirstColumn="0" w:firstRowLastColumn="0" w:lastRowFirstColumn="0" w:lastRowLastColumn="0"/>
          <w:trHeight w:val="256"/>
        </w:trPr>
        <w:tc>
          <w:tcPr>
            <w:cnfStyle w:val="001000000100" w:firstRow="0" w:lastRow="0" w:firstColumn="1" w:lastColumn="0" w:oddVBand="0" w:evenVBand="0" w:oddHBand="0" w:evenHBand="0" w:firstRowFirstColumn="1" w:firstRowLastColumn="0" w:lastRowFirstColumn="0" w:lastRowLastColumn="0"/>
            <w:tcW w:w="1115" w:type="pct"/>
          </w:tcPr>
          <w:p w:rsidR="00344C8E" w:rsidRPr="004C33D1" w:rsidRDefault="00344C8E" w:rsidP="003508FB">
            <w:pPr>
              <w:pStyle w:val="TableText"/>
            </w:pPr>
            <w:r w:rsidRPr="004C33D1">
              <w:t>Data</w:t>
            </w:r>
          </w:p>
        </w:tc>
        <w:tc>
          <w:tcPr>
            <w:tcW w:w="845" w:type="pct"/>
          </w:tcPr>
          <w:p w:rsidR="00344C8E" w:rsidRPr="004C33D1" w:rsidRDefault="00344C8E" w:rsidP="003508FB">
            <w:pPr>
              <w:pStyle w:val="TableText"/>
              <w:jc w:val="left"/>
              <w:cnfStyle w:val="100000000000" w:firstRow="1" w:lastRow="0" w:firstColumn="0" w:lastColumn="0" w:oddVBand="0" w:evenVBand="0" w:oddHBand="0" w:evenHBand="0" w:firstRowFirstColumn="0" w:firstRowLastColumn="0" w:lastRowFirstColumn="0" w:lastRowLastColumn="0"/>
            </w:pPr>
            <w:r w:rsidRPr="004C33D1">
              <w:t>Source</w:t>
            </w:r>
          </w:p>
        </w:tc>
        <w:tc>
          <w:tcPr>
            <w:tcW w:w="3040" w:type="pct"/>
          </w:tcPr>
          <w:p w:rsidR="00344C8E" w:rsidRPr="004C33D1" w:rsidRDefault="00344C8E" w:rsidP="003508FB">
            <w:pPr>
              <w:pStyle w:val="TableText"/>
              <w:jc w:val="left"/>
              <w:cnfStyle w:val="100000000000" w:firstRow="1" w:lastRow="0" w:firstColumn="0" w:lastColumn="0" w:oddVBand="0" w:evenVBand="0" w:oddHBand="0" w:evenHBand="0" w:firstRowFirstColumn="0" w:firstRowLastColumn="0" w:lastRowFirstColumn="0" w:lastRowLastColumn="0"/>
            </w:pPr>
            <w:r w:rsidRPr="004C33D1">
              <w:t>Location</w:t>
            </w:r>
          </w:p>
        </w:tc>
      </w:tr>
      <w:tr w:rsidR="00344C8E" w:rsidRPr="004C33D1" w:rsidTr="003508FB">
        <w:tblPrEx>
          <w:tblCellMar>
            <w:top w:w="0" w:type="dxa"/>
            <w:left w:w="0" w:type="dxa"/>
            <w:bottom w:w="0" w:type="dxa"/>
            <w:right w:w="0" w:type="dxa"/>
          </w:tblCellMar>
        </w:tblPrEx>
        <w:trPr>
          <w:trHeight w:val="245"/>
        </w:trPr>
        <w:tc>
          <w:tcPr>
            <w:cnfStyle w:val="001000000000" w:firstRow="0" w:lastRow="0" w:firstColumn="1" w:lastColumn="0" w:oddVBand="0" w:evenVBand="0" w:oddHBand="0" w:evenHBand="0" w:firstRowFirstColumn="0" w:firstRowLastColumn="0" w:lastRowFirstColumn="0" w:lastRowLastColumn="0"/>
            <w:tcW w:w="1115" w:type="pct"/>
            <w:vAlign w:val="top"/>
          </w:tcPr>
          <w:p w:rsidR="00344C8E" w:rsidRPr="004C33D1" w:rsidRDefault="00344C8E" w:rsidP="003508FB">
            <w:pPr>
              <w:pStyle w:val="TableText"/>
            </w:pPr>
            <w:r w:rsidRPr="004C33D1">
              <w:t>Median house price</w:t>
            </w:r>
          </w:p>
        </w:tc>
        <w:tc>
          <w:tcPr>
            <w:tcW w:w="845" w:type="pct"/>
            <w:vAlign w:val="top"/>
          </w:tcPr>
          <w:p w:rsidR="00344C8E" w:rsidRPr="004C33D1" w:rsidRDefault="00344C8E" w:rsidP="003508FB">
            <w:pPr>
              <w:pStyle w:val="TableText"/>
              <w:jc w:val="left"/>
              <w:cnfStyle w:val="000000000000" w:firstRow="0" w:lastRow="0" w:firstColumn="0" w:lastColumn="0" w:oddVBand="0" w:evenVBand="0" w:oddHBand="0" w:evenHBand="0" w:firstRowFirstColumn="0" w:firstRowLastColumn="0" w:lastRowFirstColumn="0" w:lastRowLastColumn="0"/>
            </w:pPr>
            <w:r w:rsidRPr="004C33D1">
              <w:t>QVNZ</w:t>
            </w:r>
          </w:p>
        </w:tc>
        <w:tc>
          <w:tcPr>
            <w:tcW w:w="3040" w:type="pct"/>
            <w:vAlign w:val="top"/>
          </w:tcPr>
          <w:p w:rsidR="00344C8E" w:rsidRPr="004C33D1" w:rsidRDefault="00344C8E" w:rsidP="003508FB">
            <w:pPr>
              <w:pStyle w:val="TableText"/>
              <w:jc w:val="left"/>
              <w:cnfStyle w:val="000000000000" w:firstRow="0" w:lastRow="0" w:firstColumn="0" w:lastColumn="0" w:oddVBand="0" w:evenVBand="0" w:oddHBand="0" w:evenHBand="0" w:firstRowFirstColumn="0" w:firstRowLastColumn="0" w:lastRowFirstColumn="0" w:lastRowLastColumn="0"/>
            </w:pPr>
            <w:r w:rsidRPr="004C33D1">
              <w:t>QVNZ</w:t>
            </w:r>
          </w:p>
        </w:tc>
      </w:tr>
      <w:tr w:rsidR="00344C8E" w:rsidRPr="004C33D1" w:rsidTr="003508FB">
        <w:tblPrEx>
          <w:tblCellMar>
            <w:top w:w="0" w:type="dxa"/>
            <w:left w:w="0" w:type="dxa"/>
            <w:bottom w:w="0" w:type="dxa"/>
            <w:right w:w="0" w:type="dxa"/>
          </w:tblCellMar>
        </w:tblPrEx>
        <w:trPr>
          <w:trHeight w:val="256"/>
        </w:trPr>
        <w:tc>
          <w:tcPr>
            <w:cnfStyle w:val="001000000000" w:firstRow="0" w:lastRow="0" w:firstColumn="1" w:lastColumn="0" w:oddVBand="0" w:evenVBand="0" w:oddHBand="0" w:evenHBand="0" w:firstRowFirstColumn="0" w:firstRowLastColumn="0" w:lastRowFirstColumn="0" w:lastRowLastColumn="0"/>
            <w:tcW w:w="1115" w:type="pct"/>
            <w:vAlign w:val="top"/>
          </w:tcPr>
          <w:p w:rsidR="00344C8E" w:rsidRPr="004C33D1" w:rsidRDefault="00344C8E" w:rsidP="003508FB">
            <w:pPr>
              <w:pStyle w:val="TableText"/>
            </w:pPr>
            <w:r w:rsidRPr="004C33D1">
              <w:t>Mortgage rates</w:t>
            </w:r>
          </w:p>
        </w:tc>
        <w:tc>
          <w:tcPr>
            <w:tcW w:w="845" w:type="pct"/>
            <w:vAlign w:val="top"/>
          </w:tcPr>
          <w:p w:rsidR="00344C8E" w:rsidRPr="004C33D1" w:rsidRDefault="00344C8E" w:rsidP="003508FB">
            <w:pPr>
              <w:pStyle w:val="TableText"/>
              <w:ind w:right="114"/>
              <w:jc w:val="left"/>
              <w:cnfStyle w:val="000000000000" w:firstRow="0" w:lastRow="0" w:firstColumn="0" w:lastColumn="0" w:oddVBand="0" w:evenVBand="0" w:oddHBand="0" w:evenHBand="0" w:firstRowFirstColumn="0" w:firstRowLastColumn="0" w:lastRowFirstColumn="0" w:lastRowLastColumn="0"/>
            </w:pPr>
            <w:r w:rsidRPr="004C33D1">
              <w:t xml:space="preserve">RBNZ </w:t>
            </w:r>
          </w:p>
        </w:tc>
        <w:tc>
          <w:tcPr>
            <w:tcW w:w="3040" w:type="pct"/>
            <w:vAlign w:val="top"/>
          </w:tcPr>
          <w:p w:rsidR="00344C8E" w:rsidRPr="004C33D1" w:rsidRDefault="00344C8E" w:rsidP="003508FB">
            <w:pPr>
              <w:pStyle w:val="TableText"/>
              <w:jc w:val="left"/>
              <w:cnfStyle w:val="000000000000" w:firstRow="0" w:lastRow="0" w:firstColumn="0" w:lastColumn="0" w:oddVBand="0" w:evenVBand="0" w:oddHBand="0" w:evenHBand="0" w:firstRowFirstColumn="0" w:firstRowLastColumn="0" w:lastRowFirstColumn="0" w:lastRowLastColumn="0"/>
            </w:pPr>
            <w:r w:rsidRPr="004C33D1">
              <w:t>RBNZ Statistics</w:t>
            </w:r>
            <w:r w:rsidRPr="004C33D1">
              <w:rPr>
                <w:rStyle w:val="FootnoteReference"/>
              </w:rPr>
              <w:footnoteReference w:id="133"/>
            </w:r>
            <w:r w:rsidRPr="004C33D1">
              <w:t xml:space="preserve"> </w:t>
            </w:r>
            <w:r w:rsidRPr="004C33D1">
              <w:rPr>
                <w:i/>
              </w:rPr>
              <w:t>Key graphs &gt; Mortgage rates &gt; Average of 2 year fixed and floating rates</w:t>
            </w:r>
          </w:p>
        </w:tc>
      </w:tr>
      <w:tr w:rsidR="00344C8E" w:rsidRPr="004C33D1" w:rsidTr="003508FB">
        <w:tblPrEx>
          <w:tblCellMar>
            <w:top w:w="0" w:type="dxa"/>
            <w:left w:w="0" w:type="dxa"/>
            <w:bottom w:w="0" w:type="dxa"/>
            <w:right w:w="0" w:type="dxa"/>
          </w:tblCellMar>
        </w:tblPrEx>
        <w:trPr>
          <w:trHeight w:val="256"/>
        </w:trPr>
        <w:tc>
          <w:tcPr>
            <w:cnfStyle w:val="001000000000" w:firstRow="0" w:lastRow="0" w:firstColumn="1" w:lastColumn="0" w:oddVBand="0" w:evenVBand="0" w:oddHBand="0" w:evenHBand="0" w:firstRowFirstColumn="0" w:firstRowLastColumn="0" w:lastRowFirstColumn="0" w:lastRowLastColumn="0"/>
            <w:tcW w:w="1115" w:type="pct"/>
            <w:vAlign w:val="top"/>
          </w:tcPr>
          <w:p w:rsidR="00344C8E" w:rsidRPr="004C33D1" w:rsidRDefault="00344C8E" w:rsidP="003508FB">
            <w:pPr>
              <w:pStyle w:val="TableText"/>
            </w:pPr>
            <w:r w:rsidRPr="004C33D1">
              <w:t>Individual earnings</w:t>
            </w:r>
          </w:p>
        </w:tc>
        <w:tc>
          <w:tcPr>
            <w:tcW w:w="845" w:type="pct"/>
            <w:vAlign w:val="top"/>
          </w:tcPr>
          <w:p w:rsidR="00344C8E" w:rsidRPr="004C33D1" w:rsidRDefault="00344C8E" w:rsidP="003508FB">
            <w:pPr>
              <w:pStyle w:val="TableText"/>
              <w:jc w:val="left"/>
              <w:cnfStyle w:val="000000000000" w:firstRow="0" w:lastRow="0" w:firstColumn="0" w:lastColumn="0" w:oddVBand="0" w:evenVBand="0" w:oddHBand="0" w:evenHBand="0" w:firstRowFirstColumn="0" w:firstRowLastColumn="0" w:lastRowFirstColumn="0" w:lastRowLastColumn="0"/>
            </w:pPr>
            <w:r w:rsidRPr="004C33D1">
              <w:t>Statistics NZ</w:t>
            </w:r>
          </w:p>
        </w:tc>
        <w:tc>
          <w:tcPr>
            <w:tcW w:w="3040" w:type="pct"/>
            <w:vAlign w:val="top"/>
          </w:tcPr>
          <w:p w:rsidR="00344C8E" w:rsidRPr="004C33D1" w:rsidRDefault="00344C8E" w:rsidP="003508FB">
            <w:pPr>
              <w:pStyle w:val="TableText"/>
              <w:jc w:val="left"/>
              <w:cnfStyle w:val="000000000000" w:firstRow="0" w:lastRow="0" w:firstColumn="0" w:lastColumn="0" w:oddVBand="0" w:evenVBand="0" w:oddHBand="0" w:evenHBand="0" w:firstRowFirstColumn="0" w:firstRowLastColumn="0" w:lastRowFirstColumn="0" w:lastRowLastColumn="0"/>
            </w:pPr>
            <w:proofErr w:type="spellStart"/>
            <w:r w:rsidRPr="004C33D1">
              <w:t>NZ.stat</w:t>
            </w:r>
            <w:proofErr w:type="spellEnd"/>
            <w:r w:rsidRPr="004C33D1">
              <w:rPr>
                <w:rStyle w:val="FootnoteReference"/>
              </w:rPr>
              <w:footnoteReference w:id="134"/>
            </w:r>
            <w:r w:rsidRPr="004C33D1">
              <w:t xml:space="preserve"> </w:t>
            </w:r>
            <w:r w:rsidRPr="004C33D1">
              <w:rPr>
                <w:i/>
              </w:rPr>
              <w:t>LEED &gt; 1-way &gt; LEED by territorial authority &gt; Median earnings of continuing jobs</w:t>
            </w:r>
          </w:p>
        </w:tc>
      </w:tr>
      <w:tr w:rsidR="00344C8E" w:rsidRPr="004C33D1" w:rsidTr="003508FB">
        <w:tblPrEx>
          <w:tblCellMar>
            <w:top w:w="0" w:type="dxa"/>
            <w:left w:w="0" w:type="dxa"/>
            <w:bottom w:w="0" w:type="dxa"/>
            <w:right w:w="0" w:type="dxa"/>
          </w:tblCellMar>
        </w:tblPrEx>
        <w:trPr>
          <w:cnfStyle w:val="010000000000" w:firstRow="0" w:lastRow="1" w:firstColumn="0" w:lastColumn="0" w:oddVBand="0" w:evenVBand="0" w:oddHBand="0" w:evenHBand="0" w:firstRowFirstColumn="0" w:firstRowLastColumn="0" w:lastRowFirstColumn="0" w:lastRowLastColumn="0"/>
          <w:trHeight w:val="256"/>
        </w:trPr>
        <w:tc>
          <w:tcPr>
            <w:cnfStyle w:val="001000000001" w:firstRow="0" w:lastRow="0" w:firstColumn="1" w:lastColumn="0" w:oddVBand="0" w:evenVBand="0" w:oddHBand="0" w:evenHBand="0" w:firstRowFirstColumn="0" w:firstRowLastColumn="0" w:lastRowFirstColumn="1" w:lastRowLastColumn="0"/>
            <w:tcW w:w="1115" w:type="pct"/>
            <w:vAlign w:val="top"/>
          </w:tcPr>
          <w:p w:rsidR="00344C8E" w:rsidRPr="004C33D1" w:rsidRDefault="00344C8E" w:rsidP="003508FB">
            <w:pPr>
              <w:pStyle w:val="TableText"/>
            </w:pPr>
            <w:r w:rsidRPr="004C33D1">
              <w:t>Household income</w:t>
            </w:r>
          </w:p>
        </w:tc>
        <w:tc>
          <w:tcPr>
            <w:tcW w:w="845" w:type="pct"/>
            <w:vAlign w:val="top"/>
          </w:tcPr>
          <w:p w:rsidR="00344C8E" w:rsidRPr="004C33D1" w:rsidRDefault="00344C8E" w:rsidP="003508FB">
            <w:pPr>
              <w:pStyle w:val="TableText"/>
              <w:jc w:val="left"/>
              <w:cnfStyle w:val="010000000000" w:firstRow="0" w:lastRow="1" w:firstColumn="0" w:lastColumn="0" w:oddVBand="0" w:evenVBand="0" w:oddHBand="0" w:evenHBand="0" w:firstRowFirstColumn="0" w:firstRowLastColumn="0" w:lastRowFirstColumn="0" w:lastRowLastColumn="0"/>
            </w:pPr>
            <w:r w:rsidRPr="004C33D1">
              <w:t>Statistics NZ</w:t>
            </w:r>
          </w:p>
        </w:tc>
        <w:tc>
          <w:tcPr>
            <w:tcW w:w="3040" w:type="pct"/>
            <w:vAlign w:val="top"/>
          </w:tcPr>
          <w:p w:rsidR="00344C8E" w:rsidRPr="004C33D1" w:rsidRDefault="00344C8E" w:rsidP="003508FB">
            <w:pPr>
              <w:pStyle w:val="TableText"/>
              <w:jc w:val="left"/>
              <w:cnfStyle w:val="010000000000" w:firstRow="0" w:lastRow="1" w:firstColumn="0" w:lastColumn="0" w:oddVBand="0" w:evenVBand="0" w:oddHBand="0" w:evenHBand="0" w:firstRowFirstColumn="0" w:firstRowLastColumn="0" w:lastRowFirstColumn="0" w:lastRowLastColumn="0"/>
            </w:pPr>
            <w:r w:rsidRPr="004C33D1">
              <w:t>Statistics NZ</w:t>
            </w:r>
            <w:r w:rsidRPr="004C33D1">
              <w:rPr>
                <w:i/>
              </w:rPr>
              <w:t xml:space="preserve"> </w:t>
            </w:r>
            <w:proofErr w:type="spellStart"/>
            <w:r w:rsidRPr="004C33D1">
              <w:t>Quickstats</w:t>
            </w:r>
            <w:proofErr w:type="spellEnd"/>
            <w:r w:rsidRPr="004C33D1">
              <w:t xml:space="preserve"> about income</w:t>
            </w:r>
            <w:r w:rsidRPr="004C33D1">
              <w:rPr>
                <w:rStyle w:val="FootnoteReference"/>
              </w:rPr>
              <w:footnoteReference w:id="135"/>
            </w:r>
            <w:r w:rsidRPr="004C33D1">
              <w:t xml:space="preserve"> </w:t>
            </w:r>
            <w:r w:rsidRPr="004C33D1">
              <w:rPr>
                <w:i/>
              </w:rPr>
              <w:t xml:space="preserve"> &gt; 2013 Census </w:t>
            </w:r>
            <w:proofErr w:type="spellStart"/>
            <w:r w:rsidRPr="004C33D1">
              <w:rPr>
                <w:i/>
              </w:rPr>
              <w:t>QuickStats</w:t>
            </w:r>
            <w:proofErr w:type="spellEnd"/>
            <w:r w:rsidRPr="004C33D1">
              <w:rPr>
                <w:i/>
              </w:rPr>
              <w:t xml:space="preserve"> about income – tables &gt; Table 32</w:t>
            </w:r>
          </w:p>
        </w:tc>
      </w:tr>
    </w:tbl>
    <w:p w:rsidR="00344C8E" w:rsidRPr="004C33D1" w:rsidRDefault="00344C8E" w:rsidP="00344C8E"/>
    <w:p w:rsidR="00344C8E" w:rsidRPr="004C33D1" w:rsidRDefault="00344C8E" w:rsidP="004A5A2D">
      <w:pPr>
        <w:pStyle w:val="Annex2"/>
      </w:pPr>
      <w:bookmarkStart w:id="566" w:name="_Toc456367211"/>
      <w:bookmarkStart w:id="567" w:name="_Toc456624685"/>
      <w:bookmarkStart w:id="568" w:name="_Toc457985404"/>
      <w:bookmarkStart w:id="569" w:name="_Toc457988546"/>
      <w:bookmarkStart w:id="570" w:name="_Toc458160041"/>
      <w:bookmarkStart w:id="571" w:name="_Toc462582276"/>
      <w:r w:rsidRPr="004C33D1">
        <w:lastRenderedPageBreak/>
        <w:t>Examples of Use</w:t>
      </w:r>
      <w:bookmarkEnd w:id="566"/>
      <w:bookmarkEnd w:id="567"/>
      <w:bookmarkEnd w:id="568"/>
      <w:bookmarkEnd w:id="569"/>
      <w:bookmarkEnd w:id="570"/>
      <w:bookmarkEnd w:id="571"/>
    </w:p>
    <w:p w:rsidR="00344C8E" w:rsidRPr="004C33D1" w:rsidRDefault="00344C8E" w:rsidP="00344C8E">
      <w:r w:rsidRPr="004C33D1">
        <w:t xml:space="preserve">Indicator values </w:t>
      </w:r>
      <w:proofErr w:type="gramStart"/>
      <w:r w:rsidRPr="004C33D1">
        <w:t>can be used</w:t>
      </w:r>
      <w:proofErr w:type="gramEnd"/>
      <w:r w:rsidRPr="004C33D1">
        <w:t xml:space="preserve"> to monitor the relative affordability over time or between areas. However, there are insufficient data for an absolute measure of affordability. The suggested indicator uses a 0% deposit assumption, for example, whereas many purchases will have at least some deposit.</w:t>
      </w:r>
    </w:p>
    <w:p w:rsidR="00344C8E" w:rsidRPr="004C33D1" w:rsidRDefault="00344C8E" w:rsidP="00344C8E"/>
    <w:p w:rsidR="00344C8E" w:rsidRPr="004C33D1" w:rsidRDefault="00344C8E" w:rsidP="00344C8E">
      <w:r w:rsidRPr="004C33D1">
        <w:fldChar w:fldCharType="begin"/>
      </w:r>
      <w:r w:rsidRPr="004C33D1">
        <w:instrText xml:space="preserve"> REF _Ref455664653 \h </w:instrText>
      </w:r>
      <w:r w:rsidRPr="004C33D1">
        <w:fldChar w:fldCharType="separate"/>
      </w:r>
      <w:r w:rsidR="004D1DDA" w:rsidRPr="004C33D1">
        <w:t xml:space="preserve">Figure </w:t>
      </w:r>
      <w:r w:rsidR="004D1DDA">
        <w:rPr>
          <w:noProof/>
        </w:rPr>
        <w:t>49</w:t>
      </w:r>
      <w:r w:rsidRPr="004C33D1">
        <w:fldChar w:fldCharType="end"/>
      </w:r>
      <w:r w:rsidRPr="004C33D1">
        <w:t xml:space="preserve"> illustrates changes in </w:t>
      </w:r>
      <w:r w:rsidR="00CE1ED2" w:rsidRPr="004C33D1">
        <w:t xml:space="preserve">the ratio of </w:t>
      </w:r>
      <w:r w:rsidRPr="004C33D1">
        <w:t>mortgage repayments to income over time for a select number of areas. Although current house prices are at an all-time high in most of these areas, low mortgage rates have improved house price affordability relative to previous years.</w:t>
      </w:r>
    </w:p>
    <w:p w:rsidR="00344C8E" w:rsidRPr="004C33D1" w:rsidRDefault="00344C8E" w:rsidP="00E02811">
      <w:pPr>
        <w:pStyle w:val="Caption"/>
      </w:pPr>
      <w:bookmarkStart w:id="572" w:name="_Ref455664653"/>
      <w:r w:rsidRPr="004C33D1">
        <w:t xml:space="preserve">Figure </w:t>
      </w:r>
      <w:r w:rsidRPr="004C33D1">
        <w:fldChar w:fldCharType="begin"/>
      </w:r>
      <w:r w:rsidRPr="004C33D1">
        <w:instrText xml:space="preserve"> SEQ Figure \* ARABIC </w:instrText>
      </w:r>
      <w:r w:rsidRPr="004C33D1">
        <w:fldChar w:fldCharType="separate"/>
      </w:r>
      <w:r w:rsidR="004D1DDA">
        <w:rPr>
          <w:noProof/>
        </w:rPr>
        <w:t>49</w:t>
      </w:r>
      <w:r w:rsidRPr="004C33D1">
        <w:fldChar w:fldCharType="end"/>
      </w:r>
      <w:bookmarkEnd w:id="572"/>
      <w:r w:rsidRPr="004C33D1">
        <w:t xml:space="preserve"> </w:t>
      </w:r>
      <w:r w:rsidR="00CE1ED2" w:rsidRPr="004C33D1">
        <w:t>Ratio of a</w:t>
      </w:r>
      <w:r w:rsidRPr="004C33D1">
        <w:t xml:space="preserve">nnual mortgage repayments </w:t>
      </w:r>
      <w:r w:rsidR="00CE1ED2" w:rsidRPr="004C33D1">
        <w:t xml:space="preserve">to </w:t>
      </w:r>
      <w:r w:rsidRPr="004C33D1">
        <w:t>annual household income 2000-2015</w:t>
      </w:r>
    </w:p>
    <w:p w:rsidR="00344C8E" w:rsidRPr="004C33D1" w:rsidRDefault="00344C8E" w:rsidP="00183668">
      <w:pPr>
        <w:jc w:val="center"/>
      </w:pPr>
      <w:r w:rsidRPr="004C33D1">
        <w:rPr>
          <w:noProof/>
          <w:lang w:eastAsia="en-NZ"/>
        </w:rPr>
        <w:drawing>
          <wp:inline distT="0" distB="0" distL="0" distR="0" wp14:anchorId="1525763F" wp14:editId="59360090">
            <wp:extent cx="5095875" cy="2990862"/>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06837" cy="2997296"/>
                    </a:xfrm>
                    <a:prstGeom prst="rect">
                      <a:avLst/>
                    </a:prstGeom>
                    <a:noFill/>
                    <a:ln>
                      <a:noFill/>
                    </a:ln>
                  </pic:spPr>
                </pic:pic>
              </a:graphicData>
            </a:graphic>
          </wp:inline>
        </w:drawing>
      </w:r>
    </w:p>
    <w:p w:rsidR="00344C8E" w:rsidRPr="004C33D1" w:rsidRDefault="00344C8E" w:rsidP="00344C8E">
      <w:pPr>
        <w:rPr>
          <w:sz w:val="18"/>
          <w:szCs w:val="18"/>
        </w:rPr>
      </w:pPr>
      <w:r w:rsidRPr="004C33D1">
        <w:rPr>
          <w:sz w:val="18"/>
          <w:szCs w:val="18"/>
        </w:rPr>
        <w:t>Source: QVNZ, Reserve Bank of New Zealand and Statistics NZ</w:t>
      </w:r>
    </w:p>
    <w:p w:rsidR="00344C8E" w:rsidRPr="004C33D1" w:rsidRDefault="00344C8E" w:rsidP="00344C8E"/>
    <w:p w:rsidR="00344C8E" w:rsidRPr="004C33D1" w:rsidRDefault="00344C8E" w:rsidP="00344C8E"/>
    <w:p w:rsidR="00344C8E" w:rsidRPr="004C33D1" w:rsidRDefault="00344C8E" w:rsidP="003C255B">
      <w:pPr>
        <w:pStyle w:val="Annex1"/>
      </w:pPr>
      <w:r w:rsidRPr="004C33D1">
        <w:br w:type="page"/>
      </w:r>
      <w:bookmarkStart w:id="573" w:name="_Toc456367212"/>
      <w:bookmarkStart w:id="574" w:name="_Toc458179043"/>
      <w:bookmarkStart w:id="575" w:name="_Toc458464598"/>
      <w:bookmarkStart w:id="576" w:name="_Toc458489819"/>
      <w:bookmarkStart w:id="577" w:name="_Toc462413674"/>
      <w:bookmarkStart w:id="578" w:name="_Toc462582277"/>
      <w:r w:rsidRPr="004C33D1">
        <w:lastRenderedPageBreak/>
        <w:t>Rent payments to income</w:t>
      </w:r>
      <w:bookmarkEnd w:id="14"/>
      <w:bookmarkEnd w:id="15"/>
      <w:bookmarkEnd w:id="16"/>
      <w:bookmarkEnd w:id="17"/>
      <w:bookmarkEnd w:id="18"/>
      <w:bookmarkEnd w:id="573"/>
      <w:bookmarkEnd w:id="574"/>
      <w:bookmarkEnd w:id="575"/>
      <w:bookmarkEnd w:id="576"/>
      <w:bookmarkEnd w:id="577"/>
      <w:bookmarkEnd w:id="578"/>
      <w:r w:rsidRPr="004C33D1">
        <w:t xml:space="preserve"> </w:t>
      </w:r>
    </w:p>
    <w:p w:rsidR="00344C8E" w:rsidRPr="004C33D1" w:rsidRDefault="00344C8E" w:rsidP="004A5A2D">
      <w:pPr>
        <w:pStyle w:val="Annex2"/>
      </w:pPr>
      <w:bookmarkStart w:id="579" w:name="_Toc456367213"/>
      <w:bookmarkStart w:id="580" w:name="_Toc456624686"/>
      <w:bookmarkStart w:id="581" w:name="_Toc457985405"/>
      <w:bookmarkStart w:id="582" w:name="_Toc457988547"/>
      <w:bookmarkStart w:id="583" w:name="_Toc458160042"/>
      <w:bookmarkStart w:id="584" w:name="_Toc462582278"/>
      <w:r w:rsidRPr="004C33D1">
        <w:t>Description</w:t>
      </w:r>
      <w:bookmarkEnd w:id="579"/>
      <w:bookmarkEnd w:id="580"/>
      <w:bookmarkEnd w:id="581"/>
      <w:bookmarkEnd w:id="582"/>
      <w:bookmarkEnd w:id="583"/>
      <w:bookmarkEnd w:id="584"/>
    </w:p>
    <w:p w:rsidR="00344C8E" w:rsidRPr="004C33D1" w:rsidRDefault="00344C8E" w:rsidP="00344C8E">
      <w:r w:rsidRPr="004C33D1">
        <w:t xml:space="preserve">Mean annual rent payments divided by median annual household income. </w:t>
      </w:r>
    </w:p>
    <w:p w:rsidR="00344C8E" w:rsidRPr="004C33D1" w:rsidRDefault="00344C8E" w:rsidP="004A5A2D">
      <w:pPr>
        <w:pStyle w:val="Annex2"/>
      </w:pPr>
      <w:bookmarkStart w:id="585" w:name="_Toc456367214"/>
      <w:bookmarkStart w:id="586" w:name="_Toc456624687"/>
      <w:bookmarkStart w:id="587" w:name="_Toc457985406"/>
      <w:bookmarkStart w:id="588" w:name="_Toc457988548"/>
      <w:bookmarkStart w:id="589" w:name="_Toc458160043"/>
      <w:bookmarkStart w:id="590" w:name="_Toc462582279"/>
      <w:r w:rsidRPr="004C33D1">
        <w:t>Interpretation</w:t>
      </w:r>
      <w:bookmarkEnd w:id="585"/>
      <w:bookmarkEnd w:id="586"/>
      <w:bookmarkEnd w:id="587"/>
      <w:bookmarkEnd w:id="588"/>
      <w:bookmarkEnd w:id="589"/>
      <w:bookmarkEnd w:id="590"/>
    </w:p>
    <w:p w:rsidR="00344C8E" w:rsidRPr="004C33D1" w:rsidRDefault="00344C8E" w:rsidP="00344C8E">
      <w:r w:rsidRPr="004C33D1">
        <w:t xml:space="preserve">This indicator measures the affordability of renting a home. It </w:t>
      </w:r>
      <w:proofErr w:type="gramStart"/>
      <w:r w:rsidRPr="004C33D1">
        <w:t>might be measured</w:t>
      </w:r>
      <w:proofErr w:type="gramEnd"/>
      <w:r w:rsidRPr="004C33D1">
        <w:t xml:space="preserve"> over time or across territorial authorities. For comparability reasons, median rent values may be preferred to mean rent values, however median rent data is not available. Despite this, a Statistics NZ</w:t>
      </w:r>
      <w:r w:rsidRPr="004C33D1">
        <w:rPr>
          <w:rStyle w:val="FootnoteReference"/>
        </w:rPr>
        <w:footnoteReference w:id="136"/>
      </w:r>
      <w:r w:rsidRPr="004C33D1">
        <w:t xml:space="preserve"> rental affordability report shows little difference between median and mean rent values and that both have tracked identically over time.</w:t>
      </w:r>
    </w:p>
    <w:p w:rsidR="00344C8E" w:rsidRPr="004C33D1" w:rsidRDefault="00344C8E" w:rsidP="004A5A2D">
      <w:pPr>
        <w:pStyle w:val="Annex2"/>
      </w:pPr>
      <w:bookmarkStart w:id="591" w:name="_Toc456367215"/>
      <w:bookmarkStart w:id="592" w:name="_Toc456624688"/>
      <w:bookmarkStart w:id="593" w:name="_Toc457985407"/>
      <w:bookmarkStart w:id="594" w:name="_Toc457988549"/>
      <w:bookmarkStart w:id="595" w:name="_Toc458160044"/>
      <w:bookmarkStart w:id="596" w:name="_Toc462582280"/>
      <w:r w:rsidRPr="004C33D1">
        <w:t>Data availability</w:t>
      </w:r>
      <w:bookmarkEnd w:id="591"/>
      <w:bookmarkEnd w:id="592"/>
      <w:bookmarkEnd w:id="593"/>
      <w:bookmarkEnd w:id="594"/>
      <w:bookmarkEnd w:id="595"/>
      <w:bookmarkEnd w:id="596"/>
    </w:p>
    <w:p w:rsidR="00344C8E" w:rsidRPr="004C33D1" w:rsidRDefault="00344C8E" w:rsidP="00344C8E">
      <w:r w:rsidRPr="004C33D1">
        <w:t xml:space="preserve">Rent data by territorial authority </w:t>
      </w:r>
      <w:proofErr w:type="gramStart"/>
      <w:r w:rsidRPr="004C33D1">
        <w:t>are held</w:t>
      </w:r>
      <w:proofErr w:type="gramEnd"/>
      <w:r w:rsidRPr="004C33D1">
        <w:t xml:space="preserve"> by the MBIE whereas income data are publicly available through Statistics </w:t>
      </w:r>
      <w:r w:rsidRPr="004C33D1">
        <w:rPr>
          <w:szCs w:val="21"/>
        </w:rPr>
        <w:t xml:space="preserve">NZ </w:t>
      </w:r>
      <w:bookmarkStart w:id="597" w:name="_Ref455666220"/>
      <w:r w:rsidRPr="004C33D1">
        <w:rPr>
          <w:szCs w:val="21"/>
        </w:rPr>
        <w:t>(</w:t>
      </w:r>
      <w:r w:rsidRPr="004C33D1">
        <w:rPr>
          <w:szCs w:val="21"/>
        </w:rPr>
        <w:fldChar w:fldCharType="begin"/>
      </w:r>
      <w:r w:rsidRPr="004C33D1">
        <w:rPr>
          <w:szCs w:val="21"/>
        </w:rPr>
        <w:instrText xml:space="preserve"> REF _Ref456178502 \h  \* MERGEFORMAT </w:instrText>
      </w:r>
      <w:r w:rsidRPr="004C33D1">
        <w:rPr>
          <w:szCs w:val="21"/>
        </w:rPr>
      </w:r>
      <w:r w:rsidRPr="004C33D1">
        <w:rPr>
          <w:szCs w:val="21"/>
        </w:rPr>
        <w:fldChar w:fldCharType="separate"/>
      </w:r>
      <w:r w:rsidR="004D1DDA" w:rsidRPr="004D1DDA">
        <w:rPr>
          <w:szCs w:val="21"/>
        </w:rPr>
        <w:t xml:space="preserve">Table </w:t>
      </w:r>
      <w:r w:rsidR="004D1DDA" w:rsidRPr="004D1DDA">
        <w:rPr>
          <w:noProof/>
          <w:szCs w:val="21"/>
        </w:rPr>
        <w:t>40</w:t>
      </w:r>
      <w:r w:rsidRPr="004C33D1">
        <w:rPr>
          <w:szCs w:val="21"/>
        </w:rPr>
        <w:fldChar w:fldCharType="end"/>
      </w:r>
      <w:r w:rsidRPr="004C33D1">
        <w:rPr>
          <w:szCs w:val="21"/>
        </w:rPr>
        <w:t>).</w:t>
      </w:r>
    </w:p>
    <w:p w:rsidR="00344C8E" w:rsidRPr="004C33D1" w:rsidRDefault="00344C8E" w:rsidP="00344C8E"/>
    <w:p w:rsidR="00344C8E" w:rsidRPr="004C33D1" w:rsidRDefault="00344C8E" w:rsidP="00344C8E">
      <w:proofErr w:type="gramStart"/>
      <w:r w:rsidRPr="004C33D1">
        <w:t>Time series income data</w:t>
      </w:r>
      <w:proofErr w:type="gramEnd"/>
      <w:r w:rsidRPr="004C33D1">
        <w:t xml:space="preserve"> by territorial authority are only available from the Linked Employer-Employee Data (LEED) and only at the individual level rather than by household. Other sources of income data include the Household Economic Survey (HES), but to convert LEED data into household income, we divide 2013 household income (from the 2013 Census) by the 2013 median individual income for each individual area. The resulting values represent an ‘individual income to household income multiplier’ and </w:t>
      </w:r>
      <w:proofErr w:type="gramStart"/>
      <w:r w:rsidRPr="004C33D1">
        <w:t>can then be applied</w:t>
      </w:r>
      <w:proofErr w:type="gramEnd"/>
      <w:r w:rsidRPr="004C33D1">
        <w:t xml:space="preserve"> to each respective area’s annual individual income to yield an estimate of annual household income. MBIE’s access to IRD data may be helpful in order to obtain more reliable household income data by territorial authority.</w:t>
      </w:r>
    </w:p>
    <w:p w:rsidR="00344C8E" w:rsidRPr="004C33D1" w:rsidRDefault="00344C8E" w:rsidP="00344C8E"/>
    <w:p w:rsidR="00344C8E" w:rsidRPr="004C33D1" w:rsidRDefault="00344C8E" w:rsidP="00344C8E">
      <w:pPr>
        <w:rPr>
          <w:sz w:val="18"/>
          <w:szCs w:val="18"/>
        </w:rPr>
      </w:pPr>
      <w:bookmarkStart w:id="598" w:name="_Ref456178502"/>
      <w:r w:rsidRPr="004C33D1">
        <w:rPr>
          <w:sz w:val="18"/>
          <w:szCs w:val="18"/>
        </w:rPr>
        <w:t xml:space="preserve">Table </w:t>
      </w:r>
      <w:r w:rsidRPr="004C33D1">
        <w:rPr>
          <w:sz w:val="18"/>
          <w:szCs w:val="18"/>
        </w:rPr>
        <w:fldChar w:fldCharType="begin"/>
      </w:r>
      <w:r w:rsidRPr="004C33D1">
        <w:rPr>
          <w:sz w:val="18"/>
          <w:szCs w:val="18"/>
        </w:rPr>
        <w:instrText xml:space="preserve"> SEQ Table \* ARABIC </w:instrText>
      </w:r>
      <w:r w:rsidRPr="004C33D1">
        <w:rPr>
          <w:sz w:val="18"/>
          <w:szCs w:val="18"/>
        </w:rPr>
        <w:fldChar w:fldCharType="separate"/>
      </w:r>
      <w:r w:rsidR="004D1DDA">
        <w:rPr>
          <w:noProof/>
          <w:sz w:val="18"/>
          <w:szCs w:val="18"/>
        </w:rPr>
        <w:t>40</w:t>
      </w:r>
      <w:r w:rsidRPr="004C33D1">
        <w:rPr>
          <w:sz w:val="18"/>
          <w:szCs w:val="18"/>
        </w:rPr>
        <w:fldChar w:fldCharType="end"/>
      </w:r>
      <w:bookmarkEnd w:id="597"/>
      <w:bookmarkEnd w:id="598"/>
      <w:r w:rsidRPr="004C33D1">
        <w:rPr>
          <w:sz w:val="18"/>
          <w:szCs w:val="18"/>
        </w:rPr>
        <w:t>: Data sources</w:t>
      </w:r>
    </w:p>
    <w:tbl>
      <w:tblPr>
        <w:tblStyle w:val="CovecTables"/>
        <w:tblW w:w="5000" w:type="pct"/>
        <w:tblInd w:w="0" w:type="dxa"/>
        <w:tblBorders>
          <w:bottom w:val="single" w:sz="12" w:space="0" w:color="A6A6A6" w:themeColor="background1" w:themeShade="A6"/>
          <w:insideH w:val="single" w:sz="8" w:space="0" w:color="A6A6A6" w:themeColor="background1" w:themeShade="A6"/>
        </w:tblBorders>
        <w:tblLook w:val="04E0" w:firstRow="1" w:lastRow="1" w:firstColumn="1" w:lastColumn="0" w:noHBand="0" w:noVBand="1"/>
      </w:tblPr>
      <w:tblGrid>
        <w:gridCol w:w="1834"/>
        <w:gridCol w:w="1389"/>
        <w:gridCol w:w="4998"/>
      </w:tblGrid>
      <w:tr w:rsidR="00344C8E" w:rsidRPr="004C33D1" w:rsidTr="003508FB">
        <w:trPr>
          <w:cnfStyle w:val="100000000000" w:firstRow="1" w:lastRow="0" w:firstColumn="0" w:lastColumn="0" w:oddVBand="0" w:evenVBand="0" w:oddHBand="0" w:evenHBand="0" w:firstRowFirstColumn="0" w:firstRowLastColumn="0" w:lastRowFirstColumn="0" w:lastRowLastColumn="0"/>
          <w:trHeight w:val="256"/>
        </w:trPr>
        <w:tc>
          <w:tcPr>
            <w:cnfStyle w:val="001000000100" w:firstRow="0" w:lastRow="0" w:firstColumn="1" w:lastColumn="0" w:oddVBand="0" w:evenVBand="0" w:oddHBand="0" w:evenHBand="0" w:firstRowFirstColumn="1" w:firstRowLastColumn="0" w:lastRowFirstColumn="0" w:lastRowLastColumn="0"/>
            <w:tcW w:w="1115" w:type="pct"/>
          </w:tcPr>
          <w:p w:rsidR="00344C8E" w:rsidRPr="004C33D1" w:rsidRDefault="00344C8E" w:rsidP="003508FB">
            <w:pPr>
              <w:pStyle w:val="TableText"/>
            </w:pPr>
            <w:r w:rsidRPr="004C33D1">
              <w:t>Data</w:t>
            </w:r>
          </w:p>
        </w:tc>
        <w:tc>
          <w:tcPr>
            <w:tcW w:w="845" w:type="pct"/>
          </w:tcPr>
          <w:p w:rsidR="00344C8E" w:rsidRPr="004C33D1" w:rsidRDefault="00344C8E" w:rsidP="003508FB">
            <w:pPr>
              <w:pStyle w:val="TableText"/>
              <w:jc w:val="left"/>
              <w:cnfStyle w:val="100000000000" w:firstRow="1" w:lastRow="0" w:firstColumn="0" w:lastColumn="0" w:oddVBand="0" w:evenVBand="0" w:oddHBand="0" w:evenHBand="0" w:firstRowFirstColumn="0" w:firstRowLastColumn="0" w:lastRowFirstColumn="0" w:lastRowLastColumn="0"/>
            </w:pPr>
            <w:r w:rsidRPr="004C33D1">
              <w:t>Source</w:t>
            </w:r>
          </w:p>
        </w:tc>
        <w:tc>
          <w:tcPr>
            <w:tcW w:w="3040" w:type="pct"/>
          </w:tcPr>
          <w:p w:rsidR="00344C8E" w:rsidRPr="004C33D1" w:rsidRDefault="00344C8E" w:rsidP="003508FB">
            <w:pPr>
              <w:pStyle w:val="TableText"/>
              <w:jc w:val="left"/>
              <w:cnfStyle w:val="100000000000" w:firstRow="1" w:lastRow="0" w:firstColumn="0" w:lastColumn="0" w:oddVBand="0" w:evenVBand="0" w:oddHBand="0" w:evenHBand="0" w:firstRowFirstColumn="0" w:firstRowLastColumn="0" w:lastRowFirstColumn="0" w:lastRowLastColumn="0"/>
            </w:pPr>
            <w:r w:rsidRPr="004C33D1">
              <w:t>Location</w:t>
            </w:r>
          </w:p>
        </w:tc>
      </w:tr>
      <w:tr w:rsidR="00344C8E" w:rsidRPr="004C33D1" w:rsidTr="003508FB">
        <w:tblPrEx>
          <w:tblCellMar>
            <w:top w:w="0" w:type="dxa"/>
            <w:left w:w="0" w:type="dxa"/>
            <w:bottom w:w="0" w:type="dxa"/>
            <w:right w:w="0" w:type="dxa"/>
          </w:tblCellMar>
        </w:tblPrEx>
        <w:trPr>
          <w:trHeight w:val="245"/>
        </w:trPr>
        <w:tc>
          <w:tcPr>
            <w:cnfStyle w:val="001000000000" w:firstRow="0" w:lastRow="0" w:firstColumn="1" w:lastColumn="0" w:oddVBand="0" w:evenVBand="0" w:oddHBand="0" w:evenHBand="0" w:firstRowFirstColumn="0" w:firstRowLastColumn="0" w:lastRowFirstColumn="0" w:lastRowLastColumn="0"/>
            <w:tcW w:w="1115" w:type="pct"/>
            <w:vAlign w:val="top"/>
          </w:tcPr>
          <w:p w:rsidR="00344C8E" w:rsidRPr="004C33D1" w:rsidRDefault="00344C8E" w:rsidP="003508FB">
            <w:pPr>
              <w:pStyle w:val="TableText"/>
            </w:pPr>
            <w:r w:rsidRPr="004C33D1">
              <w:t>Mean rent</w:t>
            </w:r>
          </w:p>
        </w:tc>
        <w:tc>
          <w:tcPr>
            <w:tcW w:w="845" w:type="pct"/>
            <w:vAlign w:val="top"/>
          </w:tcPr>
          <w:p w:rsidR="00344C8E" w:rsidRPr="004C33D1" w:rsidRDefault="00344C8E" w:rsidP="003508FB">
            <w:pPr>
              <w:pStyle w:val="TableText"/>
              <w:jc w:val="left"/>
              <w:cnfStyle w:val="000000000000" w:firstRow="0" w:lastRow="0" w:firstColumn="0" w:lastColumn="0" w:oddVBand="0" w:evenVBand="0" w:oddHBand="0" w:evenHBand="0" w:firstRowFirstColumn="0" w:firstRowLastColumn="0" w:lastRowFirstColumn="0" w:lastRowLastColumn="0"/>
            </w:pPr>
            <w:r w:rsidRPr="004C33D1">
              <w:t>MBIE</w:t>
            </w:r>
          </w:p>
        </w:tc>
        <w:tc>
          <w:tcPr>
            <w:tcW w:w="3040" w:type="pct"/>
            <w:vAlign w:val="top"/>
          </w:tcPr>
          <w:p w:rsidR="00344C8E" w:rsidRPr="004C33D1" w:rsidRDefault="00344C8E" w:rsidP="003508FB">
            <w:pPr>
              <w:pStyle w:val="TableText"/>
              <w:jc w:val="left"/>
              <w:cnfStyle w:val="000000000000" w:firstRow="0" w:lastRow="0" w:firstColumn="0" w:lastColumn="0" w:oddVBand="0" w:evenVBand="0" w:oddHBand="0" w:evenHBand="0" w:firstRowFirstColumn="0" w:firstRowLastColumn="0" w:lastRowFirstColumn="0" w:lastRowLastColumn="0"/>
            </w:pPr>
            <w:r w:rsidRPr="004C33D1">
              <w:t>MBIE database (acquired through Tenancy Services)</w:t>
            </w:r>
          </w:p>
        </w:tc>
      </w:tr>
      <w:tr w:rsidR="00344C8E" w:rsidRPr="004C33D1" w:rsidTr="003508FB">
        <w:tblPrEx>
          <w:tblCellMar>
            <w:top w:w="0" w:type="dxa"/>
            <w:left w:w="0" w:type="dxa"/>
            <w:bottom w:w="0" w:type="dxa"/>
            <w:right w:w="0" w:type="dxa"/>
          </w:tblCellMar>
        </w:tblPrEx>
        <w:trPr>
          <w:trHeight w:val="256"/>
        </w:trPr>
        <w:tc>
          <w:tcPr>
            <w:cnfStyle w:val="001000000000" w:firstRow="0" w:lastRow="0" w:firstColumn="1" w:lastColumn="0" w:oddVBand="0" w:evenVBand="0" w:oddHBand="0" w:evenHBand="0" w:firstRowFirstColumn="0" w:firstRowLastColumn="0" w:lastRowFirstColumn="0" w:lastRowLastColumn="0"/>
            <w:tcW w:w="1115" w:type="pct"/>
            <w:vAlign w:val="top"/>
          </w:tcPr>
          <w:p w:rsidR="00344C8E" w:rsidRPr="004C33D1" w:rsidRDefault="00344C8E" w:rsidP="003508FB">
            <w:pPr>
              <w:pStyle w:val="TableText"/>
            </w:pPr>
            <w:r w:rsidRPr="004C33D1">
              <w:t>Individual earnings</w:t>
            </w:r>
          </w:p>
        </w:tc>
        <w:tc>
          <w:tcPr>
            <w:tcW w:w="845" w:type="pct"/>
            <w:vAlign w:val="top"/>
          </w:tcPr>
          <w:p w:rsidR="00344C8E" w:rsidRPr="004C33D1" w:rsidRDefault="00344C8E" w:rsidP="003508FB">
            <w:pPr>
              <w:pStyle w:val="TableText"/>
              <w:jc w:val="left"/>
              <w:cnfStyle w:val="000000000000" w:firstRow="0" w:lastRow="0" w:firstColumn="0" w:lastColumn="0" w:oddVBand="0" w:evenVBand="0" w:oddHBand="0" w:evenHBand="0" w:firstRowFirstColumn="0" w:firstRowLastColumn="0" w:lastRowFirstColumn="0" w:lastRowLastColumn="0"/>
            </w:pPr>
            <w:r w:rsidRPr="004C33D1">
              <w:t>Statistics NZ</w:t>
            </w:r>
          </w:p>
        </w:tc>
        <w:tc>
          <w:tcPr>
            <w:tcW w:w="3040" w:type="pct"/>
            <w:vAlign w:val="top"/>
          </w:tcPr>
          <w:p w:rsidR="00344C8E" w:rsidRPr="004C33D1" w:rsidRDefault="00344C8E" w:rsidP="003508FB">
            <w:pPr>
              <w:pStyle w:val="TableText"/>
              <w:jc w:val="left"/>
              <w:cnfStyle w:val="000000000000" w:firstRow="0" w:lastRow="0" w:firstColumn="0" w:lastColumn="0" w:oddVBand="0" w:evenVBand="0" w:oddHBand="0" w:evenHBand="0" w:firstRowFirstColumn="0" w:firstRowLastColumn="0" w:lastRowFirstColumn="0" w:lastRowLastColumn="0"/>
            </w:pPr>
            <w:proofErr w:type="spellStart"/>
            <w:r w:rsidRPr="004C33D1">
              <w:t>NZ.stat</w:t>
            </w:r>
            <w:proofErr w:type="spellEnd"/>
            <w:r w:rsidRPr="004C33D1">
              <w:rPr>
                <w:rStyle w:val="FootnoteReference"/>
              </w:rPr>
              <w:footnoteReference w:id="137"/>
            </w:r>
            <w:r w:rsidRPr="004C33D1">
              <w:t xml:space="preserve"> </w:t>
            </w:r>
            <w:r w:rsidRPr="004C33D1">
              <w:rPr>
                <w:i/>
              </w:rPr>
              <w:t>LEED &gt; 1-way &gt; LEED by territorial authority &gt; Median earnings of continuing jobs</w:t>
            </w:r>
          </w:p>
        </w:tc>
      </w:tr>
      <w:tr w:rsidR="00344C8E" w:rsidRPr="004C33D1" w:rsidTr="003508FB">
        <w:tblPrEx>
          <w:tblCellMar>
            <w:top w:w="0" w:type="dxa"/>
            <w:left w:w="0" w:type="dxa"/>
            <w:bottom w:w="0" w:type="dxa"/>
            <w:right w:w="0" w:type="dxa"/>
          </w:tblCellMar>
        </w:tblPrEx>
        <w:trPr>
          <w:cnfStyle w:val="010000000000" w:firstRow="0" w:lastRow="1" w:firstColumn="0" w:lastColumn="0" w:oddVBand="0" w:evenVBand="0" w:oddHBand="0" w:evenHBand="0" w:firstRowFirstColumn="0" w:firstRowLastColumn="0" w:lastRowFirstColumn="0" w:lastRowLastColumn="0"/>
          <w:trHeight w:val="256"/>
        </w:trPr>
        <w:tc>
          <w:tcPr>
            <w:cnfStyle w:val="001000000001" w:firstRow="0" w:lastRow="0" w:firstColumn="1" w:lastColumn="0" w:oddVBand="0" w:evenVBand="0" w:oddHBand="0" w:evenHBand="0" w:firstRowFirstColumn="0" w:firstRowLastColumn="0" w:lastRowFirstColumn="1" w:lastRowLastColumn="0"/>
            <w:tcW w:w="1115" w:type="pct"/>
            <w:vAlign w:val="top"/>
          </w:tcPr>
          <w:p w:rsidR="00344C8E" w:rsidRPr="004C33D1" w:rsidRDefault="00344C8E" w:rsidP="003508FB">
            <w:pPr>
              <w:pStyle w:val="TableText"/>
            </w:pPr>
            <w:r w:rsidRPr="004C33D1">
              <w:t>Household income</w:t>
            </w:r>
          </w:p>
        </w:tc>
        <w:tc>
          <w:tcPr>
            <w:tcW w:w="845" w:type="pct"/>
            <w:vAlign w:val="top"/>
          </w:tcPr>
          <w:p w:rsidR="00344C8E" w:rsidRPr="004C33D1" w:rsidRDefault="00344C8E" w:rsidP="003508FB">
            <w:pPr>
              <w:pStyle w:val="TableText"/>
              <w:jc w:val="left"/>
              <w:cnfStyle w:val="010000000000" w:firstRow="0" w:lastRow="1" w:firstColumn="0" w:lastColumn="0" w:oddVBand="0" w:evenVBand="0" w:oddHBand="0" w:evenHBand="0" w:firstRowFirstColumn="0" w:firstRowLastColumn="0" w:lastRowFirstColumn="0" w:lastRowLastColumn="0"/>
            </w:pPr>
            <w:r w:rsidRPr="004C33D1">
              <w:t>Statistics NZ</w:t>
            </w:r>
          </w:p>
        </w:tc>
        <w:tc>
          <w:tcPr>
            <w:tcW w:w="3040" w:type="pct"/>
            <w:vAlign w:val="top"/>
          </w:tcPr>
          <w:p w:rsidR="00344C8E" w:rsidRPr="004C33D1" w:rsidRDefault="00344C8E" w:rsidP="003508FB">
            <w:pPr>
              <w:pStyle w:val="TableText"/>
              <w:jc w:val="left"/>
              <w:cnfStyle w:val="010000000000" w:firstRow="0" w:lastRow="1" w:firstColumn="0" w:lastColumn="0" w:oddVBand="0" w:evenVBand="0" w:oddHBand="0" w:evenHBand="0" w:firstRowFirstColumn="0" w:firstRowLastColumn="0" w:lastRowFirstColumn="0" w:lastRowLastColumn="0"/>
            </w:pPr>
            <w:r w:rsidRPr="004C33D1">
              <w:t>Statistics NZ</w:t>
            </w:r>
            <w:r w:rsidRPr="004C33D1">
              <w:rPr>
                <w:i/>
              </w:rPr>
              <w:t xml:space="preserve"> </w:t>
            </w:r>
            <w:proofErr w:type="spellStart"/>
            <w:r w:rsidRPr="004C33D1">
              <w:t>Quickstats</w:t>
            </w:r>
            <w:proofErr w:type="spellEnd"/>
            <w:r w:rsidRPr="004C33D1">
              <w:t xml:space="preserve"> about income</w:t>
            </w:r>
            <w:r w:rsidRPr="004C33D1">
              <w:rPr>
                <w:rStyle w:val="FootnoteReference"/>
              </w:rPr>
              <w:footnoteReference w:id="138"/>
            </w:r>
            <w:r w:rsidRPr="004C33D1">
              <w:t xml:space="preserve"> </w:t>
            </w:r>
            <w:r w:rsidRPr="004C33D1">
              <w:rPr>
                <w:i/>
              </w:rPr>
              <w:t xml:space="preserve"> &gt; 2013 Census </w:t>
            </w:r>
            <w:proofErr w:type="spellStart"/>
            <w:r w:rsidRPr="004C33D1">
              <w:rPr>
                <w:i/>
              </w:rPr>
              <w:t>QuickStats</w:t>
            </w:r>
            <w:proofErr w:type="spellEnd"/>
            <w:r w:rsidRPr="004C33D1">
              <w:rPr>
                <w:i/>
              </w:rPr>
              <w:t xml:space="preserve"> about income – tables &gt; Table 32</w:t>
            </w:r>
          </w:p>
        </w:tc>
      </w:tr>
    </w:tbl>
    <w:p w:rsidR="00344C8E" w:rsidRPr="004C33D1" w:rsidRDefault="00344C8E" w:rsidP="004A5A2D">
      <w:pPr>
        <w:pStyle w:val="Annex2"/>
      </w:pPr>
      <w:bookmarkStart w:id="599" w:name="_Toc456367216"/>
      <w:bookmarkStart w:id="600" w:name="_Toc456624689"/>
      <w:bookmarkStart w:id="601" w:name="_Toc457985408"/>
      <w:bookmarkStart w:id="602" w:name="_Toc457988550"/>
      <w:bookmarkStart w:id="603" w:name="_Toc458160045"/>
      <w:bookmarkStart w:id="604" w:name="_Toc462582281"/>
      <w:r w:rsidRPr="004C33D1">
        <w:t>Examples of Use</w:t>
      </w:r>
      <w:bookmarkEnd w:id="599"/>
      <w:bookmarkEnd w:id="600"/>
      <w:bookmarkEnd w:id="601"/>
      <w:bookmarkEnd w:id="602"/>
      <w:bookmarkEnd w:id="603"/>
      <w:bookmarkEnd w:id="604"/>
    </w:p>
    <w:p w:rsidR="00344C8E" w:rsidRPr="004C33D1" w:rsidRDefault="00344C8E" w:rsidP="00344C8E">
      <w:r w:rsidRPr="004C33D1">
        <w:fldChar w:fldCharType="begin"/>
      </w:r>
      <w:r w:rsidRPr="004C33D1">
        <w:instrText xml:space="preserve"> REF _Ref455667192 \h </w:instrText>
      </w:r>
      <w:r w:rsidRPr="004C33D1">
        <w:fldChar w:fldCharType="separate"/>
      </w:r>
      <w:r w:rsidR="004D1DDA" w:rsidRPr="004C33D1">
        <w:t xml:space="preserve">Figure </w:t>
      </w:r>
      <w:r w:rsidR="004D1DDA">
        <w:rPr>
          <w:noProof/>
        </w:rPr>
        <w:t>50</w:t>
      </w:r>
      <w:r w:rsidRPr="004C33D1">
        <w:fldChar w:fldCharType="end"/>
      </w:r>
      <w:r w:rsidRPr="004C33D1">
        <w:t xml:space="preserve"> shows that mean rental payments to annual household income have been relatively constant for a number of New Zealand territorial authorities over the 2000 to 2015 period. The recent increase in rent payments to household income ratio for Christchurch </w:t>
      </w:r>
      <w:proofErr w:type="gramStart"/>
      <w:r w:rsidRPr="004C33D1">
        <w:t>can be explained</w:t>
      </w:r>
      <w:proofErr w:type="gramEnd"/>
      <w:r w:rsidRPr="004C33D1">
        <w:t xml:space="preserve"> by a reduced supply of rentals after the Canterbury Earthquakes; this resulted in rent price inflation. Canterbury incomes have remained </w:t>
      </w:r>
      <w:r w:rsidRPr="004C33D1">
        <w:lastRenderedPageBreak/>
        <w:t>relatively unaffected by this shock and have not wavered from the pre-earthquake trend.</w:t>
      </w:r>
    </w:p>
    <w:p w:rsidR="00344C8E" w:rsidRPr="004C33D1" w:rsidRDefault="00344C8E" w:rsidP="00E02811">
      <w:pPr>
        <w:pStyle w:val="Caption"/>
      </w:pPr>
      <w:bookmarkStart w:id="605" w:name="_Ref455667192"/>
      <w:r w:rsidRPr="004C33D1">
        <w:t xml:space="preserve">Figure </w:t>
      </w:r>
      <w:r w:rsidRPr="004C33D1">
        <w:fldChar w:fldCharType="begin"/>
      </w:r>
      <w:r w:rsidRPr="004C33D1">
        <w:instrText xml:space="preserve"> SEQ Figure \* ARABIC </w:instrText>
      </w:r>
      <w:r w:rsidRPr="004C33D1">
        <w:fldChar w:fldCharType="separate"/>
      </w:r>
      <w:r w:rsidR="004D1DDA">
        <w:rPr>
          <w:noProof/>
        </w:rPr>
        <w:t>50</w:t>
      </w:r>
      <w:r w:rsidRPr="004C33D1">
        <w:fldChar w:fldCharType="end"/>
      </w:r>
      <w:bookmarkEnd w:id="605"/>
      <w:r w:rsidRPr="004C33D1">
        <w:t xml:space="preserve"> </w:t>
      </w:r>
      <w:r w:rsidR="00CE1ED2" w:rsidRPr="004C33D1">
        <w:t>Ratio of m</w:t>
      </w:r>
      <w:r w:rsidRPr="004C33D1">
        <w:t>ean annual rent payments to annual household income 2000-2015</w:t>
      </w:r>
    </w:p>
    <w:p w:rsidR="00344C8E" w:rsidRPr="004C33D1" w:rsidRDefault="00344C8E" w:rsidP="00183668">
      <w:pPr>
        <w:spacing w:line="240" w:lineRule="auto"/>
        <w:jc w:val="center"/>
      </w:pPr>
      <w:r w:rsidRPr="004C33D1">
        <w:rPr>
          <w:noProof/>
          <w:lang w:eastAsia="en-NZ"/>
        </w:rPr>
        <w:drawing>
          <wp:inline distT="0" distB="0" distL="0" distR="0" wp14:anchorId="7903C76C" wp14:editId="21066E13">
            <wp:extent cx="4991100" cy="2968781"/>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990418" cy="2968375"/>
                    </a:xfrm>
                    <a:prstGeom prst="rect">
                      <a:avLst/>
                    </a:prstGeom>
                    <a:noFill/>
                    <a:ln>
                      <a:noFill/>
                    </a:ln>
                  </pic:spPr>
                </pic:pic>
              </a:graphicData>
            </a:graphic>
          </wp:inline>
        </w:drawing>
      </w:r>
    </w:p>
    <w:p w:rsidR="00344C8E" w:rsidRPr="004C33D1" w:rsidRDefault="00344C8E" w:rsidP="00344C8E">
      <w:pPr>
        <w:spacing w:line="240" w:lineRule="auto"/>
        <w:rPr>
          <w:sz w:val="18"/>
          <w:szCs w:val="18"/>
        </w:rPr>
      </w:pPr>
      <w:r w:rsidRPr="004C33D1">
        <w:rPr>
          <w:sz w:val="18"/>
          <w:szCs w:val="18"/>
        </w:rPr>
        <w:t>Source: MBIE and Statistics NZ</w:t>
      </w:r>
    </w:p>
    <w:p w:rsidR="00344C8E" w:rsidRPr="004C33D1" w:rsidRDefault="00344C8E" w:rsidP="00344C8E">
      <w:pPr>
        <w:spacing w:line="240" w:lineRule="auto"/>
        <w:rPr>
          <w:sz w:val="18"/>
          <w:szCs w:val="18"/>
        </w:rPr>
      </w:pPr>
    </w:p>
    <w:p w:rsidR="00344C8E" w:rsidRPr="004C33D1" w:rsidRDefault="00344C8E" w:rsidP="00344C8E">
      <w:pPr>
        <w:spacing w:line="240" w:lineRule="auto"/>
        <w:rPr>
          <w:sz w:val="18"/>
          <w:szCs w:val="18"/>
        </w:rPr>
      </w:pPr>
    </w:p>
    <w:p w:rsidR="0014320F" w:rsidRPr="004C33D1" w:rsidRDefault="0014320F" w:rsidP="00344C8E"/>
    <w:sectPr w:rsidR="0014320F" w:rsidRPr="004C33D1" w:rsidSect="0014320F">
      <w:pgSz w:w="11907" w:h="16840" w:code="9"/>
      <w:pgMar w:top="1678" w:right="1701" w:bottom="1418" w:left="1985" w:header="720" w:footer="82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4ACC" w:rsidRDefault="00E34ACC">
      <w:pPr>
        <w:spacing w:line="240" w:lineRule="auto"/>
      </w:pPr>
      <w:r>
        <w:separator/>
      </w:r>
    </w:p>
  </w:endnote>
  <w:endnote w:type="continuationSeparator" w:id="0">
    <w:p w:rsidR="00E34ACC" w:rsidRDefault="00E34A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utura">
    <w:panose1 w:val="00000000000000000000"/>
    <w:charset w:val="00"/>
    <w:family w:val="roman"/>
    <w:notTrueType/>
    <w:pitch w:val="default"/>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805" w:rsidRDefault="000B6805" w:rsidP="00C96F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B6805" w:rsidRDefault="000B6805" w:rsidP="00C96F5B">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805" w:rsidRPr="00DA1788" w:rsidRDefault="000B6805" w:rsidP="00B61CB1">
    <w:pPr>
      <w:pStyle w:val="FooterText"/>
    </w:pPr>
    <w:r w:rsidRPr="00ED5B04">
      <w:rPr>
        <w:noProof/>
        <w:lang w:eastAsia="en-NZ"/>
      </w:rPr>
      <w:drawing>
        <wp:inline distT="0" distB="0" distL="0" distR="0" wp14:anchorId="2578C4DC" wp14:editId="2524E099">
          <wp:extent cx="92308" cy="90000"/>
          <wp:effectExtent l="19050" t="0" r="2942" b="0"/>
          <wp:docPr id="51" name="Picture 5" descr="covec_symbol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c_symbol_red.png"/>
                  <pic:cNvPicPr/>
                </pic:nvPicPr>
                <pic:blipFill>
                  <a:blip r:embed="rId1"/>
                  <a:stretch>
                    <a:fillRect/>
                  </a:stretch>
                </pic:blipFill>
                <pic:spPr>
                  <a:xfrm>
                    <a:off x="0" y="0"/>
                    <a:ext cx="92308" cy="90000"/>
                  </a:xfrm>
                  <a:prstGeom prst="rect">
                    <a:avLst/>
                  </a:prstGeom>
                </pic:spPr>
              </pic:pic>
            </a:graphicData>
          </a:graphic>
        </wp:inline>
      </w:drawing>
    </w:r>
    <w:r>
      <w:rPr>
        <w:rStyle w:val="PageNumber"/>
      </w:rPr>
      <w:t xml:space="preserve"> </w:t>
    </w:r>
    <w:sdt>
      <w:sdtPr>
        <w:rPr>
          <w:rStyle w:val="PageNumber"/>
          <w:color w:val="auto"/>
        </w:rPr>
        <w:alias w:val="Subject"/>
        <w:id w:val="104626413"/>
        <w:showingPlcHdr/>
        <w:dataBinding w:prefixMappings="xmlns:ns0='http://purl.org/dc/elements/1.1/' xmlns:ns1='http://schemas.openxmlformats.org/package/2006/metadata/core-properties' " w:xpath="/ns1:coreProperties[1]/ns0:subject[1]" w:storeItemID="{6C3C8BC8-F283-45AE-878A-BAB7291924A1}"/>
        <w:text/>
      </w:sdtPr>
      <w:sdtEndPr>
        <w:rPr>
          <w:rStyle w:val="PageNumber"/>
        </w:rPr>
      </w:sdtEndPr>
      <w:sdtContent>
        <w:r>
          <w:rPr>
            <w:rStyle w:val="PageNumber"/>
            <w:color w:val="auto"/>
          </w:rPr>
          <w:t xml:space="preserve">     </w:t>
        </w:r>
      </w:sdtContent>
    </w:sdt>
    <w:r>
      <w:rPr>
        <w:rStyle w:val="PageNumber"/>
      </w:rPr>
      <w:ptab w:relativeTo="margin" w:alignment="right" w:leader="none"/>
    </w:r>
    <w:r w:rsidRPr="001A605C">
      <w:rPr>
        <w:rStyle w:val="PageNumber"/>
      </w:rPr>
      <w:fldChar w:fldCharType="begin"/>
    </w:r>
    <w:r w:rsidRPr="001A605C">
      <w:rPr>
        <w:rStyle w:val="PageNumber"/>
      </w:rPr>
      <w:instrText xml:space="preserve"> PAGE </w:instrText>
    </w:r>
    <w:r w:rsidRPr="001A605C">
      <w:rPr>
        <w:rStyle w:val="PageNumber"/>
      </w:rPr>
      <w:fldChar w:fldCharType="separate"/>
    </w:r>
    <w:r w:rsidR="00B65F1A">
      <w:rPr>
        <w:rStyle w:val="PageNumber"/>
        <w:noProof/>
      </w:rPr>
      <w:t>89</w:t>
    </w:r>
    <w:r w:rsidRPr="001A605C">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805" w:rsidRPr="00ED5B04" w:rsidRDefault="000B6805" w:rsidP="0074597D">
    <w:pPr>
      <w:pStyle w:val="FooterText"/>
    </w:pPr>
    <w:r w:rsidRPr="00ED5B04">
      <w:rPr>
        <w:noProof/>
        <w:lang w:eastAsia="en-NZ"/>
      </w:rPr>
      <w:drawing>
        <wp:inline distT="0" distB="0" distL="0" distR="0" wp14:anchorId="12C91BA9" wp14:editId="4836E036">
          <wp:extent cx="92308" cy="90000"/>
          <wp:effectExtent l="19050" t="0" r="2942" b="0"/>
          <wp:docPr id="52" name="Picture 5" descr="covec_symbol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c_symbol_red.png"/>
                  <pic:cNvPicPr/>
                </pic:nvPicPr>
                <pic:blipFill>
                  <a:blip r:embed="rId1"/>
                  <a:stretch>
                    <a:fillRect/>
                  </a:stretch>
                </pic:blipFill>
                <pic:spPr>
                  <a:xfrm>
                    <a:off x="0" y="0"/>
                    <a:ext cx="92308" cy="90000"/>
                  </a:xfrm>
                  <a:prstGeom prst="rect">
                    <a:avLst/>
                  </a:prstGeom>
                </pic:spPr>
              </pic:pic>
            </a:graphicData>
          </a:graphic>
        </wp:inline>
      </w:drawing>
    </w:r>
    <w:r>
      <w:rPr>
        <w:rStyle w:val="PageNumber"/>
      </w:rPr>
      <w:t xml:space="preserve"> </w:t>
    </w:r>
    <w:sdt>
      <w:sdtPr>
        <w:rPr>
          <w:rStyle w:val="PageNumber"/>
          <w:color w:val="auto"/>
        </w:rPr>
        <w:alias w:val="Subject"/>
        <w:id w:val="2057657216"/>
        <w:showingPlcHdr/>
        <w:dataBinding w:prefixMappings="xmlns:ns0='http://purl.org/dc/elements/1.1/' xmlns:ns1='http://schemas.openxmlformats.org/package/2006/metadata/core-properties' " w:xpath="/ns1:coreProperties[1]/ns0:subject[1]" w:storeItemID="{6C3C8BC8-F283-45AE-878A-BAB7291924A1}"/>
        <w:text/>
      </w:sdtPr>
      <w:sdtEndPr>
        <w:rPr>
          <w:rStyle w:val="PageNumber"/>
        </w:rPr>
      </w:sdtEndPr>
      <w:sdtContent>
        <w:r>
          <w:rPr>
            <w:rStyle w:val="PageNumber"/>
            <w:color w:val="auto"/>
          </w:rPr>
          <w:t xml:space="preserve">     </w:t>
        </w:r>
      </w:sdtContent>
    </w:sdt>
    <w:r>
      <w:rPr>
        <w:rStyle w:val="PageNumber"/>
      </w:rPr>
      <w:ptab w:relativeTo="margin" w:alignment="right" w:leader="none"/>
    </w:r>
    <w:r w:rsidRPr="001A605C">
      <w:rPr>
        <w:rStyle w:val="PageNumber"/>
      </w:rPr>
      <w:fldChar w:fldCharType="begin"/>
    </w:r>
    <w:r w:rsidRPr="001A605C">
      <w:rPr>
        <w:rStyle w:val="PageNumber"/>
      </w:rPr>
      <w:instrText xml:space="preserve"> PAGE </w:instrText>
    </w:r>
    <w:r w:rsidRPr="001A605C">
      <w:rPr>
        <w:rStyle w:val="PageNumber"/>
      </w:rPr>
      <w:fldChar w:fldCharType="separate"/>
    </w:r>
    <w:r w:rsidR="00B65F1A">
      <w:rPr>
        <w:rStyle w:val="PageNumber"/>
        <w:noProof/>
      </w:rPr>
      <w:t>149</w:t>
    </w:r>
    <w:r w:rsidRPr="001A605C">
      <w:rPr>
        <w:rStyle w:val="PageNumbe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805" w:rsidRPr="00DA1788" w:rsidRDefault="000B6805" w:rsidP="00B61CB1">
    <w:pPr>
      <w:pStyle w:val="FooterText"/>
    </w:pPr>
    <w:r w:rsidRPr="00ED5B04">
      <w:rPr>
        <w:noProof/>
        <w:lang w:eastAsia="en-NZ"/>
      </w:rPr>
      <w:drawing>
        <wp:inline distT="0" distB="0" distL="0" distR="0" wp14:anchorId="7C444BD5" wp14:editId="631E30E0">
          <wp:extent cx="92308" cy="90000"/>
          <wp:effectExtent l="19050" t="0" r="2942" b="0"/>
          <wp:docPr id="62" name="Picture 5" descr="covec_symbol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c_symbol_red.png"/>
                  <pic:cNvPicPr/>
                </pic:nvPicPr>
                <pic:blipFill>
                  <a:blip r:embed="rId1"/>
                  <a:stretch>
                    <a:fillRect/>
                  </a:stretch>
                </pic:blipFill>
                <pic:spPr>
                  <a:xfrm>
                    <a:off x="0" y="0"/>
                    <a:ext cx="92308" cy="90000"/>
                  </a:xfrm>
                  <a:prstGeom prst="rect">
                    <a:avLst/>
                  </a:prstGeom>
                </pic:spPr>
              </pic:pic>
            </a:graphicData>
          </a:graphic>
        </wp:inline>
      </w:drawing>
    </w:r>
    <w:r>
      <w:rPr>
        <w:rStyle w:val="PageNumber"/>
      </w:rPr>
      <w:t xml:space="preserve"> </w:t>
    </w:r>
    <w:sdt>
      <w:sdtPr>
        <w:rPr>
          <w:rStyle w:val="PageNumber"/>
          <w:color w:val="auto"/>
        </w:rPr>
        <w:alias w:val="Subject"/>
        <w:id w:val="-1998566759"/>
        <w:showingPlcHdr/>
        <w:dataBinding w:prefixMappings="xmlns:ns0='http://purl.org/dc/elements/1.1/' xmlns:ns1='http://schemas.openxmlformats.org/package/2006/metadata/core-properties' " w:xpath="/ns1:coreProperties[1]/ns0:subject[1]" w:storeItemID="{6C3C8BC8-F283-45AE-878A-BAB7291924A1}"/>
        <w:text/>
      </w:sdtPr>
      <w:sdtEndPr>
        <w:rPr>
          <w:rStyle w:val="PageNumber"/>
        </w:rPr>
      </w:sdtEndPr>
      <w:sdtContent>
        <w:r>
          <w:rPr>
            <w:rStyle w:val="PageNumber"/>
            <w:color w:val="auto"/>
          </w:rPr>
          <w:t xml:space="preserve">     </w:t>
        </w:r>
      </w:sdtContent>
    </w:sdt>
    <w:r>
      <w:rPr>
        <w:rStyle w:val="PageNumber"/>
      </w:rPr>
      <w:ptab w:relativeTo="margin" w:alignment="right" w:leader="none"/>
    </w:r>
    <w:r w:rsidRPr="001A605C">
      <w:rPr>
        <w:rStyle w:val="PageNumber"/>
      </w:rPr>
      <w:fldChar w:fldCharType="begin"/>
    </w:r>
    <w:r w:rsidRPr="001A605C">
      <w:rPr>
        <w:rStyle w:val="PageNumber"/>
      </w:rPr>
      <w:instrText xml:space="preserve"> PAGE </w:instrText>
    </w:r>
    <w:r w:rsidRPr="001A605C">
      <w:rPr>
        <w:rStyle w:val="PageNumber"/>
      </w:rPr>
      <w:fldChar w:fldCharType="separate"/>
    </w:r>
    <w:r w:rsidR="00B65F1A">
      <w:rPr>
        <w:rStyle w:val="PageNumber"/>
        <w:noProof/>
      </w:rPr>
      <w:t>100</w:t>
    </w:r>
    <w:r w:rsidRPr="001A605C">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805" w:rsidRDefault="000B6805" w:rsidP="008E3C90">
    <w:pPr>
      <w:pStyle w:val="Footer"/>
      <w:tabs>
        <w:tab w:val="right" w:pos="4320"/>
        <w:tab w:val="left" w:pos="7797"/>
      </w:tabs>
    </w:pPr>
    <w:r w:rsidRPr="00505F8F">
      <w:rPr>
        <w:b/>
        <w:color w:val="999999"/>
      </w:rPr>
      <w:t>www.covec.co.nz</w:t>
    </w: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805" w:rsidRPr="00ED5B04" w:rsidRDefault="000B6805" w:rsidP="0074597D">
    <w:pPr>
      <w:pStyle w:val="FooterText"/>
    </w:pPr>
    <w:r w:rsidRPr="00ED5B04">
      <w:rPr>
        <w:noProof/>
        <w:lang w:eastAsia="en-NZ"/>
      </w:rPr>
      <w:drawing>
        <wp:inline distT="0" distB="0" distL="0" distR="0" wp14:anchorId="42DFB768" wp14:editId="1B8BF2CA">
          <wp:extent cx="92308" cy="90000"/>
          <wp:effectExtent l="19050" t="0" r="2942" b="0"/>
          <wp:docPr id="3" name="Picture 5" descr="covec_symbol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c_symbol_red.png"/>
                  <pic:cNvPicPr/>
                </pic:nvPicPr>
                <pic:blipFill>
                  <a:blip r:embed="rId1"/>
                  <a:stretch>
                    <a:fillRect/>
                  </a:stretch>
                </pic:blipFill>
                <pic:spPr>
                  <a:xfrm>
                    <a:off x="0" y="0"/>
                    <a:ext cx="92308" cy="90000"/>
                  </a:xfrm>
                  <a:prstGeom prst="rect">
                    <a:avLst/>
                  </a:prstGeom>
                </pic:spPr>
              </pic:pic>
            </a:graphicData>
          </a:graphic>
        </wp:inline>
      </w:drawing>
    </w:r>
    <w:r>
      <w:rPr>
        <w:rStyle w:val="PageNumber"/>
      </w:rPr>
      <w:t xml:space="preserve"> </w:t>
    </w:r>
    <w:r>
      <w:rPr>
        <w:rStyle w:val="PageNumber"/>
      </w:rPr>
      <w:ptab w:relativeTo="margin" w:alignment="right" w:leader="none"/>
    </w:r>
    <w:r w:rsidRPr="00ED5B04">
      <w:rPr>
        <w:rStyle w:val="PageNumber"/>
      </w:rPr>
      <w:fldChar w:fldCharType="begin"/>
    </w:r>
    <w:r w:rsidRPr="00ED5B04">
      <w:rPr>
        <w:rStyle w:val="PageNumber"/>
      </w:rPr>
      <w:instrText xml:space="preserve"> PAGE </w:instrText>
    </w:r>
    <w:r w:rsidRPr="00ED5B04">
      <w:rPr>
        <w:rStyle w:val="PageNumber"/>
      </w:rPr>
      <w:fldChar w:fldCharType="separate"/>
    </w:r>
    <w:r>
      <w:rPr>
        <w:rStyle w:val="PageNumber"/>
        <w:noProof/>
      </w:rPr>
      <w:t>3</w:t>
    </w:r>
    <w:r w:rsidRPr="00ED5B04">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805" w:rsidRPr="00DA1788" w:rsidRDefault="000B6805" w:rsidP="00DA178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805" w:rsidRPr="00B61CB1" w:rsidRDefault="000B6805" w:rsidP="00B61CB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805" w:rsidRPr="00DA1788" w:rsidRDefault="000B6805" w:rsidP="00DA178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805" w:rsidRPr="00ED5B04" w:rsidRDefault="000B6805" w:rsidP="0074597D">
    <w:pPr>
      <w:pStyle w:val="FooterText"/>
    </w:pPr>
    <w:r w:rsidRPr="00ED5B04">
      <w:rPr>
        <w:noProof/>
        <w:lang w:eastAsia="en-NZ"/>
      </w:rPr>
      <w:drawing>
        <wp:inline distT="0" distB="0" distL="0" distR="0" wp14:anchorId="2FB28D57" wp14:editId="6FE509EF">
          <wp:extent cx="92308" cy="90000"/>
          <wp:effectExtent l="19050" t="0" r="2942" b="0"/>
          <wp:docPr id="48" name="Picture 5" descr="covec_symbol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c_symbol_red.png"/>
                  <pic:cNvPicPr/>
                </pic:nvPicPr>
                <pic:blipFill>
                  <a:blip r:embed="rId1"/>
                  <a:stretch>
                    <a:fillRect/>
                  </a:stretch>
                </pic:blipFill>
                <pic:spPr>
                  <a:xfrm>
                    <a:off x="0" y="0"/>
                    <a:ext cx="92308" cy="90000"/>
                  </a:xfrm>
                  <a:prstGeom prst="rect">
                    <a:avLst/>
                  </a:prstGeom>
                </pic:spPr>
              </pic:pic>
            </a:graphicData>
          </a:graphic>
        </wp:inline>
      </w:drawing>
    </w:r>
    <w:r>
      <w:rPr>
        <w:rStyle w:val="PageNumber"/>
      </w:rPr>
      <w:t xml:space="preserve"> </w:t>
    </w:r>
    <w:sdt>
      <w:sdtPr>
        <w:rPr>
          <w:rStyle w:val="PageNumber"/>
          <w:color w:val="auto"/>
        </w:rPr>
        <w:alias w:val="Subject"/>
        <w:id w:val="461704880"/>
        <w:showingPlcHdr/>
        <w:dataBinding w:prefixMappings="xmlns:ns0='http://purl.org/dc/elements/1.1/' xmlns:ns1='http://schemas.openxmlformats.org/package/2006/metadata/core-properties' " w:xpath="/ns1:coreProperties[1]/ns0:subject[1]" w:storeItemID="{6C3C8BC8-F283-45AE-878A-BAB7291924A1}"/>
        <w:text/>
      </w:sdtPr>
      <w:sdtEndPr>
        <w:rPr>
          <w:rStyle w:val="PageNumber"/>
        </w:rPr>
      </w:sdtEndPr>
      <w:sdtContent>
        <w:r>
          <w:rPr>
            <w:rStyle w:val="PageNumber"/>
            <w:color w:val="auto"/>
          </w:rPr>
          <w:t xml:space="preserve">     </w:t>
        </w:r>
      </w:sdtContent>
    </w:sdt>
    <w:r>
      <w:rPr>
        <w:rStyle w:val="PageNumber"/>
      </w:rPr>
      <w:ptab w:relativeTo="margin" w:alignment="right" w:leader="none"/>
    </w:r>
    <w:r w:rsidRPr="001A605C">
      <w:rPr>
        <w:rStyle w:val="PageNumber"/>
      </w:rPr>
      <w:fldChar w:fldCharType="begin"/>
    </w:r>
    <w:r w:rsidRPr="001A605C">
      <w:rPr>
        <w:rStyle w:val="PageNumber"/>
      </w:rPr>
      <w:instrText xml:space="preserve"> PAGE </w:instrText>
    </w:r>
    <w:r w:rsidRPr="001A605C">
      <w:rPr>
        <w:rStyle w:val="PageNumber"/>
      </w:rPr>
      <w:fldChar w:fldCharType="separate"/>
    </w:r>
    <w:r w:rsidR="00B65F1A">
      <w:rPr>
        <w:rStyle w:val="PageNumber"/>
        <w:noProof/>
      </w:rPr>
      <w:t>vii</w:t>
    </w:r>
    <w:r w:rsidRPr="001A605C">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805" w:rsidRPr="00DA1788" w:rsidRDefault="000B6805" w:rsidP="00B61CB1">
    <w:pPr>
      <w:pStyle w:val="FooterText"/>
    </w:pPr>
    <w:r w:rsidRPr="00ED5B04">
      <w:rPr>
        <w:noProof/>
        <w:lang w:eastAsia="en-NZ"/>
      </w:rPr>
      <w:drawing>
        <wp:inline distT="0" distB="0" distL="0" distR="0" wp14:anchorId="40BB1308" wp14:editId="63D5E176">
          <wp:extent cx="92308" cy="90000"/>
          <wp:effectExtent l="19050" t="0" r="2942" b="0"/>
          <wp:docPr id="49" name="Picture 5" descr="covec_symbol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c_symbol_red.png"/>
                  <pic:cNvPicPr/>
                </pic:nvPicPr>
                <pic:blipFill>
                  <a:blip r:embed="rId1"/>
                  <a:stretch>
                    <a:fillRect/>
                  </a:stretch>
                </pic:blipFill>
                <pic:spPr>
                  <a:xfrm>
                    <a:off x="0" y="0"/>
                    <a:ext cx="92308" cy="90000"/>
                  </a:xfrm>
                  <a:prstGeom prst="rect">
                    <a:avLst/>
                  </a:prstGeom>
                </pic:spPr>
              </pic:pic>
            </a:graphicData>
          </a:graphic>
        </wp:inline>
      </w:drawing>
    </w:r>
    <w:r>
      <w:rPr>
        <w:rStyle w:val="PageNumber"/>
      </w:rPr>
      <w:t xml:space="preserve"> </w:t>
    </w:r>
    <w:sdt>
      <w:sdtPr>
        <w:rPr>
          <w:rStyle w:val="PageNumber"/>
          <w:color w:val="auto"/>
        </w:rPr>
        <w:alias w:val="Subject"/>
        <w:id w:val="-1150519978"/>
        <w:showingPlcHdr/>
        <w:dataBinding w:prefixMappings="xmlns:ns0='http://purl.org/dc/elements/1.1/' xmlns:ns1='http://schemas.openxmlformats.org/package/2006/metadata/core-properties' " w:xpath="/ns1:coreProperties[1]/ns0:subject[1]" w:storeItemID="{6C3C8BC8-F283-45AE-878A-BAB7291924A1}"/>
        <w:text/>
      </w:sdtPr>
      <w:sdtEndPr>
        <w:rPr>
          <w:rStyle w:val="PageNumber"/>
        </w:rPr>
      </w:sdtEndPr>
      <w:sdtContent>
        <w:r>
          <w:rPr>
            <w:rStyle w:val="PageNumber"/>
            <w:color w:val="auto"/>
          </w:rPr>
          <w:t xml:space="preserve">     </w:t>
        </w:r>
      </w:sdtContent>
    </w:sdt>
    <w:r>
      <w:rPr>
        <w:rStyle w:val="PageNumber"/>
      </w:rPr>
      <w:ptab w:relativeTo="margin" w:alignment="right" w:leader="none"/>
    </w:r>
    <w:r w:rsidRPr="001A605C">
      <w:rPr>
        <w:rStyle w:val="PageNumber"/>
      </w:rPr>
      <w:fldChar w:fldCharType="begin"/>
    </w:r>
    <w:r w:rsidRPr="001A605C">
      <w:rPr>
        <w:rStyle w:val="PageNumber"/>
      </w:rPr>
      <w:instrText xml:space="preserve"> PAGE </w:instrText>
    </w:r>
    <w:r w:rsidRPr="001A605C">
      <w:rPr>
        <w:rStyle w:val="PageNumber"/>
      </w:rPr>
      <w:fldChar w:fldCharType="separate"/>
    </w:r>
    <w:r>
      <w:rPr>
        <w:rStyle w:val="PageNumber"/>
        <w:noProof/>
      </w:rPr>
      <w:t>i</w:t>
    </w:r>
    <w:r w:rsidRPr="001A605C">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805" w:rsidRPr="00ED5B04" w:rsidRDefault="000B6805" w:rsidP="0074597D">
    <w:pPr>
      <w:pStyle w:val="FooterText"/>
    </w:pPr>
    <w:r w:rsidRPr="00ED5B04">
      <w:rPr>
        <w:noProof/>
        <w:lang w:eastAsia="en-NZ"/>
      </w:rPr>
      <w:drawing>
        <wp:inline distT="0" distB="0" distL="0" distR="0" wp14:anchorId="1F37579E" wp14:editId="29290385">
          <wp:extent cx="92308" cy="90000"/>
          <wp:effectExtent l="19050" t="0" r="2942" b="0"/>
          <wp:docPr id="50" name="Picture 5" descr="covec_symbol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c_symbol_red.png"/>
                  <pic:cNvPicPr/>
                </pic:nvPicPr>
                <pic:blipFill>
                  <a:blip r:embed="rId1"/>
                  <a:stretch>
                    <a:fillRect/>
                  </a:stretch>
                </pic:blipFill>
                <pic:spPr>
                  <a:xfrm>
                    <a:off x="0" y="0"/>
                    <a:ext cx="92308" cy="90000"/>
                  </a:xfrm>
                  <a:prstGeom prst="rect">
                    <a:avLst/>
                  </a:prstGeom>
                </pic:spPr>
              </pic:pic>
            </a:graphicData>
          </a:graphic>
        </wp:inline>
      </w:drawing>
    </w:r>
    <w:r>
      <w:rPr>
        <w:rStyle w:val="PageNumber"/>
      </w:rPr>
      <w:t xml:space="preserve"> </w:t>
    </w:r>
    <w:sdt>
      <w:sdtPr>
        <w:rPr>
          <w:rStyle w:val="PageNumber"/>
          <w:color w:val="auto"/>
        </w:rPr>
        <w:alias w:val="Subject"/>
        <w:id w:val="-1369913618"/>
        <w:showingPlcHdr/>
        <w:dataBinding w:prefixMappings="xmlns:ns0='http://purl.org/dc/elements/1.1/' xmlns:ns1='http://schemas.openxmlformats.org/package/2006/metadata/core-properties' " w:xpath="/ns1:coreProperties[1]/ns0:subject[1]" w:storeItemID="{6C3C8BC8-F283-45AE-878A-BAB7291924A1}"/>
        <w:text/>
      </w:sdtPr>
      <w:sdtEndPr>
        <w:rPr>
          <w:rStyle w:val="PageNumber"/>
        </w:rPr>
      </w:sdtEndPr>
      <w:sdtContent>
        <w:r>
          <w:rPr>
            <w:rStyle w:val="PageNumber"/>
            <w:color w:val="auto"/>
          </w:rPr>
          <w:t xml:space="preserve">     </w:t>
        </w:r>
      </w:sdtContent>
    </w:sdt>
    <w:r>
      <w:rPr>
        <w:rStyle w:val="PageNumber"/>
      </w:rPr>
      <w:ptab w:relativeTo="margin" w:alignment="right" w:leader="none"/>
    </w:r>
    <w:r w:rsidRPr="001A605C">
      <w:rPr>
        <w:rStyle w:val="PageNumber"/>
      </w:rPr>
      <w:fldChar w:fldCharType="begin"/>
    </w:r>
    <w:r w:rsidRPr="001A605C">
      <w:rPr>
        <w:rStyle w:val="PageNumber"/>
      </w:rPr>
      <w:instrText xml:space="preserve"> PAGE </w:instrText>
    </w:r>
    <w:r w:rsidRPr="001A605C">
      <w:rPr>
        <w:rStyle w:val="PageNumber"/>
      </w:rPr>
      <w:fldChar w:fldCharType="separate"/>
    </w:r>
    <w:r w:rsidR="00B65F1A">
      <w:rPr>
        <w:rStyle w:val="PageNumber"/>
        <w:noProof/>
      </w:rPr>
      <w:t>91</w:t>
    </w:r>
    <w:r w:rsidRPr="001A605C">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4ACC" w:rsidRDefault="00E34ACC">
      <w:pPr>
        <w:spacing w:line="240" w:lineRule="auto"/>
      </w:pPr>
      <w:r>
        <w:separator/>
      </w:r>
    </w:p>
  </w:footnote>
  <w:footnote w:type="continuationSeparator" w:id="0">
    <w:p w:rsidR="00E34ACC" w:rsidRDefault="00E34ACC">
      <w:pPr>
        <w:spacing w:line="240" w:lineRule="auto"/>
      </w:pPr>
      <w:r>
        <w:continuationSeparator/>
      </w:r>
    </w:p>
  </w:footnote>
  <w:footnote w:id="1">
    <w:p w:rsidR="000B6805" w:rsidRDefault="000B6805" w:rsidP="00AF517F">
      <w:pPr>
        <w:pStyle w:val="FootnoteText"/>
      </w:pPr>
      <w:r>
        <w:rPr>
          <w:rStyle w:val="FootnoteReference"/>
        </w:rPr>
        <w:footnoteRef/>
      </w:r>
      <w:r>
        <w:t xml:space="preserve"> </w:t>
      </w:r>
      <w:proofErr w:type="gramStart"/>
      <w:r w:rsidRPr="00663D30">
        <w:t>Ministry for the Environment and Ministry of Business, Innovation and Employment (2016).</w:t>
      </w:r>
      <w:proofErr w:type="gramEnd"/>
      <w:r w:rsidRPr="00663D30">
        <w:t xml:space="preserve"> Proposed National Policy Statement on Urban Development </w:t>
      </w:r>
      <w:proofErr w:type="gramStart"/>
      <w:r w:rsidRPr="00663D30">
        <w:t>Capacity:</w:t>
      </w:r>
      <w:proofErr w:type="gramEnd"/>
      <w:r w:rsidRPr="00663D30">
        <w:t xml:space="preserve"> Consultation Document. </w:t>
      </w:r>
      <w:proofErr w:type="gramStart"/>
      <w:r w:rsidRPr="00663D30">
        <w:t>Wellington: Ministry for the Environment</w:t>
      </w:r>
      <w:r w:rsidRPr="007945AD">
        <w:t>.</w:t>
      </w:r>
      <w:proofErr w:type="gramEnd"/>
    </w:p>
  </w:footnote>
  <w:footnote w:id="2">
    <w:p w:rsidR="000B6805" w:rsidRDefault="000B6805" w:rsidP="00DC4367">
      <w:pPr>
        <w:pStyle w:val="FootnoteText"/>
      </w:pPr>
      <w:r>
        <w:rPr>
          <w:rStyle w:val="FootnoteReference"/>
        </w:rPr>
        <w:footnoteRef/>
      </w:r>
      <w:r>
        <w:t xml:space="preserve"> </w:t>
      </w:r>
      <w:proofErr w:type="gramStart"/>
      <w:r w:rsidRPr="00663D30">
        <w:t>Ministry for the Environment and Ministry of Business, Innovation and Employment (2016).</w:t>
      </w:r>
      <w:proofErr w:type="gramEnd"/>
      <w:r w:rsidRPr="00663D30">
        <w:t xml:space="preserve"> Proposed National Policy Statement on Urban Development </w:t>
      </w:r>
      <w:proofErr w:type="gramStart"/>
      <w:r w:rsidRPr="00663D30">
        <w:t>Capacity:</w:t>
      </w:r>
      <w:proofErr w:type="gramEnd"/>
      <w:r w:rsidRPr="00663D30">
        <w:t xml:space="preserve"> Consultation Document. </w:t>
      </w:r>
      <w:proofErr w:type="gramStart"/>
      <w:r w:rsidRPr="00663D30">
        <w:t>Wellington: Ministry for the Environment</w:t>
      </w:r>
      <w:r w:rsidRPr="007945AD">
        <w:t>.</w:t>
      </w:r>
      <w:proofErr w:type="gramEnd"/>
    </w:p>
  </w:footnote>
  <w:footnote w:id="3">
    <w:p w:rsidR="000B6805" w:rsidRPr="00812763" w:rsidRDefault="000B6805" w:rsidP="00DC4367">
      <w:pPr>
        <w:pStyle w:val="FootnoteText"/>
        <w:rPr>
          <w:i/>
        </w:rPr>
      </w:pPr>
      <w:r>
        <w:rPr>
          <w:rStyle w:val="FootnoteReference"/>
        </w:rPr>
        <w:footnoteRef/>
      </w:r>
      <w:r>
        <w:t xml:space="preserve"> Under the proposed NPS-UDC development capacity is defined to mean “</w:t>
      </w:r>
      <w:r w:rsidRPr="00812763">
        <w:rPr>
          <w:i/>
        </w:rPr>
        <w:t>in relation to residential and business land, the capacity of land for urban development to meet demand, taking into account the following factors:</w:t>
      </w:r>
    </w:p>
    <w:p w:rsidR="000B6805" w:rsidRPr="00812763" w:rsidRDefault="000B6805" w:rsidP="00DC4367">
      <w:pPr>
        <w:pStyle w:val="FootnoteText"/>
        <w:rPr>
          <w:i/>
        </w:rPr>
      </w:pPr>
      <w:r w:rsidRPr="00812763">
        <w:rPr>
          <w:i/>
        </w:rPr>
        <w:t>•</w:t>
      </w:r>
      <w:r w:rsidRPr="00812763">
        <w:rPr>
          <w:i/>
        </w:rPr>
        <w:tab/>
        <w:t>the zoning, objectives, policies, rules and overlays that apply to the land; and</w:t>
      </w:r>
    </w:p>
    <w:p w:rsidR="000B6805" w:rsidRPr="00812763" w:rsidRDefault="000B6805" w:rsidP="00DC4367">
      <w:pPr>
        <w:pStyle w:val="FootnoteText"/>
        <w:rPr>
          <w:i/>
        </w:rPr>
      </w:pPr>
      <w:r w:rsidRPr="00812763">
        <w:rPr>
          <w:i/>
        </w:rPr>
        <w:t>•</w:t>
      </w:r>
      <w:r w:rsidRPr="00812763">
        <w:rPr>
          <w:i/>
        </w:rPr>
        <w:tab/>
        <w:t xml:space="preserve">the provision of adequate infrastructure, existing or likely to exist, to support the development of the land, having regard to </w:t>
      </w:r>
    </w:p>
    <w:p w:rsidR="000B6805" w:rsidRPr="00812763" w:rsidRDefault="000B6805" w:rsidP="00DC4367">
      <w:pPr>
        <w:pStyle w:val="FootnoteText"/>
        <w:ind w:left="709" w:hanging="283"/>
        <w:rPr>
          <w:i/>
        </w:rPr>
      </w:pPr>
      <w:r w:rsidRPr="00812763">
        <w:rPr>
          <w:i/>
        </w:rPr>
        <w:t>•</w:t>
      </w:r>
      <w:r w:rsidRPr="00812763">
        <w:rPr>
          <w:i/>
        </w:rPr>
        <w:tab/>
        <w:t>the relevant proposed and operative regional policy statements, regional plans and district plans; and</w:t>
      </w:r>
    </w:p>
    <w:p w:rsidR="000B6805" w:rsidRDefault="000B6805" w:rsidP="00DC4367">
      <w:pPr>
        <w:pStyle w:val="FootnoteText"/>
        <w:ind w:left="709" w:hanging="283"/>
      </w:pPr>
      <w:proofErr w:type="gramStart"/>
      <w:r w:rsidRPr="00812763">
        <w:rPr>
          <w:i/>
        </w:rPr>
        <w:t>•</w:t>
      </w:r>
      <w:r w:rsidRPr="00812763">
        <w:rPr>
          <w:i/>
        </w:rPr>
        <w:tab/>
        <w:t>any relevant management plans and strategies prepared under other Acts.</w:t>
      </w:r>
      <w:r>
        <w:t>”</w:t>
      </w:r>
      <w:proofErr w:type="gramEnd"/>
      <w:r>
        <w:t xml:space="preserve">  </w:t>
      </w:r>
    </w:p>
  </w:footnote>
  <w:footnote w:id="4">
    <w:p w:rsidR="000B6805" w:rsidRDefault="000B6805">
      <w:pPr>
        <w:pStyle w:val="FootnoteText"/>
      </w:pPr>
      <w:r>
        <w:rPr>
          <w:rStyle w:val="FootnoteReference"/>
        </w:rPr>
        <w:footnoteRef/>
      </w:r>
      <w:r>
        <w:t xml:space="preserve"> These </w:t>
      </w:r>
      <w:proofErr w:type="gramStart"/>
      <w:r>
        <w:t>are defined</w:t>
      </w:r>
      <w:proofErr w:type="gramEnd"/>
      <w:r>
        <w:t xml:space="preserve"> in the proposed NPS-UDC.</w:t>
      </w:r>
    </w:p>
  </w:footnote>
  <w:footnote w:id="5">
    <w:p w:rsidR="000B6805" w:rsidRPr="00CC3127" w:rsidRDefault="000B6805" w:rsidP="00496D4E">
      <w:pPr>
        <w:pStyle w:val="FootnoteText"/>
        <w:rPr>
          <w:lang w:val="en-US"/>
        </w:rPr>
      </w:pPr>
      <w:r>
        <w:rPr>
          <w:rStyle w:val="FootnoteReference"/>
        </w:rPr>
        <w:footnoteRef/>
      </w:r>
      <w:r>
        <w:t xml:space="preserve"> For example: no barriers to market entry; many buyers and sellers; a (relatively) uniform product; no externalities; perfect information; and zero transaction costs.</w:t>
      </w:r>
    </w:p>
  </w:footnote>
  <w:footnote w:id="6">
    <w:p w:rsidR="000B6805" w:rsidRPr="00AD79AD" w:rsidRDefault="000B6805" w:rsidP="008F6A07">
      <w:pPr>
        <w:pStyle w:val="FootnoteText"/>
        <w:rPr>
          <w:lang w:val="en-US"/>
        </w:rPr>
      </w:pPr>
      <w:r>
        <w:rPr>
          <w:rStyle w:val="FootnoteReference"/>
        </w:rPr>
        <w:footnoteRef/>
      </w:r>
      <w:r>
        <w:t xml:space="preserve"> </w:t>
      </w:r>
      <w:r w:rsidRPr="00AD79AD">
        <w:t xml:space="preserve">MRCagney, Covec and Beca (2016) Cost benefit analysis of policy options for a National Policy Statement on Urban Development Capacity. </w:t>
      </w:r>
      <w:proofErr w:type="gramStart"/>
      <w:r w:rsidRPr="00AD79AD">
        <w:t>Final Report to Ministry for the Environment.</w:t>
      </w:r>
      <w:proofErr w:type="gramEnd"/>
    </w:p>
  </w:footnote>
  <w:footnote w:id="7">
    <w:p w:rsidR="000B6805" w:rsidRPr="00AD79AD" w:rsidRDefault="000B6805" w:rsidP="008F6A07">
      <w:pPr>
        <w:pStyle w:val="FootnoteText"/>
        <w:rPr>
          <w:lang w:val="en-US"/>
        </w:rPr>
      </w:pPr>
      <w:r>
        <w:rPr>
          <w:rStyle w:val="FootnoteReference"/>
        </w:rPr>
        <w:footnoteRef/>
      </w:r>
      <w:r>
        <w:t xml:space="preserve"> </w:t>
      </w:r>
      <w:r>
        <w:rPr>
          <w:lang w:val="en-US"/>
        </w:rPr>
        <w:t xml:space="preserve">NZIER (2015) </w:t>
      </w:r>
      <w:proofErr w:type="gramStart"/>
      <w:r>
        <w:rPr>
          <w:lang w:val="en-US"/>
        </w:rPr>
        <w:t>The</w:t>
      </w:r>
      <w:proofErr w:type="gramEnd"/>
      <w:r>
        <w:rPr>
          <w:lang w:val="en-US"/>
        </w:rPr>
        <w:t xml:space="preserve"> price is right. Land prices can help guide land use regulation. </w:t>
      </w:r>
      <w:proofErr w:type="gramStart"/>
      <w:r>
        <w:rPr>
          <w:lang w:val="en-US"/>
        </w:rPr>
        <w:t>NZIER report to the Ministry for the Environment and New Zealand Treasury.</w:t>
      </w:r>
      <w:proofErr w:type="gramEnd"/>
    </w:p>
  </w:footnote>
  <w:footnote w:id="8">
    <w:p w:rsidR="000B6805" w:rsidRPr="00523A3D" w:rsidRDefault="000B6805" w:rsidP="008F6A07">
      <w:pPr>
        <w:pStyle w:val="FootnoteText"/>
      </w:pPr>
      <w:r>
        <w:rPr>
          <w:rStyle w:val="FootnoteReference"/>
        </w:rPr>
        <w:footnoteRef/>
      </w:r>
      <w:r>
        <w:t xml:space="preserve"> </w:t>
      </w:r>
      <w:proofErr w:type="gramStart"/>
      <w:r>
        <w:t>Ministry for the Environment (2016) How Councils Estimate Demand and Supply of Development Capacity for Housing and Business.</w:t>
      </w:r>
      <w:proofErr w:type="gramEnd"/>
      <w:r>
        <w:t xml:space="preserve"> </w:t>
      </w:r>
      <w:proofErr w:type="gramStart"/>
      <w:r>
        <w:t>Ministry for the Environment: Wellington.</w:t>
      </w:r>
      <w:proofErr w:type="gramEnd"/>
      <w:r>
        <w:t xml:space="preserve"> </w:t>
      </w:r>
    </w:p>
  </w:footnote>
  <w:footnote w:id="9">
    <w:p w:rsidR="000B6805" w:rsidRPr="009F5963" w:rsidRDefault="000B6805" w:rsidP="008F6A07">
      <w:pPr>
        <w:pStyle w:val="FootnoteText"/>
        <w:rPr>
          <w:lang w:val="en-US"/>
        </w:rPr>
      </w:pPr>
      <w:r>
        <w:rPr>
          <w:rStyle w:val="FootnoteReference"/>
        </w:rPr>
        <w:footnoteRef/>
      </w:r>
      <w:r>
        <w:t xml:space="preserve"> </w:t>
      </w:r>
      <w:proofErr w:type="gramStart"/>
      <w:r>
        <w:rPr>
          <w:lang w:val="en-US"/>
        </w:rPr>
        <w:t>BERL and Ascari Partners (2016) Business land: problems and causes.</w:t>
      </w:r>
      <w:proofErr w:type="gramEnd"/>
      <w:r>
        <w:rPr>
          <w:lang w:val="en-US"/>
        </w:rPr>
        <w:t xml:space="preserve"> </w:t>
      </w:r>
      <w:proofErr w:type="gramStart"/>
      <w:r>
        <w:rPr>
          <w:lang w:val="en-US"/>
        </w:rPr>
        <w:t>Final Report to the Ministry of Business, Innovation and Employment.</w:t>
      </w:r>
      <w:proofErr w:type="gramEnd"/>
      <w:r>
        <w:rPr>
          <w:lang w:val="en-US"/>
        </w:rPr>
        <w:t xml:space="preserve"> </w:t>
      </w:r>
    </w:p>
  </w:footnote>
  <w:footnote w:id="10">
    <w:p w:rsidR="000B6805" w:rsidRPr="004E29B0" w:rsidRDefault="000B6805" w:rsidP="008F6A07">
      <w:pPr>
        <w:pStyle w:val="FootnoteText"/>
        <w:rPr>
          <w:lang w:val="en-US"/>
        </w:rPr>
      </w:pPr>
      <w:r>
        <w:rPr>
          <w:rStyle w:val="FootnoteReference"/>
        </w:rPr>
        <w:footnoteRef/>
      </w:r>
      <w:r>
        <w:t xml:space="preserve"> MRCagney et al (</w:t>
      </w:r>
      <w:r w:rsidRPr="00AD79AD">
        <w:rPr>
          <w:i/>
        </w:rPr>
        <w:t xml:space="preserve">op </w:t>
      </w:r>
      <w:proofErr w:type="spellStart"/>
      <w:r w:rsidRPr="00AD79AD">
        <w:rPr>
          <w:i/>
        </w:rPr>
        <w:t>cit</w:t>
      </w:r>
      <w:proofErr w:type="spellEnd"/>
      <w:r>
        <w:t>)</w:t>
      </w:r>
    </w:p>
  </w:footnote>
  <w:footnote w:id="11">
    <w:p w:rsidR="000B6805" w:rsidRPr="001D25AA" w:rsidRDefault="000B6805" w:rsidP="008F6A07">
      <w:pPr>
        <w:pStyle w:val="FootnoteText"/>
        <w:rPr>
          <w:lang w:val="en-US"/>
        </w:rPr>
      </w:pPr>
      <w:r>
        <w:rPr>
          <w:rStyle w:val="FootnoteReference"/>
        </w:rPr>
        <w:footnoteRef/>
      </w:r>
      <w:r>
        <w:t xml:space="preserve"> </w:t>
      </w:r>
      <w:r>
        <w:rPr>
          <w:lang w:val="en-US"/>
        </w:rPr>
        <w:t>NZIER (</w:t>
      </w:r>
      <w:r>
        <w:rPr>
          <w:i/>
          <w:lang w:val="en-US"/>
        </w:rPr>
        <w:t xml:space="preserve">op </w:t>
      </w:r>
      <w:proofErr w:type="spellStart"/>
      <w:r>
        <w:rPr>
          <w:i/>
          <w:lang w:val="en-US"/>
        </w:rPr>
        <w:t>cit</w:t>
      </w:r>
      <w:proofErr w:type="spellEnd"/>
      <w:r>
        <w:rPr>
          <w:lang w:val="en-US"/>
        </w:rPr>
        <w:t>)</w:t>
      </w:r>
    </w:p>
  </w:footnote>
  <w:footnote w:id="12">
    <w:p w:rsidR="000B6805" w:rsidRDefault="000B6805" w:rsidP="009C3600">
      <w:pPr>
        <w:pStyle w:val="FootnoteText"/>
      </w:pPr>
      <w:r>
        <w:rPr>
          <w:rStyle w:val="FootnoteReference"/>
        </w:rPr>
        <w:footnoteRef/>
      </w:r>
      <w:r>
        <w:t xml:space="preserve"> Ministry for the Environment (</w:t>
      </w:r>
      <w:r>
        <w:rPr>
          <w:i/>
        </w:rPr>
        <w:t xml:space="preserve">op </w:t>
      </w:r>
      <w:proofErr w:type="spellStart"/>
      <w:r>
        <w:rPr>
          <w:i/>
        </w:rPr>
        <w:t>cit</w:t>
      </w:r>
      <w:proofErr w:type="spellEnd"/>
      <w:r>
        <w:t>)</w:t>
      </w:r>
    </w:p>
  </w:footnote>
  <w:footnote w:id="13">
    <w:p w:rsidR="000B6805" w:rsidRPr="00C87AB3" w:rsidRDefault="000B6805">
      <w:pPr>
        <w:pStyle w:val="FootnoteText"/>
        <w:rPr>
          <w:lang w:val="en-US"/>
        </w:rPr>
      </w:pPr>
      <w:r>
        <w:rPr>
          <w:rStyle w:val="FootnoteReference"/>
        </w:rPr>
        <w:footnoteRef/>
      </w:r>
      <w:r>
        <w:t xml:space="preserve"> </w:t>
      </w:r>
      <w:r w:rsidRPr="00C87AB3">
        <w:t>BERL and Ascari</w:t>
      </w:r>
      <w:r>
        <w:t xml:space="preserve"> (</w:t>
      </w:r>
      <w:r>
        <w:rPr>
          <w:i/>
        </w:rPr>
        <w:t xml:space="preserve">op </w:t>
      </w:r>
      <w:proofErr w:type="spellStart"/>
      <w:r>
        <w:rPr>
          <w:i/>
        </w:rPr>
        <w:t>cit</w:t>
      </w:r>
      <w:proofErr w:type="spellEnd"/>
      <w:r>
        <w:t>)</w:t>
      </w:r>
    </w:p>
  </w:footnote>
  <w:footnote w:id="14">
    <w:p w:rsidR="000B6805" w:rsidRPr="004F61B6" w:rsidRDefault="000B6805" w:rsidP="00C10A35">
      <w:pPr>
        <w:pStyle w:val="FootnoteText"/>
        <w:rPr>
          <w:lang w:val="en-US"/>
        </w:rPr>
      </w:pPr>
      <w:r>
        <w:rPr>
          <w:rStyle w:val="FootnoteReference"/>
        </w:rPr>
        <w:footnoteRef/>
      </w:r>
      <w:r>
        <w:t xml:space="preserve"> </w:t>
      </w:r>
      <w:proofErr w:type="gramStart"/>
      <w:r>
        <w:rPr>
          <w:lang w:val="en-US"/>
        </w:rPr>
        <w:t>Water supply, wastewater and stormwater.</w:t>
      </w:r>
      <w:proofErr w:type="gramEnd"/>
    </w:p>
  </w:footnote>
  <w:footnote w:id="15">
    <w:p w:rsidR="000B6805" w:rsidRPr="00CC3127" w:rsidRDefault="000B6805" w:rsidP="00112504">
      <w:pPr>
        <w:pStyle w:val="FootnoteText"/>
        <w:rPr>
          <w:lang w:val="en-US"/>
        </w:rPr>
      </w:pPr>
      <w:r>
        <w:rPr>
          <w:rStyle w:val="FootnoteReference"/>
        </w:rPr>
        <w:footnoteRef/>
      </w:r>
      <w:r>
        <w:t xml:space="preserve"> </w:t>
      </w:r>
      <w:r>
        <w:rPr>
          <w:lang w:val="en-US"/>
        </w:rPr>
        <w:t>Some market participants play several of these roles; for example, significant businesses or utility providers often own, develop and occupy their land. They might be motivated to ensure certainty about their future operation.</w:t>
      </w:r>
    </w:p>
  </w:footnote>
  <w:footnote w:id="16">
    <w:p w:rsidR="000B6805" w:rsidRDefault="000B6805" w:rsidP="00112504">
      <w:pPr>
        <w:pStyle w:val="FootnoteText"/>
      </w:pPr>
      <w:r>
        <w:rPr>
          <w:rStyle w:val="FootnoteReference"/>
        </w:rPr>
        <w:footnoteRef/>
      </w:r>
      <w:r>
        <w:t xml:space="preserve"> “Marginal” refers to one additional unit of supply, so marginal costs of supply means the costs of supplying one more unit of capacity, eg the costs of adding </w:t>
      </w:r>
      <w:proofErr w:type="gramStart"/>
      <w:r>
        <w:t>one more residential property to the market through rezoning, land development and infrastructure provision</w:t>
      </w:r>
      <w:proofErr w:type="gramEnd"/>
      <w:r>
        <w:t>.</w:t>
      </w:r>
    </w:p>
  </w:footnote>
  <w:footnote w:id="17">
    <w:p w:rsidR="000B6805" w:rsidRDefault="000B6805" w:rsidP="00000711">
      <w:pPr>
        <w:pStyle w:val="FootnoteText"/>
      </w:pPr>
      <w:r>
        <w:rPr>
          <w:rStyle w:val="FootnoteReference"/>
        </w:rPr>
        <w:footnoteRef/>
      </w:r>
      <w:r>
        <w:t xml:space="preserve"> </w:t>
      </w:r>
      <w:r w:rsidRPr="00644608">
        <w:t>NZ Productivity Commission (2012) Housing affordability inquiry.</w:t>
      </w:r>
    </w:p>
  </w:footnote>
  <w:footnote w:id="18">
    <w:p w:rsidR="000B6805" w:rsidRPr="0059095F" w:rsidRDefault="000B6805" w:rsidP="00884B8A">
      <w:pPr>
        <w:pStyle w:val="FootnoteText"/>
      </w:pPr>
      <w:r>
        <w:rPr>
          <w:rStyle w:val="FootnoteReference"/>
        </w:rPr>
        <w:footnoteRef/>
      </w:r>
      <w:r>
        <w:t xml:space="preserve"> Bill English, Minister of Housing </w:t>
      </w:r>
      <w:r w:rsidRPr="0059095F">
        <w:rPr>
          <w:i/>
        </w:rPr>
        <w:t>Speech on Housing Affordability</w:t>
      </w:r>
      <w:r>
        <w:t xml:space="preserve"> </w:t>
      </w:r>
      <w:r w:rsidRPr="0059095F">
        <w:t xml:space="preserve">29 </w:t>
      </w:r>
      <w:proofErr w:type="gramStart"/>
      <w:r w:rsidRPr="0059095F">
        <w:t>September,</w:t>
      </w:r>
      <w:proofErr w:type="gramEnd"/>
      <w:r w:rsidRPr="0059095F">
        <w:t xml:space="preserve"> 201</w:t>
      </w:r>
      <w:r>
        <w:t xml:space="preserve">5. Accessed 13 July 2016 at: </w:t>
      </w:r>
      <w:hyperlink r:id="rId1" w:history="1">
        <w:r w:rsidRPr="006D2E9C">
          <w:rPr>
            <w:rStyle w:val="Hyperlink"/>
            <w:rFonts w:ascii="Palatino Linotype" w:hAnsi="Palatino Linotype"/>
          </w:rPr>
          <w:t>https://www.beehive.govt.nz/speech/speech-housing-affordability</w:t>
        </w:r>
      </w:hyperlink>
      <w:r>
        <w:t xml:space="preserve"> </w:t>
      </w:r>
    </w:p>
  </w:footnote>
  <w:footnote w:id="19">
    <w:p w:rsidR="000B6805" w:rsidRDefault="000B6805" w:rsidP="00FC5C7F">
      <w:pPr>
        <w:pStyle w:val="FootnoteText"/>
      </w:pPr>
      <w:r>
        <w:rPr>
          <w:rStyle w:val="FootnoteReference"/>
        </w:rPr>
        <w:footnoteRef/>
      </w:r>
      <w:r>
        <w:t xml:space="preserve"> Mead D and Ryan S (2012) Restrictive Covenants – Is There a Case For Public Plans To Control Private Planning Instruments In New Zealand? </w:t>
      </w:r>
      <w:proofErr w:type="gramStart"/>
      <w:r>
        <w:t xml:space="preserve">Paper to: </w:t>
      </w:r>
      <w:r w:rsidRPr="00683134">
        <w:rPr>
          <w:i/>
        </w:rPr>
        <w:t>A Taste of Thigs to Come</w:t>
      </w:r>
      <w:r>
        <w:t>.</w:t>
      </w:r>
      <w:proofErr w:type="gramEnd"/>
      <w:r>
        <w:t xml:space="preserve"> </w:t>
      </w:r>
      <w:proofErr w:type="gramStart"/>
      <w:r>
        <w:t>NZPI Conference, 1-4 May 2012, Blenheim.</w:t>
      </w:r>
      <w:proofErr w:type="gramEnd"/>
    </w:p>
  </w:footnote>
  <w:footnote w:id="20">
    <w:p w:rsidR="000B6805" w:rsidRPr="004F61B6" w:rsidRDefault="000B6805" w:rsidP="00B777E8">
      <w:pPr>
        <w:pStyle w:val="FootnoteText"/>
        <w:rPr>
          <w:lang w:val="en-US"/>
        </w:rPr>
      </w:pPr>
      <w:r>
        <w:rPr>
          <w:rStyle w:val="FootnoteReference"/>
        </w:rPr>
        <w:footnoteRef/>
      </w:r>
      <w:r>
        <w:t xml:space="preserve"> </w:t>
      </w:r>
      <w:proofErr w:type="gramStart"/>
      <w:r>
        <w:rPr>
          <w:lang w:val="en-US"/>
        </w:rPr>
        <w:t>Water supply, wastewater and stormwater.</w:t>
      </w:r>
      <w:proofErr w:type="gramEnd"/>
    </w:p>
  </w:footnote>
  <w:footnote w:id="21">
    <w:p w:rsidR="000B6805" w:rsidRDefault="000B6805" w:rsidP="00B777E8">
      <w:pPr>
        <w:pStyle w:val="FootnoteText"/>
      </w:pPr>
      <w:r>
        <w:rPr>
          <w:rStyle w:val="FootnoteReference"/>
        </w:rPr>
        <w:footnoteRef/>
      </w:r>
      <w:r>
        <w:t xml:space="preserve"> </w:t>
      </w:r>
      <w:r w:rsidRPr="003516D0">
        <w:t>Productivity Commission</w:t>
      </w:r>
      <w:r>
        <w:t xml:space="preserve"> (</w:t>
      </w:r>
      <w:r w:rsidRPr="003516D0">
        <w:t>2012</w:t>
      </w:r>
      <w:r>
        <w:t>)</w:t>
      </w:r>
      <w:r w:rsidRPr="003516D0">
        <w:t xml:space="preserve"> Housing affordability inquiry: Final report. </w:t>
      </w:r>
      <w:proofErr w:type="gramStart"/>
      <w:r w:rsidRPr="003516D0">
        <w:t>Wellington: Productivity Commission.</w:t>
      </w:r>
      <w:proofErr w:type="gramEnd"/>
    </w:p>
  </w:footnote>
  <w:footnote w:id="22">
    <w:p w:rsidR="000B6805" w:rsidRDefault="000B6805" w:rsidP="005E59EA">
      <w:pPr>
        <w:pStyle w:val="FootnoteText"/>
      </w:pPr>
      <w:r>
        <w:rPr>
          <w:rStyle w:val="FootnoteReference"/>
        </w:rPr>
        <w:footnoteRef/>
      </w:r>
      <w:r>
        <w:t xml:space="preserve"> </w:t>
      </w:r>
      <w:proofErr w:type="gramStart"/>
      <w:r>
        <w:t>MBIE (2013) Residential Construction Sector Market Study Issues Paper; MBIE (2013) Residential Construction Sector Market Study Options Paper.</w:t>
      </w:r>
      <w:proofErr w:type="gramEnd"/>
    </w:p>
  </w:footnote>
  <w:footnote w:id="23">
    <w:p w:rsidR="000B6805" w:rsidRDefault="000B6805" w:rsidP="005E59EA">
      <w:pPr>
        <w:pStyle w:val="FootnoteText"/>
      </w:pPr>
      <w:r>
        <w:rPr>
          <w:rStyle w:val="FootnoteReference"/>
        </w:rPr>
        <w:footnoteRef/>
      </w:r>
      <w:r>
        <w:t xml:space="preserve"> Office of the Minister for Building and Housing, and Office of the Minister of Commerce and Consumer Affairs (2015) Outcomes of the Residential Construction Sector Market Study. </w:t>
      </w:r>
      <w:proofErr w:type="gramStart"/>
      <w:r>
        <w:t>Paper to: Cabinet Economic Growth and Infrastructure Committee.</w:t>
      </w:r>
      <w:proofErr w:type="gramEnd"/>
      <w:r>
        <w:t xml:space="preserve"> </w:t>
      </w:r>
    </w:p>
  </w:footnote>
  <w:footnote w:id="24">
    <w:p w:rsidR="000B6805" w:rsidRDefault="000B6805">
      <w:pPr>
        <w:pStyle w:val="FootnoteText"/>
      </w:pPr>
      <w:r>
        <w:rPr>
          <w:rStyle w:val="FootnoteReference"/>
        </w:rPr>
        <w:footnoteRef/>
      </w:r>
      <w:r>
        <w:t xml:space="preserve"> </w:t>
      </w:r>
      <w:proofErr w:type="gramStart"/>
      <w:r>
        <w:t>S</w:t>
      </w:r>
      <w:r w:rsidRPr="00000711">
        <w:t>ee MRCagney et al</w:t>
      </w:r>
      <w:r>
        <w:t xml:space="preserve"> (op </w:t>
      </w:r>
      <w:proofErr w:type="spellStart"/>
      <w:r>
        <w:t>cit</w:t>
      </w:r>
      <w:proofErr w:type="spellEnd"/>
      <w:r>
        <w:t>)</w:t>
      </w:r>
      <w:r w:rsidRPr="00000711">
        <w:t xml:space="preserve"> for a discussion of the literature</w:t>
      </w:r>
      <w:r>
        <w:t>.</w:t>
      </w:r>
      <w:proofErr w:type="gramEnd"/>
    </w:p>
  </w:footnote>
  <w:footnote w:id="25">
    <w:p w:rsidR="000B6805" w:rsidRPr="004E52C1" w:rsidRDefault="000B6805" w:rsidP="00000711">
      <w:pPr>
        <w:pStyle w:val="FootnoteText"/>
        <w:rPr>
          <w:i/>
          <w:lang w:val="en-US"/>
        </w:rPr>
      </w:pPr>
      <w:r>
        <w:rPr>
          <w:rStyle w:val="FootnoteReference"/>
        </w:rPr>
        <w:footnoteRef/>
      </w:r>
      <w:r>
        <w:t xml:space="preserve"> </w:t>
      </w:r>
      <w:proofErr w:type="spellStart"/>
      <w:r w:rsidRPr="004E52C1">
        <w:rPr>
          <w:lang w:val="en-US"/>
        </w:rPr>
        <w:t>Baumol</w:t>
      </w:r>
      <w:proofErr w:type="spellEnd"/>
      <w:r w:rsidRPr="004E52C1">
        <w:rPr>
          <w:lang w:val="en-US"/>
        </w:rPr>
        <w:t xml:space="preserve"> WJ and Oates WE (1988) </w:t>
      </w:r>
      <w:proofErr w:type="gramStart"/>
      <w:r w:rsidRPr="004E52C1">
        <w:rPr>
          <w:lang w:val="en-US"/>
        </w:rPr>
        <w:t>The</w:t>
      </w:r>
      <w:proofErr w:type="gramEnd"/>
      <w:r w:rsidRPr="004E52C1">
        <w:rPr>
          <w:lang w:val="en-US"/>
        </w:rPr>
        <w:t xml:space="preserve"> theory of environme</w:t>
      </w:r>
      <w:r>
        <w:rPr>
          <w:lang w:val="en-US"/>
        </w:rPr>
        <w:t xml:space="preserve">ntal policy. </w:t>
      </w:r>
      <w:proofErr w:type="gramStart"/>
      <w:r>
        <w:rPr>
          <w:lang w:val="en-US"/>
        </w:rPr>
        <w:t>2nd</w:t>
      </w:r>
      <w:proofErr w:type="gramEnd"/>
      <w:r>
        <w:rPr>
          <w:lang w:val="en-US"/>
        </w:rPr>
        <w:t xml:space="preserve"> Ed. Cambridge.</w:t>
      </w:r>
    </w:p>
  </w:footnote>
  <w:footnote w:id="26">
    <w:p w:rsidR="000B6805" w:rsidRDefault="000B6805" w:rsidP="00000711">
      <w:pPr>
        <w:pStyle w:val="FootnoteText"/>
      </w:pPr>
      <w:r>
        <w:rPr>
          <w:rStyle w:val="FootnoteReference"/>
        </w:rPr>
        <w:footnoteRef/>
      </w:r>
      <w:r>
        <w:t xml:space="preserve"> </w:t>
      </w:r>
      <w:r w:rsidRPr="0069152E">
        <w:t xml:space="preserve">MRCagney, Covec and Beca (2016) Cost benefit analysis of policy options for a National Policy Statement on Urban Development Capacity. </w:t>
      </w:r>
      <w:proofErr w:type="gramStart"/>
      <w:r w:rsidRPr="0069152E">
        <w:t>Final Report to Ministry for the Environment.</w:t>
      </w:r>
      <w:proofErr w:type="gramEnd"/>
    </w:p>
  </w:footnote>
  <w:footnote w:id="27">
    <w:p w:rsidR="000B6805" w:rsidRDefault="000B6805" w:rsidP="00000711">
      <w:pPr>
        <w:pStyle w:val="FootnoteText"/>
      </w:pPr>
      <w:r>
        <w:rPr>
          <w:rStyle w:val="FootnoteReference"/>
        </w:rPr>
        <w:footnoteRef/>
      </w:r>
      <w:r>
        <w:t xml:space="preserve"> These agglomeration benefits are the increased consumption opportunities that are likely to </w:t>
      </w:r>
      <w:proofErr w:type="gramStart"/>
      <w:r>
        <w:t>be provided</w:t>
      </w:r>
      <w:proofErr w:type="gramEnd"/>
      <w:r>
        <w:t xml:space="preserve"> including more retail outlets and entertainment facilities because of greater scope for their patronage.</w:t>
      </w:r>
    </w:p>
  </w:footnote>
  <w:footnote w:id="28">
    <w:p w:rsidR="000B6805" w:rsidRDefault="000B6805" w:rsidP="00000711">
      <w:pPr>
        <w:pStyle w:val="FootnoteText"/>
      </w:pPr>
      <w:r>
        <w:rPr>
          <w:rStyle w:val="FootnoteReference"/>
        </w:rPr>
        <w:footnoteRef/>
      </w:r>
      <w:r>
        <w:t xml:space="preserve"> The increased productivity resulting for higher density of employment – see for </w:t>
      </w:r>
      <w:proofErr w:type="gramStart"/>
      <w:r>
        <w:t>example:</w:t>
      </w:r>
      <w:proofErr w:type="gramEnd"/>
      <w:r>
        <w:t xml:space="preserve"> </w:t>
      </w:r>
      <w:proofErr w:type="spellStart"/>
      <w:r w:rsidRPr="0069152E">
        <w:t>Maré</w:t>
      </w:r>
      <w:proofErr w:type="spellEnd"/>
      <w:r w:rsidRPr="0069152E">
        <w:t xml:space="preserve"> DC and Graham DJ (2009) Agglomeration Elasticities in New Zealand. </w:t>
      </w:r>
      <w:proofErr w:type="gramStart"/>
      <w:r w:rsidRPr="0069152E">
        <w:t>Motu Working Paper 09-06.</w:t>
      </w:r>
      <w:proofErr w:type="gramEnd"/>
    </w:p>
  </w:footnote>
  <w:footnote w:id="29">
    <w:p w:rsidR="000B6805" w:rsidRDefault="000B6805" w:rsidP="002F38D1">
      <w:pPr>
        <w:pStyle w:val="FootnoteText"/>
      </w:pPr>
      <w:r>
        <w:rPr>
          <w:rStyle w:val="FootnoteReference"/>
        </w:rPr>
        <w:footnoteRef/>
      </w:r>
      <w:r>
        <w:t xml:space="preserve"> Ronald R (2008) </w:t>
      </w:r>
      <w:proofErr w:type="gramStart"/>
      <w:r>
        <w:t>The</w:t>
      </w:r>
      <w:proofErr w:type="gramEnd"/>
      <w:r>
        <w:t xml:space="preserve"> ideology of Home Ownership. </w:t>
      </w:r>
      <w:proofErr w:type="gramStart"/>
      <w:r>
        <w:t>Homeowner Societies and the Role of Housing.</w:t>
      </w:r>
      <w:proofErr w:type="gramEnd"/>
      <w:r>
        <w:t xml:space="preserve"> </w:t>
      </w:r>
      <w:r w:rsidRPr="009372A9">
        <w:t>Palgrave Macmillan</w:t>
      </w:r>
      <w:r>
        <w:t>.</w:t>
      </w:r>
    </w:p>
  </w:footnote>
  <w:footnote w:id="30">
    <w:p w:rsidR="000B6805" w:rsidRDefault="000B6805">
      <w:pPr>
        <w:pStyle w:val="FootnoteText"/>
      </w:pPr>
      <w:r>
        <w:rPr>
          <w:rStyle w:val="FootnoteReference"/>
        </w:rPr>
        <w:footnoteRef/>
      </w:r>
      <w:r>
        <w:t xml:space="preserve"> In this </w:t>
      </w:r>
      <w:proofErr w:type="gramStart"/>
      <w:r>
        <w:t>regard</w:t>
      </w:r>
      <w:proofErr w:type="gramEnd"/>
      <w:r>
        <w:t xml:space="preserve"> we note the recent addition of </w:t>
      </w:r>
      <w:hyperlink r:id="rId2" w:history="1">
        <w:r w:rsidRPr="00333CD7">
          <w:rPr>
            <w:rStyle w:val="Hyperlink"/>
            <w:rFonts w:ascii="Palatino Linotype" w:hAnsi="Palatino Linotype"/>
          </w:rPr>
          <w:t>https://homes.co.nz/</w:t>
        </w:r>
      </w:hyperlink>
      <w:r>
        <w:t xml:space="preserve"> to the suite of data sources.</w:t>
      </w:r>
    </w:p>
  </w:footnote>
  <w:footnote w:id="31">
    <w:p w:rsidR="000B6805" w:rsidRPr="009F5963" w:rsidRDefault="000B6805" w:rsidP="00000711">
      <w:pPr>
        <w:pStyle w:val="FootnoteText"/>
        <w:rPr>
          <w:lang w:val="en-US"/>
        </w:rPr>
      </w:pPr>
      <w:r>
        <w:rPr>
          <w:rStyle w:val="FootnoteReference"/>
        </w:rPr>
        <w:footnoteRef/>
      </w:r>
      <w:r>
        <w:t xml:space="preserve"> </w:t>
      </w:r>
      <w:r>
        <w:rPr>
          <w:lang w:val="en-US"/>
        </w:rPr>
        <w:t xml:space="preserve">Holding costs arise </w:t>
      </w:r>
      <w:proofErr w:type="gramStart"/>
      <w:r>
        <w:rPr>
          <w:lang w:val="en-US"/>
        </w:rPr>
        <w:t>due to the fact that</w:t>
      </w:r>
      <w:proofErr w:type="gramEnd"/>
      <w:r>
        <w:rPr>
          <w:lang w:val="en-US"/>
        </w:rPr>
        <w:t xml:space="preserve"> developers face opportunity costs to hold onto assets. For instance, if a developer borrows money from a bank to acquire property, he or she must pay interest charges on the bank loan during the holding period.</w:t>
      </w:r>
    </w:p>
  </w:footnote>
  <w:footnote w:id="32">
    <w:p w:rsidR="000B6805" w:rsidRDefault="000B6805" w:rsidP="00827E15">
      <w:pPr>
        <w:pStyle w:val="FootnoteText"/>
      </w:pPr>
      <w:r>
        <w:rPr>
          <w:rStyle w:val="FootnoteReference"/>
        </w:rPr>
        <w:footnoteRef/>
      </w:r>
      <w:r>
        <w:t xml:space="preserve"> </w:t>
      </w:r>
      <w:r w:rsidRPr="00183492">
        <w:t xml:space="preserve">To ensure a </w:t>
      </w:r>
      <w:r>
        <w:t>more</w:t>
      </w:r>
      <w:r w:rsidRPr="00183492">
        <w:t xml:space="preserve"> competitive market, additional </w:t>
      </w:r>
      <w:r>
        <w:t>development capacity over and above the minimum quantity that would fulfil demand is</w:t>
      </w:r>
      <w:r w:rsidRPr="00183492">
        <w:t xml:space="preserve"> required</w:t>
      </w:r>
      <w:r>
        <w:t xml:space="preserve"> (See Section </w:t>
      </w:r>
      <w:r>
        <w:fldChar w:fldCharType="begin"/>
      </w:r>
      <w:r>
        <w:instrText xml:space="preserve"> REF _Ref457983737 \r \h </w:instrText>
      </w:r>
      <w:r>
        <w:fldChar w:fldCharType="separate"/>
      </w:r>
      <w:r>
        <w:t>2.5</w:t>
      </w:r>
      <w:r>
        <w:fldChar w:fldCharType="end"/>
      </w:r>
      <w:r>
        <w:t>)</w:t>
      </w:r>
      <w:r w:rsidRPr="00183492">
        <w:t>.</w:t>
      </w:r>
    </w:p>
  </w:footnote>
  <w:footnote w:id="33">
    <w:p w:rsidR="000B6805" w:rsidRDefault="000B6805" w:rsidP="00827E15">
      <w:pPr>
        <w:pStyle w:val="FootnoteText"/>
      </w:pPr>
      <w:r>
        <w:rPr>
          <w:rStyle w:val="FootnoteReference"/>
        </w:rPr>
        <w:footnoteRef/>
      </w:r>
      <w:r>
        <w:t xml:space="preserve"> </w:t>
      </w:r>
      <w:proofErr w:type="gramStart"/>
      <w:r>
        <w:t>Robinson M, Scobie GM and Hallinan B (2006) Affordability of Housing: Concepts, Measurement and Evidence.</w:t>
      </w:r>
      <w:proofErr w:type="gramEnd"/>
      <w:r>
        <w:t xml:space="preserve"> New Zealand Treasury Working Paper 06/03</w:t>
      </w:r>
    </w:p>
  </w:footnote>
  <w:footnote w:id="34">
    <w:p w:rsidR="000B6805" w:rsidRDefault="000B6805" w:rsidP="00FC5C7F">
      <w:pPr>
        <w:pStyle w:val="FootnoteText"/>
      </w:pPr>
      <w:r>
        <w:rPr>
          <w:rStyle w:val="FootnoteReference"/>
        </w:rPr>
        <w:footnoteRef/>
      </w:r>
      <w:r>
        <w:t xml:space="preserve"> NZ Productivity Commission (2012) Housing affordability inquiry.</w:t>
      </w:r>
    </w:p>
  </w:footnote>
  <w:footnote w:id="35">
    <w:p w:rsidR="000B6805" w:rsidRDefault="000B6805" w:rsidP="00827E15">
      <w:pPr>
        <w:pStyle w:val="FootnoteText"/>
      </w:pPr>
      <w:r>
        <w:rPr>
          <w:rStyle w:val="FootnoteReference"/>
        </w:rPr>
        <w:footnoteRef/>
      </w:r>
      <w:r>
        <w:t xml:space="preserve"> </w:t>
      </w:r>
      <w:r w:rsidRPr="00B70FA9">
        <w:t xml:space="preserve">Issues with poor quality housing appear to be worse in rental housing – see eg </w:t>
      </w:r>
      <w:proofErr w:type="spellStart"/>
      <w:r>
        <w:t>Buckett</w:t>
      </w:r>
      <w:proofErr w:type="spellEnd"/>
      <w:r>
        <w:t xml:space="preserve"> NR, Jones MS and Marston NJ (2011) </w:t>
      </w:r>
      <w:r w:rsidRPr="00B70FA9">
        <w:t>BRANZ 2010 House Condition Survey - Condition Comparison by Tenure.</w:t>
      </w:r>
      <w:r>
        <w:t xml:space="preserve"> Study Report SR 264(2012)</w:t>
      </w:r>
    </w:p>
  </w:footnote>
  <w:footnote w:id="36">
    <w:p w:rsidR="000B6805" w:rsidRPr="00371718" w:rsidRDefault="000B6805" w:rsidP="00F269CB">
      <w:pPr>
        <w:pStyle w:val="FootnoteText"/>
        <w:tabs>
          <w:tab w:val="left" w:pos="4111"/>
        </w:tabs>
        <w:rPr>
          <w:lang w:val="en-US"/>
        </w:rPr>
      </w:pPr>
      <w:r>
        <w:rPr>
          <w:rStyle w:val="FootnoteReference"/>
        </w:rPr>
        <w:footnoteRef/>
      </w:r>
      <w:r>
        <w:t xml:space="preserve"> If there </w:t>
      </w:r>
      <w:proofErr w:type="gramStart"/>
      <w:r>
        <w:t>is</w:t>
      </w:r>
      <w:proofErr w:type="gramEnd"/>
      <w:r>
        <w:t xml:space="preserve"> a persistent shortfall in housing, we would expect rents and home prices to rise. However, </w:t>
      </w:r>
      <w:r>
        <w:rPr>
          <w:lang w:val="en-US"/>
        </w:rPr>
        <w:t xml:space="preserve">the relationship between rents and home prices </w:t>
      </w:r>
      <w:proofErr w:type="gramStart"/>
      <w:r>
        <w:rPr>
          <w:lang w:val="en-US"/>
        </w:rPr>
        <w:t>is mediated</w:t>
      </w:r>
      <w:proofErr w:type="gramEnd"/>
      <w:r>
        <w:rPr>
          <w:lang w:val="en-US"/>
        </w:rPr>
        <w:t xml:space="preserve"> by factors such as interest rates, credit conditions, and expectations for future capital gains. For example, lower interest rates tend to push home prices up without affecting rents as they reduce the cost of mortgage servicing.</w:t>
      </w:r>
    </w:p>
  </w:footnote>
  <w:footnote w:id="37">
    <w:p w:rsidR="000B6805" w:rsidRDefault="000B6805" w:rsidP="00F269CB">
      <w:pPr>
        <w:pStyle w:val="FootnoteText"/>
        <w:tabs>
          <w:tab w:val="left" w:pos="4111"/>
        </w:tabs>
      </w:pPr>
      <w:r>
        <w:rPr>
          <w:rStyle w:val="FootnoteReference"/>
        </w:rPr>
        <w:footnoteRef/>
      </w:r>
      <w:r>
        <w:t xml:space="preserve"> </w:t>
      </w:r>
      <w:proofErr w:type="gramStart"/>
      <w:r w:rsidRPr="00DE4C3A">
        <w:t>The Minister of Finance (2015) Speech on housing affordability.</w:t>
      </w:r>
      <w:proofErr w:type="gramEnd"/>
      <w:r w:rsidRPr="00DE4C3A">
        <w:t xml:space="preserve"> Retrieved from https://www.beehive.govt.nz/speech/speech-housing-affordability</w:t>
      </w:r>
    </w:p>
  </w:footnote>
  <w:footnote w:id="38">
    <w:p w:rsidR="000B6805" w:rsidRPr="002F55D1" w:rsidRDefault="000B6805" w:rsidP="00B152F7">
      <w:pPr>
        <w:pStyle w:val="FootnoteText"/>
        <w:rPr>
          <w:lang w:val="en-US"/>
        </w:rPr>
      </w:pPr>
      <w:r>
        <w:rPr>
          <w:rStyle w:val="FootnoteReference"/>
        </w:rPr>
        <w:footnoteRef/>
      </w:r>
      <w:r>
        <w:t xml:space="preserve"> </w:t>
      </w:r>
      <w:proofErr w:type="gramStart"/>
      <w:r>
        <w:t>Goodyear R &amp; Fabian A (2014)</w:t>
      </w:r>
      <w:r w:rsidRPr="00283DAE">
        <w:t xml:space="preserve"> Housing in Auckland: Trends in housing from the Census of Population and Dwellings 1991 to 2013.</w:t>
      </w:r>
      <w:proofErr w:type="gramEnd"/>
    </w:p>
  </w:footnote>
  <w:footnote w:id="39">
    <w:p w:rsidR="000B6805" w:rsidRDefault="000B6805" w:rsidP="007976DF">
      <w:pPr>
        <w:pStyle w:val="FootnoteText"/>
      </w:pPr>
      <w:r>
        <w:rPr>
          <w:rStyle w:val="FootnoteReference"/>
        </w:rPr>
        <w:footnoteRef/>
      </w:r>
      <w:r>
        <w:t xml:space="preserve"> </w:t>
      </w:r>
      <w:proofErr w:type="gramStart"/>
      <w:r w:rsidRPr="000D6F83">
        <w:t>Robinson M, Scobie GM, &amp; Hallinan B (2006) Affordability of housing: concepts, measurement and evidence.</w:t>
      </w:r>
      <w:proofErr w:type="gramEnd"/>
      <w:r w:rsidRPr="000D6F83">
        <w:t xml:space="preserve"> </w:t>
      </w:r>
      <w:proofErr w:type="gramStart"/>
      <w:r w:rsidRPr="000D6F83">
        <w:t>New Zealand Treasury working paper 06/03.</w:t>
      </w:r>
      <w:proofErr w:type="gramEnd"/>
      <w:r w:rsidRPr="000D6F83">
        <w:t xml:space="preserve"> </w:t>
      </w:r>
      <w:proofErr w:type="gramStart"/>
      <w:r w:rsidRPr="000D6F83">
        <w:t>Wellington: The Treasury.</w:t>
      </w:r>
      <w:proofErr w:type="gramEnd"/>
    </w:p>
  </w:footnote>
  <w:footnote w:id="40">
    <w:p w:rsidR="000B6805" w:rsidRDefault="000B6805" w:rsidP="007976DF">
      <w:pPr>
        <w:pStyle w:val="FootnoteText"/>
      </w:pPr>
      <w:r>
        <w:rPr>
          <w:rStyle w:val="FootnoteReference"/>
        </w:rPr>
        <w:footnoteRef/>
      </w:r>
      <w:r>
        <w:t xml:space="preserve"> Law D</w:t>
      </w:r>
      <w:r w:rsidRPr="000D6F83">
        <w:t xml:space="preserve"> &amp;</w:t>
      </w:r>
      <w:r>
        <w:t xml:space="preserve"> Meehan L (2013) </w:t>
      </w:r>
      <w:r w:rsidRPr="000D6F83">
        <w:t xml:space="preserve">Housing affordability in New Zealand: Evidence from household surveys. </w:t>
      </w:r>
      <w:proofErr w:type="gramStart"/>
      <w:r>
        <w:t>New Zealand Treasury Working Paper 13/14.</w:t>
      </w:r>
      <w:proofErr w:type="gramEnd"/>
      <w:r>
        <w:t xml:space="preserve"> </w:t>
      </w:r>
      <w:proofErr w:type="gramStart"/>
      <w:r w:rsidRPr="000D6F83">
        <w:t>Wellington: The Treasury.</w:t>
      </w:r>
      <w:proofErr w:type="gramEnd"/>
    </w:p>
  </w:footnote>
  <w:footnote w:id="41">
    <w:p w:rsidR="000B6805" w:rsidRPr="009F5963" w:rsidRDefault="000B6805" w:rsidP="002A4BC0">
      <w:pPr>
        <w:pStyle w:val="FootnoteText"/>
        <w:rPr>
          <w:lang w:val="en-US"/>
        </w:rPr>
      </w:pPr>
      <w:r>
        <w:rPr>
          <w:rStyle w:val="FootnoteReference"/>
        </w:rPr>
        <w:footnoteRef/>
      </w:r>
      <w:r>
        <w:t xml:space="preserve"> </w:t>
      </w:r>
      <w:proofErr w:type="gramStart"/>
      <w:r>
        <w:rPr>
          <w:lang w:val="en-US"/>
        </w:rPr>
        <w:t xml:space="preserve">Goodyear and Fabian, </w:t>
      </w:r>
      <w:r>
        <w:rPr>
          <w:i/>
          <w:lang w:val="en-US"/>
        </w:rPr>
        <w:t>op cit</w:t>
      </w:r>
      <w:r>
        <w:rPr>
          <w:lang w:val="en-US"/>
        </w:rPr>
        <w:t>.</w:t>
      </w:r>
      <w:proofErr w:type="gramEnd"/>
      <w:r>
        <w:rPr>
          <w:lang w:val="en-US"/>
        </w:rPr>
        <w:t xml:space="preserve"> </w:t>
      </w:r>
    </w:p>
  </w:footnote>
  <w:footnote w:id="42">
    <w:p w:rsidR="000B6805" w:rsidRDefault="000B6805" w:rsidP="002A4BC0">
      <w:pPr>
        <w:pStyle w:val="FootnoteText"/>
      </w:pPr>
      <w:r>
        <w:rPr>
          <w:rStyle w:val="FootnoteReference"/>
        </w:rPr>
        <w:footnoteRef/>
      </w:r>
      <w:r>
        <w:t xml:space="preserve"> Skilling D &amp;</w:t>
      </w:r>
      <w:r w:rsidRPr="00735C5B">
        <w:t xml:space="preserve"> </w:t>
      </w:r>
      <w:proofErr w:type="spellStart"/>
      <w:r w:rsidRPr="00735C5B">
        <w:t>Waldegrave</w:t>
      </w:r>
      <w:proofErr w:type="spellEnd"/>
      <w:r w:rsidRPr="00735C5B">
        <w:t xml:space="preserve"> AM (2004) </w:t>
      </w:r>
      <w:proofErr w:type="gramStart"/>
      <w:r w:rsidRPr="00735C5B">
        <w:t>The</w:t>
      </w:r>
      <w:proofErr w:type="gramEnd"/>
      <w:r w:rsidRPr="00735C5B">
        <w:t xml:space="preserve"> wealth of a nation: the level &amp; distribution of wealth in New Zealand. </w:t>
      </w:r>
      <w:proofErr w:type="gramStart"/>
      <w:r w:rsidRPr="00735C5B">
        <w:t>Discussion paper 2004 / 1.</w:t>
      </w:r>
      <w:proofErr w:type="gramEnd"/>
      <w:r w:rsidRPr="00735C5B">
        <w:t xml:space="preserve"> p17</w:t>
      </w:r>
    </w:p>
  </w:footnote>
  <w:footnote w:id="43">
    <w:p w:rsidR="000B6805" w:rsidRDefault="000B6805" w:rsidP="007D60C2">
      <w:pPr>
        <w:pStyle w:val="FootnoteText"/>
      </w:pPr>
      <w:r>
        <w:rPr>
          <w:rStyle w:val="FootnoteReference"/>
        </w:rPr>
        <w:footnoteRef/>
      </w:r>
      <w:r>
        <w:t xml:space="preserve"> </w:t>
      </w:r>
      <w:r w:rsidRPr="00045AB8">
        <w:t xml:space="preserve">MRCagney, Covec and Beca (2016) Cost benefit analysis of policy options for a National Policy Statement on Urban Development Capacity. </w:t>
      </w:r>
      <w:proofErr w:type="gramStart"/>
      <w:r w:rsidRPr="00045AB8">
        <w:t>Final Report to Ministry for the Environment.</w:t>
      </w:r>
      <w:proofErr w:type="gramEnd"/>
    </w:p>
  </w:footnote>
  <w:footnote w:id="44">
    <w:p w:rsidR="000B6805" w:rsidRDefault="000B6805" w:rsidP="00F147D9">
      <w:pPr>
        <w:pStyle w:val="FootnoteText"/>
      </w:pPr>
      <w:r>
        <w:rPr>
          <w:rStyle w:val="FootnoteReference"/>
        </w:rPr>
        <w:footnoteRef/>
      </w:r>
      <w:r>
        <w:t xml:space="preserve"> </w:t>
      </w:r>
      <w:proofErr w:type="gramStart"/>
      <w:r w:rsidRPr="00FC487F">
        <w:t>Retrieved from landlords.co.nz</w:t>
      </w:r>
      <w:r>
        <w:t>.</w:t>
      </w:r>
      <w:proofErr w:type="gramEnd"/>
    </w:p>
  </w:footnote>
  <w:footnote w:id="45">
    <w:p w:rsidR="000B6805" w:rsidRDefault="000B6805" w:rsidP="00F147D9">
      <w:pPr>
        <w:pStyle w:val="FootnoteText"/>
      </w:pPr>
      <w:r>
        <w:rPr>
          <w:rStyle w:val="FootnoteReference"/>
        </w:rPr>
        <w:footnoteRef/>
      </w:r>
      <w:r>
        <w:t xml:space="preserve"> </w:t>
      </w:r>
      <w:r w:rsidRPr="0010126F">
        <w:t xml:space="preserve">Data </w:t>
      </w:r>
      <w:r>
        <w:t>are</w:t>
      </w:r>
      <w:r w:rsidRPr="0010126F">
        <w:t xml:space="preserve"> transformed into a </w:t>
      </w:r>
      <w:proofErr w:type="gramStart"/>
      <w:r w:rsidRPr="0010126F">
        <w:t>three month</w:t>
      </w:r>
      <w:proofErr w:type="gramEnd"/>
      <w:r w:rsidRPr="0010126F">
        <w:t xml:space="preserve"> m</w:t>
      </w:r>
      <w:r>
        <w:t xml:space="preserve">oving average to smooth out </w:t>
      </w:r>
      <w:r w:rsidRPr="0010126F">
        <w:t xml:space="preserve">fluctuations within </w:t>
      </w:r>
      <w:r>
        <w:t>the data.</w:t>
      </w:r>
    </w:p>
  </w:footnote>
  <w:footnote w:id="46">
    <w:p w:rsidR="000B6805" w:rsidRDefault="000B6805" w:rsidP="003F5B57">
      <w:pPr>
        <w:pStyle w:val="FootnoteText"/>
      </w:pPr>
      <w:r>
        <w:rPr>
          <w:rStyle w:val="FootnoteReference"/>
        </w:rPr>
        <w:footnoteRef/>
      </w:r>
      <w:r>
        <w:t xml:space="preserve"> Median rent values are not available.</w:t>
      </w:r>
    </w:p>
  </w:footnote>
  <w:footnote w:id="47">
    <w:p w:rsidR="000B6805" w:rsidRDefault="000B6805" w:rsidP="003F5B57">
      <w:pPr>
        <w:pStyle w:val="FootnoteText"/>
      </w:pPr>
      <w:r>
        <w:rPr>
          <w:rStyle w:val="FootnoteReference"/>
        </w:rPr>
        <w:footnoteRef/>
      </w:r>
      <w:r>
        <w:t xml:space="preserve"> This </w:t>
      </w:r>
      <w:proofErr w:type="gramStart"/>
      <w:r>
        <w:t>is the annual growth rate that,</w:t>
      </w:r>
      <w:proofErr w:type="gramEnd"/>
      <w:r>
        <w:t xml:space="preserve"> if it applied in every year, would result in the same total increase over that period.</w:t>
      </w:r>
    </w:p>
  </w:footnote>
  <w:footnote w:id="48">
    <w:p w:rsidR="000B6805" w:rsidRDefault="000B6805">
      <w:pPr>
        <w:pStyle w:val="FootnoteText"/>
      </w:pPr>
      <w:r>
        <w:rPr>
          <w:rStyle w:val="FootnoteReference"/>
        </w:rPr>
        <w:footnoteRef/>
      </w:r>
      <w:r>
        <w:t xml:space="preserve"> </w:t>
      </w:r>
      <w:r w:rsidRPr="001E5045">
        <w:t xml:space="preserve">This report only </w:t>
      </w:r>
      <w:r>
        <w:t xml:space="preserve">briefly discusses </w:t>
      </w:r>
      <w:r w:rsidRPr="001E5045">
        <w:t>the techniques for estimating demand and supply. These will be the subject of guidance on the housing and business assessments that the NPS-UDC requires councils to prepare.</w:t>
      </w:r>
    </w:p>
  </w:footnote>
  <w:footnote w:id="49">
    <w:p w:rsidR="000B6805" w:rsidRDefault="000B6805">
      <w:pPr>
        <w:pStyle w:val="FootnoteText"/>
      </w:pPr>
      <w:r>
        <w:rPr>
          <w:rStyle w:val="FootnoteReference"/>
        </w:rPr>
        <w:footnoteRef/>
      </w:r>
      <w:r>
        <w:t xml:space="preserve"> See discussion of methodologies in </w:t>
      </w:r>
      <w:r w:rsidRPr="009C3600">
        <w:t xml:space="preserve">Ministry for the Environment (2016) How Councils Estimate Demand and Supply of Development Capacity for Housing and Business. </w:t>
      </w:r>
      <w:proofErr w:type="gramStart"/>
      <w:r w:rsidRPr="009C3600">
        <w:t>Ministry for the Environment: Wellington.</w:t>
      </w:r>
      <w:proofErr w:type="gramEnd"/>
    </w:p>
  </w:footnote>
  <w:footnote w:id="50">
    <w:p w:rsidR="000B6805" w:rsidRDefault="000B6805" w:rsidP="009C3600">
      <w:pPr>
        <w:pStyle w:val="FootnoteText"/>
      </w:pPr>
      <w:r>
        <w:rPr>
          <w:rStyle w:val="FootnoteReference"/>
        </w:rPr>
        <w:footnoteRef/>
      </w:r>
      <w:r>
        <w:t xml:space="preserve"> There are three different household types: one-person households, family households (including couples without children, two-parent families and one-parent families) and other multi-person households.</w:t>
      </w:r>
    </w:p>
  </w:footnote>
  <w:footnote w:id="51">
    <w:p w:rsidR="000B6805" w:rsidRPr="009C3600" w:rsidRDefault="000B6805">
      <w:pPr>
        <w:pStyle w:val="FootnoteText"/>
      </w:pPr>
      <w:r>
        <w:rPr>
          <w:rStyle w:val="FootnoteReference"/>
        </w:rPr>
        <w:footnoteRef/>
      </w:r>
      <w:r>
        <w:t xml:space="preserve"> Ministry for the Environment (</w:t>
      </w:r>
      <w:r>
        <w:rPr>
          <w:i/>
        </w:rPr>
        <w:t xml:space="preserve">op </w:t>
      </w:r>
      <w:proofErr w:type="spellStart"/>
      <w:r>
        <w:rPr>
          <w:i/>
        </w:rPr>
        <w:t>cit</w:t>
      </w:r>
      <w:proofErr w:type="spellEnd"/>
      <w:r>
        <w:t>)</w:t>
      </w:r>
    </w:p>
  </w:footnote>
  <w:footnote w:id="52">
    <w:p w:rsidR="000B6805" w:rsidRDefault="000B6805" w:rsidP="00E31755">
      <w:pPr>
        <w:pStyle w:val="FootnoteText"/>
      </w:pPr>
      <w:r>
        <w:rPr>
          <w:rStyle w:val="FootnoteReference"/>
        </w:rPr>
        <w:footnoteRef/>
      </w:r>
      <w:r>
        <w:t xml:space="preserve"> Hedonic methods decompose</w:t>
      </w:r>
      <w:r w:rsidRPr="00EF0C2B">
        <w:t xml:space="preserve"> the </w:t>
      </w:r>
      <w:r>
        <w:t xml:space="preserve">contribution of </w:t>
      </w:r>
      <w:r w:rsidRPr="00EF0C2B">
        <w:t>constituent characteristics</w:t>
      </w:r>
      <w:r>
        <w:t xml:space="preserve"> to the overall value of a good, eg by using regression analysis to analyse price differences between properties with different identifiable characteristics (size, age, proximity to the centre and so on).</w:t>
      </w:r>
    </w:p>
  </w:footnote>
  <w:footnote w:id="53">
    <w:p w:rsidR="000B6805" w:rsidRPr="00200C43" w:rsidRDefault="000B6805" w:rsidP="00E31755">
      <w:pPr>
        <w:pStyle w:val="FootnoteText"/>
        <w:rPr>
          <w:lang w:val="en-US"/>
        </w:rPr>
      </w:pPr>
      <w:r>
        <w:rPr>
          <w:rStyle w:val="FootnoteReference"/>
        </w:rPr>
        <w:footnoteRef/>
      </w:r>
      <w:r>
        <w:t xml:space="preserve"> </w:t>
      </w:r>
      <w:proofErr w:type="spellStart"/>
      <w:r w:rsidRPr="00AB7EC0">
        <w:t>Nunns</w:t>
      </w:r>
      <w:proofErr w:type="spellEnd"/>
      <w:r w:rsidRPr="00AB7EC0">
        <w:t xml:space="preserve"> P, </w:t>
      </w:r>
      <w:proofErr w:type="spellStart"/>
      <w:r w:rsidRPr="00AB7EC0">
        <w:t>Hitchins</w:t>
      </w:r>
      <w:proofErr w:type="spellEnd"/>
      <w:r w:rsidRPr="00AB7EC0">
        <w:t xml:space="preserve"> H and </w:t>
      </w:r>
      <w:proofErr w:type="spellStart"/>
      <w:r w:rsidRPr="00AB7EC0">
        <w:t>Balderston</w:t>
      </w:r>
      <w:proofErr w:type="spellEnd"/>
      <w:r w:rsidRPr="00AB7EC0">
        <w:t xml:space="preserve"> K (2015) </w:t>
      </w:r>
      <w:proofErr w:type="gramStart"/>
      <w:r w:rsidRPr="00AB7EC0">
        <w:t>The</w:t>
      </w:r>
      <w:proofErr w:type="gramEnd"/>
      <w:r w:rsidRPr="00AB7EC0">
        <w:t xml:space="preserve"> value of land, floorspace, and amenities: A hedonic price analysis of property sales in Auckland 2011-2014. Auckland Council Technical report 2015/012</w:t>
      </w:r>
    </w:p>
  </w:footnote>
  <w:footnote w:id="54">
    <w:p w:rsidR="000B6805" w:rsidRDefault="000B6805" w:rsidP="00E31755">
      <w:pPr>
        <w:pStyle w:val="FootnoteText"/>
      </w:pPr>
      <w:r>
        <w:rPr>
          <w:rStyle w:val="FootnoteReference"/>
        </w:rPr>
        <w:footnoteRef/>
      </w:r>
      <w:r>
        <w:t xml:space="preserve"> </w:t>
      </w:r>
      <w:proofErr w:type="spellStart"/>
      <w:r w:rsidRPr="00A77A71">
        <w:t>Palmquist</w:t>
      </w:r>
      <w:proofErr w:type="spellEnd"/>
      <w:r w:rsidRPr="00A77A71">
        <w:t xml:space="preserve"> RB (2005) Property value models. Chapter 16 in: </w:t>
      </w:r>
      <w:proofErr w:type="spellStart"/>
      <w:r w:rsidRPr="00A77A71">
        <w:t>Mäler</w:t>
      </w:r>
      <w:proofErr w:type="spellEnd"/>
      <w:r w:rsidRPr="00A77A71">
        <w:t xml:space="preserve"> K-G and Vincent JR (</w:t>
      </w:r>
      <w:proofErr w:type="spellStart"/>
      <w:proofErr w:type="gramStart"/>
      <w:r w:rsidRPr="00A77A71">
        <w:t>eds</w:t>
      </w:r>
      <w:proofErr w:type="spellEnd"/>
      <w:proofErr w:type="gramEnd"/>
      <w:r w:rsidRPr="00A77A71">
        <w:t xml:space="preserve">) Handbook of Environmental Economics, Vol 2. </w:t>
      </w:r>
      <w:proofErr w:type="gramStart"/>
      <w:r w:rsidRPr="00A77A71">
        <w:t>Elsevier North Holland</w:t>
      </w:r>
      <w:r>
        <w:t xml:space="preserve">, </w:t>
      </w:r>
      <w:r w:rsidRPr="00A77A71">
        <w:t>pp763-820.</w:t>
      </w:r>
      <w:proofErr w:type="gramEnd"/>
    </w:p>
  </w:footnote>
  <w:footnote w:id="55">
    <w:p w:rsidR="000B6805" w:rsidRPr="00200C43" w:rsidRDefault="000B6805" w:rsidP="00E31755">
      <w:pPr>
        <w:pStyle w:val="FootnoteText"/>
        <w:rPr>
          <w:lang w:val="en-US"/>
        </w:rPr>
      </w:pPr>
      <w:r>
        <w:rPr>
          <w:rStyle w:val="FootnoteReference"/>
        </w:rPr>
        <w:footnoteRef/>
      </w:r>
      <w:r>
        <w:t xml:space="preserve"> </w:t>
      </w:r>
      <w:r>
        <w:rPr>
          <w:lang w:val="en-US"/>
        </w:rPr>
        <w:t xml:space="preserve">Cheshire P and Sheppard S (2002) The Welfare Economics of Land Use Planning. </w:t>
      </w:r>
      <w:proofErr w:type="gramStart"/>
      <w:r>
        <w:rPr>
          <w:lang w:val="en-US"/>
        </w:rPr>
        <w:t>Journal of Urban Economics, Vol 52.</w:t>
      </w:r>
      <w:proofErr w:type="gramEnd"/>
    </w:p>
  </w:footnote>
  <w:footnote w:id="56">
    <w:p w:rsidR="000B6805" w:rsidRDefault="000B6805">
      <w:pPr>
        <w:pStyle w:val="FootnoteText"/>
      </w:pPr>
      <w:r>
        <w:rPr>
          <w:rStyle w:val="FootnoteReference"/>
        </w:rPr>
        <w:footnoteRef/>
      </w:r>
      <w:r>
        <w:t xml:space="preserve"> </w:t>
      </w:r>
      <w:r w:rsidRPr="005A3084">
        <w:t xml:space="preserve">Ministry for the Environment (op </w:t>
      </w:r>
      <w:proofErr w:type="spellStart"/>
      <w:r w:rsidRPr="005A3084">
        <w:t>cit</w:t>
      </w:r>
      <w:proofErr w:type="spellEnd"/>
      <w:r w:rsidRPr="005A3084">
        <w:t>)</w:t>
      </w:r>
    </w:p>
  </w:footnote>
  <w:footnote w:id="57">
    <w:p w:rsidR="000B6805" w:rsidRDefault="000B6805">
      <w:pPr>
        <w:pStyle w:val="FootnoteText"/>
      </w:pPr>
      <w:r>
        <w:rPr>
          <w:rStyle w:val="FootnoteReference"/>
        </w:rPr>
        <w:footnoteRef/>
      </w:r>
      <w:r>
        <w:t xml:space="preserve"> Data are not available on those consented </w:t>
      </w:r>
      <w:proofErr w:type="gramStart"/>
      <w:r>
        <w:t>buildings which</w:t>
      </w:r>
      <w:proofErr w:type="gramEnd"/>
      <w:r>
        <w:t xml:space="preserve"> were subsequently built.</w:t>
      </w:r>
    </w:p>
  </w:footnote>
  <w:footnote w:id="58">
    <w:p w:rsidR="000B6805" w:rsidRDefault="000B6805" w:rsidP="00CC316E">
      <w:pPr>
        <w:pStyle w:val="FootnoteText"/>
      </w:pPr>
      <w:r>
        <w:rPr>
          <w:rStyle w:val="FootnoteReference"/>
        </w:rPr>
        <w:footnoteRef/>
      </w:r>
      <w:r>
        <w:t xml:space="preserve"> </w:t>
      </w:r>
      <w:proofErr w:type="gramStart"/>
      <w:r>
        <w:t xml:space="preserve">Statistics NZ (2014) </w:t>
      </w:r>
      <w:r w:rsidRPr="005D12EE">
        <w:t xml:space="preserve">2013 Census </w:t>
      </w:r>
      <w:proofErr w:type="spellStart"/>
      <w:r w:rsidRPr="005D12EE">
        <w:t>QuickStats</w:t>
      </w:r>
      <w:proofErr w:type="spellEnd"/>
      <w:r w:rsidRPr="005D12EE">
        <w:t xml:space="preserve"> about families and households</w:t>
      </w:r>
      <w:r>
        <w:t>.</w:t>
      </w:r>
      <w:proofErr w:type="gramEnd"/>
      <w:r>
        <w:t xml:space="preserve"> Retrieved from </w:t>
      </w:r>
      <w:r w:rsidRPr="005D12EE">
        <w:t>http://www.stats.govt.nz/Census/2013-census/profile-and-summary-reports/qstats-families-households/households.aspx</w:t>
      </w:r>
    </w:p>
  </w:footnote>
  <w:footnote w:id="59">
    <w:p w:rsidR="000B6805" w:rsidRDefault="000B6805" w:rsidP="00F147D9">
      <w:pPr>
        <w:pStyle w:val="FootnoteText"/>
      </w:pPr>
      <w:r>
        <w:rPr>
          <w:rStyle w:val="FootnoteReference"/>
        </w:rPr>
        <w:footnoteRef/>
      </w:r>
      <w:r>
        <w:t xml:space="preserve"> Bostic RW, </w:t>
      </w:r>
      <w:proofErr w:type="spellStart"/>
      <w:r>
        <w:t>Longhofer</w:t>
      </w:r>
      <w:proofErr w:type="spellEnd"/>
      <w:r>
        <w:t xml:space="preserve"> SD and </w:t>
      </w:r>
      <w:proofErr w:type="spellStart"/>
      <w:r>
        <w:t>Redferan</w:t>
      </w:r>
      <w:proofErr w:type="spellEnd"/>
      <w:r>
        <w:t xml:space="preserve"> C (2006) Land Leverage: Decomposing Home Price Dynamics. </w:t>
      </w:r>
      <w:proofErr w:type="gramStart"/>
      <w:r>
        <w:t xml:space="preserve">University of Southern California, Lusk </w:t>
      </w:r>
      <w:proofErr w:type="spellStart"/>
      <w:r>
        <w:t>Center</w:t>
      </w:r>
      <w:proofErr w:type="spellEnd"/>
      <w:r>
        <w:t xml:space="preserve"> for Real Estate Working Paper 2006-1013.</w:t>
      </w:r>
      <w:proofErr w:type="gramEnd"/>
    </w:p>
  </w:footnote>
  <w:footnote w:id="60">
    <w:p w:rsidR="000B6805" w:rsidRDefault="000B6805" w:rsidP="008765EA">
      <w:pPr>
        <w:pStyle w:val="FootnoteText"/>
      </w:pPr>
      <w:r>
        <w:rPr>
          <w:rStyle w:val="FootnoteReference"/>
        </w:rPr>
        <w:footnoteRef/>
      </w:r>
      <w:r>
        <w:t xml:space="preserve"> See for example: </w:t>
      </w:r>
      <w:hyperlink r:id="rId3" w:history="1">
        <w:r w:rsidRPr="00C206F5">
          <w:rPr>
            <w:rStyle w:val="Hyperlink"/>
            <w:rFonts w:ascii="Palatino Linotype" w:hAnsi="Palatino Linotype"/>
          </w:rPr>
          <w:t>http://www.interest.co.nz/property/rent-ratio</w:t>
        </w:r>
      </w:hyperlink>
      <w:r>
        <w:t xml:space="preserve"> </w:t>
      </w:r>
    </w:p>
  </w:footnote>
  <w:footnote w:id="61">
    <w:p w:rsidR="000B6805" w:rsidRDefault="000B6805" w:rsidP="008765EA">
      <w:pPr>
        <w:pStyle w:val="FootnoteText"/>
      </w:pPr>
      <w:r>
        <w:rPr>
          <w:rStyle w:val="FootnoteReference"/>
        </w:rPr>
        <w:footnoteRef/>
      </w:r>
      <w:r>
        <w:t xml:space="preserve"> Assuming that mortgage interest rates will move broadly with expected returns in equity markets.</w:t>
      </w:r>
    </w:p>
  </w:footnote>
  <w:footnote w:id="62">
    <w:p w:rsidR="000B6805" w:rsidRDefault="000B6805" w:rsidP="003242EE">
      <w:pPr>
        <w:pStyle w:val="FootnoteText"/>
      </w:pPr>
      <w:r>
        <w:rPr>
          <w:rStyle w:val="FootnoteReference"/>
        </w:rPr>
        <w:footnoteRef/>
      </w:r>
      <w:r>
        <w:t xml:space="preserve"> </w:t>
      </w:r>
      <w:r w:rsidRPr="00DB24A7">
        <w:t>Colliers International (2015) NZ CBD Office Report 2015</w:t>
      </w:r>
    </w:p>
  </w:footnote>
  <w:footnote w:id="63">
    <w:p w:rsidR="000B6805" w:rsidRDefault="000B6805" w:rsidP="007C0CDE">
      <w:pPr>
        <w:pStyle w:val="FootnoteText"/>
      </w:pPr>
      <w:r>
        <w:rPr>
          <w:rStyle w:val="FootnoteReference"/>
        </w:rPr>
        <w:footnoteRef/>
      </w:r>
      <w:r>
        <w:t xml:space="preserve"> See Minister of State Services (2011) Property Management Guidelines For Office Space</w:t>
      </w:r>
    </w:p>
  </w:footnote>
  <w:footnote w:id="64">
    <w:p w:rsidR="000B6805" w:rsidRDefault="000B6805" w:rsidP="007C0CDE">
      <w:pPr>
        <w:pStyle w:val="FootnoteText"/>
      </w:pPr>
      <w:r>
        <w:rPr>
          <w:rStyle w:val="FootnoteReference"/>
        </w:rPr>
        <w:footnoteRef/>
      </w:r>
      <w:r>
        <w:t xml:space="preserve"> Westpac (2016) Industry Insights: </w:t>
      </w:r>
      <w:r w:rsidRPr="001A4B6C">
        <w:t>Commercial Property</w:t>
      </w:r>
      <w:r>
        <w:t xml:space="preserve"> June 2016</w:t>
      </w:r>
    </w:p>
  </w:footnote>
  <w:footnote w:id="65">
    <w:p w:rsidR="000B6805" w:rsidRDefault="000B6805" w:rsidP="00083D11">
      <w:pPr>
        <w:pStyle w:val="FootnoteText"/>
      </w:pPr>
      <w:r>
        <w:rPr>
          <w:rStyle w:val="FootnoteReference"/>
        </w:rPr>
        <w:footnoteRef/>
      </w:r>
      <w:r>
        <w:t xml:space="preserve"> </w:t>
      </w:r>
      <w:proofErr w:type="gramStart"/>
      <w:r>
        <w:t>Ministry for the Environment, 2016.</w:t>
      </w:r>
      <w:proofErr w:type="gramEnd"/>
      <w:r>
        <w:t xml:space="preserve"> </w:t>
      </w:r>
      <w:proofErr w:type="gramStart"/>
      <w:r>
        <w:t>How Councils Estimate Demand and Supply of Development Capacity for Housing and Business.</w:t>
      </w:r>
      <w:proofErr w:type="gramEnd"/>
      <w:r>
        <w:t xml:space="preserve"> Ministry for the Environment: Wellington</w:t>
      </w:r>
    </w:p>
  </w:footnote>
  <w:footnote w:id="66">
    <w:p w:rsidR="000B6805" w:rsidRDefault="000B6805" w:rsidP="00083D11">
      <w:pPr>
        <w:pStyle w:val="FootnoteText"/>
      </w:pPr>
      <w:r>
        <w:rPr>
          <w:rStyle w:val="FootnoteReference"/>
        </w:rPr>
        <w:footnoteRef/>
      </w:r>
      <w:r>
        <w:t xml:space="preserve"> ibid</w:t>
      </w:r>
    </w:p>
  </w:footnote>
  <w:footnote w:id="67">
    <w:p w:rsidR="000B6805" w:rsidRDefault="000B6805" w:rsidP="00083D11">
      <w:pPr>
        <w:pStyle w:val="FootnoteText"/>
      </w:pPr>
      <w:r>
        <w:rPr>
          <w:rStyle w:val="FootnoteReference"/>
        </w:rPr>
        <w:footnoteRef/>
      </w:r>
      <w:r>
        <w:t xml:space="preserve"> </w:t>
      </w:r>
      <w:proofErr w:type="gramStart"/>
      <w:r w:rsidRPr="00683E80">
        <w:t>Wellington area is represented by the territorial authorities of Porirua City, Upper Hutt City, Lower Hutt City and Wellington City</w:t>
      </w:r>
      <w:proofErr w:type="gramEnd"/>
      <w:r w:rsidRPr="00683E80">
        <w:t>.</w:t>
      </w:r>
    </w:p>
  </w:footnote>
  <w:footnote w:id="68">
    <w:p w:rsidR="000B6805" w:rsidRDefault="000B6805" w:rsidP="00083D11">
      <w:pPr>
        <w:pStyle w:val="FootnoteText"/>
      </w:pPr>
      <w:r>
        <w:rPr>
          <w:rStyle w:val="FootnoteReference"/>
        </w:rPr>
        <w:footnoteRef/>
      </w:r>
      <w:r>
        <w:t xml:space="preserve"> </w:t>
      </w:r>
      <w:r w:rsidRPr="004B7B07">
        <w:t>http://nzdotstat.stats.govt.nz/wbos/Index.asp</w:t>
      </w:r>
    </w:p>
  </w:footnote>
  <w:footnote w:id="69">
    <w:p w:rsidR="000B6805" w:rsidRDefault="000B6805" w:rsidP="00083D11">
      <w:pPr>
        <w:pStyle w:val="FootnoteText"/>
      </w:pPr>
      <w:r>
        <w:rPr>
          <w:rStyle w:val="FootnoteReference"/>
        </w:rPr>
        <w:footnoteRef/>
      </w:r>
      <w:r>
        <w:t xml:space="preserve"> </w:t>
      </w:r>
      <w:proofErr w:type="gramStart"/>
      <w:r w:rsidRPr="004B7B07">
        <w:t>Ministry for the Environment, 2016.</w:t>
      </w:r>
      <w:proofErr w:type="gramEnd"/>
      <w:r w:rsidRPr="004B7B07">
        <w:t xml:space="preserve"> </w:t>
      </w:r>
      <w:proofErr w:type="gramStart"/>
      <w:r w:rsidRPr="004B7B07">
        <w:t>How Councils Estimate Demand and Supply of Development Capacity for Housing and Business.</w:t>
      </w:r>
      <w:proofErr w:type="gramEnd"/>
      <w:r w:rsidRPr="004B7B07">
        <w:t xml:space="preserve"> Ministry for the Environment: Wellington</w:t>
      </w:r>
    </w:p>
  </w:footnote>
  <w:footnote w:id="70">
    <w:p w:rsidR="000B6805" w:rsidRPr="00716F60" w:rsidRDefault="000B6805" w:rsidP="00821949">
      <w:pPr>
        <w:pStyle w:val="FootnoteText"/>
      </w:pPr>
      <w:r>
        <w:rPr>
          <w:rStyle w:val="FootnoteReference"/>
        </w:rPr>
        <w:footnoteRef/>
      </w:r>
      <w:r>
        <w:t xml:space="preserve"> </w:t>
      </w:r>
      <w:r>
        <w:rPr>
          <w:lang w:val="en-US"/>
        </w:rPr>
        <w:t xml:space="preserve">Section 32 of the RMA requires local governments to publish evaluation reports assessing the costs and benefits of proposed planning regulations. These evaluation reports are an appropriate point to undertake an analysis of the efficiency of rules. The cost benefit analysis of the proposed NPS-UDC compiled some recent research </w:t>
      </w:r>
      <w:proofErr w:type="gramStart"/>
      <w:r>
        <w:rPr>
          <w:lang w:val="en-US"/>
        </w:rPr>
        <w:t>and also</w:t>
      </w:r>
      <w:proofErr w:type="gramEnd"/>
      <w:r>
        <w:rPr>
          <w:lang w:val="en-US"/>
        </w:rPr>
        <w:t xml:space="preserve"> undertook a high-level assessment of two specific planning regulations in the Auckland context (MRCagney </w:t>
      </w:r>
      <w:r w:rsidRPr="009F5963">
        <w:rPr>
          <w:i/>
          <w:lang w:val="en-US"/>
        </w:rPr>
        <w:t>et al</w:t>
      </w:r>
      <w:r>
        <w:rPr>
          <w:lang w:val="en-US"/>
        </w:rPr>
        <w:t>, 2016).</w:t>
      </w:r>
    </w:p>
  </w:footnote>
  <w:footnote w:id="71">
    <w:p w:rsidR="000B6805" w:rsidRDefault="000B6805">
      <w:pPr>
        <w:pStyle w:val="FootnoteText"/>
      </w:pPr>
      <w:r>
        <w:rPr>
          <w:rStyle w:val="FootnoteReference"/>
        </w:rPr>
        <w:footnoteRef/>
      </w:r>
      <w:r>
        <w:t xml:space="preserve"> </w:t>
      </w:r>
      <w:r w:rsidRPr="00821949">
        <w:t xml:space="preserve">See Stevens P (2011) Competition in New Zealand: An analysis using micro data. </w:t>
      </w:r>
      <w:proofErr w:type="gramStart"/>
      <w:r w:rsidRPr="00821949">
        <w:t>New Zealand Association of Economists Annual Conference 2011 for a discussion of alternative measures of competition.</w:t>
      </w:r>
      <w:proofErr w:type="gramEnd"/>
      <w:r w:rsidRPr="00821949">
        <w:t xml:space="preserve"> </w:t>
      </w:r>
    </w:p>
  </w:footnote>
  <w:footnote w:id="72">
    <w:p w:rsidR="000B6805" w:rsidRDefault="000B6805">
      <w:pPr>
        <w:pStyle w:val="FootnoteText"/>
      </w:pPr>
      <w:r>
        <w:rPr>
          <w:rStyle w:val="FootnoteReference"/>
        </w:rPr>
        <w:footnoteRef/>
      </w:r>
      <w:r>
        <w:t xml:space="preserve"> </w:t>
      </w:r>
      <w:r w:rsidRPr="00261344">
        <w:t>https://www.justice.gov/atr/herfindahl-hirschman-index</w:t>
      </w:r>
    </w:p>
  </w:footnote>
  <w:footnote w:id="73">
    <w:p w:rsidR="000B6805" w:rsidRDefault="000B6805" w:rsidP="002F5124">
      <w:pPr>
        <w:pStyle w:val="FootnoteText"/>
      </w:pPr>
      <w:r>
        <w:rPr>
          <w:rStyle w:val="FootnoteReference"/>
        </w:rPr>
        <w:footnoteRef/>
      </w:r>
      <w:r>
        <w:t xml:space="preserve"> Grimes A and Mitchell I (2015) Impacts of Planning Rules, Regulations, Uncertainty and Delay on Residential Property Development. Motu Working Paper 15-02</w:t>
      </w:r>
    </w:p>
  </w:footnote>
  <w:footnote w:id="74">
    <w:p w:rsidR="000B6805" w:rsidRDefault="000B6805" w:rsidP="001B70C1">
      <w:pPr>
        <w:pStyle w:val="FootnoteText"/>
      </w:pPr>
      <w:r>
        <w:rPr>
          <w:rStyle w:val="FootnoteReference"/>
        </w:rPr>
        <w:footnoteRef/>
      </w:r>
      <w:r>
        <w:t xml:space="preserve"> </w:t>
      </w:r>
      <w:r w:rsidRPr="00E34EC4">
        <w:t>http://www.hometopia.co.nz/help-me-sell/agency-fees-at-a-glance</w:t>
      </w:r>
    </w:p>
  </w:footnote>
  <w:footnote w:id="75">
    <w:p w:rsidR="000B6805" w:rsidRPr="009F5963" w:rsidRDefault="000B6805" w:rsidP="001B70C1">
      <w:pPr>
        <w:pStyle w:val="FootnoteText"/>
        <w:rPr>
          <w:lang w:val="en-US"/>
        </w:rPr>
      </w:pPr>
      <w:r>
        <w:rPr>
          <w:rStyle w:val="FootnoteReference"/>
        </w:rPr>
        <w:footnoteRef/>
      </w:r>
      <w:r>
        <w:t xml:space="preserve"> </w:t>
      </w:r>
      <w:r>
        <w:rPr>
          <w:lang w:val="en-US"/>
        </w:rPr>
        <w:t xml:space="preserve">Grimes A and Mitchell I (2015) Impacts of Planning Rules, Regulations, Uncertainty and Delay on Residential Property Development. </w:t>
      </w:r>
      <w:proofErr w:type="gramStart"/>
      <w:r>
        <w:rPr>
          <w:lang w:val="en-US"/>
        </w:rPr>
        <w:t>Motu Working Paper 15-02.</w:t>
      </w:r>
      <w:proofErr w:type="gramEnd"/>
    </w:p>
  </w:footnote>
  <w:footnote w:id="76">
    <w:p w:rsidR="000B6805" w:rsidRPr="009F5963" w:rsidRDefault="000B6805" w:rsidP="001B70C1">
      <w:pPr>
        <w:pStyle w:val="FootnoteText"/>
        <w:rPr>
          <w:lang w:val="en-US"/>
        </w:rPr>
      </w:pPr>
      <w:r>
        <w:rPr>
          <w:rStyle w:val="FootnoteReference"/>
        </w:rPr>
        <w:footnoteRef/>
      </w:r>
      <w:r>
        <w:t xml:space="preserve"> </w:t>
      </w:r>
      <w:r>
        <w:rPr>
          <w:lang w:val="en-US"/>
        </w:rPr>
        <w:t xml:space="preserve">Ministry for the Environment (2014) Resource Management Act: Two-yearly Survey of Local Authorities 2012/13. </w:t>
      </w:r>
      <w:proofErr w:type="gramStart"/>
      <w:r>
        <w:rPr>
          <w:lang w:val="en-US"/>
        </w:rPr>
        <w:t>Wellington: Ministry for the Environment.</w:t>
      </w:r>
      <w:proofErr w:type="gramEnd"/>
      <w:r>
        <w:rPr>
          <w:lang w:val="en-US"/>
        </w:rPr>
        <w:t xml:space="preserve"> Available online at </w:t>
      </w:r>
      <w:hyperlink r:id="rId4" w:history="1">
        <w:r w:rsidRPr="00A20CCF">
          <w:rPr>
            <w:rStyle w:val="Hyperlink"/>
            <w:rFonts w:ascii="Palatino Linotype" w:hAnsi="Palatino Linotype"/>
            <w:lang w:val="en-US"/>
          </w:rPr>
          <w:t>http://www.mfe.govt.nz/publications/rma/resource-management-act-two-yearly-survey-local-authorities-20122013</w:t>
        </w:r>
      </w:hyperlink>
    </w:p>
  </w:footnote>
  <w:footnote w:id="77">
    <w:p w:rsidR="000B6805" w:rsidRDefault="000B6805">
      <w:pPr>
        <w:pStyle w:val="FootnoteText"/>
      </w:pPr>
      <w:r>
        <w:rPr>
          <w:rStyle w:val="FootnoteReference"/>
        </w:rPr>
        <w:footnoteRef/>
      </w:r>
      <w:r>
        <w:t xml:space="preserve"> </w:t>
      </w:r>
      <w:hyperlink r:id="rId5" w:history="1">
        <w:r w:rsidRPr="00C206F5">
          <w:rPr>
            <w:rStyle w:val="Hyperlink"/>
            <w:rFonts w:ascii="Palatino Linotype" w:hAnsi="Palatino Linotype"/>
          </w:rPr>
          <w:t>http://www.mfe.govt.nz/rma/rma-monitoring-and-reporting/information-requirements</w:t>
        </w:r>
      </w:hyperlink>
      <w:r>
        <w:t xml:space="preserve"> </w:t>
      </w:r>
    </w:p>
  </w:footnote>
  <w:footnote w:id="78">
    <w:p w:rsidR="000B6805" w:rsidRPr="009F5963" w:rsidRDefault="000B6805" w:rsidP="001B70C1">
      <w:pPr>
        <w:pStyle w:val="FootnoteText"/>
        <w:rPr>
          <w:lang w:val="en-US"/>
        </w:rPr>
      </w:pPr>
      <w:r>
        <w:rPr>
          <w:rStyle w:val="FootnoteReference"/>
        </w:rPr>
        <w:footnoteRef/>
      </w:r>
      <w:r>
        <w:t xml:space="preserve"> </w:t>
      </w:r>
      <w:proofErr w:type="gramStart"/>
      <w:r>
        <w:rPr>
          <w:lang w:val="en-US"/>
        </w:rPr>
        <w:t>McCann P (2001) Urban and Regional Economics.</w:t>
      </w:r>
      <w:proofErr w:type="gramEnd"/>
    </w:p>
  </w:footnote>
  <w:footnote w:id="79">
    <w:p w:rsidR="000B6805" w:rsidRPr="00E808A0" w:rsidRDefault="000B6805" w:rsidP="001B70C1">
      <w:pPr>
        <w:pStyle w:val="FootnoteText"/>
        <w:rPr>
          <w:lang w:val="en-US"/>
        </w:rPr>
      </w:pPr>
      <w:r>
        <w:rPr>
          <w:rStyle w:val="FootnoteReference"/>
        </w:rPr>
        <w:footnoteRef/>
      </w:r>
      <w:r>
        <w:t xml:space="preserve"> Angrist JD and </w:t>
      </w:r>
      <w:proofErr w:type="spellStart"/>
      <w:r>
        <w:t>Pischke</w:t>
      </w:r>
      <w:proofErr w:type="spellEnd"/>
      <w:r>
        <w:t xml:space="preserve"> J-S (2009) Mostly Harmless Econometrics: An Empiricist's Companion</w:t>
      </w:r>
    </w:p>
  </w:footnote>
  <w:footnote w:id="80">
    <w:p w:rsidR="000B6805" w:rsidRPr="00F00B8E" w:rsidRDefault="000B6805" w:rsidP="001B70C1">
      <w:pPr>
        <w:pStyle w:val="FootnoteText"/>
        <w:rPr>
          <w:lang w:val="en-US"/>
        </w:rPr>
      </w:pPr>
      <w:r>
        <w:rPr>
          <w:rStyle w:val="FootnoteReference"/>
        </w:rPr>
        <w:footnoteRef/>
      </w:r>
      <w:r>
        <w:t xml:space="preserve"> </w:t>
      </w:r>
      <w:proofErr w:type="gramStart"/>
      <w:r w:rsidRPr="00BF6211">
        <w:rPr>
          <w:lang w:val="en-US"/>
        </w:rPr>
        <w:t>Tobler W., (1970) "A computer movie simulating urban growth in the Detroit region".</w:t>
      </w:r>
      <w:proofErr w:type="gramEnd"/>
      <w:r w:rsidRPr="00BF6211">
        <w:rPr>
          <w:lang w:val="en-US"/>
        </w:rPr>
        <w:t xml:space="preserve"> </w:t>
      </w:r>
      <w:r w:rsidRPr="00BF6211">
        <w:rPr>
          <w:i/>
          <w:iCs/>
          <w:lang w:val="en-US"/>
        </w:rPr>
        <w:t>Economic Geography</w:t>
      </w:r>
      <w:r w:rsidRPr="00BF6211">
        <w:rPr>
          <w:lang w:val="en-US"/>
        </w:rPr>
        <w:t>, 46(2): 234-240.</w:t>
      </w:r>
    </w:p>
  </w:footnote>
  <w:footnote w:id="81">
    <w:p w:rsidR="000B6805" w:rsidRPr="000C7C79" w:rsidRDefault="000B6805" w:rsidP="001B70C1">
      <w:pPr>
        <w:pStyle w:val="FootnoteText"/>
        <w:rPr>
          <w:lang w:val="en-US"/>
        </w:rPr>
      </w:pPr>
      <w:r>
        <w:rPr>
          <w:rStyle w:val="FootnoteReference"/>
        </w:rPr>
        <w:footnoteRef/>
      </w:r>
      <w:r>
        <w:t xml:space="preserve"> As an example of this analysis, see </w:t>
      </w:r>
      <w:proofErr w:type="spellStart"/>
      <w:r>
        <w:t>Nunns</w:t>
      </w:r>
      <w:proofErr w:type="spellEnd"/>
      <w:r>
        <w:t xml:space="preserve"> P, </w:t>
      </w:r>
      <w:proofErr w:type="spellStart"/>
      <w:r>
        <w:t>Hitchins</w:t>
      </w:r>
      <w:proofErr w:type="spellEnd"/>
      <w:r>
        <w:t xml:space="preserve"> H and </w:t>
      </w:r>
      <w:proofErr w:type="spellStart"/>
      <w:r>
        <w:t>Balderston</w:t>
      </w:r>
      <w:proofErr w:type="spellEnd"/>
      <w:r>
        <w:t xml:space="preserve"> K (2015) </w:t>
      </w:r>
      <w:proofErr w:type="gramStart"/>
      <w:r>
        <w:t>The</w:t>
      </w:r>
      <w:proofErr w:type="gramEnd"/>
      <w:r>
        <w:t xml:space="preserve"> value of land, floorspace and amenities: a hedonic price analysis of property sales in Auckland 2011-2014. Auckland Council technical report, TR2015/012</w:t>
      </w:r>
    </w:p>
  </w:footnote>
  <w:footnote w:id="82">
    <w:p w:rsidR="000B6805" w:rsidRPr="003F01E7" w:rsidRDefault="000B6805" w:rsidP="001B70C1">
      <w:pPr>
        <w:pStyle w:val="FootnoteText"/>
      </w:pPr>
      <w:r>
        <w:rPr>
          <w:rStyle w:val="FootnoteReference"/>
        </w:rPr>
        <w:footnoteRef/>
      </w:r>
      <w:r>
        <w:t xml:space="preserve"> </w:t>
      </w:r>
      <w:r>
        <w:rPr>
          <w:lang w:val="en-US"/>
        </w:rPr>
        <w:t xml:space="preserve">Housing </w:t>
      </w:r>
      <w:proofErr w:type="gramStart"/>
      <w:r>
        <w:rPr>
          <w:lang w:val="en-US"/>
        </w:rPr>
        <w:t>can still be developed</w:t>
      </w:r>
      <w:proofErr w:type="gramEnd"/>
      <w:r>
        <w:rPr>
          <w:lang w:val="en-US"/>
        </w:rPr>
        <w:t xml:space="preserve"> in rural areas, albeit at a much lower density.</w:t>
      </w:r>
    </w:p>
  </w:footnote>
  <w:footnote w:id="83">
    <w:p w:rsidR="000B6805" w:rsidRPr="009F5963" w:rsidRDefault="000B6805" w:rsidP="001B70C1">
      <w:pPr>
        <w:pStyle w:val="FootnoteText"/>
        <w:rPr>
          <w:lang w:val="en-US"/>
        </w:rPr>
      </w:pPr>
      <w:r>
        <w:rPr>
          <w:rStyle w:val="FootnoteReference"/>
        </w:rPr>
        <w:footnoteRef/>
      </w:r>
      <w:r>
        <w:t xml:space="preserve"> </w:t>
      </w:r>
      <w:r>
        <w:rPr>
          <w:lang w:val="en-US"/>
        </w:rPr>
        <w:t xml:space="preserve">The Independent Hearings Panel’s report on the Auckland Unitary Plan, which </w:t>
      </w:r>
      <w:proofErr w:type="gramStart"/>
      <w:r>
        <w:rPr>
          <w:lang w:val="en-US"/>
        </w:rPr>
        <w:t>was publicly released</w:t>
      </w:r>
      <w:proofErr w:type="gramEnd"/>
      <w:r>
        <w:rPr>
          <w:lang w:val="en-US"/>
        </w:rPr>
        <w:t xml:space="preserve"> on 27 July 2016, recommended a flexible RUB that could be amended through both public and private plan changes.</w:t>
      </w:r>
    </w:p>
  </w:footnote>
  <w:footnote w:id="84">
    <w:p w:rsidR="000B6805" w:rsidRDefault="000B6805" w:rsidP="001B70C1">
      <w:pPr>
        <w:pStyle w:val="FootnoteText"/>
      </w:pPr>
      <w:r>
        <w:rPr>
          <w:rStyle w:val="FootnoteReference"/>
        </w:rPr>
        <w:footnoteRef/>
      </w:r>
      <w:r>
        <w:t xml:space="preserve"> </w:t>
      </w:r>
      <w:proofErr w:type="gramStart"/>
      <w:r w:rsidRPr="00C249FF">
        <w:t>Grimes, A. and Liang, Y. 2009.</w:t>
      </w:r>
      <w:proofErr w:type="gramEnd"/>
      <w:r w:rsidRPr="00C249FF">
        <w:t xml:space="preserve"> </w:t>
      </w:r>
      <w:proofErr w:type="gramStart"/>
      <w:r w:rsidRPr="00C249FF">
        <w:t>Spatial Determinants of Land Prices: Does Auckland’s Metropolitan Urban Limit Have an Effect?</w:t>
      </w:r>
      <w:proofErr w:type="gramEnd"/>
      <w:r w:rsidRPr="00C249FF">
        <w:t xml:space="preserve"> </w:t>
      </w:r>
      <w:proofErr w:type="gramStart"/>
      <w:r w:rsidRPr="00C249FF">
        <w:t>Appl. Spatial Analysis (2009) 2:23–45.</w:t>
      </w:r>
      <w:proofErr w:type="gramEnd"/>
    </w:p>
  </w:footnote>
  <w:footnote w:id="85">
    <w:p w:rsidR="000B6805" w:rsidRDefault="000B6805" w:rsidP="001B70C1">
      <w:pPr>
        <w:pStyle w:val="FootnoteText"/>
      </w:pPr>
      <w:r>
        <w:rPr>
          <w:rStyle w:val="FootnoteReference"/>
        </w:rPr>
        <w:footnoteRef/>
      </w:r>
      <w:r>
        <w:t xml:space="preserve"> </w:t>
      </w:r>
      <w:proofErr w:type="gramStart"/>
      <w:r w:rsidRPr="00C249FF">
        <w:t>Productivity Commission.</w:t>
      </w:r>
      <w:proofErr w:type="gramEnd"/>
      <w:r w:rsidRPr="00C249FF">
        <w:t xml:space="preserve"> </w:t>
      </w:r>
      <w:proofErr w:type="gramStart"/>
      <w:r w:rsidRPr="00C249FF">
        <w:t>2012. Housing affordability inquiry: Final report.</w:t>
      </w:r>
      <w:proofErr w:type="gramEnd"/>
      <w:r w:rsidRPr="00C249FF">
        <w:t xml:space="preserve"> </w:t>
      </w:r>
      <w:proofErr w:type="gramStart"/>
      <w:r w:rsidRPr="00C249FF">
        <w:t>Wellington: Productivity Commission.</w:t>
      </w:r>
      <w:proofErr w:type="gramEnd"/>
    </w:p>
  </w:footnote>
  <w:footnote w:id="86">
    <w:p w:rsidR="000B6805" w:rsidRDefault="000B6805" w:rsidP="001B70C1">
      <w:pPr>
        <w:pStyle w:val="FootnoteText"/>
      </w:pPr>
      <w:r>
        <w:rPr>
          <w:rStyle w:val="FootnoteReference"/>
        </w:rPr>
        <w:footnoteRef/>
      </w:r>
      <w:r>
        <w:t xml:space="preserve"> </w:t>
      </w:r>
      <w:r w:rsidRPr="00C249FF">
        <w:t xml:space="preserve">Zheng G (2013) </w:t>
      </w:r>
      <w:proofErr w:type="gramStart"/>
      <w:r w:rsidRPr="00C249FF">
        <w:t>The</w:t>
      </w:r>
      <w:proofErr w:type="gramEnd"/>
      <w:r w:rsidRPr="00C249FF">
        <w:t xml:space="preserve"> effect of Auckland’s Metropolitan Urban Limit on land prices. </w:t>
      </w:r>
      <w:proofErr w:type="gramStart"/>
      <w:r w:rsidRPr="00C249FF">
        <w:t>New Zealand Productivity Commission.</w:t>
      </w:r>
      <w:proofErr w:type="gramEnd"/>
    </w:p>
  </w:footnote>
  <w:footnote w:id="87">
    <w:p w:rsidR="000B6805" w:rsidRPr="009D2B1A" w:rsidRDefault="000B6805" w:rsidP="006F545D">
      <w:pPr>
        <w:pStyle w:val="FootnoteText"/>
        <w:rPr>
          <w:lang w:val="en-US"/>
        </w:rPr>
      </w:pPr>
      <w:r>
        <w:rPr>
          <w:rStyle w:val="FootnoteReference"/>
        </w:rPr>
        <w:footnoteRef/>
      </w:r>
      <w:r>
        <w:t xml:space="preserve"> </w:t>
      </w:r>
      <w:r>
        <w:rPr>
          <w:lang w:val="en-US"/>
        </w:rPr>
        <w:t>Grimes A and Liang</w:t>
      </w:r>
      <w:r w:rsidRPr="009D2B1A">
        <w:rPr>
          <w:lang w:val="en-US"/>
        </w:rPr>
        <w:t xml:space="preserve"> Y</w:t>
      </w:r>
      <w:r>
        <w:rPr>
          <w:lang w:val="en-US"/>
        </w:rPr>
        <w:t xml:space="preserve"> (2009)</w:t>
      </w:r>
      <w:r w:rsidRPr="009D2B1A">
        <w:rPr>
          <w:lang w:val="en-US"/>
        </w:rPr>
        <w:t xml:space="preserve"> </w:t>
      </w:r>
      <w:proofErr w:type="gramStart"/>
      <w:r w:rsidRPr="009D2B1A">
        <w:rPr>
          <w:lang w:val="en-US"/>
        </w:rPr>
        <w:t>Spatial</w:t>
      </w:r>
      <w:proofErr w:type="gramEnd"/>
      <w:r w:rsidRPr="009D2B1A">
        <w:rPr>
          <w:lang w:val="en-US"/>
        </w:rPr>
        <w:t xml:space="preserve"> determinants of land prices: Does Auckland’s metropoli</w:t>
      </w:r>
      <w:r>
        <w:rPr>
          <w:lang w:val="en-US"/>
        </w:rPr>
        <w:t>tan urban limit have an effect?</w:t>
      </w:r>
      <w:r w:rsidRPr="009D2B1A">
        <w:rPr>
          <w:lang w:val="en-US"/>
        </w:rPr>
        <w:t xml:space="preserve"> </w:t>
      </w:r>
      <w:r w:rsidRPr="009D2B1A">
        <w:rPr>
          <w:i/>
          <w:iCs/>
          <w:lang w:val="en-US"/>
        </w:rPr>
        <w:t>Applied Spatial Analysis and Policy</w:t>
      </w:r>
      <w:r w:rsidRPr="009D2B1A">
        <w:rPr>
          <w:lang w:val="en-US"/>
        </w:rPr>
        <w:t xml:space="preserve">, </w:t>
      </w:r>
      <w:r w:rsidRPr="009D2B1A">
        <w:rPr>
          <w:i/>
          <w:iCs/>
          <w:lang w:val="en-US"/>
        </w:rPr>
        <w:t>2</w:t>
      </w:r>
      <w:r w:rsidRPr="009D2B1A">
        <w:rPr>
          <w:lang w:val="en-US"/>
        </w:rPr>
        <w:t>(1), 23-45.</w:t>
      </w:r>
    </w:p>
    <w:p w:rsidR="000B6805" w:rsidRPr="009D2B1A" w:rsidRDefault="000B6805" w:rsidP="006F545D">
      <w:pPr>
        <w:pStyle w:val="FootnoteText"/>
        <w:rPr>
          <w:lang w:val="en-US"/>
        </w:rPr>
      </w:pPr>
    </w:p>
  </w:footnote>
  <w:footnote w:id="88">
    <w:p w:rsidR="000B6805" w:rsidRPr="00AF00C8" w:rsidRDefault="000B6805" w:rsidP="00E34212">
      <w:pPr>
        <w:pStyle w:val="FootnoteText"/>
        <w:rPr>
          <w:lang w:val="en-US"/>
        </w:rPr>
      </w:pPr>
      <w:r>
        <w:rPr>
          <w:rStyle w:val="FootnoteReference"/>
        </w:rPr>
        <w:footnoteRef/>
      </w:r>
      <w:r>
        <w:t xml:space="preserve"> </w:t>
      </w:r>
      <w:r>
        <w:rPr>
          <w:lang w:val="en-US"/>
        </w:rPr>
        <w:t xml:space="preserve">MRCagney (2013) The Economic </w:t>
      </w:r>
      <w:proofErr w:type="gramStart"/>
      <w:r>
        <w:rPr>
          <w:lang w:val="en-US"/>
        </w:rPr>
        <w:t>Impact</w:t>
      </w:r>
      <w:proofErr w:type="gramEnd"/>
      <w:r>
        <w:rPr>
          <w:lang w:val="en-US"/>
        </w:rPr>
        <w:t xml:space="preserve"> of Minimum Parking Requirements in Auckland. </w:t>
      </w:r>
      <w:proofErr w:type="gramStart"/>
      <w:r>
        <w:rPr>
          <w:lang w:val="en-US"/>
        </w:rPr>
        <w:t>A report for Auckland Council.</w:t>
      </w:r>
      <w:proofErr w:type="gramEnd"/>
    </w:p>
  </w:footnote>
  <w:footnote w:id="89">
    <w:p w:rsidR="000B6805" w:rsidRPr="00E808A0" w:rsidRDefault="000B6805" w:rsidP="00E34212">
      <w:pPr>
        <w:pStyle w:val="FootnoteText"/>
        <w:rPr>
          <w:lang w:val="en-US"/>
        </w:rPr>
      </w:pPr>
      <w:r>
        <w:rPr>
          <w:rStyle w:val="FootnoteReference"/>
        </w:rPr>
        <w:footnoteRef/>
      </w:r>
      <w:r>
        <w:t xml:space="preserve"> Angrist JD and </w:t>
      </w:r>
      <w:proofErr w:type="spellStart"/>
      <w:r>
        <w:t>Pischke</w:t>
      </w:r>
      <w:proofErr w:type="spellEnd"/>
      <w:r>
        <w:t xml:space="preserve"> J-S (2009) Mostly Harmless Econometrics: An Empiricist's Companion</w:t>
      </w:r>
    </w:p>
  </w:footnote>
  <w:footnote w:id="90">
    <w:p w:rsidR="000B6805" w:rsidRPr="00563CB5" w:rsidRDefault="000B6805" w:rsidP="001B70C1">
      <w:pPr>
        <w:pStyle w:val="FootnoteText"/>
      </w:pPr>
      <w:r>
        <w:rPr>
          <w:rStyle w:val="FootnoteReference"/>
        </w:rPr>
        <w:footnoteRef/>
      </w:r>
      <w:r>
        <w:t xml:space="preserve"> </w:t>
      </w:r>
      <w:r>
        <w:rPr>
          <w:lang w:val="en-US"/>
        </w:rPr>
        <w:t>For some evidence on the impact of industrial zones on residential property values, see</w:t>
      </w:r>
      <w:r w:rsidRPr="003554DF">
        <w:rPr>
          <w:lang w:val="en-US"/>
        </w:rPr>
        <w:t xml:space="preserve"> Van </w:t>
      </w:r>
      <w:proofErr w:type="spellStart"/>
      <w:r w:rsidRPr="003554DF">
        <w:rPr>
          <w:lang w:val="en-US"/>
        </w:rPr>
        <w:t>Duijn</w:t>
      </w:r>
      <w:proofErr w:type="spellEnd"/>
      <w:r w:rsidRPr="003554DF">
        <w:rPr>
          <w:lang w:val="en-US"/>
        </w:rPr>
        <w:t xml:space="preserve">, M., </w:t>
      </w:r>
      <w:proofErr w:type="spellStart"/>
      <w:r w:rsidRPr="003554DF">
        <w:rPr>
          <w:lang w:val="en-US"/>
        </w:rPr>
        <w:t>Rouwendal</w:t>
      </w:r>
      <w:proofErr w:type="spellEnd"/>
      <w:r w:rsidRPr="003554DF">
        <w:rPr>
          <w:lang w:val="en-US"/>
        </w:rPr>
        <w:t xml:space="preserve"> J and </w:t>
      </w:r>
      <w:proofErr w:type="spellStart"/>
      <w:r w:rsidRPr="003554DF">
        <w:rPr>
          <w:lang w:val="en-US"/>
        </w:rPr>
        <w:t>Boersema</w:t>
      </w:r>
      <w:proofErr w:type="spellEnd"/>
      <w:r w:rsidRPr="003554DF">
        <w:rPr>
          <w:lang w:val="en-US"/>
        </w:rPr>
        <w:t xml:space="preserve"> R </w:t>
      </w:r>
      <w:r>
        <w:rPr>
          <w:lang w:val="en-US"/>
        </w:rPr>
        <w:t>(</w:t>
      </w:r>
      <w:r w:rsidRPr="003554DF">
        <w:rPr>
          <w:lang w:val="en-US"/>
        </w:rPr>
        <w:t>2014</w:t>
      </w:r>
      <w:r>
        <w:rPr>
          <w:lang w:val="en-US"/>
        </w:rPr>
        <w:t>)</w:t>
      </w:r>
      <w:r w:rsidRPr="003554DF">
        <w:rPr>
          <w:lang w:val="en-US"/>
        </w:rPr>
        <w:t xml:space="preserve"> Transformations of industrial heritage: insights into external effects on house prices. </w:t>
      </w:r>
      <w:proofErr w:type="spellStart"/>
      <w:proofErr w:type="gramStart"/>
      <w:r w:rsidRPr="003554DF">
        <w:rPr>
          <w:lang w:val="en-US"/>
        </w:rPr>
        <w:t>Tindbergen</w:t>
      </w:r>
      <w:proofErr w:type="spellEnd"/>
      <w:r w:rsidRPr="003554DF">
        <w:rPr>
          <w:lang w:val="en-US"/>
        </w:rPr>
        <w:t xml:space="preserve"> Institute Discussion Paper 2014-122; De </w:t>
      </w:r>
      <w:proofErr w:type="spellStart"/>
      <w:r w:rsidRPr="003554DF">
        <w:rPr>
          <w:lang w:val="en-US"/>
        </w:rPr>
        <w:t>Vor</w:t>
      </w:r>
      <w:proofErr w:type="spellEnd"/>
      <w:r w:rsidRPr="003554DF">
        <w:rPr>
          <w:lang w:val="en-US"/>
        </w:rPr>
        <w:t>, F. and de Groot, H. 2011.</w:t>
      </w:r>
      <w:proofErr w:type="gramEnd"/>
      <w:r w:rsidRPr="003554DF">
        <w:rPr>
          <w:lang w:val="en-US"/>
        </w:rPr>
        <w:t xml:space="preserve"> </w:t>
      </w:r>
      <w:proofErr w:type="gramStart"/>
      <w:r w:rsidRPr="003554DF">
        <w:rPr>
          <w:lang w:val="en-US"/>
        </w:rPr>
        <w:t>The impact of industrial sites on residential property values: a hedonic pricing exercise from the Netherlands.</w:t>
      </w:r>
      <w:proofErr w:type="gramEnd"/>
      <w:r w:rsidRPr="003554DF">
        <w:rPr>
          <w:lang w:val="en-US"/>
        </w:rPr>
        <w:t xml:space="preserve"> </w:t>
      </w:r>
      <w:proofErr w:type="gramStart"/>
      <w:r w:rsidRPr="003554DF">
        <w:rPr>
          <w:i/>
          <w:lang w:val="en-US"/>
        </w:rPr>
        <w:t>Regional Studies</w:t>
      </w:r>
      <w:r w:rsidRPr="003554DF">
        <w:rPr>
          <w:lang w:val="en-US"/>
        </w:rPr>
        <w:t>, 45(5).</w:t>
      </w:r>
      <w:proofErr w:type="gramEnd"/>
    </w:p>
  </w:footnote>
  <w:footnote w:id="91">
    <w:p w:rsidR="000B6805" w:rsidRPr="006C71A9" w:rsidRDefault="000B6805" w:rsidP="001B70C1">
      <w:pPr>
        <w:pStyle w:val="FootnoteText"/>
      </w:pPr>
      <w:r>
        <w:rPr>
          <w:rStyle w:val="FootnoteReference"/>
        </w:rPr>
        <w:footnoteRef/>
      </w:r>
      <w:r>
        <w:t xml:space="preserve"> </w:t>
      </w:r>
      <w:proofErr w:type="spellStart"/>
      <w:r w:rsidRPr="00E65549">
        <w:t>Brueckner</w:t>
      </w:r>
      <w:proofErr w:type="spellEnd"/>
      <w:r w:rsidRPr="00E65549">
        <w:t xml:space="preserve"> JK, Fu S, </w:t>
      </w:r>
      <w:proofErr w:type="spellStart"/>
      <w:r w:rsidRPr="00E65549">
        <w:t>Gu</w:t>
      </w:r>
      <w:proofErr w:type="spellEnd"/>
      <w:r w:rsidRPr="00E65549">
        <w:t xml:space="preserve"> Y and Zhang </w:t>
      </w:r>
      <w:r>
        <w:t>J</w:t>
      </w:r>
      <w:r w:rsidRPr="00E65549">
        <w:t xml:space="preserve"> </w:t>
      </w:r>
      <w:r>
        <w:t>(</w:t>
      </w:r>
      <w:r w:rsidRPr="00E65549">
        <w:t>2015</w:t>
      </w:r>
      <w:r>
        <w:t>)</w:t>
      </w:r>
      <w:r w:rsidRPr="00E65549">
        <w:t xml:space="preserve"> Measuring the Stringency of Land-Use Regulation and Its Determinants: The Case of China’s Building-Height Limits. </w:t>
      </w:r>
      <w:proofErr w:type="gramStart"/>
      <w:r w:rsidRPr="00E65549">
        <w:t>Working paper.</w:t>
      </w:r>
      <w:proofErr w:type="gramEnd"/>
      <w:r>
        <w:t xml:space="preserve"> </w:t>
      </w:r>
      <w:r>
        <w:rPr>
          <w:lang w:val="en-US"/>
        </w:rPr>
        <w:t xml:space="preserve">FAR restrictions </w:t>
      </w:r>
      <w:proofErr w:type="gramStart"/>
      <w:r>
        <w:rPr>
          <w:lang w:val="en-US"/>
        </w:rPr>
        <w:t>can be calculated</w:t>
      </w:r>
      <w:proofErr w:type="gramEnd"/>
      <w:r>
        <w:rPr>
          <w:lang w:val="en-US"/>
        </w:rPr>
        <w:t xml:space="preserve"> as a combination of maximum building height and maximum site coverage – i.e. a zone that allowed property owners to build a 2-storey building on 40% of the site would have a maximum FAR of 0.8.</w:t>
      </w:r>
    </w:p>
  </w:footnote>
  <w:footnote w:id="92">
    <w:p w:rsidR="000B6805" w:rsidRPr="009F5963" w:rsidRDefault="000B6805" w:rsidP="001B70C1">
      <w:pPr>
        <w:pStyle w:val="FootnoteText"/>
        <w:rPr>
          <w:lang w:val="en-US"/>
        </w:rPr>
      </w:pPr>
      <w:r>
        <w:rPr>
          <w:rStyle w:val="FootnoteReference"/>
        </w:rPr>
        <w:footnoteRef/>
      </w:r>
      <w:r>
        <w:t xml:space="preserve"> </w:t>
      </w:r>
      <w:r>
        <w:rPr>
          <w:lang w:val="en-US"/>
        </w:rPr>
        <w:t xml:space="preserve">Hamilton City Council (2012) Proposed District Plan. </w:t>
      </w:r>
      <w:proofErr w:type="gramStart"/>
      <w:r>
        <w:rPr>
          <w:lang w:val="en-US"/>
        </w:rPr>
        <w:t xml:space="preserve">Available online at </w:t>
      </w:r>
      <w:hyperlink r:id="rId6" w:history="1">
        <w:r w:rsidRPr="009B7434">
          <w:rPr>
            <w:rStyle w:val="Hyperlink"/>
            <w:rFonts w:ascii="Palatino Linotype" w:hAnsi="Palatino Linotype"/>
            <w:lang w:val="en-US"/>
          </w:rPr>
          <w:t>http://www.hamilton.govt.nz/our-council/council-publications/districtplans/proposeddistrictplan/Documents/Proposed%20District%20Plan%20Volume%201.pdf</w:t>
        </w:r>
      </w:hyperlink>
      <w:r>
        <w:rPr>
          <w:lang w:val="en-US"/>
        </w:rPr>
        <w:t>.</w:t>
      </w:r>
      <w:proofErr w:type="gramEnd"/>
      <w:r>
        <w:rPr>
          <w:lang w:val="en-US"/>
        </w:rPr>
        <w:t xml:space="preserve"> </w:t>
      </w:r>
    </w:p>
  </w:footnote>
  <w:footnote w:id="93">
    <w:p w:rsidR="000B6805" w:rsidRPr="00563CB5" w:rsidRDefault="000B6805" w:rsidP="001B70C1">
      <w:pPr>
        <w:pStyle w:val="FootnoteText"/>
      </w:pPr>
      <w:r>
        <w:rPr>
          <w:rStyle w:val="FootnoteReference"/>
        </w:rPr>
        <w:footnoteRef/>
      </w:r>
      <w:r>
        <w:t xml:space="preserve"> </w:t>
      </w:r>
      <w:r w:rsidRPr="00EA598F">
        <w:t>Glaes</w:t>
      </w:r>
      <w:r>
        <w:t xml:space="preserve">er EL &amp; </w:t>
      </w:r>
      <w:proofErr w:type="spellStart"/>
      <w:r>
        <w:t>Gyourko</w:t>
      </w:r>
      <w:proofErr w:type="spellEnd"/>
      <w:r>
        <w:t xml:space="preserve"> J (2002)</w:t>
      </w:r>
      <w:r w:rsidRPr="00EA598F">
        <w:t xml:space="preserve"> </w:t>
      </w:r>
      <w:proofErr w:type="gramStart"/>
      <w:r w:rsidRPr="00EA598F">
        <w:t>The</w:t>
      </w:r>
      <w:proofErr w:type="gramEnd"/>
      <w:r w:rsidRPr="00EA598F">
        <w:t xml:space="preserve"> impact of z</w:t>
      </w:r>
      <w:r>
        <w:t xml:space="preserve">oning on housing affordability </w:t>
      </w:r>
      <w:r w:rsidRPr="00EA598F">
        <w:t>National Bureau of Economic Research</w:t>
      </w:r>
      <w:r>
        <w:t xml:space="preserve"> Working Paper </w:t>
      </w:r>
      <w:r w:rsidRPr="00EA598F">
        <w:t>No. w8835.</w:t>
      </w:r>
    </w:p>
  </w:footnote>
  <w:footnote w:id="94">
    <w:p w:rsidR="000B6805" w:rsidRPr="00282023" w:rsidRDefault="000B6805" w:rsidP="001B70C1">
      <w:pPr>
        <w:pStyle w:val="FootnoteText"/>
        <w:rPr>
          <w:lang w:val="en-US"/>
        </w:rPr>
      </w:pPr>
      <w:r>
        <w:rPr>
          <w:rStyle w:val="FootnoteReference"/>
        </w:rPr>
        <w:footnoteRef/>
      </w:r>
      <w:r>
        <w:t xml:space="preserve"> </w:t>
      </w:r>
      <w:r w:rsidRPr="00282023">
        <w:t xml:space="preserve">Glaeser EL, </w:t>
      </w:r>
      <w:proofErr w:type="spellStart"/>
      <w:r w:rsidRPr="00282023">
        <w:t>Gyourko</w:t>
      </w:r>
      <w:proofErr w:type="spellEnd"/>
      <w:r w:rsidRPr="00282023">
        <w:t xml:space="preserve"> J and Saks R </w:t>
      </w:r>
      <w:r>
        <w:t>(</w:t>
      </w:r>
      <w:r w:rsidRPr="00282023">
        <w:t>2005</w:t>
      </w:r>
      <w:r>
        <w:t>)</w:t>
      </w:r>
      <w:r w:rsidRPr="00282023">
        <w:t xml:space="preserve"> Why Is Manhattan So Expensive? </w:t>
      </w:r>
      <w:proofErr w:type="gramStart"/>
      <w:r w:rsidRPr="00282023">
        <w:t>Regulation and the Rise in Housing Prices.</w:t>
      </w:r>
      <w:proofErr w:type="gramEnd"/>
      <w:r w:rsidRPr="00282023">
        <w:t xml:space="preserve"> </w:t>
      </w:r>
      <w:proofErr w:type="gramStart"/>
      <w:r w:rsidRPr="00282023">
        <w:t>Journal of Law and Economics, 48(2), pp.331-369.</w:t>
      </w:r>
      <w:proofErr w:type="gramEnd"/>
    </w:p>
  </w:footnote>
  <w:footnote w:id="95">
    <w:p w:rsidR="000B6805" w:rsidRPr="00282023" w:rsidRDefault="000B6805" w:rsidP="001B70C1">
      <w:pPr>
        <w:pStyle w:val="FootnoteText"/>
        <w:rPr>
          <w:lang w:val="en-US"/>
        </w:rPr>
      </w:pPr>
      <w:r>
        <w:rPr>
          <w:rStyle w:val="FootnoteReference"/>
        </w:rPr>
        <w:footnoteRef/>
      </w:r>
      <w:r>
        <w:t xml:space="preserve"> </w:t>
      </w:r>
      <w:proofErr w:type="gramStart"/>
      <w:r w:rsidRPr="00282023">
        <w:t xml:space="preserve">Cheshire PC and </w:t>
      </w:r>
      <w:proofErr w:type="spellStart"/>
      <w:r w:rsidRPr="00282023">
        <w:t>Hilber</w:t>
      </w:r>
      <w:proofErr w:type="spellEnd"/>
      <w:r w:rsidRPr="00282023">
        <w:t xml:space="preserve"> CA </w:t>
      </w:r>
      <w:r>
        <w:t>(</w:t>
      </w:r>
      <w:r w:rsidRPr="00282023">
        <w:t>2008</w:t>
      </w:r>
      <w:r>
        <w:t>)</w:t>
      </w:r>
      <w:r w:rsidRPr="00282023">
        <w:t xml:space="preserve"> Office Space Supply Restrictions in Britain: The Political Economy of Market Revenge.</w:t>
      </w:r>
      <w:proofErr w:type="gramEnd"/>
      <w:r w:rsidRPr="00282023">
        <w:t xml:space="preserve"> </w:t>
      </w:r>
      <w:proofErr w:type="gramStart"/>
      <w:r w:rsidRPr="00282023">
        <w:t>The Economic Journal, 118(529), F185-F221.</w:t>
      </w:r>
      <w:proofErr w:type="gramEnd"/>
    </w:p>
  </w:footnote>
  <w:footnote w:id="96">
    <w:p w:rsidR="000B6805" w:rsidRPr="00E75136" w:rsidRDefault="000B6805" w:rsidP="001B70C1">
      <w:pPr>
        <w:pStyle w:val="FootnoteText"/>
        <w:rPr>
          <w:lang w:val="en-US"/>
        </w:rPr>
      </w:pPr>
      <w:r>
        <w:rPr>
          <w:rStyle w:val="FootnoteReference"/>
        </w:rPr>
        <w:footnoteRef/>
      </w:r>
      <w:r>
        <w:t xml:space="preserve"> </w:t>
      </w:r>
      <w:r>
        <w:rPr>
          <w:lang w:val="en-US"/>
        </w:rPr>
        <w:t>This assumes that the developer is a price-taker – ie that they cannot directly influence the prices people are willing to pay for apartments.</w:t>
      </w:r>
    </w:p>
  </w:footnote>
  <w:footnote w:id="97">
    <w:p w:rsidR="000B6805" w:rsidRDefault="000B6805" w:rsidP="001B70C1">
      <w:pPr>
        <w:pStyle w:val="FootnoteText"/>
      </w:pPr>
      <w:r>
        <w:rPr>
          <w:rStyle w:val="FootnoteReference"/>
        </w:rPr>
        <w:footnoteRef/>
      </w:r>
      <w:r>
        <w:t xml:space="preserve"> </w:t>
      </w:r>
      <w:proofErr w:type="spellStart"/>
      <w:r w:rsidRPr="00090831">
        <w:t>Luen</w:t>
      </w:r>
      <w:proofErr w:type="spellEnd"/>
      <w:r w:rsidRPr="00090831">
        <w:t xml:space="preserve"> M </w:t>
      </w:r>
      <w:r>
        <w:t>(</w:t>
      </w:r>
      <w:r w:rsidRPr="00090831">
        <w:t>2014</w:t>
      </w:r>
      <w:r>
        <w:t>)</w:t>
      </w:r>
      <w:r w:rsidRPr="00090831">
        <w:t xml:space="preserve"> </w:t>
      </w:r>
      <w:proofErr w:type="gramStart"/>
      <w:r w:rsidRPr="00090831">
        <w:t>Up</w:t>
      </w:r>
      <w:proofErr w:type="gramEnd"/>
      <w:r w:rsidRPr="00090831">
        <w:t xml:space="preserve"> or out? </w:t>
      </w:r>
      <w:proofErr w:type="gramStart"/>
      <w:r w:rsidRPr="00090831">
        <w:t>Residential building height regulations in Auckland - understanding the effects and implications.</w:t>
      </w:r>
      <w:proofErr w:type="gramEnd"/>
      <w:r w:rsidRPr="00090831">
        <w:t xml:space="preserve"> Paper presented at New Zealand Association of Economists Annual Conference 2014, Auckland.</w:t>
      </w:r>
    </w:p>
  </w:footnote>
  <w:footnote w:id="98">
    <w:p w:rsidR="000B6805" w:rsidRDefault="000B6805" w:rsidP="00A604F0">
      <w:pPr>
        <w:pStyle w:val="FootnoteText"/>
      </w:pPr>
      <w:r>
        <w:rPr>
          <w:rStyle w:val="FootnoteReference"/>
        </w:rPr>
        <w:footnoteRef/>
      </w:r>
      <w:r>
        <w:t xml:space="preserve"> </w:t>
      </w:r>
      <w:proofErr w:type="gramStart"/>
      <w:r w:rsidRPr="006443C0">
        <w:t>Robinson M,</w:t>
      </w:r>
      <w:r>
        <w:t xml:space="preserve"> Scobie GM, &amp; Hallinan B (2006)</w:t>
      </w:r>
      <w:r w:rsidRPr="006443C0">
        <w:t xml:space="preserve"> Affordability of housing: concepts, measurement and evidence.</w:t>
      </w:r>
      <w:proofErr w:type="gramEnd"/>
      <w:r w:rsidRPr="006443C0">
        <w:t xml:space="preserve"> </w:t>
      </w:r>
      <w:proofErr w:type="gramStart"/>
      <w:r w:rsidRPr="006443C0">
        <w:t>New Zealand Treasury working paper 06/03.</w:t>
      </w:r>
      <w:proofErr w:type="gramEnd"/>
      <w:r w:rsidRPr="006443C0">
        <w:t xml:space="preserve"> Wellington, New Zealand.</w:t>
      </w:r>
    </w:p>
  </w:footnote>
  <w:footnote w:id="99">
    <w:p w:rsidR="000B6805" w:rsidRDefault="000B6805" w:rsidP="00835F7F">
      <w:pPr>
        <w:pStyle w:val="FootnoteText"/>
      </w:pPr>
      <w:r>
        <w:rPr>
          <w:rStyle w:val="FootnoteReference"/>
        </w:rPr>
        <w:footnoteRef/>
      </w:r>
      <w:r>
        <w:t xml:space="preserve"> ibid</w:t>
      </w:r>
    </w:p>
  </w:footnote>
  <w:footnote w:id="100">
    <w:p w:rsidR="000B6805" w:rsidRPr="007976DF" w:rsidRDefault="000B6805" w:rsidP="00835F7F">
      <w:pPr>
        <w:pStyle w:val="FootnoteText"/>
        <w:rPr>
          <w:lang w:val="en-US"/>
        </w:rPr>
      </w:pPr>
      <w:r>
        <w:rPr>
          <w:rStyle w:val="FootnoteReference"/>
        </w:rPr>
        <w:footnoteRef/>
      </w:r>
      <w:r>
        <w:t xml:space="preserve"> </w:t>
      </w:r>
      <w:r>
        <w:rPr>
          <w:lang w:val="en-US"/>
        </w:rPr>
        <w:t>ibid</w:t>
      </w:r>
    </w:p>
  </w:footnote>
  <w:footnote w:id="101">
    <w:p w:rsidR="000B6805" w:rsidRDefault="000B6805" w:rsidP="00835F7F">
      <w:pPr>
        <w:pStyle w:val="FootnoteText"/>
      </w:pPr>
      <w:r>
        <w:rPr>
          <w:rStyle w:val="FootnoteReference"/>
        </w:rPr>
        <w:footnoteRef/>
      </w:r>
      <w:r>
        <w:t xml:space="preserve"> Law D</w:t>
      </w:r>
      <w:r w:rsidRPr="000D6F83">
        <w:t xml:space="preserve"> &amp;</w:t>
      </w:r>
      <w:r>
        <w:t xml:space="preserve"> Meehan L (2013) </w:t>
      </w:r>
      <w:r w:rsidRPr="000D6F83">
        <w:t xml:space="preserve">Housing affordability in New Zealand: Evidence from household surveys. </w:t>
      </w:r>
      <w:proofErr w:type="gramStart"/>
      <w:r>
        <w:t>New Zealand Treasury Working Paper 13/14.</w:t>
      </w:r>
      <w:proofErr w:type="gramEnd"/>
      <w:r>
        <w:t xml:space="preserve"> </w:t>
      </w:r>
      <w:proofErr w:type="gramStart"/>
      <w:r w:rsidRPr="000D6F83">
        <w:t>Wellington: The Treasury.</w:t>
      </w:r>
      <w:proofErr w:type="gramEnd"/>
    </w:p>
  </w:footnote>
  <w:footnote w:id="102">
    <w:p w:rsidR="000B6805" w:rsidRPr="00C05AD2" w:rsidRDefault="000B6805" w:rsidP="00835F7F">
      <w:pPr>
        <w:pStyle w:val="FootnoteText"/>
        <w:rPr>
          <w:lang w:val="en-US"/>
        </w:rPr>
      </w:pPr>
      <w:r>
        <w:rPr>
          <w:rStyle w:val="FootnoteReference"/>
        </w:rPr>
        <w:footnoteRef/>
      </w:r>
      <w:r>
        <w:t xml:space="preserve"> </w:t>
      </w:r>
      <w:r>
        <w:rPr>
          <w:lang w:val="en-US"/>
        </w:rPr>
        <w:t xml:space="preserve">Robinson </w:t>
      </w:r>
      <w:r>
        <w:rPr>
          <w:i/>
          <w:lang w:val="en-US"/>
        </w:rPr>
        <w:t>et al</w:t>
      </w:r>
      <w:r>
        <w:rPr>
          <w:lang w:val="en-US"/>
        </w:rPr>
        <w:t xml:space="preserve"> (</w:t>
      </w:r>
      <w:r>
        <w:rPr>
          <w:i/>
          <w:lang w:val="en-US"/>
        </w:rPr>
        <w:t>op cist</w:t>
      </w:r>
      <w:r>
        <w:rPr>
          <w:lang w:val="en-US"/>
        </w:rPr>
        <w:t>)</w:t>
      </w:r>
    </w:p>
  </w:footnote>
  <w:footnote w:id="103">
    <w:p w:rsidR="000B6805" w:rsidRPr="00C05AD2" w:rsidRDefault="000B6805" w:rsidP="00835F7F">
      <w:pPr>
        <w:pStyle w:val="FootnoteText"/>
        <w:rPr>
          <w:lang w:val="en-US"/>
        </w:rPr>
      </w:pPr>
      <w:r>
        <w:rPr>
          <w:rStyle w:val="FootnoteReference"/>
        </w:rPr>
        <w:footnoteRef/>
      </w:r>
      <w:r>
        <w:t xml:space="preserve"> </w:t>
      </w:r>
      <w:r w:rsidRPr="00C05AD2">
        <w:t>NZ Productivity Commission (2012) Housing affordability inquiry</w:t>
      </w:r>
    </w:p>
  </w:footnote>
  <w:footnote w:id="104">
    <w:p w:rsidR="000B6805" w:rsidRDefault="000B6805" w:rsidP="00835F7F">
      <w:pPr>
        <w:pStyle w:val="FootnoteText"/>
      </w:pPr>
      <w:r>
        <w:rPr>
          <w:rStyle w:val="FootnoteReference"/>
        </w:rPr>
        <w:footnoteRef/>
      </w:r>
      <w:r>
        <w:t xml:space="preserve"> Massey University (2016) </w:t>
      </w:r>
      <w:proofErr w:type="gramStart"/>
      <w:r w:rsidRPr="00F46D4C">
        <w:t>The</w:t>
      </w:r>
      <w:proofErr w:type="gramEnd"/>
      <w:r w:rsidRPr="00F46D4C">
        <w:t xml:space="preserve"> Massey University Real Estate Analysis Unit</w:t>
      </w:r>
      <w:r>
        <w:t xml:space="preserve">. Retrieved from </w:t>
      </w:r>
      <w:hyperlink r:id="rId7" w:history="1">
        <w:r w:rsidRPr="002B00C0">
          <w:rPr>
            <w:rStyle w:val="Hyperlink"/>
            <w:rFonts w:ascii="Palatino Linotype" w:hAnsi="Palatino Linotype"/>
          </w:rPr>
          <w:t>http://www.massey.ac.nz/massey/learning/colleges/college-business/school-of-economics-and-finance/research/mureau.cfm</w:t>
        </w:r>
      </w:hyperlink>
      <w:r>
        <w:t xml:space="preserve">; and </w:t>
      </w:r>
      <w:r w:rsidRPr="00C05AD2">
        <w:t>NZ Productivity Commission (</w:t>
      </w:r>
      <w:r>
        <w:rPr>
          <w:i/>
        </w:rPr>
        <w:t xml:space="preserve">op </w:t>
      </w:r>
      <w:proofErr w:type="spellStart"/>
      <w:r>
        <w:rPr>
          <w:i/>
        </w:rPr>
        <w:t>cit</w:t>
      </w:r>
      <w:proofErr w:type="spellEnd"/>
      <w:r w:rsidRPr="00C05AD2">
        <w:t>)</w:t>
      </w:r>
    </w:p>
  </w:footnote>
  <w:footnote w:id="105">
    <w:p w:rsidR="000B6805" w:rsidRDefault="000B6805" w:rsidP="00835F7F">
      <w:pPr>
        <w:pStyle w:val="FootnoteText"/>
      </w:pPr>
      <w:r>
        <w:rPr>
          <w:rStyle w:val="FootnoteReference"/>
        </w:rPr>
        <w:footnoteRef/>
      </w:r>
      <w:r>
        <w:t xml:space="preserve"> Based on normal lending criteria and a maximum </w:t>
      </w:r>
      <w:proofErr w:type="gramStart"/>
      <w:r>
        <w:t>debt servicing</w:t>
      </w:r>
      <w:proofErr w:type="gramEnd"/>
      <w:r>
        <w:t xml:space="preserve"> ratio of 30% of gross household income; a 25-year mortgage term using market interest rates; and a 10% deposit.</w:t>
      </w:r>
    </w:p>
  </w:footnote>
  <w:footnote w:id="106">
    <w:p w:rsidR="000B6805" w:rsidRPr="00835F7F" w:rsidRDefault="000B6805" w:rsidP="00835F7F">
      <w:pPr>
        <w:pStyle w:val="FootnoteText"/>
        <w:rPr>
          <w:lang w:val="en-US"/>
        </w:rPr>
      </w:pPr>
      <w:r>
        <w:rPr>
          <w:rStyle w:val="FootnoteReference"/>
        </w:rPr>
        <w:footnoteRef/>
      </w:r>
      <w:r>
        <w:t xml:space="preserve"> </w:t>
      </w:r>
      <w:r w:rsidRPr="00835F7F">
        <w:t xml:space="preserve">NZ Productivity Commission (op </w:t>
      </w:r>
      <w:proofErr w:type="spellStart"/>
      <w:r w:rsidRPr="00835F7F">
        <w:t>cit</w:t>
      </w:r>
      <w:proofErr w:type="spellEnd"/>
      <w:r w:rsidRPr="00835F7F">
        <w:t>)</w:t>
      </w:r>
    </w:p>
  </w:footnote>
  <w:footnote w:id="107">
    <w:p w:rsidR="000B6805" w:rsidRDefault="000B6805" w:rsidP="009620A6">
      <w:pPr>
        <w:pStyle w:val="FootnoteText"/>
      </w:pPr>
      <w:r>
        <w:rPr>
          <w:rStyle w:val="FootnoteReference"/>
        </w:rPr>
        <w:footnoteRef/>
      </w:r>
      <w:r>
        <w:t xml:space="preserve"> Ministry of Health (2014) Analysis of Household Crowding based on Census 2013 data. </w:t>
      </w:r>
    </w:p>
  </w:footnote>
  <w:footnote w:id="108">
    <w:p w:rsidR="000B6805" w:rsidRDefault="000B6805" w:rsidP="00A604F0">
      <w:pPr>
        <w:pStyle w:val="FootnoteText"/>
      </w:pPr>
      <w:r>
        <w:rPr>
          <w:rStyle w:val="FootnoteReference"/>
        </w:rPr>
        <w:footnoteRef/>
      </w:r>
      <w:r>
        <w:t xml:space="preserve"> </w:t>
      </w:r>
      <w:r w:rsidRPr="00C81722">
        <w:t>Robinson et al (</w:t>
      </w:r>
      <w:r w:rsidRPr="00E00813">
        <w:rPr>
          <w:i/>
        </w:rPr>
        <w:t xml:space="preserve">op </w:t>
      </w:r>
      <w:proofErr w:type="spellStart"/>
      <w:r w:rsidRPr="00E00813">
        <w:rPr>
          <w:i/>
        </w:rPr>
        <w:t>cit</w:t>
      </w:r>
      <w:proofErr w:type="spellEnd"/>
      <w:r w:rsidRPr="00C81722">
        <w:t>)</w:t>
      </w:r>
    </w:p>
  </w:footnote>
  <w:footnote w:id="109">
    <w:p w:rsidR="000B6805" w:rsidRDefault="000B6805">
      <w:pPr>
        <w:pStyle w:val="FootnoteText"/>
      </w:pPr>
      <w:r>
        <w:rPr>
          <w:rStyle w:val="FootnoteReference"/>
        </w:rPr>
        <w:footnoteRef/>
      </w:r>
      <w:r>
        <w:t xml:space="preserve"> </w:t>
      </w:r>
      <w:r w:rsidRPr="009620A6">
        <w:t>Ministry of Health</w:t>
      </w:r>
      <w:r>
        <w:t xml:space="preserve"> (</w:t>
      </w:r>
      <w:r w:rsidRPr="009620A6">
        <w:t>2014</w:t>
      </w:r>
      <w:r>
        <w:t>)</w:t>
      </w:r>
      <w:r w:rsidRPr="009620A6">
        <w:t xml:space="preserve"> Analysis of Household Crowding based on Census 2013 data. </w:t>
      </w:r>
    </w:p>
  </w:footnote>
  <w:footnote w:id="110">
    <w:p w:rsidR="000B6805" w:rsidRDefault="000B6805" w:rsidP="00A604F0">
      <w:pPr>
        <w:pStyle w:val="FootnoteText"/>
      </w:pPr>
      <w:r>
        <w:rPr>
          <w:rStyle w:val="FootnoteReference"/>
        </w:rPr>
        <w:footnoteRef/>
      </w:r>
      <w:r>
        <w:t xml:space="preserve"> Housing New Zealand Corporation (2005) "Building the future: The New Zealand housing</w:t>
      </w:r>
    </w:p>
    <w:p w:rsidR="000B6805" w:rsidRDefault="000B6805" w:rsidP="00A604F0">
      <w:pPr>
        <w:pStyle w:val="FootnoteText"/>
      </w:pPr>
      <w:proofErr w:type="gramStart"/>
      <w:r>
        <w:t>strategy</w:t>
      </w:r>
      <w:proofErr w:type="gramEnd"/>
      <w:r>
        <w:t>." Wellington.</w:t>
      </w:r>
    </w:p>
  </w:footnote>
  <w:footnote w:id="111">
    <w:p w:rsidR="000B6805" w:rsidRDefault="000B6805" w:rsidP="00A604F0">
      <w:pPr>
        <w:pStyle w:val="FootnoteText"/>
      </w:pPr>
      <w:r>
        <w:rPr>
          <w:rStyle w:val="FootnoteReference"/>
        </w:rPr>
        <w:footnoteRef/>
      </w:r>
      <w:r>
        <w:t xml:space="preserve"> </w:t>
      </w:r>
      <w:r w:rsidRPr="002D708D">
        <w:t xml:space="preserve">Robinson </w:t>
      </w:r>
      <w:r>
        <w:rPr>
          <w:i/>
        </w:rPr>
        <w:t>et al</w:t>
      </w:r>
      <w:r w:rsidRPr="002D708D">
        <w:t xml:space="preserve"> (</w:t>
      </w:r>
      <w:r>
        <w:rPr>
          <w:i/>
        </w:rPr>
        <w:t xml:space="preserve">op </w:t>
      </w:r>
      <w:proofErr w:type="spellStart"/>
      <w:r>
        <w:rPr>
          <w:i/>
        </w:rPr>
        <w:t>cit</w:t>
      </w:r>
      <w:proofErr w:type="spellEnd"/>
      <w:r w:rsidRPr="002D708D">
        <w:t>)</w:t>
      </w:r>
    </w:p>
  </w:footnote>
  <w:footnote w:id="112">
    <w:p w:rsidR="000B6805" w:rsidRDefault="000B6805" w:rsidP="00A604F0">
      <w:pPr>
        <w:pStyle w:val="FootnoteText"/>
      </w:pPr>
      <w:r>
        <w:rPr>
          <w:rStyle w:val="FootnoteReference"/>
        </w:rPr>
        <w:footnoteRef/>
      </w:r>
      <w:r>
        <w:t xml:space="preserve"> </w:t>
      </w:r>
      <w:proofErr w:type="gramStart"/>
      <w:r>
        <w:t>Bramley, G (1994) "An affordability crisis in British housing; dimensions, causes and policy impact."</w:t>
      </w:r>
      <w:proofErr w:type="gramEnd"/>
      <w:r>
        <w:t xml:space="preserve"> Housing Studies 9(1): 103-125</w:t>
      </w:r>
    </w:p>
  </w:footnote>
  <w:footnote w:id="113">
    <w:p w:rsidR="000B6805" w:rsidRPr="002243A4" w:rsidRDefault="000B6805" w:rsidP="00A604F0">
      <w:pPr>
        <w:pStyle w:val="FootnoteText"/>
      </w:pPr>
      <w:r>
        <w:rPr>
          <w:rStyle w:val="FootnoteReference"/>
        </w:rPr>
        <w:footnoteRef/>
      </w:r>
      <w:r>
        <w:t xml:space="preserve"> Robinson </w:t>
      </w:r>
      <w:r>
        <w:rPr>
          <w:i/>
        </w:rPr>
        <w:t>et al</w:t>
      </w:r>
      <w:r>
        <w:t xml:space="preserve"> (op </w:t>
      </w:r>
      <w:proofErr w:type="spellStart"/>
      <w:r>
        <w:t>cit</w:t>
      </w:r>
      <w:proofErr w:type="spellEnd"/>
      <w:r>
        <w:t>)</w:t>
      </w:r>
    </w:p>
  </w:footnote>
  <w:footnote w:id="114">
    <w:p w:rsidR="000B6805" w:rsidRDefault="000B6805" w:rsidP="00A604F0">
      <w:pPr>
        <w:pStyle w:val="FootnoteText"/>
      </w:pPr>
      <w:r>
        <w:rPr>
          <w:rStyle w:val="FootnoteReference"/>
        </w:rPr>
        <w:footnoteRef/>
      </w:r>
      <w:r>
        <w:t xml:space="preserve"> </w:t>
      </w:r>
      <w:proofErr w:type="gramStart"/>
      <w:r w:rsidRPr="00827009">
        <w:t>DTZ New Zealand (2004) "Housing costs and affordability in New Zealand."</w:t>
      </w:r>
      <w:proofErr w:type="gramEnd"/>
      <w:r w:rsidRPr="00827009">
        <w:t xml:space="preserve"> Wellington, Centre for Housing Research </w:t>
      </w:r>
      <w:proofErr w:type="spellStart"/>
      <w:r w:rsidRPr="00827009">
        <w:t>Aotearoa</w:t>
      </w:r>
      <w:proofErr w:type="spellEnd"/>
      <w:r w:rsidRPr="00827009">
        <w:t xml:space="preserve"> New Zealand - </w:t>
      </w:r>
      <w:proofErr w:type="spellStart"/>
      <w:r w:rsidRPr="00827009">
        <w:t>Kainga</w:t>
      </w:r>
      <w:proofErr w:type="spellEnd"/>
      <w:r w:rsidRPr="00827009">
        <w:t xml:space="preserve"> </w:t>
      </w:r>
      <w:proofErr w:type="spellStart"/>
      <w:r w:rsidRPr="00827009">
        <w:t>Tipu</w:t>
      </w:r>
      <w:proofErr w:type="spellEnd"/>
      <w:r w:rsidRPr="00827009">
        <w:t>.</w:t>
      </w:r>
    </w:p>
  </w:footnote>
  <w:footnote w:id="115">
    <w:p w:rsidR="000B6805" w:rsidRDefault="000B6805" w:rsidP="00A604F0">
      <w:pPr>
        <w:pStyle w:val="FootnoteText"/>
      </w:pPr>
      <w:r>
        <w:rPr>
          <w:rStyle w:val="FootnoteReference"/>
        </w:rPr>
        <w:footnoteRef/>
      </w:r>
      <w:r>
        <w:t xml:space="preserve"> </w:t>
      </w:r>
      <w:proofErr w:type="gramStart"/>
      <w:r w:rsidRPr="00637C29">
        <w:t xml:space="preserve">Statistics NZ </w:t>
      </w:r>
      <w:r>
        <w:t>“</w:t>
      </w:r>
      <w:proofErr w:type="spellStart"/>
      <w:r w:rsidRPr="00637C29">
        <w:t>equivalise</w:t>
      </w:r>
      <w:r>
        <w:t>s</w:t>
      </w:r>
      <w:proofErr w:type="spellEnd"/>
      <w:r>
        <w:t>”</w:t>
      </w:r>
      <w:r w:rsidRPr="00637C29">
        <w:t xml:space="preserve"> income by dividing annual household income by the Revised Jensen Scale (RJS).</w:t>
      </w:r>
      <w:proofErr w:type="gramEnd"/>
      <w:r w:rsidRPr="00637C29">
        <w:t xml:space="preserve"> The RJS</w:t>
      </w:r>
      <w:r>
        <w:t xml:space="preserve"> gives </w:t>
      </w:r>
      <w:r w:rsidRPr="00637C29">
        <w:t xml:space="preserve">a two-adult household </w:t>
      </w:r>
      <w:r>
        <w:t xml:space="preserve">a rating of </w:t>
      </w:r>
      <w:proofErr w:type="gramStart"/>
      <w:r>
        <w:t>1</w:t>
      </w:r>
      <w:proofErr w:type="gramEnd"/>
      <w:r>
        <w:t>,</w:t>
      </w:r>
      <w:r w:rsidRPr="00637C29">
        <w:t xml:space="preserve"> </w:t>
      </w:r>
      <w:r>
        <w:t xml:space="preserve">and </w:t>
      </w:r>
      <w:r w:rsidRPr="00637C29">
        <w:t xml:space="preserve">households with fewer or greater members </w:t>
      </w:r>
      <w:r>
        <w:t xml:space="preserve">a </w:t>
      </w:r>
      <w:r w:rsidRPr="00637C29">
        <w:t xml:space="preserve">score above and below 1, respectively. The scale also accounts for children </w:t>
      </w:r>
      <w:r>
        <w:t xml:space="preserve">being </w:t>
      </w:r>
      <w:r w:rsidRPr="00637C29">
        <w:t>likely to require less income than adults</w:t>
      </w:r>
      <w:r>
        <w:t xml:space="preserve"> to maintain an acceptable standard of </w:t>
      </w:r>
      <w:proofErr w:type="gramStart"/>
      <w:r>
        <w:t>living</w:t>
      </w:r>
      <w:proofErr w:type="gramEnd"/>
      <w:r w:rsidRPr="00637C29">
        <w:t>.</w:t>
      </w:r>
    </w:p>
  </w:footnote>
  <w:footnote w:id="116">
    <w:p w:rsidR="000B6805" w:rsidRPr="003D338E" w:rsidRDefault="000B6805">
      <w:pPr>
        <w:pStyle w:val="FootnoteText"/>
        <w:rPr>
          <w:lang w:val="en-US"/>
        </w:rPr>
      </w:pPr>
      <w:r>
        <w:rPr>
          <w:rStyle w:val="FootnoteReference"/>
        </w:rPr>
        <w:footnoteRef/>
      </w:r>
      <w:r>
        <w:t xml:space="preserve"> Tier 1 statistics are </w:t>
      </w:r>
      <w:r w:rsidRPr="003D338E">
        <w:t>key official statistics identified as performance measures of New Zealand. The</w:t>
      </w:r>
      <w:r>
        <w:t xml:space="preserve">y </w:t>
      </w:r>
      <w:r w:rsidRPr="003D338E">
        <w:t xml:space="preserve">need to be </w:t>
      </w:r>
      <w:proofErr w:type="gramStart"/>
      <w:r w:rsidRPr="003D338E">
        <w:t>produced</w:t>
      </w:r>
      <w:proofErr w:type="gramEnd"/>
      <w:r w:rsidRPr="003D338E">
        <w:t>, analysed, and released to high statistical standards</w:t>
      </w:r>
      <w:r>
        <w:t>.</w:t>
      </w:r>
    </w:p>
  </w:footnote>
  <w:footnote w:id="117">
    <w:p w:rsidR="000B6805" w:rsidRDefault="000B6805" w:rsidP="00D67151">
      <w:pPr>
        <w:pStyle w:val="FootnoteText"/>
      </w:pPr>
      <w:r>
        <w:rPr>
          <w:rStyle w:val="FootnoteReference"/>
        </w:rPr>
        <w:footnoteRef/>
      </w:r>
      <w:r>
        <w:t xml:space="preserve"> </w:t>
      </w:r>
      <w:proofErr w:type="gramStart"/>
      <w:r>
        <w:t>Personal communication, Alan Johnson, S</w:t>
      </w:r>
      <w:r w:rsidRPr="00C04B5C">
        <w:t>ocial Policy &amp; Parliamentary Unit</w:t>
      </w:r>
      <w:r>
        <w:t>, Salvation Army.</w:t>
      </w:r>
      <w:proofErr w:type="gramEnd"/>
      <w:r>
        <w:t xml:space="preserve"> See also Johnson A (2016) Drawing the Line. How many state houses do we need? Paper Presented to Australasian Housing Institute Seminar - Auckland 21st July 2016.</w:t>
      </w:r>
    </w:p>
  </w:footnote>
  <w:footnote w:id="118">
    <w:p w:rsidR="000B6805" w:rsidRPr="007D1AB1" w:rsidRDefault="000B6805" w:rsidP="007D1AB1">
      <w:pPr>
        <w:pStyle w:val="FootnoteText"/>
        <w:rPr>
          <w:lang w:val="en-US"/>
        </w:rPr>
      </w:pPr>
      <w:r>
        <w:rPr>
          <w:rStyle w:val="FootnoteReference"/>
        </w:rPr>
        <w:footnoteRef/>
      </w:r>
      <w:r>
        <w:t xml:space="preserve"> </w:t>
      </w:r>
      <w:r w:rsidRPr="007D1AB1">
        <w:t>www.mbie.govt.nz/info-services/housing-property/sector-information-and-statistics/rental-bond-data</w:t>
      </w:r>
    </w:p>
  </w:footnote>
  <w:footnote w:id="119">
    <w:p w:rsidR="000B6805" w:rsidRDefault="000B6805">
      <w:pPr>
        <w:pStyle w:val="FootnoteText"/>
      </w:pPr>
      <w:r>
        <w:rPr>
          <w:rStyle w:val="FootnoteReference"/>
        </w:rPr>
        <w:footnoteRef/>
      </w:r>
      <w:r>
        <w:t xml:space="preserve"> </w:t>
      </w:r>
      <w:r w:rsidRPr="00B51180">
        <w:t>https://data.linz.govt.nz/layer/804-nz-property-titles/</w:t>
      </w:r>
    </w:p>
  </w:footnote>
  <w:footnote w:id="120">
    <w:p w:rsidR="000B6805" w:rsidRPr="007D1AB1" w:rsidRDefault="000B6805">
      <w:pPr>
        <w:pStyle w:val="FootnoteText"/>
        <w:rPr>
          <w:lang w:val="en-US"/>
        </w:rPr>
      </w:pPr>
      <w:r>
        <w:rPr>
          <w:rStyle w:val="FootnoteReference"/>
        </w:rPr>
        <w:footnoteRef/>
      </w:r>
      <w:r>
        <w:t xml:space="preserve"> </w:t>
      </w:r>
      <w:proofErr w:type="gramStart"/>
      <w:r>
        <w:t>P</w:t>
      </w:r>
      <w:r w:rsidRPr="007D1AB1">
        <w:t>rovides data for people in paid employment but not for whole population</w:t>
      </w:r>
      <w:r>
        <w:t>.</w:t>
      </w:r>
      <w:proofErr w:type="gramEnd"/>
    </w:p>
  </w:footnote>
  <w:footnote w:id="121">
    <w:p w:rsidR="000B6805" w:rsidRDefault="000B6805">
      <w:pPr>
        <w:pStyle w:val="FootnoteText"/>
      </w:pPr>
      <w:r>
        <w:rPr>
          <w:rStyle w:val="FootnoteReference"/>
        </w:rPr>
        <w:footnoteRef/>
      </w:r>
      <w:r>
        <w:t xml:space="preserve"> </w:t>
      </w:r>
      <w:r w:rsidRPr="00E71B09">
        <w:t xml:space="preserve">For example, a price differential at the urban boundary </w:t>
      </w:r>
      <w:proofErr w:type="gramStart"/>
      <w:r w:rsidRPr="00E71B09">
        <w:t>is best considered</w:t>
      </w:r>
      <w:proofErr w:type="gramEnd"/>
      <w:r w:rsidRPr="00E71B09">
        <w:t xml:space="preserve"> in absolute (dollar value) terms in comparison with estimates of the costs of land conversion and infrastructure provision</w:t>
      </w:r>
      <w:r>
        <w:t>.</w:t>
      </w:r>
    </w:p>
  </w:footnote>
  <w:footnote w:id="122">
    <w:p w:rsidR="000B6805" w:rsidRPr="00C87616" w:rsidRDefault="000B6805">
      <w:pPr>
        <w:pStyle w:val="FootnoteText"/>
        <w:rPr>
          <w:lang w:val="en-US"/>
        </w:rPr>
      </w:pPr>
      <w:r>
        <w:rPr>
          <w:rStyle w:val="FootnoteReference"/>
        </w:rPr>
        <w:footnoteRef/>
      </w:r>
      <w:r>
        <w:t xml:space="preserve"> </w:t>
      </w:r>
      <w:proofErr w:type="gramStart"/>
      <w:r w:rsidRPr="00C87616">
        <w:t>Robinson M, Scobie GM, &amp; Hallinan B (2006) Affordability of housing: concepts, measurement and evidence.</w:t>
      </w:r>
      <w:proofErr w:type="gramEnd"/>
      <w:r w:rsidRPr="00C87616">
        <w:t xml:space="preserve"> </w:t>
      </w:r>
      <w:proofErr w:type="gramStart"/>
      <w:r w:rsidRPr="00C87616">
        <w:t>New Zealand Treasury working paper 06/03.</w:t>
      </w:r>
      <w:proofErr w:type="gramEnd"/>
      <w:r w:rsidRPr="00C87616">
        <w:t xml:space="preserve"> Wellington, New Zealand</w:t>
      </w:r>
    </w:p>
  </w:footnote>
  <w:footnote w:id="123">
    <w:p w:rsidR="000B6805" w:rsidRDefault="000B6805" w:rsidP="00B82927">
      <w:pPr>
        <w:pStyle w:val="FootnoteText"/>
      </w:pPr>
      <w:r>
        <w:rPr>
          <w:rStyle w:val="FootnoteReference"/>
        </w:rPr>
        <w:footnoteRef/>
      </w:r>
      <w:r>
        <w:t xml:space="preserve"> </w:t>
      </w:r>
      <w:r w:rsidRPr="00DB6370">
        <w:t>http://www.rbnz.govt.nz/statistics/key-graphs/key-graph-mortgage-rates</w:t>
      </w:r>
    </w:p>
  </w:footnote>
  <w:footnote w:id="124">
    <w:p w:rsidR="000B6805" w:rsidRDefault="000B6805" w:rsidP="00B82927">
      <w:pPr>
        <w:pStyle w:val="FootnoteText"/>
      </w:pPr>
      <w:r>
        <w:rPr>
          <w:rStyle w:val="FootnoteReference"/>
        </w:rPr>
        <w:footnoteRef/>
      </w:r>
      <w:r>
        <w:t xml:space="preserve"> </w:t>
      </w:r>
      <w:r w:rsidRPr="00DB6370">
        <w:t>http://www.rbnz.govt.nz/statistics/key-graphs/key-graph-mortgage-rates</w:t>
      </w:r>
    </w:p>
  </w:footnote>
  <w:footnote w:id="125">
    <w:p w:rsidR="000B6805" w:rsidRDefault="000B6805" w:rsidP="00344C8E">
      <w:pPr>
        <w:pStyle w:val="FootnoteText"/>
      </w:pPr>
      <w:r>
        <w:rPr>
          <w:rStyle w:val="FootnoteReference"/>
        </w:rPr>
        <w:footnoteRef/>
      </w:r>
      <w:r>
        <w:t xml:space="preserve"> </w:t>
      </w:r>
      <w:r w:rsidRPr="00F824A3">
        <w:t>http://www.stats.govt.nz/infoshare</w:t>
      </w:r>
    </w:p>
  </w:footnote>
  <w:footnote w:id="126">
    <w:p w:rsidR="000B6805" w:rsidRPr="009D2B1A" w:rsidRDefault="000B6805" w:rsidP="005006B0">
      <w:pPr>
        <w:pStyle w:val="FootnoteText"/>
        <w:rPr>
          <w:lang w:val="en-US"/>
        </w:rPr>
      </w:pPr>
      <w:r>
        <w:rPr>
          <w:rStyle w:val="FootnoteReference"/>
        </w:rPr>
        <w:footnoteRef/>
      </w:r>
      <w:r>
        <w:t xml:space="preserve"> </w:t>
      </w:r>
      <w:r>
        <w:rPr>
          <w:lang w:val="en-US"/>
        </w:rPr>
        <w:t>Grimes and Liang</w:t>
      </w:r>
      <w:r w:rsidRPr="009D2B1A">
        <w:rPr>
          <w:lang w:val="en-US"/>
        </w:rPr>
        <w:t xml:space="preserve"> </w:t>
      </w:r>
      <w:r>
        <w:rPr>
          <w:lang w:val="en-US"/>
        </w:rPr>
        <w:t>(2009)</w:t>
      </w:r>
    </w:p>
    <w:p w:rsidR="000B6805" w:rsidRPr="009D2B1A" w:rsidRDefault="000B6805" w:rsidP="005006B0">
      <w:pPr>
        <w:pStyle w:val="FootnoteText"/>
        <w:jc w:val="center"/>
        <w:rPr>
          <w:lang w:val="en-US"/>
        </w:rPr>
      </w:pPr>
    </w:p>
  </w:footnote>
  <w:footnote w:id="127">
    <w:p w:rsidR="000B6805" w:rsidRPr="003F6FB7" w:rsidRDefault="000B6805" w:rsidP="005570ED">
      <w:pPr>
        <w:pStyle w:val="FootnoteText"/>
        <w:rPr>
          <w:lang w:val="en-US"/>
        </w:rPr>
      </w:pPr>
      <w:r>
        <w:rPr>
          <w:rStyle w:val="FootnoteReference"/>
        </w:rPr>
        <w:footnoteRef/>
      </w:r>
      <w:r>
        <w:t xml:space="preserve"> </w:t>
      </w:r>
      <w:r>
        <w:rPr>
          <w:lang w:val="en-US"/>
        </w:rPr>
        <w:t xml:space="preserve">Another approach, which </w:t>
      </w:r>
      <w:proofErr w:type="gramStart"/>
      <w:r>
        <w:rPr>
          <w:lang w:val="en-US"/>
        </w:rPr>
        <w:t>is demonstrated</w:t>
      </w:r>
      <w:proofErr w:type="gramEnd"/>
      <w:r>
        <w:rPr>
          <w:lang w:val="en-US"/>
        </w:rPr>
        <w:t xml:space="preserve"> in Grimes and Liang (2009), is to measure the distance between all </w:t>
      </w:r>
      <w:proofErr w:type="spellStart"/>
      <w:r>
        <w:rPr>
          <w:lang w:val="en-US"/>
        </w:rPr>
        <w:t>meshblocks</w:t>
      </w:r>
      <w:proofErr w:type="spellEnd"/>
      <w:r>
        <w:rPr>
          <w:lang w:val="en-US"/>
        </w:rPr>
        <w:t xml:space="preserve"> and weight </w:t>
      </w:r>
      <w:proofErr w:type="spellStart"/>
      <w:r>
        <w:rPr>
          <w:lang w:val="en-US"/>
        </w:rPr>
        <w:t>neighbours</w:t>
      </w:r>
      <w:proofErr w:type="spellEnd"/>
      <w:r>
        <w:rPr>
          <w:lang w:val="en-US"/>
        </w:rPr>
        <w:t xml:space="preserve"> based on their proximity.</w:t>
      </w:r>
    </w:p>
  </w:footnote>
  <w:footnote w:id="128">
    <w:p w:rsidR="000B6805" w:rsidRPr="009F5963" w:rsidRDefault="000B6805" w:rsidP="00D83B52">
      <w:pPr>
        <w:pStyle w:val="FootnoteText"/>
        <w:rPr>
          <w:lang w:val="en-US"/>
        </w:rPr>
      </w:pPr>
      <w:r>
        <w:rPr>
          <w:rStyle w:val="FootnoteReference"/>
        </w:rPr>
        <w:footnoteRef/>
      </w:r>
      <w:r>
        <w:t xml:space="preserve"> </w:t>
      </w:r>
      <w:r>
        <w:rPr>
          <w:lang w:val="en-US"/>
        </w:rPr>
        <w:t>Page I</w:t>
      </w:r>
      <w:r w:rsidRPr="00F35EBE">
        <w:rPr>
          <w:lang w:val="en-US"/>
        </w:rPr>
        <w:t xml:space="preserve"> (2008) </w:t>
      </w:r>
      <w:proofErr w:type="gramStart"/>
      <w:r w:rsidRPr="00F35EBE">
        <w:rPr>
          <w:lang w:val="en-US"/>
        </w:rPr>
        <w:t>New</w:t>
      </w:r>
      <w:proofErr w:type="gramEnd"/>
      <w:r w:rsidRPr="00F35EBE">
        <w:rPr>
          <w:lang w:val="en-US"/>
        </w:rPr>
        <w:t xml:space="preserve"> house price modelling. BRANZ Study Report 196(2008)</w:t>
      </w:r>
      <w:r>
        <w:rPr>
          <w:lang w:val="en-US"/>
        </w:rPr>
        <w:t xml:space="preserve">; </w:t>
      </w:r>
      <w:r>
        <w:t xml:space="preserve">Page I and Curtis M (2013) New house price model update at April 2013. BRANZ Project Report </w:t>
      </w:r>
      <w:r w:rsidRPr="00543C00">
        <w:t>E626</w:t>
      </w:r>
      <w:r>
        <w:t>.</w:t>
      </w:r>
    </w:p>
  </w:footnote>
  <w:footnote w:id="129">
    <w:p w:rsidR="000B6805" w:rsidRPr="009F5963" w:rsidRDefault="000B6805" w:rsidP="00D83B52">
      <w:pPr>
        <w:pStyle w:val="FootnoteText"/>
        <w:rPr>
          <w:lang w:val="en-US"/>
        </w:rPr>
      </w:pPr>
      <w:r>
        <w:rPr>
          <w:rStyle w:val="FootnoteReference"/>
        </w:rPr>
        <w:footnoteRef/>
      </w:r>
      <w:r>
        <w:t xml:space="preserve"> </w:t>
      </w:r>
      <w:proofErr w:type="gramStart"/>
      <w:r>
        <w:t xml:space="preserve">The Surveying Company (2016) Personal communication with John </w:t>
      </w:r>
      <w:proofErr w:type="spellStart"/>
      <w:r>
        <w:t>Gasson</w:t>
      </w:r>
      <w:proofErr w:type="spellEnd"/>
      <w:r>
        <w:t>.</w:t>
      </w:r>
      <w:proofErr w:type="gramEnd"/>
      <w:r>
        <w:t xml:space="preserve"> 1 August 2016.</w:t>
      </w:r>
    </w:p>
  </w:footnote>
  <w:footnote w:id="130">
    <w:p w:rsidR="000B6805" w:rsidRPr="009F5963" w:rsidRDefault="000B6805" w:rsidP="00D83B52">
      <w:pPr>
        <w:pStyle w:val="FootnoteText"/>
        <w:rPr>
          <w:lang w:val="en-US"/>
        </w:rPr>
      </w:pPr>
      <w:r>
        <w:rPr>
          <w:rStyle w:val="FootnoteReference"/>
        </w:rPr>
        <w:footnoteRef/>
      </w:r>
      <w:r>
        <w:t xml:space="preserve"> </w:t>
      </w:r>
      <w:r>
        <w:rPr>
          <w:lang w:val="en-AU"/>
        </w:rPr>
        <w:t xml:space="preserve">The Productivity Commission (2012) provides some data on development contributions in some urban </w:t>
      </w:r>
      <w:proofErr w:type="gramStart"/>
      <w:r>
        <w:rPr>
          <w:lang w:val="en-AU"/>
        </w:rPr>
        <w:t>councils</w:t>
      </w:r>
      <w:proofErr w:type="gramEnd"/>
      <w:r>
        <w:rPr>
          <w:lang w:val="en-AU"/>
        </w:rPr>
        <w:t>, suggesting that contributions are generally higher in Tauranga and Auckland than in Hamilton and Christchurch.</w:t>
      </w:r>
    </w:p>
  </w:footnote>
  <w:footnote w:id="131">
    <w:p w:rsidR="000B6805" w:rsidRDefault="000B6805" w:rsidP="00B73629">
      <w:pPr>
        <w:pStyle w:val="FootnoteText"/>
      </w:pPr>
      <w:r>
        <w:rPr>
          <w:rStyle w:val="FootnoteReference"/>
        </w:rPr>
        <w:footnoteRef/>
      </w:r>
      <w:r>
        <w:t xml:space="preserve"> </w:t>
      </w:r>
      <w:r w:rsidRPr="00DB6370">
        <w:t>http://nzdotstat.stats.govt.nz/wbos/Index.aspx</w:t>
      </w:r>
    </w:p>
  </w:footnote>
  <w:footnote w:id="132">
    <w:p w:rsidR="000B6805" w:rsidRDefault="000B6805" w:rsidP="00B73629">
      <w:pPr>
        <w:pStyle w:val="FootnoteText"/>
      </w:pPr>
      <w:r>
        <w:rPr>
          <w:rStyle w:val="FootnoteReference"/>
        </w:rPr>
        <w:footnoteRef/>
      </w:r>
      <w:r>
        <w:t xml:space="preserve"> </w:t>
      </w:r>
      <w:r w:rsidRPr="00EA2E83">
        <w:t>http://www.stats.govt.nz/Census/2013-census/profile-and-summary-reports/quickstats-income.aspx</w:t>
      </w:r>
    </w:p>
  </w:footnote>
  <w:footnote w:id="133">
    <w:p w:rsidR="000B6805" w:rsidRDefault="000B6805" w:rsidP="00344C8E">
      <w:pPr>
        <w:pStyle w:val="FootnoteText"/>
      </w:pPr>
      <w:r>
        <w:rPr>
          <w:rStyle w:val="FootnoteReference"/>
        </w:rPr>
        <w:footnoteRef/>
      </w:r>
      <w:r>
        <w:t xml:space="preserve"> </w:t>
      </w:r>
      <w:r w:rsidRPr="00DB6370">
        <w:t>http://www.rbnz.govt.nz/statistics/key-graphs/key-graph-mortgage-rates</w:t>
      </w:r>
    </w:p>
  </w:footnote>
  <w:footnote w:id="134">
    <w:p w:rsidR="000B6805" w:rsidRDefault="000B6805" w:rsidP="00344C8E">
      <w:pPr>
        <w:pStyle w:val="FootnoteText"/>
      </w:pPr>
      <w:r>
        <w:rPr>
          <w:rStyle w:val="FootnoteReference"/>
        </w:rPr>
        <w:footnoteRef/>
      </w:r>
      <w:r>
        <w:t xml:space="preserve"> </w:t>
      </w:r>
      <w:r w:rsidRPr="00DB6370">
        <w:t>http://nzdotstat.stats.govt.nz/wbos/Index.aspx</w:t>
      </w:r>
    </w:p>
  </w:footnote>
  <w:footnote w:id="135">
    <w:p w:rsidR="000B6805" w:rsidRDefault="000B6805" w:rsidP="00344C8E">
      <w:pPr>
        <w:pStyle w:val="FootnoteText"/>
      </w:pPr>
      <w:r>
        <w:rPr>
          <w:rStyle w:val="FootnoteReference"/>
        </w:rPr>
        <w:footnoteRef/>
      </w:r>
      <w:r>
        <w:t xml:space="preserve"> </w:t>
      </w:r>
      <w:r w:rsidRPr="00EA2E83">
        <w:t>http://www.stats.govt.nz/Census/2013-census/profile-and-summary-reports/quickstats-income.aspx</w:t>
      </w:r>
    </w:p>
  </w:footnote>
  <w:footnote w:id="136">
    <w:p w:rsidR="000B6805" w:rsidRDefault="000B6805" w:rsidP="00344C8E">
      <w:pPr>
        <w:pStyle w:val="FootnoteText"/>
      </w:pPr>
      <w:r>
        <w:rPr>
          <w:rStyle w:val="FootnoteReference"/>
        </w:rPr>
        <w:footnoteRef/>
      </w:r>
      <w:r>
        <w:t xml:space="preserve"> </w:t>
      </w:r>
      <w:proofErr w:type="gramStart"/>
      <w:r w:rsidRPr="004C21E0">
        <w:t>Statistics New Zealand (2013).</w:t>
      </w:r>
      <w:proofErr w:type="gramEnd"/>
      <w:r w:rsidRPr="004C21E0">
        <w:t xml:space="preserve"> </w:t>
      </w:r>
      <w:proofErr w:type="gramStart"/>
      <w:r w:rsidRPr="004C21E0">
        <w:t>Rental affordability1998–2012: Regional distributions.</w:t>
      </w:r>
      <w:proofErr w:type="gramEnd"/>
    </w:p>
  </w:footnote>
  <w:footnote w:id="137">
    <w:p w:rsidR="000B6805" w:rsidRDefault="000B6805" w:rsidP="00344C8E">
      <w:pPr>
        <w:pStyle w:val="FootnoteText"/>
      </w:pPr>
      <w:r>
        <w:rPr>
          <w:rStyle w:val="FootnoteReference"/>
        </w:rPr>
        <w:footnoteRef/>
      </w:r>
      <w:r>
        <w:t xml:space="preserve"> </w:t>
      </w:r>
      <w:r w:rsidRPr="00DB6370">
        <w:t>http://nzdotstat.stats.govt.nz/wbos/Index.aspx</w:t>
      </w:r>
    </w:p>
  </w:footnote>
  <w:footnote w:id="138">
    <w:p w:rsidR="000B6805" w:rsidRDefault="000B6805" w:rsidP="00344C8E">
      <w:pPr>
        <w:pStyle w:val="FootnoteText"/>
      </w:pPr>
      <w:r>
        <w:rPr>
          <w:rStyle w:val="FootnoteReference"/>
        </w:rPr>
        <w:footnoteRef/>
      </w:r>
      <w:r>
        <w:t xml:space="preserve"> </w:t>
      </w:r>
      <w:r w:rsidRPr="00EA2E83">
        <w:t>http://www.stats.govt.nz/Census/2013-census/profile-and-summary-reports/quickstats-income.aspx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805" w:rsidRPr="00DD6923" w:rsidRDefault="000B6805" w:rsidP="00DD69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805" w:rsidRPr="009539A0" w:rsidRDefault="000B6805" w:rsidP="00F76FE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805" w:rsidRDefault="000B6805" w:rsidP="007B712E">
    <w:pPr>
      <w:pStyle w:val="Header"/>
      <w:tabs>
        <w:tab w:val="clear" w:pos="864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805" w:rsidRPr="009539A0" w:rsidRDefault="000B6805" w:rsidP="00F76FE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805" w:rsidRDefault="000B6805" w:rsidP="007B712E">
    <w:pPr>
      <w:pStyle w:val="Header"/>
      <w:tabs>
        <w:tab w:val="clear" w:pos="8640"/>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805" w:rsidRPr="009539A0" w:rsidRDefault="000B6805" w:rsidP="00F76FE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805" w:rsidRDefault="000B6805" w:rsidP="007B712E">
    <w:pPr>
      <w:pStyle w:val="Header"/>
      <w:tabs>
        <w:tab w:val="clear" w:pos="864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E42E9"/>
    <w:multiLevelType w:val="hybridMultilevel"/>
    <w:tmpl w:val="4CB8B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007887"/>
    <w:multiLevelType w:val="hybridMultilevel"/>
    <w:tmpl w:val="6B5AE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264413"/>
    <w:multiLevelType w:val="hybridMultilevel"/>
    <w:tmpl w:val="C024AE38"/>
    <w:lvl w:ilvl="0" w:tplc="14090001">
      <w:start w:val="1"/>
      <w:numFmt w:val="bullet"/>
      <w:lvlText w:val=""/>
      <w:lvlJc w:val="left"/>
      <w:pPr>
        <w:ind w:left="774" w:hanging="360"/>
      </w:pPr>
      <w:rPr>
        <w:rFonts w:ascii="Symbol" w:hAnsi="Symbol" w:hint="default"/>
      </w:rPr>
    </w:lvl>
    <w:lvl w:ilvl="1" w:tplc="14090003" w:tentative="1">
      <w:start w:val="1"/>
      <w:numFmt w:val="bullet"/>
      <w:lvlText w:val="o"/>
      <w:lvlJc w:val="left"/>
      <w:pPr>
        <w:ind w:left="1494" w:hanging="360"/>
      </w:pPr>
      <w:rPr>
        <w:rFonts w:ascii="Courier New" w:hAnsi="Courier New" w:cs="Courier New" w:hint="default"/>
      </w:rPr>
    </w:lvl>
    <w:lvl w:ilvl="2" w:tplc="14090005" w:tentative="1">
      <w:start w:val="1"/>
      <w:numFmt w:val="bullet"/>
      <w:lvlText w:val=""/>
      <w:lvlJc w:val="left"/>
      <w:pPr>
        <w:ind w:left="2214" w:hanging="360"/>
      </w:pPr>
      <w:rPr>
        <w:rFonts w:ascii="Wingdings" w:hAnsi="Wingdings" w:hint="default"/>
      </w:rPr>
    </w:lvl>
    <w:lvl w:ilvl="3" w:tplc="14090001" w:tentative="1">
      <w:start w:val="1"/>
      <w:numFmt w:val="bullet"/>
      <w:lvlText w:val=""/>
      <w:lvlJc w:val="left"/>
      <w:pPr>
        <w:ind w:left="2934" w:hanging="360"/>
      </w:pPr>
      <w:rPr>
        <w:rFonts w:ascii="Symbol" w:hAnsi="Symbol" w:hint="default"/>
      </w:rPr>
    </w:lvl>
    <w:lvl w:ilvl="4" w:tplc="14090003" w:tentative="1">
      <w:start w:val="1"/>
      <w:numFmt w:val="bullet"/>
      <w:lvlText w:val="o"/>
      <w:lvlJc w:val="left"/>
      <w:pPr>
        <w:ind w:left="3654" w:hanging="360"/>
      </w:pPr>
      <w:rPr>
        <w:rFonts w:ascii="Courier New" w:hAnsi="Courier New" w:cs="Courier New" w:hint="default"/>
      </w:rPr>
    </w:lvl>
    <w:lvl w:ilvl="5" w:tplc="14090005" w:tentative="1">
      <w:start w:val="1"/>
      <w:numFmt w:val="bullet"/>
      <w:lvlText w:val=""/>
      <w:lvlJc w:val="left"/>
      <w:pPr>
        <w:ind w:left="4374" w:hanging="360"/>
      </w:pPr>
      <w:rPr>
        <w:rFonts w:ascii="Wingdings" w:hAnsi="Wingdings" w:hint="default"/>
      </w:rPr>
    </w:lvl>
    <w:lvl w:ilvl="6" w:tplc="14090001" w:tentative="1">
      <w:start w:val="1"/>
      <w:numFmt w:val="bullet"/>
      <w:lvlText w:val=""/>
      <w:lvlJc w:val="left"/>
      <w:pPr>
        <w:ind w:left="5094" w:hanging="360"/>
      </w:pPr>
      <w:rPr>
        <w:rFonts w:ascii="Symbol" w:hAnsi="Symbol" w:hint="default"/>
      </w:rPr>
    </w:lvl>
    <w:lvl w:ilvl="7" w:tplc="14090003" w:tentative="1">
      <w:start w:val="1"/>
      <w:numFmt w:val="bullet"/>
      <w:lvlText w:val="o"/>
      <w:lvlJc w:val="left"/>
      <w:pPr>
        <w:ind w:left="5814" w:hanging="360"/>
      </w:pPr>
      <w:rPr>
        <w:rFonts w:ascii="Courier New" w:hAnsi="Courier New" w:cs="Courier New" w:hint="default"/>
      </w:rPr>
    </w:lvl>
    <w:lvl w:ilvl="8" w:tplc="14090005" w:tentative="1">
      <w:start w:val="1"/>
      <w:numFmt w:val="bullet"/>
      <w:lvlText w:val=""/>
      <w:lvlJc w:val="left"/>
      <w:pPr>
        <w:ind w:left="6534" w:hanging="360"/>
      </w:pPr>
      <w:rPr>
        <w:rFonts w:ascii="Wingdings" w:hAnsi="Wingdings" w:hint="default"/>
      </w:rPr>
    </w:lvl>
  </w:abstractNum>
  <w:abstractNum w:abstractNumId="3">
    <w:nsid w:val="01CC22FF"/>
    <w:multiLevelType w:val="hybridMultilevel"/>
    <w:tmpl w:val="3BA8E814"/>
    <w:lvl w:ilvl="0" w:tplc="1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D862D0"/>
    <w:multiLevelType w:val="hybridMultilevel"/>
    <w:tmpl w:val="FCFCD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2505539"/>
    <w:multiLevelType w:val="hybridMultilevel"/>
    <w:tmpl w:val="83A022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02540434"/>
    <w:multiLevelType w:val="hybridMultilevel"/>
    <w:tmpl w:val="F4BC6A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02FA589E"/>
    <w:multiLevelType w:val="hybridMultilevel"/>
    <w:tmpl w:val="E646B7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03A20B4C"/>
    <w:multiLevelType w:val="hybridMultilevel"/>
    <w:tmpl w:val="6D26DA62"/>
    <w:lvl w:ilvl="0" w:tplc="0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nsid w:val="03F331F2"/>
    <w:multiLevelType w:val="hybridMultilevel"/>
    <w:tmpl w:val="AFFCCDC4"/>
    <w:lvl w:ilvl="0" w:tplc="1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428273F"/>
    <w:multiLevelType w:val="hybridMultilevel"/>
    <w:tmpl w:val="3BA8E814"/>
    <w:lvl w:ilvl="0" w:tplc="1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45B45CF"/>
    <w:multiLevelType w:val="hybridMultilevel"/>
    <w:tmpl w:val="D6D8A3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04BE235C"/>
    <w:multiLevelType w:val="hybridMultilevel"/>
    <w:tmpl w:val="5F1E8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68F520E"/>
    <w:multiLevelType w:val="hybridMultilevel"/>
    <w:tmpl w:val="71427C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078114C9"/>
    <w:multiLevelType w:val="hybridMultilevel"/>
    <w:tmpl w:val="17C64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83223C1"/>
    <w:multiLevelType w:val="hybridMultilevel"/>
    <w:tmpl w:val="964C8960"/>
    <w:lvl w:ilvl="0" w:tplc="8D0A6582">
      <w:start w:val="1"/>
      <w:numFmt w:val="decimal"/>
      <w:pStyle w:val="Numbered"/>
      <w:lvlText w:val="%1."/>
      <w:lvlJc w:val="left"/>
      <w:pPr>
        <w:ind w:left="360" w:hanging="360"/>
      </w:pPr>
      <w:rPr>
        <w:rFonts w:hint="default"/>
        <w:color w:val="808080" w:themeColor="background1" w:themeShade="8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
    <w:nsid w:val="09860584"/>
    <w:multiLevelType w:val="hybridMultilevel"/>
    <w:tmpl w:val="8EB6867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0A5F17B8"/>
    <w:multiLevelType w:val="hybridMultilevel"/>
    <w:tmpl w:val="FEC8CF8E"/>
    <w:lvl w:ilvl="0" w:tplc="B6847A62">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0D0F34A5"/>
    <w:multiLevelType w:val="hybridMultilevel"/>
    <w:tmpl w:val="972E52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0E534427"/>
    <w:multiLevelType w:val="hybridMultilevel"/>
    <w:tmpl w:val="B1CA03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0F322543"/>
    <w:multiLevelType w:val="hybridMultilevel"/>
    <w:tmpl w:val="8A008C90"/>
    <w:lvl w:ilvl="0" w:tplc="B6847A62">
      <w:numFmt w:val="bullet"/>
      <w:lvlText w:val=""/>
      <w:lvlJc w:val="left"/>
      <w:pPr>
        <w:ind w:left="3600" w:hanging="360"/>
      </w:pPr>
      <w:rPr>
        <w:rFonts w:ascii="Symbol" w:eastAsiaTheme="minorHAnsi" w:hAnsi="Symbol" w:cstheme="minorBidi" w:hint="default"/>
      </w:rPr>
    </w:lvl>
    <w:lvl w:ilvl="1" w:tplc="14090003" w:tentative="1">
      <w:start w:val="1"/>
      <w:numFmt w:val="bullet"/>
      <w:lvlText w:val="o"/>
      <w:lvlJc w:val="left"/>
      <w:pPr>
        <w:ind w:left="4320" w:hanging="360"/>
      </w:pPr>
      <w:rPr>
        <w:rFonts w:ascii="Courier New" w:hAnsi="Courier New" w:cs="Courier New" w:hint="default"/>
      </w:rPr>
    </w:lvl>
    <w:lvl w:ilvl="2" w:tplc="14090005" w:tentative="1">
      <w:start w:val="1"/>
      <w:numFmt w:val="bullet"/>
      <w:lvlText w:val=""/>
      <w:lvlJc w:val="left"/>
      <w:pPr>
        <w:ind w:left="5040" w:hanging="360"/>
      </w:pPr>
      <w:rPr>
        <w:rFonts w:ascii="Wingdings" w:hAnsi="Wingdings" w:hint="default"/>
      </w:rPr>
    </w:lvl>
    <w:lvl w:ilvl="3" w:tplc="14090001" w:tentative="1">
      <w:start w:val="1"/>
      <w:numFmt w:val="bullet"/>
      <w:lvlText w:val=""/>
      <w:lvlJc w:val="left"/>
      <w:pPr>
        <w:ind w:left="5760" w:hanging="360"/>
      </w:pPr>
      <w:rPr>
        <w:rFonts w:ascii="Symbol" w:hAnsi="Symbol" w:hint="default"/>
      </w:rPr>
    </w:lvl>
    <w:lvl w:ilvl="4" w:tplc="14090003" w:tentative="1">
      <w:start w:val="1"/>
      <w:numFmt w:val="bullet"/>
      <w:lvlText w:val="o"/>
      <w:lvlJc w:val="left"/>
      <w:pPr>
        <w:ind w:left="6480" w:hanging="360"/>
      </w:pPr>
      <w:rPr>
        <w:rFonts w:ascii="Courier New" w:hAnsi="Courier New" w:cs="Courier New" w:hint="default"/>
      </w:rPr>
    </w:lvl>
    <w:lvl w:ilvl="5" w:tplc="14090005" w:tentative="1">
      <w:start w:val="1"/>
      <w:numFmt w:val="bullet"/>
      <w:lvlText w:val=""/>
      <w:lvlJc w:val="left"/>
      <w:pPr>
        <w:ind w:left="7200" w:hanging="360"/>
      </w:pPr>
      <w:rPr>
        <w:rFonts w:ascii="Wingdings" w:hAnsi="Wingdings" w:hint="default"/>
      </w:rPr>
    </w:lvl>
    <w:lvl w:ilvl="6" w:tplc="14090001" w:tentative="1">
      <w:start w:val="1"/>
      <w:numFmt w:val="bullet"/>
      <w:lvlText w:val=""/>
      <w:lvlJc w:val="left"/>
      <w:pPr>
        <w:ind w:left="7920" w:hanging="360"/>
      </w:pPr>
      <w:rPr>
        <w:rFonts w:ascii="Symbol" w:hAnsi="Symbol" w:hint="default"/>
      </w:rPr>
    </w:lvl>
    <w:lvl w:ilvl="7" w:tplc="14090003" w:tentative="1">
      <w:start w:val="1"/>
      <w:numFmt w:val="bullet"/>
      <w:lvlText w:val="o"/>
      <w:lvlJc w:val="left"/>
      <w:pPr>
        <w:ind w:left="8640" w:hanging="360"/>
      </w:pPr>
      <w:rPr>
        <w:rFonts w:ascii="Courier New" w:hAnsi="Courier New" w:cs="Courier New" w:hint="default"/>
      </w:rPr>
    </w:lvl>
    <w:lvl w:ilvl="8" w:tplc="14090005" w:tentative="1">
      <w:start w:val="1"/>
      <w:numFmt w:val="bullet"/>
      <w:lvlText w:val=""/>
      <w:lvlJc w:val="left"/>
      <w:pPr>
        <w:ind w:left="9360" w:hanging="360"/>
      </w:pPr>
      <w:rPr>
        <w:rFonts w:ascii="Wingdings" w:hAnsi="Wingdings" w:hint="default"/>
      </w:rPr>
    </w:lvl>
  </w:abstractNum>
  <w:abstractNum w:abstractNumId="21">
    <w:nsid w:val="0FF60158"/>
    <w:multiLevelType w:val="hybridMultilevel"/>
    <w:tmpl w:val="76306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04300A5"/>
    <w:multiLevelType w:val="hybridMultilevel"/>
    <w:tmpl w:val="886408F0"/>
    <w:lvl w:ilvl="0" w:tplc="1409000F">
      <w:start w:val="1"/>
      <w:numFmt w:val="decimal"/>
      <w:lvlText w:val="%1."/>
      <w:lvlJc w:val="left"/>
      <w:pPr>
        <w:ind w:left="36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nsid w:val="12A039DA"/>
    <w:multiLevelType w:val="hybridMultilevel"/>
    <w:tmpl w:val="5F6C4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45D6CF2"/>
    <w:multiLevelType w:val="hybridMultilevel"/>
    <w:tmpl w:val="AFD87FAA"/>
    <w:lvl w:ilvl="0" w:tplc="1409000F">
      <w:start w:val="1"/>
      <w:numFmt w:val="decimal"/>
      <w:lvlText w:val="%1."/>
      <w:lvlJc w:val="left"/>
      <w:pPr>
        <w:ind w:left="720" w:hanging="360"/>
      </w:pPr>
      <w:rPr>
        <w:rFont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156F6A80"/>
    <w:multiLevelType w:val="hybridMultilevel"/>
    <w:tmpl w:val="D918218A"/>
    <w:lvl w:ilvl="0" w:tplc="5308E87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7246D0D"/>
    <w:multiLevelType w:val="hybridMultilevel"/>
    <w:tmpl w:val="BE80DA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175A118D"/>
    <w:multiLevelType w:val="hybridMultilevel"/>
    <w:tmpl w:val="886408F0"/>
    <w:lvl w:ilvl="0" w:tplc="1409000F">
      <w:start w:val="1"/>
      <w:numFmt w:val="decimal"/>
      <w:lvlText w:val="%1."/>
      <w:lvlJc w:val="left"/>
      <w:pPr>
        <w:ind w:left="36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nsid w:val="18873A3A"/>
    <w:multiLevelType w:val="hybridMultilevel"/>
    <w:tmpl w:val="21620C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18EE1849"/>
    <w:multiLevelType w:val="multilevel"/>
    <w:tmpl w:val="0B64637A"/>
    <w:styleLink w:val="AnnexHeadings"/>
    <w:lvl w:ilvl="0">
      <w:start w:val="1"/>
      <w:numFmt w:val="decimal"/>
      <w:pStyle w:val="Annex1"/>
      <w:lvlText w:val="A%1"/>
      <w:lvlJc w:val="left"/>
      <w:pPr>
        <w:tabs>
          <w:tab w:val="num" w:pos="1021"/>
        </w:tabs>
        <w:ind w:left="1021" w:hanging="1021"/>
      </w:pPr>
      <w:rPr>
        <w:rFonts w:ascii="Century Gothic" w:hAnsi="Century Gothic" w:hint="default"/>
        <w:b/>
        <w:sz w:val="36"/>
      </w:rPr>
    </w:lvl>
    <w:lvl w:ilvl="1">
      <w:start w:val="1"/>
      <w:numFmt w:val="decimal"/>
      <w:pStyle w:val="Annex2"/>
      <w:lvlText w:val="A%1.%2"/>
      <w:lvlJc w:val="left"/>
      <w:pPr>
        <w:tabs>
          <w:tab w:val="num" w:pos="1021"/>
        </w:tabs>
        <w:ind w:left="1021" w:hanging="1021"/>
      </w:pPr>
      <w:rPr>
        <w:rFonts w:ascii="Century Gothic" w:hAnsi="Century Gothic" w:hint="default"/>
        <w:b/>
        <w:sz w:val="24"/>
      </w:rPr>
    </w:lvl>
    <w:lvl w:ilvl="2">
      <w:start w:val="1"/>
      <w:numFmt w:val="decimal"/>
      <w:pStyle w:val="Annex3"/>
      <w:lvlText w:val="A%1.%2.%3"/>
      <w:lvlJc w:val="left"/>
      <w:pPr>
        <w:tabs>
          <w:tab w:val="num" w:pos="1021"/>
        </w:tabs>
        <w:ind w:left="1021" w:hanging="1021"/>
      </w:pPr>
      <w:rPr>
        <w:rFonts w:ascii="Century Gothic" w:hAnsi="Century Gothic" w:hint="default"/>
        <w:b/>
        <w:sz w:val="21"/>
      </w:rPr>
    </w:lvl>
    <w:lvl w:ilvl="3">
      <w:start w:val="1"/>
      <w:numFmt w:val="decimal"/>
      <w:lvlText w:val="(%4)"/>
      <w:lvlJc w:val="left"/>
      <w:pPr>
        <w:ind w:left="6061" w:hanging="360"/>
      </w:pPr>
      <w:rPr>
        <w:rFonts w:hint="default"/>
      </w:rPr>
    </w:lvl>
    <w:lvl w:ilvl="4">
      <w:start w:val="1"/>
      <w:numFmt w:val="lowerLetter"/>
      <w:lvlText w:val="(%5)"/>
      <w:lvlJc w:val="left"/>
      <w:pPr>
        <w:ind w:left="6421" w:hanging="360"/>
      </w:pPr>
      <w:rPr>
        <w:rFonts w:hint="default"/>
      </w:rPr>
    </w:lvl>
    <w:lvl w:ilvl="5">
      <w:start w:val="1"/>
      <w:numFmt w:val="lowerRoman"/>
      <w:lvlText w:val="(%6)"/>
      <w:lvlJc w:val="left"/>
      <w:pPr>
        <w:ind w:left="6781" w:hanging="360"/>
      </w:pPr>
      <w:rPr>
        <w:rFonts w:hint="default"/>
      </w:rPr>
    </w:lvl>
    <w:lvl w:ilvl="6">
      <w:start w:val="1"/>
      <w:numFmt w:val="decimal"/>
      <w:lvlText w:val="%7."/>
      <w:lvlJc w:val="left"/>
      <w:pPr>
        <w:ind w:left="7141" w:hanging="360"/>
      </w:pPr>
      <w:rPr>
        <w:rFonts w:hint="default"/>
      </w:rPr>
    </w:lvl>
    <w:lvl w:ilvl="7">
      <w:start w:val="1"/>
      <w:numFmt w:val="lowerLetter"/>
      <w:lvlText w:val="%8."/>
      <w:lvlJc w:val="left"/>
      <w:pPr>
        <w:ind w:left="7501" w:hanging="360"/>
      </w:pPr>
      <w:rPr>
        <w:rFonts w:hint="default"/>
      </w:rPr>
    </w:lvl>
    <w:lvl w:ilvl="8">
      <w:start w:val="1"/>
      <w:numFmt w:val="lowerRoman"/>
      <w:lvlText w:val="%9."/>
      <w:lvlJc w:val="left"/>
      <w:pPr>
        <w:ind w:left="7861" w:hanging="360"/>
      </w:pPr>
      <w:rPr>
        <w:rFonts w:hint="default"/>
      </w:rPr>
    </w:lvl>
  </w:abstractNum>
  <w:abstractNum w:abstractNumId="30">
    <w:nsid w:val="190D33C1"/>
    <w:multiLevelType w:val="hybridMultilevel"/>
    <w:tmpl w:val="6B52C352"/>
    <w:lvl w:ilvl="0" w:tplc="1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A6E237B"/>
    <w:multiLevelType w:val="hybridMultilevel"/>
    <w:tmpl w:val="34B8F67C"/>
    <w:lvl w:ilvl="0" w:tplc="EC7C1310">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1C6A3318"/>
    <w:multiLevelType w:val="hybridMultilevel"/>
    <w:tmpl w:val="A7085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CCF776B"/>
    <w:multiLevelType w:val="multilevel"/>
    <w:tmpl w:val="CF2449FC"/>
    <w:lvl w:ilvl="0">
      <w:start w:val="1"/>
      <w:numFmt w:val="decimal"/>
      <w:pStyle w:val="Heading1"/>
      <w:lvlText w:val="%1"/>
      <w:lvlJc w:val="left"/>
      <w:pPr>
        <w:ind w:left="360" w:hanging="360"/>
      </w:pPr>
      <w:rPr>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tabs>
          <w:tab w:val="num" w:pos="357"/>
        </w:tabs>
        <w:ind w:left="357" w:hanging="357"/>
      </w:pPr>
      <w:rPr>
        <w:rFonts w:ascii="Century Gothic" w:hAnsi="Century Gothic" w:hint="default"/>
        <w:b/>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tabs>
          <w:tab w:val="num" w:pos="357"/>
        </w:tabs>
        <w:ind w:left="357" w:hanging="357"/>
      </w:pPr>
      <w:rPr>
        <w:rFonts w:hint="default"/>
      </w:rPr>
    </w:lvl>
    <w:lvl w:ilvl="3">
      <w:start w:val="1"/>
      <w:numFmt w:val="decimal"/>
      <w:lvlText w:val="%1.%2.%3.%4."/>
      <w:lvlJc w:val="left"/>
      <w:pPr>
        <w:tabs>
          <w:tab w:val="num" w:pos="2160"/>
        </w:tabs>
        <w:ind w:left="1728" w:hanging="1728"/>
      </w:pPr>
      <w:rPr>
        <w:rFonts w:hint="default"/>
      </w:rPr>
    </w:lvl>
    <w:lvl w:ilvl="4">
      <w:start w:val="1"/>
      <w:numFmt w:val="decimal"/>
      <w:lvlText w:val="%1.%2.%3.%4.%5."/>
      <w:lvlJc w:val="left"/>
      <w:pPr>
        <w:tabs>
          <w:tab w:val="num" w:pos="2520"/>
        </w:tabs>
        <w:ind w:left="2232" w:hanging="2232"/>
      </w:pPr>
      <w:rPr>
        <w:rFonts w:hint="default"/>
      </w:rPr>
    </w:lvl>
    <w:lvl w:ilvl="5">
      <w:start w:val="1"/>
      <w:numFmt w:val="decimal"/>
      <w:lvlText w:val="%1.%2.%3.%4.%5.%6."/>
      <w:lvlJc w:val="left"/>
      <w:pPr>
        <w:tabs>
          <w:tab w:val="num" w:pos="3240"/>
        </w:tabs>
        <w:ind w:left="2736" w:hanging="2736"/>
      </w:pPr>
      <w:rPr>
        <w:rFonts w:hint="default"/>
      </w:rPr>
    </w:lvl>
    <w:lvl w:ilvl="6">
      <w:start w:val="1"/>
      <w:numFmt w:val="decimal"/>
      <w:lvlText w:val="%1.%2.%3.%4.%5.%6.%7."/>
      <w:lvlJc w:val="left"/>
      <w:pPr>
        <w:tabs>
          <w:tab w:val="num" w:pos="3600"/>
        </w:tabs>
        <w:ind w:left="3240" w:hanging="3240"/>
      </w:pPr>
      <w:rPr>
        <w:rFonts w:hint="default"/>
      </w:rPr>
    </w:lvl>
    <w:lvl w:ilvl="7">
      <w:start w:val="1"/>
      <w:numFmt w:val="decimal"/>
      <w:lvlText w:val="%1.%2.%3.%4.%5.%6.%7.%8."/>
      <w:lvlJc w:val="left"/>
      <w:pPr>
        <w:tabs>
          <w:tab w:val="num" w:pos="4320"/>
        </w:tabs>
        <w:ind w:left="3744" w:hanging="3744"/>
      </w:pPr>
      <w:rPr>
        <w:rFonts w:hint="default"/>
      </w:rPr>
    </w:lvl>
    <w:lvl w:ilvl="8">
      <w:start w:val="1"/>
      <w:numFmt w:val="decimal"/>
      <w:lvlText w:val="%1.%2.%3.%4.%5.%6.%7.%8.%9."/>
      <w:lvlJc w:val="left"/>
      <w:pPr>
        <w:tabs>
          <w:tab w:val="num" w:pos="4680"/>
        </w:tabs>
        <w:ind w:left="4320" w:hanging="4320"/>
      </w:pPr>
      <w:rPr>
        <w:rFonts w:hint="default"/>
      </w:rPr>
    </w:lvl>
  </w:abstractNum>
  <w:abstractNum w:abstractNumId="34">
    <w:nsid w:val="1D1C0206"/>
    <w:multiLevelType w:val="hybridMultilevel"/>
    <w:tmpl w:val="B79EDF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1DDE7331"/>
    <w:multiLevelType w:val="hybridMultilevel"/>
    <w:tmpl w:val="496655EE"/>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nsid w:val="1E9F7DFE"/>
    <w:multiLevelType w:val="hybridMultilevel"/>
    <w:tmpl w:val="886408F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nsid w:val="1ED164BE"/>
    <w:multiLevelType w:val="hybridMultilevel"/>
    <w:tmpl w:val="77FEEC1E"/>
    <w:lvl w:ilvl="0" w:tplc="1409000F">
      <w:start w:val="1"/>
      <w:numFmt w:val="decimal"/>
      <w:lvlText w:val="%1."/>
      <w:lvlJc w:val="left"/>
      <w:pPr>
        <w:ind w:left="36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nsid w:val="1EFA137D"/>
    <w:multiLevelType w:val="hybridMultilevel"/>
    <w:tmpl w:val="DAC68742"/>
    <w:lvl w:ilvl="0" w:tplc="5EE055A8">
      <w:start w:val="1"/>
      <w:numFmt w:val="decimal"/>
      <w:lvlText w:val="%1."/>
      <w:lvlJc w:val="left"/>
      <w:pPr>
        <w:ind w:left="219" w:hanging="360"/>
      </w:pPr>
      <w:rPr>
        <w:rFonts w:asciiTheme="minorHAnsi" w:hAnsiTheme="minorHAnsi" w:hint="default"/>
        <w:sz w:val="22"/>
        <w:szCs w:val="22"/>
      </w:rPr>
    </w:lvl>
    <w:lvl w:ilvl="1" w:tplc="14090001">
      <w:start w:val="1"/>
      <w:numFmt w:val="bullet"/>
      <w:lvlText w:val=""/>
      <w:lvlJc w:val="left"/>
      <w:pPr>
        <w:ind w:left="939" w:hanging="360"/>
      </w:pPr>
      <w:rPr>
        <w:rFonts w:ascii="Symbol" w:hAnsi="Symbol" w:hint="default"/>
      </w:rPr>
    </w:lvl>
    <w:lvl w:ilvl="2" w:tplc="1409001B">
      <w:start w:val="1"/>
      <w:numFmt w:val="lowerRoman"/>
      <w:lvlText w:val="%3."/>
      <w:lvlJc w:val="right"/>
      <w:pPr>
        <w:ind w:left="1659" w:hanging="180"/>
      </w:pPr>
    </w:lvl>
    <w:lvl w:ilvl="3" w:tplc="1409000F" w:tentative="1">
      <w:start w:val="1"/>
      <w:numFmt w:val="decimal"/>
      <w:lvlText w:val="%4."/>
      <w:lvlJc w:val="left"/>
      <w:pPr>
        <w:ind w:left="2379" w:hanging="360"/>
      </w:pPr>
    </w:lvl>
    <w:lvl w:ilvl="4" w:tplc="14090019" w:tentative="1">
      <w:start w:val="1"/>
      <w:numFmt w:val="lowerLetter"/>
      <w:lvlText w:val="%5."/>
      <w:lvlJc w:val="left"/>
      <w:pPr>
        <w:ind w:left="3099" w:hanging="360"/>
      </w:pPr>
    </w:lvl>
    <w:lvl w:ilvl="5" w:tplc="1409001B" w:tentative="1">
      <w:start w:val="1"/>
      <w:numFmt w:val="lowerRoman"/>
      <w:lvlText w:val="%6."/>
      <w:lvlJc w:val="right"/>
      <w:pPr>
        <w:ind w:left="3819" w:hanging="180"/>
      </w:pPr>
    </w:lvl>
    <w:lvl w:ilvl="6" w:tplc="1409000F" w:tentative="1">
      <w:start w:val="1"/>
      <w:numFmt w:val="decimal"/>
      <w:lvlText w:val="%7."/>
      <w:lvlJc w:val="left"/>
      <w:pPr>
        <w:ind w:left="4539" w:hanging="360"/>
      </w:pPr>
    </w:lvl>
    <w:lvl w:ilvl="7" w:tplc="14090019" w:tentative="1">
      <w:start w:val="1"/>
      <w:numFmt w:val="lowerLetter"/>
      <w:lvlText w:val="%8."/>
      <w:lvlJc w:val="left"/>
      <w:pPr>
        <w:ind w:left="5259" w:hanging="360"/>
      </w:pPr>
    </w:lvl>
    <w:lvl w:ilvl="8" w:tplc="1409001B" w:tentative="1">
      <w:start w:val="1"/>
      <w:numFmt w:val="lowerRoman"/>
      <w:lvlText w:val="%9."/>
      <w:lvlJc w:val="right"/>
      <w:pPr>
        <w:ind w:left="5979" w:hanging="180"/>
      </w:pPr>
    </w:lvl>
  </w:abstractNum>
  <w:abstractNum w:abstractNumId="39">
    <w:nsid w:val="1F0D63D9"/>
    <w:multiLevelType w:val="hybridMultilevel"/>
    <w:tmpl w:val="B2D298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nsid w:val="1F3A2AD5"/>
    <w:multiLevelType w:val="hybridMultilevel"/>
    <w:tmpl w:val="59989E54"/>
    <w:lvl w:ilvl="0" w:tplc="4AE49FEE">
      <w:start w:val="3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0021D6F"/>
    <w:multiLevelType w:val="hybridMultilevel"/>
    <w:tmpl w:val="D1E4C9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nsid w:val="20102CDF"/>
    <w:multiLevelType w:val="hybridMultilevel"/>
    <w:tmpl w:val="5F2A3C62"/>
    <w:lvl w:ilvl="0" w:tplc="1DB2755A">
      <w:start w:val="1"/>
      <w:numFmt w:val="bullet"/>
      <w:lvlText w:val=""/>
      <w:lvlJc w:val="center"/>
      <w:pPr>
        <w:ind w:left="1074" w:hanging="360"/>
      </w:pPr>
      <w:rPr>
        <w:rFonts w:ascii="Symbol" w:hAnsi="Symbol" w:hint="default"/>
      </w:rPr>
    </w:lvl>
    <w:lvl w:ilvl="1" w:tplc="04090003" w:tentative="1">
      <w:start w:val="1"/>
      <w:numFmt w:val="bullet"/>
      <w:lvlText w:val="o"/>
      <w:lvlJc w:val="left"/>
      <w:pPr>
        <w:ind w:left="1794" w:hanging="360"/>
      </w:pPr>
      <w:rPr>
        <w:rFonts w:ascii="Courier New" w:hAnsi="Courier New" w:cs="Courier New" w:hint="default"/>
      </w:rPr>
    </w:lvl>
    <w:lvl w:ilvl="2" w:tplc="04090005" w:tentative="1">
      <w:start w:val="1"/>
      <w:numFmt w:val="bullet"/>
      <w:lvlText w:val=""/>
      <w:lvlJc w:val="left"/>
      <w:pPr>
        <w:ind w:left="2514" w:hanging="360"/>
      </w:pPr>
      <w:rPr>
        <w:rFonts w:ascii="Wingdings" w:hAnsi="Wingdings" w:hint="default"/>
      </w:rPr>
    </w:lvl>
    <w:lvl w:ilvl="3" w:tplc="04090001" w:tentative="1">
      <w:start w:val="1"/>
      <w:numFmt w:val="bullet"/>
      <w:lvlText w:val=""/>
      <w:lvlJc w:val="left"/>
      <w:pPr>
        <w:ind w:left="3234" w:hanging="360"/>
      </w:pPr>
      <w:rPr>
        <w:rFonts w:ascii="Symbol" w:hAnsi="Symbol" w:hint="default"/>
      </w:rPr>
    </w:lvl>
    <w:lvl w:ilvl="4" w:tplc="04090003" w:tentative="1">
      <w:start w:val="1"/>
      <w:numFmt w:val="bullet"/>
      <w:lvlText w:val="o"/>
      <w:lvlJc w:val="left"/>
      <w:pPr>
        <w:ind w:left="3954" w:hanging="360"/>
      </w:pPr>
      <w:rPr>
        <w:rFonts w:ascii="Courier New" w:hAnsi="Courier New" w:cs="Courier New" w:hint="default"/>
      </w:rPr>
    </w:lvl>
    <w:lvl w:ilvl="5" w:tplc="04090005" w:tentative="1">
      <w:start w:val="1"/>
      <w:numFmt w:val="bullet"/>
      <w:lvlText w:val=""/>
      <w:lvlJc w:val="left"/>
      <w:pPr>
        <w:ind w:left="4674" w:hanging="360"/>
      </w:pPr>
      <w:rPr>
        <w:rFonts w:ascii="Wingdings" w:hAnsi="Wingdings" w:hint="default"/>
      </w:rPr>
    </w:lvl>
    <w:lvl w:ilvl="6" w:tplc="04090001" w:tentative="1">
      <w:start w:val="1"/>
      <w:numFmt w:val="bullet"/>
      <w:lvlText w:val=""/>
      <w:lvlJc w:val="left"/>
      <w:pPr>
        <w:ind w:left="5394" w:hanging="360"/>
      </w:pPr>
      <w:rPr>
        <w:rFonts w:ascii="Symbol" w:hAnsi="Symbol" w:hint="default"/>
      </w:rPr>
    </w:lvl>
    <w:lvl w:ilvl="7" w:tplc="04090003" w:tentative="1">
      <w:start w:val="1"/>
      <w:numFmt w:val="bullet"/>
      <w:lvlText w:val="o"/>
      <w:lvlJc w:val="left"/>
      <w:pPr>
        <w:ind w:left="6114" w:hanging="360"/>
      </w:pPr>
      <w:rPr>
        <w:rFonts w:ascii="Courier New" w:hAnsi="Courier New" w:cs="Courier New" w:hint="default"/>
      </w:rPr>
    </w:lvl>
    <w:lvl w:ilvl="8" w:tplc="04090005" w:tentative="1">
      <w:start w:val="1"/>
      <w:numFmt w:val="bullet"/>
      <w:lvlText w:val=""/>
      <w:lvlJc w:val="left"/>
      <w:pPr>
        <w:ind w:left="6834" w:hanging="360"/>
      </w:pPr>
      <w:rPr>
        <w:rFonts w:ascii="Wingdings" w:hAnsi="Wingdings" w:hint="default"/>
      </w:rPr>
    </w:lvl>
  </w:abstractNum>
  <w:abstractNum w:abstractNumId="43">
    <w:nsid w:val="2058127B"/>
    <w:multiLevelType w:val="hybridMultilevel"/>
    <w:tmpl w:val="78C20934"/>
    <w:lvl w:ilvl="0" w:tplc="B6847A62">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nsid w:val="20BF7F28"/>
    <w:multiLevelType w:val="hybridMultilevel"/>
    <w:tmpl w:val="F9140A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nsid w:val="214F107C"/>
    <w:multiLevelType w:val="hybridMultilevel"/>
    <w:tmpl w:val="5406FDF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6">
    <w:nsid w:val="248701A0"/>
    <w:multiLevelType w:val="hybridMultilevel"/>
    <w:tmpl w:val="EF648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5724217"/>
    <w:multiLevelType w:val="hybridMultilevel"/>
    <w:tmpl w:val="65D07D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nsid w:val="270477CB"/>
    <w:multiLevelType w:val="hybridMultilevel"/>
    <w:tmpl w:val="04D262FA"/>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nsid w:val="275C3B3F"/>
    <w:multiLevelType w:val="hybridMultilevel"/>
    <w:tmpl w:val="345AB0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nsid w:val="27ED6676"/>
    <w:multiLevelType w:val="hybridMultilevel"/>
    <w:tmpl w:val="FE90A636"/>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1">
    <w:nsid w:val="280F0B2A"/>
    <w:multiLevelType w:val="hybridMultilevel"/>
    <w:tmpl w:val="12800C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nsid w:val="28FA29F9"/>
    <w:multiLevelType w:val="hybridMultilevel"/>
    <w:tmpl w:val="FF3C456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nsid w:val="2A9C64D8"/>
    <w:multiLevelType w:val="hybridMultilevel"/>
    <w:tmpl w:val="978C56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nsid w:val="2AC21D0B"/>
    <w:multiLevelType w:val="hybridMultilevel"/>
    <w:tmpl w:val="BA4A61DE"/>
    <w:lvl w:ilvl="0" w:tplc="B6847A62">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nsid w:val="2B2F7402"/>
    <w:multiLevelType w:val="hybridMultilevel"/>
    <w:tmpl w:val="73C484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nsid w:val="2D530791"/>
    <w:multiLevelType w:val="hybridMultilevel"/>
    <w:tmpl w:val="0BB685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nsid w:val="2E287A26"/>
    <w:multiLevelType w:val="hybridMultilevel"/>
    <w:tmpl w:val="7506D67C"/>
    <w:lvl w:ilvl="0" w:tplc="C7DE233E">
      <w:numFmt w:val="bullet"/>
      <w:lvlText w:val=""/>
      <w:lvlJc w:val="left"/>
      <w:pPr>
        <w:ind w:left="360" w:hanging="360"/>
      </w:pPr>
      <w:rPr>
        <w:rFonts w:ascii="Symbol" w:eastAsiaTheme="minorHAnsi" w:hAnsi="Symbol"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30597E8E"/>
    <w:multiLevelType w:val="hybridMultilevel"/>
    <w:tmpl w:val="B540DB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nsid w:val="3155476C"/>
    <w:multiLevelType w:val="hybridMultilevel"/>
    <w:tmpl w:val="8B524D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nsid w:val="31A016B6"/>
    <w:multiLevelType w:val="hybridMultilevel"/>
    <w:tmpl w:val="E43EE2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nsid w:val="337E151C"/>
    <w:multiLevelType w:val="hybridMultilevel"/>
    <w:tmpl w:val="33FA89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nsid w:val="36C01DDB"/>
    <w:multiLevelType w:val="hybridMultilevel"/>
    <w:tmpl w:val="03FC2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70C739D"/>
    <w:multiLevelType w:val="hybridMultilevel"/>
    <w:tmpl w:val="273A4E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7561240"/>
    <w:multiLevelType w:val="hybridMultilevel"/>
    <w:tmpl w:val="9FFC06E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5">
    <w:nsid w:val="3896248F"/>
    <w:multiLevelType w:val="hybridMultilevel"/>
    <w:tmpl w:val="7A742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9890D62"/>
    <w:multiLevelType w:val="hybridMultilevel"/>
    <w:tmpl w:val="55C259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nsid w:val="3A686450"/>
    <w:multiLevelType w:val="hybridMultilevel"/>
    <w:tmpl w:val="1D98B03E"/>
    <w:lvl w:ilvl="0" w:tplc="1DB2755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07C12A1"/>
    <w:multiLevelType w:val="hybridMultilevel"/>
    <w:tmpl w:val="B1741B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9">
    <w:nsid w:val="435A1717"/>
    <w:multiLevelType w:val="hybridMultilevel"/>
    <w:tmpl w:val="75804C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nsid w:val="44715B2E"/>
    <w:multiLevelType w:val="hybridMultilevel"/>
    <w:tmpl w:val="73F869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nsid w:val="45052632"/>
    <w:multiLevelType w:val="hybridMultilevel"/>
    <w:tmpl w:val="EC8A1330"/>
    <w:lvl w:ilvl="0" w:tplc="1DB2755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56B4A07"/>
    <w:multiLevelType w:val="hybridMultilevel"/>
    <w:tmpl w:val="485683AA"/>
    <w:lvl w:ilvl="0" w:tplc="7E760A0C">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3">
    <w:nsid w:val="461314F7"/>
    <w:multiLevelType w:val="hybridMultilevel"/>
    <w:tmpl w:val="ECB0C206"/>
    <w:lvl w:ilvl="0" w:tplc="C04CD9B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615657E"/>
    <w:multiLevelType w:val="hybridMultilevel"/>
    <w:tmpl w:val="C52817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5">
    <w:nsid w:val="47C74F84"/>
    <w:multiLevelType w:val="hybridMultilevel"/>
    <w:tmpl w:val="8702BAD2"/>
    <w:lvl w:ilvl="0" w:tplc="B6847A62">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nsid w:val="480B13F1"/>
    <w:multiLevelType w:val="hybridMultilevel"/>
    <w:tmpl w:val="702E16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7">
    <w:nsid w:val="4810510B"/>
    <w:multiLevelType w:val="hybridMultilevel"/>
    <w:tmpl w:val="8D06AB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8703AB2"/>
    <w:multiLevelType w:val="hybridMultilevel"/>
    <w:tmpl w:val="EE025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9200A83"/>
    <w:multiLevelType w:val="hybridMultilevel"/>
    <w:tmpl w:val="0A408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9C83AB3"/>
    <w:multiLevelType w:val="hybridMultilevel"/>
    <w:tmpl w:val="686EA2C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1">
    <w:nsid w:val="4B22293B"/>
    <w:multiLevelType w:val="hybridMultilevel"/>
    <w:tmpl w:val="126E70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2">
    <w:nsid w:val="4DC83DC2"/>
    <w:multiLevelType w:val="multilevel"/>
    <w:tmpl w:val="0B64637A"/>
    <w:numStyleLink w:val="AnnexHeadings"/>
  </w:abstractNum>
  <w:abstractNum w:abstractNumId="83">
    <w:nsid w:val="507425D7"/>
    <w:multiLevelType w:val="hybridMultilevel"/>
    <w:tmpl w:val="25EC3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2622F76"/>
    <w:multiLevelType w:val="hybridMultilevel"/>
    <w:tmpl w:val="35E02E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5">
    <w:nsid w:val="5335609B"/>
    <w:multiLevelType w:val="hybridMultilevel"/>
    <w:tmpl w:val="A658030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6">
    <w:nsid w:val="534848A8"/>
    <w:multiLevelType w:val="hybridMultilevel"/>
    <w:tmpl w:val="0BD8CB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7">
    <w:nsid w:val="55BC625C"/>
    <w:multiLevelType w:val="hybridMultilevel"/>
    <w:tmpl w:val="834C70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8">
    <w:nsid w:val="55FA310D"/>
    <w:multiLevelType w:val="hybridMultilevel"/>
    <w:tmpl w:val="EB9AFC3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68865B4"/>
    <w:multiLevelType w:val="hybridMultilevel"/>
    <w:tmpl w:val="4CDAC3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6F07E22"/>
    <w:multiLevelType w:val="hybridMultilevel"/>
    <w:tmpl w:val="4344FD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1">
    <w:nsid w:val="5839402D"/>
    <w:multiLevelType w:val="hybridMultilevel"/>
    <w:tmpl w:val="9D7052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2">
    <w:nsid w:val="5D747E00"/>
    <w:multiLevelType w:val="hybridMultilevel"/>
    <w:tmpl w:val="562A0B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3">
    <w:nsid w:val="613C74EA"/>
    <w:multiLevelType w:val="hybridMultilevel"/>
    <w:tmpl w:val="11C615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4">
    <w:nsid w:val="61D43DE4"/>
    <w:multiLevelType w:val="hybridMultilevel"/>
    <w:tmpl w:val="2FE01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2743609"/>
    <w:multiLevelType w:val="hybridMultilevel"/>
    <w:tmpl w:val="5F4089C4"/>
    <w:lvl w:ilvl="0" w:tplc="1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31F6845"/>
    <w:multiLevelType w:val="hybridMultilevel"/>
    <w:tmpl w:val="E9F4E3D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7">
    <w:nsid w:val="63417B65"/>
    <w:multiLevelType w:val="hybridMultilevel"/>
    <w:tmpl w:val="4208AF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8">
    <w:nsid w:val="653B60C4"/>
    <w:multiLevelType w:val="hybridMultilevel"/>
    <w:tmpl w:val="FAD8B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7EE74EA"/>
    <w:multiLevelType w:val="hybridMultilevel"/>
    <w:tmpl w:val="2FC4F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8B3692F"/>
    <w:multiLevelType w:val="hybridMultilevel"/>
    <w:tmpl w:val="F35A7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92B76BD"/>
    <w:multiLevelType w:val="hybridMultilevel"/>
    <w:tmpl w:val="FD52C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A57614F"/>
    <w:multiLevelType w:val="hybridMultilevel"/>
    <w:tmpl w:val="AE5EE9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3">
    <w:nsid w:val="70BC3A79"/>
    <w:multiLevelType w:val="hybridMultilevel"/>
    <w:tmpl w:val="D05C0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2101986"/>
    <w:multiLevelType w:val="hybridMultilevel"/>
    <w:tmpl w:val="9DB256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5">
    <w:nsid w:val="740F3BC4"/>
    <w:multiLevelType w:val="hybridMultilevel"/>
    <w:tmpl w:val="BD1ED342"/>
    <w:lvl w:ilvl="0" w:tplc="B6847A62">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6">
    <w:nsid w:val="74AC3A95"/>
    <w:multiLevelType w:val="hybridMultilevel"/>
    <w:tmpl w:val="2FDA2048"/>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start w:val="1"/>
      <w:numFmt w:val="bullet"/>
      <w:lvlText w:val=""/>
      <w:lvlJc w:val="left"/>
      <w:pPr>
        <w:ind w:left="2218" w:hanging="360"/>
      </w:pPr>
      <w:rPr>
        <w:rFonts w:ascii="Wingdings" w:hAnsi="Wingdings" w:hint="default"/>
      </w:rPr>
    </w:lvl>
    <w:lvl w:ilvl="3" w:tplc="04090001">
      <w:start w:val="1"/>
      <w:numFmt w:val="bullet"/>
      <w:lvlText w:val=""/>
      <w:lvlJc w:val="left"/>
      <w:pPr>
        <w:ind w:left="2938" w:hanging="360"/>
      </w:pPr>
      <w:rPr>
        <w:rFonts w:ascii="Symbol" w:hAnsi="Symbol" w:hint="default"/>
      </w:rPr>
    </w:lvl>
    <w:lvl w:ilvl="4" w:tplc="04090003">
      <w:start w:val="1"/>
      <w:numFmt w:val="bullet"/>
      <w:lvlText w:val="o"/>
      <w:lvlJc w:val="left"/>
      <w:pPr>
        <w:ind w:left="3658" w:hanging="360"/>
      </w:pPr>
      <w:rPr>
        <w:rFonts w:ascii="Courier New" w:hAnsi="Courier New" w:cs="Courier New" w:hint="default"/>
      </w:rPr>
    </w:lvl>
    <w:lvl w:ilvl="5" w:tplc="04090005">
      <w:start w:val="1"/>
      <w:numFmt w:val="bullet"/>
      <w:lvlText w:val=""/>
      <w:lvlJc w:val="left"/>
      <w:pPr>
        <w:ind w:left="4378" w:hanging="360"/>
      </w:pPr>
      <w:rPr>
        <w:rFonts w:ascii="Wingdings" w:hAnsi="Wingdings" w:hint="default"/>
      </w:rPr>
    </w:lvl>
    <w:lvl w:ilvl="6" w:tplc="04090001">
      <w:start w:val="1"/>
      <w:numFmt w:val="bullet"/>
      <w:lvlText w:val=""/>
      <w:lvlJc w:val="left"/>
      <w:pPr>
        <w:ind w:left="5098" w:hanging="360"/>
      </w:pPr>
      <w:rPr>
        <w:rFonts w:ascii="Symbol" w:hAnsi="Symbol" w:hint="default"/>
      </w:rPr>
    </w:lvl>
    <w:lvl w:ilvl="7" w:tplc="04090003">
      <w:start w:val="1"/>
      <w:numFmt w:val="bullet"/>
      <w:lvlText w:val="o"/>
      <w:lvlJc w:val="left"/>
      <w:pPr>
        <w:ind w:left="5818" w:hanging="360"/>
      </w:pPr>
      <w:rPr>
        <w:rFonts w:ascii="Courier New" w:hAnsi="Courier New" w:cs="Courier New" w:hint="default"/>
      </w:rPr>
    </w:lvl>
    <w:lvl w:ilvl="8" w:tplc="04090005">
      <w:start w:val="1"/>
      <w:numFmt w:val="bullet"/>
      <w:lvlText w:val=""/>
      <w:lvlJc w:val="left"/>
      <w:pPr>
        <w:ind w:left="6538" w:hanging="360"/>
      </w:pPr>
      <w:rPr>
        <w:rFonts w:ascii="Wingdings" w:hAnsi="Wingdings" w:hint="default"/>
      </w:rPr>
    </w:lvl>
  </w:abstractNum>
  <w:abstractNum w:abstractNumId="107">
    <w:nsid w:val="75B60CCE"/>
    <w:multiLevelType w:val="hybridMultilevel"/>
    <w:tmpl w:val="00120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6E50304"/>
    <w:multiLevelType w:val="hybridMultilevel"/>
    <w:tmpl w:val="D99CD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A0F5C80"/>
    <w:multiLevelType w:val="hybridMultilevel"/>
    <w:tmpl w:val="A92204EC"/>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0">
    <w:nsid w:val="7A415F6A"/>
    <w:multiLevelType w:val="hybridMultilevel"/>
    <w:tmpl w:val="73286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A542AAE"/>
    <w:multiLevelType w:val="hybridMultilevel"/>
    <w:tmpl w:val="FEDCEA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2">
    <w:nsid w:val="7BB40D64"/>
    <w:multiLevelType w:val="hybridMultilevel"/>
    <w:tmpl w:val="EAAA1B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3">
    <w:nsid w:val="7DA208AB"/>
    <w:multiLevelType w:val="hybridMultilevel"/>
    <w:tmpl w:val="88127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E961C18"/>
    <w:multiLevelType w:val="hybridMultilevel"/>
    <w:tmpl w:val="19901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FB17958"/>
    <w:multiLevelType w:val="hybridMultilevel"/>
    <w:tmpl w:val="77FEEC1E"/>
    <w:lvl w:ilvl="0" w:tplc="1409000F">
      <w:start w:val="1"/>
      <w:numFmt w:val="decimal"/>
      <w:lvlText w:val="%1."/>
      <w:lvlJc w:val="left"/>
      <w:pPr>
        <w:ind w:left="36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6">
    <w:nsid w:val="7FEB35FB"/>
    <w:multiLevelType w:val="hybridMultilevel"/>
    <w:tmpl w:val="5C243042"/>
    <w:lvl w:ilvl="0" w:tplc="0409000F">
      <w:start w:val="1"/>
      <w:numFmt w:val="decimal"/>
      <w:lvlText w:val="%1."/>
      <w:lvlJc w:val="left"/>
      <w:pPr>
        <w:ind w:left="720" w:hanging="360"/>
      </w:pPr>
      <w:rPr>
        <w:rFonts w:hint="default"/>
      </w:rPr>
    </w:lvl>
    <w:lvl w:ilvl="1" w:tplc="EC7C1310">
      <w:start w:val="1"/>
      <w:numFmt w:val="bullet"/>
      <w:pStyle w:val="ListParagraph"/>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BF40741C">
      <w:start w:val="1"/>
      <w:numFmt w:val="lowerLetter"/>
      <w:lvlText w:val="(%4)"/>
      <w:lvlJc w:val="left"/>
      <w:pPr>
        <w:ind w:left="6173"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15"/>
  </w:num>
  <w:num w:numId="3">
    <w:abstractNumId w:val="90"/>
  </w:num>
  <w:num w:numId="4">
    <w:abstractNumId w:val="60"/>
  </w:num>
  <w:num w:numId="5">
    <w:abstractNumId w:val="69"/>
  </w:num>
  <w:num w:numId="6">
    <w:abstractNumId w:val="34"/>
  </w:num>
  <w:num w:numId="7">
    <w:abstractNumId w:val="99"/>
  </w:num>
  <w:num w:numId="8">
    <w:abstractNumId w:val="101"/>
  </w:num>
  <w:num w:numId="9">
    <w:abstractNumId w:val="46"/>
  </w:num>
  <w:num w:numId="10">
    <w:abstractNumId w:val="78"/>
  </w:num>
  <w:num w:numId="11">
    <w:abstractNumId w:val="57"/>
  </w:num>
  <w:num w:numId="12">
    <w:abstractNumId w:val="85"/>
  </w:num>
  <w:num w:numId="13">
    <w:abstractNumId w:val="76"/>
  </w:num>
  <w:num w:numId="14">
    <w:abstractNumId w:val="5"/>
  </w:num>
  <w:num w:numId="15">
    <w:abstractNumId w:val="24"/>
  </w:num>
  <w:num w:numId="16">
    <w:abstractNumId w:val="47"/>
  </w:num>
  <w:num w:numId="17">
    <w:abstractNumId w:val="44"/>
  </w:num>
  <w:num w:numId="18">
    <w:abstractNumId w:val="74"/>
  </w:num>
  <w:num w:numId="19">
    <w:abstractNumId w:val="68"/>
  </w:num>
  <w:num w:numId="20">
    <w:abstractNumId w:val="41"/>
  </w:num>
  <w:num w:numId="21">
    <w:abstractNumId w:val="21"/>
  </w:num>
  <w:num w:numId="22">
    <w:abstractNumId w:val="14"/>
  </w:num>
  <w:num w:numId="23">
    <w:abstractNumId w:val="94"/>
  </w:num>
  <w:num w:numId="24">
    <w:abstractNumId w:val="77"/>
  </w:num>
  <w:num w:numId="25">
    <w:abstractNumId w:val="71"/>
  </w:num>
  <w:num w:numId="26">
    <w:abstractNumId w:val="103"/>
  </w:num>
  <w:num w:numId="27">
    <w:abstractNumId w:val="67"/>
  </w:num>
  <w:num w:numId="28">
    <w:abstractNumId w:val="42"/>
  </w:num>
  <w:num w:numId="29">
    <w:abstractNumId w:val="83"/>
  </w:num>
  <w:num w:numId="30">
    <w:abstractNumId w:val="52"/>
  </w:num>
  <w:num w:numId="31">
    <w:abstractNumId w:val="66"/>
  </w:num>
  <w:num w:numId="32">
    <w:abstractNumId w:val="89"/>
  </w:num>
  <w:num w:numId="33">
    <w:abstractNumId w:val="59"/>
  </w:num>
  <w:num w:numId="34">
    <w:abstractNumId w:val="53"/>
  </w:num>
  <w:num w:numId="35">
    <w:abstractNumId w:val="51"/>
  </w:num>
  <w:num w:numId="36">
    <w:abstractNumId w:val="81"/>
  </w:num>
  <w:num w:numId="37">
    <w:abstractNumId w:val="112"/>
  </w:num>
  <w:num w:numId="38">
    <w:abstractNumId w:val="19"/>
  </w:num>
  <w:num w:numId="39">
    <w:abstractNumId w:val="104"/>
  </w:num>
  <w:num w:numId="40">
    <w:abstractNumId w:val="91"/>
  </w:num>
  <w:num w:numId="41">
    <w:abstractNumId w:val="48"/>
  </w:num>
  <w:num w:numId="42">
    <w:abstractNumId w:val="64"/>
  </w:num>
  <w:num w:numId="43">
    <w:abstractNumId w:val="39"/>
  </w:num>
  <w:num w:numId="44">
    <w:abstractNumId w:val="7"/>
  </w:num>
  <w:num w:numId="45">
    <w:abstractNumId w:val="97"/>
  </w:num>
  <w:num w:numId="46">
    <w:abstractNumId w:val="87"/>
  </w:num>
  <w:num w:numId="47">
    <w:abstractNumId w:val="6"/>
  </w:num>
  <w:num w:numId="48">
    <w:abstractNumId w:val="11"/>
  </w:num>
  <w:num w:numId="49">
    <w:abstractNumId w:val="79"/>
  </w:num>
  <w:num w:numId="50">
    <w:abstractNumId w:val="9"/>
  </w:num>
  <w:num w:numId="51">
    <w:abstractNumId w:val="36"/>
  </w:num>
  <w:num w:numId="52">
    <w:abstractNumId w:val="102"/>
  </w:num>
  <w:num w:numId="53">
    <w:abstractNumId w:val="0"/>
  </w:num>
  <w:num w:numId="54">
    <w:abstractNumId w:val="113"/>
  </w:num>
  <w:num w:numId="55">
    <w:abstractNumId w:val="106"/>
  </w:num>
  <w:num w:numId="56">
    <w:abstractNumId w:val="2"/>
  </w:num>
  <w:num w:numId="57">
    <w:abstractNumId w:val="109"/>
  </w:num>
  <w:num w:numId="58">
    <w:abstractNumId w:val="88"/>
  </w:num>
  <w:num w:numId="59">
    <w:abstractNumId w:val="116"/>
  </w:num>
  <w:num w:numId="60">
    <w:abstractNumId w:val="31"/>
    <w:lvlOverride w:ilvl="0">
      <w:startOverride w:val="1"/>
    </w:lvlOverride>
  </w:num>
  <w:num w:numId="61">
    <w:abstractNumId w:val="29"/>
  </w:num>
  <w:num w:numId="62">
    <w:abstractNumId w:val="82"/>
    <w:lvlOverride w:ilvl="0">
      <w:lvl w:ilvl="0">
        <w:start w:val="1"/>
        <w:numFmt w:val="decimal"/>
        <w:pStyle w:val="Annex1"/>
        <w:lvlText w:val="A%1"/>
        <w:lvlJc w:val="left"/>
        <w:pPr>
          <w:tabs>
            <w:tab w:val="num" w:pos="1021"/>
          </w:tabs>
          <w:ind w:left="1021" w:hanging="1021"/>
        </w:pPr>
        <w:rPr>
          <w:rFonts w:ascii="Century Gothic" w:hAnsi="Century Gothic" w:hint="default"/>
          <w:b/>
          <w:sz w:val="36"/>
        </w:rPr>
      </w:lvl>
    </w:lvlOverride>
  </w:num>
  <w:num w:numId="63">
    <w:abstractNumId w:val="16"/>
  </w:num>
  <w:num w:numId="64">
    <w:abstractNumId w:val="13"/>
  </w:num>
  <w:num w:numId="65">
    <w:abstractNumId w:val="58"/>
  </w:num>
  <w:num w:numId="66">
    <w:abstractNumId w:val="18"/>
  </w:num>
  <w:num w:numId="67">
    <w:abstractNumId w:val="95"/>
  </w:num>
  <w:num w:numId="68">
    <w:abstractNumId w:val="30"/>
  </w:num>
  <w:num w:numId="69">
    <w:abstractNumId w:val="108"/>
  </w:num>
  <w:num w:numId="70">
    <w:abstractNumId w:val="17"/>
  </w:num>
  <w:num w:numId="71">
    <w:abstractNumId w:val="45"/>
  </w:num>
  <w:num w:numId="72">
    <w:abstractNumId w:val="50"/>
  </w:num>
  <w:num w:numId="73">
    <w:abstractNumId w:val="96"/>
  </w:num>
  <w:num w:numId="74">
    <w:abstractNumId w:val="35"/>
  </w:num>
  <w:num w:numId="75">
    <w:abstractNumId w:val="70"/>
  </w:num>
  <w:num w:numId="76">
    <w:abstractNumId w:val="26"/>
  </w:num>
  <w:num w:numId="77">
    <w:abstractNumId w:val="111"/>
  </w:num>
  <w:num w:numId="78">
    <w:abstractNumId w:val="55"/>
  </w:num>
  <w:num w:numId="79">
    <w:abstractNumId w:val="61"/>
  </w:num>
  <w:num w:numId="80">
    <w:abstractNumId w:val="56"/>
  </w:num>
  <w:num w:numId="81">
    <w:abstractNumId w:val="105"/>
  </w:num>
  <w:num w:numId="82">
    <w:abstractNumId w:val="54"/>
  </w:num>
  <w:num w:numId="83">
    <w:abstractNumId w:val="75"/>
  </w:num>
  <w:num w:numId="84">
    <w:abstractNumId w:val="20"/>
  </w:num>
  <w:num w:numId="85">
    <w:abstractNumId w:val="43"/>
  </w:num>
  <w:num w:numId="86">
    <w:abstractNumId w:val="98"/>
  </w:num>
  <w:num w:numId="87">
    <w:abstractNumId w:val="110"/>
  </w:num>
  <w:num w:numId="88">
    <w:abstractNumId w:val="92"/>
  </w:num>
  <w:num w:numId="89">
    <w:abstractNumId w:val="8"/>
  </w:num>
  <w:num w:numId="90">
    <w:abstractNumId w:val="22"/>
  </w:num>
  <w:num w:numId="91">
    <w:abstractNumId w:val="115"/>
  </w:num>
  <w:num w:numId="92">
    <w:abstractNumId w:val="84"/>
  </w:num>
  <w:num w:numId="93">
    <w:abstractNumId w:val="80"/>
  </w:num>
  <w:num w:numId="94">
    <w:abstractNumId w:val="100"/>
  </w:num>
  <w:num w:numId="95">
    <w:abstractNumId w:val="65"/>
  </w:num>
  <w:num w:numId="96">
    <w:abstractNumId w:val="40"/>
  </w:num>
  <w:num w:numId="97">
    <w:abstractNumId w:val="4"/>
  </w:num>
  <w:num w:numId="98">
    <w:abstractNumId w:val="32"/>
  </w:num>
  <w:num w:numId="99">
    <w:abstractNumId w:val="1"/>
  </w:num>
  <w:num w:numId="100">
    <w:abstractNumId w:val="62"/>
  </w:num>
  <w:num w:numId="101">
    <w:abstractNumId w:val="107"/>
  </w:num>
  <w:num w:numId="102">
    <w:abstractNumId w:val="114"/>
  </w:num>
  <w:num w:numId="103">
    <w:abstractNumId w:val="63"/>
  </w:num>
  <w:num w:numId="104">
    <w:abstractNumId w:val="12"/>
  </w:num>
  <w:num w:numId="105">
    <w:abstractNumId w:val="23"/>
  </w:num>
  <w:num w:numId="106">
    <w:abstractNumId w:val="28"/>
  </w:num>
  <w:num w:numId="107">
    <w:abstractNumId w:val="49"/>
  </w:num>
  <w:num w:numId="108">
    <w:abstractNumId w:val="93"/>
  </w:num>
  <w:num w:numId="109">
    <w:abstractNumId w:val="86"/>
  </w:num>
  <w:num w:numId="110">
    <w:abstractNumId w:val="72"/>
  </w:num>
  <w:num w:numId="111">
    <w:abstractNumId w:val="27"/>
  </w:num>
  <w:num w:numId="112">
    <w:abstractNumId w:val="10"/>
  </w:num>
  <w:num w:numId="113">
    <w:abstractNumId w:val="73"/>
  </w:num>
  <w:num w:numId="114">
    <w:abstractNumId w:val="25"/>
  </w:num>
  <w:num w:numId="115">
    <w:abstractNumId w:val="1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2"/>
  </w:num>
  <w:num w:numId="117">
    <w:abstractNumId w:val="38"/>
    <w:lvlOverride w:ilvl="0">
      <w:lvl w:ilvl="0" w:tplc="5EE055A8">
        <w:start w:val="1"/>
        <w:numFmt w:val="decimal"/>
        <w:lvlText w:val="%1."/>
        <w:lvlJc w:val="left"/>
        <w:pPr>
          <w:ind w:left="312" w:hanging="453"/>
        </w:pPr>
        <w:rPr>
          <w:rFonts w:asciiTheme="minorHAnsi" w:hAnsiTheme="minorHAnsi" w:hint="default"/>
          <w:color w:val="auto"/>
          <w:sz w:val="22"/>
          <w:szCs w:val="22"/>
        </w:rPr>
      </w:lvl>
    </w:lvlOverride>
    <w:lvlOverride w:ilvl="1">
      <w:lvl w:ilvl="1" w:tplc="14090001" w:tentative="1">
        <w:start w:val="1"/>
        <w:numFmt w:val="lowerLetter"/>
        <w:lvlText w:val="%2."/>
        <w:lvlJc w:val="left"/>
        <w:pPr>
          <w:ind w:left="1440" w:hanging="360"/>
        </w:pPr>
      </w:lvl>
    </w:lvlOverride>
    <w:lvlOverride w:ilvl="2">
      <w:lvl w:ilvl="2" w:tplc="1409001B" w:tentative="1">
        <w:start w:val="1"/>
        <w:numFmt w:val="lowerRoman"/>
        <w:lvlText w:val="%3."/>
        <w:lvlJc w:val="right"/>
        <w:pPr>
          <w:ind w:left="2160" w:hanging="180"/>
        </w:pPr>
      </w:lvl>
    </w:lvlOverride>
    <w:lvlOverride w:ilvl="3">
      <w:lvl w:ilvl="3" w:tplc="1409000F" w:tentative="1">
        <w:start w:val="1"/>
        <w:numFmt w:val="decimal"/>
        <w:lvlText w:val="%4."/>
        <w:lvlJc w:val="left"/>
        <w:pPr>
          <w:ind w:left="2880" w:hanging="360"/>
        </w:pPr>
      </w:lvl>
    </w:lvlOverride>
    <w:lvlOverride w:ilvl="4">
      <w:lvl w:ilvl="4" w:tplc="14090019" w:tentative="1">
        <w:start w:val="1"/>
        <w:numFmt w:val="lowerLetter"/>
        <w:lvlText w:val="%5."/>
        <w:lvlJc w:val="left"/>
        <w:pPr>
          <w:ind w:left="3600" w:hanging="360"/>
        </w:pPr>
      </w:lvl>
    </w:lvlOverride>
    <w:lvlOverride w:ilvl="5">
      <w:lvl w:ilvl="5" w:tplc="1409001B" w:tentative="1">
        <w:start w:val="1"/>
        <w:numFmt w:val="lowerRoman"/>
        <w:lvlText w:val="%6."/>
        <w:lvlJc w:val="right"/>
        <w:pPr>
          <w:ind w:left="4320" w:hanging="180"/>
        </w:pPr>
      </w:lvl>
    </w:lvlOverride>
    <w:lvlOverride w:ilvl="6">
      <w:lvl w:ilvl="6" w:tplc="1409000F" w:tentative="1">
        <w:start w:val="1"/>
        <w:numFmt w:val="decimal"/>
        <w:lvlText w:val="%7."/>
        <w:lvlJc w:val="left"/>
        <w:pPr>
          <w:ind w:left="5040" w:hanging="360"/>
        </w:pPr>
      </w:lvl>
    </w:lvlOverride>
    <w:lvlOverride w:ilvl="7">
      <w:lvl w:ilvl="7" w:tplc="14090019" w:tentative="1">
        <w:start w:val="1"/>
        <w:numFmt w:val="lowerLetter"/>
        <w:lvlText w:val="%8."/>
        <w:lvlJc w:val="left"/>
        <w:pPr>
          <w:ind w:left="5760" w:hanging="360"/>
        </w:pPr>
      </w:lvl>
    </w:lvlOverride>
    <w:lvlOverride w:ilvl="8">
      <w:lvl w:ilvl="8" w:tplc="1409001B" w:tentative="1">
        <w:start w:val="1"/>
        <w:numFmt w:val="lowerRoman"/>
        <w:lvlText w:val="%9."/>
        <w:lvlJc w:val="right"/>
        <w:pPr>
          <w:ind w:left="6480" w:hanging="180"/>
        </w:pPr>
      </w:lvl>
    </w:lvlOverride>
  </w:num>
  <w:num w:numId="118">
    <w:abstractNumId w:val="3"/>
  </w:num>
  <w:num w:numId="119">
    <w:abstractNumId w:val="37"/>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NZ" w:vendorID="64" w:dllVersion="131078" w:nlCheck="1" w:checkStyle="0"/>
  <w:activeWritingStyle w:appName="MSWord" w:lang="en-AU" w:vendorID="64" w:dllVersion="131078" w:nlCheck="1" w:checkStyle="0"/>
  <w:activeWritingStyle w:appName="MSWord" w:lang="en-US" w:vendorID="64" w:dllVersion="131078" w:nlCheck="1" w:checkStyle="0"/>
  <w:proofState w:spelling="clean" w:grammar="clean"/>
  <w:attachedTemplate r:id="rId1"/>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357"/>
  <w:drawingGridHorizontalSpacing w:val="105"/>
  <w:drawingGridVerticalSpacing w:val="181"/>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512"/>
    <w:rsid w:val="000000CB"/>
    <w:rsid w:val="00000711"/>
    <w:rsid w:val="00005787"/>
    <w:rsid w:val="00010A6C"/>
    <w:rsid w:val="0001120E"/>
    <w:rsid w:val="00011EF5"/>
    <w:rsid w:val="00012CF4"/>
    <w:rsid w:val="000141BA"/>
    <w:rsid w:val="00015A18"/>
    <w:rsid w:val="00016CC6"/>
    <w:rsid w:val="000173B6"/>
    <w:rsid w:val="000174D0"/>
    <w:rsid w:val="00021361"/>
    <w:rsid w:val="00022382"/>
    <w:rsid w:val="000233B3"/>
    <w:rsid w:val="0002626E"/>
    <w:rsid w:val="00030981"/>
    <w:rsid w:val="00030E4A"/>
    <w:rsid w:val="00045AB8"/>
    <w:rsid w:val="00046E91"/>
    <w:rsid w:val="0005342D"/>
    <w:rsid w:val="00056F78"/>
    <w:rsid w:val="0005785B"/>
    <w:rsid w:val="00057B88"/>
    <w:rsid w:val="00060A01"/>
    <w:rsid w:val="00060F94"/>
    <w:rsid w:val="000621C8"/>
    <w:rsid w:val="000632E0"/>
    <w:rsid w:val="00065AEA"/>
    <w:rsid w:val="00067595"/>
    <w:rsid w:val="00067A9B"/>
    <w:rsid w:val="00071244"/>
    <w:rsid w:val="00071AA5"/>
    <w:rsid w:val="000727DA"/>
    <w:rsid w:val="00080911"/>
    <w:rsid w:val="00083D11"/>
    <w:rsid w:val="000850C5"/>
    <w:rsid w:val="000856AA"/>
    <w:rsid w:val="00090831"/>
    <w:rsid w:val="00092F48"/>
    <w:rsid w:val="00094134"/>
    <w:rsid w:val="000947E7"/>
    <w:rsid w:val="0009533B"/>
    <w:rsid w:val="000967F1"/>
    <w:rsid w:val="000A024F"/>
    <w:rsid w:val="000A0B7A"/>
    <w:rsid w:val="000A33B4"/>
    <w:rsid w:val="000B29F4"/>
    <w:rsid w:val="000B2E95"/>
    <w:rsid w:val="000B49C9"/>
    <w:rsid w:val="000B5024"/>
    <w:rsid w:val="000B6805"/>
    <w:rsid w:val="000C1AB2"/>
    <w:rsid w:val="000C3B94"/>
    <w:rsid w:val="000C5E73"/>
    <w:rsid w:val="000C7C79"/>
    <w:rsid w:val="000D04D8"/>
    <w:rsid w:val="000D0646"/>
    <w:rsid w:val="000D07FE"/>
    <w:rsid w:val="000D0D76"/>
    <w:rsid w:val="000D0F76"/>
    <w:rsid w:val="000D1D1E"/>
    <w:rsid w:val="000D3E84"/>
    <w:rsid w:val="000D50DD"/>
    <w:rsid w:val="000D75F5"/>
    <w:rsid w:val="000D76A8"/>
    <w:rsid w:val="000D7BF2"/>
    <w:rsid w:val="000D7E75"/>
    <w:rsid w:val="000E0B1F"/>
    <w:rsid w:val="000E19B4"/>
    <w:rsid w:val="000F0328"/>
    <w:rsid w:val="000F0D0C"/>
    <w:rsid w:val="000F3A75"/>
    <w:rsid w:val="000F657E"/>
    <w:rsid w:val="00101F57"/>
    <w:rsid w:val="00101F6C"/>
    <w:rsid w:val="00106451"/>
    <w:rsid w:val="0010740A"/>
    <w:rsid w:val="001105CF"/>
    <w:rsid w:val="0011101F"/>
    <w:rsid w:val="00112504"/>
    <w:rsid w:val="00113188"/>
    <w:rsid w:val="001163C9"/>
    <w:rsid w:val="001178B5"/>
    <w:rsid w:val="00124BD4"/>
    <w:rsid w:val="0013238D"/>
    <w:rsid w:val="00132DD1"/>
    <w:rsid w:val="00133BF1"/>
    <w:rsid w:val="0013698E"/>
    <w:rsid w:val="0014320F"/>
    <w:rsid w:val="00143993"/>
    <w:rsid w:val="001511D1"/>
    <w:rsid w:val="00151414"/>
    <w:rsid w:val="00153384"/>
    <w:rsid w:val="00153B83"/>
    <w:rsid w:val="00156D5D"/>
    <w:rsid w:val="00161DC5"/>
    <w:rsid w:val="00163501"/>
    <w:rsid w:val="00163E15"/>
    <w:rsid w:val="00166CFD"/>
    <w:rsid w:val="00167007"/>
    <w:rsid w:val="0016765F"/>
    <w:rsid w:val="00167A1F"/>
    <w:rsid w:val="00170684"/>
    <w:rsid w:val="00173382"/>
    <w:rsid w:val="001734CB"/>
    <w:rsid w:val="00174EF0"/>
    <w:rsid w:val="001760B7"/>
    <w:rsid w:val="00177420"/>
    <w:rsid w:val="00183498"/>
    <w:rsid w:val="00183668"/>
    <w:rsid w:val="001838F3"/>
    <w:rsid w:val="00190225"/>
    <w:rsid w:val="001942DF"/>
    <w:rsid w:val="001A1870"/>
    <w:rsid w:val="001A4B6C"/>
    <w:rsid w:val="001A605C"/>
    <w:rsid w:val="001A72CC"/>
    <w:rsid w:val="001B07F3"/>
    <w:rsid w:val="001B11C5"/>
    <w:rsid w:val="001B12DB"/>
    <w:rsid w:val="001B24F0"/>
    <w:rsid w:val="001B52F7"/>
    <w:rsid w:val="001B55D1"/>
    <w:rsid w:val="001B70C1"/>
    <w:rsid w:val="001C08CA"/>
    <w:rsid w:val="001C1585"/>
    <w:rsid w:val="001C2B54"/>
    <w:rsid w:val="001C6CA6"/>
    <w:rsid w:val="001C7BA8"/>
    <w:rsid w:val="001D0BCA"/>
    <w:rsid w:val="001D0CB5"/>
    <w:rsid w:val="001D25AA"/>
    <w:rsid w:val="001D3572"/>
    <w:rsid w:val="001D51E2"/>
    <w:rsid w:val="001D5E3C"/>
    <w:rsid w:val="001D7E0C"/>
    <w:rsid w:val="001E029E"/>
    <w:rsid w:val="001E02AA"/>
    <w:rsid w:val="001E5045"/>
    <w:rsid w:val="001E56E0"/>
    <w:rsid w:val="001E68ED"/>
    <w:rsid w:val="001E71D6"/>
    <w:rsid w:val="001F02D4"/>
    <w:rsid w:val="001F4D65"/>
    <w:rsid w:val="001F5979"/>
    <w:rsid w:val="001F5BE3"/>
    <w:rsid w:val="001F75A4"/>
    <w:rsid w:val="002039AB"/>
    <w:rsid w:val="0020465E"/>
    <w:rsid w:val="00204A7A"/>
    <w:rsid w:val="0020578E"/>
    <w:rsid w:val="00205D1E"/>
    <w:rsid w:val="0020653B"/>
    <w:rsid w:val="0020661F"/>
    <w:rsid w:val="002107DD"/>
    <w:rsid w:val="0021185D"/>
    <w:rsid w:val="00215144"/>
    <w:rsid w:val="0021797D"/>
    <w:rsid w:val="00217AA6"/>
    <w:rsid w:val="002205E1"/>
    <w:rsid w:val="002206B4"/>
    <w:rsid w:val="00220C7C"/>
    <w:rsid w:val="00224331"/>
    <w:rsid w:val="002302DA"/>
    <w:rsid w:val="00230DEC"/>
    <w:rsid w:val="00232112"/>
    <w:rsid w:val="00236ADF"/>
    <w:rsid w:val="00242912"/>
    <w:rsid w:val="00242DBF"/>
    <w:rsid w:val="00243450"/>
    <w:rsid w:val="00243B1A"/>
    <w:rsid w:val="0024497C"/>
    <w:rsid w:val="002467A8"/>
    <w:rsid w:val="002472CE"/>
    <w:rsid w:val="0025213D"/>
    <w:rsid w:val="002548AB"/>
    <w:rsid w:val="0025540B"/>
    <w:rsid w:val="00255688"/>
    <w:rsid w:val="00255838"/>
    <w:rsid w:val="00261344"/>
    <w:rsid w:val="0026306F"/>
    <w:rsid w:val="00263C35"/>
    <w:rsid w:val="00265616"/>
    <w:rsid w:val="00267105"/>
    <w:rsid w:val="002671A6"/>
    <w:rsid w:val="0026721B"/>
    <w:rsid w:val="0026729E"/>
    <w:rsid w:val="00267468"/>
    <w:rsid w:val="002716B5"/>
    <w:rsid w:val="00271771"/>
    <w:rsid w:val="00271D4B"/>
    <w:rsid w:val="00272608"/>
    <w:rsid w:val="00275852"/>
    <w:rsid w:val="00277D76"/>
    <w:rsid w:val="00282023"/>
    <w:rsid w:val="00282B66"/>
    <w:rsid w:val="00284CC7"/>
    <w:rsid w:val="002862CD"/>
    <w:rsid w:val="00286C91"/>
    <w:rsid w:val="00287AE7"/>
    <w:rsid w:val="00287EA4"/>
    <w:rsid w:val="00290D59"/>
    <w:rsid w:val="00291DA6"/>
    <w:rsid w:val="0029405D"/>
    <w:rsid w:val="002945D8"/>
    <w:rsid w:val="00295AFF"/>
    <w:rsid w:val="00296AAF"/>
    <w:rsid w:val="002A1EE5"/>
    <w:rsid w:val="002A221C"/>
    <w:rsid w:val="002A2D79"/>
    <w:rsid w:val="002A4BC0"/>
    <w:rsid w:val="002A6168"/>
    <w:rsid w:val="002A69BC"/>
    <w:rsid w:val="002A75B9"/>
    <w:rsid w:val="002A7BD2"/>
    <w:rsid w:val="002B081C"/>
    <w:rsid w:val="002B2DF3"/>
    <w:rsid w:val="002B4488"/>
    <w:rsid w:val="002C008C"/>
    <w:rsid w:val="002C0806"/>
    <w:rsid w:val="002C0CF6"/>
    <w:rsid w:val="002C0F71"/>
    <w:rsid w:val="002C150D"/>
    <w:rsid w:val="002C1A54"/>
    <w:rsid w:val="002C37E6"/>
    <w:rsid w:val="002C45EC"/>
    <w:rsid w:val="002D2C96"/>
    <w:rsid w:val="002D3B8A"/>
    <w:rsid w:val="002D547D"/>
    <w:rsid w:val="002D68DE"/>
    <w:rsid w:val="002D6B7E"/>
    <w:rsid w:val="002E6FE7"/>
    <w:rsid w:val="002E72D4"/>
    <w:rsid w:val="002E7321"/>
    <w:rsid w:val="002E7775"/>
    <w:rsid w:val="002F05A7"/>
    <w:rsid w:val="002F12FC"/>
    <w:rsid w:val="002F38D1"/>
    <w:rsid w:val="002F4A40"/>
    <w:rsid w:val="002F5124"/>
    <w:rsid w:val="002F582B"/>
    <w:rsid w:val="002F6F0E"/>
    <w:rsid w:val="00300137"/>
    <w:rsid w:val="00300AE3"/>
    <w:rsid w:val="00300D10"/>
    <w:rsid w:val="003035BB"/>
    <w:rsid w:val="00306907"/>
    <w:rsid w:val="00307975"/>
    <w:rsid w:val="00311848"/>
    <w:rsid w:val="00311866"/>
    <w:rsid w:val="00313B16"/>
    <w:rsid w:val="0031542E"/>
    <w:rsid w:val="003202E3"/>
    <w:rsid w:val="00320522"/>
    <w:rsid w:val="00320D0B"/>
    <w:rsid w:val="003226FD"/>
    <w:rsid w:val="00322701"/>
    <w:rsid w:val="00322EB2"/>
    <w:rsid w:val="003238C9"/>
    <w:rsid w:val="003242EE"/>
    <w:rsid w:val="00324628"/>
    <w:rsid w:val="00331100"/>
    <w:rsid w:val="003326BE"/>
    <w:rsid w:val="00333211"/>
    <w:rsid w:val="00336DAD"/>
    <w:rsid w:val="00337D7F"/>
    <w:rsid w:val="0034075A"/>
    <w:rsid w:val="00342A96"/>
    <w:rsid w:val="00344C8E"/>
    <w:rsid w:val="00347396"/>
    <w:rsid w:val="003478C1"/>
    <w:rsid w:val="00350302"/>
    <w:rsid w:val="00350479"/>
    <w:rsid w:val="003508FB"/>
    <w:rsid w:val="003516D0"/>
    <w:rsid w:val="003516EE"/>
    <w:rsid w:val="003521F6"/>
    <w:rsid w:val="003554DF"/>
    <w:rsid w:val="003607A4"/>
    <w:rsid w:val="00367E12"/>
    <w:rsid w:val="0037058D"/>
    <w:rsid w:val="0037248B"/>
    <w:rsid w:val="003744E6"/>
    <w:rsid w:val="00374745"/>
    <w:rsid w:val="00375D8E"/>
    <w:rsid w:val="00377017"/>
    <w:rsid w:val="00380599"/>
    <w:rsid w:val="0038100D"/>
    <w:rsid w:val="00385CD1"/>
    <w:rsid w:val="00386293"/>
    <w:rsid w:val="0038648B"/>
    <w:rsid w:val="00387F15"/>
    <w:rsid w:val="0039172C"/>
    <w:rsid w:val="00392152"/>
    <w:rsid w:val="0039259D"/>
    <w:rsid w:val="003935AB"/>
    <w:rsid w:val="00395916"/>
    <w:rsid w:val="00396E01"/>
    <w:rsid w:val="00397A4E"/>
    <w:rsid w:val="00397ABD"/>
    <w:rsid w:val="003A095F"/>
    <w:rsid w:val="003A45F6"/>
    <w:rsid w:val="003B0ED0"/>
    <w:rsid w:val="003B2DE3"/>
    <w:rsid w:val="003B3916"/>
    <w:rsid w:val="003B486C"/>
    <w:rsid w:val="003B6372"/>
    <w:rsid w:val="003B6862"/>
    <w:rsid w:val="003C1A69"/>
    <w:rsid w:val="003C255B"/>
    <w:rsid w:val="003C3CF7"/>
    <w:rsid w:val="003C3F2B"/>
    <w:rsid w:val="003C4ABD"/>
    <w:rsid w:val="003C6AF9"/>
    <w:rsid w:val="003C6EBB"/>
    <w:rsid w:val="003D0E4E"/>
    <w:rsid w:val="003D1AB7"/>
    <w:rsid w:val="003D338E"/>
    <w:rsid w:val="003E0B7D"/>
    <w:rsid w:val="003E16B1"/>
    <w:rsid w:val="003E49DA"/>
    <w:rsid w:val="003E57DF"/>
    <w:rsid w:val="003F10CF"/>
    <w:rsid w:val="003F4090"/>
    <w:rsid w:val="003F5B57"/>
    <w:rsid w:val="003F679E"/>
    <w:rsid w:val="003F7520"/>
    <w:rsid w:val="0040009E"/>
    <w:rsid w:val="00402373"/>
    <w:rsid w:val="00404395"/>
    <w:rsid w:val="00404DF9"/>
    <w:rsid w:val="004068D1"/>
    <w:rsid w:val="00410E56"/>
    <w:rsid w:val="00411653"/>
    <w:rsid w:val="00411B89"/>
    <w:rsid w:val="00415263"/>
    <w:rsid w:val="00416453"/>
    <w:rsid w:val="00423235"/>
    <w:rsid w:val="004237E3"/>
    <w:rsid w:val="00424226"/>
    <w:rsid w:val="00425C11"/>
    <w:rsid w:val="00426F54"/>
    <w:rsid w:val="00432833"/>
    <w:rsid w:val="004332B0"/>
    <w:rsid w:val="00435BB2"/>
    <w:rsid w:val="00441D92"/>
    <w:rsid w:val="00442DE5"/>
    <w:rsid w:val="004430C9"/>
    <w:rsid w:val="004453CB"/>
    <w:rsid w:val="00445DA2"/>
    <w:rsid w:val="00446DB5"/>
    <w:rsid w:val="004472CD"/>
    <w:rsid w:val="0044771F"/>
    <w:rsid w:val="00450110"/>
    <w:rsid w:val="0045134F"/>
    <w:rsid w:val="00452371"/>
    <w:rsid w:val="004535DE"/>
    <w:rsid w:val="00454313"/>
    <w:rsid w:val="00455960"/>
    <w:rsid w:val="00455D4F"/>
    <w:rsid w:val="00456363"/>
    <w:rsid w:val="0045645A"/>
    <w:rsid w:val="00460B31"/>
    <w:rsid w:val="00461893"/>
    <w:rsid w:val="00463018"/>
    <w:rsid w:val="00463714"/>
    <w:rsid w:val="00464128"/>
    <w:rsid w:val="00464150"/>
    <w:rsid w:val="00466AEF"/>
    <w:rsid w:val="0047133A"/>
    <w:rsid w:val="00471461"/>
    <w:rsid w:val="00474378"/>
    <w:rsid w:val="0047489D"/>
    <w:rsid w:val="00474EE8"/>
    <w:rsid w:val="00475DDF"/>
    <w:rsid w:val="00476648"/>
    <w:rsid w:val="0048604D"/>
    <w:rsid w:val="00487343"/>
    <w:rsid w:val="00493466"/>
    <w:rsid w:val="004938A9"/>
    <w:rsid w:val="00494002"/>
    <w:rsid w:val="00496D4E"/>
    <w:rsid w:val="004A0C50"/>
    <w:rsid w:val="004A4B25"/>
    <w:rsid w:val="004A5A2D"/>
    <w:rsid w:val="004A5B25"/>
    <w:rsid w:val="004A5F2F"/>
    <w:rsid w:val="004B1F15"/>
    <w:rsid w:val="004B64F8"/>
    <w:rsid w:val="004C284A"/>
    <w:rsid w:val="004C2AD9"/>
    <w:rsid w:val="004C2E7D"/>
    <w:rsid w:val="004C33D1"/>
    <w:rsid w:val="004C38FA"/>
    <w:rsid w:val="004C3DC7"/>
    <w:rsid w:val="004C47B0"/>
    <w:rsid w:val="004C506E"/>
    <w:rsid w:val="004D0BA9"/>
    <w:rsid w:val="004D1DDA"/>
    <w:rsid w:val="004D2D12"/>
    <w:rsid w:val="004D30C1"/>
    <w:rsid w:val="004D7CEA"/>
    <w:rsid w:val="004E058B"/>
    <w:rsid w:val="004E0A76"/>
    <w:rsid w:val="004E11C3"/>
    <w:rsid w:val="004E29B0"/>
    <w:rsid w:val="004E3952"/>
    <w:rsid w:val="004E40FB"/>
    <w:rsid w:val="004E48BD"/>
    <w:rsid w:val="004E52C1"/>
    <w:rsid w:val="004F0118"/>
    <w:rsid w:val="004F1A54"/>
    <w:rsid w:val="004F2076"/>
    <w:rsid w:val="004F4F29"/>
    <w:rsid w:val="004F61B6"/>
    <w:rsid w:val="004F69CE"/>
    <w:rsid w:val="004F7B86"/>
    <w:rsid w:val="005000FC"/>
    <w:rsid w:val="005006B0"/>
    <w:rsid w:val="0050110A"/>
    <w:rsid w:val="00505F8F"/>
    <w:rsid w:val="00507C96"/>
    <w:rsid w:val="00507CC7"/>
    <w:rsid w:val="00511AED"/>
    <w:rsid w:val="00514B3D"/>
    <w:rsid w:val="00515F52"/>
    <w:rsid w:val="00515F73"/>
    <w:rsid w:val="005231A6"/>
    <w:rsid w:val="00531623"/>
    <w:rsid w:val="005334B5"/>
    <w:rsid w:val="00533D3E"/>
    <w:rsid w:val="00535EB4"/>
    <w:rsid w:val="005400F5"/>
    <w:rsid w:val="005413A4"/>
    <w:rsid w:val="00543C00"/>
    <w:rsid w:val="00546807"/>
    <w:rsid w:val="00546C24"/>
    <w:rsid w:val="00553511"/>
    <w:rsid w:val="00555920"/>
    <w:rsid w:val="005570ED"/>
    <w:rsid w:val="005601A5"/>
    <w:rsid w:val="005609F7"/>
    <w:rsid w:val="00563CB5"/>
    <w:rsid w:val="00564BD9"/>
    <w:rsid w:val="00564E54"/>
    <w:rsid w:val="00565425"/>
    <w:rsid w:val="00567489"/>
    <w:rsid w:val="00573143"/>
    <w:rsid w:val="00573388"/>
    <w:rsid w:val="00574435"/>
    <w:rsid w:val="005760E8"/>
    <w:rsid w:val="005765AC"/>
    <w:rsid w:val="00577EB5"/>
    <w:rsid w:val="00577F8B"/>
    <w:rsid w:val="00581485"/>
    <w:rsid w:val="005819DB"/>
    <w:rsid w:val="00582087"/>
    <w:rsid w:val="005823B2"/>
    <w:rsid w:val="005840E8"/>
    <w:rsid w:val="00585125"/>
    <w:rsid w:val="00585983"/>
    <w:rsid w:val="005864C1"/>
    <w:rsid w:val="0058708B"/>
    <w:rsid w:val="00590614"/>
    <w:rsid w:val="0059095F"/>
    <w:rsid w:val="00591496"/>
    <w:rsid w:val="005917FE"/>
    <w:rsid w:val="005930B7"/>
    <w:rsid w:val="00595305"/>
    <w:rsid w:val="0059793C"/>
    <w:rsid w:val="005A1898"/>
    <w:rsid w:val="005A22C7"/>
    <w:rsid w:val="005A3084"/>
    <w:rsid w:val="005A37C6"/>
    <w:rsid w:val="005B1564"/>
    <w:rsid w:val="005B1C97"/>
    <w:rsid w:val="005B2E35"/>
    <w:rsid w:val="005B58B4"/>
    <w:rsid w:val="005C033F"/>
    <w:rsid w:val="005C3760"/>
    <w:rsid w:val="005C3830"/>
    <w:rsid w:val="005C3E29"/>
    <w:rsid w:val="005C4C0E"/>
    <w:rsid w:val="005C5825"/>
    <w:rsid w:val="005D0032"/>
    <w:rsid w:val="005D1BC9"/>
    <w:rsid w:val="005D217F"/>
    <w:rsid w:val="005D2AD3"/>
    <w:rsid w:val="005D39D4"/>
    <w:rsid w:val="005D4DC6"/>
    <w:rsid w:val="005D6079"/>
    <w:rsid w:val="005D6295"/>
    <w:rsid w:val="005D7C79"/>
    <w:rsid w:val="005E03CB"/>
    <w:rsid w:val="005E1AD3"/>
    <w:rsid w:val="005E59EA"/>
    <w:rsid w:val="005F0E7A"/>
    <w:rsid w:val="005F3FCC"/>
    <w:rsid w:val="005F437B"/>
    <w:rsid w:val="005F6926"/>
    <w:rsid w:val="005F7A77"/>
    <w:rsid w:val="005F7C4A"/>
    <w:rsid w:val="00601520"/>
    <w:rsid w:val="00603283"/>
    <w:rsid w:val="00603832"/>
    <w:rsid w:val="00603AED"/>
    <w:rsid w:val="00603EBD"/>
    <w:rsid w:val="0060426C"/>
    <w:rsid w:val="00604947"/>
    <w:rsid w:val="00604AFA"/>
    <w:rsid w:val="00606972"/>
    <w:rsid w:val="0061525C"/>
    <w:rsid w:val="006172B4"/>
    <w:rsid w:val="006173FA"/>
    <w:rsid w:val="00617EA1"/>
    <w:rsid w:val="006233C6"/>
    <w:rsid w:val="00625043"/>
    <w:rsid w:val="006277DC"/>
    <w:rsid w:val="00627BE8"/>
    <w:rsid w:val="00631D05"/>
    <w:rsid w:val="00632B60"/>
    <w:rsid w:val="00635313"/>
    <w:rsid w:val="0063680E"/>
    <w:rsid w:val="006369C0"/>
    <w:rsid w:val="00640049"/>
    <w:rsid w:val="006408EC"/>
    <w:rsid w:val="00641074"/>
    <w:rsid w:val="00641CE2"/>
    <w:rsid w:val="00644608"/>
    <w:rsid w:val="00644734"/>
    <w:rsid w:val="00645682"/>
    <w:rsid w:val="00646189"/>
    <w:rsid w:val="00651E5E"/>
    <w:rsid w:val="0065218A"/>
    <w:rsid w:val="00654BF7"/>
    <w:rsid w:val="00654CB4"/>
    <w:rsid w:val="00657DE0"/>
    <w:rsid w:val="0066088E"/>
    <w:rsid w:val="00661D25"/>
    <w:rsid w:val="00661D95"/>
    <w:rsid w:val="00663D30"/>
    <w:rsid w:val="0066583C"/>
    <w:rsid w:val="00665FBE"/>
    <w:rsid w:val="00667D93"/>
    <w:rsid w:val="00671B05"/>
    <w:rsid w:val="00671BD4"/>
    <w:rsid w:val="0067213E"/>
    <w:rsid w:val="006723D2"/>
    <w:rsid w:val="006735A4"/>
    <w:rsid w:val="00674361"/>
    <w:rsid w:val="00675A2E"/>
    <w:rsid w:val="00676252"/>
    <w:rsid w:val="006769B1"/>
    <w:rsid w:val="00680290"/>
    <w:rsid w:val="00681167"/>
    <w:rsid w:val="00683134"/>
    <w:rsid w:val="006851C1"/>
    <w:rsid w:val="0069152E"/>
    <w:rsid w:val="00693CA2"/>
    <w:rsid w:val="006941DD"/>
    <w:rsid w:val="006943B6"/>
    <w:rsid w:val="006A098A"/>
    <w:rsid w:val="006A11A2"/>
    <w:rsid w:val="006A3935"/>
    <w:rsid w:val="006A7C7A"/>
    <w:rsid w:val="006B2796"/>
    <w:rsid w:val="006B3BC3"/>
    <w:rsid w:val="006B53B4"/>
    <w:rsid w:val="006B698B"/>
    <w:rsid w:val="006C2EC4"/>
    <w:rsid w:val="006D0587"/>
    <w:rsid w:val="006D0E52"/>
    <w:rsid w:val="006D1CB0"/>
    <w:rsid w:val="006D2EA3"/>
    <w:rsid w:val="006D3016"/>
    <w:rsid w:val="006D3F80"/>
    <w:rsid w:val="006D54A7"/>
    <w:rsid w:val="006D5D0B"/>
    <w:rsid w:val="006D605B"/>
    <w:rsid w:val="006D6099"/>
    <w:rsid w:val="006D6F78"/>
    <w:rsid w:val="006D7D81"/>
    <w:rsid w:val="006E04A0"/>
    <w:rsid w:val="006F39EB"/>
    <w:rsid w:val="006F545D"/>
    <w:rsid w:val="006F608C"/>
    <w:rsid w:val="006F6C0A"/>
    <w:rsid w:val="007006A4"/>
    <w:rsid w:val="007037A9"/>
    <w:rsid w:val="007039AA"/>
    <w:rsid w:val="00704875"/>
    <w:rsid w:val="00704B29"/>
    <w:rsid w:val="00707A86"/>
    <w:rsid w:val="00712A3C"/>
    <w:rsid w:val="00713DC4"/>
    <w:rsid w:val="00714B46"/>
    <w:rsid w:val="00714C55"/>
    <w:rsid w:val="00715AEF"/>
    <w:rsid w:val="00715F74"/>
    <w:rsid w:val="00717646"/>
    <w:rsid w:val="00717ED3"/>
    <w:rsid w:val="0072102C"/>
    <w:rsid w:val="00722359"/>
    <w:rsid w:val="00722D6E"/>
    <w:rsid w:val="00723D8D"/>
    <w:rsid w:val="0072433C"/>
    <w:rsid w:val="00725CB3"/>
    <w:rsid w:val="00730B4E"/>
    <w:rsid w:val="00733C4D"/>
    <w:rsid w:val="0074099C"/>
    <w:rsid w:val="00741EFD"/>
    <w:rsid w:val="0074597D"/>
    <w:rsid w:val="00745EBD"/>
    <w:rsid w:val="0075045E"/>
    <w:rsid w:val="00752CCD"/>
    <w:rsid w:val="00755B91"/>
    <w:rsid w:val="00760402"/>
    <w:rsid w:val="00762DA1"/>
    <w:rsid w:val="00763BB2"/>
    <w:rsid w:val="00764877"/>
    <w:rsid w:val="00766CF7"/>
    <w:rsid w:val="00770D95"/>
    <w:rsid w:val="00772250"/>
    <w:rsid w:val="00775132"/>
    <w:rsid w:val="00776D92"/>
    <w:rsid w:val="00777AFC"/>
    <w:rsid w:val="00790CFE"/>
    <w:rsid w:val="00793550"/>
    <w:rsid w:val="007945AD"/>
    <w:rsid w:val="007972B6"/>
    <w:rsid w:val="007976DF"/>
    <w:rsid w:val="0079799A"/>
    <w:rsid w:val="007A2483"/>
    <w:rsid w:val="007A2E6B"/>
    <w:rsid w:val="007A32B5"/>
    <w:rsid w:val="007A423A"/>
    <w:rsid w:val="007B29AB"/>
    <w:rsid w:val="007B2A41"/>
    <w:rsid w:val="007B32F9"/>
    <w:rsid w:val="007B712E"/>
    <w:rsid w:val="007C0CDE"/>
    <w:rsid w:val="007C2831"/>
    <w:rsid w:val="007C2FD1"/>
    <w:rsid w:val="007D1AB1"/>
    <w:rsid w:val="007D371A"/>
    <w:rsid w:val="007D41A3"/>
    <w:rsid w:val="007D60C2"/>
    <w:rsid w:val="007D7BD0"/>
    <w:rsid w:val="007E2A53"/>
    <w:rsid w:val="007E2B7D"/>
    <w:rsid w:val="007E6C4E"/>
    <w:rsid w:val="007E710E"/>
    <w:rsid w:val="007E7830"/>
    <w:rsid w:val="007E7A80"/>
    <w:rsid w:val="007F1253"/>
    <w:rsid w:val="007F19BF"/>
    <w:rsid w:val="007F4CF6"/>
    <w:rsid w:val="007F5FAE"/>
    <w:rsid w:val="007F7C56"/>
    <w:rsid w:val="00801180"/>
    <w:rsid w:val="00801660"/>
    <w:rsid w:val="008016B2"/>
    <w:rsid w:val="00801708"/>
    <w:rsid w:val="00802374"/>
    <w:rsid w:val="0080753C"/>
    <w:rsid w:val="0081046B"/>
    <w:rsid w:val="00810BCF"/>
    <w:rsid w:val="00812763"/>
    <w:rsid w:val="00821949"/>
    <w:rsid w:val="008227AD"/>
    <w:rsid w:val="00822971"/>
    <w:rsid w:val="00823541"/>
    <w:rsid w:val="00823AB2"/>
    <w:rsid w:val="00823FAE"/>
    <w:rsid w:val="00824C1C"/>
    <w:rsid w:val="00827199"/>
    <w:rsid w:val="00827E15"/>
    <w:rsid w:val="00832E0D"/>
    <w:rsid w:val="00835F7F"/>
    <w:rsid w:val="00840766"/>
    <w:rsid w:val="00842BA3"/>
    <w:rsid w:val="00845C44"/>
    <w:rsid w:val="00850E97"/>
    <w:rsid w:val="008541E5"/>
    <w:rsid w:val="00854C11"/>
    <w:rsid w:val="00855A08"/>
    <w:rsid w:val="00860F58"/>
    <w:rsid w:val="00862C89"/>
    <w:rsid w:val="00864197"/>
    <w:rsid w:val="00864740"/>
    <w:rsid w:val="008676FD"/>
    <w:rsid w:val="00870271"/>
    <w:rsid w:val="0087135F"/>
    <w:rsid w:val="00871370"/>
    <w:rsid w:val="0087199E"/>
    <w:rsid w:val="00871F96"/>
    <w:rsid w:val="00874747"/>
    <w:rsid w:val="00874E7C"/>
    <w:rsid w:val="008765EA"/>
    <w:rsid w:val="00876A9A"/>
    <w:rsid w:val="008776C2"/>
    <w:rsid w:val="0088225F"/>
    <w:rsid w:val="00882EEC"/>
    <w:rsid w:val="00882F53"/>
    <w:rsid w:val="00882F94"/>
    <w:rsid w:val="00884B8A"/>
    <w:rsid w:val="0088501B"/>
    <w:rsid w:val="00885846"/>
    <w:rsid w:val="00886B25"/>
    <w:rsid w:val="0089455A"/>
    <w:rsid w:val="0089576B"/>
    <w:rsid w:val="00895AA6"/>
    <w:rsid w:val="008A23C3"/>
    <w:rsid w:val="008A3598"/>
    <w:rsid w:val="008A3C4B"/>
    <w:rsid w:val="008A3DE5"/>
    <w:rsid w:val="008A525D"/>
    <w:rsid w:val="008B24F6"/>
    <w:rsid w:val="008B493F"/>
    <w:rsid w:val="008B63A0"/>
    <w:rsid w:val="008B70DD"/>
    <w:rsid w:val="008C0004"/>
    <w:rsid w:val="008C0BEF"/>
    <w:rsid w:val="008C65F9"/>
    <w:rsid w:val="008C7454"/>
    <w:rsid w:val="008D09CC"/>
    <w:rsid w:val="008D2EAE"/>
    <w:rsid w:val="008D4BF8"/>
    <w:rsid w:val="008D534B"/>
    <w:rsid w:val="008D7475"/>
    <w:rsid w:val="008E1FD6"/>
    <w:rsid w:val="008E2CCA"/>
    <w:rsid w:val="008E325E"/>
    <w:rsid w:val="008E3C90"/>
    <w:rsid w:val="008E6ACC"/>
    <w:rsid w:val="008E6CCD"/>
    <w:rsid w:val="008E711E"/>
    <w:rsid w:val="008F024B"/>
    <w:rsid w:val="008F6A07"/>
    <w:rsid w:val="008F6BFD"/>
    <w:rsid w:val="008F76C9"/>
    <w:rsid w:val="00901117"/>
    <w:rsid w:val="0091268A"/>
    <w:rsid w:val="009131FA"/>
    <w:rsid w:val="009206E7"/>
    <w:rsid w:val="0092074C"/>
    <w:rsid w:val="00921E34"/>
    <w:rsid w:val="00922E8F"/>
    <w:rsid w:val="00926FF2"/>
    <w:rsid w:val="00935044"/>
    <w:rsid w:val="0093613D"/>
    <w:rsid w:val="0093721C"/>
    <w:rsid w:val="009372A9"/>
    <w:rsid w:val="0093746D"/>
    <w:rsid w:val="00937564"/>
    <w:rsid w:val="00943856"/>
    <w:rsid w:val="00946123"/>
    <w:rsid w:val="009475B6"/>
    <w:rsid w:val="009476C1"/>
    <w:rsid w:val="00952784"/>
    <w:rsid w:val="00953274"/>
    <w:rsid w:val="009561C6"/>
    <w:rsid w:val="00956D3F"/>
    <w:rsid w:val="0095745F"/>
    <w:rsid w:val="00960AF7"/>
    <w:rsid w:val="009620A6"/>
    <w:rsid w:val="00962282"/>
    <w:rsid w:val="00963715"/>
    <w:rsid w:val="009641D4"/>
    <w:rsid w:val="0096698A"/>
    <w:rsid w:val="00970401"/>
    <w:rsid w:val="009735AC"/>
    <w:rsid w:val="0097514D"/>
    <w:rsid w:val="00984904"/>
    <w:rsid w:val="0098571F"/>
    <w:rsid w:val="00986309"/>
    <w:rsid w:val="00986567"/>
    <w:rsid w:val="00995061"/>
    <w:rsid w:val="0099509F"/>
    <w:rsid w:val="00997C51"/>
    <w:rsid w:val="009A3507"/>
    <w:rsid w:val="009A47F7"/>
    <w:rsid w:val="009A4ADD"/>
    <w:rsid w:val="009A5BF1"/>
    <w:rsid w:val="009A6D87"/>
    <w:rsid w:val="009A7E4F"/>
    <w:rsid w:val="009B0D14"/>
    <w:rsid w:val="009B161C"/>
    <w:rsid w:val="009C02B2"/>
    <w:rsid w:val="009C203B"/>
    <w:rsid w:val="009C3600"/>
    <w:rsid w:val="009C4CF0"/>
    <w:rsid w:val="009C6BFD"/>
    <w:rsid w:val="009C6CC3"/>
    <w:rsid w:val="009D1076"/>
    <w:rsid w:val="009D1853"/>
    <w:rsid w:val="009D474D"/>
    <w:rsid w:val="009E05E6"/>
    <w:rsid w:val="009E0826"/>
    <w:rsid w:val="009F1188"/>
    <w:rsid w:val="009F2128"/>
    <w:rsid w:val="009F54E4"/>
    <w:rsid w:val="009F6B4B"/>
    <w:rsid w:val="009F6C17"/>
    <w:rsid w:val="00A0212D"/>
    <w:rsid w:val="00A0221B"/>
    <w:rsid w:val="00A03973"/>
    <w:rsid w:val="00A06BB8"/>
    <w:rsid w:val="00A137C2"/>
    <w:rsid w:val="00A153EC"/>
    <w:rsid w:val="00A1745B"/>
    <w:rsid w:val="00A22C31"/>
    <w:rsid w:val="00A24ACF"/>
    <w:rsid w:val="00A25E0E"/>
    <w:rsid w:val="00A351C4"/>
    <w:rsid w:val="00A41830"/>
    <w:rsid w:val="00A4231C"/>
    <w:rsid w:val="00A43D40"/>
    <w:rsid w:val="00A44D11"/>
    <w:rsid w:val="00A469BF"/>
    <w:rsid w:val="00A55610"/>
    <w:rsid w:val="00A56718"/>
    <w:rsid w:val="00A57DBD"/>
    <w:rsid w:val="00A604F0"/>
    <w:rsid w:val="00A66C6B"/>
    <w:rsid w:val="00A71086"/>
    <w:rsid w:val="00A719A3"/>
    <w:rsid w:val="00A763B0"/>
    <w:rsid w:val="00A77A71"/>
    <w:rsid w:val="00A8049F"/>
    <w:rsid w:val="00A8275D"/>
    <w:rsid w:val="00A82C2E"/>
    <w:rsid w:val="00A83308"/>
    <w:rsid w:val="00A83315"/>
    <w:rsid w:val="00A86124"/>
    <w:rsid w:val="00A87C87"/>
    <w:rsid w:val="00A87F1D"/>
    <w:rsid w:val="00A91E09"/>
    <w:rsid w:val="00A922B0"/>
    <w:rsid w:val="00A93893"/>
    <w:rsid w:val="00A949F3"/>
    <w:rsid w:val="00A952F0"/>
    <w:rsid w:val="00A96720"/>
    <w:rsid w:val="00A976BB"/>
    <w:rsid w:val="00AA29C9"/>
    <w:rsid w:val="00AA5BFC"/>
    <w:rsid w:val="00AA6511"/>
    <w:rsid w:val="00AA7D0D"/>
    <w:rsid w:val="00AB134F"/>
    <w:rsid w:val="00AB328D"/>
    <w:rsid w:val="00AB3D2E"/>
    <w:rsid w:val="00AB5CE8"/>
    <w:rsid w:val="00AB7D3F"/>
    <w:rsid w:val="00AC06BE"/>
    <w:rsid w:val="00AC147B"/>
    <w:rsid w:val="00AC2D0A"/>
    <w:rsid w:val="00AC3207"/>
    <w:rsid w:val="00AC49DF"/>
    <w:rsid w:val="00AC4C70"/>
    <w:rsid w:val="00AD072D"/>
    <w:rsid w:val="00AD3274"/>
    <w:rsid w:val="00AD3848"/>
    <w:rsid w:val="00AD79AD"/>
    <w:rsid w:val="00AE1476"/>
    <w:rsid w:val="00AE1D4C"/>
    <w:rsid w:val="00AE3475"/>
    <w:rsid w:val="00AE64D0"/>
    <w:rsid w:val="00AE73D6"/>
    <w:rsid w:val="00AE79D5"/>
    <w:rsid w:val="00AF2D4C"/>
    <w:rsid w:val="00AF2E09"/>
    <w:rsid w:val="00AF40FE"/>
    <w:rsid w:val="00AF47A4"/>
    <w:rsid w:val="00AF4F44"/>
    <w:rsid w:val="00AF517F"/>
    <w:rsid w:val="00AF5B5B"/>
    <w:rsid w:val="00B01C8D"/>
    <w:rsid w:val="00B03E19"/>
    <w:rsid w:val="00B04D12"/>
    <w:rsid w:val="00B05E58"/>
    <w:rsid w:val="00B075EE"/>
    <w:rsid w:val="00B1320B"/>
    <w:rsid w:val="00B13574"/>
    <w:rsid w:val="00B152F7"/>
    <w:rsid w:val="00B16EFF"/>
    <w:rsid w:val="00B171B6"/>
    <w:rsid w:val="00B215DE"/>
    <w:rsid w:val="00B316BD"/>
    <w:rsid w:val="00B32434"/>
    <w:rsid w:val="00B3453F"/>
    <w:rsid w:val="00B35A03"/>
    <w:rsid w:val="00B37622"/>
    <w:rsid w:val="00B415C2"/>
    <w:rsid w:val="00B41674"/>
    <w:rsid w:val="00B41FAA"/>
    <w:rsid w:val="00B44062"/>
    <w:rsid w:val="00B47006"/>
    <w:rsid w:val="00B4769F"/>
    <w:rsid w:val="00B47C09"/>
    <w:rsid w:val="00B51180"/>
    <w:rsid w:val="00B535FB"/>
    <w:rsid w:val="00B54AAB"/>
    <w:rsid w:val="00B55437"/>
    <w:rsid w:val="00B5734A"/>
    <w:rsid w:val="00B57C7E"/>
    <w:rsid w:val="00B6005C"/>
    <w:rsid w:val="00B6073A"/>
    <w:rsid w:val="00B60A3C"/>
    <w:rsid w:val="00B61CB1"/>
    <w:rsid w:val="00B628E4"/>
    <w:rsid w:val="00B65F1A"/>
    <w:rsid w:val="00B672B8"/>
    <w:rsid w:val="00B70FA9"/>
    <w:rsid w:val="00B72FB0"/>
    <w:rsid w:val="00B73629"/>
    <w:rsid w:val="00B73C35"/>
    <w:rsid w:val="00B7666D"/>
    <w:rsid w:val="00B777E8"/>
    <w:rsid w:val="00B77A0E"/>
    <w:rsid w:val="00B810F8"/>
    <w:rsid w:val="00B81AB7"/>
    <w:rsid w:val="00B81EA5"/>
    <w:rsid w:val="00B82927"/>
    <w:rsid w:val="00B83858"/>
    <w:rsid w:val="00B846D9"/>
    <w:rsid w:val="00B8671A"/>
    <w:rsid w:val="00B87653"/>
    <w:rsid w:val="00B90AE6"/>
    <w:rsid w:val="00B93A6C"/>
    <w:rsid w:val="00B95C5E"/>
    <w:rsid w:val="00B97913"/>
    <w:rsid w:val="00BA1443"/>
    <w:rsid w:val="00BA746C"/>
    <w:rsid w:val="00BA7A66"/>
    <w:rsid w:val="00BB062F"/>
    <w:rsid w:val="00BB5187"/>
    <w:rsid w:val="00BB5FB1"/>
    <w:rsid w:val="00BC021F"/>
    <w:rsid w:val="00BC034B"/>
    <w:rsid w:val="00BC0AE3"/>
    <w:rsid w:val="00BC1478"/>
    <w:rsid w:val="00BC183A"/>
    <w:rsid w:val="00BC2BD5"/>
    <w:rsid w:val="00BC5A30"/>
    <w:rsid w:val="00BC6C6F"/>
    <w:rsid w:val="00BC7896"/>
    <w:rsid w:val="00BD00CB"/>
    <w:rsid w:val="00BD32A4"/>
    <w:rsid w:val="00BD4D9F"/>
    <w:rsid w:val="00BD5755"/>
    <w:rsid w:val="00BE6031"/>
    <w:rsid w:val="00BE62EF"/>
    <w:rsid w:val="00BE73D9"/>
    <w:rsid w:val="00BE76C3"/>
    <w:rsid w:val="00BF08E7"/>
    <w:rsid w:val="00BF19EC"/>
    <w:rsid w:val="00BF364F"/>
    <w:rsid w:val="00BF6211"/>
    <w:rsid w:val="00C00411"/>
    <w:rsid w:val="00C01013"/>
    <w:rsid w:val="00C04B5C"/>
    <w:rsid w:val="00C05AD2"/>
    <w:rsid w:val="00C06350"/>
    <w:rsid w:val="00C07AF7"/>
    <w:rsid w:val="00C10A35"/>
    <w:rsid w:val="00C137E7"/>
    <w:rsid w:val="00C13BD2"/>
    <w:rsid w:val="00C15C40"/>
    <w:rsid w:val="00C2068C"/>
    <w:rsid w:val="00C20D54"/>
    <w:rsid w:val="00C2108E"/>
    <w:rsid w:val="00C249FF"/>
    <w:rsid w:val="00C300D5"/>
    <w:rsid w:val="00C32D02"/>
    <w:rsid w:val="00C33D5B"/>
    <w:rsid w:val="00C35530"/>
    <w:rsid w:val="00C35BE3"/>
    <w:rsid w:val="00C424BE"/>
    <w:rsid w:val="00C427C9"/>
    <w:rsid w:val="00C434AE"/>
    <w:rsid w:val="00C435B8"/>
    <w:rsid w:val="00C43AE7"/>
    <w:rsid w:val="00C4686A"/>
    <w:rsid w:val="00C50166"/>
    <w:rsid w:val="00C50277"/>
    <w:rsid w:val="00C50490"/>
    <w:rsid w:val="00C50CFC"/>
    <w:rsid w:val="00C51181"/>
    <w:rsid w:val="00C540DF"/>
    <w:rsid w:val="00C552DC"/>
    <w:rsid w:val="00C55E0F"/>
    <w:rsid w:val="00C568F1"/>
    <w:rsid w:val="00C57C80"/>
    <w:rsid w:val="00C57EC3"/>
    <w:rsid w:val="00C618F7"/>
    <w:rsid w:val="00C65185"/>
    <w:rsid w:val="00C7086B"/>
    <w:rsid w:val="00C741A9"/>
    <w:rsid w:val="00C7454B"/>
    <w:rsid w:val="00C74F00"/>
    <w:rsid w:val="00C7728F"/>
    <w:rsid w:val="00C806D7"/>
    <w:rsid w:val="00C83530"/>
    <w:rsid w:val="00C85A3E"/>
    <w:rsid w:val="00C863F3"/>
    <w:rsid w:val="00C87187"/>
    <w:rsid w:val="00C87616"/>
    <w:rsid w:val="00C87732"/>
    <w:rsid w:val="00C87AB3"/>
    <w:rsid w:val="00C908B3"/>
    <w:rsid w:val="00C9225E"/>
    <w:rsid w:val="00C92CB8"/>
    <w:rsid w:val="00C9544C"/>
    <w:rsid w:val="00C955FB"/>
    <w:rsid w:val="00C96F5B"/>
    <w:rsid w:val="00C977AE"/>
    <w:rsid w:val="00CA24DF"/>
    <w:rsid w:val="00CA2F9E"/>
    <w:rsid w:val="00CA393E"/>
    <w:rsid w:val="00CA63CE"/>
    <w:rsid w:val="00CA6845"/>
    <w:rsid w:val="00CB1327"/>
    <w:rsid w:val="00CB4D01"/>
    <w:rsid w:val="00CB6210"/>
    <w:rsid w:val="00CB6E1F"/>
    <w:rsid w:val="00CC29E9"/>
    <w:rsid w:val="00CC316E"/>
    <w:rsid w:val="00CC65A5"/>
    <w:rsid w:val="00CC6E14"/>
    <w:rsid w:val="00CC7DB6"/>
    <w:rsid w:val="00CD007A"/>
    <w:rsid w:val="00CD20A6"/>
    <w:rsid w:val="00CD35A7"/>
    <w:rsid w:val="00CE1ED2"/>
    <w:rsid w:val="00CE39BD"/>
    <w:rsid w:val="00CE4A67"/>
    <w:rsid w:val="00CE61BC"/>
    <w:rsid w:val="00CF5AC5"/>
    <w:rsid w:val="00CF76EA"/>
    <w:rsid w:val="00D00453"/>
    <w:rsid w:val="00D02BA6"/>
    <w:rsid w:val="00D02E45"/>
    <w:rsid w:val="00D0326C"/>
    <w:rsid w:val="00D03AA2"/>
    <w:rsid w:val="00D05307"/>
    <w:rsid w:val="00D06E02"/>
    <w:rsid w:val="00D14B4C"/>
    <w:rsid w:val="00D16607"/>
    <w:rsid w:val="00D20D27"/>
    <w:rsid w:val="00D20F5F"/>
    <w:rsid w:val="00D22CE4"/>
    <w:rsid w:val="00D23421"/>
    <w:rsid w:val="00D2475B"/>
    <w:rsid w:val="00D36E55"/>
    <w:rsid w:val="00D41664"/>
    <w:rsid w:val="00D419BD"/>
    <w:rsid w:val="00D46163"/>
    <w:rsid w:val="00D46B59"/>
    <w:rsid w:val="00D47077"/>
    <w:rsid w:val="00D5149B"/>
    <w:rsid w:val="00D55298"/>
    <w:rsid w:val="00D57005"/>
    <w:rsid w:val="00D570B2"/>
    <w:rsid w:val="00D6160D"/>
    <w:rsid w:val="00D61E74"/>
    <w:rsid w:val="00D6367C"/>
    <w:rsid w:val="00D66076"/>
    <w:rsid w:val="00D67151"/>
    <w:rsid w:val="00D7007B"/>
    <w:rsid w:val="00D703BB"/>
    <w:rsid w:val="00D72108"/>
    <w:rsid w:val="00D75537"/>
    <w:rsid w:val="00D759C0"/>
    <w:rsid w:val="00D75FFF"/>
    <w:rsid w:val="00D80885"/>
    <w:rsid w:val="00D81A34"/>
    <w:rsid w:val="00D81AEB"/>
    <w:rsid w:val="00D83430"/>
    <w:rsid w:val="00D83440"/>
    <w:rsid w:val="00D83B52"/>
    <w:rsid w:val="00D83BF1"/>
    <w:rsid w:val="00D87ABE"/>
    <w:rsid w:val="00D92206"/>
    <w:rsid w:val="00D941CE"/>
    <w:rsid w:val="00D9466E"/>
    <w:rsid w:val="00D959CB"/>
    <w:rsid w:val="00DA1197"/>
    <w:rsid w:val="00DA1433"/>
    <w:rsid w:val="00DA1673"/>
    <w:rsid w:val="00DA1788"/>
    <w:rsid w:val="00DA2A4A"/>
    <w:rsid w:val="00DA36F3"/>
    <w:rsid w:val="00DA69E4"/>
    <w:rsid w:val="00DB0AFA"/>
    <w:rsid w:val="00DB24A7"/>
    <w:rsid w:val="00DB3FBB"/>
    <w:rsid w:val="00DB63BE"/>
    <w:rsid w:val="00DB6AB0"/>
    <w:rsid w:val="00DB6BD8"/>
    <w:rsid w:val="00DC3543"/>
    <w:rsid w:val="00DC4367"/>
    <w:rsid w:val="00DC4B2A"/>
    <w:rsid w:val="00DC5E7D"/>
    <w:rsid w:val="00DC6069"/>
    <w:rsid w:val="00DC65F7"/>
    <w:rsid w:val="00DC6952"/>
    <w:rsid w:val="00DD17E0"/>
    <w:rsid w:val="00DD3F2E"/>
    <w:rsid w:val="00DD6005"/>
    <w:rsid w:val="00DD6923"/>
    <w:rsid w:val="00DD6D67"/>
    <w:rsid w:val="00DD74CC"/>
    <w:rsid w:val="00DD75E4"/>
    <w:rsid w:val="00DD77DA"/>
    <w:rsid w:val="00DD7B48"/>
    <w:rsid w:val="00DE06CB"/>
    <w:rsid w:val="00DE0D43"/>
    <w:rsid w:val="00DE26ED"/>
    <w:rsid w:val="00DE5D1F"/>
    <w:rsid w:val="00DE68FA"/>
    <w:rsid w:val="00DF131C"/>
    <w:rsid w:val="00DF18BB"/>
    <w:rsid w:val="00DF2E7B"/>
    <w:rsid w:val="00DF32C6"/>
    <w:rsid w:val="00E00813"/>
    <w:rsid w:val="00E02811"/>
    <w:rsid w:val="00E02F31"/>
    <w:rsid w:val="00E0389A"/>
    <w:rsid w:val="00E03EC1"/>
    <w:rsid w:val="00E06A5E"/>
    <w:rsid w:val="00E06FFE"/>
    <w:rsid w:val="00E10436"/>
    <w:rsid w:val="00E11107"/>
    <w:rsid w:val="00E13091"/>
    <w:rsid w:val="00E14060"/>
    <w:rsid w:val="00E144AE"/>
    <w:rsid w:val="00E14DFE"/>
    <w:rsid w:val="00E17260"/>
    <w:rsid w:val="00E2063E"/>
    <w:rsid w:val="00E2315E"/>
    <w:rsid w:val="00E24A59"/>
    <w:rsid w:val="00E2501B"/>
    <w:rsid w:val="00E2573C"/>
    <w:rsid w:val="00E25791"/>
    <w:rsid w:val="00E27697"/>
    <w:rsid w:val="00E27E88"/>
    <w:rsid w:val="00E31755"/>
    <w:rsid w:val="00E31BA3"/>
    <w:rsid w:val="00E3212A"/>
    <w:rsid w:val="00E3263E"/>
    <w:rsid w:val="00E3299E"/>
    <w:rsid w:val="00E3329E"/>
    <w:rsid w:val="00E34212"/>
    <w:rsid w:val="00E34ACC"/>
    <w:rsid w:val="00E34EC4"/>
    <w:rsid w:val="00E40BED"/>
    <w:rsid w:val="00E431F6"/>
    <w:rsid w:val="00E44C45"/>
    <w:rsid w:val="00E45124"/>
    <w:rsid w:val="00E4514B"/>
    <w:rsid w:val="00E46BB3"/>
    <w:rsid w:val="00E46CE7"/>
    <w:rsid w:val="00E53276"/>
    <w:rsid w:val="00E53694"/>
    <w:rsid w:val="00E53777"/>
    <w:rsid w:val="00E53B80"/>
    <w:rsid w:val="00E54E01"/>
    <w:rsid w:val="00E55F51"/>
    <w:rsid w:val="00E6297D"/>
    <w:rsid w:val="00E64747"/>
    <w:rsid w:val="00E7045D"/>
    <w:rsid w:val="00E71B09"/>
    <w:rsid w:val="00E73F5D"/>
    <w:rsid w:val="00E803F6"/>
    <w:rsid w:val="00E808A0"/>
    <w:rsid w:val="00E80F0F"/>
    <w:rsid w:val="00E81100"/>
    <w:rsid w:val="00E8250A"/>
    <w:rsid w:val="00E826B5"/>
    <w:rsid w:val="00E82EA7"/>
    <w:rsid w:val="00E858D5"/>
    <w:rsid w:val="00E93AFA"/>
    <w:rsid w:val="00E94C26"/>
    <w:rsid w:val="00E96230"/>
    <w:rsid w:val="00EA0589"/>
    <w:rsid w:val="00EA2EE4"/>
    <w:rsid w:val="00EA2F27"/>
    <w:rsid w:val="00EA3EBE"/>
    <w:rsid w:val="00EA598F"/>
    <w:rsid w:val="00EA6874"/>
    <w:rsid w:val="00EB1D85"/>
    <w:rsid w:val="00EB3A2A"/>
    <w:rsid w:val="00EB4104"/>
    <w:rsid w:val="00EC239E"/>
    <w:rsid w:val="00EC2E1D"/>
    <w:rsid w:val="00EC386C"/>
    <w:rsid w:val="00EC411A"/>
    <w:rsid w:val="00EC48FC"/>
    <w:rsid w:val="00EC583B"/>
    <w:rsid w:val="00ED0CE4"/>
    <w:rsid w:val="00ED1D62"/>
    <w:rsid w:val="00ED5B04"/>
    <w:rsid w:val="00ED74D9"/>
    <w:rsid w:val="00EE1638"/>
    <w:rsid w:val="00EE174F"/>
    <w:rsid w:val="00EE2365"/>
    <w:rsid w:val="00EE6540"/>
    <w:rsid w:val="00EE6E51"/>
    <w:rsid w:val="00EE758E"/>
    <w:rsid w:val="00EF0443"/>
    <w:rsid w:val="00EF0C2B"/>
    <w:rsid w:val="00EF13D7"/>
    <w:rsid w:val="00EF2624"/>
    <w:rsid w:val="00EF2CE9"/>
    <w:rsid w:val="00EF3B7E"/>
    <w:rsid w:val="00EF4655"/>
    <w:rsid w:val="00EF6066"/>
    <w:rsid w:val="00EF61F2"/>
    <w:rsid w:val="00EF6E12"/>
    <w:rsid w:val="00F02B0E"/>
    <w:rsid w:val="00F079BD"/>
    <w:rsid w:val="00F07ECC"/>
    <w:rsid w:val="00F14415"/>
    <w:rsid w:val="00F147D9"/>
    <w:rsid w:val="00F15410"/>
    <w:rsid w:val="00F156E7"/>
    <w:rsid w:val="00F168CE"/>
    <w:rsid w:val="00F17C93"/>
    <w:rsid w:val="00F21900"/>
    <w:rsid w:val="00F23B3B"/>
    <w:rsid w:val="00F269CB"/>
    <w:rsid w:val="00F27589"/>
    <w:rsid w:val="00F319A1"/>
    <w:rsid w:val="00F3426E"/>
    <w:rsid w:val="00F35EBE"/>
    <w:rsid w:val="00F37422"/>
    <w:rsid w:val="00F3798D"/>
    <w:rsid w:val="00F40271"/>
    <w:rsid w:val="00F47416"/>
    <w:rsid w:val="00F47A4D"/>
    <w:rsid w:val="00F50A76"/>
    <w:rsid w:val="00F53512"/>
    <w:rsid w:val="00F6020F"/>
    <w:rsid w:val="00F60F58"/>
    <w:rsid w:val="00F646D9"/>
    <w:rsid w:val="00F72D5E"/>
    <w:rsid w:val="00F73A97"/>
    <w:rsid w:val="00F745B6"/>
    <w:rsid w:val="00F74735"/>
    <w:rsid w:val="00F765C5"/>
    <w:rsid w:val="00F76FEB"/>
    <w:rsid w:val="00F77027"/>
    <w:rsid w:val="00F823DB"/>
    <w:rsid w:val="00F84119"/>
    <w:rsid w:val="00F85663"/>
    <w:rsid w:val="00F915AA"/>
    <w:rsid w:val="00F91A73"/>
    <w:rsid w:val="00F9212F"/>
    <w:rsid w:val="00F9420D"/>
    <w:rsid w:val="00F9744B"/>
    <w:rsid w:val="00FA05DE"/>
    <w:rsid w:val="00FA4A23"/>
    <w:rsid w:val="00FA609B"/>
    <w:rsid w:val="00FA76F5"/>
    <w:rsid w:val="00FA7A9E"/>
    <w:rsid w:val="00FB6985"/>
    <w:rsid w:val="00FC5C7F"/>
    <w:rsid w:val="00FC61C8"/>
    <w:rsid w:val="00FD1F9D"/>
    <w:rsid w:val="00FD4787"/>
    <w:rsid w:val="00FD49DD"/>
    <w:rsid w:val="00FD5E6C"/>
    <w:rsid w:val="00FE2780"/>
    <w:rsid w:val="00FE42F2"/>
    <w:rsid w:val="00FE503B"/>
    <w:rsid w:val="00FE58D1"/>
    <w:rsid w:val="00FE6220"/>
    <w:rsid w:val="00FE626B"/>
    <w:rsid w:val="00FE7E8E"/>
    <w:rsid w:val="00FF4E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2"/>
    <w:lsdException w:name="header" w:uiPriority="0" w:qFormat="1"/>
    <w:lsdException w:name="caption" w:semiHidden="0" w:uiPriority="0" w:unhideWhenUsed="0"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Balloon Text" w:uiPriority="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60F94"/>
    <w:pPr>
      <w:spacing w:line="280" w:lineRule="atLeast"/>
    </w:pPr>
    <w:rPr>
      <w:rFonts w:ascii="Palatino Linotype" w:hAnsi="Palatino Linotype"/>
      <w:sz w:val="21"/>
      <w:szCs w:val="24"/>
      <w:lang w:val="en-NZ"/>
    </w:rPr>
  </w:style>
  <w:style w:type="paragraph" w:styleId="Heading1">
    <w:name w:val="heading 1"/>
    <w:basedOn w:val="Normal"/>
    <w:next w:val="Normal"/>
    <w:qFormat/>
    <w:rsid w:val="00956D3F"/>
    <w:pPr>
      <w:keepNext/>
      <w:numPr>
        <w:numId w:val="1"/>
      </w:numPr>
      <w:pBdr>
        <w:bottom w:val="single" w:sz="4" w:space="1" w:color="808080"/>
      </w:pBdr>
      <w:spacing w:after="160"/>
      <w:ind w:left="709" w:hanging="709"/>
      <w:outlineLvl w:val="0"/>
    </w:pPr>
    <w:rPr>
      <w:rFonts w:ascii="Century Gothic" w:hAnsi="Century Gothic" w:cs="Arial"/>
      <w:b/>
      <w:bCs/>
      <w:sz w:val="36"/>
      <w:szCs w:val="32"/>
    </w:rPr>
  </w:style>
  <w:style w:type="paragraph" w:styleId="Heading2">
    <w:name w:val="heading 2"/>
    <w:basedOn w:val="Normal"/>
    <w:next w:val="Normal"/>
    <w:qFormat/>
    <w:rsid w:val="00220C7C"/>
    <w:pPr>
      <w:keepNext/>
      <w:numPr>
        <w:ilvl w:val="1"/>
        <w:numId w:val="1"/>
      </w:numPr>
      <w:tabs>
        <w:tab w:val="clear" w:pos="357"/>
        <w:tab w:val="num" w:pos="709"/>
      </w:tabs>
      <w:spacing w:before="360" w:after="60"/>
      <w:ind w:left="709" w:hanging="709"/>
      <w:outlineLvl w:val="1"/>
    </w:pPr>
    <w:rPr>
      <w:rFonts w:ascii="Century Gothic" w:hAnsi="Century Gothic" w:cs="Arial"/>
      <w:b/>
      <w:bCs/>
      <w:iCs/>
      <w:sz w:val="24"/>
      <w:szCs w:val="28"/>
    </w:rPr>
  </w:style>
  <w:style w:type="paragraph" w:styleId="Heading3">
    <w:name w:val="heading 3"/>
    <w:basedOn w:val="Normal"/>
    <w:next w:val="Normal"/>
    <w:qFormat/>
    <w:rsid w:val="008D7475"/>
    <w:pPr>
      <w:keepNext/>
      <w:numPr>
        <w:ilvl w:val="2"/>
        <w:numId w:val="1"/>
      </w:numPr>
      <w:spacing w:before="360" w:after="60"/>
      <w:outlineLvl w:val="2"/>
    </w:pPr>
    <w:rPr>
      <w:rFonts w:ascii="Century Gothic" w:hAnsi="Century Gothic" w:cs="Arial"/>
      <w:b/>
      <w:bCs/>
      <w:szCs w:val="26"/>
    </w:rPr>
  </w:style>
  <w:style w:type="paragraph" w:styleId="Heading4">
    <w:name w:val="heading 4"/>
    <w:basedOn w:val="Normal"/>
    <w:next w:val="Normal"/>
    <w:qFormat/>
    <w:rsid w:val="004A5F2F"/>
    <w:pPr>
      <w:keepNext/>
      <w:spacing w:before="240" w:after="60"/>
      <w:outlineLvl w:val="3"/>
    </w:pPr>
    <w:rPr>
      <w:b/>
      <w:bCs/>
      <w:i/>
      <w:szCs w:val="28"/>
    </w:rPr>
  </w:style>
  <w:style w:type="paragraph" w:styleId="Heading5">
    <w:name w:val="heading 5"/>
    <w:basedOn w:val="Normal"/>
    <w:next w:val="Normal"/>
    <w:rsid w:val="004A5F2F"/>
    <w:pPr>
      <w:spacing w:before="240" w:after="60"/>
      <w:outlineLvl w:val="4"/>
    </w:pPr>
    <w:rPr>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qFormat/>
    <w:rsid w:val="00B628E4"/>
    <w:pPr>
      <w:tabs>
        <w:tab w:val="center" w:pos="4320"/>
        <w:tab w:val="right" w:pos="8640"/>
      </w:tabs>
      <w:spacing w:line="240" w:lineRule="auto"/>
    </w:pPr>
    <w:rPr>
      <w:rFonts w:ascii="Century Gothic" w:hAnsi="Century Gothic"/>
      <w:color w:val="64635B"/>
      <w:sz w:val="18"/>
    </w:rPr>
  </w:style>
  <w:style w:type="paragraph" w:styleId="Footer">
    <w:name w:val="footer"/>
    <w:basedOn w:val="Normal"/>
    <w:link w:val="FooterChar"/>
    <w:uiPriority w:val="99"/>
    <w:rsid w:val="00B628E4"/>
    <w:pPr>
      <w:tabs>
        <w:tab w:val="center" w:pos="4320"/>
        <w:tab w:val="right" w:pos="8640"/>
      </w:tabs>
    </w:pPr>
    <w:rPr>
      <w:rFonts w:ascii="Century Gothic" w:hAnsi="Century Gothic"/>
      <w:color w:val="64635B"/>
      <w:sz w:val="18"/>
    </w:rPr>
  </w:style>
  <w:style w:type="character" w:styleId="Hyperlink">
    <w:name w:val="Hyperlink"/>
    <w:basedOn w:val="DefaultParagraphFont"/>
    <w:uiPriority w:val="99"/>
    <w:rsid w:val="00582087"/>
    <w:rPr>
      <w:rFonts w:ascii="Century Gothic" w:hAnsi="Century Gothic"/>
      <w:color w:val="0000FF"/>
      <w:u w:val="single"/>
    </w:rPr>
  </w:style>
  <w:style w:type="character" w:customStyle="1" w:styleId="CaptionChar">
    <w:name w:val="Caption Char"/>
    <w:basedOn w:val="DefaultParagraphFont"/>
    <w:link w:val="Caption"/>
    <w:rsid w:val="00E02811"/>
    <w:rPr>
      <w:rFonts w:ascii="Palatino Linotype" w:hAnsi="Palatino Linotype"/>
      <w:sz w:val="18"/>
      <w:szCs w:val="18"/>
      <w:lang w:val="en-NZ"/>
    </w:rPr>
  </w:style>
  <w:style w:type="paragraph" w:styleId="Caption">
    <w:name w:val="caption"/>
    <w:basedOn w:val="Normal"/>
    <w:next w:val="Normal"/>
    <w:link w:val="CaptionChar"/>
    <w:qFormat/>
    <w:rsid w:val="00E02811"/>
    <w:pPr>
      <w:keepNext/>
      <w:spacing w:before="120" w:after="120"/>
    </w:pPr>
    <w:rPr>
      <w:sz w:val="18"/>
      <w:szCs w:val="18"/>
    </w:rPr>
  </w:style>
  <w:style w:type="paragraph" w:customStyle="1" w:styleId="ContentsHeading">
    <w:name w:val="ContentsHeading"/>
    <w:basedOn w:val="AppendixHeading"/>
    <w:next w:val="Normal"/>
    <w:rsid w:val="00C87732"/>
  </w:style>
  <w:style w:type="paragraph" w:customStyle="1" w:styleId="AppendixHeading">
    <w:name w:val="AppendixHeading"/>
    <w:basedOn w:val="Heading1"/>
    <w:next w:val="Normal"/>
    <w:rsid w:val="00C87732"/>
    <w:pPr>
      <w:numPr>
        <w:numId w:val="0"/>
      </w:numPr>
    </w:pPr>
  </w:style>
  <w:style w:type="paragraph" w:styleId="FootnoteText">
    <w:name w:val="footnote text"/>
    <w:aliases w:val="ALTS FOOTNOTE"/>
    <w:basedOn w:val="Normal"/>
    <w:link w:val="FootnoteTextChar"/>
    <w:qFormat/>
    <w:rsid w:val="00663D30"/>
    <w:pPr>
      <w:spacing w:line="240" w:lineRule="auto"/>
    </w:pPr>
    <w:rPr>
      <w:sz w:val="18"/>
      <w:szCs w:val="20"/>
    </w:rPr>
  </w:style>
  <w:style w:type="paragraph" w:styleId="TOC1">
    <w:name w:val="toc 1"/>
    <w:basedOn w:val="Normal"/>
    <w:next w:val="Normal"/>
    <w:autoRedefine/>
    <w:uiPriority w:val="39"/>
    <w:rsid w:val="00F156E7"/>
    <w:pPr>
      <w:tabs>
        <w:tab w:val="left" w:pos="658"/>
        <w:tab w:val="right" w:pos="8211"/>
      </w:tabs>
      <w:spacing w:before="120" w:line="360" w:lineRule="auto"/>
    </w:pPr>
    <w:rPr>
      <w:rFonts w:ascii="Century Gothic" w:hAnsi="Century Gothic"/>
      <w:b/>
      <w:sz w:val="20"/>
    </w:rPr>
  </w:style>
  <w:style w:type="paragraph" w:styleId="TOC7">
    <w:name w:val="toc 7"/>
    <w:basedOn w:val="Normal"/>
    <w:next w:val="Normal"/>
    <w:autoRedefine/>
    <w:uiPriority w:val="39"/>
    <w:rsid w:val="0061525C"/>
    <w:pPr>
      <w:ind w:left="1320"/>
    </w:pPr>
  </w:style>
  <w:style w:type="paragraph" w:styleId="TOC2">
    <w:name w:val="toc 2"/>
    <w:basedOn w:val="Normal"/>
    <w:next w:val="Normal"/>
    <w:autoRedefine/>
    <w:uiPriority w:val="39"/>
    <w:rsid w:val="00582087"/>
    <w:pPr>
      <w:spacing w:line="360" w:lineRule="auto"/>
      <w:ind w:left="221"/>
    </w:pPr>
    <w:rPr>
      <w:rFonts w:ascii="Century Gothic" w:hAnsi="Century Gothic"/>
      <w:sz w:val="20"/>
    </w:rPr>
  </w:style>
  <w:style w:type="paragraph" w:styleId="TOC3">
    <w:name w:val="toc 3"/>
    <w:basedOn w:val="Normal"/>
    <w:next w:val="Normal"/>
    <w:autoRedefine/>
    <w:uiPriority w:val="39"/>
    <w:rsid w:val="004C3DC7"/>
    <w:pPr>
      <w:spacing w:line="360" w:lineRule="auto"/>
      <w:ind w:left="442"/>
    </w:pPr>
    <w:rPr>
      <w:rFonts w:ascii="Century Gothic" w:hAnsi="Century Gothic"/>
      <w:sz w:val="18"/>
    </w:rPr>
  </w:style>
  <w:style w:type="character" w:styleId="FootnoteReference">
    <w:name w:val="footnote reference"/>
    <w:basedOn w:val="DefaultParagraphFont"/>
    <w:rsid w:val="005231A6"/>
    <w:rPr>
      <w:vertAlign w:val="superscript"/>
    </w:rPr>
  </w:style>
  <w:style w:type="paragraph" w:styleId="TOC4">
    <w:name w:val="toc 4"/>
    <w:basedOn w:val="Normal"/>
    <w:next w:val="Normal"/>
    <w:autoRedefine/>
    <w:uiPriority w:val="39"/>
    <w:rsid w:val="00C4686A"/>
    <w:pPr>
      <w:spacing w:line="360" w:lineRule="auto"/>
      <w:ind w:left="658"/>
    </w:pPr>
  </w:style>
  <w:style w:type="paragraph" w:styleId="TOC5">
    <w:name w:val="toc 5"/>
    <w:basedOn w:val="Normal"/>
    <w:next w:val="Normal"/>
    <w:autoRedefine/>
    <w:uiPriority w:val="39"/>
    <w:rsid w:val="00C4686A"/>
    <w:pPr>
      <w:ind w:left="880"/>
    </w:pPr>
  </w:style>
  <w:style w:type="paragraph" w:styleId="BalloonText">
    <w:name w:val="Balloon Text"/>
    <w:basedOn w:val="Normal"/>
    <w:semiHidden/>
    <w:rsid w:val="00D419BD"/>
    <w:rPr>
      <w:rFonts w:ascii="Tahoma" w:hAnsi="Tahoma" w:cs="Tahoma"/>
      <w:sz w:val="16"/>
      <w:szCs w:val="16"/>
    </w:rPr>
  </w:style>
  <w:style w:type="character" w:styleId="PageNumber">
    <w:name w:val="page number"/>
    <w:basedOn w:val="DefaultParagraphFont"/>
    <w:rsid w:val="001A605C"/>
    <w:rPr>
      <w:spacing w:val="0"/>
      <w:kern w:val="0"/>
    </w:rPr>
  </w:style>
  <w:style w:type="paragraph" w:customStyle="1" w:styleId="TableText">
    <w:name w:val="TableText"/>
    <w:basedOn w:val="Normal"/>
    <w:qFormat/>
    <w:rsid w:val="009C203B"/>
    <w:pPr>
      <w:spacing w:before="40" w:after="40" w:line="240" w:lineRule="auto"/>
    </w:pPr>
    <w:rPr>
      <w:rFonts w:ascii="Verdana" w:hAnsi="Verdana"/>
      <w:sz w:val="16"/>
      <w:szCs w:val="16"/>
    </w:rPr>
  </w:style>
  <w:style w:type="paragraph" w:customStyle="1" w:styleId="CoverReportType">
    <w:name w:val="Cover Report Type"/>
    <w:basedOn w:val="Normal"/>
    <w:semiHidden/>
    <w:rsid w:val="00CF5AC5"/>
    <w:pPr>
      <w:spacing w:before="500" w:after="500" w:line="240" w:lineRule="auto"/>
      <w:ind w:right="284"/>
      <w:jc w:val="right"/>
      <w:outlineLvl w:val="0"/>
    </w:pPr>
    <w:rPr>
      <w:rFonts w:ascii="Century Gothic" w:hAnsi="Century Gothic" w:cs="Arial"/>
      <w:b/>
      <w:bCs/>
      <w:color w:val="FFFFFF"/>
      <w:kern w:val="28"/>
      <w:sz w:val="36"/>
      <w:szCs w:val="36"/>
    </w:rPr>
  </w:style>
  <w:style w:type="paragraph" w:customStyle="1" w:styleId="Coverdate">
    <w:name w:val="Cover date"/>
    <w:basedOn w:val="Normal"/>
    <w:semiHidden/>
    <w:rsid w:val="00CF5AC5"/>
    <w:pPr>
      <w:spacing w:line="240" w:lineRule="auto"/>
      <w:ind w:right="284"/>
      <w:jc w:val="right"/>
      <w:outlineLvl w:val="0"/>
    </w:pPr>
    <w:rPr>
      <w:rFonts w:ascii="Century Gothic" w:hAnsi="Century Gothic" w:cs="Arial"/>
      <w:b/>
      <w:bCs/>
      <w:color w:val="15589C"/>
      <w:kern w:val="28"/>
      <w:sz w:val="28"/>
      <w:szCs w:val="28"/>
    </w:rPr>
  </w:style>
  <w:style w:type="paragraph" w:customStyle="1" w:styleId="CoverClient">
    <w:name w:val="Cover Client"/>
    <w:basedOn w:val="Normal"/>
    <w:semiHidden/>
    <w:rsid w:val="00CF5AC5"/>
    <w:pPr>
      <w:spacing w:line="240" w:lineRule="auto"/>
      <w:ind w:right="284"/>
      <w:jc w:val="right"/>
      <w:outlineLvl w:val="0"/>
    </w:pPr>
    <w:rPr>
      <w:rFonts w:ascii="Century Gothic" w:hAnsi="Century Gothic"/>
      <w:b/>
      <w:bCs/>
      <w:kern w:val="28"/>
      <w:sz w:val="36"/>
      <w:szCs w:val="20"/>
    </w:rPr>
  </w:style>
  <w:style w:type="paragraph" w:customStyle="1" w:styleId="Coverspacing">
    <w:name w:val="Cover spacing"/>
    <w:basedOn w:val="Normal"/>
    <w:semiHidden/>
    <w:rsid w:val="00CF5AC5"/>
    <w:pPr>
      <w:spacing w:line="240" w:lineRule="auto"/>
      <w:ind w:right="284"/>
      <w:jc w:val="right"/>
      <w:outlineLvl w:val="0"/>
    </w:pPr>
    <w:rPr>
      <w:rFonts w:ascii="Century Gothic" w:hAnsi="Century Gothic"/>
      <w:b/>
      <w:bCs/>
      <w:kern w:val="28"/>
      <w:sz w:val="28"/>
      <w:szCs w:val="20"/>
    </w:rPr>
  </w:style>
  <w:style w:type="paragraph" w:customStyle="1" w:styleId="Coverprepared">
    <w:name w:val="Cover prepared"/>
    <w:basedOn w:val="Normal"/>
    <w:semiHidden/>
    <w:rsid w:val="00CF5AC5"/>
    <w:pPr>
      <w:spacing w:line="240" w:lineRule="auto"/>
      <w:ind w:right="284"/>
      <w:jc w:val="right"/>
      <w:outlineLvl w:val="0"/>
    </w:pPr>
    <w:rPr>
      <w:rFonts w:ascii="Century Gothic" w:hAnsi="Century Gothic"/>
      <w:b/>
      <w:bCs/>
      <w:kern w:val="28"/>
      <w:sz w:val="28"/>
      <w:szCs w:val="20"/>
    </w:rPr>
  </w:style>
  <w:style w:type="paragraph" w:customStyle="1" w:styleId="Copyrighttext">
    <w:name w:val="Copyright text"/>
    <w:basedOn w:val="Normal"/>
    <w:semiHidden/>
    <w:rsid w:val="00DF131C"/>
    <w:pPr>
      <w:spacing w:line="240" w:lineRule="atLeast"/>
    </w:pPr>
    <w:rPr>
      <w:rFonts w:ascii="Century Gothic" w:hAnsi="Century Gothic"/>
      <w:sz w:val="18"/>
      <w:szCs w:val="18"/>
    </w:rPr>
  </w:style>
  <w:style w:type="paragraph" w:styleId="Title">
    <w:name w:val="Title"/>
    <w:basedOn w:val="Normal"/>
    <w:next w:val="Normal"/>
    <w:link w:val="TitleChar"/>
    <w:uiPriority w:val="10"/>
    <w:qFormat/>
    <w:rsid w:val="00A87F1D"/>
    <w:pPr>
      <w:autoSpaceDE w:val="0"/>
      <w:autoSpaceDN w:val="0"/>
      <w:adjustRightInd w:val="0"/>
      <w:spacing w:line="216" w:lineRule="auto"/>
    </w:pPr>
    <w:rPr>
      <w:rFonts w:ascii="Century Gothic" w:hAnsi="Century Gothic" w:cs="Futura"/>
      <w:spacing w:val="-28"/>
      <w:kern w:val="81"/>
      <w:sz w:val="81"/>
      <w:szCs w:val="81"/>
      <w:lang w:val="en-US"/>
    </w:rPr>
  </w:style>
  <w:style w:type="character" w:customStyle="1" w:styleId="TitleChar">
    <w:name w:val="Title Char"/>
    <w:basedOn w:val="DefaultParagraphFont"/>
    <w:link w:val="Title"/>
    <w:uiPriority w:val="10"/>
    <w:rsid w:val="00A87F1D"/>
    <w:rPr>
      <w:rFonts w:ascii="Century Gothic" w:hAnsi="Century Gothic" w:cs="Futura"/>
      <w:spacing w:val="-28"/>
      <w:kern w:val="81"/>
      <w:sz w:val="81"/>
      <w:szCs w:val="81"/>
    </w:rPr>
  </w:style>
  <w:style w:type="character" w:styleId="IntenseEmphasis">
    <w:name w:val="Intense Emphasis"/>
    <w:basedOn w:val="DefaultParagraphFont"/>
    <w:uiPriority w:val="21"/>
    <w:rsid w:val="00B628E4"/>
    <w:rPr>
      <w:rFonts w:ascii="Century Gothic" w:hAnsi="Century Gothic"/>
      <w:b/>
      <w:bCs/>
      <w:i/>
      <w:iCs/>
      <w:color w:val="000000" w:themeColor="text1"/>
      <w:sz w:val="70"/>
    </w:rPr>
  </w:style>
  <w:style w:type="paragraph" w:customStyle="1" w:styleId="FooterText">
    <w:name w:val="Footer Text"/>
    <w:basedOn w:val="Footer"/>
    <w:link w:val="FooterTextChar"/>
    <w:qFormat/>
    <w:rsid w:val="0074597D"/>
    <w:pPr>
      <w:tabs>
        <w:tab w:val="clear" w:pos="8640"/>
        <w:tab w:val="left" w:pos="1373"/>
        <w:tab w:val="left" w:pos="4119"/>
        <w:tab w:val="right" w:pos="4320"/>
        <w:tab w:val="right" w:pos="8222"/>
      </w:tabs>
      <w:ind w:right="-1"/>
    </w:pPr>
    <w:rPr>
      <w:spacing w:val="-10"/>
      <w:kern w:val="18"/>
    </w:rPr>
  </w:style>
  <w:style w:type="character" w:customStyle="1" w:styleId="FooterChar">
    <w:name w:val="Footer Char"/>
    <w:basedOn w:val="DefaultParagraphFont"/>
    <w:link w:val="Footer"/>
    <w:uiPriority w:val="99"/>
    <w:rsid w:val="00B628E4"/>
    <w:rPr>
      <w:rFonts w:ascii="Century Gothic" w:hAnsi="Century Gothic"/>
      <w:color w:val="64635B"/>
      <w:sz w:val="18"/>
      <w:szCs w:val="24"/>
      <w:lang w:val="en-NZ"/>
    </w:rPr>
  </w:style>
  <w:style w:type="character" w:customStyle="1" w:styleId="FooterTextChar">
    <w:name w:val="Footer Text Char"/>
    <w:basedOn w:val="FooterChar"/>
    <w:link w:val="FooterText"/>
    <w:rsid w:val="0074597D"/>
    <w:rPr>
      <w:rFonts w:ascii="Century Gothic" w:hAnsi="Century Gothic"/>
      <w:color w:val="64635B"/>
      <w:spacing w:val="-10"/>
      <w:kern w:val="18"/>
      <w:sz w:val="18"/>
      <w:szCs w:val="24"/>
      <w:lang w:val="en-NZ"/>
    </w:rPr>
  </w:style>
  <w:style w:type="character" w:styleId="PlaceholderText">
    <w:name w:val="Placeholder Text"/>
    <w:basedOn w:val="DefaultParagraphFont"/>
    <w:uiPriority w:val="99"/>
    <w:semiHidden/>
    <w:rsid w:val="004F2076"/>
    <w:rPr>
      <w:color w:val="808080"/>
    </w:rPr>
  </w:style>
  <w:style w:type="table" w:styleId="TableGrid">
    <w:name w:val="Table Grid"/>
    <w:basedOn w:val="TableNormal"/>
    <w:uiPriority w:val="59"/>
    <w:rsid w:val="00F745B6"/>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
    <w:name w:val="Numbered"/>
    <w:basedOn w:val="Normal"/>
    <w:link w:val="NumberedChar"/>
    <w:qFormat/>
    <w:rsid w:val="001A605C"/>
    <w:pPr>
      <w:numPr>
        <w:numId w:val="2"/>
      </w:numPr>
      <w:spacing w:after="280"/>
      <w:ind w:left="0" w:hanging="567"/>
    </w:pPr>
  </w:style>
  <w:style w:type="character" w:customStyle="1" w:styleId="NumberedChar">
    <w:name w:val="Numbered Char"/>
    <w:basedOn w:val="DefaultParagraphFont"/>
    <w:link w:val="Numbered"/>
    <w:rsid w:val="001A605C"/>
    <w:rPr>
      <w:rFonts w:ascii="Palatino Linotype" w:hAnsi="Palatino Linotype"/>
      <w:sz w:val="21"/>
      <w:szCs w:val="24"/>
      <w:lang w:val="en-NZ"/>
    </w:rPr>
  </w:style>
  <w:style w:type="table" w:customStyle="1" w:styleId="CovecTables">
    <w:name w:val="Covec Tables"/>
    <w:basedOn w:val="TableNormal"/>
    <w:uiPriority w:val="99"/>
    <w:qFormat/>
    <w:rsid w:val="00D23421"/>
    <w:pPr>
      <w:jc w:val="right"/>
    </w:pPr>
    <w:rPr>
      <w:rFonts w:ascii="Verdana" w:hAnsi="Verdana"/>
      <w:sz w:val="16"/>
    </w:rPr>
    <w:tblPr>
      <w:tblInd w:w="113" w:type="dxa"/>
      <w:tblCellMar>
        <w:left w:w="0" w:type="dxa"/>
        <w:right w:w="0" w:type="dxa"/>
      </w:tblCellMar>
    </w:tblPr>
    <w:tcPr>
      <w:vAlign w:val="center"/>
    </w:tcPr>
    <w:tblStylePr w:type="firstRow">
      <w:pPr>
        <w:jc w:val="right"/>
      </w:pPr>
      <w:rPr>
        <w:rFonts w:ascii="Marlett" w:hAnsi="Marlett"/>
        <w:b/>
        <w:color w:val="780000"/>
        <w:sz w:val="16"/>
      </w:rPr>
      <w:tblPr/>
      <w:tcPr>
        <w:tcBorders>
          <w:bottom w:val="single" w:sz="8" w:space="0" w:color="A6A6A6" w:themeColor="background1" w:themeShade="A6"/>
        </w:tcBorders>
        <w:vAlign w:val="bottom"/>
      </w:tcPr>
    </w:tblStylePr>
    <w:tblStylePr w:type="lastRow">
      <w:pPr>
        <w:jc w:val="right"/>
      </w:pPr>
      <w:tblPr/>
      <w:tcPr>
        <w:tcBorders>
          <w:bottom w:val="single" w:sz="12" w:space="0" w:color="A6A6A6" w:themeColor="background1" w:themeShade="A6"/>
        </w:tcBorders>
        <w:vAlign w:val="center"/>
      </w:tcPr>
    </w:tblStylePr>
    <w:tblStylePr w:type="firstCol">
      <w:pPr>
        <w:jc w:val="left"/>
      </w:pPr>
    </w:tblStylePr>
    <w:tblStylePr w:type="nwCell">
      <w:pPr>
        <w:jc w:val="left"/>
      </w:pPr>
      <w:tblPr>
        <w:tblCellMar>
          <w:top w:w="28" w:type="dxa"/>
          <w:left w:w="28" w:type="dxa"/>
          <w:bottom w:w="28" w:type="dxa"/>
          <w:right w:w="28" w:type="dxa"/>
        </w:tblCellMar>
      </w:tblPr>
      <w:trPr>
        <w:tblHeader/>
      </w:trPr>
      <w:tcPr>
        <w:vAlign w:val="bottom"/>
      </w:tcPr>
    </w:tblStylePr>
    <w:tblStylePr w:type="swCell">
      <w:pPr>
        <w:jc w:val="left"/>
      </w:pPr>
      <w:tblPr/>
      <w:tcPr>
        <w:vAlign w:val="center"/>
      </w:tcPr>
    </w:tblStylePr>
  </w:style>
  <w:style w:type="paragraph" w:styleId="ListParagraph">
    <w:name w:val="List Paragraph"/>
    <w:basedOn w:val="Normal"/>
    <w:uiPriority w:val="34"/>
    <w:qFormat/>
    <w:rsid w:val="00BC6C6F"/>
    <w:pPr>
      <w:numPr>
        <w:ilvl w:val="1"/>
        <w:numId w:val="59"/>
      </w:numPr>
      <w:contextualSpacing/>
    </w:pPr>
  </w:style>
  <w:style w:type="paragraph" w:customStyle="1" w:styleId="Default">
    <w:name w:val="Default"/>
    <w:rsid w:val="007945AD"/>
    <w:pPr>
      <w:autoSpaceDE w:val="0"/>
      <w:autoSpaceDN w:val="0"/>
      <w:adjustRightInd w:val="0"/>
    </w:pPr>
    <w:rPr>
      <w:rFonts w:ascii="Calibri" w:hAnsi="Calibri" w:cs="Calibri"/>
      <w:color w:val="000000"/>
      <w:sz w:val="24"/>
      <w:szCs w:val="24"/>
      <w:lang w:val="en-NZ"/>
    </w:rPr>
  </w:style>
  <w:style w:type="character" w:customStyle="1" w:styleId="FootnoteTextChar">
    <w:name w:val="Footnote Text Char"/>
    <w:aliases w:val="ALTS FOOTNOTE Char"/>
    <w:basedOn w:val="DefaultParagraphFont"/>
    <w:link w:val="FootnoteText"/>
    <w:rsid w:val="00D22CE4"/>
    <w:rPr>
      <w:rFonts w:ascii="Palatino Linotype" w:hAnsi="Palatino Linotype"/>
      <w:sz w:val="18"/>
      <w:lang w:val="en-NZ"/>
    </w:rPr>
  </w:style>
  <w:style w:type="numbering" w:customStyle="1" w:styleId="AnnexHeadings">
    <w:name w:val="Annex Headings"/>
    <w:uiPriority w:val="99"/>
    <w:rsid w:val="007039AA"/>
    <w:pPr>
      <w:numPr>
        <w:numId w:val="61"/>
      </w:numPr>
    </w:pPr>
  </w:style>
  <w:style w:type="character" w:styleId="CommentReference">
    <w:name w:val="annotation reference"/>
    <w:basedOn w:val="DefaultParagraphFont"/>
    <w:uiPriority w:val="99"/>
    <w:semiHidden/>
    <w:unhideWhenUsed/>
    <w:rsid w:val="000D0D76"/>
    <w:rPr>
      <w:sz w:val="16"/>
      <w:szCs w:val="16"/>
    </w:rPr>
  </w:style>
  <w:style w:type="paragraph" w:styleId="CommentText">
    <w:name w:val="annotation text"/>
    <w:basedOn w:val="Normal"/>
    <w:link w:val="CommentTextChar"/>
    <w:uiPriority w:val="2"/>
    <w:unhideWhenUsed/>
    <w:rsid w:val="000D0D76"/>
    <w:pPr>
      <w:spacing w:line="240" w:lineRule="auto"/>
    </w:pPr>
    <w:rPr>
      <w:sz w:val="20"/>
      <w:szCs w:val="20"/>
    </w:rPr>
  </w:style>
  <w:style w:type="character" w:customStyle="1" w:styleId="CommentTextChar">
    <w:name w:val="Comment Text Char"/>
    <w:basedOn w:val="DefaultParagraphFont"/>
    <w:link w:val="CommentText"/>
    <w:uiPriority w:val="2"/>
    <w:rsid w:val="000D0D76"/>
    <w:rPr>
      <w:rFonts w:ascii="Palatino Linotype" w:hAnsi="Palatino Linotype"/>
      <w:lang w:val="en-NZ"/>
    </w:rPr>
  </w:style>
  <w:style w:type="paragraph" w:customStyle="1" w:styleId="Annex3">
    <w:name w:val="Annex 3"/>
    <w:next w:val="Normal"/>
    <w:qFormat/>
    <w:rsid w:val="007039AA"/>
    <w:pPr>
      <w:numPr>
        <w:ilvl w:val="2"/>
        <w:numId w:val="62"/>
      </w:numPr>
      <w:spacing w:before="360" w:after="60"/>
      <w:outlineLvl w:val="2"/>
    </w:pPr>
    <w:rPr>
      <w:rFonts w:ascii="Century Gothic" w:hAnsi="Century Gothic"/>
      <w:b/>
      <w:sz w:val="21"/>
      <w:szCs w:val="24"/>
      <w:lang w:val="en-NZ"/>
    </w:rPr>
  </w:style>
  <w:style w:type="character" w:styleId="FollowedHyperlink">
    <w:name w:val="FollowedHyperlink"/>
    <w:basedOn w:val="DefaultParagraphFont"/>
    <w:uiPriority w:val="99"/>
    <w:semiHidden/>
    <w:unhideWhenUsed/>
    <w:rsid w:val="00106451"/>
    <w:rPr>
      <w:color w:val="800080" w:themeColor="followedHyperlink"/>
      <w:u w:val="single"/>
    </w:rPr>
  </w:style>
  <w:style w:type="paragraph" w:styleId="NormalWeb">
    <w:name w:val="Normal (Web)"/>
    <w:basedOn w:val="Normal"/>
    <w:uiPriority w:val="99"/>
    <w:semiHidden/>
    <w:unhideWhenUsed/>
    <w:rsid w:val="0059095F"/>
    <w:pPr>
      <w:spacing w:before="100" w:beforeAutospacing="1" w:after="100" w:afterAutospacing="1" w:line="240" w:lineRule="auto"/>
    </w:pPr>
    <w:rPr>
      <w:rFonts w:ascii="Times New Roman" w:hAnsi="Times New Roman"/>
      <w:sz w:val="24"/>
      <w:lang w:eastAsia="en-NZ"/>
    </w:rPr>
  </w:style>
  <w:style w:type="paragraph" w:styleId="CommentSubject">
    <w:name w:val="annotation subject"/>
    <w:basedOn w:val="CommentText"/>
    <w:next w:val="CommentText"/>
    <w:link w:val="CommentSubjectChar"/>
    <w:uiPriority w:val="99"/>
    <w:semiHidden/>
    <w:unhideWhenUsed/>
    <w:rsid w:val="00113188"/>
    <w:rPr>
      <w:b/>
      <w:bCs/>
    </w:rPr>
  </w:style>
  <w:style w:type="character" w:customStyle="1" w:styleId="CommentSubjectChar">
    <w:name w:val="Comment Subject Char"/>
    <w:basedOn w:val="CommentTextChar"/>
    <w:link w:val="CommentSubject"/>
    <w:uiPriority w:val="99"/>
    <w:semiHidden/>
    <w:rsid w:val="00113188"/>
    <w:rPr>
      <w:rFonts w:ascii="Palatino Linotype" w:hAnsi="Palatino Linotype"/>
      <w:b/>
      <w:bCs/>
      <w:lang w:val="en-NZ"/>
    </w:rPr>
  </w:style>
  <w:style w:type="paragraph" w:styleId="Revision">
    <w:name w:val="Revision"/>
    <w:hidden/>
    <w:uiPriority w:val="99"/>
    <w:semiHidden/>
    <w:rsid w:val="00133BF1"/>
    <w:rPr>
      <w:rFonts w:ascii="Palatino Linotype" w:hAnsi="Palatino Linotype"/>
      <w:sz w:val="21"/>
      <w:szCs w:val="24"/>
      <w:lang w:val="en-NZ"/>
    </w:rPr>
  </w:style>
  <w:style w:type="paragraph" w:styleId="TOC6">
    <w:name w:val="toc 6"/>
    <w:basedOn w:val="Normal"/>
    <w:next w:val="Normal"/>
    <w:autoRedefine/>
    <w:uiPriority w:val="39"/>
    <w:unhideWhenUsed/>
    <w:rsid w:val="00344C8E"/>
    <w:pPr>
      <w:spacing w:after="100" w:line="276" w:lineRule="auto"/>
      <w:ind w:left="1100"/>
    </w:pPr>
    <w:rPr>
      <w:rFonts w:asciiTheme="minorHAnsi" w:eastAsiaTheme="minorEastAsia" w:hAnsiTheme="minorHAnsi" w:cstheme="minorBidi"/>
      <w:sz w:val="22"/>
      <w:szCs w:val="22"/>
      <w:lang w:eastAsia="en-NZ"/>
    </w:rPr>
  </w:style>
  <w:style w:type="paragraph" w:styleId="TOC8">
    <w:name w:val="toc 8"/>
    <w:basedOn w:val="Normal"/>
    <w:next w:val="Normal"/>
    <w:autoRedefine/>
    <w:uiPriority w:val="39"/>
    <w:unhideWhenUsed/>
    <w:rsid w:val="00344C8E"/>
    <w:pPr>
      <w:spacing w:after="100" w:line="276" w:lineRule="auto"/>
      <w:ind w:left="1540"/>
    </w:pPr>
    <w:rPr>
      <w:rFonts w:asciiTheme="minorHAnsi" w:eastAsiaTheme="minorEastAsia" w:hAnsiTheme="minorHAnsi" w:cstheme="minorBidi"/>
      <w:sz w:val="22"/>
      <w:szCs w:val="22"/>
      <w:lang w:eastAsia="en-NZ"/>
    </w:rPr>
  </w:style>
  <w:style w:type="paragraph" w:styleId="TOC9">
    <w:name w:val="toc 9"/>
    <w:basedOn w:val="Normal"/>
    <w:next w:val="Normal"/>
    <w:autoRedefine/>
    <w:uiPriority w:val="39"/>
    <w:unhideWhenUsed/>
    <w:rsid w:val="00344C8E"/>
    <w:pPr>
      <w:spacing w:after="100" w:line="276" w:lineRule="auto"/>
      <w:ind w:left="1760"/>
    </w:pPr>
    <w:rPr>
      <w:rFonts w:asciiTheme="minorHAnsi" w:eastAsiaTheme="minorEastAsia" w:hAnsiTheme="minorHAnsi" w:cstheme="minorBidi"/>
      <w:sz w:val="22"/>
      <w:szCs w:val="22"/>
      <w:lang w:eastAsia="en-NZ"/>
    </w:rPr>
  </w:style>
  <w:style w:type="paragraph" w:customStyle="1" w:styleId="Annex1">
    <w:name w:val="Annex 1"/>
    <w:next w:val="Normal"/>
    <w:qFormat/>
    <w:rsid w:val="007039AA"/>
    <w:pPr>
      <w:numPr>
        <w:numId w:val="62"/>
      </w:numPr>
      <w:pBdr>
        <w:bottom w:val="single" w:sz="4" w:space="1" w:color="auto"/>
      </w:pBdr>
      <w:spacing w:after="160"/>
      <w:outlineLvl w:val="0"/>
    </w:pPr>
    <w:rPr>
      <w:rFonts w:ascii="Century Gothic" w:hAnsi="Century Gothic" w:cs="Arial"/>
      <w:b/>
      <w:bCs/>
      <w:sz w:val="36"/>
      <w:szCs w:val="32"/>
      <w:lang w:val="en-NZ"/>
    </w:rPr>
  </w:style>
  <w:style w:type="paragraph" w:customStyle="1" w:styleId="Annex2">
    <w:name w:val="Annex 2"/>
    <w:basedOn w:val="Annex1"/>
    <w:next w:val="Normal"/>
    <w:qFormat/>
    <w:rsid w:val="007039AA"/>
    <w:pPr>
      <w:numPr>
        <w:ilvl w:val="1"/>
      </w:numPr>
      <w:pBdr>
        <w:bottom w:val="none" w:sz="0" w:space="0" w:color="auto"/>
      </w:pBdr>
      <w:spacing w:before="360" w:after="60"/>
      <w:outlineLvl w:val="1"/>
    </w:pPr>
    <w:rPr>
      <w:sz w:val="24"/>
      <w:szCs w:val="24"/>
    </w:rPr>
  </w:style>
  <w:style w:type="paragraph" w:customStyle="1" w:styleId="Imprint">
    <w:name w:val="Imprint"/>
    <w:basedOn w:val="Normal"/>
    <w:uiPriority w:val="3"/>
    <w:rsid w:val="0089576B"/>
    <w:pPr>
      <w:spacing w:before="120" w:after="120"/>
    </w:pPr>
    <w:rPr>
      <w:rFonts w:ascii="Calibri" w:eastAsiaTheme="minorEastAsia" w:hAnsi="Calibri" w:cstheme="minorBidi"/>
      <w:sz w:val="22"/>
      <w:szCs w:val="22"/>
      <w:lang w:eastAsia="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2"/>
    <w:lsdException w:name="header" w:uiPriority="0" w:qFormat="1"/>
    <w:lsdException w:name="caption" w:semiHidden="0" w:uiPriority="0" w:unhideWhenUsed="0"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Balloon Text" w:uiPriority="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60F94"/>
    <w:pPr>
      <w:spacing w:line="280" w:lineRule="atLeast"/>
    </w:pPr>
    <w:rPr>
      <w:rFonts w:ascii="Palatino Linotype" w:hAnsi="Palatino Linotype"/>
      <w:sz w:val="21"/>
      <w:szCs w:val="24"/>
      <w:lang w:val="en-NZ"/>
    </w:rPr>
  </w:style>
  <w:style w:type="paragraph" w:styleId="Heading1">
    <w:name w:val="heading 1"/>
    <w:basedOn w:val="Normal"/>
    <w:next w:val="Normal"/>
    <w:qFormat/>
    <w:rsid w:val="00956D3F"/>
    <w:pPr>
      <w:keepNext/>
      <w:numPr>
        <w:numId w:val="1"/>
      </w:numPr>
      <w:pBdr>
        <w:bottom w:val="single" w:sz="4" w:space="1" w:color="808080"/>
      </w:pBdr>
      <w:spacing w:after="160"/>
      <w:ind w:left="709" w:hanging="709"/>
      <w:outlineLvl w:val="0"/>
    </w:pPr>
    <w:rPr>
      <w:rFonts w:ascii="Century Gothic" w:hAnsi="Century Gothic" w:cs="Arial"/>
      <w:b/>
      <w:bCs/>
      <w:sz w:val="36"/>
      <w:szCs w:val="32"/>
    </w:rPr>
  </w:style>
  <w:style w:type="paragraph" w:styleId="Heading2">
    <w:name w:val="heading 2"/>
    <w:basedOn w:val="Normal"/>
    <w:next w:val="Normal"/>
    <w:qFormat/>
    <w:rsid w:val="00220C7C"/>
    <w:pPr>
      <w:keepNext/>
      <w:numPr>
        <w:ilvl w:val="1"/>
        <w:numId w:val="1"/>
      </w:numPr>
      <w:tabs>
        <w:tab w:val="clear" w:pos="357"/>
        <w:tab w:val="num" w:pos="709"/>
      </w:tabs>
      <w:spacing w:before="360" w:after="60"/>
      <w:ind w:left="709" w:hanging="709"/>
      <w:outlineLvl w:val="1"/>
    </w:pPr>
    <w:rPr>
      <w:rFonts w:ascii="Century Gothic" w:hAnsi="Century Gothic" w:cs="Arial"/>
      <w:b/>
      <w:bCs/>
      <w:iCs/>
      <w:sz w:val="24"/>
      <w:szCs w:val="28"/>
    </w:rPr>
  </w:style>
  <w:style w:type="paragraph" w:styleId="Heading3">
    <w:name w:val="heading 3"/>
    <w:basedOn w:val="Normal"/>
    <w:next w:val="Normal"/>
    <w:qFormat/>
    <w:rsid w:val="008D7475"/>
    <w:pPr>
      <w:keepNext/>
      <w:numPr>
        <w:ilvl w:val="2"/>
        <w:numId w:val="1"/>
      </w:numPr>
      <w:spacing w:before="360" w:after="60"/>
      <w:outlineLvl w:val="2"/>
    </w:pPr>
    <w:rPr>
      <w:rFonts w:ascii="Century Gothic" w:hAnsi="Century Gothic" w:cs="Arial"/>
      <w:b/>
      <w:bCs/>
      <w:szCs w:val="26"/>
    </w:rPr>
  </w:style>
  <w:style w:type="paragraph" w:styleId="Heading4">
    <w:name w:val="heading 4"/>
    <w:basedOn w:val="Normal"/>
    <w:next w:val="Normal"/>
    <w:qFormat/>
    <w:rsid w:val="004A5F2F"/>
    <w:pPr>
      <w:keepNext/>
      <w:spacing w:before="240" w:after="60"/>
      <w:outlineLvl w:val="3"/>
    </w:pPr>
    <w:rPr>
      <w:b/>
      <w:bCs/>
      <w:i/>
      <w:szCs w:val="28"/>
    </w:rPr>
  </w:style>
  <w:style w:type="paragraph" w:styleId="Heading5">
    <w:name w:val="heading 5"/>
    <w:basedOn w:val="Normal"/>
    <w:next w:val="Normal"/>
    <w:rsid w:val="004A5F2F"/>
    <w:pPr>
      <w:spacing w:before="240" w:after="60"/>
      <w:outlineLvl w:val="4"/>
    </w:pPr>
    <w:rPr>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qFormat/>
    <w:rsid w:val="00B628E4"/>
    <w:pPr>
      <w:tabs>
        <w:tab w:val="center" w:pos="4320"/>
        <w:tab w:val="right" w:pos="8640"/>
      </w:tabs>
      <w:spacing w:line="240" w:lineRule="auto"/>
    </w:pPr>
    <w:rPr>
      <w:rFonts w:ascii="Century Gothic" w:hAnsi="Century Gothic"/>
      <w:color w:val="64635B"/>
      <w:sz w:val="18"/>
    </w:rPr>
  </w:style>
  <w:style w:type="paragraph" w:styleId="Footer">
    <w:name w:val="footer"/>
    <w:basedOn w:val="Normal"/>
    <w:link w:val="FooterChar"/>
    <w:uiPriority w:val="99"/>
    <w:rsid w:val="00B628E4"/>
    <w:pPr>
      <w:tabs>
        <w:tab w:val="center" w:pos="4320"/>
        <w:tab w:val="right" w:pos="8640"/>
      </w:tabs>
    </w:pPr>
    <w:rPr>
      <w:rFonts w:ascii="Century Gothic" w:hAnsi="Century Gothic"/>
      <w:color w:val="64635B"/>
      <w:sz w:val="18"/>
    </w:rPr>
  </w:style>
  <w:style w:type="character" w:styleId="Hyperlink">
    <w:name w:val="Hyperlink"/>
    <w:basedOn w:val="DefaultParagraphFont"/>
    <w:uiPriority w:val="99"/>
    <w:rsid w:val="00582087"/>
    <w:rPr>
      <w:rFonts w:ascii="Century Gothic" w:hAnsi="Century Gothic"/>
      <w:color w:val="0000FF"/>
      <w:u w:val="single"/>
    </w:rPr>
  </w:style>
  <w:style w:type="character" w:customStyle="1" w:styleId="CaptionChar">
    <w:name w:val="Caption Char"/>
    <w:basedOn w:val="DefaultParagraphFont"/>
    <w:link w:val="Caption"/>
    <w:rsid w:val="00E02811"/>
    <w:rPr>
      <w:rFonts w:ascii="Palatino Linotype" w:hAnsi="Palatino Linotype"/>
      <w:sz w:val="18"/>
      <w:szCs w:val="18"/>
      <w:lang w:val="en-NZ"/>
    </w:rPr>
  </w:style>
  <w:style w:type="paragraph" w:styleId="Caption">
    <w:name w:val="caption"/>
    <w:basedOn w:val="Normal"/>
    <w:next w:val="Normal"/>
    <w:link w:val="CaptionChar"/>
    <w:qFormat/>
    <w:rsid w:val="00E02811"/>
    <w:pPr>
      <w:keepNext/>
      <w:spacing w:before="120" w:after="120"/>
    </w:pPr>
    <w:rPr>
      <w:sz w:val="18"/>
      <w:szCs w:val="18"/>
    </w:rPr>
  </w:style>
  <w:style w:type="paragraph" w:customStyle="1" w:styleId="ContentsHeading">
    <w:name w:val="ContentsHeading"/>
    <w:basedOn w:val="AppendixHeading"/>
    <w:next w:val="Normal"/>
    <w:rsid w:val="00C87732"/>
  </w:style>
  <w:style w:type="paragraph" w:customStyle="1" w:styleId="AppendixHeading">
    <w:name w:val="AppendixHeading"/>
    <w:basedOn w:val="Heading1"/>
    <w:next w:val="Normal"/>
    <w:rsid w:val="00C87732"/>
    <w:pPr>
      <w:numPr>
        <w:numId w:val="0"/>
      </w:numPr>
    </w:pPr>
  </w:style>
  <w:style w:type="paragraph" w:styleId="FootnoteText">
    <w:name w:val="footnote text"/>
    <w:aliases w:val="ALTS FOOTNOTE"/>
    <w:basedOn w:val="Normal"/>
    <w:link w:val="FootnoteTextChar"/>
    <w:qFormat/>
    <w:rsid w:val="00663D30"/>
    <w:pPr>
      <w:spacing w:line="240" w:lineRule="auto"/>
    </w:pPr>
    <w:rPr>
      <w:sz w:val="18"/>
      <w:szCs w:val="20"/>
    </w:rPr>
  </w:style>
  <w:style w:type="paragraph" w:styleId="TOC1">
    <w:name w:val="toc 1"/>
    <w:basedOn w:val="Normal"/>
    <w:next w:val="Normal"/>
    <w:autoRedefine/>
    <w:uiPriority w:val="39"/>
    <w:rsid w:val="00F156E7"/>
    <w:pPr>
      <w:tabs>
        <w:tab w:val="left" w:pos="658"/>
        <w:tab w:val="right" w:pos="8211"/>
      </w:tabs>
      <w:spacing w:before="120" w:line="360" w:lineRule="auto"/>
    </w:pPr>
    <w:rPr>
      <w:rFonts w:ascii="Century Gothic" w:hAnsi="Century Gothic"/>
      <w:b/>
      <w:sz w:val="20"/>
    </w:rPr>
  </w:style>
  <w:style w:type="paragraph" w:styleId="TOC7">
    <w:name w:val="toc 7"/>
    <w:basedOn w:val="Normal"/>
    <w:next w:val="Normal"/>
    <w:autoRedefine/>
    <w:uiPriority w:val="39"/>
    <w:rsid w:val="0061525C"/>
    <w:pPr>
      <w:ind w:left="1320"/>
    </w:pPr>
  </w:style>
  <w:style w:type="paragraph" w:styleId="TOC2">
    <w:name w:val="toc 2"/>
    <w:basedOn w:val="Normal"/>
    <w:next w:val="Normal"/>
    <w:autoRedefine/>
    <w:uiPriority w:val="39"/>
    <w:rsid w:val="00582087"/>
    <w:pPr>
      <w:spacing w:line="360" w:lineRule="auto"/>
      <w:ind w:left="221"/>
    </w:pPr>
    <w:rPr>
      <w:rFonts w:ascii="Century Gothic" w:hAnsi="Century Gothic"/>
      <w:sz w:val="20"/>
    </w:rPr>
  </w:style>
  <w:style w:type="paragraph" w:styleId="TOC3">
    <w:name w:val="toc 3"/>
    <w:basedOn w:val="Normal"/>
    <w:next w:val="Normal"/>
    <w:autoRedefine/>
    <w:uiPriority w:val="39"/>
    <w:rsid w:val="004C3DC7"/>
    <w:pPr>
      <w:spacing w:line="360" w:lineRule="auto"/>
      <w:ind w:left="442"/>
    </w:pPr>
    <w:rPr>
      <w:rFonts w:ascii="Century Gothic" w:hAnsi="Century Gothic"/>
      <w:sz w:val="18"/>
    </w:rPr>
  </w:style>
  <w:style w:type="character" w:styleId="FootnoteReference">
    <w:name w:val="footnote reference"/>
    <w:basedOn w:val="DefaultParagraphFont"/>
    <w:rsid w:val="005231A6"/>
    <w:rPr>
      <w:vertAlign w:val="superscript"/>
    </w:rPr>
  </w:style>
  <w:style w:type="paragraph" w:styleId="TOC4">
    <w:name w:val="toc 4"/>
    <w:basedOn w:val="Normal"/>
    <w:next w:val="Normal"/>
    <w:autoRedefine/>
    <w:uiPriority w:val="39"/>
    <w:rsid w:val="00C4686A"/>
    <w:pPr>
      <w:spacing w:line="360" w:lineRule="auto"/>
      <w:ind w:left="658"/>
    </w:pPr>
  </w:style>
  <w:style w:type="paragraph" w:styleId="TOC5">
    <w:name w:val="toc 5"/>
    <w:basedOn w:val="Normal"/>
    <w:next w:val="Normal"/>
    <w:autoRedefine/>
    <w:uiPriority w:val="39"/>
    <w:rsid w:val="00C4686A"/>
    <w:pPr>
      <w:ind w:left="880"/>
    </w:pPr>
  </w:style>
  <w:style w:type="paragraph" w:styleId="BalloonText">
    <w:name w:val="Balloon Text"/>
    <w:basedOn w:val="Normal"/>
    <w:semiHidden/>
    <w:rsid w:val="00D419BD"/>
    <w:rPr>
      <w:rFonts w:ascii="Tahoma" w:hAnsi="Tahoma" w:cs="Tahoma"/>
      <w:sz w:val="16"/>
      <w:szCs w:val="16"/>
    </w:rPr>
  </w:style>
  <w:style w:type="character" w:styleId="PageNumber">
    <w:name w:val="page number"/>
    <w:basedOn w:val="DefaultParagraphFont"/>
    <w:rsid w:val="001A605C"/>
    <w:rPr>
      <w:spacing w:val="0"/>
      <w:kern w:val="0"/>
    </w:rPr>
  </w:style>
  <w:style w:type="paragraph" w:customStyle="1" w:styleId="TableText">
    <w:name w:val="TableText"/>
    <w:basedOn w:val="Normal"/>
    <w:qFormat/>
    <w:rsid w:val="009C203B"/>
    <w:pPr>
      <w:spacing w:before="40" w:after="40" w:line="240" w:lineRule="auto"/>
    </w:pPr>
    <w:rPr>
      <w:rFonts w:ascii="Verdana" w:hAnsi="Verdana"/>
      <w:sz w:val="16"/>
      <w:szCs w:val="16"/>
    </w:rPr>
  </w:style>
  <w:style w:type="paragraph" w:customStyle="1" w:styleId="CoverReportType">
    <w:name w:val="Cover Report Type"/>
    <w:basedOn w:val="Normal"/>
    <w:semiHidden/>
    <w:rsid w:val="00CF5AC5"/>
    <w:pPr>
      <w:spacing w:before="500" w:after="500" w:line="240" w:lineRule="auto"/>
      <w:ind w:right="284"/>
      <w:jc w:val="right"/>
      <w:outlineLvl w:val="0"/>
    </w:pPr>
    <w:rPr>
      <w:rFonts w:ascii="Century Gothic" w:hAnsi="Century Gothic" w:cs="Arial"/>
      <w:b/>
      <w:bCs/>
      <w:color w:val="FFFFFF"/>
      <w:kern w:val="28"/>
      <w:sz w:val="36"/>
      <w:szCs w:val="36"/>
    </w:rPr>
  </w:style>
  <w:style w:type="paragraph" w:customStyle="1" w:styleId="Coverdate">
    <w:name w:val="Cover date"/>
    <w:basedOn w:val="Normal"/>
    <w:semiHidden/>
    <w:rsid w:val="00CF5AC5"/>
    <w:pPr>
      <w:spacing w:line="240" w:lineRule="auto"/>
      <w:ind w:right="284"/>
      <w:jc w:val="right"/>
      <w:outlineLvl w:val="0"/>
    </w:pPr>
    <w:rPr>
      <w:rFonts w:ascii="Century Gothic" w:hAnsi="Century Gothic" w:cs="Arial"/>
      <w:b/>
      <w:bCs/>
      <w:color w:val="15589C"/>
      <w:kern w:val="28"/>
      <w:sz w:val="28"/>
      <w:szCs w:val="28"/>
    </w:rPr>
  </w:style>
  <w:style w:type="paragraph" w:customStyle="1" w:styleId="CoverClient">
    <w:name w:val="Cover Client"/>
    <w:basedOn w:val="Normal"/>
    <w:semiHidden/>
    <w:rsid w:val="00CF5AC5"/>
    <w:pPr>
      <w:spacing w:line="240" w:lineRule="auto"/>
      <w:ind w:right="284"/>
      <w:jc w:val="right"/>
      <w:outlineLvl w:val="0"/>
    </w:pPr>
    <w:rPr>
      <w:rFonts w:ascii="Century Gothic" w:hAnsi="Century Gothic"/>
      <w:b/>
      <w:bCs/>
      <w:kern w:val="28"/>
      <w:sz w:val="36"/>
      <w:szCs w:val="20"/>
    </w:rPr>
  </w:style>
  <w:style w:type="paragraph" w:customStyle="1" w:styleId="Coverspacing">
    <w:name w:val="Cover spacing"/>
    <w:basedOn w:val="Normal"/>
    <w:semiHidden/>
    <w:rsid w:val="00CF5AC5"/>
    <w:pPr>
      <w:spacing w:line="240" w:lineRule="auto"/>
      <w:ind w:right="284"/>
      <w:jc w:val="right"/>
      <w:outlineLvl w:val="0"/>
    </w:pPr>
    <w:rPr>
      <w:rFonts w:ascii="Century Gothic" w:hAnsi="Century Gothic"/>
      <w:b/>
      <w:bCs/>
      <w:kern w:val="28"/>
      <w:sz w:val="28"/>
      <w:szCs w:val="20"/>
    </w:rPr>
  </w:style>
  <w:style w:type="paragraph" w:customStyle="1" w:styleId="Coverprepared">
    <w:name w:val="Cover prepared"/>
    <w:basedOn w:val="Normal"/>
    <w:semiHidden/>
    <w:rsid w:val="00CF5AC5"/>
    <w:pPr>
      <w:spacing w:line="240" w:lineRule="auto"/>
      <w:ind w:right="284"/>
      <w:jc w:val="right"/>
      <w:outlineLvl w:val="0"/>
    </w:pPr>
    <w:rPr>
      <w:rFonts w:ascii="Century Gothic" w:hAnsi="Century Gothic"/>
      <w:b/>
      <w:bCs/>
      <w:kern w:val="28"/>
      <w:sz w:val="28"/>
      <w:szCs w:val="20"/>
    </w:rPr>
  </w:style>
  <w:style w:type="paragraph" w:customStyle="1" w:styleId="Copyrighttext">
    <w:name w:val="Copyright text"/>
    <w:basedOn w:val="Normal"/>
    <w:semiHidden/>
    <w:rsid w:val="00DF131C"/>
    <w:pPr>
      <w:spacing w:line="240" w:lineRule="atLeast"/>
    </w:pPr>
    <w:rPr>
      <w:rFonts w:ascii="Century Gothic" w:hAnsi="Century Gothic"/>
      <w:sz w:val="18"/>
      <w:szCs w:val="18"/>
    </w:rPr>
  </w:style>
  <w:style w:type="paragraph" w:styleId="Title">
    <w:name w:val="Title"/>
    <w:basedOn w:val="Normal"/>
    <w:next w:val="Normal"/>
    <w:link w:val="TitleChar"/>
    <w:uiPriority w:val="10"/>
    <w:qFormat/>
    <w:rsid w:val="00A87F1D"/>
    <w:pPr>
      <w:autoSpaceDE w:val="0"/>
      <w:autoSpaceDN w:val="0"/>
      <w:adjustRightInd w:val="0"/>
      <w:spacing w:line="216" w:lineRule="auto"/>
    </w:pPr>
    <w:rPr>
      <w:rFonts w:ascii="Century Gothic" w:hAnsi="Century Gothic" w:cs="Futura"/>
      <w:spacing w:val="-28"/>
      <w:kern w:val="81"/>
      <w:sz w:val="81"/>
      <w:szCs w:val="81"/>
      <w:lang w:val="en-US"/>
    </w:rPr>
  </w:style>
  <w:style w:type="character" w:customStyle="1" w:styleId="TitleChar">
    <w:name w:val="Title Char"/>
    <w:basedOn w:val="DefaultParagraphFont"/>
    <w:link w:val="Title"/>
    <w:uiPriority w:val="10"/>
    <w:rsid w:val="00A87F1D"/>
    <w:rPr>
      <w:rFonts w:ascii="Century Gothic" w:hAnsi="Century Gothic" w:cs="Futura"/>
      <w:spacing w:val="-28"/>
      <w:kern w:val="81"/>
      <w:sz w:val="81"/>
      <w:szCs w:val="81"/>
    </w:rPr>
  </w:style>
  <w:style w:type="character" w:styleId="IntenseEmphasis">
    <w:name w:val="Intense Emphasis"/>
    <w:basedOn w:val="DefaultParagraphFont"/>
    <w:uiPriority w:val="21"/>
    <w:rsid w:val="00B628E4"/>
    <w:rPr>
      <w:rFonts w:ascii="Century Gothic" w:hAnsi="Century Gothic"/>
      <w:b/>
      <w:bCs/>
      <w:i/>
      <w:iCs/>
      <w:color w:val="000000" w:themeColor="text1"/>
      <w:sz w:val="70"/>
    </w:rPr>
  </w:style>
  <w:style w:type="paragraph" w:customStyle="1" w:styleId="FooterText">
    <w:name w:val="Footer Text"/>
    <w:basedOn w:val="Footer"/>
    <w:link w:val="FooterTextChar"/>
    <w:qFormat/>
    <w:rsid w:val="0074597D"/>
    <w:pPr>
      <w:tabs>
        <w:tab w:val="clear" w:pos="8640"/>
        <w:tab w:val="left" w:pos="1373"/>
        <w:tab w:val="left" w:pos="4119"/>
        <w:tab w:val="right" w:pos="4320"/>
        <w:tab w:val="right" w:pos="8222"/>
      </w:tabs>
      <w:ind w:right="-1"/>
    </w:pPr>
    <w:rPr>
      <w:spacing w:val="-10"/>
      <w:kern w:val="18"/>
    </w:rPr>
  </w:style>
  <w:style w:type="character" w:customStyle="1" w:styleId="FooterChar">
    <w:name w:val="Footer Char"/>
    <w:basedOn w:val="DefaultParagraphFont"/>
    <w:link w:val="Footer"/>
    <w:uiPriority w:val="99"/>
    <w:rsid w:val="00B628E4"/>
    <w:rPr>
      <w:rFonts w:ascii="Century Gothic" w:hAnsi="Century Gothic"/>
      <w:color w:val="64635B"/>
      <w:sz w:val="18"/>
      <w:szCs w:val="24"/>
      <w:lang w:val="en-NZ"/>
    </w:rPr>
  </w:style>
  <w:style w:type="character" w:customStyle="1" w:styleId="FooterTextChar">
    <w:name w:val="Footer Text Char"/>
    <w:basedOn w:val="FooterChar"/>
    <w:link w:val="FooterText"/>
    <w:rsid w:val="0074597D"/>
    <w:rPr>
      <w:rFonts w:ascii="Century Gothic" w:hAnsi="Century Gothic"/>
      <w:color w:val="64635B"/>
      <w:spacing w:val="-10"/>
      <w:kern w:val="18"/>
      <w:sz w:val="18"/>
      <w:szCs w:val="24"/>
      <w:lang w:val="en-NZ"/>
    </w:rPr>
  </w:style>
  <w:style w:type="character" w:styleId="PlaceholderText">
    <w:name w:val="Placeholder Text"/>
    <w:basedOn w:val="DefaultParagraphFont"/>
    <w:uiPriority w:val="99"/>
    <w:semiHidden/>
    <w:rsid w:val="004F2076"/>
    <w:rPr>
      <w:color w:val="808080"/>
    </w:rPr>
  </w:style>
  <w:style w:type="table" w:styleId="TableGrid">
    <w:name w:val="Table Grid"/>
    <w:basedOn w:val="TableNormal"/>
    <w:uiPriority w:val="59"/>
    <w:rsid w:val="00F745B6"/>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
    <w:name w:val="Numbered"/>
    <w:basedOn w:val="Normal"/>
    <w:link w:val="NumberedChar"/>
    <w:qFormat/>
    <w:rsid w:val="001A605C"/>
    <w:pPr>
      <w:numPr>
        <w:numId w:val="2"/>
      </w:numPr>
      <w:spacing w:after="280"/>
      <w:ind w:left="0" w:hanging="567"/>
    </w:pPr>
  </w:style>
  <w:style w:type="character" w:customStyle="1" w:styleId="NumberedChar">
    <w:name w:val="Numbered Char"/>
    <w:basedOn w:val="DefaultParagraphFont"/>
    <w:link w:val="Numbered"/>
    <w:rsid w:val="001A605C"/>
    <w:rPr>
      <w:rFonts w:ascii="Palatino Linotype" w:hAnsi="Palatino Linotype"/>
      <w:sz w:val="21"/>
      <w:szCs w:val="24"/>
      <w:lang w:val="en-NZ"/>
    </w:rPr>
  </w:style>
  <w:style w:type="table" w:customStyle="1" w:styleId="CovecTables">
    <w:name w:val="Covec Tables"/>
    <w:basedOn w:val="TableNormal"/>
    <w:uiPriority w:val="99"/>
    <w:qFormat/>
    <w:rsid w:val="00D23421"/>
    <w:pPr>
      <w:jc w:val="right"/>
    </w:pPr>
    <w:rPr>
      <w:rFonts w:ascii="Verdana" w:hAnsi="Verdana"/>
      <w:sz w:val="16"/>
    </w:rPr>
    <w:tblPr>
      <w:tblInd w:w="113" w:type="dxa"/>
      <w:tblCellMar>
        <w:left w:w="0" w:type="dxa"/>
        <w:right w:w="0" w:type="dxa"/>
      </w:tblCellMar>
    </w:tblPr>
    <w:tcPr>
      <w:vAlign w:val="center"/>
    </w:tcPr>
    <w:tblStylePr w:type="firstRow">
      <w:pPr>
        <w:jc w:val="right"/>
      </w:pPr>
      <w:rPr>
        <w:rFonts w:ascii="Marlett" w:hAnsi="Marlett"/>
        <w:b/>
        <w:color w:val="780000"/>
        <w:sz w:val="16"/>
      </w:rPr>
      <w:tblPr/>
      <w:tcPr>
        <w:tcBorders>
          <w:bottom w:val="single" w:sz="8" w:space="0" w:color="A6A6A6" w:themeColor="background1" w:themeShade="A6"/>
        </w:tcBorders>
        <w:vAlign w:val="bottom"/>
      </w:tcPr>
    </w:tblStylePr>
    <w:tblStylePr w:type="lastRow">
      <w:pPr>
        <w:jc w:val="right"/>
      </w:pPr>
      <w:tblPr/>
      <w:tcPr>
        <w:tcBorders>
          <w:bottom w:val="single" w:sz="12" w:space="0" w:color="A6A6A6" w:themeColor="background1" w:themeShade="A6"/>
        </w:tcBorders>
        <w:vAlign w:val="center"/>
      </w:tcPr>
    </w:tblStylePr>
    <w:tblStylePr w:type="firstCol">
      <w:pPr>
        <w:jc w:val="left"/>
      </w:pPr>
    </w:tblStylePr>
    <w:tblStylePr w:type="nwCell">
      <w:pPr>
        <w:jc w:val="left"/>
      </w:pPr>
      <w:tblPr>
        <w:tblCellMar>
          <w:top w:w="28" w:type="dxa"/>
          <w:left w:w="28" w:type="dxa"/>
          <w:bottom w:w="28" w:type="dxa"/>
          <w:right w:w="28" w:type="dxa"/>
        </w:tblCellMar>
      </w:tblPr>
      <w:trPr>
        <w:tblHeader/>
      </w:trPr>
      <w:tcPr>
        <w:vAlign w:val="bottom"/>
      </w:tcPr>
    </w:tblStylePr>
    <w:tblStylePr w:type="swCell">
      <w:pPr>
        <w:jc w:val="left"/>
      </w:pPr>
      <w:tblPr/>
      <w:tcPr>
        <w:vAlign w:val="center"/>
      </w:tcPr>
    </w:tblStylePr>
  </w:style>
  <w:style w:type="paragraph" w:styleId="ListParagraph">
    <w:name w:val="List Paragraph"/>
    <w:basedOn w:val="Normal"/>
    <w:uiPriority w:val="34"/>
    <w:qFormat/>
    <w:rsid w:val="00BC6C6F"/>
    <w:pPr>
      <w:numPr>
        <w:ilvl w:val="1"/>
        <w:numId w:val="59"/>
      </w:numPr>
      <w:contextualSpacing/>
    </w:pPr>
  </w:style>
  <w:style w:type="paragraph" w:customStyle="1" w:styleId="Default">
    <w:name w:val="Default"/>
    <w:rsid w:val="007945AD"/>
    <w:pPr>
      <w:autoSpaceDE w:val="0"/>
      <w:autoSpaceDN w:val="0"/>
      <w:adjustRightInd w:val="0"/>
    </w:pPr>
    <w:rPr>
      <w:rFonts w:ascii="Calibri" w:hAnsi="Calibri" w:cs="Calibri"/>
      <w:color w:val="000000"/>
      <w:sz w:val="24"/>
      <w:szCs w:val="24"/>
      <w:lang w:val="en-NZ"/>
    </w:rPr>
  </w:style>
  <w:style w:type="character" w:customStyle="1" w:styleId="FootnoteTextChar">
    <w:name w:val="Footnote Text Char"/>
    <w:aliases w:val="ALTS FOOTNOTE Char"/>
    <w:basedOn w:val="DefaultParagraphFont"/>
    <w:link w:val="FootnoteText"/>
    <w:rsid w:val="00D22CE4"/>
    <w:rPr>
      <w:rFonts w:ascii="Palatino Linotype" w:hAnsi="Palatino Linotype"/>
      <w:sz w:val="18"/>
      <w:lang w:val="en-NZ"/>
    </w:rPr>
  </w:style>
  <w:style w:type="numbering" w:customStyle="1" w:styleId="AnnexHeadings">
    <w:name w:val="Annex Headings"/>
    <w:uiPriority w:val="99"/>
    <w:rsid w:val="007039AA"/>
    <w:pPr>
      <w:numPr>
        <w:numId w:val="61"/>
      </w:numPr>
    </w:pPr>
  </w:style>
  <w:style w:type="character" w:styleId="CommentReference">
    <w:name w:val="annotation reference"/>
    <w:basedOn w:val="DefaultParagraphFont"/>
    <w:uiPriority w:val="99"/>
    <w:semiHidden/>
    <w:unhideWhenUsed/>
    <w:rsid w:val="000D0D76"/>
    <w:rPr>
      <w:sz w:val="16"/>
      <w:szCs w:val="16"/>
    </w:rPr>
  </w:style>
  <w:style w:type="paragraph" w:styleId="CommentText">
    <w:name w:val="annotation text"/>
    <w:basedOn w:val="Normal"/>
    <w:link w:val="CommentTextChar"/>
    <w:uiPriority w:val="2"/>
    <w:unhideWhenUsed/>
    <w:rsid w:val="000D0D76"/>
    <w:pPr>
      <w:spacing w:line="240" w:lineRule="auto"/>
    </w:pPr>
    <w:rPr>
      <w:sz w:val="20"/>
      <w:szCs w:val="20"/>
    </w:rPr>
  </w:style>
  <w:style w:type="character" w:customStyle="1" w:styleId="CommentTextChar">
    <w:name w:val="Comment Text Char"/>
    <w:basedOn w:val="DefaultParagraphFont"/>
    <w:link w:val="CommentText"/>
    <w:uiPriority w:val="2"/>
    <w:rsid w:val="000D0D76"/>
    <w:rPr>
      <w:rFonts w:ascii="Palatino Linotype" w:hAnsi="Palatino Linotype"/>
      <w:lang w:val="en-NZ"/>
    </w:rPr>
  </w:style>
  <w:style w:type="paragraph" w:customStyle="1" w:styleId="Annex3">
    <w:name w:val="Annex 3"/>
    <w:next w:val="Normal"/>
    <w:qFormat/>
    <w:rsid w:val="007039AA"/>
    <w:pPr>
      <w:numPr>
        <w:ilvl w:val="2"/>
        <w:numId w:val="62"/>
      </w:numPr>
      <w:spacing w:before="360" w:after="60"/>
      <w:outlineLvl w:val="2"/>
    </w:pPr>
    <w:rPr>
      <w:rFonts w:ascii="Century Gothic" w:hAnsi="Century Gothic"/>
      <w:b/>
      <w:sz w:val="21"/>
      <w:szCs w:val="24"/>
      <w:lang w:val="en-NZ"/>
    </w:rPr>
  </w:style>
  <w:style w:type="character" w:styleId="FollowedHyperlink">
    <w:name w:val="FollowedHyperlink"/>
    <w:basedOn w:val="DefaultParagraphFont"/>
    <w:uiPriority w:val="99"/>
    <w:semiHidden/>
    <w:unhideWhenUsed/>
    <w:rsid w:val="00106451"/>
    <w:rPr>
      <w:color w:val="800080" w:themeColor="followedHyperlink"/>
      <w:u w:val="single"/>
    </w:rPr>
  </w:style>
  <w:style w:type="paragraph" w:styleId="NormalWeb">
    <w:name w:val="Normal (Web)"/>
    <w:basedOn w:val="Normal"/>
    <w:uiPriority w:val="99"/>
    <w:semiHidden/>
    <w:unhideWhenUsed/>
    <w:rsid w:val="0059095F"/>
    <w:pPr>
      <w:spacing w:before="100" w:beforeAutospacing="1" w:after="100" w:afterAutospacing="1" w:line="240" w:lineRule="auto"/>
    </w:pPr>
    <w:rPr>
      <w:rFonts w:ascii="Times New Roman" w:hAnsi="Times New Roman"/>
      <w:sz w:val="24"/>
      <w:lang w:eastAsia="en-NZ"/>
    </w:rPr>
  </w:style>
  <w:style w:type="paragraph" w:styleId="CommentSubject">
    <w:name w:val="annotation subject"/>
    <w:basedOn w:val="CommentText"/>
    <w:next w:val="CommentText"/>
    <w:link w:val="CommentSubjectChar"/>
    <w:uiPriority w:val="99"/>
    <w:semiHidden/>
    <w:unhideWhenUsed/>
    <w:rsid w:val="00113188"/>
    <w:rPr>
      <w:b/>
      <w:bCs/>
    </w:rPr>
  </w:style>
  <w:style w:type="character" w:customStyle="1" w:styleId="CommentSubjectChar">
    <w:name w:val="Comment Subject Char"/>
    <w:basedOn w:val="CommentTextChar"/>
    <w:link w:val="CommentSubject"/>
    <w:uiPriority w:val="99"/>
    <w:semiHidden/>
    <w:rsid w:val="00113188"/>
    <w:rPr>
      <w:rFonts w:ascii="Palatino Linotype" w:hAnsi="Palatino Linotype"/>
      <w:b/>
      <w:bCs/>
      <w:lang w:val="en-NZ"/>
    </w:rPr>
  </w:style>
  <w:style w:type="paragraph" w:styleId="Revision">
    <w:name w:val="Revision"/>
    <w:hidden/>
    <w:uiPriority w:val="99"/>
    <w:semiHidden/>
    <w:rsid w:val="00133BF1"/>
    <w:rPr>
      <w:rFonts w:ascii="Palatino Linotype" w:hAnsi="Palatino Linotype"/>
      <w:sz w:val="21"/>
      <w:szCs w:val="24"/>
      <w:lang w:val="en-NZ"/>
    </w:rPr>
  </w:style>
  <w:style w:type="paragraph" w:styleId="TOC6">
    <w:name w:val="toc 6"/>
    <w:basedOn w:val="Normal"/>
    <w:next w:val="Normal"/>
    <w:autoRedefine/>
    <w:uiPriority w:val="39"/>
    <w:unhideWhenUsed/>
    <w:rsid w:val="00344C8E"/>
    <w:pPr>
      <w:spacing w:after="100" w:line="276" w:lineRule="auto"/>
      <w:ind w:left="1100"/>
    </w:pPr>
    <w:rPr>
      <w:rFonts w:asciiTheme="minorHAnsi" w:eastAsiaTheme="minorEastAsia" w:hAnsiTheme="minorHAnsi" w:cstheme="minorBidi"/>
      <w:sz w:val="22"/>
      <w:szCs w:val="22"/>
      <w:lang w:eastAsia="en-NZ"/>
    </w:rPr>
  </w:style>
  <w:style w:type="paragraph" w:styleId="TOC8">
    <w:name w:val="toc 8"/>
    <w:basedOn w:val="Normal"/>
    <w:next w:val="Normal"/>
    <w:autoRedefine/>
    <w:uiPriority w:val="39"/>
    <w:unhideWhenUsed/>
    <w:rsid w:val="00344C8E"/>
    <w:pPr>
      <w:spacing w:after="100" w:line="276" w:lineRule="auto"/>
      <w:ind w:left="1540"/>
    </w:pPr>
    <w:rPr>
      <w:rFonts w:asciiTheme="minorHAnsi" w:eastAsiaTheme="minorEastAsia" w:hAnsiTheme="minorHAnsi" w:cstheme="minorBidi"/>
      <w:sz w:val="22"/>
      <w:szCs w:val="22"/>
      <w:lang w:eastAsia="en-NZ"/>
    </w:rPr>
  </w:style>
  <w:style w:type="paragraph" w:styleId="TOC9">
    <w:name w:val="toc 9"/>
    <w:basedOn w:val="Normal"/>
    <w:next w:val="Normal"/>
    <w:autoRedefine/>
    <w:uiPriority w:val="39"/>
    <w:unhideWhenUsed/>
    <w:rsid w:val="00344C8E"/>
    <w:pPr>
      <w:spacing w:after="100" w:line="276" w:lineRule="auto"/>
      <w:ind w:left="1760"/>
    </w:pPr>
    <w:rPr>
      <w:rFonts w:asciiTheme="minorHAnsi" w:eastAsiaTheme="minorEastAsia" w:hAnsiTheme="minorHAnsi" w:cstheme="minorBidi"/>
      <w:sz w:val="22"/>
      <w:szCs w:val="22"/>
      <w:lang w:eastAsia="en-NZ"/>
    </w:rPr>
  </w:style>
  <w:style w:type="paragraph" w:customStyle="1" w:styleId="Annex1">
    <w:name w:val="Annex 1"/>
    <w:next w:val="Normal"/>
    <w:qFormat/>
    <w:rsid w:val="007039AA"/>
    <w:pPr>
      <w:numPr>
        <w:numId w:val="62"/>
      </w:numPr>
      <w:pBdr>
        <w:bottom w:val="single" w:sz="4" w:space="1" w:color="auto"/>
      </w:pBdr>
      <w:spacing w:after="160"/>
      <w:outlineLvl w:val="0"/>
    </w:pPr>
    <w:rPr>
      <w:rFonts w:ascii="Century Gothic" w:hAnsi="Century Gothic" w:cs="Arial"/>
      <w:b/>
      <w:bCs/>
      <w:sz w:val="36"/>
      <w:szCs w:val="32"/>
      <w:lang w:val="en-NZ"/>
    </w:rPr>
  </w:style>
  <w:style w:type="paragraph" w:customStyle="1" w:styleId="Annex2">
    <w:name w:val="Annex 2"/>
    <w:basedOn w:val="Annex1"/>
    <w:next w:val="Normal"/>
    <w:qFormat/>
    <w:rsid w:val="007039AA"/>
    <w:pPr>
      <w:numPr>
        <w:ilvl w:val="1"/>
      </w:numPr>
      <w:pBdr>
        <w:bottom w:val="none" w:sz="0" w:space="0" w:color="auto"/>
      </w:pBdr>
      <w:spacing w:before="360" w:after="60"/>
      <w:outlineLvl w:val="1"/>
    </w:pPr>
    <w:rPr>
      <w:sz w:val="24"/>
      <w:szCs w:val="24"/>
    </w:rPr>
  </w:style>
  <w:style w:type="paragraph" w:customStyle="1" w:styleId="Imprint">
    <w:name w:val="Imprint"/>
    <w:basedOn w:val="Normal"/>
    <w:uiPriority w:val="3"/>
    <w:rsid w:val="0089576B"/>
    <w:pPr>
      <w:spacing w:before="120" w:after="120"/>
    </w:pPr>
    <w:rPr>
      <w:rFonts w:ascii="Calibri" w:eastAsiaTheme="minorEastAsia" w:hAnsi="Calibri" w:cstheme="minorBidi"/>
      <w:sz w:val="22"/>
      <w:szCs w:val="22"/>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307339">
      <w:bodyDiv w:val="1"/>
      <w:marLeft w:val="0"/>
      <w:marRight w:val="0"/>
      <w:marTop w:val="0"/>
      <w:marBottom w:val="0"/>
      <w:divBdr>
        <w:top w:val="none" w:sz="0" w:space="0" w:color="auto"/>
        <w:left w:val="none" w:sz="0" w:space="0" w:color="auto"/>
        <w:bottom w:val="none" w:sz="0" w:space="0" w:color="auto"/>
        <w:right w:val="none" w:sz="0" w:space="0" w:color="auto"/>
      </w:divBdr>
    </w:div>
    <w:div w:id="125705897">
      <w:bodyDiv w:val="1"/>
      <w:marLeft w:val="0"/>
      <w:marRight w:val="0"/>
      <w:marTop w:val="0"/>
      <w:marBottom w:val="0"/>
      <w:divBdr>
        <w:top w:val="none" w:sz="0" w:space="0" w:color="auto"/>
        <w:left w:val="none" w:sz="0" w:space="0" w:color="auto"/>
        <w:bottom w:val="none" w:sz="0" w:space="0" w:color="auto"/>
        <w:right w:val="none" w:sz="0" w:space="0" w:color="auto"/>
      </w:divBdr>
    </w:div>
    <w:div w:id="329211932">
      <w:bodyDiv w:val="1"/>
      <w:marLeft w:val="0"/>
      <w:marRight w:val="0"/>
      <w:marTop w:val="0"/>
      <w:marBottom w:val="0"/>
      <w:divBdr>
        <w:top w:val="none" w:sz="0" w:space="0" w:color="auto"/>
        <w:left w:val="none" w:sz="0" w:space="0" w:color="auto"/>
        <w:bottom w:val="none" w:sz="0" w:space="0" w:color="auto"/>
        <w:right w:val="none" w:sz="0" w:space="0" w:color="auto"/>
      </w:divBdr>
    </w:div>
    <w:div w:id="332531951">
      <w:bodyDiv w:val="1"/>
      <w:marLeft w:val="0"/>
      <w:marRight w:val="0"/>
      <w:marTop w:val="0"/>
      <w:marBottom w:val="0"/>
      <w:divBdr>
        <w:top w:val="none" w:sz="0" w:space="0" w:color="auto"/>
        <w:left w:val="none" w:sz="0" w:space="0" w:color="auto"/>
        <w:bottom w:val="none" w:sz="0" w:space="0" w:color="auto"/>
        <w:right w:val="none" w:sz="0" w:space="0" w:color="auto"/>
      </w:divBdr>
    </w:div>
    <w:div w:id="352263568">
      <w:bodyDiv w:val="1"/>
      <w:marLeft w:val="0"/>
      <w:marRight w:val="0"/>
      <w:marTop w:val="0"/>
      <w:marBottom w:val="0"/>
      <w:divBdr>
        <w:top w:val="none" w:sz="0" w:space="0" w:color="auto"/>
        <w:left w:val="none" w:sz="0" w:space="0" w:color="auto"/>
        <w:bottom w:val="none" w:sz="0" w:space="0" w:color="auto"/>
        <w:right w:val="none" w:sz="0" w:space="0" w:color="auto"/>
      </w:divBdr>
    </w:div>
    <w:div w:id="412551444">
      <w:bodyDiv w:val="1"/>
      <w:marLeft w:val="0"/>
      <w:marRight w:val="0"/>
      <w:marTop w:val="0"/>
      <w:marBottom w:val="0"/>
      <w:divBdr>
        <w:top w:val="none" w:sz="0" w:space="0" w:color="auto"/>
        <w:left w:val="none" w:sz="0" w:space="0" w:color="auto"/>
        <w:bottom w:val="none" w:sz="0" w:space="0" w:color="auto"/>
        <w:right w:val="none" w:sz="0" w:space="0" w:color="auto"/>
      </w:divBdr>
    </w:div>
    <w:div w:id="432474876">
      <w:bodyDiv w:val="1"/>
      <w:marLeft w:val="0"/>
      <w:marRight w:val="0"/>
      <w:marTop w:val="0"/>
      <w:marBottom w:val="0"/>
      <w:divBdr>
        <w:top w:val="none" w:sz="0" w:space="0" w:color="auto"/>
        <w:left w:val="none" w:sz="0" w:space="0" w:color="auto"/>
        <w:bottom w:val="none" w:sz="0" w:space="0" w:color="auto"/>
        <w:right w:val="none" w:sz="0" w:space="0" w:color="auto"/>
      </w:divBdr>
    </w:div>
    <w:div w:id="451169658">
      <w:bodyDiv w:val="1"/>
      <w:marLeft w:val="0"/>
      <w:marRight w:val="0"/>
      <w:marTop w:val="0"/>
      <w:marBottom w:val="0"/>
      <w:divBdr>
        <w:top w:val="none" w:sz="0" w:space="0" w:color="auto"/>
        <w:left w:val="none" w:sz="0" w:space="0" w:color="auto"/>
        <w:bottom w:val="none" w:sz="0" w:space="0" w:color="auto"/>
        <w:right w:val="none" w:sz="0" w:space="0" w:color="auto"/>
      </w:divBdr>
      <w:divsChild>
        <w:div w:id="1236237061">
          <w:marLeft w:val="0"/>
          <w:marRight w:val="0"/>
          <w:marTop w:val="0"/>
          <w:marBottom w:val="0"/>
          <w:divBdr>
            <w:top w:val="none" w:sz="0" w:space="0" w:color="auto"/>
            <w:left w:val="none" w:sz="0" w:space="0" w:color="auto"/>
            <w:bottom w:val="none" w:sz="0" w:space="0" w:color="auto"/>
            <w:right w:val="none" w:sz="0" w:space="0" w:color="auto"/>
          </w:divBdr>
        </w:div>
      </w:divsChild>
    </w:div>
    <w:div w:id="507059484">
      <w:bodyDiv w:val="1"/>
      <w:marLeft w:val="0"/>
      <w:marRight w:val="0"/>
      <w:marTop w:val="0"/>
      <w:marBottom w:val="0"/>
      <w:divBdr>
        <w:top w:val="none" w:sz="0" w:space="0" w:color="auto"/>
        <w:left w:val="none" w:sz="0" w:space="0" w:color="auto"/>
        <w:bottom w:val="none" w:sz="0" w:space="0" w:color="auto"/>
        <w:right w:val="none" w:sz="0" w:space="0" w:color="auto"/>
      </w:divBdr>
    </w:div>
    <w:div w:id="540288147">
      <w:bodyDiv w:val="1"/>
      <w:marLeft w:val="0"/>
      <w:marRight w:val="0"/>
      <w:marTop w:val="0"/>
      <w:marBottom w:val="0"/>
      <w:divBdr>
        <w:top w:val="none" w:sz="0" w:space="0" w:color="auto"/>
        <w:left w:val="none" w:sz="0" w:space="0" w:color="auto"/>
        <w:bottom w:val="none" w:sz="0" w:space="0" w:color="auto"/>
        <w:right w:val="none" w:sz="0" w:space="0" w:color="auto"/>
      </w:divBdr>
    </w:div>
    <w:div w:id="800613296">
      <w:bodyDiv w:val="1"/>
      <w:marLeft w:val="0"/>
      <w:marRight w:val="0"/>
      <w:marTop w:val="0"/>
      <w:marBottom w:val="0"/>
      <w:divBdr>
        <w:top w:val="none" w:sz="0" w:space="0" w:color="auto"/>
        <w:left w:val="none" w:sz="0" w:space="0" w:color="auto"/>
        <w:bottom w:val="none" w:sz="0" w:space="0" w:color="auto"/>
        <w:right w:val="none" w:sz="0" w:space="0" w:color="auto"/>
      </w:divBdr>
    </w:div>
    <w:div w:id="868762882">
      <w:bodyDiv w:val="1"/>
      <w:marLeft w:val="0"/>
      <w:marRight w:val="0"/>
      <w:marTop w:val="0"/>
      <w:marBottom w:val="0"/>
      <w:divBdr>
        <w:top w:val="none" w:sz="0" w:space="0" w:color="auto"/>
        <w:left w:val="none" w:sz="0" w:space="0" w:color="auto"/>
        <w:bottom w:val="none" w:sz="0" w:space="0" w:color="auto"/>
        <w:right w:val="none" w:sz="0" w:space="0" w:color="auto"/>
      </w:divBdr>
    </w:div>
    <w:div w:id="876545556">
      <w:bodyDiv w:val="1"/>
      <w:marLeft w:val="0"/>
      <w:marRight w:val="0"/>
      <w:marTop w:val="0"/>
      <w:marBottom w:val="0"/>
      <w:divBdr>
        <w:top w:val="none" w:sz="0" w:space="0" w:color="auto"/>
        <w:left w:val="none" w:sz="0" w:space="0" w:color="auto"/>
        <w:bottom w:val="none" w:sz="0" w:space="0" w:color="auto"/>
        <w:right w:val="none" w:sz="0" w:space="0" w:color="auto"/>
      </w:divBdr>
    </w:div>
    <w:div w:id="934166496">
      <w:bodyDiv w:val="1"/>
      <w:marLeft w:val="0"/>
      <w:marRight w:val="0"/>
      <w:marTop w:val="0"/>
      <w:marBottom w:val="0"/>
      <w:divBdr>
        <w:top w:val="none" w:sz="0" w:space="0" w:color="auto"/>
        <w:left w:val="none" w:sz="0" w:space="0" w:color="auto"/>
        <w:bottom w:val="none" w:sz="0" w:space="0" w:color="auto"/>
        <w:right w:val="none" w:sz="0" w:space="0" w:color="auto"/>
      </w:divBdr>
    </w:div>
    <w:div w:id="969288441">
      <w:bodyDiv w:val="1"/>
      <w:marLeft w:val="0"/>
      <w:marRight w:val="0"/>
      <w:marTop w:val="0"/>
      <w:marBottom w:val="0"/>
      <w:divBdr>
        <w:top w:val="none" w:sz="0" w:space="0" w:color="auto"/>
        <w:left w:val="none" w:sz="0" w:space="0" w:color="auto"/>
        <w:bottom w:val="none" w:sz="0" w:space="0" w:color="auto"/>
        <w:right w:val="none" w:sz="0" w:space="0" w:color="auto"/>
      </w:divBdr>
    </w:div>
    <w:div w:id="1028945695">
      <w:bodyDiv w:val="1"/>
      <w:marLeft w:val="0"/>
      <w:marRight w:val="0"/>
      <w:marTop w:val="0"/>
      <w:marBottom w:val="0"/>
      <w:divBdr>
        <w:top w:val="none" w:sz="0" w:space="0" w:color="auto"/>
        <w:left w:val="none" w:sz="0" w:space="0" w:color="auto"/>
        <w:bottom w:val="none" w:sz="0" w:space="0" w:color="auto"/>
        <w:right w:val="none" w:sz="0" w:space="0" w:color="auto"/>
      </w:divBdr>
    </w:div>
    <w:div w:id="1434470289">
      <w:bodyDiv w:val="1"/>
      <w:marLeft w:val="0"/>
      <w:marRight w:val="0"/>
      <w:marTop w:val="0"/>
      <w:marBottom w:val="0"/>
      <w:divBdr>
        <w:top w:val="none" w:sz="0" w:space="0" w:color="auto"/>
        <w:left w:val="none" w:sz="0" w:space="0" w:color="auto"/>
        <w:bottom w:val="none" w:sz="0" w:space="0" w:color="auto"/>
        <w:right w:val="none" w:sz="0" w:space="0" w:color="auto"/>
      </w:divBdr>
    </w:div>
    <w:div w:id="1437559257">
      <w:bodyDiv w:val="1"/>
      <w:marLeft w:val="0"/>
      <w:marRight w:val="0"/>
      <w:marTop w:val="0"/>
      <w:marBottom w:val="0"/>
      <w:divBdr>
        <w:top w:val="none" w:sz="0" w:space="0" w:color="auto"/>
        <w:left w:val="none" w:sz="0" w:space="0" w:color="auto"/>
        <w:bottom w:val="none" w:sz="0" w:space="0" w:color="auto"/>
        <w:right w:val="none" w:sz="0" w:space="0" w:color="auto"/>
      </w:divBdr>
    </w:div>
    <w:div w:id="1660500906">
      <w:bodyDiv w:val="1"/>
      <w:marLeft w:val="0"/>
      <w:marRight w:val="0"/>
      <w:marTop w:val="0"/>
      <w:marBottom w:val="0"/>
      <w:divBdr>
        <w:top w:val="none" w:sz="0" w:space="0" w:color="auto"/>
        <w:left w:val="none" w:sz="0" w:space="0" w:color="auto"/>
        <w:bottom w:val="none" w:sz="0" w:space="0" w:color="auto"/>
        <w:right w:val="none" w:sz="0" w:space="0" w:color="auto"/>
      </w:divBdr>
    </w:div>
    <w:div w:id="1676229256">
      <w:bodyDiv w:val="1"/>
      <w:marLeft w:val="0"/>
      <w:marRight w:val="0"/>
      <w:marTop w:val="0"/>
      <w:marBottom w:val="0"/>
      <w:divBdr>
        <w:top w:val="none" w:sz="0" w:space="0" w:color="auto"/>
        <w:left w:val="none" w:sz="0" w:space="0" w:color="auto"/>
        <w:bottom w:val="none" w:sz="0" w:space="0" w:color="auto"/>
        <w:right w:val="none" w:sz="0" w:space="0" w:color="auto"/>
      </w:divBdr>
    </w:div>
    <w:div w:id="1775127913">
      <w:bodyDiv w:val="1"/>
      <w:marLeft w:val="0"/>
      <w:marRight w:val="0"/>
      <w:marTop w:val="0"/>
      <w:marBottom w:val="0"/>
      <w:divBdr>
        <w:top w:val="none" w:sz="0" w:space="0" w:color="auto"/>
        <w:left w:val="none" w:sz="0" w:space="0" w:color="auto"/>
        <w:bottom w:val="none" w:sz="0" w:space="0" w:color="auto"/>
        <w:right w:val="none" w:sz="0" w:space="0" w:color="auto"/>
      </w:divBdr>
    </w:div>
    <w:div w:id="1877542026">
      <w:bodyDiv w:val="1"/>
      <w:marLeft w:val="0"/>
      <w:marRight w:val="0"/>
      <w:marTop w:val="0"/>
      <w:marBottom w:val="0"/>
      <w:divBdr>
        <w:top w:val="none" w:sz="0" w:space="0" w:color="auto"/>
        <w:left w:val="none" w:sz="0" w:space="0" w:color="auto"/>
        <w:bottom w:val="none" w:sz="0" w:space="0" w:color="auto"/>
        <w:right w:val="none" w:sz="0" w:space="0" w:color="auto"/>
      </w:divBdr>
    </w:div>
    <w:div w:id="1887642790">
      <w:bodyDiv w:val="1"/>
      <w:marLeft w:val="0"/>
      <w:marRight w:val="0"/>
      <w:marTop w:val="0"/>
      <w:marBottom w:val="0"/>
      <w:divBdr>
        <w:top w:val="none" w:sz="0" w:space="0" w:color="auto"/>
        <w:left w:val="none" w:sz="0" w:space="0" w:color="auto"/>
        <w:bottom w:val="none" w:sz="0" w:space="0" w:color="auto"/>
        <w:right w:val="none" w:sz="0" w:space="0" w:color="auto"/>
      </w:divBdr>
    </w:div>
    <w:div w:id="2017338863">
      <w:bodyDiv w:val="1"/>
      <w:marLeft w:val="0"/>
      <w:marRight w:val="0"/>
      <w:marTop w:val="0"/>
      <w:marBottom w:val="0"/>
      <w:divBdr>
        <w:top w:val="none" w:sz="0" w:space="0" w:color="auto"/>
        <w:left w:val="none" w:sz="0" w:space="0" w:color="auto"/>
        <w:bottom w:val="none" w:sz="0" w:space="0" w:color="auto"/>
        <w:right w:val="none" w:sz="0" w:space="0" w:color="auto"/>
      </w:divBdr>
    </w:div>
    <w:div w:id="2020619303">
      <w:bodyDiv w:val="1"/>
      <w:marLeft w:val="0"/>
      <w:marRight w:val="0"/>
      <w:marTop w:val="0"/>
      <w:marBottom w:val="0"/>
      <w:divBdr>
        <w:top w:val="none" w:sz="0" w:space="0" w:color="auto"/>
        <w:left w:val="none" w:sz="0" w:space="0" w:color="auto"/>
        <w:bottom w:val="none" w:sz="0" w:space="0" w:color="auto"/>
        <w:right w:val="none" w:sz="0" w:space="0" w:color="auto"/>
      </w:divBdr>
    </w:div>
    <w:div w:id="2071034951">
      <w:bodyDiv w:val="1"/>
      <w:marLeft w:val="0"/>
      <w:marRight w:val="0"/>
      <w:marTop w:val="0"/>
      <w:marBottom w:val="0"/>
      <w:divBdr>
        <w:top w:val="none" w:sz="0" w:space="0" w:color="auto"/>
        <w:left w:val="none" w:sz="0" w:space="0" w:color="auto"/>
        <w:bottom w:val="none" w:sz="0" w:space="0" w:color="auto"/>
        <w:right w:val="none" w:sz="0" w:space="0" w:color="auto"/>
      </w:divBdr>
    </w:div>
    <w:div w:id="2092777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image" Target="media/image8.emf"/><Relationship Id="rId39" Type="http://schemas.openxmlformats.org/officeDocument/2006/relationships/image" Target="media/image21.jpeg"/><Relationship Id="rId21" Type="http://schemas.openxmlformats.org/officeDocument/2006/relationships/header" Target="header2.xml"/><Relationship Id="rId34" Type="http://schemas.openxmlformats.org/officeDocument/2006/relationships/image" Target="media/image16.emf"/><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emf"/><Relationship Id="rId55" Type="http://schemas.openxmlformats.org/officeDocument/2006/relationships/image" Target="media/image37.emf"/><Relationship Id="rId63" Type="http://schemas.openxmlformats.org/officeDocument/2006/relationships/footer" Target="footer9.xml"/><Relationship Id="rId68" Type="http://schemas.openxmlformats.org/officeDocument/2006/relationships/header" Target="header6.xml"/><Relationship Id="rId76" Type="http://schemas.openxmlformats.org/officeDocument/2006/relationships/image" Target="media/image49.emf"/><Relationship Id="rId84" Type="http://schemas.openxmlformats.org/officeDocument/2006/relationships/image" Target="media/image57.emf"/><Relationship Id="rId7" Type="http://schemas.openxmlformats.org/officeDocument/2006/relationships/footnotes" Target="footnotes.xml"/><Relationship Id="rId71"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1.emf"/><Relationship Id="rId11" Type="http://schemas.openxmlformats.org/officeDocument/2006/relationships/image" Target="media/image3.jpeg"/><Relationship Id="rId24" Type="http://schemas.openxmlformats.org/officeDocument/2006/relationships/footer" Target="footer8.xml"/><Relationship Id="rId32" Type="http://schemas.openxmlformats.org/officeDocument/2006/relationships/image" Target="media/image14.jpg"/><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image" Target="media/image35.emf"/><Relationship Id="rId58" Type="http://schemas.openxmlformats.org/officeDocument/2006/relationships/image" Target="media/image40.emf"/><Relationship Id="rId66" Type="http://schemas.openxmlformats.org/officeDocument/2006/relationships/image" Target="media/image44.png"/><Relationship Id="rId74" Type="http://schemas.openxmlformats.org/officeDocument/2006/relationships/hyperlink" Target="http://transportblog.co.nz/2014/11/11/new-auckland-valuation-maps/" TargetMode="External"/><Relationship Id="rId79" Type="http://schemas.openxmlformats.org/officeDocument/2006/relationships/image" Target="media/image52.png"/><Relationship Id="rId5" Type="http://schemas.openxmlformats.org/officeDocument/2006/relationships/settings" Target="settings.xml"/><Relationship Id="rId61" Type="http://schemas.openxmlformats.org/officeDocument/2006/relationships/image" Target="media/image43.emf"/><Relationship Id="rId82" Type="http://schemas.openxmlformats.org/officeDocument/2006/relationships/image" Target="media/image55.jpeg"/><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footer" Target="footer7.xml"/><Relationship Id="rId27" Type="http://schemas.openxmlformats.org/officeDocument/2006/relationships/image" Target="media/image9.png"/><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image" Target="media/image38.emf"/><Relationship Id="rId64" Type="http://schemas.openxmlformats.org/officeDocument/2006/relationships/header" Target="header5.xml"/><Relationship Id="rId69" Type="http://schemas.openxmlformats.org/officeDocument/2006/relationships/footer" Target="footer11.xml"/><Relationship Id="rId77" Type="http://schemas.openxmlformats.org/officeDocument/2006/relationships/image" Target="media/image50.emf"/><Relationship Id="rId8" Type="http://schemas.openxmlformats.org/officeDocument/2006/relationships/endnotes" Target="endnotes.xml"/><Relationship Id="rId51" Type="http://schemas.openxmlformats.org/officeDocument/2006/relationships/image" Target="media/image33.emf"/><Relationship Id="rId72" Type="http://schemas.openxmlformats.org/officeDocument/2006/relationships/image" Target="media/image46.emf"/><Relationship Id="rId80" Type="http://schemas.openxmlformats.org/officeDocument/2006/relationships/image" Target="media/image53.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image" Target="media/image20.jpeg"/><Relationship Id="rId46" Type="http://schemas.openxmlformats.org/officeDocument/2006/relationships/image" Target="media/image28.emf"/><Relationship Id="rId59" Type="http://schemas.openxmlformats.org/officeDocument/2006/relationships/image" Target="media/image41.emf"/><Relationship Id="rId67" Type="http://schemas.openxmlformats.org/officeDocument/2006/relationships/image" Target="media/image45.jpeg"/><Relationship Id="rId20" Type="http://schemas.openxmlformats.org/officeDocument/2006/relationships/image" Target="media/image6.emf"/><Relationship Id="rId41" Type="http://schemas.openxmlformats.org/officeDocument/2006/relationships/image" Target="media/image23.emf"/><Relationship Id="rId54" Type="http://schemas.openxmlformats.org/officeDocument/2006/relationships/image" Target="media/image36.emf"/><Relationship Id="rId62" Type="http://schemas.openxmlformats.org/officeDocument/2006/relationships/header" Target="header4.xml"/><Relationship Id="rId70" Type="http://schemas.openxmlformats.org/officeDocument/2006/relationships/header" Target="header7.xml"/><Relationship Id="rId75" Type="http://schemas.openxmlformats.org/officeDocument/2006/relationships/image" Target="media/image48.emf"/><Relationship Id="rId83" Type="http://schemas.openxmlformats.org/officeDocument/2006/relationships/image" Target="media/image56.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3.xml"/><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image" Target="media/image31.emf"/><Relationship Id="rId57" Type="http://schemas.openxmlformats.org/officeDocument/2006/relationships/image" Target="media/image39.emf"/><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image" Target="media/image26.emf"/><Relationship Id="rId52" Type="http://schemas.openxmlformats.org/officeDocument/2006/relationships/image" Target="media/image34.png"/><Relationship Id="rId60" Type="http://schemas.openxmlformats.org/officeDocument/2006/relationships/image" Target="media/image42.emf"/><Relationship Id="rId65" Type="http://schemas.openxmlformats.org/officeDocument/2006/relationships/footer" Target="footer10.xml"/><Relationship Id="rId73" Type="http://schemas.openxmlformats.org/officeDocument/2006/relationships/image" Target="media/image47.emf"/><Relationship Id="rId78" Type="http://schemas.openxmlformats.org/officeDocument/2006/relationships/image" Target="media/image51.emf"/><Relationship Id="rId81" Type="http://schemas.openxmlformats.org/officeDocument/2006/relationships/image" Target="media/image54.png"/><Relationship Id="rId86" Type="http://schemas.openxmlformats.org/officeDocument/2006/relationships/theme" Target="theme/theme1.xml"/></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4.png"/></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www.interest.co.nz/property/rent-ratio" TargetMode="External"/><Relationship Id="rId7" Type="http://schemas.openxmlformats.org/officeDocument/2006/relationships/hyperlink" Target="http://www.massey.ac.nz/massey/learning/colleges/college-business/school-of-economics-and-finance/research/mureau.cfm" TargetMode="External"/><Relationship Id="rId2" Type="http://schemas.openxmlformats.org/officeDocument/2006/relationships/hyperlink" Target="https://homes.co.nz/" TargetMode="External"/><Relationship Id="rId1" Type="http://schemas.openxmlformats.org/officeDocument/2006/relationships/hyperlink" Target="https://www.beehive.govt.nz/speech/speech-housing-affordability" TargetMode="External"/><Relationship Id="rId6" Type="http://schemas.openxmlformats.org/officeDocument/2006/relationships/hyperlink" Target="http://www.hamilton.govt.nz/our-council/council-publications/districtplans/proposeddistrictplan/Documents/Proposed%20District%20Plan%20Volume%201.pdf" TargetMode="External"/><Relationship Id="rId5" Type="http://schemas.openxmlformats.org/officeDocument/2006/relationships/hyperlink" Target="http://www.mfe.govt.nz/rma/rma-monitoring-and-reporting/information-requirements" TargetMode="External"/><Relationship Id="rId4" Type="http://schemas.openxmlformats.org/officeDocument/2006/relationships/hyperlink" Target="http://www.mfe.govt.nz/publications/rma/resource-management-act-two-yearly-survey-local-authorities-2012201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m\AppData\Roaming\Microsoft\Templates\Covec%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0403B0-8465-432F-BB4C-FA9CA4421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Covec Report</Template>
  <TotalTime>28</TotalTime>
  <Pages>160</Pages>
  <Words>46535</Words>
  <Characters>271566</Characters>
  <Application>Microsoft Office Word</Application>
  <DocSecurity>0</DocSecurity>
  <Lines>2263</Lines>
  <Paragraphs>634</Paragraphs>
  <ScaleCrop>false</ScaleCrop>
  <HeadingPairs>
    <vt:vector size="2" baseType="variant">
      <vt:variant>
        <vt:lpstr>Title</vt:lpstr>
      </vt:variant>
      <vt:variant>
        <vt:i4>1</vt:i4>
      </vt:variant>
    </vt:vector>
  </HeadingPairs>
  <TitlesOfParts>
    <vt:vector size="1" baseType="lpstr">
      <vt:lpstr/>
    </vt:vector>
  </TitlesOfParts>
  <Company>Covec</Company>
  <LinksUpToDate>false</LinksUpToDate>
  <CharactersWithSpaces>317467</CharactersWithSpaces>
  <SharedDoc>false</SharedDoc>
  <HLinks>
    <vt:vector size="18" baseType="variant">
      <vt:variant>
        <vt:i4>1507386</vt:i4>
      </vt:variant>
      <vt:variant>
        <vt:i4>14</vt:i4>
      </vt:variant>
      <vt:variant>
        <vt:i4>0</vt:i4>
      </vt:variant>
      <vt:variant>
        <vt:i4>5</vt:i4>
      </vt:variant>
      <vt:variant>
        <vt:lpwstr/>
      </vt:variant>
      <vt:variant>
        <vt:lpwstr>_Toc75237284</vt:lpwstr>
      </vt:variant>
      <vt:variant>
        <vt:i4>1048634</vt:i4>
      </vt:variant>
      <vt:variant>
        <vt:i4>8</vt:i4>
      </vt:variant>
      <vt:variant>
        <vt:i4>0</vt:i4>
      </vt:variant>
      <vt:variant>
        <vt:i4>5</vt:i4>
      </vt:variant>
      <vt:variant>
        <vt:lpwstr/>
      </vt:variant>
      <vt:variant>
        <vt:lpwstr>_Toc75237283</vt:lpwstr>
      </vt:variant>
      <vt:variant>
        <vt:i4>1114170</vt:i4>
      </vt:variant>
      <vt:variant>
        <vt:i4>2</vt:i4>
      </vt:variant>
      <vt:variant>
        <vt:i4>0</vt:i4>
      </vt:variant>
      <vt:variant>
        <vt:i4>5</vt:i4>
      </vt:variant>
      <vt:variant>
        <vt:lpwstr/>
      </vt:variant>
      <vt:variant>
        <vt:lpwstr>_Toc75237282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Denne</dc:creator>
  <cp:lastModifiedBy>Lyn O'Neill</cp:lastModifiedBy>
  <cp:revision>5</cp:revision>
  <cp:lastPrinted>2016-09-28T20:16:00Z</cp:lastPrinted>
  <dcterms:created xsi:type="dcterms:W3CDTF">2016-10-24T19:55:00Z</dcterms:created>
  <dcterms:modified xsi:type="dcterms:W3CDTF">2016-10-27T20:01:00Z</dcterms:modified>
</cp:coreProperties>
</file>