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CA8" w:rsidRDefault="00494F7F" w:rsidP="003C7CA8">
      <w:pPr>
        <w:pStyle w:val="Title"/>
        <w:jc w:val="center"/>
      </w:pPr>
      <w:bookmarkStart w:id="0" w:name="_Toc343088790"/>
      <w:bookmarkStart w:id="1" w:name="_Toc343094722"/>
      <w:r>
        <w:rPr>
          <w:noProof/>
        </w:rPr>
        <w:drawing>
          <wp:anchor distT="0" distB="0" distL="114300" distR="114300" simplePos="0" relativeHeight="251658240" behindDoc="0" locked="0" layoutInCell="1" allowOverlap="1">
            <wp:simplePos x="0" y="0"/>
            <wp:positionH relativeFrom="column">
              <wp:posOffset>-1048385</wp:posOffset>
            </wp:positionH>
            <wp:positionV relativeFrom="paragraph">
              <wp:posOffset>-3225227</wp:posOffset>
            </wp:positionV>
            <wp:extent cx="7022535" cy="9886121"/>
            <wp:effectExtent l="0" t="0" r="698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view of the EPA cov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022535" cy="9886121"/>
                    </a:xfrm>
                    <a:prstGeom prst="rect">
                      <a:avLst/>
                    </a:prstGeom>
                  </pic:spPr>
                </pic:pic>
              </a:graphicData>
            </a:graphic>
            <wp14:sizeRelH relativeFrom="margin">
              <wp14:pctWidth>0</wp14:pctWidth>
            </wp14:sizeRelH>
            <wp14:sizeRelV relativeFrom="margin">
              <wp14:pctHeight>0</wp14:pctHeight>
            </wp14:sizeRelV>
          </wp:anchor>
        </w:drawing>
      </w:r>
      <w:r w:rsidR="003C7CA8">
        <w:t>Review of the Effectiveness of the Environmental Protection Authority</w:t>
      </w:r>
    </w:p>
    <w:p w:rsidR="003C7CA8" w:rsidRDefault="00921C6F" w:rsidP="003C7CA8">
      <w:pPr>
        <w:pStyle w:val="Subtitle"/>
        <w:jc w:val="center"/>
      </w:pPr>
      <w:r>
        <w:t>Overview</w:t>
      </w:r>
      <w:r w:rsidR="003C7CA8">
        <w:t xml:space="preserve"> Report</w:t>
      </w:r>
    </w:p>
    <w:p w:rsidR="003C7CA8" w:rsidRPr="00CC51FF" w:rsidRDefault="003C7CA8" w:rsidP="003C7CA8"/>
    <w:p w:rsidR="003C7CA8" w:rsidRPr="00CC1943" w:rsidRDefault="003C7CA8" w:rsidP="003C7CA8">
      <w:pPr>
        <w:spacing w:before="0" w:after="200" w:line="276" w:lineRule="auto"/>
        <w:jc w:val="left"/>
      </w:pPr>
    </w:p>
    <w:p w:rsidR="003C7CA8" w:rsidRPr="00CC1943" w:rsidRDefault="003C7CA8" w:rsidP="003C7CA8">
      <w:pPr>
        <w:spacing w:before="0" w:after="200" w:line="276" w:lineRule="auto"/>
        <w:jc w:val="left"/>
        <w:sectPr w:rsidR="003C7CA8" w:rsidRPr="00CC1943" w:rsidSect="00D4094A">
          <w:footerReference w:type="even" r:id="rId10"/>
          <w:footerReference w:type="default" r:id="rId11"/>
          <w:headerReference w:type="first" r:id="rId12"/>
          <w:footerReference w:type="first" r:id="rId13"/>
          <w:endnotePr>
            <w:numFmt w:val="decimal"/>
          </w:endnotePr>
          <w:pgSz w:w="11907" w:h="16840" w:code="9"/>
          <w:pgMar w:top="5670" w:right="1418" w:bottom="1134" w:left="1418" w:header="709" w:footer="709" w:gutter="567"/>
          <w:cols w:space="708"/>
          <w:titlePg/>
          <w:docGrid w:linePitch="360"/>
        </w:sectPr>
      </w:pPr>
    </w:p>
    <w:p w:rsidR="003C7CA8" w:rsidRDefault="003C7CA8" w:rsidP="003C7CA8">
      <w:pPr>
        <w:pStyle w:val="Imprint"/>
        <w:spacing w:after="120"/>
      </w:pPr>
      <w:r w:rsidRPr="00CC1943">
        <w:lastRenderedPageBreak/>
        <w:t>This report may be cited as:</w:t>
      </w:r>
      <w:r w:rsidR="006F75AA">
        <w:t xml:space="preserve"> </w:t>
      </w:r>
    </w:p>
    <w:p w:rsidR="006F75AA" w:rsidRPr="00CC1943" w:rsidRDefault="006F75AA" w:rsidP="003C7CA8">
      <w:pPr>
        <w:pStyle w:val="Imprint"/>
        <w:spacing w:after="120"/>
      </w:pPr>
      <w:proofErr w:type="gramStart"/>
      <w:r>
        <w:t>Ministry for the Environment.</w:t>
      </w:r>
      <w:proofErr w:type="gramEnd"/>
      <w:r>
        <w:t xml:space="preserve"> 2015. </w:t>
      </w:r>
      <w:r w:rsidRPr="000F2A89">
        <w:rPr>
          <w:i/>
        </w:rPr>
        <w:t>Review of the Effectiveness of the Environmental Protection Authority: Overview Report</w:t>
      </w:r>
      <w:r>
        <w:t>. Wellington: Ministry for the Environment.</w:t>
      </w:r>
    </w:p>
    <w:p w:rsidR="003C7CA8" w:rsidRPr="00CC1943" w:rsidRDefault="003C7CA8" w:rsidP="003C7CA8">
      <w:pPr>
        <w:pStyle w:val="Imprint"/>
      </w:pPr>
    </w:p>
    <w:p w:rsidR="003C7CA8" w:rsidRPr="00CC1943" w:rsidRDefault="003C7CA8" w:rsidP="003C7CA8">
      <w:pPr>
        <w:pStyle w:val="Imprint"/>
      </w:pPr>
    </w:p>
    <w:p w:rsidR="003C7CA8" w:rsidRPr="00CC1943" w:rsidRDefault="003C7CA8" w:rsidP="003C7CA8">
      <w:pPr>
        <w:pStyle w:val="Imprint"/>
      </w:pPr>
    </w:p>
    <w:p w:rsidR="003C7CA8" w:rsidRDefault="003C7CA8" w:rsidP="003C7CA8">
      <w:pPr>
        <w:pStyle w:val="Imprint"/>
      </w:pPr>
    </w:p>
    <w:p w:rsidR="003C7CA8" w:rsidRDefault="003C7CA8" w:rsidP="003C7CA8">
      <w:pPr>
        <w:pStyle w:val="Imprint"/>
      </w:pPr>
    </w:p>
    <w:p w:rsidR="003C7CA8" w:rsidRDefault="003C7CA8" w:rsidP="003C7CA8">
      <w:pPr>
        <w:pStyle w:val="Imprint"/>
      </w:pPr>
    </w:p>
    <w:p w:rsidR="003C7CA8" w:rsidRDefault="003C7CA8" w:rsidP="003C7CA8">
      <w:pPr>
        <w:pStyle w:val="Imprint"/>
      </w:pPr>
    </w:p>
    <w:p w:rsidR="008D592A" w:rsidRDefault="008D592A" w:rsidP="003C7CA8">
      <w:pPr>
        <w:pStyle w:val="Imprint"/>
      </w:pPr>
    </w:p>
    <w:p w:rsidR="008D592A" w:rsidRDefault="008D592A" w:rsidP="003C7CA8">
      <w:pPr>
        <w:pStyle w:val="Imprint"/>
      </w:pPr>
    </w:p>
    <w:p w:rsidR="008D592A" w:rsidRDefault="008D592A" w:rsidP="003C7CA8">
      <w:pPr>
        <w:pStyle w:val="Imprint"/>
      </w:pPr>
    </w:p>
    <w:p w:rsidR="008D592A" w:rsidRDefault="008D592A" w:rsidP="003C7CA8">
      <w:pPr>
        <w:pStyle w:val="Imprint"/>
      </w:pPr>
    </w:p>
    <w:p w:rsidR="008D592A" w:rsidRDefault="008D592A" w:rsidP="003C7CA8">
      <w:pPr>
        <w:pStyle w:val="Imprint"/>
      </w:pPr>
    </w:p>
    <w:p w:rsidR="008D592A" w:rsidRDefault="008D592A" w:rsidP="003C7CA8">
      <w:pPr>
        <w:pStyle w:val="Imprint"/>
      </w:pPr>
    </w:p>
    <w:p w:rsidR="008D592A" w:rsidRDefault="008D592A" w:rsidP="003C7CA8">
      <w:pPr>
        <w:pStyle w:val="Imprint"/>
      </w:pPr>
      <w:bookmarkStart w:id="2" w:name="_GoBack"/>
      <w:bookmarkEnd w:id="2"/>
    </w:p>
    <w:p w:rsidR="008D592A" w:rsidRDefault="008D592A" w:rsidP="003C7CA8">
      <w:pPr>
        <w:pStyle w:val="Imprint"/>
      </w:pPr>
    </w:p>
    <w:p w:rsidR="008D592A" w:rsidRDefault="008D592A" w:rsidP="003C7CA8">
      <w:pPr>
        <w:pStyle w:val="Imprint"/>
      </w:pPr>
    </w:p>
    <w:p w:rsidR="003C7CA8" w:rsidRPr="00CC1943" w:rsidRDefault="003C7CA8" w:rsidP="003C7CA8">
      <w:pPr>
        <w:pStyle w:val="Imprint"/>
      </w:pPr>
    </w:p>
    <w:p w:rsidR="003C7CA8" w:rsidRPr="00CC1943" w:rsidRDefault="003C7CA8" w:rsidP="003C7CA8">
      <w:pPr>
        <w:pStyle w:val="Imprint"/>
      </w:pPr>
      <w:r w:rsidRPr="00CC1943">
        <w:t xml:space="preserve">Published in </w:t>
      </w:r>
      <w:r w:rsidR="002A0F25">
        <w:t xml:space="preserve">April 2015 </w:t>
      </w:r>
      <w:r w:rsidRPr="00CC1943">
        <w:t>by the</w:t>
      </w:r>
      <w:r w:rsidRPr="00CC1943">
        <w:br/>
        <w:t xml:space="preserve">Ministry for the Environment </w:t>
      </w:r>
      <w:r w:rsidRPr="00CC1943">
        <w:br/>
      </w:r>
      <w:proofErr w:type="spellStart"/>
      <w:r w:rsidRPr="00CC1943">
        <w:t>Manatū</w:t>
      </w:r>
      <w:proofErr w:type="spellEnd"/>
      <w:r w:rsidRPr="00CC1943">
        <w:t xml:space="preserve"> </w:t>
      </w:r>
      <w:proofErr w:type="spellStart"/>
      <w:r w:rsidRPr="00CC1943">
        <w:t>Mō</w:t>
      </w:r>
      <w:proofErr w:type="spellEnd"/>
      <w:r w:rsidRPr="00CC1943">
        <w:t xml:space="preserve"> Te </w:t>
      </w:r>
      <w:proofErr w:type="spellStart"/>
      <w:r w:rsidRPr="00CC1943">
        <w:t>Taiao</w:t>
      </w:r>
      <w:proofErr w:type="spellEnd"/>
      <w:r w:rsidRPr="00CC1943">
        <w:br/>
        <w:t>PO Box 10362, Wellington 6143, New Zealand</w:t>
      </w:r>
    </w:p>
    <w:p w:rsidR="008D592A" w:rsidRDefault="003C7CA8" w:rsidP="008D592A">
      <w:pPr>
        <w:pStyle w:val="Imprint"/>
        <w:tabs>
          <w:tab w:val="left" w:pos="720"/>
        </w:tabs>
        <w:spacing w:before="120" w:after="120" w:line="280" w:lineRule="auto"/>
        <w:ind w:left="720" w:hanging="720"/>
      </w:pPr>
      <w:r w:rsidRPr="00CC1943">
        <w:t xml:space="preserve">ISBN: </w:t>
      </w:r>
      <w:r w:rsidRPr="00CC1943">
        <w:tab/>
      </w:r>
      <w:r w:rsidR="006F75AA" w:rsidRPr="002A0F25">
        <w:t>978-0-478-</w:t>
      </w:r>
      <w:r w:rsidR="002A0F25" w:rsidRPr="002A0F25">
        <w:t>41290-1</w:t>
      </w:r>
    </w:p>
    <w:p w:rsidR="003C7CA8" w:rsidRPr="00CC1943" w:rsidRDefault="003C7CA8" w:rsidP="008D592A">
      <w:pPr>
        <w:pStyle w:val="Imprint"/>
        <w:tabs>
          <w:tab w:val="left" w:pos="720"/>
        </w:tabs>
        <w:spacing w:before="120" w:after="120" w:line="280" w:lineRule="auto"/>
        <w:ind w:left="720" w:hanging="720"/>
      </w:pPr>
      <w:r w:rsidRPr="00CC1943">
        <w:t xml:space="preserve">Publication </w:t>
      </w:r>
      <w:r w:rsidRPr="002A0F25">
        <w:t xml:space="preserve">number: </w:t>
      </w:r>
      <w:r w:rsidR="002A0F25" w:rsidRPr="002A0F25">
        <w:t>ME 1197</w:t>
      </w:r>
    </w:p>
    <w:p w:rsidR="003C7CA8" w:rsidRPr="00CC1943" w:rsidRDefault="003C7CA8" w:rsidP="008D592A">
      <w:pPr>
        <w:pStyle w:val="Imprint"/>
        <w:spacing w:before="120" w:after="120" w:line="280" w:lineRule="auto"/>
      </w:pPr>
      <w:r w:rsidRPr="00CC1943">
        <w:t xml:space="preserve">© Crown copyright New Zealand </w:t>
      </w:r>
      <w:r w:rsidR="006F75AA">
        <w:t>2015</w:t>
      </w:r>
    </w:p>
    <w:p w:rsidR="003C7CA8" w:rsidRPr="007A3A9B" w:rsidRDefault="003C7CA8" w:rsidP="008D592A">
      <w:pPr>
        <w:pStyle w:val="Imprint"/>
        <w:spacing w:before="120" w:after="120" w:line="280" w:lineRule="auto"/>
      </w:pPr>
      <w:r w:rsidRPr="00CC1943">
        <w:t>This document is available on the Ministry for the Environment’s website</w:t>
      </w:r>
      <w:proofErr w:type="gramStart"/>
      <w:r w:rsidRPr="00CC1943">
        <w:t>:</w:t>
      </w:r>
      <w:proofErr w:type="gramEnd"/>
      <w:r w:rsidRPr="00CC1943">
        <w:br/>
      </w:r>
      <w:hyperlink r:id="rId14" w:history="1">
        <w:r w:rsidRPr="007A3A9B">
          <w:rPr>
            <w:rStyle w:val="Hyperlink"/>
            <w:color w:val="auto"/>
          </w:rPr>
          <w:t>www.mfe.govt.nz</w:t>
        </w:r>
      </w:hyperlink>
    </w:p>
    <w:p w:rsidR="003C7CA8" w:rsidRPr="00CC1943" w:rsidRDefault="003C7CA8" w:rsidP="003C7CA8">
      <w:pPr>
        <w:spacing w:before="0" w:after="0"/>
        <w:jc w:val="left"/>
      </w:pPr>
      <w:r w:rsidRPr="00CC1943">
        <w:rPr>
          <w:noProof/>
        </w:rPr>
        <w:drawing>
          <wp:inline distT="0" distB="0" distL="0" distR="0" wp14:anchorId="54F4EB11" wp14:editId="52EACD42">
            <wp:extent cx="1965325" cy="614045"/>
            <wp:effectExtent l="19050" t="0" r="0" b="0"/>
            <wp:docPr id="6" name="Picture 1" descr="BW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_Logo"/>
                    <pic:cNvPicPr>
                      <a:picLocks noChangeAspect="1" noChangeArrowheads="1"/>
                    </pic:cNvPicPr>
                  </pic:nvPicPr>
                  <pic:blipFill>
                    <a:blip r:embed="rId15" cstate="print"/>
                    <a:srcRect/>
                    <a:stretch>
                      <a:fillRect/>
                    </a:stretch>
                  </pic:blipFill>
                  <pic:spPr bwMode="auto">
                    <a:xfrm>
                      <a:off x="0" y="0"/>
                      <a:ext cx="1965325" cy="614045"/>
                    </a:xfrm>
                    <a:prstGeom prst="rect">
                      <a:avLst/>
                    </a:prstGeom>
                    <a:noFill/>
                    <a:ln w="9525">
                      <a:noFill/>
                      <a:miter lim="800000"/>
                      <a:headEnd/>
                      <a:tailEnd/>
                    </a:ln>
                  </pic:spPr>
                </pic:pic>
              </a:graphicData>
            </a:graphic>
          </wp:inline>
        </w:drawing>
      </w:r>
    </w:p>
    <w:p w:rsidR="003C7CA8" w:rsidRPr="00CC1943" w:rsidRDefault="003C7CA8" w:rsidP="003C7CA8">
      <w:pPr>
        <w:spacing w:before="0" w:after="0"/>
        <w:sectPr w:rsidR="003C7CA8" w:rsidRPr="00CC1943" w:rsidSect="006B491E">
          <w:headerReference w:type="even" r:id="rId16"/>
          <w:headerReference w:type="default" r:id="rId17"/>
          <w:footerReference w:type="even" r:id="rId18"/>
          <w:headerReference w:type="first" r:id="rId19"/>
          <w:pgSz w:w="11907" w:h="16840" w:code="9"/>
          <w:pgMar w:top="1134" w:right="1418" w:bottom="1134" w:left="1418" w:header="567" w:footer="567" w:gutter="567"/>
          <w:pgNumType w:fmt="lowerRoman"/>
          <w:cols w:space="720"/>
        </w:sectPr>
      </w:pPr>
    </w:p>
    <w:p w:rsidR="003C7CA8" w:rsidRPr="00D159D1" w:rsidRDefault="003C7CA8" w:rsidP="003C7CA8">
      <w:pPr>
        <w:pStyle w:val="Heading"/>
      </w:pPr>
      <w:r w:rsidRPr="00D159D1">
        <w:lastRenderedPageBreak/>
        <w:t>Contents</w:t>
      </w:r>
    </w:p>
    <w:p w:rsidR="0021372F" w:rsidRDefault="0046774E">
      <w:pPr>
        <w:pStyle w:val="TOC1"/>
        <w:rPr>
          <w:rFonts w:asciiTheme="minorHAnsi" w:hAnsiTheme="minorHAnsi"/>
          <w:noProof/>
        </w:rPr>
      </w:pPr>
      <w:r>
        <w:fldChar w:fldCharType="begin"/>
      </w:r>
      <w:r>
        <w:instrText xml:space="preserve"> TOC \o "2-2" \t "Heading 1,1,Heading 1 - light brown,1" </w:instrText>
      </w:r>
      <w:r>
        <w:fldChar w:fldCharType="separate"/>
      </w:r>
      <w:r w:rsidR="0021372F">
        <w:rPr>
          <w:noProof/>
        </w:rPr>
        <w:t>Foreword</w:t>
      </w:r>
      <w:r w:rsidR="0021372F">
        <w:rPr>
          <w:noProof/>
        </w:rPr>
        <w:tab/>
      </w:r>
      <w:r w:rsidR="0021372F">
        <w:rPr>
          <w:noProof/>
        </w:rPr>
        <w:fldChar w:fldCharType="begin"/>
      </w:r>
      <w:r w:rsidR="0021372F">
        <w:rPr>
          <w:noProof/>
        </w:rPr>
        <w:instrText xml:space="preserve"> PAGEREF _Toc417466117 \h </w:instrText>
      </w:r>
      <w:r w:rsidR="0021372F">
        <w:rPr>
          <w:noProof/>
        </w:rPr>
      </w:r>
      <w:r w:rsidR="0021372F">
        <w:rPr>
          <w:noProof/>
        </w:rPr>
        <w:fldChar w:fldCharType="separate"/>
      </w:r>
      <w:r w:rsidR="00387AF7">
        <w:rPr>
          <w:noProof/>
        </w:rPr>
        <w:t>5</w:t>
      </w:r>
      <w:r w:rsidR="0021372F">
        <w:rPr>
          <w:noProof/>
        </w:rPr>
        <w:fldChar w:fldCharType="end"/>
      </w:r>
    </w:p>
    <w:p w:rsidR="0021372F" w:rsidRDefault="0021372F">
      <w:pPr>
        <w:pStyle w:val="TOC1"/>
        <w:rPr>
          <w:rFonts w:asciiTheme="minorHAnsi" w:hAnsiTheme="minorHAnsi"/>
          <w:noProof/>
        </w:rPr>
      </w:pPr>
      <w:r>
        <w:rPr>
          <w:noProof/>
        </w:rPr>
        <w:t>Executive summary</w:t>
      </w:r>
      <w:r>
        <w:rPr>
          <w:noProof/>
        </w:rPr>
        <w:tab/>
      </w:r>
      <w:r>
        <w:rPr>
          <w:noProof/>
        </w:rPr>
        <w:fldChar w:fldCharType="begin"/>
      </w:r>
      <w:r>
        <w:rPr>
          <w:noProof/>
        </w:rPr>
        <w:instrText xml:space="preserve"> PAGEREF _Toc417466118 \h </w:instrText>
      </w:r>
      <w:r>
        <w:rPr>
          <w:noProof/>
        </w:rPr>
      </w:r>
      <w:r>
        <w:rPr>
          <w:noProof/>
        </w:rPr>
        <w:fldChar w:fldCharType="separate"/>
      </w:r>
      <w:r w:rsidR="00387AF7">
        <w:rPr>
          <w:noProof/>
        </w:rPr>
        <w:t>6</w:t>
      </w:r>
      <w:r>
        <w:rPr>
          <w:noProof/>
        </w:rPr>
        <w:fldChar w:fldCharType="end"/>
      </w:r>
    </w:p>
    <w:p w:rsidR="0021372F" w:rsidRDefault="0021372F">
      <w:pPr>
        <w:pStyle w:val="TOC1"/>
        <w:rPr>
          <w:rFonts w:asciiTheme="minorHAnsi" w:hAnsiTheme="minorHAnsi"/>
          <w:noProof/>
        </w:rPr>
      </w:pPr>
      <w:r>
        <w:rPr>
          <w:noProof/>
        </w:rPr>
        <w:t>1</w:t>
      </w:r>
      <w:r>
        <w:rPr>
          <w:rFonts w:asciiTheme="minorHAnsi" w:hAnsiTheme="minorHAnsi"/>
          <w:noProof/>
        </w:rPr>
        <w:tab/>
      </w:r>
      <w:r>
        <w:rPr>
          <w:noProof/>
        </w:rPr>
        <w:t>Context</w:t>
      </w:r>
      <w:r>
        <w:rPr>
          <w:noProof/>
        </w:rPr>
        <w:tab/>
      </w:r>
      <w:r>
        <w:rPr>
          <w:noProof/>
        </w:rPr>
        <w:fldChar w:fldCharType="begin"/>
      </w:r>
      <w:r>
        <w:rPr>
          <w:noProof/>
        </w:rPr>
        <w:instrText xml:space="preserve"> PAGEREF _Toc417466119 \h </w:instrText>
      </w:r>
      <w:r>
        <w:rPr>
          <w:noProof/>
        </w:rPr>
      </w:r>
      <w:r>
        <w:rPr>
          <w:noProof/>
        </w:rPr>
        <w:fldChar w:fldCharType="separate"/>
      </w:r>
      <w:r w:rsidR="00387AF7">
        <w:rPr>
          <w:noProof/>
        </w:rPr>
        <w:t>8</w:t>
      </w:r>
      <w:r>
        <w:rPr>
          <w:noProof/>
        </w:rPr>
        <w:fldChar w:fldCharType="end"/>
      </w:r>
    </w:p>
    <w:p w:rsidR="0021372F" w:rsidRDefault="0021372F">
      <w:pPr>
        <w:pStyle w:val="TOC2"/>
        <w:rPr>
          <w:rFonts w:asciiTheme="minorHAnsi" w:hAnsiTheme="minorHAnsi"/>
        </w:rPr>
      </w:pPr>
      <w:r>
        <w:t>Structure of this report</w:t>
      </w:r>
      <w:r>
        <w:tab/>
      </w:r>
      <w:r>
        <w:fldChar w:fldCharType="begin"/>
      </w:r>
      <w:r>
        <w:instrText xml:space="preserve"> PAGEREF _Toc417466120 \h </w:instrText>
      </w:r>
      <w:r>
        <w:fldChar w:fldCharType="separate"/>
      </w:r>
      <w:r w:rsidR="00387AF7">
        <w:t>8</w:t>
      </w:r>
      <w:r>
        <w:fldChar w:fldCharType="end"/>
      </w:r>
    </w:p>
    <w:p w:rsidR="0021372F" w:rsidRDefault="0021372F">
      <w:pPr>
        <w:pStyle w:val="TOC2"/>
        <w:rPr>
          <w:rFonts w:asciiTheme="minorHAnsi" w:hAnsiTheme="minorHAnsi"/>
        </w:rPr>
      </w:pPr>
      <w:r>
        <w:t>Background on the EPA</w:t>
      </w:r>
      <w:r>
        <w:tab/>
      </w:r>
      <w:r>
        <w:fldChar w:fldCharType="begin"/>
      </w:r>
      <w:r>
        <w:instrText xml:space="preserve"> PAGEREF _Toc417466121 \h </w:instrText>
      </w:r>
      <w:r>
        <w:fldChar w:fldCharType="separate"/>
      </w:r>
      <w:r w:rsidR="00387AF7">
        <w:t>9</w:t>
      </w:r>
      <w:r>
        <w:fldChar w:fldCharType="end"/>
      </w:r>
    </w:p>
    <w:p w:rsidR="0021372F" w:rsidRDefault="0021372F">
      <w:pPr>
        <w:pStyle w:val="TOC2"/>
        <w:rPr>
          <w:rFonts w:asciiTheme="minorHAnsi" w:hAnsiTheme="minorHAnsi"/>
        </w:rPr>
      </w:pPr>
      <w:r>
        <w:t>The Ministry’s role</w:t>
      </w:r>
      <w:r>
        <w:tab/>
      </w:r>
      <w:r>
        <w:fldChar w:fldCharType="begin"/>
      </w:r>
      <w:r>
        <w:instrText xml:space="preserve"> PAGEREF _Toc417466122 \h </w:instrText>
      </w:r>
      <w:r>
        <w:fldChar w:fldCharType="separate"/>
      </w:r>
      <w:r w:rsidR="00387AF7">
        <w:t>10</w:t>
      </w:r>
      <w:r>
        <w:fldChar w:fldCharType="end"/>
      </w:r>
    </w:p>
    <w:p w:rsidR="0021372F" w:rsidRDefault="0021372F">
      <w:pPr>
        <w:pStyle w:val="TOC1"/>
        <w:rPr>
          <w:rFonts w:asciiTheme="minorHAnsi" w:hAnsiTheme="minorHAnsi"/>
          <w:noProof/>
        </w:rPr>
      </w:pPr>
      <w:r>
        <w:rPr>
          <w:noProof/>
        </w:rPr>
        <w:t>2</w:t>
      </w:r>
      <w:r>
        <w:rPr>
          <w:rFonts w:asciiTheme="minorHAnsi" w:hAnsiTheme="minorHAnsi"/>
          <w:noProof/>
        </w:rPr>
        <w:tab/>
      </w:r>
      <w:r>
        <w:rPr>
          <w:noProof/>
        </w:rPr>
        <w:t>The EPA’s effectiveness</w:t>
      </w:r>
      <w:r>
        <w:rPr>
          <w:noProof/>
        </w:rPr>
        <w:tab/>
      </w:r>
      <w:r>
        <w:rPr>
          <w:noProof/>
        </w:rPr>
        <w:fldChar w:fldCharType="begin"/>
      </w:r>
      <w:r>
        <w:rPr>
          <w:noProof/>
        </w:rPr>
        <w:instrText xml:space="preserve"> PAGEREF _Toc417466123 \h </w:instrText>
      </w:r>
      <w:r>
        <w:rPr>
          <w:noProof/>
        </w:rPr>
      </w:r>
      <w:r>
        <w:rPr>
          <w:noProof/>
        </w:rPr>
        <w:fldChar w:fldCharType="separate"/>
      </w:r>
      <w:r w:rsidR="00387AF7">
        <w:rPr>
          <w:noProof/>
        </w:rPr>
        <w:t>11</w:t>
      </w:r>
      <w:r>
        <w:rPr>
          <w:noProof/>
        </w:rPr>
        <w:fldChar w:fldCharType="end"/>
      </w:r>
    </w:p>
    <w:p w:rsidR="0021372F" w:rsidRDefault="0021372F">
      <w:pPr>
        <w:pStyle w:val="TOC2"/>
        <w:rPr>
          <w:rFonts w:asciiTheme="minorHAnsi" w:hAnsiTheme="minorHAnsi"/>
        </w:rPr>
      </w:pPr>
      <w:r>
        <w:t>Context</w:t>
      </w:r>
      <w:r>
        <w:tab/>
      </w:r>
      <w:r>
        <w:fldChar w:fldCharType="begin"/>
      </w:r>
      <w:r>
        <w:instrText xml:space="preserve"> PAGEREF _Toc417466124 \h </w:instrText>
      </w:r>
      <w:r>
        <w:fldChar w:fldCharType="separate"/>
      </w:r>
      <w:r w:rsidR="00387AF7">
        <w:t>11</w:t>
      </w:r>
      <w:r>
        <w:fldChar w:fldCharType="end"/>
      </w:r>
    </w:p>
    <w:p w:rsidR="0021372F" w:rsidRDefault="0021372F">
      <w:pPr>
        <w:pStyle w:val="TOC2"/>
        <w:rPr>
          <w:rFonts w:asciiTheme="minorHAnsi" w:hAnsiTheme="minorHAnsi"/>
        </w:rPr>
      </w:pPr>
      <w:r>
        <w:t>Our expectations</w:t>
      </w:r>
      <w:r>
        <w:tab/>
      </w:r>
      <w:r>
        <w:fldChar w:fldCharType="begin"/>
      </w:r>
      <w:r>
        <w:instrText xml:space="preserve"> PAGEREF _Toc417466125 \h </w:instrText>
      </w:r>
      <w:r>
        <w:fldChar w:fldCharType="separate"/>
      </w:r>
      <w:r w:rsidR="00387AF7">
        <w:t>11</w:t>
      </w:r>
      <w:r>
        <w:fldChar w:fldCharType="end"/>
      </w:r>
    </w:p>
    <w:p w:rsidR="0021372F" w:rsidRDefault="0021372F">
      <w:pPr>
        <w:pStyle w:val="TOC2"/>
        <w:rPr>
          <w:rFonts w:asciiTheme="minorHAnsi" w:hAnsiTheme="minorHAnsi"/>
        </w:rPr>
      </w:pPr>
      <w:r>
        <w:t>Defining effectiveness</w:t>
      </w:r>
      <w:r>
        <w:tab/>
      </w:r>
      <w:r>
        <w:fldChar w:fldCharType="begin"/>
      </w:r>
      <w:r>
        <w:instrText xml:space="preserve"> PAGEREF _Toc417466126 \h </w:instrText>
      </w:r>
      <w:r>
        <w:fldChar w:fldCharType="separate"/>
      </w:r>
      <w:r w:rsidR="00387AF7">
        <w:t>11</w:t>
      </w:r>
      <w:r>
        <w:fldChar w:fldCharType="end"/>
      </w:r>
    </w:p>
    <w:p w:rsidR="0021372F" w:rsidRDefault="0021372F">
      <w:pPr>
        <w:pStyle w:val="TOC2"/>
        <w:rPr>
          <w:rFonts w:asciiTheme="minorHAnsi" w:hAnsiTheme="minorHAnsi"/>
        </w:rPr>
      </w:pPr>
      <w:r w:rsidRPr="00AC37E8">
        <w:t>Ministry’s view of the EPA’s effectiveness</w:t>
      </w:r>
      <w:r>
        <w:tab/>
      </w:r>
      <w:r>
        <w:fldChar w:fldCharType="begin"/>
      </w:r>
      <w:r>
        <w:instrText xml:space="preserve"> PAGEREF _Toc417466127 \h </w:instrText>
      </w:r>
      <w:r>
        <w:fldChar w:fldCharType="separate"/>
      </w:r>
      <w:r w:rsidR="00387AF7">
        <w:t>13</w:t>
      </w:r>
      <w:r>
        <w:fldChar w:fldCharType="end"/>
      </w:r>
    </w:p>
    <w:p w:rsidR="0021372F" w:rsidRDefault="0021372F">
      <w:pPr>
        <w:pStyle w:val="TOC1"/>
        <w:rPr>
          <w:rFonts w:asciiTheme="minorHAnsi" w:hAnsiTheme="minorHAnsi"/>
          <w:noProof/>
        </w:rPr>
      </w:pPr>
      <w:r>
        <w:rPr>
          <w:noProof/>
        </w:rPr>
        <w:t>3</w:t>
      </w:r>
      <w:r>
        <w:rPr>
          <w:rFonts w:asciiTheme="minorHAnsi" w:hAnsiTheme="minorHAnsi"/>
          <w:noProof/>
        </w:rPr>
        <w:tab/>
      </w:r>
      <w:r>
        <w:rPr>
          <w:noProof/>
        </w:rPr>
        <w:t>Responding to the recommendations from the component reports</w:t>
      </w:r>
      <w:r>
        <w:rPr>
          <w:noProof/>
        </w:rPr>
        <w:tab/>
      </w:r>
      <w:r>
        <w:rPr>
          <w:noProof/>
        </w:rPr>
        <w:fldChar w:fldCharType="begin"/>
      </w:r>
      <w:r>
        <w:rPr>
          <w:noProof/>
        </w:rPr>
        <w:instrText xml:space="preserve"> PAGEREF _Toc417466128 \h </w:instrText>
      </w:r>
      <w:r>
        <w:rPr>
          <w:noProof/>
        </w:rPr>
      </w:r>
      <w:r>
        <w:rPr>
          <w:noProof/>
        </w:rPr>
        <w:fldChar w:fldCharType="separate"/>
      </w:r>
      <w:r w:rsidR="00387AF7">
        <w:rPr>
          <w:noProof/>
        </w:rPr>
        <w:t>21</w:t>
      </w:r>
      <w:r>
        <w:rPr>
          <w:noProof/>
        </w:rPr>
        <w:fldChar w:fldCharType="end"/>
      </w:r>
    </w:p>
    <w:p w:rsidR="0021372F" w:rsidRDefault="0021372F">
      <w:pPr>
        <w:pStyle w:val="TOC2"/>
        <w:rPr>
          <w:rFonts w:asciiTheme="minorHAnsi" w:hAnsiTheme="minorHAnsi"/>
        </w:rPr>
      </w:pPr>
      <w:r>
        <w:t>Areas of further work required</w:t>
      </w:r>
      <w:r>
        <w:tab/>
      </w:r>
      <w:r>
        <w:fldChar w:fldCharType="begin"/>
      </w:r>
      <w:r>
        <w:instrText xml:space="preserve"> PAGEREF _Toc417466129 \h </w:instrText>
      </w:r>
      <w:r>
        <w:fldChar w:fldCharType="separate"/>
      </w:r>
      <w:r w:rsidR="00387AF7">
        <w:t>22</w:t>
      </w:r>
      <w:r>
        <w:fldChar w:fldCharType="end"/>
      </w:r>
    </w:p>
    <w:p w:rsidR="0021372F" w:rsidRDefault="0021372F">
      <w:pPr>
        <w:pStyle w:val="TOC1"/>
        <w:rPr>
          <w:rFonts w:asciiTheme="minorHAnsi" w:hAnsiTheme="minorHAnsi"/>
          <w:noProof/>
        </w:rPr>
      </w:pPr>
      <w:r>
        <w:rPr>
          <w:noProof/>
        </w:rPr>
        <w:t>4</w:t>
      </w:r>
      <w:r>
        <w:rPr>
          <w:rFonts w:asciiTheme="minorHAnsi" w:hAnsiTheme="minorHAnsi"/>
          <w:noProof/>
        </w:rPr>
        <w:tab/>
      </w:r>
      <w:r>
        <w:rPr>
          <w:noProof/>
        </w:rPr>
        <w:t>Next steps</w:t>
      </w:r>
      <w:r>
        <w:rPr>
          <w:noProof/>
        </w:rPr>
        <w:tab/>
      </w:r>
      <w:r>
        <w:rPr>
          <w:noProof/>
        </w:rPr>
        <w:fldChar w:fldCharType="begin"/>
      </w:r>
      <w:r>
        <w:rPr>
          <w:noProof/>
        </w:rPr>
        <w:instrText xml:space="preserve"> PAGEREF _Toc417466130 \h </w:instrText>
      </w:r>
      <w:r>
        <w:rPr>
          <w:noProof/>
        </w:rPr>
      </w:r>
      <w:r>
        <w:rPr>
          <w:noProof/>
        </w:rPr>
        <w:fldChar w:fldCharType="separate"/>
      </w:r>
      <w:r w:rsidR="00387AF7">
        <w:rPr>
          <w:noProof/>
        </w:rPr>
        <w:t>24</w:t>
      </w:r>
      <w:r>
        <w:rPr>
          <w:noProof/>
        </w:rPr>
        <w:fldChar w:fldCharType="end"/>
      </w:r>
    </w:p>
    <w:p w:rsidR="0021372F" w:rsidRDefault="0021372F">
      <w:pPr>
        <w:pStyle w:val="TOC2"/>
        <w:rPr>
          <w:rFonts w:asciiTheme="minorHAnsi" w:hAnsiTheme="minorHAnsi"/>
        </w:rPr>
      </w:pPr>
      <w:r>
        <w:t>Prioritise and plan for implementation of recommendations</w:t>
      </w:r>
      <w:r>
        <w:tab/>
      </w:r>
      <w:r>
        <w:fldChar w:fldCharType="begin"/>
      </w:r>
      <w:r>
        <w:instrText xml:space="preserve"> PAGEREF _Toc417466131 \h </w:instrText>
      </w:r>
      <w:r>
        <w:fldChar w:fldCharType="separate"/>
      </w:r>
      <w:r w:rsidR="00387AF7">
        <w:t>24</w:t>
      </w:r>
      <w:r>
        <w:fldChar w:fldCharType="end"/>
      </w:r>
    </w:p>
    <w:p w:rsidR="0021372F" w:rsidRDefault="0021372F">
      <w:pPr>
        <w:pStyle w:val="TOC2"/>
        <w:rPr>
          <w:rFonts w:asciiTheme="minorHAnsi" w:hAnsiTheme="minorHAnsi"/>
        </w:rPr>
      </w:pPr>
      <w:r>
        <w:t>Getting the EPA ‘investment ready’</w:t>
      </w:r>
      <w:r>
        <w:tab/>
      </w:r>
      <w:r>
        <w:fldChar w:fldCharType="begin"/>
      </w:r>
      <w:r>
        <w:instrText xml:space="preserve"> PAGEREF _Toc417466132 \h </w:instrText>
      </w:r>
      <w:r>
        <w:fldChar w:fldCharType="separate"/>
      </w:r>
      <w:r w:rsidR="00387AF7">
        <w:t>24</w:t>
      </w:r>
      <w:r>
        <w:fldChar w:fldCharType="end"/>
      </w:r>
    </w:p>
    <w:p w:rsidR="0021372F" w:rsidRDefault="0021372F">
      <w:pPr>
        <w:pStyle w:val="TOC2"/>
        <w:rPr>
          <w:rFonts w:asciiTheme="minorHAnsi" w:hAnsiTheme="minorHAnsi"/>
        </w:rPr>
      </w:pPr>
      <w:r>
        <w:t>Amendments to the cost recovery regime</w:t>
      </w:r>
      <w:r>
        <w:tab/>
      </w:r>
      <w:r>
        <w:fldChar w:fldCharType="begin"/>
      </w:r>
      <w:r>
        <w:instrText xml:space="preserve"> PAGEREF _Toc417466133 \h </w:instrText>
      </w:r>
      <w:r>
        <w:fldChar w:fldCharType="separate"/>
      </w:r>
      <w:r w:rsidR="00387AF7">
        <w:t>24</w:t>
      </w:r>
      <w:r>
        <w:fldChar w:fldCharType="end"/>
      </w:r>
    </w:p>
    <w:p w:rsidR="0021372F" w:rsidRDefault="0021372F">
      <w:pPr>
        <w:pStyle w:val="TOC2"/>
        <w:rPr>
          <w:rFonts w:asciiTheme="minorHAnsi" w:hAnsiTheme="minorHAnsi"/>
        </w:rPr>
      </w:pPr>
      <w:r>
        <w:t>Harmonising the regimes</w:t>
      </w:r>
      <w:r>
        <w:tab/>
      </w:r>
      <w:r>
        <w:fldChar w:fldCharType="begin"/>
      </w:r>
      <w:r>
        <w:instrText xml:space="preserve"> PAGEREF _Toc417466134 \h </w:instrText>
      </w:r>
      <w:r>
        <w:fldChar w:fldCharType="separate"/>
      </w:r>
      <w:r w:rsidR="00387AF7">
        <w:t>24</w:t>
      </w:r>
      <w:r>
        <w:fldChar w:fldCharType="end"/>
      </w:r>
    </w:p>
    <w:p w:rsidR="0021372F" w:rsidRDefault="0021372F">
      <w:pPr>
        <w:pStyle w:val="TOC2"/>
        <w:rPr>
          <w:rFonts w:asciiTheme="minorHAnsi" w:hAnsiTheme="minorHAnsi"/>
        </w:rPr>
      </w:pPr>
      <w:r>
        <w:t>Enhanced monitoring</w:t>
      </w:r>
      <w:r>
        <w:tab/>
      </w:r>
      <w:r>
        <w:fldChar w:fldCharType="begin"/>
      </w:r>
      <w:r>
        <w:instrText xml:space="preserve"> PAGEREF _Toc417466135 \h </w:instrText>
      </w:r>
      <w:r>
        <w:fldChar w:fldCharType="separate"/>
      </w:r>
      <w:r w:rsidR="00387AF7">
        <w:t>25</w:t>
      </w:r>
      <w:r>
        <w:fldChar w:fldCharType="end"/>
      </w:r>
    </w:p>
    <w:p w:rsidR="0021372F" w:rsidRDefault="0021372F">
      <w:pPr>
        <w:pStyle w:val="TOC2"/>
        <w:rPr>
          <w:rFonts w:asciiTheme="minorHAnsi" w:hAnsiTheme="minorHAnsi"/>
        </w:rPr>
      </w:pPr>
      <w:r>
        <w:t>Supporting the Minister in his role</w:t>
      </w:r>
      <w:r>
        <w:tab/>
      </w:r>
      <w:r>
        <w:fldChar w:fldCharType="begin"/>
      </w:r>
      <w:r>
        <w:instrText xml:space="preserve"> PAGEREF _Toc417466136 \h </w:instrText>
      </w:r>
      <w:r>
        <w:fldChar w:fldCharType="separate"/>
      </w:r>
      <w:r w:rsidR="00387AF7">
        <w:t>25</w:t>
      </w:r>
      <w:r>
        <w:fldChar w:fldCharType="end"/>
      </w:r>
    </w:p>
    <w:p w:rsidR="0021372F" w:rsidRDefault="0021372F">
      <w:pPr>
        <w:pStyle w:val="TOC1"/>
        <w:rPr>
          <w:rFonts w:asciiTheme="minorHAnsi" w:hAnsiTheme="minorHAnsi"/>
          <w:noProof/>
        </w:rPr>
      </w:pPr>
      <w:r>
        <w:rPr>
          <w:noProof/>
        </w:rPr>
        <w:t>Appendix A: Signposts and desired behaviours to evaluate the effectiveness of the EPA</w:t>
      </w:r>
      <w:r>
        <w:rPr>
          <w:noProof/>
        </w:rPr>
        <w:tab/>
      </w:r>
      <w:r>
        <w:rPr>
          <w:noProof/>
        </w:rPr>
        <w:fldChar w:fldCharType="begin"/>
      </w:r>
      <w:r>
        <w:rPr>
          <w:noProof/>
        </w:rPr>
        <w:instrText xml:space="preserve"> PAGEREF _Toc417466137 \h </w:instrText>
      </w:r>
      <w:r>
        <w:rPr>
          <w:noProof/>
        </w:rPr>
      </w:r>
      <w:r>
        <w:rPr>
          <w:noProof/>
        </w:rPr>
        <w:fldChar w:fldCharType="separate"/>
      </w:r>
      <w:r w:rsidR="00387AF7">
        <w:rPr>
          <w:noProof/>
        </w:rPr>
        <w:t>26</w:t>
      </w:r>
      <w:r>
        <w:rPr>
          <w:noProof/>
        </w:rPr>
        <w:fldChar w:fldCharType="end"/>
      </w:r>
    </w:p>
    <w:p w:rsidR="0021372F" w:rsidRDefault="0021372F">
      <w:pPr>
        <w:pStyle w:val="TOC1"/>
        <w:rPr>
          <w:rFonts w:asciiTheme="minorHAnsi" w:hAnsiTheme="minorHAnsi"/>
          <w:noProof/>
        </w:rPr>
      </w:pPr>
      <w:r>
        <w:rPr>
          <w:noProof/>
        </w:rPr>
        <w:t>Appendix B: Distribution of the findings of the EPA’s self-review and the external reviewer’s effectiveness and efficiency review across the high level recommendations</w:t>
      </w:r>
      <w:r>
        <w:rPr>
          <w:noProof/>
        </w:rPr>
        <w:tab/>
      </w:r>
      <w:r>
        <w:rPr>
          <w:noProof/>
        </w:rPr>
        <w:fldChar w:fldCharType="begin"/>
      </w:r>
      <w:r>
        <w:rPr>
          <w:noProof/>
        </w:rPr>
        <w:instrText xml:space="preserve"> PAGEREF _Toc417466138 \h </w:instrText>
      </w:r>
      <w:r>
        <w:rPr>
          <w:noProof/>
        </w:rPr>
      </w:r>
      <w:r>
        <w:rPr>
          <w:noProof/>
        </w:rPr>
        <w:fldChar w:fldCharType="separate"/>
      </w:r>
      <w:r w:rsidR="00387AF7">
        <w:rPr>
          <w:noProof/>
        </w:rPr>
        <w:t>29</w:t>
      </w:r>
      <w:r>
        <w:rPr>
          <w:noProof/>
        </w:rPr>
        <w:fldChar w:fldCharType="end"/>
      </w:r>
    </w:p>
    <w:p w:rsidR="003C7CA8" w:rsidRPr="00CC1943" w:rsidRDefault="0046774E" w:rsidP="003C7CA8">
      <w:pPr>
        <w:pStyle w:val="TOC2"/>
        <w:rPr>
          <w:noProof w:val="0"/>
        </w:rPr>
        <w:sectPr w:rsidR="003C7CA8" w:rsidRPr="00CC1943" w:rsidSect="006B491E">
          <w:headerReference w:type="even" r:id="rId20"/>
          <w:headerReference w:type="default" r:id="rId21"/>
          <w:footerReference w:type="even" r:id="rId22"/>
          <w:footerReference w:type="default" r:id="rId23"/>
          <w:headerReference w:type="first" r:id="rId24"/>
          <w:endnotePr>
            <w:numFmt w:val="decimal"/>
          </w:endnotePr>
          <w:pgSz w:w="11907" w:h="16840" w:code="9"/>
          <w:pgMar w:top="1134" w:right="1418" w:bottom="1134" w:left="1418" w:header="567" w:footer="567" w:gutter="567"/>
          <w:cols w:space="720"/>
        </w:sectPr>
      </w:pPr>
      <w:r>
        <w:rPr>
          <w:noProof w:val="0"/>
        </w:rPr>
        <w:fldChar w:fldCharType="end"/>
      </w:r>
    </w:p>
    <w:p w:rsidR="00BC4912" w:rsidRPr="00D159D1" w:rsidRDefault="00BC4912" w:rsidP="00BC4912">
      <w:pPr>
        <w:pStyle w:val="Heading"/>
      </w:pPr>
      <w:bookmarkStart w:id="3" w:name="_Toc404940672"/>
      <w:bookmarkStart w:id="4" w:name="_Toc404947096"/>
      <w:bookmarkStart w:id="5" w:name="_Toc405185478"/>
      <w:r>
        <w:lastRenderedPageBreak/>
        <w:t>Table</w:t>
      </w:r>
      <w:r w:rsidRPr="00D159D1">
        <w:t>s</w:t>
      </w:r>
    </w:p>
    <w:p w:rsidR="00BC4912" w:rsidRDefault="00BC4912">
      <w:pPr>
        <w:pStyle w:val="TableofFigures"/>
        <w:tabs>
          <w:tab w:val="right" w:pos="8494"/>
        </w:tabs>
        <w:rPr>
          <w:rFonts w:asciiTheme="minorHAnsi" w:eastAsiaTheme="minorEastAsia" w:hAnsiTheme="minorHAnsi" w:cstheme="minorBidi"/>
          <w:noProof/>
          <w:sz w:val="22"/>
          <w:szCs w:val="22"/>
          <w:lang w:eastAsia="en-NZ"/>
        </w:rPr>
      </w:pPr>
      <w:r>
        <w:fldChar w:fldCharType="begin"/>
      </w:r>
      <w:r>
        <w:instrText xml:space="preserve"> TOC \t "Table heading" \c </w:instrText>
      </w:r>
      <w:r>
        <w:fldChar w:fldCharType="separate"/>
      </w:r>
      <w:r>
        <w:rPr>
          <w:noProof/>
        </w:rPr>
        <w:t xml:space="preserve">Table 1: </w:t>
      </w:r>
      <w:r>
        <w:rPr>
          <w:rFonts w:asciiTheme="minorHAnsi" w:eastAsiaTheme="minorEastAsia" w:hAnsiTheme="minorHAnsi" w:cstheme="minorBidi"/>
          <w:noProof/>
          <w:sz w:val="22"/>
          <w:szCs w:val="22"/>
          <w:lang w:eastAsia="en-NZ"/>
        </w:rPr>
        <w:tab/>
      </w:r>
      <w:r>
        <w:rPr>
          <w:noProof/>
        </w:rPr>
        <w:t>Signposts / desired behaviours to evaluate the effectiveness of the EPA (based on the PIF six dimensions of system performance)</w:t>
      </w:r>
      <w:r>
        <w:rPr>
          <w:noProof/>
        </w:rPr>
        <w:tab/>
      </w:r>
      <w:r>
        <w:rPr>
          <w:noProof/>
        </w:rPr>
        <w:fldChar w:fldCharType="begin"/>
      </w:r>
      <w:r>
        <w:rPr>
          <w:noProof/>
        </w:rPr>
        <w:instrText xml:space="preserve"> PAGEREF _Toc414363740 \h </w:instrText>
      </w:r>
      <w:r>
        <w:rPr>
          <w:noProof/>
        </w:rPr>
      </w:r>
      <w:r>
        <w:rPr>
          <w:noProof/>
        </w:rPr>
        <w:fldChar w:fldCharType="separate"/>
      </w:r>
      <w:r w:rsidR="00387AF7">
        <w:rPr>
          <w:noProof/>
        </w:rPr>
        <w:t>12</w:t>
      </w:r>
      <w:r>
        <w:rPr>
          <w:noProof/>
        </w:rPr>
        <w:fldChar w:fldCharType="end"/>
      </w:r>
    </w:p>
    <w:p w:rsidR="00BC4912" w:rsidRDefault="00BC4912">
      <w:pPr>
        <w:pStyle w:val="TableofFigures"/>
        <w:tabs>
          <w:tab w:val="right" w:pos="8494"/>
        </w:tabs>
        <w:rPr>
          <w:rFonts w:asciiTheme="minorHAnsi" w:eastAsiaTheme="minorEastAsia" w:hAnsiTheme="minorHAnsi" w:cstheme="minorBidi"/>
          <w:noProof/>
          <w:sz w:val="22"/>
          <w:szCs w:val="22"/>
          <w:lang w:eastAsia="en-NZ"/>
        </w:rPr>
      </w:pPr>
      <w:r>
        <w:rPr>
          <w:noProof/>
        </w:rPr>
        <w:t xml:space="preserve">Table 2: </w:t>
      </w:r>
      <w:r>
        <w:rPr>
          <w:rFonts w:asciiTheme="minorHAnsi" w:eastAsiaTheme="minorEastAsia" w:hAnsiTheme="minorHAnsi" w:cstheme="minorBidi"/>
          <w:noProof/>
          <w:sz w:val="22"/>
          <w:szCs w:val="22"/>
          <w:lang w:eastAsia="en-NZ"/>
        </w:rPr>
        <w:tab/>
      </w:r>
      <w:r>
        <w:rPr>
          <w:noProof/>
        </w:rPr>
        <w:t>Summarising the recommendations of the Review component reports</w:t>
      </w:r>
      <w:r>
        <w:rPr>
          <w:noProof/>
        </w:rPr>
        <w:tab/>
      </w:r>
      <w:r>
        <w:rPr>
          <w:noProof/>
        </w:rPr>
        <w:fldChar w:fldCharType="begin"/>
      </w:r>
      <w:r>
        <w:rPr>
          <w:noProof/>
        </w:rPr>
        <w:instrText xml:space="preserve"> PAGEREF _Toc414363741 \h </w:instrText>
      </w:r>
      <w:r>
        <w:rPr>
          <w:noProof/>
        </w:rPr>
      </w:r>
      <w:r>
        <w:rPr>
          <w:noProof/>
        </w:rPr>
        <w:fldChar w:fldCharType="separate"/>
      </w:r>
      <w:r w:rsidR="00387AF7">
        <w:rPr>
          <w:noProof/>
        </w:rPr>
        <w:t>21</w:t>
      </w:r>
      <w:r>
        <w:rPr>
          <w:noProof/>
        </w:rPr>
        <w:fldChar w:fldCharType="end"/>
      </w:r>
    </w:p>
    <w:p w:rsidR="00BC4912" w:rsidRDefault="00BC4912">
      <w:pPr>
        <w:spacing w:before="0" w:after="200" w:line="276" w:lineRule="auto"/>
        <w:jc w:val="left"/>
      </w:pPr>
      <w:r>
        <w:fldChar w:fldCharType="end"/>
      </w:r>
    </w:p>
    <w:p w:rsidR="00A37922" w:rsidRDefault="00A37922" w:rsidP="00282B70">
      <w:pPr>
        <w:pStyle w:val="Heading"/>
      </w:pPr>
    </w:p>
    <w:p w:rsidR="00282B70" w:rsidRPr="00D159D1" w:rsidRDefault="00282B70" w:rsidP="00282B70">
      <w:pPr>
        <w:pStyle w:val="Heading"/>
      </w:pPr>
      <w:r>
        <w:t>Figure</w:t>
      </w:r>
    </w:p>
    <w:p w:rsidR="00282B70" w:rsidRDefault="00282B70">
      <w:pPr>
        <w:pStyle w:val="TableofFigures"/>
        <w:tabs>
          <w:tab w:val="right" w:pos="8494"/>
        </w:tabs>
        <w:rPr>
          <w:rFonts w:asciiTheme="minorHAnsi" w:eastAsiaTheme="minorEastAsia" w:hAnsiTheme="minorHAnsi" w:cstheme="minorBidi"/>
          <w:noProof/>
          <w:sz w:val="22"/>
          <w:szCs w:val="22"/>
          <w:lang w:eastAsia="en-NZ"/>
        </w:rPr>
      </w:pPr>
      <w:r>
        <w:fldChar w:fldCharType="begin"/>
      </w:r>
      <w:r>
        <w:instrText xml:space="preserve"> TOC \t "Figure heading" \c </w:instrText>
      </w:r>
      <w:r>
        <w:fldChar w:fldCharType="separate"/>
      </w:r>
      <w:r>
        <w:rPr>
          <w:noProof/>
        </w:rPr>
        <w:t xml:space="preserve">Figure 1: </w:t>
      </w:r>
      <w:r>
        <w:rPr>
          <w:rFonts w:asciiTheme="minorHAnsi" w:eastAsiaTheme="minorEastAsia" w:hAnsiTheme="minorHAnsi" w:cstheme="minorBidi"/>
          <w:noProof/>
          <w:sz w:val="22"/>
          <w:szCs w:val="22"/>
          <w:lang w:eastAsia="en-NZ"/>
        </w:rPr>
        <w:tab/>
      </w:r>
      <w:r>
        <w:rPr>
          <w:noProof/>
        </w:rPr>
        <w:t>Overview of the EPA Review</w:t>
      </w:r>
      <w:r>
        <w:rPr>
          <w:noProof/>
        </w:rPr>
        <w:tab/>
      </w:r>
      <w:r>
        <w:rPr>
          <w:noProof/>
        </w:rPr>
        <w:fldChar w:fldCharType="begin"/>
      </w:r>
      <w:r>
        <w:rPr>
          <w:noProof/>
        </w:rPr>
        <w:instrText xml:space="preserve"> PAGEREF _Toc414363854 \h </w:instrText>
      </w:r>
      <w:r>
        <w:rPr>
          <w:noProof/>
        </w:rPr>
      </w:r>
      <w:r>
        <w:rPr>
          <w:noProof/>
        </w:rPr>
        <w:fldChar w:fldCharType="separate"/>
      </w:r>
      <w:r w:rsidR="00387AF7">
        <w:rPr>
          <w:noProof/>
        </w:rPr>
        <w:t>8</w:t>
      </w:r>
      <w:r>
        <w:rPr>
          <w:noProof/>
        </w:rPr>
        <w:fldChar w:fldCharType="end"/>
      </w:r>
    </w:p>
    <w:p w:rsidR="00282B70" w:rsidRDefault="00282B70">
      <w:pPr>
        <w:spacing w:before="0" w:after="200" w:line="276" w:lineRule="auto"/>
        <w:jc w:val="left"/>
      </w:pPr>
      <w:r>
        <w:fldChar w:fldCharType="end"/>
      </w:r>
    </w:p>
    <w:p w:rsidR="000543E1" w:rsidRDefault="000543E1">
      <w:pPr>
        <w:spacing w:before="0" w:after="200" w:line="276" w:lineRule="auto"/>
        <w:jc w:val="left"/>
        <w:rPr>
          <w:rFonts w:eastAsiaTheme="majorEastAsia" w:cstheme="majorBidi"/>
          <w:b/>
          <w:bCs/>
          <w:color w:val="17556C"/>
          <w:sz w:val="60"/>
          <w:szCs w:val="28"/>
        </w:rPr>
      </w:pPr>
      <w:r>
        <w:br w:type="page"/>
      </w:r>
    </w:p>
    <w:p w:rsidR="003C7CA8" w:rsidRPr="00F235F0" w:rsidRDefault="003C7CA8" w:rsidP="00F235F0">
      <w:pPr>
        <w:pStyle w:val="Heading1"/>
      </w:pPr>
      <w:bookmarkStart w:id="6" w:name="_Toc417466117"/>
      <w:r w:rsidRPr="00F235F0">
        <w:lastRenderedPageBreak/>
        <w:t>Foreword</w:t>
      </w:r>
      <w:bookmarkEnd w:id="3"/>
      <w:bookmarkEnd w:id="4"/>
      <w:bookmarkEnd w:id="5"/>
      <w:bookmarkEnd w:id="6"/>
    </w:p>
    <w:p w:rsidR="00696D53" w:rsidRDefault="00696D53" w:rsidP="00EF5DA5">
      <w:pPr>
        <w:pStyle w:val="BodyText"/>
        <w:spacing w:before="0" w:after="0" w:line="240" w:lineRule="auto"/>
      </w:pPr>
      <w:r>
        <w:t>The Environmental Protection Authority (EPA) plays a central role in the management of New Zealand’s environmental and natural resources. It has a broad remit that includes: administering applications for major infrastructure projects; regulating the use of hazardous substances and new organisms; administering New Zealand’s Emissions Trading Scheme; and managing the environmental effects in New Zealand’s Exclusive Economic Zone.</w:t>
      </w:r>
    </w:p>
    <w:p w:rsidR="00696D53" w:rsidRDefault="00696D53" w:rsidP="00C623D2">
      <w:pPr>
        <w:pStyle w:val="BodyText"/>
      </w:pPr>
      <w:r>
        <w:t xml:space="preserve">The Ministry for the Environment (the Ministry) works closely with the EPA to support it to deliver these functions, and more broadly as a key partner to ensure environmental stewardship for a prosperous New Zealand. We are also the agency responsible for monitoring the EPA’s </w:t>
      </w:r>
      <w:r w:rsidRPr="00C10CEE">
        <w:t>performance on behalf of the Minister for the Environment.</w:t>
      </w:r>
      <w:r>
        <w:t xml:space="preserve"> </w:t>
      </w:r>
    </w:p>
    <w:p w:rsidR="00696D53" w:rsidRDefault="00696D53" w:rsidP="00C623D2">
      <w:pPr>
        <w:pStyle w:val="BodyText"/>
      </w:pPr>
      <w:r>
        <w:t xml:space="preserve">This three-year review, mandated by Cabinet in 2011 at the time the EPA was established, is our first review of the EPA’s performance. In addition to the Ministry’s assessments, the analysis has included an EPA self-review, an independent review applying the Performance Improvement Framework approach, and an assessment of the EPA’s fiscal sustainability. </w:t>
      </w:r>
    </w:p>
    <w:p w:rsidR="00696D53" w:rsidRDefault="00696D53" w:rsidP="00C623D2">
      <w:pPr>
        <w:pStyle w:val="BodyText"/>
      </w:pPr>
      <w:r>
        <w:t xml:space="preserve">As a first review, we see this document as not only providing an assessment of the EPA’s past and current performance, but also helping to set the direction and expectations for future performance. </w:t>
      </w:r>
    </w:p>
    <w:p w:rsidR="00696D53" w:rsidRDefault="00696D53" w:rsidP="00C623D2">
      <w:pPr>
        <w:pStyle w:val="BodyText"/>
      </w:pPr>
      <w:r>
        <w:t xml:space="preserve">The review shows that, in its first three years of operation, the EPA has worked positively to deliver its statutory functions within the legislated timeframes and within its appropriated budgets. This is a significant achievement given the variety of responsibilities the EPA has and the high profile (often contentious) nature of the decisions it is required to make. </w:t>
      </w:r>
    </w:p>
    <w:p w:rsidR="00696D53" w:rsidRDefault="00696D53" w:rsidP="00C623D2">
      <w:pPr>
        <w:pStyle w:val="BodyText"/>
      </w:pPr>
      <w:r>
        <w:t>The review makes 13 recommendations. These recommendations are directed at both the EPA and the Ministry, and will support the EPA in being an effective and fit-for-purpose regulator. Among those recommendations, I see the following three as priorities:</w:t>
      </w:r>
    </w:p>
    <w:p w:rsidR="00696D53" w:rsidRDefault="00696D53" w:rsidP="00C623D2">
      <w:pPr>
        <w:pStyle w:val="Bullet"/>
      </w:pPr>
      <w:r>
        <w:t>improving the EPA’s financial capability and understanding of the financial resources it requires over the medium-term</w:t>
      </w:r>
    </w:p>
    <w:p w:rsidR="00696D53" w:rsidRPr="00A24593" w:rsidRDefault="00696D53" w:rsidP="00C623D2">
      <w:pPr>
        <w:pStyle w:val="Bullet"/>
      </w:pPr>
      <w:r>
        <w:t xml:space="preserve">transitioning the organisation’s focus from establishment and operational targets, to a more future-focused agenda, and </w:t>
      </w:r>
    </w:p>
    <w:p w:rsidR="00696D53" w:rsidRDefault="00696D53" w:rsidP="00C623D2">
      <w:pPr>
        <w:pStyle w:val="Bullet"/>
      </w:pPr>
      <w:proofErr w:type="gramStart"/>
      <w:r>
        <w:t>ensuring</w:t>
      </w:r>
      <w:proofErr w:type="gramEnd"/>
      <w:r>
        <w:t xml:space="preserve"> that the EPA’s operating model is capable of managing shifting demand for resources, while sustainably providing quality services to its clients.</w:t>
      </w:r>
    </w:p>
    <w:p w:rsidR="00696D53" w:rsidRDefault="00696D53" w:rsidP="00C623D2">
      <w:pPr>
        <w:pStyle w:val="BodyText"/>
      </w:pPr>
      <w:r>
        <w:t>I would like to acknowledge the positive and open contribution made by the EPA Board and staff to this review, and the input from Sue Suckling</w:t>
      </w:r>
      <w:r w:rsidR="002C14D2">
        <w:t xml:space="preserve"> and Jenn </w:t>
      </w:r>
      <w:proofErr w:type="spellStart"/>
      <w:r w:rsidR="002C14D2">
        <w:t>Bestwick</w:t>
      </w:r>
      <w:proofErr w:type="spellEnd"/>
      <w:r>
        <w:t xml:space="preserve"> acting as independent reviewer</w:t>
      </w:r>
      <w:r w:rsidR="002C14D2">
        <w:t>s</w:t>
      </w:r>
      <w:r>
        <w:t>. The EPA Board has acknowledged and already taken positive steps towards implementing many of the recommendations. The Ministry looks forward to continuing the constructive relationship and working together to prioritise and implement the review recommendations.</w:t>
      </w:r>
      <w:r w:rsidRPr="00D63AA5">
        <w:t xml:space="preserve"> </w:t>
      </w:r>
    </w:p>
    <w:p w:rsidR="00696D53" w:rsidRPr="00D159D1" w:rsidRDefault="00F26380" w:rsidP="00D159D1">
      <w:pPr>
        <w:pStyle w:val="BodyText"/>
      </w:pPr>
      <w:r>
        <w:rPr>
          <w:noProof/>
        </w:rPr>
        <w:drawing>
          <wp:inline distT="0" distB="0" distL="0" distR="0" wp14:anchorId="14D12DE7" wp14:editId="37DAB0FD">
            <wp:extent cx="1766047" cy="476379"/>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ul Reynolds signature.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788479" cy="482430"/>
                    </a:xfrm>
                    <a:prstGeom prst="rect">
                      <a:avLst/>
                    </a:prstGeom>
                  </pic:spPr>
                </pic:pic>
              </a:graphicData>
            </a:graphic>
          </wp:inline>
        </w:drawing>
      </w:r>
    </w:p>
    <w:p w:rsidR="00F26380" w:rsidRPr="00CC1943" w:rsidRDefault="00F26380" w:rsidP="003C7CA8">
      <w:pPr>
        <w:pStyle w:val="BodyText"/>
      </w:pPr>
      <w:r>
        <w:t>Dr Paul Reynolds</w:t>
      </w:r>
      <w:r>
        <w:br/>
      </w:r>
      <w:r w:rsidR="00B270F2">
        <w:t>Chief Executive Officer</w:t>
      </w:r>
      <w:r w:rsidR="00756082">
        <w:t>,</w:t>
      </w:r>
      <w:r w:rsidR="00FA4F67">
        <w:t xml:space="preserve"> 31</w:t>
      </w:r>
      <w:r w:rsidR="00FA4F67" w:rsidRPr="00FA4F67">
        <w:rPr>
          <w:vertAlign w:val="superscript"/>
        </w:rPr>
        <w:t>st</w:t>
      </w:r>
      <w:r w:rsidR="00FA4F67">
        <w:t xml:space="preserve"> March 2015</w:t>
      </w:r>
      <w:r w:rsidR="00EF5DA5">
        <w:t xml:space="preserve"> </w:t>
      </w:r>
    </w:p>
    <w:p w:rsidR="003C7CA8" w:rsidRPr="00F235F0" w:rsidRDefault="003C7CA8" w:rsidP="00F235F0">
      <w:pPr>
        <w:pStyle w:val="Heading1"/>
      </w:pPr>
      <w:bookmarkStart w:id="7" w:name="_Toc417466118"/>
      <w:r w:rsidRPr="00F235F0">
        <w:lastRenderedPageBreak/>
        <w:t>Executive summary</w:t>
      </w:r>
      <w:bookmarkEnd w:id="7"/>
    </w:p>
    <w:p w:rsidR="00AD5511" w:rsidRDefault="00AD5511" w:rsidP="00F733AF">
      <w:pPr>
        <w:pStyle w:val="Heading3"/>
        <w:spacing w:before="240"/>
      </w:pPr>
      <w:r>
        <w:t>Context</w:t>
      </w:r>
    </w:p>
    <w:p w:rsidR="009E2C1E" w:rsidRPr="000543E1" w:rsidRDefault="00890E07" w:rsidP="000543E1">
      <w:pPr>
        <w:pStyle w:val="BodyText"/>
      </w:pPr>
      <w:r>
        <w:t>Th</w:t>
      </w:r>
      <w:r w:rsidR="00A44A33">
        <w:t xml:space="preserve">is </w:t>
      </w:r>
      <w:r>
        <w:t xml:space="preserve">report </w:t>
      </w:r>
      <w:r w:rsidR="0056039A">
        <w:t>summarises</w:t>
      </w:r>
      <w:r>
        <w:t xml:space="preserve"> the findings of the 2014 Review of the </w:t>
      </w:r>
      <w:r w:rsidR="00505EC8">
        <w:t xml:space="preserve">Effectiveness </w:t>
      </w:r>
      <w:r w:rsidR="00455169">
        <w:t xml:space="preserve">of the </w:t>
      </w:r>
      <w:r>
        <w:t>Environmental Protection Authority (EPA)</w:t>
      </w:r>
      <w:r w:rsidR="0056039A">
        <w:t xml:space="preserve">. The report </w:t>
      </w:r>
      <w:r w:rsidR="00723E76">
        <w:t xml:space="preserve">synthesises </w:t>
      </w:r>
      <w:r w:rsidR="0056039A">
        <w:t xml:space="preserve">the findings of the </w:t>
      </w:r>
      <w:r w:rsidR="00455169">
        <w:t xml:space="preserve">two </w:t>
      </w:r>
      <w:r w:rsidR="0056039A">
        <w:t>external r</w:t>
      </w:r>
      <w:r w:rsidR="0056039A" w:rsidRPr="000543E1">
        <w:t>eviewers</w:t>
      </w:r>
      <w:r w:rsidR="00455169" w:rsidRPr="000543E1">
        <w:t>, and</w:t>
      </w:r>
      <w:r w:rsidRPr="000543E1">
        <w:t xml:space="preserve"> provide</w:t>
      </w:r>
      <w:r w:rsidR="00A44A33" w:rsidRPr="000543E1">
        <w:t>s</w:t>
      </w:r>
      <w:r w:rsidRPr="000543E1">
        <w:t xml:space="preserve"> the Ministry for the Environment</w:t>
      </w:r>
      <w:r w:rsidR="00A44A33" w:rsidRPr="000543E1">
        <w:t>’s</w:t>
      </w:r>
      <w:r w:rsidRPr="000543E1">
        <w:t xml:space="preserve"> (the Ministry) perspective </w:t>
      </w:r>
      <w:r w:rsidR="00AD5511" w:rsidRPr="000543E1">
        <w:t xml:space="preserve">on the performance of the EPA in its first three years of operation. </w:t>
      </w:r>
    </w:p>
    <w:p w:rsidR="00890E07" w:rsidRPr="000543E1" w:rsidRDefault="00A72C0D" w:rsidP="000543E1">
      <w:pPr>
        <w:pStyle w:val="BodyText"/>
      </w:pPr>
      <w:r w:rsidRPr="000543E1">
        <w:t>T</w:t>
      </w:r>
      <w:r w:rsidR="00AD5511" w:rsidRPr="000543E1">
        <w:t xml:space="preserve">he report </w:t>
      </w:r>
      <w:r w:rsidR="00800367" w:rsidRPr="000543E1">
        <w:t>also</w:t>
      </w:r>
      <w:r w:rsidR="00AD5511" w:rsidRPr="000543E1">
        <w:t xml:space="preserve"> provides </w:t>
      </w:r>
      <w:r w:rsidR="00612C3F" w:rsidRPr="000543E1">
        <w:t>the Ministry’s</w:t>
      </w:r>
      <w:r w:rsidR="00AD5511" w:rsidRPr="000543E1">
        <w:t xml:space="preserve"> view on </w:t>
      </w:r>
      <w:r w:rsidR="00612C3F" w:rsidRPr="000543E1">
        <w:t>the a</w:t>
      </w:r>
      <w:r w:rsidRPr="000543E1">
        <w:t xml:space="preserve">reas the EPA </w:t>
      </w:r>
      <w:r w:rsidR="00612C3F" w:rsidRPr="000543E1">
        <w:t xml:space="preserve">should </w:t>
      </w:r>
      <w:r w:rsidR="009E2C1E" w:rsidRPr="000543E1">
        <w:t xml:space="preserve">now </w:t>
      </w:r>
      <w:r w:rsidR="00612C3F" w:rsidRPr="000543E1">
        <w:t xml:space="preserve">focus on to </w:t>
      </w:r>
      <w:r w:rsidR="00800367" w:rsidRPr="000543E1">
        <w:t xml:space="preserve">become </w:t>
      </w:r>
      <w:r w:rsidR="00B12C47" w:rsidRPr="000543E1">
        <w:t xml:space="preserve">even </w:t>
      </w:r>
      <w:r w:rsidR="00800367" w:rsidRPr="000543E1">
        <w:t>more effective</w:t>
      </w:r>
      <w:r w:rsidR="00612C3F" w:rsidRPr="000543E1">
        <w:t xml:space="preserve">, and suggests </w:t>
      </w:r>
      <w:r w:rsidR="00AD5511" w:rsidRPr="000543E1">
        <w:t xml:space="preserve">next steps </w:t>
      </w:r>
      <w:r w:rsidRPr="000543E1">
        <w:t>for both the EPA and the Ministry</w:t>
      </w:r>
      <w:r w:rsidR="00AD5511" w:rsidRPr="000543E1">
        <w:t>.</w:t>
      </w:r>
    </w:p>
    <w:p w:rsidR="00AD5511" w:rsidRDefault="00AD5511" w:rsidP="000543E1">
      <w:pPr>
        <w:pStyle w:val="BodyText"/>
      </w:pPr>
      <w:r w:rsidRPr="000543E1">
        <w:t xml:space="preserve">The </w:t>
      </w:r>
      <w:r w:rsidR="00E520B6" w:rsidRPr="000543E1">
        <w:t>Review</w:t>
      </w:r>
      <w:r w:rsidRPr="000543E1">
        <w:t xml:space="preserve"> fo</w:t>
      </w:r>
      <w:r>
        <w:t>cused on two components:</w:t>
      </w:r>
    </w:p>
    <w:p w:rsidR="00AD5511" w:rsidRDefault="00AD5511" w:rsidP="000543E1">
      <w:pPr>
        <w:pStyle w:val="Bullet"/>
      </w:pPr>
      <w:r>
        <w:t xml:space="preserve">an </w:t>
      </w:r>
      <w:r w:rsidRPr="006E2550">
        <w:t>evaluati</w:t>
      </w:r>
      <w:r>
        <w:t>on of</w:t>
      </w:r>
      <w:r w:rsidRPr="006E2550">
        <w:t xml:space="preserve"> the effectiveness and efficiency of the EPA, including the EPA’s governance and the role of the Māori Advisory Committee (</w:t>
      </w:r>
      <w:proofErr w:type="spellStart"/>
      <w:r w:rsidR="00494F7F">
        <w:fldChar w:fldCharType="begin"/>
      </w:r>
      <w:r w:rsidR="00494F7F">
        <w:instrText xml:space="preserve"> HYPERLINK "http://www.epa.govt.nz/te-hautu/who-we-are/Nga_Kaihautu/Pages/default.aspx" </w:instrText>
      </w:r>
      <w:r w:rsidR="00494F7F">
        <w:fldChar w:fldCharType="separate"/>
      </w:r>
      <w:r w:rsidRPr="009F184C">
        <w:t>Ngā</w:t>
      </w:r>
      <w:proofErr w:type="spellEnd"/>
      <w:r w:rsidRPr="009F184C">
        <w:t xml:space="preserve"> </w:t>
      </w:r>
      <w:proofErr w:type="spellStart"/>
      <w:r w:rsidRPr="009F184C">
        <w:t>Kaihautū</w:t>
      </w:r>
      <w:proofErr w:type="spellEnd"/>
      <w:r w:rsidRPr="009F184C">
        <w:t xml:space="preserve"> </w:t>
      </w:r>
      <w:proofErr w:type="spellStart"/>
      <w:r w:rsidRPr="009F184C">
        <w:t>Tikanga</w:t>
      </w:r>
      <w:proofErr w:type="spellEnd"/>
      <w:r w:rsidRPr="009F184C">
        <w:t xml:space="preserve"> </w:t>
      </w:r>
      <w:proofErr w:type="spellStart"/>
      <w:r w:rsidRPr="009F184C">
        <w:t>Taiao</w:t>
      </w:r>
      <w:proofErr w:type="spellEnd"/>
      <w:r w:rsidR="00494F7F">
        <w:fldChar w:fldCharType="end"/>
      </w:r>
      <w:r w:rsidRPr="009F184C">
        <w:t>)</w:t>
      </w:r>
      <w:r w:rsidRPr="006E2550">
        <w:t xml:space="preserve"> </w:t>
      </w:r>
    </w:p>
    <w:p w:rsidR="00AD5511" w:rsidRDefault="00AD5511" w:rsidP="000543E1">
      <w:pPr>
        <w:pStyle w:val="Bullet"/>
      </w:pPr>
      <w:proofErr w:type="gramStart"/>
      <w:r>
        <w:t>a</w:t>
      </w:r>
      <w:proofErr w:type="gramEnd"/>
      <w:r>
        <w:t xml:space="preserve"> </w:t>
      </w:r>
      <w:r w:rsidRPr="006E2550">
        <w:t>review</w:t>
      </w:r>
      <w:r>
        <w:t xml:space="preserve"> of</w:t>
      </w:r>
      <w:r w:rsidRPr="006E2550">
        <w:t xml:space="preserve"> the fiscal sustainability of the EPA, including a high-level assessment of its operational efficiency and the impact of this on </w:t>
      </w:r>
      <w:r>
        <w:t xml:space="preserve">Crown </w:t>
      </w:r>
      <w:r w:rsidRPr="006E2550">
        <w:t>funding needs, and an evaluation of its cost recovery practices.</w:t>
      </w:r>
    </w:p>
    <w:p w:rsidR="003C7CA8" w:rsidRDefault="003C7CA8" w:rsidP="00F733AF">
      <w:pPr>
        <w:pStyle w:val="Heading3"/>
        <w:spacing w:before="240"/>
      </w:pPr>
      <w:r>
        <w:t>Findings</w:t>
      </w:r>
    </w:p>
    <w:p w:rsidR="00BA127B" w:rsidRPr="000543E1" w:rsidRDefault="00BA127B" w:rsidP="000543E1">
      <w:pPr>
        <w:pStyle w:val="BodyText"/>
      </w:pPr>
      <w:r>
        <w:t xml:space="preserve">The EPA plays a </w:t>
      </w:r>
      <w:r w:rsidRPr="000543E1">
        <w:t xml:space="preserve">critical role in </w:t>
      </w:r>
      <w:r w:rsidR="00505EC8" w:rsidRPr="000543E1">
        <w:t>managing</w:t>
      </w:r>
      <w:r w:rsidRPr="000543E1">
        <w:t xml:space="preserve"> New Zealand’s environmental resources.</w:t>
      </w:r>
      <w:r w:rsidR="00755C19">
        <w:t xml:space="preserve"> </w:t>
      </w:r>
      <w:r w:rsidR="001B339E" w:rsidRPr="000543E1">
        <w:t>A</w:t>
      </w:r>
      <w:r w:rsidR="00141B90" w:rsidRPr="000543E1">
        <w:t xml:space="preserve"> challenge </w:t>
      </w:r>
      <w:r w:rsidR="001B339E" w:rsidRPr="000543E1">
        <w:t>faced by</w:t>
      </w:r>
      <w:r w:rsidR="00612028" w:rsidRPr="000543E1">
        <w:t xml:space="preserve"> the EPA</w:t>
      </w:r>
      <w:r w:rsidR="001B339E" w:rsidRPr="000543E1">
        <w:t xml:space="preserve"> is that it is a</w:t>
      </w:r>
      <w:r w:rsidR="00F300CD" w:rsidRPr="000543E1">
        <w:t xml:space="preserve"> small entity </w:t>
      </w:r>
      <w:r w:rsidR="001B339E" w:rsidRPr="000543E1">
        <w:t>with large expectations placed on it</w:t>
      </w:r>
      <w:r w:rsidR="00F300CD" w:rsidRPr="000543E1">
        <w:t>.</w:t>
      </w:r>
    </w:p>
    <w:p w:rsidR="0033322E" w:rsidRPr="000543E1" w:rsidRDefault="001B339E" w:rsidP="000543E1">
      <w:pPr>
        <w:pStyle w:val="BodyText"/>
      </w:pPr>
      <w:r w:rsidRPr="000543E1">
        <w:t>Despite this challenge, i</w:t>
      </w:r>
      <w:r w:rsidR="0082273E" w:rsidRPr="000543E1">
        <w:t xml:space="preserve">n </w:t>
      </w:r>
      <w:r w:rsidR="00A7648F" w:rsidRPr="000543E1">
        <w:t xml:space="preserve">its first three years of operation the EPA has delivered its statutory functions within the legislated timeframes and </w:t>
      </w:r>
      <w:r w:rsidR="000E4387" w:rsidRPr="000543E1">
        <w:t xml:space="preserve">within its appropriated budgets. </w:t>
      </w:r>
      <w:r w:rsidR="00B12C47" w:rsidRPr="000543E1">
        <w:t xml:space="preserve">This is a significant achievement given the complexity, diversity, and in some cases newness, of the regulatory processes it must administer. </w:t>
      </w:r>
      <w:r w:rsidR="000F1EA4" w:rsidRPr="000543E1">
        <w:t>During this time</w:t>
      </w:r>
      <w:r w:rsidR="0033322E" w:rsidRPr="000543E1">
        <w:t xml:space="preserve">, the EPA has necessarily (and appropriately) been focused on establishing and implementing processes that enable it to </w:t>
      </w:r>
      <w:r w:rsidR="00BF03F0">
        <w:t xml:space="preserve">deliver robust and objective decisions within </w:t>
      </w:r>
      <w:r w:rsidR="0033322E" w:rsidRPr="000543E1">
        <w:t xml:space="preserve">legislated timeframes. </w:t>
      </w:r>
    </w:p>
    <w:p w:rsidR="005C588E" w:rsidRPr="000543E1" w:rsidRDefault="00E97ACE" w:rsidP="000543E1">
      <w:pPr>
        <w:pStyle w:val="BodyText"/>
      </w:pPr>
      <w:r w:rsidRPr="000543E1">
        <w:t xml:space="preserve">While </w:t>
      </w:r>
      <w:r w:rsidR="00505EC8" w:rsidRPr="000543E1">
        <w:t xml:space="preserve">the EPA’s </w:t>
      </w:r>
      <w:r w:rsidRPr="000543E1">
        <w:t xml:space="preserve">operating approach has been appropriate for </w:t>
      </w:r>
      <w:r w:rsidR="00E006F5" w:rsidRPr="000543E1">
        <w:t xml:space="preserve">its ‘establishment phase’, the </w:t>
      </w:r>
      <w:r w:rsidR="00171044" w:rsidRPr="000543E1">
        <w:t>Review has identified</w:t>
      </w:r>
      <w:r w:rsidR="00BF77E4" w:rsidRPr="000543E1">
        <w:t xml:space="preserve"> </w:t>
      </w:r>
      <w:r w:rsidR="00E006F5" w:rsidRPr="000543E1">
        <w:t xml:space="preserve">that a </w:t>
      </w:r>
      <w:r w:rsidR="00171044" w:rsidRPr="000543E1">
        <w:t>step</w:t>
      </w:r>
      <w:r w:rsidR="00E006F5" w:rsidRPr="000543E1">
        <w:t>-</w:t>
      </w:r>
      <w:r w:rsidR="00171044" w:rsidRPr="000543E1">
        <w:t>change i</w:t>
      </w:r>
      <w:r w:rsidR="00E006F5" w:rsidRPr="000543E1">
        <w:t xml:space="preserve">s required for the EPA to meet its </w:t>
      </w:r>
      <w:r w:rsidR="00BA127B" w:rsidRPr="000543E1">
        <w:t>objective of being a world-</w:t>
      </w:r>
      <w:r w:rsidR="00971146">
        <w:t>leading environmental</w:t>
      </w:r>
      <w:r w:rsidR="00BA127B" w:rsidRPr="000543E1">
        <w:t xml:space="preserve"> regulator</w:t>
      </w:r>
      <w:r w:rsidR="00E006F5" w:rsidRPr="000543E1">
        <w:t xml:space="preserve">, </w:t>
      </w:r>
      <w:r w:rsidR="009704B6" w:rsidRPr="000543E1">
        <w:t>and being</w:t>
      </w:r>
      <w:r w:rsidR="00E006F5" w:rsidRPr="000543E1">
        <w:t xml:space="preserve"> able to </w:t>
      </w:r>
      <w:r w:rsidR="00455169" w:rsidRPr="000543E1">
        <w:t xml:space="preserve">continue to </w:t>
      </w:r>
      <w:r w:rsidR="00E006F5" w:rsidRPr="000543E1">
        <w:t>deliver</w:t>
      </w:r>
      <w:r w:rsidR="00BF03F0">
        <w:t xml:space="preserve"> its</w:t>
      </w:r>
      <w:r w:rsidR="00171044" w:rsidRPr="000543E1">
        <w:t xml:space="preserve"> regulatory services</w:t>
      </w:r>
      <w:r w:rsidR="00BF03F0">
        <w:t>.</w:t>
      </w:r>
      <w:r w:rsidR="00171044" w:rsidRPr="000543E1">
        <w:t xml:space="preserve"> </w:t>
      </w:r>
      <w:r w:rsidR="00B45695" w:rsidRPr="000543E1">
        <w:t xml:space="preserve">While our expectation is that the EPA will first look at whether it can extract greater value from its current funding, we consider it likely that </w:t>
      </w:r>
      <w:r w:rsidR="0082202D" w:rsidRPr="000543E1">
        <w:t>additional investment</w:t>
      </w:r>
      <w:r w:rsidR="00B12C47" w:rsidRPr="000543E1">
        <w:t xml:space="preserve"> w</w:t>
      </w:r>
      <w:r w:rsidR="00B45695" w:rsidRPr="000543E1">
        <w:t>ill</w:t>
      </w:r>
      <w:r w:rsidR="00B12C47" w:rsidRPr="000543E1">
        <w:t xml:space="preserve"> be required </w:t>
      </w:r>
      <w:r w:rsidR="00236179" w:rsidRPr="000543E1">
        <w:t xml:space="preserve">in the long term </w:t>
      </w:r>
      <w:r w:rsidR="00B12C47" w:rsidRPr="000543E1">
        <w:t>for the EPA to achieve this step-change.</w:t>
      </w:r>
    </w:p>
    <w:p w:rsidR="00FF1610" w:rsidRPr="000543E1" w:rsidRDefault="00FF1610" w:rsidP="000543E1">
      <w:pPr>
        <w:pStyle w:val="BodyText"/>
      </w:pPr>
      <w:r w:rsidRPr="000543E1">
        <w:t xml:space="preserve">The Review has </w:t>
      </w:r>
      <w:r w:rsidR="00F44C57" w:rsidRPr="000543E1">
        <w:t>highlighted</w:t>
      </w:r>
      <w:r w:rsidRPr="000543E1">
        <w:t xml:space="preserve"> </w:t>
      </w:r>
      <w:r w:rsidR="00B12C47" w:rsidRPr="000543E1">
        <w:t>shortcomings</w:t>
      </w:r>
      <w:r w:rsidRPr="000543E1">
        <w:t xml:space="preserve"> in the EPA’s financial systems and strategic planning,</w:t>
      </w:r>
      <w:r w:rsidR="00B75E30">
        <w:t> </w:t>
      </w:r>
      <w:r w:rsidRPr="000543E1">
        <w:t xml:space="preserve">which has made it difficult to draw conclusions about the EPA’s long-term fiscal sustainability. The </w:t>
      </w:r>
      <w:r w:rsidR="008853F0" w:rsidRPr="000543E1">
        <w:t xml:space="preserve">EPA has already begun working with the </w:t>
      </w:r>
      <w:r w:rsidRPr="000543E1">
        <w:t xml:space="preserve">Ministry to improve the financial information available. </w:t>
      </w:r>
    </w:p>
    <w:p w:rsidR="00BF77E4" w:rsidRDefault="00BA127B" w:rsidP="000543E1">
      <w:pPr>
        <w:pStyle w:val="BodyText"/>
      </w:pPr>
      <w:r w:rsidRPr="000543E1">
        <w:t xml:space="preserve">To </w:t>
      </w:r>
      <w:r w:rsidR="00787DB8" w:rsidRPr="000543E1">
        <w:t xml:space="preserve">continue to </w:t>
      </w:r>
      <w:r w:rsidR="00BF77E4" w:rsidRPr="000543E1">
        <w:t>oper</w:t>
      </w:r>
      <w:r w:rsidR="00BF77E4">
        <w:t>ate</w:t>
      </w:r>
      <w:r w:rsidR="0093039B">
        <w:t xml:space="preserve"> with the confidence of the public, applicants</w:t>
      </w:r>
      <w:r w:rsidR="00414FFD">
        <w:t>,</w:t>
      </w:r>
      <w:r w:rsidR="0093039B">
        <w:t xml:space="preserve"> and the </w:t>
      </w:r>
      <w:r w:rsidR="009704B6">
        <w:t>Government</w:t>
      </w:r>
      <w:r w:rsidR="00E006F5">
        <w:t>, the EPA</w:t>
      </w:r>
      <w:r w:rsidR="00BF77E4">
        <w:t xml:space="preserve"> must ensure transparency, quality, </w:t>
      </w:r>
      <w:r w:rsidR="0082202D">
        <w:t xml:space="preserve">efficiency, </w:t>
      </w:r>
      <w:r w:rsidR="00BF77E4">
        <w:t>consistency</w:t>
      </w:r>
      <w:r w:rsidR="0082202D">
        <w:t>,</w:t>
      </w:r>
      <w:r w:rsidR="00BF77E4">
        <w:t xml:space="preserve"> and independence of </w:t>
      </w:r>
      <w:r w:rsidR="00E006F5">
        <w:t xml:space="preserve">the </w:t>
      </w:r>
      <w:r w:rsidR="00BF77E4">
        <w:t>processes</w:t>
      </w:r>
      <w:r w:rsidR="00E006F5">
        <w:t xml:space="preserve"> it implements</w:t>
      </w:r>
      <w:r w:rsidR="00BF77E4">
        <w:t xml:space="preserve"> and</w:t>
      </w:r>
      <w:r w:rsidR="00E006F5">
        <w:t xml:space="preserve"> the</w:t>
      </w:r>
      <w:r w:rsidR="00BF77E4">
        <w:t xml:space="preserve"> decisions</w:t>
      </w:r>
      <w:r w:rsidR="00E006F5">
        <w:t xml:space="preserve"> it makes</w:t>
      </w:r>
      <w:r w:rsidR="00BF77E4">
        <w:t xml:space="preserve">. Achieving </w:t>
      </w:r>
      <w:r w:rsidR="000F1EA4">
        <w:t>this</w:t>
      </w:r>
      <w:r w:rsidR="00BF77E4">
        <w:t xml:space="preserve"> fully and consistently in the medium</w:t>
      </w:r>
      <w:r w:rsidR="009704B6">
        <w:t xml:space="preserve"> </w:t>
      </w:r>
      <w:r w:rsidR="00BF77E4">
        <w:t xml:space="preserve">term </w:t>
      </w:r>
      <w:r w:rsidR="00F44C57">
        <w:t>will</w:t>
      </w:r>
      <w:r w:rsidR="00BF77E4">
        <w:t xml:space="preserve"> require: </w:t>
      </w:r>
    </w:p>
    <w:p w:rsidR="00BF77E4" w:rsidRDefault="004B5156" w:rsidP="000543E1">
      <w:pPr>
        <w:pStyle w:val="Bullet"/>
      </w:pPr>
      <w:r>
        <w:t>the Board and management</w:t>
      </w:r>
      <w:r w:rsidR="000C46A4">
        <w:t xml:space="preserve"> of the EPA</w:t>
      </w:r>
      <w:r>
        <w:t xml:space="preserve"> to </w:t>
      </w:r>
      <w:r w:rsidR="006F00A3">
        <w:t xml:space="preserve">develop </w:t>
      </w:r>
      <w:r w:rsidR="00BF77E4">
        <w:t>a more strategic, future-focused approach</w:t>
      </w:r>
    </w:p>
    <w:p w:rsidR="002226ED" w:rsidRDefault="000C46A4" w:rsidP="000543E1">
      <w:pPr>
        <w:pStyle w:val="Bullet"/>
      </w:pPr>
      <w:proofErr w:type="gramStart"/>
      <w:r>
        <w:lastRenderedPageBreak/>
        <w:t>the</w:t>
      </w:r>
      <w:proofErr w:type="gramEnd"/>
      <w:r>
        <w:t xml:space="preserve"> </w:t>
      </w:r>
      <w:r w:rsidR="00643418">
        <w:t>implementation</w:t>
      </w:r>
      <w:r w:rsidR="006F00A3">
        <w:t xml:space="preserve"> of </w:t>
      </w:r>
      <w:r w:rsidR="002226ED">
        <w:t>an operating model capable of managing shifting demand for resources, while sustainably providing quality services to its clients</w:t>
      </w:r>
      <w:r w:rsidR="009F7E52">
        <w:t>. I</w:t>
      </w:r>
      <w:r w:rsidR="002226ED">
        <w:t>n particular:</w:t>
      </w:r>
    </w:p>
    <w:p w:rsidR="002226ED" w:rsidRDefault="002226ED" w:rsidP="000543E1">
      <w:pPr>
        <w:pStyle w:val="Sub-bullet"/>
      </w:pPr>
      <w:r>
        <w:t>moving to a financial planning process that applies a longer time horizon</w:t>
      </w:r>
    </w:p>
    <w:p w:rsidR="009F7E52" w:rsidRDefault="002226ED" w:rsidP="000543E1">
      <w:pPr>
        <w:pStyle w:val="Sub-bullet"/>
      </w:pPr>
      <w:r>
        <w:t xml:space="preserve">developing a flexible operating model that enables the EPA </w:t>
      </w:r>
      <w:r w:rsidR="007571DC">
        <w:t xml:space="preserve">to </w:t>
      </w:r>
      <w:r>
        <w:t>access the technical capability it requires at certain times while maintaining core capability, and to manage down current levels of staff turnover</w:t>
      </w:r>
    </w:p>
    <w:p w:rsidR="00BF77E4" w:rsidRDefault="007571DC" w:rsidP="000543E1">
      <w:pPr>
        <w:pStyle w:val="Sub-bullet"/>
      </w:pPr>
      <w:r>
        <w:t>taking</w:t>
      </w:r>
      <w:r w:rsidR="002226ED">
        <w:t xml:space="preserve"> opportunities for shared services with other </w:t>
      </w:r>
      <w:r w:rsidR="009704B6">
        <w:t xml:space="preserve">government </w:t>
      </w:r>
      <w:r w:rsidR="002226ED">
        <w:t>departments and Crown entities</w:t>
      </w:r>
      <w:r>
        <w:t xml:space="preserve"> where appropriate</w:t>
      </w:r>
    </w:p>
    <w:p w:rsidR="000C46A4" w:rsidRDefault="000C46A4" w:rsidP="000543E1">
      <w:pPr>
        <w:pStyle w:val="Bullet"/>
      </w:pPr>
      <w:proofErr w:type="gramStart"/>
      <w:r>
        <w:t>the</w:t>
      </w:r>
      <w:proofErr w:type="gramEnd"/>
      <w:r>
        <w:t xml:space="preserve"> Ministry and the EPA to work jointly to identify and address legislative or regulatory impediments to operational effectiveness</w:t>
      </w:r>
      <w:r w:rsidR="00236179">
        <w:t>. This may, for example, include harmonisation across the EPA’s regulatory regimes to improve consistency of decision-making and cost-recovery practices, and to better enable the sharing of resources between the various EPA</w:t>
      </w:r>
      <w:r w:rsidR="00B75E30">
        <w:t> </w:t>
      </w:r>
      <w:r w:rsidR="00236179">
        <w:t>functions</w:t>
      </w:r>
    </w:p>
    <w:p w:rsidR="00BF77E4" w:rsidRDefault="000C46A4" w:rsidP="000543E1">
      <w:pPr>
        <w:pStyle w:val="Bullet"/>
      </w:pPr>
      <w:r>
        <w:t xml:space="preserve">the EPA to </w:t>
      </w:r>
      <w:r w:rsidR="006F00A3">
        <w:t xml:space="preserve">develop </w:t>
      </w:r>
      <w:r w:rsidR="00BF77E4">
        <w:t>a better understanding of its own effectiveness, and the contribution that its decisions make to the wider functioning of the environmental system</w:t>
      </w:r>
    </w:p>
    <w:p w:rsidR="003063A8" w:rsidRDefault="003063A8" w:rsidP="000543E1">
      <w:pPr>
        <w:pStyle w:val="Bullet"/>
      </w:pPr>
      <w:r>
        <w:t xml:space="preserve">the EPA, with support from the Ministry, to </w:t>
      </w:r>
      <w:r w:rsidR="006F00A3">
        <w:t xml:space="preserve">develop </w:t>
      </w:r>
      <w:r w:rsidR="00BF77E4">
        <w:t>a better understanding of the financial resources it requires over a four-year period, including trade-offs and the consequences if resources need to be prioritised</w:t>
      </w:r>
      <w:r w:rsidR="00A37922">
        <w:t>.</w:t>
      </w:r>
      <w:r w:rsidRPr="003063A8">
        <w:t xml:space="preserve"> </w:t>
      </w:r>
    </w:p>
    <w:p w:rsidR="003C7CA8" w:rsidRDefault="003C7CA8" w:rsidP="00F733AF">
      <w:pPr>
        <w:pStyle w:val="Heading3"/>
        <w:spacing w:before="240"/>
      </w:pPr>
      <w:r>
        <w:t xml:space="preserve">Next steps </w:t>
      </w:r>
    </w:p>
    <w:p w:rsidR="003C7CA8" w:rsidRDefault="00610597" w:rsidP="00051764">
      <w:pPr>
        <w:pStyle w:val="BodyText"/>
      </w:pPr>
      <w:r>
        <w:t>Both the Ministry and the EPA have a role to play in implementing</w:t>
      </w:r>
      <w:r w:rsidR="0051736C">
        <w:t xml:space="preserve"> the </w:t>
      </w:r>
      <w:r w:rsidR="00790973">
        <w:t>recommendations</w:t>
      </w:r>
      <w:r w:rsidR="0051736C">
        <w:t xml:space="preserve"> of the Review</w:t>
      </w:r>
      <w:r>
        <w:t xml:space="preserve">. </w:t>
      </w:r>
      <w:r w:rsidR="003C7CA8">
        <w:t>We consider the next steps are for:</w:t>
      </w:r>
    </w:p>
    <w:p w:rsidR="003C7CA8" w:rsidRDefault="003C7CA8" w:rsidP="00051764">
      <w:pPr>
        <w:pStyle w:val="Bullet"/>
      </w:pPr>
      <w:r>
        <w:t>the EPA to prioriti</w:t>
      </w:r>
      <w:r w:rsidR="00D501CE">
        <w:t>s</w:t>
      </w:r>
      <w:r>
        <w:t xml:space="preserve">e and </w:t>
      </w:r>
      <w:r w:rsidR="004E204A">
        <w:t xml:space="preserve">plan </w:t>
      </w:r>
      <w:r w:rsidR="009704B6">
        <w:t>to implement</w:t>
      </w:r>
      <w:r w:rsidR="004E204A">
        <w:t xml:space="preserve"> the R</w:t>
      </w:r>
      <w:r>
        <w:t>eview recommendations</w:t>
      </w:r>
      <w:r w:rsidR="00A833FB">
        <w:t xml:space="preserve">, with the Ministry providing support based on </w:t>
      </w:r>
      <w:r w:rsidR="00746243">
        <w:t>its</w:t>
      </w:r>
      <w:r w:rsidR="00A546C9">
        <w:t xml:space="preserve"> </w:t>
      </w:r>
      <w:r w:rsidR="00A833FB">
        <w:t xml:space="preserve">experience </w:t>
      </w:r>
      <w:r w:rsidR="004F4F93">
        <w:t>with four-year planning processes</w:t>
      </w:r>
      <w:r w:rsidR="000941C1">
        <w:t xml:space="preserve"> </w:t>
      </w:r>
      <w:r w:rsidR="002A40F2">
        <w:t>and organisational change</w:t>
      </w:r>
    </w:p>
    <w:p w:rsidR="003C7CA8" w:rsidRDefault="003C7CA8" w:rsidP="00051764">
      <w:pPr>
        <w:pStyle w:val="Bullet"/>
      </w:pPr>
      <w:r>
        <w:t xml:space="preserve">the Ministry </w:t>
      </w:r>
      <w:r w:rsidR="00790973">
        <w:t>and the EPA to continue the work underway</w:t>
      </w:r>
      <w:r>
        <w:t xml:space="preserve"> to understand the EPA’s funding requirements and ensure the EPA is </w:t>
      </w:r>
      <w:r w:rsidR="00746243">
        <w:t xml:space="preserve">considered by Treasury to be </w:t>
      </w:r>
      <w:r w:rsidR="000D1F1F">
        <w:t>“</w:t>
      </w:r>
      <w:r>
        <w:t>investment ready</w:t>
      </w:r>
      <w:r w:rsidR="000D1F1F">
        <w:t>”</w:t>
      </w:r>
      <w:r w:rsidR="00F47A8E">
        <w:t xml:space="preserve"> (ie, focusing on results, managing current expenditure and future pressures, identifying efficiency savings and ways to better deliver their services more effectively, and contributing to bettering the system throug</w:t>
      </w:r>
      <w:r w:rsidR="00723E76">
        <w:t>h cross-government initiatives)</w:t>
      </w:r>
    </w:p>
    <w:p w:rsidR="003C7CA8" w:rsidRDefault="003C7CA8" w:rsidP="00051764">
      <w:pPr>
        <w:pStyle w:val="Bullet"/>
      </w:pPr>
      <w:r>
        <w:t xml:space="preserve">the Ministry and EPA </w:t>
      </w:r>
      <w:r w:rsidR="00BE0875">
        <w:t xml:space="preserve">to </w:t>
      </w:r>
      <w:r w:rsidR="00C23A1B">
        <w:t xml:space="preserve">work together to provide Ministers with advice on </w:t>
      </w:r>
      <w:r>
        <w:t>amendments to the cost recovery regime</w:t>
      </w:r>
      <w:r w:rsidR="000A6B5E">
        <w:t>,</w:t>
      </w:r>
      <w:r w:rsidR="00C23A1B">
        <w:t xml:space="preserve"> and</w:t>
      </w:r>
      <w:r w:rsidR="00F77116">
        <w:t xml:space="preserve"> to</w:t>
      </w:r>
      <w:r w:rsidR="00C23A1B">
        <w:t xml:space="preserve"> progress the changes that do not require Ministerial agreement</w:t>
      </w:r>
    </w:p>
    <w:p w:rsidR="003C7CA8" w:rsidRDefault="003C7CA8" w:rsidP="00051764">
      <w:pPr>
        <w:pStyle w:val="Bullet"/>
      </w:pPr>
      <w:r>
        <w:t xml:space="preserve">the Ministry </w:t>
      </w:r>
      <w:r w:rsidR="00180D1A">
        <w:t xml:space="preserve">and the EPA </w:t>
      </w:r>
      <w:r>
        <w:t>to undertake further work to</w:t>
      </w:r>
      <w:r w:rsidR="00133B49">
        <w:t xml:space="preserve"> identify and address legislative or regulatory impediments to operational effectiveness</w:t>
      </w:r>
      <w:r w:rsidR="00236179">
        <w:t>, including</w:t>
      </w:r>
      <w:r>
        <w:t xml:space="preserve"> </w:t>
      </w:r>
      <w:r w:rsidR="00236179">
        <w:t xml:space="preserve">further work to understand </w:t>
      </w:r>
      <w:r w:rsidR="004F4F93">
        <w:t>whether greater harmonisation of the EPA’s regulatory regimes would support improved operational effectiveness</w:t>
      </w:r>
    </w:p>
    <w:p w:rsidR="00EB5FE9" w:rsidRDefault="003C7CA8" w:rsidP="00051764">
      <w:pPr>
        <w:pStyle w:val="Bullet"/>
      </w:pPr>
      <w:r>
        <w:t>the Ministry to review our monitoring of the EPA, in consultation with the EPA and the Minister</w:t>
      </w:r>
      <w:r w:rsidR="009704B6">
        <w:t xml:space="preserve"> for the Environment</w:t>
      </w:r>
    </w:p>
    <w:p w:rsidR="00060659" w:rsidRDefault="003C7CA8" w:rsidP="00051764">
      <w:pPr>
        <w:pStyle w:val="Bullet"/>
      </w:pPr>
      <w:proofErr w:type="gramStart"/>
      <w:r>
        <w:t>the</w:t>
      </w:r>
      <w:proofErr w:type="gramEnd"/>
      <w:r>
        <w:t xml:space="preserve"> Ministry to support the Minister in his role, in particular </w:t>
      </w:r>
      <w:r w:rsidR="00EB5FE9">
        <w:t>reflecting the findings of the R</w:t>
      </w:r>
      <w:r>
        <w:t xml:space="preserve">eview in the annual </w:t>
      </w:r>
      <w:r w:rsidR="009704B6">
        <w:t xml:space="preserve">letter </w:t>
      </w:r>
      <w:r>
        <w:t xml:space="preserve">of </w:t>
      </w:r>
      <w:r w:rsidR="009704B6">
        <w:t xml:space="preserve">expectations </w:t>
      </w:r>
      <w:r>
        <w:t>and ensuring the EPA Board has the necessary skills and experience.</w:t>
      </w:r>
    </w:p>
    <w:p w:rsidR="003C7CA8" w:rsidRPr="00CC1943" w:rsidRDefault="009673D6" w:rsidP="004300FC">
      <w:pPr>
        <w:pStyle w:val="Bullet"/>
        <w:numPr>
          <w:ilvl w:val="0"/>
          <w:numId w:val="0"/>
        </w:numPr>
      </w:pPr>
      <w:r w:rsidRPr="00453005">
        <w:t xml:space="preserve">The EPA Board is supportive of the tenor of the recommendations in this report. </w:t>
      </w:r>
      <w:r w:rsidRPr="000A3283">
        <w:t>The Ministry</w:t>
      </w:r>
      <w:r>
        <w:t xml:space="preserve"> acknowledges that the EPA Board has recognised the challenges ahead of it</w:t>
      </w:r>
      <w:r w:rsidR="000A3283">
        <w:t>,</w:t>
      </w:r>
      <w:r>
        <w:t xml:space="preserve"> and is</w:t>
      </w:r>
      <w:r w:rsidR="000A3283">
        <w:t xml:space="preserve"> already</w:t>
      </w:r>
      <w:r>
        <w:t xml:space="preserve"> taking positive steps towards implementing </w:t>
      </w:r>
      <w:r w:rsidR="000A3283">
        <w:t xml:space="preserve">several of the </w:t>
      </w:r>
      <w:r>
        <w:t>Review</w:t>
      </w:r>
      <w:r w:rsidR="000A3283">
        <w:t>’s recommendations</w:t>
      </w:r>
      <w:r>
        <w:t>.</w:t>
      </w:r>
      <w:r w:rsidR="003C7CA8" w:rsidRPr="00CC1943">
        <w:br w:type="page"/>
      </w:r>
    </w:p>
    <w:p w:rsidR="003C7CA8" w:rsidRPr="00F235F0" w:rsidRDefault="00E95E20" w:rsidP="00051764">
      <w:pPr>
        <w:pStyle w:val="Heading1"/>
      </w:pPr>
      <w:bookmarkStart w:id="8" w:name="_Toc417466119"/>
      <w:r>
        <w:lastRenderedPageBreak/>
        <w:t>1</w:t>
      </w:r>
      <w:r>
        <w:tab/>
      </w:r>
      <w:r w:rsidR="003C7CA8" w:rsidRPr="00F235F0">
        <w:t>Context</w:t>
      </w:r>
      <w:bookmarkEnd w:id="8"/>
    </w:p>
    <w:p w:rsidR="003C7CA8" w:rsidRPr="00051764" w:rsidRDefault="003C7CA8" w:rsidP="00051764">
      <w:pPr>
        <w:pStyle w:val="BodyText"/>
      </w:pPr>
      <w:r>
        <w:t>The Ministry has undertaken a review (the Review) of the Environmental Protection Authority (EPA).</w:t>
      </w:r>
      <w:r w:rsidR="00755C19">
        <w:t xml:space="preserve"> </w:t>
      </w:r>
      <w:r>
        <w:t>Th</w:t>
      </w:r>
      <w:r w:rsidRPr="00051764">
        <w:t>e Review was mandated by Cabinet, who directed the Ministry to review the effectiveness of the EPA three years after it becomes operational.</w:t>
      </w:r>
    </w:p>
    <w:p w:rsidR="003C7CA8" w:rsidRPr="00051764" w:rsidRDefault="003C7CA8" w:rsidP="00051764">
      <w:pPr>
        <w:pStyle w:val="BodyText"/>
      </w:pPr>
      <w:r w:rsidRPr="00051764">
        <w:t>The Review comprised of two components:</w:t>
      </w:r>
    </w:p>
    <w:p w:rsidR="003C7CA8" w:rsidRDefault="00711C93" w:rsidP="00051764">
      <w:pPr>
        <w:pStyle w:val="Bullet"/>
      </w:pPr>
      <w:r>
        <w:t xml:space="preserve">an </w:t>
      </w:r>
      <w:r w:rsidR="003C7CA8" w:rsidRPr="006E2550">
        <w:t>evaluati</w:t>
      </w:r>
      <w:r>
        <w:t>on of</w:t>
      </w:r>
      <w:r w:rsidR="003C7CA8" w:rsidRPr="006E2550">
        <w:t xml:space="preserve"> the effectiveness and efficiency of the EPA, including the EPA’s governance and the role of the Māori Advisory Committee (</w:t>
      </w:r>
      <w:proofErr w:type="spellStart"/>
      <w:r w:rsidR="00494F7F">
        <w:fldChar w:fldCharType="begin"/>
      </w:r>
      <w:r w:rsidR="00494F7F">
        <w:instrText xml:space="preserve"> HYPERLINK "http://www.epa.govt.nz/te-hautu/who-we-are/Nga_Kaihautu/Pages/default.aspx" </w:instrText>
      </w:r>
      <w:r w:rsidR="00494F7F">
        <w:fldChar w:fldCharType="separate"/>
      </w:r>
      <w:r w:rsidR="003C7CA8" w:rsidRPr="009F184C">
        <w:t>Ngā</w:t>
      </w:r>
      <w:proofErr w:type="spellEnd"/>
      <w:r w:rsidR="003C7CA8" w:rsidRPr="009F184C">
        <w:t xml:space="preserve"> </w:t>
      </w:r>
      <w:proofErr w:type="spellStart"/>
      <w:r w:rsidR="003C7CA8" w:rsidRPr="009F184C">
        <w:t>Kaihautū</w:t>
      </w:r>
      <w:proofErr w:type="spellEnd"/>
      <w:r w:rsidR="003C7CA8" w:rsidRPr="009F184C">
        <w:t xml:space="preserve"> </w:t>
      </w:r>
      <w:proofErr w:type="spellStart"/>
      <w:r w:rsidR="003C7CA8" w:rsidRPr="009F184C">
        <w:t>Tikanga</w:t>
      </w:r>
      <w:proofErr w:type="spellEnd"/>
      <w:r w:rsidR="003C7CA8" w:rsidRPr="009F184C">
        <w:t xml:space="preserve"> </w:t>
      </w:r>
      <w:proofErr w:type="spellStart"/>
      <w:r w:rsidR="003C7CA8" w:rsidRPr="009F184C">
        <w:t>Taiao</w:t>
      </w:r>
      <w:proofErr w:type="spellEnd"/>
      <w:r w:rsidR="00494F7F">
        <w:fldChar w:fldCharType="end"/>
      </w:r>
      <w:r w:rsidR="003C7CA8" w:rsidRPr="009F184C">
        <w:t>)</w:t>
      </w:r>
      <w:r w:rsidR="003C7CA8" w:rsidRPr="006E2550">
        <w:t xml:space="preserve"> </w:t>
      </w:r>
    </w:p>
    <w:p w:rsidR="003C7CA8" w:rsidRPr="006E2550" w:rsidRDefault="003C7CA8" w:rsidP="00051764">
      <w:pPr>
        <w:pStyle w:val="Sub-bullet"/>
      </w:pPr>
      <w:r>
        <w:t>this component applie</w:t>
      </w:r>
      <w:r w:rsidR="00D501CE">
        <w:t>d</w:t>
      </w:r>
      <w:r>
        <w:t xml:space="preserve"> the Performance Improvement Framework (PIF) approach outside the formal PIF process</w:t>
      </w:r>
      <w:r w:rsidR="00D501CE">
        <w:t>,</w:t>
      </w:r>
      <w:r>
        <w:t xml:space="preserve"> and include</w:t>
      </w:r>
      <w:r w:rsidR="00D501CE">
        <w:t>d</w:t>
      </w:r>
      <w:r>
        <w:t xml:space="preserve"> the EPA undertaking a self-review and an external reviewer providing an evaluation of the EPA’s effectiveness</w:t>
      </w:r>
    </w:p>
    <w:p w:rsidR="003C7CA8" w:rsidRPr="006E2550" w:rsidRDefault="00711C93" w:rsidP="00051764">
      <w:pPr>
        <w:pStyle w:val="Bullet"/>
      </w:pPr>
      <w:proofErr w:type="gramStart"/>
      <w:r>
        <w:t>a</w:t>
      </w:r>
      <w:proofErr w:type="gramEnd"/>
      <w:r>
        <w:t xml:space="preserve"> </w:t>
      </w:r>
      <w:r w:rsidR="003C7CA8" w:rsidRPr="006E2550">
        <w:t>review</w:t>
      </w:r>
      <w:r>
        <w:t xml:space="preserve"> of</w:t>
      </w:r>
      <w:r w:rsidR="003C7CA8" w:rsidRPr="006E2550">
        <w:t xml:space="preserve"> the fiscal sustainability of the EPA, including a high-level assessment of its operational efficiency and the impact of this on </w:t>
      </w:r>
      <w:r w:rsidR="00D501CE">
        <w:t>Crown</w:t>
      </w:r>
      <w:r w:rsidR="001A761F">
        <w:t xml:space="preserve"> </w:t>
      </w:r>
      <w:r w:rsidR="003C7CA8" w:rsidRPr="006E2550">
        <w:t>funding needs, and an evaluation of its cost recovery practices.</w:t>
      </w:r>
    </w:p>
    <w:p w:rsidR="003C7CA8" w:rsidRPr="00051764" w:rsidRDefault="003C7CA8" w:rsidP="00051764">
      <w:pPr>
        <w:pStyle w:val="BodyText"/>
      </w:pPr>
      <w:r>
        <w:t xml:space="preserve">This document draws together the findings of the </w:t>
      </w:r>
      <w:r w:rsidR="00D501CE">
        <w:t xml:space="preserve">two </w:t>
      </w:r>
      <w:r>
        <w:t>component</w:t>
      </w:r>
      <w:r w:rsidR="00D501CE">
        <w:t>s (</w:t>
      </w:r>
      <w:r w:rsidR="00711C93">
        <w:t xml:space="preserve">as set out in the </w:t>
      </w:r>
      <w:r w:rsidR="00D501CE">
        <w:t>four</w:t>
      </w:r>
      <w:r>
        <w:t xml:space="preserve"> </w:t>
      </w:r>
      <w:r w:rsidR="00711C93">
        <w:t xml:space="preserve">attached </w:t>
      </w:r>
      <w:r>
        <w:t>reports</w:t>
      </w:r>
      <w:r w:rsidR="00D501CE">
        <w:t>)</w:t>
      </w:r>
      <w:r>
        <w:t xml:space="preserve"> and provides the Ministry’s view of the ef</w:t>
      </w:r>
      <w:r w:rsidRPr="00051764">
        <w:t xml:space="preserve">fectiveness of the EPA in its first three years of operation. </w:t>
      </w:r>
    </w:p>
    <w:p w:rsidR="003C7CA8" w:rsidRDefault="003C7CA8" w:rsidP="00051764">
      <w:pPr>
        <w:pStyle w:val="BodyText"/>
      </w:pPr>
      <w:r w:rsidRPr="00051764">
        <w:fldChar w:fldCharType="begin"/>
      </w:r>
      <w:r w:rsidRPr="00051764">
        <w:instrText xml:space="preserve"> REF _Ref401064780 \h  \* MERGEFORMAT </w:instrText>
      </w:r>
      <w:r w:rsidRPr="00051764">
        <w:fldChar w:fldCharType="separate"/>
      </w:r>
      <w:r w:rsidR="00387AF7" w:rsidRPr="00517407">
        <w:t xml:space="preserve">Figure </w:t>
      </w:r>
      <w:r w:rsidR="00387AF7">
        <w:t>1</w:t>
      </w:r>
      <w:r w:rsidRPr="00051764">
        <w:fldChar w:fldCharType="end"/>
      </w:r>
      <w:r w:rsidRPr="00051764">
        <w:t xml:space="preserve"> provid</w:t>
      </w:r>
      <w:r>
        <w:rPr>
          <w:rFonts w:asciiTheme="minorHAnsi" w:hAnsiTheme="minorHAnsi"/>
        </w:rPr>
        <w:t>es</w:t>
      </w:r>
      <w:r>
        <w:t xml:space="preserve"> an overview of how the component reports fit together. </w:t>
      </w:r>
    </w:p>
    <w:p w:rsidR="003C7CA8" w:rsidRPr="00517407" w:rsidRDefault="003C7CA8" w:rsidP="00051764">
      <w:pPr>
        <w:pStyle w:val="Figureheading"/>
      </w:pPr>
      <w:bookmarkStart w:id="9" w:name="_Ref401064780"/>
      <w:bookmarkStart w:id="10" w:name="_Toc401818886"/>
      <w:bookmarkStart w:id="11" w:name="_Toc414363854"/>
      <w:r w:rsidRPr="00517407">
        <w:t xml:space="preserve">Figure </w:t>
      </w:r>
      <w:fldSimple w:instr=" SEQ Figure \* ARABIC ">
        <w:r w:rsidR="00387AF7">
          <w:rPr>
            <w:noProof/>
          </w:rPr>
          <w:t>1</w:t>
        </w:r>
      </w:fldSimple>
      <w:bookmarkEnd w:id="9"/>
      <w:r w:rsidRPr="00517407">
        <w:t xml:space="preserve">: </w:t>
      </w:r>
      <w:r w:rsidR="00051764">
        <w:tab/>
      </w:r>
      <w:r w:rsidRPr="00517407">
        <w:t>Overview of the EPA Review</w:t>
      </w:r>
      <w:bookmarkEnd w:id="10"/>
      <w:bookmarkEnd w:id="11"/>
    </w:p>
    <w:p w:rsidR="003C7CA8" w:rsidRDefault="00BC3232" w:rsidP="00051764">
      <w:pPr>
        <w:spacing w:before="0" w:after="0"/>
      </w:pPr>
      <w:r w:rsidRPr="00BC3232">
        <w:rPr>
          <w:rFonts w:eastAsia="Calibri" w:cs="Times New Roman"/>
          <w:noProof/>
        </w:rPr>
        <w:drawing>
          <wp:inline distT="0" distB="0" distL="0" distR="0" wp14:anchorId="5BC4AAFB" wp14:editId="22E04D8E">
            <wp:extent cx="5382000" cy="2520000"/>
            <wp:effectExtent l="38100" t="19050" r="28575" b="1397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rsidR="00C13BEC" w:rsidRDefault="00C13BEC" w:rsidP="00051764">
      <w:pPr>
        <w:spacing w:before="0" w:after="0"/>
      </w:pPr>
    </w:p>
    <w:p w:rsidR="003C7CA8" w:rsidRPr="00051764" w:rsidRDefault="003C7CA8" w:rsidP="00051764">
      <w:pPr>
        <w:pStyle w:val="Heading2"/>
      </w:pPr>
      <w:bookmarkStart w:id="12" w:name="_Toc417466120"/>
      <w:r>
        <w:t>Structure of this report</w:t>
      </w:r>
      <w:bookmarkEnd w:id="12"/>
    </w:p>
    <w:p w:rsidR="003C7CA8" w:rsidRPr="00C13BEC" w:rsidRDefault="003C7CA8" w:rsidP="00643320">
      <w:pPr>
        <w:pStyle w:val="BodyText"/>
        <w:keepNext/>
      </w:pPr>
      <w:r w:rsidRPr="007F76A2">
        <w:t>This report is structured as follows:</w:t>
      </w:r>
    </w:p>
    <w:p w:rsidR="003C7CA8" w:rsidRPr="007F76A2" w:rsidRDefault="003C7CA8" w:rsidP="00643320">
      <w:pPr>
        <w:pStyle w:val="Bullet"/>
        <w:keepNext/>
      </w:pPr>
      <w:r w:rsidRPr="007F76A2">
        <w:t>Section 1 provides an overview of the Review, the EPA and the Ministry’s role working with the EPA</w:t>
      </w:r>
    </w:p>
    <w:p w:rsidR="003C7CA8" w:rsidRPr="007F76A2" w:rsidRDefault="003C7CA8" w:rsidP="00C13BEC">
      <w:pPr>
        <w:pStyle w:val="Bullet"/>
      </w:pPr>
      <w:r w:rsidRPr="007F76A2">
        <w:t>Section 2</w:t>
      </w:r>
      <w:r w:rsidR="004D4AD3" w:rsidRPr="007F76A2">
        <w:t xml:space="preserve"> sets out a framework for assessing</w:t>
      </w:r>
      <w:r w:rsidR="00CE2650" w:rsidRPr="007F76A2">
        <w:t xml:space="preserve"> the EPA’s</w:t>
      </w:r>
      <w:r w:rsidR="004D4AD3" w:rsidRPr="007F76A2">
        <w:t xml:space="preserve"> effectiveness</w:t>
      </w:r>
      <w:r w:rsidR="00372ADD">
        <w:t xml:space="preserve">, </w:t>
      </w:r>
      <w:r w:rsidRPr="007F76A2">
        <w:t>provides</w:t>
      </w:r>
      <w:r w:rsidR="00CE2650" w:rsidRPr="007F76A2">
        <w:t xml:space="preserve"> our</w:t>
      </w:r>
      <w:r w:rsidR="007F76A2">
        <w:t xml:space="preserve"> </w:t>
      </w:r>
      <w:r w:rsidR="004D4AD3" w:rsidRPr="007F76A2">
        <w:t>view on how effective the EPA has been in its first three years of operation</w:t>
      </w:r>
      <w:r w:rsidR="00372ADD">
        <w:t xml:space="preserve">, and </w:t>
      </w:r>
      <w:r w:rsidR="004D4AD3" w:rsidRPr="007F76A2">
        <w:t xml:space="preserve">identifies areas </w:t>
      </w:r>
      <w:r w:rsidR="004D4AD3" w:rsidRPr="007F76A2">
        <w:lastRenderedPageBreak/>
        <w:t>where we believe the EPA will need to</w:t>
      </w:r>
      <w:r w:rsidR="00387913" w:rsidRPr="007F76A2">
        <w:t xml:space="preserve"> prioritise its efforts to ensure it meets performance expectations</w:t>
      </w:r>
      <w:r w:rsidR="000828D9" w:rsidRPr="007F76A2">
        <w:t xml:space="preserve"> in the future</w:t>
      </w:r>
    </w:p>
    <w:p w:rsidR="003C7CA8" w:rsidRPr="007F76A2" w:rsidRDefault="003C7CA8" w:rsidP="00C13BEC">
      <w:pPr>
        <w:pStyle w:val="Bullet"/>
      </w:pPr>
      <w:r w:rsidRPr="007F76A2">
        <w:t xml:space="preserve">Section </w:t>
      </w:r>
      <w:r w:rsidR="00372ADD">
        <w:t>3</w:t>
      </w:r>
      <w:r w:rsidRPr="007F76A2">
        <w:t xml:space="preserve"> </w:t>
      </w:r>
      <w:r w:rsidR="00387913" w:rsidRPr="007F76A2">
        <w:t>summarises the recommendations received through the component reports</w:t>
      </w:r>
      <w:r w:rsidR="000828D9" w:rsidRPr="007F76A2">
        <w:t>,</w:t>
      </w:r>
      <w:r w:rsidR="00387913" w:rsidRPr="007F76A2">
        <w:t xml:space="preserve"> and </w:t>
      </w:r>
      <w:r w:rsidR="006626D0" w:rsidRPr="007F76A2">
        <w:t>the Ministry’s</w:t>
      </w:r>
      <w:r w:rsidR="000828D9" w:rsidRPr="007F76A2">
        <w:t xml:space="preserve"> commentary on these</w:t>
      </w:r>
    </w:p>
    <w:p w:rsidR="00517407" w:rsidRDefault="003C7CA8" w:rsidP="00C13BEC">
      <w:pPr>
        <w:pStyle w:val="Bullet"/>
      </w:pPr>
      <w:r w:rsidRPr="007F76A2">
        <w:t xml:space="preserve">Section </w:t>
      </w:r>
      <w:r w:rsidR="00372ADD">
        <w:t>4</w:t>
      </w:r>
      <w:r w:rsidRPr="007F76A2">
        <w:t xml:space="preserve"> </w:t>
      </w:r>
      <w:r w:rsidR="006626D0" w:rsidRPr="007F76A2">
        <w:t xml:space="preserve">outlines a series of next steps in </w:t>
      </w:r>
      <w:r w:rsidR="00C973CD">
        <w:t>response to the Review findings</w:t>
      </w:r>
    </w:p>
    <w:p w:rsidR="003C7CA8" w:rsidRPr="00C13BEC" w:rsidRDefault="003C7CA8" w:rsidP="00C13BEC">
      <w:pPr>
        <w:pStyle w:val="Heading2"/>
      </w:pPr>
      <w:bookmarkStart w:id="13" w:name="_Toc417466121"/>
      <w:r>
        <w:t>Background on the EPA</w:t>
      </w:r>
      <w:bookmarkEnd w:id="13"/>
    </w:p>
    <w:p w:rsidR="003C7CA8" w:rsidRPr="00AE2822" w:rsidRDefault="003C7CA8" w:rsidP="00C13BEC">
      <w:pPr>
        <w:pStyle w:val="BodyText"/>
      </w:pPr>
      <w:r>
        <w:t xml:space="preserve">The EPA is a Crown </w:t>
      </w:r>
      <w:r w:rsidR="009A0626">
        <w:t>agent</w:t>
      </w:r>
      <w:r>
        <w:t xml:space="preserve">, established under the Environmental </w:t>
      </w:r>
      <w:r w:rsidRPr="005444F1">
        <w:t>Protection Authority Act 2011</w:t>
      </w:r>
      <w:r>
        <w:t>,</w:t>
      </w:r>
      <w:r w:rsidRPr="005444F1">
        <w:t xml:space="preserve"> to be New Zealand’s single national-level environmental regulator. Th</w:t>
      </w:r>
      <w:r w:rsidR="00F77116">
        <w:t>e</w:t>
      </w:r>
      <w:r w:rsidRPr="005444F1">
        <w:t xml:space="preserve"> Act</w:t>
      </w:r>
      <w:r w:rsidR="00971146">
        <w:t xml:space="preserve"> provides</w:t>
      </w:r>
      <w:r w:rsidRPr="005444F1">
        <w:t xml:space="preserve"> the objective of the EPA </w:t>
      </w:r>
      <w:r w:rsidR="00360FDC">
        <w:t xml:space="preserve">is </w:t>
      </w:r>
      <w:r w:rsidRPr="005444F1">
        <w:t>to undertake its functions in a way that:</w:t>
      </w:r>
    </w:p>
    <w:p w:rsidR="003C7CA8" w:rsidRPr="00AE2822" w:rsidRDefault="003C7CA8" w:rsidP="00C13BEC">
      <w:pPr>
        <w:pStyle w:val="Bullet"/>
      </w:pPr>
      <w:r w:rsidRPr="00AE2822">
        <w:t>contribute</w:t>
      </w:r>
      <w:r>
        <w:t>s</w:t>
      </w:r>
      <w:r w:rsidRPr="00AE2822">
        <w:t xml:space="preserve"> to the efficient, effective, and transparent</w:t>
      </w:r>
      <w:r>
        <w:t xml:space="preserve"> </w:t>
      </w:r>
      <w:r w:rsidRPr="00AE2822">
        <w:t>management of New Zealand’s environment and</w:t>
      </w:r>
      <w:r>
        <w:t xml:space="preserve"> </w:t>
      </w:r>
      <w:r w:rsidRPr="00AE2822">
        <w:t>nat</w:t>
      </w:r>
      <w:r>
        <w:t>ural and physical resources</w:t>
      </w:r>
    </w:p>
    <w:p w:rsidR="003C7CA8" w:rsidRDefault="003C7CA8" w:rsidP="00C13BEC">
      <w:pPr>
        <w:pStyle w:val="Bullet"/>
      </w:pPr>
      <w:proofErr w:type="gramStart"/>
      <w:r w:rsidRPr="00AE2822">
        <w:t>enable</w:t>
      </w:r>
      <w:r>
        <w:t>s</w:t>
      </w:r>
      <w:proofErr w:type="gramEnd"/>
      <w:r w:rsidRPr="00AE2822">
        <w:t xml:space="preserve"> New Zealand to meet its</w:t>
      </w:r>
      <w:r>
        <w:t xml:space="preserve"> </w:t>
      </w:r>
      <w:r w:rsidRPr="00AE2822">
        <w:t>international obligations.</w:t>
      </w:r>
    </w:p>
    <w:p w:rsidR="003C7CA8" w:rsidRDefault="003C7CA8" w:rsidP="00C13BEC">
      <w:pPr>
        <w:pStyle w:val="BodyText"/>
      </w:pPr>
      <w:r>
        <w:t>The anticipated benefits in establishing the EPA were:</w:t>
      </w:r>
    </w:p>
    <w:p w:rsidR="003C7CA8" w:rsidRDefault="003C7CA8" w:rsidP="00C13BEC">
      <w:pPr>
        <w:pStyle w:val="Bullet"/>
      </w:pPr>
      <w:r>
        <w:t xml:space="preserve">greater central government direction and consistency in </w:t>
      </w:r>
      <w:r w:rsidR="009A0626">
        <w:t>managing and regulating</w:t>
      </w:r>
      <w:r>
        <w:t xml:space="preserve"> the environment</w:t>
      </w:r>
    </w:p>
    <w:p w:rsidR="003C7CA8" w:rsidRDefault="003C7CA8" w:rsidP="00C13BEC">
      <w:pPr>
        <w:pStyle w:val="Bullet"/>
      </w:pPr>
      <w:r>
        <w:t>consolidation of regulatory and technical skills</w:t>
      </w:r>
    </w:p>
    <w:p w:rsidR="003C7CA8" w:rsidRDefault="003C7CA8" w:rsidP="00C13BEC">
      <w:pPr>
        <w:pStyle w:val="Bullet"/>
      </w:pPr>
      <w:r>
        <w:t>building on synergies between similar functions and powers</w:t>
      </w:r>
    </w:p>
    <w:p w:rsidR="003C7CA8" w:rsidRDefault="003C7CA8" w:rsidP="00C13BEC">
      <w:pPr>
        <w:pStyle w:val="Bullet"/>
      </w:pPr>
      <w:proofErr w:type="gramStart"/>
      <w:r>
        <w:t>certainty</w:t>
      </w:r>
      <w:proofErr w:type="gramEnd"/>
      <w:r>
        <w:t xml:space="preserve"> of process for natural resource users and applicants through clarifying responsibilities.</w:t>
      </w:r>
    </w:p>
    <w:p w:rsidR="003C7CA8" w:rsidRPr="00C13BEC" w:rsidRDefault="003C7CA8" w:rsidP="00C13BEC">
      <w:pPr>
        <w:pStyle w:val="BodyText"/>
      </w:pPr>
      <w:r>
        <w:t>The EPA currently has approximately 180 employees. It is part-funded through Crow</w:t>
      </w:r>
      <w:r w:rsidR="006643A8">
        <w:t>n funding of approximately $</w:t>
      </w:r>
      <w:r w:rsidR="006643A8" w:rsidRPr="00C13BEC">
        <w:t>21.3</w:t>
      </w:r>
      <w:r w:rsidRPr="00C13BEC">
        <w:t xml:space="preserve"> million per year, </w:t>
      </w:r>
      <w:r w:rsidR="00540575">
        <w:t xml:space="preserve">with additional </w:t>
      </w:r>
      <w:r w:rsidR="00A1674C">
        <w:t xml:space="preserve">revenue coming from cost recovery of services </w:t>
      </w:r>
      <w:r w:rsidRPr="00C13BEC">
        <w:t xml:space="preserve">(this varies annually but </w:t>
      </w:r>
      <w:r w:rsidR="00F77116" w:rsidRPr="00C13BEC">
        <w:t xml:space="preserve">is </w:t>
      </w:r>
      <w:r w:rsidRPr="00C13BEC">
        <w:t>currently approximately $11 million per year).</w:t>
      </w:r>
    </w:p>
    <w:p w:rsidR="003C7CA8" w:rsidRDefault="003C7CA8" w:rsidP="00C13BEC">
      <w:pPr>
        <w:pStyle w:val="BodyText"/>
      </w:pPr>
      <w:r w:rsidRPr="00C13BEC">
        <w:t>The EPA has duties and functions under various environmental Acts, focused around decision</w:t>
      </w:r>
      <w:r w:rsidR="009A0626" w:rsidRPr="00C13BEC">
        <w:t>-</w:t>
      </w:r>
      <w:r w:rsidRPr="00C13BEC">
        <w:t xml:space="preserve"> making, complian</w:t>
      </w:r>
      <w:r>
        <w:t>ce and administration. Its main activities are summarised in the EPA self-review as being:</w:t>
      </w:r>
    </w:p>
    <w:p w:rsidR="003C7CA8" w:rsidRPr="00874825" w:rsidRDefault="003C7CA8" w:rsidP="00C13BEC">
      <w:pPr>
        <w:pStyle w:val="Bullet"/>
      </w:pPr>
      <w:r w:rsidRPr="00874825">
        <w:t>regulation of pesticides, dangerous goods, household chemicals and other hazardous substances</w:t>
      </w:r>
      <w:r w:rsidR="009A0626">
        <w:t>;</w:t>
      </w:r>
      <w:r w:rsidR="009A0626" w:rsidRPr="00874825">
        <w:t xml:space="preserve"> </w:t>
      </w:r>
      <w:r w:rsidRPr="00874825">
        <w:t>ozone-depleting substances, certain chemicals and hazardous waste controlled by international environmental agreements</w:t>
      </w:r>
      <w:r w:rsidR="009A0626">
        <w:t>;</w:t>
      </w:r>
      <w:r w:rsidR="009A0626" w:rsidRPr="00874825">
        <w:t xml:space="preserve"> </w:t>
      </w:r>
      <w:r w:rsidRPr="00874825">
        <w:t xml:space="preserve">new organisms including genetically modified organisms </w:t>
      </w:r>
    </w:p>
    <w:p w:rsidR="003C7CA8" w:rsidRPr="00874825" w:rsidRDefault="003C7CA8" w:rsidP="00C13BEC">
      <w:pPr>
        <w:pStyle w:val="Bullet"/>
      </w:pPr>
      <w:r w:rsidRPr="00874825">
        <w:t>regulation of certain activities within the E</w:t>
      </w:r>
      <w:r>
        <w:t xml:space="preserve">xclusive Economic Zone </w:t>
      </w:r>
      <w:r w:rsidRPr="00874825">
        <w:t xml:space="preserve">(EEZ) and Continental Shelf, for example the environmental effects of oil, gas or mineral production </w:t>
      </w:r>
    </w:p>
    <w:p w:rsidR="003C7CA8" w:rsidRPr="00874825" w:rsidRDefault="003C7CA8" w:rsidP="00C13BEC">
      <w:pPr>
        <w:pStyle w:val="Bullet"/>
      </w:pPr>
      <w:r w:rsidRPr="00874825">
        <w:t xml:space="preserve">administration of </w:t>
      </w:r>
      <w:r w:rsidR="009A0626">
        <w:t>n</w:t>
      </w:r>
      <w:r w:rsidR="009A0626" w:rsidRPr="00874825">
        <w:t xml:space="preserve">ationally </w:t>
      </w:r>
      <w:r w:rsidR="009A0626">
        <w:t>s</w:t>
      </w:r>
      <w:r w:rsidR="009A0626" w:rsidRPr="00874825">
        <w:t xml:space="preserve">ignificant </w:t>
      </w:r>
      <w:r w:rsidR="009A0626">
        <w:t>p</w:t>
      </w:r>
      <w:r w:rsidR="009A0626" w:rsidRPr="00874825">
        <w:t xml:space="preserve">roposals </w:t>
      </w:r>
      <w:r w:rsidRPr="00874825">
        <w:t>(NSP) under the Resource Management Act</w:t>
      </w:r>
      <w:r>
        <w:t xml:space="preserve"> 1991</w:t>
      </w:r>
      <w:r w:rsidRPr="00874825">
        <w:t xml:space="preserve"> (RMA) </w:t>
      </w:r>
    </w:p>
    <w:p w:rsidR="00764152" w:rsidRDefault="003C7CA8" w:rsidP="00C13BEC">
      <w:pPr>
        <w:pStyle w:val="Bullet"/>
      </w:pPr>
      <w:r w:rsidRPr="00874825">
        <w:t>administration of the New Zealand Emissions Trading Scheme (ETS) and the New Zealand Emission Unit Register (NZEUR)</w:t>
      </w:r>
    </w:p>
    <w:p w:rsidR="003C7CA8" w:rsidRPr="00874825" w:rsidRDefault="00764152" w:rsidP="00F733AF">
      <w:pPr>
        <w:pStyle w:val="Bullet"/>
        <w:tabs>
          <w:tab w:val="clear" w:pos="567"/>
        </w:tabs>
      </w:pPr>
      <w:proofErr w:type="gramStart"/>
      <w:r w:rsidRPr="00F733AF">
        <w:t>advising</w:t>
      </w:r>
      <w:proofErr w:type="gramEnd"/>
      <w:r w:rsidRPr="00F733AF">
        <w:t xml:space="preserve"> the Minister and providing technical advice to the Government and Crown entities on any matter related to its functions under an environmental Act</w:t>
      </w:r>
      <w:r w:rsidR="003C7CA8" w:rsidRPr="00874825">
        <w:t xml:space="preserve">. </w:t>
      </w:r>
    </w:p>
    <w:p w:rsidR="00203BF6" w:rsidRDefault="00360FDC" w:rsidP="00C13BEC">
      <w:pPr>
        <w:pStyle w:val="BodyText"/>
      </w:pPr>
      <w:r>
        <w:t>Many of t</w:t>
      </w:r>
      <w:r w:rsidR="003C7CA8">
        <w:t>he EPA’s d</w:t>
      </w:r>
      <w:r>
        <w:t xml:space="preserve">uties and functions </w:t>
      </w:r>
      <w:r w:rsidR="003C7CA8">
        <w:t>are of high public interest</w:t>
      </w:r>
      <w:r w:rsidR="001B2487">
        <w:t>,</w:t>
      </w:r>
      <w:r w:rsidR="003C7CA8">
        <w:t xml:space="preserve"> with </w:t>
      </w:r>
      <w:r w:rsidR="00224426">
        <w:t>stakeholders often</w:t>
      </w:r>
      <w:r w:rsidR="003C7CA8">
        <w:t xml:space="preserve"> holding strong and conflicting views on what activities should be allowed. Examples include:</w:t>
      </w:r>
    </w:p>
    <w:p w:rsidR="00203BF6" w:rsidRDefault="003C7CA8" w:rsidP="00C13BEC">
      <w:pPr>
        <w:pStyle w:val="Bullet"/>
      </w:pPr>
      <w:r>
        <w:lastRenderedPageBreak/>
        <w:t>granting or declining marine consents to undertake offshore oil exploration or seabed</w:t>
      </w:r>
      <w:r w:rsidR="00B75E30">
        <w:t> </w:t>
      </w:r>
      <w:r>
        <w:t>mining</w:t>
      </w:r>
    </w:p>
    <w:p w:rsidR="00203BF6" w:rsidRDefault="003C7CA8" w:rsidP="00C13BEC">
      <w:pPr>
        <w:pStyle w:val="Bullet"/>
      </w:pPr>
      <w:r>
        <w:t>granting or declining applications to develop and/or release new organisms in New</w:t>
      </w:r>
      <w:r w:rsidR="00B75E30">
        <w:t> </w:t>
      </w:r>
      <w:r>
        <w:t>Zealan</w:t>
      </w:r>
      <w:r w:rsidR="00C832B7">
        <w:t>d</w:t>
      </w:r>
    </w:p>
    <w:p w:rsidR="003C7CA8" w:rsidRDefault="003C7CA8" w:rsidP="00C13BEC">
      <w:pPr>
        <w:pStyle w:val="Bullet"/>
      </w:pPr>
      <w:proofErr w:type="gramStart"/>
      <w:r>
        <w:t>providing</w:t>
      </w:r>
      <w:proofErr w:type="gramEnd"/>
      <w:r>
        <w:t xml:space="preserve"> administrative support to </w:t>
      </w:r>
      <w:r w:rsidR="009A0626">
        <w:t xml:space="preserve">boards </w:t>
      </w:r>
      <w:r w:rsidR="00144BBF">
        <w:t xml:space="preserve">of </w:t>
      </w:r>
      <w:r w:rsidR="009A0626">
        <w:t xml:space="preserve">inquiry </w:t>
      </w:r>
      <w:r>
        <w:t xml:space="preserve">that are responsible for decisions about nationally significant </w:t>
      </w:r>
      <w:r w:rsidR="00C376A4">
        <w:t>proposals</w:t>
      </w:r>
      <w:r>
        <w:t>.</w:t>
      </w:r>
    </w:p>
    <w:p w:rsidR="003C7CA8" w:rsidRPr="00CA5A51" w:rsidRDefault="003C7CA8" w:rsidP="00C13BEC">
      <w:pPr>
        <w:pStyle w:val="BodyText"/>
      </w:pPr>
      <w:r>
        <w:t>In addition, t</w:t>
      </w:r>
      <w:r w:rsidRPr="00CA5A51">
        <w:t>he EPA provides services to stakeholders from sole traders to significant multi-national organisations</w:t>
      </w:r>
      <w:r w:rsidR="00C376A4">
        <w:t>. It</w:t>
      </w:r>
      <w:r>
        <w:t xml:space="preserve"> faces the ongoing </w:t>
      </w:r>
      <w:r w:rsidRPr="00CA5A51">
        <w:t xml:space="preserve">challenge </w:t>
      </w:r>
      <w:r>
        <w:t xml:space="preserve">of ensuring </w:t>
      </w:r>
      <w:r w:rsidRPr="00CA5A51">
        <w:t>effective</w:t>
      </w:r>
      <w:r>
        <w:t xml:space="preserve"> (</w:t>
      </w:r>
      <w:r w:rsidRPr="00CA5A51">
        <w:t xml:space="preserve">and </w:t>
      </w:r>
      <w:r>
        <w:t>meaningful)</w:t>
      </w:r>
      <w:r w:rsidRPr="00CA5A51">
        <w:t xml:space="preserve"> engagement</w:t>
      </w:r>
      <w:r>
        <w:t xml:space="preserve"> to both meet legislative requirements and provide legitimacy to the decision</w:t>
      </w:r>
      <w:r w:rsidR="00203BF6">
        <w:t>-</w:t>
      </w:r>
      <w:r>
        <w:t>making process</w:t>
      </w:r>
      <w:r w:rsidRPr="00CA5A51">
        <w:t>.</w:t>
      </w:r>
    </w:p>
    <w:p w:rsidR="003C7CA8" w:rsidRPr="00C13BEC" w:rsidRDefault="003C7CA8" w:rsidP="00C13BEC">
      <w:pPr>
        <w:pStyle w:val="Heading2"/>
      </w:pPr>
      <w:bookmarkStart w:id="14" w:name="_Toc417466122"/>
      <w:r>
        <w:t>The Ministry’s role</w:t>
      </w:r>
      <w:bookmarkEnd w:id="14"/>
    </w:p>
    <w:p w:rsidR="003C7CA8" w:rsidRPr="00C13BEC" w:rsidRDefault="003C7CA8" w:rsidP="00C13BEC">
      <w:pPr>
        <w:pStyle w:val="BodyText"/>
      </w:pPr>
      <w:r>
        <w:t>The Ministry works with the EPA in two ways. First, the Ministry recognises the EPA as a key partner agency who we must work with to provide ongoing environme</w:t>
      </w:r>
      <w:r w:rsidRPr="00C13BEC">
        <w:t xml:space="preserve">ntal stewardship. This requires the two organisations to work together to identify and develop approaches to manage </w:t>
      </w:r>
      <w:r w:rsidR="000A009E" w:rsidRPr="00C13BEC">
        <w:t xml:space="preserve">natural resources and impacts on </w:t>
      </w:r>
      <w:r w:rsidRPr="00C13BEC">
        <w:t xml:space="preserve">the environment, recognising the different knowledge and skills each organisation has. </w:t>
      </w:r>
    </w:p>
    <w:p w:rsidR="003C7CA8" w:rsidRPr="00C41271" w:rsidRDefault="003C7CA8" w:rsidP="00C13BEC">
      <w:pPr>
        <w:pStyle w:val="BodyText"/>
        <w:rPr>
          <w:highlight w:val="yellow"/>
        </w:rPr>
      </w:pPr>
      <w:r w:rsidRPr="00C13BEC">
        <w:t xml:space="preserve">The second way the Ministry works with the EPA is on behalf of the </w:t>
      </w:r>
      <w:r w:rsidRPr="000A03A5">
        <w:t xml:space="preserve">Minister as the monitoring agency. </w:t>
      </w:r>
      <w:r>
        <w:t xml:space="preserve">This includes supporting the Minister to fulfil his or her statutory duties (for example, appointments to the EPA Board), and </w:t>
      </w:r>
      <w:r w:rsidR="00203BF6">
        <w:t xml:space="preserve">helping </w:t>
      </w:r>
      <w:r>
        <w:t xml:space="preserve">the EPA </w:t>
      </w:r>
      <w:r w:rsidR="00203BF6">
        <w:t>report</w:t>
      </w:r>
      <w:r>
        <w:t xml:space="preserve"> on organisational performance. </w:t>
      </w:r>
    </w:p>
    <w:p w:rsidR="003C7CA8" w:rsidRDefault="003C7CA8" w:rsidP="003C7CA8">
      <w:pPr>
        <w:spacing w:before="0" w:after="200" w:line="276" w:lineRule="auto"/>
        <w:jc w:val="left"/>
        <w:rPr>
          <w:rStyle w:val="Heading1Char"/>
        </w:rPr>
      </w:pPr>
      <w:r>
        <w:rPr>
          <w:rStyle w:val="Heading1Char"/>
        </w:rPr>
        <w:br w:type="page"/>
      </w:r>
    </w:p>
    <w:p w:rsidR="003C7CA8" w:rsidRPr="00C13BEC" w:rsidRDefault="00E95E20" w:rsidP="00C13BEC">
      <w:pPr>
        <w:pStyle w:val="Heading1"/>
      </w:pPr>
      <w:bookmarkStart w:id="15" w:name="_Toc417466123"/>
      <w:r>
        <w:lastRenderedPageBreak/>
        <w:t>2</w:t>
      </w:r>
      <w:r>
        <w:tab/>
      </w:r>
      <w:r w:rsidR="003C7CA8" w:rsidRPr="00F235F0">
        <w:t>The EPA’s effectiveness</w:t>
      </w:r>
      <w:bookmarkEnd w:id="15"/>
      <w:r w:rsidR="003C7CA8" w:rsidRPr="00C13BEC">
        <w:t xml:space="preserve"> </w:t>
      </w:r>
    </w:p>
    <w:p w:rsidR="003C7CA8" w:rsidRPr="00C13BEC" w:rsidRDefault="003C7CA8" w:rsidP="00C13BEC">
      <w:pPr>
        <w:pStyle w:val="Heading2"/>
        <w:spacing w:before="240"/>
      </w:pPr>
      <w:bookmarkStart w:id="16" w:name="_Toc417466124"/>
      <w:r>
        <w:t>Context</w:t>
      </w:r>
      <w:bookmarkEnd w:id="16"/>
    </w:p>
    <w:p w:rsidR="003C7CA8" w:rsidRDefault="003C7CA8" w:rsidP="00C13BEC">
      <w:pPr>
        <w:pStyle w:val="BodyText"/>
      </w:pPr>
      <w:r>
        <w:t xml:space="preserve">This section provides the Ministry’s assessment of the EPA’s effectiveness. Our views are based </w:t>
      </w:r>
      <w:r w:rsidR="00790973">
        <w:t xml:space="preserve">on </w:t>
      </w:r>
      <w:r w:rsidR="00224426">
        <w:t>the findings of the various component reports, as well as</w:t>
      </w:r>
      <w:r>
        <w:t xml:space="preserve"> our own experience and observations. As discussed below, we have used the</w:t>
      </w:r>
      <w:r w:rsidR="00203BF6">
        <w:t xml:space="preserve"> Performance Improvement Framework</w:t>
      </w:r>
      <w:r>
        <w:t xml:space="preserve"> </w:t>
      </w:r>
      <w:r w:rsidR="00203BF6">
        <w:t>(</w:t>
      </w:r>
      <w:r>
        <w:t>PIF</w:t>
      </w:r>
      <w:r w:rsidR="00203BF6">
        <w:t>)</w:t>
      </w:r>
      <w:r>
        <w:t xml:space="preserve"> six dimensions of system performance</w:t>
      </w:r>
      <w:r>
        <w:rPr>
          <w:rStyle w:val="FootnoteReference"/>
        </w:rPr>
        <w:footnoteReference w:id="1"/>
      </w:r>
      <w:r>
        <w:t xml:space="preserve"> to frame our assessment. </w:t>
      </w:r>
    </w:p>
    <w:p w:rsidR="003C7CA8" w:rsidRPr="00C13BEC" w:rsidRDefault="003C7CA8" w:rsidP="00C13BEC">
      <w:pPr>
        <w:pStyle w:val="Heading2"/>
      </w:pPr>
      <w:bookmarkStart w:id="17" w:name="_Toc417466125"/>
      <w:r>
        <w:t>Our expectations</w:t>
      </w:r>
      <w:bookmarkEnd w:id="17"/>
    </w:p>
    <w:p w:rsidR="003C7CA8" w:rsidRPr="00C13BEC" w:rsidRDefault="003C7CA8" w:rsidP="00C13BEC">
      <w:pPr>
        <w:pStyle w:val="BodyText"/>
      </w:pPr>
      <w:r>
        <w:t>As the agency responsible for monitoring the EPA’s performance, our expectations for its first three years of o</w:t>
      </w:r>
      <w:r w:rsidRPr="00C13BEC">
        <w:t>peration have been focused on the successful establishment, integration, and performance of core functions within budgetary limits.</w:t>
      </w:r>
    </w:p>
    <w:p w:rsidR="003C7CA8" w:rsidRDefault="003C7CA8" w:rsidP="00C13BEC">
      <w:pPr>
        <w:pStyle w:val="BodyText"/>
      </w:pPr>
      <w:r w:rsidRPr="00C13BEC">
        <w:t xml:space="preserve">Establishment demanded </w:t>
      </w:r>
      <w:r w:rsidR="00DF1E54" w:rsidRPr="00C13BEC">
        <w:t xml:space="preserve">the EPA take </w:t>
      </w:r>
      <w:r w:rsidRPr="00C13BEC">
        <w:t>a short-term focus to</w:t>
      </w:r>
      <w:r w:rsidR="00DF1E54" w:rsidRPr="00C13BEC">
        <w:t xml:space="preserve"> operationalise decision making processes and allo</w:t>
      </w:r>
      <w:r w:rsidR="00DF1E54">
        <w:t>w regulatory systems to function, without</w:t>
      </w:r>
      <w:r>
        <w:t xml:space="preserve"> ‘dropping the ball’. Our performance expectations for the next three years will be adjusted to reflect the need for the EPA to make a step-change from establishment to a more strategic operating approach. Consequently, our expectations will be focused on the EPA’s progress in delivering </w:t>
      </w:r>
      <w:r w:rsidRPr="001164C0">
        <w:t xml:space="preserve">efficient, effective, and transparent management of </w:t>
      </w:r>
      <w:r w:rsidR="000A009E">
        <w:t xml:space="preserve">those aspects of </w:t>
      </w:r>
      <w:r w:rsidRPr="001164C0">
        <w:t>New Zealand’s environment and</w:t>
      </w:r>
      <w:r w:rsidR="000A009E">
        <w:t xml:space="preserve"> natural and physical resources for which it is responsible.</w:t>
      </w:r>
    </w:p>
    <w:p w:rsidR="003C7CA8" w:rsidRPr="00C13BEC" w:rsidRDefault="003C7CA8" w:rsidP="00C13BEC">
      <w:pPr>
        <w:pStyle w:val="Heading2"/>
      </w:pPr>
      <w:bookmarkStart w:id="18" w:name="_Toc417466126"/>
      <w:r w:rsidRPr="00AD28D8">
        <w:t>Defining effectiveness</w:t>
      </w:r>
      <w:bookmarkEnd w:id="18"/>
      <w:r w:rsidRPr="00AD28D8">
        <w:t xml:space="preserve"> </w:t>
      </w:r>
    </w:p>
    <w:p w:rsidR="003C7CA8" w:rsidRDefault="003C7CA8" w:rsidP="00C13BEC">
      <w:pPr>
        <w:pStyle w:val="BodyText"/>
      </w:pPr>
      <w:r>
        <w:t>The Ministry defines an effective EPA as being an organisation that is delivering its core business (</w:t>
      </w:r>
      <w:r w:rsidR="00203BF6">
        <w:t>ie,</w:t>
      </w:r>
      <w:r>
        <w:t xml:space="preserve"> legislated functions) while maintaining and improving capability for the future. </w:t>
      </w:r>
    </w:p>
    <w:p w:rsidR="003C7CA8" w:rsidRDefault="003C7CA8" w:rsidP="00C13BEC">
      <w:pPr>
        <w:pStyle w:val="BodyText"/>
      </w:pPr>
      <w:r>
        <w:t>We have used the PIF six dimensions of system performance</w:t>
      </w:r>
      <w:r w:rsidR="00180D1A">
        <w:t xml:space="preserve"> (as detailed in </w:t>
      </w:r>
      <w:r w:rsidR="00203BF6">
        <w:t xml:space="preserve">table </w:t>
      </w:r>
      <w:r w:rsidR="00180D1A">
        <w:t>1)</w:t>
      </w:r>
      <w:r>
        <w:t xml:space="preserve"> to help organise our assessment of the EPA’s effectiveness and to group themes emerging from the component reports. </w:t>
      </w:r>
      <w:r w:rsidR="002F2561">
        <w:t xml:space="preserve">Using the </w:t>
      </w:r>
      <w:r>
        <w:t>PIF six dimensions framework</w:t>
      </w:r>
      <w:r w:rsidR="002F2561">
        <w:t xml:space="preserve"> we have also identified</w:t>
      </w:r>
      <w:r>
        <w:t xml:space="preserve"> key desired behaviours and signposts of regulatory effectiveness.</w:t>
      </w:r>
    </w:p>
    <w:p w:rsidR="006C04E4" w:rsidRDefault="003C7CA8" w:rsidP="00C13BEC">
      <w:pPr>
        <w:pStyle w:val="BodyText"/>
      </w:pPr>
      <w:r>
        <w:fldChar w:fldCharType="begin"/>
      </w:r>
      <w:r>
        <w:instrText xml:space="preserve"> REF _Ref405366225 \h </w:instrText>
      </w:r>
      <w:r w:rsidR="00C13BEC">
        <w:instrText xml:space="preserve"> \* MERGEFORMAT </w:instrText>
      </w:r>
      <w:r>
        <w:fldChar w:fldCharType="separate"/>
      </w:r>
      <w:r w:rsidR="00387AF7" w:rsidRPr="00C832B7">
        <w:t xml:space="preserve">Table </w:t>
      </w:r>
      <w:r w:rsidR="00387AF7">
        <w:rPr>
          <w:noProof/>
        </w:rPr>
        <w:t>1</w:t>
      </w:r>
      <w:r>
        <w:fldChar w:fldCharType="end"/>
      </w:r>
      <w:r>
        <w:t xml:space="preserve"> provides more detail on the types of behaviours we would expect from a high-performing </w:t>
      </w:r>
      <w:r w:rsidRPr="00C31D2D">
        <w:t xml:space="preserve">regulator and </w:t>
      </w:r>
      <w:r w:rsidR="002F2561">
        <w:t>a</w:t>
      </w:r>
      <w:r w:rsidR="002F2561" w:rsidRPr="00C31D2D">
        <w:t xml:space="preserve">ppendix </w:t>
      </w:r>
      <w:r w:rsidR="004A1E6C">
        <w:t>A</w:t>
      </w:r>
      <w:r w:rsidR="002F2561" w:rsidRPr="00C31D2D">
        <w:t xml:space="preserve"> </w:t>
      </w:r>
      <w:r w:rsidRPr="00C31D2D">
        <w:t>provides further</w:t>
      </w:r>
      <w:r>
        <w:t xml:space="preserve"> information on the links to system performance. While the signposts and desired behaviours have been developed during the review process (so will be new to the EPA in this form), some of the measures</w:t>
      </w:r>
      <w:r w:rsidR="00FB278E">
        <w:t>, or components of some of the measures,</w:t>
      </w:r>
      <w:r>
        <w:t xml:space="preserve"> have previously been communicated to the EPA in the </w:t>
      </w:r>
      <w:r w:rsidR="002F2561">
        <w:t xml:space="preserve">letters </w:t>
      </w:r>
      <w:r>
        <w:t xml:space="preserve">of </w:t>
      </w:r>
      <w:r w:rsidR="002F2561">
        <w:t xml:space="preserve">expectations </w:t>
      </w:r>
      <w:r>
        <w:t>sent from the Minister to the Board (denoted by an * in</w:t>
      </w:r>
      <w:r w:rsidR="00EB51C3">
        <w:t xml:space="preserve"> </w:t>
      </w:r>
      <w:r w:rsidR="002F2561">
        <w:fldChar w:fldCharType="begin"/>
      </w:r>
      <w:r w:rsidR="002F2561">
        <w:instrText xml:space="preserve"> REF _Ref405366225 \h </w:instrText>
      </w:r>
      <w:r w:rsidR="00C13BEC">
        <w:instrText xml:space="preserve"> \* MERGEFORMAT </w:instrText>
      </w:r>
      <w:r w:rsidR="002F2561">
        <w:fldChar w:fldCharType="separate"/>
      </w:r>
      <w:r w:rsidR="00387AF7" w:rsidRPr="00C832B7">
        <w:t xml:space="preserve">Table </w:t>
      </w:r>
      <w:r w:rsidR="00387AF7">
        <w:rPr>
          <w:noProof/>
        </w:rPr>
        <w:t>1</w:t>
      </w:r>
      <w:r w:rsidR="002F2561">
        <w:fldChar w:fldCharType="end"/>
      </w:r>
      <w:r w:rsidR="006C04E4">
        <w:t xml:space="preserve">). </w:t>
      </w:r>
    </w:p>
    <w:p w:rsidR="006C04E4" w:rsidRDefault="00224426" w:rsidP="00C13BEC">
      <w:pPr>
        <w:pStyle w:val="BodyText"/>
      </w:pPr>
      <w:r>
        <w:t>T</w:t>
      </w:r>
      <w:r w:rsidR="006C04E4">
        <w:t xml:space="preserve">hese signposts and desired behaviours are expectations of a regulator with best practice operating performance. We would expect to see the EPA, over time, demonstrating </w:t>
      </w:r>
      <w:r w:rsidR="00335860">
        <w:t>strength or improvement in all</w:t>
      </w:r>
      <w:r w:rsidR="006C04E4">
        <w:t xml:space="preserve"> of these desired behaviours. </w:t>
      </w:r>
    </w:p>
    <w:p w:rsidR="003C7CA8" w:rsidRDefault="003C7CA8" w:rsidP="003C7CA8">
      <w:pPr>
        <w:spacing w:before="0" w:after="200" w:line="276" w:lineRule="auto"/>
        <w:jc w:val="left"/>
        <w:rPr>
          <w:rFonts w:ascii="Times New Roman" w:eastAsia="Times New Roman" w:hAnsi="Times New Roman" w:cs="Times New Roman"/>
          <w:b/>
          <w:bCs/>
          <w:lang w:eastAsia="en-US"/>
        </w:rPr>
      </w:pPr>
      <w:bookmarkStart w:id="19" w:name="_Ref404239498"/>
    </w:p>
    <w:p w:rsidR="003C7CA8" w:rsidRPr="00C832B7" w:rsidRDefault="003C7CA8" w:rsidP="00C13BEC">
      <w:pPr>
        <w:pStyle w:val="Tableheading"/>
      </w:pPr>
      <w:bookmarkStart w:id="20" w:name="_Ref405366225"/>
      <w:bookmarkStart w:id="21" w:name="_Toc414363740"/>
      <w:r w:rsidRPr="00C832B7">
        <w:lastRenderedPageBreak/>
        <w:t xml:space="preserve">Table </w:t>
      </w:r>
      <w:fldSimple w:instr=" SEQ Table \* ARABIC ">
        <w:r w:rsidR="00387AF7">
          <w:rPr>
            <w:noProof/>
          </w:rPr>
          <w:t>1</w:t>
        </w:r>
      </w:fldSimple>
      <w:bookmarkEnd w:id="19"/>
      <w:bookmarkEnd w:id="20"/>
      <w:r w:rsidRPr="00C832B7">
        <w:t xml:space="preserve">: </w:t>
      </w:r>
      <w:r w:rsidR="00C13BEC">
        <w:tab/>
      </w:r>
      <w:r w:rsidRPr="00C832B7">
        <w:t>Signposts / desired behaviours to evaluate the effectiveness of the EPA (based on the</w:t>
      </w:r>
      <w:r w:rsidR="00600644">
        <w:t> </w:t>
      </w:r>
      <w:r w:rsidRPr="00C832B7">
        <w:t>PIF six dimensions of system performance)</w:t>
      </w:r>
      <w:bookmarkEnd w:id="21"/>
    </w:p>
    <w:tbl>
      <w:tblPr>
        <w:tblW w:w="8505" w:type="dxa"/>
        <w:tblInd w:w="113" w:type="dxa"/>
        <w:tblBorders>
          <w:top w:val="single" w:sz="4" w:space="0" w:color="17556C"/>
          <w:bottom w:val="single" w:sz="4" w:space="0" w:color="17556C"/>
          <w:insideH w:val="single" w:sz="4" w:space="0" w:color="17556C"/>
        </w:tblBorders>
        <w:tblLook w:val="04A0" w:firstRow="1" w:lastRow="0" w:firstColumn="1" w:lastColumn="0" w:noHBand="0" w:noVBand="1"/>
      </w:tblPr>
      <w:tblGrid>
        <w:gridCol w:w="1301"/>
        <w:gridCol w:w="7204"/>
      </w:tblGrid>
      <w:tr w:rsidR="0097342C" w:rsidRPr="0097342C" w:rsidTr="00103ED0">
        <w:tc>
          <w:tcPr>
            <w:tcW w:w="765" w:type="pct"/>
            <w:shd w:val="clear" w:color="auto" w:fill="17556C"/>
          </w:tcPr>
          <w:p w:rsidR="003C7CA8" w:rsidRPr="0097342C" w:rsidRDefault="003C7CA8" w:rsidP="0097342C">
            <w:pPr>
              <w:pStyle w:val="TableTextbold"/>
              <w:rPr>
                <w:color w:val="FFFFFF" w:themeColor="background1"/>
              </w:rPr>
            </w:pPr>
            <w:r w:rsidRPr="0097342C">
              <w:rPr>
                <w:color w:val="FFFFFF" w:themeColor="background1"/>
              </w:rPr>
              <w:t>Dimension</w:t>
            </w:r>
          </w:p>
        </w:tc>
        <w:tc>
          <w:tcPr>
            <w:tcW w:w="4235" w:type="pct"/>
            <w:shd w:val="clear" w:color="auto" w:fill="17556C"/>
          </w:tcPr>
          <w:p w:rsidR="003C7CA8" w:rsidRPr="0097342C" w:rsidRDefault="003C7CA8" w:rsidP="003521A0">
            <w:pPr>
              <w:pStyle w:val="TableTextbold"/>
              <w:rPr>
                <w:color w:val="FFFFFF" w:themeColor="background1"/>
              </w:rPr>
            </w:pPr>
            <w:r w:rsidRPr="0097342C">
              <w:rPr>
                <w:color w:val="FFFFFF" w:themeColor="background1"/>
              </w:rPr>
              <w:t>Signposts / desired behaviours</w:t>
            </w:r>
          </w:p>
        </w:tc>
      </w:tr>
      <w:tr w:rsidR="003C7CA8" w:rsidRPr="00251BE0" w:rsidTr="00103ED0">
        <w:tc>
          <w:tcPr>
            <w:tcW w:w="765" w:type="pct"/>
          </w:tcPr>
          <w:p w:rsidR="003C7CA8" w:rsidRPr="00251BE0" w:rsidRDefault="003C7CA8" w:rsidP="0097342C">
            <w:pPr>
              <w:pStyle w:val="Tabletext"/>
            </w:pPr>
            <w:r w:rsidRPr="00251BE0">
              <w:t xml:space="preserve">Results </w:t>
            </w:r>
          </w:p>
        </w:tc>
        <w:tc>
          <w:tcPr>
            <w:tcW w:w="4235" w:type="pct"/>
          </w:tcPr>
          <w:p w:rsidR="003C7CA8" w:rsidRPr="003521A0" w:rsidRDefault="003C7CA8" w:rsidP="006A6C7E">
            <w:pPr>
              <w:pStyle w:val="Tablebullet"/>
              <w:spacing w:before="20" w:after="20"/>
            </w:pPr>
            <w:r w:rsidRPr="003521A0">
              <w:t>The EPA understands and measures:</w:t>
            </w:r>
          </w:p>
          <w:p w:rsidR="003C7CA8" w:rsidRPr="003521A0" w:rsidRDefault="003C7CA8" w:rsidP="006A6C7E">
            <w:pPr>
              <w:pStyle w:val="TableDash"/>
              <w:spacing w:before="20" w:after="20"/>
            </w:pPr>
            <w:r w:rsidRPr="003521A0">
              <w:t>how it contributes to the Government’s priorities*</w:t>
            </w:r>
          </w:p>
          <w:p w:rsidR="003C7CA8" w:rsidRPr="003521A0" w:rsidRDefault="003C7CA8" w:rsidP="006A6C7E">
            <w:pPr>
              <w:pStyle w:val="TableDash"/>
              <w:spacing w:before="20" w:after="20"/>
            </w:pPr>
            <w:r w:rsidRPr="003521A0">
              <w:t>how it makes a difference and the impact this has on NZ (</w:t>
            </w:r>
            <w:r w:rsidR="00BC71CA" w:rsidRPr="003521A0">
              <w:t>ie,</w:t>
            </w:r>
            <w:r w:rsidRPr="003521A0">
              <w:t xml:space="preserve"> effectiveness; the results being achieved)*</w:t>
            </w:r>
          </w:p>
          <w:p w:rsidR="003C7CA8" w:rsidRPr="003521A0" w:rsidRDefault="003C7CA8" w:rsidP="006A6C7E">
            <w:pPr>
              <w:pStyle w:val="TableDash"/>
              <w:spacing w:before="20" w:after="20"/>
            </w:pPr>
            <w:proofErr w:type="gramStart"/>
            <w:r w:rsidRPr="003521A0">
              <w:t>the</w:t>
            </w:r>
            <w:proofErr w:type="gramEnd"/>
            <w:r w:rsidRPr="003521A0">
              <w:t xml:space="preserve"> efficiency of its operations</w:t>
            </w:r>
            <w:r w:rsidR="002F2561" w:rsidRPr="003521A0">
              <w:t>.</w:t>
            </w:r>
            <w:r w:rsidRPr="003521A0">
              <w:t xml:space="preserve"> </w:t>
            </w:r>
          </w:p>
          <w:p w:rsidR="003C7CA8" w:rsidRPr="003521A0" w:rsidRDefault="003C7CA8" w:rsidP="006A6C7E">
            <w:pPr>
              <w:pStyle w:val="Tablebullet"/>
              <w:spacing w:before="20" w:after="20"/>
            </w:pPr>
            <w:r w:rsidRPr="003521A0">
              <w:t>The EPA has robust, transparent and auditable processes that support its independence as a regulator, are easily understood by stakeholders, and can withstand intense public scrutiny</w:t>
            </w:r>
            <w:r w:rsidR="002F2561" w:rsidRPr="003521A0">
              <w:t>.</w:t>
            </w:r>
            <w:r w:rsidRPr="003521A0">
              <w:t>*</w:t>
            </w:r>
          </w:p>
        </w:tc>
      </w:tr>
      <w:tr w:rsidR="003C7CA8" w:rsidRPr="00251BE0" w:rsidTr="00103ED0">
        <w:tc>
          <w:tcPr>
            <w:tcW w:w="765" w:type="pct"/>
          </w:tcPr>
          <w:p w:rsidR="003C7CA8" w:rsidRPr="00251BE0" w:rsidRDefault="003C7CA8" w:rsidP="0097342C">
            <w:pPr>
              <w:pStyle w:val="Tabletext"/>
            </w:pPr>
            <w:r w:rsidRPr="00251BE0">
              <w:t>Strategy and role</w:t>
            </w:r>
          </w:p>
        </w:tc>
        <w:tc>
          <w:tcPr>
            <w:tcW w:w="4235" w:type="pct"/>
          </w:tcPr>
          <w:p w:rsidR="003C7CA8" w:rsidRPr="003521A0" w:rsidRDefault="003C7CA8" w:rsidP="006A6C7E">
            <w:pPr>
              <w:pStyle w:val="Tablebullet"/>
              <w:spacing w:before="20" w:after="20"/>
            </w:pPr>
            <w:r w:rsidRPr="003521A0">
              <w:t>The EPA understands how its regulatory role contributes to an effective and efficient environmental management system</w:t>
            </w:r>
            <w:r w:rsidR="002F2561" w:rsidRPr="003521A0">
              <w:t>.</w:t>
            </w:r>
            <w:r w:rsidRPr="003521A0">
              <w:t xml:space="preserve">* </w:t>
            </w:r>
          </w:p>
          <w:p w:rsidR="003C7CA8" w:rsidRPr="003521A0" w:rsidRDefault="003C7CA8" w:rsidP="006A6C7E">
            <w:pPr>
              <w:pStyle w:val="Tablebullet"/>
              <w:spacing w:before="20" w:after="20"/>
            </w:pPr>
            <w:r w:rsidRPr="003521A0">
              <w:t>The EPA has a future-focused strategy that clearly articulates its purpose and vision, and proposes how it will assess its strategic performance</w:t>
            </w:r>
            <w:r w:rsidR="002F2561" w:rsidRPr="003521A0">
              <w:t>.</w:t>
            </w:r>
          </w:p>
          <w:p w:rsidR="003C7CA8" w:rsidRPr="003521A0" w:rsidRDefault="003C7CA8" w:rsidP="006A6C7E">
            <w:pPr>
              <w:pStyle w:val="Tablebullet"/>
              <w:spacing w:before="20" w:after="20"/>
            </w:pPr>
            <w:r w:rsidRPr="003521A0">
              <w:t>The EPA’s operating model supports achievement of the strategy, consolidates regulatory and technical skills, and builds on synergies between similar functions and powers</w:t>
            </w:r>
            <w:r w:rsidR="002F2561" w:rsidRPr="003521A0">
              <w:t>.</w:t>
            </w:r>
          </w:p>
          <w:p w:rsidR="003C7CA8" w:rsidRPr="003521A0" w:rsidRDefault="003C7CA8" w:rsidP="006A6C7E">
            <w:pPr>
              <w:pStyle w:val="Tablebullet"/>
              <w:spacing w:before="20" w:after="20"/>
            </w:pPr>
            <w:r w:rsidRPr="003521A0">
              <w:t xml:space="preserve">The EPA effectively engages with Ministers, while recognising its independence as a Crown </w:t>
            </w:r>
            <w:r w:rsidR="002F2561" w:rsidRPr="003521A0">
              <w:t>agent.</w:t>
            </w:r>
          </w:p>
        </w:tc>
      </w:tr>
      <w:tr w:rsidR="003C7CA8" w:rsidRPr="00251BE0" w:rsidTr="00103ED0">
        <w:tc>
          <w:tcPr>
            <w:tcW w:w="765" w:type="pct"/>
          </w:tcPr>
          <w:p w:rsidR="003C7CA8" w:rsidRPr="00251BE0" w:rsidRDefault="003C7CA8" w:rsidP="0097342C">
            <w:pPr>
              <w:pStyle w:val="Tabletext"/>
            </w:pPr>
            <w:r w:rsidRPr="00251BE0">
              <w:t>Internal leadership</w:t>
            </w:r>
          </w:p>
        </w:tc>
        <w:tc>
          <w:tcPr>
            <w:tcW w:w="4235" w:type="pct"/>
          </w:tcPr>
          <w:p w:rsidR="003C7CA8" w:rsidRPr="003521A0" w:rsidRDefault="003C7CA8" w:rsidP="006A6C7E">
            <w:pPr>
              <w:pStyle w:val="Tablebullet"/>
              <w:spacing w:before="20" w:after="20"/>
            </w:pPr>
            <w:r w:rsidRPr="003521A0">
              <w:t>Decisions are being made at appropriate levels within the EPA and the different parts of management are focused on appropriate activities (</w:t>
            </w:r>
            <w:r w:rsidR="00BC71CA" w:rsidRPr="003521A0">
              <w:t>eg,</w:t>
            </w:r>
            <w:r w:rsidRPr="003521A0">
              <w:t xml:space="preserve"> Board sets strategy, </w:t>
            </w:r>
            <w:r w:rsidR="00BC71CA" w:rsidRPr="003521A0">
              <w:t xml:space="preserve">Executive Leadership Team </w:t>
            </w:r>
            <w:r w:rsidRPr="003521A0">
              <w:t>run the business)</w:t>
            </w:r>
            <w:r w:rsidR="002F2561" w:rsidRPr="003521A0">
              <w:t>.</w:t>
            </w:r>
          </w:p>
          <w:p w:rsidR="003C7CA8" w:rsidRPr="003521A0" w:rsidRDefault="003C7CA8" w:rsidP="006A6C7E">
            <w:pPr>
              <w:pStyle w:val="Tablebullet"/>
              <w:spacing w:before="20" w:after="20"/>
            </w:pPr>
            <w:r w:rsidRPr="003521A0">
              <w:t>The EPA’s expected values, behaviour and culture are clearly articulated and embedded</w:t>
            </w:r>
            <w:r w:rsidR="002F2561" w:rsidRPr="003521A0">
              <w:t>.</w:t>
            </w:r>
          </w:p>
          <w:p w:rsidR="003C7CA8" w:rsidRPr="003521A0" w:rsidRDefault="003C7CA8" w:rsidP="006A6C7E">
            <w:pPr>
              <w:pStyle w:val="Tablebullet"/>
              <w:spacing w:before="20" w:after="20"/>
            </w:pPr>
            <w:r w:rsidRPr="003521A0">
              <w:t>The EPA’s operating model ensures it has a core capability of staff, and supports the retention and development of staff</w:t>
            </w:r>
            <w:r w:rsidR="002F2561" w:rsidRPr="003521A0">
              <w:t>.</w:t>
            </w:r>
          </w:p>
        </w:tc>
      </w:tr>
      <w:tr w:rsidR="003C7CA8" w:rsidRPr="00251BE0" w:rsidTr="00103ED0">
        <w:tc>
          <w:tcPr>
            <w:tcW w:w="765" w:type="pct"/>
          </w:tcPr>
          <w:p w:rsidR="003C7CA8" w:rsidRPr="00251BE0" w:rsidRDefault="003C7CA8" w:rsidP="0097342C">
            <w:pPr>
              <w:pStyle w:val="Tabletext"/>
            </w:pPr>
            <w:r w:rsidRPr="00251BE0">
              <w:t>Working with others</w:t>
            </w:r>
          </w:p>
        </w:tc>
        <w:tc>
          <w:tcPr>
            <w:tcW w:w="4235" w:type="pct"/>
          </w:tcPr>
          <w:p w:rsidR="003C7CA8" w:rsidRPr="003521A0" w:rsidRDefault="003C7CA8" w:rsidP="006A6C7E">
            <w:pPr>
              <w:pStyle w:val="Tablebullet"/>
              <w:spacing w:before="20" w:after="20"/>
            </w:pPr>
            <w:r w:rsidRPr="003521A0">
              <w:t>The EPA has a clear strategy for working with other agencies, recognising their role in the environmental management system and helping ensure the system is as effective and efficient as possible</w:t>
            </w:r>
            <w:r w:rsidR="002F2561" w:rsidRPr="003521A0">
              <w:t>.</w:t>
            </w:r>
            <w:r w:rsidRPr="003521A0">
              <w:t xml:space="preserve">* </w:t>
            </w:r>
          </w:p>
          <w:p w:rsidR="003C7CA8" w:rsidRPr="003521A0" w:rsidRDefault="003C7CA8" w:rsidP="006A6C7E">
            <w:pPr>
              <w:pStyle w:val="Tablebullet"/>
              <w:spacing w:before="20" w:after="20"/>
            </w:pPr>
            <w:r w:rsidRPr="003521A0">
              <w:t>The EPA shows leadership in the sector, taking ownership for sector results where appropriate, and seeking to influence others to pursue changes that are outside its own mandate</w:t>
            </w:r>
            <w:r w:rsidR="002F2561" w:rsidRPr="003521A0">
              <w:t>.</w:t>
            </w:r>
            <w:r w:rsidRPr="003521A0">
              <w:t>*</w:t>
            </w:r>
          </w:p>
          <w:p w:rsidR="003C7CA8" w:rsidRPr="003521A0" w:rsidRDefault="003C7CA8" w:rsidP="006A6C7E">
            <w:pPr>
              <w:pStyle w:val="Tablebullet"/>
              <w:spacing w:before="20" w:after="20"/>
            </w:pPr>
            <w:r w:rsidRPr="003521A0">
              <w:t>The EPA appropriately recognises and supports the needs of the Minister, applicants, submitters and the general public, while maintaining its integrity/independence as a regulator</w:t>
            </w:r>
            <w:r w:rsidR="002F2561" w:rsidRPr="003521A0">
              <w:t>.</w:t>
            </w:r>
            <w:r w:rsidRPr="003521A0">
              <w:t>*</w:t>
            </w:r>
          </w:p>
        </w:tc>
      </w:tr>
      <w:tr w:rsidR="003C7CA8" w:rsidRPr="00251BE0" w:rsidTr="00103ED0">
        <w:tc>
          <w:tcPr>
            <w:tcW w:w="765" w:type="pct"/>
          </w:tcPr>
          <w:p w:rsidR="003C7CA8" w:rsidRPr="00251BE0" w:rsidRDefault="003C7CA8" w:rsidP="0097342C">
            <w:pPr>
              <w:pStyle w:val="Tabletext"/>
            </w:pPr>
            <w:r w:rsidRPr="00251BE0">
              <w:t>Improving delivery</w:t>
            </w:r>
          </w:p>
        </w:tc>
        <w:tc>
          <w:tcPr>
            <w:tcW w:w="4235" w:type="pct"/>
          </w:tcPr>
          <w:p w:rsidR="003C7CA8" w:rsidRPr="003521A0" w:rsidRDefault="003C7CA8" w:rsidP="006A6C7E">
            <w:pPr>
              <w:pStyle w:val="Tablebullet"/>
              <w:spacing w:before="20" w:after="20"/>
            </w:pPr>
            <w:r w:rsidRPr="003521A0">
              <w:t>The EPA understands its cost drivers and how these impact on its own effectiveness and efficiency as well as that of the environmental management system</w:t>
            </w:r>
            <w:r w:rsidR="002F2561" w:rsidRPr="003521A0">
              <w:t>.</w:t>
            </w:r>
          </w:p>
          <w:p w:rsidR="003C7CA8" w:rsidRPr="003521A0" w:rsidRDefault="003C7CA8" w:rsidP="006A6C7E">
            <w:pPr>
              <w:pStyle w:val="Tablebullet"/>
              <w:spacing w:before="20" w:after="20"/>
            </w:pPr>
            <w:r w:rsidRPr="003521A0">
              <w:t>The EPA has a culture of reflection and learning, embedding lessons and continuously improving its processes and practices, and consequently the effectiveness and efficiency of the system</w:t>
            </w:r>
            <w:r w:rsidR="002F2561" w:rsidRPr="003521A0">
              <w:t>.</w:t>
            </w:r>
            <w:r w:rsidRPr="003521A0">
              <w:t>*</w:t>
            </w:r>
          </w:p>
          <w:p w:rsidR="003C7CA8" w:rsidRPr="003521A0" w:rsidRDefault="003C7CA8" w:rsidP="006A6C7E">
            <w:pPr>
              <w:pStyle w:val="Tablebullet"/>
              <w:spacing w:before="20" w:after="20"/>
            </w:pPr>
            <w:r w:rsidRPr="003521A0">
              <w:t>The EPA is continuously identifying and implementing improvements (</w:t>
            </w:r>
            <w:r w:rsidR="00BC71CA" w:rsidRPr="003521A0">
              <w:t>ie,</w:t>
            </w:r>
            <w:r w:rsidRPr="003521A0">
              <w:t xml:space="preserve"> efficiency and effectiveness)</w:t>
            </w:r>
            <w:r w:rsidR="002F2561" w:rsidRPr="003521A0">
              <w:t>.</w:t>
            </w:r>
          </w:p>
          <w:p w:rsidR="003C7CA8" w:rsidRPr="003521A0" w:rsidRDefault="003C7CA8" w:rsidP="006A6C7E">
            <w:pPr>
              <w:pStyle w:val="Tablebullet"/>
              <w:spacing w:before="20" w:after="20"/>
            </w:pPr>
            <w:r w:rsidRPr="003521A0">
              <w:t>The EPA uses the hard and soft information it collects to effectively contribute to policy discussions</w:t>
            </w:r>
            <w:r w:rsidR="002F2561" w:rsidRPr="003521A0">
              <w:t>.</w:t>
            </w:r>
            <w:r w:rsidRPr="003521A0">
              <w:t>*</w:t>
            </w:r>
          </w:p>
        </w:tc>
      </w:tr>
      <w:tr w:rsidR="003C7CA8" w:rsidRPr="00251BE0" w:rsidTr="00103ED0">
        <w:tc>
          <w:tcPr>
            <w:tcW w:w="765" w:type="pct"/>
          </w:tcPr>
          <w:p w:rsidR="003C7CA8" w:rsidRPr="00251BE0" w:rsidRDefault="003C7CA8" w:rsidP="0097342C">
            <w:pPr>
              <w:pStyle w:val="Tabletext"/>
            </w:pPr>
            <w:r w:rsidRPr="00251BE0">
              <w:t>Finance and resources</w:t>
            </w:r>
          </w:p>
        </w:tc>
        <w:tc>
          <w:tcPr>
            <w:tcW w:w="4235" w:type="pct"/>
          </w:tcPr>
          <w:p w:rsidR="003C7CA8" w:rsidRPr="003521A0" w:rsidRDefault="003C7CA8" w:rsidP="006A6C7E">
            <w:pPr>
              <w:pStyle w:val="Tablebullet"/>
              <w:spacing w:before="20" w:after="20"/>
            </w:pPr>
            <w:r w:rsidRPr="003521A0">
              <w:t>The EPA has appropriate systems in place that support the delivery of its core business now and over the four year excellence horizon</w:t>
            </w:r>
            <w:r w:rsidR="002F2561" w:rsidRPr="003521A0">
              <w:t>.</w:t>
            </w:r>
          </w:p>
          <w:p w:rsidR="003C7CA8" w:rsidRPr="003521A0" w:rsidRDefault="003C7CA8" w:rsidP="006A6C7E">
            <w:pPr>
              <w:pStyle w:val="Tablebullet"/>
              <w:spacing w:before="20" w:after="20"/>
            </w:pPr>
            <w:r w:rsidRPr="003521A0">
              <w:t>The EPA’s asset, information and system requirements are understood and there are plans for maintaining and developing these</w:t>
            </w:r>
            <w:r w:rsidR="002F2561" w:rsidRPr="003521A0">
              <w:t>.</w:t>
            </w:r>
            <w:r w:rsidRPr="003521A0">
              <w:t xml:space="preserve"> </w:t>
            </w:r>
          </w:p>
          <w:p w:rsidR="003C7CA8" w:rsidRPr="003521A0" w:rsidRDefault="003C7CA8" w:rsidP="006A6C7E">
            <w:pPr>
              <w:pStyle w:val="Tablebullet"/>
              <w:spacing w:before="20" w:after="20"/>
            </w:pPr>
            <w:r w:rsidRPr="003521A0">
              <w:t xml:space="preserve">The EPA undertakes robust </w:t>
            </w:r>
            <w:r w:rsidR="00BC71CA" w:rsidRPr="003521A0">
              <w:t xml:space="preserve">four </w:t>
            </w:r>
            <w:r w:rsidRPr="003521A0">
              <w:t>year financial forecasting which means it can effectively engage in discussions on prioritising financial resources, including potential trade-offs and the consequences of these</w:t>
            </w:r>
            <w:r w:rsidR="002F2561" w:rsidRPr="003521A0">
              <w:t>.</w:t>
            </w:r>
          </w:p>
          <w:p w:rsidR="003C7CA8" w:rsidRPr="003521A0" w:rsidRDefault="003C7CA8" w:rsidP="006A6C7E">
            <w:pPr>
              <w:pStyle w:val="Tablebullet"/>
              <w:spacing w:before="20" w:after="20"/>
            </w:pPr>
            <w:r w:rsidRPr="003521A0">
              <w:t>The EPA</w:t>
            </w:r>
            <w:r w:rsidR="00976EE7" w:rsidRPr="003521A0">
              <w:t xml:space="preserve">’s systems and processes for assessing risk are transparent, </w:t>
            </w:r>
            <w:r w:rsidRPr="003521A0">
              <w:t>resulting in Ministers, stakeholders and the general public maintaining confidence in the organisation</w:t>
            </w:r>
            <w:r w:rsidR="002F2561" w:rsidRPr="003521A0">
              <w:t>.</w:t>
            </w:r>
          </w:p>
        </w:tc>
      </w:tr>
    </w:tbl>
    <w:p w:rsidR="003C7CA8" w:rsidRPr="00B00A5E" w:rsidRDefault="003C7CA8" w:rsidP="00B00A5E">
      <w:pPr>
        <w:spacing w:line="240" w:lineRule="auto"/>
        <w:rPr>
          <w:sz w:val="18"/>
          <w:szCs w:val="20"/>
        </w:rPr>
      </w:pPr>
      <w:r w:rsidRPr="00B00A5E">
        <w:rPr>
          <w:sz w:val="20"/>
        </w:rPr>
        <w:t>*</w:t>
      </w:r>
      <w:r w:rsidR="00755C19">
        <w:rPr>
          <w:sz w:val="20"/>
        </w:rPr>
        <w:t xml:space="preserve"> </w:t>
      </w:r>
      <w:r w:rsidRPr="00B00A5E">
        <w:rPr>
          <w:sz w:val="18"/>
          <w:szCs w:val="20"/>
        </w:rPr>
        <w:t>Previously included</w:t>
      </w:r>
      <w:r w:rsidR="00FB278E">
        <w:rPr>
          <w:sz w:val="18"/>
          <w:szCs w:val="20"/>
        </w:rPr>
        <w:t>, in whole or in part,</w:t>
      </w:r>
      <w:r w:rsidRPr="00B00A5E">
        <w:rPr>
          <w:sz w:val="18"/>
          <w:szCs w:val="20"/>
        </w:rPr>
        <w:t xml:space="preserve"> in a Letter of Expectations from the Minister</w:t>
      </w:r>
      <w:r w:rsidR="00061BC6" w:rsidRPr="00B00A5E">
        <w:rPr>
          <w:sz w:val="18"/>
          <w:szCs w:val="20"/>
        </w:rPr>
        <w:t xml:space="preserve"> for the Environment</w:t>
      </w:r>
      <w:r w:rsidRPr="00B00A5E">
        <w:rPr>
          <w:sz w:val="18"/>
          <w:szCs w:val="20"/>
        </w:rPr>
        <w:t xml:space="preserve"> to the EPA</w:t>
      </w:r>
      <w:r w:rsidR="002F2561" w:rsidRPr="00B00A5E">
        <w:rPr>
          <w:sz w:val="18"/>
          <w:szCs w:val="20"/>
        </w:rPr>
        <w:t>.</w:t>
      </w:r>
    </w:p>
    <w:p w:rsidR="003C7CA8" w:rsidRPr="00B768B3" w:rsidRDefault="003C7CA8" w:rsidP="003C7CA8">
      <w:pPr>
        <w:pStyle w:val="Heading2"/>
        <w:rPr>
          <w:bCs w:val="0"/>
        </w:rPr>
      </w:pPr>
      <w:bookmarkStart w:id="22" w:name="_Toc417466127"/>
      <w:r w:rsidRPr="00B768B3">
        <w:rPr>
          <w:bCs w:val="0"/>
        </w:rPr>
        <w:lastRenderedPageBreak/>
        <w:t>Ministry’s view of the EPA’s effectiveness</w:t>
      </w:r>
      <w:bookmarkEnd w:id="22"/>
    </w:p>
    <w:p w:rsidR="003C7CA8" w:rsidRPr="00A82924" w:rsidRDefault="003C7CA8" w:rsidP="00EB4869">
      <w:pPr>
        <w:pStyle w:val="Heading3"/>
        <w:spacing w:before="240"/>
      </w:pPr>
      <w:r w:rsidRPr="00A82924">
        <w:t>Overall assessment</w:t>
      </w:r>
    </w:p>
    <w:p w:rsidR="00CF221C" w:rsidRPr="00F04586" w:rsidRDefault="00CF221C" w:rsidP="00CF221C">
      <w:pPr>
        <w:pStyle w:val="BodyText"/>
      </w:pPr>
      <w:r w:rsidRPr="00F04586">
        <w:t xml:space="preserve">The </w:t>
      </w:r>
      <w:r>
        <w:t xml:space="preserve">Review </w:t>
      </w:r>
      <w:r w:rsidRPr="00F04586">
        <w:t>has identified the EPA as having the following strengths:</w:t>
      </w:r>
    </w:p>
    <w:p w:rsidR="00CF221C" w:rsidRDefault="00E242AB" w:rsidP="00EB4869">
      <w:pPr>
        <w:pStyle w:val="Bullet"/>
      </w:pPr>
      <w:r>
        <w:t>t</w:t>
      </w:r>
      <w:r w:rsidR="00CF221C">
        <w:t>here is a good depth of specialist knowledge in some areas (</w:t>
      </w:r>
      <w:r w:rsidR="00BC71CA">
        <w:t>eg,</w:t>
      </w:r>
      <w:r w:rsidR="00CF221C">
        <w:t xml:space="preserve"> HSNO) – this needs to be</w:t>
      </w:r>
      <w:r w:rsidR="00103ED0">
        <w:t> </w:t>
      </w:r>
      <w:r w:rsidR="00CF221C">
        <w:t xml:space="preserve">retained </w:t>
      </w:r>
    </w:p>
    <w:p w:rsidR="00CF221C" w:rsidRDefault="00E242AB" w:rsidP="00EB4869">
      <w:pPr>
        <w:pStyle w:val="Bullet"/>
      </w:pPr>
      <w:r>
        <w:t>i</w:t>
      </w:r>
      <w:r w:rsidR="00CF221C">
        <w:t>t has experienced senior management staff</w:t>
      </w:r>
    </w:p>
    <w:p w:rsidR="00CF221C" w:rsidRDefault="00E242AB" w:rsidP="00EB4869">
      <w:pPr>
        <w:pStyle w:val="Bullet"/>
      </w:pPr>
      <w:r>
        <w:t>i</w:t>
      </w:r>
      <w:r w:rsidR="00CF221C">
        <w:t>t knows its core business from an operational perspective</w:t>
      </w:r>
    </w:p>
    <w:p w:rsidR="00CF221C" w:rsidRDefault="00CF221C" w:rsidP="00EB4869">
      <w:pPr>
        <w:pStyle w:val="Bullet"/>
      </w:pPr>
      <w:r>
        <w:t>HSNO and nationally significant proposal application assessments are generally done well</w:t>
      </w:r>
      <w:r w:rsidR="00755C19">
        <w:t xml:space="preserve"> </w:t>
      </w:r>
      <w:r>
        <w:t>(it is too early to assess the marine consent processes)</w:t>
      </w:r>
    </w:p>
    <w:p w:rsidR="00CF221C" w:rsidRDefault="00E242AB" w:rsidP="00EB4869">
      <w:pPr>
        <w:pStyle w:val="Bullet"/>
      </w:pPr>
      <w:r>
        <w:t>i</w:t>
      </w:r>
      <w:r w:rsidR="00CF221C">
        <w:t>t engages well with others and is good at relationship management</w:t>
      </w:r>
    </w:p>
    <w:p w:rsidR="00CF221C" w:rsidRDefault="00723E76" w:rsidP="00EB4869">
      <w:pPr>
        <w:pStyle w:val="Bullet"/>
      </w:pPr>
      <w:r>
        <w:t>i</w:t>
      </w:r>
      <w:r w:rsidR="00CF221C">
        <w:t>n particular, the EPA is recognised for its engagement with M</w:t>
      </w:r>
      <w:r w:rsidR="007F464C">
        <w:t>ā</w:t>
      </w:r>
      <w:r w:rsidR="00CF221C">
        <w:t>ori</w:t>
      </w:r>
    </w:p>
    <w:p w:rsidR="00CF221C" w:rsidRPr="000E6FB7" w:rsidRDefault="00723E76" w:rsidP="00EB4869">
      <w:pPr>
        <w:pStyle w:val="Bullet"/>
      </w:pPr>
      <w:r>
        <w:t>t</w:t>
      </w:r>
      <w:r w:rsidR="00CF221C">
        <w:t>he EPA engages well with the Minister’s office</w:t>
      </w:r>
    </w:p>
    <w:p w:rsidR="00CF221C" w:rsidRDefault="00E242AB" w:rsidP="00EB4869">
      <w:pPr>
        <w:pStyle w:val="Bullet"/>
      </w:pPr>
      <w:r>
        <w:t>i</w:t>
      </w:r>
      <w:r w:rsidR="00CF221C">
        <w:t>t has performed well in delivering the climate change/ETS function</w:t>
      </w:r>
    </w:p>
    <w:p w:rsidR="00CF221C" w:rsidRPr="00350AC2" w:rsidRDefault="00E242AB" w:rsidP="00EB4869">
      <w:pPr>
        <w:pStyle w:val="Bullet"/>
      </w:pPr>
      <w:proofErr w:type="gramStart"/>
      <w:r>
        <w:t>i</w:t>
      </w:r>
      <w:r w:rsidR="00CF221C" w:rsidRPr="00350AC2">
        <w:t>t</w:t>
      </w:r>
      <w:proofErr w:type="gramEnd"/>
      <w:r w:rsidR="00CF221C" w:rsidRPr="00350AC2">
        <w:t xml:space="preserve"> has delivered/managed its work pro</w:t>
      </w:r>
      <w:r w:rsidR="00CF221C">
        <w:t>gramme within its appropriations</w:t>
      </w:r>
      <w:r w:rsidR="00CF221C" w:rsidRPr="00350AC2">
        <w:t xml:space="preserve"> during its first </w:t>
      </w:r>
      <w:r w:rsidR="00CF221C">
        <w:t>three</w:t>
      </w:r>
      <w:r w:rsidR="00CF221C" w:rsidRPr="00350AC2">
        <w:t xml:space="preserve"> years.</w:t>
      </w:r>
    </w:p>
    <w:p w:rsidR="003C7CA8" w:rsidRPr="00EB4869" w:rsidRDefault="003C7CA8" w:rsidP="00EB4869">
      <w:pPr>
        <w:pStyle w:val="BodyText"/>
      </w:pPr>
      <w:r w:rsidRPr="00EE0461">
        <w:t xml:space="preserve">The Ministry recognises </w:t>
      </w:r>
      <w:r>
        <w:t xml:space="preserve">the </w:t>
      </w:r>
      <w:r w:rsidRPr="00EE0461">
        <w:t>EPA has faced a number of challenges in its first three years of operation</w:t>
      </w:r>
      <w:r>
        <w:t xml:space="preserve"> as a</w:t>
      </w:r>
      <w:r w:rsidRPr="00EB4869">
        <w:t xml:space="preserve"> result of bringing together functions and people from three organisations and from across several pieces of legislation.</w:t>
      </w:r>
      <w:r w:rsidR="00755C19">
        <w:t xml:space="preserve"> </w:t>
      </w:r>
      <w:r w:rsidRPr="00EB4869">
        <w:t>We consider the EPA’s current operational</w:t>
      </w:r>
      <w:r w:rsidR="00BC71CA" w:rsidRPr="00EB4869">
        <w:t xml:space="preserve"> </w:t>
      </w:r>
      <w:r w:rsidRPr="00EB4869">
        <w:t>/</w:t>
      </w:r>
      <w:r w:rsidR="00BC71CA" w:rsidRPr="00EB4869">
        <w:t xml:space="preserve"> </w:t>
      </w:r>
      <w:r w:rsidRPr="00EB4869">
        <w:t>transactional focus has enabled it to make decisions within statutory timeframes and to support others in making decisions for nationally significant proposals</w:t>
      </w:r>
      <w:r w:rsidR="00723E76" w:rsidRPr="00EB4869">
        <w:t>. H</w:t>
      </w:r>
      <w:r w:rsidR="00CF221C" w:rsidRPr="00EB4869">
        <w:t xml:space="preserve">owever the Review has also highlighted that maintaining the status quo will not be sufficient for the </w:t>
      </w:r>
      <w:r w:rsidR="000A009E" w:rsidRPr="00EB4869">
        <w:t xml:space="preserve">Government to be assured that the </w:t>
      </w:r>
      <w:r w:rsidR="006770AA" w:rsidRPr="00EB4869">
        <w:t>EPA</w:t>
      </w:r>
      <w:r w:rsidR="000A009E" w:rsidRPr="00EB4869">
        <w:t xml:space="preserve">’s </w:t>
      </w:r>
      <w:r w:rsidR="00CF221C" w:rsidRPr="00EB4869">
        <w:t xml:space="preserve">ongoing </w:t>
      </w:r>
      <w:r w:rsidR="000A009E" w:rsidRPr="00EB4869">
        <w:t xml:space="preserve">functions are optimally </w:t>
      </w:r>
      <w:r w:rsidR="00CF221C" w:rsidRPr="00EB4869">
        <w:t xml:space="preserve">efficient, effective, and transparent </w:t>
      </w:r>
      <w:r w:rsidR="000A009E" w:rsidRPr="00EB4869">
        <w:t xml:space="preserve">in </w:t>
      </w:r>
      <w:r w:rsidR="00BC71CA" w:rsidRPr="00EB4869">
        <w:t>managing</w:t>
      </w:r>
      <w:r w:rsidR="00CF221C" w:rsidRPr="00EB4869">
        <w:t xml:space="preserve"> New Zealand’s environment and natural and physical resources.</w:t>
      </w:r>
      <w:r w:rsidRPr="00EB4869">
        <w:t xml:space="preserve"> </w:t>
      </w:r>
    </w:p>
    <w:p w:rsidR="009C3700" w:rsidRPr="00EB4869" w:rsidRDefault="009C3700" w:rsidP="00EB4869">
      <w:pPr>
        <w:pStyle w:val="BodyText"/>
      </w:pPr>
      <w:r w:rsidRPr="00EB4869">
        <w:t xml:space="preserve">We note the external reviewer’s comment that </w:t>
      </w:r>
      <w:r w:rsidR="00C5046A">
        <w:t xml:space="preserve">“in its decision making areas, if a change of approach is not now adopted, </w:t>
      </w:r>
      <w:r w:rsidRPr="00EB4869">
        <w:t>the EPA risks becoming a bureaucra</w:t>
      </w:r>
      <w:r w:rsidR="00FC4314" w:rsidRPr="00EB4869">
        <w:t>tic process-driven regulator which</w:t>
      </w:r>
      <w:r w:rsidRPr="00EB4869">
        <w:t xml:space="preserve"> is precautionary in delivering</w:t>
      </w:r>
      <w:r w:rsidR="00723E76" w:rsidRPr="00EB4869">
        <w:t xml:space="preserve"> its regulation because it isn</w:t>
      </w:r>
      <w:r w:rsidR="00C5046A">
        <w:t>’</w:t>
      </w:r>
      <w:r w:rsidR="00723E76" w:rsidRPr="00EB4869">
        <w:t>t</w:t>
      </w:r>
      <w:r w:rsidRPr="00EB4869">
        <w:t xml:space="preserve"> accessing the best expertise, ensuring </w:t>
      </w:r>
      <w:r w:rsidR="00C5046A">
        <w:t xml:space="preserve">the </w:t>
      </w:r>
      <w:r w:rsidRPr="00EB4869">
        <w:t>excellence in its operational processes, nor</w:t>
      </w:r>
      <w:r w:rsidR="000B0A32">
        <w:t xml:space="preserve"> does it have the right structural arrangement in its legislation”.</w:t>
      </w:r>
    </w:p>
    <w:p w:rsidR="009C3700" w:rsidRDefault="008A3837" w:rsidP="00EB4869">
      <w:pPr>
        <w:pStyle w:val="BodyText"/>
      </w:pPr>
      <w:r w:rsidRPr="00EB4869">
        <w:t>We agree that the EPA will need to make a step-change in its approach to be more strategic, an</w:t>
      </w:r>
      <w:r w:rsidR="00FC4314" w:rsidRPr="00EB4869">
        <w:t>d acknowle</w:t>
      </w:r>
      <w:r w:rsidR="00FC4314">
        <w:t>dge that this is</w:t>
      </w:r>
      <w:r>
        <w:t xml:space="preserve"> challenging for any organisation, particularly </w:t>
      </w:r>
      <w:r w:rsidRPr="00697F91">
        <w:t xml:space="preserve">while maintaining </w:t>
      </w:r>
      <w:r w:rsidR="00A1652D">
        <w:t>high standards of delivery of core</w:t>
      </w:r>
      <w:r w:rsidRPr="00697F91">
        <w:t xml:space="preserve"> operations.</w:t>
      </w:r>
      <w:r>
        <w:t xml:space="preserve"> </w:t>
      </w:r>
      <w:r w:rsidR="00A1652D">
        <w:t>T</w:t>
      </w:r>
      <w:r w:rsidR="009C3700">
        <w:t>he Ministry</w:t>
      </w:r>
      <w:r w:rsidR="00A1652D">
        <w:t xml:space="preserve"> is committed to</w:t>
      </w:r>
      <w:r w:rsidR="009C3700">
        <w:t xml:space="preserve"> support</w:t>
      </w:r>
      <w:r w:rsidR="00A1652D">
        <w:t>ing</w:t>
      </w:r>
      <w:r w:rsidR="009C3700">
        <w:t xml:space="preserve"> the EPA to make the changes required.</w:t>
      </w:r>
      <w:r w:rsidR="00755C19">
        <w:t xml:space="preserve"> </w:t>
      </w:r>
    </w:p>
    <w:p w:rsidR="003C7CA8" w:rsidRPr="00EB4869" w:rsidRDefault="003C7CA8" w:rsidP="00EB4869">
      <w:pPr>
        <w:pStyle w:val="Heading3"/>
      </w:pPr>
      <w:r>
        <w:t>Results dimension</w:t>
      </w:r>
    </w:p>
    <w:p w:rsidR="00D95803" w:rsidRPr="00EB4869" w:rsidRDefault="00B72A71" w:rsidP="00EB4869">
      <w:pPr>
        <w:pStyle w:val="BodyText"/>
        <w:rPr>
          <w:i/>
        </w:rPr>
      </w:pPr>
      <w:r w:rsidRPr="00EB4869">
        <w:rPr>
          <w:i/>
        </w:rPr>
        <w:t>This dimension in</w:t>
      </w:r>
      <w:r w:rsidR="006D1E7B" w:rsidRPr="00EB4869">
        <w:rPr>
          <w:i/>
        </w:rPr>
        <w:t>cludes Government priorities;</w:t>
      </w:r>
      <w:r w:rsidRPr="00EB4869">
        <w:rPr>
          <w:i/>
        </w:rPr>
        <w:t xml:space="preserve"> core </w:t>
      </w:r>
      <w:r w:rsidR="00D95803" w:rsidRPr="00EB4869">
        <w:rPr>
          <w:i/>
        </w:rPr>
        <w:t>business</w:t>
      </w:r>
      <w:r w:rsidR="006D1E7B" w:rsidRPr="00EB4869">
        <w:rPr>
          <w:i/>
        </w:rPr>
        <w:t xml:space="preserve"> effectiveness;</w:t>
      </w:r>
      <w:r w:rsidRPr="00EB4869">
        <w:rPr>
          <w:i/>
        </w:rPr>
        <w:t xml:space="preserve"> and core business efficiency elements of the PIF app</w:t>
      </w:r>
      <w:r w:rsidR="00D95803" w:rsidRPr="00EB4869">
        <w:rPr>
          <w:i/>
        </w:rPr>
        <w:t>roach.</w:t>
      </w:r>
    </w:p>
    <w:p w:rsidR="003C7CA8" w:rsidRDefault="00EB5FE9" w:rsidP="00EB4869">
      <w:pPr>
        <w:pStyle w:val="BodyText"/>
      </w:pPr>
      <w:r>
        <w:t>The R</w:t>
      </w:r>
      <w:r w:rsidR="003C7CA8">
        <w:t xml:space="preserve">eview has revealed that the EPA has a good understanding of </w:t>
      </w:r>
      <w:r w:rsidR="00FC4314">
        <w:t xml:space="preserve">basic process </w:t>
      </w:r>
      <w:r w:rsidR="003C7CA8">
        <w:t>efficiency at an operational level (</w:t>
      </w:r>
      <w:r w:rsidR="00BC71CA">
        <w:t>eg,</w:t>
      </w:r>
      <w:r w:rsidR="003C7CA8">
        <w:t xml:space="preserve"> the time required to make a particular decision). However, it </w:t>
      </w:r>
      <w:proofErr w:type="gramStart"/>
      <w:r w:rsidR="009463B7">
        <w:t>has limited</w:t>
      </w:r>
      <w:proofErr w:type="gramEnd"/>
      <w:r w:rsidR="009463B7">
        <w:t xml:space="preserve"> information/evidence to help it</w:t>
      </w:r>
      <w:r w:rsidR="003C7CA8">
        <w:t xml:space="preserve"> measure how effectively it is implementing the regulatory regimes it is responsible for, nor to assess the</w:t>
      </w:r>
      <w:r w:rsidR="00287331">
        <w:t xml:space="preserve"> overall</w:t>
      </w:r>
      <w:r w:rsidR="003C7CA8">
        <w:t xml:space="preserve"> contribution it </w:t>
      </w:r>
      <w:r w:rsidR="00287331">
        <w:t xml:space="preserve">is </w:t>
      </w:r>
      <w:r w:rsidR="003C7CA8">
        <w:t>mak</w:t>
      </w:r>
      <w:r w:rsidR="00287331">
        <w:t>ing</w:t>
      </w:r>
      <w:r w:rsidR="003C7CA8">
        <w:t xml:space="preserve"> to the wider environmental management system.</w:t>
      </w:r>
    </w:p>
    <w:p w:rsidR="003C7CA8" w:rsidRPr="00EB4869" w:rsidRDefault="003C7CA8" w:rsidP="00EB4869">
      <w:pPr>
        <w:pStyle w:val="BodyText"/>
      </w:pPr>
      <w:r w:rsidRPr="00EB4869">
        <w:lastRenderedPageBreak/>
        <w:t xml:space="preserve">This assessment is not unexpected and is, at least in part, a consequence of the EPA only recently being established. During this time it has had to bring together a range of functions and people, as well as having to take on new functions, in a complex and contentious operating environment. </w:t>
      </w:r>
    </w:p>
    <w:p w:rsidR="00201BF5" w:rsidRDefault="003C7CA8" w:rsidP="00EB4869">
      <w:pPr>
        <w:pStyle w:val="BodyText"/>
      </w:pPr>
      <w:r w:rsidRPr="00EB4869">
        <w:t>It is understandable that</w:t>
      </w:r>
      <w:r w:rsidR="002E3129" w:rsidRPr="00EB4869">
        <w:t>,</w:t>
      </w:r>
      <w:r w:rsidRPr="00EB4869">
        <w:t xml:space="preserve"> to date</w:t>
      </w:r>
      <w:r w:rsidR="002E3129" w:rsidRPr="00EB4869">
        <w:t>,</w:t>
      </w:r>
      <w:r w:rsidRPr="00EB4869">
        <w:t xml:space="preserve"> there has been a focus on developing and implementing proc</w:t>
      </w:r>
      <w:r>
        <w:t>esses, rather than assessing</w:t>
      </w:r>
      <w:r w:rsidR="00201BF5">
        <w:t xml:space="preserve"> the EPA’s</w:t>
      </w:r>
      <w:r>
        <w:t xml:space="preserve"> effectiveness. However</w:t>
      </w:r>
      <w:r w:rsidR="000A6B5E">
        <w:t>, looking ahead</w:t>
      </w:r>
      <w:r>
        <w:t xml:space="preserve"> we expect the EPA to place greater emphasis on understanding the impact that its processes, activities and decisions are having. This should begin with</w:t>
      </w:r>
      <w:r w:rsidR="00201BF5">
        <w:t>:</w:t>
      </w:r>
    </w:p>
    <w:p w:rsidR="0054073A" w:rsidRDefault="003C7CA8" w:rsidP="00E90F33">
      <w:pPr>
        <w:pStyle w:val="Bullet"/>
      </w:pPr>
      <w:r>
        <w:t xml:space="preserve">the EPA developing a clearer understanding of how its core business contributes to achieving </w:t>
      </w:r>
      <w:r w:rsidRPr="00C44F53">
        <w:t>the Government’s priorities and</w:t>
      </w:r>
      <w:r>
        <w:t xml:space="preserve"> the </w:t>
      </w:r>
      <w:r w:rsidRPr="00C44F53">
        <w:t>wider environmental management system</w:t>
      </w:r>
      <w:r w:rsidR="0054073A">
        <w:t>, and</w:t>
      </w:r>
      <w:r>
        <w:t xml:space="preserve"> </w:t>
      </w:r>
    </w:p>
    <w:p w:rsidR="0054073A" w:rsidRDefault="003C7CA8" w:rsidP="00E90F33">
      <w:pPr>
        <w:pStyle w:val="Bullet"/>
      </w:pPr>
      <w:proofErr w:type="gramStart"/>
      <w:r>
        <w:t>continued</w:t>
      </w:r>
      <w:proofErr w:type="gramEnd"/>
      <w:r>
        <w:t xml:space="preserve"> refinement of </w:t>
      </w:r>
      <w:r w:rsidRPr="00DC7B0B">
        <w:t>robust, transparent and auditable processes that</w:t>
      </w:r>
      <w:r>
        <w:t xml:space="preserve"> can be applied consistently across</w:t>
      </w:r>
      <w:r w:rsidR="0054073A">
        <w:t xml:space="preserve"> the EPA’s </w:t>
      </w:r>
      <w:r>
        <w:t>decision making activities.</w:t>
      </w:r>
      <w:r w:rsidDel="00B5293C">
        <w:t xml:space="preserve"> </w:t>
      </w:r>
    </w:p>
    <w:p w:rsidR="003C7CA8" w:rsidRDefault="003C7CA8" w:rsidP="00E90F33">
      <w:pPr>
        <w:pStyle w:val="Bullet"/>
        <w:numPr>
          <w:ilvl w:val="0"/>
          <w:numId w:val="0"/>
        </w:numPr>
      </w:pPr>
      <w:r>
        <w:t xml:space="preserve">We anticipate there will be </w:t>
      </w:r>
      <w:proofErr w:type="gramStart"/>
      <w:r>
        <w:t>a role for the Ministry in helping the EPA achieve</w:t>
      </w:r>
      <w:proofErr w:type="gramEnd"/>
      <w:r>
        <w:t xml:space="preserve"> this expectation</w:t>
      </w:r>
      <w:r w:rsidR="00857B45">
        <w:t>.</w:t>
      </w:r>
      <w:r>
        <w:t xml:space="preserve"> </w:t>
      </w:r>
    </w:p>
    <w:p w:rsidR="003C7CA8" w:rsidRPr="00EB4869" w:rsidRDefault="003C7CA8" w:rsidP="00EB4869">
      <w:pPr>
        <w:pStyle w:val="Heading3"/>
      </w:pPr>
      <w:r>
        <w:t>Strategy and role dimension</w:t>
      </w:r>
    </w:p>
    <w:p w:rsidR="00D95803" w:rsidRPr="00D95803" w:rsidRDefault="00D95803" w:rsidP="00D95803">
      <w:pPr>
        <w:pStyle w:val="BodyText"/>
        <w:rPr>
          <w:i/>
        </w:rPr>
      </w:pPr>
      <w:r w:rsidRPr="00D95803">
        <w:rPr>
          <w:i/>
        </w:rPr>
        <w:t xml:space="preserve">This dimension includes the </w:t>
      </w:r>
      <w:r>
        <w:rPr>
          <w:i/>
        </w:rPr>
        <w:t>purpose</w:t>
      </w:r>
      <w:r w:rsidR="00FE1CA6">
        <w:rPr>
          <w:i/>
        </w:rPr>
        <w:t>,</w:t>
      </w:r>
      <w:r>
        <w:rPr>
          <w:i/>
        </w:rPr>
        <w:t xml:space="preserve"> vision and strategy; structure</w:t>
      </w:r>
      <w:r w:rsidR="00FE1CA6">
        <w:rPr>
          <w:i/>
        </w:rPr>
        <w:t>,</w:t>
      </w:r>
      <w:r>
        <w:rPr>
          <w:i/>
        </w:rPr>
        <w:t xml:space="preserve"> roles and </w:t>
      </w:r>
      <w:r w:rsidR="00025544">
        <w:rPr>
          <w:i/>
        </w:rPr>
        <w:t>responsibilities</w:t>
      </w:r>
      <w:r>
        <w:rPr>
          <w:i/>
        </w:rPr>
        <w:t>; and engagement with Ministers</w:t>
      </w:r>
      <w:r w:rsidRPr="00D95803">
        <w:rPr>
          <w:i/>
        </w:rPr>
        <w:t xml:space="preserve"> elements of the PIF approach.</w:t>
      </w:r>
    </w:p>
    <w:p w:rsidR="00A1652D" w:rsidRPr="00EB4869" w:rsidRDefault="00187841" w:rsidP="00103ED0">
      <w:pPr>
        <w:pStyle w:val="Heading4"/>
      </w:pPr>
      <w:r>
        <w:t xml:space="preserve">Organisational </w:t>
      </w:r>
      <w:r w:rsidR="00BC71CA">
        <w:t>strategy</w:t>
      </w:r>
    </w:p>
    <w:p w:rsidR="007E58D4" w:rsidRDefault="007E58D4" w:rsidP="003C7CA8">
      <w:pPr>
        <w:pStyle w:val="BodyText"/>
      </w:pPr>
      <w:r w:rsidRPr="00EB4869">
        <w:t xml:space="preserve">In February 2014, the </w:t>
      </w:r>
      <w:r>
        <w:t xml:space="preserve">EPA </w:t>
      </w:r>
      <w:r w:rsidRPr="00EB4869">
        <w:t>Board adopted the aspiration of becoming a “world leading environmental regulator”.</w:t>
      </w:r>
    </w:p>
    <w:p w:rsidR="00F34B03" w:rsidRDefault="00F34B03" w:rsidP="00F34B03">
      <w:pPr>
        <w:pStyle w:val="BodyText"/>
      </w:pPr>
      <w:r>
        <w:t xml:space="preserve">We note that the EPA is already undertaking work to ensure its planning extends beyond the immediate term, and that its actions are aligned with its longer-term aspiration. </w:t>
      </w:r>
      <w:r w:rsidRPr="00F752EE">
        <w:t xml:space="preserve">In recent years the Ministry has been through a similar process to update our strategic direction. We continue to refine our strategy, most recently through </w:t>
      </w:r>
      <w:r>
        <w:t xml:space="preserve">work to </w:t>
      </w:r>
      <w:r w:rsidRPr="00F752EE">
        <w:t>refresh our</w:t>
      </w:r>
      <w:r>
        <w:t xml:space="preserve"> medium-term</w:t>
      </w:r>
      <w:r w:rsidRPr="00F752EE">
        <w:t xml:space="preserve"> outcomes</w:t>
      </w:r>
      <w:r>
        <w:t xml:space="preserve"> and associated</w:t>
      </w:r>
      <w:r w:rsidRPr="00F752EE">
        <w:t xml:space="preserve"> aspirational targets. We encourage the EPA to maintain a dialogue with the Ministry a</w:t>
      </w:r>
      <w:r>
        <w:t xml:space="preserve">s it continues to refine </w:t>
      </w:r>
      <w:r w:rsidRPr="00F752EE">
        <w:t>its strategic direction</w:t>
      </w:r>
      <w:r>
        <w:t>, and likewise the Ministry will share its thinking on its own outcomes and targets as they are developed</w:t>
      </w:r>
      <w:r w:rsidRPr="00F752EE">
        <w:t>.</w:t>
      </w:r>
      <w:r>
        <w:t xml:space="preserve"> </w:t>
      </w:r>
      <w:r w:rsidRPr="00F752EE">
        <w:t>This will provide an opportunity for the EPA to learn from the Ministry’s approach, as well as, where appropriate, to align our objectives for the broader environmental management system.</w:t>
      </w:r>
    </w:p>
    <w:p w:rsidR="00A1250A" w:rsidRPr="00F752EE" w:rsidRDefault="00A1250A" w:rsidP="00EB4869">
      <w:pPr>
        <w:pStyle w:val="BodyText"/>
      </w:pPr>
      <w:r w:rsidRPr="00EB4869">
        <w:t>While international recognition is aspirat</w:t>
      </w:r>
      <w:r w:rsidRPr="00F752EE">
        <w:t xml:space="preserve">ional, </w:t>
      </w:r>
      <w:r w:rsidR="00F34B03">
        <w:t xml:space="preserve">our view is that </w:t>
      </w:r>
      <w:r w:rsidRPr="00F752EE">
        <w:t xml:space="preserve">the focus should be squarely on ensuring it is delivering the best service for New Zealand in the first instance. This will be demanding in the New Zealand context which requires the management of a large natural resource base with: </w:t>
      </w:r>
    </w:p>
    <w:p w:rsidR="00A1250A" w:rsidRPr="00F752EE" w:rsidRDefault="00A1250A" w:rsidP="00EB4869">
      <w:pPr>
        <w:pStyle w:val="Bullet"/>
      </w:pPr>
      <w:r w:rsidRPr="00F752EE">
        <w:t>a limited pool of technical expertise</w:t>
      </w:r>
    </w:p>
    <w:p w:rsidR="00A1250A" w:rsidRPr="00F752EE" w:rsidRDefault="00A1250A" w:rsidP="00EB4869">
      <w:pPr>
        <w:pStyle w:val="Bullet"/>
      </w:pPr>
      <w:r w:rsidRPr="00F752EE">
        <w:t>a largely devolved system with many actors and high expectations of participation</w:t>
      </w:r>
    </w:p>
    <w:p w:rsidR="00A1250A" w:rsidRPr="00F752EE" w:rsidRDefault="00A1250A" w:rsidP="00EB4869">
      <w:pPr>
        <w:pStyle w:val="Bullet"/>
      </w:pPr>
      <w:r w:rsidRPr="00F752EE">
        <w:t xml:space="preserve">many unique biophysical characteristics to preserve </w:t>
      </w:r>
    </w:p>
    <w:p w:rsidR="00A1250A" w:rsidRDefault="00A1250A" w:rsidP="00EB4869">
      <w:pPr>
        <w:pStyle w:val="Bullet"/>
      </w:pPr>
      <w:proofErr w:type="gramStart"/>
      <w:r w:rsidRPr="00F752EE">
        <w:t>accelerating</w:t>
      </w:r>
      <w:proofErr w:type="gramEnd"/>
      <w:r w:rsidRPr="00F752EE">
        <w:t xml:space="preserve"> rates of technology and innovation that create new opportunities and risks. </w:t>
      </w:r>
    </w:p>
    <w:p w:rsidR="00782903" w:rsidRPr="003C775E" w:rsidRDefault="00FE1CA6" w:rsidP="00782903">
      <w:pPr>
        <w:pStyle w:val="Bullet"/>
        <w:numPr>
          <w:ilvl w:val="0"/>
          <w:numId w:val="0"/>
        </w:numPr>
      </w:pPr>
      <w:r w:rsidRPr="003C775E">
        <w:t>A more strategic approach by the EPA Board and management will</w:t>
      </w:r>
      <w:r w:rsidR="00782903" w:rsidRPr="003C775E">
        <w:t xml:space="preserve"> </w:t>
      </w:r>
      <w:r w:rsidR="00123C40" w:rsidRPr="003C775E">
        <w:t>ensure</w:t>
      </w:r>
      <w:r w:rsidR="00782903" w:rsidRPr="003C775E">
        <w:t xml:space="preserve"> that the organisation has a clear view about the sort of organisation it needs to be, and </w:t>
      </w:r>
      <w:r w:rsidR="00782903" w:rsidRPr="003C775E">
        <w:rPr>
          <w:rFonts w:cs="Arial"/>
          <w:lang w:val="en-AU"/>
        </w:rPr>
        <w:t xml:space="preserve">how to drive organisational development to achieve this. A clear vision will assist the EPA to reach and maintain a steady state of excellence, meaning that the EPA will always have access to </w:t>
      </w:r>
      <w:r w:rsidR="00782903" w:rsidRPr="003C775E">
        <w:rPr>
          <w:rFonts w:cs="Arial"/>
        </w:rPr>
        <w:t xml:space="preserve">the </w:t>
      </w:r>
      <w:r w:rsidR="00782903" w:rsidRPr="003C775E">
        <w:rPr>
          <w:rFonts w:cs="Arial"/>
        </w:rPr>
        <w:lastRenderedPageBreak/>
        <w:t>expertise necessary to deliver quality services, and is able to anticipate changes and issues before they arise (particularly in the compliance and enforcement space).</w:t>
      </w:r>
    </w:p>
    <w:p w:rsidR="00346466" w:rsidRPr="003C775E" w:rsidRDefault="00782903" w:rsidP="00782903">
      <w:pPr>
        <w:pStyle w:val="Bullet"/>
        <w:numPr>
          <w:ilvl w:val="0"/>
          <w:numId w:val="0"/>
        </w:numPr>
      </w:pPr>
      <w:r w:rsidRPr="003C775E">
        <w:t xml:space="preserve">As a small agency with a wide-ranging legislative mandate the EPA faces a difficult challenge to balance the resources it needs. The challenge is exacerbated by the differing regulatory processes it must apply, and the fact that its work is largely application-driven. The EPA must anticipate its pipeline of application work and make constant judgements about what resources it needs day-to-day. </w:t>
      </w:r>
    </w:p>
    <w:p w:rsidR="00782903" w:rsidRPr="003C775E" w:rsidRDefault="00782903" w:rsidP="00782903">
      <w:pPr>
        <w:pStyle w:val="Bullet"/>
        <w:numPr>
          <w:ilvl w:val="0"/>
          <w:numId w:val="0"/>
        </w:numPr>
      </w:pPr>
      <w:r w:rsidRPr="003C775E">
        <w:t xml:space="preserve">The EPA must also make a raft of other judgements that may impact on it having the expertise necessary to carry out its functions and protect the public interest by anticipating issues before they arise. For example, the EPA must decide how much it retains expertise to keep up with international developments, how much advice it offers decision makers and how much it leaves them to figure things out, how much compliance and enforcement work it might do, and how much pro-active work it might do with other agencies (for example, </w:t>
      </w:r>
      <w:proofErr w:type="spellStart"/>
      <w:r w:rsidRPr="003C775E">
        <w:t>Worksafe</w:t>
      </w:r>
      <w:proofErr w:type="spellEnd"/>
      <w:r w:rsidRPr="003C775E">
        <w:t>).</w:t>
      </w:r>
    </w:p>
    <w:p w:rsidR="00782903" w:rsidRPr="00F752EE" w:rsidRDefault="00782903" w:rsidP="00782903">
      <w:pPr>
        <w:pStyle w:val="Bullet"/>
        <w:numPr>
          <w:ilvl w:val="0"/>
          <w:numId w:val="0"/>
        </w:numPr>
      </w:pPr>
      <w:r w:rsidRPr="003C775E">
        <w:t xml:space="preserve">A clear vision of what is required to achieve organisational excellence will assist the EPA to make the judgement calls it must make, and will </w:t>
      </w:r>
      <w:proofErr w:type="gramStart"/>
      <w:r w:rsidRPr="003C775E">
        <w:t>mitigate</w:t>
      </w:r>
      <w:proofErr w:type="gramEnd"/>
      <w:r w:rsidRPr="003C775E">
        <w:t xml:space="preserve"> against </w:t>
      </w:r>
      <w:r w:rsidR="00FE1CA6" w:rsidRPr="003C775E">
        <w:t>any</w:t>
      </w:r>
      <w:r w:rsidRPr="003C775E">
        <w:t xml:space="preserve"> risk of impaired decision quality and increasing costs.</w:t>
      </w:r>
    </w:p>
    <w:p w:rsidR="009E144F" w:rsidRDefault="009E144F" w:rsidP="001A0ACF">
      <w:pPr>
        <w:pStyle w:val="Heading4"/>
      </w:pPr>
      <w:r>
        <w:t>Operating model</w:t>
      </w:r>
    </w:p>
    <w:p w:rsidR="00B61C2E" w:rsidRDefault="00F644ED" w:rsidP="00EB4869">
      <w:pPr>
        <w:pStyle w:val="BodyText"/>
      </w:pPr>
      <w:r>
        <w:t>A key recommendation from the external review is that the EPA needs to develop an operating</w:t>
      </w:r>
      <w:r w:rsidR="006D550C">
        <w:t> </w:t>
      </w:r>
      <w:r>
        <w:t xml:space="preserve">model that allows it to </w:t>
      </w:r>
      <w:r w:rsidRPr="000C1B28">
        <w:t xml:space="preserve">be more responsive to </w:t>
      </w:r>
      <w:r>
        <w:t xml:space="preserve">fluctuating </w:t>
      </w:r>
      <w:r w:rsidRPr="000C1B28">
        <w:t>demand</w:t>
      </w:r>
      <w:r>
        <w:t xml:space="preserve"> for its services. In</w:t>
      </w:r>
      <w:r w:rsidR="006D550C">
        <w:t> </w:t>
      </w:r>
      <w:r>
        <w:t xml:space="preserve">particular, gaining a better understanding of the current and upcoming work flows, as well as considering how best to distribute and retain resources across the organisation to ensure capability is maintained. </w:t>
      </w:r>
    </w:p>
    <w:p w:rsidR="00B61C2E" w:rsidRDefault="00B61C2E" w:rsidP="00EB4869">
      <w:pPr>
        <w:pStyle w:val="BodyText"/>
      </w:pPr>
      <w:r>
        <w:t>Identifying and implementing an optimal operating model is a challenge for any organisation.</w:t>
      </w:r>
      <w:r w:rsidR="00755C19">
        <w:t xml:space="preserve"> </w:t>
      </w:r>
      <w:r>
        <w:t xml:space="preserve">The challenge for the </w:t>
      </w:r>
      <w:r w:rsidR="00472D98">
        <w:t>Executive Leadership Team (</w:t>
      </w:r>
      <w:r>
        <w:t>ELT</w:t>
      </w:r>
      <w:r w:rsidR="00472D98">
        <w:t>)</w:t>
      </w:r>
      <w:r>
        <w:t xml:space="preserve">, and particularly the Chief Executive, will be making decisions on operational issues such as how to distribute resources across the EPA to best meet the needs of the organisation. We expect this will require the EPA to: </w:t>
      </w:r>
    </w:p>
    <w:p w:rsidR="00B61C2E" w:rsidRDefault="00B61C2E" w:rsidP="00BD494C">
      <w:pPr>
        <w:pStyle w:val="Bullet"/>
      </w:pPr>
      <w:r>
        <w:t>make decisions about the proportion of contract/fixed term to permanent staff it retains and to explore new options for retaining skills in-house or buying these in as needed (</w:t>
      </w:r>
      <w:r w:rsidR="00472D98">
        <w:t>eg,</w:t>
      </w:r>
      <w:r>
        <w:t xml:space="preserve"> through having panel agreements in place)</w:t>
      </w:r>
    </w:p>
    <w:p w:rsidR="00B61C2E" w:rsidRDefault="00B61C2E" w:rsidP="00BD494C">
      <w:pPr>
        <w:pStyle w:val="Bullet"/>
      </w:pPr>
      <w:r>
        <w:t xml:space="preserve">make decisions about the proportion of resources that should be applied to developing </w:t>
      </w:r>
      <w:r w:rsidR="000B0913">
        <w:t xml:space="preserve">and implementing </w:t>
      </w:r>
      <w:r>
        <w:t>the EPA’s strategy vs delivering the</w:t>
      </w:r>
      <w:r w:rsidR="000B0913">
        <w:t xml:space="preserve"> day</w:t>
      </w:r>
      <w:r w:rsidR="00472D98">
        <w:t>-</w:t>
      </w:r>
      <w:r w:rsidR="000B0913">
        <w:t>to</w:t>
      </w:r>
      <w:r w:rsidR="00472D98">
        <w:t>-</w:t>
      </w:r>
      <w:r w:rsidR="000B0913">
        <w:t>day</w:t>
      </w:r>
      <w:r>
        <w:t xml:space="preserve"> business </w:t>
      </w:r>
      <w:r w:rsidR="00C973CD">
        <w:t>(</w:t>
      </w:r>
      <w:r w:rsidR="00472D98">
        <w:t>ie,</w:t>
      </w:r>
      <w:r>
        <w:t xml:space="preserve"> working </w:t>
      </w:r>
      <w:r w:rsidRPr="00621423">
        <w:t>on</w:t>
      </w:r>
      <w:r>
        <w:t xml:space="preserve"> the business vs working </w:t>
      </w:r>
      <w:r w:rsidRPr="00621423">
        <w:t>in</w:t>
      </w:r>
      <w:r>
        <w:t xml:space="preserve"> the business)</w:t>
      </w:r>
    </w:p>
    <w:p w:rsidR="00B61C2E" w:rsidRDefault="00B61C2E" w:rsidP="00BD494C">
      <w:pPr>
        <w:pStyle w:val="Bullet"/>
      </w:pPr>
      <w:proofErr w:type="gramStart"/>
      <w:r>
        <w:t>to</w:t>
      </w:r>
      <w:proofErr w:type="gramEnd"/>
      <w:r>
        <w:t xml:space="preserve"> gain a more detailed understanding about the way it delivers services (</w:t>
      </w:r>
      <w:r w:rsidR="00472D98">
        <w:t>eg,</w:t>
      </w:r>
      <w:r>
        <w:t xml:space="preserve"> decision making processes across different functions) so it can identify where efficiencies might be gained and skills might be transferable.</w:t>
      </w:r>
      <w:r w:rsidR="00755C19">
        <w:t xml:space="preserve"> </w:t>
      </w:r>
    </w:p>
    <w:p w:rsidR="006D1E25" w:rsidRPr="00BD494C" w:rsidRDefault="006D1E25" w:rsidP="00BD494C">
      <w:pPr>
        <w:pStyle w:val="Heading4"/>
      </w:pPr>
      <w:r>
        <w:t>Opportunities for shared services</w:t>
      </w:r>
    </w:p>
    <w:p w:rsidR="00E95B8D" w:rsidRDefault="005D271B" w:rsidP="00BD494C">
      <w:pPr>
        <w:pStyle w:val="BodyText"/>
      </w:pPr>
      <w:r>
        <w:t>To</w:t>
      </w:r>
      <w:r w:rsidR="00896620">
        <w:t xml:space="preserve"> better manage fluctuating demand for services, </w:t>
      </w:r>
      <w:r w:rsidR="00B61C2E">
        <w:t xml:space="preserve">there is merit in the EPA considering how it can </w:t>
      </w:r>
      <w:r w:rsidR="000B0913">
        <w:t xml:space="preserve">further </w:t>
      </w:r>
      <w:r w:rsidR="00B61C2E">
        <w:t>develop and leverage its working relationships with other regulators and government agencies (including</w:t>
      </w:r>
      <w:r w:rsidR="00C973CD">
        <w:t>:</w:t>
      </w:r>
      <w:r w:rsidR="00B61C2E">
        <w:t xml:space="preserve"> </w:t>
      </w:r>
      <w:proofErr w:type="spellStart"/>
      <w:r w:rsidR="00B61C2E">
        <w:t>WorkSafe</w:t>
      </w:r>
      <w:proofErr w:type="spellEnd"/>
      <w:r w:rsidR="00B61C2E">
        <w:t>, Ministry for Primary Industries, New Zea</w:t>
      </w:r>
      <w:r w:rsidR="00C973CD">
        <w:t>land Customs, local authorities</w:t>
      </w:r>
      <w:r w:rsidR="00B61C2E">
        <w:t xml:space="preserve"> and Maritime NZ). </w:t>
      </w:r>
    </w:p>
    <w:p w:rsidR="006D1E25" w:rsidRDefault="00E95B8D" w:rsidP="00BD494C">
      <w:pPr>
        <w:pStyle w:val="BodyText"/>
      </w:pPr>
      <w:r>
        <w:t>This is already happening to a limited extent, with the EPA and Ministry currently jointly funding and sharing an auditor position, but f</w:t>
      </w:r>
      <w:r w:rsidR="00B61C2E">
        <w:t>urther work should be undertaken to assess the feasibility of shared services models with some of these regulatory partners</w:t>
      </w:r>
      <w:r w:rsidR="00180D1A">
        <w:t xml:space="preserve">, and further </w:t>
      </w:r>
      <w:r w:rsidR="00180D1A">
        <w:lastRenderedPageBreak/>
        <w:t>sharing with the Ministry</w:t>
      </w:r>
      <w:r w:rsidR="00B61C2E">
        <w:t xml:space="preserve"> – t</w:t>
      </w:r>
      <w:r w:rsidR="006D1E25">
        <w:t>his includes exploring opportunities for shared services for the corporate functions as well as for supporting delivery of its functions.</w:t>
      </w:r>
    </w:p>
    <w:p w:rsidR="003C7CA8" w:rsidRDefault="003C7CA8" w:rsidP="003C7CA8">
      <w:pPr>
        <w:pStyle w:val="Heading3"/>
      </w:pPr>
      <w:r>
        <w:t>Internal leadership dimension</w:t>
      </w:r>
    </w:p>
    <w:p w:rsidR="00D95803" w:rsidRPr="00D95803" w:rsidRDefault="00D95803" w:rsidP="00D95803">
      <w:pPr>
        <w:pStyle w:val="BodyText"/>
        <w:rPr>
          <w:i/>
        </w:rPr>
      </w:pPr>
      <w:r w:rsidRPr="00D95803">
        <w:rPr>
          <w:i/>
        </w:rPr>
        <w:t xml:space="preserve">This dimension includes the </w:t>
      </w:r>
      <w:r>
        <w:rPr>
          <w:i/>
        </w:rPr>
        <w:t xml:space="preserve">leadership and governance; values, behaviour and culture; leadership and workforce development; </w:t>
      </w:r>
      <w:r w:rsidR="00723DED">
        <w:rPr>
          <w:i/>
        </w:rPr>
        <w:t xml:space="preserve">management of people performance; and engagement with </w:t>
      </w:r>
      <w:r w:rsidR="004E310D">
        <w:rPr>
          <w:i/>
        </w:rPr>
        <w:t xml:space="preserve">staff </w:t>
      </w:r>
      <w:r w:rsidR="004E310D" w:rsidRPr="00D95803">
        <w:rPr>
          <w:i/>
        </w:rPr>
        <w:t>elements</w:t>
      </w:r>
      <w:r w:rsidRPr="00D95803">
        <w:rPr>
          <w:i/>
        </w:rPr>
        <w:t xml:space="preserve"> of the PIF approach.</w:t>
      </w:r>
    </w:p>
    <w:p w:rsidR="00187841" w:rsidRDefault="00187841" w:rsidP="006B02C3">
      <w:pPr>
        <w:pStyle w:val="Heading4"/>
      </w:pPr>
      <w:r>
        <w:t>Values and behaviours</w:t>
      </w:r>
    </w:p>
    <w:p w:rsidR="003C7CA8" w:rsidRDefault="003C7CA8" w:rsidP="00BD494C">
      <w:pPr>
        <w:pStyle w:val="BodyText"/>
      </w:pPr>
      <w:r>
        <w:t xml:space="preserve">We are aware the EPA has developed a set of expected values and behaviours and we are advised through performance reporting that these have </w:t>
      </w:r>
      <w:r w:rsidRPr="00AE50DA">
        <w:t xml:space="preserve">been </w:t>
      </w:r>
      <w:r w:rsidRPr="002C7CFD">
        <w:t>embedded within the organisation</w:t>
      </w:r>
      <w:r w:rsidRPr="003451E2">
        <w:t>.</w:t>
      </w:r>
      <w:r>
        <w:t xml:space="preserve"> It is difficult to assess the internal leadership of the EPA from outside the organisation, but we make three observations about internal leadership based on the information available for this review:</w:t>
      </w:r>
    </w:p>
    <w:p w:rsidR="003C7CA8" w:rsidRDefault="005D271B" w:rsidP="00BD494C">
      <w:pPr>
        <w:pStyle w:val="Bullet"/>
      </w:pPr>
      <w:r>
        <w:t xml:space="preserve">Staff </w:t>
      </w:r>
      <w:r w:rsidR="003C7CA8">
        <w:t xml:space="preserve">turnover is relatively high (overall </w:t>
      </w:r>
      <w:r w:rsidR="003C7CA8" w:rsidRPr="00557775">
        <w:t>turnover was 17.5</w:t>
      </w:r>
      <w:r>
        <w:t xml:space="preserve"> per cent</w:t>
      </w:r>
      <w:r w:rsidRPr="00557775">
        <w:t xml:space="preserve"> </w:t>
      </w:r>
      <w:r w:rsidR="003C7CA8" w:rsidRPr="00557775">
        <w:t>in the last financial year</w:t>
      </w:r>
      <w:r w:rsidR="003C7CA8">
        <w:t xml:space="preserve"> and turnover of technical staff was 25.5</w:t>
      </w:r>
      <w:r>
        <w:t xml:space="preserve"> per cent). </w:t>
      </w:r>
      <w:r w:rsidR="003C7CA8">
        <w:t xml:space="preserve">This seems counter to an organisation with a shared culture and strong buy-in to organisational values and behaviours. We recognise other factors could also be contributing to issues with staff retention. </w:t>
      </w:r>
    </w:p>
    <w:p w:rsidR="003C7CA8" w:rsidRDefault="005D271B" w:rsidP="00BD494C">
      <w:pPr>
        <w:pStyle w:val="Bullet"/>
      </w:pPr>
      <w:r>
        <w:t xml:space="preserve">The </w:t>
      </w:r>
      <w:r w:rsidR="003C7CA8">
        <w:t xml:space="preserve">EPA self-review is at odds with the findings of the external review with regard to the cohesive </w:t>
      </w:r>
      <w:r w:rsidR="003C7CA8" w:rsidRPr="00F47270">
        <w:t>nature of the</w:t>
      </w:r>
      <w:r w:rsidR="003C7CA8">
        <w:t xml:space="preserve"> Executive Leadership Team (</w:t>
      </w:r>
      <w:r w:rsidR="003C7CA8" w:rsidRPr="00F47270">
        <w:t>ELT</w:t>
      </w:r>
      <w:r w:rsidR="003C7CA8">
        <w:t>)</w:t>
      </w:r>
      <w:r w:rsidR="003C7CA8" w:rsidRPr="00F47270">
        <w:t xml:space="preserve">. While the self-review suggests that the cohesive nature of the ELT is an area where the EPA stands out, the external </w:t>
      </w:r>
      <w:r w:rsidR="003C7CA8" w:rsidRPr="00CF062C">
        <w:t>review concludes that the ELT’s aspirations for the organisation are not cohesive.</w:t>
      </w:r>
    </w:p>
    <w:p w:rsidR="003C7CA8" w:rsidRDefault="005D271B" w:rsidP="00BD494C">
      <w:pPr>
        <w:pStyle w:val="Bullet"/>
      </w:pPr>
      <w:r>
        <w:t xml:space="preserve">The </w:t>
      </w:r>
      <w:r w:rsidR="003C7CA8">
        <w:t>external review of the EPA’s effectiveness questions the Board’s current role in making operational decisions, and recommends that it instead focuses on the strategic leadership of the EPA.</w:t>
      </w:r>
    </w:p>
    <w:p w:rsidR="00617E6F" w:rsidRDefault="00617E6F" w:rsidP="00617E6F">
      <w:pPr>
        <w:pStyle w:val="Heading4"/>
      </w:pPr>
      <w:r>
        <w:t>The role of the EPA Board</w:t>
      </w:r>
    </w:p>
    <w:p w:rsidR="00617E6F" w:rsidRDefault="00617E6F" w:rsidP="00BD494C">
      <w:pPr>
        <w:pStyle w:val="BodyText"/>
      </w:pPr>
      <w:r>
        <w:t>We consider that the Board should prioritise identifying the changes it needs to make to implement the recommendations of the Review. In particular, we suggest the Board needs to provide leadership that results in:</w:t>
      </w:r>
    </w:p>
    <w:p w:rsidR="00617E6F" w:rsidRDefault="00617E6F" w:rsidP="00BD494C">
      <w:pPr>
        <w:pStyle w:val="Bullet"/>
      </w:pPr>
      <w:r>
        <w:t>a shift in focus from operational to strategic matters</w:t>
      </w:r>
    </w:p>
    <w:p w:rsidR="00617E6F" w:rsidRDefault="00617E6F" w:rsidP="00BD494C">
      <w:pPr>
        <w:pStyle w:val="Bullet"/>
      </w:pPr>
      <w:r>
        <w:t>a clear understanding of how the Board will separate its governance and decision</w:t>
      </w:r>
      <w:r w:rsidR="005D271B">
        <w:t>-</w:t>
      </w:r>
      <w:r>
        <w:t>making roles (</w:t>
      </w:r>
      <w:r w:rsidR="005D271B">
        <w:t>ie,</w:t>
      </w:r>
      <w:r>
        <w:t xml:space="preserve"> role in decision</w:t>
      </w:r>
      <w:r w:rsidR="005D271B">
        <w:t>-</w:t>
      </w:r>
      <w:r>
        <w:t>making committees), as well as the role it intends to take in operational matters</w:t>
      </w:r>
    </w:p>
    <w:p w:rsidR="00617E6F" w:rsidRDefault="00617E6F" w:rsidP="00BD494C">
      <w:pPr>
        <w:pStyle w:val="Bullet"/>
      </w:pPr>
      <w:r>
        <w:t xml:space="preserve">the </w:t>
      </w:r>
      <w:r w:rsidR="000B0913">
        <w:t xml:space="preserve">Chief Executive and the </w:t>
      </w:r>
      <w:r>
        <w:t xml:space="preserve">EPA’s </w:t>
      </w:r>
      <w:r w:rsidR="000B0913">
        <w:t xml:space="preserve">leadership team improving the </w:t>
      </w:r>
      <w:r>
        <w:t>operating model to optimise the workload, ensuring it has access to the required capability and a better understanding of the upcoming</w:t>
      </w:r>
      <w:r w:rsidR="000448E4">
        <w:t xml:space="preserve"> flow</w:t>
      </w:r>
      <w:r>
        <w:t xml:space="preserve"> of applications</w:t>
      </w:r>
    </w:p>
    <w:p w:rsidR="00617E6F" w:rsidRDefault="00617E6F" w:rsidP="00BD494C">
      <w:pPr>
        <w:pStyle w:val="Bullet"/>
      </w:pPr>
      <w:proofErr w:type="gramStart"/>
      <w:r>
        <w:t>the</w:t>
      </w:r>
      <w:proofErr w:type="gramEnd"/>
      <w:r>
        <w:t xml:space="preserve"> costs of the decision</w:t>
      </w:r>
      <w:r w:rsidR="00292999">
        <w:t>-</w:t>
      </w:r>
      <w:r>
        <w:t>making process being better understood, areas for efficiency savings identified, and any policy changes required discussed with the Ministry.</w:t>
      </w:r>
    </w:p>
    <w:p w:rsidR="00187841" w:rsidRPr="00BD494C" w:rsidRDefault="00187841" w:rsidP="00BD494C">
      <w:pPr>
        <w:pStyle w:val="Heading4"/>
      </w:pPr>
      <w:r w:rsidRPr="00032565">
        <w:t>Cohesiveness of</w:t>
      </w:r>
      <w:r>
        <w:t xml:space="preserve"> the Executive Leadership Team</w:t>
      </w:r>
    </w:p>
    <w:p w:rsidR="00187841" w:rsidRDefault="000A6B5E" w:rsidP="00BD494C">
      <w:pPr>
        <w:pStyle w:val="BodyText"/>
      </w:pPr>
      <w:r>
        <w:t>As noted above, t</w:t>
      </w:r>
      <w:r w:rsidR="00187841">
        <w:t>he reports provide mixed views on the cohesiveness of the EPA’s ELT.</w:t>
      </w:r>
      <w:r w:rsidR="00755C19">
        <w:t xml:space="preserve"> </w:t>
      </w:r>
      <w:r>
        <w:t>T</w:t>
      </w:r>
      <w:r w:rsidR="00187841">
        <w:t xml:space="preserve">he EPA </w:t>
      </w:r>
      <w:r w:rsidR="00187841" w:rsidRPr="00F47270">
        <w:t xml:space="preserve">self-review suggests that the cohesive nature of the ELT is an area </w:t>
      </w:r>
      <w:r w:rsidR="00187841">
        <w:t>of strength</w:t>
      </w:r>
      <w:r w:rsidR="00187841" w:rsidRPr="00F47270">
        <w:t xml:space="preserve">, </w:t>
      </w:r>
      <w:r w:rsidR="00187841">
        <w:t xml:space="preserve">while </w:t>
      </w:r>
      <w:r w:rsidR="00187841" w:rsidRPr="00F47270">
        <w:t xml:space="preserve">the external </w:t>
      </w:r>
      <w:r w:rsidR="00187841" w:rsidRPr="00CF062C">
        <w:t>review concludes that the ELT’s aspirations for the organisation are not cohesive.</w:t>
      </w:r>
    </w:p>
    <w:p w:rsidR="00AE1E1D" w:rsidRDefault="00AE1E1D" w:rsidP="00BD494C">
      <w:pPr>
        <w:pStyle w:val="BodyText"/>
      </w:pPr>
      <w:r>
        <w:lastRenderedPageBreak/>
        <w:t xml:space="preserve">The EPA’s ELT will need to take a cohesive approach and work with the Board if the recommendations of this review are to be effectively implemented. The mixed observations suggest that there are positive aspects to the EPA’s internal leadership, but also potentially areas for further development. </w:t>
      </w:r>
    </w:p>
    <w:p w:rsidR="00187841" w:rsidRDefault="00AE1E1D" w:rsidP="00BD494C">
      <w:pPr>
        <w:pStyle w:val="BodyText"/>
      </w:pPr>
      <w:r>
        <w:t>This is an area in which the Ministry will seek to improve its understanding as part of its regular performance monitoring of the EPA</w:t>
      </w:r>
      <w:r w:rsidR="003F3FD2">
        <w:t>, and w</w:t>
      </w:r>
      <w:r w:rsidR="00187841">
        <w:t>e encourage the EPA to maintain an open dialogue with the Ministry about any issues they are facing.</w:t>
      </w:r>
      <w:r w:rsidR="00755C19">
        <w:t xml:space="preserve"> </w:t>
      </w:r>
    </w:p>
    <w:p w:rsidR="003C7CA8" w:rsidRDefault="003C7CA8" w:rsidP="003C7CA8">
      <w:pPr>
        <w:pStyle w:val="Heading3"/>
      </w:pPr>
      <w:r>
        <w:t>Working with others dimension</w:t>
      </w:r>
    </w:p>
    <w:p w:rsidR="00723DED" w:rsidRPr="00D95803" w:rsidRDefault="00723DED" w:rsidP="00723DED">
      <w:pPr>
        <w:pStyle w:val="BodyText"/>
        <w:rPr>
          <w:i/>
        </w:rPr>
      </w:pPr>
      <w:r w:rsidRPr="00D95803">
        <w:rPr>
          <w:i/>
        </w:rPr>
        <w:t>This dimension includes the</w:t>
      </w:r>
      <w:r>
        <w:rPr>
          <w:i/>
        </w:rPr>
        <w:t xml:space="preserve"> sector contribution; collaboration and partnerships with stakeholders; and experiences of the public </w:t>
      </w:r>
      <w:r w:rsidRPr="00D95803">
        <w:rPr>
          <w:i/>
        </w:rPr>
        <w:t>elements of the PIF approach.</w:t>
      </w:r>
    </w:p>
    <w:p w:rsidR="003C7CA8" w:rsidRPr="00BD494C" w:rsidRDefault="00F531B6" w:rsidP="00BD494C">
      <w:pPr>
        <w:pStyle w:val="BodyText"/>
      </w:pPr>
      <w:r>
        <w:t>Feedback gathered during the R</w:t>
      </w:r>
      <w:r w:rsidR="003C7CA8">
        <w:t>eview supports the EPA’s own view (evidenced in its performance reports), and that of the Productivity Commission, that the EPA has been working ef</w:t>
      </w:r>
      <w:r w:rsidR="003C7CA8" w:rsidRPr="00BD494C">
        <w:t xml:space="preserve">fectively with Māori. We are also aware the EPA has been making a greater effort to work with industry and other stakeholders, particularly in the EEZ and hazardous substances areas. </w:t>
      </w:r>
    </w:p>
    <w:p w:rsidR="003C7CA8" w:rsidRPr="00BD494C" w:rsidRDefault="003C7CA8" w:rsidP="00BD494C">
      <w:pPr>
        <w:pStyle w:val="BodyText"/>
      </w:pPr>
      <w:r w:rsidRPr="00BD494C">
        <w:t xml:space="preserve">Similarly, we are aware the joint-agency arrangements for oversight and coordination of the </w:t>
      </w:r>
      <w:r w:rsidR="00292999" w:rsidRPr="00BD494C">
        <w:t>Emissions Trading Scheme (</w:t>
      </w:r>
      <w:r w:rsidRPr="00BD494C">
        <w:t>ETS</w:t>
      </w:r>
      <w:r w:rsidR="00292999" w:rsidRPr="00BD494C">
        <w:t>)</w:t>
      </w:r>
      <w:r w:rsidRPr="00BD494C">
        <w:t xml:space="preserve"> are considered to be very effective. </w:t>
      </w:r>
    </w:p>
    <w:p w:rsidR="003C7CA8" w:rsidRDefault="007E47F2" w:rsidP="00BD494C">
      <w:pPr>
        <w:pStyle w:val="BodyText"/>
      </w:pPr>
      <w:r w:rsidRPr="00BD494C">
        <w:t>However, t</w:t>
      </w:r>
      <w:r w:rsidR="003C7CA8" w:rsidRPr="00BD494C">
        <w:t>he EPA will continue to face tension between running robust and transparent decision</w:t>
      </w:r>
      <w:r w:rsidR="00292999" w:rsidRPr="00BD494C">
        <w:t>-</w:t>
      </w:r>
      <w:r w:rsidR="003C7CA8" w:rsidRPr="00BD494C">
        <w:t>making process</w:t>
      </w:r>
      <w:r w:rsidR="000A35EB" w:rsidRPr="00BD494C">
        <w:t>es</w:t>
      </w:r>
      <w:r w:rsidR="003C7CA8" w:rsidRPr="00BD494C">
        <w:t xml:space="preserve">, </w:t>
      </w:r>
      <w:r w:rsidR="00D53692" w:rsidRPr="00BD494C">
        <w:t xml:space="preserve">and </w:t>
      </w:r>
      <w:r w:rsidR="003C7CA8" w:rsidRPr="00BD494C">
        <w:t xml:space="preserve">supporting submitters and applicants to meet their needs. As such, </w:t>
      </w:r>
      <w:r w:rsidR="003C7CA8">
        <w:t>we consider this to be an area that will continue to require attention from the EPA, and potentially some changes to practice. We recommend the EPA consider how the successful networks and processes developed to support Māori engagement</w:t>
      </w:r>
      <w:r w:rsidR="006F0EC8">
        <w:t xml:space="preserve"> and cross-agency ETS coordination </w:t>
      </w:r>
      <w:r w:rsidR="003C7CA8">
        <w:t>could be adapted and applied to different decision</w:t>
      </w:r>
      <w:r w:rsidR="00292999">
        <w:t>-</w:t>
      </w:r>
      <w:r w:rsidR="003C7CA8">
        <w:t xml:space="preserve">making processes and other stakeholder groups. </w:t>
      </w:r>
    </w:p>
    <w:p w:rsidR="003C7CA8" w:rsidRPr="00BD494C" w:rsidRDefault="003C7CA8" w:rsidP="00BD494C">
      <w:pPr>
        <w:pStyle w:val="Heading3"/>
      </w:pPr>
      <w:r>
        <w:t>Improving delivery dimension</w:t>
      </w:r>
    </w:p>
    <w:p w:rsidR="00723DED" w:rsidRPr="00D95803" w:rsidRDefault="00723DED" w:rsidP="00723DED">
      <w:pPr>
        <w:pStyle w:val="BodyText"/>
        <w:rPr>
          <w:i/>
        </w:rPr>
      </w:pPr>
      <w:r w:rsidRPr="00D95803">
        <w:rPr>
          <w:i/>
        </w:rPr>
        <w:t xml:space="preserve">This dimension includes the </w:t>
      </w:r>
      <w:r>
        <w:rPr>
          <w:i/>
        </w:rPr>
        <w:t xml:space="preserve">review; improving efficiency and effectiveness; and regulatory stewardship </w:t>
      </w:r>
      <w:r w:rsidRPr="00D95803">
        <w:rPr>
          <w:i/>
        </w:rPr>
        <w:t>elements of the PIF approach.</w:t>
      </w:r>
    </w:p>
    <w:p w:rsidR="003B2AC8" w:rsidRPr="00BD494C" w:rsidRDefault="003B2AC8" w:rsidP="006D550C">
      <w:pPr>
        <w:pStyle w:val="Heading4"/>
      </w:pPr>
      <w:r>
        <w:t xml:space="preserve">Better understanding effectiveness and efficiency </w:t>
      </w:r>
    </w:p>
    <w:p w:rsidR="003C7CA8" w:rsidRPr="00BD494C" w:rsidRDefault="003C7CA8" w:rsidP="00BD494C">
      <w:pPr>
        <w:pStyle w:val="BodyText"/>
      </w:pPr>
      <w:r>
        <w:t xml:space="preserve">The EPA has been focused on ensuring it is capable of processing applications and making </w:t>
      </w:r>
      <w:r w:rsidRPr="00BD494C">
        <w:t>decisions within legislated timeframes. Howe</w:t>
      </w:r>
      <w:r w:rsidR="00F531B6" w:rsidRPr="00BD494C">
        <w:t>ver, the R</w:t>
      </w:r>
      <w:r w:rsidRPr="00BD494C">
        <w:t>eview has highlighted to us that the EPA</w:t>
      </w:r>
      <w:r w:rsidR="007125C5">
        <w:t> </w:t>
      </w:r>
      <w:r w:rsidRPr="00BD494C">
        <w:t>has only a limited understanding of its cost drivers and how these impact on its own effectiveness and efficienc</w:t>
      </w:r>
      <w:r w:rsidR="006354EC" w:rsidRPr="00BD494C">
        <w:t xml:space="preserve">y, or that of the wider system. The </w:t>
      </w:r>
      <w:r w:rsidR="00292999" w:rsidRPr="00BD494C">
        <w:t>Fiscal Review</w:t>
      </w:r>
      <w:r w:rsidR="006354EC" w:rsidRPr="00BD494C">
        <w:t xml:space="preserve"> notes that while the EPA has carried out benchmarking of its administrative support services for the past two years, it has not </w:t>
      </w:r>
      <w:r w:rsidR="00F14BF4" w:rsidRPr="00BD494C">
        <w:t xml:space="preserve">yet </w:t>
      </w:r>
      <w:r w:rsidR="006354EC" w:rsidRPr="00BD494C">
        <w:t>done so</w:t>
      </w:r>
      <w:r w:rsidR="00F14BF4" w:rsidRPr="00BD494C">
        <w:t xml:space="preserve"> in detail for</w:t>
      </w:r>
      <w:r w:rsidR="00AB5D9A" w:rsidRPr="00BD494C">
        <w:t xml:space="preserve"> </w:t>
      </w:r>
      <w:r w:rsidR="006354EC" w:rsidRPr="00BD494C">
        <w:t xml:space="preserve">its operational </w:t>
      </w:r>
      <w:r w:rsidR="00F14BF4" w:rsidRPr="00BD494C">
        <w:t xml:space="preserve">work </w:t>
      </w:r>
      <w:r w:rsidR="006354EC" w:rsidRPr="00BD494C">
        <w:t>areas.</w:t>
      </w:r>
      <w:r w:rsidR="00F14BF4" w:rsidRPr="00BD494C">
        <w:t xml:space="preserve"> </w:t>
      </w:r>
      <w:r w:rsidR="00AB5D9A" w:rsidRPr="00BD494C">
        <w:t xml:space="preserve">We appreciate the challenges in finding suitable </w:t>
      </w:r>
      <w:r w:rsidR="00EC0BDF" w:rsidRPr="00BD494C">
        <w:t>organisations</w:t>
      </w:r>
      <w:r w:rsidR="00AB5D9A" w:rsidRPr="00BD494C">
        <w:t xml:space="preserve"> against which to</w:t>
      </w:r>
      <w:r w:rsidR="00730CBF" w:rsidRPr="00BD494C">
        <w:t xml:space="preserve"> carry out operational </w:t>
      </w:r>
      <w:r w:rsidR="00AB5D9A" w:rsidRPr="00BD494C">
        <w:t>benchmark</w:t>
      </w:r>
      <w:r w:rsidR="00730CBF" w:rsidRPr="00BD494C">
        <w:t>ing</w:t>
      </w:r>
      <w:r w:rsidR="00AB5D9A" w:rsidRPr="00BD494C">
        <w:t xml:space="preserve">, but consider that </w:t>
      </w:r>
      <w:r w:rsidR="00633A7A" w:rsidRPr="00BD494C">
        <w:t>such an exercise</w:t>
      </w:r>
      <w:r w:rsidR="00F14BF4" w:rsidRPr="00BD494C">
        <w:t xml:space="preserve"> would </w:t>
      </w:r>
      <w:r w:rsidR="00292999" w:rsidRPr="00BD494C">
        <w:t xml:space="preserve">help </w:t>
      </w:r>
      <w:r w:rsidR="00F14BF4" w:rsidRPr="00BD494C">
        <w:t xml:space="preserve">the EPA </w:t>
      </w:r>
      <w:r w:rsidR="00633A7A" w:rsidRPr="00BD494C">
        <w:t>better understand</w:t>
      </w:r>
      <w:r w:rsidR="00F14BF4" w:rsidRPr="00BD494C">
        <w:t xml:space="preserve"> its cost drivers and the impact these have.</w:t>
      </w:r>
      <w:r w:rsidR="006354EC" w:rsidRPr="00BD494C">
        <w:t xml:space="preserve"> </w:t>
      </w:r>
    </w:p>
    <w:p w:rsidR="0028220C" w:rsidRPr="00BD494C" w:rsidRDefault="004A197C" w:rsidP="00BD494C">
      <w:pPr>
        <w:pStyle w:val="BodyText"/>
      </w:pPr>
      <w:r w:rsidRPr="00BD494C">
        <w:t xml:space="preserve">Feedback from applicants has indicated there is some dissatisfaction with the EPA underestimating the cost of hearings and sending unexpected invoices for further costs. </w:t>
      </w:r>
      <w:r w:rsidR="0028220C" w:rsidRPr="00BD494C">
        <w:t xml:space="preserve">As part of improving its understanding of its cost drivers and efficiencies, we consider that the EPA needs to improve its processes for estimating the cost of hearings, and for keeping the cost of hearings reasonable. </w:t>
      </w:r>
    </w:p>
    <w:p w:rsidR="003F3FD2" w:rsidRDefault="00BD248C" w:rsidP="00BD494C">
      <w:pPr>
        <w:pStyle w:val="BodyText"/>
      </w:pPr>
      <w:r w:rsidRPr="00BD494C">
        <w:lastRenderedPageBreak/>
        <w:t>We underst</w:t>
      </w:r>
      <w:r>
        <w:t>and the EPA does spend time considering the lessons from each decision</w:t>
      </w:r>
      <w:r w:rsidR="00292999">
        <w:t>-</w:t>
      </w:r>
      <w:r>
        <w:t>making process (ie</w:t>
      </w:r>
      <w:r w:rsidR="00903DF2">
        <w:t>,</w:t>
      </w:r>
      <w:r>
        <w:t xml:space="preserve"> each Board of Inquiry decision). However</w:t>
      </w:r>
      <w:r w:rsidR="003C7CA8">
        <w:t xml:space="preserve">, we consider there </w:t>
      </w:r>
      <w:r w:rsidR="005C46EC">
        <w:t>is</w:t>
      </w:r>
      <w:r w:rsidR="003C7CA8">
        <w:t xml:space="preserve"> scope for the EPA</w:t>
      </w:r>
      <w:r w:rsidR="007125C5">
        <w:t> </w:t>
      </w:r>
      <w:r w:rsidR="003C7CA8">
        <w:t xml:space="preserve">to embed a stronger culture of learning and sharing experiences across its different work areas. </w:t>
      </w:r>
      <w:r w:rsidR="009B4D5E">
        <w:t xml:space="preserve">An </w:t>
      </w:r>
      <w:r w:rsidR="003F3FD2">
        <w:t>increas</w:t>
      </w:r>
      <w:r w:rsidR="009B4D5E">
        <w:t>ed</w:t>
      </w:r>
      <w:r w:rsidR="003F3FD2">
        <w:t xml:space="preserve"> understanding of </w:t>
      </w:r>
      <w:r w:rsidR="00774119">
        <w:t>effectiveness and</w:t>
      </w:r>
      <w:r w:rsidR="003F3FD2">
        <w:t xml:space="preserve"> efficiency will enable the EPA to identify opportunities for</w:t>
      </w:r>
      <w:r w:rsidR="00774119">
        <w:t xml:space="preserve"> cost savings in service delivery, and help it </w:t>
      </w:r>
      <w:r w:rsidR="009B4D5E">
        <w:t>to</w:t>
      </w:r>
      <w:r w:rsidR="003F3FD2">
        <w:t xml:space="preserve"> identify where to prioritise resources.</w:t>
      </w:r>
    </w:p>
    <w:p w:rsidR="003C7CA8" w:rsidRDefault="003C7CA8" w:rsidP="003C7CA8">
      <w:pPr>
        <w:pStyle w:val="Heading3"/>
      </w:pPr>
      <w:r>
        <w:t>Finance and resources dimension</w:t>
      </w:r>
    </w:p>
    <w:p w:rsidR="00723DED" w:rsidRPr="00D95803" w:rsidRDefault="00723DED" w:rsidP="00723DED">
      <w:pPr>
        <w:pStyle w:val="BodyText"/>
        <w:rPr>
          <w:i/>
        </w:rPr>
      </w:pPr>
      <w:r w:rsidRPr="00D95803">
        <w:rPr>
          <w:i/>
        </w:rPr>
        <w:t xml:space="preserve">This dimension includes the </w:t>
      </w:r>
      <w:r>
        <w:rPr>
          <w:i/>
        </w:rPr>
        <w:t>asset management; information management; financial management; and risk management</w:t>
      </w:r>
      <w:r w:rsidRPr="00D95803">
        <w:rPr>
          <w:i/>
        </w:rPr>
        <w:t xml:space="preserve"> elements of the PIF approach.</w:t>
      </w:r>
    </w:p>
    <w:p w:rsidR="003C7CA8" w:rsidRPr="00BD494C" w:rsidRDefault="003C7CA8" w:rsidP="007125C5">
      <w:pPr>
        <w:pStyle w:val="Heading4"/>
      </w:pPr>
      <w:r>
        <w:t xml:space="preserve">Financial planning </w:t>
      </w:r>
    </w:p>
    <w:p w:rsidR="003C7CA8" w:rsidRDefault="003C7CA8" w:rsidP="00BD494C">
      <w:pPr>
        <w:pStyle w:val="BodyText"/>
      </w:pPr>
      <w:r>
        <w:t xml:space="preserve">The Ministry recognises the EPA </w:t>
      </w:r>
      <w:r w:rsidRPr="00062ACB">
        <w:t xml:space="preserve">has </w:t>
      </w:r>
      <w:r w:rsidR="00C63142" w:rsidRPr="00062ACB">
        <w:t xml:space="preserve">delivered/managed its work programme within its appropriations during its first </w:t>
      </w:r>
      <w:r w:rsidR="00F50018" w:rsidRPr="00062ACB">
        <w:t>three</w:t>
      </w:r>
      <w:r w:rsidR="00C63142" w:rsidRPr="00062ACB">
        <w:t xml:space="preserve"> years</w:t>
      </w:r>
      <w:r w:rsidRPr="00062ACB">
        <w:t xml:space="preserve">. The </w:t>
      </w:r>
      <w:r>
        <w:t xml:space="preserve">EPA had a budget surplus of $1.2 million for the 2011/12 financial year and $1.3 million for 2012/13. Additionally, it was agreed the EPA could have a budget deficit of $2 million for the 2013/14 financial year when the final deficit for the year was $1.1 million. The EPA received an additional cash injection for the 2014/15 financial year to assist with the costs of implementing the </w:t>
      </w:r>
      <w:r w:rsidR="00292999">
        <w:t>Exclusive Economic Zone (</w:t>
      </w:r>
      <w:r>
        <w:t>EEZ</w:t>
      </w:r>
      <w:r w:rsidR="00292999">
        <w:t>)</w:t>
      </w:r>
      <w:r>
        <w:t xml:space="preserve"> function</w:t>
      </w:r>
      <w:r w:rsidR="00041D8F">
        <w:t xml:space="preserve"> (there was no funding for the EEZ function prior to this, and there is still no baseline funding)</w:t>
      </w:r>
      <w:r>
        <w:t>.</w:t>
      </w:r>
    </w:p>
    <w:p w:rsidR="003C7CA8" w:rsidRDefault="003C7CA8" w:rsidP="00BD494C">
      <w:pPr>
        <w:pStyle w:val="BodyText"/>
      </w:pPr>
      <w:r>
        <w:t xml:space="preserve">However, through this </w:t>
      </w:r>
      <w:r w:rsidR="00292999">
        <w:t xml:space="preserve">Review </w:t>
      </w:r>
      <w:r>
        <w:t xml:space="preserve">the Ministry has become aware of significant deficiencies with the EPA’s financial systems and planning. </w:t>
      </w:r>
      <w:r w:rsidR="00395F8C">
        <w:t>This has made it</w:t>
      </w:r>
      <w:r>
        <w:t xml:space="preserve"> difficult to </w:t>
      </w:r>
      <w:r w:rsidR="00395F8C">
        <w:t>draw</w:t>
      </w:r>
      <w:r>
        <w:t xml:space="preserve"> conclusions about the EPA’s long-term fiscal sustainability. </w:t>
      </w:r>
    </w:p>
    <w:p w:rsidR="009A18DF" w:rsidRDefault="003C7CA8" w:rsidP="00BD494C">
      <w:pPr>
        <w:pStyle w:val="BodyText"/>
      </w:pPr>
      <w:r>
        <w:t xml:space="preserve">We consider the EPA’s financial planning requires urgent attention and have already taken steps to improve the information provided for the </w:t>
      </w:r>
      <w:r w:rsidR="00292999">
        <w:t>four year</w:t>
      </w:r>
      <w:r>
        <w:t xml:space="preserve"> </w:t>
      </w:r>
      <w:r w:rsidR="00292999">
        <w:t>p</w:t>
      </w:r>
      <w:r>
        <w:t xml:space="preserve">lan process. Providing this new information will be the first step in ensuring the EPA can engage in meaningful conversations about its budget and priorities. </w:t>
      </w:r>
    </w:p>
    <w:p w:rsidR="00C73D14" w:rsidRPr="00963BCA" w:rsidRDefault="00C73D14" w:rsidP="00BD494C">
      <w:pPr>
        <w:pStyle w:val="BodyText"/>
      </w:pPr>
      <w:r>
        <w:t xml:space="preserve">We are aware a new Financial </w:t>
      </w:r>
      <w:r w:rsidRPr="00C73D14">
        <w:t xml:space="preserve">Management Information System (FMIS) is being developed and implemented. This is expected to make it easier for managers to complete their financial responsibilities including managing their contract spend, planning and budgeting. The new system is also expected to improve the EPA’s reporting capability. As </w:t>
      </w:r>
      <w:r w:rsidR="00395F8C">
        <w:t xml:space="preserve">the </w:t>
      </w:r>
      <w:r w:rsidRPr="00C73D14">
        <w:t>monitoring agency</w:t>
      </w:r>
      <w:r w:rsidR="00395F8C">
        <w:t>,</w:t>
      </w:r>
      <w:r w:rsidRPr="00C73D14">
        <w:t xml:space="preserve"> we will be expecting the EPA to provide better medium</w:t>
      </w:r>
      <w:r w:rsidR="00292999">
        <w:t>-</w:t>
      </w:r>
      <w:r w:rsidRPr="00C73D14">
        <w:t xml:space="preserve"> and longer</w:t>
      </w:r>
      <w:r w:rsidR="00292999">
        <w:t>-</w:t>
      </w:r>
      <w:r w:rsidRPr="00C73D14">
        <w:t>term planning and financial information so we can better</w:t>
      </w:r>
      <w:r w:rsidR="00395F8C">
        <w:t xml:space="preserve"> understand</w:t>
      </w:r>
      <w:r w:rsidRPr="00C73D14">
        <w:t xml:space="preserve"> its progress and highlight potential funding risks and trade-off decisions. This includes</w:t>
      </w:r>
      <w:r w:rsidR="00755C19">
        <w:t xml:space="preserve"> </w:t>
      </w:r>
      <w:r w:rsidR="00292999">
        <w:t xml:space="preserve">four </w:t>
      </w:r>
      <w:r w:rsidRPr="00C73D14">
        <w:t>year financial forecasts,</w:t>
      </w:r>
      <w:r w:rsidRPr="00963BCA">
        <w:t xml:space="preserve"> breakdowns of how the Crown appropriation and non-Crown funding is being spent</w:t>
      </w:r>
      <w:r>
        <w:t>, and more detailed sensitivity analysis on key performance drivers such as application</w:t>
      </w:r>
      <w:r w:rsidR="000448E4">
        <w:t xml:space="preserve"> flow</w:t>
      </w:r>
      <w:r w:rsidR="00292999">
        <w:t>.</w:t>
      </w:r>
    </w:p>
    <w:p w:rsidR="003F3FD2" w:rsidRDefault="0021615E" w:rsidP="00BD494C">
      <w:pPr>
        <w:pStyle w:val="BodyText"/>
      </w:pPr>
      <w:r>
        <w:t xml:space="preserve">The </w:t>
      </w:r>
      <w:r w:rsidR="00C73D14">
        <w:t>Ministry will continue to work closely with the EPA to overcome the existing information deficiencies.</w:t>
      </w:r>
      <w:r>
        <w:t xml:space="preserve"> This work includes:</w:t>
      </w:r>
    </w:p>
    <w:p w:rsidR="003F3FD2" w:rsidRDefault="003F3FD2" w:rsidP="00BD494C">
      <w:pPr>
        <w:pStyle w:val="Bullet"/>
      </w:pPr>
      <w:r>
        <w:t xml:space="preserve">confirming the EPA’s Crown funding requirements for the 2015/16 financial year and helping the EPA to become </w:t>
      </w:r>
      <w:r w:rsidR="0062403F">
        <w:t>‘</w:t>
      </w:r>
      <w:r>
        <w:t>investment ready</w:t>
      </w:r>
      <w:r w:rsidR="0062403F">
        <w:t xml:space="preserve">’ </w:t>
      </w:r>
      <w:r>
        <w:t>for future year</w:t>
      </w:r>
    </w:p>
    <w:p w:rsidR="003F3FD2" w:rsidRDefault="003F3FD2" w:rsidP="00BD494C">
      <w:pPr>
        <w:pStyle w:val="Bullet"/>
      </w:pPr>
      <w:proofErr w:type="gramStart"/>
      <w:r>
        <w:t>the</w:t>
      </w:r>
      <w:proofErr w:type="gramEnd"/>
      <w:r>
        <w:t xml:space="preserve"> Ministry and</w:t>
      </w:r>
      <w:r w:rsidR="0021615E">
        <w:t xml:space="preserve"> the</w:t>
      </w:r>
      <w:r>
        <w:t xml:space="preserve"> EPA working together to assess the cost-recovery regimes in place and make any desirable changes. </w:t>
      </w:r>
    </w:p>
    <w:p w:rsidR="003C7CA8" w:rsidRPr="00BD494C" w:rsidRDefault="003C7CA8" w:rsidP="00BD494C">
      <w:pPr>
        <w:pStyle w:val="Heading4"/>
      </w:pPr>
      <w:r>
        <w:lastRenderedPageBreak/>
        <w:t>Investment in system upgrades and maintenance</w:t>
      </w:r>
    </w:p>
    <w:p w:rsidR="00CE4D08" w:rsidRDefault="00032D54" w:rsidP="00BD494C">
      <w:pPr>
        <w:pStyle w:val="BodyText"/>
      </w:pPr>
      <w:r>
        <w:t xml:space="preserve">Over the past three years the EPA has </w:t>
      </w:r>
      <w:r w:rsidR="00EF147D">
        <w:t xml:space="preserve">invested significantly </w:t>
      </w:r>
      <w:r>
        <w:t>to develop a new Emissions Unit Register</w:t>
      </w:r>
      <w:r w:rsidR="00C11735">
        <w:t xml:space="preserve"> and is</w:t>
      </w:r>
      <w:r>
        <w:t xml:space="preserve"> nearing the completion of a new financial management system. </w:t>
      </w:r>
    </w:p>
    <w:p w:rsidR="00501314" w:rsidRDefault="004E029D" w:rsidP="00BD494C">
      <w:pPr>
        <w:pStyle w:val="BodyText"/>
      </w:pPr>
      <w:r>
        <w:t>Outside of these investments,</w:t>
      </w:r>
      <w:r w:rsidR="003C7CA8">
        <w:t xml:space="preserve"> the review</w:t>
      </w:r>
      <w:r w:rsidR="00C77A68">
        <w:t xml:space="preserve"> </w:t>
      </w:r>
      <w:r w:rsidR="00032D54">
        <w:t>identified</w:t>
      </w:r>
      <w:r>
        <w:t xml:space="preserve"> that there has been</w:t>
      </w:r>
      <w:r w:rsidR="00032D54">
        <w:t xml:space="preserve"> </w:t>
      </w:r>
      <w:r w:rsidR="003C7CA8">
        <w:t>limited planning</w:t>
      </w:r>
      <w:r w:rsidR="00C11735">
        <w:t xml:space="preserve"> and </w:t>
      </w:r>
      <w:r w:rsidR="0062403F">
        <w:t>develop</w:t>
      </w:r>
      <w:r w:rsidR="00C11735">
        <w:t>ment of</w:t>
      </w:r>
      <w:r w:rsidR="003C7CA8">
        <w:t xml:space="preserve"> systems to support the EPA in delivering its core business (</w:t>
      </w:r>
      <w:r w:rsidR="0062403F">
        <w:t>eg,</w:t>
      </w:r>
      <w:r w:rsidR="003C7CA8">
        <w:t xml:space="preserve"> the systems for processing applications in an efficient manner). Such systems are central for the efficient and effective delivery of the EPA’s core business</w:t>
      </w:r>
      <w:r w:rsidR="00C11735" w:rsidRPr="00C11735">
        <w:t xml:space="preserve"> </w:t>
      </w:r>
      <w:r w:rsidR="00C11735">
        <w:t>and we will be encouraging the EPA to be more proactive in planning both the timing and funding of new systems and system upgrades in the future</w:t>
      </w:r>
      <w:r w:rsidR="00501314">
        <w:t>.</w:t>
      </w:r>
    </w:p>
    <w:p w:rsidR="003C7CA8" w:rsidRDefault="003C7CA8" w:rsidP="003C7CA8">
      <w:pPr>
        <w:pStyle w:val="Heading4"/>
      </w:pPr>
      <w:r>
        <w:t>Cost recovery practices</w:t>
      </w:r>
    </w:p>
    <w:p w:rsidR="003C7CA8" w:rsidRPr="003C775E" w:rsidRDefault="003C7CA8" w:rsidP="00BD494C">
      <w:pPr>
        <w:pStyle w:val="BodyText"/>
      </w:pPr>
      <w:r w:rsidRPr="003C775E">
        <w:t>The analysis of the EPA’s cost recovery practices concludes that further work is required to properly understand the impact of any changes to the cost recovery regime on the EPA’s financial position</w:t>
      </w:r>
      <w:r w:rsidR="00B977CF" w:rsidRPr="003C775E">
        <w:t xml:space="preserve">, but that changes </w:t>
      </w:r>
      <w:r w:rsidR="009C1199" w:rsidRPr="003C775E">
        <w:t>to</w:t>
      </w:r>
      <w:r w:rsidR="00B977CF" w:rsidRPr="003C775E">
        <w:t xml:space="preserve"> the regime are unlikely to result in a </w:t>
      </w:r>
      <w:r w:rsidR="009C1199" w:rsidRPr="003C775E">
        <w:t>significant</w:t>
      </w:r>
      <w:r w:rsidR="00B977CF" w:rsidRPr="003C775E">
        <w:t xml:space="preserve"> </w:t>
      </w:r>
      <w:r w:rsidR="009C1199" w:rsidRPr="003C775E">
        <w:t>source</w:t>
      </w:r>
      <w:r w:rsidR="00B977CF" w:rsidRPr="003C775E">
        <w:t xml:space="preserve"> of extra funding for the EPA</w:t>
      </w:r>
      <w:r w:rsidRPr="003C775E">
        <w:t xml:space="preserve">. The Ministry will work with the EPA to fully assess this. </w:t>
      </w:r>
    </w:p>
    <w:p w:rsidR="003C7CA8" w:rsidRPr="003C775E" w:rsidRDefault="003C7CA8" w:rsidP="00BD494C">
      <w:pPr>
        <w:pStyle w:val="BodyText"/>
      </w:pPr>
      <w:r w:rsidRPr="003C775E">
        <w:t xml:space="preserve">The cost recovery report </w:t>
      </w:r>
      <w:r w:rsidR="00BE2C7E" w:rsidRPr="003C775E">
        <w:t>recommends a number of areas for further work, including</w:t>
      </w:r>
      <w:r w:rsidRPr="003C775E">
        <w:t>:</w:t>
      </w:r>
    </w:p>
    <w:p w:rsidR="003C7CA8" w:rsidRPr="003C775E" w:rsidRDefault="00E242AB" w:rsidP="00BD494C">
      <w:pPr>
        <w:pStyle w:val="Bullet"/>
      </w:pPr>
      <w:r w:rsidRPr="003C775E">
        <w:t>u</w:t>
      </w:r>
      <w:r w:rsidR="003C7CA8" w:rsidRPr="003C775E">
        <w:t>pdat</w:t>
      </w:r>
      <w:r w:rsidR="00BE2C7E" w:rsidRPr="003C775E">
        <w:t>ing</w:t>
      </w:r>
      <w:r w:rsidR="003C7CA8" w:rsidRPr="003C775E">
        <w:t xml:space="preserve"> the hourly charges for cost recovery of </w:t>
      </w:r>
      <w:r w:rsidR="00A56A4D" w:rsidRPr="003C775E">
        <w:t>nationally significant pro</w:t>
      </w:r>
      <w:r w:rsidR="00EE28A7" w:rsidRPr="003C775E">
        <w:t>posal</w:t>
      </w:r>
      <w:r w:rsidR="00A56A4D" w:rsidRPr="003C775E">
        <w:t xml:space="preserve"> (NSP) </w:t>
      </w:r>
      <w:r w:rsidR="003C7CA8" w:rsidRPr="003C775E">
        <w:t>applications and EEZ decision</w:t>
      </w:r>
      <w:r w:rsidR="00A56A4D" w:rsidRPr="003C775E">
        <w:t>-</w:t>
      </w:r>
      <w:r w:rsidR="003C7CA8" w:rsidRPr="003C775E">
        <w:t>making and compliance to take account of</w:t>
      </w:r>
      <w:r w:rsidR="009C1199" w:rsidRPr="003C775E">
        <w:t>, for example</w:t>
      </w:r>
      <w:r w:rsidR="003C7CA8" w:rsidRPr="003C775E">
        <w:t>:</w:t>
      </w:r>
    </w:p>
    <w:p w:rsidR="003C7CA8" w:rsidRPr="003C775E" w:rsidRDefault="003C7CA8" w:rsidP="00BD494C">
      <w:pPr>
        <w:pStyle w:val="Sub-bullet"/>
      </w:pPr>
      <w:r w:rsidRPr="003C775E">
        <w:t>an adjustment for inflation</w:t>
      </w:r>
    </w:p>
    <w:p w:rsidR="003C7CA8" w:rsidRPr="003C775E" w:rsidRDefault="003C7CA8" w:rsidP="00BD494C">
      <w:pPr>
        <w:pStyle w:val="Sub-bullet"/>
      </w:pPr>
      <w:r w:rsidRPr="003C775E">
        <w:t>any efficiencies gained through the formation of the EPA</w:t>
      </w:r>
    </w:p>
    <w:p w:rsidR="003C7CA8" w:rsidRPr="003C775E" w:rsidRDefault="00292434" w:rsidP="00BD494C">
      <w:pPr>
        <w:pStyle w:val="Bullet"/>
      </w:pPr>
      <w:r w:rsidRPr="003C775E">
        <w:t>develop</w:t>
      </w:r>
      <w:r w:rsidR="00BE2C7E" w:rsidRPr="003C775E">
        <w:t>ing</w:t>
      </w:r>
      <w:r w:rsidRPr="003C775E">
        <w:t xml:space="preserve"> a better understanding about how effectively the existing</w:t>
      </w:r>
      <w:r w:rsidR="003C7CA8" w:rsidRPr="003C775E">
        <w:t xml:space="preserve"> cost recovery regime</w:t>
      </w:r>
      <w:r w:rsidRPr="003C775E">
        <w:t xml:space="preserve"> is working</w:t>
      </w:r>
      <w:r w:rsidR="003C7CA8" w:rsidRPr="003C775E">
        <w:t xml:space="preserve">, in particular </w:t>
      </w:r>
      <w:r w:rsidR="007B10BB" w:rsidRPr="003C775E">
        <w:t>monitoring performance against target cost recovery rates</w:t>
      </w:r>
      <w:r w:rsidR="003C7CA8" w:rsidRPr="003C775E">
        <w:t xml:space="preserve"> </w:t>
      </w:r>
      <w:r w:rsidR="007B10BB" w:rsidRPr="003C775E">
        <w:t>and understanding the extent to which the EPA is recovering all justifiably recoverable costs</w:t>
      </w:r>
    </w:p>
    <w:p w:rsidR="004F02C8" w:rsidRPr="003C775E" w:rsidRDefault="004F02C8" w:rsidP="00BD494C">
      <w:pPr>
        <w:pStyle w:val="Bullet"/>
      </w:pPr>
      <w:proofErr w:type="gramStart"/>
      <w:r w:rsidRPr="003C775E">
        <w:t>reviewing</w:t>
      </w:r>
      <w:proofErr w:type="gramEnd"/>
      <w:r w:rsidRPr="003C775E">
        <w:t xml:space="preserve"> in detail the cost recovery regime for HSNO, including reviewing the current target rate of cost recovery of 17%, and the method of charging</w:t>
      </w:r>
      <w:r w:rsidR="00C973CD">
        <w:t>.</w:t>
      </w:r>
    </w:p>
    <w:p w:rsidR="003C7CA8" w:rsidRPr="003C775E" w:rsidRDefault="00B977CF" w:rsidP="00BD494C">
      <w:pPr>
        <w:pStyle w:val="BodyText"/>
      </w:pPr>
      <w:r w:rsidRPr="003C775E">
        <w:t>It is unlikely that making these change</w:t>
      </w:r>
      <w:r w:rsidR="00B741E7" w:rsidRPr="003C775E">
        <w:t>s</w:t>
      </w:r>
      <w:r w:rsidRPr="003C775E">
        <w:t xml:space="preserve"> will</w:t>
      </w:r>
      <w:r w:rsidR="003C7CA8" w:rsidRPr="003C775E">
        <w:t xml:space="preserve"> result in significant changes to the EPA’s non-Crown funding. However, we consider making the changes, or at least investigating their impact, will be important for providing clarity to applicants and</w:t>
      </w:r>
      <w:r w:rsidR="00395F8C" w:rsidRPr="003C775E">
        <w:t xml:space="preserve"> improving</w:t>
      </w:r>
      <w:r w:rsidR="003C7CA8" w:rsidRPr="003C775E">
        <w:t xml:space="preserve"> consistency in the EPA’s approach to cost recovery. </w:t>
      </w:r>
    </w:p>
    <w:p w:rsidR="003C7CA8" w:rsidRDefault="003C7CA8" w:rsidP="003C7CA8">
      <w:pPr>
        <w:pStyle w:val="Heading3"/>
      </w:pPr>
      <w:r w:rsidRPr="003C775E">
        <w:t>Implementing its regulatory functions</w:t>
      </w:r>
    </w:p>
    <w:p w:rsidR="00057F98" w:rsidRDefault="00057F98" w:rsidP="00BD494C">
      <w:pPr>
        <w:pStyle w:val="Heading4"/>
      </w:pPr>
      <w:r>
        <w:t>Assessing risk</w:t>
      </w:r>
      <w:r w:rsidR="004C72B2">
        <w:t xml:space="preserve"> and the decision-making process</w:t>
      </w:r>
    </w:p>
    <w:p w:rsidR="003C7CA8" w:rsidRPr="00BD494C" w:rsidRDefault="003C7CA8" w:rsidP="00BD494C">
      <w:pPr>
        <w:pStyle w:val="BodyText"/>
      </w:pPr>
      <w:r w:rsidRPr="00626119">
        <w:t>The EPA has demonstrated that it can process applications within statutory timeframes in its discretionary decisio</w:t>
      </w:r>
      <w:r w:rsidRPr="00BD494C">
        <w:t>n</w:t>
      </w:r>
      <w:r w:rsidR="005F4310" w:rsidRPr="00BD494C">
        <w:t>-</w:t>
      </w:r>
      <w:r w:rsidRPr="00BD494C">
        <w:t xml:space="preserve">making areas. However, concerns were raised during the </w:t>
      </w:r>
      <w:r w:rsidR="005F4310" w:rsidRPr="00BD494C">
        <w:t xml:space="preserve">Review </w:t>
      </w:r>
      <w:r w:rsidRPr="00BD494C">
        <w:t xml:space="preserve">about the risk-averse nature of the decisions it makes, </w:t>
      </w:r>
      <w:r w:rsidR="005F4310" w:rsidRPr="00BD494C">
        <w:t>and</w:t>
      </w:r>
      <w:r w:rsidR="00B26ADD" w:rsidRPr="00BD494C">
        <w:t xml:space="preserve"> that it is sometimes in</w:t>
      </w:r>
      <w:r w:rsidR="00753575" w:rsidRPr="00BD494C">
        <w:t xml:space="preserve">flexible </w:t>
      </w:r>
      <w:r w:rsidR="00B26ADD" w:rsidRPr="00BD494C">
        <w:t xml:space="preserve">in the </w:t>
      </w:r>
      <w:r w:rsidR="00753575" w:rsidRPr="00BD494C">
        <w:t xml:space="preserve">way </w:t>
      </w:r>
      <w:r w:rsidR="00B26ADD" w:rsidRPr="00BD494C">
        <w:t xml:space="preserve">that </w:t>
      </w:r>
      <w:r w:rsidR="00753575" w:rsidRPr="00BD494C">
        <w:t>it interprets its role.</w:t>
      </w:r>
      <w:r w:rsidRPr="00BD494C">
        <w:t xml:space="preserve"> </w:t>
      </w:r>
    </w:p>
    <w:p w:rsidR="003C7CA8" w:rsidRPr="00BD494C" w:rsidRDefault="000E050B" w:rsidP="00BD494C">
      <w:pPr>
        <w:pStyle w:val="BodyText"/>
      </w:pPr>
      <w:r>
        <w:t>Each</w:t>
      </w:r>
      <w:r w:rsidR="000920CE">
        <w:t xml:space="preserve"> of the environmental Acts set</w:t>
      </w:r>
      <w:r w:rsidR="00611BFF">
        <w:t>s</w:t>
      </w:r>
      <w:r w:rsidR="000920CE">
        <w:t xml:space="preserve"> out different statutory criteria for decision making</w:t>
      </w:r>
      <w:r w:rsidR="00611BFF">
        <w:t xml:space="preserve"> that</w:t>
      </w:r>
      <w:r w:rsidR="000920CE">
        <w:t xml:space="preserve"> the EPA must adhere to, and which affect how risk and uncertainty are considered. </w:t>
      </w:r>
      <w:r w:rsidR="001C6C00">
        <w:t>Given this, w</w:t>
      </w:r>
      <w:r w:rsidR="002C48FE" w:rsidRPr="00BD494C">
        <w:t>e consider th</w:t>
      </w:r>
      <w:r w:rsidR="001C6C00">
        <w:t xml:space="preserve">at </w:t>
      </w:r>
      <w:r w:rsidR="00611BFF">
        <w:t xml:space="preserve">the continued </w:t>
      </w:r>
      <w:r w:rsidR="003C7CA8" w:rsidRPr="00751D3A">
        <w:t>develop</w:t>
      </w:r>
      <w:r w:rsidR="00611BFF">
        <w:t>ment of</w:t>
      </w:r>
      <w:r w:rsidR="003C7CA8" w:rsidRPr="00751D3A">
        <w:t xml:space="preserve"> </w:t>
      </w:r>
      <w:r w:rsidR="00976EE7">
        <w:t xml:space="preserve">transparent systems and processes for assessing risk </w:t>
      </w:r>
      <w:r w:rsidR="00611BFF">
        <w:t xml:space="preserve">and uncertainty </w:t>
      </w:r>
      <w:r w:rsidR="003C7CA8" w:rsidRPr="00751D3A">
        <w:t xml:space="preserve">will be important </w:t>
      </w:r>
      <w:r w:rsidR="00214BC6">
        <w:t>for</w:t>
      </w:r>
      <w:r w:rsidR="003C7CA8" w:rsidRPr="00751D3A">
        <w:t xml:space="preserve"> ensuring</w:t>
      </w:r>
      <w:r w:rsidR="00976EE7">
        <w:t xml:space="preserve"> that stakeholders maintain confidence in the decisions made by</w:t>
      </w:r>
      <w:r w:rsidR="003C7CA8" w:rsidRPr="00751D3A">
        <w:t xml:space="preserve"> the EPA. </w:t>
      </w:r>
    </w:p>
    <w:p w:rsidR="003C7CA8" w:rsidRPr="00BD494C" w:rsidRDefault="003C7CA8" w:rsidP="00BD494C">
      <w:pPr>
        <w:pStyle w:val="BodyText"/>
      </w:pPr>
      <w:r w:rsidRPr="00BD494C">
        <w:lastRenderedPageBreak/>
        <w:t xml:space="preserve">Additionally, and related to the above point, </w:t>
      </w:r>
      <w:r w:rsidR="00480A12" w:rsidRPr="00BD494C">
        <w:t xml:space="preserve">concern was raised during the </w:t>
      </w:r>
      <w:r w:rsidR="005F4310" w:rsidRPr="00BD494C">
        <w:t xml:space="preserve">Review </w:t>
      </w:r>
      <w:r w:rsidR="00480A12" w:rsidRPr="00BD494C">
        <w:t>that the EPA is perceived to be favouring applicants in the decision</w:t>
      </w:r>
      <w:r w:rsidR="005F4310" w:rsidRPr="00BD494C">
        <w:t>-</w:t>
      </w:r>
      <w:r w:rsidR="00480A12" w:rsidRPr="00BD494C">
        <w:t>making process. While we have not been presented any evidence that this is the case, it is important to point out that stakeholders (such as applicants, submitters, and other interested parties) must have confidence in the EPA to be able to come to independent decisions without favouring one party over another.</w:t>
      </w:r>
    </w:p>
    <w:p w:rsidR="0005359E" w:rsidRPr="00BD494C" w:rsidRDefault="0005359E" w:rsidP="00BD494C">
      <w:pPr>
        <w:pStyle w:val="BodyText"/>
      </w:pPr>
      <w:r w:rsidRPr="00BD494C">
        <w:t xml:space="preserve">The </w:t>
      </w:r>
      <w:r w:rsidR="00F531B6" w:rsidRPr="00BD494C">
        <w:t>R</w:t>
      </w:r>
      <w:r w:rsidRPr="00BD494C">
        <w:t>eview findings reflect, as we would expect, that different regulatory regimes are in different states of maturity. This is the result of both the length of time that regimes have been operating, as well as the complexity of decisions required under those regimes.</w:t>
      </w:r>
    </w:p>
    <w:p w:rsidR="0005359E" w:rsidRDefault="0005359E" w:rsidP="00BD494C">
      <w:pPr>
        <w:pStyle w:val="BodyText"/>
      </w:pPr>
      <w:r w:rsidRPr="00BD494C">
        <w:t>The newness of some regimes (</w:t>
      </w:r>
      <w:r w:rsidR="005F4310" w:rsidRPr="00BD494C">
        <w:t>eg,</w:t>
      </w:r>
      <w:r w:rsidRPr="00BD494C">
        <w:t xml:space="preserve"> EEZ) and the restructuring of other regimes (</w:t>
      </w:r>
      <w:r w:rsidR="005F4310" w:rsidRPr="00BD494C">
        <w:t>eg,</w:t>
      </w:r>
      <w:r w:rsidRPr="00BD494C">
        <w:t xml:space="preserve"> the transfer of some </w:t>
      </w:r>
      <w:r w:rsidR="007329B4" w:rsidRPr="00BD494C">
        <w:t xml:space="preserve">HSNO </w:t>
      </w:r>
      <w:r w:rsidRPr="00BD494C">
        <w:t xml:space="preserve">functions to the newly-formed </w:t>
      </w:r>
      <w:proofErr w:type="spellStart"/>
      <w:r w:rsidRPr="00BD494C">
        <w:t>Worksafe</w:t>
      </w:r>
      <w:proofErr w:type="spellEnd"/>
      <w:r w:rsidRPr="00BD494C">
        <w:t xml:space="preserve">) </w:t>
      </w:r>
      <w:proofErr w:type="gramStart"/>
      <w:r w:rsidRPr="00BD494C">
        <w:t>has</w:t>
      </w:r>
      <w:proofErr w:type="gramEnd"/>
      <w:r w:rsidRPr="00BD494C">
        <w:t xml:space="preserve"> made it difficult to comment on the effectiveness of specific regulatory regimes, other than to assess whether legislative timeframes are being achieved. The exception is the ETS, where feedback received during the Review clearly supp</w:t>
      </w:r>
      <w:r>
        <w:t>orts the assessment that the administration of the scheme is sound. The</w:t>
      </w:r>
      <w:r w:rsidRPr="00982ADF">
        <w:t xml:space="preserve"> function has good cross-agency governance arrangement</w:t>
      </w:r>
      <w:r>
        <w:t>s</w:t>
      </w:r>
      <w:r w:rsidRPr="00982ADF">
        <w:t>, access to expertise, a good understanding of the delivery of its core business, and considers how it fits with and contributes to the wider climate change policy agenda.</w:t>
      </w:r>
    </w:p>
    <w:p w:rsidR="00057F98" w:rsidRPr="00BD494C" w:rsidRDefault="00057F98" w:rsidP="00BD494C">
      <w:pPr>
        <w:pStyle w:val="Heading4"/>
      </w:pPr>
      <w:r w:rsidRPr="00531136">
        <w:t>Obtaining suitable decision makers</w:t>
      </w:r>
      <w:r>
        <w:t xml:space="preserve"> </w:t>
      </w:r>
    </w:p>
    <w:p w:rsidR="00057F98" w:rsidRDefault="00057F98" w:rsidP="00BD494C">
      <w:pPr>
        <w:pStyle w:val="BodyText"/>
      </w:pPr>
      <w:r w:rsidRPr="008E2582">
        <w:t>An increasing challenge for the EPA is identifying and obtaining decision makers who are suitable for appointment to decision</w:t>
      </w:r>
      <w:r w:rsidR="005F4310">
        <w:t>-</w:t>
      </w:r>
      <w:r w:rsidRPr="008E2582">
        <w:t xml:space="preserve">making committees. This includes identifying candidates suitable for appointment by the Minister for the Environment to </w:t>
      </w:r>
      <w:r w:rsidR="005F4310">
        <w:t>b</w:t>
      </w:r>
      <w:r w:rsidR="005F4310" w:rsidRPr="008E2582">
        <w:t xml:space="preserve">oards </w:t>
      </w:r>
      <w:r w:rsidRPr="008E2582">
        <w:t xml:space="preserve">of </w:t>
      </w:r>
      <w:r w:rsidR="005F4310">
        <w:t>i</w:t>
      </w:r>
      <w:r w:rsidR="005F4310" w:rsidRPr="008E2582">
        <w:t xml:space="preserve">nquiry </w:t>
      </w:r>
      <w:r w:rsidRPr="008E2582">
        <w:t>for nationally significan</w:t>
      </w:r>
      <w:r>
        <w:t>t proposals.</w:t>
      </w:r>
      <w:r w:rsidR="00755C19">
        <w:t xml:space="preserve"> </w:t>
      </w:r>
    </w:p>
    <w:p w:rsidR="00057F98" w:rsidRDefault="00057F98" w:rsidP="00BD494C">
      <w:pPr>
        <w:pStyle w:val="BodyText"/>
      </w:pPr>
      <w:r>
        <w:t>The first challenge is the small New Zealand market limiting the number of potential candidates. The second challenge, which is exacerbated by the first challenge, is to identify candidates who do not have actual or perceived conflicts or have conflicts that can be managed. The final challenge is imposed by the Cabinet Fees Framework which sets the fees</w:t>
      </w:r>
      <w:r w:rsidR="00BD494C">
        <w:t> </w:t>
      </w:r>
      <w:r>
        <w:t xml:space="preserve">payable to </w:t>
      </w:r>
      <w:r w:rsidR="005F4310">
        <w:t xml:space="preserve">boards </w:t>
      </w:r>
      <w:r>
        <w:t xml:space="preserve">and </w:t>
      </w:r>
      <w:r w:rsidR="005F4310">
        <w:t>committees</w:t>
      </w:r>
      <w:r>
        <w:t xml:space="preserve">, depending on the type of work they are doing. The fee levels set by the </w:t>
      </w:r>
      <w:r w:rsidR="005F4310">
        <w:t xml:space="preserve">Cabinet Fees </w:t>
      </w:r>
      <w:r>
        <w:t>Framework recognise a public good element and therefore set the rates significantly lower than many of the potential candidates could obtain in the private sector.</w:t>
      </w:r>
    </w:p>
    <w:p w:rsidR="00057F98" w:rsidRPr="008E2582" w:rsidRDefault="00057F98" w:rsidP="00BD494C">
      <w:pPr>
        <w:pStyle w:val="BodyText"/>
      </w:pPr>
      <w:r>
        <w:t>Overcoming these challenges will not be easy, in particular because making changes in these areas is generally outside the control of the Ministry and EPA. However, the Ministry will work with the EPA and other agencies to consider options for addressing these matters. Examples could include investigating ways to better share resources and the potential for providing a permanent decision</w:t>
      </w:r>
      <w:r w:rsidR="005F4310">
        <w:t>-</w:t>
      </w:r>
      <w:r>
        <w:t xml:space="preserve">making committee resource. </w:t>
      </w:r>
    </w:p>
    <w:p w:rsidR="00057F98" w:rsidRPr="00BD494C" w:rsidRDefault="00057F98" w:rsidP="00BD494C">
      <w:pPr>
        <w:pStyle w:val="BodyText"/>
      </w:pPr>
    </w:p>
    <w:p w:rsidR="00903DF2" w:rsidRDefault="00903DF2">
      <w:pPr>
        <w:spacing w:before="0" w:after="200" w:line="276" w:lineRule="auto"/>
        <w:jc w:val="left"/>
        <w:rPr>
          <w:rStyle w:val="Heading1Char"/>
          <w:rFonts w:eastAsiaTheme="minorEastAsia" w:cstheme="minorBidi"/>
          <w:b w:val="0"/>
          <w:bCs w:val="0"/>
          <w:color w:val="auto"/>
          <w:sz w:val="22"/>
          <w:szCs w:val="22"/>
        </w:rPr>
      </w:pPr>
      <w:r>
        <w:rPr>
          <w:rStyle w:val="Heading1Char"/>
          <w:rFonts w:eastAsiaTheme="minorEastAsia" w:cstheme="minorBidi"/>
          <w:b w:val="0"/>
          <w:bCs w:val="0"/>
          <w:color w:val="auto"/>
          <w:sz w:val="22"/>
          <w:szCs w:val="22"/>
        </w:rPr>
        <w:br w:type="page"/>
      </w:r>
    </w:p>
    <w:p w:rsidR="003C7CA8" w:rsidRPr="00F235F0" w:rsidRDefault="00E95E20" w:rsidP="00903DF2">
      <w:pPr>
        <w:pStyle w:val="Heading1"/>
      </w:pPr>
      <w:bookmarkStart w:id="23" w:name="_Toc417466128"/>
      <w:r>
        <w:lastRenderedPageBreak/>
        <w:t>3</w:t>
      </w:r>
      <w:r>
        <w:tab/>
      </w:r>
      <w:r w:rsidR="003C7CA8" w:rsidRPr="00F235F0">
        <w:t>Responding to the recommendations from the component reports</w:t>
      </w:r>
      <w:bookmarkEnd w:id="23"/>
      <w:r w:rsidR="003C7CA8" w:rsidRPr="00F235F0">
        <w:t xml:space="preserve"> </w:t>
      </w:r>
    </w:p>
    <w:p w:rsidR="003C7CA8" w:rsidRDefault="003C7CA8" w:rsidP="00BD494C">
      <w:pPr>
        <w:pStyle w:val="BodyText"/>
      </w:pPr>
      <w:r>
        <w:t>Reviewers have made a number of recommendations in the various component reports, many of which have already been reflected in previous sections of this report.</w:t>
      </w:r>
    </w:p>
    <w:p w:rsidR="003C7CA8" w:rsidRDefault="003C7CA8" w:rsidP="00BD494C">
      <w:pPr>
        <w:pStyle w:val="BodyText"/>
      </w:pPr>
      <w:r>
        <w:t>Generally, the Ministry is supportive of the recommendations made in the component reports.</w:t>
      </w:r>
      <w:r w:rsidRPr="00B22C13">
        <w:t xml:space="preserve"> </w:t>
      </w:r>
      <w:r>
        <w:t>We have highlighted in previous sections those recommendations that we consider are most likely to result in the EPA making the transition from an operationally focused organisation to an effective and fit for purpose environ</w:t>
      </w:r>
      <w:r w:rsidR="00FE7643">
        <w:t>mental regulator. However, the R</w:t>
      </w:r>
      <w:r>
        <w:t xml:space="preserve">eview reports contain other recommendations that if implemented will </w:t>
      </w:r>
      <w:r w:rsidR="00DC4405">
        <w:t xml:space="preserve">help </w:t>
      </w:r>
      <w:r>
        <w:t>the EPA achieve that goal. The span of recommendations means they will need to be prioritised.</w:t>
      </w:r>
    </w:p>
    <w:p w:rsidR="003C7CA8" w:rsidRDefault="003C7CA8" w:rsidP="00BD494C">
      <w:pPr>
        <w:pStyle w:val="BodyText"/>
      </w:pPr>
      <w:r>
        <w:t>There are approximately 42 recommendations</w:t>
      </w:r>
      <w:r w:rsidRPr="007C271B">
        <w:t xml:space="preserve"> </w:t>
      </w:r>
      <w:r>
        <w:t>across the component reports.</w:t>
      </w:r>
      <w:r w:rsidR="00721C3A">
        <w:t xml:space="preserve"> We have condensed these into 1</w:t>
      </w:r>
      <w:r w:rsidR="006C33F2">
        <w:t>2</w:t>
      </w:r>
      <w:r>
        <w:t xml:space="preserve"> high level recommendations, as summarised in </w:t>
      </w:r>
      <w:r w:rsidR="00DC4405">
        <w:fldChar w:fldCharType="begin"/>
      </w:r>
      <w:r w:rsidR="00DC4405">
        <w:instrText xml:space="preserve"> REF _Ref404170292 \h </w:instrText>
      </w:r>
      <w:r w:rsidR="00DC4405">
        <w:fldChar w:fldCharType="separate"/>
      </w:r>
      <w:r w:rsidR="00387AF7" w:rsidRPr="005E0229">
        <w:t xml:space="preserve">Table </w:t>
      </w:r>
      <w:r w:rsidR="00387AF7">
        <w:rPr>
          <w:noProof/>
        </w:rPr>
        <w:t>2</w:t>
      </w:r>
      <w:r w:rsidR="00DC4405">
        <w:fldChar w:fldCharType="end"/>
      </w:r>
      <w:r>
        <w:t>.</w:t>
      </w:r>
      <w:r>
        <w:rPr>
          <w:rStyle w:val="FootnoteReference"/>
        </w:rPr>
        <w:footnoteReference w:id="2"/>
      </w:r>
      <w:r w:rsidR="00755C19">
        <w:t xml:space="preserve"> </w:t>
      </w:r>
      <w:r>
        <w:t xml:space="preserve"> </w:t>
      </w:r>
    </w:p>
    <w:p w:rsidR="003C7CA8" w:rsidRPr="005E0229" w:rsidRDefault="003C7CA8" w:rsidP="00BD494C">
      <w:pPr>
        <w:pStyle w:val="Tableheading"/>
      </w:pPr>
      <w:bookmarkStart w:id="24" w:name="_Ref404170292"/>
      <w:bookmarkStart w:id="25" w:name="_Toc414363741"/>
      <w:r w:rsidRPr="005E0229">
        <w:t xml:space="preserve">Table </w:t>
      </w:r>
      <w:fldSimple w:instr=" SEQ Table \* ARABIC ">
        <w:r w:rsidR="00387AF7">
          <w:rPr>
            <w:noProof/>
          </w:rPr>
          <w:t>2</w:t>
        </w:r>
      </w:fldSimple>
      <w:bookmarkEnd w:id="24"/>
      <w:r w:rsidRPr="005E0229">
        <w:t xml:space="preserve">: </w:t>
      </w:r>
      <w:r w:rsidR="00BD494C">
        <w:tab/>
      </w:r>
      <w:r w:rsidRPr="005E0229">
        <w:t>Summarising the recommendations of the Review component reports</w:t>
      </w:r>
      <w:bookmarkEnd w:id="25"/>
    </w:p>
    <w:tbl>
      <w:tblPr>
        <w:tblW w:w="8505" w:type="dxa"/>
        <w:tblInd w:w="113" w:type="dxa"/>
        <w:tblBorders>
          <w:top w:val="single" w:sz="4" w:space="0" w:color="17556C"/>
          <w:bottom w:val="single" w:sz="4" w:space="0" w:color="17556C"/>
          <w:insideH w:val="single" w:sz="4" w:space="0" w:color="17556C"/>
        </w:tblBorders>
        <w:tblLook w:val="04A0" w:firstRow="1" w:lastRow="0" w:firstColumn="1" w:lastColumn="0" w:noHBand="0" w:noVBand="1"/>
      </w:tblPr>
      <w:tblGrid>
        <w:gridCol w:w="8505"/>
      </w:tblGrid>
      <w:tr w:rsidR="00BD494C" w:rsidRPr="00BD494C" w:rsidTr="008E5289">
        <w:tc>
          <w:tcPr>
            <w:tcW w:w="0" w:type="auto"/>
            <w:shd w:val="clear" w:color="auto" w:fill="17556C"/>
          </w:tcPr>
          <w:p w:rsidR="003C7CA8" w:rsidRPr="00BD494C" w:rsidRDefault="003C7CA8" w:rsidP="00D35C16">
            <w:pPr>
              <w:spacing w:before="60" w:after="60"/>
              <w:rPr>
                <w:rFonts w:eastAsia="Calibri"/>
                <w:color w:val="FFFFFF" w:themeColor="background1"/>
                <w:sz w:val="20"/>
                <w:szCs w:val="20"/>
                <w:lang w:eastAsia="en-US"/>
              </w:rPr>
            </w:pPr>
            <w:r w:rsidRPr="00BD494C">
              <w:rPr>
                <w:b/>
                <w:bCs/>
                <w:color w:val="FFFFFF" w:themeColor="background1"/>
                <w:sz w:val="20"/>
                <w:szCs w:val="20"/>
                <w:lang w:eastAsia="en-US"/>
              </w:rPr>
              <w:t>The Minister and Ministry should:</w:t>
            </w:r>
          </w:p>
        </w:tc>
      </w:tr>
      <w:tr w:rsidR="003C7CA8" w:rsidRPr="00484946" w:rsidTr="008E5289">
        <w:tc>
          <w:tcPr>
            <w:tcW w:w="0" w:type="auto"/>
            <w:shd w:val="clear" w:color="auto" w:fill="auto"/>
          </w:tcPr>
          <w:p w:rsidR="003C7CA8" w:rsidRPr="008569E9" w:rsidRDefault="003C7CA8" w:rsidP="009A7E73">
            <w:pPr>
              <w:numPr>
                <w:ilvl w:val="0"/>
                <w:numId w:val="22"/>
              </w:numPr>
              <w:tabs>
                <w:tab w:val="clear" w:pos="720"/>
                <w:tab w:val="num" w:pos="360"/>
              </w:tabs>
              <w:spacing w:before="20" w:after="20" w:line="240" w:lineRule="auto"/>
              <w:ind w:left="357" w:hanging="357"/>
              <w:jc w:val="left"/>
              <w:rPr>
                <w:sz w:val="20"/>
                <w:szCs w:val="20"/>
                <w:lang w:eastAsia="en-US"/>
              </w:rPr>
            </w:pPr>
            <w:r w:rsidRPr="008569E9">
              <w:rPr>
                <w:sz w:val="20"/>
                <w:szCs w:val="20"/>
                <w:lang w:eastAsia="en-US"/>
              </w:rPr>
              <w:t>Consider</w:t>
            </w:r>
            <w:r w:rsidR="00D805AA">
              <w:rPr>
                <w:sz w:val="20"/>
                <w:szCs w:val="20"/>
                <w:lang w:eastAsia="en-US"/>
              </w:rPr>
              <w:t xml:space="preserve"> how</w:t>
            </w:r>
            <w:r w:rsidR="00380C83">
              <w:rPr>
                <w:sz w:val="20"/>
                <w:szCs w:val="20"/>
                <w:lang w:eastAsia="en-US"/>
              </w:rPr>
              <w:t xml:space="preserve"> implementing the Review recommendations will affe</w:t>
            </w:r>
            <w:r w:rsidR="00D805AA">
              <w:rPr>
                <w:sz w:val="20"/>
                <w:szCs w:val="20"/>
                <w:lang w:eastAsia="en-US"/>
              </w:rPr>
              <w:t xml:space="preserve">ct </w:t>
            </w:r>
            <w:r w:rsidRPr="008569E9">
              <w:rPr>
                <w:sz w:val="20"/>
                <w:szCs w:val="20"/>
                <w:lang w:eastAsia="en-US"/>
              </w:rPr>
              <w:t xml:space="preserve">the </w:t>
            </w:r>
            <w:r w:rsidR="00D805AA">
              <w:rPr>
                <w:sz w:val="20"/>
                <w:szCs w:val="20"/>
                <w:lang w:eastAsia="en-US"/>
              </w:rPr>
              <w:t>future skillset needed</w:t>
            </w:r>
            <w:r w:rsidRPr="008569E9">
              <w:rPr>
                <w:sz w:val="20"/>
                <w:szCs w:val="20"/>
                <w:lang w:eastAsia="en-US"/>
              </w:rPr>
              <w:t xml:space="preserve"> </w:t>
            </w:r>
            <w:r w:rsidR="00D805AA">
              <w:rPr>
                <w:sz w:val="20"/>
                <w:szCs w:val="20"/>
                <w:lang w:eastAsia="en-US"/>
              </w:rPr>
              <w:t>by</w:t>
            </w:r>
            <w:r w:rsidRPr="008569E9">
              <w:rPr>
                <w:sz w:val="20"/>
                <w:szCs w:val="20"/>
                <w:lang w:eastAsia="en-US"/>
              </w:rPr>
              <w:t xml:space="preserve"> the Board</w:t>
            </w:r>
            <w:r w:rsidR="00380C83">
              <w:rPr>
                <w:sz w:val="20"/>
                <w:szCs w:val="20"/>
                <w:lang w:eastAsia="en-US"/>
              </w:rPr>
              <w:t>, and reflect that</w:t>
            </w:r>
            <w:r w:rsidRPr="008569E9">
              <w:rPr>
                <w:sz w:val="20"/>
                <w:szCs w:val="20"/>
                <w:lang w:eastAsia="en-US"/>
              </w:rPr>
              <w:t xml:space="preserve"> when making </w:t>
            </w:r>
            <w:r w:rsidR="00D805AA">
              <w:rPr>
                <w:sz w:val="20"/>
                <w:szCs w:val="20"/>
                <w:lang w:eastAsia="en-US"/>
              </w:rPr>
              <w:t xml:space="preserve">new </w:t>
            </w:r>
            <w:r w:rsidRPr="008569E9">
              <w:rPr>
                <w:sz w:val="20"/>
                <w:szCs w:val="20"/>
                <w:lang w:eastAsia="en-US"/>
              </w:rPr>
              <w:t>appointments</w:t>
            </w:r>
            <w:r w:rsidR="00D805AA">
              <w:rPr>
                <w:sz w:val="20"/>
                <w:szCs w:val="20"/>
                <w:lang w:eastAsia="en-US"/>
              </w:rPr>
              <w:t xml:space="preserve"> (</w:t>
            </w:r>
            <w:r w:rsidR="00DC4405">
              <w:rPr>
                <w:sz w:val="20"/>
                <w:szCs w:val="20"/>
                <w:lang w:eastAsia="en-US"/>
              </w:rPr>
              <w:t>eg,</w:t>
            </w:r>
            <w:r w:rsidR="00D805AA">
              <w:rPr>
                <w:sz w:val="20"/>
                <w:szCs w:val="20"/>
                <w:lang w:eastAsia="en-US"/>
              </w:rPr>
              <w:t xml:space="preserve"> </w:t>
            </w:r>
            <w:r w:rsidR="00380C83">
              <w:rPr>
                <w:sz w:val="20"/>
                <w:szCs w:val="20"/>
                <w:lang w:eastAsia="en-US"/>
              </w:rPr>
              <w:t>particular skills</w:t>
            </w:r>
            <w:r w:rsidR="00D805AA">
              <w:rPr>
                <w:sz w:val="20"/>
                <w:szCs w:val="20"/>
                <w:lang w:eastAsia="en-US"/>
              </w:rPr>
              <w:t xml:space="preserve"> in organisational development and strategy)</w:t>
            </w:r>
            <w:r w:rsidR="00DC4405">
              <w:rPr>
                <w:sz w:val="20"/>
                <w:szCs w:val="20"/>
                <w:lang w:eastAsia="en-US"/>
              </w:rPr>
              <w:t>.</w:t>
            </w:r>
          </w:p>
        </w:tc>
      </w:tr>
      <w:tr w:rsidR="003C7CA8" w:rsidRPr="00484946" w:rsidTr="008E5289">
        <w:tc>
          <w:tcPr>
            <w:tcW w:w="0" w:type="auto"/>
            <w:shd w:val="clear" w:color="auto" w:fill="auto"/>
          </w:tcPr>
          <w:p w:rsidR="003C7CA8" w:rsidRPr="00C31D2D" w:rsidRDefault="002E213B" w:rsidP="009A7E73">
            <w:pPr>
              <w:numPr>
                <w:ilvl w:val="0"/>
                <w:numId w:val="22"/>
              </w:numPr>
              <w:tabs>
                <w:tab w:val="clear" w:pos="720"/>
                <w:tab w:val="num" w:pos="360"/>
              </w:tabs>
              <w:spacing w:before="20" w:after="20" w:line="240" w:lineRule="auto"/>
              <w:ind w:left="360"/>
              <w:jc w:val="left"/>
              <w:rPr>
                <w:rFonts w:eastAsia="Calibri"/>
                <w:bCs/>
                <w:sz w:val="20"/>
              </w:rPr>
            </w:pPr>
            <w:r>
              <w:rPr>
                <w:sz w:val="20"/>
                <w:szCs w:val="20"/>
                <w:lang w:eastAsia="en-US"/>
              </w:rPr>
              <w:t>Conduct a follow-up review to ensure progress is being made</w:t>
            </w:r>
            <w:r w:rsidR="00DC4405">
              <w:rPr>
                <w:sz w:val="20"/>
                <w:szCs w:val="20"/>
                <w:lang w:eastAsia="en-US"/>
              </w:rPr>
              <w:t>.</w:t>
            </w:r>
          </w:p>
        </w:tc>
      </w:tr>
      <w:tr w:rsidR="003C7CA8" w:rsidRPr="00484946" w:rsidTr="008E5289">
        <w:tc>
          <w:tcPr>
            <w:tcW w:w="0" w:type="auto"/>
            <w:tcBorders>
              <w:bottom w:val="single" w:sz="4" w:space="0" w:color="17556C"/>
            </w:tcBorders>
            <w:shd w:val="clear" w:color="auto" w:fill="auto"/>
          </w:tcPr>
          <w:p w:rsidR="003C7CA8" w:rsidRPr="008569E9" w:rsidRDefault="003C7CA8" w:rsidP="009A7E73">
            <w:pPr>
              <w:numPr>
                <w:ilvl w:val="0"/>
                <w:numId w:val="22"/>
              </w:numPr>
              <w:tabs>
                <w:tab w:val="clear" w:pos="720"/>
                <w:tab w:val="num" w:pos="360"/>
              </w:tabs>
              <w:spacing w:before="20" w:after="20" w:line="240" w:lineRule="auto"/>
              <w:ind w:left="360"/>
              <w:jc w:val="left"/>
              <w:rPr>
                <w:sz w:val="20"/>
                <w:szCs w:val="20"/>
                <w:lang w:eastAsia="en-US"/>
              </w:rPr>
            </w:pPr>
            <w:r w:rsidRPr="008569E9">
              <w:rPr>
                <w:sz w:val="20"/>
                <w:szCs w:val="20"/>
                <w:lang w:eastAsia="en-US"/>
              </w:rPr>
              <w:t>Support the EPA in implementin</w:t>
            </w:r>
            <w:r w:rsidR="00FE7643" w:rsidRPr="008569E9">
              <w:rPr>
                <w:sz w:val="20"/>
                <w:szCs w:val="20"/>
                <w:lang w:eastAsia="en-US"/>
              </w:rPr>
              <w:t>g the recommendations from the R</w:t>
            </w:r>
            <w:r w:rsidRPr="008569E9">
              <w:rPr>
                <w:sz w:val="20"/>
                <w:szCs w:val="20"/>
                <w:lang w:eastAsia="en-US"/>
              </w:rPr>
              <w:t>eview, in particular through the Ministry drawing on its own experience of organisational change and developing strategic documents</w:t>
            </w:r>
            <w:r w:rsidR="00DC4405">
              <w:rPr>
                <w:sz w:val="20"/>
                <w:szCs w:val="20"/>
                <w:lang w:eastAsia="en-US"/>
              </w:rPr>
              <w:t>.</w:t>
            </w:r>
          </w:p>
        </w:tc>
      </w:tr>
      <w:tr w:rsidR="00BD494C" w:rsidRPr="00BD494C" w:rsidTr="008E5289">
        <w:tc>
          <w:tcPr>
            <w:tcW w:w="0" w:type="auto"/>
            <w:shd w:val="clear" w:color="auto" w:fill="17556C"/>
          </w:tcPr>
          <w:p w:rsidR="003C7CA8" w:rsidRPr="00BD494C" w:rsidRDefault="003C7CA8" w:rsidP="00D35C16">
            <w:pPr>
              <w:spacing w:before="60" w:after="60"/>
              <w:rPr>
                <w:rFonts w:eastAsia="Calibri" w:cs="Arial"/>
                <w:b/>
                <w:color w:val="FFFFFF" w:themeColor="background1"/>
                <w:sz w:val="20"/>
                <w:szCs w:val="20"/>
                <w:lang w:eastAsia="en-US"/>
              </w:rPr>
            </w:pPr>
            <w:r w:rsidRPr="00BD494C">
              <w:rPr>
                <w:rFonts w:eastAsia="Calibri" w:cs="Arial"/>
                <w:b/>
                <w:color w:val="FFFFFF" w:themeColor="background1"/>
                <w:sz w:val="20"/>
                <w:szCs w:val="20"/>
                <w:lang w:eastAsia="en-US"/>
              </w:rPr>
              <w:t>The EPA should:</w:t>
            </w:r>
          </w:p>
        </w:tc>
      </w:tr>
      <w:tr w:rsidR="003C7CA8" w:rsidRPr="00484946" w:rsidTr="008E5289">
        <w:tc>
          <w:tcPr>
            <w:tcW w:w="0" w:type="auto"/>
            <w:shd w:val="clear" w:color="auto" w:fill="auto"/>
          </w:tcPr>
          <w:p w:rsidR="003C7CA8" w:rsidRPr="00484946" w:rsidRDefault="003C7CA8" w:rsidP="009A7E73">
            <w:pPr>
              <w:numPr>
                <w:ilvl w:val="0"/>
                <w:numId w:val="22"/>
              </w:numPr>
              <w:tabs>
                <w:tab w:val="clear" w:pos="720"/>
                <w:tab w:val="num" w:pos="360"/>
              </w:tabs>
              <w:spacing w:before="20" w:after="20" w:line="240" w:lineRule="auto"/>
              <w:ind w:left="360"/>
              <w:jc w:val="left"/>
              <w:rPr>
                <w:rFonts w:eastAsia="Calibri"/>
                <w:sz w:val="20"/>
                <w:szCs w:val="20"/>
                <w:lang w:eastAsia="en-US"/>
              </w:rPr>
            </w:pPr>
            <w:r w:rsidRPr="00484946">
              <w:rPr>
                <w:sz w:val="20"/>
                <w:szCs w:val="20"/>
                <w:lang w:eastAsia="en-US"/>
              </w:rPr>
              <w:t xml:space="preserve">Shift from an operational/transaction focus to a strategic focus that includes considering </w:t>
            </w:r>
            <w:r>
              <w:rPr>
                <w:sz w:val="20"/>
                <w:szCs w:val="20"/>
                <w:lang w:eastAsia="en-US"/>
              </w:rPr>
              <w:t>its</w:t>
            </w:r>
            <w:r w:rsidRPr="00484946">
              <w:rPr>
                <w:sz w:val="20"/>
                <w:szCs w:val="20"/>
                <w:lang w:eastAsia="en-US"/>
              </w:rPr>
              <w:t xml:space="preserve"> longer-term stewardship responsibilities</w:t>
            </w:r>
            <w:r w:rsidR="00DC4405">
              <w:rPr>
                <w:sz w:val="20"/>
                <w:szCs w:val="20"/>
                <w:lang w:eastAsia="en-US"/>
              </w:rPr>
              <w:t>.</w:t>
            </w:r>
            <w:r w:rsidRPr="00484946">
              <w:rPr>
                <w:sz w:val="20"/>
                <w:szCs w:val="20"/>
                <w:lang w:eastAsia="en-US"/>
              </w:rPr>
              <w:t xml:space="preserve"> </w:t>
            </w:r>
          </w:p>
        </w:tc>
      </w:tr>
      <w:tr w:rsidR="003C7CA8" w:rsidRPr="00484946" w:rsidTr="008E5289">
        <w:tc>
          <w:tcPr>
            <w:tcW w:w="0" w:type="auto"/>
            <w:shd w:val="clear" w:color="auto" w:fill="auto"/>
          </w:tcPr>
          <w:p w:rsidR="003C7CA8" w:rsidRPr="00484946" w:rsidRDefault="003C7CA8" w:rsidP="009A7E73">
            <w:pPr>
              <w:numPr>
                <w:ilvl w:val="0"/>
                <w:numId w:val="22"/>
              </w:numPr>
              <w:tabs>
                <w:tab w:val="clear" w:pos="720"/>
                <w:tab w:val="num" w:pos="360"/>
              </w:tabs>
              <w:spacing w:before="20" w:after="20" w:line="240" w:lineRule="auto"/>
              <w:ind w:left="360"/>
              <w:jc w:val="left"/>
              <w:rPr>
                <w:rFonts w:eastAsia="Calibri"/>
                <w:sz w:val="20"/>
                <w:szCs w:val="20"/>
                <w:lang w:eastAsia="en-US"/>
              </w:rPr>
            </w:pPr>
            <w:r w:rsidRPr="00484946">
              <w:rPr>
                <w:sz w:val="20"/>
                <w:szCs w:val="20"/>
                <w:lang w:eastAsia="en-US"/>
              </w:rPr>
              <w:t>Strive for the ‘independence stamp</w:t>
            </w:r>
            <w:r w:rsidR="00921C6F">
              <w:rPr>
                <w:sz w:val="20"/>
                <w:szCs w:val="20"/>
                <w:lang w:eastAsia="en-US"/>
              </w:rPr>
              <w:t>’</w:t>
            </w:r>
            <w:r>
              <w:rPr>
                <w:sz w:val="20"/>
                <w:szCs w:val="20"/>
                <w:lang w:eastAsia="en-US"/>
              </w:rPr>
              <w:t>, ensuring its decision</w:t>
            </w:r>
            <w:r w:rsidR="00DC4405">
              <w:rPr>
                <w:sz w:val="20"/>
                <w:szCs w:val="20"/>
                <w:lang w:eastAsia="en-US"/>
              </w:rPr>
              <w:t>-</w:t>
            </w:r>
            <w:r>
              <w:rPr>
                <w:sz w:val="20"/>
                <w:szCs w:val="20"/>
                <w:lang w:eastAsia="en-US"/>
              </w:rPr>
              <w:t>making processes are robust, high quality, consistent and transparent</w:t>
            </w:r>
            <w:r w:rsidR="00DC4405">
              <w:rPr>
                <w:sz w:val="20"/>
                <w:szCs w:val="20"/>
                <w:lang w:eastAsia="en-US"/>
              </w:rPr>
              <w:t>.</w:t>
            </w:r>
          </w:p>
        </w:tc>
      </w:tr>
      <w:tr w:rsidR="003C7CA8" w:rsidRPr="00484946" w:rsidTr="008E5289">
        <w:tc>
          <w:tcPr>
            <w:tcW w:w="0" w:type="auto"/>
            <w:shd w:val="clear" w:color="auto" w:fill="auto"/>
          </w:tcPr>
          <w:p w:rsidR="003C7CA8" w:rsidRPr="00484946" w:rsidRDefault="003C7CA8" w:rsidP="009A7E73">
            <w:pPr>
              <w:numPr>
                <w:ilvl w:val="0"/>
                <w:numId w:val="22"/>
              </w:numPr>
              <w:tabs>
                <w:tab w:val="clear" w:pos="720"/>
                <w:tab w:val="num" w:pos="360"/>
              </w:tabs>
              <w:spacing w:before="20" w:after="20" w:line="240" w:lineRule="auto"/>
              <w:ind w:left="360"/>
              <w:jc w:val="left"/>
              <w:rPr>
                <w:rFonts w:eastAsia="Calibri"/>
                <w:sz w:val="20"/>
                <w:szCs w:val="20"/>
                <w:lang w:eastAsia="en-US"/>
              </w:rPr>
            </w:pPr>
            <w:r w:rsidRPr="00484946">
              <w:rPr>
                <w:sz w:val="20"/>
                <w:szCs w:val="20"/>
                <w:lang w:eastAsia="en-US"/>
              </w:rPr>
              <w:t>Retain the M</w:t>
            </w:r>
            <w:r w:rsidR="00DC4405">
              <w:rPr>
                <w:sz w:val="20"/>
                <w:szCs w:val="20"/>
                <w:lang w:eastAsia="en-US"/>
              </w:rPr>
              <w:t>ā</w:t>
            </w:r>
            <w:r w:rsidRPr="00484946">
              <w:rPr>
                <w:sz w:val="20"/>
                <w:szCs w:val="20"/>
                <w:lang w:eastAsia="en-US"/>
              </w:rPr>
              <w:t>o</w:t>
            </w:r>
            <w:r>
              <w:rPr>
                <w:sz w:val="20"/>
                <w:szCs w:val="20"/>
                <w:lang w:eastAsia="en-US"/>
              </w:rPr>
              <w:t>ri Advisory Committee but redefine</w:t>
            </w:r>
            <w:r w:rsidRPr="00484946">
              <w:rPr>
                <w:sz w:val="20"/>
                <w:szCs w:val="20"/>
                <w:lang w:eastAsia="en-US"/>
              </w:rPr>
              <w:t xml:space="preserve"> </w:t>
            </w:r>
            <w:r w:rsidR="00595E7C">
              <w:rPr>
                <w:sz w:val="20"/>
                <w:szCs w:val="20"/>
                <w:lang w:eastAsia="en-US"/>
              </w:rPr>
              <w:t>its</w:t>
            </w:r>
            <w:r w:rsidRPr="00484946">
              <w:rPr>
                <w:sz w:val="20"/>
                <w:szCs w:val="20"/>
                <w:lang w:eastAsia="en-US"/>
              </w:rPr>
              <w:t xml:space="preserve"> role</w:t>
            </w:r>
            <w:r w:rsidR="00DC4405">
              <w:rPr>
                <w:sz w:val="20"/>
                <w:szCs w:val="20"/>
                <w:lang w:eastAsia="en-US"/>
              </w:rPr>
              <w:t>.</w:t>
            </w:r>
          </w:p>
        </w:tc>
      </w:tr>
      <w:tr w:rsidR="003C7CA8" w:rsidRPr="00484946" w:rsidTr="008E5289">
        <w:tc>
          <w:tcPr>
            <w:tcW w:w="0" w:type="auto"/>
            <w:shd w:val="clear" w:color="auto" w:fill="auto"/>
          </w:tcPr>
          <w:p w:rsidR="003C7CA8" w:rsidRPr="00484946" w:rsidRDefault="001E4879" w:rsidP="009A7E73">
            <w:pPr>
              <w:numPr>
                <w:ilvl w:val="0"/>
                <w:numId w:val="22"/>
              </w:numPr>
              <w:tabs>
                <w:tab w:val="clear" w:pos="720"/>
                <w:tab w:val="num" w:pos="360"/>
              </w:tabs>
              <w:spacing w:before="20" w:after="20" w:line="240" w:lineRule="auto"/>
              <w:ind w:left="360"/>
              <w:jc w:val="left"/>
              <w:rPr>
                <w:rFonts w:eastAsia="Calibri" w:cs="Arial"/>
                <w:sz w:val="20"/>
                <w:szCs w:val="20"/>
                <w:lang w:eastAsia="en-US"/>
              </w:rPr>
            </w:pPr>
            <w:r>
              <w:rPr>
                <w:rFonts w:eastAsia="Times New Roman"/>
                <w:sz w:val="20"/>
                <w:szCs w:val="20"/>
              </w:rPr>
              <w:t>Develop a</w:t>
            </w:r>
            <w:r w:rsidR="00DC1A8F">
              <w:rPr>
                <w:rFonts w:eastAsia="Times New Roman"/>
                <w:sz w:val="20"/>
                <w:szCs w:val="20"/>
              </w:rPr>
              <w:t>n</w:t>
            </w:r>
            <w:r>
              <w:rPr>
                <w:rFonts w:eastAsia="Times New Roman"/>
                <w:sz w:val="20"/>
                <w:szCs w:val="20"/>
              </w:rPr>
              <w:t xml:space="preserve"> operating model t</w:t>
            </w:r>
            <w:r w:rsidR="00DC1A8F">
              <w:rPr>
                <w:rFonts w:eastAsia="Times New Roman"/>
                <w:sz w:val="20"/>
                <w:szCs w:val="20"/>
              </w:rPr>
              <w:t>hat</w:t>
            </w:r>
            <w:r>
              <w:rPr>
                <w:rFonts w:eastAsia="Times New Roman"/>
                <w:sz w:val="20"/>
                <w:szCs w:val="20"/>
              </w:rPr>
              <w:t xml:space="preserve"> </w:t>
            </w:r>
            <w:r w:rsidR="00153521">
              <w:rPr>
                <w:rFonts w:eastAsia="Times New Roman"/>
                <w:sz w:val="20"/>
                <w:szCs w:val="20"/>
              </w:rPr>
              <w:t xml:space="preserve">better </w:t>
            </w:r>
            <w:r>
              <w:rPr>
                <w:rFonts w:eastAsia="Times New Roman"/>
                <w:sz w:val="20"/>
                <w:szCs w:val="20"/>
              </w:rPr>
              <w:t>allow</w:t>
            </w:r>
            <w:r w:rsidR="00DC1A8F">
              <w:rPr>
                <w:rFonts w:eastAsia="Times New Roman"/>
                <w:sz w:val="20"/>
                <w:szCs w:val="20"/>
              </w:rPr>
              <w:t>s</w:t>
            </w:r>
            <w:r>
              <w:rPr>
                <w:rFonts w:eastAsia="Times New Roman"/>
                <w:sz w:val="20"/>
                <w:szCs w:val="20"/>
              </w:rPr>
              <w:t xml:space="preserve"> the organisation to be more responsive to patterns of demand, including investigating and, where viable, pursuing shared services with other government departments and Crown entities</w:t>
            </w:r>
            <w:r w:rsidR="00DC4405">
              <w:rPr>
                <w:rFonts w:eastAsia="Times New Roman"/>
                <w:sz w:val="20"/>
                <w:szCs w:val="20"/>
              </w:rPr>
              <w:t>.</w:t>
            </w:r>
          </w:p>
        </w:tc>
      </w:tr>
      <w:tr w:rsidR="003C7CA8" w:rsidRPr="00484946" w:rsidTr="008E5289">
        <w:tc>
          <w:tcPr>
            <w:tcW w:w="0" w:type="auto"/>
            <w:shd w:val="clear" w:color="auto" w:fill="auto"/>
          </w:tcPr>
          <w:p w:rsidR="003C7CA8" w:rsidRPr="00484946" w:rsidRDefault="003C7CA8" w:rsidP="009A7E73">
            <w:pPr>
              <w:numPr>
                <w:ilvl w:val="0"/>
                <w:numId w:val="22"/>
              </w:numPr>
              <w:tabs>
                <w:tab w:val="clear" w:pos="720"/>
                <w:tab w:val="num" w:pos="360"/>
              </w:tabs>
              <w:spacing w:before="20" w:after="20" w:line="240" w:lineRule="auto"/>
              <w:ind w:left="360"/>
              <w:jc w:val="left"/>
              <w:rPr>
                <w:rFonts w:eastAsia="Calibri" w:cs="Arial"/>
                <w:sz w:val="20"/>
                <w:szCs w:val="20"/>
                <w:lang w:eastAsia="en-US"/>
              </w:rPr>
            </w:pPr>
            <w:r w:rsidRPr="00484946">
              <w:rPr>
                <w:sz w:val="20"/>
                <w:szCs w:val="20"/>
                <w:lang w:eastAsia="en-US"/>
              </w:rPr>
              <w:t>Develop processes and measures to</w:t>
            </w:r>
            <w:r w:rsidR="00E96DF4">
              <w:rPr>
                <w:sz w:val="20"/>
                <w:szCs w:val="20"/>
                <w:lang w:eastAsia="en-US"/>
              </w:rPr>
              <w:t xml:space="preserve"> better u</w:t>
            </w:r>
            <w:r w:rsidRPr="00484946">
              <w:rPr>
                <w:sz w:val="20"/>
                <w:szCs w:val="20"/>
                <w:lang w:eastAsia="en-US"/>
              </w:rPr>
              <w:t xml:space="preserve">nderstand </w:t>
            </w:r>
            <w:r w:rsidR="00E96DF4">
              <w:rPr>
                <w:sz w:val="20"/>
                <w:szCs w:val="20"/>
                <w:lang w:eastAsia="en-US"/>
              </w:rPr>
              <w:t>how effective it is being</w:t>
            </w:r>
            <w:r w:rsidR="00DC4405">
              <w:rPr>
                <w:sz w:val="20"/>
                <w:szCs w:val="20"/>
                <w:lang w:eastAsia="en-US"/>
              </w:rPr>
              <w:t>.</w:t>
            </w:r>
          </w:p>
        </w:tc>
      </w:tr>
      <w:tr w:rsidR="003C7CA8" w:rsidRPr="00484946" w:rsidTr="008E5289">
        <w:tc>
          <w:tcPr>
            <w:tcW w:w="0" w:type="auto"/>
            <w:shd w:val="clear" w:color="auto" w:fill="auto"/>
          </w:tcPr>
          <w:p w:rsidR="003C7CA8" w:rsidRPr="00484946" w:rsidRDefault="00BF10EE" w:rsidP="009A7E73">
            <w:pPr>
              <w:keepNext/>
              <w:numPr>
                <w:ilvl w:val="0"/>
                <w:numId w:val="22"/>
              </w:numPr>
              <w:tabs>
                <w:tab w:val="clear" w:pos="720"/>
                <w:tab w:val="num" w:pos="360"/>
              </w:tabs>
              <w:spacing w:before="20" w:after="20" w:line="240" w:lineRule="auto"/>
              <w:ind w:left="357" w:hanging="357"/>
              <w:jc w:val="left"/>
              <w:rPr>
                <w:rFonts w:eastAsia="Calibri" w:cs="Arial"/>
                <w:sz w:val="20"/>
                <w:szCs w:val="20"/>
                <w:lang w:eastAsia="en-US"/>
              </w:rPr>
            </w:pPr>
            <w:r>
              <w:rPr>
                <w:sz w:val="20"/>
                <w:szCs w:val="20"/>
                <w:lang w:eastAsia="en-US"/>
              </w:rPr>
              <w:t>Continue work to d</w:t>
            </w:r>
            <w:r w:rsidR="003C7CA8" w:rsidRPr="00484946">
              <w:rPr>
                <w:sz w:val="20"/>
                <w:szCs w:val="20"/>
                <w:lang w:eastAsia="en-US"/>
              </w:rPr>
              <w:t>evelop and implement a robust long</w:t>
            </w:r>
            <w:r w:rsidR="00267D2D">
              <w:rPr>
                <w:sz w:val="20"/>
                <w:szCs w:val="20"/>
                <w:lang w:eastAsia="en-US"/>
              </w:rPr>
              <w:t>-</w:t>
            </w:r>
            <w:r w:rsidR="003C7CA8" w:rsidRPr="00484946">
              <w:rPr>
                <w:sz w:val="20"/>
                <w:szCs w:val="20"/>
                <w:lang w:eastAsia="en-US"/>
              </w:rPr>
              <w:t>term operational strategy (</w:t>
            </w:r>
            <w:r w:rsidR="008E4EC4">
              <w:rPr>
                <w:sz w:val="20"/>
                <w:szCs w:val="20"/>
                <w:lang w:eastAsia="en-US"/>
              </w:rPr>
              <w:t xml:space="preserve">which </w:t>
            </w:r>
            <w:r w:rsidR="003C7CA8" w:rsidRPr="00484946">
              <w:rPr>
                <w:sz w:val="20"/>
                <w:szCs w:val="20"/>
                <w:lang w:eastAsia="en-US"/>
              </w:rPr>
              <w:t>includes capital forecasts and a detailed operating budget</w:t>
            </w:r>
            <w:r w:rsidR="008E4EC4">
              <w:rPr>
                <w:sz w:val="20"/>
                <w:szCs w:val="20"/>
                <w:lang w:eastAsia="en-US"/>
              </w:rPr>
              <w:t xml:space="preserve"> and </w:t>
            </w:r>
            <w:r w:rsidR="00267D2D">
              <w:rPr>
                <w:sz w:val="20"/>
                <w:szCs w:val="20"/>
                <w:lang w:eastAsia="en-US"/>
              </w:rPr>
              <w:t xml:space="preserve">four </w:t>
            </w:r>
            <w:r w:rsidR="008E4EC4">
              <w:rPr>
                <w:sz w:val="20"/>
                <w:szCs w:val="20"/>
                <w:lang w:eastAsia="en-US"/>
              </w:rPr>
              <w:t>year planning information</w:t>
            </w:r>
            <w:r w:rsidR="003C7CA8" w:rsidRPr="00484946">
              <w:rPr>
                <w:sz w:val="20"/>
                <w:szCs w:val="20"/>
                <w:lang w:eastAsia="en-US"/>
              </w:rPr>
              <w:t>)</w:t>
            </w:r>
            <w:r w:rsidR="00DC4405">
              <w:rPr>
                <w:sz w:val="20"/>
                <w:szCs w:val="20"/>
                <w:lang w:eastAsia="en-US"/>
              </w:rPr>
              <w:t>.</w:t>
            </w:r>
          </w:p>
        </w:tc>
      </w:tr>
      <w:tr w:rsidR="003C7CA8" w:rsidRPr="00484946" w:rsidTr="008E5289">
        <w:tc>
          <w:tcPr>
            <w:tcW w:w="0" w:type="auto"/>
            <w:shd w:val="clear" w:color="auto" w:fill="auto"/>
          </w:tcPr>
          <w:p w:rsidR="003C7CA8" w:rsidRPr="00484946" w:rsidRDefault="00472AB4" w:rsidP="009A7E73">
            <w:pPr>
              <w:numPr>
                <w:ilvl w:val="0"/>
                <w:numId w:val="22"/>
              </w:numPr>
              <w:tabs>
                <w:tab w:val="clear" w:pos="720"/>
                <w:tab w:val="num" w:pos="360"/>
              </w:tabs>
              <w:spacing w:before="20" w:after="20" w:line="240" w:lineRule="auto"/>
              <w:ind w:left="360"/>
              <w:jc w:val="left"/>
              <w:rPr>
                <w:sz w:val="20"/>
                <w:szCs w:val="20"/>
                <w:lang w:eastAsia="en-US"/>
              </w:rPr>
            </w:pPr>
            <w:r>
              <w:rPr>
                <w:sz w:val="20"/>
                <w:szCs w:val="20"/>
                <w:lang w:eastAsia="en-US"/>
              </w:rPr>
              <w:t>Working with the Ministry, d</w:t>
            </w:r>
            <w:r w:rsidR="003C7CA8" w:rsidRPr="00484946">
              <w:rPr>
                <w:sz w:val="20"/>
                <w:szCs w:val="20"/>
                <w:lang w:eastAsia="en-US"/>
              </w:rPr>
              <w:t>etermine if the existing funding levels and the current cost recovery framework will enable the EPA to make the step</w:t>
            </w:r>
            <w:r w:rsidR="00267D2D">
              <w:rPr>
                <w:sz w:val="20"/>
                <w:szCs w:val="20"/>
                <w:lang w:eastAsia="en-US"/>
              </w:rPr>
              <w:t>-</w:t>
            </w:r>
            <w:r w:rsidR="003C7CA8" w:rsidRPr="00484946">
              <w:rPr>
                <w:sz w:val="20"/>
                <w:szCs w:val="20"/>
                <w:lang w:eastAsia="en-US"/>
              </w:rPr>
              <w:t>change required and execute its future stewardship responsibility</w:t>
            </w:r>
            <w:r w:rsidR="00DC4405">
              <w:rPr>
                <w:sz w:val="20"/>
                <w:szCs w:val="20"/>
                <w:lang w:eastAsia="en-US"/>
              </w:rPr>
              <w:t>.</w:t>
            </w:r>
            <w:r w:rsidR="003C7CA8" w:rsidRPr="00484946">
              <w:rPr>
                <w:sz w:val="20"/>
                <w:szCs w:val="20"/>
                <w:lang w:eastAsia="en-US"/>
              </w:rPr>
              <w:t xml:space="preserve"> </w:t>
            </w:r>
          </w:p>
        </w:tc>
      </w:tr>
      <w:tr w:rsidR="003C7CA8" w:rsidRPr="00484946" w:rsidTr="008E5289">
        <w:tc>
          <w:tcPr>
            <w:tcW w:w="0" w:type="auto"/>
            <w:shd w:val="clear" w:color="auto" w:fill="auto"/>
          </w:tcPr>
          <w:p w:rsidR="003C7CA8" w:rsidRPr="00484946" w:rsidRDefault="003C7CA8" w:rsidP="009A7E73">
            <w:pPr>
              <w:numPr>
                <w:ilvl w:val="0"/>
                <w:numId w:val="22"/>
              </w:numPr>
              <w:tabs>
                <w:tab w:val="clear" w:pos="720"/>
                <w:tab w:val="num" w:pos="360"/>
              </w:tabs>
              <w:spacing w:before="20" w:after="20" w:line="240" w:lineRule="auto"/>
              <w:ind w:left="360"/>
              <w:jc w:val="left"/>
              <w:rPr>
                <w:rFonts w:eastAsia="Calibri" w:cs="Arial"/>
                <w:sz w:val="20"/>
                <w:szCs w:val="20"/>
                <w:lang w:eastAsia="en-US"/>
              </w:rPr>
            </w:pPr>
            <w:r w:rsidRPr="00484946">
              <w:rPr>
                <w:sz w:val="20"/>
                <w:szCs w:val="20"/>
                <w:lang w:eastAsia="en-US"/>
              </w:rPr>
              <w:t>Invest in people development and management</w:t>
            </w:r>
            <w:r>
              <w:rPr>
                <w:sz w:val="20"/>
                <w:szCs w:val="20"/>
                <w:lang w:eastAsia="en-US"/>
              </w:rPr>
              <w:t>, particularly the management and senior leadership teams</w:t>
            </w:r>
            <w:r w:rsidR="00DC4405">
              <w:rPr>
                <w:sz w:val="20"/>
                <w:szCs w:val="20"/>
                <w:lang w:eastAsia="en-US"/>
              </w:rPr>
              <w:t>.</w:t>
            </w:r>
          </w:p>
        </w:tc>
      </w:tr>
      <w:tr w:rsidR="003C7CA8" w:rsidRPr="00484946" w:rsidTr="008E5289">
        <w:tc>
          <w:tcPr>
            <w:tcW w:w="0" w:type="auto"/>
            <w:shd w:val="clear" w:color="auto" w:fill="auto"/>
          </w:tcPr>
          <w:p w:rsidR="003C7CA8" w:rsidRPr="00484946" w:rsidRDefault="003C7CA8" w:rsidP="009A7E73">
            <w:pPr>
              <w:numPr>
                <w:ilvl w:val="0"/>
                <w:numId w:val="22"/>
              </w:numPr>
              <w:tabs>
                <w:tab w:val="clear" w:pos="720"/>
                <w:tab w:val="num" w:pos="360"/>
              </w:tabs>
              <w:spacing w:before="20" w:after="20" w:line="240" w:lineRule="auto"/>
              <w:ind w:left="360"/>
              <w:jc w:val="left"/>
              <w:rPr>
                <w:rFonts w:eastAsia="Calibri" w:cs="Arial"/>
                <w:sz w:val="20"/>
                <w:szCs w:val="20"/>
                <w:lang w:eastAsia="en-US"/>
              </w:rPr>
            </w:pPr>
            <w:r w:rsidRPr="00484946">
              <w:rPr>
                <w:sz w:val="20"/>
                <w:szCs w:val="20"/>
                <w:lang w:eastAsia="en-US"/>
              </w:rPr>
              <w:t>Take action to address a range of operational issues</w:t>
            </w:r>
            <w:r w:rsidR="00DC4405">
              <w:rPr>
                <w:sz w:val="20"/>
                <w:szCs w:val="20"/>
                <w:lang w:eastAsia="en-US"/>
              </w:rPr>
              <w:t>.</w:t>
            </w:r>
          </w:p>
        </w:tc>
      </w:tr>
    </w:tbl>
    <w:p w:rsidR="003C7CA8" w:rsidRPr="000E0689" w:rsidRDefault="003C7CA8" w:rsidP="000E0689">
      <w:pPr>
        <w:pStyle w:val="BodyText"/>
        <w:spacing w:before="0" w:after="0"/>
      </w:pPr>
    </w:p>
    <w:p w:rsidR="009A7E73" w:rsidRDefault="009A7E73" w:rsidP="000E0689">
      <w:pPr>
        <w:pStyle w:val="BodyText"/>
        <w:spacing w:before="0"/>
      </w:pPr>
    </w:p>
    <w:p w:rsidR="003C7CA8" w:rsidRDefault="003C7CA8" w:rsidP="000E0689">
      <w:pPr>
        <w:pStyle w:val="BodyText"/>
        <w:spacing w:before="0"/>
      </w:pPr>
      <w:r>
        <w:lastRenderedPageBreak/>
        <w:t>We acknowledge the recommendations for the Ministry. In particular, the Ministry will:</w:t>
      </w:r>
    </w:p>
    <w:p w:rsidR="003C7CA8" w:rsidRDefault="003C7CA8" w:rsidP="000E0689">
      <w:pPr>
        <w:pStyle w:val="Bullet"/>
        <w:rPr>
          <w:lang w:eastAsia="en-US"/>
        </w:rPr>
      </w:pPr>
      <w:r>
        <w:rPr>
          <w:lang w:eastAsia="en-US"/>
        </w:rPr>
        <w:t>consider the needs of the Board when advising the Minister on the upcoming round of EPA Board appointments (and will continue to do so in future appointments)</w:t>
      </w:r>
    </w:p>
    <w:p w:rsidR="003C7CA8" w:rsidRDefault="003C7CA8" w:rsidP="000E0689">
      <w:pPr>
        <w:pStyle w:val="Bullet"/>
        <w:rPr>
          <w:lang w:eastAsia="en-US"/>
        </w:rPr>
      </w:pPr>
      <w:proofErr w:type="gramStart"/>
      <w:r>
        <w:rPr>
          <w:lang w:eastAsia="en-US"/>
        </w:rPr>
        <w:t>draw</w:t>
      </w:r>
      <w:proofErr w:type="gramEnd"/>
      <w:r w:rsidRPr="009837F3">
        <w:rPr>
          <w:lang w:eastAsia="en-US"/>
        </w:rPr>
        <w:t xml:space="preserve"> on our own experience of organisational change and developing strategic documents to support the EPA in implementing the</w:t>
      </w:r>
      <w:r w:rsidR="00FE7643">
        <w:rPr>
          <w:lang w:eastAsia="en-US"/>
        </w:rPr>
        <w:t xml:space="preserve"> recommendations from the R</w:t>
      </w:r>
      <w:r w:rsidRPr="009837F3">
        <w:rPr>
          <w:lang w:eastAsia="en-US"/>
        </w:rPr>
        <w:t>eview</w:t>
      </w:r>
      <w:r>
        <w:rPr>
          <w:lang w:eastAsia="en-US"/>
        </w:rPr>
        <w:t>.</w:t>
      </w:r>
    </w:p>
    <w:p w:rsidR="003C7CA8" w:rsidRDefault="00E96DF4" w:rsidP="003C7CA8">
      <w:pPr>
        <w:pStyle w:val="BodyText"/>
      </w:pPr>
      <w:r>
        <w:t xml:space="preserve">As noted earlier, </w:t>
      </w:r>
      <w:r w:rsidR="003C7CA8" w:rsidRPr="00FC4DCF">
        <w:t>our v</w:t>
      </w:r>
      <w:r w:rsidR="003C7CA8">
        <w:t>iew</w:t>
      </w:r>
      <w:r>
        <w:t xml:space="preserve"> is that </w:t>
      </w:r>
      <w:r w:rsidR="003C7CA8">
        <w:t>the EPA should prioritise the following recommendations:</w:t>
      </w:r>
    </w:p>
    <w:p w:rsidR="003C7CA8" w:rsidRPr="000E0689" w:rsidRDefault="00E96DF4" w:rsidP="000E0689">
      <w:pPr>
        <w:pStyle w:val="Bullet"/>
      </w:pPr>
      <w:r>
        <w:rPr>
          <w:lang w:eastAsia="en-US"/>
        </w:rPr>
        <w:t>s</w:t>
      </w:r>
      <w:r w:rsidR="003C7CA8" w:rsidRPr="008A0756">
        <w:rPr>
          <w:lang w:eastAsia="en-US"/>
        </w:rPr>
        <w:t>hift fro</w:t>
      </w:r>
      <w:r w:rsidR="003C7CA8" w:rsidRPr="000E0689">
        <w:t>m an operational/transaction focus to a strategic focus that includes considering its longer-term stewardship responsibilities</w:t>
      </w:r>
    </w:p>
    <w:p w:rsidR="003C7CA8" w:rsidRPr="000E0689" w:rsidRDefault="00E96DF4" w:rsidP="000E0689">
      <w:pPr>
        <w:pStyle w:val="Bullet"/>
      </w:pPr>
      <w:r w:rsidRPr="000E0689">
        <w:t>d</w:t>
      </w:r>
      <w:r w:rsidR="003C7CA8" w:rsidRPr="000E0689">
        <w:t>evelop a new operating model to allow the organisation to be more responsive to the patterns of demand</w:t>
      </w:r>
    </w:p>
    <w:p w:rsidR="003C7CA8" w:rsidRPr="000E0689" w:rsidRDefault="00E96DF4" w:rsidP="000E0689">
      <w:pPr>
        <w:pStyle w:val="Bullet"/>
      </w:pPr>
      <w:r w:rsidRPr="000E0689">
        <w:t>d</w:t>
      </w:r>
      <w:r w:rsidR="003C7CA8" w:rsidRPr="000E0689">
        <w:t>evelop processes and measures to understand the EPA’s effectiveness</w:t>
      </w:r>
    </w:p>
    <w:p w:rsidR="003C7CA8" w:rsidRPr="00FC4DCF" w:rsidRDefault="00E96DF4" w:rsidP="000E0689">
      <w:pPr>
        <w:pStyle w:val="Bullet"/>
      </w:pPr>
      <w:proofErr w:type="gramStart"/>
      <w:r w:rsidRPr="000E0689">
        <w:t>d</w:t>
      </w:r>
      <w:r w:rsidR="003C7CA8" w:rsidRPr="000E0689">
        <w:t>evelop</w:t>
      </w:r>
      <w:proofErr w:type="gramEnd"/>
      <w:r w:rsidR="003C7CA8" w:rsidRPr="000E0689">
        <w:t xml:space="preserve"> an</w:t>
      </w:r>
      <w:r w:rsidR="003C7CA8" w:rsidRPr="008A0756">
        <w:rPr>
          <w:lang w:eastAsia="en-US"/>
        </w:rPr>
        <w:t>d implement a robust long-term operational strategy</w:t>
      </w:r>
      <w:r w:rsidR="003C7CA8">
        <w:rPr>
          <w:lang w:eastAsia="en-US"/>
        </w:rPr>
        <w:t xml:space="preserve"> including capital forecasts and a detai</w:t>
      </w:r>
      <w:r w:rsidR="00DC1A8F">
        <w:rPr>
          <w:lang w:eastAsia="en-US"/>
        </w:rPr>
        <w:t>l</w:t>
      </w:r>
      <w:r w:rsidR="003C7CA8">
        <w:rPr>
          <w:lang w:eastAsia="en-US"/>
        </w:rPr>
        <w:t>ed operating budget</w:t>
      </w:r>
      <w:r w:rsidR="003C7CA8" w:rsidRPr="008A0756">
        <w:rPr>
          <w:lang w:eastAsia="en-US"/>
        </w:rPr>
        <w:t>.</w:t>
      </w:r>
    </w:p>
    <w:p w:rsidR="003C7CA8" w:rsidRPr="000E0689" w:rsidRDefault="003C7CA8" w:rsidP="000E0689">
      <w:pPr>
        <w:pStyle w:val="BodyText"/>
      </w:pPr>
      <w:r>
        <w:t>We consider these to be</w:t>
      </w:r>
      <w:r w:rsidR="00E96DF4">
        <w:t xml:space="preserve"> difficult to implement, but </w:t>
      </w:r>
      <w:r>
        <w:t>high impact recommendations. They are likely to be ma</w:t>
      </w:r>
      <w:r w:rsidRPr="000E0689">
        <w:t xml:space="preserve">jor projects that will take significant effort, but are worth doing because of the potential impact. </w:t>
      </w:r>
    </w:p>
    <w:p w:rsidR="003C7CA8" w:rsidRDefault="003C7CA8" w:rsidP="000E0689">
      <w:pPr>
        <w:pStyle w:val="BodyText"/>
      </w:pPr>
      <w:r w:rsidRPr="000E0689">
        <w:t>Next are the co</w:t>
      </w:r>
      <w:r>
        <w:t xml:space="preserve">mparatively easy tasks that are expected to have a medium to high impact. </w:t>
      </w:r>
      <w:r w:rsidR="00267D2D">
        <w:t>The</w:t>
      </w:r>
      <w:r>
        <w:t xml:space="preserve"> recommendations we anticipate will be ‘easy/quick wins’</w:t>
      </w:r>
      <w:r w:rsidR="00267D2D">
        <w:t xml:space="preserve"> are</w:t>
      </w:r>
      <w:r>
        <w:t>:</w:t>
      </w:r>
    </w:p>
    <w:p w:rsidR="003C7CA8" w:rsidRDefault="00267D2D" w:rsidP="000E0689">
      <w:pPr>
        <w:pStyle w:val="Bullet"/>
      </w:pPr>
      <w:r>
        <w:t xml:space="preserve">retain </w:t>
      </w:r>
      <w:r w:rsidR="003C7CA8">
        <w:t>the M</w:t>
      </w:r>
      <w:r>
        <w:t>ā</w:t>
      </w:r>
      <w:r w:rsidR="003C7CA8">
        <w:t xml:space="preserve">ori Advisory Committee but redefine </w:t>
      </w:r>
      <w:r w:rsidR="007311C3">
        <w:t>its</w:t>
      </w:r>
      <w:r w:rsidR="003C7CA8">
        <w:t xml:space="preserve"> role</w:t>
      </w:r>
    </w:p>
    <w:p w:rsidR="003C7CA8" w:rsidRDefault="00267D2D" w:rsidP="000E0689">
      <w:pPr>
        <w:pStyle w:val="Bullet"/>
      </w:pPr>
      <w:proofErr w:type="gramStart"/>
      <w:r>
        <w:t>invest</w:t>
      </w:r>
      <w:proofErr w:type="gramEnd"/>
      <w:r>
        <w:t xml:space="preserve"> </w:t>
      </w:r>
      <w:r w:rsidR="003C7CA8">
        <w:t>in people development and management, particularly the management and senior leadership teams.</w:t>
      </w:r>
    </w:p>
    <w:p w:rsidR="003C7CA8" w:rsidRPr="000E0689" w:rsidRDefault="003C7CA8" w:rsidP="000E0689">
      <w:pPr>
        <w:pStyle w:val="BodyText"/>
      </w:pPr>
      <w:r>
        <w:t>The EPA is best placed to assess the relative priorities of the</w:t>
      </w:r>
      <w:r w:rsidR="00CF06B4">
        <w:t xml:space="preserve"> remaining</w:t>
      </w:r>
      <w:r>
        <w:t xml:space="preserve"> recommendations.</w:t>
      </w:r>
    </w:p>
    <w:p w:rsidR="003C7CA8" w:rsidRPr="000E0689" w:rsidRDefault="003C7CA8" w:rsidP="000E0689">
      <w:pPr>
        <w:pStyle w:val="Heading2"/>
      </w:pPr>
      <w:bookmarkStart w:id="26" w:name="_Toc417466129"/>
      <w:r>
        <w:t>Areas of further work required</w:t>
      </w:r>
      <w:bookmarkEnd w:id="26"/>
    </w:p>
    <w:p w:rsidR="003C7CA8" w:rsidRDefault="003C7CA8" w:rsidP="000E0689">
      <w:pPr>
        <w:pStyle w:val="BodyText"/>
      </w:pPr>
      <w:r>
        <w:t>There are two areas where we consider further work is required to understand the need for change recommended by the external review of the EPA’s effectiveness, before any steps are taken to implement those recommendations.</w:t>
      </w:r>
      <w:r w:rsidR="00755C19">
        <w:t xml:space="preserve"> </w:t>
      </w:r>
      <w:r>
        <w:t xml:space="preserve">The first area is the need for harmonised legislation across the range of </w:t>
      </w:r>
      <w:proofErr w:type="gramStart"/>
      <w:r>
        <w:t>regimes,</w:t>
      </w:r>
      <w:proofErr w:type="gramEnd"/>
      <w:r>
        <w:t xml:space="preserve"> the second is that the legislation is limiting the ability of the Board to govern.</w:t>
      </w:r>
    </w:p>
    <w:p w:rsidR="003C7CA8" w:rsidRPr="000E0689" w:rsidRDefault="003C7CA8" w:rsidP="000E0689">
      <w:pPr>
        <w:pStyle w:val="Heading3"/>
      </w:pPr>
      <w:r>
        <w:t>Harmonisation of regimes</w:t>
      </w:r>
    </w:p>
    <w:p w:rsidR="001E2576" w:rsidRDefault="001E2576" w:rsidP="000E0689">
      <w:pPr>
        <w:pStyle w:val="BodyText"/>
      </w:pPr>
      <w:r>
        <w:t xml:space="preserve">The rationale for establishing the EPA was to consolidate regulatory and technical skills, provide greater consistency in environmental management decisions, and make use of synergies between similar functions and powers. While the EPA has consolidated expertise in one organisation, the Review has identified that </w:t>
      </w:r>
      <w:r w:rsidR="00DC1A8F">
        <w:t>different</w:t>
      </w:r>
      <w:r>
        <w:t xml:space="preserve"> decision</w:t>
      </w:r>
      <w:r w:rsidR="00A2119D">
        <w:t>-</w:t>
      </w:r>
      <w:r>
        <w:t xml:space="preserve">making processes and cost recovery practices across the regimes it administers may be hampering achievement of the consistency and operational synergy outcomes. </w:t>
      </w:r>
    </w:p>
    <w:p w:rsidR="003C7CA8" w:rsidRPr="000E0689" w:rsidRDefault="003C7CA8" w:rsidP="000E0689">
      <w:pPr>
        <w:pStyle w:val="BodyText"/>
      </w:pPr>
      <w:r>
        <w:t>The external review identified a need to harmonise the regimes the EPA is responsible for.</w:t>
      </w:r>
      <w:r w:rsidR="00755C19">
        <w:t xml:space="preserve"> </w:t>
      </w:r>
      <w:r>
        <w:t>The rationale given is that this would e</w:t>
      </w:r>
      <w:r w:rsidRPr="000E0689">
        <w:t>nable a consistent approach to be taken, result in cost efficiencies</w:t>
      </w:r>
      <w:r w:rsidR="00A2119D" w:rsidRPr="000E0689">
        <w:t>,</w:t>
      </w:r>
      <w:r w:rsidRPr="000E0689">
        <w:t xml:space="preserve"> and potentially increase the available pool of decision</w:t>
      </w:r>
      <w:r w:rsidR="00A2119D" w:rsidRPr="000E0689">
        <w:t>-</w:t>
      </w:r>
      <w:r w:rsidRPr="000E0689">
        <w:t>makers.</w:t>
      </w:r>
    </w:p>
    <w:p w:rsidR="00180D1A" w:rsidRPr="000E0689" w:rsidRDefault="003C7CA8" w:rsidP="000E0689">
      <w:pPr>
        <w:pStyle w:val="BodyText"/>
      </w:pPr>
      <w:r w:rsidRPr="000E0689">
        <w:lastRenderedPageBreak/>
        <w:t xml:space="preserve">The Ministry </w:t>
      </w:r>
      <w:r w:rsidR="00876DF3" w:rsidRPr="000E0689">
        <w:t xml:space="preserve">recommends </w:t>
      </w:r>
      <w:r w:rsidRPr="000E0689">
        <w:t xml:space="preserve">that work be undertaken to identify similarities and differences between the regimes and to identify ways of achieving efficiencies. </w:t>
      </w:r>
      <w:r w:rsidR="00876DF3" w:rsidRPr="000E0689">
        <w:t>W</w:t>
      </w:r>
      <w:r w:rsidRPr="000E0689">
        <w:t>e consider at least some of the benefits of harmonisation could be achieve</w:t>
      </w:r>
      <w:r w:rsidR="00180D1A" w:rsidRPr="000E0689">
        <w:t>d without legislative change.</w:t>
      </w:r>
    </w:p>
    <w:p w:rsidR="003C7CA8" w:rsidRDefault="00180D1A" w:rsidP="000E0689">
      <w:pPr>
        <w:pStyle w:val="BodyText"/>
      </w:pPr>
      <w:r w:rsidRPr="000E0689">
        <w:t xml:space="preserve">We expect the EPA will continue </w:t>
      </w:r>
      <w:r>
        <w:t>to engage proactively with the Ministry on potential areas for harmonisation.</w:t>
      </w:r>
    </w:p>
    <w:p w:rsidR="003C7CA8" w:rsidRDefault="003C7CA8" w:rsidP="003C7CA8">
      <w:pPr>
        <w:pStyle w:val="Heading3"/>
      </w:pPr>
      <w:r>
        <w:t>Legislation limiting the ability of the Board to govern</w:t>
      </w:r>
    </w:p>
    <w:p w:rsidR="00DC3934" w:rsidRPr="000E0689" w:rsidRDefault="003C7CA8" w:rsidP="000E0689">
      <w:pPr>
        <w:pStyle w:val="BodyText"/>
      </w:pPr>
      <w:r>
        <w:t>The external reviewer considers that the legislat</w:t>
      </w:r>
      <w:r w:rsidR="00CF06B4">
        <w:t xml:space="preserve">ive </w:t>
      </w:r>
      <w:r>
        <w:t xml:space="preserve">structure is limiting the ability of the Board to </w:t>
      </w:r>
      <w:r w:rsidR="00CF06B4">
        <w:t xml:space="preserve">focus on </w:t>
      </w:r>
      <w:r>
        <w:t>govern</w:t>
      </w:r>
      <w:r w:rsidR="00CF06B4">
        <w:t>ance</w:t>
      </w:r>
      <w:r w:rsidR="00440800">
        <w:t>,</w:t>
      </w:r>
      <w:r w:rsidR="00CF06B4">
        <w:t xml:space="preserve"> because it also requires that </w:t>
      </w:r>
      <w:r>
        <w:t>decision</w:t>
      </w:r>
      <w:r w:rsidR="00A2119D">
        <w:t>-</w:t>
      </w:r>
      <w:r>
        <w:t>making committee</w:t>
      </w:r>
      <w:r w:rsidR="00CF06B4">
        <w:t>s</w:t>
      </w:r>
      <w:r>
        <w:t xml:space="preserve"> include a Board </w:t>
      </w:r>
      <w:r w:rsidRPr="000E0689">
        <w:t>member.</w:t>
      </w:r>
      <w:r w:rsidR="00755C19">
        <w:t xml:space="preserve"> </w:t>
      </w:r>
    </w:p>
    <w:p w:rsidR="003C7CA8" w:rsidRPr="000E0689" w:rsidRDefault="003C7CA8" w:rsidP="000E0689">
      <w:pPr>
        <w:pStyle w:val="BodyText"/>
      </w:pPr>
      <w:r w:rsidRPr="000E0689">
        <w:t xml:space="preserve">Arguably </w:t>
      </w:r>
      <w:r w:rsidR="005F4082" w:rsidRPr="000E0689">
        <w:t xml:space="preserve">the </w:t>
      </w:r>
      <w:r w:rsidRPr="000E0689">
        <w:t>current legislation structure creates a tension where the Board member is involved in the decision, and the Board is responsible for the decision</w:t>
      </w:r>
      <w:r w:rsidR="00440800" w:rsidRPr="000E0689">
        <w:t xml:space="preserve"> </w:t>
      </w:r>
      <w:r w:rsidR="0056272D" w:rsidRPr="000E0689">
        <w:t>(</w:t>
      </w:r>
      <w:r w:rsidRPr="000E0689">
        <w:t>in particular the robustness, quality and consistency of process</w:t>
      </w:r>
      <w:r w:rsidR="0056272D" w:rsidRPr="000E0689">
        <w:t>)</w:t>
      </w:r>
      <w:r w:rsidRPr="000E0689">
        <w:t xml:space="preserve">. </w:t>
      </w:r>
    </w:p>
    <w:p w:rsidR="003C7CA8" w:rsidRPr="000E0689" w:rsidDel="008E7250" w:rsidRDefault="003C7CA8" w:rsidP="000E0689">
      <w:pPr>
        <w:pStyle w:val="BodyText"/>
      </w:pPr>
      <w:r w:rsidRPr="000E0689">
        <w:t>We note that any change would need to consider if the reasons for requiring a Board member be part of the decision</w:t>
      </w:r>
      <w:r w:rsidR="00A2119D" w:rsidRPr="000E0689">
        <w:t>-</w:t>
      </w:r>
      <w:r w:rsidRPr="000E0689">
        <w:t>making committee are still valid</w:t>
      </w:r>
      <w:r w:rsidR="00440800" w:rsidRPr="000E0689">
        <w:t xml:space="preserve"> (</w:t>
      </w:r>
      <w:r w:rsidR="00A2119D" w:rsidRPr="000E0689">
        <w:t>ie,</w:t>
      </w:r>
      <w:r w:rsidR="00440800" w:rsidRPr="000E0689">
        <w:t xml:space="preserve"> whether the current arrangements create an appropriate tension)</w:t>
      </w:r>
      <w:r w:rsidRPr="000E0689">
        <w:t>.</w:t>
      </w:r>
      <w:r w:rsidR="00755C19">
        <w:t xml:space="preserve"> </w:t>
      </w:r>
      <w:r w:rsidRPr="000E0689">
        <w:t xml:space="preserve">Further work </w:t>
      </w:r>
      <w:r w:rsidR="00440800" w:rsidRPr="000E0689">
        <w:t xml:space="preserve">would then need to be undertaken </w:t>
      </w:r>
      <w:r w:rsidR="00180D1A" w:rsidRPr="000E0689">
        <w:t xml:space="preserve">by the Ministry together with the EPA </w:t>
      </w:r>
      <w:r w:rsidR="00876DF3" w:rsidRPr="000E0689">
        <w:t xml:space="preserve">to </w:t>
      </w:r>
      <w:r w:rsidRPr="000E0689">
        <w:t>determine whether the best solution is an amendment to the legislation, or is a non-legislative change (such as a change in practice).</w:t>
      </w:r>
    </w:p>
    <w:p w:rsidR="003C7CA8" w:rsidRPr="000E0689" w:rsidDel="008E7250" w:rsidRDefault="003C7CA8" w:rsidP="000E0689">
      <w:pPr>
        <w:pStyle w:val="BodyText"/>
      </w:pPr>
    </w:p>
    <w:p w:rsidR="003C7CA8" w:rsidRPr="000E0689" w:rsidRDefault="003C7CA8" w:rsidP="000E0689">
      <w:pPr>
        <w:pStyle w:val="BodyText"/>
      </w:pPr>
    </w:p>
    <w:p w:rsidR="003C7CA8" w:rsidRDefault="003C7CA8" w:rsidP="003C7CA8">
      <w:pPr>
        <w:spacing w:before="0" w:after="200" w:line="276" w:lineRule="auto"/>
        <w:jc w:val="left"/>
        <w:rPr>
          <w:rStyle w:val="Heading1Char"/>
        </w:rPr>
      </w:pPr>
      <w:r>
        <w:rPr>
          <w:rStyle w:val="Heading1Char"/>
        </w:rPr>
        <w:br w:type="page"/>
      </w:r>
    </w:p>
    <w:p w:rsidR="003C7CA8" w:rsidRPr="00F235F0" w:rsidRDefault="00E95E20" w:rsidP="000E0689">
      <w:pPr>
        <w:pStyle w:val="Heading1"/>
      </w:pPr>
      <w:bookmarkStart w:id="27" w:name="_Toc417466130"/>
      <w:r>
        <w:lastRenderedPageBreak/>
        <w:t>4</w:t>
      </w:r>
      <w:r>
        <w:tab/>
      </w:r>
      <w:r w:rsidR="003C7CA8" w:rsidRPr="00F235F0">
        <w:t>Next steps</w:t>
      </w:r>
      <w:bookmarkEnd w:id="27"/>
    </w:p>
    <w:p w:rsidR="003C7CA8" w:rsidRDefault="003C7CA8" w:rsidP="000E0689">
      <w:pPr>
        <w:pStyle w:val="Heading2"/>
        <w:spacing w:before="240"/>
      </w:pPr>
      <w:bookmarkStart w:id="28" w:name="_Toc417466131"/>
      <w:r>
        <w:t xml:space="preserve">Prioritise and plan for </w:t>
      </w:r>
      <w:r w:rsidRPr="0048126D">
        <w:t>implement</w:t>
      </w:r>
      <w:r>
        <w:t>at</w:t>
      </w:r>
      <w:r w:rsidRPr="0048126D">
        <w:t>ion</w:t>
      </w:r>
      <w:r>
        <w:t xml:space="preserve"> of recommendations</w:t>
      </w:r>
      <w:bookmarkEnd w:id="28"/>
    </w:p>
    <w:p w:rsidR="003C7CA8" w:rsidRDefault="003C7CA8" w:rsidP="000E0689">
      <w:pPr>
        <w:pStyle w:val="BodyText"/>
      </w:pPr>
      <w:r w:rsidRPr="001A671B">
        <w:t xml:space="preserve">The crucial next step </w:t>
      </w:r>
      <w:r>
        <w:t>for the EPA is</w:t>
      </w:r>
      <w:r w:rsidRPr="001A671B">
        <w:t xml:space="preserve"> to prioritise and plan</w:t>
      </w:r>
      <w:r w:rsidR="00FE7643">
        <w:t xml:space="preserve"> implementation of the R</w:t>
      </w:r>
      <w:r>
        <w:t>eview recommendations. The Ministry will work with the EPA to support it through this process.</w:t>
      </w:r>
      <w:r w:rsidR="00953610">
        <w:t xml:space="preserve"> We consider a jointly agreed implementation plan is likely to be the most successful way forward.</w:t>
      </w:r>
    </w:p>
    <w:p w:rsidR="00652FE3" w:rsidRPr="00C22CE5" w:rsidRDefault="00652FE3" w:rsidP="000E0689">
      <w:pPr>
        <w:pStyle w:val="BodyText"/>
      </w:pPr>
      <w:r>
        <w:t>The Ministry acknowledges that the EPA Board recognises the challenges ahead of it and are taking positive steps towards implementing the findings of the Review.</w:t>
      </w:r>
    </w:p>
    <w:p w:rsidR="003C7CA8" w:rsidRPr="000E0689" w:rsidRDefault="003C7CA8" w:rsidP="000E0689">
      <w:pPr>
        <w:pStyle w:val="Heading2"/>
      </w:pPr>
      <w:bookmarkStart w:id="29" w:name="_Toc417466132"/>
      <w:r>
        <w:t xml:space="preserve">Getting the EPA </w:t>
      </w:r>
      <w:r w:rsidR="00A2119D">
        <w:t>‘</w:t>
      </w:r>
      <w:r>
        <w:t>investment ready</w:t>
      </w:r>
      <w:r w:rsidR="00A2119D">
        <w:t>’</w:t>
      </w:r>
      <w:bookmarkEnd w:id="29"/>
    </w:p>
    <w:p w:rsidR="003C7CA8" w:rsidRPr="000E0689" w:rsidRDefault="003C7CA8" w:rsidP="000E0689">
      <w:pPr>
        <w:pStyle w:val="BodyText"/>
      </w:pPr>
      <w:r>
        <w:t xml:space="preserve">The Ministry is working with the EPA to understand </w:t>
      </w:r>
      <w:r w:rsidR="00B8666E">
        <w:t>its</w:t>
      </w:r>
      <w:r>
        <w:t xml:space="preserve"> ongoing </w:t>
      </w:r>
      <w:r w:rsidR="00876DF3">
        <w:t xml:space="preserve">Crown </w:t>
      </w:r>
      <w:r>
        <w:t>funding requirements, including if additional funding is needed to implement the recommendat</w:t>
      </w:r>
      <w:r w:rsidR="00FE7643">
        <w:t>ions of th</w:t>
      </w:r>
      <w:r w:rsidR="00FE7643" w:rsidRPr="000E0689">
        <w:t>is R</w:t>
      </w:r>
      <w:r w:rsidRPr="000E0689">
        <w:t xml:space="preserve">eview. </w:t>
      </w:r>
    </w:p>
    <w:p w:rsidR="006C5251" w:rsidRPr="006C5251" w:rsidRDefault="003C7CA8" w:rsidP="000E0689">
      <w:pPr>
        <w:pStyle w:val="BodyText"/>
        <w:rPr>
          <w:rFonts w:asciiTheme="minorHAnsi" w:hAnsiTheme="minorHAnsi"/>
        </w:rPr>
      </w:pPr>
      <w:r w:rsidRPr="000E0689">
        <w:t xml:space="preserve">We expect several iterations of the financial information will be required before the EPA is </w:t>
      </w:r>
      <w:r w:rsidR="00A2119D" w:rsidRPr="000E0689">
        <w:t>‘</w:t>
      </w:r>
      <w:r w:rsidRPr="000E0689">
        <w:t>investment ready</w:t>
      </w:r>
      <w:r w:rsidR="00A2119D" w:rsidRPr="000E0689">
        <w:t>’</w:t>
      </w:r>
      <w:r w:rsidR="00D90702">
        <w:t xml:space="preserve"> and </w:t>
      </w:r>
      <w:r w:rsidR="00472AB4">
        <w:t>this will not be</w:t>
      </w:r>
      <w:r w:rsidRPr="000E0689">
        <w:t xml:space="preserve"> achieved for the 2015/16 financial year. </w:t>
      </w:r>
      <w:r w:rsidR="006C5251" w:rsidRPr="006C5251">
        <w:rPr>
          <w:rFonts w:asciiTheme="minorHAnsi" w:hAnsiTheme="minorHAnsi" w:cs="Arial"/>
        </w:rPr>
        <w:t xml:space="preserve">The EPA will be working closely with </w:t>
      </w:r>
      <w:proofErr w:type="spellStart"/>
      <w:r w:rsidR="006C5251" w:rsidRPr="006C5251">
        <w:rPr>
          <w:rFonts w:asciiTheme="minorHAnsi" w:hAnsiTheme="minorHAnsi" w:cs="Arial"/>
        </w:rPr>
        <w:t>MfE</w:t>
      </w:r>
      <w:proofErr w:type="spellEnd"/>
      <w:r w:rsidR="006C5251" w:rsidRPr="006C5251">
        <w:rPr>
          <w:rFonts w:asciiTheme="minorHAnsi" w:hAnsiTheme="minorHAnsi" w:cs="Arial"/>
        </w:rPr>
        <w:t xml:space="preserve"> and the Treasury </w:t>
      </w:r>
      <w:r w:rsidR="006C5251">
        <w:rPr>
          <w:rFonts w:asciiTheme="minorHAnsi" w:hAnsiTheme="minorHAnsi" w:cs="Arial"/>
        </w:rPr>
        <w:t xml:space="preserve">throughout 2015 </w:t>
      </w:r>
      <w:r w:rsidR="006C5251" w:rsidRPr="006C5251">
        <w:rPr>
          <w:rFonts w:asciiTheme="minorHAnsi" w:hAnsiTheme="minorHAnsi" w:cs="Arial"/>
        </w:rPr>
        <w:t>to prepare a business case for a sustainable baseline to be considered as part of Budget 2016.</w:t>
      </w:r>
    </w:p>
    <w:p w:rsidR="003C7CA8" w:rsidRDefault="003C7CA8" w:rsidP="003C7CA8">
      <w:pPr>
        <w:pStyle w:val="Heading2"/>
      </w:pPr>
      <w:bookmarkStart w:id="30" w:name="_Toc417466133"/>
      <w:r>
        <w:t>Amendments to the cost recovery regime</w:t>
      </w:r>
      <w:bookmarkEnd w:id="30"/>
    </w:p>
    <w:p w:rsidR="003C7CA8" w:rsidRDefault="003C7CA8" w:rsidP="000E0689">
      <w:pPr>
        <w:pStyle w:val="BodyText"/>
      </w:pPr>
      <w:r>
        <w:t xml:space="preserve">There are several next steps </w:t>
      </w:r>
      <w:r w:rsidR="001A59E8">
        <w:t xml:space="preserve">indicated by the </w:t>
      </w:r>
      <w:r>
        <w:t>cost recovery review report</w:t>
      </w:r>
      <w:r w:rsidR="00A2119D">
        <w:t>.</w:t>
      </w:r>
    </w:p>
    <w:p w:rsidR="003C7CA8" w:rsidRDefault="00A2119D" w:rsidP="000E0689">
      <w:pPr>
        <w:pStyle w:val="Bullet"/>
      </w:pPr>
      <w:r>
        <w:t xml:space="preserve">The </w:t>
      </w:r>
      <w:r w:rsidR="003C7CA8">
        <w:t xml:space="preserve">Ministry and the EPA will need to work together to </w:t>
      </w:r>
      <w:r w:rsidR="00541B0A">
        <w:t xml:space="preserve">assess and potentially </w:t>
      </w:r>
      <w:r w:rsidR="003C7CA8">
        <w:t xml:space="preserve">progress the recommended changes to the cost-recovery regime (such as changes to hourly rates). </w:t>
      </w:r>
    </w:p>
    <w:p w:rsidR="003C7CA8" w:rsidRDefault="00A2119D" w:rsidP="000E0689">
      <w:pPr>
        <w:pStyle w:val="Bullet"/>
      </w:pPr>
      <w:r>
        <w:t xml:space="preserve">The </w:t>
      </w:r>
      <w:r w:rsidR="003C7CA8">
        <w:t xml:space="preserve">Ministry will lead a review into the possibility of increased cost recovery for </w:t>
      </w:r>
      <w:r w:rsidR="001A59E8">
        <w:t>HSNO</w:t>
      </w:r>
      <w:r w:rsidR="003C7CA8">
        <w:t>, with input from the EPA.</w:t>
      </w:r>
      <w:r w:rsidR="001A59E8">
        <w:t xml:space="preserve"> </w:t>
      </w:r>
      <w:r w:rsidR="003C7CA8" w:rsidRPr="00EC4815">
        <w:t xml:space="preserve">The Ministry </w:t>
      </w:r>
      <w:r w:rsidR="003C7CA8">
        <w:t xml:space="preserve">will need to consider </w:t>
      </w:r>
      <w:r w:rsidR="003C7CA8" w:rsidRPr="00EC4815">
        <w:t>how to prioritise this review against its other priorities for the coming year.</w:t>
      </w:r>
    </w:p>
    <w:p w:rsidR="003C7CA8" w:rsidRPr="008659E3" w:rsidRDefault="00A2119D" w:rsidP="000E0689">
      <w:pPr>
        <w:pStyle w:val="Bullet"/>
      </w:pPr>
      <w:r>
        <w:t>A</w:t>
      </w:r>
      <w:r w:rsidRPr="00850751">
        <w:t xml:space="preserve">t </w:t>
      </w:r>
      <w:r w:rsidR="003C7CA8" w:rsidRPr="00850751">
        <w:t xml:space="preserve">some later point the Ministry will consider opportunities for additional cost recovery of activities to administer the </w:t>
      </w:r>
      <w:r w:rsidR="00771FF4">
        <w:t>New Zealand Emissions Trading Scheme (ETS)</w:t>
      </w:r>
      <w:r w:rsidR="00771FF4" w:rsidRPr="00850751">
        <w:t xml:space="preserve"> </w:t>
      </w:r>
      <w:r w:rsidR="003C7CA8" w:rsidRPr="00850751">
        <w:t>and</w:t>
      </w:r>
      <w:r w:rsidR="003C4553">
        <w:t xml:space="preserve"> New Zealand Emissions Unit Register</w:t>
      </w:r>
      <w:r w:rsidR="003C7CA8" w:rsidRPr="00850751">
        <w:t xml:space="preserve"> </w:t>
      </w:r>
      <w:r w:rsidR="003C4553">
        <w:t>(</w:t>
      </w:r>
      <w:r w:rsidR="003C7CA8" w:rsidRPr="00850751">
        <w:t>NZEUR</w:t>
      </w:r>
      <w:r w:rsidR="003C4553">
        <w:t>)</w:t>
      </w:r>
      <w:r w:rsidR="003C7CA8">
        <w:t>,</w:t>
      </w:r>
      <w:r w:rsidR="003C7CA8" w:rsidRPr="00850751">
        <w:t xml:space="preserve"> </w:t>
      </w:r>
      <w:r w:rsidR="003A13BC">
        <w:t xml:space="preserve">likely to be progressed as part of a wider scheduled review of the ETS, </w:t>
      </w:r>
      <w:r w:rsidR="003C7CA8" w:rsidRPr="00850751">
        <w:t xml:space="preserve">and </w:t>
      </w:r>
      <w:r w:rsidR="003A13BC">
        <w:t xml:space="preserve">also </w:t>
      </w:r>
      <w:r w:rsidR="003C7CA8" w:rsidRPr="00850751">
        <w:t>reconsider the appropriateness of the 80:20 ratio of funding for mixed</w:t>
      </w:r>
      <w:r w:rsidR="00771FF4">
        <w:t>-</w:t>
      </w:r>
      <w:r w:rsidR="003C7CA8" w:rsidRPr="00850751">
        <w:t xml:space="preserve">benefit activities for consenting and monitoring activities in the </w:t>
      </w:r>
      <w:r w:rsidR="00771FF4">
        <w:t>Exclusive Economic Zone</w:t>
      </w:r>
      <w:r w:rsidR="003C7CA8" w:rsidRPr="00850751">
        <w:t>.</w:t>
      </w:r>
      <w:r w:rsidR="003C7CA8">
        <w:t xml:space="preserve"> </w:t>
      </w:r>
    </w:p>
    <w:p w:rsidR="003C7CA8" w:rsidRDefault="003C7CA8" w:rsidP="003C7CA8">
      <w:pPr>
        <w:pStyle w:val="Heading2"/>
      </w:pPr>
      <w:bookmarkStart w:id="31" w:name="_Toc417466134"/>
      <w:r>
        <w:t>Harmonising the regimes</w:t>
      </w:r>
      <w:bookmarkEnd w:id="31"/>
    </w:p>
    <w:p w:rsidR="00F949F1" w:rsidRDefault="003C7CA8" w:rsidP="000E0689">
      <w:pPr>
        <w:pStyle w:val="BodyText"/>
      </w:pPr>
      <w:r>
        <w:t xml:space="preserve">As noted above, there is </w:t>
      </w:r>
      <w:r w:rsidR="00F949F1">
        <w:t xml:space="preserve">ongoing </w:t>
      </w:r>
      <w:r>
        <w:t>work for the Ministry to</w:t>
      </w:r>
      <w:r w:rsidR="00F949F1">
        <w:t xml:space="preserve"> identify and address legislative or regulatory impediments to the EPA’s operational effectiveness</w:t>
      </w:r>
      <w:r w:rsidR="00DA6B73">
        <w:t>. The review has highlighted that greater harmonisation of the EPA’s regimes may overcome some of these impediments.</w:t>
      </w:r>
      <w:r>
        <w:t xml:space="preserve"> </w:t>
      </w:r>
    </w:p>
    <w:p w:rsidR="003C7CA8" w:rsidRDefault="00723113" w:rsidP="000E0689">
      <w:pPr>
        <w:pStyle w:val="BodyText"/>
      </w:pPr>
      <w:r>
        <w:t>To address this, w</w:t>
      </w:r>
      <w:r w:rsidR="00630295">
        <w:t>e will ensure that harmonisation</w:t>
      </w:r>
      <w:r>
        <w:t xml:space="preserve"> opportunities are</w:t>
      </w:r>
      <w:r w:rsidR="00D44198">
        <w:t xml:space="preserve"> explicitly</w:t>
      </w:r>
      <w:r>
        <w:t xml:space="preserve"> considered in our regular</w:t>
      </w:r>
      <w:r w:rsidR="00D44198">
        <w:t xml:space="preserve"> reviews of the operation of</w:t>
      </w:r>
      <w:r>
        <w:t xml:space="preserve"> </w:t>
      </w:r>
      <w:r w:rsidR="003C7CA8">
        <w:t>individual regimes</w:t>
      </w:r>
      <w:r>
        <w:t>. We</w:t>
      </w:r>
      <w:r w:rsidR="00630295">
        <w:t xml:space="preserve"> will also explore whether an overarching project</w:t>
      </w:r>
      <w:r w:rsidR="00D44198">
        <w:t xml:space="preserve"> that is focused on achieving greater harmonisation</w:t>
      </w:r>
      <w:r w:rsidR="00DA6B73">
        <w:t xml:space="preserve"> is required.</w:t>
      </w:r>
      <w:r w:rsidR="00755C19">
        <w:t xml:space="preserve"> </w:t>
      </w:r>
    </w:p>
    <w:p w:rsidR="003C7CA8" w:rsidRDefault="003C7CA8" w:rsidP="003C7CA8">
      <w:pPr>
        <w:pStyle w:val="Heading2"/>
      </w:pPr>
      <w:bookmarkStart w:id="32" w:name="_Toc417466135"/>
      <w:r>
        <w:lastRenderedPageBreak/>
        <w:t>Enhanced monitoring</w:t>
      </w:r>
      <w:bookmarkEnd w:id="32"/>
    </w:p>
    <w:p w:rsidR="003C7CA8" w:rsidRPr="000E0689" w:rsidRDefault="003C7CA8" w:rsidP="000E0689">
      <w:pPr>
        <w:pStyle w:val="BodyText"/>
      </w:pPr>
      <w:r>
        <w:t>T</w:t>
      </w:r>
      <w:r w:rsidRPr="000E0689">
        <w:t>he Ministry will now, in consultation with the EPA and the Minister, review ou</w:t>
      </w:r>
      <w:r w:rsidR="00FE7643" w:rsidRPr="000E0689">
        <w:t>r monitoring of</w:t>
      </w:r>
      <w:r w:rsidR="00902C6E">
        <w:t> </w:t>
      </w:r>
      <w:r w:rsidR="00FE7643" w:rsidRPr="000E0689">
        <w:t>the EPA.</w:t>
      </w:r>
      <w:r w:rsidR="00755C19">
        <w:t xml:space="preserve"> </w:t>
      </w:r>
      <w:r w:rsidR="00FE7643" w:rsidRPr="000E0689">
        <w:t>This R</w:t>
      </w:r>
      <w:r w:rsidRPr="000E0689">
        <w:t xml:space="preserve">eview provides an appropriate opportunity for us to reconsider our approach to monitoring the EPA. This may include consideration of what aspects are monitored, and how monitoring adds value to the EPA and the Minister, as well as the practical </w:t>
      </w:r>
      <w:r w:rsidR="00771FF4" w:rsidRPr="000E0689">
        <w:t>‘</w:t>
      </w:r>
      <w:r w:rsidRPr="000E0689">
        <w:t>how-to</w:t>
      </w:r>
      <w:r w:rsidR="00771FF4" w:rsidRPr="000E0689">
        <w:t>’</w:t>
      </w:r>
      <w:r w:rsidRPr="000E0689">
        <w:t xml:space="preserve"> of monitoring.</w:t>
      </w:r>
    </w:p>
    <w:p w:rsidR="003C7CA8" w:rsidRDefault="003C7CA8" w:rsidP="000E0689">
      <w:pPr>
        <w:pStyle w:val="BodyText"/>
      </w:pPr>
      <w:r w:rsidRPr="000E0689">
        <w:t>In pa</w:t>
      </w:r>
      <w:r>
        <w:t>rticular, we intend to more closely monitor the EPA’s finances and risks.</w:t>
      </w:r>
      <w:r w:rsidR="00755C19">
        <w:t xml:space="preserve"> </w:t>
      </w:r>
      <w:r>
        <w:t>We have already taken steps to enhance our</w:t>
      </w:r>
      <w:r w:rsidR="001A59E8">
        <w:t xml:space="preserve"> understanding </w:t>
      </w:r>
      <w:r>
        <w:t xml:space="preserve">of the EPA’s finances and financial forecasts through the work underway to </w:t>
      </w:r>
      <w:r w:rsidR="003117EE">
        <w:t xml:space="preserve">improve </w:t>
      </w:r>
      <w:r>
        <w:t>the EPA’s financial forecasting for the next four years</w:t>
      </w:r>
      <w:r w:rsidR="003117EE">
        <w:t>,</w:t>
      </w:r>
      <w:r>
        <w:t xml:space="preserve"> and</w:t>
      </w:r>
      <w:r w:rsidR="003117EE">
        <w:t xml:space="preserve"> </w:t>
      </w:r>
      <w:proofErr w:type="gramStart"/>
      <w:r w:rsidR="003117EE">
        <w:t>its</w:t>
      </w:r>
      <w:proofErr w:type="gramEnd"/>
      <w:r>
        <w:t xml:space="preserve"> reporting on</w:t>
      </w:r>
      <w:r w:rsidR="003117EE">
        <w:t xml:space="preserve"> how it uses </w:t>
      </w:r>
      <w:r>
        <w:t xml:space="preserve">Crown and </w:t>
      </w:r>
      <w:r w:rsidR="004536F3">
        <w:t>third party funding</w:t>
      </w:r>
      <w:r>
        <w:t>.</w:t>
      </w:r>
    </w:p>
    <w:p w:rsidR="003C7CA8" w:rsidRPr="00F72C3E" w:rsidRDefault="003C7CA8" w:rsidP="00F72C3E">
      <w:pPr>
        <w:pStyle w:val="Heading2"/>
      </w:pPr>
      <w:bookmarkStart w:id="33" w:name="_Toc417466136"/>
      <w:r>
        <w:t>Supporting the Minister in his role</w:t>
      </w:r>
      <w:bookmarkEnd w:id="33"/>
    </w:p>
    <w:p w:rsidR="003C7CA8" w:rsidRPr="00F72C3E" w:rsidRDefault="003C7CA8" w:rsidP="00F72C3E">
      <w:pPr>
        <w:pStyle w:val="BodyText"/>
      </w:pPr>
      <w:r>
        <w:t>The external reviewer has recommended that the Minister:</w:t>
      </w:r>
    </w:p>
    <w:p w:rsidR="003C7CA8" w:rsidRPr="007D3E61" w:rsidRDefault="003C7CA8" w:rsidP="00F72C3E">
      <w:pPr>
        <w:pStyle w:val="Bullet"/>
      </w:pPr>
      <w:r w:rsidRPr="007D3E61">
        <w:t xml:space="preserve">reflect the findings of the </w:t>
      </w:r>
      <w:r w:rsidR="00FE7643">
        <w:t>R</w:t>
      </w:r>
      <w:r w:rsidRPr="007D3E61">
        <w:t xml:space="preserve">eview and his resulting expectations in the annual </w:t>
      </w:r>
      <w:r w:rsidR="003C4553">
        <w:t>l</w:t>
      </w:r>
      <w:r w:rsidRPr="007D3E61">
        <w:t xml:space="preserve">etter of </w:t>
      </w:r>
      <w:r w:rsidR="00EC65CB">
        <w:t>e</w:t>
      </w:r>
      <w:r w:rsidR="00EC65CB" w:rsidRPr="007D3E61">
        <w:t>xpectations</w:t>
      </w:r>
    </w:p>
    <w:p w:rsidR="003C7CA8" w:rsidRPr="007D3E61" w:rsidRDefault="003C7CA8" w:rsidP="00F72C3E">
      <w:pPr>
        <w:pStyle w:val="Bullet"/>
      </w:pPr>
      <w:proofErr w:type="gramStart"/>
      <w:r w:rsidRPr="007D3E61">
        <w:t>ensure</w:t>
      </w:r>
      <w:proofErr w:type="gramEnd"/>
      <w:r w:rsidRPr="007D3E61">
        <w:t xml:space="preserve"> the EPA Board membership</w:t>
      </w:r>
      <w:r>
        <w:t xml:space="preserve"> includes the skills and experience necessary to ensure effective impleme</w:t>
      </w:r>
      <w:r w:rsidR="00FE7643">
        <w:t>ntation of the findings of the R</w:t>
      </w:r>
      <w:r>
        <w:t>eview.</w:t>
      </w:r>
    </w:p>
    <w:p w:rsidR="003C7CA8" w:rsidRDefault="003C7CA8" w:rsidP="00F72C3E">
      <w:pPr>
        <w:pStyle w:val="BodyText"/>
      </w:pPr>
      <w:r>
        <w:t>The Ministry has a role to support the Minister in these tasks.</w:t>
      </w:r>
      <w:r w:rsidR="00755C19">
        <w:t xml:space="preserve"> </w:t>
      </w:r>
      <w:r>
        <w:t xml:space="preserve">We provide advice on the annual </w:t>
      </w:r>
      <w:r w:rsidR="00EC65CB">
        <w:t xml:space="preserve">letter </w:t>
      </w:r>
      <w:r>
        <w:t xml:space="preserve">of </w:t>
      </w:r>
      <w:r w:rsidR="00EC65CB">
        <w:t>expectations</w:t>
      </w:r>
      <w:r>
        <w:t>, including providing a draft letter for consideration.</w:t>
      </w:r>
      <w:r w:rsidR="00755C19">
        <w:t xml:space="preserve"> </w:t>
      </w:r>
      <w:r>
        <w:t xml:space="preserve">Therefore, the Ministry intends to focus the upcoming and future </w:t>
      </w:r>
      <w:r w:rsidR="00EC65CB">
        <w:t xml:space="preserve">letters </w:t>
      </w:r>
      <w:r>
        <w:t xml:space="preserve">of </w:t>
      </w:r>
      <w:r w:rsidR="00EC65CB">
        <w:t xml:space="preserve">expectation </w:t>
      </w:r>
      <w:r>
        <w:t>around the findings of the Review and progress being made towards implementing the findings.</w:t>
      </w:r>
    </w:p>
    <w:p w:rsidR="003117EE" w:rsidRDefault="003C7CA8" w:rsidP="00F72C3E">
      <w:pPr>
        <w:pStyle w:val="BodyText"/>
      </w:pPr>
      <w:r>
        <w:t>The Ministry also provides advice on appointments to the EPA Board.</w:t>
      </w:r>
      <w:r w:rsidR="00755C19">
        <w:t xml:space="preserve"> </w:t>
      </w:r>
      <w:r w:rsidR="003117EE">
        <w:t xml:space="preserve">The Ministry </w:t>
      </w:r>
      <w:r w:rsidR="000A6B5E">
        <w:t>is currently undertaking a</w:t>
      </w:r>
      <w:r w:rsidR="003117EE">
        <w:t xml:space="preserve"> Board appointments process. This appointments process provide</w:t>
      </w:r>
      <w:r w:rsidR="000A6B5E">
        <w:t>s</w:t>
      </w:r>
      <w:r w:rsidR="003117EE">
        <w:t xml:space="preserve"> an opportunity to address any skill gaps.</w:t>
      </w:r>
    </w:p>
    <w:p w:rsidR="00090549" w:rsidRDefault="003117EE" w:rsidP="00F72C3E">
      <w:pPr>
        <w:pStyle w:val="BodyText"/>
      </w:pPr>
      <w:r>
        <w:t xml:space="preserve">When providing Board appointment advice we </w:t>
      </w:r>
      <w:r w:rsidR="003C7CA8">
        <w:t>will take into acco</w:t>
      </w:r>
      <w:r w:rsidR="00FE7643">
        <w:t>unt the recommendations of the R</w:t>
      </w:r>
      <w:r w:rsidR="003C7CA8">
        <w:t>eview on Board membership and advise the Minister on how best to achieve these.</w:t>
      </w:r>
      <w:r w:rsidR="00FD0D92" w:rsidRPr="00FD0D92">
        <w:t xml:space="preserve"> </w:t>
      </w:r>
      <w:r w:rsidR="00FD0D92">
        <w:t>For example, we expect the Board will need at least one member with significant experience leading an organisation through a</w:t>
      </w:r>
      <w:r w:rsidR="009400CE">
        <w:t>n organisation</w:t>
      </w:r>
      <w:r w:rsidR="003A13BC">
        <w:t>al</w:t>
      </w:r>
      <w:r w:rsidR="009400CE">
        <w:t xml:space="preserve"> development phase or </w:t>
      </w:r>
      <w:r w:rsidR="00FD0D92">
        <w:t>change process</w:t>
      </w:r>
      <w:r w:rsidR="009400CE">
        <w:t>,</w:t>
      </w:r>
      <w:r w:rsidR="00FD0D92">
        <w:t xml:space="preserve"> and/or someone with significant experience leading a regulatory body.</w:t>
      </w:r>
      <w:r w:rsidR="00755C19">
        <w:t xml:space="preserve"> </w:t>
      </w:r>
      <w:r w:rsidR="00090549">
        <w:t>We might also want to ensure the board has appropriate financial experience and skills.</w:t>
      </w:r>
    </w:p>
    <w:p w:rsidR="003C7CA8" w:rsidRPr="00F72C3E" w:rsidRDefault="003C7CA8" w:rsidP="00F72C3E">
      <w:pPr>
        <w:pStyle w:val="BodyText"/>
      </w:pPr>
    </w:p>
    <w:p w:rsidR="003C7CA8" w:rsidRPr="00F72C3E" w:rsidRDefault="003C7CA8" w:rsidP="00F72C3E">
      <w:pPr>
        <w:pStyle w:val="BodyText"/>
      </w:pPr>
    </w:p>
    <w:p w:rsidR="003C7CA8" w:rsidRDefault="003C7CA8" w:rsidP="003C7CA8">
      <w:pPr>
        <w:spacing w:before="0" w:after="200" w:line="276" w:lineRule="auto"/>
        <w:jc w:val="left"/>
        <w:rPr>
          <w:rStyle w:val="Heading1Char"/>
        </w:rPr>
      </w:pPr>
      <w:r>
        <w:rPr>
          <w:rStyle w:val="Heading1Char"/>
        </w:rPr>
        <w:br w:type="page"/>
      </w:r>
    </w:p>
    <w:p w:rsidR="003C7CA8" w:rsidRDefault="003C7CA8" w:rsidP="00F72C3E">
      <w:pPr>
        <w:pStyle w:val="BodyText"/>
        <w:rPr>
          <w:rStyle w:val="Heading1Char"/>
          <w:b w:val="0"/>
        </w:rPr>
        <w:sectPr w:rsidR="003C7CA8" w:rsidSect="00C02F6F">
          <w:headerReference w:type="even" r:id="rId31"/>
          <w:headerReference w:type="default" r:id="rId32"/>
          <w:footerReference w:type="even" r:id="rId33"/>
          <w:footerReference w:type="default" r:id="rId34"/>
          <w:headerReference w:type="first" r:id="rId35"/>
          <w:endnotePr>
            <w:numFmt w:val="decimal"/>
          </w:endnotePr>
          <w:pgSz w:w="11907" w:h="16840" w:code="9"/>
          <w:pgMar w:top="1134" w:right="1418" w:bottom="1134" w:left="1418" w:header="567" w:footer="567" w:gutter="567"/>
          <w:cols w:space="720"/>
        </w:sectPr>
      </w:pPr>
    </w:p>
    <w:p w:rsidR="00147521" w:rsidRPr="00F72C3E" w:rsidRDefault="00147521" w:rsidP="00147521">
      <w:pPr>
        <w:pStyle w:val="Heading1"/>
      </w:pPr>
      <w:bookmarkStart w:id="34" w:name="_Toc417466137"/>
      <w:bookmarkStart w:id="35" w:name="_Toc414363596"/>
      <w:r w:rsidRPr="00F72C3E">
        <w:lastRenderedPageBreak/>
        <w:t xml:space="preserve">Appendix </w:t>
      </w:r>
      <w:r>
        <w:t xml:space="preserve">A: </w:t>
      </w:r>
      <w:r w:rsidRPr="00F72C3E">
        <w:t>Signposts and desired behaviours to</w:t>
      </w:r>
      <w:r>
        <w:t> </w:t>
      </w:r>
      <w:r w:rsidRPr="00F72C3E">
        <w:t>evaluate</w:t>
      </w:r>
      <w:r>
        <w:t> </w:t>
      </w:r>
      <w:r w:rsidRPr="00F72C3E">
        <w:t>the effectiveness of the EPA</w:t>
      </w:r>
      <w:bookmarkEnd w:id="34"/>
    </w:p>
    <w:tbl>
      <w:tblPr>
        <w:tblW w:w="14459" w:type="dxa"/>
        <w:tblInd w:w="57" w:type="dxa"/>
        <w:tblBorders>
          <w:top w:val="single" w:sz="4" w:space="0" w:color="17556C"/>
          <w:bottom w:val="single" w:sz="4" w:space="0" w:color="17556C"/>
          <w:insideH w:val="single" w:sz="4" w:space="0" w:color="17556C"/>
        </w:tblBorders>
        <w:tblLook w:val="04A0" w:firstRow="1" w:lastRow="0" w:firstColumn="1" w:lastColumn="0" w:noHBand="0" w:noVBand="1"/>
      </w:tblPr>
      <w:tblGrid>
        <w:gridCol w:w="1894"/>
        <w:gridCol w:w="2551"/>
        <w:gridCol w:w="5104"/>
        <w:gridCol w:w="4910"/>
      </w:tblGrid>
      <w:tr w:rsidR="00147521" w:rsidRPr="00367E5C" w:rsidTr="00387AF7">
        <w:trPr>
          <w:tblHeader/>
        </w:trPr>
        <w:tc>
          <w:tcPr>
            <w:tcW w:w="655" w:type="pct"/>
            <w:shd w:val="clear" w:color="auto" w:fill="17556C"/>
          </w:tcPr>
          <w:bookmarkEnd w:id="35"/>
          <w:p w:rsidR="00147521" w:rsidRPr="00367E5C" w:rsidRDefault="00147521" w:rsidP="00387AF7">
            <w:pPr>
              <w:pStyle w:val="TableTextbold"/>
              <w:rPr>
                <w:color w:val="FFFFFF" w:themeColor="background1"/>
              </w:rPr>
            </w:pPr>
            <w:r w:rsidRPr="00367E5C">
              <w:rPr>
                <w:color w:val="FFFFFF" w:themeColor="background1"/>
              </w:rPr>
              <w:t>Dimension</w:t>
            </w:r>
          </w:p>
        </w:tc>
        <w:tc>
          <w:tcPr>
            <w:tcW w:w="882" w:type="pct"/>
            <w:shd w:val="clear" w:color="auto" w:fill="17556C"/>
          </w:tcPr>
          <w:p w:rsidR="00147521" w:rsidRPr="00367E5C" w:rsidRDefault="00147521" w:rsidP="00387AF7">
            <w:pPr>
              <w:pStyle w:val="TableTextbold"/>
              <w:rPr>
                <w:color w:val="FFFFFF" w:themeColor="background1"/>
              </w:rPr>
            </w:pPr>
            <w:r w:rsidRPr="00367E5C">
              <w:rPr>
                <w:color w:val="FFFFFF" w:themeColor="background1"/>
              </w:rPr>
              <w:t>PIF elements</w:t>
            </w:r>
          </w:p>
        </w:tc>
        <w:tc>
          <w:tcPr>
            <w:tcW w:w="1765" w:type="pct"/>
            <w:shd w:val="clear" w:color="auto" w:fill="17556C"/>
          </w:tcPr>
          <w:p w:rsidR="00147521" w:rsidRPr="00367E5C" w:rsidRDefault="00147521" w:rsidP="00387AF7">
            <w:pPr>
              <w:pStyle w:val="TableTextbold"/>
              <w:rPr>
                <w:color w:val="FFFFFF" w:themeColor="background1"/>
              </w:rPr>
            </w:pPr>
            <w:r w:rsidRPr="00367E5C">
              <w:rPr>
                <w:color w:val="FFFFFF" w:themeColor="background1"/>
              </w:rPr>
              <w:t>PIF definition</w:t>
            </w:r>
          </w:p>
        </w:tc>
        <w:tc>
          <w:tcPr>
            <w:tcW w:w="1698" w:type="pct"/>
            <w:shd w:val="clear" w:color="auto" w:fill="17556C"/>
          </w:tcPr>
          <w:p w:rsidR="00147521" w:rsidRPr="00367E5C" w:rsidRDefault="00147521" w:rsidP="00387AF7">
            <w:pPr>
              <w:pStyle w:val="TableTextbold"/>
              <w:rPr>
                <w:color w:val="FFFFFF" w:themeColor="background1"/>
              </w:rPr>
            </w:pPr>
            <w:r w:rsidRPr="00367E5C">
              <w:rPr>
                <w:color w:val="FFFFFF" w:themeColor="background1"/>
              </w:rPr>
              <w:t>Signposts / desired behaviours</w:t>
            </w:r>
          </w:p>
        </w:tc>
      </w:tr>
      <w:tr w:rsidR="00147521" w:rsidRPr="00251BE0" w:rsidTr="00387AF7">
        <w:tc>
          <w:tcPr>
            <w:tcW w:w="655" w:type="pct"/>
          </w:tcPr>
          <w:p w:rsidR="00147521" w:rsidRPr="00251BE0" w:rsidRDefault="00147521" w:rsidP="00387AF7">
            <w:pPr>
              <w:pStyle w:val="Tabletext"/>
            </w:pPr>
            <w:r w:rsidRPr="00251BE0">
              <w:t xml:space="preserve">Results </w:t>
            </w:r>
          </w:p>
        </w:tc>
        <w:tc>
          <w:tcPr>
            <w:tcW w:w="882" w:type="pct"/>
          </w:tcPr>
          <w:p w:rsidR="00147521" w:rsidRPr="00891AF3" w:rsidRDefault="00147521" w:rsidP="00387AF7">
            <w:pPr>
              <w:pStyle w:val="Tablebullet"/>
              <w:spacing w:before="60"/>
            </w:pPr>
            <w:r w:rsidRPr="00891AF3">
              <w:t>Government priorities</w:t>
            </w:r>
          </w:p>
          <w:p w:rsidR="00147521" w:rsidRPr="00891AF3" w:rsidRDefault="00147521" w:rsidP="00387AF7">
            <w:pPr>
              <w:pStyle w:val="Tablebullet"/>
            </w:pPr>
            <w:r w:rsidRPr="00891AF3">
              <w:t>Core business effectiveness</w:t>
            </w:r>
          </w:p>
          <w:p w:rsidR="00147521" w:rsidRPr="00251BE0" w:rsidRDefault="00147521" w:rsidP="00387AF7">
            <w:pPr>
              <w:pStyle w:val="Tablebullet"/>
            </w:pPr>
            <w:r w:rsidRPr="00891AF3">
              <w:t>Core business efficienc</w:t>
            </w:r>
            <w:r w:rsidRPr="00251BE0">
              <w:t>y</w:t>
            </w:r>
          </w:p>
        </w:tc>
        <w:tc>
          <w:tcPr>
            <w:tcW w:w="1765" w:type="pct"/>
          </w:tcPr>
          <w:p w:rsidR="00147521" w:rsidRPr="00251BE0" w:rsidRDefault="00147521" w:rsidP="00387AF7">
            <w:pPr>
              <w:pStyle w:val="Tabletext"/>
            </w:pPr>
            <w:r w:rsidRPr="00251BE0">
              <w:t>The legitimacy of public institutions rests on their ability to demonstrate high levels of integrity and performance. The public and their political representatives need to be confident that public ownership, funding, provision and regulation of activity are adding most value for the community while minimising its costs. Making a positive difference should also help attract, retain and motivate the right people to work in the public sector.</w:t>
            </w:r>
          </w:p>
        </w:tc>
        <w:tc>
          <w:tcPr>
            <w:tcW w:w="1698" w:type="pct"/>
          </w:tcPr>
          <w:p w:rsidR="00147521" w:rsidRPr="00891AF3" w:rsidRDefault="00147521" w:rsidP="00387AF7">
            <w:pPr>
              <w:pStyle w:val="Tablebullet"/>
              <w:spacing w:before="60"/>
            </w:pPr>
            <w:r w:rsidRPr="00891AF3">
              <w:t>The EPA understands and measures:</w:t>
            </w:r>
          </w:p>
          <w:p w:rsidR="00147521" w:rsidRPr="00891AF3" w:rsidRDefault="00147521" w:rsidP="00147521">
            <w:pPr>
              <w:pStyle w:val="Tablebullet"/>
              <w:numPr>
                <w:ilvl w:val="1"/>
                <w:numId w:val="64"/>
              </w:numPr>
            </w:pPr>
            <w:r w:rsidRPr="00891AF3">
              <w:t>how it contributes to the Government’s priorities*</w:t>
            </w:r>
          </w:p>
          <w:p w:rsidR="00147521" w:rsidRPr="00891AF3" w:rsidRDefault="00147521" w:rsidP="00147521">
            <w:pPr>
              <w:pStyle w:val="Tablebullet"/>
              <w:numPr>
                <w:ilvl w:val="1"/>
                <w:numId w:val="64"/>
              </w:numPr>
            </w:pPr>
            <w:r w:rsidRPr="00891AF3">
              <w:t>how it makes a difference and the impact this has on New Zealand (ie, effectiveness; the results being achieved)*</w:t>
            </w:r>
          </w:p>
          <w:p w:rsidR="00147521" w:rsidRPr="00891AF3" w:rsidRDefault="00147521" w:rsidP="00147521">
            <w:pPr>
              <w:pStyle w:val="Tablebullet"/>
              <w:numPr>
                <w:ilvl w:val="1"/>
                <w:numId w:val="64"/>
              </w:numPr>
            </w:pPr>
            <w:proofErr w:type="gramStart"/>
            <w:r w:rsidRPr="00891AF3">
              <w:t>the</w:t>
            </w:r>
            <w:proofErr w:type="gramEnd"/>
            <w:r w:rsidRPr="00891AF3">
              <w:t xml:space="preserve"> efficiency of its operations. </w:t>
            </w:r>
          </w:p>
          <w:p w:rsidR="00147521" w:rsidRPr="00891AF3" w:rsidRDefault="00147521" w:rsidP="00387AF7">
            <w:pPr>
              <w:pStyle w:val="Tablebullet"/>
            </w:pPr>
            <w:r w:rsidRPr="00891AF3">
              <w:t>The EPA has robust, transparent and auditable processes that support its independence as a regulator, are easily understood by stakeholders, and can withstand intense public scrutiny.*</w:t>
            </w:r>
          </w:p>
        </w:tc>
      </w:tr>
      <w:tr w:rsidR="00147521" w:rsidRPr="00251BE0" w:rsidTr="00387AF7">
        <w:tc>
          <w:tcPr>
            <w:tcW w:w="655" w:type="pct"/>
          </w:tcPr>
          <w:p w:rsidR="00147521" w:rsidRPr="00251BE0" w:rsidRDefault="00147521" w:rsidP="00387AF7">
            <w:pPr>
              <w:pStyle w:val="Tabletext"/>
            </w:pPr>
            <w:r w:rsidRPr="00251BE0">
              <w:t>Strategy and role</w:t>
            </w:r>
          </w:p>
        </w:tc>
        <w:tc>
          <w:tcPr>
            <w:tcW w:w="882" w:type="pct"/>
          </w:tcPr>
          <w:p w:rsidR="00147521" w:rsidRPr="00891AF3" w:rsidRDefault="00147521" w:rsidP="00387AF7">
            <w:pPr>
              <w:pStyle w:val="Tablebullet"/>
              <w:spacing w:before="60"/>
            </w:pPr>
            <w:r w:rsidRPr="00891AF3">
              <w:t>Purpose, vision and strategy</w:t>
            </w:r>
          </w:p>
          <w:p w:rsidR="00147521" w:rsidRPr="00891AF3" w:rsidRDefault="00147521" w:rsidP="00387AF7">
            <w:pPr>
              <w:pStyle w:val="Tablebullet"/>
            </w:pPr>
            <w:r w:rsidRPr="00891AF3">
              <w:t>Structure, roles and responsibilities</w:t>
            </w:r>
          </w:p>
          <w:p w:rsidR="00147521" w:rsidRPr="00251BE0" w:rsidRDefault="00147521" w:rsidP="00387AF7">
            <w:pPr>
              <w:pStyle w:val="Tablebullet"/>
            </w:pPr>
            <w:r w:rsidRPr="00891AF3">
              <w:t>Engagement with Ministers</w:t>
            </w:r>
          </w:p>
        </w:tc>
        <w:tc>
          <w:tcPr>
            <w:tcW w:w="1765" w:type="pct"/>
          </w:tcPr>
          <w:p w:rsidR="00147521" w:rsidRPr="00251BE0" w:rsidRDefault="00147521" w:rsidP="00387AF7">
            <w:pPr>
              <w:pStyle w:val="Tabletext"/>
            </w:pPr>
            <w:r w:rsidRPr="00251BE0">
              <w:t>Clarity in role and strategy bridges policy and delivery; it clarifies for everyone how an agency delivers value, and what that value is. It makes a complex operating environment simple. When done well it unifies the silos and enables prioritisation.</w:t>
            </w:r>
          </w:p>
        </w:tc>
        <w:tc>
          <w:tcPr>
            <w:tcW w:w="1698" w:type="pct"/>
          </w:tcPr>
          <w:p w:rsidR="00147521" w:rsidRPr="00891AF3" w:rsidRDefault="00147521" w:rsidP="00387AF7">
            <w:pPr>
              <w:pStyle w:val="Tablebullet"/>
              <w:spacing w:before="60"/>
            </w:pPr>
            <w:r w:rsidRPr="00891AF3">
              <w:t xml:space="preserve">The EPA understands how its regulatory role contributes to an effective and efficient environmental management system.* </w:t>
            </w:r>
          </w:p>
          <w:p w:rsidR="00147521" w:rsidRPr="00891AF3" w:rsidRDefault="00147521" w:rsidP="00387AF7">
            <w:pPr>
              <w:pStyle w:val="Tablebullet"/>
            </w:pPr>
            <w:r w:rsidRPr="00891AF3">
              <w:t>The EPA has a future-focused strategy that clearly articulates its purpose and vision, and proposes how it will assess its strategic performance.</w:t>
            </w:r>
          </w:p>
          <w:p w:rsidR="00147521" w:rsidRPr="00891AF3" w:rsidRDefault="00147521" w:rsidP="00387AF7">
            <w:pPr>
              <w:pStyle w:val="Tablebullet"/>
            </w:pPr>
            <w:r w:rsidRPr="00891AF3">
              <w:t>The EPA’s operating model supports achievement of the strategy, consolidates regulatory and technical skills, and builds on synergies between similar functions and powers.</w:t>
            </w:r>
          </w:p>
          <w:p w:rsidR="00147521" w:rsidRPr="00891AF3" w:rsidRDefault="00147521" w:rsidP="00387AF7">
            <w:pPr>
              <w:pStyle w:val="Tablebullet"/>
            </w:pPr>
            <w:r w:rsidRPr="00891AF3">
              <w:t>The EPA effectively engages with Ministers, while recognising its independence as a Crown agent.</w:t>
            </w:r>
          </w:p>
        </w:tc>
      </w:tr>
      <w:tr w:rsidR="00147521" w:rsidRPr="00251BE0" w:rsidTr="00387AF7">
        <w:tc>
          <w:tcPr>
            <w:tcW w:w="655" w:type="pct"/>
          </w:tcPr>
          <w:p w:rsidR="00147521" w:rsidRPr="00D35210" w:rsidRDefault="00147521" w:rsidP="00387AF7">
            <w:pPr>
              <w:pStyle w:val="Tabletext"/>
              <w:keepNext/>
            </w:pPr>
            <w:r w:rsidRPr="00D35210">
              <w:lastRenderedPageBreak/>
              <w:t>Internal leadership</w:t>
            </w:r>
          </w:p>
        </w:tc>
        <w:tc>
          <w:tcPr>
            <w:tcW w:w="882" w:type="pct"/>
          </w:tcPr>
          <w:p w:rsidR="00147521" w:rsidRPr="00891AF3" w:rsidRDefault="00147521" w:rsidP="00387AF7">
            <w:pPr>
              <w:pStyle w:val="Tablebullet"/>
              <w:spacing w:before="60"/>
            </w:pPr>
            <w:r w:rsidRPr="00891AF3">
              <w:t>Leadership and governance</w:t>
            </w:r>
          </w:p>
          <w:p w:rsidR="00147521" w:rsidRPr="00891AF3" w:rsidRDefault="00147521" w:rsidP="00387AF7">
            <w:pPr>
              <w:pStyle w:val="Tablebullet"/>
            </w:pPr>
            <w:r w:rsidRPr="00891AF3">
              <w:t>Values, behaviour and culture</w:t>
            </w:r>
          </w:p>
          <w:p w:rsidR="00147521" w:rsidRPr="00891AF3" w:rsidRDefault="00147521" w:rsidP="00387AF7">
            <w:pPr>
              <w:pStyle w:val="Tablebullet"/>
            </w:pPr>
            <w:r w:rsidRPr="00891AF3">
              <w:t>Leadership and workforce development</w:t>
            </w:r>
          </w:p>
          <w:p w:rsidR="00147521" w:rsidRPr="00891AF3" w:rsidRDefault="00147521" w:rsidP="00387AF7">
            <w:pPr>
              <w:pStyle w:val="Tablebullet"/>
            </w:pPr>
            <w:r w:rsidRPr="00891AF3">
              <w:t>Management of people performance</w:t>
            </w:r>
          </w:p>
          <w:p w:rsidR="00147521" w:rsidRPr="00891AF3" w:rsidRDefault="00147521" w:rsidP="00387AF7">
            <w:pPr>
              <w:pStyle w:val="Tablebullet"/>
            </w:pPr>
            <w:r w:rsidRPr="00891AF3">
              <w:t>Engagement with staff</w:t>
            </w:r>
          </w:p>
        </w:tc>
        <w:tc>
          <w:tcPr>
            <w:tcW w:w="1765" w:type="pct"/>
          </w:tcPr>
          <w:p w:rsidR="00147521" w:rsidRPr="00251BE0" w:rsidRDefault="00147521" w:rsidP="00387AF7">
            <w:pPr>
              <w:pStyle w:val="Tabletext"/>
            </w:pPr>
            <w:r w:rsidRPr="00251BE0">
              <w:t>Most people join the public service from a strong sense of mission and often passionate desire to make a positive difference to the lives of New Zealanders. Many of the nation’s brightest graduates and best thinkers are attracted by the idea of public service. This is a powerful idea and the talent it attracts is arguably the most important asset in the public sector. This reservoir of talent and passionate commitment has a huge opportunity value. It needs to be fully utilised and developed.</w:t>
            </w:r>
          </w:p>
        </w:tc>
        <w:tc>
          <w:tcPr>
            <w:tcW w:w="1698" w:type="pct"/>
          </w:tcPr>
          <w:p w:rsidR="00147521" w:rsidRDefault="00147521" w:rsidP="00387AF7">
            <w:pPr>
              <w:pStyle w:val="Tablebullet"/>
              <w:spacing w:before="60"/>
            </w:pPr>
            <w:r>
              <w:t>Decisions are being made at appropriate levels within the EPA and the different parts of management are focused on appropriate activities (eg, Board sets strategy, ELT run the business).</w:t>
            </w:r>
          </w:p>
          <w:p w:rsidR="00147521" w:rsidRDefault="00147521" w:rsidP="00387AF7">
            <w:pPr>
              <w:pStyle w:val="Tablebullet"/>
            </w:pPr>
            <w:r>
              <w:t>The EPA’s expected values, behaviour and culture are clearly articulated and embedded.</w:t>
            </w:r>
          </w:p>
          <w:p w:rsidR="00147521" w:rsidRPr="00A82924" w:rsidRDefault="00147521" w:rsidP="00387AF7">
            <w:pPr>
              <w:pStyle w:val="Tablebullet"/>
            </w:pPr>
            <w:r>
              <w:t>The EPA’s o</w:t>
            </w:r>
            <w:r w:rsidRPr="00251BE0">
              <w:t>perating model</w:t>
            </w:r>
            <w:r>
              <w:t xml:space="preserve"> ensures it has a core capability of staff, and</w:t>
            </w:r>
            <w:r w:rsidRPr="00251BE0">
              <w:t xml:space="preserve"> supports</w:t>
            </w:r>
            <w:r>
              <w:t xml:space="preserve"> the</w:t>
            </w:r>
            <w:r w:rsidRPr="00251BE0">
              <w:t xml:space="preserve"> retention and development of staff</w:t>
            </w:r>
            <w:r>
              <w:t>.</w:t>
            </w:r>
          </w:p>
        </w:tc>
      </w:tr>
      <w:tr w:rsidR="00147521" w:rsidRPr="00251BE0" w:rsidTr="00387AF7">
        <w:tc>
          <w:tcPr>
            <w:tcW w:w="655" w:type="pct"/>
          </w:tcPr>
          <w:p w:rsidR="00147521" w:rsidRPr="00D35210" w:rsidRDefault="00147521" w:rsidP="00387AF7">
            <w:pPr>
              <w:pStyle w:val="Tabletext"/>
            </w:pPr>
            <w:r w:rsidRPr="00D35210">
              <w:t>Working with others</w:t>
            </w:r>
          </w:p>
        </w:tc>
        <w:tc>
          <w:tcPr>
            <w:tcW w:w="882" w:type="pct"/>
          </w:tcPr>
          <w:p w:rsidR="00147521" w:rsidRPr="00891AF3" w:rsidRDefault="00147521" w:rsidP="00387AF7">
            <w:pPr>
              <w:pStyle w:val="Tablebullet"/>
              <w:spacing w:before="60"/>
            </w:pPr>
            <w:r w:rsidRPr="00891AF3">
              <w:t>Sector contribution</w:t>
            </w:r>
          </w:p>
          <w:p w:rsidR="00147521" w:rsidRPr="00891AF3" w:rsidRDefault="00147521" w:rsidP="00387AF7">
            <w:pPr>
              <w:pStyle w:val="Tablebullet"/>
            </w:pPr>
            <w:r w:rsidRPr="00891AF3">
              <w:t>Collaboration and partnerships with stakeholders</w:t>
            </w:r>
          </w:p>
          <w:p w:rsidR="00147521" w:rsidRPr="00891AF3" w:rsidRDefault="00147521" w:rsidP="00387AF7">
            <w:pPr>
              <w:pStyle w:val="Tablebullet"/>
            </w:pPr>
            <w:r w:rsidRPr="00891AF3">
              <w:t>Experiences of the public</w:t>
            </w:r>
          </w:p>
        </w:tc>
        <w:tc>
          <w:tcPr>
            <w:tcW w:w="1765" w:type="pct"/>
          </w:tcPr>
          <w:p w:rsidR="00147521" w:rsidRPr="00251BE0" w:rsidRDefault="00147521" w:rsidP="00387AF7">
            <w:pPr>
              <w:pStyle w:val="Tabletext"/>
            </w:pPr>
            <w:r>
              <w:t>Great public institutions recognise their role as part of a wider system and know who they need to enlist in order to better meet the current and future interests of those who they must serve well in order to thrive. Great public institutions align the interests of their institution with those of New Zealand and partner effectively with others to ensure those interests are well served.</w:t>
            </w:r>
          </w:p>
        </w:tc>
        <w:tc>
          <w:tcPr>
            <w:tcW w:w="1698" w:type="pct"/>
          </w:tcPr>
          <w:p w:rsidR="00147521" w:rsidRPr="0037009B" w:rsidRDefault="00147521" w:rsidP="00387AF7">
            <w:pPr>
              <w:pStyle w:val="Tablebullet"/>
              <w:spacing w:before="60"/>
            </w:pPr>
            <w:r w:rsidRPr="0037009B">
              <w:t>The EPA has a clear strategy for working with other agencies,</w:t>
            </w:r>
            <w:r>
              <w:t xml:space="preserve"> recognising their role in the environmental management system and helping </w:t>
            </w:r>
            <w:r w:rsidRPr="0037009B">
              <w:t>ensure the system is as effe</w:t>
            </w:r>
            <w:r>
              <w:t xml:space="preserve">ctive and efficient as possible.* </w:t>
            </w:r>
          </w:p>
          <w:p w:rsidR="00147521" w:rsidRDefault="00147521" w:rsidP="00387AF7">
            <w:pPr>
              <w:pStyle w:val="Tablebullet"/>
            </w:pPr>
            <w:r>
              <w:t xml:space="preserve">The EPA shows leadership in the sector, taking </w:t>
            </w:r>
            <w:r w:rsidRPr="0037009B">
              <w:t>own</w:t>
            </w:r>
            <w:r>
              <w:t>ership for</w:t>
            </w:r>
            <w:r w:rsidRPr="0037009B">
              <w:t xml:space="preserve"> sector results</w:t>
            </w:r>
            <w:r>
              <w:t xml:space="preserve"> where appropriate</w:t>
            </w:r>
            <w:r w:rsidRPr="0037009B">
              <w:t>,</w:t>
            </w:r>
            <w:r>
              <w:t xml:space="preserve"> and seeking to influence others to pursue changes that are outside its own mandate.*</w:t>
            </w:r>
          </w:p>
          <w:p w:rsidR="00147521" w:rsidRPr="0033652D" w:rsidRDefault="00147521" w:rsidP="00387AF7">
            <w:pPr>
              <w:pStyle w:val="Tablebullet"/>
            </w:pPr>
            <w:r>
              <w:t>The EPA appropriately recognises and supports the needs of the Minister, applicants, submitters and the general public, while maintaining its integrity/independence as a regulator.*</w:t>
            </w:r>
          </w:p>
        </w:tc>
      </w:tr>
      <w:tr w:rsidR="00147521" w:rsidRPr="00251BE0" w:rsidTr="00387AF7">
        <w:tc>
          <w:tcPr>
            <w:tcW w:w="655" w:type="pct"/>
          </w:tcPr>
          <w:p w:rsidR="00147521" w:rsidRPr="00D35210" w:rsidRDefault="00147521" w:rsidP="00387AF7">
            <w:pPr>
              <w:pStyle w:val="Tabletext"/>
            </w:pPr>
            <w:r w:rsidRPr="00D35210">
              <w:t>Improving delivery</w:t>
            </w:r>
          </w:p>
        </w:tc>
        <w:tc>
          <w:tcPr>
            <w:tcW w:w="882" w:type="pct"/>
          </w:tcPr>
          <w:p w:rsidR="00147521" w:rsidRDefault="00147521" w:rsidP="00387AF7">
            <w:pPr>
              <w:pStyle w:val="Tablebullet"/>
              <w:spacing w:before="60"/>
            </w:pPr>
            <w:r>
              <w:t>Review</w:t>
            </w:r>
          </w:p>
          <w:p w:rsidR="00147521" w:rsidRDefault="00147521" w:rsidP="00387AF7">
            <w:pPr>
              <w:pStyle w:val="Tablebullet"/>
            </w:pPr>
            <w:r>
              <w:t>Improving efficiency and effectiveness</w:t>
            </w:r>
          </w:p>
          <w:p w:rsidR="00147521" w:rsidRPr="00251BE0" w:rsidRDefault="00147521" w:rsidP="00387AF7">
            <w:pPr>
              <w:pStyle w:val="Tablebullet"/>
            </w:pPr>
            <w:r>
              <w:t>Regulatory stewardship</w:t>
            </w:r>
          </w:p>
        </w:tc>
        <w:tc>
          <w:tcPr>
            <w:tcW w:w="1765" w:type="pct"/>
          </w:tcPr>
          <w:p w:rsidR="00147521" w:rsidRPr="00891AF3" w:rsidRDefault="00147521" w:rsidP="00387AF7">
            <w:pPr>
              <w:pStyle w:val="Tabletext"/>
            </w:pPr>
            <w:r w:rsidRPr="00891AF3">
              <w:t xml:space="preserve">Part of the public sector’s legitimacy rest on the acceptance that regulation adds value to the community in excess of the costs that regulations impose. As does a well-developed ability to review and test the efficiency and effectiveness of what an agency does. In addition, it is an important stimulant to innovation and creates a structured way for an agency to learn from its experiences and identify opportunities for continuous improvement. </w:t>
            </w:r>
          </w:p>
        </w:tc>
        <w:tc>
          <w:tcPr>
            <w:tcW w:w="1698" w:type="pct"/>
          </w:tcPr>
          <w:p w:rsidR="00147521" w:rsidRDefault="00147521" w:rsidP="00387AF7">
            <w:pPr>
              <w:pStyle w:val="Tablebullet"/>
              <w:spacing w:before="60"/>
            </w:pPr>
            <w:r>
              <w:t>The EPA understands its cost drivers and how these impact on its own effectiveness and efficiency as well as that of the environmental management system.</w:t>
            </w:r>
          </w:p>
          <w:p w:rsidR="00147521" w:rsidRDefault="00147521" w:rsidP="00387AF7">
            <w:pPr>
              <w:pStyle w:val="Tablebullet"/>
            </w:pPr>
            <w:r>
              <w:t>The EPA has a culture of reflection and learning, embedding lessons and continuously improving its processes and practices, and consequently the effectiveness and efficiency of the system.*</w:t>
            </w:r>
          </w:p>
          <w:p w:rsidR="00147521" w:rsidRPr="00A10958" w:rsidRDefault="00147521" w:rsidP="00387AF7">
            <w:pPr>
              <w:pStyle w:val="Tablebullet"/>
            </w:pPr>
            <w:r>
              <w:t>The EPA</w:t>
            </w:r>
            <w:r w:rsidRPr="00A10958">
              <w:t xml:space="preserve"> is continuously identifying and implementing improvements (</w:t>
            </w:r>
            <w:r>
              <w:t>ie,</w:t>
            </w:r>
            <w:r w:rsidRPr="00A10958">
              <w:t xml:space="preserve"> efficiency and effectiveness)</w:t>
            </w:r>
            <w:r>
              <w:t>.</w:t>
            </w:r>
          </w:p>
          <w:p w:rsidR="00147521" w:rsidRPr="00A96935" w:rsidRDefault="00147521" w:rsidP="00387AF7">
            <w:pPr>
              <w:pStyle w:val="Tablebullet"/>
            </w:pPr>
            <w:r>
              <w:t xml:space="preserve">The EPA uses the hard and soft information it collects </w:t>
            </w:r>
            <w:r>
              <w:lastRenderedPageBreak/>
              <w:t>to effectively contribute to policy discussions.*</w:t>
            </w:r>
          </w:p>
        </w:tc>
      </w:tr>
      <w:tr w:rsidR="00147521" w:rsidRPr="00251BE0" w:rsidTr="00387AF7">
        <w:tc>
          <w:tcPr>
            <w:tcW w:w="655" w:type="pct"/>
          </w:tcPr>
          <w:p w:rsidR="00147521" w:rsidRPr="00D35210" w:rsidRDefault="00147521" w:rsidP="00387AF7">
            <w:pPr>
              <w:pStyle w:val="Tabletext"/>
              <w:keepNext/>
            </w:pPr>
            <w:r w:rsidRPr="00D35210">
              <w:lastRenderedPageBreak/>
              <w:t>Finance and resources</w:t>
            </w:r>
          </w:p>
        </w:tc>
        <w:tc>
          <w:tcPr>
            <w:tcW w:w="882" w:type="pct"/>
          </w:tcPr>
          <w:p w:rsidR="00147521" w:rsidRDefault="00147521" w:rsidP="00387AF7">
            <w:pPr>
              <w:pStyle w:val="Tablebullet"/>
              <w:spacing w:before="60"/>
            </w:pPr>
            <w:r>
              <w:t>Asset management</w:t>
            </w:r>
          </w:p>
          <w:p w:rsidR="00147521" w:rsidRDefault="00147521" w:rsidP="00387AF7">
            <w:pPr>
              <w:pStyle w:val="Tablebullet"/>
            </w:pPr>
            <w:r>
              <w:t>Information management</w:t>
            </w:r>
          </w:p>
          <w:p w:rsidR="00147521" w:rsidRDefault="00147521" w:rsidP="00387AF7">
            <w:pPr>
              <w:pStyle w:val="Tablebullet"/>
            </w:pPr>
            <w:r>
              <w:t>Financial management</w:t>
            </w:r>
          </w:p>
          <w:p w:rsidR="00147521" w:rsidRPr="00251BE0" w:rsidRDefault="00147521" w:rsidP="00387AF7">
            <w:pPr>
              <w:pStyle w:val="Tablebullet"/>
            </w:pPr>
            <w:r>
              <w:t>Risk management</w:t>
            </w:r>
          </w:p>
        </w:tc>
        <w:tc>
          <w:tcPr>
            <w:tcW w:w="1765" w:type="pct"/>
          </w:tcPr>
          <w:p w:rsidR="00147521" w:rsidRPr="00891AF3" w:rsidRDefault="00147521" w:rsidP="00387AF7">
            <w:pPr>
              <w:pStyle w:val="Tabletext"/>
            </w:pPr>
            <w:r w:rsidRPr="00891AF3">
              <w:t>This dimension is important as these functions should provide the information, intelligence and analysis that forms the basis for decision making that underpins strong agency performance. Superior performance requires that the right information is available to the right people at the fight time, and that this information is properly analysed and used. Financial and risk management are critical components and should help management understand and improve operational performance as well as informing strategy formulation, prioritisation and investment decisions.</w:t>
            </w:r>
            <w:r>
              <w:t xml:space="preserve"> </w:t>
            </w:r>
            <w:r w:rsidRPr="00891AF3">
              <w:t>Good risk management is also critical in maintaining confidence in the agency.</w:t>
            </w:r>
          </w:p>
        </w:tc>
        <w:tc>
          <w:tcPr>
            <w:tcW w:w="1698" w:type="pct"/>
          </w:tcPr>
          <w:p w:rsidR="00147521" w:rsidRDefault="00147521" w:rsidP="00387AF7">
            <w:pPr>
              <w:pStyle w:val="Tablebullet"/>
              <w:spacing w:before="60"/>
            </w:pPr>
            <w:r>
              <w:t>The EPA has appropriate systems in place that support the delivery of its core business now and over the four year excellence horizon.</w:t>
            </w:r>
          </w:p>
          <w:p w:rsidR="00147521" w:rsidRDefault="00147521" w:rsidP="00387AF7">
            <w:pPr>
              <w:pStyle w:val="Tablebullet"/>
            </w:pPr>
            <w:r>
              <w:t xml:space="preserve">The EPA’s asset, information and system requirements are understood and there are plans for maintaining and developing these. </w:t>
            </w:r>
          </w:p>
          <w:p w:rsidR="00147521" w:rsidRDefault="00147521" w:rsidP="00387AF7">
            <w:pPr>
              <w:pStyle w:val="Tablebullet"/>
            </w:pPr>
            <w:r>
              <w:t>The EPA undertakes robust four year financial forecasting which means it can effectively engage in discussions on prioritising financial resources, including potential trade-offs and the consequences of these.</w:t>
            </w:r>
          </w:p>
          <w:p w:rsidR="00147521" w:rsidRPr="00251BE0" w:rsidRDefault="00147521" w:rsidP="00387AF7">
            <w:pPr>
              <w:pStyle w:val="Tablebullet"/>
            </w:pPr>
            <w:r>
              <w:t>The EPA’s systems and processes for assessing risk are transparent, resulting in Ministers, stakeholders and the general public maintaining confidence in the organisation.</w:t>
            </w:r>
          </w:p>
        </w:tc>
      </w:tr>
    </w:tbl>
    <w:p w:rsidR="00147521" w:rsidRDefault="00147521" w:rsidP="00147521">
      <w:pPr>
        <w:pStyle w:val="BodyText"/>
      </w:pPr>
      <w:r w:rsidRPr="00346A2B">
        <w:rPr>
          <w:sz w:val="18"/>
        </w:rPr>
        <w:t>* Previously included in a Letter of Expectations from the Minister to the EPA</w:t>
      </w:r>
    </w:p>
    <w:p w:rsidR="00147521" w:rsidRDefault="00147521">
      <w:pPr>
        <w:spacing w:before="0" w:after="200" w:line="276" w:lineRule="auto"/>
        <w:jc w:val="left"/>
        <w:rPr>
          <w:rFonts w:eastAsiaTheme="majorEastAsia" w:cstheme="majorBidi"/>
          <w:b/>
          <w:bCs/>
          <w:color w:val="17556C"/>
          <w:sz w:val="48"/>
          <w:szCs w:val="28"/>
        </w:rPr>
      </w:pPr>
      <w:r>
        <w:br w:type="page"/>
      </w:r>
    </w:p>
    <w:p w:rsidR="009A4C62" w:rsidRDefault="009A4C62" w:rsidP="00736468">
      <w:pPr>
        <w:pStyle w:val="Heading1"/>
        <w:sectPr w:rsidR="009A4C62" w:rsidSect="009A4C62">
          <w:headerReference w:type="even" r:id="rId36"/>
          <w:headerReference w:type="default" r:id="rId37"/>
          <w:footerReference w:type="even" r:id="rId38"/>
          <w:footerReference w:type="default" r:id="rId39"/>
          <w:headerReference w:type="first" r:id="rId40"/>
          <w:endnotePr>
            <w:numFmt w:val="decimal"/>
          </w:endnotePr>
          <w:pgSz w:w="16840" w:h="11907" w:orient="landscape" w:code="9"/>
          <w:pgMar w:top="1418" w:right="1134" w:bottom="1418" w:left="1134" w:header="567" w:footer="567" w:gutter="567"/>
          <w:cols w:space="720"/>
          <w:docGrid w:linePitch="299"/>
        </w:sectPr>
      </w:pPr>
    </w:p>
    <w:p w:rsidR="003C7CA8" w:rsidRPr="00E95E20" w:rsidRDefault="003C7CA8" w:rsidP="00736468">
      <w:pPr>
        <w:pStyle w:val="Heading1"/>
      </w:pPr>
      <w:bookmarkStart w:id="36" w:name="_Toc417466138"/>
      <w:r w:rsidRPr="00E95E20">
        <w:lastRenderedPageBreak/>
        <w:t xml:space="preserve">Appendix </w:t>
      </w:r>
      <w:bookmarkStart w:id="37" w:name="_Toc404940704"/>
      <w:bookmarkStart w:id="38" w:name="_Toc404947127"/>
      <w:bookmarkStart w:id="39" w:name="_Toc405185510"/>
      <w:r w:rsidR="0056247D">
        <w:t>B</w:t>
      </w:r>
      <w:r w:rsidR="00736468">
        <w:t xml:space="preserve">: </w:t>
      </w:r>
      <w:r w:rsidRPr="00E95E20">
        <w:t xml:space="preserve">Distribution of the findings of the EPA’s </w:t>
      </w:r>
      <w:r w:rsidR="00C141E5" w:rsidRPr="00E95E20">
        <w:t>self</w:t>
      </w:r>
      <w:r w:rsidRPr="00E95E20">
        <w:t>-</w:t>
      </w:r>
      <w:r w:rsidR="00C141E5" w:rsidRPr="00E95E20">
        <w:t xml:space="preserve">review </w:t>
      </w:r>
      <w:r w:rsidRPr="00E95E20">
        <w:t xml:space="preserve">and the </w:t>
      </w:r>
      <w:r w:rsidR="00C141E5" w:rsidRPr="00E95E20">
        <w:t xml:space="preserve">external reviewer’s effectiveness </w:t>
      </w:r>
      <w:r w:rsidRPr="00E95E20">
        <w:t xml:space="preserve">and </w:t>
      </w:r>
      <w:r w:rsidR="00C141E5" w:rsidRPr="00E95E20">
        <w:t xml:space="preserve">efficiency review </w:t>
      </w:r>
      <w:r w:rsidRPr="00E95E20">
        <w:t>across the high level recommendations</w:t>
      </w:r>
      <w:bookmarkEnd w:id="37"/>
      <w:bookmarkEnd w:id="38"/>
      <w:bookmarkEnd w:id="39"/>
      <w:bookmarkEnd w:id="36"/>
      <w:r w:rsidR="00C31D2D" w:rsidRPr="00E95E20">
        <w:t xml:space="preserve"> </w:t>
      </w:r>
    </w:p>
    <w:p w:rsidR="00CE6DF6" w:rsidRPr="007908F8" w:rsidRDefault="00CE6DF6" w:rsidP="00CE6DF6">
      <w:pPr>
        <w:pStyle w:val="BodyText"/>
        <w:spacing w:before="0" w:after="0"/>
      </w:pPr>
    </w:p>
    <w:tbl>
      <w:tblPr>
        <w:tblW w:w="8505" w:type="dxa"/>
        <w:tblInd w:w="113" w:type="dxa"/>
        <w:tblBorders>
          <w:top w:val="single" w:sz="4" w:space="0" w:color="17556C"/>
          <w:bottom w:val="single" w:sz="4" w:space="0" w:color="17556C"/>
          <w:insideH w:val="single" w:sz="4" w:space="0" w:color="17556C"/>
          <w:insideV w:val="single" w:sz="4" w:space="0" w:color="auto"/>
        </w:tblBorders>
        <w:tblLook w:val="04A0" w:firstRow="1" w:lastRow="0" w:firstColumn="1" w:lastColumn="0" w:noHBand="0" w:noVBand="1"/>
      </w:tblPr>
      <w:tblGrid>
        <w:gridCol w:w="279"/>
        <w:gridCol w:w="8226"/>
      </w:tblGrid>
      <w:tr w:rsidR="00CE6DF6" w:rsidRPr="00736468" w:rsidTr="00387AF7">
        <w:tc>
          <w:tcPr>
            <w:tcW w:w="8505" w:type="dxa"/>
            <w:gridSpan w:val="2"/>
            <w:tcBorders>
              <w:top w:val="single" w:sz="4" w:space="0" w:color="auto"/>
            </w:tcBorders>
            <w:shd w:val="clear" w:color="auto" w:fill="17556C"/>
          </w:tcPr>
          <w:p w:rsidR="00CE6DF6" w:rsidRPr="00736468" w:rsidRDefault="00CE6DF6" w:rsidP="00387AF7">
            <w:pPr>
              <w:pStyle w:val="TableTextbold"/>
              <w:rPr>
                <w:rFonts w:eastAsia="Calibri"/>
                <w:color w:val="FFFFFF" w:themeColor="background1"/>
              </w:rPr>
            </w:pPr>
            <w:r w:rsidRPr="00736468">
              <w:rPr>
                <w:color w:val="FFFFFF" w:themeColor="background1"/>
              </w:rPr>
              <w:t>The Minister and Ministry should:</w:t>
            </w:r>
          </w:p>
        </w:tc>
      </w:tr>
      <w:tr w:rsidR="00CE6DF6" w:rsidRPr="00484946" w:rsidTr="00387AF7">
        <w:tc>
          <w:tcPr>
            <w:tcW w:w="8505" w:type="dxa"/>
            <w:gridSpan w:val="2"/>
            <w:shd w:val="clear" w:color="auto" w:fill="auto"/>
          </w:tcPr>
          <w:p w:rsidR="00CE6DF6" w:rsidRPr="00C31D2D" w:rsidRDefault="00CE6DF6" w:rsidP="00387AF7">
            <w:pPr>
              <w:pStyle w:val="Tabletext"/>
              <w:ind w:left="284" w:hanging="284"/>
              <w:rPr>
                <w:rFonts w:eastAsia="Calibri"/>
                <w:bCs/>
              </w:rPr>
            </w:pPr>
            <w:r>
              <w:t>1.</w:t>
            </w:r>
            <w:r>
              <w:tab/>
            </w:r>
            <w:r w:rsidRPr="00484946">
              <w:t>Consider the needs of the Board when making appointments</w:t>
            </w:r>
            <w:r>
              <w:t>.</w:t>
            </w:r>
          </w:p>
        </w:tc>
      </w:tr>
      <w:tr w:rsidR="00CE6DF6" w:rsidRPr="00484946" w:rsidTr="00387AF7">
        <w:tc>
          <w:tcPr>
            <w:tcW w:w="279" w:type="dxa"/>
            <w:tcBorders>
              <w:right w:val="nil"/>
            </w:tcBorders>
            <w:shd w:val="clear" w:color="auto" w:fill="auto"/>
          </w:tcPr>
          <w:p w:rsidR="00CE6DF6" w:rsidRPr="00484946" w:rsidRDefault="00CE6DF6" w:rsidP="00387AF7">
            <w:pPr>
              <w:spacing w:before="60" w:after="60"/>
              <w:rPr>
                <w:rFonts w:eastAsia="Calibri"/>
                <w:sz w:val="20"/>
                <w:szCs w:val="20"/>
                <w:lang w:eastAsia="en-US"/>
              </w:rPr>
            </w:pPr>
          </w:p>
        </w:tc>
        <w:tc>
          <w:tcPr>
            <w:tcW w:w="8226" w:type="dxa"/>
            <w:tcBorders>
              <w:top w:val="nil"/>
              <w:left w:val="nil"/>
              <w:bottom w:val="nil"/>
            </w:tcBorders>
            <w:shd w:val="clear" w:color="auto" w:fill="auto"/>
          </w:tcPr>
          <w:p w:rsidR="00CE6DF6" w:rsidRPr="00911B1E" w:rsidRDefault="00CE6DF6" w:rsidP="00387AF7">
            <w:pPr>
              <w:pStyle w:val="Tabletext"/>
              <w:rPr>
                <w:rFonts w:eastAsia="Calibri"/>
              </w:rPr>
            </w:pPr>
            <w:r w:rsidRPr="00911B1E">
              <w:rPr>
                <w:rFonts w:eastAsia="Calibri"/>
              </w:rPr>
              <w:t xml:space="preserve">When considering the future Board appointments, the Minister takes into consideration the organisation’s changing focus </w:t>
            </w:r>
            <w:r>
              <w:rPr>
                <w:rFonts w:eastAsia="Calibri"/>
              </w:rPr>
              <w:t xml:space="preserve">(ie, a need to undertake organisational change and refresh the organisation’s strategy) </w:t>
            </w:r>
            <w:r w:rsidRPr="00911B1E">
              <w:rPr>
                <w:rFonts w:eastAsia="Calibri"/>
              </w:rPr>
              <w:t>and</w:t>
            </w:r>
            <w:r>
              <w:rPr>
                <w:rFonts w:eastAsia="Calibri"/>
              </w:rPr>
              <w:t> </w:t>
            </w:r>
            <w:r w:rsidRPr="00911B1E">
              <w:rPr>
                <w:rFonts w:eastAsia="Calibri"/>
              </w:rPr>
              <w:t>continues to consider the need for the Board to understand and administer regulation in an area that</w:t>
            </w:r>
            <w:r>
              <w:rPr>
                <w:rFonts w:eastAsia="Calibri"/>
              </w:rPr>
              <w:t> </w:t>
            </w:r>
            <w:r w:rsidRPr="00911B1E">
              <w:rPr>
                <w:rFonts w:eastAsia="Calibri"/>
              </w:rPr>
              <w:t>is</w:t>
            </w:r>
            <w:r>
              <w:rPr>
                <w:rFonts w:eastAsia="Calibri"/>
              </w:rPr>
              <w:t> </w:t>
            </w:r>
            <w:r w:rsidRPr="00911B1E">
              <w:rPr>
                <w:rFonts w:eastAsia="Calibri"/>
              </w:rPr>
              <w:t>at the forefront of very contentious issues, where quality decision-making requires a highly sophisticated</w:t>
            </w:r>
            <w:r>
              <w:rPr>
                <w:rFonts w:eastAsia="Calibri"/>
              </w:rPr>
              <w:t> </w:t>
            </w:r>
            <w:r w:rsidRPr="00911B1E">
              <w:rPr>
                <w:rFonts w:eastAsia="Calibri"/>
              </w:rPr>
              <w:t>approach. Understanding as much of the work of the EPA requires expert oversight of complex</w:t>
            </w:r>
            <w:r>
              <w:rPr>
                <w:rFonts w:eastAsia="Calibri"/>
              </w:rPr>
              <w:t> </w:t>
            </w:r>
            <w:r w:rsidRPr="00911B1E">
              <w:rPr>
                <w:rFonts w:eastAsia="Calibri"/>
              </w:rPr>
              <w:t>and</w:t>
            </w:r>
            <w:r>
              <w:rPr>
                <w:rFonts w:eastAsia="Calibri"/>
              </w:rPr>
              <w:t> </w:t>
            </w:r>
            <w:r w:rsidRPr="00911B1E">
              <w:rPr>
                <w:rFonts w:eastAsia="Calibri"/>
              </w:rPr>
              <w:t>challenging technical and procedural issues, which in themselves often have a high degree of</w:t>
            </w:r>
            <w:r>
              <w:rPr>
                <w:rFonts w:eastAsia="Calibri"/>
              </w:rPr>
              <w:t> </w:t>
            </w:r>
            <w:r w:rsidRPr="00911B1E">
              <w:rPr>
                <w:rFonts w:eastAsia="Calibri"/>
              </w:rPr>
              <w:t>uncertainty. (7EE)</w:t>
            </w:r>
            <w:r>
              <w:rPr>
                <w:rFonts w:eastAsia="Calibri"/>
              </w:rPr>
              <w:t>.</w:t>
            </w:r>
          </w:p>
        </w:tc>
      </w:tr>
      <w:tr w:rsidR="00CE6DF6" w:rsidRPr="00484946" w:rsidTr="00387AF7">
        <w:tc>
          <w:tcPr>
            <w:tcW w:w="8505" w:type="dxa"/>
            <w:gridSpan w:val="2"/>
            <w:shd w:val="clear" w:color="auto" w:fill="auto"/>
          </w:tcPr>
          <w:p w:rsidR="00CE6DF6" w:rsidRPr="008569E9" w:rsidRDefault="00CE6DF6" w:rsidP="00387AF7">
            <w:pPr>
              <w:pStyle w:val="Tabletext"/>
              <w:ind w:left="284" w:hanging="284"/>
              <w:rPr>
                <w:rFonts w:eastAsia="Calibri"/>
                <w:bCs/>
              </w:rPr>
            </w:pPr>
            <w:r>
              <w:t>2.</w:t>
            </w:r>
            <w:r>
              <w:tab/>
              <w:t>Conduct a follow-up review to ensure progress is being made.</w:t>
            </w:r>
          </w:p>
        </w:tc>
      </w:tr>
      <w:tr w:rsidR="00CE6DF6" w:rsidRPr="00484946" w:rsidTr="00387AF7">
        <w:tc>
          <w:tcPr>
            <w:tcW w:w="279" w:type="dxa"/>
            <w:tcBorders>
              <w:right w:val="nil"/>
            </w:tcBorders>
            <w:shd w:val="clear" w:color="auto" w:fill="auto"/>
          </w:tcPr>
          <w:p w:rsidR="00CE6DF6" w:rsidRPr="00484946" w:rsidRDefault="00CE6DF6" w:rsidP="00387AF7">
            <w:pPr>
              <w:spacing w:before="60" w:after="60"/>
              <w:rPr>
                <w:rFonts w:eastAsia="Calibri"/>
                <w:sz w:val="20"/>
                <w:szCs w:val="20"/>
                <w:lang w:eastAsia="en-US"/>
              </w:rPr>
            </w:pPr>
          </w:p>
        </w:tc>
        <w:tc>
          <w:tcPr>
            <w:tcW w:w="8226" w:type="dxa"/>
            <w:tcBorders>
              <w:top w:val="nil"/>
              <w:left w:val="nil"/>
              <w:bottom w:val="nil"/>
            </w:tcBorders>
            <w:shd w:val="clear" w:color="auto" w:fill="auto"/>
          </w:tcPr>
          <w:p w:rsidR="00CE6DF6" w:rsidRPr="00C11241" w:rsidRDefault="00CE6DF6" w:rsidP="00387AF7">
            <w:pPr>
              <w:pStyle w:val="Tabletext"/>
              <w:rPr>
                <w:rFonts w:eastAsia="Calibri"/>
              </w:rPr>
            </w:pPr>
            <w:r w:rsidRPr="00C11241">
              <w:rPr>
                <w:rFonts w:eastAsia="Calibri"/>
              </w:rPr>
              <w:t xml:space="preserve">Consideration to be given to a follow up PIF style independent review to ensure progress is made in response to the recommendations arising from this </w:t>
            </w:r>
            <w:r>
              <w:rPr>
                <w:rFonts w:eastAsia="Calibri"/>
              </w:rPr>
              <w:t>R</w:t>
            </w:r>
            <w:r w:rsidRPr="00C11241">
              <w:rPr>
                <w:rFonts w:eastAsia="Calibri"/>
              </w:rPr>
              <w:t xml:space="preserve">eview, as delivering on the above recommendations will be critical if the EPA is going to continue to be beneficial to </w:t>
            </w:r>
            <w:r>
              <w:rPr>
                <w:rFonts w:eastAsia="Calibri"/>
              </w:rPr>
              <w:t>New Zealand</w:t>
            </w:r>
            <w:r w:rsidRPr="00C11241">
              <w:rPr>
                <w:rFonts w:eastAsia="Calibri"/>
              </w:rPr>
              <w:t>. (8EE)</w:t>
            </w:r>
          </w:p>
        </w:tc>
      </w:tr>
      <w:tr w:rsidR="00CE6DF6" w:rsidRPr="00484946" w:rsidTr="00387AF7">
        <w:tc>
          <w:tcPr>
            <w:tcW w:w="8505" w:type="dxa"/>
            <w:gridSpan w:val="2"/>
            <w:shd w:val="clear" w:color="auto" w:fill="auto"/>
          </w:tcPr>
          <w:p w:rsidR="00CE6DF6" w:rsidRPr="008569E9" w:rsidRDefault="00CE6DF6" w:rsidP="00387AF7">
            <w:pPr>
              <w:pStyle w:val="Tabletext"/>
              <w:ind w:left="284" w:hanging="284"/>
              <w:rPr>
                <w:rFonts w:eastAsia="Calibri"/>
                <w:bCs/>
              </w:rPr>
            </w:pPr>
            <w:r>
              <w:t>3.</w:t>
            </w:r>
            <w:r>
              <w:tab/>
            </w:r>
            <w:r w:rsidRPr="008569E9">
              <w:t>Support the EPA in implementing the recommendations from the Review, in particular through the Ministry drawing on its own experience of organisational change and developing strategic documents</w:t>
            </w:r>
            <w:r>
              <w:t>.</w:t>
            </w:r>
          </w:p>
        </w:tc>
      </w:tr>
      <w:tr w:rsidR="00CE6DF6" w:rsidRPr="00484946" w:rsidTr="00387AF7">
        <w:tc>
          <w:tcPr>
            <w:tcW w:w="279" w:type="dxa"/>
            <w:tcBorders>
              <w:bottom w:val="single" w:sz="4" w:space="0" w:color="17556C"/>
              <w:right w:val="nil"/>
            </w:tcBorders>
            <w:shd w:val="clear" w:color="auto" w:fill="auto"/>
          </w:tcPr>
          <w:p w:rsidR="00CE6DF6" w:rsidRPr="00484946" w:rsidRDefault="00CE6DF6" w:rsidP="00387AF7">
            <w:pPr>
              <w:spacing w:before="60" w:after="60"/>
              <w:rPr>
                <w:rFonts w:eastAsia="Calibri"/>
                <w:sz w:val="20"/>
                <w:szCs w:val="20"/>
                <w:lang w:eastAsia="en-US"/>
              </w:rPr>
            </w:pPr>
          </w:p>
        </w:tc>
        <w:tc>
          <w:tcPr>
            <w:tcW w:w="8226" w:type="dxa"/>
            <w:tcBorders>
              <w:top w:val="nil"/>
              <w:left w:val="nil"/>
              <w:bottom w:val="nil"/>
            </w:tcBorders>
            <w:shd w:val="clear" w:color="auto" w:fill="auto"/>
          </w:tcPr>
          <w:p w:rsidR="00CE6DF6" w:rsidRPr="009E6E16" w:rsidRDefault="00CE6DF6" w:rsidP="00387AF7">
            <w:pPr>
              <w:pStyle w:val="Tabletext"/>
              <w:rPr>
                <w:rFonts w:eastAsia="Calibri"/>
              </w:rPr>
            </w:pPr>
            <w:r w:rsidRPr="009E6E16">
              <w:rPr>
                <w:rFonts w:eastAsia="Calibri"/>
              </w:rPr>
              <w:t>Drawing on its own experience of organisational change and developing strategic documents</w:t>
            </w:r>
            <w:r>
              <w:rPr>
                <w:rFonts w:eastAsia="Calibri"/>
              </w:rPr>
              <w:t>,</w:t>
            </w:r>
            <w:r w:rsidRPr="009E6E16">
              <w:rPr>
                <w:rFonts w:eastAsia="Calibri"/>
              </w:rPr>
              <w:t xml:space="preserve"> </w:t>
            </w:r>
            <w:r>
              <w:rPr>
                <w:rFonts w:eastAsia="Calibri"/>
              </w:rPr>
              <w:t>the Ministry</w:t>
            </w:r>
            <w:r w:rsidRPr="009E6E16">
              <w:rPr>
                <w:rFonts w:eastAsia="Calibri"/>
              </w:rPr>
              <w:t>:</w:t>
            </w:r>
          </w:p>
          <w:p w:rsidR="00CE6DF6" w:rsidRPr="009E6E16" w:rsidRDefault="00CE6DF6" w:rsidP="00387AF7">
            <w:pPr>
              <w:pStyle w:val="Tabletext"/>
              <w:spacing w:before="0"/>
              <w:ind w:left="284" w:hanging="284"/>
              <w:rPr>
                <w:rFonts w:eastAsia="Calibri"/>
              </w:rPr>
            </w:pPr>
            <w:r w:rsidRPr="009E6E16">
              <w:rPr>
                <w:rFonts w:eastAsia="Calibri"/>
              </w:rPr>
              <w:t xml:space="preserve">a. </w:t>
            </w:r>
            <w:r>
              <w:rPr>
                <w:rFonts w:eastAsia="Calibri"/>
              </w:rPr>
              <w:tab/>
            </w:r>
            <w:r w:rsidRPr="009E6E16">
              <w:rPr>
                <w:rFonts w:eastAsia="Calibri"/>
              </w:rPr>
              <w:t>works as a strategic partner with the EPA to develop a plan to action these</w:t>
            </w:r>
            <w:r>
              <w:rPr>
                <w:rFonts w:eastAsia="Calibri"/>
              </w:rPr>
              <w:t xml:space="preserve"> </w:t>
            </w:r>
            <w:r w:rsidRPr="009E6E16">
              <w:rPr>
                <w:rFonts w:eastAsia="Calibri"/>
              </w:rPr>
              <w:t>recommendations</w:t>
            </w:r>
          </w:p>
          <w:p w:rsidR="00CE6DF6" w:rsidRPr="009E6E16" w:rsidRDefault="00CE6DF6" w:rsidP="00387AF7">
            <w:pPr>
              <w:pStyle w:val="Tabletext"/>
              <w:spacing w:before="0"/>
              <w:ind w:left="284" w:hanging="284"/>
              <w:rPr>
                <w:rFonts w:eastAsia="Calibri"/>
              </w:rPr>
            </w:pPr>
            <w:r w:rsidRPr="009E6E16">
              <w:rPr>
                <w:rFonts w:eastAsia="Calibri"/>
              </w:rPr>
              <w:t xml:space="preserve">b. </w:t>
            </w:r>
            <w:r>
              <w:rPr>
                <w:rFonts w:eastAsia="Calibri"/>
              </w:rPr>
              <w:tab/>
            </w:r>
            <w:r w:rsidRPr="009E6E16">
              <w:rPr>
                <w:rFonts w:eastAsia="Calibri"/>
              </w:rPr>
              <w:t xml:space="preserve">as appropriate provides guidance and plays its part to </w:t>
            </w:r>
            <w:r>
              <w:rPr>
                <w:rFonts w:eastAsia="Calibri"/>
              </w:rPr>
              <w:t>help</w:t>
            </w:r>
            <w:r w:rsidRPr="009E6E16">
              <w:rPr>
                <w:rFonts w:eastAsia="Calibri"/>
              </w:rPr>
              <w:t xml:space="preserve"> the EPA </w:t>
            </w:r>
            <w:r>
              <w:rPr>
                <w:rFonts w:eastAsia="Calibri"/>
              </w:rPr>
              <w:t>implement</w:t>
            </w:r>
            <w:r w:rsidRPr="009E6E16">
              <w:rPr>
                <w:rFonts w:eastAsia="Calibri"/>
              </w:rPr>
              <w:t xml:space="preserve"> the plan</w:t>
            </w:r>
          </w:p>
          <w:p w:rsidR="00CE6DF6" w:rsidRPr="009E6E16" w:rsidRDefault="00CE6DF6" w:rsidP="00387AF7">
            <w:pPr>
              <w:pStyle w:val="Tabletext"/>
              <w:spacing w:before="0"/>
              <w:ind w:left="284" w:hanging="284"/>
              <w:rPr>
                <w:rFonts w:eastAsia="Calibri"/>
              </w:rPr>
            </w:pPr>
            <w:proofErr w:type="gramStart"/>
            <w:r w:rsidRPr="009E6E16">
              <w:rPr>
                <w:rFonts w:eastAsia="Calibri"/>
              </w:rPr>
              <w:t>c</w:t>
            </w:r>
            <w:proofErr w:type="gramEnd"/>
            <w:r w:rsidRPr="009E6E16">
              <w:rPr>
                <w:rFonts w:eastAsia="Calibri"/>
              </w:rPr>
              <w:t xml:space="preserve">. </w:t>
            </w:r>
            <w:r>
              <w:rPr>
                <w:rFonts w:eastAsia="Calibri"/>
              </w:rPr>
              <w:tab/>
            </w:r>
            <w:r w:rsidRPr="009E6E16">
              <w:rPr>
                <w:rFonts w:eastAsia="Calibri"/>
              </w:rPr>
              <w:t>through its monitoring function monitors on-going implementation of the plan.</w:t>
            </w:r>
            <w:r>
              <w:rPr>
                <w:rFonts w:eastAsia="Calibri"/>
              </w:rPr>
              <w:t xml:space="preserve"> (9EE)</w:t>
            </w:r>
          </w:p>
        </w:tc>
      </w:tr>
      <w:tr w:rsidR="00CE6DF6" w:rsidRPr="0006579F" w:rsidTr="00387AF7">
        <w:tc>
          <w:tcPr>
            <w:tcW w:w="8505" w:type="dxa"/>
            <w:gridSpan w:val="2"/>
            <w:shd w:val="clear" w:color="auto" w:fill="17556C"/>
          </w:tcPr>
          <w:p w:rsidR="00CE6DF6" w:rsidRPr="00690D5A" w:rsidRDefault="00CE6DF6" w:rsidP="00387AF7">
            <w:pPr>
              <w:pStyle w:val="Tabletext"/>
              <w:rPr>
                <w:rFonts w:eastAsia="Calibri"/>
                <w:b/>
                <w:color w:val="FFFFFF" w:themeColor="background1"/>
              </w:rPr>
            </w:pPr>
            <w:r w:rsidRPr="00690D5A">
              <w:rPr>
                <w:rFonts w:eastAsia="Calibri"/>
                <w:b/>
                <w:color w:val="FFFFFF" w:themeColor="background1"/>
              </w:rPr>
              <w:t>The EPA should:</w:t>
            </w:r>
          </w:p>
        </w:tc>
      </w:tr>
      <w:tr w:rsidR="00CE6DF6" w:rsidRPr="00484946" w:rsidTr="00387AF7">
        <w:tc>
          <w:tcPr>
            <w:tcW w:w="8505" w:type="dxa"/>
            <w:gridSpan w:val="2"/>
            <w:shd w:val="clear" w:color="auto" w:fill="auto"/>
          </w:tcPr>
          <w:p w:rsidR="00CE6DF6" w:rsidRPr="00484946" w:rsidRDefault="00CE6DF6" w:rsidP="00387AF7">
            <w:pPr>
              <w:pStyle w:val="Tabletext"/>
              <w:ind w:left="284" w:hanging="284"/>
              <w:rPr>
                <w:rFonts w:eastAsia="Calibri"/>
              </w:rPr>
            </w:pPr>
            <w:r>
              <w:t>4.</w:t>
            </w:r>
            <w:r>
              <w:tab/>
            </w:r>
            <w:r w:rsidRPr="00484946">
              <w:t xml:space="preserve">Shift from an operational/transaction focus to a strategic focus that includes considering </w:t>
            </w:r>
            <w:r>
              <w:t>its</w:t>
            </w:r>
            <w:r w:rsidRPr="00484946">
              <w:t xml:space="preserve"> longer-term stewardship responsibilities</w:t>
            </w:r>
            <w:r>
              <w:t>.</w:t>
            </w:r>
          </w:p>
        </w:tc>
      </w:tr>
      <w:tr w:rsidR="00CE6DF6" w:rsidRPr="00484946" w:rsidTr="00387AF7">
        <w:tc>
          <w:tcPr>
            <w:tcW w:w="279" w:type="dxa"/>
            <w:tcBorders>
              <w:bottom w:val="single" w:sz="4" w:space="0" w:color="17556C"/>
              <w:right w:val="nil"/>
            </w:tcBorders>
            <w:shd w:val="clear" w:color="auto" w:fill="auto"/>
          </w:tcPr>
          <w:p w:rsidR="00CE6DF6" w:rsidRPr="00484946" w:rsidRDefault="00CE6DF6" w:rsidP="00387AF7">
            <w:pPr>
              <w:spacing w:before="60" w:after="60"/>
              <w:rPr>
                <w:rFonts w:eastAsia="Calibri" w:cs="Arial"/>
                <w:sz w:val="20"/>
                <w:szCs w:val="20"/>
                <w:lang w:eastAsia="en-US"/>
              </w:rPr>
            </w:pPr>
          </w:p>
        </w:tc>
        <w:tc>
          <w:tcPr>
            <w:tcW w:w="8226" w:type="dxa"/>
            <w:tcBorders>
              <w:top w:val="nil"/>
              <w:left w:val="nil"/>
              <w:bottom w:val="single" w:sz="4" w:space="0" w:color="17556C"/>
            </w:tcBorders>
            <w:shd w:val="clear" w:color="auto" w:fill="auto"/>
          </w:tcPr>
          <w:p w:rsidR="00CE6DF6" w:rsidRPr="00B72C6E" w:rsidRDefault="00CE6DF6" w:rsidP="00387AF7">
            <w:pPr>
              <w:pStyle w:val="Tabletext"/>
              <w:rPr>
                <w:rFonts w:eastAsia="Calibri"/>
              </w:rPr>
            </w:pPr>
            <w:r w:rsidRPr="00B72C6E">
              <w:rPr>
                <w:rFonts w:eastAsia="Calibri"/>
              </w:rPr>
              <w:t>The Board urgently increases its focus on its longer-term stewardship responsibilities, taking control of the organisation’s strategic agenda and striving for excellence and a reputation for independence and robustness in everything the EPA does. Refinement of its governance processes will assist this.</w:t>
            </w:r>
            <w:r>
              <w:rPr>
                <w:rFonts w:eastAsia="Calibri"/>
              </w:rPr>
              <w:t xml:space="preserve"> </w:t>
            </w:r>
            <w:r w:rsidRPr="00B72C6E">
              <w:rPr>
                <w:rFonts w:eastAsia="Calibri"/>
              </w:rPr>
              <w:t xml:space="preserve">(1EE) </w:t>
            </w:r>
          </w:p>
          <w:p w:rsidR="00CE6DF6" w:rsidRPr="00537BB8" w:rsidRDefault="00CE6DF6" w:rsidP="00387AF7">
            <w:pPr>
              <w:pStyle w:val="Tabletext"/>
              <w:rPr>
                <w:rFonts w:eastAsia="Calibri"/>
              </w:rPr>
            </w:pPr>
            <w:r w:rsidRPr="00537BB8">
              <w:rPr>
                <w:rFonts w:eastAsia="Calibri"/>
              </w:rPr>
              <w:t>Agree what the end-state looks like and develop actions with timeframes to get there. (3SR)</w:t>
            </w:r>
          </w:p>
          <w:p w:rsidR="00CE6DF6" w:rsidRPr="00537BB8" w:rsidRDefault="00CE6DF6" w:rsidP="00387AF7">
            <w:pPr>
              <w:pStyle w:val="Tabletext"/>
              <w:rPr>
                <w:rFonts w:eastAsia="Calibri"/>
              </w:rPr>
            </w:pPr>
            <w:r w:rsidRPr="00537BB8">
              <w:rPr>
                <w:rFonts w:eastAsia="Calibri"/>
              </w:rPr>
              <w:t>Measures and report progress toward achieving the vision and mission. (4SR)</w:t>
            </w:r>
          </w:p>
          <w:p w:rsidR="00CE6DF6" w:rsidRPr="00231414" w:rsidRDefault="00CE6DF6" w:rsidP="00387AF7">
            <w:pPr>
              <w:pStyle w:val="Tabletext"/>
              <w:rPr>
                <w:rFonts w:eastAsia="Calibri"/>
              </w:rPr>
            </w:pPr>
            <w:r w:rsidRPr="00231414">
              <w:rPr>
                <w:rFonts w:eastAsia="Calibri"/>
              </w:rPr>
              <w:t>ELT to develop a long-term programme or agenda of issues to cover at its strategy sessions. (6SR)</w:t>
            </w:r>
          </w:p>
          <w:p w:rsidR="00CE6DF6" w:rsidRPr="00231414" w:rsidRDefault="00CE6DF6" w:rsidP="00387AF7">
            <w:pPr>
              <w:pStyle w:val="Tabletext"/>
              <w:rPr>
                <w:rFonts w:eastAsia="Calibri"/>
              </w:rPr>
            </w:pPr>
            <w:r w:rsidRPr="00231414">
              <w:rPr>
                <w:rFonts w:eastAsia="Calibri"/>
              </w:rPr>
              <w:t>Develop actions and impact measures aimed at achieving the Strategic Intentions success measures. (7SR)</w:t>
            </w:r>
          </w:p>
          <w:p w:rsidR="00CE6DF6" w:rsidRPr="002E43B7" w:rsidRDefault="00CE6DF6" w:rsidP="00387AF7">
            <w:pPr>
              <w:pStyle w:val="Tabletext"/>
              <w:rPr>
                <w:rFonts w:eastAsia="Calibri"/>
              </w:rPr>
            </w:pPr>
            <w:r w:rsidRPr="002E43B7">
              <w:rPr>
                <w:rFonts w:eastAsia="Calibri"/>
              </w:rPr>
              <w:t>Describe how the EPA meets the Government’s broader set of priorities and how it fits into the cross-government priorities. (9SR)</w:t>
            </w:r>
          </w:p>
          <w:p w:rsidR="00CE6DF6" w:rsidRDefault="00CE6DF6" w:rsidP="00387AF7">
            <w:pPr>
              <w:pStyle w:val="Tabletext"/>
              <w:rPr>
                <w:rFonts w:eastAsia="Calibri"/>
              </w:rPr>
            </w:pPr>
            <w:r w:rsidRPr="002E43B7">
              <w:rPr>
                <w:rFonts w:eastAsia="Calibri"/>
              </w:rPr>
              <w:t>Develop a new EPA Strategic Intention and measures to focus development of the compliance function. (10SR)</w:t>
            </w:r>
          </w:p>
          <w:p w:rsidR="00CE6DF6" w:rsidRPr="00D539A5" w:rsidRDefault="00CE6DF6" w:rsidP="00387AF7">
            <w:pPr>
              <w:pStyle w:val="Tabletext"/>
              <w:rPr>
                <w:rFonts w:eastAsia="Calibri"/>
              </w:rPr>
            </w:pPr>
            <w:r>
              <w:rPr>
                <w:rFonts w:eastAsia="Calibri"/>
              </w:rPr>
              <w:t>We recommend that the EPA invests in strategy. (1FR)</w:t>
            </w:r>
          </w:p>
        </w:tc>
      </w:tr>
    </w:tbl>
    <w:p w:rsidR="00CB5C25" w:rsidRDefault="00CB5C25"/>
    <w:p w:rsidR="00CB5C25" w:rsidRDefault="00CB5C25"/>
    <w:tbl>
      <w:tblPr>
        <w:tblW w:w="8505" w:type="dxa"/>
        <w:tblInd w:w="113" w:type="dxa"/>
        <w:tblBorders>
          <w:top w:val="single" w:sz="4" w:space="0" w:color="17556C"/>
          <w:bottom w:val="single" w:sz="4" w:space="0" w:color="17556C"/>
          <w:insideH w:val="single" w:sz="4" w:space="0" w:color="17556C"/>
          <w:insideV w:val="single" w:sz="4" w:space="0" w:color="auto"/>
        </w:tblBorders>
        <w:tblLook w:val="04A0" w:firstRow="1" w:lastRow="0" w:firstColumn="1" w:lastColumn="0" w:noHBand="0" w:noVBand="1"/>
      </w:tblPr>
      <w:tblGrid>
        <w:gridCol w:w="279"/>
        <w:gridCol w:w="8226"/>
      </w:tblGrid>
      <w:tr w:rsidR="00CE6DF6" w:rsidRPr="00484946" w:rsidTr="00387AF7">
        <w:tc>
          <w:tcPr>
            <w:tcW w:w="8505" w:type="dxa"/>
            <w:gridSpan w:val="2"/>
            <w:tcBorders>
              <w:bottom w:val="single" w:sz="4" w:space="0" w:color="auto"/>
            </w:tcBorders>
            <w:shd w:val="clear" w:color="auto" w:fill="auto"/>
          </w:tcPr>
          <w:p w:rsidR="00CE6DF6" w:rsidRPr="00484946" w:rsidRDefault="00CE6DF6" w:rsidP="00387AF7">
            <w:pPr>
              <w:pStyle w:val="Tabletext"/>
              <w:ind w:left="284" w:hanging="284"/>
              <w:rPr>
                <w:rFonts w:eastAsia="Calibri"/>
              </w:rPr>
            </w:pPr>
            <w:r>
              <w:lastRenderedPageBreak/>
              <w:t>5.</w:t>
            </w:r>
            <w:r>
              <w:tab/>
            </w:r>
            <w:r w:rsidRPr="00484946">
              <w:t>Strive for excellence in the ‘independence stamp’</w:t>
            </w:r>
            <w:r>
              <w:t>, ensuring its decision-making processes are robust, high quality, consistent and transparent.</w:t>
            </w:r>
          </w:p>
        </w:tc>
      </w:tr>
      <w:tr w:rsidR="00CE6DF6" w:rsidRPr="00484946" w:rsidTr="00387AF7">
        <w:tc>
          <w:tcPr>
            <w:tcW w:w="279" w:type="dxa"/>
            <w:tcBorders>
              <w:top w:val="single" w:sz="4" w:space="0" w:color="auto"/>
              <w:bottom w:val="single" w:sz="4" w:space="0" w:color="auto"/>
              <w:right w:val="nil"/>
            </w:tcBorders>
            <w:shd w:val="clear" w:color="auto" w:fill="auto"/>
          </w:tcPr>
          <w:p w:rsidR="00CE6DF6" w:rsidRPr="00484946" w:rsidRDefault="00CE6DF6" w:rsidP="00387AF7">
            <w:pPr>
              <w:spacing w:before="60" w:after="60"/>
              <w:rPr>
                <w:rFonts w:eastAsia="Calibri" w:cs="Arial"/>
                <w:sz w:val="20"/>
                <w:szCs w:val="20"/>
                <w:lang w:eastAsia="en-US"/>
              </w:rPr>
            </w:pPr>
          </w:p>
        </w:tc>
        <w:tc>
          <w:tcPr>
            <w:tcW w:w="8226" w:type="dxa"/>
            <w:tcBorders>
              <w:top w:val="single" w:sz="4" w:space="0" w:color="auto"/>
              <w:left w:val="nil"/>
              <w:bottom w:val="single" w:sz="4" w:space="0" w:color="auto"/>
            </w:tcBorders>
            <w:shd w:val="clear" w:color="auto" w:fill="auto"/>
          </w:tcPr>
          <w:p w:rsidR="00CE6DF6" w:rsidRPr="00B72C6E" w:rsidRDefault="00CE6DF6" w:rsidP="00387AF7">
            <w:pPr>
              <w:pStyle w:val="Tabletext"/>
              <w:rPr>
                <w:rFonts w:eastAsia="Calibri"/>
              </w:rPr>
            </w:pPr>
            <w:r w:rsidRPr="005965C3">
              <w:rPr>
                <w:rFonts w:eastAsia="Calibri"/>
              </w:rPr>
              <w:t xml:space="preserve">The Board urgently increases its focus on its longer-term stewardship responsibilities, taking control of the </w:t>
            </w:r>
            <w:r w:rsidRPr="00B72C6E">
              <w:rPr>
                <w:rFonts w:eastAsia="Calibri"/>
              </w:rPr>
              <w:t>organisation’s strategic agenda and striving for excellence and a reputation for independence and robustness in everything the EPA does. Refinement of its governance processes will assist this.</w:t>
            </w:r>
            <w:r>
              <w:rPr>
                <w:rFonts w:eastAsia="Calibri"/>
              </w:rPr>
              <w:t xml:space="preserve"> </w:t>
            </w:r>
            <w:r w:rsidRPr="00B72C6E">
              <w:rPr>
                <w:rFonts w:eastAsia="Calibri"/>
              </w:rPr>
              <w:t>(1EE)</w:t>
            </w:r>
            <w:r w:rsidRPr="00911B1E">
              <w:rPr>
                <w:rFonts w:eastAsia="Calibri"/>
              </w:rPr>
              <w:t xml:space="preserve"> </w:t>
            </w:r>
          </w:p>
        </w:tc>
      </w:tr>
      <w:tr w:rsidR="00CE6DF6" w:rsidRPr="00484946" w:rsidTr="00387AF7">
        <w:tc>
          <w:tcPr>
            <w:tcW w:w="8505" w:type="dxa"/>
            <w:gridSpan w:val="2"/>
            <w:tcBorders>
              <w:top w:val="single" w:sz="4" w:space="0" w:color="auto"/>
            </w:tcBorders>
            <w:shd w:val="clear" w:color="auto" w:fill="auto"/>
          </w:tcPr>
          <w:p w:rsidR="00CE6DF6" w:rsidRPr="00484946" w:rsidRDefault="00CE6DF6" w:rsidP="00387AF7">
            <w:pPr>
              <w:pStyle w:val="Tabletext"/>
              <w:ind w:left="284" w:hanging="284"/>
              <w:rPr>
                <w:rFonts w:eastAsia="Calibri"/>
              </w:rPr>
            </w:pPr>
            <w:r>
              <w:t>6.</w:t>
            </w:r>
            <w:r>
              <w:tab/>
            </w:r>
            <w:r w:rsidRPr="00484946">
              <w:t>Retain the M</w:t>
            </w:r>
            <w:r>
              <w:t>ā</w:t>
            </w:r>
            <w:r w:rsidRPr="00484946">
              <w:t>o</w:t>
            </w:r>
            <w:r>
              <w:t>ri Advisory Committee but redefine</w:t>
            </w:r>
            <w:r w:rsidRPr="00484946">
              <w:t xml:space="preserve"> </w:t>
            </w:r>
            <w:r>
              <w:t>its</w:t>
            </w:r>
            <w:r w:rsidRPr="00484946">
              <w:t xml:space="preserve"> role</w:t>
            </w:r>
            <w:r>
              <w:t>.</w:t>
            </w:r>
          </w:p>
        </w:tc>
      </w:tr>
      <w:tr w:rsidR="00CE6DF6" w:rsidRPr="00484946" w:rsidTr="00387AF7">
        <w:tc>
          <w:tcPr>
            <w:tcW w:w="279" w:type="dxa"/>
            <w:tcBorders>
              <w:right w:val="nil"/>
            </w:tcBorders>
            <w:shd w:val="clear" w:color="auto" w:fill="auto"/>
          </w:tcPr>
          <w:p w:rsidR="00CE6DF6" w:rsidRPr="00484946" w:rsidRDefault="00CE6DF6" w:rsidP="00387AF7">
            <w:pPr>
              <w:spacing w:before="60" w:after="60"/>
              <w:ind w:left="360"/>
              <w:rPr>
                <w:rFonts w:eastAsia="Calibri"/>
                <w:sz w:val="20"/>
                <w:szCs w:val="20"/>
                <w:lang w:eastAsia="en-US"/>
              </w:rPr>
            </w:pPr>
          </w:p>
        </w:tc>
        <w:tc>
          <w:tcPr>
            <w:tcW w:w="8226" w:type="dxa"/>
            <w:tcBorders>
              <w:top w:val="nil"/>
              <w:left w:val="nil"/>
              <w:bottom w:val="nil"/>
            </w:tcBorders>
            <w:shd w:val="clear" w:color="auto" w:fill="auto"/>
          </w:tcPr>
          <w:p w:rsidR="00CE6DF6" w:rsidRPr="00484946" w:rsidRDefault="00CE6DF6" w:rsidP="00387AF7">
            <w:pPr>
              <w:pStyle w:val="Tabletext"/>
              <w:rPr>
                <w:rFonts w:eastAsia="Calibri"/>
              </w:rPr>
            </w:pPr>
            <w:r w:rsidRPr="00554108">
              <w:rPr>
                <w:rFonts w:eastAsia="Calibri"/>
              </w:rPr>
              <w:t>The Board redefines the role of the Māori Advisory Committee, seeking advice from the committee on critical strategic areas for Māori related to successful implementation of the regulations the EPA has responsibility for and raising the expectations of all participants in the EPA administered processes in relation to Māori. This will include shifting the burden of responsibility for consultation with Māori to applicants, and will also require the EPA addressing how and when it resources a Māori view input into its decision</w:t>
            </w:r>
            <w:r>
              <w:rPr>
                <w:rFonts w:eastAsia="Calibri"/>
              </w:rPr>
              <w:t>-</w:t>
            </w:r>
            <w:r w:rsidRPr="00554108">
              <w:rPr>
                <w:rFonts w:eastAsia="Calibri"/>
              </w:rPr>
              <w:t>making processes.</w:t>
            </w:r>
            <w:r>
              <w:rPr>
                <w:rFonts w:eastAsia="Calibri"/>
              </w:rPr>
              <w:t xml:space="preserve"> (2EE)</w:t>
            </w:r>
          </w:p>
        </w:tc>
      </w:tr>
      <w:tr w:rsidR="00CE6DF6" w:rsidRPr="00484946" w:rsidTr="00387AF7">
        <w:tc>
          <w:tcPr>
            <w:tcW w:w="8505" w:type="dxa"/>
            <w:gridSpan w:val="2"/>
            <w:shd w:val="clear" w:color="auto" w:fill="auto"/>
          </w:tcPr>
          <w:p w:rsidR="00CE6DF6" w:rsidRPr="00484946" w:rsidRDefault="00CE6DF6" w:rsidP="00387AF7">
            <w:pPr>
              <w:pStyle w:val="Tabletext"/>
              <w:ind w:left="284" w:hanging="284"/>
              <w:rPr>
                <w:rFonts w:eastAsia="Calibri" w:cs="Arial"/>
              </w:rPr>
            </w:pPr>
            <w:r>
              <w:t>7.</w:t>
            </w:r>
            <w:r>
              <w:tab/>
              <w:t>Develop an operating model that better allows the organisation to be more responsive to patterns of demand, including investigating and, where viable, pursuing shared services with other government departments and Crown entities.</w:t>
            </w:r>
          </w:p>
        </w:tc>
      </w:tr>
      <w:tr w:rsidR="00CE6DF6" w:rsidRPr="00484946" w:rsidTr="00387AF7">
        <w:tc>
          <w:tcPr>
            <w:tcW w:w="279" w:type="dxa"/>
            <w:tcBorders>
              <w:right w:val="nil"/>
            </w:tcBorders>
            <w:shd w:val="clear" w:color="auto" w:fill="auto"/>
          </w:tcPr>
          <w:p w:rsidR="00CE6DF6" w:rsidRPr="00484946" w:rsidRDefault="00CE6DF6" w:rsidP="00387AF7">
            <w:pPr>
              <w:spacing w:before="60" w:after="60"/>
              <w:ind w:left="360"/>
              <w:rPr>
                <w:rFonts w:eastAsia="Calibri"/>
                <w:sz w:val="20"/>
                <w:szCs w:val="20"/>
                <w:lang w:eastAsia="en-US"/>
              </w:rPr>
            </w:pPr>
          </w:p>
        </w:tc>
        <w:tc>
          <w:tcPr>
            <w:tcW w:w="8226" w:type="dxa"/>
            <w:tcBorders>
              <w:top w:val="nil"/>
              <w:left w:val="nil"/>
              <w:bottom w:val="nil"/>
            </w:tcBorders>
            <w:shd w:val="clear" w:color="auto" w:fill="auto"/>
          </w:tcPr>
          <w:p w:rsidR="00CE6DF6" w:rsidRPr="00554108" w:rsidRDefault="00CE6DF6" w:rsidP="00387AF7">
            <w:pPr>
              <w:pStyle w:val="Tabletext"/>
              <w:rPr>
                <w:rFonts w:eastAsia="Calibri"/>
              </w:rPr>
            </w:pPr>
            <w:r w:rsidRPr="00554108">
              <w:rPr>
                <w:rFonts w:eastAsia="Calibri"/>
              </w:rPr>
              <w:t xml:space="preserve">The Board drives the development of a new operating model that will enable the organisation to be responsive to demand ensuring the organisation has access to the </w:t>
            </w:r>
            <w:r>
              <w:rPr>
                <w:rFonts w:eastAsia="Calibri"/>
              </w:rPr>
              <w:t>‘</w:t>
            </w:r>
            <w:r w:rsidRPr="00554108">
              <w:rPr>
                <w:rFonts w:eastAsia="Calibri"/>
              </w:rPr>
              <w:t>best</w:t>
            </w:r>
            <w:r>
              <w:rPr>
                <w:rFonts w:eastAsia="Calibri"/>
              </w:rPr>
              <w:t xml:space="preserve"> ’</w:t>
            </w:r>
            <w:r w:rsidRPr="00554108">
              <w:rPr>
                <w:rFonts w:eastAsia="Calibri"/>
              </w:rPr>
              <w:t xml:space="preserve"> and stable technical (scientific and commercial) capability available and can deliver consistent quality process outcomes. This will be a strategic resourcing model that anticipates and responds to the organisation’s need to draw upon variable external resource from partner organisations.</w:t>
            </w:r>
            <w:r>
              <w:rPr>
                <w:rFonts w:eastAsia="Calibri"/>
              </w:rPr>
              <w:t xml:space="preserve"> </w:t>
            </w:r>
            <w:r w:rsidRPr="00554108">
              <w:rPr>
                <w:rFonts w:eastAsia="Calibri"/>
              </w:rPr>
              <w:t xml:space="preserve">Responding to workload and subject matter demands reflects both the unique New Zealand environmental context and the developments internationally and that takes a strategic approach to </w:t>
            </w:r>
            <w:r>
              <w:rPr>
                <w:rFonts w:eastAsia="Calibri"/>
              </w:rPr>
              <w:t>manage</w:t>
            </w:r>
            <w:r w:rsidRPr="00554108">
              <w:rPr>
                <w:rFonts w:eastAsia="Calibri"/>
              </w:rPr>
              <w:t xml:space="preserve"> conflicts of interest and capability requirements.</w:t>
            </w:r>
            <w:r>
              <w:rPr>
                <w:rFonts w:eastAsia="Calibri"/>
              </w:rPr>
              <w:t xml:space="preserve"> (3EE)</w:t>
            </w:r>
            <w:r w:rsidRPr="00554108">
              <w:rPr>
                <w:rFonts w:eastAsia="Calibri"/>
              </w:rPr>
              <w:t xml:space="preserve"> </w:t>
            </w:r>
          </w:p>
          <w:p w:rsidR="00CE6DF6" w:rsidRPr="00484946" w:rsidRDefault="00CE6DF6" w:rsidP="00387AF7">
            <w:pPr>
              <w:pStyle w:val="Tabletext"/>
              <w:rPr>
                <w:rFonts w:eastAsia="Calibri"/>
              </w:rPr>
            </w:pPr>
            <w:r w:rsidRPr="005E56F8">
              <w:rPr>
                <w:rFonts w:eastAsia="Calibri"/>
              </w:rPr>
              <w:t>Use systems thinking when planning or designing processes so components across the organisation fit together. (14SR)</w:t>
            </w:r>
          </w:p>
          <w:p w:rsidR="00CE6DF6" w:rsidRPr="00484946" w:rsidRDefault="00CE6DF6" w:rsidP="00387AF7">
            <w:pPr>
              <w:pStyle w:val="Tabletext"/>
              <w:rPr>
                <w:rFonts w:eastAsia="Calibri" w:cs="Arial"/>
              </w:rPr>
            </w:pPr>
            <w:r w:rsidRPr="005559C6">
              <w:rPr>
                <w:rFonts w:eastAsia="Calibri"/>
              </w:rPr>
              <w:t>We recommend that the EPA looks at their operational model. (</w:t>
            </w:r>
            <w:r>
              <w:rPr>
                <w:rFonts w:eastAsia="Calibri"/>
              </w:rPr>
              <w:t>3</w:t>
            </w:r>
            <w:r w:rsidRPr="005559C6">
              <w:rPr>
                <w:rFonts w:eastAsia="Calibri"/>
              </w:rPr>
              <w:t>FR)</w:t>
            </w:r>
          </w:p>
        </w:tc>
      </w:tr>
      <w:tr w:rsidR="00CE6DF6" w:rsidRPr="00484946" w:rsidTr="00387AF7">
        <w:tc>
          <w:tcPr>
            <w:tcW w:w="8505" w:type="dxa"/>
            <w:gridSpan w:val="2"/>
            <w:shd w:val="clear" w:color="auto" w:fill="auto"/>
          </w:tcPr>
          <w:p w:rsidR="00CE6DF6" w:rsidRPr="00484946" w:rsidRDefault="00CE6DF6" w:rsidP="00387AF7">
            <w:pPr>
              <w:pStyle w:val="Tabletext"/>
              <w:tabs>
                <w:tab w:val="clear" w:pos="397"/>
              </w:tabs>
              <w:ind w:left="284" w:hanging="284"/>
              <w:rPr>
                <w:rFonts w:eastAsia="Calibri" w:cs="Arial"/>
              </w:rPr>
            </w:pPr>
            <w:r>
              <w:t>8.</w:t>
            </w:r>
            <w:r>
              <w:tab/>
            </w:r>
            <w:r w:rsidRPr="00484946">
              <w:t>Develop processes and measures to understand the EPA’s effectiveness</w:t>
            </w:r>
            <w:r>
              <w:t>.</w:t>
            </w:r>
          </w:p>
        </w:tc>
      </w:tr>
      <w:tr w:rsidR="00CE6DF6" w:rsidRPr="00484946" w:rsidTr="00387AF7">
        <w:tc>
          <w:tcPr>
            <w:tcW w:w="279" w:type="dxa"/>
            <w:tcBorders>
              <w:bottom w:val="single" w:sz="4" w:space="0" w:color="auto"/>
              <w:right w:val="nil"/>
            </w:tcBorders>
            <w:shd w:val="clear" w:color="auto" w:fill="auto"/>
          </w:tcPr>
          <w:p w:rsidR="00CE6DF6" w:rsidRPr="00484946" w:rsidRDefault="00CE6DF6" w:rsidP="00387AF7">
            <w:pPr>
              <w:spacing w:before="50" w:after="50"/>
              <w:ind w:left="360"/>
              <w:rPr>
                <w:rFonts w:eastAsia="Calibri"/>
                <w:sz w:val="20"/>
                <w:szCs w:val="20"/>
                <w:lang w:eastAsia="en-US"/>
              </w:rPr>
            </w:pPr>
          </w:p>
        </w:tc>
        <w:tc>
          <w:tcPr>
            <w:tcW w:w="8226" w:type="dxa"/>
            <w:tcBorders>
              <w:top w:val="nil"/>
              <w:left w:val="nil"/>
              <w:bottom w:val="single" w:sz="4" w:space="0" w:color="auto"/>
            </w:tcBorders>
            <w:shd w:val="clear" w:color="auto" w:fill="auto"/>
          </w:tcPr>
          <w:p w:rsidR="00CE6DF6" w:rsidRPr="00017933" w:rsidRDefault="00CE6DF6" w:rsidP="00387AF7">
            <w:pPr>
              <w:pStyle w:val="Tabletext"/>
              <w:spacing w:before="50" w:after="50"/>
              <w:rPr>
                <w:rFonts w:eastAsia="Calibri"/>
              </w:rPr>
            </w:pPr>
            <w:r w:rsidRPr="00017933">
              <w:rPr>
                <w:rFonts w:eastAsia="Calibri"/>
              </w:rPr>
              <w:t>The Board establishes processes and measures to really understand the organisations own effectiveness and that of the wider decision</w:t>
            </w:r>
            <w:r>
              <w:rPr>
                <w:rFonts w:eastAsia="Calibri"/>
              </w:rPr>
              <w:t>-</w:t>
            </w:r>
            <w:r w:rsidRPr="00017933">
              <w:rPr>
                <w:rFonts w:eastAsia="Calibri"/>
              </w:rPr>
              <w:t>making frameworks that it is responsible for.</w:t>
            </w:r>
            <w:r>
              <w:rPr>
                <w:rFonts w:eastAsia="Calibri"/>
              </w:rPr>
              <w:t xml:space="preserve"> </w:t>
            </w:r>
            <w:r w:rsidRPr="00017933">
              <w:rPr>
                <w:rFonts w:eastAsia="Calibri"/>
              </w:rPr>
              <w:t xml:space="preserve">Working in partnership with </w:t>
            </w:r>
            <w:r>
              <w:rPr>
                <w:rFonts w:eastAsia="Calibri"/>
              </w:rPr>
              <w:t>the Ministry</w:t>
            </w:r>
            <w:r w:rsidRPr="00017933">
              <w:rPr>
                <w:rFonts w:eastAsia="Calibri"/>
              </w:rPr>
              <w:t xml:space="preserve"> (and other sector partners) in a proactive manner to drive improved provision of greater central government direction and consistency in the management and regulation of the environment (particularly related to NSPs and EEZ legislation). This will include considering emerging policy that is not yet in legislation and determining how this can be accommodated into current decision-making. This will necessarily look at enhancing the existing legislation, including addressing the current structural requirements which are impacting the ability of the Board to govern. The latter includes enabling the Board to control the appointment processes for</w:t>
            </w:r>
            <w:r>
              <w:rPr>
                <w:rFonts w:eastAsia="Calibri"/>
              </w:rPr>
              <w:t xml:space="preserve"> boards of inquiries</w:t>
            </w:r>
            <w:r w:rsidRPr="00017933">
              <w:rPr>
                <w:rFonts w:eastAsia="Calibri"/>
              </w:rPr>
              <w:t xml:space="preserve"> and decision</w:t>
            </w:r>
            <w:r>
              <w:rPr>
                <w:rFonts w:eastAsia="Calibri"/>
              </w:rPr>
              <w:t>-</w:t>
            </w:r>
            <w:r w:rsidRPr="00017933">
              <w:rPr>
                <w:rFonts w:eastAsia="Calibri"/>
              </w:rPr>
              <w:t>making committees to ensure the right capability is present, and removing the need for Board members to sit on the decision</w:t>
            </w:r>
            <w:r>
              <w:rPr>
                <w:rFonts w:eastAsia="Calibri"/>
              </w:rPr>
              <w:t>-</w:t>
            </w:r>
            <w:r w:rsidRPr="00017933">
              <w:rPr>
                <w:rFonts w:eastAsia="Calibri"/>
              </w:rPr>
              <w:t>making bodies. The latter then fully empowers the Board to focus on the governance of the these decision</w:t>
            </w:r>
            <w:r>
              <w:rPr>
                <w:rFonts w:eastAsia="Calibri"/>
              </w:rPr>
              <w:t>-</w:t>
            </w:r>
            <w:r w:rsidRPr="00017933">
              <w:rPr>
                <w:rFonts w:eastAsia="Calibri"/>
              </w:rPr>
              <w:t xml:space="preserve">making processes, rather than finding itself being both </w:t>
            </w:r>
            <w:r>
              <w:rPr>
                <w:rFonts w:eastAsia="Calibri"/>
              </w:rPr>
              <w:t>‘</w:t>
            </w:r>
            <w:r w:rsidRPr="00017933">
              <w:rPr>
                <w:rFonts w:eastAsia="Calibri"/>
              </w:rPr>
              <w:t>judge and jury</w:t>
            </w:r>
            <w:r>
              <w:rPr>
                <w:rFonts w:eastAsia="Calibri"/>
              </w:rPr>
              <w:t>’</w:t>
            </w:r>
            <w:r w:rsidRPr="00017933">
              <w:rPr>
                <w:rFonts w:eastAsia="Calibri"/>
              </w:rPr>
              <w:t xml:space="preserve"> with its members being involved in the actual decision processes themselves rather than the Board assuring the quality, robustness and consistency of the processes. Going forward the Board must be able to directly control and be held accountable for all aspects of the quality and sophistication of the decision-making processes that it is responsible for implementing. Opportunities for greater harmonisation across the regulatory framework should be considered at this time </w:t>
            </w:r>
            <w:r>
              <w:rPr>
                <w:rFonts w:eastAsia="Calibri"/>
              </w:rPr>
              <w:t xml:space="preserve">to increase </w:t>
            </w:r>
            <w:r w:rsidRPr="00017933">
              <w:rPr>
                <w:rFonts w:eastAsia="Calibri"/>
              </w:rPr>
              <w:t>internal efficiencies and break</w:t>
            </w:r>
            <w:r>
              <w:rPr>
                <w:rFonts w:eastAsia="Calibri"/>
              </w:rPr>
              <w:t xml:space="preserve"> </w:t>
            </w:r>
            <w:r w:rsidRPr="00017933">
              <w:rPr>
                <w:rFonts w:eastAsia="Calibri"/>
              </w:rPr>
              <w:t>down internal silos within the EPA, and assist easier external understanding on how to deal and work with the EPA. (4EE)</w:t>
            </w:r>
          </w:p>
          <w:p w:rsidR="00CE6DF6" w:rsidRPr="00D859C3" w:rsidRDefault="00CE6DF6" w:rsidP="00387AF7">
            <w:pPr>
              <w:pStyle w:val="Tabletext"/>
              <w:spacing w:before="50" w:after="50"/>
              <w:rPr>
                <w:rFonts w:eastAsia="Calibri"/>
              </w:rPr>
            </w:pPr>
            <w:r w:rsidRPr="00D859C3">
              <w:rPr>
                <w:rFonts w:eastAsia="Calibri"/>
              </w:rPr>
              <w:t>Take a leadership role to drive change in the organisation and environment sector. (1</w:t>
            </w:r>
            <w:r>
              <w:rPr>
                <w:rFonts w:eastAsia="Calibri"/>
              </w:rPr>
              <w:t>SR</w:t>
            </w:r>
            <w:r w:rsidRPr="00D859C3">
              <w:rPr>
                <w:rFonts w:eastAsia="Calibri"/>
              </w:rPr>
              <w:t>)</w:t>
            </w:r>
          </w:p>
          <w:p w:rsidR="00CE6DF6" w:rsidRPr="00231414" w:rsidRDefault="00CE6DF6" w:rsidP="00387AF7">
            <w:pPr>
              <w:pStyle w:val="Tabletext"/>
              <w:spacing w:before="50" w:after="50"/>
              <w:rPr>
                <w:rFonts w:eastAsia="Calibri"/>
              </w:rPr>
            </w:pPr>
            <w:r w:rsidRPr="00231414">
              <w:rPr>
                <w:rFonts w:eastAsia="Calibri"/>
              </w:rPr>
              <w:t>Develop an agreed set of criteria against which programme and activities can be prioritised across the organisation. (8SR)</w:t>
            </w:r>
          </w:p>
          <w:p w:rsidR="00CE6DF6" w:rsidRPr="002E43B7" w:rsidRDefault="00CE6DF6" w:rsidP="00387AF7">
            <w:pPr>
              <w:pStyle w:val="Tabletext"/>
              <w:spacing w:before="50" w:after="50"/>
              <w:rPr>
                <w:rFonts w:eastAsia="Calibri"/>
              </w:rPr>
            </w:pPr>
            <w:r w:rsidRPr="002E43B7">
              <w:rPr>
                <w:rFonts w:eastAsia="Calibri"/>
              </w:rPr>
              <w:t>Define the EPA's approach to compliance and its leadership role in the sector. (11SR)</w:t>
            </w:r>
          </w:p>
          <w:p w:rsidR="00CE6DF6" w:rsidRPr="00484946" w:rsidRDefault="00CE6DF6" w:rsidP="00387AF7">
            <w:pPr>
              <w:pStyle w:val="Tabletext"/>
              <w:spacing w:before="50" w:after="50"/>
              <w:rPr>
                <w:rFonts w:eastAsia="Calibri" w:cs="Arial"/>
              </w:rPr>
            </w:pPr>
            <w:r w:rsidRPr="002E43B7">
              <w:rPr>
                <w:rFonts w:eastAsia="Calibri"/>
              </w:rPr>
              <w:t>Lead the sector to develop consistent compliance standards and expectations, prioritisation of interventions across multiple agencies, and the targeting of action and sharing of resource. (12SR)</w:t>
            </w:r>
          </w:p>
        </w:tc>
      </w:tr>
    </w:tbl>
    <w:p w:rsidR="00EE3631" w:rsidRDefault="00EE3631"/>
    <w:p w:rsidR="00EE3631" w:rsidRDefault="00EE3631">
      <w:r>
        <w:br w:type="page"/>
      </w:r>
    </w:p>
    <w:tbl>
      <w:tblPr>
        <w:tblW w:w="8505" w:type="dxa"/>
        <w:tblInd w:w="113" w:type="dxa"/>
        <w:tblBorders>
          <w:top w:val="single" w:sz="4" w:space="0" w:color="17556C"/>
          <w:bottom w:val="single" w:sz="4" w:space="0" w:color="17556C"/>
          <w:insideH w:val="single" w:sz="4" w:space="0" w:color="17556C"/>
          <w:insideV w:val="single" w:sz="4" w:space="0" w:color="auto"/>
        </w:tblBorders>
        <w:tblLook w:val="04A0" w:firstRow="1" w:lastRow="0" w:firstColumn="1" w:lastColumn="0" w:noHBand="0" w:noVBand="1"/>
      </w:tblPr>
      <w:tblGrid>
        <w:gridCol w:w="279"/>
        <w:gridCol w:w="8226"/>
      </w:tblGrid>
      <w:tr w:rsidR="00CE6DF6" w:rsidRPr="00484946" w:rsidTr="00387AF7">
        <w:tc>
          <w:tcPr>
            <w:tcW w:w="8505" w:type="dxa"/>
            <w:gridSpan w:val="2"/>
            <w:tcBorders>
              <w:top w:val="single" w:sz="4" w:space="0" w:color="auto"/>
              <w:bottom w:val="single" w:sz="4" w:space="0" w:color="auto"/>
            </w:tcBorders>
            <w:shd w:val="clear" w:color="auto" w:fill="auto"/>
          </w:tcPr>
          <w:p w:rsidR="00CE6DF6" w:rsidRPr="00E02762" w:rsidRDefault="00CE6DF6" w:rsidP="00387AF7">
            <w:pPr>
              <w:pStyle w:val="Tabletext"/>
              <w:tabs>
                <w:tab w:val="clear" w:pos="397"/>
              </w:tabs>
              <w:ind w:left="284" w:hanging="284"/>
            </w:pPr>
            <w:r>
              <w:lastRenderedPageBreak/>
              <w:t>9.</w:t>
            </w:r>
            <w:r>
              <w:tab/>
            </w:r>
            <w:r w:rsidRPr="00D214F1">
              <w:rPr>
                <w:rFonts w:eastAsia="Calibri" w:cs="Arial"/>
              </w:rPr>
              <w:t>Determine if the existing funding levels and the current cost recovery framework will enable the EPA to make the step- change required and execute its future stewardship responsibility</w:t>
            </w:r>
            <w:r w:rsidRPr="00484946">
              <w:t xml:space="preserve"> processes and measures to understand the EPA’s effectiveness</w:t>
            </w:r>
            <w:r>
              <w:t xml:space="preserve">. </w:t>
            </w:r>
          </w:p>
        </w:tc>
      </w:tr>
      <w:tr w:rsidR="00CE6DF6" w:rsidRPr="00484946" w:rsidTr="00523AB5">
        <w:tc>
          <w:tcPr>
            <w:tcW w:w="279" w:type="dxa"/>
            <w:tcBorders>
              <w:top w:val="single" w:sz="4" w:space="0" w:color="auto"/>
              <w:right w:val="nil"/>
            </w:tcBorders>
            <w:shd w:val="clear" w:color="auto" w:fill="auto"/>
          </w:tcPr>
          <w:p w:rsidR="00CE6DF6" w:rsidRPr="00484946" w:rsidRDefault="00CE6DF6" w:rsidP="00387AF7">
            <w:pPr>
              <w:spacing w:before="50" w:after="50"/>
              <w:ind w:left="360"/>
              <w:rPr>
                <w:rFonts w:eastAsia="Calibri"/>
                <w:sz w:val="20"/>
                <w:szCs w:val="20"/>
                <w:lang w:eastAsia="en-US"/>
              </w:rPr>
            </w:pPr>
          </w:p>
        </w:tc>
        <w:tc>
          <w:tcPr>
            <w:tcW w:w="8226" w:type="dxa"/>
            <w:tcBorders>
              <w:top w:val="single" w:sz="4" w:space="0" w:color="auto"/>
              <w:left w:val="nil"/>
              <w:bottom w:val="single" w:sz="4" w:space="0" w:color="auto"/>
            </w:tcBorders>
            <w:shd w:val="clear" w:color="auto" w:fill="auto"/>
          </w:tcPr>
          <w:p w:rsidR="00CE6DF6" w:rsidRPr="006376EB" w:rsidRDefault="00CE6DF6" w:rsidP="00CB5C25">
            <w:pPr>
              <w:pStyle w:val="Tabletext"/>
              <w:spacing w:before="50" w:after="50"/>
              <w:rPr>
                <w:rFonts w:eastAsia="Calibri"/>
              </w:rPr>
            </w:pPr>
            <w:r w:rsidRPr="006376EB">
              <w:rPr>
                <w:rFonts w:eastAsia="Calibri"/>
              </w:rPr>
              <w:t xml:space="preserve">The Board works to determine if existing funding levels and the current cost recovery framework will actually enable the EPA to make the step- change required, and execute its future stewardship responsibility, working with </w:t>
            </w:r>
            <w:proofErr w:type="spellStart"/>
            <w:r w:rsidRPr="006376EB">
              <w:rPr>
                <w:rFonts w:eastAsia="Calibri"/>
              </w:rPr>
              <w:t>MfE</w:t>
            </w:r>
            <w:proofErr w:type="spellEnd"/>
            <w:r w:rsidRPr="006376EB">
              <w:rPr>
                <w:rFonts w:eastAsia="Calibri"/>
              </w:rPr>
              <w:t xml:space="preserve"> Ministry to resolve any material issues identified. This will require the Board to first understand its existing efficiency. (6EE)</w:t>
            </w:r>
          </w:p>
          <w:p w:rsidR="00CE6DF6" w:rsidRPr="006376EB" w:rsidRDefault="00CE6DF6" w:rsidP="00CB5C25">
            <w:pPr>
              <w:pStyle w:val="Tabletext"/>
              <w:spacing w:before="50" w:after="50"/>
              <w:rPr>
                <w:rFonts w:eastAsia="Calibri"/>
              </w:rPr>
            </w:pPr>
            <w:r w:rsidRPr="006376EB">
              <w:rPr>
                <w:rFonts w:eastAsia="Calibri"/>
              </w:rPr>
              <w:t>The Board establishes a robust long-term operational strategy. This includes capital forecasts with a detailed and tested operating budget to support its future focus.  Implementing already identified projects, as well as identifying the other priority internal processes and systems that need to be addressed to make the organisation ‘“fit for purpose’” and most importantly, customer centric. (5EE)</w:t>
            </w:r>
          </w:p>
          <w:p w:rsidR="00CE6DF6" w:rsidRPr="00D0565C" w:rsidRDefault="00CE6DF6" w:rsidP="00387AF7">
            <w:pPr>
              <w:pStyle w:val="Tabletext"/>
              <w:spacing w:before="50" w:after="50"/>
              <w:rPr>
                <w:rFonts w:eastAsia="Calibri" w:cs="Arial"/>
              </w:rPr>
            </w:pPr>
            <w:r w:rsidRPr="00D0565C">
              <w:rPr>
                <w:rFonts w:eastAsia="Calibri" w:cs="Arial"/>
              </w:rPr>
              <w:t>Review existing technology infrastructure, consider business need, prioritise. (16SR)</w:t>
            </w:r>
          </w:p>
          <w:p w:rsidR="00CE6DF6" w:rsidRPr="00D0565C" w:rsidRDefault="00CE6DF6" w:rsidP="00387AF7">
            <w:pPr>
              <w:pStyle w:val="Tabletext"/>
              <w:spacing w:before="50" w:after="50"/>
              <w:rPr>
                <w:rFonts w:eastAsia="Calibri" w:cs="Arial"/>
              </w:rPr>
            </w:pPr>
            <w:r w:rsidRPr="00D0565C">
              <w:rPr>
                <w:rFonts w:eastAsia="Calibri" w:cs="Arial"/>
              </w:rPr>
              <w:t>Update the hourly charges for cost recovery of NSP nationally significant proposal applications and EEZ Exclusive Economic Zone decision- making and compliance to take account of the following:</w:t>
            </w:r>
          </w:p>
          <w:p w:rsidR="00CE6DF6" w:rsidRPr="00D0565C" w:rsidRDefault="00CE6DF6" w:rsidP="00387AF7">
            <w:pPr>
              <w:pStyle w:val="Tablebullet"/>
              <w:rPr>
                <w:rFonts w:eastAsia="Calibri"/>
              </w:rPr>
            </w:pPr>
            <w:r w:rsidRPr="00D0565C">
              <w:rPr>
                <w:rFonts w:eastAsia="Calibri"/>
              </w:rPr>
              <w:t>an adjustment for inflation</w:t>
            </w:r>
          </w:p>
          <w:p w:rsidR="00CE6DF6" w:rsidRPr="00D0565C" w:rsidRDefault="00CE6DF6" w:rsidP="00387AF7">
            <w:pPr>
              <w:pStyle w:val="Tablebullet"/>
              <w:rPr>
                <w:rFonts w:eastAsia="Calibri"/>
              </w:rPr>
            </w:pPr>
            <w:r w:rsidRPr="00D0565C">
              <w:rPr>
                <w:rFonts w:eastAsia="Calibri"/>
              </w:rPr>
              <w:t>any efficiencies gained through the formation of the EPA</w:t>
            </w:r>
          </w:p>
          <w:p w:rsidR="00CE6DF6" w:rsidRPr="00D0565C" w:rsidRDefault="00CE6DF6" w:rsidP="00387AF7">
            <w:pPr>
              <w:pStyle w:val="Tablebullet"/>
              <w:rPr>
                <w:rFonts w:eastAsia="Calibri"/>
              </w:rPr>
            </w:pPr>
            <w:r w:rsidRPr="00D0565C">
              <w:rPr>
                <w:rFonts w:eastAsia="Calibri"/>
              </w:rPr>
              <w:t>to ensure all direct and indirect costs incurred are being included in overheads</w:t>
            </w:r>
          </w:p>
          <w:p w:rsidR="00CE6DF6" w:rsidRPr="00D0565C" w:rsidRDefault="00CE6DF6" w:rsidP="00387AF7">
            <w:pPr>
              <w:pStyle w:val="Tablebullet"/>
              <w:rPr>
                <w:rFonts w:eastAsia="Calibri"/>
              </w:rPr>
            </w:pPr>
            <w:r w:rsidRPr="00D0565C">
              <w:rPr>
                <w:rFonts w:eastAsia="Calibri"/>
              </w:rPr>
              <w:t>confirm the appropriateness of including public benefit activities that support a function in overheads (e.g.eg, the pre-application stage of the process, raising awareness of the EPA amongst the decision- making community and participating in international activities)</w:t>
            </w:r>
          </w:p>
          <w:p w:rsidR="00CE6DF6" w:rsidRPr="00D0565C" w:rsidRDefault="00CE6DF6" w:rsidP="00387AF7">
            <w:pPr>
              <w:pStyle w:val="Tablebullet"/>
              <w:rPr>
                <w:rFonts w:eastAsia="Calibri"/>
              </w:rPr>
            </w:pPr>
            <w:proofErr w:type="gramStart"/>
            <w:r w:rsidRPr="00D0565C">
              <w:rPr>
                <w:rFonts w:eastAsia="Calibri"/>
              </w:rPr>
              <w:t>ensure</w:t>
            </w:r>
            <w:proofErr w:type="gramEnd"/>
            <w:r w:rsidRPr="00D0565C">
              <w:rPr>
                <w:rFonts w:eastAsia="Calibri"/>
              </w:rPr>
              <w:t xml:space="preserve"> these are consistent across all EPA functions (or it is clear why they are not consistent).  (1CR)</w:t>
            </w:r>
          </w:p>
          <w:p w:rsidR="00CE6DF6" w:rsidRPr="00D0565C" w:rsidRDefault="00CE6DF6" w:rsidP="00387AF7">
            <w:pPr>
              <w:pStyle w:val="Tabletext"/>
              <w:spacing w:before="50" w:after="50"/>
              <w:rPr>
                <w:rFonts w:eastAsia="Calibri" w:cs="Arial"/>
              </w:rPr>
            </w:pPr>
            <w:r w:rsidRPr="00D0565C">
              <w:rPr>
                <w:rFonts w:eastAsia="Calibri" w:cs="Arial"/>
              </w:rPr>
              <w:t>Improve the implementation of the existing cost recovery regime, in particular the theoretical rate of cost recovery vs the expected rates for the 2014/15 financial year (and future years). (3CR)</w:t>
            </w:r>
          </w:p>
          <w:p w:rsidR="00CE6DF6" w:rsidRPr="00D0565C" w:rsidRDefault="00CE6DF6" w:rsidP="00387AF7">
            <w:pPr>
              <w:pStyle w:val="Tabletext"/>
              <w:spacing w:before="50" w:after="50"/>
              <w:rPr>
                <w:rFonts w:eastAsia="Calibri" w:cs="Arial"/>
              </w:rPr>
            </w:pPr>
            <w:r w:rsidRPr="00D0565C">
              <w:rPr>
                <w:rFonts w:eastAsia="Calibri" w:cs="Arial"/>
              </w:rPr>
              <w:t xml:space="preserve">We recommend that the EPA continues to develop their financial knowledge and analytics of their business activities. (2FR) </w:t>
            </w:r>
          </w:p>
          <w:p w:rsidR="00CE6DF6" w:rsidRPr="00484946" w:rsidRDefault="00CE6DF6" w:rsidP="00387AF7">
            <w:pPr>
              <w:pStyle w:val="Tabletext"/>
              <w:spacing w:before="50" w:after="50"/>
              <w:rPr>
                <w:rFonts w:eastAsia="Calibri" w:cs="Arial"/>
              </w:rPr>
            </w:pPr>
            <w:r w:rsidRPr="00D0565C">
              <w:rPr>
                <w:rFonts w:eastAsia="Calibri" w:cs="Arial"/>
              </w:rPr>
              <w:t>Don't use lack of funding as an excuse – prioritise and choose. (2SR)</w:t>
            </w:r>
          </w:p>
        </w:tc>
      </w:tr>
      <w:tr w:rsidR="00CE6DF6" w:rsidRPr="00484946" w:rsidTr="00387AF7">
        <w:tc>
          <w:tcPr>
            <w:tcW w:w="8505" w:type="dxa"/>
            <w:gridSpan w:val="2"/>
            <w:shd w:val="clear" w:color="auto" w:fill="auto"/>
          </w:tcPr>
          <w:p w:rsidR="00CE6DF6" w:rsidRPr="00484946" w:rsidRDefault="00CE6DF6" w:rsidP="00387AF7">
            <w:pPr>
              <w:pStyle w:val="Tabletext"/>
              <w:ind w:left="284" w:hanging="284"/>
            </w:pPr>
            <w:r>
              <w:t>10.</w:t>
            </w:r>
            <w:r>
              <w:tab/>
            </w:r>
            <w:r w:rsidRPr="00484946">
              <w:t>Determine if the existing funding levels and the current cost recovery framework will enable the EPA to make the step</w:t>
            </w:r>
            <w:r>
              <w:t>-</w:t>
            </w:r>
            <w:r w:rsidRPr="00484946">
              <w:t>change required and execute its future stewardship responsibility</w:t>
            </w:r>
            <w:r>
              <w:t>.</w:t>
            </w:r>
            <w:r w:rsidRPr="00484946">
              <w:t xml:space="preserve"> </w:t>
            </w:r>
          </w:p>
        </w:tc>
      </w:tr>
      <w:tr w:rsidR="00CE6DF6" w:rsidRPr="00484946" w:rsidTr="00EE3631">
        <w:tc>
          <w:tcPr>
            <w:tcW w:w="279" w:type="dxa"/>
            <w:tcBorders>
              <w:bottom w:val="single" w:sz="4" w:space="0" w:color="auto"/>
              <w:right w:val="nil"/>
            </w:tcBorders>
            <w:shd w:val="clear" w:color="auto" w:fill="auto"/>
          </w:tcPr>
          <w:p w:rsidR="00CE6DF6" w:rsidRPr="00484946" w:rsidRDefault="00CE6DF6" w:rsidP="00387AF7">
            <w:pPr>
              <w:spacing w:before="60" w:after="60"/>
              <w:ind w:left="360"/>
              <w:rPr>
                <w:rFonts w:eastAsia="Calibri"/>
                <w:sz w:val="20"/>
                <w:szCs w:val="20"/>
                <w:lang w:eastAsia="en-US"/>
              </w:rPr>
            </w:pPr>
          </w:p>
        </w:tc>
        <w:tc>
          <w:tcPr>
            <w:tcW w:w="8226" w:type="dxa"/>
            <w:tcBorders>
              <w:top w:val="nil"/>
              <w:left w:val="nil"/>
              <w:bottom w:val="single" w:sz="4" w:space="0" w:color="auto"/>
            </w:tcBorders>
            <w:shd w:val="clear" w:color="auto" w:fill="auto"/>
          </w:tcPr>
          <w:p w:rsidR="00CE6DF6" w:rsidRDefault="00CE6DF6" w:rsidP="00387AF7">
            <w:pPr>
              <w:pStyle w:val="Tabletext"/>
              <w:rPr>
                <w:rFonts w:eastAsia="Calibri"/>
              </w:rPr>
            </w:pPr>
            <w:r w:rsidRPr="00D602D4">
              <w:rPr>
                <w:rFonts w:eastAsia="Calibri"/>
              </w:rPr>
              <w:t>The Board works to determine if existing funding levels and the current cost recovery framework will actually enable the EPA to make the step</w:t>
            </w:r>
            <w:r>
              <w:rPr>
                <w:rFonts w:eastAsia="Calibri"/>
              </w:rPr>
              <w:t>-</w:t>
            </w:r>
            <w:r w:rsidRPr="00D602D4">
              <w:rPr>
                <w:rFonts w:eastAsia="Calibri"/>
              </w:rPr>
              <w:t xml:space="preserve">change required, and execute its future stewardship responsibility, working with </w:t>
            </w:r>
            <w:r>
              <w:rPr>
                <w:rFonts w:eastAsia="Calibri"/>
              </w:rPr>
              <w:t>Ministry</w:t>
            </w:r>
            <w:r w:rsidRPr="00D602D4">
              <w:rPr>
                <w:rFonts w:eastAsia="Calibri"/>
              </w:rPr>
              <w:t xml:space="preserve"> to resolve any material issues identified. This will require the Board to first understand its existing efficiency. (6EE)</w:t>
            </w:r>
          </w:p>
          <w:p w:rsidR="00CE6DF6" w:rsidRPr="001A544A" w:rsidRDefault="00CE6DF6" w:rsidP="00387AF7">
            <w:pPr>
              <w:pStyle w:val="Tabletext"/>
              <w:rPr>
                <w:rFonts w:eastAsia="Calibri"/>
              </w:rPr>
            </w:pPr>
            <w:r w:rsidRPr="001A544A">
              <w:rPr>
                <w:rFonts w:eastAsia="Calibri"/>
              </w:rPr>
              <w:t>The Board establishes a robust long-term operational strategy. This includes capital forecasts with a detailed and tested operating budget to support its future focus.</w:t>
            </w:r>
            <w:r>
              <w:rPr>
                <w:rFonts w:eastAsia="Calibri"/>
              </w:rPr>
              <w:t xml:space="preserve"> </w:t>
            </w:r>
            <w:r w:rsidRPr="001A544A">
              <w:rPr>
                <w:rFonts w:eastAsia="Calibri"/>
              </w:rPr>
              <w:t xml:space="preserve">Implementing already identified projects, as well as identifying the other priority internal processes and systems that need to be addressed to make the organisation </w:t>
            </w:r>
            <w:r>
              <w:rPr>
                <w:rFonts w:eastAsia="Calibri"/>
              </w:rPr>
              <w:t>‘</w:t>
            </w:r>
            <w:r w:rsidRPr="001A544A">
              <w:rPr>
                <w:rFonts w:eastAsia="Calibri"/>
              </w:rPr>
              <w:t>fit for purpose</w:t>
            </w:r>
            <w:r>
              <w:rPr>
                <w:rFonts w:eastAsia="Calibri"/>
              </w:rPr>
              <w:t>’</w:t>
            </w:r>
            <w:r w:rsidRPr="001A544A">
              <w:rPr>
                <w:rFonts w:eastAsia="Calibri"/>
              </w:rPr>
              <w:t xml:space="preserve"> and most importantly, customer centric. (5EE)</w:t>
            </w:r>
          </w:p>
          <w:p w:rsidR="00CE6DF6" w:rsidRPr="005E56F8" w:rsidRDefault="00CE6DF6" w:rsidP="00387AF7">
            <w:pPr>
              <w:pStyle w:val="Tabletext"/>
              <w:rPr>
                <w:rFonts w:eastAsia="Calibri"/>
              </w:rPr>
            </w:pPr>
            <w:r w:rsidRPr="005E56F8">
              <w:rPr>
                <w:rFonts w:eastAsia="Calibri"/>
              </w:rPr>
              <w:t>Review existing technology infrastructure, consider business need, prioritise. (16SR)</w:t>
            </w:r>
          </w:p>
          <w:p w:rsidR="00CE6DF6" w:rsidRPr="00911B1E" w:rsidRDefault="00CE6DF6" w:rsidP="00387AF7">
            <w:pPr>
              <w:pStyle w:val="Tabletext"/>
              <w:rPr>
                <w:rFonts w:eastAsia="Calibri"/>
              </w:rPr>
            </w:pPr>
            <w:r w:rsidRPr="00911B1E">
              <w:rPr>
                <w:rFonts w:eastAsia="Calibri"/>
              </w:rPr>
              <w:t xml:space="preserve">Update the hourly charges for cost recovery of </w:t>
            </w:r>
            <w:r>
              <w:rPr>
                <w:rFonts w:eastAsia="Calibri"/>
              </w:rPr>
              <w:t>nationally significant proposal</w:t>
            </w:r>
            <w:r w:rsidRPr="00911B1E">
              <w:rPr>
                <w:rFonts w:eastAsia="Calibri"/>
              </w:rPr>
              <w:t xml:space="preserve"> applications and </w:t>
            </w:r>
            <w:r>
              <w:rPr>
                <w:rFonts w:eastAsia="Calibri"/>
              </w:rPr>
              <w:t>Exclusive Economic Zone</w:t>
            </w:r>
            <w:r w:rsidRPr="00911B1E">
              <w:rPr>
                <w:rFonts w:eastAsia="Calibri"/>
              </w:rPr>
              <w:t xml:space="preserve"> decision</w:t>
            </w:r>
            <w:r>
              <w:rPr>
                <w:rFonts w:eastAsia="Calibri"/>
              </w:rPr>
              <w:t>-</w:t>
            </w:r>
            <w:r w:rsidRPr="00911B1E">
              <w:rPr>
                <w:rFonts w:eastAsia="Calibri"/>
              </w:rPr>
              <w:t>making and compliance to</w:t>
            </w:r>
            <w:r>
              <w:rPr>
                <w:rFonts w:eastAsia="Calibri"/>
              </w:rPr>
              <w:t>:</w:t>
            </w:r>
          </w:p>
          <w:p w:rsidR="00CE6DF6" w:rsidRPr="00F35159" w:rsidRDefault="00CE6DF6" w:rsidP="00387AF7">
            <w:pPr>
              <w:pStyle w:val="Tablebullet"/>
              <w:rPr>
                <w:rFonts w:eastAsia="Calibri"/>
              </w:rPr>
            </w:pPr>
            <w:r>
              <w:rPr>
                <w:rFonts w:eastAsia="Calibri"/>
              </w:rPr>
              <w:t xml:space="preserve">take into account </w:t>
            </w:r>
            <w:r w:rsidRPr="00F35159">
              <w:rPr>
                <w:rFonts w:eastAsia="Calibri"/>
              </w:rPr>
              <w:t>inflation</w:t>
            </w:r>
          </w:p>
          <w:p w:rsidR="00CE6DF6" w:rsidRPr="00F35159" w:rsidRDefault="00CE6DF6" w:rsidP="00387AF7">
            <w:pPr>
              <w:pStyle w:val="Tablebullet"/>
              <w:rPr>
                <w:rFonts w:eastAsia="Calibri"/>
              </w:rPr>
            </w:pPr>
            <w:r>
              <w:rPr>
                <w:rFonts w:eastAsia="Calibri"/>
              </w:rPr>
              <w:t xml:space="preserve">take into account </w:t>
            </w:r>
            <w:r w:rsidRPr="00F35159">
              <w:rPr>
                <w:rFonts w:eastAsia="Calibri"/>
              </w:rPr>
              <w:t>any efficiencies gained through the formation of the EPA</w:t>
            </w:r>
          </w:p>
          <w:p w:rsidR="00CE6DF6" w:rsidRPr="00F35159" w:rsidRDefault="00CE6DF6" w:rsidP="00387AF7">
            <w:pPr>
              <w:pStyle w:val="Tablebullet"/>
              <w:rPr>
                <w:rFonts w:eastAsia="Calibri"/>
              </w:rPr>
            </w:pPr>
            <w:r w:rsidRPr="00F35159">
              <w:rPr>
                <w:rFonts w:eastAsia="Calibri"/>
              </w:rPr>
              <w:t xml:space="preserve">ensure </w:t>
            </w:r>
            <w:r>
              <w:rPr>
                <w:rFonts w:eastAsia="Calibri"/>
              </w:rPr>
              <w:t xml:space="preserve">that </w:t>
            </w:r>
            <w:r w:rsidRPr="00F35159">
              <w:rPr>
                <w:rFonts w:eastAsia="Calibri"/>
              </w:rPr>
              <w:t>all direct and indirect costs incurred are being included in overheads</w:t>
            </w:r>
          </w:p>
          <w:p w:rsidR="00CE6DF6" w:rsidRPr="00F35159" w:rsidRDefault="00CE6DF6" w:rsidP="00387AF7">
            <w:pPr>
              <w:pStyle w:val="Tablebullet"/>
              <w:rPr>
                <w:rFonts w:eastAsia="Calibri"/>
              </w:rPr>
            </w:pPr>
            <w:r w:rsidRPr="00F35159">
              <w:rPr>
                <w:rFonts w:eastAsia="Calibri"/>
              </w:rPr>
              <w:t>confirm the appropriateness of including</w:t>
            </w:r>
            <w:r>
              <w:rPr>
                <w:rFonts w:eastAsia="Calibri"/>
              </w:rPr>
              <w:t xml:space="preserve"> activities that also have</w:t>
            </w:r>
            <w:r w:rsidRPr="00F35159">
              <w:rPr>
                <w:rFonts w:eastAsia="Calibri"/>
              </w:rPr>
              <w:t xml:space="preserve"> public benefit</w:t>
            </w:r>
            <w:r>
              <w:rPr>
                <w:rFonts w:eastAsia="Calibri"/>
              </w:rPr>
              <w:t>s</w:t>
            </w:r>
            <w:r w:rsidRPr="00F35159">
              <w:rPr>
                <w:rFonts w:eastAsia="Calibri"/>
              </w:rPr>
              <w:t xml:space="preserve"> in</w:t>
            </w:r>
            <w:r>
              <w:rPr>
                <w:rFonts w:eastAsia="Calibri"/>
              </w:rPr>
              <w:t>to the calculation of cost-recovery</w:t>
            </w:r>
            <w:r w:rsidRPr="00F35159">
              <w:rPr>
                <w:rFonts w:eastAsia="Calibri"/>
              </w:rPr>
              <w:t xml:space="preserve"> overheads (</w:t>
            </w:r>
            <w:r>
              <w:rPr>
                <w:rFonts w:eastAsia="Calibri"/>
              </w:rPr>
              <w:t>eg,</w:t>
            </w:r>
            <w:r w:rsidRPr="00F35159">
              <w:rPr>
                <w:rFonts w:eastAsia="Calibri"/>
              </w:rPr>
              <w:t xml:space="preserve"> the pre-application stage of the</w:t>
            </w:r>
            <w:r>
              <w:rPr>
                <w:rFonts w:eastAsia="Calibri"/>
              </w:rPr>
              <w:t xml:space="preserve"> consent</w:t>
            </w:r>
            <w:r w:rsidRPr="00F35159">
              <w:rPr>
                <w:rFonts w:eastAsia="Calibri"/>
              </w:rPr>
              <w:t xml:space="preserve"> process, raising awareness of the EPA amongst the decision</w:t>
            </w:r>
            <w:r>
              <w:rPr>
                <w:rFonts w:eastAsia="Calibri"/>
              </w:rPr>
              <w:t>-</w:t>
            </w:r>
            <w:r w:rsidRPr="00F35159">
              <w:rPr>
                <w:rFonts w:eastAsia="Calibri"/>
              </w:rPr>
              <w:t>making community</w:t>
            </w:r>
            <w:r>
              <w:rPr>
                <w:rFonts w:eastAsia="Calibri"/>
              </w:rPr>
              <w:t>,</w:t>
            </w:r>
            <w:r w:rsidRPr="00F35159">
              <w:rPr>
                <w:rFonts w:eastAsia="Calibri"/>
              </w:rPr>
              <w:t xml:space="preserve"> and participating in international </w:t>
            </w:r>
            <w:r>
              <w:rPr>
                <w:rFonts w:eastAsia="Calibri"/>
              </w:rPr>
              <w:t xml:space="preserve">fora and training </w:t>
            </w:r>
            <w:r w:rsidRPr="00F35159">
              <w:rPr>
                <w:rFonts w:eastAsia="Calibri"/>
              </w:rPr>
              <w:t>activities)</w:t>
            </w:r>
          </w:p>
          <w:p w:rsidR="00CE6DF6" w:rsidRPr="00F35159" w:rsidRDefault="00CE6DF6" w:rsidP="00387AF7">
            <w:pPr>
              <w:pStyle w:val="Tablebullet"/>
              <w:rPr>
                <w:rFonts w:eastAsia="Calibri"/>
              </w:rPr>
            </w:pPr>
            <w:proofErr w:type="gramStart"/>
            <w:r w:rsidRPr="00F35159">
              <w:rPr>
                <w:rFonts w:eastAsia="Calibri"/>
              </w:rPr>
              <w:t>ensure</w:t>
            </w:r>
            <w:proofErr w:type="gramEnd"/>
            <w:r w:rsidRPr="00F35159">
              <w:rPr>
                <w:rFonts w:eastAsia="Calibri"/>
              </w:rPr>
              <w:t xml:space="preserve"> these are consistent across all EPA functions (or it is clear why they are not consistent</w:t>
            </w:r>
            <w:r>
              <w:rPr>
                <w:rFonts w:eastAsia="Calibri"/>
              </w:rPr>
              <w:t xml:space="preserve">). </w:t>
            </w:r>
            <w:r w:rsidRPr="00F35159">
              <w:rPr>
                <w:rFonts w:eastAsia="Calibri"/>
              </w:rPr>
              <w:t>(1CR)</w:t>
            </w:r>
          </w:p>
          <w:p w:rsidR="00CE6DF6" w:rsidRPr="00911B1E" w:rsidRDefault="00CE6DF6" w:rsidP="00387AF7">
            <w:pPr>
              <w:pStyle w:val="Tabletext"/>
              <w:rPr>
                <w:rFonts w:eastAsia="Calibri"/>
              </w:rPr>
            </w:pPr>
            <w:r w:rsidRPr="00911B1E">
              <w:rPr>
                <w:rFonts w:eastAsia="Calibri"/>
              </w:rPr>
              <w:t>Improve the implementation of the existing cost recovery regime, in particular the theoretical rate of cost recovery vs the expected rates for the 2014/15 financial year (and future years). (3CR)</w:t>
            </w:r>
          </w:p>
          <w:p w:rsidR="00CE6DF6" w:rsidRDefault="00CE6DF6" w:rsidP="00387AF7">
            <w:pPr>
              <w:pStyle w:val="Tabletext"/>
              <w:rPr>
                <w:rFonts w:eastAsia="Calibri"/>
              </w:rPr>
            </w:pPr>
            <w:r w:rsidRPr="005559C6">
              <w:rPr>
                <w:rFonts w:eastAsia="Calibri"/>
              </w:rPr>
              <w:t xml:space="preserve">We recommend that the EPA continues to develop their financial knowledge and analytics of </w:t>
            </w:r>
            <w:r>
              <w:rPr>
                <w:rFonts w:eastAsia="Calibri"/>
              </w:rPr>
              <w:t>their business activities. (2FR)</w:t>
            </w:r>
            <w:r w:rsidRPr="00537BB8">
              <w:rPr>
                <w:rFonts w:eastAsia="Calibri"/>
              </w:rPr>
              <w:t xml:space="preserve"> </w:t>
            </w:r>
          </w:p>
          <w:p w:rsidR="00CE6DF6" w:rsidRPr="00472921" w:rsidRDefault="00CE6DF6" w:rsidP="00387AF7">
            <w:pPr>
              <w:pStyle w:val="Tabletext"/>
              <w:rPr>
                <w:rFonts w:eastAsia="Calibri"/>
              </w:rPr>
            </w:pPr>
            <w:r w:rsidRPr="00537BB8">
              <w:rPr>
                <w:rFonts w:eastAsia="Calibri"/>
              </w:rPr>
              <w:t>Don</w:t>
            </w:r>
            <w:r>
              <w:rPr>
                <w:rFonts w:eastAsia="Calibri"/>
              </w:rPr>
              <w:t>’</w:t>
            </w:r>
            <w:r w:rsidRPr="00537BB8">
              <w:rPr>
                <w:rFonts w:eastAsia="Calibri"/>
              </w:rPr>
              <w:t xml:space="preserve">t use lack of funding as an excuse </w:t>
            </w:r>
            <w:r w:rsidRPr="00D602D4">
              <w:rPr>
                <w:rFonts w:eastAsia="Calibri"/>
              </w:rPr>
              <w:t xml:space="preserve">– </w:t>
            </w:r>
            <w:r w:rsidRPr="00537BB8">
              <w:rPr>
                <w:rFonts w:eastAsia="Calibri"/>
              </w:rPr>
              <w:t>prioritise and choose. (2SR)</w:t>
            </w:r>
          </w:p>
        </w:tc>
      </w:tr>
      <w:tr w:rsidR="00CE6DF6" w:rsidRPr="00484946" w:rsidTr="00EE3631">
        <w:tc>
          <w:tcPr>
            <w:tcW w:w="8505" w:type="dxa"/>
            <w:gridSpan w:val="2"/>
            <w:tcBorders>
              <w:top w:val="single" w:sz="4" w:space="0" w:color="auto"/>
            </w:tcBorders>
            <w:shd w:val="clear" w:color="auto" w:fill="auto"/>
          </w:tcPr>
          <w:p w:rsidR="00CE6DF6" w:rsidRPr="00484946" w:rsidRDefault="00CE6DF6" w:rsidP="00387AF7">
            <w:pPr>
              <w:pStyle w:val="Tabletext"/>
              <w:ind w:left="284" w:hanging="284"/>
              <w:rPr>
                <w:rFonts w:eastAsia="Calibri" w:cs="Arial"/>
              </w:rPr>
            </w:pPr>
            <w:r>
              <w:lastRenderedPageBreak/>
              <w:t>11.</w:t>
            </w:r>
            <w:r>
              <w:tab/>
            </w:r>
            <w:r w:rsidRPr="00484946">
              <w:t>Invest in people development and management</w:t>
            </w:r>
            <w:r>
              <w:t>, particularly the management and senior leadership teams.</w:t>
            </w:r>
          </w:p>
        </w:tc>
      </w:tr>
      <w:tr w:rsidR="00CE6DF6" w:rsidRPr="00484946" w:rsidTr="00387AF7">
        <w:tc>
          <w:tcPr>
            <w:tcW w:w="279" w:type="dxa"/>
            <w:tcBorders>
              <w:bottom w:val="single" w:sz="4" w:space="0" w:color="auto"/>
              <w:right w:val="nil"/>
            </w:tcBorders>
            <w:shd w:val="clear" w:color="auto" w:fill="auto"/>
          </w:tcPr>
          <w:p w:rsidR="00CE6DF6" w:rsidRPr="00484946" w:rsidRDefault="00CE6DF6" w:rsidP="00387AF7">
            <w:pPr>
              <w:spacing w:before="60" w:after="60"/>
              <w:ind w:left="360"/>
              <w:rPr>
                <w:rFonts w:eastAsia="Calibri"/>
                <w:sz w:val="20"/>
                <w:szCs w:val="20"/>
                <w:lang w:eastAsia="en-US"/>
              </w:rPr>
            </w:pPr>
          </w:p>
        </w:tc>
        <w:tc>
          <w:tcPr>
            <w:tcW w:w="8226" w:type="dxa"/>
            <w:tcBorders>
              <w:top w:val="nil"/>
              <w:left w:val="nil"/>
              <w:bottom w:val="single" w:sz="4" w:space="0" w:color="auto"/>
            </w:tcBorders>
            <w:shd w:val="clear" w:color="auto" w:fill="auto"/>
          </w:tcPr>
          <w:p w:rsidR="00CE6DF6" w:rsidRPr="00231414" w:rsidRDefault="00CE6DF6" w:rsidP="00387AF7">
            <w:pPr>
              <w:pStyle w:val="Tabletext"/>
              <w:rPr>
                <w:rFonts w:eastAsia="Calibri"/>
              </w:rPr>
            </w:pPr>
            <w:r w:rsidRPr="00231414">
              <w:rPr>
                <w:rFonts w:eastAsia="Calibri"/>
              </w:rPr>
              <w:t xml:space="preserve">Develop the CE’s </w:t>
            </w:r>
            <w:r>
              <w:rPr>
                <w:rFonts w:eastAsia="Calibri"/>
              </w:rPr>
              <w:t>key performance indicators</w:t>
            </w:r>
            <w:r w:rsidRPr="00231414">
              <w:rPr>
                <w:rFonts w:eastAsia="Calibri"/>
              </w:rPr>
              <w:t xml:space="preserve"> earlier so they cascade into internal accountability documents and performance plans before the start of the financial year. (5SR)</w:t>
            </w:r>
          </w:p>
          <w:p w:rsidR="00CE6DF6" w:rsidRPr="0065361A" w:rsidRDefault="00CE6DF6" w:rsidP="00387AF7">
            <w:pPr>
              <w:pStyle w:val="Tabletext"/>
              <w:rPr>
                <w:rFonts w:eastAsia="Calibri"/>
              </w:rPr>
            </w:pPr>
            <w:r w:rsidRPr="0065361A">
              <w:rPr>
                <w:rFonts w:eastAsia="Calibri"/>
              </w:rPr>
              <w:t>When tasking</w:t>
            </w:r>
            <w:r>
              <w:rPr>
                <w:rFonts w:eastAsia="Calibri"/>
              </w:rPr>
              <w:t xml:space="preserve"> (Operational Leadership Team (</w:t>
            </w:r>
            <w:r w:rsidRPr="0065361A">
              <w:rPr>
                <w:rFonts w:eastAsia="Calibri"/>
              </w:rPr>
              <w:t>OLT</w:t>
            </w:r>
            <w:r>
              <w:rPr>
                <w:rFonts w:eastAsia="Calibri"/>
              </w:rPr>
              <w:t xml:space="preserve">) </w:t>
            </w:r>
            <w:r w:rsidRPr="0065361A">
              <w:rPr>
                <w:rFonts w:eastAsia="Calibri"/>
              </w:rPr>
              <w:t>provide clear guidance around boundaries, perspectives to consider and any preliminary thoughts that ELT may have on the subject. (19SR)</w:t>
            </w:r>
          </w:p>
          <w:p w:rsidR="00CE6DF6" w:rsidRPr="0065361A" w:rsidRDefault="00CE6DF6" w:rsidP="00387AF7">
            <w:pPr>
              <w:pStyle w:val="Tabletext"/>
              <w:rPr>
                <w:rFonts w:eastAsia="Calibri"/>
              </w:rPr>
            </w:pPr>
            <w:r w:rsidRPr="0065361A">
              <w:rPr>
                <w:rFonts w:eastAsia="Calibri"/>
              </w:rPr>
              <w:t xml:space="preserve">Invest in the development of the individual </w:t>
            </w:r>
            <w:r>
              <w:rPr>
                <w:rFonts w:eastAsia="Calibri"/>
              </w:rPr>
              <w:t>g</w:t>
            </w:r>
            <w:r w:rsidRPr="0065361A">
              <w:rPr>
                <w:rFonts w:eastAsia="Calibri"/>
              </w:rPr>
              <w:t xml:space="preserve">eneral </w:t>
            </w:r>
            <w:r>
              <w:rPr>
                <w:rFonts w:eastAsia="Calibri"/>
              </w:rPr>
              <w:t>m</w:t>
            </w:r>
            <w:r w:rsidRPr="0065361A">
              <w:rPr>
                <w:rFonts w:eastAsia="Calibri"/>
              </w:rPr>
              <w:t>anagers. (21SR)</w:t>
            </w:r>
          </w:p>
          <w:p w:rsidR="00CE6DF6" w:rsidRPr="0065361A" w:rsidRDefault="00CE6DF6" w:rsidP="00387AF7">
            <w:pPr>
              <w:pStyle w:val="Tabletext"/>
              <w:rPr>
                <w:rFonts w:eastAsia="Calibri"/>
              </w:rPr>
            </w:pPr>
            <w:r w:rsidRPr="0065361A">
              <w:rPr>
                <w:rFonts w:eastAsia="Calibri"/>
              </w:rPr>
              <w:t>Invest in the ELT as a team. (22SR)</w:t>
            </w:r>
          </w:p>
          <w:p w:rsidR="00CE6DF6" w:rsidRPr="00484946" w:rsidRDefault="00CE6DF6" w:rsidP="00387AF7">
            <w:pPr>
              <w:pStyle w:val="Tabletext"/>
              <w:rPr>
                <w:rFonts w:eastAsia="Calibri" w:cs="Arial"/>
              </w:rPr>
            </w:pPr>
            <w:r w:rsidRPr="0065361A">
              <w:rPr>
                <w:rFonts w:eastAsia="Calibri"/>
              </w:rPr>
              <w:t>Invest in a suitable OLT development programme. (23SR)</w:t>
            </w:r>
          </w:p>
        </w:tc>
      </w:tr>
      <w:tr w:rsidR="00CE6DF6" w:rsidRPr="00484946" w:rsidTr="00387AF7">
        <w:tc>
          <w:tcPr>
            <w:tcW w:w="8505" w:type="dxa"/>
            <w:gridSpan w:val="2"/>
            <w:shd w:val="clear" w:color="auto" w:fill="auto"/>
          </w:tcPr>
          <w:p w:rsidR="00CE6DF6" w:rsidRPr="00484946" w:rsidRDefault="00CE6DF6" w:rsidP="00387AF7">
            <w:pPr>
              <w:pStyle w:val="Tabletext"/>
              <w:ind w:left="284" w:hanging="284"/>
              <w:rPr>
                <w:rFonts w:eastAsia="Calibri" w:cs="Arial"/>
              </w:rPr>
            </w:pPr>
            <w:r>
              <w:t>12.</w:t>
            </w:r>
            <w:r>
              <w:tab/>
            </w:r>
            <w:r w:rsidRPr="00484946">
              <w:t>Take action to address a range of operational issues</w:t>
            </w:r>
            <w:r>
              <w:t>.</w:t>
            </w:r>
          </w:p>
        </w:tc>
      </w:tr>
      <w:tr w:rsidR="00CE6DF6" w:rsidRPr="00484946" w:rsidTr="00387AF7">
        <w:tc>
          <w:tcPr>
            <w:tcW w:w="279" w:type="dxa"/>
            <w:tcBorders>
              <w:bottom w:val="single" w:sz="4" w:space="0" w:color="17556C"/>
              <w:right w:val="nil"/>
            </w:tcBorders>
            <w:shd w:val="clear" w:color="auto" w:fill="auto"/>
          </w:tcPr>
          <w:p w:rsidR="00CE6DF6" w:rsidRPr="00484946" w:rsidRDefault="00CE6DF6" w:rsidP="00387AF7">
            <w:pPr>
              <w:spacing w:before="60" w:after="60"/>
              <w:ind w:left="360"/>
              <w:rPr>
                <w:rFonts w:eastAsia="Calibri"/>
                <w:sz w:val="20"/>
                <w:szCs w:val="20"/>
                <w:lang w:eastAsia="en-US"/>
              </w:rPr>
            </w:pPr>
          </w:p>
        </w:tc>
        <w:tc>
          <w:tcPr>
            <w:tcW w:w="8226" w:type="dxa"/>
            <w:tcBorders>
              <w:top w:val="nil"/>
              <w:left w:val="nil"/>
              <w:bottom w:val="nil"/>
            </w:tcBorders>
            <w:shd w:val="clear" w:color="auto" w:fill="auto"/>
          </w:tcPr>
          <w:p w:rsidR="00CE6DF6" w:rsidRPr="005E56F8" w:rsidRDefault="00CE6DF6" w:rsidP="00387AF7">
            <w:pPr>
              <w:pStyle w:val="Tabletext"/>
              <w:rPr>
                <w:rFonts w:eastAsia="Calibri"/>
              </w:rPr>
            </w:pPr>
            <w:r w:rsidRPr="005E56F8">
              <w:rPr>
                <w:rFonts w:eastAsia="Calibri"/>
              </w:rPr>
              <w:t>Develop a cohesive programme to proactively raise the profile of the EPA ensuring it identifies and manages potential risks</w:t>
            </w:r>
            <w:r>
              <w:rPr>
                <w:rFonts w:eastAsia="Calibri"/>
              </w:rPr>
              <w:t xml:space="preserve"> to its reputation</w:t>
            </w:r>
            <w:r w:rsidRPr="005E56F8">
              <w:rPr>
                <w:rFonts w:eastAsia="Calibri"/>
              </w:rPr>
              <w:t>. Understand your objectives in raising your profile. (13SR)</w:t>
            </w:r>
          </w:p>
          <w:p w:rsidR="00CE6DF6" w:rsidRPr="005E56F8" w:rsidRDefault="00CE6DF6" w:rsidP="00387AF7">
            <w:pPr>
              <w:pStyle w:val="Tabletext"/>
              <w:rPr>
                <w:rFonts w:eastAsia="Calibri"/>
              </w:rPr>
            </w:pPr>
            <w:r w:rsidRPr="005E56F8">
              <w:rPr>
                <w:rFonts w:eastAsia="Calibri"/>
              </w:rPr>
              <w:t>Review the organisation’s risks and its approach to risk management. Some risk statements do not reflect risk. (15SR)</w:t>
            </w:r>
          </w:p>
          <w:p w:rsidR="00CE6DF6" w:rsidRPr="0065361A" w:rsidRDefault="00CE6DF6" w:rsidP="00387AF7">
            <w:pPr>
              <w:pStyle w:val="Tabletext"/>
              <w:rPr>
                <w:rFonts w:eastAsia="Calibri"/>
              </w:rPr>
            </w:pPr>
            <w:r w:rsidRPr="0065361A">
              <w:rPr>
                <w:rFonts w:eastAsia="Calibri"/>
              </w:rPr>
              <w:t>Integrate across the organisation lessons learnt from specific post</w:t>
            </w:r>
            <w:r>
              <w:rPr>
                <w:rFonts w:eastAsia="Calibri"/>
              </w:rPr>
              <w:t>-</w:t>
            </w:r>
            <w:r w:rsidRPr="0065361A">
              <w:rPr>
                <w:rFonts w:eastAsia="Calibri"/>
              </w:rPr>
              <w:t>project reviews. Improve processes, update training and change to a learning culture. (17SR)</w:t>
            </w:r>
          </w:p>
          <w:p w:rsidR="00CE6DF6" w:rsidRPr="0065361A" w:rsidRDefault="00CE6DF6" w:rsidP="00387AF7">
            <w:pPr>
              <w:pStyle w:val="Tabletext"/>
              <w:rPr>
                <w:rFonts w:eastAsia="Calibri"/>
              </w:rPr>
            </w:pPr>
            <w:r w:rsidRPr="0065361A">
              <w:rPr>
                <w:rFonts w:eastAsia="Calibri"/>
              </w:rPr>
              <w:t xml:space="preserve">Implement a </w:t>
            </w:r>
            <w:r>
              <w:rPr>
                <w:rFonts w:eastAsia="Calibri"/>
              </w:rPr>
              <w:t>p</w:t>
            </w:r>
            <w:r w:rsidRPr="0065361A">
              <w:rPr>
                <w:rFonts w:eastAsia="Calibri"/>
              </w:rPr>
              <w:t xml:space="preserve">rogramme </w:t>
            </w:r>
            <w:r>
              <w:rPr>
                <w:rFonts w:eastAsia="Calibri"/>
              </w:rPr>
              <w:t>m</w:t>
            </w:r>
            <w:r w:rsidRPr="0065361A">
              <w:rPr>
                <w:rFonts w:eastAsia="Calibri"/>
              </w:rPr>
              <w:t xml:space="preserve">anagement approach (this is not necessarily recommending a </w:t>
            </w:r>
            <w:r>
              <w:rPr>
                <w:rFonts w:eastAsia="Calibri"/>
              </w:rPr>
              <w:t>project management office</w:t>
            </w:r>
            <w:r w:rsidRPr="0065361A">
              <w:rPr>
                <w:rFonts w:eastAsia="Calibri"/>
              </w:rPr>
              <w:t>). (18SR)</w:t>
            </w:r>
          </w:p>
          <w:p w:rsidR="00CE6DF6" w:rsidRPr="0065361A" w:rsidRDefault="00CE6DF6" w:rsidP="00387AF7">
            <w:pPr>
              <w:pStyle w:val="Tabletext"/>
              <w:rPr>
                <w:rFonts w:eastAsia="Calibri"/>
              </w:rPr>
            </w:pPr>
            <w:r w:rsidRPr="0065361A">
              <w:rPr>
                <w:rFonts w:eastAsia="Calibri"/>
              </w:rPr>
              <w:t>Develop and implement a workforce and succession plan including a capability option. (20SR)</w:t>
            </w:r>
          </w:p>
          <w:p w:rsidR="00CE6DF6" w:rsidRPr="00484946" w:rsidRDefault="00CE6DF6" w:rsidP="00387AF7">
            <w:pPr>
              <w:pStyle w:val="Tabletext"/>
              <w:spacing w:after="120"/>
              <w:rPr>
                <w:rFonts w:eastAsia="Calibri"/>
                <w:b/>
                <w:bCs/>
                <w:sz w:val="20"/>
              </w:rPr>
            </w:pPr>
            <w:r w:rsidRPr="00D602D4">
              <w:rPr>
                <w:rFonts w:eastAsia="Calibri"/>
              </w:rPr>
              <w:t>Develop an explicit policy on the number of hours covered by the pre-application stage of the process for nationally significant proposal and marine consent applications. Also apply this policy to the pre-application stage of the HSNO process. (4CR)</w:t>
            </w:r>
          </w:p>
        </w:tc>
      </w:tr>
      <w:tr w:rsidR="00CE6DF6" w:rsidRPr="00484946" w:rsidTr="00387AF7">
        <w:tc>
          <w:tcPr>
            <w:tcW w:w="279" w:type="dxa"/>
            <w:vMerge w:val="restart"/>
            <w:tcBorders>
              <w:top w:val="single" w:sz="4" w:space="0" w:color="17556C"/>
              <w:bottom w:val="single" w:sz="4" w:space="0" w:color="17556C"/>
              <w:right w:val="single" w:sz="4" w:space="0" w:color="17556C"/>
            </w:tcBorders>
            <w:shd w:val="clear" w:color="auto" w:fill="auto"/>
          </w:tcPr>
          <w:p w:rsidR="00CE6DF6" w:rsidRPr="00484946" w:rsidRDefault="00CE6DF6" w:rsidP="00387AF7">
            <w:pPr>
              <w:pStyle w:val="Tabletext"/>
              <w:keepNext/>
              <w:rPr>
                <w:rFonts w:eastAsia="Calibri"/>
              </w:rPr>
            </w:pPr>
          </w:p>
        </w:tc>
        <w:tc>
          <w:tcPr>
            <w:tcW w:w="8226" w:type="dxa"/>
            <w:tcBorders>
              <w:top w:val="nil"/>
              <w:left w:val="single" w:sz="4" w:space="0" w:color="17556C"/>
              <w:bottom w:val="single" w:sz="4" w:space="0" w:color="auto"/>
            </w:tcBorders>
            <w:shd w:val="clear" w:color="auto" w:fill="17556C"/>
          </w:tcPr>
          <w:p w:rsidR="00CE6DF6" w:rsidRPr="00F72C88" w:rsidRDefault="00CE6DF6" w:rsidP="00387AF7">
            <w:pPr>
              <w:pStyle w:val="Tabletext"/>
              <w:keepNext/>
              <w:rPr>
                <w:rFonts w:eastAsia="Calibri"/>
                <w:b/>
                <w:color w:val="FFFFFF" w:themeColor="background1"/>
              </w:rPr>
            </w:pPr>
            <w:r w:rsidRPr="00F72C88">
              <w:rPr>
                <w:rFonts w:eastAsia="Calibri"/>
                <w:b/>
                <w:color w:val="FFFFFF" w:themeColor="background1"/>
              </w:rPr>
              <w:t>The following are operational issues/findings where the Ministry will lead the response:</w:t>
            </w:r>
          </w:p>
        </w:tc>
      </w:tr>
      <w:tr w:rsidR="00CE6DF6" w:rsidRPr="00484946" w:rsidTr="00387AF7">
        <w:tc>
          <w:tcPr>
            <w:tcW w:w="279" w:type="dxa"/>
            <w:vMerge/>
            <w:tcBorders>
              <w:bottom w:val="single" w:sz="4" w:space="0" w:color="17556C"/>
              <w:right w:val="nil"/>
            </w:tcBorders>
            <w:shd w:val="clear" w:color="auto" w:fill="auto"/>
          </w:tcPr>
          <w:p w:rsidR="00CE6DF6" w:rsidRPr="00484946" w:rsidRDefault="00CE6DF6" w:rsidP="00387AF7">
            <w:pPr>
              <w:keepNext/>
              <w:spacing w:before="60" w:after="60"/>
              <w:ind w:left="360"/>
              <w:rPr>
                <w:rFonts w:eastAsia="Calibri"/>
                <w:sz w:val="20"/>
                <w:szCs w:val="20"/>
                <w:lang w:eastAsia="en-US"/>
              </w:rPr>
            </w:pPr>
          </w:p>
        </w:tc>
        <w:tc>
          <w:tcPr>
            <w:tcW w:w="8226" w:type="dxa"/>
            <w:tcBorders>
              <w:top w:val="single" w:sz="4" w:space="0" w:color="auto"/>
              <w:left w:val="nil"/>
              <w:bottom w:val="single" w:sz="4" w:space="0" w:color="auto"/>
            </w:tcBorders>
            <w:shd w:val="clear" w:color="auto" w:fill="auto"/>
          </w:tcPr>
          <w:p w:rsidR="00CE6DF6" w:rsidRPr="00D602D4" w:rsidRDefault="00CE6DF6" w:rsidP="00387AF7">
            <w:pPr>
              <w:pStyle w:val="Tabletext"/>
              <w:keepNext/>
              <w:rPr>
                <w:rFonts w:eastAsia="Calibri"/>
              </w:rPr>
            </w:pPr>
            <w:bookmarkStart w:id="40" w:name="_Toc404940705"/>
            <w:bookmarkStart w:id="41" w:name="_Toc404947128"/>
            <w:bookmarkStart w:id="42" w:name="_Toc405185511"/>
            <w:r w:rsidRPr="00D602D4">
              <w:rPr>
                <w:rFonts w:eastAsia="Calibri"/>
              </w:rPr>
              <w:t>Review the cost recovery approach for the hazardous substances and new organisms function. This includes (but is not limited to) considering:</w:t>
            </w:r>
            <w:bookmarkEnd w:id="40"/>
            <w:bookmarkEnd w:id="41"/>
            <w:bookmarkEnd w:id="42"/>
            <w:r w:rsidRPr="00D602D4">
              <w:rPr>
                <w:rFonts w:eastAsia="Calibri"/>
              </w:rPr>
              <w:t xml:space="preserve"> </w:t>
            </w:r>
          </w:p>
          <w:p w:rsidR="00CE6DF6" w:rsidRPr="00F35159" w:rsidRDefault="00CE6DF6" w:rsidP="00387AF7">
            <w:pPr>
              <w:pStyle w:val="Tablebullet"/>
              <w:keepNext/>
              <w:keepLines/>
              <w:rPr>
                <w:rFonts w:eastAsia="Calibri"/>
              </w:rPr>
            </w:pPr>
            <w:r w:rsidRPr="00F35159">
              <w:rPr>
                <w:rFonts w:eastAsia="Calibri"/>
              </w:rPr>
              <w:t>the decision to cost recover HSNO decision</w:t>
            </w:r>
            <w:r>
              <w:rPr>
                <w:rFonts w:eastAsia="Calibri"/>
              </w:rPr>
              <w:t>-</w:t>
            </w:r>
            <w:r w:rsidRPr="00F35159">
              <w:rPr>
                <w:rFonts w:eastAsia="Calibri"/>
              </w:rPr>
              <w:t>making at 17</w:t>
            </w:r>
            <w:r>
              <w:rPr>
                <w:rFonts w:eastAsia="Calibri"/>
              </w:rPr>
              <w:t xml:space="preserve"> per cent</w:t>
            </w:r>
            <w:r w:rsidRPr="00F35159">
              <w:rPr>
                <w:rFonts w:eastAsia="Calibri"/>
              </w:rPr>
              <w:t xml:space="preserve"> of the actual cost should be re-examined to identify if this rate is still appropriate </w:t>
            </w:r>
          </w:p>
          <w:p w:rsidR="00CE6DF6" w:rsidRPr="00F35159" w:rsidRDefault="00CE6DF6" w:rsidP="00387AF7">
            <w:pPr>
              <w:pStyle w:val="Tablebullet"/>
              <w:keepNext/>
              <w:rPr>
                <w:rFonts w:eastAsia="Calibri"/>
              </w:rPr>
            </w:pPr>
            <w:r w:rsidRPr="00F35159">
              <w:rPr>
                <w:rFonts w:eastAsia="Calibri"/>
              </w:rPr>
              <w:t xml:space="preserve">the charging framework </w:t>
            </w:r>
            <w:r>
              <w:rPr>
                <w:rFonts w:eastAsia="Calibri"/>
              </w:rPr>
              <w:t>(ie,</w:t>
            </w:r>
            <w:r w:rsidRPr="00F35159">
              <w:rPr>
                <w:rFonts w:eastAsia="Calibri"/>
              </w:rPr>
              <w:t xml:space="preserve"> fixed fee vs recovering actual and reasonable costs</w:t>
            </w:r>
            <w:r>
              <w:rPr>
                <w:rFonts w:eastAsia="Calibri"/>
              </w:rPr>
              <w:t xml:space="preserve"> or a levy</w:t>
            </w:r>
            <w:r w:rsidRPr="00F35159">
              <w:rPr>
                <w:rFonts w:eastAsia="Calibri"/>
              </w:rPr>
              <w:t>)</w:t>
            </w:r>
          </w:p>
          <w:p w:rsidR="00CE6DF6" w:rsidRPr="00F35159" w:rsidRDefault="00CE6DF6" w:rsidP="00387AF7">
            <w:pPr>
              <w:pStyle w:val="Tablebullet"/>
              <w:keepNext/>
              <w:rPr>
                <w:rFonts w:eastAsia="Calibri"/>
              </w:rPr>
            </w:pPr>
            <w:r w:rsidRPr="00F35159">
              <w:rPr>
                <w:rFonts w:eastAsia="Calibri"/>
              </w:rPr>
              <w:t>the possibility of recovering the cost of supporting the HSNO Committee</w:t>
            </w:r>
          </w:p>
          <w:p w:rsidR="00CE6DF6" w:rsidRPr="00F35159" w:rsidRDefault="00CE6DF6" w:rsidP="00387AF7">
            <w:pPr>
              <w:pStyle w:val="Tablebullet"/>
              <w:keepNext/>
              <w:rPr>
                <w:rFonts w:eastAsia="Calibri"/>
              </w:rPr>
            </w:pPr>
            <w:r w:rsidRPr="00F35159">
              <w:rPr>
                <w:rFonts w:eastAsia="Calibri"/>
              </w:rPr>
              <w:t>the approach to the Institutional Biological Safety Committees</w:t>
            </w:r>
          </w:p>
          <w:p w:rsidR="00CE6DF6" w:rsidRPr="00F35159" w:rsidRDefault="00CE6DF6" w:rsidP="00387AF7">
            <w:pPr>
              <w:pStyle w:val="Tablebullet"/>
              <w:keepNext/>
              <w:rPr>
                <w:rFonts w:eastAsia="Calibri"/>
              </w:rPr>
            </w:pPr>
            <w:proofErr w:type="gramStart"/>
            <w:r w:rsidRPr="00F35159">
              <w:rPr>
                <w:rFonts w:eastAsia="Calibri"/>
              </w:rPr>
              <w:t>the</w:t>
            </w:r>
            <w:proofErr w:type="gramEnd"/>
            <w:r w:rsidRPr="00F35159">
              <w:rPr>
                <w:rFonts w:eastAsia="Calibri"/>
              </w:rPr>
              <w:t xml:space="preserve"> possibility of charging interested parties to view their register of hazardous substances and exposure limits. (2CR)</w:t>
            </w:r>
          </w:p>
          <w:p w:rsidR="00CE6DF6" w:rsidRPr="00D602D4" w:rsidRDefault="00CE6DF6" w:rsidP="00387AF7">
            <w:pPr>
              <w:pStyle w:val="Tabletext"/>
              <w:keepNext/>
              <w:rPr>
                <w:rFonts w:eastAsia="Calibri"/>
              </w:rPr>
            </w:pPr>
            <w:r w:rsidRPr="00D602D4">
              <w:rPr>
                <w:rFonts w:eastAsia="Calibri"/>
              </w:rPr>
              <w:t>Reconsider the approach to recovering costs from Crown applicants, potentially to make this consistent across all functions. (5CR) – jointly led with the EPA</w:t>
            </w:r>
          </w:p>
          <w:p w:rsidR="00CE6DF6" w:rsidRPr="00D602D4" w:rsidRDefault="00CE6DF6" w:rsidP="00387AF7">
            <w:pPr>
              <w:pStyle w:val="Tabletext"/>
              <w:keepNext/>
              <w:rPr>
                <w:rFonts w:eastAsia="Calibri"/>
              </w:rPr>
            </w:pPr>
            <w:r w:rsidRPr="00D602D4">
              <w:rPr>
                <w:rFonts w:eastAsia="Calibri"/>
              </w:rPr>
              <w:t>Consider opportunities for additional cost recovery of activities to administer the NZETS and NZEUR, recognising any changes need to take account of the broader policy settings and transition measures for the</w:t>
            </w:r>
            <w:r>
              <w:rPr>
                <w:rFonts w:eastAsia="Calibri"/>
              </w:rPr>
              <w:t> </w:t>
            </w:r>
            <w:r w:rsidRPr="00D602D4">
              <w:rPr>
                <w:rFonts w:eastAsia="Calibri"/>
              </w:rPr>
              <w:t>ETS. (6CR)</w:t>
            </w:r>
          </w:p>
          <w:p w:rsidR="00CE6DF6" w:rsidRPr="00484946" w:rsidRDefault="00CE6DF6" w:rsidP="00387AF7">
            <w:pPr>
              <w:pStyle w:val="Tabletext"/>
              <w:keepNext/>
              <w:rPr>
                <w:rFonts w:eastAsia="Calibri"/>
              </w:rPr>
            </w:pPr>
            <w:bookmarkStart w:id="43" w:name="_Toc404940706"/>
            <w:bookmarkStart w:id="44" w:name="_Toc404947129"/>
            <w:bookmarkStart w:id="45" w:name="_Toc405185512"/>
            <w:r w:rsidRPr="00D602D4">
              <w:rPr>
                <w:rFonts w:eastAsia="Calibri"/>
              </w:rPr>
              <w:t>Reconsider the appropriateness of the 8</w:t>
            </w:r>
            <w:r>
              <w:rPr>
                <w:rFonts w:eastAsia="Calibri"/>
              </w:rPr>
              <w:t>0:20 ratio of funding (other (ie,</w:t>
            </w:r>
            <w:r w:rsidRPr="00D602D4">
              <w:rPr>
                <w:rFonts w:eastAsia="Calibri"/>
              </w:rPr>
              <w:t xml:space="preserve"> private): Crown) for mixed benefit activities for consenting and monitoring activities in the EEZ. (7CR)</w:t>
            </w:r>
            <w:bookmarkEnd w:id="43"/>
            <w:bookmarkEnd w:id="44"/>
            <w:bookmarkEnd w:id="45"/>
          </w:p>
        </w:tc>
      </w:tr>
    </w:tbl>
    <w:p w:rsidR="00CE6DF6" w:rsidRPr="00762641" w:rsidRDefault="00CE6DF6" w:rsidP="00CE6DF6">
      <w:pPr>
        <w:spacing w:after="0"/>
        <w:rPr>
          <w:rFonts w:cs="Arial"/>
          <w:b/>
          <w:sz w:val="20"/>
          <w:szCs w:val="20"/>
        </w:rPr>
      </w:pPr>
      <w:r w:rsidRPr="00762641">
        <w:rPr>
          <w:rFonts w:cs="Arial"/>
          <w:b/>
          <w:sz w:val="20"/>
          <w:szCs w:val="20"/>
        </w:rPr>
        <w:t>Codes:</w:t>
      </w:r>
    </w:p>
    <w:p w:rsidR="00CE6DF6" w:rsidRDefault="00CE6DF6" w:rsidP="00CE6DF6">
      <w:pPr>
        <w:spacing w:before="0"/>
        <w:rPr>
          <w:rFonts w:cs="Arial"/>
          <w:sz w:val="20"/>
          <w:szCs w:val="20"/>
        </w:rPr>
      </w:pPr>
      <w:r>
        <w:rPr>
          <w:rFonts w:cs="Arial"/>
          <w:sz w:val="20"/>
          <w:szCs w:val="20"/>
        </w:rPr>
        <w:t>EE: Recommendation from the effectiveness and efficiency review</w:t>
      </w:r>
    </w:p>
    <w:p w:rsidR="00CE6DF6" w:rsidRDefault="00CE6DF6" w:rsidP="00CE6DF6">
      <w:pPr>
        <w:spacing w:before="0"/>
        <w:rPr>
          <w:rFonts w:cs="Arial"/>
          <w:sz w:val="20"/>
          <w:szCs w:val="20"/>
        </w:rPr>
      </w:pPr>
      <w:r>
        <w:rPr>
          <w:rFonts w:cs="Arial"/>
          <w:sz w:val="20"/>
          <w:szCs w:val="20"/>
        </w:rPr>
        <w:t>CR: Finding from the cost recovery practices analysis</w:t>
      </w:r>
    </w:p>
    <w:p w:rsidR="00CE6DF6" w:rsidRDefault="00CE6DF6" w:rsidP="00CE6DF6">
      <w:pPr>
        <w:spacing w:before="0"/>
        <w:rPr>
          <w:rFonts w:cs="Arial"/>
          <w:sz w:val="20"/>
          <w:szCs w:val="20"/>
        </w:rPr>
      </w:pPr>
      <w:r>
        <w:rPr>
          <w:rFonts w:cs="Arial"/>
          <w:sz w:val="20"/>
          <w:szCs w:val="20"/>
        </w:rPr>
        <w:t>FR: Recommendation from the fiscal review</w:t>
      </w:r>
    </w:p>
    <w:p w:rsidR="00CE6DF6" w:rsidRDefault="00CE6DF6" w:rsidP="00CE6DF6">
      <w:pPr>
        <w:spacing w:before="0"/>
      </w:pPr>
      <w:r>
        <w:rPr>
          <w:rFonts w:cs="Arial"/>
          <w:sz w:val="20"/>
          <w:szCs w:val="20"/>
        </w:rPr>
        <w:t>SR: Recommendation from the EPA’s self-review</w:t>
      </w:r>
    </w:p>
    <w:p w:rsidR="00CE6DF6" w:rsidRPr="00033BFC" w:rsidRDefault="00CE6DF6" w:rsidP="00CE6DF6"/>
    <w:p w:rsidR="003C7CA8" w:rsidRPr="007908F8" w:rsidRDefault="003C7CA8" w:rsidP="00736468">
      <w:pPr>
        <w:pStyle w:val="BodyText"/>
        <w:spacing w:before="0" w:after="0"/>
      </w:pPr>
    </w:p>
    <w:bookmarkEnd w:id="0"/>
    <w:bookmarkEnd w:id="1"/>
    <w:p w:rsidR="003C7CA8" w:rsidRPr="00033BFC" w:rsidRDefault="003C7CA8" w:rsidP="003C7CA8"/>
    <w:sectPr w:rsidR="003C7CA8" w:rsidRPr="00033BFC" w:rsidSect="009A4C62">
      <w:endnotePr>
        <w:numFmt w:val="decimal"/>
      </w:endnotePr>
      <w:pgSz w:w="11907" w:h="16840" w:code="9"/>
      <w:pgMar w:top="1134" w:right="1418" w:bottom="1134" w:left="1418" w:header="567" w:footer="567" w:gutter="567"/>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F7F" w:rsidRDefault="00494F7F" w:rsidP="009B0142">
      <w:pPr>
        <w:spacing w:after="0" w:line="240" w:lineRule="auto"/>
      </w:pPr>
      <w:r>
        <w:separator/>
      </w:r>
    </w:p>
  </w:endnote>
  <w:endnote w:type="continuationSeparator" w:id="0">
    <w:p w:rsidR="00494F7F" w:rsidRPr="00775A35" w:rsidRDefault="00494F7F" w:rsidP="009B0142">
      <w:pPr>
        <w:spacing w:after="0" w:line="240" w:lineRule="auto"/>
        <w:rPr>
          <w:color w:val="FFFFFF" w:themeColor="background1"/>
        </w:rPr>
      </w:pPr>
      <w:r w:rsidRPr="00775A35">
        <w:rPr>
          <w:color w:val="FFFFFF" w:themeColor="background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F7F" w:rsidRDefault="00494F7F" w:rsidP="00A9473E">
    <w:pPr>
      <w:pStyle w:val="Footereven"/>
    </w:pPr>
    <w:r>
      <w:fldChar w:fldCharType="begin"/>
    </w:r>
    <w:r>
      <w:instrText xml:space="preserve"> PAGE   \* MERGEFORMAT </w:instrText>
    </w:r>
    <w:r>
      <w:fldChar w:fldCharType="separate"/>
    </w:r>
    <w:r w:rsidR="00E855EF">
      <w:rPr>
        <w:noProof/>
      </w:rPr>
      <w:t>2</w:t>
    </w:r>
    <w:r>
      <w:rPr>
        <w:noProof/>
      </w:rPr>
      <w:fldChar w:fldCharType="end"/>
    </w:r>
    <w:r>
      <w:rPr>
        <w:noProof/>
      </w:rPr>
      <w:tab/>
    </w:r>
    <w:r w:rsidRPr="00A9473E">
      <w:t>Improving our resource management system: A discussion document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F7F" w:rsidRPr="00CB44C4" w:rsidRDefault="00494F7F" w:rsidP="00CB44C4">
    <w:pPr>
      <w:pStyle w:val="Footerodd"/>
    </w:pPr>
    <w:r w:rsidRPr="00CB44C4">
      <w:tab/>
    </w:r>
    <w:r>
      <w:rPr>
        <w:szCs w:val="18"/>
      </w:rPr>
      <w:t>Review of the Effectiveness of the Environmental Protection Authority: Overview Report</w:t>
    </w:r>
    <w:r w:rsidRPr="00CB44C4">
      <w:tab/>
    </w:r>
    <w:r w:rsidRPr="00CB44C4">
      <w:rPr>
        <w:rStyle w:val="PageNumber"/>
        <w:rFonts w:ascii="Calibri" w:hAnsi="Calibri"/>
        <w:b w:val="0"/>
        <w:bCs w:val="0"/>
        <w:sz w:val="18"/>
        <w:szCs w:val="16"/>
      </w:rPr>
      <w:fldChar w:fldCharType="begin"/>
    </w:r>
    <w:r w:rsidRPr="00CB44C4">
      <w:rPr>
        <w:rStyle w:val="PageNumber"/>
        <w:rFonts w:ascii="Calibri" w:hAnsi="Calibri"/>
        <w:b w:val="0"/>
        <w:bCs w:val="0"/>
        <w:sz w:val="18"/>
        <w:szCs w:val="16"/>
      </w:rPr>
      <w:instrText xml:space="preserve"> PAGE </w:instrText>
    </w:r>
    <w:r w:rsidRPr="00CB44C4">
      <w:rPr>
        <w:rStyle w:val="PageNumber"/>
        <w:rFonts w:ascii="Calibri" w:hAnsi="Calibri"/>
        <w:b w:val="0"/>
        <w:bCs w:val="0"/>
        <w:sz w:val="18"/>
        <w:szCs w:val="16"/>
      </w:rPr>
      <w:fldChar w:fldCharType="separate"/>
    </w:r>
    <w:r w:rsidR="00E855EF">
      <w:rPr>
        <w:rStyle w:val="PageNumber"/>
        <w:rFonts w:ascii="Calibri" w:hAnsi="Calibri"/>
        <w:b w:val="0"/>
        <w:bCs w:val="0"/>
        <w:noProof/>
        <w:sz w:val="18"/>
        <w:szCs w:val="16"/>
      </w:rPr>
      <w:t>31</w:t>
    </w:r>
    <w:r w:rsidRPr="00CB44C4">
      <w:rPr>
        <w:rStyle w:val="PageNumber"/>
        <w:rFonts w:ascii="Calibri" w:hAnsi="Calibri"/>
        <w:b w:val="0"/>
        <w:bCs w:val="0"/>
        <w:sz w:val="18"/>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F7F" w:rsidRDefault="00494F7F" w:rsidP="00A9473E">
    <w:pPr>
      <w:pStyle w:val="Footerodd"/>
    </w:pPr>
    <w:r>
      <w:tab/>
    </w:r>
    <w:r w:rsidRPr="00A9473E">
      <w:t>Improving our resource management system: A discussion document</w:t>
    </w:r>
    <w:r>
      <w:tab/>
    </w:r>
    <w:r>
      <w:fldChar w:fldCharType="begin"/>
    </w:r>
    <w:r>
      <w:instrText xml:space="preserve"> PAGE   \* MERGEFORMAT </w:instrText>
    </w:r>
    <w:r>
      <w:fldChar w:fldCharType="separate"/>
    </w:r>
    <w:r w:rsidR="00E855EF">
      <w:rPr>
        <w:noProof/>
      </w:rPr>
      <w:t>iii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F7F" w:rsidRDefault="00494F7F" w:rsidP="008E5289">
    <w:pPr>
      <w:pStyle w:val="Footer"/>
      <w:jc w:val="left"/>
    </w:pPr>
    <w:r>
      <w:rPr>
        <w:noProof/>
      </w:rPr>
      <w:drawing>
        <wp:inline distT="0" distB="0" distL="0" distR="0" wp14:anchorId="3E9FCED7" wp14:editId="13CEDB23">
          <wp:extent cx="2499360" cy="5549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9360" cy="554990"/>
                  </a:xfrm>
                  <a:prstGeom prst="rect">
                    <a:avLst/>
                  </a:prstGeom>
                  <a:noFill/>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F7F" w:rsidRPr="0040640A" w:rsidRDefault="00494F7F" w:rsidP="0040640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F7F" w:rsidRPr="00F866C3" w:rsidRDefault="00494F7F" w:rsidP="0040640A">
    <w:pPr>
      <w:pStyle w:val="Footereven"/>
      <w:rPr>
        <w:szCs w:val="18"/>
      </w:rPr>
    </w:pPr>
    <w:r w:rsidRPr="00291424">
      <w:rPr>
        <w:rStyle w:val="PageNumber"/>
        <w:rFonts w:ascii="Calibri" w:hAnsi="Calibri"/>
        <w:b w:val="0"/>
        <w:sz w:val="18"/>
        <w:szCs w:val="18"/>
      </w:rPr>
      <w:fldChar w:fldCharType="begin"/>
    </w:r>
    <w:r w:rsidRPr="00291424">
      <w:rPr>
        <w:rStyle w:val="PageNumber"/>
        <w:rFonts w:ascii="Calibri" w:hAnsi="Calibri"/>
        <w:b w:val="0"/>
        <w:sz w:val="18"/>
        <w:szCs w:val="18"/>
      </w:rPr>
      <w:instrText xml:space="preserve"> PAGE </w:instrText>
    </w:r>
    <w:r w:rsidRPr="00291424">
      <w:rPr>
        <w:rStyle w:val="PageNumber"/>
        <w:rFonts w:ascii="Calibri" w:hAnsi="Calibri"/>
        <w:b w:val="0"/>
        <w:sz w:val="18"/>
        <w:szCs w:val="18"/>
      </w:rPr>
      <w:fldChar w:fldCharType="separate"/>
    </w:r>
    <w:r w:rsidR="00E855EF">
      <w:rPr>
        <w:rStyle w:val="PageNumber"/>
        <w:rFonts w:ascii="Calibri" w:hAnsi="Calibri"/>
        <w:b w:val="0"/>
        <w:noProof/>
        <w:sz w:val="18"/>
        <w:szCs w:val="18"/>
      </w:rPr>
      <w:t>4</w:t>
    </w:r>
    <w:r w:rsidRPr="00291424">
      <w:rPr>
        <w:rStyle w:val="PageNumber"/>
        <w:rFonts w:ascii="Calibri" w:hAnsi="Calibri"/>
        <w:b w:val="0"/>
        <w:sz w:val="18"/>
        <w:szCs w:val="18"/>
      </w:rPr>
      <w:fldChar w:fldCharType="end"/>
    </w:r>
    <w:r w:rsidRPr="00F866C3">
      <w:rPr>
        <w:szCs w:val="18"/>
      </w:rPr>
      <w:tab/>
      <w:t>Improving our resource management system: A discussion document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F7F" w:rsidRPr="00F866C3" w:rsidRDefault="00494F7F" w:rsidP="0040640A">
    <w:pPr>
      <w:pStyle w:val="Footerodd"/>
      <w:rPr>
        <w:szCs w:val="18"/>
      </w:rPr>
    </w:pPr>
    <w:r w:rsidRPr="00F866C3">
      <w:rPr>
        <w:szCs w:val="18"/>
      </w:rPr>
      <w:tab/>
    </w:r>
    <w:r>
      <w:rPr>
        <w:szCs w:val="18"/>
      </w:rPr>
      <w:t>Review of the Effectiveness of the Environmental Protection Authority: Overview Report</w:t>
    </w:r>
    <w:r w:rsidRPr="00F866C3">
      <w:rPr>
        <w:szCs w:val="18"/>
      </w:rPr>
      <w:tab/>
    </w:r>
    <w:r w:rsidRPr="00291424">
      <w:rPr>
        <w:rStyle w:val="PageNumber"/>
        <w:rFonts w:ascii="Calibri" w:hAnsi="Calibri"/>
        <w:b w:val="0"/>
        <w:sz w:val="18"/>
        <w:szCs w:val="18"/>
      </w:rPr>
      <w:fldChar w:fldCharType="begin"/>
    </w:r>
    <w:r w:rsidRPr="00291424">
      <w:rPr>
        <w:rStyle w:val="PageNumber"/>
        <w:rFonts w:ascii="Calibri" w:hAnsi="Calibri"/>
        <w:b w:val="0"/>
        <w:sz w:val="18"/>
        <w:szCs w:val="18"/>
      </w:rPr>
      <w:instrText xml:space="preserve"> PAGE </w:instrText>
    </w:r>
    <w:r w:rsidRPr="00291424">
      <w:rPr>
        <w:rStyle w:val="PageNumber"/>
        <w:rFonts w:ascii="Calibri" w:hAnsi="Calibri"/>
        <w:b w:val="0"/>
        <w:sz w:val="18"/>
        <w:szCs w:val="18"/>
      </w:rPr>
      <w:fldChar w:fldCharType="separate"/>
    </w:r>
    <w:r w:rsidR="00E855EF">
      <w:rPr>
        <w:rStyle w:val="PageNumber"/>
        <w:rFonts w:ascii="Calibri" w:hAnsi="Calibri"/>
        <w:b w:val="0"/>
        <w:noProof/>
        <w:sz w:val="18"/>
        <w:szCs w:val="18"/>
      </w:rPr>
      <w:t>3</w:t>
    </w:r>
    <w:r w:rsidRPr="00291424">
      <w:rPr>
        <w:rStyle w:val="PageNumber"/>
        <w:rFonts w:ascii="Calibri" w:hAnsi="Calibri"/>
        <w:b w:val="0"/>
        <w:sz w:val="18"/>
        <w:szCs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F7F" w:rsidRPr="00CB44C4" w:rsidRDefault="00494F7F" w:rsidP="00CB44C4">
    <w:pPr>
      <w:pStyle w:val="Footereven"/>
    </w:pPr>
    <w:r w:rsidRPr="00CB44C4">
      <w:rPr>
        <w:rStyle w:val="PageNumber"/>
        <w:rFonts w:ascii="Calibri" w:hAnsi="Calibri"/>
        <w:b w:val="0"/>
        <w:bCs w:val="0"/>
        <w:sz w:val="18"/>
        <w:szCs w:val="16"/>
      </w:rPr>
      <w:fldChar w:fldCharType="begin"/>
    </w:r>
    <w:r w:rsidRPr="00CB44C4">
      <w:rPr>
        <w:rStyle w:val="PageNumber"/>
        <w:rFonts w:ascii="Calibri" w:hAnsi="Calibri"/>
        <w:b w:val="0"/>
        <w:bCs w:val="0"/>
        <w:sz w:val="18"/>
        <w:szCs w:val="16"/>
      </w:rPr>
      <w:instrText xml:space="preserve"> PAGE </w:instrText>
    </w:r>
    <w:r w:rsidRPr="00CB44C4">
      <w:rPr>
        <w:rStyle w:val="PageNumber"/>
        <w:rFonts w:ascii="Calibri" w:hAnsi="Calibri"/>
        <w:b w:val="0"/>
        <w:bCs w:val="0"/>
        <w:sz w:val="18"/>
        <w:szCs w:val="16"/>
      </w:rPr>
      <w:fldChar w:fldCharType="separate"/>
    </w:r>
    <w:r w:rsidR="00E855EF">
      <w:rPr>
        <w:rStyle w:val="PageNumber"/>
        <w:rFonts w:ascii="Calibri" w:hAnsi="Calibri"/>
        <w:b w:val="0"/>
        <w:bCs w:val="0"/>
        <w:noProof/>
        <w:sz w:val="18"/>
        <w:szCs w:val="16"/>
      </w:rPr>
      <w:t>24</w:t>
    </w:r>
    <w:r w:rsidRPr="00CB44C4">
      <w:rPr>
        <w:rStyle w:val="PageNumber"/>
        <w:rFonts w:ascii="Calibri" w:hAnsi="Calibri"/>
        <w:b w:val="0"/>
        <w:bCs w:val="0"/>
        <w:sz w:val="18"/>
        <w:szCs w:val="16"/>
      </w:rPr>
      <w:fldChar w:fldCharType="end"/>
    </w:r>
    <w:r w:rsidRPr="00CB44C4">
      <w:tab/>
    </w:r>
    <w:r>
      <w:rPr>
        <w:szCs w:val="18"/>
      </w:rPr>
      <w:t>Review of the Effectiveness of the Environmental Protection Authority: Overview Report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F7F" w:rsidRPr="00CB44C4" w:rsidRDefault="00494F7F" w:rsidP="00CB44C4">
    <w:pPr>
      <w:pStyle w:val="Footerodd"/>
    </w:pPr>
    <w:r w:rsidRPr="00CB44C4">
      <w:tab/>
    </w:r>
    <w:r>
      <w:rPr>
        <w:szCs w:val="18"/>
      </w:rPr>
      <w:t>Review of the Effectiveness of the Environmental Protection Authority: Overview Report</w:t>
    </w:r>
    <w:r w:rsidRPr="00CB44C4">
      <w:tab/>
    </w:r>
    <w:r w:rsidRPr="00CB44C4">
      <w:rPr>
        <w:rStyle w:val="PageNumber"/>
        <w:rFonts w:ascii="Calibri" w:hAnsi="Calibri"/>
        <w:b w:val="0"/>
        <w:bCs w:val="0"/>
        <w:sz w:val="18"/>
        <w:szCs w:val="16"/>
      </w:rPr>
      <w:fldChar w:fldCharType="begin"/>
    </w:r>
    <w:r w:rsidRPr="00CB44C4">
      <w:rPr>
        <w:rStyle w:val="PageNumber"/>
        <w:rFonts w:ascii="Calibri" w:hAnsi="Calibri"/>
        <w:b w:val="0"/>
        <w:bCs w:val="0"/>
        <w:sz w:val="18"/>
        <w:szCs w:val="16"/>
      </w:rPr>
      <w:instrText xml:space="preserve"> PAGE </w:instrText>
    </w:r>
    <w:r w:rsidRPr="00CB44C4">
      <w:rPr>
        <w:rStyle w:val="PageNumber"/>
        <w:rFonts w:ascii="Calibri" w:hAnsi="Calibri"/>
        <w:b w:val="0"/>
        <w:bCs w:val="0"/>
        <w:sz w:val="18"/>
        <w:szCs w:val="16"/>
      </w:rPr>
      <w:fldChar w:fldCharType="separate"/>
    </w:r>
    <w:r w:rsidR="00E855EF">
      <w:rPr>
        <w:rStyle w:val="PageNumber"/>
        <w:rFonts w:ascii="Calibri" w:hAnsi="Calibri"/>
        <w:b w:val="0"/>
        <w:bCs w:val="0"/>
        <w:noProof/>
        <w:sz w:val="18"/>
        <w:szCs w:val="16"/>
      </w:rPr>
      <w:t>25</w:t>
    </w:r>
    <w:r w:rsidRPr="00CB44C4">
      <w:rPr>
        <w:rStyle w:val="PageNumber"/>
        <w:rFonts w:ascii="Calibri" w:hAnsi="Calibri"/>
        <w:b w:val="0"/>
        <w:bCs w:val="0"/>
        <w:sz w:val="18"/>
        <w:szCs w:val="16"/>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F7F" w:rsidRPr="00CB44C4" w:rsidRDefault="00494F7F" w:rsidP="00CB44C4">
    <w:pPr>
      <w:pStyle w:val="Footereven"/>
    </w:pPr>
    <w:r w:rsidRPr="00CB44C4">
      <w:rPr>
        <w:rStyle w:val="PageNumber"/>
        <w:rFonts w:ascii="Calibri" w:hAnsi="Calibri"/>
        <w:b w:val="0"/>
        <w:bCs w:val="0"/>
        <w:sz w:val="18"/>
        <w:szCs w:val="16"/>
      </w:rPr>
      <w:fldChar w:fldCharType="begin"/>
    </w:r>
    <w:r w:rsidRPr="00CB44C4">
      <w:rPr>
        <w:rStyle w:val="PageNumber"/>
        <w:rFonts w:ascii="Calibri" w:hAnsi="Calibri"/>
        <w:b w:val="0"/>
        <w:bCs w:val="0"/>
        <w:sz w:val="18"/>
        <w:szCs w:val="16"/>
      </w:rPr>
      <w:instrText xml:space="preserve"> PAGE </w:instrText>
    </w:r>
    <w:r w:rsidRPr="00CB44C4">
      <w:rPr>
        <w:rStyle w:val="PageNumber"/>
        <w:rFonts w:ascii="Calibri" w:hAnsi="Calibri"/>
        <w:b w:val="0"/>
        <w:bCs w:val="0"/>
        <w:sz w:val="18"/>
        <w:szCs w:val="16"/>
      </w:rPr>
      <w:fldChar w:fldCharType="separate"/>
    </w:r>
    <w:r w:rsidR="00E855EF">
      <w:rPr>
        <w:rStyle w:val="PageNumber"/>
        <w:rFonts w:ascii="Calibri" w:hAnsi="Calibri"/>
        <w:b w:val="0"/>
        <w:bCs w:val="0"/>
        <w:noProof/>
        <w:sz w:val="18"/>
        <w:szCs w:val="16"/>
      </w:rPr>
      <w:t>32</w:t>
    </w:r>
    <w:r w:rsidRPr="00CB44C4">
      <w:rPr>
        <w:rStyle w:val="PageNumber"/>
        <w:rFonts w:ascii="Calibri" w:hAnsi="Calibri"/>
        <w:b w:val="0"/>
        <w:bCs w:val="0"/>
        <w:sz w:val="18"/>
        <w:szCs w:val="16"/>
      </w:rPr>
      <w:fldChar w:fldCharType="end"/>
    </w:r>
    <w:r w:rsidRPr="00CB44C4">
      <w:tab/>
    </w:r>
    <w:r>
      <w:rPr>
        <w:szCs w:val="18"/>
      </w:rPr>
      <w:t>2014 Review of the Effectiveness of the Environmental Protection Authority: Overview Report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F7F" w:rsidRDefault="00494F7F" w:rsidP="005A785D">
      <w:pPr>
        <w:spacing w:after="0" w:line="240" w:lineRule="auto"/>
      </w:pPr>
      <w:r>
        <w:separator/>
      </w:r>
    </w:p>
  </w:footnote>
  <w:footnote w:type="continuationSeparator" w:id="0">
    <w:p w:rsidR="00494F7F" w:rsidRDefault="00494F7F" w:rsidP="009B0142">
      <w:pPr>
        <w:spacing w:after="0" w:line="240" w:lineRule="auto"/>
      </w:pPr>
      <w:r>
        <w:continuationSeparator/>
      </w:r>
    </w:p>
  </w:footnote>
  <w:footnote w:id="1">
    <w:p w:rsidR="00494F7F" w:rsidRPr="00C66501" w:rsidRDefault="00494F7F" w:rsidP="003C7CA8">
      <w:pPr>
        <w:pStyle w:val="FootnoteText"/>
        <w:rPr>
          <w:lang w:val="en-NZ"/>
        </w:rPr>
      </w:pPr>
      <w:r>
        <w:rPr>
          <w:rStyle w:val="FootnoteReference"/>
        </w:rPr>
        <w:footnoteRef/>
      </w:r>
      <w:r>
        <w:t xml:space="preserve"> </w:t>
      </w:r>
      <w:r>
        <w:tab/>
      </w:r>
      <w:hyperlink r:id="rId1" w:history="1">
        <w:r w:rsidRPr="00B75E30">
          <w:rPr>
            <w:rStyle w:val="Hyperlink"/>
          </w:rPr>
          <w:t>http://www.ssc.govt.nz/pif-six-dimensions</w:t>
        </w:r>
      </w:hyperlink>
    </w:p>
  </w:footnote>
  <w:footnote w:id="2">
    <w:p w:rsidR="00494F7F" w:rsidRPr="008A0756" w:rsidRDefault="00494F7F" w:rsidP="003C7CA8">
      <w:pPr>
        <w:pStyle w:val="FootnoteText"/>
        <w:rPr>
          <w:lang w:val="en-NZ"/>
        </w:rPr>
      </w:pPr>
      <w:r>
        <w:rPr>
          <w:rStyle w:val="FootnoteReference"/>
        </w:rPr>
        <w:footnoteRef/>
      </w:r>
      <w:r>
        <w:t xml:space="preserve"> </w:t>
      </w:r>
      <w:r>
        <w:tab/>
      </w:r>
      <w:r>
        <w:t xml:space="preserve">Appendix </w:t>
      </w:r>
      <w:r>
        <w:rPr>
          <w:lang w:val="en-NZ"/>
        </w:rPr>
        <w:t>B</w:t>
      </w:r>
      <w:r>
        <w:t xml:space="preserve"> provides further information on how the recommendations of the component reports fit with the high-level recommendations in </w:t>
      </w:r>
      <w:r>
        <w:fldChar w:fldCharType="begin"/>
      </w:r>
      <w:r>
        <w:instrText xml:space="preserve"> REF _Ref404170292 \h </w:instrText>
      </w:r>
      <w:r>
        <w:fldChar w:fldCharType="separate"/>
      </w:r>
      <w:r w:rsidRPr="005E0229">
        <w:t xml:space="preserve">Table </w:t>
      </w:r>
      <w:r>
        <w:rPr>
          <w:noProof/>
        </w:rPr>
        <w:t>2</w:t>
      </w:r>
      <w:r>
        <w:fldChar w:fldCharType="end"/>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F7F" w:rsidRDefault="00494F7F">
    <w:pPr>
      <w:pStyle w:val="Header"/>
    </w:pPr>
    <w:r>
      <w:rPr>
        <w:noProof/>
      </w:rPr>
      <w:drawing>
        <wp:inline distT="0" distB="0" distL="0" distR="0" wp14:anchorId="16BF0A5C" wp14:editId="39FD1F20">
          <wp:extent cx="2214206" cy="629076"/>
          <wp:effectExtent l="0" t="0" r="0" b="0"/>
          <wp:docPr id="2" name="Picture 2" descr="BW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_Logo"/>
                  <pic:cNvPicPr>
                    <a:picLocks noChangeAspect="1" noChangeArrowheads="1"/>
                  </pic:cNvPicPr>
                </pic:nvPicPr>
                <pic:blipFill>
                  <a:blip r:embed="rId1">
                    <a:extLst>
                      <a:ext uri="{28A0092B-C50C-407E-A947-70E740481C1C}">
                        <a14:useLocalDpi xmlns:a14="http://schemas.microsoft.com/office/drawing/2010/main" val="0"/>
                      </a:ext>
                    </a:extLst>
                  </a:blip>
                  <a:srcRect l="2927" t="8191" r="2281" b="7092"/>
                  <a:stretch>
                    <a:fillRect/>
                  </a:stretch>
                </pic:blipFill>
                <pic:spPr bwMode="auto">
                  <a:xfrm>
                    <a:off x="0" y="0"/>
                    <a:ext cx="2214206" cy="629076"/>
                  </a:xfrm>
                  <a:prstGeom prst="rect">
                    <a:avLst/>
                  </a:prstGeom>
                  <a:noFill/>
                  <a:ln>
                    <a:noFill/>
                  </a:ln>
                </pic:spPr>
              </pic:pic>
            </a:graphicData>
          </a:graphic>
        </wp:inline>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F7F" w:rsidRDefault="00494F7F">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F7F" w:rsidRDefault="00494F7F"/>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F7F" w:rsidRDefault="00494F7F" w:rsidP="0040640A"/>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F7F" w:rsidRDefault="00494F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F7F" w:rsidRDefault="00494F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F7F" w:rsidRDefault="00494F7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F7F" w:rsidRDefault="00494F7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F7F" w:rsidRDefault="00494F7F">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F7F" w:rsidRDefault="00494F7F" w:rsidP="0040640A"/>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F7F" w:rsidRDefault="00494F7F">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F7F" w:rsidRDefault="00494F7F"/>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F7F" w:rsidRDefault="00494F7F" w:rsidP="0040640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DF0700A"/>
    <w:lvl w:ilvl="0">
      <w:start w:val="1"/>
      <w:numFmt w:val="decimal"/>
      <w:lvlText w:val="%1."/>
      <w:lvlJc w:val="left"/>
      <w:pPr>
        <w:tabs>
          <w:tab w:val="num" w:pos="680"/>
        </w:tabs>
        <w:ind w:left="680" w:hanging="680"/>
      </w:pPr>
      <w:rPr>
        <w:rFonts w:hint="default"/>
        <w:b w:val="0"/>
      </w:rPr>
    </w:lvl>
  </w:abstractNum>
  <w:abstractNum w:abstractNumId="1">
    <w:nsid w:val="04184E26"/>
    <w:multiLevelType w:val="hybridMultilevel"/>
    <w:tmpl w:val="6FC41CB6"/>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nsid w:val="04252DD9"/>
    <w:multiLevelType w:val="hybridMultilevel"/>
    <w:tmpl w:val="1B04B1F8"/>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3">
    <w:nsid w:val="04B67626"/>
    <w:multiLevelType w:val="hybridMultilevel"/>
    <w:tmpl w:val="8D184994"/>
    <w:lvl w:ilvl="0" w:tplc="DB9C7798">
      <w:start w:val="1"/>
      <w:numFmt w:val="decimal"/>
      <w:pStyle w:val="Numberedparagraph"/>
      <w:lvlText w:val="%1."/>
      <w:lvlJc w:val="left"/>
      <w:pPr>
        <w:tabs>
          <w:tab w:val="num" w:pos="397"/>
        </w:tabs>
        <w:ind w:left="397"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4">
    <w:nsid w:val="06B50629"/>
    <w:multiLevelType w:val="hybridMultilevel"/>
    <w:tmpl w:val="D50E27AE"/>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5EA66C72">
      <w:start w:val="1"/>
      <w:numFmt w:val="bullet"/>
      <w:lvlText w:val="―"/>
      <w:lvlJc w:val="left"/>
      <w:pPr>
        <w:ind w:left="2520" w:hanging="360"/>
      </w:pPr>
      <w:rPr>
        <w:rFonts w:ascii="Arial" w:hAnsi="Arial" w:hint="default"/>
      </w:rPr>
    </w:lvl>
    <w:lvl w:ilvl="3" w:tplc="1409000B">
      <w:start w:val="1"/>
      <w:numFmt w:val="bullet"/>
      <w:lvlText w:val=""/>
      <w:lvlJc w:val="left"/>
      <w:pPr>
        <w:ind w:left="3240" w:hanging="360"/>
      </w:pPr>
      <w:rPr>
        <w:rFonts w:ascii="Wingdings" w:hAnsi="Wingdings"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5">
    <w:nsid w:val="0752109F"/>
    <w:multiLevelType w:val="hybridMultilevel"/>
    <w:tmpl w:val="B164E0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08B110A3"/>
    <w:multiLevelType w:val="hybridMultilevel"/>
    <w:tmpl w:val="C68EAF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0B0F5F0E"/>
    <w:multiLevelType w:val="hybridMultilevel"/>
    <w:tmpl w:val="8FFC4770"/>
    <w:lvl w:ilvl="0" w:tplc="E264C0DC">
      <w:start w:val="1"/>
      <w:numFmt w:val="bullet"/>
      <w:pStyle w:val="Greenbullet-tables"/>
      <w:lvlText w:val=""/>
      <w:lvlJc w:val="left"/>
      <w:pPr>
        <w:ind w:left="644" w:hanging="360"/>
      </w:pPr>
      <w:rPr>
        <w:rFonts w:ascii="Symbol" w:hAnsi="Symbol" w:hint="default"/>
        <w:color w:val="677719"/>
        <w:sz w:val="20"/>
        <w:szCs w:val="20"/>
      </w:rPr>
    </w:lvl>
    <w:lvl w:ilvl="1" w:tplc="14090003">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8">
    <w:nsid w:val="0C2D46EF"/>
    <w:multiLevelType w:val="hybridMultilevel"/>
    <w:tmpl w:val="04D0D936"/>
    <w:lvl w:ilvl="0" w:tplc="14090001">
      <w:start w:val="1"/>
      <w:numFmt w:val="bullet"/>
      <w:lvlText w:val=""/>
      <w:lvlJc w:val="left"/>
      <w:pPr>
        <w:ind w:left="720" w:hanging="360"/>
      </w:pPr>
      <w:rPr>
        <w:rFonts w:ascii="Symbol" w:hAnsi="Symbol" w:hint="default"/>
      </w:rPr>
    </w:lvl>
    <w:lvl w:ilvl="1" w:tplc="0A2CAADE">
      <w:start w:val="1"/>
      <w:numFmt w:val="bullet"/>
      <w:lvlText w:val="­"/>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nsid w:val="0CE849CA"/>
    <w:multiLevelType w:val="hybridMultilevel"/>
    <w:tmpl w:val="25B28678"/>
    <w:lvl w:ilvl="0" w:tplc="14090001">
      <w:start w:val="1"/>
      <w:numFmt w:val="bullet"/>
      <w:lvlText w:val=""/>
      <w:lvlJc w:val="left"/>
      <w:pPr>
        <w:ind w:left="360" w:hanging="360"/>
      </w:pPr>
      <w:rPr>
        <w:rFonts w:ascii="Symbol" w:hAnsi="Symbol" w:hint="default"/>
      </w:rPr>
    </w:lvl>
    <w:lvl w:ilvl="1" w:tplc="14090001">
      <w:start w:val="1"/>
      <w:numFmt w:val="bullet"/>
      <w:lvlText w:val=""/>
      <w:lvlJc w:val="left"/>
      <w:pPr>
        <w:ind w:left="1080" w:hanging="360"/>
      </w:pPr>
      <w:rPr>
        <w:rFonts w:ascii="Symbol" w:hAnsi="Symbol"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nsid w:val="0EB0199C"/>
    <w:multiLevelType w:val="hybridMultilevel"/>
    <w:tmpl w:val="3C7E1392"/>
    <w:lvl w:ilvl="0" w:tplc="F822B5CE">
      <w:start w:val="1"/>
      <w:numFmt w:val="lowerLetter"/>
      <w:pStyle w:val="Bodytexta"/>
      <w:lvlText w:val="%1)"/>
      <w:lvlJc w:val="left"/>
      <w:pPr>
        <w:ind w:left="1440" w:hanging="360"/>
      </w:pPr>
      <w:rPr>
        <w:rFonts w:ascii="Calibri" w:hAnsi="Calibri" w:hint="default"/>
        <w:b w:val="0"/>
        <w:i w:val="0"/>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nsid w:val="11494EA3"/>
    <w:multiLevelType w:val="hybridMultilevel"/>
    <w:tmpl w:val="F848A7C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2">
    <w:nsid w:val="11657DF9"/>
    <w:multiLevelType w:val="hybridMultilevel"/>
    <w:tmpl w:val="28C0AD3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nsid w:val="1BA42272"/>
    <w:multiLevelType w:val="hybridMultilevel"/>
    <w:tmpl w:val="54047EB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nsid w:val="1CA764C8"/>
    <w:multiLevelType w:val="hybridMultilevel"/>
    <w:tmpl w:val="2396766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nsid w:val="1E7824AD"/>
    <w:multiLevelType w:val="hybridMultilevel"/>
    <w:tmpl w:val="70FE5E90"/>
    <w:lvl w:ilvl="0" w:tplc="38BE6490">
      <w:start w:val="1"/>
      <w:numFmt w:val="bullet"/>
      <w:pStyle w:val="TableDash"/>
      <w:lvlText w:val=""/>
      <w:lvlJc w:val="left"/>
      <w:pPr>
        <w:tabs>
          <w:tab w:val="num" w:pos="338"/>
        </w:tabs>
        <w:ind w:left="338" w:hanging="338"/>
      </w:pPr>
      <w:rPr>
        <w:rFonts w:ascii="Symbol" w:hAnsi="Symbol" w:hint="default"/>
        <w:sz w:val="16"/>
      </w:rPr>
    </w:lvl>
    <w:lvl w:ilvl="1" w:tplc="08090003">
      <w:start w:val="1"/>
      <w:numFmt w:val="bullet"/>
      <w:pStyle w:val="TableDash"/>
      <w:lvlText w:val=""/>
      <w:lvlJc w:val="left"/>
      <w:pPr>
        <w:tabs>
          <w:tab w:val="num" w:pos="567"/>
        </w:tabs>
        <w:ind w:left="567" w:hanging="227"/>
      </w:pPr>
      <w:rPr>
        <w:rFonts w:ascii="Symbol" w:hAnsi="Symbol" w:hint="default"/>
        <w:sz w:val="22"/>
      </w:rPr>
    </w:lvl>
    <w:lvl w:ilvl="2" w:tplc="08090005">
      <w:start w:val="13"/>
      <w:numFmt w:val="bullet"/>
      <w:lvlText w:val="–"/>
      <w:lvlJc w:val="left"/>
      <w:pPr>
        <w:tabs>
          <w:tab w:val="num" w:pos="2160"/>
        </w:tabs>
        <w:ind w:left="2160" w:hanging="360"/>
      </w:pPr>
      <w:rPr>
        <w:rFonts w:ascii="Arial" w:eastAsia="Times New Roman" w:hAnsi="Aria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22D0443A"/>
    <w:multiLevelType w:val="multilevel"/>
    <w:tmpl w:val="3948063A"/>
    <w:lvl w:ilvl="0">
      <w:start w:val="1"/>
      <w:numFmt w:val="lowerRoman"/>
      <w:lvlText w:val="%1."/>
      <w:lvlJc w:val="left"/>
      <w:pPr>
        <w:ind w:left="360" w:hanging="360"/>
      </w:pPr>
    </w:lvl>
    <w:lvl w:ilvl="1">
      <w:start w:val="1"/>
      <w:numFmt w:val="lowerRoman"/>
      <w:lvlText w:val="%2."/>
      <w:lvlJc w:val="righ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56B3138"/>
    <w:multiLevelType w:val="hybridMultilevel"/>
    <w:tmpl w:val="FAB4952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nsid w:val="2A52524F"/>
    <w:multiLevelType w:val="hybridMultilevel"/>
    <w:tmpl w:val="F4EA3F42"/>
    <w:lvl w:ilvl="0" w:tplc="14090001">
      <w:start w:val="1"/>
      <w:numFmt w:val="bullet"/>
      <w:lvlText w:val=""/>
      <w:lvlJc w:val="left"/>
      <w:pPr>
        <w:ind w:left="720" w:hanging="360"/>
      </w:pPr>
      <w:rPr>
        <w:rFonts w:ascii="Symbol" w:hAnsi="Symbol" w:hint="default"/>
      </w:rPr>
    </w:lvl>
    <w:lvl w:ilvl="1" w:tplc="0A2CAADE">
      <w:start w:val="1"/>
      <w:numFmt w:val="bullet"/>
      <w:lvlText w:val="­"/>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nsid w:val="2E2C0C9D"/>
    <w:multiLevelType w:val="hybridMultilevel"/>
    <w:tmpl w:val="07746F78"/>
    <w:lvl w:ilvl="0" w:tplc="14090003">
      <w:start w:val="1"/>
      <w:numFmt w:val="bullet"/>
      <w:lvlText w:val="o"/>
      <w:lvlJc w:val="left"/>
      <w:pPr>
        <w:ind w:left="757" w:hanging="360"/>
      </w:pPr>
      <w:rPr>
        <w:rFonts w:ascii="Courier New" w:hAnsi="Courier New" w:cs="Courier New" w:hint="default"/>
      </w:rPr>
    </w:lvl>
    <w:lvl w:ilvl="1" w:tplc="14090003">
      <w:start w:val="1"/>
      <w:numFmt w:val="bullet"/>
      <w:lvlText w:val="o"/>
      <w:lvlJc w:val="left"/>
      <w:pPr>
        <w:ind w:left="1477" w:hanging="360"/>
      </w:pPr>
      <w:rPr>
        <w:rFonts w:ascii="Courier New" w:hAnsi="Courier New" w:cs="Courier New" w:hint="default"/>
      </w:rPr>
    </w:lvl>
    <w:lvl w:ilvl="2" w:tplc="14090005" w:tentative="1">
      <w:start w:val="1"/>
      <w:numFmt w:val="bullet"/>
      <w:lvlText w:val=""/>
      <w:lvlJc w:val="left"/>
      <w:pPr>
        <w:ind w:left="2197" w:hanging="360"/>
      </w:pPr>
      <w:rPr>
        <w:rFonts w:ascii="Wingdings" w:hAnsi="Wingdings" w:hint="default"/>
      </w:rPr>
    </w:lvl>
    <w:lvl w:ilvl="3" w:tplc="14090001" w:tentative="1">
      <w:start w:val="1"/>
      <w:numFmt w:val="bullet"/>
      <w:lvlText w:val=""/>
      <w:lvlJc w:val="left"/>
      <w:pPr>
        <w:ind w:left="2917" w:hanging="360"/>
      </w:pPr>
      <w:rPr>
        <w:rFonts w:ascii="Symbol" w:hAnsi="Symbol" w:hint="default"/>
      </w:rPr>
    </w:lvl>
    <w:lvl w:ilvl="4" w:tplc="14090003" w:tentative="1">
      <w:start w:val="1"/>
      <w:numFmt w:val="bullet"/>
      <w:lvlText w:val="o"/>
      <w:lvlJc w:val="left"/>
      <w:pPr>
        <w:ind w:left="3637" w:hanging="360"/>
      </w:pPr>
      <w:rPr>
        <w:rFonts w:ascii="Courier New" w:hAnsi="Courier New" w:cs="Courier New" w:hint="default"/>
      </w:rPr>
    </w:lvl>
    <w:lvl w:ilvl="5" w:tplc="14090005" w:tentative="1">
      <w:start w:val="1"/>
      <w:numFmt w:val="bullet"/>
      <w:lvlText w:val=""/>
      <w:lvlJc w:val="left"/>
      <w:pPr>
        <w:ind w:left="4357" w:hanging="360"/>
      </w:pPr>
      <w:rPr>
        <w:rFonts w:ascii="Wingdings" w:hAnsi="Wingdings" w:hint="default"/>
      </w:rPr>
    </w:lvl>
    <w:lvl w:ilvl="6" w:tplc="14090001" w:tentative="1">
      <w:start w:val="1"/>
      <w:numFmt w:val="bullet"/>
      <w:lvlText w:val=""/>
      <w:lvlJc w:val="left"/>
      <w:pPr>
        <w:ind w:left="5077" w:hanging="360"/>
      </w:pPr>
      <w:rPr>
        <w:rFonts w:ascii="Symbol" w:hAnsi="Symbol" w:hint="default"/>
      </w:rPr>
    </w:lvl>
    <w:lvl w:ilvl="7" w:tplc="14090003" w:tentative="1">
      <w:start w:val="1"/>
      <w:numFmt w:val="bullet"/>
      <w:lvlText w:val="o"/>
      <w:lvlJc w:val="left"/>
      <w:pPr>
        <w:ind w:left="5797" w:hanging="360"/>
      </w:pPr>
      <w:rPr>
        <w:rFonts w:ascii="Courier New" w:hAnsi="Courier New" w:cs="Courier New" w:hint="default"/>
      </w:rPr>
    </w:lvl>
    <w:lvl w:ilvl="8" w:tplc="14090005" w:tentative="1">
      <w:start w:val="1"/>
      <w:numFmt w:val="bullet"/>
      <w:lvlText w:val=""/>
      <w:lvlJc w:val="left"/>
      <w:pPr>
        <w:ind w:left="6517" w:hanging="360"/>
      </w:pPr>
      <w:rPr>
        <w:rFonts w:ascii="Wingdings" w:hAnsi="Wingdings" w:hint="default"/>
      </w:rPr>
    </w:lvl>
  </w:abstractNum>
  <w:abstractNum w:abstractNumId="20">
    <w:nsid w:val="2ED301DF"/>
    <w:multiLevelType w:val="hybridMultilevel"/>
    <w:tmpl w:val="F0C458E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nsid w:val="30561042"/>
    <w:multiLevelType w:val="hybridMultilevel"/>
    <w:tmpl w:val="F19EFC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nsid w:val="31B17D42"/>
    <w:multiLevelType w:val="hybridMultilevel"/>
    <w:tmpl w:val="4D6C8630"/>
    <w:lvl w:ilvl="0" w:tplc="5EA66C72">
      <w:start w:val="1"/>
      <w:numFmt w:val="bullet"/>
      <w:lvlText w:val="―"/>
      <w:lvlJc w:val="left"/>
      <w:pPr>
        <w:ind w:left="1080" w:hanging="360"/>
      </w:pPr>
      <w:rPr>
        <w:rFonts w:ascii="Arial" w:hAnsi="Arial" w:hint="default"/>
      </w:rPr>
    </w:lvl>
    <w:lvl w:ilvl="1" w:tplc="5EA66C72">
      <w:start w:val="1"/>
      <w:numFmt w:val="bullet"/>
      <w:lvlText w:val="―"/>
      <w:lvlJc w:val="left"/>
      <w:pPr>
        <w:ind w:left="1800" w:hanging="360"/>
      </w:pPr>
      <w:rPr>
        <w:rFonts w:ascii="Arial" w:hAnsi="Arial" w:hint="default"/>
      </w:r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3">
    <w:nsid w:val="341E2EA4"/>
    <w:multiLevelType w:val="hybridMultilevel"/>
    <w:tmpl w:val="AB28B9C8"/>
    <w:lvl w:ilvl="0" w:tplc="A3EABA02">
      <w:start w:val="1"/>
      <w:numFmt w:val="decimal"/>
      <w:pStyle w:val="Bodytextnumbered"/>
      <w:lvlText w:val="%1"/>
      <w:lvlJc w:val="left"/>
      <w:pPr>
        <w:ind w:left="720" w:hanging="360"/>
      </w:pPr>
      <w:rPr>
        <w:rFonts w:ascii="Calibri" w:hAnsi="Calibri" w:hint="default"/>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nsid w:val="3A405A44"/>
    <w:multiLevelType w:val="hybridMultilevel"/>
    <w:tmpl w:val="385C85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nsid w:val="3A557CB3"/>
    <w:multiLevelType w:val="hybridMultilevel"/>
    <w:tmpl w:val="7878EE6E"/>
    <w:lvl w:ilvl="0" w:tplc="14090001">
      <w:start w:val="1"/>
      <w:numFmt w:val="bullet"/>
      <w:lvlText w:val=""/>
      <w:lvlJc w:val="left"/>
      <w:pPr>
        <w:ind w:left="1080" w:hanging="360"/>
      </w:pPr>
      <w:rPr>
        <w:rFonts w:ascii="Symbol" w:hAnsi="Symbol" w:hint="default"/>
      </w:rPr>
    </w:lvl>
    <w:lvl w:ilvl="1" w:tplc="0A2CAADE">
      <w:start w:val="1"/>
      <w:numFmt w:val="bullet"/>
      <w:lvlText w:val="­"/>
      <w:lvlJc w:val="left"/>
      <w:pPr>
        <w:ind w:left="1800" w:hanging="360"/>
      </w:pPr>
      <w:rPr>
        <w:rFonts w:ascii="Courier New" w:hAnsi="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6">
    <w:nsid w:val="40117B3B"/>
    <w:multiLevelType w:val="hybridMultilevel"/>
    <w:tmpl w:val="C166F7F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7">
    <w:nsid w:val="401D52D7"/>
    <w:multiLevelType w:val="hybridMultilevel"/>
    <w:tmpl w:val="F2C4127C"/>
    <w:lvl w:ilvl="0" w:tplc="0A2CAADE">
      <w:start w:val="1"/>
      <w:numFmt w:val="bullet"/>
      <w:lvlText w:val="­"/>
      <w:lvlJc w:val="left"/>
      <w:pPr>
        <w:ind w:left="720" w:hanging="360"/>
      </w:pPr>
      <w:rPr>
        <w:rFonts w:ascii="Courier New" w:hAnsi="Courier New"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nsid w:val="427701FB"/>
    <w:multiLevelType w:val="hybridMultilevel"/>
    <w:tmpl w:val="87A07910"/>
    <w:lvl w:ilvl="0" w:tplc="C04A679E">
      <w:start w:val="1"/>
      <w:numFmt w:val="bullet"/>
      <w:pStyle w:val="Sub-list"/>
      <w:lvlText w:val=""/>
      <w:lvlJc w:val="left"/>
      <w:pPr>
        <w:tabs>
          <w:tab w:val="num" w:pos="397"/>
        </w:tabs>
        <w:ind w:left="397" w:firstLine="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9">
    <w:nsid w:val="43AD0810"/>
    <w:multiLevelType w:val="hybridMultilevel"/>
    <w:tmpl w:val="F5067F7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0">
    <w:nsid w:val="44065139"/>
    <w:multiLevelType w:val="hybridMultilevel"/>
    <w:tmpl w:val="98520846"/>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nsid w:val="463D6104"/>
    <w:multiLevelType w:val="hybridMultilevel"/>
    <w:tmpl w:val="4ABA2070"/>
    <w:lvl w:ilvl="0" w:tplc="5308CA02">
      <w:start w:val="1"/>
      <w:numFmt w:val="lowerRoman"/>
      <w:pStyle w:val="Sub-listi"/>
      <w:lvlText w:val="%1."/>
      <w:lvlJc w:val="left"/>
      <w:pPr>
        <w:tabs>
          <w:tab w:val="num" w:pos="1191"/>
        </w:tabs>
        <w:ind w:left="1191"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32">
    <w:nsid w:val="473216EE"/>
    <w:multiLevelType w:val="hybridMultilevel"/>
    <w:tmpl w:val="9FF89C5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3">
    <w:nsid w:val="49702451"/>
    <w:multiLevelType w:val="hybridMultilevel"/>
    <w:tmpl w:val="E9F4F636"/>
    <w:lvl w:ilvl="0" w:tplc="0A2CAADE">
      <w:start w:val="1"/>
      <w:numFmt w:val="bullet"/>
      <w:lvlText w:val="­"/>
      <w:lvlJc w:val="left"/>
      <w:pPr>
        <w:ind w:left="1080" w:hanging="360"/>
      </w:pPr>
      <w:rPr>
        <w:rFonts w:ascii="Courier New" w:hAnsi="Courier New" w:hint="default"/>
      </w:rPr>
    </w:lvl>
    <w:lvl w:ilvl="1" w:tplc="0A2CAADE">
      <w:start w:val="1"/>
      <w:numFmt w:val="bullet"/>
      <w:lvlText w:val="­"/>
      <w:lvlJc w:val="left"/>
      <w:pPr>
        <w:ind w:left="1800" w:hanging="360"/>
      </w:pPr>
      <w:rPr>
        <w:rFonts w:ascii="Courier New" w:hAnsi="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4">
    <w:nsid w:val="4A821F03"/>
    <w:multiLevelType w:val="hybridMultilevel"/>
    <w:tmpl w:val="31FAD54C"/>
    <w:lvl w:ilvl="0" w:tplc="F5788938">
      <w:start w:val="1"/>
      <w:numFmt w:val="decimal"/>
      <w:lvlText w:val="%1."/>
      <w:lvlJc w:val="left"/>
      <w:pPr>
        <w:tabs>
          <w:tab w:val="num" w:pos="360"/>
        </w:tabs>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5">
    <w:nsid w:val="4C093034"/>
    <w:multiLevelType w:val="hybridMultilevel"/>
    <w:tmpl w:val="D8EA176A"/>
    <w:lvl w:ilvl="0" w:tplc="84147204">
      <w:start w:val="1"/>
      <w:numFmt w:val="bullet"/>
      <w:pStyle w:val="Questionbullet"/>
      <w:lvlText w:val=""/>
      <w:lvlJc w:val="left"/>
      <w:pPr>
        <w:ind w:left="1004" w:hanging="360"/>
      </w:pPr>
      <w:rPr>
        <w:rFonts w:ascii="Symbol" w:hAnsi="Symbol" w:hint="default"/>
        <w:color w:val="C66005"/>
        <w:sz w:val="20"/>
        <w:szCs w:val="2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36">
    <w:nsid w:val="4F7174C2"/>
    <w:multiLevelType w:val="hybridMultilevel"/>
    <w:tmpl w:val="195418E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nsid w:val="4FF76B29"/>
    <w:multiLevelType w:val="hybridMultilevel"/>
    <w:tmpl w:val="AF4C67CA"/>
    <w:lvl w:ilvl="0" w:tplc="0A2CAADE">
      <w:start w:val="1"/>
      <w:numFmt w:val="bullet"/>
      <w:lvlText w:val="­"/>
      <w:lvlJc w:val="left"/>
      <w:pPr>
        <w:ind w:left="757" w:hanging="360"/>
      </w:pPr>
      <w:rPr>
        <w:rFonts w:ascii="Courier New" w:hAnsi="Courier New" w:hint="default"/>
      </w:rPr>
    </w:lvl>
    <w:lvl w:ilvl="1" w:tplc="14090003">
      <w:start w:val="1"/>
      <w:numFmt w:val="bullet"/>
      <w:lvlText w:val="o"/>
      <w:lvlJc w:val="left"/>
      <w:pPr>
        <w:ind w:left="1477" w:hanging="360"/>
      </w:pPr>
      <w:rPr>
        <w:rFonts w:ascii="Courier New" w:hAnsi="Courier New" w:cs="Courier New" w:hint="default"/>
      </w:rPr>
    </w:lvl>
    <w:lvl w:ilvl="2" w:tplc="14090005" w:tentative="1">
      <w:start w:val="1"/>
      <w:numFmt w:val="bullet"/>
      <w:lvlText w:val=""/>
      <w:lvlJc w:val="left"/>
      <w:pPr>
        <w:ind w:left="2197" w:hanging="360"/>
      </w:pPr>
      <w:rPr>
        <w:rFonts w:ascii="Wingdings" w:hAnsi="Wingdings" w:hint="default"/>
      </w:rPr>
    </w:lvl>
    <w:lvl w:ilvl="3" w:tplc="14090001" w:tentative="1">
      <w:start w:val="1"/>
      <w:numFmt w:val="bullet"/>
      <w:lvlText w:val=""/>
      <w:lvlJc w:val="left"/>
      <w:pPr>
        <w:ind w:left="2917" w:hanging="360"/>
      </w:pPr>
      <w:rPr>
        <w:rFonts w:ascii="Symbol" w:hAnsi="Symbol" w:hint="default"/>
      </w:rPr>
    </w:lvl>
    <w:lvl w:ilvl="4" w:tplc="14090003" w:tentative="1">
      <w:start w:val="1"/>
      <w:numFmt w:val="bullet"/>
      <w:lvlText w:val="o"/>
      <w:lvlJc w:val="left"/>
      <w:pPr>
        <w:ind w:left="3637" w:hanging="360"/>
      </w:pPr>
      <w:rPr>
        <w:rFonts w:ascii="Courier New" w:hAnsi="Courier New" w:cs="Courier New" w:hint="default"/>
      </w:rPr>
    </w:lvl>
    <w:lvl w:ilvl="5" w:tplc="14090005" w:tentative="1">
      <w:start w:val="1"/>
      <w:numFmt w:val="bullet"/>
      <w:lvlText w:val=""/>
      <w:lvlJc w:val="left"/>
      <w:pPr>
        <w:ind w:left="4357" w:hanging="360"/>
      </w:pPr>
      <w:rPr>
        <w:rFonts w:ascii="Wingdings" w:hAnsi="Wingdings" w:hint="default"/>
      </w:rPr>
    </w:lvl>
    <w:lvl w:ilvl="6" w:tplc="14090001" w:tentative="1">
      <w:start w:val="1"/>
      <w:numFmt w:val="bullet"/>
      <w:lvlText w:val=""/>
      <w:lvlJc w:val="left"/>
      <w:pPr>
        <w:ind w:left="5077" w:hanging="360"/>
      </w:pPr>
      <w:rPr>
        <w:rFonts w:ascii="Symbol" w:hAnsi="Symbol" w:hint="default"/>
      </w:rPr>
    </w:lvl>
    <w:lvl w:ilvl="7" w:tplc="14090003" w:tentative="1">
      <w:start w:val="1"/>
      <w:numFmt w:val="bullet"/>
      <w:lvlText w:val="o"/>
      <w:lvlJc w:val="left"/>
      <w:pPr>
        <w:ind w:left="5797" w:hanging="360"/>
      </w:pPr>
      <w:rPr>
        <w:rFonts w:ascii="Courier New" w:hAnsi="Courier New" w:cs="Courier New" w:hint="default"/>
      </w:rPr>
    </w:lvl>
    <w:lvl w:ilvl="8" w:tplc="14090005" w:tentative="1">
      <w:start w:val="1"/>
      <w:numFmt w:val="bullet"/>
      <w:lvlText w:val=""/>
      <w:lvlJc w:val="left"/>
      <w:pPr>
        <w:ind w:left="6517" w:hanging="360"/>
      </w:pPr>
      <w:rPr>
        <w:rFonts w:ascii="Wingdings" w:hAnsi="Wingdings" w:hint="default"/>
      </w:rPr>
    </w:lvl>
  </w:abstractNum>
  <w:abstractNum w:abstractNumId="38">
    <w:nsid w:val="5002185D"/>
    <w:multiLevelType w:val="hybridMultilevel"/>
    <w:tmpl w:val="E06C341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9">
    <w:nsid w:val="53535234"/>
    <w:multiLevelType w:val="singleLevel"/>
    <w:tmpl w:val="7FC073B8"/>
    <w:lvl w:ilvl="0">
      <w:start w:val="1"/>
      <w:numFmt w:val="bullet"/>
      <w:pStyle w:val="Boxbullet"/>
      <w:lvlText w:val=""/>
      <w:lvlJc w:val="left"/>
      <w:pPr>
        <w:tabs>
          <w:tab w:val="num" w:pos="851"/>
        </w:tabs>
        <w:ind w:left="851" w:hanging="567"/>
      </w:pPr>
      <w:rPr>
        <w:rFonts w:ascii="Symbol" w:hAnsi="Symbol" w:hint="default"/>
        <w:sz w:val="16"/>
      </w:rPr>
    </w:lvl>
  </w:abstractNum>
  <w:abstractNum w:abstractNumId="40">
    <w:nsid w:val="566230EC"/>
    <w:multiLevelType w:val="hybridMultilevel"/>
    <w:tmpl w:val="061CB49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1">
    <w:nsid w:val="56A54305"/>
    <w:multiLevelType w:val="hybridMultilevel"/>
    <w:tmpl w:val="9FDAFC5C"/>
    <w:lvl w:ilvl="0" w:tplc="0A2CAADE">
      <w:start w:val="1"/>
      <w:numFmt w:val="bullet"/>
      <w:lvlText w:val="­"/>
      <w:lvlJc w:val="left"/>
      <w:pPr>
        <w:ind w:left="757" w:hanging="360"/>
      </w:pPr>
      <w:rPr>
        <w:rFonts w:ascii="Courier New" w:hAnsi="Courier New" w:hint="default"/>
      </w:rPr>
    </w:lvl>
    <w:lvl w:ilvl="1" w:tplc="5EA66C72">
      <w:start w:val="1"/>
      <w:numFmt w:val="bullet"/>
      <w:lvlText w:val="―"/>
      <w:lvlJc w:val="left"/>
      <w:pPr>
        <w:ind w:left="1477" w:hanging="360"/>
      </w:pPr>
      <w:rPr>
        <w:rFonts w:ascii="Arial" w:hAnsi="Arial" w:hint="default"/>
      </w:rPr>
    </w:lvl>
    <w:lvl w:ilvl="2" w:tplc="1409001B" w:tentative="1">
      <w:start w:val="1"/>
      <w:numFmt w:val="lowerRoman"/>
      <w:lvlText w:val="%3."/>
      <w:lvlJc w:val="right"/>
      <w:pPr>
        <w:ind w:left="2197" w:hanging="180"/>
      </w:pPr>
    </w:lvl>
    <w:lvl w:ilvl="3" w:tplc="1409000F" w:tentative="1">
      <w:start w:val="1"/>
      <w:numFmt w:val="decimal"/>
      <w:lvlText w:val="%4."/>
      <w:lvlJc w:val="left"/>
      <w:pPr>
        <w:ind w:left="2917" w:hanging="360"/>
      </w:pPr>
    </w:lvl>
    <w:lvl w:ilvl="4" w:tplc="14090019" w:tentative="1">
      <w:start w:val="1"/>
      <w:numFmt w:val="lowerLetter"/>
      <w:lvlText w:val="%5."/>
      <w:lvlJc w:val="left"/>
      <w:pPr>
        <w:ind w:left="3637" w:hanging="360"/>
      </w:pPr>
    </w:lvl>
    <w:lvl w:ilvl="5" w:tplc="1409001B" w:tentative="1">
      <w:start w:val="1"/>
      <w:numFmt w:val="lowerRoman"/>
      <w:lvlText w:val="%6."/>
      <w:lvlJc w:val="right"/>
      <w:pPr>
        <w:ind w:left="4357" w:hanging="180"/>
      </w:pPr>
    </w:lvl>
    <w:lvl w:ilvl="6" w:tplc="1409000F" w:tentative="1">
      <w:start w:val="1"/>
      <w:numFmt w:val="decimal"/>
      <w:lvlText w:val="%7."/>
      <w:lvlJc w:val="left"/>
      <w:pPr>
        <w:ind w:left="5077" w:hanging="360"/>
      </w:pPr>
    </w:lvl>
    <w:lvl w:ilvl="7" w:tplc="14090019" w:tentative="1">
      <w:start w:val="1"/>
      <w:numFmt w:val="lowerLetter"/>
      <w:lvlText w:val="%8."/>
      <w:lvlJc w:val="left"/>
      <w:pPr>
        <w:ind w:left="5797" w:hanging="360"/>
      </w:pPr>
    </w:lvl>
    <w:lvl w:ilvl="8" w:tplc="1409001B" w:tentative="1">
      <w:start w:val="1"/>
      <w:numFmt w:val="lowerRoman"/>
      <w:lvlText w:val="%9."/>
      <w:lvlJc w:val="right"/>
      <w:pPr>
        <w:ind w:left="6517" w:hanging="180"/>
      </w:pPr>
    </w:lvl>
  </w:abstractNum>
  <w:abstractNum w:abstractNumId="42">
    <w:nsid w:val="581E503E"/>
    <w:multiLevelType w:val="hybridMultilevel"/>
    <w:tmpl w:val="4E50B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8255549"/>
    <w:multiLevelType w:val="hybridMultilevel"/>
    <w:tmpl w:val="12768E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nsid w:val="5F5B60CB"/>
    <w:multiLevelType w:val="hybridMultilevel"/>
    <w:tmpl w:val="4A18F506"/>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5">
    <w:nsid w:val="629365E3"/>
    <w:multiLevelType w:val="hybridMultilevel"/>
    <w:tmpl w:val="FCCCC0D8"/>
    <w:lvl w:ilvl="0" w:tplc="14090001">
      <w:start w:val="1"/>
      <w:numFmt w:val="bullet"/>
      <w:lvlText w:val=""/>
      <w:lvlJc w:val="left"/>
      <w:pPr>
        <w:ind w:left="360" w:hanging="360"/>
      </w:pPr>
      <w:rPr>
        <w:rFonts w:ascii="Symbol" w:hAnsi="Symbol"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6">
    <w:nsid w:val="62FB0C9C"/>
    <w:multiLevelType w:val="hybridMultilevel"/>
    <w:tmpl w:val="E48C6FEC"/>
    <w:lvl w:ilvl="0" w:tplc="2D28E2DC">
      <w:start w:val="1"/>
      <w:numFmt w:val="decimal"/>
      <w:pStyle w:val="Boxnumbered"/>
      <w:lvlText w:val="%1"/>
      <w:lvlJc w:val="left"/>
      <w:pPr>
        <w:ind w:left="1004" w:hanging="360"/>
      </w:pPr>
      <w:rPr>
        <w:rFonts w:ascii="Calibri" w:hAnsi="Calibri" w:hint="default"/>
        <w:b w:val="0"/>
        <w:bCs w:val="0"/>
        <w:i w:val="0"/>
        <w:sz w:val="22"/>
      </w:rPr>
    </w:lvl>
    <w:lvl w:ilvl="1" w:tplc="14090019" w:tentative="1">
      <w:start w:val="1"/>
      <w:numFmt w:val="lowerLetter"/>
      <w:lvlText w:val="%2."/>
      <w:lvlJc w:val="left"/>
      <w:pPr>
        <w:ind w:left="1724" w:hanging="360"/>
      </w:pPr>
    </w:lvl>
    <w:lvl w:ilvl="2" w:tplc="1409001B" w:tentative="1">
      <w:start w:val="1"/>
      <w:numFmt w:val="lowerRoman"/>
      <w:lvlText w:val="%3."/>
      <w:lvlJc w:val="right"/>
      <w:pPr>
        <w:ind w:left="2444" w:hanging="180"/>
      </w:pPr>
    </w:lvl>
    <w:lvl w:ilvl="3" w:tplc="1409000F" w:tentative="1">
      <w:start w:val="1"/>
      <w:numFmt w:val="decimal"/>
      <w:lvlText w:val="%4."/>
      <w:lvlJc w:val="left"/>
      <w:pPr>
        <w:ind w:left="3164" w:hanging="360"/>
      </w:pPr>
    </w:lvl>
    <w:lvl w:ilvl="4" w:tplc="14090019" w:tentative="1">
      <w:start w:val="1"/>
      <w:numFmt w:val="lowerLetter"/>
      <w:lvlText w:val="%5."/>
      <w:lvlJc w:val="left"/>
      <w:pPr>
        <w:ind w:left="3884" w:hanging="360"/>
      </w:pPr>
    </w:lvl>
    <w:lvl w:ilvl="5" w:tplc="1409001B" w:tentative="1">
      <w:start w:val="1"/>
      <w:numFmt w:val="lowerRoman"/>
      <w:lvlText w:val="%6."/>
      <w:lvlJc w:val="right"/>
      <w:pPr>
        <w:ind w:left="4604" w:hanging="180"/>
      </w:pPr>
    </w:lvl>
    <w:lvl w:ilvl="6" w:tplc="1409000F" w:tentative="1">
      <w:start w:val="1"/>
      <w:numFmt w:val="decimal"/>
      <w:lvlText w:val="%7."/>
      <w:lvlJc w:val="left"/>
      <w:pPr>
        <w:ind w:left="5324" w:hanging="360"/>
      </w:pPr>
    </w:lvl>
    <w:lvl w:ilvl="7" w:tplc="14090019" w:tentative="1">
      <w:start w:val="1"/>
      <w:numFmt w:val="lowerLetter"/>
      <w:lvlText w:val="%8."/>
      <w:lvlJc w:val="left"/>
      <w:pPr>
        <w:ind w:left="6044" w:hanging="360"/>
      </w:pPr>
    </w:lvl>
    <w:lvl w:ilvl="8" w:tplc="1409001B" w:tentative="1">
      <w:start w:val="1"/>
      <w:numFmt w:val="lowerRoman"/>
      <w:lvlText w:val="%9."/>
      <w:lvlJc w:val="right"/>
      <w:pPr>
        <w:ind w:left="6764" w:hanging="180"/>
      </w:pPr>
    </w:lvl>
  </w:abstractNum>
  <w:abstractNum w:abstractNumId="47">
    <w:nsid w:val="642C2D72"/>
    <w:multiLevelType w:val="hybridMultilevel"/>
    <w:tmpl w:val="0DC6E5BC"/>
    <w:lvl w:ilvl="0" w:tplc="14090001">
      <w:start w:val="1"/>
      <w:numFmt w:val="bullet"/>
      <w:lvlText w:val=""/>
      <w:lvlJc w:val="left"/>
      <w:pPr>
        <w:ind w:left="1080" w:hanging="360"/>
      </w:pPr>
      <w:rPr>
        <w:rFonts w:ascii="Symbol" w:hAnsi="Symbol" w:hint="default"/>
      </w:rPr>
    </w:lvl>
    <w:lvl w:ilvl="1" w:tplc="5EA66C72">
      <w:start w:val="1"/>
      <w:numFmt w:val="bullet"/>
      <w:lvlText w:val="―"/>
      <w:lvlJc w:val="left"/>
      <w:pPr>
        <w:ind w:left="1800" w:hanging="360"/>
      </w:pPr>
      <w:rPr>
        <w:rFonts w:ascii="Arial" w:hAnsi="Arial" w:hint="default"/>
      </w:r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8">
    <w:nsid w:val="64AE45ED"/>
    <w:multiLevelType w:val="hybridMultilevel"/>
    <w:tmpl w:val="8BC0E9A8"/>
    <w:lvl w:ilvl="0" w:tplc="6EA08C8E">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9">
    <w:nsid w:val="653A1DB2"/>
    <w:multiLevelType w:val="multilevel"/>
    <w:tmpl w:val="7C9A8406"/>
    <w:lvl w:ilvl="0">
      <w:start w:val="1"/>
      <w:numFmt w:val="bullet"/>
      <w:lvlText w:val=""/>
      <w:lvlJc w:val="left"/>
      <w:pPr>
        <w:tabs>
          <w:tab w:val="num" w:pos="720"/>
        </w:tabs>
        <w:ind w:left="720" w:hanging="360"/>
      </w:pPr>
      <w:rPr>
        <w:rFonts w:ascii="Symbol" w:hAnsi="Symbol" w:hint="default"/>
        <w:sz w:val="20"/>
      </w:rPr>
    </w:lvl>
    <w:lvl w:ilvl="1">
      <w:start w:val="1"/>
      <w:numFmt w:val="bullet"/>
      <w:pStyle w:val="Sub-bullet"/>
      <w:lvlText w:val="-"/>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6633BEB"/>
    <w:multiLevelType w:val="hybridMultilevel"/>
    <w:tmpl w:val="849CF252"/>
    <w:lvl w:ilvl="0" w:tplc="E5E29082">
      <w:start w:val="1"/>
      <w:numFmt w:val="decimal"/>
      <w:pStyle w:val="Browntextnumbered"/>
      <w:lvlText w:val="%1"/>
      <w:lvlJc w:val="left"/>
      <w:pPr>
        <w:ind w:left="720" w:hanging="360"/>
      </w:pPr>
      <w:rPr>
        <w:rFonts w:ascii="Calibri" w:hAnsi="Calibri" w:hint="default"/>
        <w:b w:val="0"/>
        <w:color w:val="B47015"/>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1">
    <w:nsid w:val="682A6067"/>
    <w:multiLevelType w:val="hybridMultilevel"/>
    <w:tmpl w:val="512EE5FE"/>
    <w:lvl w:ilvl="0" w:tplc="1CFC35D4">
      <w:start w:val="1"/>
      <w:numFmt w:val="decimal"/>
      <w:pStyle w:val="NoSpacing"/>
      <w:lvlText w:val="%1."/>
      <w:lvlJc w:val="left"/>
      <w:pPr>
        <w:ind w:left="1074" w:hanging="360"/>
      </w:pPr>
      <w:rPr>
        <w:b w:val="0"/>
        <w:color w:val="auto"/>
      </w:rPr>
    </w:lvl>
    <w:lvl w:ilvl="1" w:tplc="14090019" w:tentative="1">
      <w:start w:val="1"/>
      <w:numFmt w:val="lowerLetter"/>
      <w:lvlText w:val="%2."/>
      <w:lvlJc w:val="left"/>
      <w:pPr>
        <w:ind w:left="1797" w:hanging="360"/>
      </w:pPr>
    </w:lvl>
    <w:lvl w:ilvl="2" w:tplc="1409001B" w:tentative="1">
      <w:start w:val="1"/>
      <w:numFmt w:val="lowerRoman"/>
      <w:lvlText w:val="%3."/>
      <w:lvlJc w:val="right"/>
      <w:pPr>
        <w:ind w:left="2517" w:hanging="180"/>
      </w:pPr>
    </w:lvl>
    <w:lvl w:ilvl="3" w:tplc="1409000F">
      <w:start w:val="1"/>
      <w:numFmt w:val="decimal"/>
      <w:lvlText w:val="%4."/>
      <w:lvlJc w:val="left"/>
      <w:pPr>
        <w:ind w:left="3237" w:hanging="360"/>
      </w:pPr>
    </w:lvl>
    <w:lvl w:ilvl="4" w:tplc="14090019" w:tentative="1">
      <w:start w:val="1"/>
      <w:numFmt w:val="lowerLetter"/>
      <w:lvlText w:val="%5."/>
      <w:lvlJc w:val="left"/>
      <w:pPr>
        <w:ind w:left="3957" w:hanging="360"/>
      </w:pPr>
    </w:lvl>
    <w:lvl w:ilvl="5" w:tplc="1409001B" w:tentative="1">
      <w:start w:val="1"/>
      <w:numFmt w:val="lowerRoman"/>
      <w:lvlText w:val="%6."/>
      <w:lvlJc w:val="right"/>
      <w:pPr>
        <w:ind w:left="4677" w:hanging="180"/>
      </w:pPr>
    </w:lvl>
    <w:lvl w:ilvl="6" w:tplc="1409000F" w:tentative="1">
      <w:start w:val="1"/>
      <w:numFmt w:val="decimal"/>
      <w:lvlText w:val="%7."/>
      <w:lvlJc w:val="left"/>
      <w:pPr>
        <w:ind w:left="5397" w:hanging="360"/>
      </w:pPr>
    </w:lvl>
    <w:lvl w:ilvl="7" w:tplc="14090019" w:tentative="1">
      <w:start w:val="1"/>
      <w:numFmt w:val="lowerLetter"/>
      <w:lvlText w:val="%8."/>
      <w:lvlJc w:val="left"/>
      <w:pPr>
        <w:ind w:left="6117" w:hanging="360"/>
      </w:pPr>
    </w:lvl>
    <w:lvl w:ilvl="8" w:tplc="1409001B" w:tentative="1">
      <w:start w:val="1"/>
      <w:numFmt w:val="lowerRoman"/>
      <w:lvlText w:val="%9."/>
      <w:lvlJc w:val="right"/>
      <w:pPr>
        <w:ind w:left="6837" w:hanging="180"/>
      </w:pPr>
    </w:lvl>
  </w:abstractNum>
  <w:abstractNum w:abstractNumId="52">
    <w:nsid w:val="6A2431CF"/>
    <w:multiLevelType w:val="hybridMultilevel"/>
    <w:tmpl w:val="1C7E742A"/>
    <w:lvl w:ilvl="0" w:tplc="D8AE4DCC">
      <w:start w:val="1"/>
      <w:numFmt w:val="decimal"/>
      <w:lvlText w:val="%1."/>
      <w:lvlJc w:val="left"/>
      <w:pPr>
        <w:tabs>
          <w:tab w:val="num" w:pos="720"/>
        </w:tabs>
        <w:ind w:left="720" w:hanging="360"/>
      </w:pPr>
    </w:lvl>
    <w:lvl w:ilvl="1" w:tplc="FBD60C2C" w:tentative="1">
      <w:start w:val="1"/>
      <w:numFmt w:val="decimal"/>
      <w:lvlText w:val="%2."/>
      <w:lvlJc w:val="left"/>
      <w:pPr>
        <w:tabs>
          <w:tab w:val="num" w:pos="1440"/>
        </w:tabs>
        <w:ind w:left="1440" w:hanging="360"/>
      </w:pPr>
    </w:lvl>
    <w:lvl w:ilvl="2" w:tplc="479A5A16" w:tentative="1">
      <w:start w:val="1"/>
      <w:numFmt w:val="decimal"/>
      <w:lvlText w:val="%3."/>
      <w:lvlJc w:val="left"/>
      <w:pPr>
        <w:tabs>
          <w:tab w:val="num" w:pos="2160"/>
        </w:tabs>
        <w:ind w:left="2160" w:hanging="360"/>
      </w:pPr>
    </w:lvl>
    <w:lvl w:ilvl="3" w:tplc="6D9688CC" w:tentative="1">
      <w:start w:val="1"/>
      <w:numFmt w:val="decimal"/>
      <w:lvlText w:val="%4."/>
      <w:lvlJc w:val="left"/>
      <w:pPr>
        <w:tabs>
          <w:tab w:val="num" w:pos="2880"/>
        </w:tabs>
        <w:ind w:left="2880" w:hanging="360"/>
      </w:pPr>
    </w:lvl>
    <w:lvl w:ilvl="4" w:tplc="70C47D92" w:tentative="1">
      <w:start w:val="1"/>
      <w:numFmt w:val="decimal"/>
      <w:lvlText w:val="%5."/>
      <w:lvlJc w:val="left"/>
      <w:pPr>
        <w:tabs>
          <w:tab w:val="num" w:pos="3600"/>
        </w:tabs>
        <w:ind w:left="3600" w:hanging="360"/>
      </w:pPr>
    </w:lvl>
    <w:lvl w:ilvl="5" w:tplc="EF342A00" w:tentative="1">
      <w:start w:val="1"/>
      <w:numFmt w:val="decimal"/>
      <w:lvlText w:val="%6."/>
      <w:lvlJc w:val="left"/>
      <w:pPr>
        <w:tabs>
          <w:tab w:val="num" w:pos="4320"/>
        </w:tabs>
        <w:ind w:left="4320" w:hanging="360"/>
      </w:pPr>
    </w:lvl>
    <w:lvl w:ilvl="6" w:tplc="AC281700" w:tentative="1">
      <w:start w:val="1"/>
      <w:numFmt w:val="decimal"/>
      <w:lvlText w:val="%7."/>
      <w:lvlJc w:val="left"/>
      <w:pPr>
        <w:tabs>
          <w:tab w:val="num" w:pos="5040"/>
        </w:tabs>
        <w:ind w:left="5040" w:hanging="360"/>
      </w:pPr>
    </w:lvl>
    <w:lvl w:ilvl="7" w:tplc="B7B402EE" w:tentative="1">
      <w:start w:val="1"/>
      <w:numFmt w:val="decimal"/>
      <w:lvlText w:val="%8."/>
      <w:lvlJc w:val="left"/>
      <w:pPr>
        <w:tabs>
          <w:tab w:val="num" w:pos="5760"/>
        </w:tabs>
        <w:ind w:left="5760" w:hanging="360"/>
      </w:pPr>
    </w:lvl>
    <w:lvl w:ilvl="8" w:tplc="D29ADDB4" w:tentative="1">
      <w:start w:val="1"/>
      <w:numFmt w:val="decimal"/>
      <w:lvlText w:val="%9."/>
      <w:lvlJc w:val="left"/>
      <w:pPr>
        <w:tabs>
          <w:tab w:val="num" w:pos="6480"/>
        </w:tabs>
        <w:ind w:left="6480" w:hanging="360"/>
      </w:pPr>
    </w:lvl>
  </w:abstractNum>
  <w:abstractNum w:abstractNumId="53">
    <w:nsid w:val="6AC96634"/>
    <w:multiLevelType w:val="hybridMultilevel"/>
    <w:tmpl w:val="26F849B2"/>
    <w:lvl w:ilvl="0" w:tplc="14090001">
      <w:start w:val="1"/>
      <w:numFmt w:val="bullet"/>
      <w:lvlText w:val=""/>
      <w:lvlJc w:val="left"/>
      <w:pPr>
        <w:ind w:left="360" w:hanging="360"/>
      </w:pPr>
      <w:rPr>
        <w:rFonts w:ascii="Symbol" w:hAnsi="Symbol"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4">
    <w:nsid w:val="6B22557F"/>
    <w:multiLevelType w:val="hybridMultilevel"/>
    <w:tmpl w:val="555408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5">
    <w:nsid w:val="6BE1630C"/>
    <w:multiLevelType w:val="hybridMultilevel"/>
    <w:tmpl w:val="077EC9C6"/>
    <w:lvl w:ilvl="0" w:tplc="0A2CAADE">
      <w:start w:val="1"/>
      <w:numFmt w:val="bullet"/>
      <w:lvlText w:val="­"/>
      <w:lvlJc w:val="left"/>
      <w:pPr>
        <w:ind w:left="720" w:hanging="360"/>
      </w:pPr>
      <w:rPr>
        <w:rFonts w:ascii="Courier New" w:hAnsi="Courier New" w:hint="default"/>
      </w:rPr>
    </w:lvl>
    <w:lvl w:ilvl="1" w:tplc="0A2CAADE">
      <w:start w:val="1"/>
      <w:numFmt w:val="bullet"/>
      <w:lvlText w:val="­"/>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6">
    <w:nsid w:val="6F0F6A2C"/>
    <w:multiLevelType w:val="hybridMultilevel"/>
    <w:tmpl w:val="C7E4EC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7">
    <w:nsid w:val="6FD46152"/>
    <w:multiLevelType w:val="hybridMultilevel"/>
    <w:tmpl w:val="BAEA4612"/>
    <w:lvl w:ilvl="0" w:tplc="0A2CAADE">
      <w:start w:val="1"/>
      <w:numFmt w:val="bullet"/>
      <w:lvlText w:val="­"/>
      <w:lvlJc w:val="left"/>
      <w:pPr>
        <w:ind w:left="720" w:hanging="360"/>
      </w:pPr>
      <w:rPr>
        <w:rFonts w:ascii="Courier New" w:hAnsi="Courier New" w:hint="default"/>
      </w:rPr>
    </w:lvl>
    <w:lvl w:ilvl="1" w:tplc="0A2CAADE">
      <w:start w:val="1"/>
      <w:numFmt w:val="bullet"/>
      <w:lvlText w:val="­"/>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8">
    <w:nsid w:val="70D14A69"/>
    <w:multiLevelType w:val="hybridMultilevel"/>
    <w:tmpl w:val="E88CF7D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9">
    <w:nsid w:val="763A5680"/>
    <w:multiLevelType w:val="hybridMultilevel"/>
    <w:tmpl w:val="974265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77D87E39"/>
    <w:multiLevelType w:val="hybridMultilevel"/>
    <w:tmpl w:val="EC8681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1">
    <w:nsid w:val="78D72190"/>
    <w:multiLevelType w:val="hybridMultilevel"/>
    <w:tmpl w:val="5554F56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2">
    <w:nsid w:val="7A7478E5"/>
    <w:multiLevelType w:val="hybridMultilevel"/>
    <w:tmpl w:val="69685712"/>
    <w:lvl w:ilvl="0" w:tplc="F5507FA2">
      <w:start w:val="1"/>
      <w:numFmt w:val="bullet"/>
      <w:pStyle w:val="Tablebullet"/>
      <w:lvlText w:val="·"/>
      <w:lvlJc w:val="left"/>
      <w:pPr>
        <w:ind w:left="720" w:hanging="360"/>
      </w:pPr>
      <w:rPr>
        <w:rFonts w:ascii="Symbol" w:hAnsi="Symbol" w:cs="Times New Roman" w:hint="default"/>
        <w:sz w:val="16"/>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3">
    <w:nsid w:val="7B4557CF"/>
    <w:multiLevelType w:val="hybridMultilevel"/>
    <w:tmpl w:val="CA88416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4">
    <w:nsid w:val="7E4D254A"/>
    <w:multiLevelType w:val="singleLevel"/>
    <w:tmpl w:val="DF2C48E8"/>
    <w:lvl w:ilvl="0">
      <w:start w:val="1"/>
      <w:numFmt w:val="bullet"/>
      <w:pStyle w:val="Bullet"/>
      <w:lvlText w:val=""/>
      <w:lvlJc w:val="left"/>
      <w:pPr>
        <w:tabs>
          <w:tab w:val="num" w:pos="567"/>
        </w:tabs>
        <w:ind w:left="567" w:hanging="567"/>
      </w:pPr>
      <w:rPr>
        <w:rFonts w:ascii="Symbol" w:hAnsi="Symbol" w:hint="default"/>
        <w:color w:val="auto"/>
        <w:sz w:val="18"/>
        <w:szCs w:val="20"/>
      </w:rPr>
    </w:lvl>
  </w:abstractNum>
  <w:num w:numId="1">
    <w:abstractNumId w:val="64"/>
  </w:num>
  <w:num w:numId="2">
    <w:abstractNumId w:val="15"/>
  </w:num>
  <w:num w:numId="3">
    <w:abstractNumId w:val="49"/>
  </w:num>
  <w:num w:numId="4">
    <w:abstractNumId w:val="39"/>
  </w:num>
  <w:num w:numId="5">
    <w:abstractNumId w:val="46"/>
  </w:num>
  <w:num w:numId="6">
    <w:abstractNumId w:val="7"/>
  </w:num>
  <w:num w:numId="7">
    <w:abstractNumId w:val="50"/>
  </w:num>
  <w:num w:numId="8">
    <w:abstractNumId w:val="23"/>
  </w:num>
  <w:num w:numId="9">
    <w:abstractNumId w:val="10"/>
  </w:num>
  <w:num w:numId="10">
    <w:abstractNumId w:val="35"/>
  </w:num>
  <w:num w:numId="11">
    <w:abstractNumId w:val="3"/>
  </w:num>
  <w:num w:numId="12">
    <w:abstractNumId w:val="28"/>
  </w:num>
  <w:num w:numId="13">
    <w:abstractNumId w:val="31"/>
  </w:num>
  <w:num w:numId="14">
    <w:abstractNumId w:val="4"/>
  </w:num>
  <w:num w:numId="15">
    <w:abstractNumId w:val="1"/>
  </w:num>
  <w:num w:numId="16">
    <w:abstractNumId w:val="44"/>
  </w:num>
  <w:num w:numId="17">
    <w:abstractNumId w:val="5"/>
  </w:num>
  <w:num w:numId="18">
    <w:abstractNumId w:val="11"/>
  </w:num>
  <w:num w:numId="19">
    <w:abstractNumId w:val="54"/>
  </w:num>
  <w:num w:numId="20">
    <w:abstractNumId w:val="26"/>
  </w:num>
  <w:num w:numId="21">
    <w:abstractNumId w:val="47"/>
  </w:num>
  <w:num w:numId="22">
    <w:abstractNumId w:val="52"/>
  </w:num>
  <w:num w:numId="23">
    <w:abstractNumId w:val="34"/>
  </w:num>
  <w:num w:numId="24">
    <w:abstractNumId w:val="63"/>
  </w:num>
  <w:num w:numId="25">
    <w:abstractNumId w:val="36"/>
  </w:num>
  <w:num w:numId="26">
    <w:abstractNumId w:val="20"/>
  </w:num>
  <w:num w:numId="27">
    <w:abstractNumId w:val="13"/>
  </w:num>
  <w:num w:numId="28">
    <w:abstractNumId w:val="40"/>
  </w:num>
  <w:num w:numId="29">
    <w:abstractNumId w:val="38"/>
  </w:num>
  <w:num w:numId="30">
    <w:abstractNumId w:val="12"/>
  </w:num>
  <w:num w:numId="31">
    <w:abstractNumId w:val="32"/>
  </w:num>
  <w:num w:numId="32">
    <w:abstractNumId w:val="60"/>
  </w:num>
  <w:num w:numId="33">
    <w:abstractNumId w:val="30"/>
  </w:num>
  <w:num w:numId="34">
    <w:abstractNumId w:val="61"/>
  </w:num>
  <w:num w:numId="35">
    <w:abstractNumId w:val="19"/>
  </w:num>
  <w:num w:numId="36">
    <w:abstractNumId w:val="53"/>
  </w:num>
  <w:num w:numId="37">
    <w:abstractNumId w:val="17"/>
  </w:num>
  <w:num w:numId="38">
    <w:abstractNumId w:val="48"/>
  </w:num>
  <w:num w:numId="39">
    <w:abstractNumId w:val="45"/>
  </w:num>
  <w:num w:numId="40">
    <w:abstractNumId w:val="43"/>
  </w:num>
  <w:num w:numId="41">
    <w:abstractNumId w:val="22"/>
  </w:num>
  <w:num w:numId="42">
    <w:abstractNumId w:val="2"/>
  </w:num>
  <w:num w:numId="43">
    <w:abstractNumId w:val="56"/>
  </w:num>
  <w:num w:numId="44">
    <w:abstractNumId w:val="42"/>
  </w:num>
  <w:num w:numId="45">
    <w:abstractNumId w:val="0"/>
  </w:num>
  <w:num w:numId="46">
    <w:abstractNumId w:val="16"/>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num>
  <w:num w:numId="49">
    <w:abstractNumId w:val="59"/>
  </w:num>
  <w:num w:numId="50">
    <w:abstractNumId w:val="6"/>
  </w:num>
  <w:num w:numId="51">
    <w:abstractNumId w:val="58"/>
  </w:num>
  <w:num w:numId="52">
    <w:abstractNumId w:val="29"/>
  </w:num>
  <w:num w:numId="53">
    <w:abstractNumId w:val="21"/>
  </w:num>
  <w:num w:numId="54">
    <w:abstractNumId w:val="37"/>
  </w:num>
  <w:num w:numId="55">
    <w:abstractNumId w:val="14"/>
  </w:num>
  <w:num w:numId="56">
    <w:abstractNumId w:val="18"/>
  </w:num>
  <w:num w:numId="57">
    <w:abstractNumId w:val="55"/>
  </w:num>
  <w:num w:numId="58">
    <w:abstractNumId w:val="25"/>
  </w:num>
  <w:num w:numId="59">
    <w:abstractNumId w:val="33"/>
  </w:num>
  <w:num w:numId="60">
    <w:abstractNumId w:val="9"/>
  </w:num>
  <w:num w:numId="61">
    <w:abstractNumId w:val="41"/>
  </w:num>
  <w:num w:numId="62">
    <w:abstractNumId w:val="8"/>
  </w:num>
  <w:num w:numId="63">
    <w:abstractNumId w:val="57"/>
  </w:num>
  <w:num w:numId="64">
    <w:abstractNumId w:val="62"/>
  </w:num>
  <w:num w:numId="65">
    <w:abstractNumId w:val="64"/>
  </w:num>
  <w:num w:numId="66">
    <w:abstractNumId w:val="64"/>
  </w:num>
  <w:num w:numId="67">
    <w:abstractNumId w:val="24"/>
  </w:num>
  <w:num w:numId="68">
    <w:abstractNumId w:val="64"/>
  </w:num>
  <w:num w:numId="69">
    <w:abstractNumId w:val="62"/>
  </w:num>
  <w:num w:numId="70">
    <w:abstractNumId w:val="62"/>
  </w:num>
  <w:num w:numId="71">
    <w:abstractNumId w:val="62"/>
  </w:num>
  <w:num w:numId="72">
    <w:abstractNumId w:val="62"/>
  </w:num>
  <w:num w:numId="73">
    <w:abstractNumId w:val="5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removePersonalInformation/>
  <w:removeDateAndTim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397"/>
  <w:evenAndOddHeaders/>
  <w:characterSpacingControl w:val="doNotCompress"/>
  <w:hdrShapeDefaults>
    <o:shapedefaults v:ext="edit" spidmax="2051" style="mso-height-percent:200;mso-width-relative:margin;mso-height-relative:margin" fillcolor="none [3212]" strokecolor="none [3212]">
      <v:fill color="none [3212]"/>
      <v:stroke color="none [3212]"/>
      <v:textbox style="mso-fit-shape-to-text:t"/>
      <o:colormru v:ext="edit" colors="#002663,#e36f1e"/>
    </o:shapedefaults>
    <o:shapelayout v:ext="edit">
      <o:idmap v:ext="edit" data="2"/>
    </o:shapelayout>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36F"/>
    <w:rsid w:val="000007A8"/>
    <w:rsid w:val="00000C79"/>
    <w:rsid w:val="00000EDA"/>
    <w:rsid w:val="00000F26"/>
    <w:rsid w:val="000012D2"/>
    <w:rsid w:val="00001F78"/>
    <w:rsid w:val="000023D0"/>
    <w:rsid w:val="000026C2"/>
    <w:rsid w:val="00002AD7"/>
    <w:rsid w:val="00002B93"/>
    <w:rsid w:val="000030DA"/>
    <w:rsid w:val="000032AD"/>
    <w:rsid w:val="00003761"/>
    <w:rsid w:val="000037F4"/>
    <w:rsid w:val="00003B1B"/>
    <w:rsid w:val="00003BE3"/>
    <w:rsid w:val="0000481D"/>
    <w:rsid w:val="0000489D"/>
    <w:rsid w:val="000048DE"/>
    <w:rsid w:val="00004906"/>
    <w:rsid w:val="00004C46"/>
    <w:rsid w:val="00004D33"/>
    <w:rsid w:val="000056EA"/>
    <w:rsid w:val="00005741"/>
    <w:rsid w:val="00005E2D"/>
    <w:rsid w:val="00005E53"/>
    <w:rsid w:val="000068A3"/>
    <w:rsid w:val="00007DF9"/>
    <w:rsid w:val="000105B2"/>
    <w:rsid w:val="000106F8"/>
    <w:rsid w:val="00010711"/>
    <w:rsid w:val="000108B0"/>
    <w:rsid w:val="00010CC9"/>
    <w:rsid w:val="00010E41"/>
    <w:rsid w:val="00010E93"/>
    <w:rsid w:val="0001138E"/>
    <w:rsid w:val="00011920"/>
    <w:rsid w:val="00011A10"/>
    <w:rsid w:val="0001209E"/>
    <w:rsid w:val="0001257F"/>
    <w:rsid w:val="00012AF9"/>
    <w:rsid w:val="00012D8F"/>
    <w:rsid w:val="000133E6"/>
    <w:rsid w:val="000135A0"/>
    <w:rsid w:val="00013856"/>
    <w:rsid w:val="00013968"/>
    <w:rsid w:val="000149B9"/>
    <w:rsid w:val="00015037"/>
    <w:rsid w:val="000151E4"/>
    <w:rsid w:val="00015267"/>
    <w:rsid w:val="000158BE"/>
    <w:rsid w:val="00015AD9"/>
    <w:rsid w:val="00015C38"/>
    <w:rsid w:val="00015D15"/>
    <w:rsid w:val="000165A8"/>
    <w:rsid w:val="00016629"/>
    <w:rsid w:val="00016A59"/>
    <w:rsid w:val="00016A68"/>
    <w:rsid w:val="00016DD7"/>
    <w:rsid w:val="00016F0B"/>
    <w:rsid w:val="000170EE"/>
    <w:rsid w:val="00017933"/>
    <w:rsid w:val="00017A25"/>
    <w:rsid w:val="00017ECE"/>
    <w:rsid w:val="000201FC"/>
    <w:rsid w:val="00020988"/>
    <w:rsid w:val="00020B30"/>
    <w:rsid w:val="00020BD2"/>
    <w:rsid w:val="00021190"/>
    <w:rsid w:val="0002140C"/>
    <w:rsid w:val="000214E7"/>
    <w:rsid w:val="00021ADA"/>
    <w:rsid w:val="0002208D"/>
    <w:rsid w:val="0002221A"/>
    <w:rsid w:val="00022363"/>
    <w:rsid w:val="000224A4"/>
    <w:rsid w:val="000228D7"/>
    <w:rsid w:val="00022AE8"/>
    <w:rsid w:val="00022B2E"/>
    <w:rsid w:val="00022E4A"/>
    <w:rsid w:val="00022E94"/>
    <w:rsid w:val="0002392B"/>
    <w:rsid w:val="00023E33"/>
    <w:rsid w:val="00023FF3"/>
    <w:rsid w:val="000244FB"/>
    <w:rsid w:val="00024549"/>
    <w:rsid w:val="00024D09"/>
    <w:rsid w:val="00024D78"/>
    <w:rsid w:val="00024FB3"/>
    <w:rsid w:val="000251D1"/>
    <w:rsid w:val="00025544"/>
    <w:rsid w:val="00025A9D"/>
    <w:rsid w:val="000260A1"/>
    <w:rsid w:val="000261EF"/>
    <w:rsid w:val="00026454"/>
    <w:rsid w:val="00026581"/>
    <w:rsid w:val="00026792"/>
    <w:rsid w:val="0002699A"/>
    <w:rsid w:val="00026A9B"/>
    <w:rsid w:val="00027616"/>
    <w:rsid w:val="0002785D"/>
    <w:rsid w:val="00027EF6"/>
    <w:rsid w:val="000305BF"/>
    <w:rsid w:val="00030816"/>
    <w:rsid w:val="0003090B"/>
    <w:rsid w:val="00030A14"/>
    <w:rsid w:val="00030ADE"/>
    <w:rsid w:val="000311D8"/>
    <w:rsid w:val="0003175B"/>
    <w:rsid w:val="00031870"/>
    <w:rsid w:val="00031898"/>
    <w:rsid w:val="00031F48"/>
    <w:rsid w:val="00032087"/>
    <w:rsid w:val="00032565"/>
    <w:rsid w:val="0003264B"/>
    <w:rsid w:val="00032C7B"/>
    <w:rsid w:val="00032D54"/>
    <w:rsid w:val="0003306A"/>
    <w:rsid w:val="000330A5"/>
    <w:rsid w:val="00033761"/>
    <w:rsid w:val="00033BFC"/>
    <w:rsid w:val="00033F7F"/>
    <w:rsid w:val="000340E5"/>
    <w:rsid w:val="00034789"/>
    <w:rsid w:val="00034B7E"/>
    <w:rsid w:val="0003567D"/>
    <w:rsid w:val="00035B0E"/>
    <w:rsid w:val="00035C08"/>
    <w:rsid w:val="000368BA"/>
    <w:rsid w:val="000368E7"/>
    <w:rsid w:val="00037A03"/>
    <w:rsid w:val="000404CA"/>
    <w:rsid w:val="000406C7"/>
    <w:rsid w:val="00040AF2"/>
    <w:rsid w:val="00040F16"/>
    <w:rsid w:val="00041197"/>
    <w:rsid w:val="00041450"/>
    <w:rsid w:val="00041647"/>
    <w:rsid w:val="000416B0"/>
    <w:rsid w:val="000417F9"/>
    <w:rsid w:val="00041815"/>
    <w:rsid w:val="00041D8F"/>
    <w:rsid w:val="0004233F"/>
    <w:rsid w:val="00043037"/>
    <w:rsid w:val="000439A3"/>
    <w:rsid w:val="0004450B"/>
    <w:rsid w:val="00044758"/>
    <w:rsid w:val="000448E4"/>
    <w:rsid w:val="000451FB"/>
    <w:rsid w:val="000454FC"/>
    <w:rsid w:val="00045F92"/>
    <w:rsid w:val="000461F2"/>
    <w:rsid w:val="00046392"/>
    <w:rsid w:val="000469D7"/>
    <w:rsid w:val="00046D42"/>
    <w:rsid w:val="000470C0"/>
    <w:rsid w:val="000473D4"/>
    <w:rsid w:val="000474CC"/>
    <w:rsid w:val="00047BF4"/>
    <w:rsid w:val="00047C9C"/>
    <w:rsid w:val="00050253"/>
    <w:rsid w:val="0005058A"/>
    <w:rsid w:val="0005096C"/>
    <w:rsid w:val="00050B86"/>
    <w:rsid w:val="00050D30"/>
    <w:rsid w:val="000510BC"/>
    <w:rsid w:val="0005116B"/>
    <w:rsid w:val="0005117C"/>
    <w:rsid w:val="00051764"/>
    <w:rsid w:val="00053482"/>
    <w:rsid w:val="0005359E"/>
    <w:rsid w:val="0005366C"/>
    <w:rsid w:val="000539C9"/>
    <w:rsid w:val="000540E1"/>
    <w:rsid w:val="000543A5"/>
    <w:rsid w:val="000543E1"/>
    <w:rsid w:val="000547B5"/>
    <w:rsid w:val="0005492F"/>
    <w:rsid w:val="000550B4"/>
    <w:rsid w:val="0005523D"/>
    <w:rsid w:val="000558A4"/>
    <w:rsid w:val="000564B9"/>
    <w:rsid w:val="0005693D"/>
    <w:rsid w:val="000573D0"/>
    <w:rsid w:val="00057765"/>
    <w:rsid w:val="000579B8"/>
    <w:rsid w:val="00057B6F"/>
    <w:rsid w:val="00057F98"/>
    <w:rsid w:val="00060366"/>
    <w:rsid w:val="00060659"/>
    <w:rsid w:val="000607AC"/>
    <w:rsid w:val="00060B0A"/>
    <w:rsid w:val="00060DF7"/>
    <w:rsid w:val="0006140D"/>
    <w:rsid w:val="0006180D"/>
    <w:rsid w:val="00061BC6"/>
    <w:rsid w:val="00061FF5"/>
    <w:rsid w:val="00062755"/>
    <w:rsid w:val="00062ACB"/>
    <w:rsid w:val="00062CB1"/>
    <w:rsid w:val="00062E11"/>
    <w:rsid w:val="000630F5"/>
    <w:rsid w:val="00063505"/>
    <w:rsid w:val="00063944"/>
    <w:rsid w:val="00063B9C"/>
    <w:rsid w:val="00064358"/>
    <w:rsid w:val="0006470C"/>
    <w:rsid w:val="00064AD9"/>
    <w:rsid w:val="00064D7A"/>
    <w:rsid w:val="0006547C"/>
    <w:rsid w:val="00065584"/>
    <w:rsid w:val="0006579F"/>
    <w:rsid w:val="00065812"/>
    <w:rsid w:val="00065D31"/>
    <w:rsid w:val="00065FD8"/>
    <w:rsid w:val="00066BE8"/>
    <w:rsid w:val="000672AD"/>
    <w:rsid w:val="000675B8"/>
    <w:rsid w:val="0006769A"/>
    <w:rsid w:val="0006778A"/>
    <w:rsid w:val="00070AE0"/>
    <w:rsid w:val="00070C17"/>
    <w:rsid w:val="00071BF0"/>
    <w:rsid w:val="00071EA3"/>
    <w:rsid w:val="00071EC2"/>
    <w:rsid w:val="0007242C"/>
    <w:rsid w:val="00072934"/>
    <w:rsid w:val="000729CD"/>
    <w:rsid w:val="000729E6"/>
    <w:rsid w:val="000733B3"/>
    <w:rsid w:val="000737F3"/>
    <w:rsid w:val="0007387E"/>
    <w:rsid w:val="0007591B"/>
    <w:rsid w:val="000762DA"/>
    <w:rsid w:val="000764CA"/>
    <w:rsid w:val="00076592"/>
    <w:rsid w:val="00076BF8"/>
    <w:rsid w:val="0007715C"/>
    <w:rsid w:val="00077198"/>
    <w:rsid w:val="00077C2A"/>
    <w:rsid w:val="00080072"/>
    <w:rsid w:val="00080233"/>
    <w:rsid w:val="00080242"/>
    <w:rsid w:val="00080FA6"/>
    <w:rsid w:val="00081000"/>
    <w:rsid w:val="0008105F"/>
    <w:rsid w:val="0008151E"/>
    <w:rsid w:val="000820F7"/>
    <w:rsid w:val="00082322"/>
    <w:rsid w:val="000823C7"/>
    <w:rsid w:val="000825C4"/>
    <w:rsid w:val="000828AD"/>
    <w:rsid w:val="000828D9"/>
    <w:rsid w:val="00082EE3"/>
    <w:rsid w:val="00083109"/>
    <w:rsid w:val="0008485C"/>
    <w:rsid w:val="000848B4"/>
    <w:rsid w:val="00085243"/>
    <w:rsid w:val="0008547E"/>
    <w:rsid w:val="00085BB5"/>
    <w:rsid w:val="00085FC6"/>
    <w:rsid w:val="0008679A"/>
    <w:rsid w:val="00086DDB"/>
    <w:rsid w:val="000902E4"/>
    <w:rsid w:val="00090549"/>
    <w:rsid w:val="00090560"/>
    <w:rsid w:val="00090597"/>
    <w:rsid w:val="00090635"/>
    <w:rsid w:val="00090687"/>
    <w:rsid w:val="00090CDD"/>
    <w:rsid w:val="00090F4E"/>
    <w:rsid w:val="000910B6"/>
    <w:rsid w:val="000912DF"/>
    <w:rsid w:val="000914EE"/>
    <w:rsid w:val="000919B1"/>
    <w:rsid w:val="00091B94"/>
    <w:rsid w:val="00091D8C"/>
    <w:rsid w:val="00091E7B"/>
    <w:rsid w:val="000920CE"/>
    <w:rsid w:val="0009220D"/>
    <w:rsid w:val="00092530"/>
    <w:rsid w:val="00093E35"/>
    <w:rsid w:val="00093E6D"/>
    <w:rsid w:val="00093FA5"/>
    <w:rsid w:val="000941C1"/>
    <w:rsid w:val="00094604"/>
    <w:rsid w:val="00094754"/>
    <w:rsid w:val="00094B1F"/>
    <w:rsid w:val="00094B7B"/>
    <w:rsid w:val="00095847"/>
    <w:rsid w:val="00095854"/>
    <w:rsid w:val="0009611A"/>
    <w:rsid w:val="000969E8"/>
    <w:rsid w:val="00096DD7"/>
    <w:rsid w:val="000970AC"/>
    <w:rsid w:val="00097595"/>
    <w:rsid w:val="00097A49"/>
    <w:rsid w:val="00097AB3"/>
    <w:rsid w:val="000A009E"/>
    <w:rsid w:val="000A03A5"/>
    <w:rsid w:val="000A08BC"/>
    <w:rsid w:val="000A08D2"/>
    <w:rsid w:val="000A0F7E"/>
    <w:rsid w:val="000A107F"/>
    <w:rsid w:val="000A1285"/>
    <w:rsid w:val="000A16B7"/>
    <w:rsid w:val="000A1AF9"/>
    <w:rsid w:val="000A3283"/>
    <w:rsid w:val="000A35EB"/>
    <w:rsid w:val="000A368D"/>
    <w:rsid w:val="000A4F81"/>
    <w:rsid w:val="000A53D1"/>
    <w:rsid w:val="000A56A2"/>
    <w:rsid w:val="000A5C56"/>
    <w:rsid w:val="000A62B6"/>
    <w:rsid w:val="000A6ACA"/>
    <w:rsid w:val="000A6B5E"/>
    <w:rsid w:val="000A6E17"/>
    <w:rsid w:val="000A75E0"/>
    <w:rsid w:val="000A7EA2"/>
    <w:rsid w:val="000B089F"/>
    <w:rsid w:val="000B0913"/>
    <w:rsid w:val="000B0A32"/>
    <w:rsid w:val="000B0BD8"/>
    <w:rsid w:val="000B1438"/>
    <w:rsid w:val="000B1481"/>
    <w:rsid w:val="000B1487"/>
    <w:rsid w:val="000B152B"/>
    <w:rsid w:val="000B166D"/>
    <w:rsid w:val="000B18CA"/>
    <w:rsid w:val="000B1EB3"/>
    <w:rsid w:val="000B1F4D"/>
    <w:rsid w:val="000B2876"/>
    <w:rsid w:val="000B2902"/>
    <w:rsid w:val="000B2AFD"/>
    <w:rsid w:val="000B2FFD"/>
    <w:rsid w:val="000B32CB"/>
    <w:rsid w:val="000B39F7"/>
    <w:rsid w:val="000B3D28"/>
    <w:rsid w:val="000B3E60"/>
    <w:rsid w:val="000B41D1"/>
    <w:rsid w:val="000B440C"/>
    <w:rsid w:val="000B47D0"/>
    <w:rsid w:val="000B492C"/>
    <w:rsid w:val="000B4E23"/>
    <w:rsid w:val="000B550F"/>
    <w:rsid w:val="000B5852"/>
    <w:rsid w:val="000B5CEF"/>
    <w:rsid w:val="000B5DEF"/>
    <w:rsid w:val="000B6480"/>
    <w:rsid w:val="000B6654"/>
    <w:rsid w:val="000B66E8"/>
    <w:rsid w:val="000B6989"/>
    <w:rsid w:val="000B6B4F"/>
    <w:rsid w:val="000B6BB3"/>
    <w:rsid w:val="000B6BF8"/>
    <w:rsid w:val="000B77F4"/>
    <w:rsid w:val="000B7DD5"/>
    <w:rsid w:val="000B7F87"/>
    <w:rsid w:val="000C0881"/>
    <w:rsid w:val="000C1B28"/>
    <w:rsid w:val="000C22D9"/>
    <w:rsid w:val="000C2329"/>
    <w:rsid w:val="000C2493"/>
    <w:rsid w:val="000C2BAF"/>
    <w:rsid w:val="000C3963"/>
    <w:rsid w:val="000C40DC"/>
    <w:rsid w:val="000C4116"/>
    <w:rsid w:val="000C46A4"/>
    <w:rsid w:val="000C4F16"/>
    <w:rsid w:val="000C4FD0"/>
    <w:rsid w:val="000C5677"/>
    <w:rsid w:val="000C650E"/>
    <w:rsid w:val="000C69DE"/>
    <w:rsid w:val="000C6A03"/>
    <w:rsid w:val="000C7122"/>
    <w:rsid w:val="000C72B2"/>
    <w:rsid w:val="000C7A44"/>
    <w:rsid w:val="000C7C6B"/>
    <w:rsid w:val="000C7E9C"/>
    <w:rsid w:val="000C7EA9"/>
    <w:rsid w:val="000D016D"/>
    <w:rsid w:val="000D0498"/>
    <w:rsid w:val="000D15E1"/>
    <w:rsid w:val="000D1A57"/>
    <w:rsid w:val="000D1F1F"/>
    <w:rsid w:val="000D24F3"/>
    <w:rsid w:val="000D2A9E"/>
    <w:rsid w:val="000D305D"/>
    <w:rsid w:val="000D31C4"/>
    <w:rsid w:val="000D3D29"/>
    <w:rsid w:val="000D62BA"/>
    <w:rsid w:val="000D6390"/>
    <w:rsid w:val="000D64D3"/>
    <w:rsid w:val="000D6B47"/>
    <w:rsid w:val="000D6C40"/>
    <w:rsid w:val="000D747D"/>
    <w:rsid w:val="000D748F"/>
    <w:rsid w:val="000D7587"/>
    <w:rsid w:val="000D78F1"/>
    <w:rsid w:val="000E01BE"/>
    <w:rsid w:val="000E050B"/>
    <w:rsid w:val="000E0596"/>
    <w:rsid w:val="000E0689"/>
    <w:rsid w:val="000E10C8"/>
    <w:rsid w:val="000E10D1"/>
    <w:rsid w:val="000E1457"/>
    <w:rsid w:val="000E18FD"/>
    <w:rsid w:val="000E2093"/>
    <w:rsid w:val="000E219E"/>
    <w:rsid w:val="000E2234"/>
    <w:rsid w:val="000E243D"/>
    <w:rsid w:val="000E25E7"/>
    <w:rsid w:val="000E2BA7"/>
    <w:rsid w:val="000E3376"/>
    <w:rsid w:val="000E3FDE"/>
    <w:rsid w:val="000E4387"/>
    <w:rsid w:val="000E45A9"/>
    <w:rsid w:val="000E4750"/>
    <w:rsid w:val="000E4C0D"/>
    <w:rsid w:val="000E5374"/>
    <w:rsid w:val="000E54E0"/>
    <w:rsid w:val="000E5593"/>
    <w:rsid w:val="000E5B32"/>
    <w:rsid w:val="000E5DCF"/>
    <w:rsid w:val="000E68D9"/>
    <w:rsid w:val="000E695A"/>
    <w:rsid w:val="000E6AC6"/>
    <w:rsid w:val="000E7244"/>
    <w:rsid w:val="000E77B0"/>
    <w:rsid w:val="000E7C22"/>
    <w:rsid w:val="000F0292"/>
    <w:rsid w:val="000F0309"/>
    <w:rsid w:val="000F03B4"/>
    <w:rsid w:val="000F0474"/>
    <w:rsid w:val="000F1382"/>
    <w:rsid w:val="000F14AB"/>
    <w:rsid w:val="000F16AD"/>
    <w:rsid w:val="000F1C36"/>
    <w:rsid w:val="000F1DC9"/>
    <w:rsid w:val="000F1EA4"/>
    <w:rsid w:val="000F2875"/>
    <w:rsid w:val="000F2A89"/>
    <w:rsid w:val="000F2E8D"/>
    <w:rsid w:val="000F3AD8"/>
    <w:rsid w:val="000F4372"/>
    <w:rsid w:val="000F4560"/>
    <w:rsid w:val="000F4D5E"/>
    <w:rsid w:val="000F552D"/>
    <w:rsid w:val="000F5648"/>
    <w:rsid w:val="000F5A6D"/>
    <w:rsid w:val="000F5C62"/>
    <w:rsid w:val="000F5C92"/>
    <w:rsid w:val="000F6673"/>
    <w:rsid w:val="000F69F1"/>
    <w:rsid w:val="000F6A12"/>
    <w:rsid w:val="000F76C5"/>
    <w:rsid w:val="000F7721"/>
    <w:rsid w:val="000F7AD6"/>
    <w:rsid w:val="000F7DD3"/>
    <w:rsid w:val="000F7F22"/>
    <w:rsid w:val="00100561"/>
    <w:rsid w:val="00101D40"/>
    <w:rsid w:val="00101DBC"/>
    <w:rsid w:val="001020A5"/>
    <w:rsid w:val="001024F2"/>
    <w:rsid w:val="001027D6"/>
    <w:rsid w:val="00102A28"/>
    <w:rsid w:val="00102CE5"/>
    <w:rsid w:val="00102E4A"/>
    <w:rsid w:val="001031BD"/>
    <w:rsid w:val="00103223"/>
    <w:rsid w:val="00103D50"/>
    <w:rsid w:val="00103D85"/>
    <w:rsid w:val="00103ED0"/>
    <w:rsid w:val="00104123"/>
    <w:rsid w:val="00104EDD"/>
    <w:rsid w:val="001051AF"/>
    <w:rsid w:val="001055B3"/>
    <w:rsid w:val="001059BB"/>
    <w:rsid w:val="00105FEC"/>
    <w:rsid w:val="00106216"/>
    <w:rsid w:val="001063D8"/>
    <w:rsid w:val="001063F9"/>
    <w:rsid w:val="00106B16"/>
    <w:rsid w:val="00106B2C"/>
    <w:rsid w:val="00107098"/>
    <w:rsid w:val="00107B36"/>
    <w:rsid w:val="001104C5"/>
    <w:rsid w:val="0011106B"/>
    <w:rsid w:val="00111E2C"/>
    <w:rsid w:val="00111F2E"/>
    <w:rsid w:val="00111F3A"/>
    <w:rsid w:val="001127EF"/>
    <w:rsid w:val="001129AC"/>
    <w:rsid w:val="00112D0A"/>
    <w:rsid w:val="00112DC1"/>
    <w:rsid w:val="00112EF2"/>
    <w:rsid w:val="00112F43"/>
    <w:rsid w:val="00112F74"/>
    <w:rsid w:val="001141AE"/>
    <w:rsid w:val="0011434D"/>
    <w:rsid w:val="00114B22"/>
    <w:rsid w:val="00114C6C"/>
    <w:rsid w:val="00114CF6"/>
    <w:rsid w:val="00115392"/>
    <w:rsid w:val="0011545E"/>
    <w:rsid w:val="00115797"/>
    <w:rsid w:val="00115B86"/>
    <w:rsid w:val="00115BA4"/>
    <w:rsid w:val="00115CFD"/>
    <w:rsid w:val="00115D1D"/>
    <w:rsid w:val="001160C3"/>
    <w:rsid w:val="0011668D"/>
    <w:rsid w:val="001168D9"/>
    <w:rsid w:val="00116A50"/>
    <w:rsid w:val="00116E53"/>
    <w:rsid w:val="00116EAD"/>
    <w:rsid w:val="00117198"/>
    <w:rsid w:val="001177B3"/>
    <w:rsid w:val="00117A9E"/>
    <w:rsid w:val="00117BB7"/>
    <w:rsid w:val="00117CAD"/>
    <w:rsid w:val="001200B8"/>
    <w:rsid w:val="00120BF0"/>
    <w:rsid w:val="001211EF"/>
    <w:rsid w:val="0012121A"/>
    <w:rsid w:val="00121622"/>
    <w:rsid w:val="0012190B"/>
    <w:rsid w:val="001222E5"/>
    <w:rsid w:val="00122A54"/>
    <w:rsid w:val="0012320F"/>
    <w:rsid w:val="00123C40"/>
    <w:rsid w:val="001243B6"/>
    <w:rsid w:val="00124550"/>
    <w:rsid w:val="00124C41"/>
    <w:rsid w:val="00124E2B"/>
    <w:rsid w:val="00125C27"/>
    <w:rsid w:val="00126375"/>
    <w:rsid w:val="00126424"/>
    <w:rsid w:val="0012671C"/>
    <w:rsid w:val="00127EA3"/>
    <w:rsid w:val="00130057"/>
    <w:rsid w:val="00130538"/>
    <w:rsid w:val="00130DF2"/>
    <w:rsid w:val="001310BF"/>
    <w:rsid w:val="001310D2"/>
    <w:rsid w:val="00131294"/>
    <w:rsid w:val="001316C0"/>
    <w:rsid w:val="00131A15"/>
    <w:rsid w:val="00131B77"/>
    <w:rsid w:val="00131D7E"/>
    <w:rsid w:val="001323F2"/>
    <w:rsid w:val="00132430"/>
    <w:rsid w:val="001327B7"/>
    <w:rsid w:val="0013280A"/>
    <w:rsid w:val="00132B6B"/>
    <w:rsid w:val="00132C78"/>
    <w:rsid w:val="00132D64"/>
    <w:rsid w:val="00132EEC"/>
    <w:rsid w:val="00132FFA"/>
    <w:rsid w:val="00133807"/>
    <w:rsid w:val="00133B49"/>
    <w:rsid w:val="001341AC"/>
    <w:rsid w:val="0013422E"/>
    <w:rsid w:val="00134357"/>
    <w:rsid w:val="001349C3"/>
    <w:rsid w:val="00135331"/>
    <w:rsid w:val="001357BC"/>
    <w:rsid w:val="00135F80"/>
    <w:rsid w:val="001362EE"/>
    <w:rsid w:val="001368D9"/>
    <w:rsid w:val="00136D63"/>
    <w:rsid w:val="00136F46"/>
    <w:rsid w:val="0013758D"/>
    <w:rsid w:val="00140082"/>
    <w:rsid w:val="0014024E"/>
    <w:rsid w:val="00140675"/>
    <w:rsid w:val="001406C8"/>
    <w:rsid w:val="001409C1"/>
    <w:rsid w:val="001415DE"/>
    <w:rsid w:val="0014179A"/>
    <w:rsid w:val="00141B90"/>
    <w:rsid w:val="00141DEC"/>
    <w:rsid w:val="001423B1"/>
    <w:rsid w:val="00142582"/>
    <w:rsid w:val="0014280E"/>
    <w:rsid w:val="00142FEB"/>
    <w:rsid w:val="001431DA"/>
    <w:rsid w:val="0014381B"/>
    <w:rsid w:val="00143CBA"/>
    <w:rsid w:val="001448C0"/>
    <w:rsid w:val="00144BBF"/>
    <w:rsid w:val="001450D9"/>
    <w:rsid w:val="001451A1"/>
    <w:rsid w:val="00145A24"/>
    <w:rsid w:val="00145A2A"/>
    <w:rsid w:val="00145C5C"/>
    <w:rsid w:val="00145FB4"/>
    <w:rsid w:val="00146023"/>
    <w:rsid w:val="00146440"/>
    <w:rsid w:val="00146670"/>
    <w:rsid w:val="00146832"/>
    <w:rsid w:val="00146DFC"/>
    <w:rsid w:val="00147021"/>
    <w:rsid w:val="0014735C"/>
    <w:rsid w:val="001473C3"/>
    <w:rsid w:val="00147521"/>
    <w:rsid w:val="00147618"/>
    <w:rsid w:val="00147CA6"/>
    <w:rsid w:val="00150343"/>
    <w:rsid w:val="00150837"/>
    <w:rsid w:val="00150896"/>
    <w:rsid w:val="001512BB"/>
    <w:rsid w:val="001514A5"/>
    <w:rsid w:val="00151833"/>
    <w:rsid w:val="00151F01"/>
    <w:rsid w:val="00153521"/>
    <w:rsid w:val="001536AE"/>
    <w:rsid w:val="001539BD"/>
    <w:rsid w:val="00153A2B"/>
    <w:rsid w:val="00153D29"/>
    <w:rsid w:val="001546D2"/>
    <w:rsid w:val="00154922"/>
    <w:rsid w:val="00155374"/>
    <w:rsid w:val="001564B0"/>
    <w:rsid w:val="0015671A"/>
    <w:rsid w:val="00157D67"/>
    <w:rsid w:val="001603FF"/>
    <w:rsid w:val="001609AC"/>
    <w:rsid w:val="00160AB4"/>
    <w:rsid w:val="00160FA2"/>
    <w:rsid w:val="00161176"/>
    <w:rsid w:val="00161FF2"/>
    <w:rsid w:val="00162658"/>
    <w:rsid w:val="0016328E"/>
    <w:rsid w:val="00163552"/>
    <w:rsid w:val="0016356F"/>
    <w:rsid w:val="00163D14"/>
    <w:rsid w:val="0016409D"/>
    <w:rsid w:val="00164FA7"/>
    <w:rsid w:val="00165621"/>
    <w:rsid w:val="0016585E"/>
    <w:rsid w:val="00165D4D"/>
    <w:rsid w:val="001660E9"/>
    <w:rsid w:val="0016612C"/>
    <w:rsid w:val="001662F0"/>
    <w:rsid w:val="001664E2"/>
    <w:rsid w:val="00166622"/>
    <w:rsid w:val="001666CC"/>
    <w:rsid w:val="00167B15"/>
    <w:rsid w:val="001700C1"/>
    <w:rsid w:val="00170759"/>
    <w:rsid w:val="00170944"/>
    <w:rsid w:val="00170CE6"/>
    <w:rsid w:val="00171019"/>
    <w:rsid w:val="00171044"/>
    <w:rsid w:val="0017106A"/>
    <w:rsid w:val="001711E6"/>
    <w:rsid w:val="001719C0"/>
    <w:rsid w:val="00171FF2"/>
    <w:rsid w:val="00172129"/>
    <w:rsid w:val="0017274B"/>
    <w:rsid w:val="00172B4A"/>
    <w:rsid w:val="00172F1D"/>
    <w:rsid w:val="0017372C"/>
    <w:rsid w:val="00173B79"/>
    <w:rsid w:val="00173FA1"/>
    <w:rsid w:val="001741E8"/>
    <w:rsid w:val="001744BA"/>
    <w:rsid w:val="00174569"/>
    <w:rsid w:val="001749B4"/>
    <w:rsid w:val="00175379"/>
    <w:rsid w:val="001755C2"/>
    <w:rsid w:val="00176202"/>
    <w:rsid w:val="00176245"/>
    <w:rsid w:val="0017680C"/>
    <w:rsid w:val="0017696C"/>
    <w:rsid w:val="00176B9C"/>
    <w:rsid w:val="0017743E"/>
    <w:rsid w:val="0017745E"/>
    <w:rsid w:val="001775B5"/>
    <w:rsid w:val="0017794A"/>
    <w:rsid w:val="00177AB2"/>
    <w:rsid w:val="00177EFA"/>
    <w:rsid w:val="00177F50"/>
    <w:rsid w:val="00180260"/>
    <w:rsid w:val="001802E5"/>
    <w:rsid w:val="00180D1A"/>
    <w:rsid w:val="00181586"/>
    <w:rsid w:val="00181D58"/>
    <w:rsid w:val="00182C66"/>
    <w:rsid w:val="00182E15"/>
    <w:rsid w:val="001830C0"/>
    <w:rsid w:val="001832DC"/>
    <w:rsid w:val="00183578"/>
    <w:rsid w:val="00184411"/>
    <w:rsid w:val="0018453A"/>
    <w:rsid w:val="00184707"/>
    <w:rsid w:val="00184C43"/>
    <w:rsid w:val="00185802"/>
    <w:rsid w:val="00185AB0"/>
    <w:rsid w:val="00185B66"/>
    <w:rsid w:val="00185C4E"/>
    <w:rsid w:val="001863A6"/>
    <w:rsid w:val="001863C2"/>
    <w:rsid w:val="001872B6"/>
    <w:rsid w:val="0018779A"/>
    <w:rsid w:val="00187841"/>
    <w:rsid w:val="0018796A"/>
    <w:rsid w:val="001879DB"/>
    <w:rsid w:val="00190274"/>
    <w:rsid w:val="001902E5"/>
    <w:rsid w:val="00190789"/>
    <w:rsid w:val="001908EA"/>
    <w:rsid w:val="001909F5"/>
    <w:rsid w:val="00190A1C"/>
    <w:rsid w:val="001911A3"/>
    <w:rsid w:val="00191508"/>
    <w:rsid w:val="0019154A"/>
    <w:rsid w:val="001918F5"/>
    <w:rsid w:val="001919D6"/>
    <w:rsid w:val="00192888"/>
    <w:rsid w:val="00193940"/>
    <w:rsid w:val="00193CEF"/>
    <w:rsid w:val="00193E90"/>
    <w:rsid w:val="00194840"/>
    <w:rsid w:val="001948D0"/>
    <w:rsid w:val="00194B7C"/>
    <w:rsid w:val="00194C15"/>
    <w:rsid w:val="001953D9"/>
    <w:rsid w:val="00195458"/>
    <w:rsid w:val="00195B98"/>
    <w:rsid w:val="0019605E"/>
    <w:rsid w:val="00196F2C"/>
    <w:rsid w:val="0019711F"/>
    <w:rsid w:val="00197305"/>
    <w:rsid w:val="0019734C"/>
    <w:rsid w:val="001973A2"/>
    <w:rsid w:val="00197B5D"/>
    <w:rsid w:val="00197DA8"/>
    <w:rsid w:val="00197F35"/>
    <w:rsid w:val="00197F4B"/>
    <w:rsid w:val="00197FCE"/>
    <w:rsid w:val="001A0728"/>
    <w:rsid w:val="001A0932"/>
    <w:rsid w:val="001A09A7"/>
    <w:rsid w:val="001A0A61"/>
    <w:rsid w:val="001A0ACF"/>
    <w:rsid w:val="001A0BF0"/>
    <w:rsid w:val="001A0C9E"/>
    <w:rsid w:val="001A104C"/>
    <w:rsid w:val="001A10E2"/>
    <w:rsid w:val="001A1106"/>
    <w:rsid w:val="001A14A9"/>
    <w:rsid w:val="001A235D"/>
    <w:rsid w:val="001A2377"/>
    <w:rsid w:val="001A2772"/>
    <w:rsid w:val="001A2DA6"/>
    <w:rsid w:val="001A2E5E"/>
    <w:rsid w:val="001A3033"/>
    <w:rsid w:val="001A3147"/>
    <w:rsid w:val="001A32D9"/>
    <w:rsid w:val="001A34CC"/>
    <w:rsid w:val="001A390C"/>
    <w:rsid w:val="001A4751"/>
    <w:rsid w:val="001A477C"/>
    <w:rsid w:val="001A4DAD"/>
    <w:rsid w:val="001A5239"/>
    <w:rsid w:val="001A5296"/>
    <w:rsid w:val="001A544A"/>
    <w:rsid w:val="001A567F"/>
    <w:rsid w:val="001A59E8"/>
    <w:rsid w:val="001A5C45"/>
    <w:rsid w:val="001A5E9B"/>
    <w:rsid w:val="001A6402"/>
    <w:rsid w:val="001A715D"/>
    <w:rsid w:val="001A7377"/>
    <w:rsid w:val="001A761F"/>
    <w:rsid w:val="001A7A8F"/>
    <w:rsid w:val="001B0AA7"/>
    <w:rsid w:val="001B15C4"/>
    <w:rsid w:val="001B16FD"/>
    <w:rsid w:val="001B21A8"/>
    <w:rsid w:val="001B23BD"/>
    <w:rsid w:val="001B2487"/>
    <w:rsid w:val="001B2511"/>
    <w:rsid w:val="001B2D97"/>
    <w:rsid w:val="001B31DB"/>
    <w:rsid w:val="001B339E"/>
    <w:rsid w:val="001B33FC"/>
    <w:rsid w:val="001B350D"/>
    <w:rsid w:val="001B36AD"/>
    <w:rsid w:val="001B36FC"/>
    <w:rsid w:val="001B39C9"/>
    <w:rsid w:val="001B42E4"/>
    <w:rsid w:val="001B4539"/>
    <w:rsid w:val="001B4609"/>
    <w:rsid w:val="001B4A2C"/>
    <w:rsid w:val="001B4D86"/>
    <w:rsid w:val="001B5AFC"/>
    <w:rsid w:val="001B5E7B"/>
    <w:rsid w:val="001B6280"/>
    <w:rsid w:val="001B62D4"/>
    <w:rsid w:val="001B6515"/>
    <w:rsid w:val="001B7628"/>
    <w:rsid w:val="001B7C27"/>
    <w:rsid w:val="001B7D1F"/>
    <w:rsid w:val="001C002E"/>
    <w:rsid w:val="001C017F"/>
    <w:rsid w:val="001C0865"/>
    <w:rsid w:val="001C0BA1"/>
    <w:rsid w:val="001C1928"/>
    <w:rsid w:val="001C1B7D"/>
    <w:rsid w:val="001C1D69"/>
    <w:rsid w:val="001C2931"/>
    <w:rsid w:val="001C31F2"/>
    <w:rsid w:val="001C3421"/>
    <w:rsid w:val="001C345D"/>
    <w:rsid w:val="001C35CA"/>
    <w:rsid w:val="001C3E6E"/>
    <w:rsid w:val="001C4A10"/>
    <w:rsid w:val="001C50CE"/>
    <w:rsid w:val="001C5EB7"/>
    <w:rsid w:val="001C6161"/>
    <w:rsid w:val="001C6681"/>
    <w:rsid w:val="001C6C00"/>
    <w:rsid w:val="001C77F8"/>
    <w:rsid w:val="001C7838"/>
    <w:rsid w:val="001C7904"/>
    <w:rsid w:val="001D015E"/>
    <w:rsid w:val="001D0634"/>
    <w:rsid w:val="001D0702"/>
    <w:rsid w:val="001D0A15"/>
    <w:rsid w:val="001D0BDA"/>
    <w:rsid w:val="001D13F0"/>
    <w:rsid w:val="001D175D"/>
    <w:rsid w:val="001D1B56"/>
    <w:rsid w:val="001D268A"/>
    <w:rsid w:val="001D2C28"/>
    <w:rsid w:val="001D36FF"/>
    <w:rsid w:val="001D3903"/>
    <w:rsid w:val="001D4423"/>
    <w:rsid w:val="001D4984"/>
    <w:rsid w:val="001D4B9E"/>
    <w:rsid w:val="001D50A3"/>
    <w:rsid w:val="001D51E9"/>
    <w:rsid w:val="001D557C"/>
    <w:rsid w:val="001D59C8"/>
    <w:rsid w:val="001D5A98"/>
    <w:rsid w:val="001D5EF4"/>
    <w:rsid w:val="001D6711"/>
    <w:rsid w:val="001D6738"/>
    <w:rsid w:val="001D6A74"/>
    <w:rsid w:val="001D6C4C"/>
    <w:rsid w:val="001D6C8D"/>
    <w:rsid w:val="001D6F61"/>
    <w:rsid w:val="001D7062"/>
    <w:rsid w:val="001D78CF"/>
    <w:rsid w:val="001D7F92"/>
    <w:rsid w:val="001E0033"/>
    <w:rsid w:val="001E01D2"/>
    <w:rsid w:val="001E038B"/>
    <w:rsid w:val="001E03F0"/>
    <w:rsid w:val="001E0727"/>
    <w:rsid w:val="001E079B"/>
    <w:rsid w:val="001E0883"/>
    <w:rsid w:val="001E0EBE"/>
    <w:rsid w:val="001E11C7"/>
    <w:rsid w:val="001E2148"/>
    <w:rsid w:val="001E2576"/>
    <w:rsid w:val="001E2878"/>
    <w:rsid w:val="001E297A"/>
    <w:rsid w:val="001E2B2C"/>
    <w:rsid w:val="001E2D94"/>
    <w:rsid w:val="001E33A0"/>
    <w:rsid w:val="001E3417"/>
    <w:rsid w:val="001E38CB"/>
    <w:rsid w:val="001E394D"/>
    <w:rsid w:val="001E45F9"/>
    <w:rsid w:val="001E4879"/>
    <w:rsid w:val="001E48F8"/>
    <w:rsid w:val="001E4901"/>
    <w:rsid w:val="001E5185"/>
    <w:rsid w:val="001E5BF1"/>
    <w:rsid w:val="001E5FA7"/>
    <w:rsid w:val="001E60E1"/>
    <w:rsid w:val="001E63B8"/>
    <w:rsid w:val="001E6632"/>
    <w:rsid w:val="001E6BFA"/>
    <w:rsid w:val="001E7012"/>
    <w:rsid w:val="001E701C"/>
    <w:rsid w:val="001E7247"/>
    <w:rsid w:val="001E763E"/>
    <w:rsid w:val="001E7DD5"/>
    <w:rsid w:val="001F0547"/>
    <w:rsid w:val="001F05EA"/>
    <w:rsid w:val="001F07D8"/>
    <w:rsid w:val="001F0945"/>
    <w:rsid w:val="001F0BBF"/>
    <w:rsid w:val="001F0BDA"/>
    <w:rsid w:val="001F0C37"/>
    <w:rsid w:val="001F226A"/>
    <w:rsid w:val="001F28CE"/>
    <w:rsid w:val="001F2EE9"/>
    <w:rsid w:val="001F3A1D"/>
    <w:rsid w:val="001F3DB0"/>
    <w:rsid w:val="001F4035"/>
    <w:rsid w:val="001F4B3D"/>
    <w:rsid w:val="001F4DC7"/>
    <w:rsid w:val="001F5668"/>
    <w:rsid w:val="001F5AA6"/>
    <w:rsid w:val="001F5C83"/>
    <w:rsid w:val="001F5F19"/>
    <w:rsid w:val="001F67D7"/>
    <w:rsid w:val="001F6BC1"/>
    <w:rsid w:val="001F725B"/>
    <w:rsid w:val="001F749A"/>
    <w:rsid w:val="001F7B8C"/>
    <w:rsid w:val="002002C4"/>
    <w:rsid w:val="00200641"/>
    <w:rsid w:val="00200C7C"/>
    <w:rsid w:val="00200DC6"/>
    <w:rsid w:val="00201BF5"/>
    <w:rsid w:val="0020244A"/>
    <w:rsid w:val="002024CF"/>
    <w:rsid w:val="002025A3"/>
    <w:rsid w:val="00202B54"/>
    <w:rsid w:val="00202C8D"/>
    <w:rsid w:val="00202F60"/>
    <w:rsid w:val="00203BF6"/>
    <w:rsid w:val="00203E55"/>
    <w:rsid w:val="00203E8D"/>
    <w:rsid w:val="00204C02"/>
    <w:rsid w:val="00204DF6"/>
    <w:rsid w:val="00205DC3"/>
    <w:rsid w:val="00205F72"/>
    <w:rsid w:val="00205FA1"/>
    <w:rsid w:val="002060E3"/>
    <w:rsid w:val="00206351"/>
    <w:rsid w:val="002066B0"/>
    <w:rsid w:val="002069B4"/>
    <w:rsid w:val="00206AD7"/>
    <w:rsid w:val="00206E91"/>
    <w:rsid w:val="0020717B"/>
    <w:rsid w:val="00207B12"/>
    <w:rsid w:val="00207C33"/>
    <w:rsid w:val="00207F2F"/>
    <w:rsid w:val="00210683"/>
    <w:rsid w:val="00210838"/>
    <w:rsid w:val="002109F3"/>
    <w:rsid w:val="0021107F"/>
    <w:rsid w:val="002111EB"/>
    <w:rsid w:val="0021147A"/>
    <w:rsid w:val="002116E2"/>
    <w:rsid w:val="00211EE2"/>
    <w:rsid w:val="002127B3"/>
    <w:rsid w:val="002131A5"/>
    <w:rsid w:val="00213436"/>
    <w:rsid w:val="00213553"/>
    <w:rsid w:val="0021372F"/>
    <w:rsid w:val="0021392D"/>
    <w:rsid w:val="00213AAE"/>
    <w:rsid w:val="00213C7E"/>
    <w:rsid w:val="00213CE4"/>
    <w:rsid w:val="00214487"/>
    <w:rsid w:val="00214739"/>
    <w:rsid w:val="00214BC6"/>
    <w:rsid w:val="00214CF8"/>
    <w:rsid w:val="0021513B"/>
    <w:rsid w:val="002152F5"/>
    <w:rsid w:val="00215C17"/>
    <w:rsid w:val="0021615E"/>
    <w:rsid w:val="00216E46"/>
    <w:rsid w:val="00217216"/>
    <w:rsid w:val="00217876"/>
    <w:rsid w:val="00217A4D"/>
    <w:rsid w:val="00217F95"/>
    <w:rsid w:val="0022074F"/>
    <w:rsid w:val="00220B8E"/>
    <w:rsid w:val="0022147D"/>
    <w:rsid w:val="002214AE"/>
    <w:rsid w:val="0022198B"/>
    <w:rsid w:val="002226ED"/>
    <w:rsid w:val="002228ED"/>
    <w:rsid w:val="00222E2E"/>
    <w:rsid w:val="002230E2"/>
    <w:rsid w:val="00224426"/>
    <w:rsid w:val="00224AAB"/>
    <w:rsid w:val="00224B93"/>
    <w:rsid w:val="00225145"/>
    <w:rsid w:val="002253D7"/>
    <w:rsid w:val="002257D3"/>
    <w:rsid w:val="002259A3"/>
    <w:rsid w:val="00226496"/>
    <w:rsid w:val="00226610"/>
    <w:rsid w:val="00226705"/>
    <w:rsid w:val="00226EAC"/>
    <w:rsid w:val="00226EBD"/>
    <w:rsid w:val="0022709E"/>
    <w:rsid w:val="00227A9A"/>
    <w:rsid w:val="00227B40"/>
    <w:rsid w:val="00227ED3"/>
    <w:rsid w:val="002301A8"/>
    <w:rsid w:val="00230427"/>
    <w:rsid w:val="00230562"/>
    <w:rsid w:val="002306F3"/>
    <w:rsid w:val="00230F7B"/>
    <w:rsid w:val="00230FB8"/>
    <w:rsid w:val="0023135B"/>
    <w:rsid w:val="00231414"/>
    <w:rsid w:val="00231E7F"/>
    <w:rsid w:val="002324B6"/>
    <w:rsid w:val="00233638"/>
    <w:rsid w:val="00233710"/>
    <w:rsid w:val="00233CD1"/>
    <w:rsid w:val="00234837"/>
    <w:rsid w:val="00234A61"/>
    <w:rsid w:val="002350DF"/>
    <w:rsid w:val="00235265"/>
    <w:rsid w:val="002352C2"/>
    <w:rsid w:val="00235A3B"/>
    <w:rsid w:val="00235B8A"/>
    <w:rsid w:val="002360DE"/>
    <w:rsid w:val="00236179"/>
    <w:rsid w:val="002364BA"/>
    <w:rsid w:val="00237035"/>
    <w:rsid w:val="002370CB"/>
    <w:rsid w:val="002372F9"/>
    <w:rsid w:val="00237624"/>
    <w:rsid w:val="002378CB"/>
    <w:rsid w:val="00240C78"/>
    <w:rsid w:val="00240E9B"/>
    <w:rsid w:val="002410B0"/>
    <w:rsid w:val="00241261"/>
    <w:rsid w:val="002417B1"/>
    <w:rsid w:val="002418AA"/>
    <w:rsid w:val="00241976"/>
    <w:rsid w:val="00241F7A"/>
    <w:rsid w:val="00242B93"/>
    <w:rsid w:val="002440BF"/>
    <w:rsid w:val="00244129"/>
    <w:rsid w:val="00244698"/>
    <w:rsid w:val="0024497D"/>
    <w:rsid w:val="00244C0B"/>
    <w:rsid w:val="002451B6"/>
    <w:rsid w:val="0024560E"/>
    <w:rsid w:val="002458D8"/>
    <w:rsid w:val="00245A09"/>
    <w:rsid w:val="00245B04"/>
    <w:rsid w:val="00245C5A"/>
    <w:rsid w:val="00245CCA"/>
    <w:rsid w:val="00245E60"/>
    <w:rsid w:val="002464EC"/>
    <w:rsid w:val="002467EE"/>
    <w:rsid w:val="00246EB6"/>
    <w:rsid w:val="00246FA8"/>
    <w:rsid w:val="002475E7"/>
    <w:rsid w:val="002479E6"/>
    <w:rsid w:val="00247A68"/>
    <w:rsid w:val="00247B95"/>
    <w:rsid w:val="002501C7"/>
    <w:rsid w:val="00250522"/>
    <w:rsid w:val="00250630"/>
    <w:rsid w:val="00250B9C"/>
    <w:rsid w:val="00250C52"/>
    <w:rsid w:val="00251088"/>
    <w:rsid w:val="002517D2"/>
    <w:rsid w:val="002518CC"/>
    <w:rsid w:val="00251A37"/>
    <w:rsid w:val="00251BE0"/>
    <w:rsid w:val="00252090"/>
    <w:rsid w:val="00252968"/>
    <w:rsid w:val="00252BE2"/>
    <w:rsid w:val="0025336B"/>
    <w:rsid w:val="002543D4"/>
    <w:rsid w:val="0025456B"/>
    <w:rsid w:val="00254B38"/>
    <w:rsid w:val="00254BB9"/>
    <w:rsid w:val="00256329"/>
    <w:rsid w:val="002569B0"/>
    <w:rsid w:val="00256A1A"/>
    <w:rsid w:val="00256B63"/>
    <w:rsid w:val="00256CEB"/>
    <w:rsid w:val="002572D5"/>
    <w:rsid w:val="002574EF"/>
    <w:rsid w:val="00257567"/>
    <w:rsid w:val="00257A5F"/>
    <w:rsid w:val="00257AB5"/>
    <w:rsid w:val="00260382"/>
    <w:rsid w:val="00260460"/>
    <w:rsid w:val="002608E3"/>
    <w:rsid w:val="00260C04"/>
    <w:rsid w:val="0026146E"/>
    <w:rsid w:val="0026262D"/>
    <w:rsid w:val="002628AF"/>
    <w:rsid w:val="00262A34"/>
    <w:rsid w:val="00263BA9"/>
    <w:rsid w:val="00264076"/>
    <w:rsid w:val="0026423A"/>
    <w:rsid w:val="0026492C"/>
    <w:rsid w:val="00264A43"/>
    <w:rsid w:val="002660FD"/>
    <w:rsid w:val="002662FB"/>
    <w:rsid w:val="00266F3D"/>
    <w:rsid w:val="00267438"/>
    <w:rsid w:val="00267D2D"/>
    <w:rsid w:val="00270AD6"/>
    <w:rsid w:val="00270DC5"/>
    <w:rsid w:val="0027143B"/>
    <w:rsid w:val="00271A7B"/>
    <w:rsid w:val="00271B41"/>
    <w:rsid w:val="00271EE8"/>
    <w:rsid w:val="0027248A"/>
    <w:rsid w:val="00272910"/>
    <w:rsid w:val="00272A3E"/>
    <w:rsid w:val="00273A4B"/>
    <w:rsid w:val="00273B7F"/>
    <w:rsid w:val="002740C0"/>
    <w:rsid w:val="0027431A"/>
    <w:rsid w:val="00274AD3"/>
    <w:rsid w:val="00274B1B"/>
    <w:rsid w:val="00275B73"/>
    <w:rsid w:val="00275BA7"/>
    <w:rsid w:val="00275CD2"/>
    <w:rsid w:val="002769D5"/>
    <w:rsid w:val="00276DC2"/>
    <w:rsid w:val="00277380"/>
    <w:rsid w:val="00277488"/>
    <w:rsid w:val="00277603"/>
    <w:rsid w:val="002776E7"/>
    <w:rsid w:val="00277870"/>
    <w:rsid w:val="00277C2D"/>
    <w:rsid w:val="00277E02"/>
    <w:rsid w:val="00280F76"/>
    <w:rsid w:val="002810AF"/>
    <w:rsid w:val="00281209"/>
    <w:rsid w:val="00281449"/>
    <w:rsid w:val="0028220C"/>
    <w:rsid w:val="002823C4"/>
    <w:rsid w:val="002824F0"/>
    <w:rsid w:val="0028271A"/>
    <w:rsid w:val="002829C1"/>
    <w:rsid w:val="00282B70"/>
    <w:rsid w:val="00282CF6"/>
    <w:rsid w:val="002830AE"/>
    <w:rsid w:val="0028328B"/>
    <w:rsid w:val="00283740"/>
    <w:rsid w:val="0028441F"/>
    <w:rsid w:val="002851A6"/>
    <w:rsid w:val="00285511"/>
    <w:rsid w:val="00285962"/>
    <w:rsid w:val="00285D66"/>
    <w:rsid w:val="0028608B"/>
    <w:rsid w:val="0028687C"/>
    <w:rsid w:val="00287331"/>
    <w:rsid w:val="00287382"/>
    <w:rsid w:val="00287FD4"/>
    <w:rsid w:val="00290002"/>
    <w:rsid w:val="0029030A"/>
    <w:rsid w:val="002903ED"/>
    <w:rsid w:val="00290BB9"/>
    <w:rsid w:val="00290C44"/>
    <w:rsid w:val="00290DF8"/>
    <w:rsid w:val="00290E41"/>
    <w:rsid w:val="00290F20"/>
    <w:rsid w:val="00291242"/>
    <w:rsid w:val="00291424"/>
    <w:rsid w:val="00291745"/>
    <w:rsid w:val="00291C0D"/>
    <w:rsid w:val="00291E4E"/>
    <w:rsid w:val="0029209F"/>
    <w:rsid w:val="0029239C"/>
    <w:rsid w:val="00292434"/>
    <w:rsid w:val="00292610"/>
    <w:rsid w:val="00292999"/>
    <w:rsid w:val="00292ADE"/>
    <w:rsid w:val="00292F3C"/>
    <w:rsid w:val="00292FB3"/>
    <w:rsid w:val="00293066"/>
    <w:rsid w:val="002932C1"/>
    <w:rsid w:val="00293B96"/>
    <w:rsid w:val="00293E82"/>
    <w:rsid w:val="0029404A"/>
    <w:rsid w:val="0029414B"/>
    <w:rsid w:val="002943BF"/>
    <w:rsid w:val="00294FDA"/>
    <w:rsid w:val="0029531C"/>
    <w:rsid w:val="002957A5"/>
    <w:rsid w:val="00296DBB"/>
    <w:rsid w:val="0029784E"/>
    <w:rsid w:val="002A0497"/>
    <w:rsid w:val="002A0821"/>
    <w:rsid w:val="002A0B0D"/>
    <w:rsid w:val="002A0DEA"/>
    <w:rsid w:val="002A0E76"/>
    <w:rsid w:val="002A0F25"/>
    <w:rsid w:val="002A1721"/>
    <w:rsid w:val="002A194C"/>
    <w:rsid w:val="002A1B6A"/>
    <w:rsid w:val="002A2050"/>
    <w:rsid w:val="002A20F9"/>
    <w:rsid w:val="002A2319"/>
    <w:rsid w:val="002A234F"/>
    <w:rsid w:val="002A2487"/>
    <w:rsid w:val="002A2B60"/>
    <w:rsid w:val="002A39DC"/>
    <w:rsid w:val="002A40F2"/>
    <w:rsid w:val="002A4500"/>
    <w:rsid w:val="002A48C2"/>
    <w:rsid w:val="002A4FAB"/>
    <w:rsid w:val="002A5032"/>
    <w:rsid w:val="002A5263"/>
    <w:rsid w:val="002A5292"/>
    <w:rsid w:val="002A5442"/>
    <w:rsid w:val="002A583C"/>
    <w:rsid w:val="002A6253"/>
    <w:rsid w:val="002A645B"/>
    <w:rsid w:val="002A69B3"/>
    <w:rsid w:val="002A6E71"/>
    <w:rsid w:val="002A72C0"/>
    <w:rsid w:val="002A7436"/>
    <w:rsid w:val="002A7550"/>
    <w:rsid w:val="002A7732"/>
    <w:rsid w:val="002A7C48"/>
    <w:rsid w:val="002A7FB6"/>
    <w:rsid w:val="002B059F"/>
    <w:rsid w:val="002B0A9E"/>
    <w:rsid w:val="002B1691"/>
    <w:rsid w:val="002B17AD"/>
    <w:rsid w:val="002B1A1E"/>
    <w:rsid w:val="002B1A6E"/>
    <w:rsid w:val="002B1CB7"/>
    <w:rsid w:val="002B1FBF"/>
    <w:rsid w:val="002B2002"/>
    <w:rsid w:val="002B218B"/>
    <w:rsid w:val="002B293E"/>
    <w:rsid w:val="002B2988"/>
    <w:rsid w:val="002B2EC6"/>
    <w:rsid w:val="002B30D6"/>
    <w:rsid w:val="002B38DF"/>
    <w:rsid w:val="002B393C"/>
    <w:rsid w:val="002B39D0"/>
    <w:rsid w:val="002B3EC0"/>
    <w:rsid w:val="002B449B"/>
    <w:rsid w:val="002B5206"/>
    <w:rsid w:val="002B58CC"/>
    <w:rsid w:val="002B6000"/>
    <w:rsid w:val="002B6E12"/>
    <w:rsid w:val="002B6FE8"/>
    <w:rsid w:val="002B7121"/>
    <w:rsid w:val="002B72F0"/>
    <w:rsid w:val="002B7629"/>
    <w:rsid w:val="002B7681"/>
    <w:rsid w:val="002B76CE"/>
    <w:rsid w:val="002B7CD7"/>
    <w:rsid w:val="002C014A"/>
    <w:rsid w:val="002C01DC"/>
    <w:rsid w:val="002C077A"/>
    <w:rsid w:val="002C14D2"/>
    <w:rsid w:val="002C1782"/>
    <w:rsid w:val="002C1D4A"/>
    <w:rsid w:val="002C2004"/>
    <w:rsid w:val="002C2705"/>
    <w:rsid w:val="002C2745"/>
    <w:rsid w:val="002C3256"/>
    <w:rsid w:val="002C369F"/>
    <w:rsid w:val="002C3B70"/>
    <w:rsid w:val="002C3ED7"/>
    <w:rsid w:val="002C43DA"/>
    <w:rsid w:val="002C4446"/>
    <w:rsid w:val="002C4481"/>
    <w:rsid w:val="002C467E"/>
    <w:rsid w:val="002C48FE"/>
    <w:rsid w:val="002C4B5C"/>
    <w:rsid w:val="002C4D40"/>
    <w:rsid w:val="002C5305"/>
    <w:rsid w:val="002C5506"/>
    <w:rsid w:val="002C5AAD"/>
    <w:rsid w:val="002C5F39"/>
    <w:rsid w:val="002C6790"/>
    <w:rsid w:val="002C696F"/>
    <w:rsid w:val="002C69F9"/>
    <w:rsid w:val="002C6F1C"/>
    <w:rsid w:val="002C71F4"/>
    <w:rsid w:val="002C758D"/>
    <w:rsid w:val="002C7CFD"/>
    <w:rsid w:val="002C7D4D"/>
    <w:rsid w:val="002D0AD9"/>
    <w:rsid w:val="002D0B46"/>
    <w:rsid w:val="002D0FDB"/>
    <w:rsid w:val="002D15E6"/>
    <w:rsid w:val="002D1BD4"/>
    <w:rsid w:val="002D1F75"/>
    <w:rsid w:val="002D2453"/>
    <w:rsid w:val="002D2A8C"/>
    <w:rsid w:val="002D2BE5"/>
    <w:rsid w:val="002D2BF0"/>
    <w:rsid w:val="002D2C21"/>
    <w:rsid w:val="002D2C73"/>
    <w:rsid w:val="002D2D29"/>
    <w:rsid w:val="002D30BB"/>
    <w:rsid w:val="002D37CC"/>
    <w:rsid w:val="002D3AE7"/>
    <w:rsid w:val="002D3CAC"/>
    <w:rsid w:val="002D3F58"/>
    <w:rsid w:val="002D444A"/>
    <w:rsid w:val="002D4706"/>
    <w:rsid w:val="002D4C9A"/>
    <w:rsid w:val="002D53CE"/>
    <w:rsid w:val="002D59A3"/>
    <w:rsid w:val="002D5C02"/>
    <w:rsid w:val="002D61A8"/>
    <w:rsid w:val="002D6269"/>
    <w:rsid w:val="002D630D"/>
    <w:rsid w:val="002D6690"/>
    <w:rsid w:val="002D6861"/>
    <w:rsid w:val="002D72E9"/>
    <w:rsid w:val="002D7380"/>
    <w:rsid w:val="002D78BB"/>
    <w:rsid w:val="002D7FD0"/>
    <w:rsid w:val="002E010F"/>
    <w:rsid w:val="002E0207"/>
    <w:rsid w:val="002E07B9"/>
    <w:rsid w:val="002E0D60"/>
    <w:rsid w:val="002E148C"/>
    <w:rsid w:val="002E15C7"/>
    <w:rsid w:val="002E1781"/>
    <w:rsid w:val="002E1E42"/>
    <w:rsid w:val="002E20B6"/>
    <w:rsid w:val="002E213B"/>
    <w:rsid w:val="002E22ED"/>
    <w:rsid w:val="002E2435"/>
    <w:rsid w:val="002E3129"/>
    <w:rsid w:val="002E3333"/>
    <w:rsid w:val="002E37DC"/>
    <w:rsid w:val="002E435A"/>
    <w:rsid w:val="002E43B7"/>
    <w:rsid w:val="002E472D"/>
    <w:rsid w:val="002E5188"/>
    <w:rsid w:val="002E52C7"/>
    <w:rsid w:val="002E5815"/>
    <w:rsid w:val="002E586A"/>
    <w:rsid w:val="002E58F0"/>
    <w:rsid w:val="002E5CA2"/>
    <w:rsid w:val="002E5EFC"/>
    <w:rsid w:val="002E5FA1"/>
    <w:rsid w:val="002E5FE6"/>
    <w:rsid w:val="002E6BB7"/>
    <w:rsid w:val="002E6CEB"/>
    <w:rsid w:val="002E6DC8"/>
    <w:rsid w:val="002E7284"/>
    <w:rsid w:val="002E7483"/>
    <w:rsid w:val="002E7917"/>
    <w:rsid w:val="002E7A6B"/>
    <w:rsid w:val="002E7DA5"/>
    <w:rsid w:val="002E7F8E"/>
    <w:rsid w:val="002F0442"/>
    <w:rsid w:val="002F0D3D"/>
    <w:rsid w:val="002F0E95"/>
    <w:rsid w:val="002F10E2"/>
    <w:rsid w:val="002F13B9"/>
    <w:rsid w:val="002F1A28"/>
    <w:rsid w:val="002F1A80"/>
    <w:rsid w:val="002F21AE"/>
    <w:rsid w:val="002F2328"/>
    <w:rsid w:val="002F2561"/>
    <w:rsid w:val="002F25AF"/>
    <w:rsid w:val="002F29AA"/>
    <w:rsid w:val="002F2BCC"/>
    <w:rsid w:val="002F2C99"/>
    <w:rsid w:val="002F3814"/>
    <w:rsid w:val="002F3DFB"/>
    <w:rsid w:val="002F43FA"/>
    <w:rsid w:val="002F49F8"/>
    <w:rsid w:val="002F54E9"/>
    <w:rsid w:val="002F57D3"/>
    <w:rsid w:val="002F612A"/>
    <w:rsid w:val="002F6310"/>
    <w:rsid w:val="002F6960"/>
    <w:rsid w:val="002F6A58"/>
    <w:rsid w:val="002F73FA"/>
    <w:rsid w:val="002F778F"/>
    <w:rsid w:val="002F7812"/>
    <w:rsid w:val="00300020"/>
    <w:rsid w:val="003005F6"/>
    <w:rsid w:val="003006AC"/>
    <w:rsid w:val="003006D8"/>
    <w:rsid w:val="00300EFB"/>
    <w:rsid w:val="00300F40"/>
    <w:rsid w:val="003011B9"/>
    <w:rsid w:val="00301475"/>
    <w:rsid w:val="0030153D"/>
    <w:rsid w:val="00301BA4"/>
    <w:rsid w:val="00301D8D"/>
    <w:rsid w:val="00301FD0"/>
    <w:rsid w:val="00302208"/>
    <w:rsid w:val="00302656"/>
    <w:rsid w:val="003027DE"/>
    <w:rsid w:val="00302965"/>
    <w:rsid w:val="00302ED5"/>
    <w:rsid w:val="00302F9F"/>
    <w:rsid w:val="003030E7"/>
    <w:rsid w:val="0030310C"/>
    <w:rsid w:val="0030315C"/>
    <w:rsid w:val="003035A4"/>
    <w:rsid w:val="003036F7"/>
    <w:rsid w:val="00303745"/>
    <w:rsid w:val="00303F9F"/>
    <w:rsid w:val="003040E2"/>
    <w:rsid w:val="00304667"/>
    <w:rsid w:val="00304680"/>
    <w:rsid w:val="00304839"/>
    <w:rsid w:val="00304A8B"/>
    <w:rsid w:val="00304D51"/>
    <w:rsid w:val="0030516D"/>
    <w:rsid w:val="00305230"/>
    <w:rsid w:val="00305724"/>
    <w:rsid w:val="0030584B"/>
    <w:rsid w:val="003063A8"/>
    <w:rsid w:val="0030674D"/>
    <w:rsid w:val="00306F54"/>
    <w:rsid w:val="00306FF1"/>
    <w:rsid w:val="003073E3"/>
    <w:rsid w:val="00307B24"/>
    <w:rsid w:val="00310798"/>
    <w:rsid w:val="0031097B"/>
    <w:rsid w:val="00311439"/>
    <w:rsid w:val="003117EE"/>
    <w:rsid w:val="003119CB"/>
    <w:rsid w:val="00311F0B"/>
    <w:rsid w:val="00312167"/>
    <w:rsid w:val="00313D4E"/>
    <w:rsid w:val="00313F2B"/>
    <w:rsid w:val="0031428C"/>
    <w:rsid w:val="003146DA"/>
    <w:rsid w:val="00314BF1"/>
    <w:rsid w:val="00314FDD"/>
    <w:rsid w:val="00315E06"/>
    <w:rsid w:val="00315FD8"/>
    <w:rsid w:val="0031750F"/>
    <w:rsid w:val="0031766B"/>
    <w:rsid w:val="00317BE0"/>
    <w:rsid w:val="003202B3"/>
    <w:rsid w:val="003210C9"/>
    <w:rsid w:val="003212E1"/>
    <w:rsid w:val="00321510"/>
    <w:rsid w:val="003224B2"/>
    <w:rsid w:val="00322927"/>
    <w:rsid w:val="00323414"/>
    <w:rsid w:val="00323B19"/>
    <w:rsid w:val="0032496E"/>
    <w:rsid w:val="00324979"/>
    <w:rsid w:val="00324A71"/>
    <w:rsid w:val="00324EE5"/>
    <w:rsid w:val="00325B45"/>
    <w:rsid w:val="003261FA"/>
    <w:rsid w:val="003262D2"/>
    <w:rsid w:val="0032670B"/>
    <w:rsid w:val="003268F9"/>
    <w:rsid w:val="00327634"/>
    <w:rsid w:val="00327DDC"/>
    <w:rsid w:val="003301F1"/>
    <w:rsid w:val="003305CF"/>
    <w:rsid w:val="00330670"/>
    <w:rsid w:val="0033073F"/>
    <w:rsid w:val="003308F9"/>
    <w:rsid w:val="00330B9E"/>
    <w:rsid w:val="00330E23"/>
    <w:rsid w:val="00330FC6"/>
    <w:rsid w:val="003314C1"/>
    <w:rsid w:val="0033157C"/>
    <w:rsid w:val="00331596"/>
    <w:rsid w:val="00331710"/>
    <w:rsid w:val="00331A48"/>
    <w:rsid w:val="0033271F"/>
    <w:rsid w:val="00332AFD"/>
    <w:rsid w:val="003331CC"/>
    <w:rsid w:val="0033322E"/>
    <w:rsid w:val="00333591"/>
    <w:rsid w:val="00333650"/>
    <w:rsid w:val="0033367C"/>
    <w:rsid w:val="00333A4A"/>
    <w:rsid w:val="00334210"/>
    <w:rsid w:val="00334C09"/>
    <w:rsid w:val="0033504D"/>
    <w:rsid w:val="00335860"/>
    <w:rsid w:val="00335D7D"/>
    <w:rsid w:val="00336051"/>
    <w:rsid w:val="00336227"/>
    <w:rsid w:val="0033652D"/>
    <w:rsid w:val="0033674B"/>
    <w:rsid w:val="00336B82"/>
    <w:rsid w:val="0034037E"/>
    <w:rsid w:val="00340B6A"/>
    <w:rsid w:val="00340E85"/>
    <w:rsid w:val="0034107E"/>
    <w:rsid w:val="00341327"/>
    <w:rsid w:val="003419D2"/>
    <w:rsid w:val="00341B95"/>
    <w:rsid w:val="0034204B"/>
    <w:rsid w:val="003421EA"/>
    <w:rsid w:val="00342828"/>
    <w:rsid w:val="00342D0B"/>
    <w:rsid w:val="003434B8"/>
    <w:rsid w:val="00343691"/>
    <w:rsid w:val="003439CC"/>
    <w:rsid w:val="00344629"/>
    <w:rsid w:val="003451E2"/>
    <w:rsid w:val="00345A8A"/>
    <w:rsid w:val="00345C29"/>
    <w:rsid w:val="00345C75"/>
    <w:rsid w:val="00345D7C"/>
    <w:rsid w:val="0034603B"/>
    <w:rsid w:val="003461E1"/>
    <w:rsid w:val="00346466"/>
    <w:rsid w:val="003467A8"/>
    <w:rsid w:val="00346929"/>
    <w:rsid w:val="00346A2B"/>
    <w:rsid w:val="00347131"/>
    <w:rsid w:val="0034726E"/>
    <w:rsid w:val="0034772D"/>
    <w:rsid w:val="00347ADA"/>
    <w:rsid w:val="003500D4"/>
    <w:rsid w:val="00350300"/>
    <w:rsid w:val="00350483"/>
    <w:rsid w:val="003504FE"/>
    <w:rsid w:val="00350AC2"/>
    <w:rsid w:val="003514F7"/>
    <w:rsid w:val="0035150A"/>
    <w:rsid w:val="003521A0"/>
    <w:rsid w:val="003526C9"/>
    <w:rsid w:val="00352F1F"/>
    <w:rsid w:val="00353164"/>
    <w:rsid w:val="00353468"/>
    <w:rsid w:val="00353A8D"/>
    <w:rsid w:val="00353DDE"/>
    <w:rsid w:val="00354143"/>
    <w:rsid w:val="00354CF1"/>
    <w:rsid w:val="003552CF"/>
    <w:rsid w:val="00355452"/>
    <w:rsid w:val="003559A4"/>
    <w:rsid w:val="00355A5F"/>
    <w:rsid w:val="00355B2B"/>
    <w:rsid w:val="00355F8A"/>
    <w:rsid w:val="0035600F"/>
    <w:rsid w:val="003564F8"/>
    <w:rsid w:val="00356842"/>
    <w:rsid w:val="003569BE"/>
    <w:rsid w:val="00356EF2"/>
    <w:rsid w:val="00357A1C"/>
    <w:rsid w:val="00357A9F"/>
    <w:rsid w:val="00357DE0"/>
    <w:rsid w:val="003606EB"/>
    <w:rsid w:val="00360E0B"/>
    <w:rsid w:val="00360FDC"/>
    <w:rsid w:val="003614FB"/>
    <w:rsid w:val="00361511"/>
    <w:rsid w:val="00361751"/>
    <w:rsid w:val="003620F0"/>
    <w:rsid w:val="00362187"/>
    <w:rsid w:val="003623D1"/>
    <w:rsid w:val="003629BB"/>
    <w:rsid w:val="00362B0F"/>
    <w:rsid w:val="00362BC7"/>
    <w:rsid w:val="00362CD3"/>
    <w:rsid w:val="0036301A"/>
    <w:rsid w:val="0036308D"/>
    <w:rsid w:val="00363C6F"/>
    <w:rsid w:val="00363CA9"/>
    <w:rsid w:val="0036422A"/>
    <w:rsid w:val="003643FA"/>
    <w:rsid w:val="003646B0"/>
    <w:rsid w:val="0036529A"/>
    <w:rsid w:val="003658F6"/>
    <w:rsid w:val="00365A93"/>
    <w:rsid w:val="00365CD9"/>
    <w:rsid w:val="0036658C"/>
    <w:rsid w:val="0036698A"/>
    <w:rsid w:val="00366EFF"/>
    <w:rsid w:val="00367418"/>
    <w:rsid w:val="00367517"/>
    <w:rsid w:val="00367B09"/>
    <w:rsid w:val="00367E5C"/>
    <w:rsid w:val="0037009B"/>
    <w:rsid w:val="003701CC"/>
    <w:rsid w:val="00371A2E"/>
    <w:rsid w:val="00372800"/>
    <w:rsid w:val="00372ADD"/>
    <w:rsid w:val="00372E3A"/>
    <w:rsid w:val="00372F97"/>
    <w:rsid w:val="0037305C"/>
    <w:rsid w:val="00373319"/>
    <w:rsid w:val="003736DA"/>
    <w:rsid w:val="00373CFA"/>
    <w:rsid w:val="00373D46"/>
    <w:rsid w:val="00374ABA"/>
    <w:rsid w:val="00374E8D"/>
    <w:rsid w:val="00374F3B"/>
    <w:rsid w:val="00375714"/>
    <w:rsid w:val="00375B84"/>
    <w:rsid w:val="00375C5F"/>
    <w:rsid w:val="00375DDA"/>
    <w:rsid w:val="00376045"/>
    <w:rsid w:val="0037628C"/>
    <w:rsid w:val="00376658"/>
    <w:rsid w:val="0037666D"/>
    <w:rsid w:val="00376EAA"/>
    <w:rsid w:val="00377535"/>
    <w:rsid w:val="00377AF2"/>
    <w:rsid w:val="00377DBC"/>
    <w:rsid w:val="00377FDF"/>
    <w:rsid w:val="003802E3"/>
    <w:rsid w:val="003803B9"/>
    <w:rsid w:val="003804F6"/>
    <w:rsid w:val="003805A3"/>
    <w:rsid w:val="0038070C"/>
    <w:rsid w:val="00380C83"/>
    <w:rsid w:val="003810F8"/>
    <w:rsid w:val="003812BD"/>
    <w:rsid w:val="00381AEB"/>
    <w:rsid w:val="00381CBE"/>
    <w:rsid w:val="00382903"/>
    <w:rsid w:val="0038322B"/>
    <w:rsid w:val="003832A6"/>
    <w:rsid w:val="00383797"/>
    <w:rsid w:val="003838AC"/>
    <w:rsid w:val="00383B25"/>
    <w:rsid w:val="00385570"/>
    <w:rsid w:val="003858F7"/>
    <w:rsid w:val="00386157"/>
    <w:rsid w:val="003869A4"/>
    <w:rsid w:val="00387139"/>
    <w:rsid w:val="0038719E"/>
    <w:rsid w:val="00387296"/>
    <w:rsid w:val="003872C5"/>
    <w:rsid w:val="0038767D"/>
    <w:rsid w:val="003876F0"/>
    <w:rsid w:val="0038780D"/>
    <w:rsid w:val="00387913"/>
    <w:rsid w:val="00387AF7"/>
    <w:rsid w:val="00390812"/>
    <w:rsid w:val="00390F6F"/>
    <w:rsid w:val="003910A8"/>
    <w:rsid w:val="0039132D"/>
    <w:rsid w:val="003918EA"/>
    <w:rsid w:val="00391C06"/>
    <w:rsid w:val="003924C9"/>
    <w:rsid w:val="0039267C"/>
    <w:rsid w:val="003926E8"/>
    <w:rsid w:val="003928AC"/>
    <w:rsid w:val="00392C85"/>
    <w:rsid w:val="00393391"/>
    <w:rsid w:val="00393938"/>
    <w:rsid w:val="003942F0"/>
    <w:rsid w:val="00394651"/>
    <w:rsid w:val="00394AD9"/>
    <w:rsid w:val="00394FEA"/>
    <w:rsid w:val="00395053"/>
    <w:rsid w:val="00395E42"/>
    <w:rsid w:val="00395F8C"/>
    <w:rsid w:val="003963D8"/>
    <w:rsid w:val="00396BEA"/>
    <w:rsid w:val="00396D64"/>
    <w:rsid w:val="00396EC9"/>
    <w:rsid w:val="00397314"/>
    <w:rsid w:val="003A0011"/>
    <w:rsid w:val="003A00A2"/>
    <w:rsid w:val="003A0851"/>
    <w:rsid w:val="003A092F"/>
    <w:rsid w:val="003A0C0B"/>
    <w:rsid w:val="003A13BC"/>
    <w:rsid w:val="003A1F90"/>
    <w:rsid w:val="003A201D"/>
    <w:rsid w:val="003A230E"/>
    <w:rsid w:val="003A2751"/>
    <w:rsid w:val="003A2E6E"/>
    <w:rsid w:val="003A36B6"/>
    <w:rsid w:val="003A3F51"/>
    <w:rsid w:val="003A43B6"/>
    <w:rsid w:val="003A43DB"/>
    <w:rsid w:val="003A4D07"/>
    <w:rsid w:val="003A50FB"/>
    <w:rsid w:val="003A52E6"/>
    <w:rsid w:val="003A559F"/>
    <w:rsid w:val="003A5AD8"/>
    <w:rsid w:val="003A616D"/>
    <w:rsid w:val="003A633B"/>
    <w:rsid w:val="003A6A11"/>
    <w:rsid w:val="003A6EBF"/>
    <w:rsid w:val="003A6FE4"/>
    <w:rsid w:val="003A70A6"/>
    <w:rsid w:val="003A7C2E"/>
    <w:rsid w:val="003B099C"/>
    <w:rsid w:val="003B0FCB"/>
    <w:rsid w:val="003B1982"/>
    <w:rsid w:val="003B1B77"/>
    <w:rsid w:val="003B1D1D"/>
    <w:rsid w:val="003B2766"/>
    <w:rsid w:val="003B2AC8"/>
    <w:rsid w:val="003B2B73"/>
    <w:rsid w:val="003B30C5"/>
    <w:rsid w:val="003B3A4E"/>
    <w:rsid w:val="003B3A6F"/>
    <w:rsid w:val="003B3D8A"/>
    <w:rsid w:val="003B4235"/>
    <w:rsid w:val="003B44A6"/>
    <w:rsid w:val="003B4796"/>
    <w:rsid w:val="003B4B47"/>
    <w:rsid w:val="003B588D"/>
    <w:rsid w:val="003B5B55"/>
    <w:rsid w:val="003B5B6C"/>
    <w:rsid w:val="003B5F45"/>
    <w:rsid w:val="003B63EA"/>
    <w:rsid w:val="003B64E6"/>
    <w:rsid w:val="003C0550"/>
    <w:rsid w:val="003C055E"/>
    <w:rsid w:val="003C0FD2"/>
    <w:rsid w:val="003C156A"/>
    <w:rsid w:val="003C22BE"/>
    <w:rsid w:val="003C2536"/>
    <w:rsid w:val="003C3889"/>
    <w:rsid w:val="003C41DA"/>
    <w:rsid w:val="003C4553"/>
    <w:rsid w:val="003C48B2"/>
    <w:rsid w:val="003C548F"/>
    <w:rsid w:val="003C5EA0"/>
    <w:rsid w:val="003C6667"/>
    <w:rsid w:val="003C6821"/>
    <w:rsid w:val="003C6D3B"/>
    <w:rsid w:val="003C75B6"/>
    <w:rsid w:val="003C771A"/>
    <w:rsid w:val="003C775E"/>
    <w:rsid w:val="003C7C79"/>
    <w:rsid w:val="003C7CA8"/>
    <w:rsid w:val="003C7F43"/>
    <w:rsid w:val="003D01A8"/>
    <w:rsid w:val="003D05DB"/>
    <w:rsid w:val="003D0782"/>
    <w:rsid w:val="003D0879"/>
    <w:rsid w:val="003D08CB"/>
    <w:rsid w:val="003D08D6"/>
    <w:rsid w:val="003D0993"/>
    <w:rsid w:val="003D11F6"/>
    <w:rsid w:val="003D1BA8"/>
    <w:rsid w:val="003D1D15"/>
    <w:rsid w:val="003D289A"/>
    <w:rsid w:val="003D2A18"/>
    <w:rsid w:val="003D2E5D"/>
    <w:rsid w:val="003D2F2C"/>
    <w:rsid w:val="003D3692"/>
    <w:rsid w:val="003D3756"/>
    <w:rsid w:val="003D3B31"/>
    <w:rsid w:val="003D3C3F"/>
    <w:rsid w:val="003D3D09"/>
    <w:rsid w:val="003D4138"/>
    <w:rsid w:val="003D41DB"/>
    <w:rsid w:val="003D4825"/>
    <w:rsid w:val="003D4D3A"/>
    <w:rsid w:val="003D54E1"/>
    <w:rsid w:val="003D5520"/>
    <w:rsid w:val="003D55C2"/>
    <w:rsid w:val="003D57CB"/>
    <w:rsid w:val="003D6505"/>
    <w:rsid w:val="003D66C5"/>
    <w:rsid w:val="003D6CEA"/>
    <w:rsid w:val="003D7003"/>
    <w:rsid w:val="003D70D4"/>
    <w:rsid w:val="003D7670"/>
    <w:rsid w:val="003D7B5E"/>
    <w:rsid w:val="003D7F39"/>
    <w:rsid w:val="003E0832"/>
    <w:rsid w:val="003E0B3A"/>
    <w:rsid w:val="003E0EB3"/>
    <w:rsid w:val="003E1228"/>
    <w:rsid w:val="003E1836"/>
    <w:rsid w:val="003E1FAC"/>
    <w:rsid w:val="003E215E"/>
    <w:rsid w:val="003E2554"/>
    <w:rsid w:val="003E29C7"/>
    <w:rsid w:val="003E2E42"/>
    <w:rsid w:val="003E2E6F"/>
    <w:rsid w:val="003E308F"/>
    <w:rsid w:val="003E333F"/>
    <w:rsid w:val="003E38D1"/>
    <w:rsid w:val="003E4278"/>
    <w:rsid w:val="003E43BE"/>
    <w:rsid w:val="003E4557"/>
    <w:rsid w:val="003E47E2"/>
    <w:rsid w:val="003E4901"/>
    <w:rsid w:val="003E51FC"/>
    <w:rsid w:val="003E52A4"/>
    <w:rsid w:val="003E5AB5"/>
    <w:rsid w:val="003E5D10"/>
    <w:rsid w:val="003E71C9"/>
    <w:rsid w:val="003E74C5"/>
    <w:rsid w:val="003E7F3F"/>
    <w:rsid w:val="003E7FC7"/>
    <w:rsid w:val="003F00CF"/>
    <w:rsid w:val="003F0519"/>
    <w:rsid w:val="003F0818"/>
    <w:rsid w:val="003F0952"/>
    <w:rsid w:val="003F0A69"/>
    <w:rsid w:val="003F0C32"/>
    <w:rsid w:val="003F10FB"/>
    <w:rsid w:val="003F1307"/>
    <w:rsid w:val="003F134F"/>
    <w:rsid w:val="003F1651"/>
    <w:rsid w:val="003F21C1"/>
    <w:rsid w:val="003F27E4"/>
    <w:rsid w:val="003F29A0"/>
    <w:rsid w:val="003F29D2"/>
    <w:rsid w:val="003F3B40"/>
    <w:rsid w:val="003F3BB9"/>
    <w:rsid w:val="003F3FD2"/>
    <w:rsid w:val="003F4826"/>
    <w:rsid w:val="003F4F7E"/>
    <w:rsid w:val="003F6197"/>
    <w:rsid w:val="003F61B6"/>
    <w:rsid w:val="003F6201"/>
    <w:rsid w:val="003F6222"/>
    <w:rsid w:val="003F6973"/>
    <w:rsid w:val="003F73E6"/>
    <w:rsid w:val="003F744B"/>
    <w:rsid w:val="003F74C0"/>
    <w:rsid w:val="003F7AF1"/>
    <w:rsid w:val="003F7B46"/>
    <w:rsid w:val="003F7C01"/>
    <w:rsid w:val="004000B0"/>
    <w:rsid w:val="00400329"/>
    <w:rsid w:val="00401065"/>
    <w:rsid w:val="00401170"/>
    <w:rsid w:val="00401E07"/>
    <w:rsid w:val="00401F06"/>
    <w:rsid w:val="00401FF7"/>
    <w:rsid w:val="00402164"/>
    <w:rsid w:val="0040258B"/>
    <w:rsid w:val="00402E2E"/>
    <w:rsid w:val="00403AA3"/>
    <w:rsid w:val="00403BBA"/>
    <w:rsid w:val="00404568"/>
    <w:rsid w:val="00405074"/>
    <w:rsid w:val="00405873"/>
    <w:rsid w:val="00405D30"/>
    <w:rsid w:val="00406358"/>
    <w:rsid w:val="0040640A"/>
    <w:rsid w:val="00406807"/>
    <w:rsid w:val="00406A68"/>
    <w:rsid w:val="00406F3B"/>
    <w:rsid w:val="0040756B"/>
    <w:rsid w:val="00407DA6"/>
    <w:rsid w:val="00407E1B"/>
    <w:rsid w:val="00410818"/>
    <w:rsid w:val="00410875"/>
    <w:rsid w:val="00410A8F"/>
    <w:rsid w:val="00410C21"/>
    <w:rsid w:val="00410E26"/>
    <w:rsid w:val="00412761"/>
    <w:rsid w:val="00413483"/>
    <w:rsid w:val="0041351D"/>
    <w:rsid w:val="004135C7"/>
    <w:rsid w:val="00413DA5"/>
    <w:rsid w:val="00413FEE"/>
    <w:rsid w:val="004142E9"/>
    <w:rsid w:val="00414314"/>
    <w:rsid w:val="0041460A"/>
    <w:rsid w:val="00414FFD"/>
    <w:rsid w:val="00416790"/>
    <w:rsid w:val="004167FA"/>
    <w:rsid w:val="004169E8"/>
    <w:rsid w:val="00416C45"/>
    <w:rsid w:val="00416D5D"/>
    <w:rsid w:val="0041773F"/>
    <w:rsid w:val="004200A2"/>
    <w:rsid w:val="004200DC"/>
    <w:rsid w:val="00420BFF"/>
    <w:rsid w:val="00420FF7"/>
    <w:rsid w:val="0042146F"/>
    <w:rsid w:val="00421C4E"/>
    <w:rsid w:val="00421C8F"/>
    <w:rsid w:val="00421DA8"/>
    <w:rsid w:val="00422CEA"/>
    <w:rsid w:val="00422D6D"/>
    <w:rsid w:val="0042336F"/>
    <w:rsid w:val="004233D9"/>
    <w:rsid w:val="00423AA7"/>
    <w:rsid w:val="00423C68"/>
    <w:rsid w:val="004247F6"/>
    <w:rsid w:val="00424BC4"/>
    <w:rsid w:val="00424C72"/>
    <w:rsid w:val="00425053"/>
    <w:rsid w:val="004270E4"/>
    <w:rsid w:val="004273E4"/>
    <w:rsid w:val="00427EED"/>
    <w:rsid w:val="004300FC"/>
    <w:rsid w:val="00430C26"/>
    <w:rsid w:val="004315E4"/>
    <w:rsid w:val="00431857"/>
    <w:rsid w:val="00431A93"/>
    <w:rsid w:val="00431D38"/>
    <w:rsid w:val="00431DCE"/>
    <w:rsid w:val="004322EB"/>
    <w:rsid w:val="004324DC"/>
    <w:rsid w:val="00432881"/>
    <w:rsid w:val="00432B02"/>
    <w:rsid w:val="00432B65"/>
    <w:rsid w:val="00432FEF"/>
    <w:rsid w:val="004338C3"/>
    <w:rsid w:val="00433A06"/>
    <w:rsid w:val="00433C5D"/>
    <w:rsid w:val="00433C63"/>
    <w:rsid w:val="00434767"/>
    <w:rsid w:val="004348EF"/>
    <w:rsid w:val="00434BB7"/>
    <w:rsid w:val="00435753"/>
    <w:rsid w:val="0043577B"/>
    <w:rsid w:val="004358F9"/>
    <w:rsid w:val="00435966"/>
    <w:rsid w:val="00435D9D"/>
    <w:rsid w:val="00436083"/>
    <w:rsid w:val="00436095"/>
    <w:rsid w:val="004363C2"/>
    <w:rsid w:val="00436B2C"/>
    <w:rsid w:val="004372E7"/>
    <w:rsid w:val="00437449"/>
    <w:rsid w:val="004374A6"/>
    <w:rsid w:val="0043783A"/>
    <w:rsid w:val="00437AFA"/>
    <w:rsid w:val="0044069F"/>
    <w:rsid w:val="00440800"/>
    <w:rsid w:val="00441020"/>
    <w:rsid w:val="004412AF"/>
    <w:rsid w:val="0044135B"/>
    <w:rsid w:val="00441419"/>
    <w:rsid w:val="0044189B"/>
    <w:rsid w:val="00441F99"/>
    <w:rsid w:val="004421BE"/>
    <w:rsid w:val="004437C6"/>
    <w:rsid w:val="00443B50"/>
    <w:rsid w:val="00443BF6"/>
    <w:rsid w:val="00443D0E"/>
    <w:rsid w:val="0044474C"/>
    <w:rsid w:val="00444ACE"/>
    <w:rsid w:val="00444ADD"/>
    <w:rsid w:val="00444D57"/>
    <w:rsid w:val="0044501A"/>
    <w:rsid w:val="0044508F"/>
    <w:rsid w:val="0044559C"/>
    <w:rsid w:val="004456B0"/>
    <w:rsid w:val="004457F6"/>
    <w:rsid w:val="00445C47"/>
    <w:rsid w:val="0044607C"/>
    <w:rsid w:val="00446545"/>
    <w:rsid w:val="004467D9"/>
    <w:rsid w:val="00446A79"/>
    <w:rsid w:val="00446B15"/>
    <w:rsid w:val="00450539"/>
    <w:rsid w:val="00450632"/>
    <w:rsid w:val="0045071E"/>
    <w:rsid w:val="004509C6"/>
    <w:rsid w:val="0045134C"/>
    <w:rsid w:val="004515CE"/>
    <w:rsid w:val="004515F3"/>
    <w:rsid w:val="00451A1B"/>
    <w:rsid w:val="00451CC9"/>
    <w:rsid w:val="004525B0"/>
    <w:rsid w:val="00453005"/>
    <w:rsid w:val="00453034"/>
    <w:rsid w:val="00453270"/>
    <w:rsid w:val="004536B3"/>
    <w:rsid w:val="004536F3"/>
    <w:rsid w:val="004537F0"/>
    <w:rsid w:val="00453818"/>
    <w:rsid w:val="004538C4"/>
    <w:rsid w:val="00453B67"/>
    <w:rsid w:val="00453D6B"/>
    <w:rsid w:val="004543B6"/>
    <w:rsid w:val="004545A7"/>
    <w:rsid w:val="004547B7"/>
    <w:rsid w:val="00455169"/>
    <w:rsid w:val="00455424"/>
    <w:rsid w:val="00455951"/>
    <w:rsid w:val="00456522"/>
    <w:rsid w:val="00457ACE"/>
    <w:rsid w:val="00457D29"/>
    <w:rsid w:val="00460646"/>
    <w:rsid w:val="00460DD9"/>
    <w:rsid w:val="00461645"/>
    <w:rsid w:val="00461A61"/>
    <w:rsid w:val="00461F02"/>
    <w:rsid w:val="00462098"/>
    <w:rsid w:val="00462488"/>
    <w:rsid w:val="00462B55"/>
    <w:rsid w:val="0046307B"/>
    <w:rsid w:val="0046347D"/>
    <w:rsid w:val="0046384E"/>
    <w:rsid w:val="0046441E"/>
    <w:rsid w:val="004654B3"/>
    <w:rsid w:val="00466153"/>
    <w:rsid w:val="0046629F"/>
    <w:rsid w:val="004662DE"/>
    <w:rsid w:val="0046662B"/>
    <w:rsid w:val="0046716D"/>
    <w:rsid w:val="004672BF"/>
    <w:rsid w:val="0046774E"/>
    <w:rsid w:val="0046779D"/>
    <w:rsid w:val="00467F03"/>
    <w:rsid w:val="004703B2"/>
    <w:rsid w:val="00470529"/>
    <w:rsid w:val="0047096D"/>
    <w:rsid w:val="00471D67"/>
    <w:rsid w:val="00472071"/>
    <w:rsid w:val="004725E0"/>
    <w:rsid w:val="00472921"/>
    <w:rsid w:val="00472AB4"/>
    <w:rsid w:val="00472D98"/>
    <w:rsid w:val="0047312A"/>
    <w:rsid w:val="004736C7"/>
    <w:rsid w:val="004736DD"/>
    <w:rsid w:val="00473AE8"/>
    <w:rsid w:val="00473CC8"/>
    <w:rsid w:val="004746ED"/>
    <w:rsid w:val="00475253"/>
    <w:rsid w:val="0047531C"/>
    <w:rsid w:val="004757A8"/>
    <w:rsid w:val="00475873"/>
    <w:rsid w:val="00475932"/>
    <w:rsid w:val="004759A2"/>
    <w:rsid w:val="00475BB2"/>
    <w:rsid w:val="0047608B"/>
    <w:rsid w:val="0047702F"/>
    <w:rsid w:val="004771D7"/>
    <w:rsid w:val="004772C4"/>
    <w:rsid w:val="0047740E"/>
    <w:rsid w:val="00477548"/>
    <w:rsid w:val="00477684"/>
    <w:rsid w:val="00477BF1"/>
    <w:rsid w:val="00480247"/>
    <w:rsid w:val="0048051B"/>
    <w:rsid w:val="00480A12"/>
    <w:rsid w:val="00480A6E"/>
    <w:rsid w:val="00480B6F"/>
    <w:rsid w:val="00480CDD"/>
    <w:rsid w:val="004810F2"/>
    <w:rsid w:val="0048114B"/>
    <w:rsid w:val="004817F2"/>
    <w:rsid w:val="00481BE1"/>
    <w:rsid w:val="00481C67"/>
    <w:rsid w:val="00482374"/>
    <w:rsid w:val="004826C0"/>
    <w:rsid w:val="004826CE"/>
    <w:rsid w:val="00483518"/>
    <w:rsid w:val="0048371D"/>
    <w:rsid w:val="0048375D"/>
    <w:rsid w:val="00483807"/>
    <w:rsid w:val="00483959"/>
    <w:rsid w:val="00483CAF"/>
    <w:rsid w:val="00484125"/>
    <w:rsid w:val="004846EA"/>
    <w:rsid w:val="004858DC"/>
    <w:rsid w:val="00485A93"/>
    <w:rsid w:val="00486BE8"/>
    <w:rsid w:val="004871B2"/>
    <w:rsid w:val="00487372"/>
    <w:rsid w:val="004879A0"/>
    <w:rsid w:val="00487C42"/>
    <w:rsid w:val="00487DE5"/>
    <w:rsid w:val="00487EAE"/>
    <w:rsid w:val="004901A3"/>
    <w:rsid w:val="0049024B"/>
    <w:rsid w:val="0049057C"/>
    <w:rsid w:val="0049059C"/>
    <w:rsid w:val="004917F8"/>
    <w:rsid w:val="004921C2"/>
    <w:rsid w:val="00492AED"/>
    <w:rsid w:val="00492D81"/>
    <w:rsid w:val="00492FFA"/>
    <w:rsid w:val="004932A4"/>
    <w:rsid w:val="004941DB"/>
    <w:rsid w:val="0049423B"/>
    <w:rsid w:val="0049474B"/>
    <w:rsid w:val="00494AFC"/>
    <w:rsid w:val="00494F7F"/>
    <w:rsid w:val="00495E32"/>
    <w:rsid w:val="00495F89"/>
    <w:rsid w:val="004960AB"/>
    <w:rsid w:val="004963D9"/>
    <w:rsid w:val="004963F7"/>
    <w:rsid w:val="00496D65"/>
    <w:rsid w:val="00497399"/>
    <w:rsid w:val="004977D4"/>
    <w:rsid w:val="004978C8"/>
    <w:rsid w:val="00497F2F"/>
    <w:rsid w:val="004A0237"/>
    <w:rsid w:val="004A0493"/>
    <w:rsid w:val="004A0497"/>
    <w:rsid w:val="004A0930"/>
    <w:rsid w:val="004A0EDF"/>
    <w:rsid w:val="004A197C"/>
    <w:rsid w:val="004A1E6C"/>
    <w:rsid w:val="004A1EFC"/>
    <w:rsid w:val="004A2A4B"/>
    <w:rsid w:val="004A300B"/>
    <w:rsid w:val="004A30A9"/>
    <w:rsid w:val="004A31B9"/>
    <w:rsid w:val="004A372F"/>
    <w:rsid w:val="004A3B2A"/>
    <w:rsid w:val="004A427C"/>
    <w:rsid w:val="004A427F"/>
    <w:rsid w:val="004A4E22"/>
    <w:rsid w:val="004A4EEE"/>
    <w:rsid w:val="004A4FD7"/>
    <w:rsid w:val="004A5219"/>
    <w:rsid w:val="004A5BB8"/>
    <w:rsid w:val="004A5DFD"/>
    <w:rsid w:val="004A6176"/>
    <w:rsid w:val="004A650D"/>
    <w:rsid w:val="004A65F8"/>
    <w:rsid w:val="004A66E5"/>
    <w:rsid w:val="004A674D"/>
    <w:rsid w:val="004A6E66"/>
    <w:rsid w:val="004A7965"/>
    <w:rsid w:val="004A797A"/>
    <w:rsid w:val="004A7B6E"/>
    <w:rsid w:val="004A7BA7"/>
    <w:rsid w:val="004A7BCA"/>
    <w:rsid w:val="004B06B2"/>
    <w:rsid w:val="004B06C3"/>
    <w:rsid w:val="004B0CB1"/>
    <w:rsid w:val="004B0FB4"/>
    <w:rsid w:val="004B1044"/>
    <w:rsid w:val="004B1056"/>
    <w:rsid w:val="004B10E3"/>
    <w:rsid w:val="004B1193"/>
    <w:rsid w:val="004B17DA"/>
    <w:rsid w:val="004B1CAA"/>
    <w:rsid w:val="004B1FC6"/>
    <w:rsid w:val="004B203A"/>
    <w:rsid w:val="004B258A"/>
    <w:rsid w:val="004B3254"/>
    <w:rsid w:val="004B3935"/>
    <w:rsid w:val="004B3976"/>
    <w:rsid w:val="004B39C7"/>
    <w:rsid w:val="004B3CDF"/>
    <w:rsid w:val="004B40E2"/>
    <w:rsid w:val="004B45BA"/>
    <w:rsid w:val="004B48B9"/>
    <w:rsid w:val="004B4B82"/>
    <w:rsid w:val="004B4CF1"/>
    <w:rsid w:val="004B5156"/>
    <w:rsid w:val="004B57A6"/>
    <w:rsid w:val="004B5D94"/>
    <w:rsid w:val="004B6122"/>
    <w:rsid w:val="004B62DA"/>
    <w:rsid w:val="004B63BE"/>
    <w:rsid w:val="004B697C"/>
    <w:rsid w:val="004B70B2"/>
    <w:rsid w:val="004B7605"/>
    <w:rsid w:val="004B7A39"/>
    <w:rsid w:val="004B7A46"/>
    <w:rsid w:val="004B7B35"/>
    <w:rsid w:val="004B7CD0"/>
    <w:rsid w:val="004C0855"/>
    <w:rsid w:val="004C0CE7"/>
    <w:rsid w:val="004C1B03"/>
    <w:rsid w:val="004C1D83"/>
    <w:rsid w:val="004C2570"/>
    <w:rsid w:val="004C2E97"/>
    <w:rsid w:val="004C30A2"/>
    <w:rsid w:val="004C30E2"/>
    <w:rsid w:val="004C3EBC"/>
    <w:rsid w:val="004C4409"/>
    <w:rsid w:val="004C48F0"/>
    <w:rsid w:val="004C4DAD"/>
    <w:rsid w:val="004C5307"/>
    <w:rsid w:val="004C536F"/>
    <w:rsid w:val="004C5B38"/>
    <w:rsid w:val="004C5E6F"/>
    <w:rsid w:val="004C652C"/>
    <w:rsid w:val="004C6556"/>
    <w:rsid w:val="004C66FC"/>
    <w:rsid w:val="004C6EC0"/>
    <w:rsid w:val="004C6F4C"/>
    <w:rsid w:val="004C71BD"/>
    <w:rsid w:val="004C72B2"/>
    <w:rsid w:val="004C7399"/>
    <w:rsid w:val="004C7E06"/>
    <w:rsid w:val="004C7EA2"/>
    <w:rsid w:val="004C7FC5"/>
    <w:rsid w:val="004D020F"/>
    <w:rsid w:val="004D0454"/>
    <w:rsid w:val="004D0711"/>
    <w:rsid w:val="004D0712"/>
    <w:rsid w:val="004D098E"/>
    <w:rsid w:val="004D0A7C"/>
    <w:rsid w:val="004D0BB8"/>
    <w:rsid w:val="004D11CC"/>
    <w:rsid w:val="004D145B"/>
    <w:rsid w:val="004D14A9"/>
    <w:rsid w:val="004D1660"/>
    <w:rsid w:val="004D1E2C"/>
    <w:rsid w:val="004D20B0"/>
    <w:rsid w:val="004D23D2"/>
    <w:rsid w:val="004D2875"/>
    <w:rsid w:val="004D2878"/>
    <w:rsid w:val="004D2EB7"/>
    <w:rsid w:val="004D3388"/>
    <w:rsid w:val="004D35E0"/>
    <w:rsid w:val="004D37E6"/>
    <w:rsid w:val="004D3D0B"/>
    <w:rsid w:val="004D416C"/>
    <w:rsid w:val="004D4633"/>
    <w:rsid w:val="004D46C6"/>
    <w:rsid w:val="004D49CD"/>
    <w:rsid w:val="004D4AD3"/>
    <w:rsid w:val="004D4B21"/>
    <w:rsid w:val="004D4B2F"/>
    <w:rsid w:val="004D4B67"/>
    <w:rsid w:val="004D4F1A"/>
    <w:rsid w:val="004D5010"/>
    <w:rsid w:val="004D50F8"/>
    <w:rsid w:val="004D578F"/>
    <w:rsid w:val="004D5940"/>
    <w:rsid w:val="004D6089"/>
    <w:rsid w:val="004D6507"/>
    <w:rsid w:val="004D6A19"/>
    <w:rsid w:val="004D7C01"/>
    <w:rsid w:val="004E029D"/>
    <w:rsid w:val="004E0673"/>
    <w:rsid w:val="004E09E5"/>
    <w:rsid w:val="004E0C5D"/>
    <w:rsid w:val="004E0D3B"/>
    <w:rsid w:val="004E0F9F"/>
    <w:rsid w:val="004E143E"/>
    <w:rsid w:val="004E14A6"/>
    <w:rsid w:val="004E1EE5"/>
    <w:rsid w:val="004E2008"/>
    <w:rsid w:val="004E204A"/>
    <w:rsid w:val="004E21E4"/>
    <w:rsid w:val="004E2459"/>
    <w:rsid w:val="004E245B"/>
    <w:rsid w:val="004E26DB"/>
    <w:rsid w:val="004E27B6"/>
    <w:rsid w:val="004E29D0"/>
    <w:rsid w:val="004E29D2"/>
    <w:rsid w:val="004E2AF3"/>
    <w:rsid w:val="004E2C91"/>
    <w:rsid w:val="004E310D"/>
    <w:rsid w:val="004E3202"/>
    <w:rsid w:val="004E32FD"/>
    <w:rsid w:val="004E33FC"/>
    <w:rsid w:val="004E3F75"/>
    <w:rsid w:val="004E43FC"/>
    <w:rsid w:val="004E44DD"/>
    <w:rsid w:val="004E4595"/>
    <w:rsid w:val="004E4912"/>
    <w:rsid w:val="004E4E50"/>
    <w:rsid w:val="004E5925"/>
    <w:rsid w:val="004E5F46"/>
    <w:rsid w:val="004E6104"/>
    <w:rsid w:val="004E6763"/>
    <w:rsid w:val="004E69E7"/>
    <w:rsid w:val="004E6CE3"/>
    <w:rsid w:val="004E71B6"/>
    <w:rsid w:val="004E766C"/>
    <w:rsid w:val="004E7887"/>
    <w:rsid w:val="004E7AC4"/>
    <w:rsid w:val="004E7B03"/>
    <w:rsid w:val="004E7B83"/>
    <w:rsid w:val="004E7C11"/>
    <w:rsid w:val="004E7DE1"/>
    <w:rsid w:val="004F02C8"/>
    <w:rsid w:val="004F0737"/>
    <w:rsid w:val="004F0A61"/>
    <w:rsid w:val="004F2804"/>
    <w:rsid w:val="004F296F"/>
    <w:rsid w:val="004F2F1A"/>
    <w:rsid w:val="004F3127"/>
    <w:rsid w:val="004F35E7"/>
    <w:rsid w:val="004F3862"/>
    <w:rsid w:val="004F3A65"/>
    <w:rsid w:val="004F429C"/>
    <w:rsid w:val="004F42CF"/>
    <w:rsid w:val="004F44BB"/>
    <w:rsid w:val="004F4DC4"/>
    <w:rsid w:val="004F4F93"/>
    <w:rsid w:val="004F5166"/>
    <w:rsid w:val="004F5849"/>
    <w:rsid w:val="004F6311"/>
    <w:rsid w:val="004F6FD4"/>
    <w:rsid w:val="004F6FF6"/>
    <w:rsid w:val="004F7099"/>
    <w:rsid w:val="004F72D9"/>
    <w:rsid w:val="004F72E1"/>
    <w:rsid w:val="004F79B4"/>
    <w:rsid w:val="00500479"/>
    <w:rsid w:val="0050082F"/>
    <w:rsid w:val="00500BB0"/>
    <w:rsid w:val="00500F83"/>
    <w:rsid w:val="00501314"/>
    <w:rsid w:val="00501758"/>
    <w:rsid w:val="0050243A"/>
    <w:rsid w:val="00502D7A"/>
    <w:rsid w:val="00502FD4"/>
    <w:rsid w:val="005038B8"/>
    <w:rsid w:val="00503CB1"/>
    <w:rsid w:val="00503CDC"/>
    <w:rsid w:val="00503CFC"/>
    <w:rsid w:val="00503DB1"/>
    <w:rsid w:val="0050409C"/>
    <w:rsid w:val="0050439B"/>
    <w:rsid w:val="005049D9"/>
    <w:rsid w:val="00504A1D"/>
    <w:rsid w:val="00504BD6"/>
    <w:rsid w:val="005057E8"/>
    <w:rsid w:val="005058B6"/>
    <w:rsid w:val="00505A06"/>
    <w:rsid w:val="00505C0B"/>
    <w:rsid w:val="00505EC8"/>
    <w:rsid w:val="005064D8"/>
    <w:rsid w:val="00506D27"/>
    <w:rsid w:val="00506F3D"/>
    <w:rsid w:val="005071D4"/>
    <w:rsid w:val="005072B5"/>
    <w:rsid w:val="005073E8"/>
    <w:rsid w:val="00507557"/>
    <w:rsid w:val="00507650"/>
    <w:rsid w:val="005078F6"/>
    <w:rsid w:val="00507EA9"/>
    <w:rsid w:val="0051073F"/>
    <w:rsid w:val="00510C69"/>
    <w:rsid w:val="00510E18"/>
    <w:rsid w:val="00511129"/>
    <w:rsid w:val="005112CA"/>
    <w:rsid w:val="00511744"/>
    <w:rsid w:val="00511E0C"/>
    <w:rsid w:val="005120B6"/>
    <w:rsid w:val="005121D3"/>
    <w:rsid w:val="005122A7"/>
    <w:rsid w:val="0051234C"/>
    <w:rsid w:val="005129DB"/>
    <w:rsid w:val="00512CAC"/>
    <w:rsid w:val="00512D11"/>
    <w:rsid w:val="00512E16"/>
    <w:rsid w:val="00512EA8"/>
    <w:rsid w:val="005133B6"/>
    <w:rsid w:val="00513D43"/>
    <w:rsid w:val="0051452D"/>
    <w:rsid w:val="0051460A"/>
    <w:rsid w:val="00514B42"/>
    <w:rsid w:val="00515069"/>
    <w:rsid w:val="00515149"/>
    <w:rsid w:val="00515C06"/>
    <w:rsid w:val="00516174"/>
    <w:rsid w:val="00516532"/>
    <w:rsid w:val="00516C2B"/>
    <w:rsid w:val="0051701E"/>
    <w:rsid w:val="0051736C"/>
    <w:rsid w:val="00517407"/>
    <w:rsid w:val="00517497"/>
    <w:rsid w:val="005175F1"/>
    <w:rsid w:val="005177E5"/>
    <w:rsid w:val="00517AA0"/>
    <w:rsid w:val="00520025"/>
    <w:rsid w:val="005201A2"/>
    <w:rsid w:val="005201EA"/>
    <w:rsid w:val="0052052E"/>
    <w:rsid w:val="0052054F"/>
    <w:rsid w:val="00520862"/>
    <w:rsid w:val="00520973"/>
    <w:rsid w:val="005217ED"/>
    <w:rsid w:val="00521922"/>
    <w:rsid w:val="00521A8C"/>
    <w:rsid w:val="00521BB3"/>
    <w:rsid w:val="00522631"/>
    <w:rsid w:val="00522793"/>
    <w:rsid w:val="0052301E"/>
    <w:rsid w:val="00523735"/>
    <w:rsid w:val="00523757"/>
    <w:rsid w:val="0052392B"/>
    <w:rsid w:val="00523AB5"/>
    <w:rsid w:val="00524BFF"/>
    <w:rsid w:val="00524C82"/>
    <w:rsid w:val="00524D1F"/>
    <w:rsid w:val="00524E7B"/>
    <w:rsid w:val="005251ED"/>
    <w:rsid w:val="0052524E"/>
    <w:rsid w:val="0052587A"/>
    <w:rsid w:val="00526124"/>
    <w:rsid w:val="00526210"/>
    <w:rsid w:val="00526402"/>
    <w:rsid w:val="005266ED"/>
    <w:rsid w:val="0052670C"/>
    <w:rsid w:val="005267BB"/>
    <w:rsid w:val="00526FF8"/>
    <w:rsid w:val="00527D06"/>
    <w:rsid w:val="00527FDF"/>
    <w:rsid w:val="00530239"/>
    <w:rsid w:val="005305F9"/>
    <w:rsid w:val="00530605"/>
    <w:rsid w:val="00530674"/>
    <w:rsid w:val="00530721"/>
    <w:rsid w:val="00530E94"/>
    <w:rsid w:val="00531089"/>
    <w:rsid w:val="00531136"/>
    <w:rsid w:val="005313F4"/>
    <w:rsid w:val="005314D5"/>
    <w:rsid w:val="005320CF"/>
    <w:rsid w:val="00532388"/>
    <w:rsid w:val="00532CB8"/>
    <w:rsid w:val="005330F6"/>
    <w:rsid w:val="00533590"/>
    <w:rsid w:val="0053360E"/>
    <w:rsid w:val="00533965"/>
    <w:rsid w:val="00533CC6"/>
    <w:rsid w:val="005345C6"/>
    <w:rsid w:val="0053466D"/>
    <w:rsid w:val="0053492E"/>
    <w:rsid w:val="00534C3B"/>
    <w:rsid w:val="005350E0"/>
    <w:rsid w:val="005355C3"/>
    <w:rsid w:val="00535792"/>
    <w:rsid w:val="005357BA"/>
    <w:rsid w:val="00535E09"/>
    <w:rsid w:val="005360CE"/>
    <w:rsid w:val="00536231"/>
    <w:rsid w:val="00536B73"/>
    <w:rsid w:val="00536DBB"/>
    <w:rsid w:val="00536EB9"/>
    <w:rsid w:val="005373A7"/>
    <w:rsid w:val="005376C1"/>
    <w:rsid w:val="00537A3E"/>
    <w:rsid w:val="00537BB8"/>
    <w:rsid w:val="00537C13"/>
    <w:rsid w:val="00537F1E"/>
    <w:rsid w:val="00540575"/>
    <w:rsid w:val="0054073A"/>
    <w:rsid w:val="00540E77"/>
    <w:rsid w:val="00540FF9"/>
    <w:rsid w:val="005410B7"/>
    <w:rsid w:val="005411B6"/>
    <w:rsid w:val="00541565"/>
    <w:rsid w:val="00541AF4"/>
    <w:rsid w:val="00541B0A"/>
    <w:rsid w:val="00541EF7"/>
    <w:rsid w:val="00542287"/>
    <w:rsid w:val="005423F1"/>
    <w:rsid w:val="005425D9"/>
    <w:rsid w:val="00542FB8"/>
    <w:rsid w:val="00543010"/>
    <w:rsid w:val="00543407"/>
    <w:rsid w:val="005435E5"/>
    <w:rsid w:val="00543952"/>
    <w:rsid w:val="00543E00"/>
    <w:rsid w:val="0054444D"/>
    <w:rsid w:val="005444F1"/>
    <w:rsid w:val="0054465D"/>
    <w:rsid w:val="00544692"/>
    <w:rsid w:val="00544ABC"/>
    <w:rsid w:val="00544D87"/>
    <w:rsid w:val="0054561E"/>
    <w:rsid w:val="005458BB"/>
    <w:rsid w:val="00545D79"/>
    <w:rsid w:val="0054606E"/>
    <w:rsid w:val="00546C21"/>
    <w:rsid w:val="005474E6"/>
    <w:rsid w:val="005478C3"/>
    <w:rsid w:val="00547A65"/>
    <w:rsid w:val="0055030A"/>
    <w:rsid w:val="0055036C"/>
    <w:rsid w:val="005506E4"/>
    <w:rsid w:val="005508AD"/>
    <w:rsid w:val="00550BCF"/>
    <w:rsid w:val="00550C12"/>
    <w:rsid w:val="0055121D"/>
    <w:rsid w:val="00551629"/>
    <w:rsid w:val="00552C23"/>
    <w:rsid w:val="00552CC4"/>
    <w:rsid w:val="00554034"/>
    <w:rsid w:val="0055403C"/>
    <w:rsid w:val="0055404A"/>
    <w:rsid w:val="00554108"/>
    <w:rsid w:val="00554607"/>
    <w:rsid w:val="005549E3"/>
    <w:rsid w:val="00554DDD"/>
    <w:rsid w:val="005559C6"/>
    <w:rsid w:val="00555A5D"/>
    <w:rsid w:val="00555B98"/>
    <w:rsid w:val="0055688A"/>
    <w:rsid w:val="005574B5"/>
    <w:rsid w:val="005574DA"/>
    <w:rsid w:val="0055765C"/>
    <w:rsid w:val="00557868"/>
    <w:rsid w:val="00557BF4"/>
    <w:rsid w:val="00557F62"/>
    <w:rsid w:val="00560006"/>
    <w:rsid w:val="0056001E"/>
    <w:rsid w:val="005600D2"/>
    <w:rsid w:val="005601B2"/>
    <w:rsid w:val="00560399"/>
    <w:rsid w:val="0056039A"/>
    <w:rsid w:val="005606F2"/>
    <w:rsid w:val="00560C70"/>
    <w:rsid w:val="0056106B"/>
    <w:rsid w:val="005611F7"/>
    <w:rsid w:val="005622C3"/>
    <w:rsid w:val="0056247D"/>
    <w:rsid w:val="005625C5"/>
    <w:rsid w:val="0056272D"/>
    <w:rsid w:val="0056274B"/>
    <w:rsid w:val="0056292C"/>
    <w:rsid w:val="00562A71"/>
    <w:rsid w:val="00563913"/>
    <w:rsid w:val="00563928"/>
    <w:rsid w:val="005648DF"/>
    <w:rsid w:val="00564E8F"/>
    <w:rsid w:val="00565462"/>
    <w:rsid w:val="00565C4C"/>
    <w:rsid w:val="00565C8F"/>
    <w:rsid w:val="00565EF0"/>
    <w:rsid w:val="005662AF"/>
    <w:rsid w:val="00566320"/>
    <w:rsid w:val="005668A6"/>
    <w:rsid w:val="00566908"/>
    <w:rsid w:val="00566CE6"/>
    <w:rsid w:val="00566E95"/>
    <w:rsid w:val="0056735B"/>
    <w:rsid w:val="005701B9"/>
    <w:rsid w:val="00570452"/>
    <w:rsid w:val="00570682"/>
    <w:rsid w:val="005708CE"/>
    <w:rsid w:val="00570AE9"/>
    <w:rsid w:val="00571188"/>
    <w:rsid w:val="005716E8"/>
    <w:rsid w:val="0057193B"/>
    <w:rsid w:val="00571AE9"/>
    <w:rsid w:val="00571F8C"/>
    <w:rsid w:val="00572A36"/>
    <w:rsid w:val="0057337A"/>
    <w:rsid w:val="00573964"/>
    <w:rsid w:val="005743E6"/>
    <w:rsid w:val="00574C83"/>
    <w:rsid w:val="00574D0D"/>
    <w:rsid w:val="005756B4"/>
    <w:rsid w:val="005757CC"/>
    <w:rsid w:val="005758E9"/>
    <w:rsid w:val="00575BBE"/>
    <w:rsid w:val="00575C44"/>
    <w:rsid w:val="00575CCA"/>
    <w:rsid w:val="00575D77"/>
    <w:rsid w:val="00576011"/>
    <w:rsid w:val="00576434"/>
    <w:rsid w:val="00580176"/>
    <w:rsid w:val="0058027A"/>
    <w:rsid w:val="00581002"/>
    <w:rsid w:val="0058123B"/>
    <w:rsid w:val="00581D50"/>
    <w:rsid w:val="00581DEF"/>
    <w:rsid w:val="00581E20"/>
    <w:rsid w:val="00581F32"/>
    <w:rsid w:val="005828FD"/>
    <w:rsid w:val="00582F27"/>
    <w:rsid w:val="005833CD"/>
    <w:rsid w:val="00583521"/>
    <w:rsid w:val="0058362C"/>
    <w:rsid w:val="00583D10"/>
    <w:rsid w:val="00584138"/>
    <w:rsid w:val="00584599"/>
    <w:rsid w:val="00584A5C"/>
    <w:rsid w:val="00584B62"/>
    <w:rsid w:val="00584BE6"/>
    <w:rsid w:val="00584C54"/>
    <w:rsid w:val="00585164"/>
    <w:rsid w:val="005857E8"/>
    <w:rsid w:val="005858BB"/>
    <w:rsid w:val="005859FF"/>
    <w:rsid w:val="00585BA8"/>
    <w:rsid w:val="0058609A"/>
    <w:rsid w:val="0058635C"/>
    <w:rsid w:val="00586670"/>
    <w:rsid w:val="00586750"/>
    <w:rsid w:val="00586AB2"/>
    <w:rsid w:val="00587101"/>
    <w:rsid w:val="005877AD"/>
    <w:rsid w:val="00587AEF"/>
    <w:rsid w:val="00587E7A"/>
    <w:rsid w:val="00590AB3"/>
    <w:rsid w:val="00590E83"/>
    <w:rsid w:val="005912A8"/>
    <w:rsid w:val="00591622"/>
    <w:rsid w:val="005919DF"/>
    <w:rsid w:val="00591A22"/>
    <w:rsid w:val="00591BE5"/>
    <w:rsid w:val="00592474"/>
    <w:rsid w:val="005924F6"/>
    <w:rsid w:val="00592B5F"/>
    <w:rsid w:val="00592D71"/>
    <w:rsid w:val="005930A4"/>
    <w:rsid w:val="0059360F"/>
    <w:rsid w:val="005937DA"/>
    <w:rsid w:val="00593C05"/>
    <w:rsid w:val="005942B3"/>
    <w:rsid w:val="00594963"/>
    <w:rsid w:val="00594DC2"/>
    <w:rsid w:val="00594EF9"/>
    <w:rsid w:val="0059528C"/>
    <w:rsid w:val="00595304"/>
    <w:rsid w:val="00595329"/>
    <w:rsid w:val="005954F8"/>
    <w:rsid w:val="00595BE8"/>
    <w:rsid w:val="00595E22"/>
    <w:rsid w:val="00595E7C"/>
    <w:rsid w:val="005962CD"/>
    <w:rsid w:val="00596534"/>
    <w:rsid w:val="005966D8"/>
    <w:rsid w:val="005968DE"/>
    <w:rsid w:val="00596918"/>
    <w:rsid w:val="00596D42"/>
    <w:rsid w:val="00597306"/>
    <w:rsid w:val="005977A2"/>
    <w:rsid w:val="005A039C"/>
    <w:rsid w:val="005A03FE"/>
    <w:rsid w:val="005A08E4"/>
    <w:rsid w:val="005A0B2E"/>
    <w:rsid w:val="005A0D44"/>
    <w:rsid w:val="005A0DE7"/>
    <w:rsid w:val="005A1165"/>
    <w:rsid w:val="005A1448"/>
    <w:rsid w:val="005A1534"/>
    <w:rsid w:val="005A176D"/>
    <w:rsid w:val="005A1CB3"/>
    <w:rsid w:val="005A1F0C"/>
    <w:rsid w:val="005A1FC4"/>
    <w:rsid w:val="005A2CA3"/>
    <w:rsid w:val="005A2F98"/>
    <w:rsid w:val="005A3076"/>
    <w:rsid w:val="005A3821"/>
    <w:rsid w:val="005A3E33"/>
    <w:rsid w:val="005A3ECF"/>
    <w:rsid w:val="005A40B9"/>
    <w:rsid w:val="005A436D"/>
    <w:rsid w:val="005A47A7"/>
    <w:rsid w:val="005A596F"/>
    <w:rsid w:val="005A5A2B"/>
    <w:rsid w:val="005A5D85"/>
    <w:rsid w:val="005A65CB"/>
    <w:rsid w:val="005A67D6"/>
    <w:rsid w:val="005A6C5E"/>
    <w:rsid w:val="005A6F72"/>
    <w:rsid w:val="005A7062"/>
    <w:rsid w:val="005A71ED"/>
    <w:rsid w:val="005A785D"/>
    <w:rsid w:val="005A7AD6"/>
    <w:rsid w:val="005A7C7F"/>
    <w:rsid w:val="005B00C3"/>
    <w:rsid w:val="005B010B"/>
    <w:rsid w:val="005B025B"/>
    <w:rsid w:val="005B0B9D"/>
    <w:rsid w:val="005B0E44"/>
    <w:rsid w:val="005B12D3"/>
    <w:rsid w:val="005B1B7E"/>
    <w:rsid w:val="005B1FF5"/>
    <w:rsid w:val="005B2073"/>
    <w:rsid w:val="005B2B26"/>
    <w:rsid w:val="005B309A"/>
    <w:rsid w:val="005B3514"/>
    <w:rsid w:val="005B3AC7"/>
    <w:rsid w:val="005B3B1A"/>
    <w:rsid w:val="005B4AC3"/>
    <w:rsid w:val="005B4E34"/>
    <w:rsid w:val="005B5674"/>
    <w:rsid w:val="005B56A0"/>
    <w:rsid w:val="005B57DF"/>
    <w:rsid w:val="005B6389"/>
    <w:rsid w:val="005B6BB9"/>
    <w:rsid w:val="005B7F2E"/>
    <w:rsid w:val="005C05A2"/>
    <w:rsid w:val="005C066E"/>
    <w:rsid w:val="005C0AC4"/>
    <w:rsid w:val="005C1063"/>
    <w:rsid w:val="005C10E9"/>
    <w:rsid w:val="005C1311"/>
    <w:rsid w:val="005C174C"/>
    <w:rsid w:val="005C1779"/>
    <w:rsid w:val="005C1B85"/>
    <w:rsid w:val="005C214F"/>
    <w:rsid w:val="005C25EB"/>
    <w:rsid w:val="005C2770"/>
    <w:rsid w:val="005C2986"/>
    <w:rsid w:val="005C2ED0"/>
    <w:rsid w:val="005C3250"/>
    <w:rsid w:val="005C336A"/>
    <w:rsid w:val="005C3401"/>
    <w:rsid w:val="005C3645"/>
    <w:rsid w:val="005C38AB"/>
    <w:rsid w:val="005C39D5"/>
    <w:rsid w:val="005C3BA2"/>
    <w:rsid w:val="005C3F0B"/>
    <w:rsid w:val="005C46EC"/>
    <w:rsid w:val="005C482C"/>
    <w:rsid w:val="005C4B7D"/>
    <w:rsid w:val="005C4C79"/>
    <w:rsid w:val="005C521F"/>
    <w:rsid w:val="005C52AC"/>
    <w:rsid w:val="005C52FA"/>
    <w:rsid w:val="005C5504"/>
    <w:rsid w:val="005C588E"/>
    <w:rsid w:val="005C5D4E"/>
    <w:rsid w:val="005C642C"/>
    <w:rsid w:val="005C65F6"/>
    <w:rsid w:val="005C7230"/>
    <w:rsid w:val="005C7584"/>
    <w:rsid w:val="005C7D61"/>
    <w:rsid w:val="005D03EC"/>
    <w:rsid w:val="005D0682"/>
    <w:rsid w:val="005D06BC"/>
    <w:rsid w:val="005D10C7"/>
    <w:rsid w:val="005D10CD"/>
    <w:rsid w:val="005D132B"/>
    <w:rsid w:val="005D135C"/>
    <w:rsid w:val="005D156E"/>
    <w:rsid w:val="005D1B97"/>
    <w:rsid w:val="005D1CED"/>
    <w:rsid w:val="005D1D7B"/>
    <w:rsid w:val="005D230B"/>
    <w:rsid w:val="005D236E"/>
    <w:rsid w:val="005D271B"/>
    <w:rsid w:val="005D2B9B"/>
    <w:rsid w:val="005D2D80"/>
    <w:rsid w:val="005D2DE8"/>
    <w:rsid w:val="005D2E81"/>
    <w:rsid w:val="005D3389"/>
    <w:rsid w:val="005D34E2"/>
    <w:rsid w:val="005D3DFD"/>
    <w:rsid w:val="005D3ECA"/>
    <w:rsid w:val="005D3F07"/>
    <w:rsid w:val="005D3F8B"/>
    <w:rsid w:val="005D4036"/>
    <w:rsid w:val="005D43FA"/>
    <w:rsid w:val="005D44BC"/>
    <w:rsid w:val="005D457A"/>
    <w:rsid w:val="005D4A2C"/>
    <w:rsid w:val="005D4B82"/>
    <w:rsid w:val="005D4D03"/>
    <w:rsid w:val="005D5272"/>
    <w:rsid w:val="005D52EC"/>
    <w:rsid w:val="005D531C"/>
    <w:rsid w:val="005D5688"/>
    <w:rsid w:val="005D5954"/>
    <w:rsid w:val="005D5ABF"/>
    <w:rsid w:val="005D64A8"/>
    <w:rsid w:val="005D64D4"/>
    <w:rsid w:val="005D68DF"/>
    <w:rsid w:val="005D6906"/>
    <w:rsid w:val="005D6B63"/>
    <w:rsid w:val="005D6D42"/>
    <w:rsid w:val="005D6DD9"/>
    <w:rsid w:val="005D72F7"/>
    <w:rsid w:val="005D7951"/>
    <w:rsid w:val="005D7971"/>
    <w:rsid w:val="005E0229"/>
    <w:rsid w:val="005E05C4"/>
    <w:rsid w:val="005E0A6B"/>
    <w:rsid w:val="005E0FCC"/>
    <w:rsid w:val="005E18D1"/>
    <w:rsid w:val="005E1941"/>
    <w:rsid w:val="005E1953"/>
    <w:rsid w:val="005E1973"/>
    <w:rsid w:val="005E1CBB"/>
    <w:rsid w:val="005E2629"/>
    <w:rsid w:val="005E2CC1"/>
    <w:rsid w:val="005E2EC3"/>
    <w:rsid w:val="005E30E8"/>
    <w:rsid w:val="005E32A1"/>
    <w:rsid w:val="005E32C9"/>
    <w:rsid w:val="005E3341"/>
    <w:rsid w:val="005E358F"/>
    <w:rsid w:val="005E37D5"/>
    <w:rsid w:val="005E4071"/>
    <w:rsid w:val="005E441C"/>
    <w:rsid w:val="005E4808"/>
    <w:rsid w:val="005E4BD3"/>
    <w:rsid w:val="005E50F9"/>
    <w:rsid w:val="005E54BB"/>
    <w:rsid w:val="005E559F"/>
    <w:rsid w:val="005E56F8"/>
    <w:rsid w:val="005E58D2"/>
    <w:rsid w:val="005E5E9A"/>
    <w:rsid w:val="005E6149"/>
    <w:rsid w:val="005E61B2"/>
    <w:rsid w:val="005E6659"/>
    <w:rsid w:val="005E6D77"/>
    <w:rsid w:val="005E6F8D"/>
    <w:rsid w:val="005E7A50"/>
    <w:rsid w:val="005E7C98"/>
    <w:rsid w:val="005F034E"/>
    <w:rsid w:val="005F0A06"/>
    <w:rsid w:val="005F0C7D"/>
    <w:rsid w:val="005F1063"/>
    <w:rsid w:val="005F111C"/>
    <w:rsid w:val="005F1171"/>
    <w:rsid w:val="005F158B"/>
    <w:rsid w:val="005F1659"/>
    <w:rsid w:val="005F1832"/>
    <w:rsid w:val="005F2076"/>
    <w:rsid w:val="005F237A"/>
    <w:rsid w:val="005F2542"/>
    <w:rsid w:val="005F264F"/>
    <w:rsid w:val="005F267A"/>
    <w:rsid w:val="005F2B13"/>
    <w:rsid w:val="005F2B91"/>
    <w:rsid w:val="005F2E2C"/>
    <w:rsid w:val="005F31D5"/>
    <w:rsid w:val="005F3302"/>
    <w:rsid w:val="005F4082"/>
    <w:rsid w:val="005F4310"/>
    <w:rsid w:val="005F439A"/>
    <w:rsid w:val="005F4653"/>
    <w:rsid w:val="005F4C3F"/>
    <w:rsid w:val="005F5DE3"/>
    <w:rsid w:val="005F6D31"/>
    <w:rsid w:val="005F6FCC"/>
    <w:rsid w:val="005F7ADD"/>
    <w:rsid w:val="005F7DDC"/>
    <w:rsid w:val="005F7F2D"/>
    <w:rsid w:val="00600644"/>
    <w:rsid w:val="00600C6E"/>
    <w:rsid w:val="00600CE0"/>
    <w:rsid w:val="00601237"/>
    <w:rsid w:val="0060152C"/>
    <w:rsid w:val="0060156F"/>
    <w:rsid w:val="0060186A"/>
    <w:rsid w:val="00601A9D"/>
    <w:rsid w:val="00601C96"/>
    <w:rsid w:val="00601FDA"/>
    <w:rsid w:val="00602367"/>
    <w:rsid w:val="006027EA"/>
    <w:rsid w:val="00602B95"/>
    <w:rsid w:val="00602B9D"/>
    <w:rsid w:val="00602E0A"/>
    <w:rsid w:val="006030BD"/>
    <w:rsid w:val="006032F1"/>
    <w:rsid w:val="00603310"/>
    <w:rsid w:val="00603E05"/>
    <w:rsid w:val="00604194"/>
    <w:rsid w:val="006044CE"/>
    <w:rsid w:val="00604511"/>
    <w:rsid w:val="00604773"/>
    <w:rsid w:val="006049A8"/>
    <w:rsid w:val="00604AE3"/>
    <w:rsid w:val="00604CCA"/>
    <w:rsid w:val="00605169"/>
    <w:rsid w:val="0060561F"/>
    <w:rsid w:val="00605EB3"/>
    <w:rsid w:val="00605ECD"/>
    <w:rsid w:val="00606BC6"/>
    <w:rsid w:val="00606DB3"/>
    <w:rsid w:val="006074B5"/>
    <w:rsid w:val="0060778D"/>
    <w:rsid w:val="00607AC1"/>
    <w:rsid w:val="00607E92"/>
    <w:rsid w:val="006101B8"/>
    <w:rsid w:val="00610402"/>
    <w:rsid w:val="00610597"/>
    <w:rsid w:val="006106FC"/>
    <w:rsid w:val="00610BB7"/>
    <w:rsid w:val="00610FD5"/>
    <w:rsid w:val="00611344"/>
    <w:rsid w:val="00611BFF"/>
    <w:rsid w:val="00611F7C"/>
    <w:rsid w:val="00612028"/>
    <w:rsid w:val="00612363"/>
    <w:rsid w:val="00612C3F"/>
    <w:rsid w:val="006130F4"/>
    <w:rsid w:val="00613224"/>
    <w:rsid w:val="00613CBC"/>
    <w:rsid w:val="006140E6"/>
    <w:rsid w:val="0061432B"/>
    <w:rsid w:val="0061434C"/>
    <w:rsid w:val="006149C6"/>
    <w:rsid w:val="00614EC5"/>
    <w:rsid w:val="00614ED8"/>
    <w:rsid w:val="00615C43"/>
    <w:rsid w:val="00615D32"/>
    <w:rsid w:val="00615E39"/>
    <w:rsid w:val="006164AB"/>
    <w:rsid w:val="006164CD"/>
    <w:rsid w:val="0061655E"/>
    <w:rsid w:val="006166C9"/>
    <w:rsid w:val="006167F0"/>
    <w:rsid w:val="00617032"/>
    <w:rsid w:val="00617169"/>
    <w:rsid w:val="0061716D"/>
    <w:rsid w:val="00617696"/>
    <w:rsid w:val="00617C76"/>
    <w:rsid w:val="00617E6F"/>
    <w:rsid w:val="0062000D"/>
    <w:rsid w:val="00620477"/>
    <w:rsid w:val="00621423"/>
    <w:rsid w:val="00621BE5"/>
    <w:rsid w:val="00621C39"/>
    <w:rsid w:val="00621D85"/>
    <w:rsid w:val="00621DE8"/>
    <w:rsid w:val="00621EEA"/>
    <w:rsid w:val="00622638"/>
    <w:rsid w:val="00622A73"/>
    <w:rsid w:val="00622EA5"/>
    <w:rsid w:val="0062388D"/>
    <w:rsid w:val="00623ABB"/>
    <w:rsid w:val="00623D1B"/>
    <w:rsid w:val="00623FC4"/>
    <w:rsid w:val="0062403F"/>
    <w:rsid w:val="00624092"/>
    <w:rsid w:val="00624C87"/>
    <w:rsid w:val="00624D8E"/>
    <w:rsid w:val="00624DF9"/>
    <w:rsid w:val="00625069"/>
    <w:rsid w:val="006251A2"/>
    <w:rsid w:val="00625276"/>
    <w:rsid w:val="00625519"/>
    <w:rsid w:val="00625B31"/>
    <w:rsid w:val="00625C2F"/>
    <w:rsid w:val="00625D2D"/>
    <w:rsid w:val="00625E5E"/>
    <w:rsid w:val="006260B7"/>
    <w:rsid w:val="00626119"/>
    <w:rsid w:val="00626E4F"/>
    <w:rsid w:val="00626F2A"/>
    <w:rsid w:val="006272C7"/>
    <w:rsid w:val="006272FE"/>
    <w:rsid w:val="00627451"/>
    <w:rsid w:val="00627864"/>
    <w:rsid w:val="00627AA5"/>
    <w:rsid w:val="00627B49"/>
    <w:rsid w:val="00630099"/>
    <w:rsid w:val="00630217"/>
    <w:rsid w:val="00630285"/>
    <w:rsid w:val="00630295"/>
    <w:rsid w:val="0063038D"/>
    <w:rsid w:val="00630E97"/>
    <w:rsid w:val="006311C7"/>
    <w:rsid w:val="00631D90"/>
    <w:rsid w:val="006321E7"/>
    <w:rsid w:val="0063224C"/>
    <w:rsid w:val="00632707"/>
    <w:rsid w:val="00633047"/>
    <w:rsid w:val="006332C7"/>
    <w:rsid w:val="00633312"/>
    <w:rsid w:val="00633A48"/>
    <w:rsid w:val="00633A7A"/>
    <w:rsid w:val="00633E1B"/>
    <w:rsid w:val="00634502"/>
    <w:rsid w:val="00634ECD"/>
    <w:rsid w:val="006354EC"/>
    <w:rsid w:val="00635609"/>
    <w:rsid w:val="00635714"/>
    <w:rsid w:val="00635C53"/>
    <w:rsid w:val="00636163"/>
    <w:rsid w:val="006367E8"/>
    <w:rsid w:val="00637045"/>
    <w:rsid w:val="0063736F"/>
    <w:rsid w:val="006373C3"/>
    <w:rsid w:val="00637499"/>
    <w:rsid w:val="006376EB"/>
    <w:rsid w:val="00637F23"/>
    <w:rsid w:val="00637F82"/>
    <w:rsid w:val="006404AB"/>
    <w:rsid w:val="006404C9"/>
    <w:rsid w:val="0064052B"/>
    <w:rsid w:val="006416A0"/>
    <w:rsid w:val="00641A5F"/>
    <w:rsid w:val="006424D6"/>
    <w:rsid w:val="00642527"/>
    <w:rsid w:val="00642E5C"/>
    <w:rsid w:val="00643320"/>
    <w:rsid w:val="00643418"/>
    <w:rsid w:val="0064371F"/>
    <w:rsid w:val="006437A2"/>
    <w:rsid w:val="0064406E"/>
    <w:rsid w:val="006440A3"/>
    <w:rsid w:val="006442D9"/>
    <w:rsid w:val="0064441D"/>
    <w:rsid w:val="00644974"/>
    <w:rsid w:val="00644C60"/>
    <w:rsid w:val="00644E63"/>
    <w:rsid w:val="00645D94"/>
    <w:rsid w:val="00645F19"/>
    <w:rsid w:val="00646141"/>
    <w:rsid w:val="00646517"/>
    <w:rsid w:val="006468DC"/>
    <w:rsid w:val="00646E4A"/>
    <w:rsid w:val="006471CA"/>
    <w:rsid w:val="00647578"/>
    <w:rsid w:val="006475B1"/>
    <w:rsid w:val="0064779D"/>
    <w:rsid w:val="00647D7B"/>
    <w:rsid w:val="006500CA"/>
    <w:rsid w:val="0065031E"/>
    <w:rsid w:val="0065044C"/>
    <w:rsid w:val="0065081C"/>
    <w:rsid w:val="00650D07"/>
    <w:rsid w:val="00650D39"/>
    <w:rsid w:val="0065159F"/>
    <w:rsid w:val="006516C0"/>
    <w:rsid w:val="0065174B"/>
    <w:rsid w:val="00651B35"/>
    <w:rsid w:val="0065218B"/>
    <w:rsid w:val="0065256D"/>
    <w:rsid w:val="0065260D"/>
    <w:rsid w:val="006526DC"/>
    <w:rsid w:val="00652FE3"/>
    <w:rsid w:val="006533FA"/>
    <w:rsid w:val="0065361A"/>
    <w:rsid w:val="00653B2B"/>
    <w:rsid w:val="006541CB"/>
    <w:rsid w:val="006541E8"/>
    <w:rsid w:val="00654266"/>
    <w:rsid w:val="006544D8"/>
    <w:rsid w:val="00654733"/>
    <w:rsid w:val="0065490C"/>
    <w:rsid w:val="006552FA"/>
    <w:rsid w:val="00656115"/>
    <w:rsid w:val="00656294"/>
    <w:rsid w:val="0065636F"/>
    <w:rsid w:val="0065645F"/>
    <w:rsid w:val="006570F7"/>
    <w:rsid w:val="006578B4"/>
    <w:rsid w:val="00657CC8"/>
    <w:rsid w:val="00657FCA"/>
    <w:rsid w:val="006600E7"/>
    <w:rsid w:val="00660359"/>
    <w:rsid w:val="00660396"/>
    <w:rsid w:val="00660638"/>
    <w:rsid w:val="006608D9"/>
    <w:rsid w:val="006610BB"/>
    <w:rsid w:val="00661225"/>
    <w:rsid w:val="0066122F"/>
    <w:rsid w:val="0066123D"/>
    <w:rsid w:val="00661555"/>
    <w:rsid w:val="00661920"/>
    <w:rsid w:val="00661BB4"/>
    <w:rsid w:val="00661C20"/>
    <w:rsid w:val="00661DDC"/>
    <w:rsid w:val="00662310"/>
    <w:rsid w:val="00662323"/>
    <w:rsid w:val="006626D0"/>
    <w:rsid w:val="0066282A"/>
    <w:rsid w:val="00663282"/>
    <w:rsid w:val="00663B6D"/>
    <w:rsid w:val="00663D16"/>
    <w:rsid w:val="00663ED2"/>
    <w:rsid w:val="00664097"/>
    <w:rsid w:val="006643A8"/>
    <w:rsid w:val="00664C76"/>
    <w:rsid w:val="00664D47"/>
    <w:rsid w:val="00665471"/>
    <w:rsid w:val="00665A04"/>
    <w:rsid w:val="00665CC5"/>
    <w:rsid w:val="00666288"/>
    <w:rsid w:val="0066644C"/>
    <w:rsid w:val="006676F4"/>
    <w:rsid w:val="006677FE"/>
    <w:rsid w:val="00667BB8"/>
    <w:rsid w:val="00667F7D"/>
    <w:rsid w:val="006703F9"/>
    <w:rsid w:val="00670820"/>
    <w:rsid w:val="00670BAF"/>
    <w:rsid w:val="00670EF9"/>
    <w:rsid w:val="00671309"/>
    <w:rsid w:val="006714EA"/>
    <w:rsid w:val="006719C1"/>
    <w:rsid w:val="006722E7"/>
    <w:rsid w:val="006723BB"/>
    <w:rsid w:val="0067286D"/>
    <w:rsid w:val="006729F9"/>
    <w:rsid w:val="00672A8A"/>
    <w:rsid w:val="00672FE4"/>
    <w:rsid w:val="00673109"/>
    <w:rsid w:val="00673364"/>
    <w:rsid w:val="006736F2"/>
    <w:rsid w:val="006739EF"/>
    <w:rsid w:val="00673A56"/>
    <w:rsid w:val="00674037"/>
    <w:rsid w:val="006745A2"/>
    <w:rsid w:val="00674D18"/>
    <w:rsid w:val="0067531D"/>
    <w:rsid w:val="00675513"/>
    <w:rsid w:val="006759BB"/>
    <w:rsid w:val="006759F6"/>
    <w:rsid w:val="00675AD4"/>
    <w:rsid w:val="0067609C"/>
    <w:rsid w:val="006763D7"/>
    <w:rsid w:val="006766BD"/>
    <w:rsid w:val="006768B3"/>
    <w:rsid w:val="00676B39"/>
    <w:rsid w:val="0067707C"/>
    <w:rsid w:val="006770AA"/>
    <w:rsid w:val="0067752B"/>
    <w:rsid w:val="00677642"/>
    <w:rsid w:val="006776F7"/>
    <w:rsid w:val="00677763"/>
    <w:rsid w:val="006779A6"/>
    <w:rsid w:val="00677A7A"/>
    <w:rsid w:val="00677B2F"/>
    <w:rsid w:val="00677BC4"/>
    <w:rsid w:val="00680520"/>
    <w:rsid w:val="00680D22"/>
    <w:rsid w:val="006814ED"/>
    <w:rsid w:val="00682308"/>
    <w:rsid w:val="0068233A"/>
    <w:rsid w:val="00682502"/>
    <w:rsid w:val="006827CD"/>
    <w:rsid w:val="00682EAF"/>
    <w:rsid w:val="00683376"/>
    <w:rsid w:val="00683635"/>
    <w:rsid w:val="00683A11"/>
    <w:rsid w:val="00684299"/>
    <w:rsid w:val="00684817"/>
    <w:rsid w:val="00684867"/>
    <w:rsid w:val="006849D5"/>
    <w:rsid w:val="00684EF6"/>
    <w:rsid w:val="00685154"/>
    <w:rsid w:val="006858B5"/>
    <w:rsid w:val="00685A0F"/>
    <w:rsid w:val="00685A60"/>
    <w:rsid w:val="00685BED"/>
    <w:rsid w:val="00686201"/>
    <w:rsid w:val="00686AA6"/>
    <w:rsid w:val="00686C66"/>
    <w:rsid w:val="00686DD7"/>
    <w:rsid w:val="006874B5"/>
    <w:rsid w:val="006905EF"/>
    <w:rsid w:val="006907F8"/>
    <w:rsid w:val="00690C3A"/>
    <w:rsid w:val="00690D5A"/>
    <w:rsid w:val="0069135D"/>
    <w:rsid w:val="006914D4"/>
    <w:rsid w:val="00691559"/>
    <w:rsid w:val="00691576"/>
    <w:rsid w:val="0069215B"/>
    <w:rsid w:val="0069277B"/>
    <w:rsid w:val="006932C8"/>
    <w:rsid w:val="00693347"/>
    <w:rsid w:val="0069359C"/>
    <w:rsid w:val="0069447F"/>
    <w:rsid w:val="0069464C"/>
    <w:rsid w:val="0069464F"/>
    <w:rsid w:val="006946AA"/>
    <w:rsid w:val="00694F60"/>
    <w:rsid w:val="0069517E"/>
    <w:rsid w:val="0069549D"/>
    <w:rsid w:val="0069550F"/>
    <w:rsid w:val="0069566F"/>
    <w:rsid w:val="0069568C"/>
    <w:rsid w:val="006958A0"/>
    <w:rsid w:val="006958F5"/>
    <w:rsid w:val="00695B93"/>
    <w:rsid w:val="00696D53"/>
    <w:rsid w:val="00696E58"/>
    <w:rsid w:val="0069706F"/>
    <w:rsid w:val="00697C81"/>
    <w:rsid w:val="00697F2B"/>
    <w:rsid w:val="00697F91"/>
    <w:rsid w:val="006A0338"/>
    <w:rsid w:val="006A099F"/>
    <w:rsid w:val="006A0A91"/>
    <w:rsid w:val="006A10BA"/>
    <w:rsid w:val="006A1339"/>
    <w:rsid w:val="006A1467"/>
    <w:rsid w:val="006A15E3"/>
    <w:rsid w:val="006A16CE"/>
    <w:rsid w:val="006A1954"/>
    <w:rsid w:val="006A19A0"/>
    <w:rsid w:val="006A1C37"/>
    <w:rsid w:val="006A22ED"/>
    <w:rsid w:val="006A2372"/>
    <w:rsid w:val="006A2483"/>
    <w:rsid w:val="006A324D"/>
    <w:rsid w:val="006A3276"/>
    <w:rsid w:val="006A3506"/>
    <w:rsid w:val="006A382B"/>
    <w:rsid w:val="006A3D05"/>
    <w:rsid w:val="006A5022"/>
    <w:rsid w:val="006A50CD"/>
    <w:rsid w:val="006A52F0"/>
    <w:rsid w:val="006A5479"/>
    <w:rsid w:val="006A5725"/>
    <w:rsid w:val="006A5903"/>
    <w:rsid w:val="006A592C"/>
    <w:rsid w:val="006A5B9D"/>
    <w:rsid w:val="006A6A85"/>
    <w:rsid w:val="006A6C7E"/>
    <w:rsid w:val="006A6D14"/>
    <w:rsid w:val="006A722D"/>
    <w:rsid w:val="006A7A36"/>
    <w:rsid w:val="006A7AB7"/>
    <w:rsid w:val="006A7B21"/>
    <w:rsid w:val="006B02C3"/>
    <w:rsid w:val="006B078C"/>
    <w:rsid w:val="006B0A92"/>
    <w:rsid w:val="006B0AA0"/>
    <w:rsid w:val="006B0C59"/>
    <w:rsid w:val="006B0D88"/>
    <w:rsid w:val="006B0FC2"/>
    <w:rsid w:val="006B1838"/>
    <w:rsid w:val="006B1F37"/>
    <w:rsid w:val="006B2444"/>
    <w:rsid w:val="006B2D37"/>
    <w:rsid w:val="006B341E"/>
    <w:rsid w:val="006B349E"/>
    <w:rsid w:val="006B392C"/>
    <w:rsid w:val="006B3AB7"/>
    <w:rsid w:val="006B4413"/>
    <w:rsid w:val="006B491E"/>
    <w:rsid w:val="006B49DE"/>
    <w:rsid w:val="006B4DD9"/>
    <w:rsid w:val="006B5067"/>
    <w:rsid w:val="006B524E"/>
    <w:rsid w:val="006B59F4"/>
    <w:rsid w:val="006B5CAA"/>
    <w:rsid w:val="006B5DC3"/>
    <w:rsid w:val="006B63B7"/>
    <w:rsid w:val="006B6A5B"/>
    <w:rsid w:val="006B6EAB"/>
    <w:rsid w:val="006B76D1"/>
    <w:rsid w:val="006B7900"/>
    <w:rsid w:val="006B7D02"/>
    <w:rsid w:val="006C00F7"/>
    <w:rsid w:val="006C04E4"/>
    <w:rsid w:val="006C0B37"/>
    <w:rsid w:val="006C0F8B"/>
    <w:rsid w:val="006C1251"/>
    <w:rsid w:val="006C15A3"/>
    <w:rsid w:val="006C1816"/>
    <w:rsid w:val="006C1C3D"/>
    <w:rsid w:val="006C1CFF"/>
    <w:rsid w:val="006C2514"/>
    <w:rsid w:val="006C2AF1"/>
    <w:rsid w:val="006C2F94"/>
    <w:rsid w:val="006C3135"/>
    <w:rsid w:val="006C328E"/>
    <w:rsid w:val="006C33F2"/>
    <w:rsid w:val="006C385B"/>
    <w:rsid w:val="006C3B21"/>
    <w:rsid w:val="006C3E00"/>
    <w:rsid w:val="006C3EDB"/>
    <w:rsid w:val="006C42C0"/>
    <w:rsid w:val="006C48F1"/>
    <w:rsid w:val="006C4E65"/>
    <w:rsid w:val="006C4FBD"/>
    <w:rsid w:val="006C5251"/>
    <w:rsid w:val="006C53A4"/>
    <w:rsid w:val="006C6B02"/>
    <w:rsid w:val="006C6C53"/>
    <w:rsid w:val="006C71AC"/>
    <w:rsid w:val="006C7642"/>
    <w:rsid w:val="006C76E3"/>
    <w:rsid w:val="006C7D3E"/>
    <w:rsid w:val="006D01B1"/>
    <w:rsid w:val="006D02D3"/>
    <w:rsid w:val="006D0803"/>
    <w:rsid w:val="006D0BAA"/>
    <w:rsid w:val="006D11E8"/>
    <w:rsid w:val="006D1241"/>
    <w:rsid w:val="006D1E25"/>
    <w:rsid w:val="006D1E7B"/>
    <w:rsid w:val="006D1F21"/>
    <w:rsid w:val="006D2384"/>
    <w:rsid w:val="006D2FEE"/>
    <w:rsid w:val="006D30E5"/>
    <w:rsid w:val="006D3138"/>
    <w:rsid w:val="006D313F"/>
    <w:rsid w:val="006D4625"/>
    <w:rsid w:val="006D4928"/>
    <w:rsid w:val="006D4F80"/>
    <w:rsid w:val="006D550C"/>
    <w:rsid w:val="006D5744"/>
    <w:rsid w:val="006D5DEF"/>
    <w:rsid w:val="006D5E41"/>
    <w:rsid w:val="006D60A3"/>
    <w:rsid w:val="006D6165"/>
    <w:rsid w:val="006D69AE"/>
    <w:rsid w:val="006D714E"/>
    <w:rsid w:val="006D747E"/>
    <w:rsid w:val="006D74B9"/>
    <w:rsid w:val="006D7B7D"/>
    <w:rsid w:val="006D7E41"/>
    <w:rsid w:val="006E1214"/>
    <w:rsid w:val="006E1226"/>
    <w:rsid w:val="006E16B5"/>
    <w:rsid w:val="006E1812"/>
    <w:rsid w:val="006E216B"/>
    <w:rsid w:val="006E25CF"/>
    <w:rsid w:val="006E26C8"/>
    <w:rsid w:val="006E2DE2"/>
    <w:rsid w:val="006E2ED8"/>
    <w:rsid w:val="006E30A9"/>
    <w:rsid w:val="006E3239"/>
    <w:rsid w:val="006E3283"/>
    <w:rsid w:val="006E3AC2"/>
    <w:rsid w:val="006E40C1"/>
    <w:rsid w:val="006E47C2"/>
    <w:rsid w:val="006E4BAA"/>
    <w:rsid w:val="006E4BED"/>
    <w:rsid w:val="006E4E37"/>
    <w:rsid w:val="006E4ECC"/>
    <w:rsid w:val="006E523C"/>
    <w:rsid w:val="006E5790"/>
    <w:rsid w:val="006E69DE"/>
    <w:rsid w:val="006E6B77"/>
    <w:rsid w:val="006E7927"/>
    <w:rsid w:val="006E79C5"/>
    <w:rsid w:val="006E7C52"/>
    <w:rsid w:val="006E7D29"/>
    <w:rsid w:val="006E7D54"/>
    <w:rsid w:val="006E7F79"/>
    <w:rsid w:val="006F00A3"/>
    <w:rsid w:val="006F01C8"/>
    <w:rsid w:val="006F036C"/>
    <w:rsid w:val="006F0706"/>
    <w:rsid w:val="006F0EC8"/>
    <w:rsid w:val="006F0FB8"/>
    <w:rsid w:val="006F13B3"/>
    <w:rsid w:val="006F13F4"/>
    <w:rsid w:val="006F16D6"/>
    <w:rsid w:val="006F17DE"/>
    <w:rsid w:val="006F1CA6"/>
    <w:rsid w:val="006F2003"/>
    <w:rsid w:val="006F2969"/>
    <w:rsid w:val="006F309B"/>
    <w:rsid w:val="006F35E2"/>
    <w:rsid w:val="006F3808"/>
    <w:rsid w:val="006F3FFA"/>
    <w:rsid w:val="006F4134"/>
    <w:rsid w:val="006F4150"/>
    <w:rsid w:val="006F419F"/>
    <w:rsid w:val="006F41A7"/>
    <w:rsid w:val="006F4726"/>
    <w:rsid w:val="006F4C34"/>
    <w:rsid w:val="006F4E16"/>
    <w:rsid w:val="006F4F61"/>
    <w:rsid w:val="006F4F7B"/>
    <w:rsid w:val="006F5003"/>
    <w:rsid w:val="006F5097"/>
    <w:rsid w:val="006F5372"/>
    <w:rsid w:val="006F53BF"/>
    <w:rsid w:val="006F58A9"/>
    <w:rsid w:val="006F5C72"/>
    <w:rsid w:val="006F61EF"/>
    <w:rsid w:val="006F63F4"/>
    <w:rsid w:val="006F6445"/>
    <w:rsid w:val="006F6B15"/>
    <w:rsid w:val="006F6BB0"/>
    <w:rsid w:val="006F6D18"/>
    <w:rsid w:val="006F75AA"/>
    <w:rsid w:val="006F782A"/>
    <w:rsid w:val="006F7AE2"/>
    <w:rsid w:val="006F7ED2"/>
    <w:rsid w:val="006F7FC0"/>
    <w:rsid w:val="00700140"/>
    <w:rsid w:val="0070019E"/>
    <w:rsid w:val="00700735"/>
    <w:rsid w:val="00700A18"/>
    <w:rsid w:val="00700ADA"/>
    <w:rsid w:val="00700B7B"/>
    <w:rsid w:val="00700EA7"/>
    <w:rsid w:val="00701509"/>
    <w:rsid w:val="007015F3"/>
    <w:rsid w:val="007016FB"/>
    <w:rsid w:val="00702008"/>
    <w:rsid w:val="0070275B"/>
    <w:rsid w:val="00702852"/>
    <w:rsid w:val="00702F21"/>
    <w:rsid w:val="007030B2"/>
    <w:rsid w:val="00703304"/>
    <w:rsid w:val="00703745"/>
    <w:rsid w:val="00704222"/>
    <w:rsid w:val="0070434F"/>
    <w:rsid w:val="00704519"/>
    <w:rsid w:val="00704522"/>
    <w:rsid w:val="0070469F"/>
    <w:rsid w:val="007046BE"/>
    <w:rsid w:val="007052A8"/>
    <w:rsid w:val="007052C5"/>
    <w:rsid w:val="007056C3"/>
    <w:rsid w:val="00706599"/>
    <w:rsid w:val="00706DBE"/>
    <w:rsid w:val="00706E1A"/>
    <w:rsid w:val="00707362"/>
    <w:rsid w:val="00707366"/>
    <w:rsid w:val="00707597"/>
    <w:rsid w:val="0070772E"/>
    <w:rsid w:val="00710C0A"/>
    <w:rsid w:val="00710CF5"/>
    <w:rsid w:val="00711BD7"/>
    <w:rsid w:val="00711C93"/>
    <w:rsid w:val="007125C5"/>
    <w:rsid w:val="007128BC"/>
    <w:rsid w:val="00712E59"/>
    <w:rsid w:val="0071312A"/>
    <w:rsid w:val="007133C7"/>
    <w:rsid w:val="007135DB"/>
    <w:rsid w:val="00713E41"/>
    <w:rsid w:val="00714031"/>
    <w:rsid w:val="007142A2"/>
    <w:rsid w:val="00714521"/>
    <w:rsid w:val="007148FE"/>
    <w:rsid w:val="00714D92"/>
    <w:rsid w:val="0071584E"/>
    <w:rsid w:val="007158D8"/>
    <w:rsid w:val="00715A61"/>
    <w:rsid w:val="00715AA3"/>
    <w:rsid w:val="00715E97"/>
    <w:rsid w:val="00716BA7"/>
    <w:rsid w:val="00716F17"/>
    <w:rsid w:val="007170CB"/>
    <w:rsid w:val="00717219"/>
    <w:rsid w:val="007178C9"/>
    <w:rsid w:val="00717973"/>
    <w:rsid w:val="00717B12"/>
    <w:rsid w:val="00717E1E"/>
    <w:rsid w:val="00720B44"/>
    <w:rsid w:val="00721313"/>
    <w:rsid w:val="00721503"/>
    <w:rsid w:val="00721C3A"/>
    <w:rsid w:val="00721E8C"/>
    <w:rsid w:val="00722333"/>
    <w:rsid w:val="00723113"/>
    <w:rsid w:val="007238C3"/>
    <w:rsid w:val="00723A35"/>
    <w:rsid w:val="00723B59"/>
    <w:rsid w:val="00723DED"/>
    <w:rsid w:val="00723E76"/>
    <w:rsid w:val="007241F7"/>
    <w:rsid w:val="00724255"/>
    <w:rsid w:val="00724D0E"/>
    <w:rsid w:val="0072522C"/>
    <w:rsid w:val="00726C83"/>
    <w:rsid w:val="00726DC2"/>
    <w:rsid w:val="00726FD1"/>
    <w:rsid w:val="00727810"/>
    <w:rsid w:val="00727C48"/>
    <w:rsid w:val="00730B6A"/>
    <w:rsid w:val="00730C0A"/>
    <w:rsid w:val="00730CBF"/>
    <w:rsid w:val="007311C3"/>
    <w:rsid w:val="007311FD"/>
    <w:rsid w:val="0073160E"/>
    <w:rsid w:val="007318C0"/>
    <w:rsid w:val="0073226E"/>
    <w:rsid w:val="00732443"/>
    <w:rsid w:val="00732678"/>
    <w:rsid w:val="007329B4"/>
    <w:rsid w:val="00733137"/>
    <w:rsid w:val="0073329C"/>
    <w:rsid w:val="007333B7"/>
    <w:rsid w:val="00733634"/>
    <w:rsid w:val="007342A2"/>
    <w:rsid w:val="007346EA"/>
    <w:rsid w:val="007348E6"/>
    <w:rsid w:val="00734C86"/>
    <w:rsid w:val="00734FBB"/>
    <w:rsid w:val="00736068"/>
    <w:rsid w:val="00736468"/>
    <w:rsid w:val="00736A28"/>
    <w:rsid w:val="0073749C"/>
    <w:rsid w:val="007374E4"/>
    <w:rsid w:val="00740505"/>
    <w:rsid w:val="00740606"/>
    <w:rsid w:val="007413F5"/>
    <w:rsid w:val="007415E3"/>
    <w:rsid w:val="00741933"/>
    <w:rsid w:val="00741B31"/>
    <w:rsid w:val="0074203B"/>
    <w:rsid w:val="00742759"/>
    <w:rsid w:val="00742C9A"/>
    <w:rsid w:val="007438D5"/>
    <w:rsid w:val="00743DF2"/>
    <w:rsid w:val="00743F6C"/>
    <w:rsid w:val="00744C32"/>
    <w:rsid w:val="0074537E"/>
    <w:rsid w:val="007455FE"/>
    <w:rsid w:val="00745C97"/>
    <w:rsid w:val="00745D96"/>
    <w:rsid w:val="00746039"/>
    <w:rsid w:val="007461B8"/>
    <w:rsid w:val="00746243"/>
    <w:rsid w:val="007465C0"/>
    <w:rsid w:val="00746C5E"/>
    <w:rsid w:val="00746D49"/>
    <w:rsid w:val="007471F1"/>
    <w:rsid w:val="007477F9"/>
    <w:rsid w:val="00747A41"/>
    <w:rsid w:val="00750218"/>
    <w:rsid w:val="00750601"/>
    <w:rsid w:val="0075108C"/>
    <w:rsid w:val="007513FC"/>
    <w:rsid w:val="00751414"/>
    <w:rsid w:val="00751463"/>
    <w:rsid w:val="0075150A"/>
    <w:rsid w:val="00751CAE"/>
    <w:rsid w:val="00751D3A"/>
    <w:rsid w:val="00751E27"/>
    <w:rsid w:val="00751F60"/>
    <w:rsid w:val="007521FE"/>
    <w:rsid w:val="007522B6"/>
    <w:rsid w:val="0075252C"/>
    <w:rsid w:val="007527AF"/>
    <w:rsid w:val="007529AF"/>
    <w:rsid w:val="00752C24"/>
    <w:rsid w:val="00752CB2"/>
    <w:rsid w:val="0075310F"/>
    <w:rsid w:val="00753366"/>
    <w:rsid w:val="00753575"/>
    <w:rsid w:val="007535D4"/>
    <w:rsid w:val="007550DA"/>
    <w:rsid w:val="00755520"/>
    <w:rsid w:val="007556EE"/>
    <w:rsid w:val="00755C19"/>
    <w:rsid w:val="00756082"/>
    <w:rsid w:val="00756A8E"/>
    <w:rsid w:val="00756ACA"/>
    <w:rsid w:val="007571DC"/>
    <w:rsid w:val="00757622"/>
    <w:rsid w:val="00757960"/>
    <w:rsid w:val="007579D9"/>
    <w:rsid w:val="00757A2F"/>
    <w:rsid w:val="00757F5D"/>
    <w:rsid w:val="00760001"/>
    <w:rsid w:val="00760241"/>
    <w:rsid w:val="007602E5"/>
    <w:rsid w:val="00760591"/>
    <w:rsid w:val="0076096F"/>
    <w:rsid w:val="00760B32"/>
    <w:rsid w:val="00760EAA"/>
    <w:rsid w:val="0076178A"/>
    <w:rsid w:val="00761FA1"/>
    <w:rsid w:val="00762641"/>
    <w:rsid w:val="007626AC"/>
    <w:rsid w:val="00762912"/>
    <w:rsid w:val="00762981"/>
    <w:rsid w:val="00763100"/>
    <w:rsid w:val="007637A0"/>
    <w:rsid w:val="007639BD"/>
    <w:rsid w:val="00763BEE"/>
    <w:rsid w:val="00764152"/>
    <w:rsid w:val="00764276"/>
    <w:rsid w:val="007642EA"/>
    <w:rsid w:val="007645EE"/>
    <w:rsid w:val="00764601"/>
    <w:rsid w:val="0076496E"/>
    <w:rsid w:val="00764B71"/>
    <w:rsid w:val="007654FC"/>
    <w:rsid w:val="00765B32"/>
    <w:rsid w:val="007661B2"/>
    <w:rsid w:val="00766939"/>
    <w:rsid w:val="00766D78"/>
    <w:rsid w:val="00766DA7"/>
    <w:rsid w:val="00766F07"/>
    <w:rsid w:val="00767334"/>
    <w:rsid w:val="00767648"/>
    <w:rsid w:val="00770007"/>
    <w:rsid w:val="0077038C"/>
    <w:rsid w:val="00770985"/>
    <w:rsid w:val="00770D72"/>
    <w:rsid w:val="00771554"/>
    <w:rsid w:val="007715E2"/>
    <w:rsid w:val="007717FE"/>
    <w:rsid w:val="00771AFF"/>
    <w:rsid w:val="00771CE5"/>
    <w:rsid w:val="00771FF4"/>
    <w:rsid w:val="00772B1C"/>
    <w:rsid w:val="00772F4C"/>
    <w:rsid w:val="0077301F"/>
    <w:rsid w:val="0077354C"/>
    <w:rsid w:val="00773783"/>
    <w:rsid w:val="00773E64"/>
    <w:rsid w:val="00773F30"/>
    <w:rsid w:val="00774119"/>
    <w:rsid w:val="0077470D"/>
    <w:rsid w:val="0077527E"/>
    <w:rsid w:val="007753FF"/>
    <w:rsid w:val="007754C9"/>
    <w:rsid w:val="00775A35"/>
    <w:rsid w:val="00775A7B"/>
    <w:rsid w:val="00776054"/>
    <w:rsid w:val="00776A44"/>
    <w:rsid w:val="00776E43"/>
    <w:rsid w:val="00776ED8"/>
    <w:rsid w:val="00777536"/>
    <w:rsid w:val="00777B5B"/>
    <w:rsid w:val="00777CBD"/>
    <w:rsid w:val="00777F2F"/>
    <w:rsid w:val="007802F0"/>
    <w:rsid w:val="00780317"/>
    <w:rsid w:val="00780FAC"/>
    <w:rsid w:val="00781242"/>
    <w:rsid w:val="007816CB"/>
    <w:rsid w:val="00781947"/>
    <w:rsid w:val="0078194C"/>
    <w:rsid w:val="007821E3"/>
    <w:rsid w:val="00782571"/>
    <w:rsid w:val="00782771"/>
    <w:rsid w:val="00782903"/>
    <w:rsid w:val="0078297D"/>
    <w:rsid w:val="00782B99"/>
    <w:rsid w:val="00782E4B"/>
    <w:rsid w:val="00783201"/>
    <w:rsid w:val="00783617"/>
    <w:rsid w:val="00783854"/>
    <w:rsid w:val="00784600"/>
    <w:rsid w:val="00784BBF"/>
    <w:rsid w:val="007853FA"/>
    <w:rsid w:val="00785D87"/>
    <w:rsid w:val="00786AC3"/>
    <w:rsid w:val="00787B56"/>
    <w:rsid w:val="00787DB8"/>
    <w:rsid w:val="00790426"/>
    <w:rsid w:val="00790973"/>
    <w:rsid w:val="00790997"/>
    <w:rsid w:val="00790A2A"/>
    <w:rsid w:val="00790FB1"/>
    <w:rsid w:val="0079111B"/>
    <w:rsid w:val="00791912"/>
    <w:rsid w:val="00792C9F"/>
    <w:rsid w:val="007931A0"/>
    <w:rsid w:val="007932EA"/>
    <w:rsid w:val="0079353D"/>
    <w:rsid w:val="007935CD"/>
    <w:rsid w:val="0079374A"/>
    <w:rsid w:val="00793F31"/>
    <w:rsid w:val="00793F38"/>
    <w:rsid w:val="0079421F"/>
    <w:rsid w:val="0079529E"/>
    <w:rsid w:val="007969D0"/>
    <w:rsid w:val="00796A8C"/>
    <w:rsid w:val="00796C21"/>
    <w:rsid w:val="00796E1D"/>
    <w:rsid w:val="00797349"/>
    <w:rsid w:val="00797643"/>
    <w:rsid w:val="007A0A47"/>
    <w:rsid w:val="007A0AD8"/>
    <w:rsid w:val="007A0D95"/>
    <w:rsid w:val="007A1BE6"/>
    <w:rsid w:val="007A1EE2"/>
    <w:rsid w:val="007A32E2"/>
    <w:rsid w:val="007A3A9B"/>
    <w:rsid w:val="007A4107"/>
    <w:rsid w:val="007A4573"/>
    <w:rsid w:val="007A4E78"/>
    <w:rsid w:val="007A539D"/>
    <w:rsid w:val="007A59D7"/>
    <w:rsid w:val="007A63BA"/>
    <w:rsid w:val="007A6701"/>
    <w:rsid w:val="007A6919"/>
    <w:rsid w:val="007A694C"/>
    <w:rsid w:val="007A7213"/>
    <w:rsid w:val="007A759A"/>
    <w:rsid w:val="007A7BDB"/>
    <w:rsid w:val="007B0538"/>
    <w:rsid w:val="007B05CD"/>
    <w:rsid w:val="007B06EF"/>
    <w:rsid w:val="007B10BB"/>
    <w:rsid w:val="007B1282"/>
    <w:rsid w:val="007B1C0B"/>
    <w:rsid w:val="007B1D51"/>
    <w:rsid w:val="007B1ED6"/>
    <w:rsid w:val="007B2518"/>
    <w:rsid w:val="007B25FB"/>
    <w:rsid w:val="007B281D"/>
    <w:rsid w:val="007B285F"/>
    <w:rsid w:val="007B2E53"/>
    <w:rsid w:val="007B3C5E"/>
    <w:rsid w:val="007B40B6"/>
    <w:rsid w:val="007B4223"/>
    <w:rsid w:val="007B4EE4"/>
    <w:rsid w:val="007B4F51"/>
    <w:rsid w:val="007B5032"/>
    <w:rsid w:val="007B518A"/>
    <w:rsid w:val="007B5528"/>
    <w:rsid w:val="007B5A99"/>
    <w:rsid w:val="007B5D6B"/>
    <w:rsid w:val="007B5DB0"/>
    <w:rsid w:val="007B5DE2"/>
    <w:rsid w:val="007B5E2F"/>
    <w:rsid w:val="007B61D1"/>
    <w:rsid w:val="007B64C3"/>
    <w:rsid w:val="007B64C6"/>
    <w:rsid w:val="007B6B7D"/>
    <w:rsid w:val="007B7521"/>
    <w:rsid w:val="007B7557"/>
    <w:rsid w:val="007B7572"/>
    <w:rsid w:val="007B7776"/>
    <w:rsid w:val="007B78E9"/>
    <w:rsid w:val="007B7EF9"/>
    <w:rsid w:val="007C01D7"/>
    <w:rsid w:val="007C0280"/>
    <w:rsid w:val="007C05CE"/>
    <w:rsid w:val="007C05CF"/>
    <w:rsid w:val="007C083C"/>
    <w:rsid w:val="007C0875"/>
    <w:rsid w:val="007C0C9B"/>
    <w:rsid w:val="007C0D41"/>
    <w:rsid w:val="007C1079"/>
    <w:rsid w:val="007C11B1"/>
    <w:rsid w:val="007C132E"/>
    <w:rsid w:val="007C1731"/>
    <w:rsid w:val="007C17AD"/>
    <w:rsid w:val="007C182E"/>
    <w:rsid w:val="007C18D7"/>
    <w:rsid w:val="007C1B22"/>
    <w:rsid w:val="007C26EC"/>
    <w:rsid w:val="007C271B"/>
    <w:rsid w:val="007C28C2"/>
    <w:rsid w:val="007C2C87"/>
    <w:rsid w:val="007C3261"/>
    <w:rsid w:val="007C32FF"/>
    <w:rsid w:val="007C3699"/>
    <w:rsid w:val="007C3B1F"/>
    <w:rsid w:val="007C3F25"/>
    <w:rsid w:val="007C4314"/>
    <w:rsid w:val="007C54B3"/>
    <w:rsid w:val="007C5848"/>
    <w:rsid w:val="007C6FF2"/>
    <w:rsid w:val="007C718E"/>
    <w:rsid w:val="007C72EB"/>
    <w:rsid w:val="007C73F2"/>
    <w:rsid w:val="007C76CB"/>
    <w:rsid w:val="007C7723"/>
    <w:rsid w:val="007C780C"/>
    <w:rsid w:val="007C78B2"/>
    <w:rsid w:val="007C7A12"/>
    <w:rsid w:val="007C7CB4"/>
    <w:rsid w:val="007D0792"/>
    <w:rsid w:val="007D0973"/>
    <w:rsid w:val="007D12FE"/>
    <w:rsid w:val="007D1B69"/>
    <w:rsid w:val="007D24EE"/>
    <w:rsid w:val="007D284E"/>
    <w:rsid w:val="007D2BB6"/>
    <w:rsid w:val="007D37EA"/>
    <w:rsid w:val="007D38CC"/>
    <w:rsid w:val="007D3A34"/>
    <w:rsid w:val="007D3B62"/>
    <w:rsid w:val="007D3C93"/>
    <w:rsid w:val="007D3E61"/>
    <w:rsid w:val="007D3EA5"/>
    <w:rsid w:val="007D432F"/>
    <w:rsid w:val="007D44BF"/>
    <w:rsid w:val="007D4531"/>
    <w:rsid w:val="007D46E8"/>
    <w:rsid w:val="007D4930"/>
    <w:rsid w:val="007D5186"/>
    <w:rsid w:val="007D576C"/>
    <w:rsid w:val="007D59A4"/>
    <w:rsid w:val="007D608D"/>
    <w:rsid w:val="007D6A5B"/>
    <w:rsid w:val="007D6F89"/>
    <w:rsid w:val="007D764A"/>
    <w:rsid w:val="007D7E5B"/>
    <w:rsid w:val="007E004F"/>
    <w:rsid w:val="007E02C5"/>
    <w:rsid w:val="007E0365"/>
    <w:rsid w:val="007E084E"/>
    <w:rsid w:val="007E09AA"/>
    <w:rsid w:val="007E0D9A"/>
    <w:rsid w:val="007E0DB8"/>
    <w:rsid w:val="007E1223"/>
    <w:rsid w:val="007E127C"/>
    <w:rsid w:val="007E1579"/>
    <w:rsid w:val="007E249F"/>
    <w:rsid w:val="007E3046"/>
    <w:rsid w:val="007E3A83"/>
    <w:rsid w:val="007E3DE9"/>
    <w:rsid w:val="007E430A"/>
    <w:rsid w:val="007E4485"/>
    <w:rsid w:val="007E46C9"/>
    <w:rsid w:val="007E46D2"/>
    <w:rsid w:val="007E47F2"/>
    <w:rsid w:val="007E49F5"/>
    <w:rsid w:val="007E4A92"/>
    <w:rsid w:val="007E4CE0"/>
    <w:rsid w:val="007E56C9"/>
    <w:rsid w:val="007E57EB"/>
    <w:rsid w:val="007E58D4"/>
    <w:rsid w:val="007E5BB6"/>
    <w:rsid w:val="007E5E35"/>
    <w:rsid w:val="007E5F6E"/>
    <w:rsid w:val="007E60C6"/>
    <w:rsid w:val="007E61D9"/>
    <w:rsid w:val="007E664F"/>
    <w:rsid w:val="007E67B6"/>
    <w:rsid w:val="007E6F2B"/>
    <w:rsid w:val="007E7936"/>
    <w:rsid w:val="007E7B16"/>
    <w:rsid w:val="007E7FBD"/>
    <w:rsid w:val="007E7FBF"/>
    <w:rsid w:val="007F0CA1"/>
    <w:rsid w:val="007F12CD"/>
    <w:rsid w:val="007F26CD"/>
    <w:rsid w:val="007F2D85"/>
    <w:rsid w:val="007F2F97"/>
    <w:rsid w:val="007F338D"/>
    <w:rsid w:val="007F346A"/>
    <w:rsid w:val="007F3C80"/>
    <w:rsid w:val="007F3D9B"/>
    <w:rsid w:val="007F3DEC"/>
    <w:rsid w:val="007F4030"/>
    <w:rsid w:val="007F41C7"/>
    <w:rsid w:val="007F464C"/>
    <w:rsid w:val="007F47AC"/>
    <w:rsid w:val="007F4ADA"/>
    <w:rsid w:val="007F505C"/>
    <w:rsid w:val="007F5180"/>
    <w:rsid w:val="007F5293"/>
    <w:rsid w:val="007F5B34"/>
    <w:rsid w:val="007F5C7E"/>
    <w:rsid w:val="007F636D"/>
    <w:rsid w:val="007F6911"/>
    <w:rsid w:val="007F6BF7"/>
    <w:rsid w:val="007F6E82"/>
    <w:rsid w:val="007F7535"/>
    <w:rsid w:val="007F756F"/>
    <w:rsid w:val="007F759B"/>
    <w:rsid w:val="007F75D2"/>
    <w:rsid w:val="007F76A2"/>
    <w:rsid w:val="007F7769"/>
    <w:rsid w:val="007F7C30"/>
    <w:rsid w:val="007F7D12"/>
    <w:rsid w:val="00800020"/>
    <w:rsid w:val="00800367"/>
    <w:rsid w:val="0080056C"/>
    <w:rsid w:val="00800692"/>
    <w:rsid w:val="0080136F"/>
    <w:rsid w:val="008014CE"/>
    <w:rsid w:val="008014E9"/>
    <w:rsid w:val="008018CE"/>
    <w:rsid w:val="00802407"/>
    <w:rsid w:val="008029BD"/>
    <w:rsid w:val="008029EA"/>
    <w:rsid w:val="00802AAB"/>
    <w:rsid w:val="00802AD0"/>
    <w:rsid w:val="00802CF5"/>
    <w:rsid w:val="00802E04"/>
    <w:rsid w:val="00802FBE"/>
    <w:rsid w:val="0080310C"/>
    <w:rsid w:val="00803499"/>
    <w:rsid w:val="00803C98"/>
    <w:rsid w:val="00804314"/>
    <w:rsid w:val="00804812"/>
    <w:rsid w:val="00805471"/>
    <w:rsid w:val="008055DD"/>
    <w:rsid w:val="00805D76"/>
    <w:rsid w:val="00806201"/>
    <w:rsid w:val="008063D3"/>
    <w:rsid w:val="008067B0"/>
    <w:rsid w:val="008069ED"/>
    <w:rsid w:val="00806D65"/>
    <w:rsid w:val="00806E2B"/>
    <w:rsid w:val="00806E9C"/>
    <w:rsid w:val="00807097"/>
    <w:rsid w:val="00807E7C"/>
    <w:rsid w:val="00807E8C"/>
    <w:rsid w:val="00810256"/>
    <w:rsid w:val="008104BF"/>
    <w:rsid w:val="00810A29"/>
    <w:rsid w:val="00810FE7"/>
    <w:rsid w:val="008110FB"/>
    <w:rsid w:val="0081172B"/>
    <w:rsid w:val="00811916"/>
    <w:rsid w:val="00811B5B"/>
    <w:rsid w:val="00811E91"/>
    <w:rsid w:val="0081228A"/>
    <w:rsid w:val="00812A51"/>
    <w:rsid w:val="00812AC9"/>
    <w:rsid w:val="00812F14"/>
    <w:rsid w:val="008130FF"/>
    <w:rsid w:val="008134A3"/>
    <w:rsid w:val="00813D26"/>
    <w:rsid w:val="00814C2E"/>
    <w:rsid w:val="00814C36"/>
    <w:rsid w:val="0081541F"/>
    <w:rsid w:val="008154AB"/>
    <w:rsid w:val="008156C4"/>
    <w:rsid w:val="00816690"/>
    <w:rsid w:val="00816E79"/>
    <w:rsid w:val="00816EC0"/>
    <w:rsid w:val="0081731F"/>
    <w:rsid w:val="008174DC"/>
    <w:rsid w:val="0082068F"/>
    <w:rsid w:val="00820A4D"/>
    <w:rsid w:val="00820B28"/>
    <w:rsid w:val="00821286"/>
    <w:rsid w:val="00821AFD"/>
    <w:rsid w:val="00821B52"/>
    <w:rsid w:val="0082202D"/>
    <w:rsid w:val="0082273E"/>
    <w:rsid w:val="00823416"/>
    <w:rsid w:val="00823C5C"/>
    <w:rsid w:val="00824182"/>
    <w:rsid w:val="00824618"/>
    <w:rsid w:val="00824905"/>
    <w:rsid w:val="0082551E"/>
    <w:rsid w:val="00825746"/>
    <w:rsid w:val="00825DDA"/>
    <w:rsid w:val="008264AE"/>
    <w:rsid w:val="00826CAE"/>
    <w:rsid w:val="00826D8E"/>
    <w:rsid w:val="00826F0D"/>
    <w:rsid w:val="008273FE"/>
    <w:rsid w:val="008276A8"/>
    <w:rsid w:val="00827E87"/>
    <w:rsid w:val="00830628"/>
    <w:rsid w:val="008306CF"/>
    <w:rsid w:val="00830824"/>
    <w:rsid w:val="008309DA"/>
    <w:rsid w:val="00830A66"/>
    <w:rsid w:val="00830BC8"/>
    <w:rsid w:val="008318A8"/>
    <w:rsid w:val="00831DD8"/>
    <w:rsid w:val="008320A9"/>
    <w:rsid w:val="00832563"/>
    <w:rsid w:val="00832600"/>
    <w:rsid w:val="008329DC"/>
    <w:rsid w:val="0083306E"/>
    <w:rsid w:val="008336B2"/>
    <w:rsid w:val="0083422B"/>
    <w:rsid w:val="00834617"/>
    <w:rsid w:val="00834B27"/>
    <w:rsid w:val="00835080"/>
    <w:rsid w:val="0083510E"/>
    <w:rsid w:val="00835223"/>
    <w:rsid w:val="00835274"/>
    <w:rsid w:val="00835787"/>
    <w:rsid w:val="00835BB1"/>
    <w:rsid w:val="008364A4"/>
    <w:rsid w:val="00836503"/>
    <w:rsid w:val="008367CB"/>
    <w:rsid w:val="0083693C"/>
    <w:rsid w:val="00836C70"/>
    <w:rsid w:val="0083717E"/>
    <w:rsid w:val="00837C9A"/>
    <w:rsid w:val="00837CEB"/>
    <w:rsid w:val="00840024"/>
    <w:rsid w:val="00840192"/>
    <w:rsid w:val="008407D3"/>
    <w:rsid w:val="0084124E"/>
    <w:rsid w:val="0084124F"/>
    <w:rsid w:val="00841529"/>
    <w:rsid w:val="0084185D"/>
    <w:rsid w:val="0084188A"/>
    <w:rsid w:val="00841F97"/>
    <w:rsid w:val="00842E5B"/>
    <w:rsid w:val="00842ECD"/>
    <w:rsid w:val="00842F00"/>
    <w:rsid w:val="00843051"/>
    <w:rsid w:val="00843674"/>
    <w:rsid w:val="00843A79"/>
    <w:rsid w:val="00843FF4"/>
    <w:rsid w:val="008441D5"/>
    <w:rsid w:val="00844920"/>
    <w:rsid w:val="00844B48"/>
    <w:rsid w:val="00844BCE"/>
    <w:rsid w:val="00844CBC"/>
    <w:rsid w:val="00844FE0"/>
    <w:rsid w:val="00845314"/>
    <w:rsid w:val="0084548C"/>
    <w:rsid w:val="00846216"/>
    <w:rsid w:val="00846596"/>
    <w:rsid w:val="0084661F"/>
    <w:rsid w:val="008466CB"/>
    <w:rsid w:val="0084670C"/>
    <w:rsid w:val="00846F83"/>
    <w:rsid w:val="008474E8"/>
    <w:rsid w:val="008478F8"/>
    <w:rsid w:val="008501B7"/>
    <w:rsid w:val="00850DB5"/>
    <w:rsid w:val="00850FFA"/>
    <w:rsid w:val="008510B2"/>
    <w:rsid w:val="00851569"/>
    <w:rsid w:val="008516D7"/>
    <w:rsid w:val="008517A0"/>
    <w:rsid w:val="00851A01"/>
    <w:rsid w:val="00851B70"/>
    <w:rsid w:val="00851C7D"/>
    <w:rsid w:val="00851CD9"/>
    <w:rsid w:val="00851D8E"/>
    <w:rsid w:val="00851EE2"/>
    <w:rsid w:val="00852021"/>
    <w:rsid w:val="00852238"/>
    <w:rsid w:val="0085224D"/>
    <w:rsid w:val="0085253F"/>
    <w:rsid w:val="0085269C"/>
    <w:rsid w:val="00852782"/>
    <w:rsid w:val="00853BEA"/>
    <w:rsid w:val="00854253"/>
    <w:rsid w:val="00854368"/>
    <w:rsid w:val="008544C2"/>
    <w:rsid w:val="00854733"/>
    <w:rsid w:val="008547D8"/>
    <w:rsid w:val="0085487B"/>
    <w:rsid w:val="00854D9D"/>
    <w:rsid w:val="00854E12"/>
    <w:rsid w:val="00855232"/>
    <w:rsid w:val="00855AB4"/>
    <w:rsid w:val="0085605D"/>
    <w:rsid w:val="00856182"/>
    <w:rsid w:val="00856257"/>
    <w:rsid w:val="008562F7"/>
    <w:rsid w:val="00856897"/>
    <w:rsid w:val="008569E9"/>
    <w:rsid w:val="00857A0A"/>
    <w:rsid w:val="00857B45"/>
    <w:rsid w:val="00857F7D"/>
    <w:rsid w:val="0086098B"/>
    <w:rsid w:val="00860A03"/>
    <w:rsid w:val="00860A23"/>
    <w:rsid w:val="00860AC2"/>
    <w:rsid w:val="00861046"/>
    <w:rsid w:val="008612D9"/>
    <w:rsid w:val="0086130A"/>
    <w:rsid w:val="00861558"/>
    <w:rsid w:val="008617AA"/>
    <w:rsid w:val="00861B4B"/>
    <w:rsid w:val="00861BA2"/>
    <w:rsid w:val="00861FBC"/>
    <w:rsid w:val="00862774"/>
    <w:rsid w:val="00862C1C"/>
    <w:rsid w:val="00862F93"/>
    <w:rsid w:val="00863288"/>
    <w:rsid w:val="00863668"/>
    <w:rsid w:val="008637DD"/>
    <w:rsid w:val="00863F90"/>
    <w:rsid w:val="008642A0"/>
    <w:rsid w:val="00864B78"/>
    <w:rsid w:val="00864E80"/>
    <w:rsid w:val="008653C8"/>
    <w:rsid w:val="0086591F"/>
    <w:rsid w:val="008659E3"/>
    <w:rsid w:val="00865E8D"/>
    <w:rsid w:val="008663A2"/>
    <w:rsid w:val="00866623"/>
    <w:rsid w:val="00866A6F"/>
    <w:rsid w:val="00867107"/>
    <w:rsid w:val="0086749C"/>
    <w:rsid w:val="008676DB"/>
    <w:rsid w:val="00870226"/>
    <w:rsid w:val="0087083F"/>
    <w:rsid w:val="0087088A"/>
    <w:rsid w:val="00871415"/>
    <w:rsid w:val="0087214C"/>
    <w:rsid w:val="008721D5"/>
    <w:rsid w:val="00872547"/>
    <w:rsid w:val="00872B05"/>
    <w:rsid w:val="00873E56"/>
    <w:rsid w:val="00873FA2"/>
    <w:rsid w:val="0087437F"/>
    <w:rsid w:val="008743CE"/>
    <w:rsid w:val="008747C4"/>
    <w:rsid w:val="00874825"/>
    <w:rsid w:val="00874B84"/>
    <w:rsid w:val="00875C61"/>
    <w:rsid w:val="00875DEC"/>
    <w:rsid w:val="008762A0"/>
    <w:rsid w:val="00876325"/>
    <w:rsid w:val="00876D24"/>
    <w:rsid w:val="00876DF3"/>
    <w:rsid w:val="00877783"/>
    <w:rsid w:val="00877B0B"/>
    <w:rsid w:val="00877B41"/>
    <w:rsid w:val="00877BF4"/>
    <w:rsid w:val="00880966"/>
    <w:rsid w:val="00880E41"/>
    <w:rsid w:val="00880F26"/>
    <w:rsid w:val="0088106E"/>
    <w:rsid w:val="008811DE"/>
    <w:rsid w:val="008815C1"/>
    <w:rsid w:val="00881DC0"/>
    <w:rsid w:val="00881DE7"/>
    <w:rsid w:val="008821C0"/>
    <w:rsid w:val="008838D9"/>
    <w:rsid w:val="00883F1F"/>
    <w:rsid w:val="00884336"/>
    <w:rsid w:val="00884AAA"/>
    <w:rsid w:val="008853F0"/>
    <w:rsid w:val="00885BF6"/>
    <w:rsid w:val="00886074"/>
    <w:rsid w:val="0088635B"/>
    <w:rsid w:val="00886AB2"/>
    <w:rsid w:val="00887013"/>
    <w:rsid w:val="008878AC"/>
    <w:rsid w:val="00890744"/>
    <w:rsid w:val="00890E07"/>
    <w:rsid w:val="00890FAF"/>
    <w:rsid w:val="00891052"/>
    <w:rsid w:val="0089182F"/>
    <w:rsid w:val="00891AF3"/>
    <w:rsid w:val="00891FC3"/>
    <w:rsid w:val="008923ED"/>
    <w:rsid w:val="00892433"/>
    <w:rsid w:val="008925B3"/>
    <w:rsid w:val="0089284D"/>
    <w:rsid w:val="00892D77"/>
    <w:rsid w:val="008930E7"/>
    <w:rsid w:val="00893A26"/>
    <w:rsid w:val="00893B5D"/>
    <w:rsid w:val="00893BBD"/>
    <w:rsid w:val="00894002"/>
    <w:rsid w:val="00894277"/>
    <w:rsid w:val="0089473F"/>
    <w:rsid w:val="00894974"/>
    <w:rsid w:val="008950B1"/>
    <w:rsid w:val="00895A48"/>
    <w:rsid w:val="00895F6D"/>
    <w:rsid w:val="00895FDE"/>
    <w:rsid w:val="008965E2"/>
    <w:rsid w:val="00896620"/>
    <w:rsid w:val="00896979"/>
    <w:rsid w:val="00896ADF"/>
    <w:rsid w:val="00896C97"/>
    <w:rsid w:val="0089721F"/>
    <w:rsid w:val="0089781D"/>
    <w:rsid w:val="00897843"/>
    <w:rsid w:val="00897A4A"/>
    <w:rsid w:val="00897D8E"/>
    <w:rsid w:val="008A020C"/>
    <w:rsid w:val="008A0566"/>
    <w:rsid w:val="008A0AB5"/>
    <w:rsid w:val="008A0D7A"/>
    <w:rsid w:val="008A0E5E"/>
    <w:rsid w:val="008A0FC3"/>
    <w:rsid w:val="008A12AC"/>
    <w:rsid w:val="008A1A24"/>
    <w:rsid w:val="008A1D48"/>
    <w:rsid w:val="008A1D9D"/>
    <w:rsid w:val="008A2971"/>
    <w:rsid w:val="008A2D72"/>
    <w:rsid w:val="008A2FDD"/>
    <w:rsid w:val="008A3770"/>
    <w:rsid w:val="008A3837"/>
    <w:rsid w:val="008A397B"/>
    <w:rsid w:val="008A3B43"/>
    <w:rsid w:val="008A3E93"/>
    <w:rsid w:val="008A3ED0"/>
    <w:rsid w:val="008A3EDA"/>
    <w:rsid w:val="008A3FE5"/>
    <w:rsid w:val="008A4559"/>
    <w:rsid w:val="008A4725"/>
    <w:rsid w:val="008A4E4C"/>
    <w:rsid w:val="008A5030"/>
    <w:rsid w:val="008A573E"/>
    <w:rsid w:val="008A601A"/>
    <w:rsid w:val="008A675D"/>
    <w:rsid w:val="008A6AEA"/>
    <w:rsid w:val="008B02C3"/>
    <w:rsid w:val="008B0F21"/>
    <w:rsid w:val="008B13B5"/>
    <w:rsid w:val="008B2A5B"/>
    <w:rsid w:val="008B2BC1"/>
    <w:rsid w:val="008B2C37"/>
    <w:rsid w:val="008B3696"/>
    <w:rsid w:val="008B3BAA"/>
    <w:rsid w:val="008B3F51"/>
    <w:rsid w:val="008B4534"/>
    <w:rsid w:val="008B4955"/>
    <w:rsid w:val="008B5171"/>
    <w:rsid w:val="008B5246"/>
    <w:rsid w:val="008B5A74"/>
    <w:rsid w:val="008B5BC9"/>
    <w:rsid w:val="008B5EB2"/>
    <w:rsid w:val="008B62FC"/>
    <w:rsid w:val="008B650A"/>
    <w:rsid w:val="008B66DB"/>
    <w:rsid w:val="008B68B5"/>
    <w:rsid w:val="008B6CA4"/>
    <w:rsid w:val="008B752F"/>
    <w:rsid w:val="008B78CA"/>
    <w:rsid w:val="008B79C1"/>
    <w:rsid w:val="008C016E"/>
    <w:rsid w:val="008C026C"/>
    <w:rsid w:val="008C0F55"/>
    <w:rsid w:val="008C136C"/>
    <w:rsid w:val="008C1765"/>
    <w:rsid w:val="008C1B70"/>
    <w:rsid w:val="008C1B81"/>
    <w:rsid w:val="008C1D0D"/>
    <w:rsid w:val="008C1E84"/>
    <w:rsid w:val="008C29DC"/>
    <w:rsid w:val="008C2D6E"/>
    <w:rsid w:val="008C2DC4"/>
    <w:rsid w:val="008C30AB"/>
    <w:rsid w:val="008C3108"/>
    <w:rsid w:val="008C3DEF"/>
    <w:rsid w:val="008C3F46"/>
    <w:rsid w:val="008C40B4"/>
    <w:rsid w:val="008C4227"/>
    <w:rsid w:val="008C42A5"/>
    <w:rsid w:val="008C42AC"/>
    <w:rsid w:val="008C444D"/>
    <w:rsid w:val="008C47D3"/>
    <w:rsid w:val="008C50C4"/>
    <w:rsid w:val="008C53CB"/>
    <w:rsid w:val="008C58FD"/>
    <w:rsid w:val="008C61C6"/>
    <w:rsid w:val="008C6B87"/>
    <w:rsid w:val="008C6CAF"/>
    <w:rsid w:val="008C6D2A"/>
    <w:rsid w:val="008C6F57"/>
    <w:rsid w:val="008C70F7"/>
    <w:rsid w:val="008C75C6"/>
    <w:rsid w:val="008C7F9A"/>
    <w:rsid w:val="008D0A10"/>
    <w:rsid w:val="008D1007"/>
    <w:rsid w:val="008D11DF"/>
    <w:rsid w:val="008D1400"/>
    <w:rsid w:val="008D1408"/>
    <w:rsid w:val="008D1A79"/>
    <w:rsid w:val="008D1DFE"/>
    <w:rsid w:val="008D20DD"/>
    <w:rsid w:val="008D2457"/>
    <w:rsid w:val="008D260F"/>
    <w:rsid w:val="008D26FB"/>
    <w:rsid w:val="008D2B95"/>
    <w:rsid w:val="008D2C4F"/>
    <w:rsid w:val="008D354C"/>
    <w:rsid w:val="008D357C"/>
    <w:rsid w:val="008D3593"/>
    <w:rsid w:val="008D3750"/>
    <w:rsid w:val="008D424D"/>
    <w:rsid w:val="008D4508"/>
    <w:rsid w:val="008D4E19"/>
    <w:rsid w:val="008D4F63"/>
    <w:rsid w:val="008D50FA"/>
    <w:rsid w:val="008D57B6"/>
    <w:rsid w:val="008D592A"/>
    <w:rsid w:val="008D5A8F"/>
    <w:rsid w:val="008D620A"/>
    <w:rsid w:val="008D63B3"/>
    <w:rsid w:val="008D64F3"/>
    <w:rsid w:val="008D6B9D"/>
    <w:rsid w:val="008D7A1B"/>
    <w:rsid w:val="008E04FC"/>
    <w:rsid w:val="008E1047"/>
    <w:rsid w:val="008E2582"/>
    <w:rsid w:val="008E280C"/>
    <w:rsid w:val="008E2A09"/>
    <w:rsid w:val="008E2ADC"/>
    <w:rsid w:val="008E2AED"/>
    <w:rsid w:val="008E2BF7"/>
    <w:rsid w:val="008E2C96"/>
    <w:rsid w:val="008E2D41"/>
    <w:rsid w:val="008E2FEC"/>
    <w:rsid w:val="008E3984"/>
    <w:rsid w:val="008E4A97"/>
    <w:rsid w:val="008E4B37"/>
    <w:rsid w:val="008E4E29"/>
    <w:rsid w:val="008E4E2E"/>
    <w:rsid w:val="008E4E97"/>
    <w:rsid w:val="008E4EC4"/>
    <w:rsid w:val="008E5289"/>
    <w:rsid w:val="008E6165"/>
    <w:rsid w:val="008E638C"/>
    <w:rsid w:val="008E7048"/>
    <w:rsid w:val="008E7250"/>
    <w:rsid w:val="008E7E11"/>
    <w:rsid w:val="008F01B9"/>
    <w:rsid w:val="008F0282"/>
    <w:rsid w:val="008F03E5"/>
    <w:rsid w:val="008F05DC"/>
    <w:rsid w:val="008F07D1"/>
    <w:rsid w:val="008F0E0A"/>
    <w:rsid w:val="008F13A2"/>
    <w:rsid w:val="008F15F3"/>
    <w:rsid w:val="008F1925"/>
    <w:rsid w:val="008F19AA"/>
    <w:rsid w:val="008F1B34"/>
    <w:rsid w:val="008F1D74"/>
    <w:rsid w:val="008F2169"/>
    <w:rsid w:val="008F21D2"/>
    <w:rsid w:val="008F226A"/>
    <w:rsid w:val="008F2666"/>
    <w:rsid w:val="008F29B0"/>
    <w:rsid w:val="008F3269"/>
    <w:rsid w:val="008F3D4F"/>
    <w:rsid w:val="008F4E3C"/>
    <w:rsid w:val="008F5AE0"/>
    <w:rsid w:val="008F5EFF"/>
    <w:rsid w:val="008F5FD8"/>
    <w:rsid w:val="008F62C5"/>
    <w:rsid w:val="008F6AAA"/>
    <w:rsid w:val="008F6B10"/>
    <w:rsid w:val="008F6BEF"/>
    <w:rsid w:val="008F6D58"/>
    <w:rsid w:val="008F6EB9"/>
    <w:rsid w:val="00900261"/>
    <w:rsid w:val="009015F3"/>
    <w:rsid w:val="009016EF"/>
    <w:rsid w:val="00901BCD"/>
    <w:rsid w:val="009022F5"/>
    <w:rsid w:val="00902363"/>
    <w:rsid w:val="009025DD"/>
    <w:rsid w:val="009027C4"/>
    <w:rsid w:val="00902C6E"/>
    <w:rsid w:val="00903A5A"/>
    <w:rsid w:val="00903AED"/>
    <w:rsid w:val="00903B1E"/>
    <w:rsid w:val="00903DE0"/>
    <w:rsid w:val="00903DF2"/>
    <w:rsid w:val="00904C03"/>
    <w:rsid w:val="00904E62"/>
    <w:rsid w:val="00904F57"/>
    <w:rsid w:val="00905525"/>
    <w:rsid w:val="00905526"/>
    <w:rsid w:val="00905581"/>
    <w:rsid w:val="00905AE6"/>
    <w:rsid w:val="0090617E"/>
    <w:rsid w:val="00906804"/>
    <w:rsid w:val="00906E1C"/>
    <w:rsid w:val="0090714B"/>
    <w:rsid w:val="0090791B"/>
    <w:rsid w:val="009079B5"/>
    <w:rsid w:val="00907D5B"/>
    <w:rsid w:val="00907E1B"/>
    <w:rsid w:val="00910AD3"/>
    <w:rsid w:val="0091149F"/>
    <w:rsid w:val="00911586"/>
    <w:rsid w:val="00911B1E"/>
    <w:rsid w:val="0091244E"/>
    <w:rsid w:val="0091257A"/>
    <w:rsid w:val="009125C7"/>
    <w:rsid w:val="00912702"/>
    <w:rsid w:val="00912946"/>
    <w:rsid w:val="00912C91"/>
    <w:rsid w:val="0091343C"/>
    <w:rsid w:val="00913680"/>
    <w:rsid w:val="00913908"/>
    <w:rsid w:val="009143C8"/>
    <w:rsid w:val="00914F88"/>
    <w:rsid w:val="009155D8"/>
    <w:rsid w:val="009158DD"/>
    <w:rsid w:val="00915B68"/>
    <w:rsid w:val="00915C8E"/>
    <w:rsid w:val="00915C90"/>
    <w:rsid w:val="00915D91"/>
    <w:rsid w:val="0091601D"/>
    <w:rsid w:val="009162E0"/>
    <w:rsid w:val="009167DB"/>
    <w:rsid w:val="0091686A"/>
    <w:rsid w:val="00916CBC"/>
    <w:rsid w:val="009170CD"/>
    <w:rsid w:val="009178C9"/>
    <w:rsid w:val="00917A28"/>
    <w:rsid w:val="00917C3A"/>
    <w:rsid w:val="00917E8A"/>
    <w:rsid w:val="00920588"/>
    <w:rsid w:val="00920831"/>
    <w:rsid w:val="00920A2D"/>
    <w:rsid w:val="00920E93"/>
    <w:rsid w:val="00921138"/>
    <w:rsid w:val="009211D2"/>
    <w:rsid w:val="00921815"/>
    <w:rsid w:val="00921C6F"/>
    <w:rsid w:val="0092231C"/>
    <w:rsid w:val="009223E5"/>
    <w:rsid w:val="00922592"/>
    <w:rsid w:val="009229C7"/>
    <w:rsid w:val="009230E3"/>
    <w:rsid w:val="009230F3"/>
    <w:rsid w:val="00923DD2"/>
    <w:rsid w:val="00923DF8"/>
    <w:rsid w:val="00924BEB"/>
    <w:rsid w:val="009250FB"/>
    <w:rsid w:val="00925101"/>
    <w:rsid w:val="00925174"/>
    <w:rsid w:val="009252B5"/>
    <w:rsid w:val="00925856"/>
    <w:rsid w:val="00925873"/>
    <w:rsid w:val="00925C85"/>
    <w:rsid w:val="009260C5"/>
    <w:rsid w:val="00926121"/>
    <w:rsid w:val="009264A1"/>
    <w:rsid w:val="0092686D"/>
    <w:rsid w:val="00926D73"/>
    <w:rsid w:val="00927319"/>
    <w:rsid w:val="00927465"/>
    <w:rsid w:val="00927E5E"/>
    <w:rsid w:val="00927E86"/>
    <w:rsid w:val="009300B2"/>
    <w:rsid w:val="009302F1"/>
    <w:rsid w:val="0093039B"/>
    <w:rsid w:val="009303A9"/>
    <w:rsid w:val="00930604"/>
    <w:rsid w:val="0093072E"/>
    <w:rsid w:val="009307B9"/>
    <w:rsid w:val="00930D1E"/>
    <w:rsid w:val="00931098"/>
    <w:rsid w:val="00931151"/>
    <w:rsid w:val="00931732"/>
    <w:rsid w:val="0093183E"/>
    <w:rsid w:val="00931C78"/>
    <w:rsid w:val="00932425"/>
    <w:rsid w:val="00933BB0"/>
    <w:rsid w:val="009347AC"/>
    <w:rsid w:val="00934811"/>
    <w:rsid w:val="009351AA"/>
    <w:rsid w:val="009353D2"/>
    <w:rsid w:val="009356A0"/>
    <w:rsid w:val="0093585F"/>
    <w:rsid w:val="00935F8B"/>
    <w:rsid w:val="00935FF3"/>
    <w:rsid w:val="00936896"/>
    <w:rsid w:val="00936AF9"/>
    <w:rsid w:val="00936C26"/>
    <w:rsid w:val="00936D4B"/>
    <w:rsid w:val="00937DDB"/>
    <w:rsid w:val="009400CE"/>
    <w:rsid w:val="00940C35"/>
    <w:rsid w:val="009410AB"/>
    <w:rsid w:val="00941304"/>
    <w:rsid w:val="00941579"/>
    <w:rsid w:val="00941EE4"/>
    <w:rsid w:val="0094201D"/>
    <w:rsid w:val="0094208C"/>
    <w:rsid w:val="009420B7"/>
    <w:rsid w:val="009426EC"/>
    <w:rsid w:val="009428E3"/>
    <w:rsid w:val="00942AE8"/>
    <w:rsid w:val="00942D6C"/>
    <w:rsid w:val="00943162"/>
    <w:rsid w:val="00943309"/>
    <w:rsid w:val="009433AD"/>
    <w:rsid w:val="00943944"/>
    <w:rsid w:val="00943AF8"/>
    <w:rsid w:val="00943E6F"/>
    <w:rsid w:val="0094417B"/>
    <w:rsid w:val="00944802"/>
    <w:rsid w:val="00944B6B"/>
    <w:rsid w:val="00944EDF"/>
    <w:rsid w:val="009450FA"/>
    <w:rsid w:val="009451A1"/>
    <w:rsid w:val="009458E2"/>
    <w:rsid w:val="00945D28"/>
    <w:rsid w:val="009461D4"/>
    <w:rsid w:val="009463B7"/>
    <w:rsid w:val="0094645F"/>
    <w:rsid w:val="0094646E"/>
    <w:rsid w:val="00946857"/>
    <w:rsid w:val="0094692E"/>
    <w:rsid w:val="00946CB7"/>
    <w:rsid w:val="00947A6D"/>
    <w:rsid w:val="00947BE8"/>
    <w:rsid w:val="00947C52"/>
    <w:rsid w:val="0095048E"/>
    <w:rsid w:val="00950720"/>
    <w:rsid w:val="00950826"/>
    <w:rsid w:val="00950A16"/>
    <w:rsid w:val="00950C7A"/>
    <w:rsid w:val="00950DDC"/>
    <w:rsid w:val="009512A0"/>
    <w:rsid w:val="00951706"/>
    <w:rsid w:val="009518D4"/>
    <w:rsid w:val="00951CB9"/>
    <w:rsid w:val="0095285F"/>
    <w:rsid w:val="00952C6E"/>
    <w:rsid w:val="00952CA2"/>
    <w:rsid w:val="00952E2D"/>
    <w:rsid w:val="0095321B"/>
    <w:rsid w:val="0095325D"/>
    <w:rsid w:val="00953610"/>
    <w:rsid w:val="0095370E"/>
    <w:rsid w:val="00953F30"/>
    <w:rsid w:val="0095400C"/>
    <w:rsid w:val="00954BFA"/>
    <w:rsid w:val="0095597A"/>
    <w:rsid w:val="00955B3C"/>
    <w:rsid w:val="0095602A"/>
    <w:rsid w:val="009560DD"/>
    <w:rsid w:val="00956663"/>
    <w:rsid w:val="00957113"/>
    <w:rsid w:val="00957283"/>
    <w:rsid w:val="0095759F"/>
    <w:rsid w:val="00957887"/>
    <w:rsid w:val="00957AA5"/>
    <w:rsid w:val="009616FA"/>
    <w:rsid w:val="00961A08"/>
    <w:rsid w:val="00961B95"/>
    <w:rsid w:val="00961C26"/>
    <w:rsid w:val="00962540"/>
    <w:rsid w:val="009625A9"/>
    <w:rsid w:val="00962945"/>
    <w:rsid w:val="00962A03"/>
    <w:rsid w:val="00963E62"/>
    <w:rsid w:val="0096483A"/>
    <w:rsid w:val="00965074"/>
    <w:rsid w:val="00965FD2"/>
    <w:rsid w:val="00966190"/>
    <w:rsid w:val="009669E8"/>
    <w:rsid w:val="00966BAA"/>
    <w:rsid w:val="00966DE3"/>
    <w:rsid w:val="00967001"/>
    <w:rsid w:val="009673A1"/>
    <w:rsid w:val="009673D6"/>
    <w:rsid w:val="0096769C"/>
    <w:rsid w:val="00967B6B"/>
    <w:rsid w:val="00970052"/>
    <w:rsid w:val="009704B6"/>
    <w:rsid w:val="0097080E"/>
    <w:rsid w:val="00970CE2"/>
    <w:rsid w:val="009710C6"/>
    <w:rsid w:val="00971146"/>
    <w:rsid w:val="009713B4"/>
    <w:rsid w:val="009715E8"/>
    <w:rsid w:val="0097181E"/>
    <w:rsid w:val="00971BBF"/>
    <w:rsid w:val="00971C0E"/>
    <w:rsid w:val="00971CCE"/>
    <w:rsid w:val="00971D1D"/>
    <w:rsid w:val="00971D73"/>
    <w:rsid w:val="00972379"/>
    <w:rsid w:val="0097342C"/>
    <w:rsid w:val="00974185"/>
    <w:rsid w:val="00974B95"/>
    <w:rsid w:val="00974E0F"/>
    <w:rsid w:val="0097564C"/>
    <w:rsid w:val="00975AEA"/>
    <w:rsid w:val="00976D86"/>
    <w:rsid w:val="00976EE7"/>
    <w:rsid w:val="00977110"/>
    <w:rsid w:val="00977344"/>
    <w:rsid w:val="00977665"/>
    <w:rsid w:val="0097785D"/>
    <w:rsid w:val="009800A4"/>
    <w:rsid w:val="0098052B"/>
    <w:rsid w:val="00980B31"/>
    <w:rsid w:val="00981376"/>
    <w:rsid w:val="00981A9B"/>
    <w:rsid w:val="00981B3A"/>
    <w:rsid w:val="00981C47"/>
    <w:rsid w:val="00981CD6"/>
    <w:rsid w:val="009820DF"/>
    <w:rsid w:val="0098240F"/>
    <w:rsid w:val="00982617"/>
    <w:rsid w:val="00982ADF"/>
    <w:rsid w:val="009830A1"/>
    <w:rsid w:val="00983664"/>
    <w:rsid w:val="00983ED8"/>
    <w:rsid w:val="00985493"/>
    <w:rsid w:val="00985518"/>
    <w:rsid w:val="009858BF"/>
    <w:rsid w:val="009862B3"/>
    <w:rsid w:val="00986699"/>
    <w:rsid w:val="00986DF3"/>
    <w:rsid w:val="00986EE6"/>
    <w:rsid w:val="009879D0"/>
    <w:rsid w:val="00987EDA"/>
    <w:rsid w:val="00990953"/>
    <w:rsid w:val="00991451"/>
    <w:rsid w:val="00991955"/>
    <w:rsid w:val="00991AA8"/>
    <w:rsid w:val="00991B3B"/>
    <w:rsid w:val="00991D44"/>
    <w:rsid w:val="00991D66"/>
    <w:rsid w:val="00991D79"/>
    <w:rsid w:val="00991DC5"/>
    <w:rsid w:val="00992546"/>
    <w:rsid w:val="00992570"/>
    <w:rsid w:val="00992A99"/>
    <w:rsid w:val="00992BA9"/>
    <w:rsid w:val="00992C1B"/>
    <w:rsid w:val="009933C1"/>
    <w:rsid w:val="00993BF5"/>
    <w:rsid w:val="00993CBD"/>
    <w:rsid w:val="00993D16"/>
    <w:rsid w:val="0099412B"/>
    <w:rsid w:val="00994B4F"/>
    <w:rsid w:val="009953D6"/>
    <w:rsid w:val="00995403"/>
    <w:rsid w:val="009955FB"/>
    <w:rsid w:val="00995C92"/>
    <w:rsid w:val="00995E7E"/>
    <w:rsid w:val="00995F85"/>
    <w:rsid w:val="0099754D"/>
    <w:rsid w:val="00997965"/>
    <w:rsid w:val="0099799C"/>
    <w:rsid w:val="009A00E5"/>
    <w:rsid w:val="009A0626"/>
    <w:rsid w:val="009A06BB"/>
    <w:rsid w:val="009A0795"/>
    <w:rsid w:val="009A08DA"/>
    <w:rsid w:val="009A0B7B"/>
    <w:rsid w:val="009A13B6"/>
    <w:rsid w:val="009A18DF"/>
    <w:rsid w:val="009A1949"/>
    <w:rsid w:val="009A1BAF"/>
    <w:rsid w:val="009A1DFB"/>
    <w:rsid w:val="009A1FCD"/>
    <w:rsid w:val="009A1FF2"/>
    <w:rsid w:val="009A20E2"/>
    <w:rsid w:val="009A2F6A"/>
    <w:rsid w:val="009A38D9"/>
    <w:rsid w:val="009A3986"/>
    <w:rsid w:val="009A3EF5"/>
    <w:rsid w:val="009A3F0B"/>
    <w:rsid w:val="009A42AB"/>
    <w:rsid w:val="009A4588"/>
    <w:rsid w:val="009A4593"/>
    <w:rsid w:val="009A46FC"/>
    <w:rsid w:val="009A49F9"/>
    <w:rsid w:val="009A4BD1"/>
    <w:rsid w:val="009A4C62"/>
    <w:rsid w:val="009A4D40"/>
    <w:rsid w:val="009A4E19"/>
    <w:rsid w:val="009A4F49"/>
    <w:rsid w:val="009A5511"/>
    <w:rsid w:val="009A555D"/>
    <w:rsid w:val="009A6317"/>
    <w:rsid w:val="009A633C"/>
    <w:rsid w:val="009A7035"/>
    <w:rsid w:val="009A7683"/>
    <w:rsid w:val="009A773F"/>
    <w:rsid w:val="009A7E73"/>
    <w:rsid w:val="009A7F0B"/>
    <w:rsid w:val="009A7F18"/>
    <w:rsid w:val="009A7F97"/>
    <w:rsid w:val="009B0142"/>
    <w:rsid w:val="009B0C41"/>
    <w:rsid w:val="009B0F13"/>
    <w:rsid w:val="009B16BC"/>
    <w:rsid w:val="009B191B"/>
    <w:rsid w:val="009B1AC6"/>
    <w:rsid w:val="009B212B"/>
    <w:rsid w:val="009B213C"/>
    <w:rsid w:val="009B248A"/>
    <w:rsid w:val="009B2D80"/>
    <w:rsid w:val="009B2F12"/>
    <w:rsid w:val="009B3049"/>
    <w:rsid w:val="009B3429"/>
    <w:rsid w:val="009B35EF"/>
    <w:rsid w:val="009B3828"/>
    <w:rsid w:val="009B3C30"/>
    <w:rsid w:val="009B47CE"/>
    <w:rsid w:val="009B4B97"/>
    <w:rsid w:val="009B4CE4"/>
    <w:rsid w:val="009B4D5E"/>
    <w:rsid w:val="009B52F0"/>
    <w:rsid w:val="009B5744"/>
    <w:rsid w:val="009B5816"/>
    <w:rsid w:val="009B5A2E"/>
    <w:rsid w:val="009B5E60"/>
    <w:rsid w:val="009B66EC"/>
    <w:rsid w:val="009B6732"/>
    <w:rsid w:val="009B681A"/>
    <w:rsid w:val="009B6FC5"/>
    <w:rsid w:val="009B71BB"/>
    <w:rsid w:val="009B7664"/>
    <w:rsid w:val="009C02BE"/>
    <w:rsid w:val="009C035A"/>
    <w:rsid w:val="009C0956"/>
    <w:rsid w:val="009C0A26"/>
    <w:rsid w:val="009C0BBD"/>
    <w:rsid w:val="009C0D4B"/>
    <w:rsid w:val="009C0EC8"/>
    <w:rsid w:val="009C0FEA"/>
    <w:rsid w:val="009C1199"/>
    <w:rsid w:val="009C1282"/>
    <w:rsid w:val="009C1742"/>
    <w:rsid w:val="009C1DF8"/>
    <w:rsid w:val="009C2406"/>
    <w:rsid w:val="009C24C5"/>
    <w:rsid w:val="009C2FE1"/>
    <w:rsid w:val="009C32BA"/>
    <w:rsid w:val="009C3602"/>
    <w:rsid w:val="009C3700"/>
    <w:rsid w:val="009C4385"/>
    <w:rsid w:val="009C44B1"/>
    <w:rsid w:val="009C48E2"/>
    <w:rsid w:val="009C4D49"/>
    <w:rsid w:val="009C5ABB"/>
    <w:rsid w:val="009C6028"/>
    <w:rsid w:val="009C61A9"/>
    <w:rsid w:val="009C659C"/>
    <w:rsid w:val="009C6E07"/>
    <w:rsid w:val="009C6FAC"/>
    <w:rsid w:val="009C6FB9"/>
    <w:rsid w:val="009C712D"/>
    <w:rsid w:val="009C7141"/>
    <w:rsid w:val="009C73A6"/>
    <w:rsid w:val="009C767E"/>
    <w:rsid w:val="009D2418"/>
    <w:rsid w:val="009D3253"/>
    <w:rsid w:val="009D3AB3"/>
    <w:rsid w:val="009D3DA8"/>
    <w:rsid w:val="009D3DF8"/>
    <w:rsid w:val="009D3F27"/>
    <w:rsid w:val="009D461B"/>
    <w:rsid w:val="009D4755"/>
    <w:rsid w:val="009D4E12"/>
    <w:rsid w:val="009D4E72"/>
    <w:rsid w:val="009D50F8"/>
    <w:rsid w:val="009D5476"/>
    <w:rsid w:val="009D5A2C"/>
    <w:rsid w:val="009D5B37"/>
    <w:rsid w:val="009D64CD"/>
    <w:rsid w:val="009D6BFB"/>
    <w:rsid w:val="009D6CB7"/>
    <w:rsid w:val="009D70AE"/>
    <w:rsid w:val="009D71E5"/>
    <w:rsid w:val="009D757A"/>
    <w:rsid w:val="009D7FAB"/>
    <w:rsid w:val="009E00AC"/>
    <w:rsid w:val="009E049A"/>
    <w:rsid w:val="009E0661"/>
    <w:rsid w:val="009E08BD"/>
    <w:rsid w:val="009E0CD5"/>
    <w:rsid w:val="009E1042"/>
    <w:rsid w:val="009E144F"/>
    <w:rsid w:val="009E1D6D"/>
    <w:rsid w:val="009E1EEC"/>
    <w:rsid w:val="009E23FB"/>
    <w:rsid w:val="009E257E"/>
    <w:rsid w:val="009E289E"/>
    <w:rsid w:val="009E2C1E"/>
    <w:rsid w:val="009E344F"/>
    <w:rsid w:val="009E35AB"/>
    <w:rsid w:val="009E381C"/>
    <w:rsid w:val="009E47F9"/>
    <w:rsid w:val="009E49E1"/>
    <w:rsid w:val="009E51C3"/>
    <w:rsid w:val="009E5375"/>
    <w:rsid w:val="009E5E6A"/>
    <w:rsid w:val="009E6228"/>
    <w:rsid w:val="009E6274"/>
    <w:rsid w:val="009E6881"/>
    <w:rsid w:val="009E6978"/>
    <w:rsid w:val="009E6E16"/>
    <w:rsid w:val="009E7654"/>
    <w:rsid w:val="009E77BD"/>
    <w:rsid w:val="009F0283"/>
    <w:rsid w:val="009F04C4"/>
    <w:rsid w:val="009F08A6"/>
    <w:rsid w:val="009F0FF4"/>
    <w:rsid w:val="009F1326"/>
    <w:rsid w:val="009F1486"/>
    <w:rsid w:val="009F1A53"/>
    <w:rsid w:val="009F1C1F"/>
    <w:rsid w:val="009F23BE"/>
    <w:rsid w:val="009F2FEF"/>
    <w:rsid w:val="009F3133"/>
    <w:rsid w:val="009F347A"/>
    <w:rsid w:val="009F3C99"/>
    <w:rsid w:val="009F41D8"/>
    <w:rsid w:val="009F463A"/>
    <w:rsid w:val="009F47B9"/>
    <w:rsid w:val="009F490F"/>
    <w:rsid w:val="009F505B"/>
    <w:rsid w:val="009F5068"/>
    <w:rsid w:val="009F53C7"/>
    <w:rsid w:val="009F59BE"/>
    <w:rsid w:val="009F5CE4"/>
    <w:rsid w:val="009F5E51"/>
    <w:rsid w:val="009F61B0"/>
    <w:rsid w:val="009F62B5"/>
    <w:rsid w:val="009F6DF2"/>
    <w:rsid w:val="009F6E81"/>
    <w:rsid w:val="009F6E9C"/>
    <w:rsid w:val="009F7A46"/>
    <w:rsid w:val="009F7C0A"/>
    <w:rsid w:val="009F7E52"/>
    <w:rsid w:val="00A002FD"/>
    <w:rsid w:val="00A00A3B"/>
    <w:rsid w:val="00A00BEB"/>
    <w:rsid w:val="00A00C99"/>
    <w:rsid w:val="00A01AD8"/>
    <w:rsid w:val="00A01D6B"/>
    <w:rsid w:val="00A01E5F"/>
    <w:rsid w:val="00A022E5"/>
    <w:rsid w:val="00A025FF"/>
    <w:rsid w:val="00A0293B"/>
    <w:rsid w:val="00A02DE1"/>
    <w:rsid w:val="00A03A6D"/>
    <w:rsid w:val="00A03B78"/>
    <w:rsid w:val="00A03E37"/>
    <w:rsid w:val="00A043EE"/>
    <w:rsid w:val="00A0451D"/>
    <w:rsid w:val="00A04C16"/>
    <w:rsid w:val="00A05883"/>
    <w:rsid w:val="00A05ED8"/>
    <w:rsid w:val="00A06024"/>
    <w:rsid w:val="00A06194"/>
    <w:rsid w:val="00A070D3"/>
    <w:rsid w:val="00A071B5"/>
    <w:rsid w:val="00A07708"/>
    <w:rsid w:val="00A101D0"/>
    <w:rsid w:val="00A10AE4"/>
    <w:rsid w:val="00A116D2"/>
    <w:rsid w:val="00A11789"/>
    <w:rsid w:val="00A11BB8"/>
    <w:rsid w:val="00A1250A"/>
    <w:rsid w:val="00A12531"/>
    <w:rsid w:val="00A1278F"/>
    <w:rsid w:val="00A128E0"/>
    <w:rsid w:val="00A12BC9"/>
    <w:rsid w:val="00A12C87"/>
    <w:rsid w:val="00A13670"/>
    <w:rsid w:val="00A13E31"/>
    <w:rsid w:val="00A147B4"/>
    <w:rsid w:val="00A14871"/>
    <w:rsid w:val="00A14B39"/>
    <w:rsid w:val="00A14D3C"/>
    <w:rsid w:val="00A14E33"/>
    <w:rsid w:val="00A14EE1"/>
    <w:rsid w:val="00A152B7"/>
    <w:rsid w:val="00A1531A"/>
    <w:rsid w:val="00A15484"/>
    <w:rsid w:val="00A156CA"/>
    <w:rsid w:val="00A15B9B"/>
    <w:rsid w:val="00A16215"/>
    <w:rsid w:val="00A1652D"/>
    <w:rsid w:val="00A1674C"/>
    <w:rsid w:val="00A16829"/>
    <w:rsid w:val="00A16C00"/>
    <w:rsid w:val="00A16DA8"/>
    <w:rsid w:val="00A171CD"/>
    <w:rsid w:val="00A1737A"/>
    <w:rsid w:val="00A1776E"/>
    <w:rsid w:val="00A17A89"/>
    <w:rsid w:val="00A17E29"/>
    <w:rsid w:val="00A17FB9"/>
    <w:rsid w:val="00A200AA"/>
    <w:rsid w:val="00A203D0"/>
    <w:rsid w:val="00A203D1"/>
    <w:rsid w:val="00A2062E"/>
    <w:rsid w:val="00A20669"/>
    <w:rsid w:val="00A20F1C"/>
    <w:rsid w:val="00A2119D"/>
    <w:rsid w:val="00A21A97"/>
    <w:rsid w:val="00A22D52"/>
    <w:rsid w:val="00A231A9"/>
    <w:rsid w:val="00A23EDD"/>
    <w:rsid w:val="00A24194"/>
    <w:rsid w:val="00A2428D"/>
    <w:rsid w:val="00A24608"/>
    <w:rsid w:val="00A24A50"/>
    <w:rsid w:val="00A24B78"/>
    <w:rsid w:val="00A24D49"/>
    <w:rsid w:val="00A25882"/>
    <w:rsid w:val="00A25896"/>
    <w:rsid w:val="00A25DD3"/>
    <w:rsid w:val="00A26CF9"/>
    <w:rsid w:val="00A26E17"/>
    <w:rsid w:val="00A26E7F"/>
    <w:rsid w:val="00A2734B"/>
    <w:rsid w:val="00A27746"/>
    <w:rsid w:val="00A309FA"/>
    <w:rsid w:val="00A3128D"/>
    <w:rsid w:val="00A313FA"/>
    <w:rsid w:val="00A31535"/>
    <w:rsid w:val="00A318EC"/>
    <w:rsid w:val="00A31A19"/>
    <w:rsid w:val="00A31DDD"/>
    <w:rsid w:val="00A31EDE"/>
    <w:rsid w:val="00A31F5A"/>
    <w:rsid w:val="00A31F90"/>
    <w:rsid w:val="00A32116"/>
    <w:rsid w:val="00A3233B"/>
    <w:rsid w:val="00A325F4"/>
    <w:rsid w:val="00A32BDA"/>
    <w:rsid w:val="00A32C39"/>
    <w:rsid w:val="00A32EC4"/>
    <w:rsid w:val="00A32FD1"/>
    <w:rsid w:val="00A336B5"/>
    <w:rsid w:val="00A33994"/>
    <w:rsid w:val="00A35390"/>
    <w:rsid w:val="00A3550E"/>
    <w:rsid w:val="00A3568D"/>
    <w:rsid w:val="00A35757"/>
    <w:rsid w:val="00A35AE7"/>
    <w:rsid w:val="00A36062"/>
    <w:rsid w:val="00A3645E"/>
    <w:rsid w:val="00A364BA"/>
    <w:rsid w:val="00A37101"/>
    <w:rsid w:val="00A3746C"/>
    <w:rsid w:val="00A3749F"/>
    <w:rsid w:val="00A37922"/>
    <w:rsid w:val="00A37B91"/>
    <w:rsid w:val="00A400BA"/>
    <w:rsid w:val="00A4019B"/>
    <w:rsid w:val="00A404BA"/>
    <w:rsid w:val="00A40A51"/>
    <w:rsid w:val="00A40FA7"/>
    <w:rsid w:val="00A410D7"/>
    <w:rsid w:val="00A4148C"/>
    <w:rsid w:val="00A4155A"/>
    <w:rsid w:val="00A4185E"/>
    <w:rsid w:val="00A41901"/>
    <w:rsid w:val="00A4190F"/>
    <w:rsid w:val="00A41BDE"/>
    <w:rsid w:val="00A41DE7"/>
    <w:rsid w:val="00A421AA"/>
    <w:rsid w:val="00A42718"/>
    <w:rsid w:val="00A42D1C"/>
    <w:rsid w:val="00A42FA8"/>
    <w:rsid w:val="00A430AC"/>
    <w:rsid w:val="00A43159"/>
    <w:rsid w:val="00A43324"/>
    <w:rsid w:val="00A43B9C"/>
    <w:rsid w:val="00A43D52"/>
    <w:rsid w:val="00A444BC"/>
    <w:rsid w:val="00A44A33"/>
    <w:rsid w:val="00A4543C"/>
    <w:rsid w:val="00A4582E"/>
    <w:rsid w:val="00A458B7"/>
    <w:rsid w:val="00A459C7"/>
    <w:rsid w:val="00A45A17"/>
    <w:rsid w:val="00A45BA8"/>
    <w:rsid w:val="00A45CA8"/>
    <w:rsid w:val="00A45CF1"/>
    <w:rsid w:val="00A45E66"/>
    <w:rsid w:val="00A46132"/>
    <w:rsid w:val="00A461B9"/>
    <w:rsid w:val="00A4621A"/>
    <w:rsid w:val="00A4669C"/>
    <w:rsid w:val="00A46884"/>
    <w:rsid w:val="00A46A48"/>
    <w:rsid w:val="00A46AE1"/>
    <w:rsid w:val="00A46E55"/>
    <w:rsid w:val="00A46F52"/>
    <w:rsid w:val="00A4710D"/>
    <w:rsid w:val="00A47B02"/>
    <w:rsid w:val="00A47CCE"/>
    <w:rsid w:val="00A47F42"/>
    <w:rsid w:val="00A501E3"/>
    <w:rsid w:val="00A503B6"/>
    <w:rsid w:val="00A50662"/>
    <w:rsid w:val="00A50908"/>
    <w:rsid w:val="00A51B19"/>
    <w:rsid w:val="00A52027"/>
    <w:rsid w:val="00A52536"/>
    <w:rsid w:val="00A528DA"/>
    <w:rsid w:val="00A52977"/>
    <w:rsid w:val="00A53165"/>
    <w:rsid w:val="00A53182"/>
    <w:rsid w:val="00A54253"/>
    <w:rsid w:val="00A546C9"/>
    <w:rsid w:val="00A54F45"/>
    <w:rsid w:val="00A5507F"/>
    <w:rsid w:val="00A552DC"/>
    <w:rsid w:val="00A557D2"/>
    <w:rsid w:val="00A55C6C"/>
    <w:rsid w:val="00A55C74"/>
    <w:rsid w:val="00A55FA3"/>
    <w:rsid w:val="00A5618D"/>
    <w:rsid w:val="00A562BB"/>
    <w:rsid w:val="00A566E8"/>
    <w:rsid w:val="00A56756"/>
    <w:rsid w:val="00A56996"/>
    <w:rsid w:val="00A56A4D"/>
    <w:rsid w:val="00A56B96"/>
    <w:rsid w:val="00A56C5E"/>
    <w:rsid w:val="00A56D70"/>
    <w:rsid w:val="00A5747F"/>
    <w:rsid w:val="00A57726"/>
    <w:rsid w:val="00A579AF"/>
    <w:rsid w:val="00A6029F"/>
    <w:rsid w:val="00A6048E"/>
    <w:rsid w:val="00A607E8"/>
    <w:rsid w:val="00A60842"/>
    <w:rsid w:val="00A60B5F"/>
    <w:rsid w:val="00A60BA8"/>
    <w:rsid w:val="00A60BDF"/>
    <w:rsid w:val="00A60E18"/>
    <w:rsid w:val="00A612AD"/>
    <w:rsid w:val="00A612D7"/>
    <w:rsid w:val="00A61624"/>
    <w:rsid w:val="00A617B9"/>
    <w:rsid w:val="00A61886"/>
    <w:rsid w:val="00A619E0"/>
    <w:rsid w:val="00A6205E"/>
    <w:rsid w:val="00A624E1"/>
    <w:rsid w:val="00A6286C"/>
    <w:rsid w:val="00A62F01"/>
    <w:rsid w:val="00A636C3"/>
    <w:rsid w:val="00A63ADB"/>
    <w:rsid w:val="00A63C8B"/>
    <w:rsid w:val="00A646F8"/>
    <w:rsid w:val="00A6481B"/>
    <w:rsid w:val="00A64A0C"/>
    <w:rsid w:val="00A657AE"/>
    <w:rsid w:val="00A67286"/>
    <w:rsid w:val="00A679B0"/>
    <w:rsid w:val="00A67CB1"/>
    <w:rsid w:val="00A7076A"/>
    <w:rsid w:val="00A71D18"/>
    <w:rsid w:val="00A71FE3"/>
    <w:rsid w:val="00A724AA"/>
    <w:rsid w:val="00A725F5"/>
    <w:rsid w:val="00A72699"/>
    <w:rsid w:val="00A72C0D"/>
    <w:rsid w:val="00A72EB5"/>
    <w:rsid w:val="00A72F2F"/>
    <w:rsid w:val="00A73846"/>
    <w:rsid w:val="00A73B2D"/>
    <w:rsid w:val="00A74047"/>
    <w:rsid w:val="00A7431B"/>
    <w:rsid w:val="00A744B2"/>
    <w:rsid w:val="00A74529"/>
    <w:rsid w:val="00A7458C"/>
    <w:rsid w:val="00A7479A"/>
    <w:rsid w:val="00A7503E"/>
    <w:rsid w:val="00A7571E"/>
    <w:rsid w:val="00A7635C"/>
    <w:rsid w:val="00A7648F"/>
    <w:rsid w:val="00A771FD"/>
    <w:rsid w:val="00A77B15"/>
    <w:rsid w:val="00A80609"/>
    <w:rsid w:val="00A809AD"/>
    <w:rsid w:val="00A80D45"/>
    <w:rsid w:val="00A810FC"/>
    <w:rsid w:val="00A8141A"/>
    <w:rsid w:val="00A81477"/>
    <w:rsid w:val="00A816E5"/>
    <w:rsid w:val="00A81A41"/>
    <w:rsid w:val="00A8243A"/>
    <w:rsid w:val="00A8273D"/>
    <w:rsid w:val="00A82924"/>
    <w:rsid w:val="00A82AEA"/>
    <w:rsid w:val="00A82F37"/>
    <w:rsid w:val="00A833FB"/>
    <w:rsid w:val="00A8429C"/>
    <w:rsid w:val="00A84792"/>
    <w:rsid w:val="00A84976"/>
    <w:rsid w:val="00A84C2A"/>
    <w:rsid w:val="00A85BCA"/>
    <w:rsid w:val="00A86221"/>
    <w:rsid w:val="00A8645F"/>
    <w:rsid w:val="00A866B2"/>
    <w:rsid w:val="00A87419"/>
    <w:rsid w:val="00A87780"/>
    <w:rsid w:val="00A87B5E"/>
    <w:rsid w:val="00A87C0F"/>
    <w:rsid w:val="00A87F58"/>
    <w:rsid w:val="00A901D2"/>
    <w:rsid w:val="00A903F7"/>
    <w:rsid w:val="00A90518"/>
    <w:rsid w:val="00A90C60"/>
    <w:rsid w:val="00A90D15"/>
    <w:rsid w:val="00A90E65"/>
    <w:rsid w:val="00A90F98"/>
    <w:rsid w:val="00A91029"/>
    <w:rsid w:val="00A910BC"/>
    <w:rsid w:val="00A91286"/>
    <w:rsid w:val="00A91452"/>
    <w:rsid w:val="00A9174E"/>
    <w:rsid w:val="00A9233B"/>
    <w:rsid w:val="00A92385"/>
    <w:rsid w:val="00A92B6B"/>
    <w:rsid w:val="00A930F7"/>
    <w:rsid w:val="00A934BF"/>
    <w:rsid w:val="00A935F0"/>
    <w:rsid w:val="00A93AF2"/>
    <w:rsid w:val="00A940DB"/>
    <w:rsid w:val="00A943F5"/>
    <w:rsid w:val="00A9473E"/>
    <w:rsid w:val="00A95B5E"/>
    <w:rsid w:val="00A960C8"/>
    <w:rsid w:val="00A96125"/>
    <w:rsid w:val="00A96935"/>
    <w:rsid w:val="00A96BA6"/>
    <w:rsid w:val="00A97106"/>
    <w:rsid w:val="00A9747C"/>
    <w:rsid w:val="00A97A9D"/>
    <w:rsid w:val="00A97E15"/>
    <w:rsid w:val="00AA0480"/>
    <w:rsid w:val="00AA0749"/>
    <w:rsid w:val="00AA07B9"/>
    <w:rsid w:val="00AA0A1F"/>
    <w:rsid w:val="00AA1115"/>
    <w:rsid w:val="00AA1141"/>
    <w:rsid w:val="00AA14D3"/>
    <w:rsid w:val="00AA1545"/>
    <w:rsid w:val="00AA177C"/>
    <w:rsid w:val="00AA191C"/>
    <w:rsid w:val="00AA2947"/>
    <w:rsid w:val="00AA2EF1"/>
    <w:rsid w:val="00AA32FF"/>
    <w:rsid w:val="00AA3662"/>
    <w:rsid w:val="00AA38E4"/>
    <w:rsid w:val="00AA3CE8"/>
    <w:rsid w:val="00AA3D3B"/>
    <w:rsid w:val="00AA3F7D"/>
    <w:rsid w:val="00AA43C2"/>
    <w:rsid w:val="00AA4890"/>
    <w:rsid w:val="00AA4B4D"/>
    <w:rsid w:val="00AA4C45"/>
    <w:rsid w:val="00AA534A"/>
    <w:rsid w:val="00AA559B"/>
    <w:rsid w:val="00AA5E29"/>
    <w:rsid w:val="00AA5F63"/>
    <w:rsid w:val="00AA64F3"/>
    <w:rsid w:val="00AA6DAF"/>
    <w:rsid w:val="00AA6F5F"/>
    <w:rsid w:val="00AA6FE1"/>
    <w:rsid w:val="00AA712D"/>
    <w:rsid w:val="00AA7716"/>
    <w:rsid w:val="00AA7803"/>
    <w:rsid w:val="00AA7995"/>
    <w:rsid w:val="00AA7E27"/>
    <w:rsid w:val="00AA7E6C"/>
    <w:rsid w:val="00AA7EA5"/>
    <w:rsid w:val="00AA7FE0"/>
    <w:rsid w:val="00AA7FF2"/>
    <w:rsid w:val="00AB15C2"/>
    <w:rsid w:val="00AB1621"/>
    <w:rsid w:val="00AB17C5"/>
    <w:rsid w:val="00AB198F"/>
    <w:rsid w:val="00AB1AF7"/>
    <w:rsid w:val="00AB1BE1"/>
    <w:rsid w:val="00AB1CC2"/>
    <w:rsid w:val="00AB1F39"/>
    <w:rsid w:val="00AB2244"/>
    <w:rsid w:val="00AB2402"/>
    <w:rsid w:val="00AB26F2"/>
    <w:rsid w:val="00AB3E24"/>
    <w:rsid w:val="00AB3F90"/>
    <w:rsid w:val="00AB4988"/>
    <w:rsid w:val="00AB4B7A"/>
    <w:rsid w:val="00AB52CB"/>
    <w:rsid w:val="00AB58E8"/>
    <w:rsid w:val="00AB5AFA"/>
    <w:rsid w:val="00AB5CFD"/>
    <w:rsid w:val="00AB5D9A"/>
    <w:rsid w:val="00AB5EAC"/>
    <w:rsid w:val="00AB5F40"/>
    <w:rsid w:val="00AB5F50"/>
    <w:rsid w:val="00AB6297"/>
    <w:rsid w:val="00AB69CE"/>
    <w:rsid w:val="00AB6DED"/>
    <w:rsid w:val="00AB762C"/>
    <w:rsid w:val="00AB7DD7"/>
    <w:rsid w:val="00AC0110"/>
    <w:rsid w:val="00AC0A3F"/>
    <w:rsid w:val="00AC1891"/>
    <w:rsid w:val="00AC1A77"/>
    <w:rsid w:val="00AC1FFA"/>
    <w:rsid w:val="00AC2339"/>
    <w:rsid w:val="00AC23F7"/>
    <w:rsid w:val="00AC2402"/>
    <w:rsid w:val="00AC3125"/>
    <w:rsid w:val="00AC481A"/>
    <w:rsid w:val="00AC48E0"/>
    <w:rsid w:val="00AC4C90"/>
    <w:rsid w:val="00AC4E5D"/>
    <w:rsid w:val="00AC50F5"/>
    <w:rsid w:val="00AC548F"/>
    <w:rsid w:val="00AC58F5"/>
    <w:rsid w:val="00AC5B44"/>
    <w:rsid w:val="00AC5D85"/>
    <w:rsid w:val="00AC62CC"/>
    <w:rsid w:val="00AC7228"/>
    <w:rsid w:val="00AC74C3"/>
    <w:rsid w:val="00AC7525"/>
    <w:rsid w:val="00AC7AAE"/>
    <w:rsid w:val="00AC7BFE"/>
    <w:rsid w:val="00AC7E0A"/>
    <w:rsid w:val="00AD00CA"/>
    <w:rsid w:val="00AD09C6"/>
    <w:rsid w:val="00AD0C67"/>
    <w:rsid w:val="00AD0D49"/>
    <w:rsid w:val="00AD15DB"/>
    <w:rsid w:val="00AD162D"/>
    <w:rsid w:val="00AD180D"/>
    <w:rsid w:val="00AD203F"/>
    <w:rsid w:val="00AD269F"/>
    <w:rsid w:val="00AD28D8"/>
    <w:rsid w:val="00AD2CAE"/>
    <w:rsid w:val="00AD3438"/>
    <w:rsid w:val="00AD34D6"/>
    <w:rsid w:val="00AD3821"/>
    <w:rsid w:val="00AD39CD"/>
    <w:rsid w:val="00AD3AED"/>
    <w:rsid w:val="00AD477E"/>
    <w:rsid w:val="00AD49E4"/>
    <w:rsid w:val="00AD4A7D"/>
    <w:rsid w:val="00AD4BFB"/>
    <w:rsid w:val="00AD54A3"/>
    <w:rsid w:val="00AD5511"/>
    <w:rsid w:val="00AD56C3"/>
    <w:rsid w:val="00AD6774"/>
    <w:rsid w:val="00AD6785"/>
    <w:rsid w:val="00AD722E"/>
    <w:rsid w:val="00AD7716"/>
    <w:rsid w:val="00AD78FC"/>
    <w:rsid w:val="00AD7E18"/>
    <w:rsid w:val="00AE0642"/>
    <w:rsid w:val="00AE0ADD"/>
    <w:rsid w:val="00AE1D87"/>
    <w:rsid w:val="00AE1E1D"/>
    <w:rsid w:val="00AE1E95"/>
    <w:rsid w:val="00AE20E3"/>
    <w:rsid w:val="00AE2464"/>
    <w:rsid w:val="00AE248E"/>
    <w:rsid w:val="00AE256F"/>
    <w:rsid w:val="00AE26EC"/>
    <w:rsid w:val="00AE2822"/>
    <w:rsid w:val="00AE2F20"/>
    <w:rsid w:val="00AE2F65"/>
    <w:rsid w:val="00AE3202"/>
    <w:rsid w:val="00AE353D"/>
    <w:rsid w:val="00AE3587"/>
    <w:rsid w:val="00AE3614"/>
    <w:rsid w:val="00AE3782"/>
    <w:rsid w:val="00AE3C47"/>
    <w:rsid w:val="00AE3EEA"/>
    <w:rsid w:val="00AE43D1"/>
    <w:rsid w:val="00AE50DA"/>
    <w:rsid w:val="00AE5629"/>
    <w:rsid w:val="00AE5711"/>
    <w:rsid w:val="00AE5AD5"/>
    <w:rsid w:val="00AE5AF4"/>
    <w:rsid w:val="00AE5DD2"/>
    <w:rsid w:val="00AE77F7"/>
    <w:rsid w:val="00AE7851"/>
    <w:rsid w:val="00AE7903"/>
    <w:rsid w:val="00AE7A9E"/>
    <w:rsid w:val="00AE7C3E"/>
    <w:rsid w:val="00AF087D"/>
    <w:rsid w:val="00AF0B1E"/>
    <w:rsid w:val="00AF19F5"/>
    <w:rsid w:val="00AF1C6E"/>
    <w:rsid w:val="00AF1D05"/>
    <w:rsid w:val="00AF2982"/>
    <w:rsid w:val="00AF2B18"/>
    <w:rsid w:val="00AF2DF5"/>
    <w:rsid w:val="00AF3B6E"/>
    <w:rsid w:val="00AF460E"/>
    <w:rsid w:val="00AF4955"/>
    <w:rsid w:val="00AF51D8"/>
    <w:rsid w:val="00AF5282"/>
    <w:rsid w:val="00AF52BF"/>
    <w:rsid w:val="00AF532B"/>
    <w:rsid w:val="00AF56C2"/>
    <w:rsid w:val="00AF5B53"/>
    <w:rsid w:val="00AF612E"/>
    <w:rsid w:val="00AF6DD1"/>
    <w:rsid w:val="00AF7243"/>
    <w:rsid w:val="00B0010C"/>
    <w:rsid w:val="00B0085B"/>
    <w:rsid w:val="00B00937"/>
    <w:rsid w:val="00B00A5E"/>
    <w:rsid w:val="00B00C20"/>
    <w:rsid w:val="00B00F17"/>
    <w:rsid w:val="00B01088"/>
    <w:rsid w:val="00B01BC0"/>
    <w:rsid w:val="00B01F55"/>
    <w:rsid w:val="00B02458"/>
    <w:rsid w:val="00B02B53"/>
    <w:rsid w:val="00B02BFB"/>
    <w:rsid w:val="00B02FEB"/>
    <w:rsid w:val="00B032D0"/>
    <w:rsid w:val="00B035B4"/>
    <w:rsid w:val="00B03EE9"/>
    <w:rsid w:val="00B03F1E"/>
    <w:rsid w:val="00B048CA"/>
    <w:rsid w:val="00B04A88"/>
    <w:rsid w:val="00B04CCA"/>
    <w:rsid w:val="00B05411"/>
    <w:rsid w:val="00B05838"/>
    <w:rsid w:val="00B05EE8"/>
    <w:rsid w:val="00B06633"/>
    <w:rsid w:val="00B07ABF"/>
    <w:rsid w:val="00B1018D"/>
    <w:rsid w:val="00B1069A"/>
    <w:rsid w:val="00B107A0"/>
    <w:rsid w:val="00B10D60"/>
    <w:rsid w:val="00B111E7"/>
    <w:rsid w:val="00B112A1"/>
    <w:rsid w:val="00B112C7"/>
    <w:rsid w:val="00B11BEA"/>
    <w:rsid w:val="00B11DE0"/>
    <w:rsid w:val="00B12644"/>
    <w:rsid w:val="00B129BE"/>
    <w:rsid w:val="00B12A3F"/>
    <w:rsid w:val="00B12BE3"/>
    <w:rsid w:val="00B12C47"/>
    <w:rsid w:val="00B12C49"/>
    <w:rsid w:val="00B12FD7"/>
    <w:rsid w:val="00B13934"/>
    <w:rsid w:val="00B14405"/>
    <w:rsid w:val="00B14802"/>
    <w:rsid w:val="00B14AA2"/>
    <w:rsid w:val="00B14CCE"/>
    <w:rsid w:val="00B14F85"/>
    <w:rsid w:val="00B14F87"/>
    <w:rsid w:val="00B14FE3"/>
    <w:rsid w:val="00B151AA"/>
    <w:rsid w:val="00B15438"/>
    <w:rsid w:val="00B15542"/>
    <w:rsid w:val="00B1577D"/>
    <w:rsid w:val="00B15A4B"/>
    <w:rsid w:val="00B16597"/>
    <w:rsid w:val="00B16969"/>
    <w:rsid w:val="00B16CA3"/>
    <w:rsid w:val="00B16CE0"/>
    <w:rsid w:val="00B17267"/>
    <w:rsid w:val="00B176BF"/>
    <w:rsid w:val="00B17865"/>
    <w:rsid w:val="00B17AA1"/>
    <w:rsid w:val="00B17AB7"/>
    <w:rsid w:val="00B17C36"/>
    <w:rsid w:val="00B17E05"/>
    <w:rsid w:val="00B17E39"/>
    <w:rsid w:val="00B20699"/>
    <w:rsid w:val="00B20ADC"/>
    <w:rsid w:val="00B21B24"/>
    <w:rsid w:val="00B21F7A"/>
    <w:rsid w:val="00B21F9A"/>
    <w:rsid w:val="00B221AD"/>
    <w:rsid w:val="00B22580"/>
    <w:rsid w:val="00B22635"/>
    <w:rsid w:val="00B22E2C"/>
    <w:rsid w:val="00B23B52"/>
    <w:rsid w:val="00B24ACB"/>
    <w:rsid w:val="00B24D0F"/>
    <w:rsid w:val="00B25087"/>
    <w:rsid w:val="00B25844"/>
    <w:rsid w:val="00B25B71"/>
    <w:rsid w:val="00B25C5F"/>
    <w:rsid w:val="00B25CDA"/>
    <w:rsid w:val="00B264A4"/>
    <w:rsid w:val="00B265B7"/>
    <w:rsid w:val="00B26ADD"/>
    <w:rsid w:val="00B270F2"/>
    <w:rsid w:val="00B27D86"/>
    <w:rsid w:val="00B307AB"/>
    <w:rsid w:val="00B31235"/>
    <w:rsid w:val="00B31E07"/>
    <w:rsid w:val="00B3247B"/>
    <w:rsid w:val="00B32808"/>
    <w:rsid w:val="00B3309A"/>
    <w:rsid w:val="00B332BB"/>
    <w:rsid w:val="00B334B6"/>
    <w:rsid w:val="00B3367B"/>
    <w:rsid w:val="00B33A5F"/>
    <w:rsid w:val="00B33FD1"/>
    <w:rsid w:val="00B348E0"/>
    <w:rsid w:val="00B34BE1"/>
    <w:rsid w:val="00B34D12"/>
    <w:rsid w:val="00B34FD6"/>
    <w:rsid w:val="00B36456"/>
    <w:rsid w:val="00B3647A"/>
    <w:rsid w:val="00B36F9C"/>
    <w:rsid w:val="00B3701F"/>
    <w:rsid w:val="00B403BB"/>
    <w:rsid w:val="00B40BF8"/>
    <w:rsid w:val="00B40E30"/>
    <w:rsid w:val="00B41673"/>
    <w:rsid w:val="00B41D19"/>
    <w:rsid w:val="00B422FB"/>
    <w:rsid w:val="00B425EC"/>
    <w:rsid w:val="00B43784"/>
    <w:rsid w:val="00B439E2"/>
    <w:rsid w:val="00B44401"/>
    <w:rsid w:val="00B44B58"/>
    <w:rsid w:val="00B451FA"/>
    <w:rsid w:val="00B45695"/>
    <w:rsid w:val="00B45A1F"/>
    <w:rsid w:val="00B45FB1"/>
    <w:rsid w:val="00B4689F"/>
    <w:rsid w:val="00B46943"/>
    <w:rsid w:val="00B4697D"/>
    <w:rsid w:val="00B46CCD"/>
    <w:rsid w:val="00B47515"/>
    <w:rsid w:val="00B4754D"/>
    <w:rsid w:val="00B476E0"/>
    <w:rsid w:val="00B47BF9"/>
    <w:rsid w:val="00B47EE2"/>
    <w:rsid w:val="00B501B9"/>
    <w:rsid w:val="00B50767"/>
    <w:rsid w:val="00B50B60"/>
    <w:rsid w:val="00B522A7"/>
    <w:rsid w:val="00B52759"/>
    <w:rsid w:val="00B5293C"/>
    <w:rsid w:val="00B53196"/>
    <w:rsid w:val="00B5337E"/>
    <w:rsid w:val="00B53871"/>
    <w:rsid w:val="00B53A7B"/>
    <w:rsid w:val="00B53C0C"/>
    <w:rsid w:val="00B548A2"/>
    <w:rsid w:val="00B54AED"/>
    <w:rsid w:val="00B54F31"/>
    <w:rsid w:val="00B54F6C"/>
    <w:rsid w:val="00B555F7"/>
    <w:rsid w:val="00B55AC9"/>
    <w:rsid w:val="00B566A4"/>
    <w:rsid w:val="00B56A7F"/>
    <w:rsid w:val="00B56E87"/>
    <w:rsid w:val="00B57466"/>
    <w:rsid w:val="00B575EA"/>
    <w:rsid w:val="00B5763E"/>
    <w:rsid w:val="00B579DE"/>
    <w:rsid w:val="00B57E35"/>
    <w:rsid w:val="00B600DC"/>
    <w:rsid w:val="00B60D29"/>
    <w:rsid w:val="00B60FFB"/>
    <w:rsid w:val="00B6110A"/>
    <w:rsid w:val="00B612A1"/>
    <w:rsid w:val="00B612FA"/>
    <w:rsid w:val="00B61446"/>
    <w:rsid w:val="00B6149A"/>
    <w:rsid w:val="00B61C2E"/>
    <w:rsid w:val="00B62394"/>
    <w:rsid w:val="00B62C9B"/>
    <w:rsid w:val="00B62D96"/>
    <w:rsid w:val="00B62E41"/>
    <w:rsid w:val="00B63366"/>
    <w:rsid w:val="00B633B4"/>
    <w:rsid w:val="00B635C1"/>
    <w:rsid w:val="00B636ED"/>
    <w:rsid w:val="00B63706"/>
    <w:rsid w:val="00B63E5C"/>
    <w:rsid w:val="00B63EDA"/>
    <w:rsid w:val="00B64677"/>
    <w:rsid w:val="00B64E90"/>
    <w:rsid w:val="00B65412"/>
    <w:rsid w:val="00B65517"/>
    <w:rsid w:val="00B65677"/>
    <w:rsid w:val="00B65A2D"/>
    <w:rsid w:val="00B65B7D"/>
    <w:rsid w:val="00B668FF"/>
    <w:rsid w:val="00B672F9"/>
    <w:rsid w:val="00B67885"/>
    <w:rsid w:val="00B67B2F"/>
    <w:rsid w:val="00B67C26"/>
    <w:rsid w:val="00B701A0"/>
    <w:rsid w:val="00B70784"/>
    <w:rsid w:val="00B70832"/>
    <w:rsid w:val="00B708B0"/>
    <w:rsid w:val="00B70E0C"/>
    <w:rsid w:val="00B718D0"/>
    <w:rsid w:val="00B71C3E"/>
    <w:rsid w:val="00B72540"/>
    <w:rsid w:val="00B7270A"/>
    <w:rsid w:val="00B728E5"/>
    <w:rsid w:val="00B72A71"/>
    <w:rsid w:val="00B72B3A"/>
    <w:rsid w:val="00B72BAD"/>
    <w:rsid w:val="00B72C6E"/>
    <w:rsid w:val="00B72D4E"/>
    <w:rsid w:val="00B73886"/>
    <w:rsid w:val="00B738B6"/>
    <w:rsid w:val="00B741E7"/>
    <w:rsid w:val="00B7446F"/>
    <w:rsid w:val="00B744E4"/>
    <w:rsid w:val="00B74FDF"/>
    <w:rsid w:val="00B75143"/>
    <w:rsid w:val="00B75363"/>
    <w:rsid w:val="00B756B3"/>
    <w:rsid w:val="00B75E30"/>
    <w:rsid w:val="00B75F97"/>
    <w:rsid w:val="00B760F8"/>
    <w:rsid w:val="00B7651E"/>
    <w:rsid w:val="00B76738"/>
    <w:rsid w:val="00B768B3"/>
    <w:rsid w:val="00B76914"/>
    <w:rsid w:val="00B76AF9"/>
    <w:rsid w:val="00B76B1E"/>
    <w:rsid w:val="00B76F74"/>
    <w:rsid w:val="00B8045C"/>
    <w:rsid w:val="00B805FF"/>
    <w:rsid w:val="00B80AF2"/>
    <w:rsid w:val="00B80B59"/>
    <w:rsid w:val="00B80E2D"/>
    <w:rsid w:val="00B81274"/>
    <w:rsid w:val="00B81B75"/>
    <w:rsid w:val="00B81C2B"/>
    <w:rsid w:val="00B825DA"/>
    <w:rsid w:val="00B83898"/>
    <w:rsid w:val="00B83CFE"/>
    <w:rsid w:val="00B84AC6"/>
    <w:rsid w:val="00B84F40"/>
    <w:rsid w:val="00B85696"/>
    <w:rsid w:val="00B85BF2"/>
    <w:rsid w:val="00B85F3F"/>
    <w:rsid w:val="00B865E1"/>
    <w:rsid w:val="00B8661A"/>
    <w:rsid w:val="00B8666E"/>
    <w:rsid w:val="00B871C9"/>
    <w:rsid w:val="00B87543"/>
    <w:rsid w:val="00B877C5"/>
    <w:rsid w:val="00B87B19"/>
    <w:rsid w:val="00B900E5"/>
    <w:rsid w:val="00B90104"/>
    <w:rsid w:val="00B905B0"/>
    <w:rsid w:val="00B90A6D"/>
    <w:rsid w:val="00B9102F"/>
    <w:rsid w:val="00B91356"/>
    <w:rsid w:val="00B91400"/>
    <w:rsid w:val="00B914AB"/>
    <w:rsid w:val="00B916F4"/>
    <w:rsid w:val="00B91860"/>
    <w:rsid w:val="00B919C6"/>
    <w:rsid w:val="00B92345"/>
    <w:rsid w:val="00B92499"/>
    <w:rsid w:val="00B92629"/>
    <w:rsid w:val="00B92806"/>
    <w:rsid w:val="00B92C4B"/>
    <w:rsid w:val="00B94868"/>
    <w:rsid w:val="00B9497F"/>
    <w:rsid w:val="00B94D69"/>
    <w:rsid w:val="00B95D44"/>
    <w:rsid w:val="00B95EB6"/>
    <w:rsid w:val="00B962DB"/>
    <w:rsid w:val="00B965E5"/>
    <w:rsid w:val="00B96A8C"/>
    <w:rsid w:val="00B97657"/>
    <w:rsid w:val="00B977CF"/>
    <w:rsid w:val="00B977DC"/>
    <w:rsid w:val="00B97DD8"/>
    <w:rsid w:val="00BA0127"/>
    <w:rsid w:val="00BA0369"/>
    <w:rsid w:val="00BA0819"/>
    <w:rsid w:val="00BA09A1"/>
    <w:rsid w:val="00BA0B38"/>
    <w:rsid w:val="00BA11D1"/>
    <w:rsid w:val="00BA127B"/>
    <w:rsid w:val="00BA15E8"/>
    <w:rsid w:val="00BA1CE9"/>
    <w:rsid w:val="00BA2355"/>
    <w:rsid w:val="00BA37A8"/>
    <w:rsid w:val="00BA3B01"/>
    <w:rsid w:val="00BA40A2"/>
    <w:rsid w:val="00BA46A0"/>
    <w:rsid w:val="00BA48F6"/>
    <w:rsid w:val="00BA4C01"/>
    <w:rsid w:val="00BA5532"/>
    <w:rsid w:val="00BA55FA"/>
    <w:rsid w:val="00BA5B58"/>
    <w:rsid w:val="00BA5BF3"/>
    <w:rsid w:val="00BA5ED5"/>
    <w:rsid w:val="00BA6147"/>
    <w:rsid w:val="00BA6220"/>
    <w:rsid w:val="00BA63A8"/>
    <w:rsid w:val="00BA7391"/>
    <w:rsid w:val="00BA7483"/>
    <w:rsid w:val="00BA749F"/>
    <w:rsid w:val="00BA78F9"/>
    <w:rsid w:val="00BA7B99"/>
    <w:rsid w:val="00BB0A54"/>
    <w:rsid w:val="00BB0C0E"/>
    <w:rsid w:val="00BB1192"/>
    <w:rsid w:val="00BB120F"/>
    <w:rsid w:val="00BB194C"/>
    <w:rsid w:val="00BB26C0"/>
    <w:rsid w:val="00BB26E7"/>
    <w:rsid w:val="00BB2F3D"/>
    <w:rsid w:val="00BB3308"/>
    <w:rsid w:val="00BB33C0"/>
    <w:rsid w:val="00BB3DF4"/>
    <w:rsid w:val="00BB435B"/>
    <w:rsid w:val="00BB4975"/>
    <w:rsid w:val="00BB4CB5"/>
    <w:rsid w:val="00BB5221"/>
    <w:rsid w:val="00BB539F"/>
    <w:rsid w:val="00BB5A0D"/>
    <w:rsid w:val="00BB5B3E"/>
    <w:rsid w:val="00BB5E66"/>
    <w:rsid w:val="00BB6128"/>
    <w:rsid w:val="00BB631F"/>
    <w:rsid w:val="00BB6385"/>
    <w:rsid w:val="00BB652F"/>
    <w:rsid w:val="00BB70BD"/>
    <w:rsid w:val="00BB7224"/>
    <w:rsid w:val="00BB7D41"/>
    <w:rsid w:val="00BC005C"/>
    <w:rsid w:val="00BC0230"/>
    <w:rsid w:val="00BC128C"/>
    <w:rsid w:val="00BC137C"/>
    <w:rsid w:val="00BC14FF"/>
    <w:rsid w:val="00BC1548"/>
    <w:rsid w:val="00BC1945"/>
    <w:rsid w:val="00BC1F09"/>
    <w:rsid w:val="00BC2235"/>
    <w:rsid w:val="00BC2312"/>
    <w:rsid w:val="00BC23CB"/>
    <w:rsid w:val="00BC23F6"/>
    <w:rsid w:val="00BC2B6C"/>
    <w:rsid w:val="00BC2C77"/>
    <w:rsid w:val="00BC2E5A"/>
    <w:rsid w:val="00BC3232"/>
    <w:rsid w:val="00BC3352"/>
    <w:rsid w:val="00BC3934"/>
    <w:rsid w:val="00BC3BDC"/>
    <w:rsid w:val="00BC4016"/>
    <w:rsid w:val="00BC4040"/>
    <w:rsid w:val="00BC40A7"/>
    <w:rsid w:val="00BC419C"/>
    <w:rsid w:val="00BC4912"/>
    <w:rsid w:val="00BC4A5B"/>
    <w:rsid w:val="00BC5441"/>
    <w:rsid w:val="00BC55AB"/>
    <w:rsid w:val="00BC59C8"/>
    <w:rsid w:val="00BC5B6F"/>
    <w:rsid w:val="00BC63B3"/>
    <w:rsid w:val="00BC63D4"/>
    <w:rsid w:val="00BC7145"/>
    <w:rsid w:val="00BC716F"/>
    <w:rsid w:val="00BC71CA"/>
    <w:rsid w:val="00BC7DC8"/>
    <w:rsid w:val="00BD04E1"/>
    <w:rsid w:val="00BD05C5"/>
    <w:rsid w:val="00BD067E"/>
    <w:rsid w:val="00BD0FEE"/>
    <w:rsid w:val="00BD100B"/>
    <w:rsid w:val="00BD145F"/>
    <w:rsid w:val="00BD14D9"/>
    <w:rsid w:val="00BD155B"/>
    <w:rsid w:val="00BD2219"/>
    <w:rsid w:val="00BD228C"/>
    <w:rsid w:val="00BD248C"/>
    <w:rsid w:val="00BD27E8"/>
    <w:rsid w:val="00BD2D7A"/>
    <w:rsid w:val="00BD3758"/>
    <w:rsid w:val="00BD3919"/>
    <w:rsid w:val="00BD3A94"/>
    <w:rsid w:val="00BD3D60"/>
    <w:rsid w:val="00BD45BA"/>
    <w:rsid w:val="00BD494C"/>
    <w:rsid w:val="00BD4C28"/>
    <w:rsid w:val="00BD50DC"/>
    <w:rsid w:val="00BD5110"/>
    <w:rsid w:val="00BD5672"/>
    <w:rsid w:val="00BD590A"/>
    <w:rsid w:val="00BD5EB1"/>
    <w:rsid w:val="00BD63A8"/>
    <w:rsid w:val="00BD63AF"/>
    <w:rsid w:val="00BD678B"/>
    <w:rsid w:val="00BD6842"/>
    <w:rsid w:val="00BD6A97"/>
    <w:rsid w:val="00BD7465"/>
    <w:rsid w:val="00BD7498"/>
    <w:rsid w:val="00BD7863"/>
    <w:rsid w:val="00BD7DCD"/>
    <w:rsid w:val="00BE012A"/>
    <w:rsid w:val="00BE01B1"/>
    <w:rsid w:val="00BE0875"/>
    <w:rsid w:val="00BE1971"/>
    <w:rsid w:val="00BE1EFD"/>
    <w:rsid w:val="00BE26A1"/>
    <w:rsid w:val="00BE273C"/>
    <w:rsid w:val="00BE2889"/>
    <w:rsid w:val="00BE29C8"/>
    <w:rsid w:val="00BE2C7E"/>
    <w:rsid w:val="00BE2CAA"/>
    <w:rsid w:val="00BE2D4D"/>
    <w:rsid w:val="00BE2DD5"/>
    <w:rsid w:val="00BE3357"/>
    <w:rsid w:val="00BE406F"/>
    <w:rsid w:val="00BE4158"/>
    <w:rsid w:val="00BE4424"/>
    <w:rsid w:val="00BE45D9"/>
    <w:rsid w:val="00BE469D"/>
    <w:rsid w:val="00BE4768"/>
    <w:rsid w:val="00BE4A55"/>
    <w:rsid w:val="00BE4DD0"/>
    <w:rsid w:val="00BE521B"/>
    <w:rsid w:val="00BE61BB"/>
    <w:rsid w:val="00BE6C1D"/>
    <w:rsid w:val="00BE6EED"/>
    <w:rsid w:val="00BE7DC9"/>
    <w:rsid w:val="00BF03F0"/>
    <w:rsid w:val="00BF0852"/>
    <w:rsid w:val="00BF1002"/>
    <w:rsid w:val="00BF10EE"/>
    <w:rsid w:val="00BF1721"/>
    <w:rsid w:val="00BF1754"/>
    <w:rsid w:val="00BF191A"/>
    <w:rsid w:val="00BF1ECB"/>
    <w:rsid w:val="00BF1FD1"/>
    <w:rsid w:val="00BF31AD"/>
    <w:rsid w:val="00BF31F4"/>
    <w:rsid w:val="00BF3319"/>
    <w:rsid w:val="00BF348B"/>
    <w:rsid w:val="00BF3630"/>
    <w:rsid w:val="00BF385B"/>
    <w:rsid w:val="00BF3A52"/>
    <w:rsid w:val="00BF3C7A"/>
    <w:rsid w:val="00BF3D9A"/>
    <w:rsid w:val="00BF43FB"/>
    <w:rsid w:val="00BF4591"/>
    <w:rsid w:val="00BF4FD2"/>
    <w:rsid w:val="00BF562E"/>
    <w:rsid w:val="00BF580D"/>
    <w:rsid w:val="00BF5821"/>
    <w:rsid w:val="00BF6226"/>
    <w:rsid w:val="00BF6597"/>
    <w:rsid w:val="00BF6680"/>
    <w:rsid w:val="00BF6AA1"/>
    <w:rsid w:val="00BF6AD2"/>
    <w:rsid w:val="00BF6B09"/>
    <w:rsid w:val="00BF77E4"/>
    <w:rsid w:val="00C0022E"/>
    <w:rsid w:val="00C00359"/>
    <w:rsid w:val="00C005E0"/>
    <w:rsid w:val="00C01CF2"/>
    <w:rsid w:val="00C02665"/>
    <w:rsid w:val="00C02F6F"/>
    <w:rsid w:val="00C02FE0"/>
    <w:rsid w:val="00C031FD"/>
    <w:rsid w:val="00C03650"/>
    <w:rsid w:val="00C03C89"/>
    <w:rsid w:val="00C03E80"/>
    <w:rsid w:val="00C03EA4"/>
    <w:rsid w:val="00C03ED4"/>
    <w:rsid w:val="00C03F6A"/>
    <w:rsid w:val="00C04BF3"/>
    <w:rsid w:val="00C057D5"/>
    <w:rsid w:val="00C05C7A"/>
    <w:rsid w:val="00C0659D"/>
    <w:rsid w:val="00C065B3"/>
    <w:rsid w:val="00C06715"/>
    <w:rsid w:val="00C068BA"/>
    <w:rsid w:val="00C072A5"/>
    <w:rsid w:val="00C07759"/>
    <w:rsid w:val="00C077E8"/>
    <w:rsid w:val="00C07A7D"/>
    <w:rsid w:val="00C07B8B"/>
    <w:rsid w:val="00C10452"/>
    <w:rsid w:val="00C106DC"/>
    <w:rsid w:val="00C10790"/>
    <w:rsid w:val="00C1082D"/>
    <w:rsid w:val="00C10DDC"/>
    <w:rsid w:val="00C11241"/>
    <w:rsid w:val="00C11735"/>
    <w:rsid w:val="00C11B32"/>
    <w:rsid w:val="00C11B3D"/>
    <w:rsid w:val="00C11C2D"/>
    <w:rsid w:val="00C12748"/>
    <w:rsid w:val="00C1310B"/>
    <w:rsid w:val="00C13340"/>
    <w:rsid w:val="00C138AE"/>
    <w:rsid w:val="00C13BEC"/>
    <w:rsid w:val="00C13CE3"/>
    <w:rsid w:val="00C141E5"/>
    <w:rsid w:val="00C148A6"/>
    <w:rsid w:val="00C14B54"/>
    <w:rsid w:val="00C15803"/>
    <w:rsid w:val="00C15C45"/>
    <w:rsid w:val="00C15EEE"/>
    <w:rsid w:val="00C16122"/>
    <w:rsid w:val="00C16460"/>
    <w:rsid w:val="00C164C4"/>
    <w:rsid w:val="00C1718F"/>
    <w:rsid w:val="00C171BF"/>
    <w:rsid w:val="00C17312"/>
    <w:rsid w:val="00C17DDA"/>
    <w:rsid w:val="00C17F32"/>
    <w:rsid w:val="00C2099F"/>
    <w:rsid w:val="00C20D11"/>
    <w:rsid w:val="00C211DA"/>
    <w:rsid w:val="00C215E2"/>
    <w:rsid w:val="00C21839"/>
    <w:rsid w:val="00C21DD4"/>
    <w:rsid w:val="00C22177"/>
    <w:rsid w:val="00C221AD"/>
    <w:rsid w:val="00C22284"/>
    <w:rsid w:val="00C22954"/>
    <w:rsid w:val="00C22BC9"/>
    <w:rsid w:val="00C22E24"/>
    <w:rsid w:val="00C2370C"/>
    <w:rsid w:val="00C23A1B"/>
    <w:rsid w:val="00C23B5E"/>
    <w:rsid w:val="00C23F2E"/>
    <w:rsid w:val="00C23F33"/>
    <w:rsid w:val="00C2425F"/>
    <w:rsid w:val="00C245DE"/>
    <w:rsid w:val="00C24C33"/>
    <w:rsid w:val="00C24D32"/>
    <w:rsid w:val="00C25377"/>
    <w:rsid w:val="00C25C0C"/>
    <w:rsid w:val="00C25F63"/>
    <w:rsid w:val="00C26105"/>
    <w:rsid w:val="00C261EC"/>
    <w:rsid w:val="00C263B2"/>
    <w:rsid w:val="00C2698F"/>
    <w:rsid w:val="00C2710B"/>
    <w:rsid w:val="00C277F7"/>
    <w:rsid w:val="00C27899"/>
    <w:rsid w:val="00C27CC5"/>
    <w:rsid w:val="00C27DC3"/>
    <w:rsid w:val="00C27F2C"/>
    <w:rsid w:val="00C30455"/>
    <w:rsid w:val="00C30950"/>
    <w:rsid w:val="00C31019"/>
    <w:rsid w:val="00C312E5"/>
    <w:rsid w:val="00C31A43"/>
    <w:rsid w:val="00C31D2D"/>
    <w:rsid w:val="00C31D65"/>
    <w:rsid w:val="00C320AE"/>
    <w:rsid w:val="00C32318"/>
    <w:rsid w:val="00C32985"/>
    <w:rsid w:val="00C32A2B"/>
    <w:rsid w:val="00C32CD1"/>
    <w:rsid w:val="00C332CE"/>
    <w:rsid w:val="00C3385E"/>
    <w:rsid w:val="00C33968"/>
    <w:rsid w:val="00C33DC5"/>
    <w:rsid w:val="00C34068"/>
    <w:rsid w:val="00C340E2"/>
    <w:rsid w:val="00C351DB"/>
    <w:rsid w:val="00C360E3"/>
    <w:rsid w:val="00C36707"/>
    <w:rsid w:val="00C36DE6"/>
    <w:rsid w:val="00C37664"/>
    <w:rsid w:val="00C376A4"/>
    <w:rsid w:val="00C379CC"/>
    <w:rsid w:val="00C37A98"/>
    <w:rsid w:val="00C37B05"/>
    <w:rsid w:val="00C40062"/>
    <w:rsid w:val="00C40547"/>
    <w:rsid w:val="00C4062E"/>
    <w:rsid w:val="00C408F3"/>
    <w:rsid w:val="00C40D51"/>
    <w:rsid w:val="00C40E15"/>
    <w:rsid w:val="00C40FF5"/>
    <w:rsid w:val="00C41036"/>
    <w:rsid w:val="00C41271"/>
    <w:rsid w:val="00C413C1"/>
    <w:rsid w:val="00C413EB"/>
    <w:rsid w:val="00C41D83"/>
    <w:rsid w:val="00C4266E"/>
    <w:rsid w:val="00C42A03"/>
    <w:rsid w:val="00C43124"/>
    <w:rsid w:val="00C4378B"/>
    <w:rsid w:val="00C438D3"/>
    <w:rsid w:val="00C43E3B"/>
    <w:rsid w:val="00C447F5"/>
    <w:rsid w:val="00C44F53"/>
    <w:rsid w:val="00C45298"/>
    <w:rsid w:val="00C455F6"/>
    <w:rsid w:val="00C4586C"/>
    <w:rsid w:val="00C45992"/>
    <w:rsid w:val="00C4611D"/>
    <w:rsid w:val="00C46785"/>
    <w:rsid w:val="00C47583"/>
    <w:rsid w:val="00C47690"/>
    <w:rsid w:val="00C47B05"/>
    <w:rsid w:val="00C5011C"/>
    <w:rsid w:val="00C5013F"/>
    <w:rsid w:val="00C502B3"/>
    <w:rsid w:val="00C5046A"/>
    <w:rsid w:val="00C50FB1"/>
    <w:rsid w:val="00C51332"/>
    <w:rsid w:val="00C513F9"/>
    <w:rsid w:val="00C51BC1"/>
    <w:rsid w:val="00C51CBF"/>
    <w:rsid w:val="00C51EF7"/>
    <w:rsid w:val="00C521B5"/>
    <w:rsid w:val="00C5224D"/>
    <w:rsid w:val="00C52256"/>
    <w:rsid w:val="00C524F2"/>
    <w:rsid w:val="00C524F5"/>
    <w:rsid w:val="00C527E3"/>
    <w:rsid w:val="00C528D1"/>
    <w:rsid w:val="00C52B85"/>
    <w:rsid w:val="00C52D79"/>
    <w:rsid w:val="00C52E97"/>
    <w:rsid w:val="00C52FF8"/>
    <w:rsid w:val="00C5300D"/>
    <w:rsid w:val="00C5351D"/>
    <w:rsid w:val="00C53744"/>
    <w:rsid w:val="00C53779"/>
    <w:rsid w:val="00C53F87"/>
    <w:rsid w:val="00C54236"/>
    <w:rsid w:val="00C544D9"/>
    <w:rsid w:val="00C5557F"/>
    <w:rsid w:val="00C558AF"/>
    <w:rsid w:val="00C55B9A"/>
    <w:rsid w:val="00C55CB9"/>
    <w:rsid w:val="00C55D62"/>
    <w:rsid w:val="00C56873"/>
    <w:rsid w:val="00C56990"/>
    <w:rsid w:val="00C56C24"/>
    <w:rsid w:val="00C5737A"/>
    <w:rsid w:val="00C57518"/>
    <w:rsid w:val="00C576B0"/>
    <w:rsid w:val="00C57E37"/>
    <w:rsid w:val="00C608D5"/>
    <w:rsid w:val="00C60E3C"/>
    <w:rsid w:val="00C60E58"/>
    <w:rsid w:val="00C6118E"/>
    <w:rsid w:val="00C61477"/>
    <w:rsid w:val="00C614FE"/>
    <w:rsid w:val="00C61DCA"/>
    <w:rsid w:val="00C623B4"/>
    <w:rsid w:val="00C623D2"/>
    <w:rsid w:val="00C624C3"/>
    <w:rsid w:val="00C62806"/>
    <w:rsid w:val="00C62988"/>
    <w:rsid w:val="00C62DAC"/>
    <w:rsid w:val="00C63100"/>
    <w:rsid w:val="00C63142"/>
    <w:rsid w:val="00C6343E"/>
    <w:rsid w:val="00C63668"/>
    <w:rsid w:val="00C6439B"/>
    <w:rsid w:val="00C6470A"/>
    <w:rsid w:val="00C64881"/>
    <w:rsid w:val="00C64F1E"/>
    <w:rsid w:val="00C65004"/>
    <w:rsid w:val="00C65464"/>
    <w:rsid w:val="00C6554D"/>
    <w:rsid w:val="00C65908"/>
    <w:rsid w:val="00C65B98"/>
    <w:rsid w:val="00C65C0B"/>
    <w:rsid w:val="00C66045"/>
    <w:rsid w:val="00C66501"/>
    <w:rsid w:val="00C66597"/>
    <w:rsid w:val="00C66688"/>
    <w:rsid w:val="00C66B44"/>
    <w:rsid w:val="00C671FC"/>
    <w:rsid w:val="00C677C9"/>
    <w:rsid w:val="00C67AAD"/>
    <w:rsid w:val="00C67B6F"/>
    <w:rsid w:val="00C67D57"/>
    <w:rsid w:val="00C67EF9"/>
    <w:rsid w:val="00C70047"/>
    <w:rsid w:val="00C7033C"/>
    <w:rsid w:val="00C70A58"/>
    <w:rsid w:val="00C713C0"/>
    <w:rsid w:val="00C71888"/>
    <w:rsid w:val="00C71FAA"/>
    <w:rsid w:val="00C72247"/>
    <w:rsid w:val="00C722A8"/>
    <w:rsid w:val="00C72B51"/>
    <w:rsid w:val="00C72DBC"/>
    <w:rsid w:val="00C73141"/>
    <w:rsid w:val="00C73AFE"/>
    <w:rsid w:val="00C73D14"/>
    <w:rsid w:val="00C7456D"/>
    <w:rsid w:val="00C7461B"/>
    <w:rsid w:val="00C755DD"/>
    <w:rsid w:val="00C7569A"/>
    <w:rsid w:val="00C75EB4"/>
    <w:rsid w:val="00C760A2"/>
    <w:rsid w:val="00C760D9"/>
    <w:rsid w:val="00C761C1"/>
    <w:rsid w:val="00C762A3"/>
    <w:rsid w:val="00C766E4"/>
    <w:rsid w:val="00C76BE2"/>
    <w:rsid w:val="00C76D6A"/>
    <w:rsid w:val="00C76FE9"/>
    <w:rsid w:val="00C7749F"/>
    <w:rsid w:val="00C775C5"/>
    <w:rsid w:val="00C77A68"/>
    <w:rsid w:val="00C77A6C"/>
    <w:rsid w:val="00C77B99"/>
    <w:rsid w:val="00C80062"/>
    <w:rsid w:val="00C806CA"/>
    <w:rsid w:val="00C80BE2"/>
    <w:rsid w:val="00C80CBF"/>
    <w:rsid w:val="00C80DC0"/>
    <w:rsid w:val="00C81008"/>
    <w:rsid w:val="00C810C6"/>
    <w:rsid w:val="00C81292"/>
    <w:rsid w:val="00C81812"/>
    <w:rsid w:val="00C81AFF"/>
    <w:rsid w:val="00C81BE7"/>
    <w:rsid w:val="00C81DFD"/>
    <w:rsid w:val="00C826D1"/>
    <w:rsid w:val="00C8289F"/>
    <w:rsid w:val="00C82E74"/>
    <w:rsid w:val="00C83059"/>
    <w:rsid w:val="00C832AC"/>
    <w:rsid w:val="00C832B7"/>
    <w:rsid w:val="00C8341A"/>
    <w:rsid w:val="00C835F5"/>
    <w:rsid w:val="00C8488A"/>
    <w:rsid w:val="00C84D61"/>
    <w:rsid w:val="00C85577"/>
    <w:rsid w:val="00C8589D"/>
    <w:rsid w:val="00C86128"/>
    <w:rsid w:val="00C86490"/>
    <w:rsid w:val="00C8652D"/>
    <w:rsid w:val="00C8658B"/>
    <w:rsid w:val="00C865A3"/>
    <w:rsid w:val="00C866AD"/>
    <w:rsid w:val="00C868D7"/>
    <w:rsid w:val="00C87476"/>
    <w:rsid w:val="00C875BE"/>
    <w:rsid w:val="00C87BB9"/>
    <w:rsid w:val="00C87F8C"/>
    <w:rsid w:val="00C90113"/>
    <w:rsid w:val="00C901F3"/>
    <w:rsid w:val="00C9111A"/>
    <w:rsid w:val="00C91780"/>
    <w:rsid w:val="00C91A55"/>
    <w:rsid w:val="00C921FC"/>
    <w:rsid w:val="00C925B4"/>
    <w:rsid w:val="00C927C4"/>
    <w:rsid w:val="00C9293E"/>
    <w:rsid w:val="00C92D10"/>
    <w:rsid w:val="00C937AA"/>
    <w:rsid w:val="00C93A60"/>
    <w:rsid w:val="00C93BEF"/>
    <w:rsid w:val="00C946DA"/>
    <w:rsid w:val="00C95A5F"/>
    <w:rsid w:val="00C960FC"/>
    <w:rsid w:val="00C961E4"/>
    <w:rsid w:val="00C965E6"/>
    <w:rsid w:val="00C968A4"/>
    <w:rsid w:val="00C96A7A"/>
    <w:rsid w:val="00C96B7C"/>
    <w:rsid w:val="00C96BA5"/>
    <w:rsid w:val="00C96CBE"/>
    <w:rsid w:val="00C96F90"/>
    <w:rsid w:val="00C97053"/>
    <w:rsid w:val="00C97364"/>
    <w:rsid w:val="00C973CD"/>
    <w:rsid w:val="00C97A18"/>
    <w:rsid w:val="00CA007D"/>
    <w:rsid w:val="00CA06E7"/>
    <w:rsid w:val="00CA083C"/>
    <w:rsid w:val="00CA0DE2"/>
    <w:rsid w:val="00CA0E03"/>
    <w:rsid w:val="00CA1608"/>
    <w:rsid w:val="00CA1D1A"/>
    <w:rsid w:val="00CA1D5C"/>
    <w:rsid w:val="00CA1F3A"/>
    <w:rsid w:val="00CA224C"/>
    <w:rsid w:val="00CA255D"/>
    <w:rsid w:val="00CA2763"/>
    <w:rsid w:val="00CA2A95"/>
    <w:rsid w:val="00CA2D0F"/>
    <w:rsid w:val="00CA2F8C"/>
    <w:rsid w:val="00CA2F91"/>
    <w:rsid w:val="00CA2FB0"/>
    <w:rsid w:val="00CA357F"/>
    <w:rsid w:val="00CA3587"/>
    <w:rsid w:val="00CA39BD"/>
    <w:rsid w:val="00CA4093"/>
    <w:rsid w:val="00CA5123"/>
    <w:rsid w:val="00CA512C"/>
    <w:rsid w:val="00CA531A"/>
    <w:rsid w:val="00CA54A3"/>
    <w:rsid w:val="00CA5A51"/>
    <w:rsid w:val="00CA63F0"/>
    <w:rsid w:val="00CA67C3"/>
    <w:rsid w:val="00CA7226"/>
    <w:rsid w:val="00CA73A6"/>
    <w:rsid w:val="00CA7E08"/>
    <w:rsid w:val="00CA7F5F"/>
    <w:rsid w:val="00CA7FC7"/>
    <w:rsid w:val="00CB01AA"/>
    <w:rsid w:val="00CB091C"/>
    <w:rsid w:val="00CB0B82"/>
    <w:rsid w:val="00CB0E74"/>
    <w:rsid w:val="00CB1078"/>
    <w:rsid w:val="00CB1359"/>
    <w:rsid w:val="00CB1C0A"/>
    <w:rsid w:val="00CB1F58"/>
    <w:rsid w:val="00CB29BE"/>
    <w:rsid w:val="00CB2D9B"/>
    <w:rsid w:val="00CB2EC5"/>
    <w:rsid w:val="00CB4272"/>
    <w:rsid w:val="00CB44C4"/>
    <w:rsid w:val="00CB46F9"/>
    <w:rsid w:val="00CB49F4"/>
    <w:rsid w:val="00CB55BA"/>
    <w:rsid w:val="00CB5720"/>
    <w:rsid w:val="00CB5888"/>
    <w:rsid w:val="00CB5C03"/>
    <w:rsid w:val="00CB5C25"/>
    <w:rsid w:val="00CB5D28"/>
    <w:rsid w:val="00CB5DF2"/>
    <w:rsid w:val="00CB61D6"/>
    <w:rsid w:val="00CB6247"/>
    <w:rsid w:val="00CB6686"/>
    <w:rsid w:val="00CB6834"/>
    <w:rsid w:val="00CB693F"/>
    <w:rsid w:val="00CB71E2"/>
    <w:rsid w:val="00CB75F2"/>
    <w:rsid w:val="00CB76FF"/>
    <w:rsid w:val="00CC06C4"/>
    <w:rsid w:val="00CC0D75"/>
    <w:rsid w:val="00CC1069"/>
    <w:rsid w:val="00CC1943"/>
    <w:rsid w:val="00CC19E6"/>
    <w:rsid w:val="00CC1D13"/>
    <w:rsid w:val="00CC1F4F"/>
    <w:rsid w:val="00CC297E"/>
    <w:rsid w:val="00CC2F5E"/>
    <w:rsid w:val="00CC34E6"/>
    <w:rsid w:val="00CC3F9D"/>
    <w:rsid w:val="00CC4325"/>
    <w:rsid w:val="00CC4675"/>
    <w:rsid w:val="00CC51FF"/>
    <w:rsid w:val="00CC5356"/>
    <w:rsid w:val="00CC53B8"/>
    <w:rsid w:val="00CC56A1"/>
    <w:rsid w:val="00CC5719"/>
    <w:rsid w:val="00CC5B92"/>
    <w:rsid w:val="00CC6419"/>
    <w:rsid w:val="00CC6490"/>
    <w:rsid w:val="00CC67CF"/>
    <w:rsid w:val="00CC6BB4"/>
    <w:rsid w:val="00CC6BFD"/>
    <w:rsid w:val="00CC6DC7"/>
    <w:rsid w:val="00CC71F7"/>
    <w:rsid w:val="00CC721D"/>
    <w:rsid w:val="00CC7234"/>
    <w:rsid w:val="00CC75CA"/>
    <w:rsid w:val="00CC773E"/>
    <w:rsid w:val="00CC7DB1"/>
    <w:rsid w:val="00CD083B"/>
    <w:rsid w:val="00CD0E9D"/>
    <w:rsid w:val="00CD0F32"/>
    <w:rsid w:val="00CD1096"/>
    <w:rsid w:val="00CD15A6"/>
    <w:rsid w:val="00CD1D4D"/>
    <w:rsid w:val="00CD1FC3"/>
    <w:rsid w:val="00CD24B6"/>
    <w:rsid w:val="00CD280C"/>
    <w:rsid w:val="00CD2C33"/>
    <w:rsid w:val="00CD2C7B"/>
    <w:rsid w:val="00CD2CE8"/>
    <w:rsid w:val="00CD395B"/>
    <w:rsid w:val="00CD3D82"/>
    <w:rsid w:val="00CD46A9"/>
    <w:rsid w:val="00CD4D29"/>
    <w:rsid w:val="00CD542D"/>
    <w:rsid w:val="00CD579C"/>
    <w:rsid w:val="00CD5CC1"/>
    <w:rsid w:val="00CD5DBD"/>
    <w:rsid w:val="00CD5FB7"/>
    <w:rsid w:val="00CD60FC"/>
    <w:rsid w:val="00CD678E"/>
    <w:rsid w:val="00CD6B6C"/>
    <w:rsid w:val="00CD6E19"/>
    <w:rsid w:val="00CE03F0"/>
    <w:rsid w:val="00CE0B55"/>
    <w:rsid w:val="00CE0CF0"/>
    <w:rsid w:val="00CE0D06"/>
    <w:rsid w:val="00CE0DB8"/>
    <w:rsid w:val="00CE1B84"/>
    <w:rsid w:val="00CE1DEE"/>
    <w:rsid w:val="00CE2224"/>
    <w:rsid w:val="00CE23FC"/>
    <w:rsid w:val="00CE253C"/>
    <w:rsid w:val="00CE2551"/>
    <w:rsid w:val="00CE2650"/>
    <w:rsid w:val="00CE285E"/>
    <w:rsid w:val="00CE2E69"/>
    <w:rsid w:val="00CE3189"/>
    <w:rsid w:val="00CE3373"/>
    <w:rsid w:val="00CE340F"/>
    <w:rsid w:val="00CE34D8"/>
    <w:rsid w:val="00CE44A7"/>
    <w:rsid w:val="00CE4864"/>
    <w:rsid w:val="00CE4B75"/>
    <w:rsid w:val="00CE4D08"/>
    <w:rsid w:val="00CE4D43"/>
    <w:rsid w:val="00CE4E82"/>
    <w:rsid w:val="00CE54CE"/>
    <w:rsid w:val="00CE5B82"/>
    <w:rsid w:val="00CE5C22"/>
    <w:rsid w:val="00CE5FA7"/>
    <w:rsid w:val="00CE6BE4"/>
    <w:rsid w:val="00CE6D6B"/>
    <w:rsid w:val="00CE6DF6"/>
    <w:rsid w:val="00CE7177"/>
    <w:rsid w:val="00CE770D"/>
    <w:rsid w:val="00CE77CA"/>
    <w:rsid w:val="00CF0384"/>
    <w:rsid w:val="00CF0437"/>
    <w:rsid w:val="00CF062C"/>
    <w:rsid w:val="00CF06B4"/>
    <w:rsid w:val="00CF06D6"/>
    <w:rsid w:val="00CF0EE9"/>
    <w:rsid w:val="00CF1676"/>
    <w:rsid w:val="00CF1BF9"/>
    <w:rsid w:val="00CF1FDF"/>
    <w:rsid w:val="00CF221C"/>
    <w:rsid w:val="00CF23F3"/>
    <w:rsid w:val="00CF2586"/>
    <w:rsid w:val="00CF330E"/>
    <w:rsid w:val="00CF33DB"/>
    <w:rsid w:val="00CF3BFE"/>
    <w:rsid w:val="00CF45EF"/>
    <w:rsid w:val="00CF4B91"/>
    <w:rsid w:val="00CF4FED"/>
    <w:rsid w:val="00CF5753"/>
    <w:rsid w:val="00CF57A8"/>
    <w:rsid w:val="00CF5AF8"/>
    <w:rsid w:val="00CF5D34"/>
    <w:rsid w:val="00CF5D98"/>
    <w:rsid w:val="00CF611A"/>
    <w:rsid w:val="00CF6332"/>
    <w:rsid w:val="00CF6BB6"/>
    <w:rsid w:val="00CF6D3E"/>
    <w:rsid w:val="00CF6FEF"/>
    <w:rsid w:val="00D005DD"/>
    <w:rsid w:val="00D00EA3"/>
    <w:rsid w:val="00D01421"/>
    <w:rsid w:val="00D01A0A"/>
    <w:rsid w:val="00D01AFF"/>
    <w:rsid w:val="00D01D5D"/>
    <w:rsid w:val="00D01DCE"/>
    <w:rsid w:val="00D02584"/>
    <w:rsid w:val="00D0260C"/>
    <w:rsid w:val="00D02A7D"/>
    <w:rsid w:val="00D02B30"/>
    <w:rsid w:val="00D02BB9"/>
    <w:rsid w:val="00D02F13"/>
    <w:rsid w:val="00D0316E"/>
    <w:rsid w:val="00D0318E"/>
    <w:rsid w:val="00D03210"/>
    <w:rsid w:val="00D0341B"/>
    <w:rsid w:val="00D0355B"/>
    <w:rsid w:val="00D035BE"/>
    <w:rsid w:val="00D038BF"/>
    <w:rsid w:val="00D03B80"/>
    <w:rsid w:val="00D03CD4"/>
    <w:rsid w:val="00D03E54"/>
    <w:rsid w:val="00D03F6B"/>
    <w:rsid w:val="00D04127"/>
    <w:rsid w:val="00D04788"/>
    <w:rsid w:val="00D04FC9"/>
    <w:rsid w:val="00D0565C"/>
    <w:rsid w:val="00D05696"/>
    <w:rsid w:val="00D05767"/>
    <w:rsid w:val="00D059CD"/>
    <w:rsid w:val="00D05CEF"/>
    <w:rsid w:val="00D06C8B"/>
    <w:rsid w:val="00D06EC3"/>
    <w:rsid w:val="00D070CF"/>
    <w:rsid w:val="00D108D5"/>
    <w:rsid w:val="00D10BC9"/>
    <w:rsid w:val="00D11466"/>
    <w:rsid w:val="00D11528"/>
    <w:rsid w:val="00D119B9"/>
    <w:rsid w:val="00D11DF9"/>
    <w:rsid w:val="00D11FB8"/>
    <w:rsid w:val="00D131DF"/>
    <w:rsid w:val="00D135EE"/>
    <w:rsid w:val="00D136B8"/>
    <w:rsid w:val="00D13AC2"/>
    <w:rsid w:val="00D1417A"/>
    <w:rsid w:val="00D14244"/>
    <w:rsid w:val="00D1498D"/>
    <w:rsid w:val="00D14E56"/>
    <w:rsid w:val="00D15039"/>
    <w:rsid w:val="00D159D1"/>
    <w:rsid w:val="00D15E68"/>
    <w:rsid w:val="00D16082"/>
    <w:rsid w:val="00D162ED"/>
    <w:rsid w:val="00D163ED"/>
    <w:rsid w:val="00D16555"/>
    <w:rsid w:val="00D1658A"/>
    <w:rsid w:val="00D16DD7"/>
    <w:rsid w:val="00D17431"/>
    <w:rsid w:val="00D17579"/>
    <w:rsid w:val="00D175AF"/>
    <w:rsid w:val="00D178EA"/>
    <w:rsid w:val="00D17F7C"/>
    <w:rsid w:val="00D17FC7"/>
    <w:rsid w:val="00D20055"/>
    <w:rsid w:val="00D20064"/>
    <w:rsid w:val="00D2085D"/>
    <w:rsid w:val="00D214F1"/>
    <w:rsid w:val="00D21578"/>
    <w:rsid w:val="00D218CE"/>
    <w:rsid w:val="00D21B7E"/>
    <w:rsid w:val="00D21BB3"/>
    <w:rsid w:val="00D2223A"/>
    <w:rsid w:val="00D226A8"/>
    <w:rsid w:val="00D226F1"/>
    <w:rsid w:val="00D22D5C"/>
    <w:rsid w:val="00D2333E"/>
    <w:rsid w:val="00D2350C"/>
    <w:rsid w:val="00D23AF5"/>
    <w:rsid w:val="00D23B4F"/>
    <w:rsid w:val="00D23B71"/>
    <w:rsid w:val="00D23EE0"/>
    <w:rsid w:val="00D24667"/>
    <w:rsid w:val="00D24763"/>
    <w:rsid w:val="00D24B83"/>
    <w:rsid w:val="00D24C78"/>
    <w:rsid w:val="00D24D0B"/>
    <w:rsid w:val="00D24ED1"/>
    <w:rsid w:val="00D25879"/>
    <w:rsid w:val="00D25905"/>
    <w:rsid w:val="00D25AA1"/>
    <w:rsid w:val="00D26082"/>
    <w:rsid w:val="00D26446"/>
    <w:rsid w:val="00D26F1B"/>
    <w:rsid w:val="00D27218"/>
    <w:rsid w:val="00D273E5"/>
    <w:rsid w:val="00D27490"/>
    <w:rsid w:val="00D27E46"/>
    <w:rsid w:val="00D30B8C"/>
    <w:rsid w:val="00D31651"/>
    <w:rsid w:val="00D32083"/>
    <w:rsid w:val="00D32B28"/>
    <w:rsid w:val="00D33366"/>
    <w:rsid w:val="00D33619"/>
    <w:rsid w:val="00D34A07"/>
    <w:rsid w:val="00D34EBE"/>
    <w:rsid w:val="00D34F13"/>
    <w:rsid w:val="00D35210"/>
    <w:rsid w:val="00D358AA"/>
    <w:rsid w:val="00D35C16"/>
    <w:rsid w:val="00D35C6E"/>
    <w:rsid w:val="00D35FE5"/>
    <w:rsid w:val="00D368E7"/>
    <w:rsid w:val="00D368EA"/>
    <w:rsid w:val="00D36F5A"/>
    <w:rsid w:val="00D373C1"/>
    <w:rsid w:val="00D375AA"/>
    <w:rsid w:val="00D37846"/>
    <w:rsid w:val="00D37C53"/>
    <w:rsid w:val="00D405D5"/>
    <w:rsid w:val="00D4090A"/>
    <w:rsid w:val="00D4094A"/>
    <w:rsid w:val="00D40BC9"/>
    <w:rsid w:val="00D4129A"/>
    <w:rsid w:val="00D41C6E"/>
    <w:rsid w:val="00D41E44"/>
    <w:rsid w:val="00D42626"/>
    <w:rsid w:val="00D426FC"/>
    <w:rsid w:val="00D43496"/>
    <w:rsid w:val="00D43D9E"/>
    <w:rsid w:val="00D44198"/>
    <w:rsid w:val="00D446A6"/>
    <w:rsid w:val="00D44C8C"/>
    <w:rsid w:val="00D44CA8"/>
    <w:rsid w:val="00D44DC8"/>
    <w:rsid w:val="00D44F1F"/>
    <w:rsid w:val="00D452E7"/>
    <w:rsid w:val="00D45303"/>
    <w:rsid w:val="00D45FD8"/>
    <w:rsid w:val="00D45FDD"/>
    <w:rsid w:val="00D46B4B"/>
    <w:rsid w:val="00D46D48"/>
    <w:rsid w:val="00D46F9D"/>
    <w:rsid w:val="00D47226"/>
    <w:rsid w:val="00D474EB"/>
    <w:rsid w:val="00D476D5"/>
    <w:rsid w:val="00D47C15"/>
    <w:rsid w:val="00D501CE"/>
    <w:rsid w:val="00D504CA"/>
    <w:rsid w:val="00D50ABB"/>
    <w:rsid w:val="00D516E4"/>
    <w:rsid w:val="00D518E3"/>
    <w:rsid w:val="00D51A0A"/>
    <w:rsid w:val="00D51A25"/>
    <w:rsid w:val="00D52A3C"/>
    <w:rsid w:val="00D52CD7"/>
    <w:rsid w:val="00D52E27"/>
    <w:rsid w:val="00D53692"/>
    <w:rsid w:val="00D538F4"/>
    <w:rsid w:val="00D539A5"/>
    <w:rsid w:val="00D53C3C"/>
    <w:rsid w:val="00D54589"/>
    <w:rsid w:val="00D54E69"/>
    <w:rsid w:val="00D54F0D"/>
    <w:rsid w:val="00D5515E"/>
    <w:rsid w:val="00D5562D"/>
    <w:rsid w:val="00D5578C"/>
    <w:rsid w:val="00D56066"/>
    <w:rsid w:val="00D56750"/>
    <w:rsid w:val="00D5721E"/>
    <w:rsid w:val="00D57583"/>
    <w:rsid w:val="00D5761C"/>
    <w:rsid w:val="00D5779A"/>
    <w:rsid w:val="00D57C9C"/>
    <w:rsid w:val="00D601D5"/>
    <w:rsid w:val="00D602D4"/>
    <w:rsid w:val="00D605EC"/>
    <w:rsid w:val="00D60814"/>
    <w:rsid w:val="00D60B3D"/>
    <w:rsid w:val="00D60B86"/>
    <w:rsid w:val="00D6148D"/>
    <w:rsid w:val="00D61632"/>
    <w:rsid w:val="00D61823"/>
    <w:rsid w:val="00D61931"/>
    <w:rsid w:val="00D61D72"/>
    <w:rsid w:val="00D61DAB"/>
    <w:rsid w:val="00D62574"/>
    <w:rsid w:val="00D62592"/>
    <w:rsid w:val="00D62656"/>
    <w:rsid w:val="00D62A42"/>
    <w:rsid w:val="00D62D02"/>
    <w:rsid w:val="00D6308D"/>
    <w:rsid w:val="00D63482"/>
    <w:rsid w:val="00D6372C"/>
    <w:rsid w:val="00D640F9"/>
    <w:rsid w:val="00D64C2F"/>
    <w:rsid w:val="00D64EE1"/>
    <w:rsid w:val="00D6509D"/>
    <w:rsid w:val="00D651E0"/>
    <w:rsid w:val="00D65A5F"/>
    <w:rsid w:val="00D65AA7"/>
    <w:rsid w:val="00D65CDB"/>
    <w:rsid w:val="00D65D00"/>
    <w:rsid w:val="00D675A7"/>
    <w:rsid w:val="00D67630"/>
    <w:rsid w:val="00D67695"/>
    <w:rsid w:val="00D67EA7"/>
    <w:rsid w:val="00D70168"/>
    <w:rsid w:val="00D7029F"/>
    <w:rsid w:val="00D70A52"/>
    <w:rsid w:val="00D70D21"/>
    <w:rsid w:val="00D70EC7"/>
    <w:rsid w:val="00D70F0D"/>
    <w:rsid w:val="00D71557"/>
    <w:rsid w:val="00D7173E"/>
    <w:rsid w:val="00D71924"/>
    <w:rsid w:val="00D71AE5"/>
    <w:rsid w:val="00D71AE6"/>
    <w:rsid w:val="00D71B50"/>
    <w:rsid w:val="00D71E5E"/>
    <w:rsid w:val="00D71F3F"/>
    <w:rsid w:val="00D72243"/>
    <w:rsid w:val="00D723E6"/>
    <w:rsid w:val="00D72451"/>
    <w:rsid w:val="00D7254B"/>
    <w:rsid w:val="00D728BD"/>
    <w:rsid w:val="00D732BD"/>
    <w:rsid w:val="00D736E5"/>
    <w:rsid w:val="00D73ABC"/>
    <w:rsid w:val="00D73C63"/>
    <w:rsid w:val="00D73E0D"/>
    <w:rsid w:val="00D74440"/>
    <w:rsid w:val="00D749D6"/>
    <w:rsid w:val="00D74B44"/>
    <w:rsid w:val="00D7592D"/>
    <w:rsid w:val="00D75BB6"/>
    <w:rsid w:val="00D75E1A"/>
    <w:rsid w:val="00D76562"/>
    <w:rsid w:val="00D76818"/>
    <w:rsid w:val="00D76A13"/>
    <w:rsid w:val="00D76F90"/>
    <w:rsid w:val="00D771C0"/>
    <w:rsid w:val="00D774FA"/>
    <w:rsid w:val="00D777C3"/>
    <w:rsid w:val="00D778A9"/>
    <w:rsid w:val="00D779D3"/>
    <w:rsid w:val="00D77ED6"/>
    <w:rsid w:val="00D77F7F"/>
    <w:rsid w:val="00D805AA"/>
    <w:rsid w:val="00D80855"/>
    <w:rsid w:val="00D808D0"/>
    <w:rsid w:val="00D81077"/>
    <w:rsid w:val="00D816DB"/>
    <w:rsid w:val="00D81E86"/>
    <w:rsid w:val="00D81FA5"/>
    <w:rsid w:val="00D821AB"/>
    <w:rsid w:val="00D82656"/>
    <w:rsid w:val="00D828D5"/>
    <w:rsid w:val="00D82A4B"/>
    <w:rsid w:val="00D82FD6"/>
    <w:rsid w:val="00D836F4"/>
    <w:rsid w:val="00D83951"/>
    <w:rsid w:val="00D84418"/>
    <w:rsid w:val="00D8447F"/>
    <w:rsid w:val="00D84623"/>
    <w:rsid w:val="00D847EB"/>
    <w:rsid w:val="00D84E26"/>
    <w:rsid w:val="00D859C3"/>
    <w:rsid w:val="00D85D5B"/>
    <w:rsid w:val="00D87471"/>
    <w:rsid w:val="00D875DC"/>
    <w:rsid w:val="00D8762A"/>
    <w:rsid w:val="00D87D97"/>
    <w:rsid w:val="00D87E0D"/>
    <w:rsid w:val="00D87F45"/>
    <w:rsid w:val="00D902F9"/>
    <w:rsid w:val="00D90702"/>
    <w:rsid w:val="00D90765"/>
    <w:rsid w:val="00D909FC"/>
    <w:rsid w:val="00D90DDC"/>
    <w:rsid w:val="00D91224"/>
    <w:rsid w:val="00D913FC"/>
    <w:rsid w:val="00D91453"/>
    <w:rsid w:val="00D91585"/>
    <w:rsid w:val="00D915F0"/>
    <w:rsid w:val="00D91DC6"/>
    <w:rsid w:val="00D91ED9"/>
    <w:rsid w:val="00D91F2E"/>
    <w:rsid w:val="00D91FD3"/>
    <w:rsid w:val="00D92031"/>
    <w:rsid w:val="00D920DB"/>
    <w:rsid w:val="00D92917"/>
    <w:rsid w:val="00D92B86"/>
    <w:rsid w:val="00D92B8A"/>
    <w:rsid w:val="00D92C9E"/>
    <w:rsid w:val="00D93493"/>
    <w:rsid w:val="00D9353A"/>
    <w:rsid w:val="00D9362D"/>
    <w:rsid w:val="00D9379D"/>
    <w:rsid w:val="00D93850"/>
    <w:rsid w:val="00D93C55"/>
    <w:rsid w:val="00D93D6A"/>
    <w:rsid w:val="00D9425D"/>
    <w:rsid w:val="00D943E8"/>
    <w:rsid w:val="00D94846"/>
    <w:rsid w:val="00D94A78"/>
    <w:rsid w:val="00D94DDB"/>
    <w:rsid w:val="00D95149"/>
    <w:rsid w:val="00D952C2"/>
    <w:rsid w:val="00D954E9"/>
    <w:rsid w:val="00D95803"/>
    <w:rsid w:val="00D959FA"/>
    <w:rsid w:val="00D95CBC"/>
    <w:rsid w:val="00D96ED4"/>
    <w:rsid w:val="00D9760C"/>
    <w:rsid w:val="00D976F0"/>
    <w:rsid w:val="00D97718"/>
    <w:rsid w:val="00DA0696"/>
    <w:rsid w:val="00DA09EC"/>
    <w:rsid w:val="00DA0D65"/>
    <w:rsid w:val="00DA1059"/>
    <w:rsid w:val="00DA15B8"/>
    <w:rsid w:val="00DA1B0B"/>
    <w:rsid w:val="00DA2081"/>
    <w:rsid w:val="00DA2238"/>
    <w:rsid w:val="00DA2333"/>
    <w:rsid w:val="00DA23A0"/>
    <w:rsid w:val="00DA25D2"/>
    <w:rsid w:val="00DA2A4A"/>
    <w:rsid w:val="00DA2E4E"/>
    <w:rsid w:val="00DA2E5D"/>
    <w:rsid w:val="00DA30B8"/>
    <w:rsid w:val="00DA313D"/>
    <w:rsid w:val="00DA32A1"/>
    <w:rsid w:val="00DA3FB0"/>
    <w:rsid w:val="00DA4302"/>
    <w:rsid w:val="00DA4AAC"/>
    <w:rsid w:val="00DA519B"/>
    <w:rsid w:val="00DA5582"/>
    <w:rsid w:val="00DA5593"/>
    <w:rsid w:val="00DA597B"/>
    <w:rsid w:val="00DA5D84"/>
    <w:rsid w:val="00DA5EC6"/>
    <w:rsid w:val="00DA5F05"/>
    <w:rsid w:val="00DA5F62"/>
    <w:rsid w:val="00DA6B73"/>
    <w:rsid w:val="00DA753A"/>
    <w:rsid w:val="00DA7F90"/>
    <w:rsid w:val="00DB0374"/>
    <w:rsid w:val="00DB1219"/>
    <w:rsid w:val="00DB19BF"/>
    <w:rsid w:val="00DB1FD4"/>
    <w:rsid w:val="00DB2246"/>
    <w:rsid w:val="00DB25BF"/>
    <w:rsid w:val="00DB299C"/>
    <w:rsid w:val="00DB2C69"/>
    <w:rsid w:val="00DB2DEA"/>
    <w:rsid w:val="00DB30F7"/>
    <w:rsid w:val="00DB396C"/>
    <w:rsid w:val="00DB4000"/>
    <w:rsid w:val="00DB4194"/>
    <w:rsid w:val="00DB42F8"/>
    <w:rsid w:val="00DB487E"/>
    <w:rsid w:val="00DB59D6"/>
    <w:rsid w:val="00DB5C32"/>
    <w:rsid w:val="00DB661D"/>
    <w:rsid w:val="00DB66F5"/>
    <w:rsid w:val="00DB6A80"/>
    <w:rsid w:val="00DB6C49"/>
    <w:rsid w:val="00DB7004"/>
    <w:rsid w:val="00DB76C1"/>
    <w:rsid w:val="00DB76F0"/>
    <w:rsid w:val="00DB79A5"/>
    <w:rsid w:val="00DB79F8"/>
    <w:rsid w:val="00DB7D6C"/>
    <w:rsid w:val="00DC0440"/>
    <w:rsid w:val="00DC06A5"/>
    <w:rsid w:val="00DC08CA"/>
    <w:rsid w:val="00DC0C66"/>
    <w:rsid w:val="00DC14F5"/>
    <w:rsid w:val="00DC1A8F"/>
    <w:rsid w:val="00DC1C84"/>
    <w:rsid w:val="00DC1E88"/>
    <w:rsid w:val="00DC1E8B"/>
    <w:rsid w:val="00DC2594"/>
    <w:rsid w:val="00DC27FC"/>
    <w:rsid w:val="00DC2BB6"/>
    <w:rsid w:val="00DC2E30"/>
    <w:rsid w:val="00DC33EA"/>
    <w:rsid w:val="00DC361B"/>
    <w:rsid w:val="00DC3687"/>
    <w:rsid w:val="00DC3932"/>
    <w:rsid w:val="00DC3934"/>
    <w:rsid w:val="00DC4405"/>
    <w:rsid w:val="00DC462E"/>
    <w:rsid w:val="00DC4701"/>
    <w:rsid w:val="00DC471A"/>
    <w:rsid w:val="00DC473E"/>
    <w:rsid w:val="00DC4A4A"/>
    <w:rsid w:val="00DC4BC1"/>
    <w:rsid w:val="00DC54A6"/>
    <w:rsid w:val="00DC5E74"/>
    <w:rsid w:val="00DC6344"/>
    <w:rsid w:val="00DC6E38"/>
    <w:rsid w:val="00DC6F2C"/>
    <w:rsid w:val="00DC72F8"/>
    <w:rsid w:val="00DC7566"/>
    <w:rsid w:val="00DC7734"/>
    <w:rsid w:val="00DC7B0B"/>
    <w:rsid w:val="00DC7D62"/>
    <w:rsid w:val="00DD0153"/>
    <w:rsid w:val="00DD0BA8"/>
    <w:rsid w:val="00DD177F"/>
    <w:rsid w:val="00DD17CA"/>
    <w:rsid w:val="00DD19C3"/>
    <w:rsid w:val="00DD1CAA"/>
    <w:rsid w:val="00DD1D2F"/>
    <w:rsid w:val="00DD1EEB"/>
    <w:rsid w:val="00DD1FEB"/>
    <w:rsid w:val="00DD2C10"/>
    <w:rsid w:val="00DD345E"/>
    <w:rsid w:val="00DD3998"/>
    <w:rsid w:val="00DD3FE4"/>
    <w:rsid w:val="00DD44A0"/>
    <w:rsid w:val="00DD4873"/>
    <w:rsid w:val="00DD4FBA"/>
    <w:rsid w:val="00DD64DA"/>
    <w:rsid w:val="00DD65A8"/>
    <w:rsid w:val="00DD6C2E"/>
    <w:rsid w:val="00DD6DC3"/>
    <w:rsid w:val="00DE0033"/>
    <w:rsid w:val="00DE012D"/>
    <w:rsid w:val="00DE04ED"/>
    <w:rsid w:val="00DE0A78"/>
    <w:rsid w:val="00DE0D49"/>
    <w:rsid w:val="00DE1401"/>
    <w:rsid w:val="00DE1A31"/>
    <w:rsid w:val="00DE1F67"/>
    <w:rsid w:val="00DE23F7"/>
    <w:rsid w:val="00DE249C"/>
    <w:rsid w:val="00DE2558"/>
    <w:rsid w:val="00DE2F18"/>
    <w:rsid w:val="00DE3527"/>
    <w:rsid w:val="00DE37A0"/>
    <w:rsid w:val="00DE3C75"/>
    <w:rsid w:val="00DE3DB5"/>
    <w:rsid w:val="00DE4DBE"/>
    <w:rsid w:val="00DE4FB5"/>
    <w:rsid w:val="00DE5625"/>
    <w:rsid w:val="00DE57CC"/>
    <w:rsid w:val="00DE5934"/>
    <w:rsid w:val="00DE5A09"/>
    <w:rsid w:val="00DE5C7A"/>
    <w:rsid w:val="00DE5DD8"/>
    <w:rsid w:val="00DE5E5D"/>
    <w:rsid w:val="00DE5F0E"/>
    <w:rsid w:val="00DE6651"/>
    <w:rsid w:val="00DE6B9C"/>
    <w:rsid w:val="00DE703C"/>
    <w:rsid w:val="00DE72DB"/>
    <w:rsid w:val="00DE793F"/>
    <w:rsid w:val="00DE7FE3"/>
    <w:rsid w:val="00DF04C7"/>
    <w:rsid w:val="00DF06BD"/>
    <w:rsid w:val="00DF0892"/>
    <w:rsid w:val="00DF0FCF"/>
    <w:rsid w:val="00DF1216"/>
    <w:rsid w:val="00DF13CF"/>
    <w:rsid w:val="00DF1653"/>
    <w:rsid w:val="00DF16D8"/>
    <w:rsid w:val="00DF197A"/>
    <w:rsid w:val="00DF1C50"/>
    <w:rsid w:val="00DF1E54"/>
    <w:rsid w:val="00DF28CC"/>
    <w:rsid w:val="00DF3744"/>
    <w:rsid w:val="00DF37EA"/>
    <w:rsid w:val="00DF3B6F"/>
    <w:rsid w:val="00DF418C"/>
    <w:rsid w:val="00DF44C5"/>
    <w:rsid w:val="00DF4692"/>
    <w:rsid w:val="00DF5066"/>
    <w:rsid w:val="00DF5E1B"/>
    <w:rsid w:val="00DF5E2B"/>
    <w:rsid w:val="00DF6389"/>
    <w:rsid w:val="00DF709E"/>
    <w:rsid w:val="00DF737F"/>
    <w:rsid w:val="00DF7426"/>
    <w:rsid w:val="00DF779E"/>
    <w:rsid w:val="00DF779F"/>
    <w:rsid w:val="00DF77C6"/>
    <w:rsid w:val="00DF784D"/>
    <w:rsid w:val="00DF7CF9"/>
    <w:rsid w:val="00E006F1"/>
    <w:rsid w:val="00E006F5"/>
    <w:rsid w:val="00E00D4A"/>
    <w:rsid w:val="00E015DB"/>
    <w:rsid w:val="00E018B6"/>
    <w:rsid w:val="00E01FD0"/>
    <w:rsid w:val="00E02070"/>
    <w:rsid w:val="00E023BD"/>
    <w:rsid w:val="00E0251C"/>
    <w:rsid w:val="00E02762"/>
    <w:rsid w:val="00E02CAB"/>
    <w:rsid w:val="00E037A6"/>
    <w:rsid w:val="00E037E2"/>
    <w:rsid w:val="00E03DF9"/>
    <w:rsid w:val="00E03E24"/>
    <w:rsid w:val="00E041EB"/>
    <w:rsid w:val="00E04433"/>
    <w:rsid w:val="00E0454F"/>
    <w:rsid w:val="00E046E0"/>
    <w:rsid w:val="00E04927"/>
    <w:rsid w:val="00E05535"/>
    <w:rsid w:val="00E05BB3"/>
    <w:rsid w:val="00E05D76"/>
    <w:rsid w:val="00E062D3"/>
    <w:rsid w:val="00E0663E"/>
    <w:rsid w:val="00E06E16"/>
    <w:rsid w:val="00E071D3"/>
    <w:rsid w:val="00E071D8"/>
    <w:rsid w:val="00E0746B"/>
    <w:rsid w:val="00E07472"/>
    <w:rsid w:val="00E0764A"/>
    <w:rsid w:val="00E0782A"/>
    <w:rsid w:val="00E07F94"/>
    <w:rsid w:val="00E10272"/>
    <w:rsid w:val="00E1075B"/>
    <w:rsid w:val="00E1090A"/>
    <w:rsid w:val="00E10957"/>
    <w:rsid w:val="00E10E50"/>
    <w:rsid w:val="00E11154"/>
    <w:rsid w:val="00E112C9"/>
    <w:rsid w:val="00E11999"/>
    <w:rsid w:val="00E11CB4"/>
    <w:rsid w:val="00E120C6"/>
    <w:rsid w:val="00E1221A"/>
    <w:rsid w:val="00E127CD"/>
    <w:rsid w:val="00E128FC"/>
    <w:rsid w:val="00E129DD"/>
    <w:rsid w:val="00E12B55"/>
    <w:rsid w:val="00E12E62"/>
    <w:rsid w:val="00E1332E"/>
    <w:rsid w:val="00E13920"/>
    <w:rsid w:val="00E13973"/>
    <w:rsid w:val="00E14285"/>
    <w:rsid w:val="00E143C6"/>
    <w:rsid w:val="00E1450E"/>
    <w:rsid w:val="00E14996"/>
    <w:rsid w:val="00E1569E"/>
    <w:rsid w:val="00E16370"/>
    <w:rsid w:val="00E16539"/>
    <w:rsid w:val="00E16715"/>
    <w:rsid w:val="00E169B2"/>
    <w:rsid w:val="00E16DA7"/>
    <w:rsid w:val="00E17067"/>
    <w:rsid w:val="00E1716B"/>
    <w:rsid w:val="00E17B9F"/>
    <w:rsid w:val="00E17C1F"/>
    <w:rsid w:val="00E17FEB"/>
    <w:rsid w:val="00E200F1"/>
    <w:rsid w:val="00E206D9"/>
    <w:rsid w:val="00E20A1E"/>
    <w:rsid w:val="00E20A6A"/>
    <w:rsid w:val="00E20E5E"/>
    <w:rsid w:val="00E21164"/>
    <w:rsid w:val="00E212E1"/>
    <w:rsid w:val="00E2131A"/>
    <w:rsid w:val="00E217E9"/>
    <w:rsid w:val="00E220A9"/>
    <w:rsid w:val="00E220EE"/>
    <w:rsid w:val="00E2290F"/>
    <w:rsid w:val="00E229D6"/>
    <w:rsid w:val="00E229DA"/>
    <w:rsid w:val="00E22DDF"/>
    <w:rsid w:val="00E230C8"/>
    <w:rsid w:val="00E238CE"/>
    <w:rsid w:val="00E2394D"/>
    <w:rsid w:val="00E23B84"/>
    <w:rsid w:val="00E242AB"/>
    <w:rsid w:val="00E24D06"/>
    <w:rsid w:val="00E25030"/>
    <w:rsid w:val="00E2551A"/>
    <w:rsid w:val="00E25AC2"/>
    <w:rsid w:val="00E25B18"/>
    <w:rsid w:val="00E25BA8"/>
    <w:rsid w:val="00E26147"/>
    <w:rsid w:val="00E26820"/>
    <w:rsid w:val="00E270E1"/>
    <w:rsid w:val="00E27AC7"/>
    <w:rsid w:val="00E27F09"/>
    <w:rsid w:val="00E302C7"/>
    <w:rsid w:val="00E3040F"/>
    <w:rsid w:val="00E30516"/>
    <w:rsid w:val="00E306D6"/>
    <w:rsid w:val="00E30CF2"/>
    <w:rsid w:val="00E30F72"/>
    <w:rsid w:val="00E31112"/>
    <w:rsid w:val="00E3124C"/>
    <w:rsid w:val="00E31924"/>
    <w:rsid w:val="00E31CB9"/>
    <w:rsid w:val="00E31DD3"/>
    <w:rsid w:val="00E31F2C"/>
    <w:rsid w:val="00E32566"/>
    <w:rsid w:val="00E3309A"/>
    <w:rsid w:val="00E33215"/>
    <w:rsid w:val="00E3367D"/>
    <w:rsid w:val="00E3378A"/>
    <w:rsid w:val="00E3490B"/>
    <w:rsid w:val="00E34FBE"/>
    <w:rsid w:val="00E35C5D"/>
    <w:rsid w:val="00E368D3"/>
    <w:rsid w:val="00E36A0A"/>
    <w:rsid w:val="00E36EE7"/>
    <w:rsid w:val="00E37089"/>
    <w:rsid w:val="00E372CA"/>
    <w:rsid w:val="00E3761E"/>
    <w:rsid w:val="00E377BC"/>
    <w:rsid w:val="00E37A5C"/>
    <w:rsid w:val="00E37C96"/>
    <w:rsid w:val="00E37D1D"/>
    <w:rsid w:val="00E40079"/>
    <w:rsid w:val="00E40AD6"/>
    <w:rsid w:val="00E41174"/>
    <w:rsid w:val="00E4129E"/>
    <w:rsid w:val="00E41E0B"/>
    <w:rsid w:val="00E423CD"/>
    <w:rsid w:val="00E424A2"/>
    <w:rsid w:val="00E4277B"/>
    <w:rsid w:val="00E42DE7"/>
    <w:rsid w:val="00E4307B"/>
    <w:rsid w:val="00E432D4"/>
    <w:rsid w:val="00E43888"/>
    <w:rsid w:val="00E438BA"/>
    <w:rsid w:val="00E43B6D"/>
    <w:rsid w:val="00E43FF0"/>
    <w:rsid w:val="00E44BD5"/>
    <w:rsid w:val="00E452A0"/>
    <w:rsid w:val="00E455A2"/>
    <w:rsid w:val="00E458A2"/>
    <w:rsid w:val="00E45BE2"/>
    <w:rsid w:val="00E45F0F"/>
    <w:rsid w:val="00E460F0"/>
    <w:rsid w:val="00E46201"/>
    <w:rsid w:val="00E463A3"/>
    <w:rsid w:val="00E469BF"/>
    <w:rsid w:val="00E4736B"/>
    <w:rsid w:val="00E479FF"/>
    <w:rsid w:val="00E47FA9"/>
    <w:rsid w:val="00E50F8C"/>
    <w:rsid w:val="00E5127D"/>
    <w:rsid w:val="00E51397"/>
    <w:rsid w:val="00E51862"/>
    <w:rsid w:val="00E5191F"/>
    <w:rsid w:val="00E51CFA"/>
    <w:rsid w:val="00E51E4D"/>
    <w:rsid w:val="00E51F8C"/>
    <w:rsid w:val="00E520B6"/>
    <w:rsid w:val="00E52222"/>
    <w:rsid w:val="00E525AA"/>
    <w:rsid w:val="00E532DF"/>
    <w:rsid w:val="00E534AA"/>
    <w:rsid w:val="00E53CC6"/>
    <w:rsid w:val="00E5410E"/>
    <w:rsid w:val="00E54F75"/>
    <w:rsid w:val="00E55292"/>
    <w:rsid w:val="00E558F1"/>
    <w:rsid w:val="00E55937"/>
    <w:rsid w:val="00E55B88"/>
    <w:rsid w:val="00E55C60"/>
    <w:rsid w:val="00E55DDE"/>
    <w:rsid w:val="00E56446"/>
    <w:rsid w:val="00E5674B"/>
    <w:rsid w:val="00E571DF"/>
    <w:rsid w:val="00E57394"/>
    <w:rsid w:val="00E57C70"/>
    <w:rsid w:val="00E57D0B"/>
    <w:rsid w:val="00E60295"/>
    <w:rsid w:val="00E60569"/>
    <w:rsid w:val="00E610DA"/>
    <w:rsid w:val="00E61333"/>
    <w:rsid w:val="00E61D11"/>
    <w:rsid w:val="00E624F6"/>
    <w:rsid w:val="00E632A6"/>
    <w:rsid w:val="00E63587"/>
    <w:rsid w:val="00E6372F"/>
    <w:rsid w:val="00E63B1D"/>
    <w:rsid w:val="00E63EC6"/>
    <w:rsid w:val="00E64172"/>
    <w:rsid w:val="00E64328"/>
    <w:rsid w:val="00E643CB"/>
    <w:rsid w:val="00E64C91"/>
    <w:rsid w:val="00E64EEB"/>
    <w:rsid w:val="00E6594C"/>
    <w:rsid w:val="00E660F2"/>
    <w:rsid w:val="00E66106"/>
    <w:rsid w:val="00E6649A"/>
    <w:rsid w:val="00E6649F"/>
    <w:rsid w:val="00E675F3"/>
    <w:rsid w:val="00E701EE"/>
    <w:rsid w:val="00E70469"/>
    <w:rsid w:val="00E70580"/>
    <w:rsid w:val="00E70B76"/>
    <w:rsid w:val="00E710FC"/>
    <w:rsid w:val="00E71E26"/>
    <w:rsid w:val="00E72743"/>
    <w:rsid w:val="00E72857"/>
    <w:rsid w:val="00E72E2C"/>
    <w:rsid w:val="00E73900"/>
    <w:rsid w:val="00E73D38"/>
    <w:rsid w:val="00E73E97"/>
    <w:rsid w:val="00E74531"/>
    <w:rsid w:val="00E7464A"/>
    <w:rsid w:val="00E7530E"/>
    <w:rsid w:val="00E7531F"/>
    <w:rsid w:val="00E75323"/>
    <w:rsid w:val="00E75600"/>
    <w:rsid w:val="00E760F3"/>
    <w:rsid w:val="00E76731"/>
    <w:rsid w:val="00E767DF"/>
    <w:rsid w:val="00E7683E"/>
    <w:rsid w:val="00E76992"/>
    <w:rsid w:val="00E769EE"/>
    <w:rsid w:val="00E769FD"/>
    <w:rsid w:val="00E770FE"/>
    <w:rsid w:val="00E77A67"/>
    <w:rsid w:val="00E77C0F"/>
    <w:rsid w:val="00E77CA9"/>
    <w:rsid w:val="00E80081"/>
    <w:rsid w:val="00E8055C"/>
    <w:rsid w:val="00E80692"/>
    <w:rsid w:val="00E80B4A"/>
    <w:rsid w:val="00E8123A"/>
    <w:rsid w:val="00E81A4F"/>
    <w:rsid w:val="00E81AF3"/>
    <w:rsid w:val="00E8216B"/>
    <w:rsid w:val="00E83007"/>
    <w:rsid w:val="00E83014"/>
    <w:rsid w:val="00E833B9"/>
    <w:rsid w:val="00E840BA"/>
    <w:rsid w:val="00E84D1B"/>
    <w:rsid w:val="00E84D3B"/>
    <w:rsid w:val="00E8528D"/>
    <w:rsid w:val="00E853BE"/>
    <w:rsid w:val="00E855EF"/>
    <w:rsid w:val="00E858E1"/>
    <w:rsid w:val="00E85CED"/>
    <w:rsid w:val="00E86059"/>
    <w:rsid w:val="00E861B4"/>
    <w:rsid w:val="00E8671E"/>
    <w:rsid w:val="00E8681B"/>
    <w:rsid w:val="00E873BD"/>
    <w:rsid w:val="00E9049B"/>
    <w:rsid w:val="00E90575"/>
    <w:rsid w:val="00E90902"/>
    <w:rsid w:val="00E909E4"/>
    <w:rsid w:val="00E90C8B"/>
    <w:rsid w:val="00E90CB1"/>
    <w:rsid w:val="00E90F33"/>
    <w:rsid w:val="00E918DB"/>
    <w:rsid w:val="00E91A88"/>
    <w:rsid w:val="00E91FDB"/>
    <w:rsid w:val="00E92073"/>
    <w:rsid w:val="00E9229A"/>
    <w:rsid w:val="00E922BB"/>
    <w:rsid w:val="00E92687"/>
    <w:rsid w:val="00E927EB"/>
    <w:rsid w:val="00E92AA1"/>
    <w:rsid w:val="00E92D81"/>
    <w:rsid w:val="00E93235"/>
    <w:rsid w:val="00E938AE"/>
    <w:rsid w:val="00E93A7B"/>
    <w:rsid w:val="00E93BD6"/>
    <w:rsid w:val="00E94164"/>
    <w:rsid w:val="00E9430D"/>
    <w:rsid w:val="00E94663"/>
    <w:rsid w:val="00E9531A"/>
    <w:rsid w:val="00E95B8D"/>
    <w:rsid w:val="00E95E20"/>
    <w:rsid w:val="00E9606B"/>
    <w:rsid w:val="00E96915"/>
    <w:rsid w:val="00E96DF4"/>
    <w:rsid w:val="00E97169"/>
    <w:rsid w:val="00E972F2"/>
    <w:rsid w:val="00E9750A"/>
    <w:rsid w:val="00E9754D"/>
    <w:rsid w:val="00E97ACE"/>
    <w:rsid w:val="00E97AE5"/>
    <w:rsid w:val="00EA09C4"/>
    <w:rsid w:val="00EA139A"/>
    <w:rsid w:val="00EA1A16"/>
    <w:rsid w:val="00EA1B24"/>
    <w:rsid w:val="00EA20EB"/>
    <w:rsid w:val="00EA27BE"/>
    <w:rsid w:val="00EA2B80"/>
    <w:rsid w:val="00EA2C40"/>
    <w:rsid w:val="00EA2D50"/>
    <w:rsid w:val="00EA2EA0"/>
    <w:rsid w:val="00EA39C1"/>
    <w:rsid w:val="00EA3CAC"/>
    <w:rsid w:val="00EA4080"/>
    <w:rsid w:val="00EA4A30"/>
    <w:rsid w:val="00EA4D92"/>
    <w:rsid w:val="00EA4DB0"/>
    <w:rsid w:val="00EA4DE1"/>
    <w:rsid w:val="00EA4EFA"/>
    <w:rsid w:val="00EA515B"/>
    <w:rsid w:val="00EA5323"/>
    <w:rsid w:val="00EA536C"/>
    <w:rsid w:val="00EA537D"/>
    <w:rsid w:val="00EA5832"/>
    <w:rsid w:val="00EA5ACC"/>
    <w:rsid w:val="00EA5E73"/>
    <w:rsid w:val="00EA617E"/>
    <w:rsid w:val="00EA6CB8"/>
    <w:rsid w:val="00EA76B1"/>
    <w:rsid w:val="00EA7795"/>
    <w:rsid w:val="00EA78A5"/>
    <w:rsid w:val="00EA7B8F"/>
    <w:rsid w:val="00EB0183"/>
    <w:rsid w:val="00EB055F"/>
    <w:rsid w:val="00EB0C9B"/>
    <w:rsid w:val="00EB0DD9"/>
    <w:rsid w:val="00EB159A"/>
    <w:rsid w:val="00EB1C47"/>
    <w:rsid w:val="00EB2160"/>
    <w:rsid w:val="00EB262B"/>
    <w:rsid w:val="00EB2761"/>
    <w:rsid w:val="00EB27E7"/>
    <w:rsid w:val="00EB2B53"/>
    <w:rsid w:val="00EB36B5"/>
    <w:rsid w:val="00EB3A08"/>
    <w:rsid w:val="00EB3A6F"/>
    <w:rsid w:val="00EB4046"/>
    <w:rsid w:val="00EB43E0"/>
    <w:rsid w:val="00EB4869"/>
    <w:rsid w:val="00EB489F"/>
    <w:rsid w:val="00EB4A1A"/>
    <w:rsid w:val="00EB4A73"/>
    <w:rsid w:val="00EB4AA6"/>
    <w:rsid w:val="00EB4C26"/>
    <w:rsid w:val="00EB51C3"/>
    <w:rsid w:val="00EB5811"/>
    <w:rsid w:val="00EB58B9"/>
    <w:rsid w:val="00EB5FE9"/>
    <w:rsid w:val="00EB6153"/>
    <w:rsid w:val="00EB634B"/>
    <w:rsid w:val="00EB67F6"/>
    <w:rsid w:val="00EB6DB3"/>
    <w:rsid w:val="00EB6DCF"/>
    <w:rsid w:val="00EB725A"/>
    <w:rsid w:val="00EB7597"/>
    <w:rsid w:val="00EB7607"/>
    <w:rsid w:val="00EB7B08"/>
    <w:rsid w:val="00EC021A"/>
    <w:rsid w:val="00EC0265"/>
    <w:rsid w:val="00EC0BDF"/>
    <w:rsid w:val="00EC0FA4"/>
    <w:rsid w:val="00EC1105"/>
    <w:rsid w:val="00EC134F"/>
    <w:rsid w:val="00EC14B6"/>
    <w:rsid w:val="00EC1C25"/>
    <w:rsid w:val="00EC231E"/>
    <w:rsid w:val="00EC2514"/>
    <w:rsid w:val="00EC276B"/>
    <w:rsid w:val="00EC2918"/>
    <w:rsid w:val="00EC3BCF"/>
    <w:rsid w:val="00EC42EF"/>
    <w:rsid w:val="00EC4815"/>
    <w:rsid w:val="00EC4AED"/>
    <w:rsid w:val="00EC507F"/>
    <w:rsid w:val="00EC5350"/>
    <w:rsid w:val="00EC5FFB"/>
    <w:rsid w:val="00EC65CB"/>
    <w:rsid w:val="00EC68D2"/>
    <w:rsid w:val="00EC6DF5"/>
    <w:rsid w:val="00EC6E6A"/>
    <w:rsid w:val="00EC6F89"/>
    <w:rsid w:val="00EC745F"/>
    <w:rsid w:val="00EC77BC"/>
    <w:rsid w:val="00EC7A65"/>
    <w:rsid w:val="00EC7B52"/>
    <w:rsid w:val="00ED0228"/>
    <w:rsid w:val="00ED051D"/>
    <w:rsid w:val="00ED0604"/>
    <w:rsid w:val="00ED0BD7"/>
    <w:rsid w:val="00ED0BE7"/>
    <w:rsid w:val="00ED0E8C"/>
    <w:rsid w:val="00ED11F0"/>
    <w:rsid w:val="00ED158A"/>
    <w:rsid w:val="00ED27EC"/>
    <w:rsid w:val="00ED291A"/>
    <w:rsid w:val="00ED2A97"/>
    <w:rsid w:val="00ED3076"/>
    <w:rsid w:val="00ED3092"/>
    <w:rsid w:val="00ED34D6"/>
    <w:rsid w:val="00ED3A2D"/>
    <w:rsid w:val="00ED3B47"/>
    <w:rsid w:val="00ED4174"/>
    <w:rsid w:val="00ED4587"/>
    <w:rsid w:val="00ED4B9F"/>
    <w:rsid w:val="00ED4CD3"/>
    <w:rsid w:val="00ED5226"/>
    <w:rsid w:val="00ED56A5"/>
    <w:rsid w:val="00ED5A46"/>
    <w:rsid w:val="00ED5A5C"/>
    <w:rsid w:val="00ED5E2B"/>
    <w:rsid w:val="00ED606D"/>
    <w:rsid w:val="00ED6785"/>
    <w:rsid w:val="00ED6F7C"/>
    <w:rsid w:val="00ED78BC"/>
    <w:rsid w:val="00ED78E1"/>
    <w:rsid w:val="00ED7C44"/>
    <w:rsid w:val="00ED7F77"/>
    <w:rsid w:val="00EE02DF"/>
    <w:rsid w:val="00EE0461"/>
    <w:rsid w:val="00EE0FB8"/>
    <w:rsid w:val="00EE1392"/>
    <w:rsid w:val="00EE17E1"/>
    <w:rsid w:val="00EE1B6D"/>
    <w:rsid w:val="00EE28A7"/>
    <w:rsid w:val="00EE28F9"/>
    <w:rsid w:val="00EE35FE"/>
    <w:rsid w:val="00EE3631"/>
    <w:rsid w:val="00EE3749"/>
    <w:rsid w:val="00EE3D8D"/>
    <w:rsid w:val="00EE4301"/>
    <w:rsid w:val="00EE4A2A"/>
    <w:rsid w:val="00EE532B"/>
    <w:rsid w:val="00EE56F6"/>
    <w:rsid w:val="00EE6825"/>
    <w:rsid w:val="00EE6ABD"/>
    <w:rsid w:val="00EE6B4F"/>
    <w:rsid w:val="00EE6CD1"/>
    <w:rsid w:val="00EE72C2"/>
    <w:rsid w:val="00EE73B1"/>
    <w:rsid w:val="00EE7C5D"/>
    <w:rsid w:val="00EE7F92"/>
    <w:rsid w:val="00EF02AF"/>
    <w:rsid w:val="00EF0E8F"/>
    <w:rsid w:val="00EF147D"/>
    <w:rsid w:val="00EF149E"/>
    <w:rsid w:val="00EF15DC"/>
    <w:rsid w:val="00EF1B12"/>
    <w:rsid w:val="00EF1D2F"/>
    <w:rsid w:val="00EF1E6C"/>
    <w:rsid w:val="00EF2034"/>
    <w:rsid w:val="00EF2195"/>
    <w:rsid w:val="00EF2EC2"/>
    <w:rsid w:val="00EF32A7"/>
    <w:rsid w:val="00EF391D"/>
    <w:rsid w:val="00EF496E"/>
    <w:rsid w:val="00EF4B89"/>
    <w:rsid w:val="00EF5555"/>
    <w:rsid w:val="00EF555E"/>
    <w:rsid w:val="00EF585A"/>
    <w:rsid w:val="00EF5DA5"/>
    <w:rsid w:val="00EF630A"/>
    <w:rsid w:val="00EF64C0"/>
    <w:rsid w:val="00EF6D9E"/>
    <w:rsid w:val="00EF6F4B"/>
    <w:rsid w:val="00EF708D"/>
    <w:rsid w:val="00EF70EE"/>
    <w:rsid w:val="00EF72D0"/>
    <w:rsid w:val="00EF7843"/>
    <w:rsid w:val="00EF78F9"/>
    <w:rsid w:val="00EF79C1"/>
    <w:rsid w:val="00EF7CEF"/>
    <w:rsid w:val="00EF7DCA"/>
    <w:rsid w:val="00F00B5A"/>
    <w:rsid w:val="00F01227"/>
    <w:rsid w:val="00F0124F"/>
    <w:rsid w:val="00F013A4"/>
    <w:rsid w:val="00F014F8"/>
    <w:rsid w:val="00F015BE"/>
    <w:rsid w:val="00F01CC7"/>
    <w:rsid w:val="00F02351"/>
    <w:rsid w:val="00F02716"/>
    <w:rsid w:val="00F027F1"/>
    <w:rsid w:val="00F02EA8"/>
    <w:rsid w:val="00F03072"/>
    <w:rsid w:val="00F034B7"/>
    <w:rsid w:val="00F03745"/>
    <w:rsid w:val="00F0387D"/>
    <w:rsid w:val="00F03ACA"/>
    <w:rsid w:val="00F04018"/>
    <w:rsid w:val="00F04193"/>
    <w:rsid w:val="00F041C9"/>
    <w:rsid w:val="00F041FB"/>
    <w:rsid w:val="00F04586"/>
    <w:rsid w:val="00F0464F"/>
    <w:rsid w:val="00F04781"/>
    <w:rsid w:val="00F04BFC"/>
    <w:rsid w:val="00F0558B"/>
    <w:rsid w:val="00F058CC"/>
    <w:rsid w:val="00F05DA4"/>
    <w:rsid w:val="00F06FE2"/>
    <w:rsid w:val="00F07042"/>
    <w:rsid w:val="00F07059"/>
    <w:rsid w:val="00F07114"/>
    <w:rsid w:val="00F07918"/>
    <w:rsid w:val="00F07B74"/>
    <w:rsid w:val="00F1023A"/>
    <w:rsid w:val="00F10253"/>
    <w:rsid w:val="00F10517"/>
    <w:rsid w:val="00F1105A"/>
    <w:rsid w:val="00F115B6"/>
    <w:rsid w:val="00F1166A"/>
    <w:rsid w:val="00F11678"/>
    <w:rsid w:val="00F117D6"/>
    <w:rsid w:val="00F12226"/>
    <w:rsid w:val="00F12C4B"/>
    <w:rsid w:val="00F12DD4"/>
    <w:rsid w:val="00F13B53"/>
    <w:rsid w:val="00F13C7F"/>
    <w:rsid w:val="00F13DC0"/>
    <w:rsid w:val="00F141D8"/>
    <w:rsid w:val="00F14BF4"/>
    <w:rsid w:val="00F14CB5"/>
    <w:rsid w:val="00F150B9"/>
    <w:rsid w:val="00F1583E"/>
    <w:rsid w:val="00F15911"/>
    <w:rsid w:val="00F16B5E"/>
    <w:rsid w:val="00F172B4"/>
    <w:rsid w:val="00F175F4"/>
    <w:rsid w:val="00F2000D"/>
    <w:rsid w:val="00F2013D"/>
    <w:rsid w:val="00F2016C"/>
    <w:rsid w:val="00F20421"/>
    <w:rsid w:val="00F209FA"/>
    <w:rsid w:val="00F20CD5"/>
    <w:rsid w:val="00F21394"/>
    <w:rsid w:val="00F217B7"/>
    <w:rsid w:val="00F21BA1"/>
    <w:rsid w:val="00F222DF"/>
    <w:rsid w:val="00F2285C"/>
    <w:rsid w:val="00F2358B"/>
    <w:rsid w:val="00F235F0"/>
    <w:rsid w:val="00F23AB4"/>
    <w:rsid w:val="00F23D6C"/>
    <w:rsid w:val="00F24662"/>
    <w:rsid w:val="00F24D69"/>
    <w:rsid w:val="00F24D7C"/>
    <w:rsid w:val="00F24DE3"/>
    <w:rsid w:val="00F2557B"/>
    <w:rsid w:val="00F255F9"/>
    <w:rsid w:val="00F25762"/>
    <w:rsid w:val="00F258CF"/>
    <w:rsid w:val="00F25B2B"/>
    <w:rsid w:val="00F25EED"/>
    <w:rsid w:val="00F26369"/>
    <w:rsid w:val="00F26380"/>
    <w:rsid w:val="00F26FB0"/>
    <w:rsid w:val="00F27093"/>
    <w:rsid w:val="00F2716E"/>
    <w:rsid w:val="00F2799B"/>
    <w:rsid w:val="00F27F04"/>
    <w:rsid w:val="00F3003D"/>
    <w:rsid w:val="00F300CD"/>
    <w:rsid w:val="00F30655"/>
    <w:rsid w:val="00F306CD"/>
    <w:rsid w:val="00F30BF3"/>
    <w:rsid w:val="00F31919"/>
    <w:rsid w:val="00F31BEA"/>
    <w:rsid w:val="00F31C29"/>
    <w:rsid w:val="00F321C2"/>
    <w:rsid w:val="00F32E30"/>
    <w:rsid w:val="00F3317F"/>
    <w:rsid w:val="00F33AF6"/>
    <w:rsid w:val="00F348B8"/>
    <w:rsid w:val="00F348CD"/>
    <w:rsid w:val="00F34B03"/>
    <w:rsid w:val="00F34E10"/>
    <w:rsid w:val="00F34F44"/>
    <w:rsid w:val="00F35159"/>
    <w:rsid w:val="00F35574"/>
    <w:rsid w:val="00F3611B"/>
    <w:rsid w:val="00F36553"/>
    <w:rsid w:val="00F3659F"/>
    <w:rsid w:val="00F36A2E"/>
    <w:rsid w:val="00F36DA0"/>
    <w:rsid w:val="00F37685"/>
    <w:rsid w:val="00F3773D"/>
    <w:rsid w:val="00F37784"/>
    <w:rsid w:val="00F37A0F"/>
    <w:rsid w:val="00F37BE8"/>
    <w:rsid w:val="00F40006"/>
    <w:rsid w:val="00F4045B"/>
    <w:rsid w:val="00F4072D"/>
    <w:rsid w:val="00F40F62"/>
    <w:rsid w:val="00F414E5"/>
    <w:rsid w:val="00F41A3D"/>
    <w:rsid w:val="00F41C0A"/>
    <w:rsid w:val="00F424D0"/>
    <w:rsid w:val="00F42520"/>
    <w:rsid w:val="00F426FB"/>
    <w:rsid w:val="00F42C6A"/>
    <w:rsid w:val="00F42EF8"/>
    <w:rsid w:val="00F43029"/>
    <w:rsid w:val="00F432C7"/>
    <w:rsid w:val="00F4336C"/>
    <w:rsid w:val="00F43752"/>
    <w:rsid w:val="00F44071"/>
    <w:rsid w:val="00F440C8"/>
    <w:rsid w:val="00F440ED"/>
    <w:rsid w:val="00F44334"/>
    <w:rsid w:val="00F4459C"/>
    <w:rsid w:val="00F447A4"/>
    <w:rsid w:val="00F44807"/>
    <w:rsid w:val="00F44C57"/>
    <w:rsid w:val="00F458FF"/>
    <w:rsid w:val="00F467D8"/>
    <w:rsid w:val="00F46BCE"/>
    <w:rsid w:val="00F47177"/>
    <w:rsid w:val="00F47270"/>
    <w:rsid w:val="00F475FA"/>
    <w:rsid w:val="00F478EE"/>
    <w:rsid w:val="00F47A8E"/>
    <w:rsid w:val="00F47C1F"/>
    <w:rsid w:val="00F47D73"/>
    <w:rsid w:val="00F50018"/>
    <w:rsid w:val="00F50326"/>
    <w:rsid w:val="00F50660"/>
    <w:rsid w:val="00F511CE"/>
    <w:rsid w:val="00F51F62"/>
    <w:rsid w:val="00F52717"/>
    <w:rsid w:val="00F52EB1"/>
    <w:rsid w:val="00F531B6"/>
    <w:rsid w:val="00F535E7"/>
    <w:rsid w:val="00F536A1"/>
    <w:rsid w:val="00F53902"/>
    <w:rsid w:val="00F53C8A"/>
    <w:rsid w:val="00F53F0F"/>
    <w:rsid w:val="00F5417A"/>
    <w:rsid w:val="00F54270"/>
    <w:rsid w:val="00F550E8"/>
    <w:rsid w:val="00F55242"/>
    <w:rsid w:val="00F5577E"/>
    <w:rsid w:val="00F55D2F"/>
    <w:rsid w:val="00F56762"/>
    <w:rsid w:val="00F56A04"/>
    <w:rsid w:val="00F56EF7"/>
    <w:rsid w:val="00F5768C"/>
    <w:rsid w:val="00F57AA6"/>
    <w:rsid w:val="00F6082D"/>
    <w:rsid w:val="00F6083F"/>
    <w:rsid w:val="00F608C9"/>
    <w:rsid w:val="00F60BA3"/>
    <w:rsid w:val="00F6133B"/>
    <w:rsid w:val="00F61617"/>
    <w:rsid w:val="00F62121"/>
    <w:rsid w:val="00F623FC"/>
    <w:rsid w:val="00F62AC3"/>
    <w:rsid w:val="00F63260"/>
    <w:rsid w:val="00F634BE"/>
    <w:rsid w:val="00F634F6"/>
    <w:rsid w:val="00F635E3"/>
    <w:rsid w:val="00F63DB2"/>
    <w:rsid w:val="00F6435C"/>
    <w:rsid w:val="00F6448F"/>
    <w:rsid w:val="00F644ED"/>
    <w:rsid w:val="00F647BE"/>
    <w:rsid w:val="00F65258"/>
    <w:rsid w:val="00F658A4"/>
    <w:rsid w:val="00F659C0"/>
    <w:rsid w:val="00F65CF0"/>
    <w:rsid w:val="00F662E3"/>
    <w:rsid w:val="00F67DA8"/>
    <w:rsid w:val="00F67FF4"/>
    <w:rsid w:val="00F705DB"/>
    <w:rsid w:val="00F705DD"/>
    <w:rsid w:val="00F708C2"/>
    <w:rsid w:val="00F70E9E"/>
    <w:rsid w:val="00F715F8"/>
    <w:rsid w:val="00F7169A"/>
    <w:rsid w:val="00F716CA"/>
    <w:rsid w:val="00F71853"/>
    <w:rsid w:val="00F7193B"/>
    <w:rsid w:val="00F71A1E"/>
    <w:rsid w:val="00F71F2B"/>
    <w:rsid w:val="00F72149"/>
    <w:rsid w:val="00F7236B"/>
    <w:rsid w:val="00F7238E"/>
    <w:rsid w:val="00F723D6"/>
    <w:rsid w:val="00F72A2E"/>
    <w:rsid w:val="00F72AD7"/>
    <w:rsid w:val="00F72C3E"/>
    <w:rsid w:val="00F72C88"/>
    <w:rsid w:val="00F72F15"/>
    <w:rsid w:val="00F73256"/>
    <w:rsid w:val="00F733AF"/>
    <w:rsid w:val="00F7388D"/>
    <w:rsid w:val="00F738EE"/>
    <w:rsid w:val="00F73D93"/>
    <w:rsid w:val="00F750D4"/>
    <w:rsid w:val="00F752EE"/>
    <w:rsid w:val="00F753F4"/>
    <w:rsid w:val="00F75DCF"/>
    <w:rsid w:val="00F7639E"/>
    <w:rsid w:val="00F76555"/>
    <w:rsid w:val="00F7684E"/>
    <w:rsid w:val="00F76AAF"/>
    <w:rsid w:val="00F76FB9"/>
    <w:rsid w:val="00F77116"/>
    <w:rsid w:val="00F7793E"/>
    <w:rsid w:val="00F77FA8"/>
    <w:rsid w:val="00F80373"/>
    <w:rsid w:val="00F80D23"/>
    <w:rsid w:val="00F80D6E"/>
    <w:rsid w:val="00F813C7"/>
    <w:rsid w:val="00F819FA"/>
    <w:rsid w:val="00F81CCF"/>
    <w:rsid w:val="00F81D09"/>
    <w:rsid w:val="00F81F7A"/>
    <w:rsid w:val="00F81FE2"/>
    <w:rsid w:val="00F8214B"/>
    <w:rsid w:val="00F832D9"/>
    <w:rsid w:val="00F8331B"/>
    <w:rsid w:val="00F83325"/>
    <w:rsid w:val="00F838A0"/>
    <w:rsid w:val="00F83EA1"/>
    <w:rsid w:val="00F849AC"/>
    <w:rsid w:val="00F84C21"/>
    <w:rsid w:val="00F84DEA"/>
    <w:rsid w:val="00F84E2C"/>
    <w:rsid w:val="00F85082"/>
    <w:rsid w:val="00F85275"/>
    <w:rsid w:val="00F85581"/>
    <w:rsid w:val="00F85A45"/>
    <w:rsid w:val="00F85F79"/>
    <w:rsid w:val="00F86353"/>
    <w:rsid w:val="00F866C3"/>
    <w:rsid w:val="00F87015"/>
    <w:rsid w:val="00F87B8F"/>
    <w:rsid w:val="00F87D1C"/>
    <w:rsid w:val="00F902F5"/>
    <w:rsid w:val="00F90338"/>
    <w:rsid w:val="00F90417"/>
    <w:rsid w:val="00F90626"/>
    <w:rsid w:val="00F90963"/>
    <w:rsid w:val="00F90A6A"/>
    <w:rsid w:val="00F90B90"/>
    <w:rsid w:val="00F91295"/>
    <w:rsid w:val="00F912D4"/>
    <w:rsid w:val="00F913CC"/>
    <w:rsid w:val="00F91881"/>
    <w:rsid w:val="00F91924"/>
    <w:rsid w:val="00F91B4C"/>
    <w:rsid w:val="00F91BD5"/>
    <w:rsid w:val="00F926D9"/>
    <w:rsid w:val="00F927B7"/>
    <w:rsid w:val="00F92873"/>
    <w:rsid w:val="00F928FA"/>
    <w:rsid w:val="00F92B81"/>
    <w:rsid w:val="00F92D8F"/>
    <w:rsid w:val="00F930C9"/>
    <w:rsid w:val="00F930E8"/>
    <w:rsid w:val="00F93138"/>
    <w:rsid w:val="00F9380B"/>
    <w:rsid w:val="00F939BC"/>
    <w:rsid w:val="00F93F65"/>
    <w:rsid w:val="00F9411A"/>
    <w:rsid w:val="00F9487B"/>
    <w:rsid w:val="00F949F1"/>
    <w:rsid w:val="00F94AFE"/>
    <w:rsid w:val="00F95259"/>
    <w:rsid w:val="00F958A4"/>
    <w:rsid w:val="00F95E49"/>
    <w:rsid w:val="00F95F45"/>
    <w:rsid w:val="00F961DD"/>
    <w:rsid w:val="00F968A0"/>
    <w:rsid w:val="00F96B8C"/>
    <w:rsid w:val="00F96CE8"/>
    <w:rsid w:val="00F9722D"/>
    <w:rsid w:val="00F9742E"/>
    <w:rsid w:val="00F977B6"/>
    <w:rsid w:val="00F97AA3"/>
    <w:rsid w:val="00FA00BE"/>
    <w:rsid w:val="00FA045D"/>
    <w:rsid w:val="00FA06F6"/>
    <w:rsid w:val="00FA07CB"/>
    <w:rsid w:val="00FA08CD"/>
    <w:rsid w:val="00FA0C1F"/>
    <w:rsid w:val="00FA0D0D"/>
    <w:rsid w:val="00FA0ECD"/>
    <w:rsid w:val="00FA1372"/>
    <w:rsid w:val="00FA1596"/>
    <w:rsid w:val="00FA17D1"/>
    <w:rsid w:val="00FA1A2B"/>
    <w:rsid w:val="00FA1B11"/>
    <w:rsid w:val="00FA210E"/>
    <w:rsid w:val="00FA2B60"/>
    <w:rsid w:val="00FA2DAE"/>
    <w:rsid w:val="00FA2EA7"/>
    <w:rsid w:val="00FA3406"/>
    <w:rsid w:val="00FA3408"/>
    <w:rsid w:val="00FA352B"/>
    <w:rsid w:val="00FA3B02"/>
    <w:rsid w:val="00FA408A"/>
    <w:rsid w:val="00FA48EC"/>
    <w:rsid w:val="00FA495E"/>
    <w:rsid w:val="00FA4CFC"/>
    <w:rsid w:val="00FA4D04"/>
    <w:rsid w:val="00FA4F67"/>
    <w:rsid w:val="00FA5067"/>
    <w:rsid w:val="00FA5DA6"/>
    <w:rsid w:val="00FA6157"/>
    <w:rsid w:val="00FA65A7"/>
    <w:rsid w:val="00FA6F96"/>
    <w:rsid w:val="00FA70D2"/>
    <w:rsid w:val="00FA7210"/>
    <w:rsid w:val="00FA7515"/>
    <w:rsid w:val="00FA7C0F"/>
    <w:rsid w:val="00FB033E"/>
    <w:rsid w:val="00FB092A"/>
    <w:rsid w:val="00FB0D48"/>
    <w:rsid w:val="00FB1252"/>
    <w:rsid w:val="00FB1667"/>
    <w:rsid w:val="00FB278E"/>
    <w:rsid w:val="00FB311A"/>
    <w:rsid w:val="00FB3CEC"/>
    <w:rsid w:val="00FB3D4F"/>
    <w:rsid w:val="00FB4188"/>
    <w:rsid w:val="00FB42DB"/>
    <w:rsid w:val="00FB441F"/>
    <w:rsid w:val="00FB463A"/>
    <w:rsid w:val="00FB4D21"/>
    <w:rsid w:val="00FB4F30"/>
    <w:rsid w:val="00FB625E"/>
    <w:rsid w:val="00FB62AD"/>
    <w:rsid w:val="00FB69E7"/>
    <w:rsid w:val="00FB6DCA"/>
    <w:rsid w:val="00FB6F77"/>
    <w:rsid w:val="00FB7931"/>
    <w:rsid w:val="00FB7D0C"/>
    <w:rsid w:val="00FB7E09"/>
    <w:rsid w:val="00FB7F72"/>
    <w:rsid w:val="00FC05E8"/>
    <w:rsid w:val="00FC089E"/>
    <w:rsid w:val="00FC1239"/>
    <w:rsid w:val="00FC19DC"/>
    <w:rsid w:val="00FC1BFF"/>
    <w:rsid w:val="00FC2703"/>
    <w:rsid w:val="00FC2CAD"/>
    <w:rsid w:val="00FC304F"/>
    <w:rsid w:val="00FC322B"/>
    <w:rsid w:val="00FC32C2"/>
    <w:rsid w:val="00FC3609"/>
    <w:rsid w:val="00FC3631"/>
    <w:rsid w:val="00FC3725"/>
    <w:rsid w:val="00FC3E16"/>
    <w:rsid w:val="00FC4314"/>
    <w:rsid w:val="00FC4434"/>
    <w:rsid w:val="00FC4728"/>
    <w:rsid w:val="00FC4DCF"/>
    <w:rsid w:val="00FC4E27"/>
    <w:rsid w:val="00FC512C"/>
    <w:rsid w:val="00FC551D"/>
    <w:rsid w:val="00FC57B7"/>
    <w:rsid w:val="00FC5BC1"/>
    <w:rsid w:val="00FC67A4"/>
    <w:rsid w:val="00FC6C48"/>
    <w:rsid w:val="00FD03DB"/>
    <w:rsid w:val="00FD0CBD"/>
    <w:rsid w:val="00FD0D92"/>
    <w:rsid w:val="00FD0E44"/>
    <w:rsid w:val="00FD1DF1"/>
    <w:rsid w:val="00FD2CAB"/>
    <w:rsid w:val="00FD335C"/>
    <w:rsid w:val="00FD3497"/>
    <w:rsid w:val="00FD352A"/>
    <w:rsid w:val="00FD35F1"/>
    <w:rsid w:val="00FD38C0"/>
    <w:rsid w:val="00FD3BF4"/>
    <w:rsid w:val="00FD3D21"/>
    <w:rsid w:val="00FD3E82"/>
    <w:rsid w:val="00FD403D"/>
    <w:rsid w:val="00FD43C4"/>
    <w:rsid w:val="00FD45BB"/>
    <w:rsid w:val="00FD465F"/>
    <w:rsid w:val="00FD59F5"/>
    <w:rsid w:val="00FD5E70"/>
    <w:rsid w:val="00FD6156"/>
    <w:rsid w:val="00FD633B"/>
    <w:rsid w:val="00FD64D9"/>
    <w:rsid w:val="00FD6958"/>
    <w:rsid w:val="00FD6AAA"/>
    <w:rsid w:val="00FD6B53"/>
    <w:rsid w:val="00FD6DF4"/>
    <w:rsid w:val="00FD6F41"/>
    <w:rsid w:val="00FD73E6"/>
    <w:rsid w:val="00FD78BE"/>
    <w:rsid w:val="00FD7D3F"/>
    <w:rsid w:val="00FE0039"/>
    <w:rsid w:val="00FE088F"/>
    <w:rsid w:val="00FE1431"/>
    <w:rsid w:val="00FE17A1"/>
    <w:rsid w:val="00FE1B24"/>
    <w:rsid w:val="00FE1CA6"/>
    <w:rsid w:val="00FE1DF9"/>
    <w:rsid w:val="00FE1E82"/>
    <w:rsid w:val="00FE2120"/>
    <w:rsid w:val="00FE2251"/>
    <w:rsid w:val="00FE263F"/>
    <w:rsid w:val="00FE2996"/>
    <w:rsid w:val="00FE29A5"/>
    <w:rsid w:val="00FE29D1"/>
    <w:rsid w:val="00FE29E8"/>
    <w:rsid w:val="00FE2A6A"/>
    <w:rsid w:val="00FE2B62"/>
    <w:rsid w:val="00FE2E0F"/>
    <w:rsid w:val="00FE2E4E"/>
    <w:rsid w:val="00FE34F9"/>
    <w:rsid w:val="00FE3586"/>
    <w:rsid w:val="00FE358E"/>
    <w:rsid w:val="00FE385C"/>
    <w:rsid w:val="00FE3AC4"/>
    <w:rsid w:val="00FE3F58"/>
    <w:rsid w:val="00FE476F"/>
    <w:rsid w:val="00FE47C8"/>
    <w:rsid w:val="00FE5AEA"/>
    <w:rsid w:val="00FE5B66"/>
    <w:rsid w:val="00FE5D16"/>
    <w:rsid w:val="00FE6DEB"/>
    <w:rsid w:val="00FE705A"/>
    <w:rsid w:val="00FE7181"/>
    <w:rsid w:val="00FE7196"/>
    <w:rsid w:val="00FE7643"/>
    <w:rsid w:val="00FE7BBF"/>
    <w:rsid w:val="00FF0622"/>
    <w:rsid w:val="00FF1024"/>
    <w:rsid w:val="00FF108D"/>
    <w:rsid w:val="00FF15C3"/>
    <w:rsid w:val="00FF1610"/>
    <w:rsid w:val="00FF189E"/>
    <w:rsid w:val="00FF1A44"/>
    <w:rsid w:val="00FF1A58"/>
    <w:rsid w:val="00FF1AE8"/>
    <w:rsid w:val="00FF25BD"/>
    <w:rsid w:val="00FF2BC2"/>
    <w:rsid w:val="00FF3468"/>
    <w:rsid w:val="00FF5039"/>
    <w:rsid w:val="00FF5066"/>
    <w:rsid w:val="00FF525B"/>
    <w:rsid w:val="00FF541C"/>
    <w:rsid w:val="00FF5742"/>
    <w:rsid w:val="00FF5B6F"/>
    <w:rsid w:val="00FF5EEC"/>
    <w:rsid w:val="00FF6291"/>
    <w:rsid w:val="00FF652D"/>
    <w:rsid w:val="00FF6628"/>
    <w:rsid w:val="00FF709F"/>
    <w:rsid w:val="00FF7D9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1" style="mso-height-percent:200;mso-width-relative:margin;mso-height-relative:margin" fillcolor="none [3212]" strokecolor="none [3212]">
      <v:fill color="none [3212]"/>
      <v:stroke color="none [3212]"/>
      <v:textbox style="mso-fit-shape-to-text:t"/>
      <o:colormru v:ext="edit" colors="#002663,#e36f1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endnote text" w:uiPriority="0"/>
    <w:lsdException w:name="List Number" w:uiPriority="0"/>
    <w:lsdException w:name="Title" w:semiHidden="0" w:uiPriority="0" w:unhideWhenUsed="0"/>
    <w:lsdException w:name="Default Paragraph Font" w:uiPriority="1"/>
    <w:lsdException w:name="Body Text" w:semiHidden="0" w:uiPriority="0" w:unhideWhenUsed="0" w:qFormat="1"/>
    <w:lsdException w:name="Subtitle" w:semiHidden="0" w:uiPriority="0" w:unhideWhenUsed="0"/>
    <w:lsdException w:name="Block Text" w:unhideWhenUsed="0"/>
    <w:lsdException w:name="Hyperlink" w:uiPriority="0"/>
    <w:lsdException w:name="Strong" w:uiPriority="22" w:unhideWhenUsed="0"/>
    <w:lsdException w:name="Emphasis" w:uiPriority="20"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semiHidden/>
    <w:qFormat/>
    <w:rsid w:val="0099799C"/>
    <w:pPr>
      <w:spacing w:before="120" w:after="120" w:line="280" w:lineRule="atLeast"/>
      <w:jc w:val="both"/>
    </w:pPr>
    <w:rPr>
      <w:rFonts w:ascii="Calibri" w:eastAsiaTheme="minorEastAsia" w:hAnsi="Calibri"/>
      <w:lang w:eastAsia="en-NZ"/>
    </w:rPr>
  </w:style>
  <w:style w:type="paragraph" w:styleId="Heading1">
    <w:name w:val="heading 1"/>
    <w:basedOn w:val="Normal"/>
    <w:next w:val="BodyText"/>
    <w:link w:val="Heading1Char"/>
    <w:qFormat/>
    <w:rsid w:val="00F235F0"/>
    <w:pPr>
      <w:keepNext/>
      <w:keepLines/>
      <w:tabs>
        <w:tab w:val="left" w:pos="851"/>
      </w:tabs>
      <w:spacing w:before="0" w:after="360" w:line="240" w:lineRule="auto"/>
      <w:jc w:val="left"/>
      <w:outlineLvl w:val="0"/>
    </w:pPr>
    <w:rPr>
      <w:rFonts w:eastAsiaTheme="majorEastAsia" w:cstheme="majorBidi"/>
      <w:b/>
      <w:bCs/>
      <w:color w:val="17556C"/>
      <w:sz w:val="48"/>
      <w:szCs w:val="28"/>
    </w:rPr>
  </w:style>
  <w:style w:type="paragraph" w:styleId="Heading2">
    <w:name w:val="heading 2"/>
    <w:basedOn w:val="Normal"/>
    <w:next w:val="Normal"/>
    <w:link w:val="Heading2Char"/>
    <w:qFormat/>
    <w:rsid w:val="00C13BEC"/>
    <w:pPr>
      <w:keepNext/>
      <w:keepLines/>
      <w:tabs>
        <w:tab w:val="left" w:pos="737"/>
      </w:tabs>
      <w:spacing w:before="360" w:after="0" w:line="240" w:lineRule="auto"/>
      <w:jc w:val="left"/>
      <w:outlineLvl w:val="1"/>
    </w:pPr>
    <w:rPr>
      <w:rFonts w:eastAsiaTheme="majorEastAsia" w:cstheme="majorBidi"/>
      <w:b/>
      <w:bCs/>
      <w:color w:val="267999"/>
      <w:sz w:val="32"/>
      <w:szCs w:val="26"/>
    </w:rPr>
  </w:style>
  <w:style w:type="paragraph" w:styleId="Heading3">
    <w:name w:val="heading 3"/>
    <w:basedOn w:val="Normal"/>
    <w:next w:val="Normal"/>
    <w:link w:val="Heading3Char"/>
    <w:qFormat/>
    <w:rsid w:val="00F235F0"/>
    <w:pPr>
      <w:keepNext/>
      <w:keepLines/>
      <w:tabs>
        <w:tab w:val="left" w:pos="851"/>
      </w:tabs>
      <w:spacing w:before="360" w:after="0" w:line="240" w:lineRule="auto"/>
      <w:jc w:val="left"/>
      <w:outlineLvl w:val="2"/>
    </w:pPr>
    <w:rPr>
      <w:rFonts w:eastAsiaTheme="majorEastAsia" w:cstheme="majorBidi"/>
      <w:b/>
      <w:bCs/>
      <w:color w:val="183C47"/>
      <w:sz w:val="28"/>
    </w:rPr>
  </w:style>
  <w:style w:type="paragraph" w:styleId="Heading4">
    <w:name w:val="heading 4"/>
    <w:basedOn w:val="Heading3"/>
    <w:next w:val="Normal"/>
    <w:link w:val="Heading4Char"/>
    <w:qFormat/>
    <w:rsid w:val="006B02C3"/>
    <w:pPr>
      <w:spacing w:before="240"/>
      <w:outlineLvl w:val="3"/>
    </w:pPr>
    <w:rPr>
      <w:color w:val="006C67"/>
      <w:sz w:val="24"/>
    </w:rPr>
  </w:style>
  <w:style w:type="paragraph" w:styleId="Heading5">
    <w:name w:val="heading 5"/>
    <w:basedOn w:val="Normal"/>
    <w:next w:val="Normal"/>
    <w:link w:val="Heading5Char"/>
    <w:qFormat/>
    <w:rsid w:val="006B491E"/>
    <w:pPr>
      <w:keepNext/>
      <w:keepLines/>
      <w:spacing w:before="360" w:after="0" w:line="240" w:lineRule="auto"/>
      <w:outlineLvl w:val="4"/>
    </w:pPr>
    <w:rPr>
      <w:rFonts w:eastAsiaTheme="majorEastAsia" w:cstheme="majorBidi"/>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27B6"/>
    <w:pPr>
      <w:jc w:val="left"/>
    </w:pPr>
  </w:style>
  <w:style w:type="character" w:customStyle="1" w:styleId="BodyTextChar">
    <w:name w:val="Body Text Char"/>
    <w:basedOn w:val="DefaultParagraphFont"/>
    <w:link w:val="BodyText"/>
    <w:rsid w:val="004E27B6"/>
    <w:rPr>
      <w:rFonts w:ascii="Calibri" w:eastAsiaTheme="minorEastAsia" w:hAnsi="Calibri"/>
      <w:lang w:eastAsia="en-NZ"/>
    </w:rPr>
  </w:style>
  <w:style w:type="character" w:customStyle="1" w:styleId="Heading1Char">
    <w:name w:val="Heading 1 Char"/>
    <w:basedOn w:val="DefaultParagraphFont"/>
    <w:link w:val="Heading1"/>
    <w:rsid w:val="00F235F0"/>
    <w:rPr>
      <w:rFonts w:ascii="Calibri" w:eastAsiaTheme="majorEastAsia" w:hAnsi="Calibri" w:cstheme="majorBidi"/>
      <w:b/>
      <w:bCs/>
      <w:color w:val="17556C"/>
      <w:sz w:val="48"/>
      <w:szCs w:val="28"/>
      <w:lang w:eastAsia="en-NZ"/>
    </w:rPr>
  </w:style>
  <w:style w:type="character" w:customStyle="1" w:styleId="Heading2Char">
    <w:name w:val="Heading 2 Char"/>
    <w:basedOn w:val="DefaultParagraphFont"/>
    <w:link w:val="Heading2"/>
    <w:rsid w:val="00C13BEC"/>
    <w:rPr>
      <w:rFonts w:ascii="Calibri" w:eastAsiaTheme="majorEastAsia" w:hAnsi="Calibri" w:cstheme="majorBidi"/>
      <w:b/>
      <w:bCs/>
      <w:color w:val="267999"/>
      <w:sz w:val="32"/>
      <w:szCs w:val="26"/>
      <w:lang w:eastAsia="en-NZ"/>
    </w:rPr>
  </w:style>
  <w:style w:type="character" w:customStyle="1" w:styleId="Heading3Char">
    <w:name w:val="Heading 3 Char"/>
    <w:basedOn w:val="DefaultParagraphFont"/>
    <w:link w:val="Heading3"/>
    <w:rsid w:val="00F235F0"/>
    <w:rPr>
      <w:rFonts w:ascii="Calibri" w:eastAsiaTheme="majorEastAsia" w:hAnsi="Calibri" w:cstheme="majorBidi"/>
      <w:b/>
      <w:bCs/>
      <w:color w:val="183C47"/>
      <w:sz w:val="28"/>
      <w:lang w:eastAsia="en-NZ"/>
    </w:rPr>
  </w:style>
  <w:style w:type="character" w:customStyle="1" w:styleId="Heading4Char">
    <w:name w:val="Heading 4 Char"/>
    <w:basedOn w:val="DefaultParagraphFont"/>
    <w:link w:val="Heading4"/>
    <w:rsid w:val="006B02C3"/>
    <w:rPr>
      <w:rFonts w:ascii="Calibri" w:eastAsiaTheme="majorEastAsia" w:hAnsi="Calibri" w:cstheme="majorBidi"/>
      <w:b/>
      <w:bCs/>
      <w:color w:val="006C67"/>
      <w:sz w:val="24"/>
      <w:lang w:eastAsia="en-NZ"/>
    </w:rPr>
  </w:style>
  <w:style w:type="character" w:customStyle="1" w:styleId="Heading5Char">
    <w:name w:val="Heading 5 Char"/>
    <w:basedOn w:val="DefaultParagraphFont"/>
    <w:link w:val="Heading5"/>
    <w:rsid w:val="006B491E"/>
    <w:rPr>
      <w:rFonts w:ascii="Calibri" w:eastAsiaTheme="majorEastAsia" w:hAnsi="Calibri" w:cstheme="majorBidi"/>
      <w:i/>
      <w:sz w:val="24"/>
      <w:lang w:eastAsia="en-NZ"/>
    </w:rPr>
  </w:style>
  <w:style w:type="paragraph" w:customStyle="1" w:styleId="Sectiontitle-lightbrown">
    <w:name w:val="Section title - light brown"/>
    <w:basedOn w:val="Sectiontitle-darkbrown"/>
    <w:next w:val="BodyText"/>
    <w:semiHidden/>
    <w:qFormat/>
    <w:rsid w:val="00D7029F"/>
    <w:rPr>
      <w:color w:val="F4D19C"/>
    </w:rPr>
  </w:style>
  <w:style w:type="paragraph" w:customStyle="1" w:styleId="Sectiontitle-darkbrown">
    <w:name w:val="Section title - dark brown"/>
    <w:basedOn w:val="Heading1"/>
    <w:semiHidden/>
    <w:qFormat/>
    <w:rsid w:val="005E32A1"/>
    <w:pPr>
      <w:keepLines w:val="0"/>
      <w:spacing w:after="0"/>
    </w:pPr>
    <w:rPr>
      <w:sz w:val="72"/>
    </w:rPr>
  </w:style>
  <w:style w:type="character" w:styleId="Hyperlink">
    <w:name w:val="Hyperlink"/>
    <w:basedOn w:val="DefaultParagraphFont"/>
    <w:rsid w:val="00B75E30"/>
    <w:rPr>
      <w:color w:val="14456E"/>
      <w:u w:val="none"/>
    </w:rPr>
  </w:style>
  <w:style w:type="table" w:styleId="TableGrid">
    <w:name w:val="Table Grid"/>
    <w:basedOn w:val="TableNormal"/>
    <w:uiPriority w:val="59"/>
    <w:rsid w:val="009B0142"/>
    <w:pPr>
      <w:spacing w:after="0" w:line="240" w:lineRule="auto"/>
    </w:pPr>
    <w:rPr>
      <w:rFonts w:eastAsiaTheme="minorEastAsia"/>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4E27B6"/>
    <w:pPr>
      <w:spacing w:before="0" w:after="60" w:line="240" w:lineRule="atLeast"/>
      <w:ind w:left="284" w:hanging="284"/>
      <w:jc w:val="left"/>
    </w:pPr>
    <w:rPr>
      <w:rFonts w:eastAsia="Times New Roman" w:cs="Times New Roman"/>
      <w:sz w:val="18"/>
      <w:szCs w:val="20"/>
      <w:lang w:val="x-none" w:eastAsia="en-US"/>
    </w:rPr>
  </w:style>
  <w:style w:type="character" w:customStyle="1" w:styleId="FootnoteTextChar">
    <w:name w:val="Footnote Text Char"/>
    <w:basedOn w:val="DefaultParagraphFont"/>
    <w:link w:val="FootnoteText"/>
    <w:rsid w:val="004E27B6"/>
    <w:rPr>
      <w:rFonts w:ascii="Calibri" w:eastAsia="Times New Roman" w:hAnsi="Calibri" w:cs="Times New Roman"/>
      <w:sz w:val="18"/>
      <w:szCs w:val="20"/>
      <w:lang w:val="x-none"/>
    </w:rPr>
  </w:style>
  <w:style w:type="character" w:styleId="FootnoteReference">
    <w:name w:val="footnote reference"/>
    <w:basedOn w:val="DefaultParagraphFont"/>
    <w:uiPriority w:val="99"/>
    <w:semiHidden/>
    <w:rsid w:val="00F440ED"/>
    <w:rPr>
      <w:rFonts w:ascii="Calibri" w:hAnsi="Calibri"/>
      <w:sz w:val="22"/>
      <w:vertAlign w:val="superscript"/>
    </w:rPr>
  </w:style>
  <w:style w:type="paragraph" w:styleId="BalloonText">
    <w:name w:val="Balloon Text"/>
    <w:basedOn w:val="Normal"/>
    <w:link w:val="BalloonTextChar"/>
    <w:uiPriority w:val="99"/>
    <w:semiHidden/>
    <w:unhideWhenUsed/>
    <w:rsid w:val="00B40E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E30"/>
    <w:rPr>
      <w:rFonts w:ascii="Tahoma" w:eastAsiaTheme="minorEastAsia" w:hAnsi="Tahoma" w:cs="Tahoma"/>
      <w:sz w:val="16"/>
      <w:szCs w:val="16"/>
      <w:lang w:eastAsia="en-NZ"/>
    </w:rPr>
  </w:style>
  <w:style w:type="paragraph" w:styleId="Title">
    <w:name w:val="Title"/>
    <w:basedOn w:val="Normal"/>
    <w:next w:val="Normal"/>
    <w:link w:val="TitleChar"/>
    <w:rsid w:val="00B579DE"/>
    <w:pPr>
      <w:spacing w:before="0" w:after="600" w:line="240" w:lineRule="auto"/>
      <w:jc w:val="left"/>
    </w:pPr>
    <w:rPr>
      <w:rFonts w:eastAsiaTheme="majorEastAsia" w:cstheme="majorBidi"/>
      <w:b/>
      <w:color w:val="17556C"/>
      <w:sz w:val="52"/>
      <w:szCs w:val="52"/>
    </w:rPr>
  </w:style>
  <w:style w:type="character" w:customStyle="1" w:styleId="TitleChar">
    <w:name w:val="Title Char"/>
    <w:basedOn w:val="DefaultParagraphFont"/>
    <w:link w:val="Title"/>
    <w:rsid w:val="00B579DE"/>
    <w:rPr>
      <w:rFonts w:ascii="Calibri" w:eastAsiaTheme="majorEastAsia" w:hAnsi="Calibri" w:cstheme="majorBidi"/>
      <w:b/>
      <w:color w:val="17556C"/>
      <w:sz w:val="52"/>
      <w:szCs w:val="52"/>
      <w:lang w:eastAsia="en-NZ"/>
    </w:rPr>
  </w:style>
  <w:style w:type="paragraph" w:customStyle="1" w:styleId="Bullet">
    <w:name w:val="Bullet"/>
    <w:basedOn w:val="Normal"/>
    <w:qFormat/>
    <w:rsid w:val="00E33215"/>
    <w:pPr>
      <w:numPr>
        <w:numId w:val="1"/>
      </w:numPr>
      <w:tabs>
        <w:tab w:val="left" w:pos="397"/>
      </w:tabs>
      <w:spacing w:before="0" w:line="280" w:lineRule="exact"/>
      <w:ind w:left="397" w:hanging="397"/>
      <w:jc w:val="left"/>
    </w:pPr>
    <w:rPr>
      <w:rFonts w:eastAsia="Times New Roman" w:cs="Times New Roman"/>
      <w:szCs w:val="20"/>
    </w:rPr>
  </w:style>
  <w:style w:type="paragraph" w:customStyle="1" w:styleId="Footereven">
    <w:name w:val="Footer even"/>
    <w:basedOn w:val="Normal"/>
    <w:rsid w:val="004E27B6"/>
    <w:pPr>
      <w:tabs>
        <w:tab w:val="left" w:pos="567"/>
      </w:tabs>
      <w:spacing w:after="0" w:line="240" w:lineRule="auto"/>
      <w:jc w:val="left"/>
    </w:pPr>
    <w:rPr>
      <w:rFonts w:eastAsia="Times New Roman" w:cs="Arial"/>
      <w:sz w:val="18"/>
      <w:szCs w:val="16"/>
      <w:lang w:eastAsia="en-US"/>
    </w:rPr>
  </w:style>
  <w:style w:type="paragraph" w:customStyle="1" w:styleId="Footerodd">
    <w:name w:val="Footer odd"/>
    <w:basedOn w:val="Normal"/>
    <w:rsid w:val="004E27B6"/>
    <w:pPr>
      <w:tabs>
        <w:tab w:val="right" w:pos="7938"/>
        <w:tab w:val="right" w:pos="8505"/>
      </w:tabs>
      <w:spacing w:after="0" w:line="240" w:lineRule="auto"/>
    </w:pPr>
    <w:rPr>
      <w:rFonts w:eastAsia="Times New Roman" w:cs="Arial"/>
      <w:sz w:val="18"/>
      <w:szCs w:val="16"/>
      <w:lang w:eastAsia="en-US"/>
    </w:rPr>
  </w:style>
  <w:style w:type="character" w:styleId="PageNumber">
    <w:name w:val="page number"/>
    <w:basedOn w:val="DefaultParagraphFont"/>
    <w:semiHidden/>
    <w:rsid w:val="005078F6"/>
    <w:rPr>
      <w:rFonts w:ascii="Arial" w:hAnsi="Arial" w:cs="Arial"/>
      <w:b/>
      <w:bCs/>
      <w:sz w:val="20"/>
      <w:szCs w:val="20"/>
    </w:rPr>
  </w:style>
  <w:style w:type="paragraph" w:customStyle="1" w:styleId="Tablebullet">
    <w:name w:val="Tablebullet"/>
    <w:basedOn w:val="Tabletext"/>
    <w:rsid w:val="00643320"/>
    <w:pPr>
      <w:numPr>
        <w:numId w:val="64"/>
      </w:numPr>
      <w:tabs>
        <w:tab w:val="clear" w:pos="397"/>
      </w:tabs>
      <w:spacing w:before="0"/>
    </w:pPr>
  </w:style>
  <w:style w:type="paragraph" w:customStyle="1" w:styleId="Tabletext">
    <w:name w:val="Tabletext"/>
    <w:basedOn w:val="Normal"/>
    <w:rsid w:val="00891AF3"/>
    <w:pPr>
      <w:tabs>
        <w:tab w:val="left" w:pos="397"/>
      </w:tabs>
      <w:spacing w:before="60" w:after="60" w:line="220" w:lineRule="atLeast"/>
      <w:jc w:val="left"/>
    </w:pPr>
    <w:rPr>
      <w:rFonts w:eastAsia="Times New Roman" w:cs="Times New Roman"/>
      <w:sz w:val="18"/>
      <w:szCs w:val="20"/>
      <w:lang w:eastAsia="en-US"/>
    </w:rPr>
  </w:style>
  <w:style w:type="paragraph" w:customStyle="1" w:styleId="TableDash">
    <w:name w:val="TableDash"/>
    <w:basedOn w:val="Tabletext"/>
    <w:rsid w:val="003521A0"/>
    <w:pPr>
      <w:numPr>
        <w:ilvl w:val="1"/>
        <w:numId w:val="2"/>
      </w:numPr>
      <w:tabs>
        <w:tab w:val="clear" w:pos="397"/>
        <w:tab w:val="clear" w:pos="567"/>
      </w:tabs>
      <w:spacing w:before="0" w:line="240" w:lineRule="auto"/>
      <w:ind w:left="454"/>
    </w:pPr>
  </w:style>
  <w:style w:type="paragraph" w:customStyle="1" w:styleId="Tablehead">
    <w:name w:val="Tablehead"/>
    <w:basedOn w:val="Normal"/>
    <w:semiHidden/>
    <w:rsid w:val="00BB2F3D"/>
    <w:pPr>
      <w:keepNext/>
      <w:spacing w:before="60" w:after="60" w:line="240" w:lineRule="auto"/>
      <w:jc w:val="left"/>
      <w:outlineLvl w:val="0"/>
    </w:pPr>
    <w:rPr>
      <w:rFonts w:eastAsia="Times New Roman" w:cs="Times New Roman"/>
      <w:b/>
      <w:bCs/>
      <w:sz w:val="18"/>
      <w:szCs w:val="20"/>
      <w:lang w:eastAsia="en-US"/>
    </w:rPr>
  </w:style>
  <w:style w:type="paragraph" w:styleId="Subtitle">
    <w:name w:val="Subtitle"/>
    <w:basedOn w:val="Normal"/>
    <w:next w:val="Normal"/>
    <w:link w:val="SubtitleChar"/>
    <w:rsid w:val="00B579DE"/>
    <w:pPr>
      <w:numPr>
        <w:ilvl w:val="1"/>
      </w:numPr>
      <w:jc w:val="left"/>
    </w:pPr>
    <w:rPr>
      <w:rFonts w:eastAsiaTheme="majorEastAsia" w:cstheme="majorBidi"/>
      <w:b/>
      <w:iCs/>
      <w:color w:val="17556C"/>
      <w:sz w:val="36"/>
      <w:szCs w:val="24"/>
    </w:rPr>
  </w:style>
  <w:style w:type="character" w:customStyle="1" w:styleId="SubtitleChar">
    <w:name w:val="Subtitle Char"/>
    <w:basedOn w:val="DefaultParagraphFont"/>
    <w:link w:val="Subtitle"/>
    <w:rsid w:val="00B579DE"/>
    <w:rPr>
      <w:rFonts w:ascii="Calibri" w:eastAsiaTheme="majorEastAsia" w:hAnsi="Calibri" w:cstheme="majorBidi"/>
      <w:b/>
      <w:iCs/>
      <w:color w:val="17556C"/>
      <w:sz w:val="36"/>
      <w:szCs w:val="24"/>
      <w:lang w:eastAsia="en-NZ"/>
    </w:rPr>
  </w:style>
  <w:style w:type="paragraph" w:customStyle="1" w:styleId="Sub-bullet">
    <w:name w:val="Sub-bullet"/>
    <w:basedOn w:val="Normal"/>
    <w:next w:val="BodyText"/>
    <w:qFormat/>
    <w:rsid w:val="00B579DE"/>
    <w:pPr>
      <w:numPr>
        <w:ilvl w:val="1"/>
        <w:numId w:val="3"/>
      </w:numPr>
      <w:tabs>
        <w:tab w:val="clear" w:pos="1440"/>
      </w:tabs>
      <w:spacing w:before="0"/>
      <w:ind w:left="794" w:hanging="397"/>
      <w:jc w:val="left"/>
    </w:pPr>
    <w:rPr>
      <w:rFonts w:eastAsia="Times New Roman" w:cs="Times New Roman"/>
    </w:rPr>
  </w:style>
  <w:style w:type="paragraph" w:styleId="Header">
    <w:name w:val="header"/>
    <w:basedOn w:val="Normal"/>
    <w:link w:val="HeaderChar"/>
    <w:uiPriority w:val="99"/>
    <w:semiHidden/>
    <w:rsid w:val="00945D28"/>
    <w:pPr>
      <w:tabs>
        <w:tab w:val="center" w:pos="4513"/>
        <w:tab w:val="right" w:pos="9026"/>
      </w:tabs>
      <w:spacing w:before="0" w:after="0" w:line="240" w:lineRule="auto"/>
    </w:pPr>
  </w:style>
  <w:style w:type="character" w:customStyle="1" w:styleId="HeaderChar">
    <w:name w:val="Header Char"/>
    <w:basedOn w:val="DefaultParagraphFont"/>
    <w:link w:val="Header"/>
    <w:uiPriority w:val="99"/>
    <w:semiHidden/>
    <w:rsid w:val="002A234F"/>
    <w:rPr>
      <w:rFonts w:ascii="Calibri" w:eastAsiaTheme="minorEastAsia" w:hAnsi="Calibri"/>
      <w:color w:val="00264C"/>
      <w:lang w:eastAsia="en-NZ"/>
    </w:rPr>
  </w:style>
  <w:style w:type="paragraph" w:styleId="Footer">
    <w:name w:val="footer"/>
    <w:basedOn w:val="Normal"/>
    <w:link w:val="FooterChar"/>
    <w:semiHidden/>
    <w:rsid w:val="00945D28"/>
    <w:pPr>
      <w:tabs>
        <w:tab w:val="center" w:pos="4513"/>
        <w:tab w:val="right" w:pos="9026"/>
      </w:tabs>
      <w:spacing w:before="0" w:after="0" w:line="240" w:lineRule="auto"/>
    </w:pPr>
  </w:style>
  <w:style w:type="character" w:customStyle="1" w:styleId="FooterChar">
    <w:name w:val="Footer Char"/>
    <w:basedOn w:val="DefaultParagraphFont"/>
    <w:link w:val="Footer"/>
    <w:semiHidden/>
    <w:rsid w:val="002A234F"/>
    <w:rPr>
      <w:rFonts w:ascii="Calibri" w:eastAsiaTheme="minorEastAsia" w:hAnsi="Calibri"/>
      <w:color w:val="00264C"/>
      <w:lang w:eastAsia="en-NZ"/>
    </w:rPr>
  </w:style>
  <w:style w:type="paragraph" w:customStyle="1" w:styleId="Box">
    <w:name w:val="Box"/>
    <w:basedOn w:val="Normal"/>
    <w:next w:val="Normal"/>
    <w:semiHidden/>
    <w:rsid w:val="002E22ED"/>
    <w:pPr>
      <w:pBdr>
        <w:top w:val="single" w:sz="6" w:space="15" w:color="auto"/>
        <w:left w:val="single" w:sz="6" w:space="15" w:color="auto"/>
        <w:bottom w:val="single" w:sz="6" w:space="15" w:color="auto"/>
        <w:right w:val="single" w:sz="6" w:space="15" w:color="auto"/>
      </w:pBdr>
      <w:spacing w:before="0" w:after="0"/>
      <w:ind w:left="284" w:right="284"/>
    </w:pPr>
    <w:rPr>
      <w:rFonts w:eastAsia="Times New Roman" w:cs="Times New Roman"/>
      <w:szCs w:val="20"/>
      <w:lang w:eastAsia="en-US"/>
    </w:rPr>
  </w:style>
  <w:style w:type="paragraph" w:customStyle="1" w:styleId="Boxbullet">
    <w:name w:val="Box bullet"/>
    <w:basedOn w:val="Box"/>
    <w:semiHidden/>
    <w:rsid w:val="000F2875"/>
    <w:pPr>
      <w:numPr>
        <w:numId w:val="4"/>
      </w:numPr>
      <w:spacing w:before="120"/>
    </w:pPr>
  </w:style>
  <w:style w:type="paragraph" w:customStyle="1" w:styleId="Boxheading">
    <w:name w:val="Box heading"/>
    <w:basedOn w:val="Box"/>
    <w:next w:val="Box"/>
    <w:semiHidden/>
    <w:rsid w:val="00E76731"/>
    <w:pPr>
      <w:keepNext/>
      <w:spacing w:after="160" w:line="240" w:lineRule="auto"/>
      <w:jc w:val="left"/>
    </w:pPr>
    <w:rPr>
      <w:b/>
    </w:rPr>
  </w:style>
  <w:style w:type="paragraph" w:customStyle="1" w:styleId="Boxnumbered">
    <w:name w:val="Box numbered"/>
    <w:basedOn w:val="Boxbullet"/>
    <w:next w:val="BodyText"/>
    <w:semiHidden/>
    <w:qFormat/>
    <w:rsid w:val="006E69DE"/>
    <w:pPr>
      <w:numPr>
        <w:numId w:val="5"/>
      </w:numPr>
    </w:pPr>
  </w:style>
  <w:style w:type="paragraph" w:styleId="Quote">
    <w:name w:val="Quote"/>
    <w:basedOn w:val="Normal"/>
    <w:next w:val="Normal"/>
    <w:link w:val="QuoteChar"/>
    <w:qFormat/>
    <w:rsid w:val="004E27B6"/>
    <w:pPr>
      <w:ind w:left="397" w:right="397"/>
      <w:jc w:val="left"/>
    </w:pPr>
    <w:rPr>
      <w:iCs/>
      <w:sz w:val="20"/>
    </w:rPr>
  </w:style>
  <w:style w:type="character" w:customStyle="1" w:styleId="QuoteChar">
    <w:name w:val="Quote Char"/>
    <w:basedOn w:val="DefaultParagraphFont"/>
    <w:link w:val="Quote"/>
    <w:rsid w:val="004E27B6"/>
    <w:rPr>
      <w:rFonts w:ascii="Calibri" w:eastAsiaTheme="minorEastAsia" w:hAnsi="Calibri"/>
      <w:iCs/>
      <w:sz w:val="20"/>
      <w:lang w:eastAsia="en-NZ"/>
    </w:rPr>
  </w:style>
  <w:style w:type="paragraph" w:styleId="EndnoteText">
    <w:name w:val="endnote text"/>
    <w:basedOn w:val="Normal"/>
    <w:link w:val="EndnoteTextChar"/>
    <w:semiHidden/>
    <w:rsid w:val="00CE2551"/>
    <w:pPr>
      <w:spacing w:after="0" w:line="240" w:lineRule="exact"/>
      <w:ind w:left="397" w:hanging="397"/>
      <w:jc w:val="left"/>
    </w:pPr>
    <w:rPr>
      <w:sz w:val="20"/>
      <w:szCs w:val="20"/>
    </w:rPr>
  </w:style>
  <w:style w:type="character" w:customStyle="1" w:styleId="EndnoteTextChar">
    <w:name w:val="Endnote Text Char"/>
    <w:basedOn w:val="DefaultParagraphFont"/>
    <w:link w:val="EndnoteText"/>
    <w:semiHidden/>
    <w:rsid w:val="002B1CB7"/>
    <w:rPr>
      <w:rFonts w:ascii="Calibri" w:eastAsiaTheme="minorEastAsia" w:hAnsi="Calibri"/>
      <w:color w:val="00264C"/>
      <w:sz w:val="20"/>
      <w:szCs w:val="20"/>
      <w:lang w:eastAsia="en-NZ"/>
    </w:rPr>
  </w:style>
  <w:style w:type="character" w:styleId="EndnoteReference">
    <w:name w:val="endnote reference"/>
    <w:basedOn w:val="DefaultParagraphFont"/>
    <w:uiPriority w:val="99"/>
    <w:semiHidden/>
    <w:unhideWhenUsed/>
    <w:rsid w:val="00544692"/>
    <w:rPr>
      <w:vertAlign w:val="superscript"/>
    </w:rPr>
  </w:style>
  <w:style w:type="paragraph" w:customStyle="1" w:styleId="Greenbullet-tables">
    <w:name w:val="Green bullet - tables"/>
    <w:basedOn w:val="Bullet"/>
    <w:semiHidden/>
    <w:rsid w:val="00CE2551"/>
    <w:pPr>
      <w:numPr>
        <w:numId w:val="6"/>
      </w:numPr>
      <w:tabs>
        <w:tab w:val="clear" w:pos="397"/>
      </w:tabs>
      <w:ind w:left="681" w:right="284" w:hanging="397"/>
    </w:pPr>
    <w:rPr>
      <w:color w:val="677719"/>
    </w:rPr>
  </w:style>
  <w:style w:type="paragraph" w:customStyle="1" w:styleId="Brownboxheading">
    <w:name w:val="Brown box heading"/>
    <w:basedOn w:val="Boxheading"/>
    <w:uiPriority w:val="1"/>
    <w:semiHidden/>
    <w:qFormat/>
    <w:rsid w:val="003F0C32"/>
    <w:pPr>
      <w:keepLines/>
      <w:pBdr>
        <w:top w:val="single" w:sz="4" w:space="15" w:color="F3CC97"/>
        <w:left w:val="single" w:sz="4" w:space="15" w:color="F3CC97"/>
        <w:bottom w:val="single" w:sz="4" w:space="15" w:color="F3CC97"/>
        <w:right w:val="single" w:sz="4" w:space="15" w:color="F3CC97"/>
      </w:pBdr>
      <w:shd w:val="clear" w:color="B47015" w:fill="F3CC97"/>
    </w:pPr>
    <w:rPr>
      <w:color w:val="B47015"/>
      <w:szCs w:val="22"/>
    </w:rPr>
  </w:style>
  <w:style w:type="paragraph" w:customStyle="1" w:styleId="Brownboxtext">
    <w:name w:val="Brown box text"/>
    <w:basedOn w:val="Box"/>
    <w:uiPriority w:val="1"/>
    <w:semiHidden/>
    <w:qFormat/>
    <w:rsid w:val="005E32A1"/>
    <w:pPr>
      <w:pBdr>
        <w:top w:val="single" w:sz="4" w:space="15" w:color="F3CC97"/>
        <w:left w:val="single" w:sz="4" w:space="15" w:color="F3CC97"/>
        <w:bottom w:val="single" w:sz="4" w:space="15" w:color="F3CC97"/>
        <w:right w:val="single" w:sz="4" w:space="15" w:color="F3CC97"/>
      </w:pBdr>
      <w:shd w:val="clear" w:color="B47015" w:fill="F3CC97"/>
    </w:pPr>
    <w:rPr>
      <w:color w:val="B47015"/>
      <w:szCs w:val="22"/>
    </w:rPr>
  </w:style>
  <w:style w:type="paragraph" w:customStyle="1" w:styleId="Casestudyheading">
    <w:name w:val="Case study heading"/>
    <w:basedOn w:val="BodyText"/>
    <w:semiHidden/>
    <w:rsid w:val="00661920"/>
    <w:pPr>
      <w:keepNext/>
      <w:spacing w:before="160" w:line="240" w:lineRule="auto"/>
      <w:ind w:left="284"/>
    </w:pPr>
    <w:rPr>
      <w:b/>
      <w:caps/>
    </w:rPr>
  </w:style>
  <w:style w:type="paragraph" w:customStyle="1" w:styleId="Greentext-tables">
    <w:name w:val="Green text - tables"/>
    <w:basedOn w:val="BodyText"/>
    <w:semiHidden/>
    <w:rsid w:val="00D32B28"/>
    <w:pPr>
      <w:ind w:left="284" w:right="284"/>
    </w:pPr>
    <w:rPr>
      <w:color w:val="677719"/>
    </w:rPr>
  </w:style>
  <w:style w:type="paragraph" w:customStyle="1" w:styleId="Questionsub-bullet">
    <w:name w:val="Question sub-bullet"/>
    <w:basedOn w:val="Sub-bullet"/>
    <w:semiHidden/>
    <w:qFormat/>
    <w:rsid w:val="00CE2551"/>
    <w:pPr>
      <w:ind w:left="1077" w:right="284"/>
    </w:pPr>
    <w:rPr>
      <w:color w:val="E36F1E"/>
    </w:rPr>
  </w:style>
  <w:style w:type="paragraph" w:customStyle="1" w:styleId="Heading1-lightbrown">
    <w:name w:val="Heading 1 - light brown"/>
    <w:basedOn w:val="Heading1"/>
    <w:next w:val="BodyText"/>
    <w:semiHidden/>
    <w:qFormat/>
    <w:rsid w:val="008D424D"/>
    <w:rPr>
      <w:color w:val="F1B78E"/>
    </w:rPr>
  </w:style>
  <w:style w:type="paragraph" w:customStyle="1" w:styleId="Browntextnumbered">
    <w:name w:val="Brown text numbered"/>
    <w:basedOn w:val="BodyText"/>
    <w:semiHidden/>
    <w:qFormat/>
    <w:rsid w:val="000B6BF8"/>
    <w:pPr>
      <w:numPr>
        <w:numId w:val="7"/>
      </w:numPr>
      <w:spacing w:before="0"/>
      <w:ind w:left="681" w:right="284" w:hanging="397"/>
    </w:pPr>
    <w:rPr>
      <w:rFonts w:eastAsia="Times New Roman"/>
      <w:color w:val="B47015"/>
    </w:rPr>
  </w:style>
  <w:style w:type="paragraph" w:customStyle="1" w:styleId="Quotebullet">
    <w:name w:val="Quote bullet"/>
    <w:basedOn w:val="Bullet"/>
    <w:qFormat/>
    <w:rsid w:val="003D4825"/>
    <w:pPr>
      <w:tabs>
        <w:tab w:val="clear" w:pos="397"/>
      </w:tabs>
      <w:ind w:left="794" w:right="397"/>
    </w:pPr>
    <w:rPr>
      <w:sz w:val="20"/>
    </w:rPr>
  </w:style>
  <w:style w:type="paragraph" w:styleId="TOC1">
    <w:name w:val="toc 1"/>
    <w:basedOn w:val="Normal"/>
    <w:next w:val="Normal"/>
    <w:uiPriority w:val="39"/>
    <w:unhideWhenUsed/>
    <w:rsid w:val="00D4094A"/>
    <w:pPr>
      <w:tabs>
        <w:tab w:val="left" w:pos="567"/>
        <w:tab w:val="right" w:pos="8494"/>
      </w:tabs>
      <w:spacing w:before="280" w:after="0" w:line="240" w:lineRule="auto"/>
      <w:ind w:right="567"/>
      <w:jc w:val="left"/>
    </w:pPr>
  </w:style>
  <w:style w:type="paragraph" w:styleId="TOC2">
    <w:name w:val="toc 2"/>
    <w:basedOn w:val="Normal"/>
    <w:next w:val="Normal"/>
    <w:uiPriority w:val="39"/>
    <w:unhideWhenUsed/>
    <w:rsid w:val="00D4094A"/>
    <w:pPr>
      <w:tabs>
        <w:tab w:val="left" w:pos="567"/>
        <w:tab w:val="right" w:pos="8494"/>
      </w:tabs>
      <w:spacing w:after="0" w:line="240" w:lineRule="auto"/>
      <w:ind w:left="567" w:right="567"/>
      <w:jc w:val="left"/>
    </w:pPr>
    <w:rPr>
      <w:noProof/>
    </w:rPr>
  </w:style>
  <w:style w:type="paragraph" w:styleId="TOC3">
    <w:name w:val="toc 3"/>
    <w:basedOn w:val="Normal"/>
    <w:next w:val="Normal"/>
    <w:autoRedefine/>
    <w:semiHidden/>
    <w:rsid w:val="0055121D"/>
    <w:pPr>
      <w:tabs>
        <w:tab w:val="left" w:pos="1134"/>
        <w:tab w:val="right" w:pos="9060"/>
      </w:tabs>
      <w:spacing w:before="60" w:after="60" w:line="240" w:lineRule="auto"/>
      <w:ind w:left="567" w:right="567"/>
      <w:jc w:val="left"/>
    </w:pPr>
  </w:style>
  <w:style w:type="paragraph" w:customStyle="1" w:styleId="Greenheading-tables">
    <w:name w:val="Green heading - tables"/>
    <w:basedOn w:val="Greentext-tables"/>
    <w:semiHidden/>
    <w:rsid w:val="007932EA"/>
    <w:pPr>
      <w:keepNext/>
      <w:spacing w:before="240" w:after="0"/>
    </w:pPr>
    <w:rPr>
      <w:rFonts w:eastAsia="Times New Roman"/>
      <w:b/>
    </w:rPr>
  </w:style>
  <w:style w:type="paragraph" w:customStyle="1" w:styleId="Bodytextnumbered">
    <w:name w:val="Body text numbered"/>
    <w:basedOn w:val="BodyText"/>
    <w:semiHidden/>
    <w:rsid w:val="00C22954"/>
    <w:pPr>
      <w:numPr>
        <w:numId w:val="8"/>
      </w:numPr>
      <w:spacing w:before="0"/>
      <w:ind w:left="397" w:hanging="397"/>
    </w:pPr>
  </w:style>
  <w:style w:type="paragraph" w:customStyle="1" w:styleId="References">
    <w:name w:val="References"/>
    <w:basedOn w:val="Normal"/>
    <w:rsid w:val="00CE2551"/>
    <w:pPr>
      <w:jc w:val="left"/>
    </w:pPr>
    <w:rPr>
      <w:rFonts w:eastAsia="Times New Roman" w:cs="Times New Roman"/>
      <w:szCs w:val="20"/>
      <w:lang w:eastAsia="en-US"/>
    </w:rPr>
  </w:style>
  <w:style w:type="paragraph" w:customStyle="1" w:styleId="Bodytexta">
    <w:name w:val="Body text a"/>
    <w:aliases w:val="b,Sub-list a"/>
    <w:basedOn w:val="BodyText"/>
    <w:semiHidden/>
    <w:rsid w:val="00DB6C49"/>
    <w:pPr>
      <w:numPr>
        <w:numId w:val="9"/>
      </w:numPr>
      <w:spacing w:before="0"/>
    </w:pPr>
  </w:style>
  <w:style w:type="paragraph" w:customStyle="1" w:styleId="HeadingnotforTOC">
    <w:name w:val="Heading not for TOC"/>
    <w:basedOn w:val="BodyText"/>
    <w:semiHidden/>
    <w:qFormat/>
    <w:rsid w:val="00AD49E4"/>
    <w:pPr>
      <w:keepNext/>
      <w:spacing w:before="0" w:after="360" w:line="240" w:lineRule="auto"/>
    </w:pPr>
    <w:rPr>
      <w:b/>
      <w:color w:val="F4D19C"/>
      <w:sz w:val="64"/>
      <w:szCs w:val="64"/>
    </w:rPr>
  </w:style>
  <w:style w:type="paragraph" w:customStyle="1" w:styleId="Questiontext">
    <w:name w:val="Question text"/>
    <w:basedOn w:val="Greentext-tables"/>
    <w:semiHidden/>
    <w:qFormat/>
    <w:rsid w:val="005D43FA"/>
    <w:rPr>
      <w:color w:val="E36F1E"/>
    </w:rPr>
  </w:style>
  <w:style w:type="paragraph" w:customStyle="1" w:styleId="Questionbullet">
    <w:name w:val="Question bullet"/>
    <w:basedOn w:val="Greenbullet-tables"/>
    <w:semiHidden/>
    <w:qFormat/>
    <w:rsid w:val="00BE1EFD"/>
    <w:pPr>
      <w:numPr>
        <w:numId w:val="10"/>
      </w:numPr>
      <w:ind w:left="681" w:hanging="397"/>
    </w:pPr>
    <w:rPr>
      <w:color w:val="E36F1E"/>
    </w:rPr>
  </w:style>
  <w:style w:type="paragraph" w:customStyle="1" w:styleId="Questionheading">
    <w:name w:val="Question heading"/>
    <w:basedOn w:val="Greenheading-tables"/>
    <w:semiHidden/>
    <w:qFormat/>
    <w:rsid w:val="005D43FA"/>
    <w:rPr>
      <w:color w:val="E36F1E"/>
    </w:rPr>
  </w:style>
  <w:style w:type="paragraph" w:customStyle="1" w:styleId="Imprint">
    <w:name w:val="Imprint"/>
    <w:basedOn w:val="Normal"/>
    <w:rsid w:val="004E27B6"/>
    <w:pPr>
      <w:spacing w:before="0" w:after="240" w:line="240" w:lineRule="auto"/>
      <w:jc w:val="left"/>
    </w:pPr>
    <w:rPr>
      <w:rFonts w:eastAsia="Times New Roman" w:cs="Times New Roman"/>
      <w:szCs w:val="20"/>
      <w:lang w:eastAsia="en-US"/>
    </w:rPr>
  </w:style>
  <w:style w:type="paragraph" w:customStyle="1" w:styleId="Heading">
    <w:name w:val="Heading"/>
    <w:basedOn w:val="Heading1"/>
    <w:next w:val="Normal"/>
    <w:semiHidden/>
    <w:rsid w:val="004E44DD"/>
    <w:pPr>
      <w:keepNext w:val="0"/>
      <w:keepLines w:val="0"/>
      <w:tabs>
        <w:tab w:val="clear" w:pos="851"/>
        <w:tab w:val="left" w:pos="567"/>
      </w:tabs>
      <w:spacing w:after="120"/>
      <w:outlineLvl w:val="9"/>
    </w:pPr>
    <w:rPr>
      <w:rFonts w:eastAsia="Times New Roman" w:cs="Times New Roman"/>
      <w:bCs w:val="0"/>
      <w:sz w:val="44"/>
      <w:szCs w:val="20"/>
      <w:lang w:eastAsia="en-US"/>
    </w:rPr>
  </w:style>
  <w:style w:type="paragraph" w:customStyle="1" w:styleId="Sub-list">
    <w:name w:val="Sub-list"/>
    <w:basedOn w:val="Normal"/>
    <w:semiHidden/>
    <w:rsid w:val="0040640A"/>
    <w:pPr>
      <w:numPr>
        <w:numId w:val="12"/>
      </w:numPr>
      <w:tabs>
        <w:tab w:val="left" w:pos="794"/>
      </w:tabs>
      <w:spacing w:before="60" w:after="240" w:line="240" w:lineRule="auto"/>
    </w:pPr>
    <w:rPr>
      <w:rFonts w:ascii="Times New Roman" w:eastAsia="Times New Roman" w:hAnsi="Times New Roman" w:cs="Times New Roman"/>
      <w:szCs w:val="20"/>
      <w:lang w:eastAsia="en-US"/>
    </w:rPr>
  </w:style>
  <w:style w:type="paragraph" w:customStyle="1" w:styleId="Figureheading">
    <w:name w:val="Figure heading"/>
    <w:basedOn w:val="Normal"/>
    <w:next w:val="Normal"/>
    <w:rsid w:val="004E27B6"/>
    <w:pPr>
      <w:keepNext/>
      <w:spacing w:line="240" w:lineRule="auto"/>
      <w:ind w:left="1134" w:hanging="1134"/>
      <w:jc w:val="left"/>
    </w:pPr>
    <w:rPr>
      <w:rFonts w:eastAsia="Times New Roman" w:cs="Times New Roman"/>
      <w:b/>
      <w:sz w:val="20"/>
      <w:szCs w:val="20"/>
      <w:lang w:eastAsia="en-US"/>
    </w:rPr>
  </w:style>
  <w:style w:type="paragraph" w:customStyle="1" w:styleId="Note">
    <w:name w:val="Note"/>
    <w:basedOn w:val="Normal"/>
    <w:next w:val="Normal"/>
    <w:semiHidden/>
    <w:rsid w:val="0040640A"/>
    <w:pPr>
      <w:tabs>
        <w:tab w:val="left" w:pos="680"/>
      </w:tabs>
      <w:spacing w:after="240" w:line="240" w:lineRule="auto"/>
      <w:ind w:left="680" w:hanging="680"/>
    </w:pPr>
    <w:rPr>
      <w:rFonts w:ascii="Arial" w:eastAsia="Times New Roman" w:hAnsi="Arial" w:cs="Times New Roman"/>
      <w:sz w:val="16"/>
      <w:szCs w:val="20"/>
      <w:lang w:eastAsia="en-US"/>
    </w:rPr>
  </w:style>
  <w:style w:type="paragraph" w:customStyle="1" w:styleId="Source">
    <w:name w:val="Source"/>
    <w:basedOn w:val="Normal"/>
    <w:next w:val="Normal"/>
    <w:semiHidden/>
    <w:rsid w:val="0040640A"/>
    <w:pPr>
      <w:tabs>
        <w:tab w:val="left" w:pos="680"/>
      </w:tabs>
      <w:spacing w:after="240" w:line="240" w:lineRule="auto"/>
      <w:jc w:val="left"/>
    </w:pPr>
    <w:rPr>
      <w:rFonts w:ascii="Arial" w:eastAsia="Times New Roman" w:hAnsi="Arial" w:cs="Times New Roman"/>
      <w:sz w:val="16"/>
      <w:szCs w:val="20"/>
      <w:lang w:eastAsia="en-US"/>
    </w:rPr>
  </w:style>
  <w:style w:type="paragraph" w:customStyle="1" w:styleId="Tableheading">
    <w:name w:val="Table heading"/>
    <w:basedOn w:val="Normal"/>
    <w:next w:val="Normal"/>
    <w:rsid w:val="004E27B6"/>
    <w:pPr>
      <w:keepNext/>
      <w:spacing w:line="240" w:lineRule="auto"/>
      <w:ind w:left="1134" w:hanging="1134"/>
      <w:jc w:val="left"/>
    </w:pPr>
    <w:rPr>
      <w:rFonts w:eastAsia="Times New Roman" w:cs="Times New Roman"/>
      <w:b/>
      <w:sz w:val="20"/>
      <w:szCs w:val="20"/>
      <w:lang w:eastAsia="en-US"/>
    </w:rPr>
  </w:style>
  <w:style w:type="paragraph" w:customStyle="1" w:styleId="TableText0">
    <w:name w:val="TableText"/>
    <w:basedOn w:val="Normal"/>
    <w:semiHidden/>
    <w:rsid w:val="0040640A"/>
    <w:pPr>
      <w:spacing w:before="60" w:after="60" w:line="240" w:lineRule="auto"/>
      <w:jc w:val="left"/>
    </w:pPr>
    <w:rPr>
      <w:rFonts w:ascii="Arial" w:eastAsia="Times New Roman" w:hAnsi="Arial" w:cs="Times New Roman"/>
      <w:sz w:val="16"/>
      <w:szCs w:val="20"/>
      <w:lang w:eastAsia="en-US"/>
    </w:rPr>
  </w:style>
  <w:style w:type="paragraph" w:customStyle="1" w:styleId="TableTextbold">
    <w:name w:val="TableText bold"/>
    <w:basedOn w:val="TableText0"/>
    <w:rsid w:val="00BB2F3D"/>
    <w:rPr>
      <w:rFonts w:ascii="Calibri" w:hAnsi="Calibri"/>
      <w:b/>
      <w:sz w:val="18"/>
    </w:rPr>
  </w:style>
  <w:style w:type="paragraph" w:customStyle="1" w:styleId="Glossary">
    <w:name w:val="Glossary"/>
    <w:basedOn w:val="Normal"/>
    <w:semiHidden/>
    <w:rsid w:val="0040640A"/>
    <w:pPr>
      <w:tabs>
        <w:tab w:val="left" w:pos="2835"/>
      </w:tabs>
      <w:spacing w:before="0" w:after="240" w:line="240" w:lineRule="auto"/>
      <w:ind w:left="2835" w:hanging="2835"/>
    </w:pPr>
    <w:rPr>
      <w:rFonts w:ascii="Times New Roman" w:eastAsia="Times New Roman" w:hAnsi="Times New Roman" w:cs="Times New Roman"/>
      <w:szCs w:val="20"/>
      <w:lang w:eastAsia="en-US"/>
    </w:rPr>
  </w:style>
  <w:style w:type="paragraph" w:customStyle="1" w:styleId="Numberedparagraph">
    <w:name w:val="Numbered paragraph"/>
    <w:basedOn w:val="Normal"/>
    <w:semiHidden/>
    <w:rsid w:val="0040640A"/>
    <w:pPr>
      <w:numPr>
        <w:numId w:val="11"/>
      </w:numPr>
      <w:spacing w:line="240" w:lineRule="auto"/>
    </w:pPr>
    <w:rPr>
      <w:rFonts w:ascii="Times New Roman" w:eastAsia="Times New Roman" w:hAnsi="Times New Roman" w:cs="Times New Roman"/>
      <w:szCs w:val="20"/>
      <w:lang w:eastAsia="en-US"/>
    </w:rPr>
  </w:style>
  <w:style w:type="paragraph" w:styleId="TableofFigures">
    <w:name w:val="table of figures"/>
    <w:basedOn w:val="Normal"/>
    <w:next w:val="Normal"/>
    <w:uiPriority w:val="99"/>
    <w:rsid w:val="00282B70"/>
    <w:pPr>
      <w:spacing w:before="80" w:after="0" w:line="240" w:lineRule="auto"/>
      <w:ind w:left="1134" w:right="567" w:hanging="1134"/>
      <w:jc w:val="left"/>
    </w:pPr>
    <w:rPr>
      <w:rFonts w:eastAsia="Times New Roman" w:cs="Times New Roman"/>
      <w:sz w:val="20"/>
      <w:szCs w:val="20"/>
      <w:lang w:eastAsia="en-US"/>
    </w:rPr>
  </w:style>
  <w:style w:type="paragraph" w:customStyle="1" w:styleId="Sub-listi">
    <w:name w:val="Sub-list i"/>
    <w:aliases w:val="ii"/>
    <w:basedOn w:val="BodyText"/>
    <w:semiHidden/>
    <w:rsid w:val="0040640A"/>
    <w:pPr>
      <w:numPr>
        <w:numId w:val="13"/>
      </w:numPr>
      <w:spacing w:before="60" w:after="60" w:line="240" w:lineRule="auto"/>
      <w:jc w:val="both"/>
    </w:pPr>
    <w:rPr>
      <w:rFonts w:ascii="Times New Roman" w:eastAsia="Times New Roman" w:hAnsi="Times New Roman" w:cs="Times New Roman"/>
      <w:szCs w:val="20"/>
      <w:lang w:eastAsia="en-US"/>
    </w:rPr>
  </w:style>
  <w:style w:type="paragraph" w:styleId="PlainText">
    <w:name w:val="Plain Text"/>
    <w:basedOn w:val="Normal"/>
    <w:link w:val="PlainTextChar"/>
    <w:uiPriority w:val="99"/>
    <w:semiHidden/>
    <w:rsid w:val="0040640A"/>
    <w:pPr>
      <w:spacing w:before="0" w:after="240" w:line="240" w:lineRule="auto"/>
      <w:jc w:val="left"/>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EA5323"/>
    <w:rPr>
      <w:rFonts w:ascii="Consolas" w:eastAsia="Calibri" w:hAnsi="Consolas" w:cs="Times New Roman"/>
      <w:sz w:val="21"/>
      <w:szCs w:val="21"/>
      <w:lang w:eastAsia="en-NZ"/>
    </w:rPr>
  </w:style>
  <w:style w:type="paragraph" w:customStyle="1" w:styleId="Questionforconsultationfeedback">
    <w:name w:val="Question for consultation feedback"/>
    <w:basedOn w:val="BodyText"/>
    <w:semiHidden/>
    <w:qFormat/>
    <w:rsid w:val="0040640A"/>
    <w:pPr>
      <w:spacing w:before="0" w:after="240" w:line="240" w:lineRule="auto"/>
      <w:jc w:val="both"/>
    </w:pPr>
    <w:rPr>
      <w:rFonts w:ascii="Times New Roman" w:eastAsia="Times New Roman" w:hAnsi="Times New Roman" w:cs="Times New Roman"/>
      <w:i/>
      <w:szCs w:val="20"/>
      <w:lang w:eastAsia="en-US"/>
    </w:rPr>
  </w:style>
  <w:style w:type="character" w:styleId="CommentReference">
    <w:name w:val="annotation reference"/>
    <w:basedOn w:val="DefaultParagraphFont"/>
    <w:uiPriority w:val="99"/>
    <w:semiHidden/>
    <w:unhideWhenUsed/>
    <w:rsid w:val="0040640A"/>
    <w:rPr>
      <w:sz w:val="16"/>
      <w:szCs w:val="16"/>
    </w:rPr>
  </w:style>
  <w:style w:type="paragraph" w:styleId="CommentText">
    <w:name w:val="annotation text"/>
    <w:basedOn w:val="Normal"/>
    <w:link w:val="CommentTextChar"/>
    <w:uiPriority w:val="99"/>
    <w:semiHidden/>
    <w:unhideWhenUsed/>
    <w:rsid w:val="0040640A"/>
    <w:pPr>
      <w:spacing w:before="0" w:after="200" w:line="240" w:lineRule="auto"/>
      <w:jc w:val="left"/>
    </w:pPr>
    <w:rPr>
      <w:rFonts w:asciiTheme="minorHAnsi" w:eastAsiaTheme="minorHAnsi" w:hAnsiTheme="minorHAnsi"/>
      <w:sz w:val="20"/>
      <w:szCs w:val="20"/>
      <w:lang w:eastAsia="en-US"/>
    </w:rPr>
  </w:style>
  <w:style w:type="character" w:customStyle="1" w:styleId="CommentTextChar">
    <w:name w:val="Comment Text Char"/>
    <w:basedOn w:val="DefaultParagraphFont"/>
    <w:link w:val="CommentText"/>
    <w:uiPriority w:val="99"/>
    <w:semiHidden/>
    <w:rsid w:val="0040640A"/>
    <w:rPr>
      <w:sz w:val="20"/>
      <w:szCs w:val="20"/>
    </w:rPr>
  </w:style>
  <w:style w:type="paragraph" w:styleId="CommentSubject">
    <w:name w:val="annotation subject"/>
    <w:basedOn w:val="CommentText"/>
    <w:next w:val="CommentText"/>
    <w:link w:val="CommentSubjectChar"/>
    <w:uiPriority w:val="99"/>
    <w:semiHidden/>
    <w:unhideWhenUsed/>
    <w:rsid w:val="0040640A"/>
    <w:pPr>
      <w:spacing w:after="240"/>
      <w:jc w:val="both"/>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40640A"/>
    <w:rPr>
      <w:rFonts w:ascii="Times New Roman" w:eastAsia="Times New Roman" w:hAnsi="Times New Roman" w:cs="Times New Roman"/>
      <w:b/>
      <w:bCs/>
      <w:sz w:val="20"/>
      <w:szCs w:val="20"/>
    </w:rPr>
  </w:style>
  <w:style w:type="paragraph" w:customStyle="1" w:styleId="StyleHeadingCustomColorRGB22711130After6pt">
    <w:name w:val="Style Heading + Custom Color(RGB(22711130)) After:  6 pt"/>
    <w:basedOn w:val="Heading"/>
    <w:semiHidden/>
    <w:rsid w:val="004E44DD"/>
    <w:rPr>
      <w:bCs/>
    </w:rPr>
  </w:style>
  <w:style w:type="paragraph" w:styleId="NormalWeb">
    <w:name w:val="Normal (Web)"/>
    <w:basedOn w:val="Normal"/>
    <w:uiPriority w:val="99"/>
    <w:semiHidden/>
    <w:unhideWhenUsed/>
    <w:rsid w:val="00895F6D"/>
    <w:pPr>
      <w:spacing w:before="0" w:after="360" w:line="240" w:lineRule="auto"/>
      <w:jc w:val="left"/>
    </w:pPr>
    <w:rPr>
      <w:rFonts w:ascii="Times New Roman" w:eastAsia="Times New Roman" w:hAnsi="Times New Roman" w:cs="Times New Roman"/>
      <w:sz w:val="24"/>
      <w:szCs w:val="24"/>
    </w:rPr>
  </w:style>
  <w:style w:type="paragraph" w:styleId="Revision">
    <w:name w:val="Revision"/>
    <w:hidden/>
    <w:uiPriority w:val="99"/>
    <w:semiHidden/>
    <w:rsid w:val="00435D9D"/>
    <w:pPr>
      <w:spacing w:after="0" w:line="240" w:lineRule="auto"/>
    </w:pPr>
    <w:rPr>
      <w:rFonts w:ascii="Calibri" w:eastAsiaTheme="minorEastAsia" w:hAnsi="Calibri"/>
      <w:lang w:eastAsia="en-NZ"/>
    </w:rPr>
  </w:style>
  <w:style w:type="paragraph" w:styleId="NoSpacing">
    <w:name w:val="No Spacing"/>
    <w:aliases w:val="Numbered Paragraphs"/>
    <w:uiPriority w:val="1"/>
    <w:qFormat/>
    <w:rsid w:val="00782903"/>
    <w:pPr>
      <w:numPr>
        <w:numId w:val="73"/>
      </w:numPr>
      <w:spacing w:before="120" w:after="120" w:line="240" w:lineRule="auto"/>
      <w:ind w:left="567" w:hanging="567"/>
      <w:jc w:val="both"/>
    </w:pPr>
    <w:rPr>
      <w:rFonts w:ascii="Arial" w:eastAsia="Times New Roman" w:hAnsi="Arial"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endnote text" w:uiPriority="0"/>
    <w:lsdException w:name="List Number" w:uiPriority="0"/>
    <w:lsdException w:name="Title" w:semiHidden="0" w:uiPriority="0" w:unhideWhenUsed="0"/>
    <w:lsdException w:name="Default Paragraph Font" w:uiPriority="1"/>
    <w:lsdException w:name="Body Text" w:semiHidden="0" w:uiPriority="0" w:unhideWhenUsed="0" w:qFormat="1"/>
    <w:lsdException w:name="Subtitle" w:semiHidden="0" w:uiPriority="0" w:unhideWhenUsed="0"/>
    <w:lsdException w:name="Block Text" w:unhideWhenUsed="0"/>
    <w:lsdException w:name="Hyperlink" w:uiPriority="0"/>
    <w:lsdException w:name="Strong" w:uiPriority="22" w:unhideWhenUsed="0"/>
    <w:lsdException w:name="Emphasis" w:uiPriority="20"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semiHidden/>
    <w:qFormat/>
    <w:rsid w:val="0099799C"/>
    <w:pPr>
      <w:spacing w:before="120" w:after="120" w:line="280" w:lineRule="atLeast"/>
      <w:jc w:val="both"/>
    </w:pPr>
    <w:rPr>
      <w:rFonts w:ascii="Calibri" w:eastAsiaTheme="minorEastAsia" w:hAnsi="Calibri"/>
      <w:lang w:eastAsia="en-NZ"/>
    </w:rPr>
  </w:style>
  <w:style w:type="paragraph" w:styleId="Heading1">
    <w:name w:val="heading 1"/>
    <w:basedOn w:val="Normal"/>
    <w:next w:val="BodyText"/>
    <w:link w:val="Heading1Char"/>
    <w:qFormat/>
    <w:rsid w:val="00F235F0"/>
    <w:pPr>
      <w:keepNext/>
      <w:keepLines/>
      <w:tabs>
        <w:tab w:val="left" w:pos="851"/>
      </w:tabs>
      <w:spacing w:before="0" w:after="360" w:line="240" w:lineRule="auto"/>
      <w:jc w:val="left"/>
      <w:outlineLvl w:val="0"/>
    </w:pPr>
    <w:rPr>
      <w:rFonts w:eastAsiaTheme="majorEastAsia" w:cstheme="majorBidi"/>
      <w:b/>
      <w:bCs/>
      <w:color w:val="17556C"/>
      <w:sz w:val="48"/>
      <w:szCs w:val="28"/>
    </w:rPr>
  </w:style>
  <w:style w:type="paragraph" w:styleId="Heading2">
    <w:name w:val="heading 2"/>
    <w:basedOn w:val="Normal"/>
    <w:next w:val="Normal"/>
    <w:link w:val="Heading2Char"/>
    <w:qFormat/>
    <w:rsid w:val="00C13BEC"/>
    <w:pPr>
      <w:keepNext/>
      <w:keepLines/>
      <w:tabs>
        <w:tab w:val="left" w:pos="737"/>
      </w:tabs>
      <w:spacing w:before="360" w:after="0" w:line="240" w:lineRule="auto"/>
      <w:jc w:val="left"/>
      <w:outlineLvl w:val="1"/>
    </w:pPr>
    <w:rPr>
      <w:rFonts w:eastAsiaTheme="majorEastAsia" w:cstheme="majorBidi"/>
      <w:b/>
      <w:bCs/>
      <w:color w:val="267999"/>
      <w:sz w:val="32"/>
      <w:szCs w:val="26"/>
    </w:rPr>
  </w:style>
  <w:style w:type="paragraph" w:styleId="Heading3">
    <w:name w:val="heading 3"/>
    <w:basedOn w:val="Normal"/>
    <w:next w:val="Normal"/>
    <w:link w:val="Heading3Char"/>
    <w:qFormat/>
    <w:rsid w:val="00F235F0"/>
    <w:pPr>
      <w:keepNext/>
      <w:keepLines/>
      <w:tabs>
        <w:tab w:val="left" w:pos="851"/>
      </w:tabs>
      <w:spacing w:before="360" w:after="0" w:line="240" w:lineRule="auto"/>
      <w:jc w:val="left"/>
      <w:outlineLvl w:val="2"/>
    </w:pPr>
    <w:rPr>
      <w:rFonts w:eastAsiaTheme="majorEastAsia" w:cstheme="majorBidi"/>
      <w:b/>
      <w:bCs/>
      <w:color w:val="183C47"/>
      <w:sz w:val="28"/>
    </w:rPr>
  </w:style>
  <w:style w:type="paragraph" w:styleId="Heading4">
    <w:name w:val="heading 4"/>
    <w:basedOn w:val="Heading3"/>
    <w:next w:val="Normal"/>
    <w:link w:val="Heading4Char"/>
    <w:qFormat/>
    <w:rsid w:val="006B02C3"/>
    <w:pPr>
      <w:spacing w:before="240"/>
      <w:outlineLvl w:val="3"/>
    </w:pPr>
    <w:rPr>
      <w:color w:val="006C67"/>
      <w:sz w:val="24"/>
    </w:rPr>
  </w:style>
  <w:style w:type="paragraph" w:styleId="Heading5">
    <w:name w:val="heading 5"/>
    <w:basedOn w:val="Normal"/>
    <w:next w:val="Normal"/>
    <w:link w:val="Heading5Char"/>
    <w:qFormat/>
    <w:rsid w:val="006B491E"/>
    <w:pPr>
      <w:keepNext/>
      <w:keepLines/>
      <w:spacing w:before="360" w:after="0" w:line="240" w:lineRule="auto"/>
      <w:outlineLvl w:val="4"/>
    </w:pPr>
    <w:rPr>
      <w:rFonts w:eastAsiaTheme="majorEastAsia" w:cstheme="majorBidi"/>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27B6"/>
    <w:pPr>
      <w:jc w:val="left"/>
    </w:pPr>
  </w:style>
  <w:style w:type="character" w:customStyle="1" w:styleId="BodyTextChar">
    <w:name w:val="Body Text Char"/>
    <w:basedOn w:val="DefaultParagraphFont"/>
    <w:link w:val="BodyText"/>
    <w:rsid w:val="004E27B6"/>
    <w:rPr>
      <w:rFonts w:ascii="Calibri" w:eastAsiaTheme="minorEastAsia" w:hAnsi="Calibri"/>
      <w:lang w:eastAsia="en-NZ"/>
    </w:rPr>
  </w:style>
  <w:style w:type="character" w:customStyle="1" w:styleId="Heading1Char">
    <w:name w:val="Heading 1 Char"/>
    <w:basedOn w:val="DefaultParagraphFont"/>
    <w:link w:val="Heading1"/>
    <w:rsid w:val="00F235F0"/>
    <w:rPr>
      <w:rFonts w:ascii="Calibri" w:eastAsiaTheme="majorEastAsia" w:hAnsi="Calibri" w:cstheme="majorBidi"/>
      <w:b/>
      <w:bCs/>
      <w:color w:val="17556C"/>
      <w:sz w:val="48"/>
      <w:szCs w:val="28"/>
      <w:lang w:eastAsia="en-NZ"/>
    </w:rPr>
  </w:style>
  <w:style w:type="character" w:customStyle="1" w:styleId="Heading2Char">
    <w:name w:val="Heading 2 Char"/>
    <w:basedOn w:val="DefaultParagraphFont"/>
    <w:link w:val="Heading2"/>
    <w:rsid w:val="00C13BEC"/>
    <w:rPr>
      <w:rFonts w:ascii="Calibri" w:eastAsiaTheme="majorEastAsia" w:hAnsi="Calibri" w:cstheme="majorBidi"/>
      <w:b/>
      <w:bCs/>
      <w:color w:val="267999"/>
      <w:sz w:val="32"/>
      <w:szCs w:val="26"/>
      <w:lang w:eastAsia="en-NZ"/>
    </w:rPr>
  </w:style>
  <w:style w:type="character" w:customStyle="1" w:styleId="Heading3Char">
    <w:name w:val="Heading 3 Char"/>
    <w:basedOn w:val="DefaultParagraphFont"/>
    <w:link w:val="Heading3"/>
    <w:rsid w:val="00F235F0"/>
    <w:rPr>
      <w:rFonts w:ascii="Calibri" w:eastAsiaTheme="majorEastAsia" w:hAnsi="Calibri" w:cstheme="majorBidi"/>
      <w:b/>
      <w:bCs/>
      <w:color w:val="183C47"/>
      <w:sz w:val="28"/>
      <w:lang w:eastAsia="en-NZ"/>
    </w:rPr>
  </w:style>
  <w:style w:type="character" w:customStyle="1" w:styleId="Heading4Char">
    <w:name w:val="Heading 4 Char"/>
    <w:basedOn w:val="DefaultParagraphFont"/>
    <w:link w:val="Heading4"/>
    <w:rsid w:val="006B02C3"/>
    <w:rPr>
      <w:rFonts w:ascii="Calibri" w:eastAsiaTheme="majorEastAsia" w:hAnsi="Calibri" w:cstheme="majorBidi"/>
      <w:b/>
      <w:bCs/>
      <w:color w:val="006C67"/>
      <w:sz w:val="24"/>
      <w:lang w:eastAsia="en-NZ"/>
    </w:rPr>
  </w:style>
  <w:style w:type="character" w:customStyle="1" w:styleId="Heading5Char">
    <w:name w:val="Heading 5 Char"/>
    <w:basedOn w:val="DefaultParagraphFont"/>
    <w:link w:val="Heading5"/>
    <w:rsid w:val="006B491E"/>
    <w:rPr>
      <w:rFonts w:ascii="Calibri" w:eastAsiaTheme="majorEastAsia" w:hAnsi="Calibri" w:cstheme="majorBidi"/>
      <w:i/>
      <w:sz w:val="24"/>
      <w:lang w:eastAsia="en-NZ"/>
    </w:rPr>
  </w:style>
  <w:style w:type="paragraph" w:customStyle="1" w:styleId="Sectiontitle-lightbrown">
    <w:name w:val="Section title - light brown"/>
    <w:basedOn w:val="Sectiontitle-darkbrown"/>
    <w:next w:val="BodyText"/>
    <w:semiHidden/>
    <w:qFormat/>
    <w:rsid w:val="00D7029F"/>
    <w:rPr>
      <w:color w:val="F4D19C"/>
    </w:rPr>
  </w:style>
  <w:style w:type="paragraph" w:customStyle="1" w:styleId="Sectiontitle-darkbrown">
    <w:name w:val="Section title - dark brown"/>
    <w:basedOn w:val="Heading1"/>
    <w:semiHidden/>
    <w:qFormat/>
    <w:rsid w:val="005E32A1"/>
    <w:pPr>
      <w:keepLines w:val="0"/>
      <w:spacing w:after="0"/>
    </w:pPr>
    <w:rPr>
      <w:sz w:val="72"/>
    </w:rPr>
  </w:style>
  <w:style w:type="character" w:styleId="Hyperlink">
    <w:name w:val="Hyperlink"/>
    <w:basedOn w:val="DefaultParagraphFont"/>
    <w:rsid w:val="00B75E30"/>
    <w:rPr>
      <w:color w:val="14456E"/>
      <w:u w:val="none"/>
    </w:rPr>
  </w:style>
  <w:style w:type="table" w:styleId="TableGrid">
    <w:name w:val="Table Grid"/>
    <w:basedOn w:val="TableNormal"/>
    <w:uiPriority w:val="59"/>
    <w:rsid w:val="009B0142"/>
    <w:pPr>
      <w:spacing w:after="0" w:line="240" w:lineRule="auto"/>
    </w:pPr>
    <w:rPr>
      <w:rFonts w:eastAsiaTheme="minorEastAsia"/>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4E27B6"/>
    <w:pPr>
      <w:spacing w:before="0" w:after="60" w:line="240" w:lineRule="atLeast"/>
      <w:ind w:left="284" w:hanging="284"/>
      <w:jc w:val="left"/>
    </w:pPr>
    <w:rPr>
      <w:rFonts w:eastAsia="Times New Roman" w:cs="Times New Roman"/>
      <w:sz w:val="18"/>
      <w:szCs w:val="20"/>
      <w:lang w:val="x-none" w:eastAsia="en-US"/>
    </w:rPr>
  </w:style>
  <w:style w:type="character" w:customStyle="1" w:styleId="FootnoteTextChar">
    <w:name w:val="Footnote Text Char"/>
    <w:basedOn w:val="DefaultParagraphFont"/>
    <w:link w:val="FootnoteText"/>
    <w:rsid w:val="004E27B6"/>
    <w:rPr>
      <w:rFonts w:ascii="Calibri" w:eastAsia="Times New Roman" w:hAnsi="Calibri" w:cs="Times New Roman"/>
      <w:sz w:val="18"/>
      <w:szCs w:val="20"/>
      <w:lang w:val="x-none"/>
    </w:rPr>
  </w:style>
  <w:style w:type="character" w:styleId="FootnoteReference">
    <w:name w:val="footnote reference"/>
    <w:basedOn w:val="DefaultParagraphFont"/>
    <w:uiPriority w:val="99"/>
    <w:semiHidden/>
    <w:rsid w:val="00F440ED"/>
    <w:rPr>
      <w:rFonts w:ascii="Calibri" w:hAnsi="Calibri"/>
      <w:sz w:val="22"/>
      <w:vertAlign w:val="superscript"/>
    </w:rPr>
  </w:style>
  <w:style w:type="paragraph" w:styleId="BalloonText">
    <w:name w:val="Balloon Text"/>
    <w:basedOn w:val="Normal"/>
    <w:link w:val="BalloonTextChar"/>
    <w:uiPriority w:val="99"/>
    <w:semiHidden/>
    <w:unhideWhenUsed/>
    <w:rsid w:val="00B40E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E30"/>
    <w:rPr>
      <w:rFonts w:ascii="Tahoma" w:eastAsiaTheme="minorEastAsia" w:hAnsi="Tahoma" w:cs="Tahoma"/>
      <w:sz w:val="16"/>
      <w:szCs w:val="16"/>
      <w:lang w:eastAsia="en-NZ"/>
    </w:rPr>
  </w:style>
  <w:style w:type="paragraph" w:styleId="Title">
    <w:name w:val="Title"/>
    <w:basedOn w:val="Normal"/>
    <w:next w:val="Normal"/>
    <w:link w:val="TitleChar"/>
    <w:rsid w:val="00B579DE"/>
    <w:pPr>
      <w:spacing w:before="0" w:after="600" w:line="240" w:lineRule="auto"/>
      <w:jc w:val="left"/>
    </w:pPr>
    <w:rPr>
      <w:rFonts w:eastAsiaTheme="majorEastAsia" w:cstheme="majorBidi"/>
      <w:b/>
      <w:color w:val="17556C"/>
      <w:sz w:val="52"/>
      <w:szCs w:val="52"/>
    </w:rPr>
  </w:style>
  <w:style w:type="character" w:customStyle="1" w:styleId="TitleChar">
    <w:name w:val="Title Char"/>
    <w:basedOn w:val="DefaultParagraphFont"/>
    <w:link w:val="Title"/>
    <w:rsid w:val="00B579DE"/>
    <w:rPr>
      <w:rFonts w:ascii="Calibri" w:eastAsiaTheme="majorEastAsia" w:hAnsi="Calibri" w:cstheme="majorBidi"/>
      <w:b/>
      <w:color w:val="17556C"/>
      <w:sz w:val="52"/>
      <w:szCs w:val="52"/>
      <w:lang w:eastAsia="en-NZ"/>
    </w:rPr>
  </w:style>
  <w:style w:type="paragraph" w:customStyle="1" w:styleId="Bullet">
    <w:name w:val="Bullet"/>
    <w:basedOn w:val="Normal"/>
    <w:qFormat/>
    <w:rsid w:val="00E33215"/>
    <w:pPr>
      <w:numPr>
        <w:numId w:val="1"/>
      </w:numPr>
      <w:tabs>
        <w:tab w:val="left" w:pos="397"/>
      </w:tabs>
      <w:spacing w:before="0" w:line="280" w:lineRule="exact"/>
      <w:ind w:left="397" w:hanging="397"/>
      <w:jc w:val="left"/>
    </w:pPr>
    <w:rPr>
      <w:rFonts w:eastAsia="Times New Roman" w:cs="Times New Roman"/>
      <w:szCs w:val="20"/>
    </w:rPr>
  </w:style>
  <w:style w:type="paragraph" w:customStyle="1" w:styleId="Footereven">
    <w:name w:val="Footer even"/>
    <w:basedOn w:val="Normal"/>
    <w:rsid w:val="004E27B6"/>
    <w:pPr>
      <w:tabs>
        <w:tab w:val="left" w:pos="567"/>
      </w:tabs>
      <w:spacing w:after="0" w:line="240" w:lineRule="auto"/>
      <w:jc w:val="left"/>
    </w:pPr>
    <w:rPr>
      <w:rFonts w:eastAsia="Times New Roman" w:cs="Arial"/>
      <w:sz w:val="18"/>
      <w:szCs w:val="16"/>
      <w:lang w:eastAsia="en-US"/>
    </w:rPr>
  </w:style>
  <w:style w:type="paragraph" w:customStyle="1" w:styleId="Footerodd">
    <w:name w:val="Footer odd"/>
    <w:basedOn w:val="Normal"/>
    <w:rsid w:val="004E27B6"/>
    <w:pPr>
      <w:tabs>
        <w:tab w:val="right" w:pos="7938"/>
        <w:tab w:val="right" w:pos="8505"/>
      </w:tabs>
      <w:spacing w:after="0" w:line="240" w:lineRule="auto"/>
    </w:pPr>
    <w:rPr>
      <w:rFonts w:eastAsia="Times New Roman" w:cs="Arial"/>
      <w:sz w:val="18"/>
      <w:szCs w:val="16"/>
      <w:lang w:eastAsia="en-US"/>
    </w:rPr>
  </w:style>
  <w:style w:type="character" w:styleId="PageNumber">
    <w:name w:val="page number"/>
    <w:basedOn w:val="DefaultParagraphFont"/>
    <w:semiHidden/>
    <w:rsid w:val="005078F6"/>
    <w:rPr>
      <w:rFonts w:ascii="Arial" w:hAnsi="Arial" w:cs="Arial"/>
      <w:b/>
      <w:bCs/>
      <w:sz w:val="20"/>
      <w:szCs w:val="20"/>
    </w:rPr>
  </w:style>
  <w:style w:type="paragraph" w:customStyle="1" w:styleId="Tablebullet">
    <w:name w:val="Tablebullet"/>
    <w:basedOn w:val="Tabletext"/>
    <w:rsid w:val="00643320"/>
    <w:pPr>
      <w:numPr>
        <w:numId w:val="64"/>
      </w:numPr>
      <w:tabs>
        <w:tab w:val="clear" w:pos="397"/>
      </w:tabs>
      <w:spacing w:before="0"/>
    </w:pPr>
  </w:style>
  <w:style w:type="paragraph" w:customStyle="1" w:styleId="Tabletext">
    <w:name w:val="Tabletext"/>
    <w:basedOn w:val="Normal"/>
    <w:rsid w:val="00891AF3"/>
    <w:pPr>
      <w:tabs>
        <w:tab w:val="left" w:pos="397"/>
      </w:tabs>
      <w:spacing w:before="60" w:after="60" w:line="220" w:lineRule="atLeast"/>
      <w:jc w:val="left"/>
    </w:pPr>
    <w:rPr>
      <w:rFonts w:eastAsia="Times New Roman" w:cs="Times New Roman"/>
      <w:sz w:val="18"/>
      <w:szCs w:val="20"/>
      <w:lang w:eastAsia="en-US"/>
    </w:rPr>
  </w:style>
  <w:style w:type="paragraph" w:customStyle="1" w:styleId="TableDash">
    <w:name w:val="TableDash"/>
    <w:basedOn w:val="Tabletext"/>
    <w:rsid w:val="003521A0"/>
    <w:pPr>
      <w:numPr>
        <w:ilvl w:val="1"/>
        <w:numId w:val="2"/>
      </w:numPr>
      <w:tabs>
        <w:tab w:val="clear" w:pos="397"/>
        <w:tab w:val="clear" w:pos="567"/>
      </w:tabs>
      <w:spacing w:before="0" w:line="240" w:lineRule="auto"/>
      <w:ind w:left="454"/>
    </w:pPr>
  </w:style>
  <w:style w:type="paragraph" w:customStyle="1" w:styleId="Tablehead">
    <w:name w:val="Tablehead"/>
    <w:basedOn w:val="Normal"/>
    <w:semiHidden/>
    <w:rsid w:val="00BB2F3D"/>
    <w:pPr>
      <w:keepNext/>
      <w:spacing w:before="60" w:after="60" w:line="240" w:lineRule="auto"/>
      <w:jc w:val="left"/>
      <w:outlineLvl w:val="0"/>
    </w:pPr>
    <w:rPr>
      <w:rFonts w:eastAsia="Times New Roman" w:cs="Times New Roman"/>
      <w:b/>
      <w:bCs/>
      <w:sz w:val="18"/>
      <w:szCs w:val="20"/>
      <w:lang w:eastAsia="en-US"/>
    </w:rPr>
  </w:style>
  <w:style w:type="paragraph" w:styleId="Subtitle">
    <w:name w:val="Subtitle"/>
    <w:basedOn w:val="Normal"/>
    <w:next w:val="Normal"/>
    <w:link w:val="SubtitleChar"/>
    <w:rsid w:val="00B579DE"/>
    <w:pPr>
      <w:numPr>
        <w:ilvl w:val="1"/>
      </w:numPr>
      <w:jc w:val="left"/>
    </w:pPr>
    <w:rPr>
      <w:rFonts w:eastAsiaTheme="majorEastAsia" w:cstheme="majorBidi"/>
      <w:b/>
      <w:iCs/>
      <w:color w:val="17556C"/>
      <w:sz w:val="36"/>
      <w:szCs w:val="24"/>
    </w:rPr>
  </w:style>
  <w:style w:type="character" w:customStyle="1" w:styleId="SubtitleChar">
    <w:name w:val="Subtitle Char"/>
    <w:basedOn w:val="DefaultParagraphFont"/>
    <w:link w:val="Subtitle"/>
    <w:rsid w:val="00B579DE"/>
    <w:rPr>
      <w:rFonts w:ascii="Calibri" w:eastAsiaTheme="majorEastAsia" w:hAnsi="Calibri" w:cstheme="majorBidi"/>
      <w:b/>
      <w:iCs/>
      <w:color w:val="17556C"/>
      <w:sz w:val="36"/>
      <w:szCs w:val="24"/>
      <w:lang w:eastAsia="en-NZ"/>
    </w:rPr>
  </w:style>
  <w:style w:type="paragraph" w:customStyle="1" w:styleId="Sub-bullet">
    <w:name w:val="Sub-bullet"/>
    <w:basedOn w:val="Normal"/>
    <w:next w:val="BodyText"/>
    <w:qFormat/>
    <w:rsid w:val="00B579DE"/>
    <w:pPr>
      <w:numPr>
        <w:ilvl w:val="1"/>
        <w:numId w:val="3"/>
      </w:numPr>
      <w:tabs>
        <w:tab w:val="clear" w:pos="1440"/>
      </w:tabs>
      <w:spacing w:before="0"/>
      <w:ind w:left="794" w:hanging="397"/>
      <w:jc w:val="left"/>
    </w:pPr>
    <w:rPr>
      <w:rFonts w:eastAsia="Times New Roman" w:cs="Times New Roman"/>
    </w:rPr>
  </w:style>
  <w:style w:type="paragraph" w:styleId="Header">
    <w:name w:val="header"/>
    <w:basedOn w:val="Normal"/>
    <w:link w:val="HeaderChar"/>
    <w:uiPriority w:val="99"/>
    <w:semiHidden/>
    <w:rsid w:val="00945D28"/>
    <w:pPr>
      <w:tabs>
        <w:tab w:val="center" w:pos="4513"/>
        <w:tab w:val="right" w:pos="9026"/>
      </w:tabs>
      <w:spacing w:before="0" w:after="0" w:line="240" w:lineRule="auto"/>
    </w:pPr>
  </w:style>
  <w:style w:type="character" w:customStyle="1" w:styleId="HeaderChar">
    <w:name w:val="Header Char"/>
    <w:basedOn w:val="DefaultParagraphFont"/>
    <w:link w:val="Header"/>
    <w:uiPriority w:val="99"/>
    <w:semiHidden/>
    <w:rsid w:val="002A234F"/>
    <w:rPr>
      <w:rFonts w:ascii="Calibri" w:eastAsiaTheme="minorEastAsia" w:hAnsi="Calibri"/>
      <w:color w:val="00264C"/>
      <w:lang w:eastAsia="en-NZ"/>
    </w:rPr>
  </w:style>
  <w:style w:type="paragraph" w:styleId="Footer">
    <w:name w:val="footer"/>
    <w:basedOn w:val="Normal"/>
    <w:link w:val="FooterChar"/>
    <w:semiHidden/>
    <w:rsid w:val="00945D28"/>
    <w:pPr>
      <w:tabs>
        <w:tab w:val="center" w:pos="4513"/>
        <w:tab w:val="right" w:pos="9026"/>
      </w:tabs>
      <w:spacing w:before="0" w:after="0" w:line="240" w:lineRule="auto"/>
    </w:pPr>
  </w:style>
  <w:style w:type="character" w:customStyle="1" w:styleId="FooterChar">
    <w:name w:val="Footer Char"/>
    <w:basedOn w:val="DefaultParagraphFont"/>
    <w:link w:val="Footer"/>
    <w:semiHidden/>
    <w:rsid w:val="002A234F"/>
    <w:rPr>
      <w:rFonts w:ascii="Calibri" w:eastAsiaTheme="minorEastAsia" w:hAnsi="Calibri"/>
      <w:color w:val="00264C"/>
      <w:lang w:eastAsia="en-NZ"/>
    </w:rPr>
  </w:style>
  <w:style w:type="paragraph" w:customStyle="1" w:styleId="Box">
    <w:name w:val="Box"/>
    <w:basedOn w:val="Normal"/>
    <w:next w:val="Normal"/>
    <w:semiHidden/>
    <w:rsid w:val="002E22ED"/>
    <w:pPr>
      <w:pBdr>
        <w:top w:val="single" w:sz="6" w:space="15" w:color="auto"/>
        <w:left w:val="single" w:sz="6" w:space="15" w:color="auto"/>
        <w:bottom w:val="single" w:sz="6" w:space="15" w:color="auto"/>
        <w:right w:val="single" w:sz="6" w:space="15" w:color="auto"/>
      </w:pBdr>
      <w:spacing w:before="0" w:after="0"/>
      <w:ind w:left="284" w:right="284"/>
    </w:pPr>
    <w:rPr>
      <w:rFonts w:eastAsia="Times New Roman" w:cs="Times New Roman"/>
      <w:szCs w:val="20"/>
      <w:lang w:eastAsia="en-US"/>
    </w:rPr>
  </w:style>
  <w:style w:type="paragraph" w:customStyle="1" w:styleId="Boxbullet">
    <w:name w:val="Box bullet"/>
    <w:basedOn w:val="Box"/>
    <w:semiHidden/>
    <w:rsid w:val="000F2875"/>
    <w:pPr>
      <w:numPr>
        <w:numId w:val="4"/>
      </w:numPr>
      <w:spacing w:before="120"/>
    </w:pPr>
  </w:style>
  <w:style w:type="paragraph" w:customStyle="1" w:styleId="Boxheading">
    <w:name w:val="Box heading"/>
    <w:basedOn w:val="Box"/>
    <w:next w:val="Box"/>
    <w:semiHidden/>
    <w:rsid w:val="00E76731"/>
    <w:pPr>
      <w:keepNext/>
      <w:spacing w:after="160" w:line="240" w:lineRule="auto"/>
      <w:jc w:val="left"/>
    </w:pPr>
    <w:rPr>
      <w:b/>
    </w:rPr>
  </w:style>
  <w:style w:type="paragraph" w:customStyle="1" w:styleId="Boxnumbered">
    <w:name w:val="Box numbered"/>
    <w:basedOn w:val="Boxbullet"/>
    <w:next w:val="BodyText"/>
    <w:semiHidden/>
    <w:qFormat/>
    <w:rsid w:val="006E69DE"/>
    <w:pPr>
      <w:numPr>
        <w:numId w:val="5"/>
      </w:numPr>
    </w:pPr>
  </w:style>
  <w:style w:type="paragraph" w:styleId="Quote">
    <w:name w:val="Quote"/>
    <w:basedOn w:val="Normal"/>
    <w:next w:val="Normal"/>
    <w:link w:val="QuoteChar"/>
    <w:qFormat/>
    <w:rsid w:val="004E27B6"/>
    <w:pPr>
      <w:ind w:left="397" w:right="397"/>
      <w:jc w:val="left"/>
    </w:pPr>
    <w:rPr>
      <w:iCs/>
      <w:sz w:val="20"/>
    </w:rPr>
  </w:style>
  <w:style w:type="character" w:customStyle="1" w:styleId="QuoteChar">
    <w:name w:val="Quote Char"/>
    <w:basedOn w:val="DefaultParagraphFont"/>
    <w:link w:val="Quote"/>
    <w:rsid w:val="004E27B6"/>
    <w:rPr>
      <w:rFonts w:ascii="Calibri" w:eastAsiaTheme="minorEastAsia" w:hAnsi="Calibri"/>
      <w:iCs/>
      <w:sz w:val="20"/>
      <w:lang w:eastAsia="en-NZ"/>
    </w:rPr>
  </w:style>
  <w:style w:type="paragraph" w:styleId="EndnoteText">
    <w:name w:val="endnote text"/>
    <w:basedOn w:val="Normal"/>
    <w:link w:val="EndnoteTextChar"/>
    <w:semiHidden/>
    <w:rsid w:val="00CE2551"/>
    <w:pPr>
      <w:spacing w:after="0" w:line="240" w:lineRule="exact"/>
      <w:ind w:left="397" w:hanging="397"/>
      <w:jc w:val="left"/>
    </w:pPr>
    <w:rPr>
      <w:sz w:val="20"/>
      <w:szCs w:val="20"/>
    </w:rPr>
  </w:style>
  <w:style w:type="character" w:customStyle="1" w:styleId="EndnoteTextChar">
    <w:name w:val="Endnote Text Char"/>
    <w:basedOn w:val="DefaultParagraphFont"/>
    <w:link w:val="EndnoteText"/>
    <w:semiHidden/>
    <w:rsid w:val="002B1CB7"/>
    <w:rPr>
      <w:rFonts w:ascii="Calibri" w:eastAsiaTheme="minorEastAsia" w:hAnsi="Calibri"/>
      <w:color w:val="00264C"/>
      <w:sz w:val="20"/>
      <w:szCs w:val="20"/>
      <w:lang w:eastAsia="en-NZ"/>
    </w:rPr>
  </w:style>
  <w:style w:type="character" w:styleId="EndnoteReference">
    <w:name w:val="endnote reference"/>
    <w:basedOn w:val="DefaultParagraphFont"/>
    <w:uiPriority w:val="99"/>
    <w:semiHidden/>
    <w:unhideWhenUsed/>
    <w:rsid w:val="00544692"/>
    <w:rPr>
      <w:vertAlign w:val="superscript"/>
    </w:rPr>
  </w:style>
  <w:style w:type="paragraph" w:customStyle="1" w:styleId="Greenbullet-tables">
    <w:name w:val="Green bullet - tables"/>
    <w:basedOn w:val="Bullet"/>
    <w:semiHidden/>
    <w:rsid w:val="00CE2551"/>
    <w:pPr>
      <w:numPr>
        <w:numId w:val="6"/>
      </w:numPr>
      <w:tabs>
        <w:tab w:val="clear" w:pos="397"/>
      </w:tabs>
      <w:ind w:left="681" w:right="284" w:hanging="397"/>
    </w:pPr>
    <w:rPr>
      <w:color w:val="677719"/>
    </w:rPr>
  </w:style>
  <w:style w:type="paragraph" w:customStyle="1" w:styleId="Brownboxheading">
    <w:name w:val="Brown box heading"/>
    <w:basedOn w:val="Boxheading"/>
    <w:uiPriority w:val="1"/>
    <w:semiHidden/>
    <w:qFormat/>
    <w:rsid w:val="003F0C32"/>
    <w:pPr>
      <w:keepLines/>
      <w:pBdr>
        <w:top w:val="single" w:sz="4" w:space="15" w:color="F3CC97"/>
        <w:left w:val="single" w:sz="4" w:space="15" w:color="F3CC97"/>
        <w:bottom w:val="single" w:sz="4" w:space="15" w:color="F3CC97"/>
        <w:right w:val="single" w:sz="4" w:space="15" w:color="F3CC97"/>
      </w:pBdr>
      <w:shd w:val="clear" w:color="B47015" w:fill="F3CC97"/>
    </w:pPr>
    <w:rPr>
      <w:color w:val="B47015"/>
      <w:szCs w:val="22"/>
    </w:rPr>
  </w:style>
  <w:style w:type="paragraph" w:customStyle="1" w:styleId="Brownboxtext">
    <w:name w:val="Brown box text"/>
    <w:basedOn w:val="Box"/>
    <w:uiPriority w:val="1"/>
    <w:semiHidden/>
    <w:qFormat/>
    <w:rsid w:val="005E32A1"/>
    <w:pPr>
      <w:pBdr>
        <w:top w:val="single" w:sz="4" w:space="15" w:color="F3CC97"/>
        <w:left w:val="single" w:sz="4" w:space="15" w:color="F3CC97"/>
        <w:bottom w:val="single" w:sz="4" w:space="15" w:color="F3CC97"/>
        <w:right w:val="single" w:sz="4" w:space="15" w:color="F3CC97"/>
      </w:pBdr>
      <w:shd w:val="clear" w:color="B47015" w:fill="F3CC97"/>
    </w:pPr>
    <w:rPr>
      <w:color w:val="B47015"/>
      <w:szCs w:val="22"/>
    </w:rPr>
  </w:style>
  <w:style w:type="paragraph" w:customStyle="1" w:styleId="Casestudyheading">
    <w:name w:val="Case study heading"/>
    <w:basedOn w:val="BodyText"/>
    <w:semiHidden/>
    <w:rsid w:val="00661920"/>
    <w:pPr>
      <w:keepNext/>
      <w:spacing w:before="160" w:line="240" w:lineRule="auto"/>
      <w:ind w:left="284"/>
    </w:pPr>
    <w:rPr>
      <w:b/>
      <w:caps/>
    </w:rPr>
  </w:style>
  <w:style w:type="paragraph" w:customStyle="1" w:styleId="Greentext-tables">
    <w:name w:val="Green text - tables"/>
    <w:basedOn w:val="BodyText"/>
    <w:semiHidden/>
    <w:rsid w:val="00D32B28"/>
    <w:pPr>
      <w:ind w:left="284" w:right="284"/>
    </w:pPr>
    <w:rPr>
      <w:color w:val="677719"/>
    </w:rPr>
  </w:style>
  <w:style w:type="paragraph" w:customStyle="1" w:styleId="Questionsub-bullet">
    <w:name w:val="Question sub-bullet"/>
    <w:basedOn w:val="Sub-bullet"/>
    <w:semiHidden/>
    <w:qFormat/>
    <w:rsid w:val="00CE2551"/>
    <w:pPr>
      <w:ind w:left="1077" w:right="284"/>
    </w:pPr>
    <w:rPr>
      <w:color w:val="E36F1E"/>
    </w:rPr>
  </w:style>
  <w:style w:type="paragraph" w:customStyle="1" w:styleId="Heading1-lightbrown">
    <w:name w:val="Heading 1 - light brown"/>
    <w:basedOn w:val="Heading1"/>
    <w:next w:val="BodyText"/>
    <w:semiHidden/>
    <w:qFormat/>
    <w:rsid w:val="008D424D"/>
    <w:rPr>
      <w:color w:val="F1B78E"/>
    </w:rPr>
  </w:style>
  <w:style w:type="paragraph" w:customStyle="1" w:styleId="Browntextnumbered">
    <w:name w:val="Brown text numbered"/>
    <w:basedOn w:val="BodyText"/>
    <w:semiHidden/>
    <w:qFormat/>
    <w:rsid w:val="000B6BF8"/>
    <w:pPr>
      <w:numPr>
        <w:numId w:val="7"/>
      </w:numPr>
      <w:spacing w:before="0"/>
      <w:ind w:left="681" w:right="284" w:hanging="397"/>
    </w:pPr>
    <w:rPr>
      <w:rFonts w:eastAsia="Times New Roman"/>
      <w:color w:val="B47015"/>
    </w:rPr>
  </w:style>
  <w:style w:type="paragraph" w:customStyle="1" w:styleId="Quotebullet">
    <w:name w:val="Quote bullet"/>
    <w:basedOn w:val="Bullet"/>
    <w:qFormat/>
    <w:rsid w:val="003D4825"/>
    <w:pPr>
      <w:tabs>
        <w:tab w:val="clear" w:pos="397"/>
      </w:tabs>
      <w:ind w:left="794" w:right="397"/>
    </w:pPr>
    <w:rPr>
      <w:sz w:val="20"/>
    </w:rPr>
  </w:style>
  <w:style w:type="paragraph" w:styleId="TOC1">
    <w:name w:val="toc 1"/>
    <w:basedOn w:val="Normal"/>
    <w:next w:val="Normal"/>
    <w:uiPriority w:val="39"/>
    <w:unhideWhenUsed/>
    <w:rsid w:val="00D4094A"/>
    <w:pPr>
      <w:tabs>
        <w:tab w:val="left" w:pos="567"/>
        <w:tab w:val="right" w:pos="8494"/>
      </w:tabs>
      <w:spacing w:before="280" w:after="0" w:line="240" w:lineRule="auto"/>
      <w:ind w:right="567"/>
      <w:jc w:val="left"/>
    </w:pPr>
  </w:style>
  <w:style w:type="paragraph" w:styleId="TOC2">
    <w:name w:val="toc 2"/>
    <w:basedOn w:val="Normal"/>
    <w:next w:val="Normal"/>
    <w:uiPriority w:val="39"/>
    <w:unhideWhenUsed/>
    <w:rsid w:val="00D4094A"/>
    <w:pPr>
      <w:tabs>
        <w:tab w:val="left" w:pos="567"/>
        <w:tab w:val="right" w:pos="8494"/>
      </w:tabs>
      <w:spacing w:after="0" w:line="240" w:lineRule="auto"/>
      <w:ind w:left="567" w:right="567"/>
      <w:jc w:val="left"/>
    </w:pPr>
    <w:rPr>
      <w:noProof/>
    </w:rPr>
  </w:style>
  <w:style w:type="paragraph" w:styleId="TOC3">
    <w:name w:val="toc 3"/>
    <w:basedOn w:val="Normal"/>
    <w:next w:val="Normal"/>
    <w:autoRedefine/>
    <w:semiHidden/>
    <w:rsid w:val="0055121D"/>
    <w:pPr>
      <w:tabs>
        <w:tab w:val="left" w:pos="1134"/>
        <w:tab w:val="right" w:pos="9060"/>
      </w:tabs>
      <w:spacing w:before="60" w:after="60" w:line="240" w:lineRule="auto"/>
      <w:ind w:left="567" w:right="567"/>
      <w:jc w:val="left"/>
    </w:pPr>
  </w:style>
  <w:style w:type="paragraph" w:customStyle="1" w:styleId="Greenheading-tables">
    <w:name w:val="Green heading - tables"/>
    <w:basedOn w:val="Greentext-tables"/>
    <w:semiHidden/>
    <w:rsid w:val="007932EA"/>
    <w:pPr>
      <w:keepNext/>
      <w:spacing w:before="240" w:after="0"/>
    </w:pPr>
    <w:rPr>
      <w:rFonts w:eastAsia="Times New Roman"/>
      <w:b/>
    </w:rPr>
  </w:style>
  <w:style w:type="paragraph" w:customStyle="1" w:styleId="Bodytextnumbered">
    <w:name w:val="Body text numbered"/>
    <w:basedOn w:val="BodyText"/>
    <w:semiHidden/>
    <w:rsid w:val="00C22954"/>
    <w:pPr>
      <w:numPr>
        <w:numId w:val="8"/>
      </w:numPr>
      <w:spacing w:before="0"/>
      <w:ind w:left="397" w:hanging="397"/>
    </w:pPr>
  </w:style>
  <w:style w:type="paragraph" w:customStyle="1" w:styleId="References">
    <w:name w:val="References"/>
    <w:basedOn w:val="Normal"/>
    <w:rsid w:val="00CE2551"/>
    <w:pPr>
      <w:jc w:val="left"/>
    </w:pPr>
    <w:rPr>
      <w:rFonts w:eastAsia="Times New Roman" w:cs="Times New Roman"/>
      <w:szCs w:val="20"/>
      <w:lang w:eastAsia="en-US"/>
    </w:rPr>
  </w:style>
  <w:style w:type="paragraph" w:customStyle="1" w:styleId="Bodytexta">
    <w:name w:val="Body text a"/>
    <w:aliases w:val="b,Sub-list a"/>
    <w:basedOn w:val="BodyText"/>
    <w:semiHidden/>
    <w:rsid w:val="00DB6C49"/>
    <w:pPr>
      <w:numPr>
        <w:numId w:val="9"/>
      </w:numPr>
      <w:spacing w:before="0"/>
    </w:pPr>
  </w:style>
  <w:style w:type="paragraph" w:customStyle="1" w:styleId="HeadingnotforTOC">
    <w:name w:val="Heading not for TOC"/>
    <w:basedOn w:val="BodyText"/>
    <w:semiHidden/>
    <w:qFormat/>
    <w:rsid w:val="00AD49E4"/>
    <w:pPr>
      <w:keepNext/>
      <w:spacing w:before="0" w:after="360" w:line="240" w:lineRule="auto"/>
    </w:pPr>
    <w:rPr>
      <w:b/>
      <w:color w:val="F4D19C"/>
      <w:sz w:val="64"/>
      <w:szCs w:val="64"/>
    </w:rPr>
  </w:style>
  <w:style w:type="paragraph" w:customStyle="1" w:styleId="Questiontext">
    <w:name w:val="Question text"/>
    <w:basedOn w:val="Greentext-tables"/>
    <w:semiHidden/>
    <w:qFormat/>
    <w:rsid w:val="005D43FA"/>
    <w:rPr>
      <w:color w:val="E36F1E"/>
    </w:rPr>
  </w:style>
  <w:style w:type="paragraph" w:customStyle="1" w:styleId="Questionbullet">
    <w:name w:val="Question bullet"/>
    <w:basedOn w:val="Greenbullet-tables"/>
    <w:semiHidden/>
    <w:qFormat/>
    <w:rsid w:val="00BE1EFD"/>
    <w:pPr>
      <w:numPr>
        <w:numId w:val="10"/>
      </w:numPr>
      <w:ind w:left="681" w:hanging="397"/>
    </w:pPr>
    <w:rPr>
      <w:color w:val="E36F1E"/>
    </w:rPr>
  </w:style>
  <w:style w:type="paragraph" w:customStyle="1" w:styleId="Questionheading">
    <w:name w:val="Question heading"/>
    <w:basedOn w:val="Greenheading-tables"/>
    <w:semiHidden/>
    <w:qFormat/>
    <w:rsid w:val="005D43FA"/>
    <w:rPr>
      <w:color w:val="E36F1E"/>
    </w:rPr>
  </w:style>
  <w:style w:type="paragraph" w:customStyle="1" w:styleId="Imprint">
    <w:name w:val="Imprint"/>
    <w:basedOn w:val="Normal"/>
    <w:rsid w:val="004E27B6"/>
    <w:pPr>
      <w:spacing w:before="0" w:after="240" w:line="240" w:lineRule="auto"/>
      <w:jc w:val="left"/>
    </w:pPr>
    <w:rPr>
      <w:rFonts w:eastAsia="Times New Roman" w:cs="Times New Roman"/>
      <w:szCs w:val="20"/>
      <w:lang w:eastAsia="en-US"/>
    </w:rPr>
  </w:style>
  <w:style w:type="paragraph" w:customStyle="1" w:styleId="Heading">
    <w:name w:val="Heading"/>
    <w:basedOn w:val="Heading1"/>
    <w:next w:val="Normal"/>
    <w:semiHidden/>
    <w:rsid w:val="004E44DD"/>
    <w:pPr>
      <w:keepNext w:val="0"/>
      <w:keepLines w:val="0"/>
      <w:tabs>
        <w:tab w:val="clear" w:pos="851"/>
        <w:tab w:val="left" w:pos="567"/>
      </w:tabs>
      <w:spacing w:after="120"/>
      <w:outlineLvl w:val="9"/>
    </w:pPr>
    <w:rPr>
      <w:rFonts w:eastAsia="Times New Roman" w:cs="Times New Roman"/>
      <w:bCs w:val="0"/>
      <w:sz w:val="44"/>
      <w:szCs w:val="20"/>
      <w:lang w:eastAsia="en-US"/>
    </w:rPr>
  </w:style>
  <w:style w:type="paragraph" w:customStyle="1" w:styleId="Sub-list">
    <w:name w:val="Sub-list"/>
    <w:basedOn w:val="Normal"/>
    <w:semiHidden/>
    <w:rsid w:val="0040640A"/>
    <w:pPr>
      <w:numPr>
        <w:numId w:val="12"/>
      </w:numPr>
      <w:tabs>
        <w:tab w:val="left" w:pos="794"/>
      </w:tabs>
      <w:spacing w:before="60" w:after="240" w:line="240" w:lineRule="auto"/>
    </w:pPr>
    <w:rPr>
      <w:rFonts w:ascii="Times New Roman" w:eastAsia="Times New Roman" w:hAnsi="Times New Roman" w:cs="Times New Roman"/>
      <w:szCs w:val="20"/>
      <w:lang w:eastAsia="en-US"/>
    </w:rPr>
  </w:style>
  <w:style w:type="paragraph" w:customStyle="1" w:styleId="Figureheading">
    <w:name w:val="Figure heading"/>
    <w:basedOn w:val="Normal"/>
    <w:next w:val="Normal"/>
    <w:rsid w:val="004E27B6"/>
    <w:pPr>
      <w:keepNext/>
      <w:spacing w:line="240" w:lineRule="auto"/>
      <w:ind w:left="1134" w:hanging="1134"/>
      <w:jc w:val="left"/>
    </w:pPr>
    <w:rPr>
      <w:rFonts w:eastAsia="Times New Roman" w:cs="Times New Roman"/>
      <w:b/>
      <w:sz w:val="20"/>
      <w:szCs w:val="20"/>
      <w:lang w:eastAsia="en-US"/>
    </w:rPr>
  </w:style>
  <w:style w:type="paragraph" w:customStyle="1" w:styleId="Note">
    <w:name w:val="Note"/>
    <w:basedOn w:val="Normal"/>
    <w:next w:val="Normal"/>
    <w:semiHidden/>
    <w:rsid w:val="0040640A"/>
    <w:pPr>
      <w:tabs>
        <w:tab w:val="left" w:pos="680"/>
      </w:tabs>
      <w:spacing w:after="240" w:line="240" w:lineRule="auto"/>
      <w:ind w:left="680" w:hanging="680"/>
    </w:pPr>
    <w:rPr>
      <w:rFonts w:ascii="Arial" w:eastAsia="Times New Roman" w:hAnsi="Arial" w:cs="Times New Roman"/>
      <w:sz w:val="16"/>
      <w:szCs w:val="20"/>
      <w:lang w:eastAsia="en-US"/>
    </w:rPr>
  </w:style>
  <w:style w:type="paragraph" w:customStyle="1" w:styleId="Source">
    <w:name w:val="Source"/>
    <w:basedOn w:val="Normal"/>
    <w:next w:val="Normal"/>
    <w:semiHidden/>
    <w:rsid w:val="0040640A"/>
    <w:pPr>
      <w:tabs>
        <w:tab w:val="left" w:pos="680"/>
      </w:tabs>
      <w:spacing w:after="240" w:line="240" w:lineRule="auto"/>
      <w:jc w:val="left"/>
    </w:pPr>
    <w:rPr>
      <w:rFonts w:ascii="Arial" w:eastAsia="Times New Roman" w:hAnsi="Arial" w:cs="Times New Roman"/>
      <w:sz w:val="16"/>
      <w:szCs w:val="20"/>
      <w:lang w:eastAsia="en-US"/>
    </w:rPr>
  </w:style>
  <w:style w:type="paragraph" w:customStyle="1" w:styleId="Tableheading">
    <w:name w:val="Table heading"/>
    <w:basedOn w:val="Normal"/>
    <w:next w:val="Normal"/>
    <w:rsid w:val="004E27B6"/>
    <w:pPr>
      <w:keepNext/>
      <w:spacing w:line="240" w:lineRule="auto"/>
      <w:ind w:left="1134" w:hanging="1134"/>
      <w:jc w:val="left"/>
    </w:pPr>
    <w:rPr>
      <w:rFonts w:eastAsia="Times New Roman" w:cs="Times New Roman"/>
      <w:b/>
      <w:sz w:val="20"/>
      <w:szCs w:val="20"/>
      <w:lang w:eastAsia="en-US"/>
    </w:rPr>
  </w:style>
  <w:style w:type="paragraph" w:customStyle="1" w:styleId="TableText0">
    <w:name w:val="TableText"/>
    <w:basedOn w:val="Normal"/>
    <w:semiHidden/>
    <w:rsid w:val="0040640A"/>
    <w:pPr>
      <w:spacing w:before="60" w:after="60" w:line="240" w:lineRule="auto"/>
      <w:jc w:val="left"/>
    </w:pPr>
    <w:rPr>
      <w:rFonts w:ascii="Arial" w:eastAsia="Times New Roman" w:hAnsi="Arial" w:cs="Times New Roman"/>
      <w:sz w:val="16"/>
      <w:szCs w:val="20"/>
      <w:lang w:eastAsia="en-US"/>
    </w:rPr>
  </w:style>
  <w:style w:type="paragraph" w:customStyle="1" w:styleId="TableTextbold">
    <w:name w:val="TableText bold"/>
    <w:basedOn w:val="TableText0"/>
    <w:rsid w:val="00BB2F3D"/>
    <w:rPr>
      <w:rFonts w:ascii="Calibri" w:hAnsi="Calibri"/>
      <w:b/>
      <w:sz w:val="18"/>
    </w:rPr>
  </w:style>
  <w:style w:type="paragraph" w:customStyle="1" w:styleId="Glossary">
    <w:name w:val="Glossary"/>
    <w:basedOn w:val="Normal"/>
    <w:semiHidden/>
    <w:rsid w:val="0040640A"/>
    <w:pPr>
      <w:tabs>
        <w:tab w:val="left" w:pos="2835"/>
      </w:tabs>
      <w:spacing w:before="0" w:after="240" w:line="240" w:lineRule="auto"/>
      <w:ind w:left="2835" w:hanging="2835"/>
    </w:pPr>
    <w:rPr>
      <w:rFonts w:ascii="Times New Roman" w:eastAsia="Times New Roman" w:hAnsi="Times New Roman" w:cs="Times New Roman"/>
      <w:szCs w:val="20"/>
      <w:lang w:eastAsia="en-US"/>
    </w:rPr>
  </w:style>
  <w:style w:type="paragraph" w:customStyle="1" w:styleId="Numberedparagraph">
    <w:name w:val="Numbered paragraph"/>
    <w:basedOn w:val="Normal"/>
    <w:semiHidden/>
    <w:rsid w:val="0040640A"/>
    <w:pPr>
      <w:numPr>
        <w:numId w:val="11"/>
      </w:numPr>
      <w:spacing w:line="240" w:lineRule="auto"/>
    </w:pPr>
    <w:rPr>
      <w:rFonts w:ascii="Times New Roman" w:eastAsia="Times New Roman" w:hAnsi="Times New Roman" w:cs="Times New Roman"/>
      <w:szCs w:val="20"/>
      <w:lang w:eastAsia="en-US"/>
    </w:rPr>
  </w:style>
  <w:style w:type="paragraph" w:styleId="TableofFigures">
    <w:name w:val="table of figures"/>
    <w:basedOn w:val="Normal"/>
    <w:next w:val="Normal"/>
    <w:uiPriority w:val="99"/>
    <w:rsid w:val="00282B70"/>
    <w:pPr>
      <w:spacing w:before="80" w:after="0" w:line="240" w:lineRule="auto"/>
      <w:ind w:left="1134" w:right="567" w:hanging="1134"/>
      <w:jc w:val="left"/>
    </w:pPr>
    <w:rPr>
      <w:rFonts w:eastAsia="Times New Roman" w:cs="Times New Roman"/>
      <w:sz w:val="20"/>
      <w:szCs w:val="20"/>
      <w:lang w:eastAsia="en-US"/>
    </w:rPr>
  </w:style>
  <w:style w:type="paragraph" w:customStyle="1" w:styleId="Sub-listi">
    <w:name w:val="Sub-list i"/>
    <w:aliases w:val="ii"/>
    <w:basedOn w:val="BodyText"/>
    <w:semiHidden/>
    <w:rsid w:val="0040640A"/>
    <w:pPr>
      <w:numPr>
        <w:numId w:val="13"/>
      </w:numPr>
      <w:spacing w:before="60" w:after="60" w:line="240" w:lineRule="auto"/>
      <w:jc w:val="both"/>
    </w:pPr>
    <w:rPr>
      <w:rFonts w:ascii="Times New Roman" w:eastAsia="Times New Roman" w:hAnsi="Times New Roman" w:cs="Times New Roman"/>
      <w:szCs w:val="20"/>
      <w:lang w:eastAsia="en-US"/>
    </w:rPr>
  </w:style>
  <w:style w:type="paragraph" w:styleId="PlainText">
    <w:name w:val="Plain Text"/>
    <w:basedOn w:val="Normal"/>
    <w:link w:val="PlainTextChar"/>
    <w:uiPriority w:val="99"/>
    <w:semiHidden/>
    <w:rsid w:val="0040640A"/>
    <w:pPr>
      <w:spacing w:before="0" w:after="240" w:line="240" w:lineRule="auto"/>
      <w:jc w:val="left"/>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EA5323"/>
    <w:rPr>
      <w:rFonts w:ascii="Consolas" w:eastAsia="Calibri" w:hAnsi="Consolas" w:cs="Times New Roman"/>
      <w:sz w:val="21"/>
      <w:szCs w:val="21"/>
      <w:lang w:eastAsia="en-NZ"/>
    </w:rPr>
  </w:style>
  <w:style w:type="paragraph" w:customStyle="1" w:styleId="Questionforconsultationfeedback">
    <w:name w:val="Question for consultation feedback"/>
    <w:basedOn w:val="BodyText"/>
    <w:semiHidden/>
    <w:qFormat/>
    <w:rsid w:val="0040640A"/>
    <w:pPr>
      <w:spacing w:before="0" w:after="240" w:line="240" w:lineRule="auto"/>
      <w:jc w:val="both"/>
    </w:pPr>
    <w:rPr>
      <w:rFonts w:ascii="Times New Roman" w:eastAsia="Times New Roman" w:hAnsi="Times New Roman" w:cs="Times New Roman"/>
      <w:i/>
      <w:szCs w:val="20"/>
      <w:lang w:eastAsia="en-US"/>
    </w:rPr>
  </w:style>
  <w:style w:type="character" w:styleId="CommentReference">
    <w:name w:val="annotation reference"/>
    <w:basedOn w:val="DefaultParagraphFont"/>
    <w:uiPriority w:val="99"/>
    <w:semiHidden/>
    <w:unhideWhenUsed/>
    <w:rsid w:val="0040640A"/>
    <w:rPr>
      <w:sz w:val="16"/>
      <w:szCs w:val="16"/>
    </w:rPr>
  </w:style>
  <w:style w:type="paragraph" w:styleId="CommentText">
    <w:name w:val="annotation text"/>
    <w:basedOn w:val="Normal"/>
    <w:link w:val="CommentTextChar"/>
    <w:uiPriority w:val="99"/>
    <w:semiHidden/>
    <w:unhideWhenUsed/>
    <w:rsid w:val="0040640A"/>
    <w:pPr>
      <w:spacing w:before="0" w:after="200" w:line="240" w:lineRule="auto"/>
      <w:jc w:val="left"/>
    </w:pPr>
    <w:rPr>
      <w:rFonts w:asciiTheme="minorHAnsi" w:eastAsiaTheme="minorHAnsi" w:hAnsiTheme="minorHAnsi"/>
      <w:sz w:val="20"/>
      <w:szCs w:val="20"/>
      <w:lang w:eastAsia="en-US"/>
    </w:rPr>
  </w:style>
  <w:style w:type="character" w:customStyle="1" w:styleId="CommentTextChar">
    <w:name w:val="Comment Text Char"/>
    <w:basedOn w:val="DefaultParagraphFont"/>
    <w:link w:val="CommentText"/>
    <w:uiPriority w:val="99"/>
    <w:semiHidden/>
    <w:rsid w:val="0040640A"/>
    <w:rPr>
      <w:sz w:val="20"/>
      <w:szCs w:val="20"/>
    </w:rPr>
  </w:style>
  <w:style w:type="paragraph" w:styleId="CommentSubject">
    <w:name w:val="annotation subject"/>
    <w:basedOn w:val="CommentText"/>
    <w:next w:val="CommentText"/>
    <w:link w:val="CommentSubjectChar"/>
    <w:uiPriority w:val="99"/>
    <w:semiHidden/>
    <w:unhideWhenUsed/>
    <w:rsid w:val="0040640A"/>
    <w:pPr>
      <w:spacing w:after="240"/>
      <w:jc w:val="both"/>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40640A"/>
    <w:rPr>
      <w:rFonts w:ascii="Times New Roman" w:eastAsia="Times New Roman" w:hAnsi="Times New Roman" w:cs="Times New Roman"/>
      <w:b/>
      <w:bCs/>
      <w:sz w:val="20"/>
      <w:szCs w:val="20"/>
    </w:rPr>
  </w:style>
  <w:style w:type="paragraph" w:customStyle="1" w:styleId="StyleHeadingCustomColorRGB22711130After6pt">
    <w:name w:val="Style Heading + Custom Color(RGB(22711130)) After:  6 pt"/>
    <w:basedOn w:val="Heading"/>
    <w:semiHidden/>
    <w:rsid w:val="004E44DD"/>
    <w:rPr>
      <w:bCs/>
    </w:rPr>
  </w:style>
  <w:style w:type="paragraph" w:styleId="NormalWeb">
    <w:name w:val="Normal (Web)"/>
    <w:basedOn w:val="Normal"/>
    <w:uiPriority w:val="99"/>
    <w:semiHidden/>
    <w:unhideWhenUsed/>
    <w:rsid w:val="00895F6D"/>
    <w:pPr>
      <w:spacing w:before="0" w:after="360" w:line="240" w:lineRule="auto"/>
      <w:jc w:val="left"/>
    </w:pPr>
    <w:rPr>
      <w:rFonts w:ascii="Times New Roman" w:eastAsia="Times New Roman" w:hAnsi="Times New Roman" w:cs="Times New Roman"/>
      <w:sz w:val="24"/>
      <w:szCs w:val="24"/>
    </w:rPr>
  </w:style>
  <w:style w:type="paragraph" w:styleId="Revision">
    <w:name w:val="Revision"/>
    <w:hidden/>
    <w:uiPriority w:val="99"/>
    <w:semiHidden/>
    <w:rsid w:val="00435D9D"/>
    <w:pPr>
      <w:spacing w:after="0" w:line="240" w:lineRule="auto"/>
    </w:pPr>
    <w:rPr>
      <w:rFonts w:ascii="Calibri" w:eastAsiaTheme="minorEastAsia" w:hAnsi="Calibri"/>
      <w:lang w:eastAsia="en-NZ"/>
    </w:rPr>
  </w:style>
  <w:style w:type="paragraph" w:styleId="NoSpacing">
    <w:name w:val="No Spacing"/>
    <w:aliases w:val="Numbered Paragraphs"/>
    <w:uiPriority w:val="1"/>
    <w:qFormat/>
    <w:rsid w:val="00782903"/>
    <w:pPr>
      <w:numPr>
        <w:numId w:val="73"/>
      </w:numPr>
      <w:spacing w:before="120" w:after="120" w:line="240" w:lineRule="auto"/>
      <w:ind w:left="567" w:hanging="567"/>
      <w:jc w:val="both"/>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46099">
      <w:bodyDiv w:val="1"/>
      <w:marLeft w:val="0"/>
      <w:marRight w:val="0"/>
      <w:marTop w:val="0"/>
      <w:marBottom w:val="0"/>
      <w:divBdr>
        <w:top w:val="none" w:sz="0" w:space="0" w:color="auto"/>
        <w:left w:val="none" w:sz="0" w:space="0" w:color="auto"/>
        <w:bottom w:val="none" w:sz="0" w:space="0" w:color="auto"/>
        <w:right w:val="none" w:sz="0" w:space="0" w:color="auto"/>
      </w:divBdr>
      <w:divsChild>
        <w:div w:id="1151942934">
          <w:marLeft w:val="0"/>
          <w:marRight w:val="0"/>
          <w:marTop w:val="0"/>
          <w:marBottom w:val="0"/>
          <w:divBdr>
            <w:top w:val="none" w:sz="0" w:space="0" w:color="auto"/>
            <w:left w:val="none" w:sz="0" w:space="0" w:color="auto"/>
            <w:bottom w:val="none" w:sz="0" w:space="0" w:color="auto"/>
            <w:right w:val="none" w:sz="0" w:space="0" w:color="auto"/>
          </w:divBdr>
          <w:divsChild>
            <w:div w:id="269557597">
              <w:marLeft w:val="0"/>
              <w:marRight w:val="0"/>
              <w:marTop w:val="0"/>
              <w:marBottom w:val="0"/>
              <w:divBdr>
                <w:top w:val="none" w:sz="0" w:space="0" w:color="auto"/>
                <w:left w:val="none" w:sz="0" w:space="0" w:color="auto"/>
                <w:bottom w:val="none" w:sz="0" w:space="0" w:color="auto"/>
                <w:right w:val="none" w:sz="0" w:space="0" w:color="auto"/>
              </w:divBdr>
              <w:divsChild>
                <w:div w:id="81731870">
                  <w:marLeft w:val="0"/>
                  <w:marRight w:val="0"/>
                  <w:marTop w:val="105"/>
                  <w:marBottom w:val="0"/>
                  <w:divBdr>
                    <w:top w:val="none" w:sz="0" w:space="0" w:color="auto"/>
                    <w:left w:val="none" w:sz="0" w:space="0" w:color="auto"/>
                    <w:bottom w:val="none" w:sz="0" w:space="0" w:color="auto"/>
                    <w:right w:val="none" w:sz="0" w:space="0" w:color="auto"/>
                  </w:divBdr>
                  <w:divsChild>
                    <w:div w:id="551698647">
                      <w:marLeft w:val="450"/>
                      <w:marRight w:val="225"/>
                      <w:marTop w:val="0"/>
                      <w:marBottom w:val="0"/>
                      <w:divBdr>
                        <w:top w:val="none" w:sz="0" w:space="0" w:color="auto"/>
                        <w:left w:val="none" w:sz="0" w:space="0" w:color="auto"/>
                        <w:bottom w:val="none" w:sz="0" w:space="0" w:color="auto"/>
                        <w:right w:val="none" w:sz="0" w:space="0" w:color="auto"/>
                      </w:divBdr>
                      <w:divsChild>
                        <w:div w:id="961883210">
                          <w:marLeft w:val="0"/>
                          <w:marRight w:val="0"/>
                          <w:marTop w:val="0"/>
                          <w:marBottom w:val="600"/>
                          <w:divBdr>
                            <w:top w:val="single" w:sz="6" w:space="0" w:color="314664"/>
                            <w:left w:val="single" w:sz="6" w:space="0" w:color="314664"/>
                            <w:bottom w:val="single" w:sz="6" w:space="0" w:color="314664"/>
                            <w:right w:val="single" w:sz="6" w:space="0" w:color="314664"/>
                          </w:divBdr>
                          <w:divsChild>
                            <w:div w:id="900016442">
                              <w:marLeft w:val="0"/>
                              <w:marRight w:val="0"/>
                              <w:marTop w:val="0"/>
                              <w:marBottom w:val="0"/>
                              <w:divBdr>
                                <w:top w:val="none" w:sz="0" w:space="0" w:color="auto"/>
                                <w:left w:val="none" w:sz="0" w:space="0" w:color="auto"/>
                                <w:bottom w:val="none" w:sz="0" w:space="0" w:color="auto"/>
                                <w:right w:val="none" w:sz="0" w:space="0" w:color="auto"/>
                              </w:divBdr>
                              <w:divsChild>
                                <w:div w:id="714475612">
                                  <w:marLeft w:val="0"/>
                                  <w:marRight w:val="0"/>
                                  <w:marTop w:val="0"/>
                                  <w:marBottom w:val="0"/>
                                  <w:divBdr>
                                    <w:top w:val="none" w:sz="0" w:space="0" w:color="auto"/>
                                    <w:left w:val="none" w:sz="0" w:space="0" w:color="auto"/>
                                    <w:bottom w:val="none" w:sz="0" w:space="0" w:color="auto"/>
                                    <w:right w:val="none" w:sz="0" w:space="0" w:color="auto"/>
                                  </w:divBdr>
                                  <w:divsChild>
                                    <w:div w:id="186455006">
                                      <w:marLeft w:val="0"/>
                                      <w:marRight w:val="0"/>
                                      <w:marTop w:val="0"/>
                                      <w:marBottom w:val="0"/>
                                      <w:divBdr>
                                        <w:top w:val="none" w:sz="0" w:space="0" w:color="auto"/>
                                        <w:left w:val="none" w:sz="0" w:space="0" w:color="auto"/>
                                        <w:bottom w:val="none" w:sz="0" w:space="0" w:color="auto"/>
                                        <w:right w:val="none" w:sz="0" w:space="0" w:color="auto"/>
                                      </w:divBdr>
                                      <w:divsChild>
                                        <w:div w:id="2053725474">
                                          <w:marLeft w:val="0"/>
                                          <w:marRight w:val="0"/>
                                          <w:marTop w:val="0"/>
                                          <w:marBottom w:val="0"/>
                                          <w:divBdr>
                                            <w:top w:val="none" w:sz="0" w:space="0" w:color="auto"/>
                                            <w:left w:val="none" w:sz="0" w:space="0" w:color="auto"/>
                                            <w:bottom w:val="none" w:sz="0" w:space="0" w:color="auto"/>
                                            <w:right w:val="none" w:sz="0" w:space="0" w:color="auto"/>
                                          </w:divBdr>
                                          <w:divsChild>
                                            <w:div w:id="1408725303">
                                              <w:marLeft w:val="0"/>
                                              <w:marRight w:val="0"/>
                                              <w:marTop w:val="0"/>
                                              <w:marBottom w:val="0"/>
                                              <w:divBdr>
                                                <w:top w:val="none" w:sz="0" w:space="0" w:color="auto"/>
                                                <w:left w:val="none" w:sz="0" w:space="0" w:color="auto"/>
                                                <w:bottom w:val="none" w:sz="0" w:space="0" w:color="auto"/>
                                                <w:right w:val="none" w:sz="0" w:space="0" w:color="auto"/>
                                              </w:divBdr>
                                              <w:divsChild>
                                                <w:div w:id="1190023152">
                                                  <w:marLeft w:val="0"/>
                                                  <w:marRight w:val="0"/>
                                                  <w:marTop w:val="0"/>
                                                  <w:marBottom w:val="0"/>
                                                  <w:divBdr>
                                                    <w:top w:val="none" w:sz="0" w:space="0" w:color="auto"/>
                                                    <w:left w:val="none" w:sz="0" w:space="0" w:color="auto"/>
                                                    <w:bottom w:val="none" w:sz="0" w:space="0" w:color="auto"/>
                                                    <w:right w:val="none" w:sz="0" w:space="0" w:color="auto"/>
                                                  </w:divBdr>
                                                  <w:divsChild>
                                                    <w:div w:id="698703694">
                                                      <w:marLeft w:val="0"/>
                                                      <w:marRight w:val="0"/>
                                                      <w:marTop w:val="0"/>
                                                      <w:marBottom w:val="0"/>
                                                      <w:divBdr>
                                                        <w:top w:val="none" w:sz="0" w:space="0" w:color="auto"/>
                                                        <w:left w:val="none" w:sz="0" w:space="0" w:color="auto"/>
                                                        <w:bottom w:val="none" w:sz="0" w:space="0" w:color="auto"/>
                                                        <w:right w:val="none" w:sz="0" w:space="0" w:color="auto"/>
                                                      </w:divBdr>
                                                      <w:divsChild>
                                                        <w:div w:id="96445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0469444">
      <w:bodyDiv w:val="1"/>
      <w:marLeft w:val="0"/>
      <w:marRight w:val="0"/>
      <w:marTop w:val="0"/>
      <w:marBottom w:val="0"/>
      <w:divBdr>
        <w:top w:val="none" w:sz="0" w:space="0" w:color="auto"/>
        <w:left w:val="none" w:sz="0" w:space="0" w:color="auto"/>
        <w:bottom w:val="none" w:sz="0" w:space="0" w:color="auto"/>
        <w:right w:val="none" w:sz="0" w:space="0" w:color="auto"/>
      </w:divBdr>
    </w:div>
    <w:div w:id="369577553">
      <w:bodyDiv w:val="1"/>
      <w:marLeft w:val="0"/>
      <w:marRight w:val="0"/>
      <w:marTop w:val="0"/>
      <w:marBottom w:val="0"/>
      <w:divBdr>
        <w:top w:val="none" w:sz="0" w:space="0" w:color="auto"/>
        <w:left w:val="none" w:sz="0" w:space="0" w:color="auto"/>
        <w:bottom w:val="none" w:sz="0" w:space="0" w:color="auto"/>
        <w:right w:val="none" w:sz="0" w:space="0" w:color="auto"/>
      </w:divBdr>
      <w:divsChild>
        <w:div w:id="1524981640">
          <w:marLeft w:val="0"/>
          <w:marRight w:val="0"/>
          <w:marTop w:val="0"/>
          <w:marBottom w:val="0"/>
          <w:divBdr>
            <w:top w:val="single" w:sz="48" w:space="0" w:color="49616D"/>
            <w:left w:val="none" w:sz="0" w:space="0" w:color="auto"/>
            <w:bottom w:val="none" w:sz="0" w:space="0" w:color="auto"/>
            <w:right w:val="none" w:sz="0" w:space="0" w:color="auto"/>
          </w:divBdr>
          <w:divsChild>
            <w:div w:id="879321571">
              <w:marLeft w:val="0"/>
              <w:marRight w:val="0"/>
              <w:marTop w:val="0"/>
              <w:marBottom w:val="0"/>
              <w:divBdr>
                <w:top w:val="none" w:sz="0" w:space="0" w:color="auto"/>
                <w:left w:val="none" w:sz="0" w:space="0" w:color="auto"/>
                <w:bottom w:val="none" w:sz="0" w:space="0" w:color="auto"/>
                <w:right w:val="none" w:sz="0" w:space="0" w:color="auto"/>
              </w:divBdr>
              <w:divsChild>
                <w:div w:id="1410426091">
                  <w:marLeft w:val="0"/>
                  <w:marRight w:val="0"/>
                  <w:marTop w:val="0"/>
                  <w:marBottom w:val="0"/>
                  <w:divBdr>
                    <w:top w:val="none" w:sz="0" w:space="0" w:color="auto"/>
                    <w:left w:val="none" w:sz="0" w:space="0" w:color="auto"/>
                    <w:bottom w:val="none" w:sz="0" w:space="0" w:color="auto"/>
                    <w:right w:val="none" w:sz="0" w:space="0" w:color="auto"/>
                  </w:divBdr>
                  <w:divsChild>
                    <w:div w:id="1596358100">
                      <w:marLeft w:val="0"/>
                      <w:marRight w:val="0"/>
                      <w:marTop w:val="0"/>
                      <w:marBottom w:val="0"/>
                      <w:divBdr>
                        <w:top w:val="none" w:sz="0" w:space="0" w:color="auto"/>
                        <w:left w:val="none" w:sz="0" w:space="0" w:color="auto"/>
                        <w:bottom w:val="none" w:sz="0" w:space="0" w:color="auto"/>
                        <w:right w:val="none" w:sz="0" w:space="0" w:color="auto"/>
                      </w:divBdr>
                      <w:divsChild>
                        <w:div w:id="1714963693">
                          <w:marLeft w:val="0"/>
                          <w:marRight w:val="0"/>
                          <w:marTop w:val="0"/>
                          <w:marBottom w:val="0"/>
                          <w:divBdr>
                            <w:top w:val="none" w:sz="0" w:space="0" w:color="auto"/>
                            <w:left w:val="none" w:sz="0" w:space="0" w:color="auto"/>
                            <w:bottom w:val="none" w:sz="0" w:space="0" w:color="auto"/>
                            <w:right w:val="none" w:sz="0" w:space="0" w:color="auto"/>
                          </w:divBdr>
                          <w:divsChild>
                            <w:div w:id="841746759">
                              <w:marLeft w:val="0"/>
                              <w:marRight w:val="0"/>
                              <w:marTop w:val="0"/>
                              <w:marBottom w:val="0"/>
                              <w:divBdr>
                                <w:top w:val="none" w:sz="0" w:space="0" w:color="auto"/>
                                <w:left w:val="none" w:sz="0" w:space="0" w:color="auto"/>
                                <w:bottom w:val="none" w:sz="0" w:space="0" w:color="auto"/>
                                <w:right w:val="none" w:sz="0" w:space="0" w:color="auto"/>
                              </w:divBdr>
                              <w:divsChild>
                                <w:div w:id="2133399918">
                                  <w:marLeft w:val="0"/>
                                  <w:marRight w:val="0"/>
                                  <w:marTop w:val="0"/>
                                  <w:marBottom w:val="0"/>
                                  <w:divBdr>
                                    <w:top w:val="none" w:sz="0" w:space="0" w:color="auto"/>
                                    <w:left w:val="none" w:sz="0" w:space="0" w:color="auto"/>
                                    <w:bottom w:val="none" w:sz="0" w:space="0" w:color="auto"/>
                                    <w:right w:val="none" w:sz="0" w:space="0" w:color="auto"/>
                                  </w:divBdr>
                                  <w:divsChild>
                                    <w:div w:id="449128337">
                                      <w:marLeft w:val="0"/>
                                      <w:marRight w:val="0"/>
                                      <w:marTop w:val="0"/>
                                      <w:marBottom w:val="0"/>
                                      <w:divBdr>
                                        <w:top w:val="none" w:sz="0" w:space="0" w:color="auto"/>
                                        <w:left w:val="none" w:sz="0" w:space="0" w:color="auto"/>
                                        <w:bottom w:val="none" w:sz="0" w:space="0" w:color="auto"/>
                                        <w:right w:val="none" w:sz="0" w:space="0" w:color="auto"/>
                                      </w:divBdr>
                                      <w:divsChild>
                                        <w:div w:id="1684045527">
                                          <w:marLeft w:val="225"/>
                                          <w:marRight w:val="225"/>
                                          <w:marTop w:val="0"/>
                                          <w:marBottom w:val="0"/>
                                          <w:divBdr>
                                            <w:top w:val="none" w:sz="0" w:space="0" w:color="auto"/>
                                            <w:left w:val="none" w:sz="0" w:space="0" w:color="auto"/>
                                            <w:bottom w:val="none" w:sz="0" w:space="0" w:color="auto"/>
                                            <w:right w:val="none" w:sz="0" w:space="0" w:color="auto"/>
                                          </w:divBdr>
                                          <w:divsChild>
                                            <w:div w:id="745616647">
                                              <w:marLeft w:val="0"/>
                                              <w:marRight w:val="0"/>
                                              <w:marTop w:val="0"/>
                                              <w:marBottom w:val="0"/>
                                              <w:divBdr>
                                                <w:top w:val="none" w:sz="0" w:space="0" w:color="auto"/>
                                                <w:left w:val="none" w:sz="0" w:space="0" w:color="auto"/>
                                                <w:bottom w:val="none" w:sz="0" w:space="0" w:color="auto"/>
                                                <w:right w:val="none" w:sz="0" w:space="0" w:color="auto"/>
                                              </w:divBdr>
                                              <w:divsChild>
                                                <w:div w:id="122386114">
                                                  <w:marLeft w:val="0"/>
                                                  <w:marRight w:val="0"/>
                                                  <w:marTop w:val="0"/>
                                                  <w:marBottom w:val="0"/>
                                                  <w:divBdr>
                                                    <w:top w:val="none" w:sz="0" w:space="0" w:color="auto"/>
                                                    <w:left w:val="none" w:sz="0" w:space="0" w:color="auto"/>
                                                    <w:bottom w:val="none" w:sz="0" w:space="0" w:color="auto"/>
                                                    <w:right w:val="none" w:sz="0" w:space="0" w:color="auto"/>
                                                  </w:divBdr>
                                                  <w:divsChild>
                                                    <w:div w:id="373846541">
                                                      <w:marLeft w:val="0"/>
                                                      <w:marRight w:val="0"/>
                                                      <w:marTop w:val="0"/>
                                                      <w:marBottom w:val="0"/>
                                                      <w:divBdr>
                                                        <w:top w:val="none" w:sz="0" w:space="0" w:color="auto"/>
                                                        <w:left w:val="none" w:sz="0" w:space="0" w:color="auto"/>
                                                        <w:bottom w:val="none" w:sz="0" w:space="0" w:color="auto"/>
                                                        <w:right w:val="none" w:sz="0" w:space="0" w:color="auto"/>
                                                      </w:divBdr>
                                                      <w:divsChild>
                                                        <w:div w:id="126314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9285091">
      <w:bodyDiv w:val="1"/>
      <w:marLeft w:val="0"/>
      <w:marRight w:val="0"/>
      <w:marTop w:val="0"/>
      <w:marBottom w:val="0"/>
      <w:divBdr>
        <w:top w:val="none" w:sz="0" w:space="0" w:color="auto"/>
        <w:left w:val="none" w:sz="0" w:space="0" w:color="auto"/>
        <w:bottom w:val="none" w:sz="0" w:space="0" w:color="auto"/>
        <w:right w:val="none" w:sz="0" w:space="0" w:color="auto"/>
      </w:divBdr>
    </w:div>
    <w:div w:id="1377781635">
      <w:bodyDiv w:val="1"/>
      <w:marLeft w:val="0"/>
      <w:marRight w:val="0"/>
      <w:marTop w:val="0"/>
      <w:marBottom w:val="0"/>
      <w:divBdr>
        <w:top w:val="none" w:sz="0" w:space="0" w:color="auto"/>
        <w:left w:val="none" w:sz="0" w:space="0" w:color="auto"/>
        <w:bottom w:val="none" w:sz="0" w:space="0" w:color="auto"/>
        <w:right w:val="none" w:sz="0" w:space="0" w:color="auto"/>
      </w:divBdr>
      <w:divsChild>
        <w:div w:id="968897155">
          <w:marLeft w:val="0"/>
          <w:marRight w:val="0"/>
          <w:marTop w:val="0"/>
          <w:marBottom w:val="0"/>
          <w:divBdr>
            <w:top w:val="none" w:sz="0" w:space="0" w:color="auto"/>
            <w:left w:val="none" w:sz="0" w:space="0" w:color="auto"/>
            <w:bottom w:val="none" w:sz="0" w:space="0" w:color="auto"/>
            <w:right w:val="none" w:sz="0" w:space="0" w:color="auto"/>
          </w:divBdr>
          <w:divsChild>
            <w:div w:id="954288852">
              <w:marLeft w:val="0"/>
              <w:marRight w:val="0"/>
              <w:marTop w:val="0"/>
              <w:marBottom w:val="0"/>
              <w:divBdr>
                <w:top w:val="none" w:sz="0" w:space="0" w:color="auto"/>
                <w:left w:val="none" w:sz="0" w:space="0" w:color="auto"/>
                <w:bottom w:val="none" w:sz="0" w:space="0" w:color="auto"/>
                <w:right w:val="none" w:sz="0" w:space="0" w:color="auto"/>
              </w:divBdr>
              <w:divsChild>
                <w:div w:id="298658270">
                  <w:marLeft w:val="0"/>
                  <w:marRight w:val="0"/>
                  <w:marTop w:val="105"/>
                  <w:marBottom w:val="0"/>
                  <w:divBdr>
                    <w:top w:val="none" w:sz="0" w:space="0" w:color="auto"/>
                    <w:left w:val="none" w:sz="0" w:space="0" w:color="auto"/>
                    <w:bottom w:val="none" w:sz="0" w:space="0" w:color="auto"/>
                    <w:right w:val="none" w:sz="0" w:space="0" w:color="auto"/>
                  </w:divBdr>
                  <w:divsChild>
                    <w:div w:id="1832215646">
                      <w:marLeft w:val="450"/>
                      <w:marRight w:val="225"/>
                      <w:marTop w:val="0"/>
                      <w:marBottom w:val="0"/>
                      <w:divBdr>
                        <w:top w:val="none" w:sz="0" w:space="0" w:color="auto"/>
                        <w:left w:val="none" w:sz="0" w:space="0" w:color="auto"/>
                        <w:bottom w:val="none" w:sz="0" w:space="0" w:color="auto"/>
                        <w:right w:val="none" w:sz="0" w:space="0" w:color="auto"/>
                      </w:divBdr>
                      <w:divsChild>
                        <w:div w:id="657005362">
                          <w:marLeft w:val="0"/>
                          <w:marRight w:val="0"/>
                          <w:marTop w:val="0"/>
                          <w:marBottom w:val="600"/>
                          <w:divBdr>
                            <w:top w:val="single" w:sz="6" w:space="0" w:color="314664"/>
                            <w:left w:val="single" w:sz="6" w:space="0" w:color="314664"/>
                            <w:bottom w:val="single" w:sz="6" w:space="0" w:color="314664"/>
                            <w:right w:val="single" w:sz="6" w:space="0" w:color="314664"/>
                          </w:divBdr>
                          <w:divsChild>
                            <w:div w:id="263461557">
                              <w:marLeft w:val="0"/>
                              <w:marRight w:val="0"/>
                              <w:marTop w:val="0"/>
                              <w:marBottom w:val="0"/>
                              <w:divBdr>
                                <w:top w:val="none" w:sz="0" w:space="0" w:color="auto"/>
                                <w:left w:val="none" w:sz="0" w:space="0" w:color="auto"/>
                                <w:bottom w:val="none" w:sz="0" w:space="0" w:color="auto"/>
                                <w:right w:val="none" w:sz="0" w:space="0" w:color="auto"/>
                              </w:divBdr>
                              <w:divsChild>
                                <w:div w:id="1687713130">
                                  <w:marLeft w:val="0"/>
                                  <w:marRight w:val="0"/>
                                  <w:marTop w:val="0"/>
                                  <w:marBottom w:val="0"/>
                                  <w:divBdr>
                                    <w:top w:val="none" w:sz="0" w:space="0" w:color="auto"/>
                                    <w:left w:val="none" w:sz="0" w:space="0" w:color="auto"/>
                                    <w:bottom w:val="none" w:sz="0" w:space="0" w:color="auto"/>
                                    <w:right w:val="none" w:sz="0" w:space="0" w:color="auto"/>
                                  </w:divBdr>
                                  <w:divsChild>
                                    <w:div w:id="1268657141">
                                      <w:marLeft w:val="0"/>
                                      <w:marRight w:val="0"/>
                                      <w:marTop w:val="0"/>
                                      <w:marBottom w:val="0"/>
                                      <w:divBdr>
                                        <w:top w:val="none" w:sz="0" w:space="0" w:color="auto"/>
                                        <w:left w:val="none" w:sz="0" w:space="0" w:color="auto"/>
                                        <w:bottom w:val="none" w:sz="0" w:space="0" w:color="auto"/>
                                        <w:right w:val="none" w:sz="0" w:space="0" w:color="auto"/>
                                      </w:divBdr>
                                      <w:divsChild>
                                        <w:div w:id="1139155438">
                                          <w:marLeft w:val="0"/>
                                          <w:marRight w:val="0"/>
                                          <w:marTop w:val="0"/>
                                          <w:marBottom w:val="0"/>
                                          <w:divBdr>
                                            <w:top w:val="none" w:sz="0" w:space="0" w:color="auto"/>
                                            <w:left w:val="none" w:sz="0" w:space="0" w:color="auto"/>
                                            <w:bottom w:val="none" w:sz="0" w:space="0" w:color="auto"/>
                                            <w:right w:val="none" w:sz="0" w:space="0" w:color="auto"/>
                                          </w:divBdr>
                                          <w:divsChild>
                                            <w:div w:id="1804229096">
                                              <w:marLeft w:val="0"/>
                                              <w:marRight w:val="0"/>
                                              <w:marTop w:val="0"/>
                                              <w:marBottom w:val="0"/>
                                              <w:divBdr>
                                                <w:top w:val="none" w:sz="0" w:space="0" w:color="auto"/>
                                                <w:left w:val="none" w:sz="0" w:space="0" w:color="auto"/>
                                                <w:bottom w:val="none" w:sz="0" w:space="0" w:color="auto"/>
                                                <w:right w:val="none" w:sz="0" w:space="0" w:color="auto"/>
                                              </w:divBdr>
                                              <w:divsChild>
                                                <w:div w:id="475999428">
                                                  <w:marLeft w:val="0"/>
                                                  <w:marRight w:val="0"/>
                                                  <w:marTop w:val="0"/>
                                                  <w:marBottom w:val="0"/>
                                                  <w:divBdr>
                                                    <w:top w:val="none" w:sz="0" w:space="0" w:color="auto"/>
                                                    <w:left w:val="none" w:sz="0" w:space="0" w:color="auto"/>
                                                    <w:bottom w:val="none" w:sz="0" w:space="0" w:color="auto"/>
                                                    <w:right w:val="none" w:sz="0" w:space="0" w:color="auto"/>
                                                  </w:divBdr>
                                                  <w:divsChild>
                                                    <w:div w:id="78441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2227803">
      <w:bodyDiv w:val="1"/>
      <w:marLeft w:val="0"/>
      <w:marRight w:val="0"/>
      <w:marTop w:val="0"/>
      <w:marBottom w:val="0"/>
      <w:divBdr>
        <w:top w:val="none" w:sz="0" w:space="0" w:color="auto"/>
        <w:left w:val="none" w:sz="0" w:space="0" w:color="auto"/>
        <w:bottom w:val="none" w:sz="0" w:space="0" w:color="auto"/>
        <w:right w:val="none" w:sz="0" w:space="0" w:color="auto"/>
      </w:divBdr>
      <w:divsChild>
        <w:div w:id="1413626129">
          <w:marLeft w:val="0"/>
          <w:marRight w:val="0"/>
          <w:marTop w:val="0"/>
          <w:marBottom w:val="0"/>
          <w:divBdr>
            <w:top w:val="none" w:sz="0" w:space="0" w:color="auto"/>
            <w:left w:val="none" w:sz="0" w:space="0" w:color="auto"/>
            <w:bottom w:val="none" w:sz="0" w:space="0" w:color="auto"/>
            <w:right w:val="none" w:sz="0" w:space="0" w:color="auto"/>
          </w:divBdr>
          <w:divsChild>
            <w:div w:id="60569426">
              <w:marLeft w:val="0"/>
              <w:marRight w:val="0"/>
              <w:marTop w:val="0"/>
              <w:marBottom w:val="0"/>
              <w:divBdr>
                <w:top w:val="none" w:sz="0" w:space="0" w:color="auto"/>
                <w:left w:val="none" w:sz="0" w:space="0" w:color="auto"/>
                <w:bottom w:val="none" w:sz="0" w:space="0" w:color="auto"/>
                <w:right w:val="none" w:sz="0" w:space="0" w:color="auto"/>
              </w:divBdr>
              <w:divsChild>
                <w:div w:id="1074471191">
                  <w:marLeft w:val="0"/>
                  <w:marRight w:val="0"/>
                  <w:marTop w:val="105"/>
                  <w:marBottom w:val="0"/>
                  <w:divBdr>
                    <w:top w:val="none" w:sz="0" w:space="0" w:color="auto"/>
                    <w:left w:val="none" w:sz="0" w:space="0" w:color="auto"/>
                    <w:bottom w:val="none" w:sz="0" w:space="0" w:color="auto"/>
                    <w:right w:val="none" w:sz="0" w:space="0" w:color="auto"/>
                  </w:divBdr>
                  <w:divsChild>
                    <w:div w:id="301083903">
                      <w:marLeft w:val="450"/>
                      <w:marRight w:val="225"/>
                      <w:marTop w:val="0"/>
                      <w:marBottom w:val="0"/>
                      <w:divBdr>
                        <w:top w:val="none" w:sz="0" w:space="0" w:color="auto"/>
                        <w:left w:val="none" w:sz="0" w:space="0" w:color="auto"/>
                        <w:bottom w:val="none" w:sz="0" w:space="0" w:color="auto"/>
                        <w:right w:val="none" w:sz="0" w:space="0" w:color="auto"/>
                      </w:divBdr>
                      <w:divsChild>
                        <w:div w:id="812716297">
                          <w:marLeft w:val="0"/>
                          <w:marRight w:val="0"/>
                          <w:marTop w:val="0"/>
                          <w:marBottom w:val="600"/>
                          <w:divBdr>
                            <w:top w:val="single" w:sz="6" w:space="0" w:color="314664"/>
                            <w:left w:val="single" w:sz="6" w:space="0" w:color="314664"/>
                            <w:bottom w:val="single" w:sz="6" w:space="0" w:color="314664"/>
                            <w:right w:val="single" w:sz="6" w:space="0" w:color="314664"/>
                          </w:divBdr>
                          <w:divsChild>
                            <w:div w:id="547035446">
                              <w:marLeft w:val="0"/>
                              <w:marRight w:val="0"/>
                              <w:marTop w:val="0"/>
                              <w:marBottom w:val="0"/>
                              <w:divBdr>
                                <w:top w:val="none" w:sz="0" w:space="0" w:color="auto"/>
                                <w:left w:val="none" w:sz="0" w:space="0" w:color="auto"/>
                                <w:bottom w:val="none" w:sz="0" w:space="0" w:color="auto"/>
                                <w:right w:val="none" w:sz="0" w:space="0" w:color="auto"/>
                              </w:divBdr>
                              <w:divsChild>
                                <w:div w:id="1799569877">
                                  <w:marLeft w:val="0"/>
                                  <w:marRight w:val="0"/>
                                  <w:marTop w:val="0"/>
                                  <w:marBottom w:val="0"/>
                                  <w:divBdr>
                                    <w:top w:val="none" w:sz="0" w:space="0" w:color="auto"/>
                                    <w:left w:val="none" w:sz="0" w:space="0" w:color="auto"/>
                                    <w:bottom w:val="none" w:sz="0" w:space="0" w:color="auto"/>
                                    <w:right w:val="none" w:sz="0" w:space="0" w:color="auto"/>
                                  </w:divBdr>
                                  <w:divsChild>
                                    <w:div w:id="1285697035">
                                      <w:marLeft w:val="0"/>
                                      <w:marRight w:val="0"/>
                                      <w:marTop w:val="0"/>
                                      <w:marBottom w:val="0"/>
                                      <w:divBdr>
                                        <w:top w:val="none" w:sz="0" w:space="0" w:color="auto"/>
                                        <w:left w:val="none" w:sz="0" w:space="0" w:color="auto"/>
                                        <w:bottom w:val="none" w:sz="0" w:space="0" w:color="auto"/>
                                        <w:right w:val="none" w:sz="0" w:space="0" w:color="auto"/>
                                      </w:divBdr>
                                      <w:divsChild>
                                        <w:div w:id="318196146">
                                          <w:marLeft w:val="0"/>
                                          <w:marRight w:val="0"/>
                                          <w:marTop w:val="0"/>
                                          <w:marBottom w:val="0"/>
                                          <w:divBdr>
                                            <w:top w:val="none" w:sz="0" w:space="0" w:color="auto"/>
                                            <w:left w:val="none" w:sz="0" w:space="0" w:color="auto"/>
                                            <w:bottom w:val="none" w:sz="0" w:space="0" w:color="auto"/>
                                            <w:right w:val="none" w:sz="0" w:space="0" w:color="auto"/>
                                          </w:divBdr>
                                          <w:divsChild>
                                            <w:div w:id="2053917495">
                                              <w:marLeft w:val="0"/>
                                              <w:marRight w:val="0"/>
                                              <w:marTop w:val="0"/>
                                              <w:marBottom w:val="0"/>
                                              <w:divBdr>
                                                <w:top w:val="none" w:sz="0" w:space="0" w:color="auto"/>
                                                <w:left w:val="none" w:sz="0" w:space="0" w:color="auto"/>
                                                <w:bottom w:val="none" w:sz="0" w:space="0" w:color="auto"/>
                                                <w:right w:val="none" w:sz="0" w:space="0" w:color="auto"/>
                                              </w:divBdr>
                                              <w:divsChild>
                                                <w:div w:id="304820567">
                                                  <w:marLeft w:val="0"/>
                                                  <w:marRight w:val="0"/>
                                                  <w:marTop w:val="0"/>
                                                  <w:marBottom w:val="0"/>
                                                  <w:divBdr>
                                                    <w:top w:val="none" w:sz="0" w:space="0" w:color="auto"/>
                                                    <w:left w:val="none" w:sz="0" w:space="0" w:color="auto"/>
                                                    <w:bottom w:val="none" w:sz="0" w:space="0" w:color="auto"/>
                                                    <w:right w:val="none" w:sz="0" w:space="0" w:color="auto"/>
                                                  </w:divBdr>
                                                  <w:divsChild>
                                                    <w:div w:id="265433082">
                                                      <w:marLeft w:val="0"/>
                                                      <w:marRight w:val="0"/>
                                                      <w:marTop w:val="0"/>
                                                      <w:marBottom w:val="0"/>
                                                      <w:divBdr>
                                                        <w:top w:val="none" w:sz="0" w:space="0" w:color="auto"/>
                                                        <w:left w:val="none" w:sz="0" w:space="0" w:color="auto"/>
                                                        <w:bottom w:val="none" w:sz="0" w:space="0" w:color="auto"/>
                                                        <w:right w:val="none" w:sz="0" w:space="0" w:color="auto"/>
                                                      </w:divBdr>
                                                      <w:divsChild>
                                                        <w:div w:id="23849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0969344">
      <w:bodyDiv w:val="1"/>
      <w:marLeft w:val="0"/>
      <w:marRight w:val="0"/>
      <w:marTop w:val="0"/>
      <w:marBottom w:val="0"/>
      <w:divBdr>
        <w:top w:val="none" w:sz="0" w:space="0" w:color="auto"/>
        <w:left w:val="none" w:sz="0" w:space="0" w:color="auto"/>
        <w:bottom w:val="none" w:sz="0" w:space="0" w:color="auto"/>
        <w:right w:val="none" w:sz="0" w:space="0" w:color="auto"/>
      </w:divBdr>
      <w:divsChild>
        <w:div w:id="1290741428">
          <w:marLeft w:val="547"/>
          <w:marRight w:val="0"/>
          <w:marTop w:val="0"/>
          <w:marBottom w:val="0"/>
          <w:divBdr>
            <w:top w:val="none" w:sz="0" w:space="0" w:color="auto"/>
            <w:left w:val="none" w:sz="0" w:space="0" w:color="auto"/>
            <w:bottom w:val="none" w:sz="0" w:space="0" w:color="auto"/>
            <w:right w:val="none" w:sz="0" w:space="0" w:color="auto"/>
          </w:divBdr>
        </w:div>
        <w:div w:id="567807246">
          <w:marLeft w:val="547"/>
          <w:marRight w:val="0"/>
          <w:marTop w:val="0"/>
          <w:marBottom w:val="0"/>
          <w:divBdr>
            <w:top w:val="none" w:sz="0" w:space="0" w:color="auto"/>
            <w:left w:val="none" w:sz="0" w:space="0" w:color="auto"/>
            <w:bottom w:val="none" w:sz="0" w:space="0" w:color="auto"/>
            <w:right w:val="none" w:sz="0" w:space="0" w:color="auto"/>
          </w:divBdr>
        </w:div>
      </w:divsChild>
    </w:div>
    <w:div w:id="212514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diagramData" Target="diagrams/data1.xml"/><Relationship Id="rId39"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8.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image" Target="media/image4.jpg"/><Relationship Id="rId33" Type="http://schemas.openxmlformats.org/officeDocument/2006/relationships/footer" Target="footer7.xml"/><Relationship Id="rId38"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diagramColors" Target="diagrams/colors1.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header" Target="header9.xml"/><Relationship Id="rId37" Type="http://schemas.openxmlformats.org/officeDocument/2006/relationships/header" Target="header12.xml"/><Relationship Id="rId40"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footer" Target="footer6.xml"/><Relationship Id="rId28" Type="http://schemas.openxmlformats.org/officeDocument/2006/relationships/diagramQuickStyle" Target="diagrams/quickStyle1.xml"/><Relationship Id="rId36" Type="http://schemas.openxmlformats.org/officeDocument/2006/relationships/header" Target="header11.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mfe.govt.nz" TargetMode="External"/><Relationship Id="rId22" Type="http://schemas.openxmlformats.org/officeDocument/2006/relationships/footer" Target="footer5.xml"/><Relationship Id="rId27" Type="http://schemas.openxmlformats.org/officeDocument/2006/relationships/diagramLayout" Target="diagrams/layout1.xml"/><Relationship Id="rId30" Type="http://schemas.microsoft.com/office/2007/relationships/diagramDrawing" Target="diagrams/drawing1.xml"/><Relationship Id="rId35" Type="http://schemas.openxmlformats.org/officeDocument/2006/relationships/header" Target="header10.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www.ssc.govt.nz/pif-six-dimens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70B9E8A-7476-43E6-9CB1-9F52D4F5C390}" type="doc">
      <dgm:prSet loTypeId="urn:microsoft.com/office/officeart/2005/8/layout/hierarchy4" loCatId="hierarchy" qsTypeId="urn:microsoft.com/office/officeart/2005/8/quickstyle/simple1" qsCatId="simple" csTypeId="urn:microsoft.com/office/officeart/2005/8/colors/colorful1" csCatId="colorful" phldr="1"/>
      <dgm:spPr/>
      <dgm:t>
        <a:bodyPr/>
        <a:lstStyle/>
        <a:p>
          <a:endParaRPr lang="en-NZ"/>
        </a:p>
      </dgm:t>
    </dgm:pt>
    <dgm:pt modelId="{71B35F23-AAED-455E-844B-16A5A172032B}">
      <dgm:prSet phldrT="[Text]"/>
      <dgm:spPr>
        <a:xfrm>
          <a:off x="2229" y="365"/>
          <a:ext cx="6034031" cy="1257114"/>
        </a:xfrm>
        <a:solidFill>
          <a:srgbClr val="9BBB59">
            <a:lumMod val="75000"/>
          </a:srgbClr>
        </a:solidFill>
        <a:ln w="25400" cap="flat" cmpd="sng" algn="ctr">
          <a:solidFill>
            <a:sysClr val="window" lastClr="FFFFFF">
              <a:hueOff val="0"/>
              <a:satOff val="0"/>
              <a:lumOff val="0"/>
              <a:alphaOff val="0"/>
            </a:sysClr>
          </a:solidFill>
          <a:prstDash val="solid"/>
        </a:ln>
        <a:effectLst/>
      </dgm:spPr>
      <dgm:t>
        <a:bodyPr/>
        <a:lstStyle/>
        <a:p>
          <a:pPr algn="ctr"/>
          <a:r>
            <a:rPr lang="en-NZ">
              <a:solidFill>
                <a:sysClr val="window" lastClr="FFFFFF"/>
              </a:solidFill>
              <a:latin typeface="Calibri"/>
              <a:ea typeface="+mn-ea"/>
              <a:cs typeface="+mn-cs"/>
            </a:rPr>
            <a:t>Overview report</a:t>
          </a:r>
        </a:p>
      </dgm:t>
    </dgm:pt>
    <dgm:pt modelId="{D39BEC0F-0D4E-43BC-BC56-A5169B31C1DA}" type="parTrans" cxnId="{227F0097-1A0A-41E0-BF26-E7D8C0541D8F}">
      <dgm:prSet/>
      <dgm:spPr/>
      <dgm:t>
        <a:bodyPr/>
        <a:lstStyle/>
        <a:p>
          <a:pPr algn="ctr"/>
          <a:endParaRPr lang="en-NZ"/>
        </a:p>
      </dgm:t>
    </dgm:pt>
    <dgm:pt modelId="{CCA9C9B9-3435-4688-824D-B5ABE1219BDF}" type="sibTrans" cxnId="{227F0097-1A0A-41E0-BF26-E7D8C0541D8F}">
      <dgm:prSet/>
      <dgm:spPr/>
      <dgm:t>
        <a:bodyPr/>
        <a:lstStyle/>
        <a:p>
          <a:pPr algn="ctr"/>
          <a:endParaRPr lang="en-NZ"/>
        </a:p>
      </dgm:t>
    </dgm:pt>
    <dgm:pt modelId="{A66E243B-F052-47E2-A5E8-ACF801788B36}">
      <dgm:prSet phldrT="[Text]"/>
      <dgm:spPr>
        <a:xfrm>
          <a:off x="2229" y="1364144"/>
          <a:ext cx="2956212" cy="1257114"/>
        </a:xfrm>
        <a:solidFill>
          <a:srgbClr val="8064A2">
            <a:lumMod val="75000"/>
          </a:srgbClr>
        </a:solidFill>
        <a:ln w="25400" cap="flat" cmpd="sng" algn="ctr">
          <a:solidFill>
            <a:sysClr val="window" lastClr="FFFFFF">
              <a:hueOff val="0"/>
              <a:satOff val="0"/>
              <a:lumOff val="0"/>
              <a:alphaOff val="0"/>
            </a:sysClr>
          </a:solidFill>
          <a:prstDash val="solid"/>
        </a:ln>
        <a:effectLst/>
      </dgm:spPr>
      <dgm:t>
        <a:bodyPr/>
        <a:lstStyle/>
        <a:p>
          <a:pPr algn="ctr"/>
          <a:r>
            <a:rPr lang="en-NZ">
              <a:solidFill>
                <a:sysClr val="window" lastClr="FFFFFF"/>
              </a:solidFill>
              <a:latin typeface="Calibri"/>
              <a:ea typeface="+mn-ea"/>
              <a:cs typeface="+mn-cs"/>
            </a:rPr>
            <a:t>Review of effectiveness and efficiency</a:t>
          </a:r>
        </a:p>
      </dgm:t>
    </dgm:pt>
    <dgm:pt modelId="{B29AB3A7-132B-44B5-8BA2-7382575B5492}" type="parTrans" cxnId="{1DD86957-56D2-4CDF-923A-65FEE2463454}">
      <dgm:prSet/>
      <dgm:spPr/>
      <dgm:t>
        <a:bodyPr/>
        <a:lstStyle/>
        <a:p>
          <a:pPr algn="ctr"/>
          <a:endParaRPr lang="en-NZ"/>
        </a:p>
      </dgm:t>
    </dgm:pt>
    <dgm:pt modelId="{CAF515C5-5339-4B19-9AE6-6BDD254BE595}" type="sibTrans" cxnId="{1DD86957-56D2-4CDF-923A-65FEE2463454}">
      <dgm:prSet/>
      <dgm:spPr/>
      <dgm:t>
        <a:bodyPr/>
        <a:lstStyle/>
        <a:p>
          <a:pPr algn="ctr"/>
          <a:endParaRPr lang="en-NZ"/>
        </a:p>
      </dgm:t>
    </dgm:pt>
    <dgm:pt modelId="{75317BDC-C29F-4CA4-A195-D9B37CF865D0}">
      <dgm:prSet phldrT="[Text]"/>
      <dgm:spPr>
        <a:xfrm>
          <a:off x="2229" y="2727923"/>
          <a:ext cx="1447704" cy="1257114"/>
        </a:xfrm>
        <a:solidFill>
          <a:srgbClr val="B3A2C7"/>
        </a:solidFill>
        <a:ln w="25400" cap="flat" cmpd="sng" algn="ctr">
          <a:solidFill>
            <a:sysClr val="window" lastClr="FFFFFF">
              <a:hueOff val="0"/>
              <a:satOff val="0"/>
              <a:lumOff val="0"/>
              <a:alphaOff val="0"/>
            </a:sysClr>
          </a:solidFill>
          <a:prstDash val="solid"/>
        </a:ln>
        <a:effectLst/>
      </dgm:spPr>
      <dgm:t>
        <a:bodyPr/>
        <a:lstStyle/>
        <a:p>
          <a:pPr algn="ctr"/>
          <a:r>
            <a:rPr lang="en-NZ">
              <a:solidFill>
                <a:sysClr val="windowText" lastClr="000000"/>
              </a:solidFill>
              <a:latin typeface="Calibri"/>
              <a:ea typeface="+mn-ea"/>
              <a:cs typeface="+mn-cs"/>
            </a:rPr>
            <a:t>EPA self-review</a:t>
          </a:r>
        </a:p>
      </dgm:t>
    </dgm:pt>
    <dgm:pt modelId="{53E379C7-C621-48ED-AE4F-B47188BAA5CE}" type="parTrans" cxnId="{24002E86-14BD-4BB9-BECB-0CE331D39072}">
      <dgm:prSet/>
      <dgm:spPr/>
      <dgm:t>
        <a:bodyPr/>
        <a:lstStyle/>
        <a:p>
          <a:pPr algn="ctr"/>
          <a:endParaRPr lang="en-NZ"/>
        </a:p>
      </dgm:t>
    </dgm:pt>
    <dgm:pt modelId="{A84E4D7B-F3D3-4C4D-B08D-5F5F21CEF5D9}" type="sibTrans" cxnId="{24002E86-14BD-4BB9-BECB-0CE331D39072}">
      <dgm:prSet/>
      <dgm:spPr/>
      <dgm:t>
        <a:bodyPr/>
        <a:lstStyle/>
        <a:p>
          <a:pPr algn="ctr"/>
          <a:endParaRPr lang="en-NZ"/>
        </a:p>
      </dgm:t>
    </dgm:pt>
    <dgm:pt modelId="{B7F564DA-33B4-450E-AE04-447FE7C93CBF}">
      <dgm:prSet phldrT="[Text]"/>
      <dgm:spPr>
        <a:xfrm>
          <a:off x="1510737" y="2727923"/>
          <a:ext cx="1447704" cy="1257114"/>
        </a:xfrm>
        <a:solidFill>
          <a:srgbClr val="DAD2E4"/>
        </a:solidFill>
        <a:ln w="25400" cap="flat" cmpd="sng" algn="ctr">
          <a:solidFill>
            <a:sysClr val="window" lastClr="FFFFFF">
              <a:hueOff val="0"/>
              <a:satOff val="0"/>
              <a:lumOff val="0"/>
              <a:alphaOff val="0"/>
            </a:sysClr>
          </a:solidFill>
          <a:prstDash val="solid"/>
        </a:ln>
        <a:effectLst/>
      </dgm:spPr>
      <dgm:t>
        <a:bodyPr/>
        <a:lstStyle/>
        <a:p>
          <a:pPr algn="ctr"/>
          <a:r>
            <a:rPr lang="en-NZ">
              <a:solidFill>
                <a:sysClr val="windowText" lastClr="000000"/>
              </a:solidFill>
              <a:latin typeface="Calibri"/>
              <a:ea typeface="+mn-ea"/>
              <a:cs typeface="+mn-cs"/>
            </a:rPr>
            <a:t>External reviewer's assessment</a:t>
          </a:r>
        </a:p>
      </dgm:t>
    </dgm:pt>
    <dgm:pt modelId="{F7D73FF4-DBA3-461C-98AC-513F13AD4EC2}" type="parTrans" cxnId="{C09DB28A-666C-44D3-ABA3-96030CC8C868}">
      <dgm:prSet/>
      <dgm:spPr/>
      <dgm:t>
        <a:bodyPr/>
        <a:lstStyle/>
        <a:p>
          <a:pPr algn="ctr"/>
          <a:endParaRPr lang="en-NZ"/>
        </a:p>
      </dgm:t>
    </dgm:pt>
    <dgm:pt modelId="{F55C7902-11EB-4051-A374-BE2EA23D5EC8}" type="sibTrans" cxnId="{C09DB28A-666C-44D3-ABA3-96030CC8C868}">
      <dgm:prSet/>
      <dgm:spPr/>
      <dgm:t>
        <a:bodyPr/>
        <a:lstStyle/>
        <a:p>
          <a:pPr algn="ctr"/>
          <a:endParaRPr lang="en-NZ"/>
        </a:p>
      </dgm:t>
    </dgm:pt>
    <dgm:pt modelId="{8B8B5F66-D2EF-42F0-8E6F-26B398A91350}">
      <dgm:prSet phldrT="[Text]"/>
      <dgm:spPr>
        <a:xfrm>
          <a:off x="3080048" y="1364144"/>
          <a:ext cx="2956212" cy="1257114"/>
        </a:xfrm>
        <a:solidFill>
          <a:srgbClr val="4F81BD">
            <a:lumMod val="75000"/>
          </a:srgbClr>
        </a:solidFill>
        <a:ln w="25400" cap="flat" cmpd="sng" algn="ctr">
          <a:solidFill>
            <a:sysClr val="window" lastClr="FFFFFF">
              <a:hueOff val="0"/>
              <a:satOff val="0"/>
              <a:lumOff val="0"/>
              <a:alphaOff val="0"/>
            </a:sysClr>
          </a:solidFill>
          <a:prstDash val="solid"/>
        </a:ln>
        <a:effectLst/>
      </dgm:spPr>
      <dgm:t>
        <a:bodyPr/>
        <a:lstStyle/>
        <a:p>
          <a:pPr algn="ctr"/>
          <a:r>
            <a:rPr lang="en-NZ">
              <a:solidFill>
                <a:sysClr val="window" lastClr="FFFFFF"/>
              </a:solidFill>
              <a:latin typeface="Calibri"/>
              <a:ea typeface="+mn-ea"/>
              <a:cs typeface="+mn-cs"/>
            </a:rPr>
            <a:t>Fiscal sustainability</a:t>
          </a:r>
        </a:p>
      </dgm:t>
    </dgm:pt>
    <dgm:pt modelId="{F1F821CE-5B1B-472E-A488-DCF13ACF407A}" type="parTrans" cxnId="{B6AA0A83-0DEE-41E8-A312-2C75C2059E18}">
      <dgm:prSet/>
      <dgm:spPr/>
      <dgm:t>
        <a:bodyPr/>
        <a:lstStyle/>
        <a:p>
          <a:pPr algn="ctr"/>
          <a:endParaRPr lang="en-NZ"/>
        </a:p>
      </dgm:t>
    </dgm:pt>
    <dgm:pt modelId="{3A74AA6B-E7F8-4891-B243-3B2DF4604B0D}" type="sibTrans" cxnId="{B6AA0A83-0DEE-41E8-A312-2C75C2059E18}">
      <dgm:prSet/>
      <dgm:spPr/>
      <dgm:t>
        <a:bodyPr/>
        <a:lstStyle/>
        <a:p>
          <a:pPr algn="ctr"/>
          <a:endParaRPr lang="en-NZ"/>
        </a:p>
      </dgm:t>
    </dgm:pt>
    <dgm:pt modelId="{9C2756E5-C4F5-4FEE-BB32-0BF17ACB9765}">
      <dgm:prSet phldrT="[Text]"/>
      <dgm:spPr>
        <a:xfrm>
          <a:off x="3080048" y="2727923"/>
          <a:ext cx="1447704" cy="1257114"/>
        </a:xfrm>
        <a:solidFill>
          <a:srgbClr val="1F497D">
            <a:lumMod val="40000"/>
            <a:lumOff val="60000"/>
          </a:srgbClr>
        </a:solidFill>
        <a:ln w="25400" cap="flat" cmpd="sng" algn="ctr">
          <a:solidFill>
            <a:sysClr val="window" lastClr="FFFFFF">
              <a:hueOff val="0"/>
              <a:satOff val="0"/>
              <a:lumOff val="0"/>
              <a:alphaOff val="0"/>
            </a:sysClr>
          </a:solidFill>
          <a:prstDash val="solid"/>
        </a:ln>
        <a:effectLst/>
      </dgm:spPr>
      <dgm:t>
        <a:bodyPr/>
        <a:lstStyle/>
        <a:p>
          <a:pPr algn="ctr"/>
          <a:r>
            <a:rPr lang="en-NZ">
              <a:solidFill>
                <a:sysClr val="windowText" lastClr="000000"/>
              </a:solidFill>
              <a:latin typeface="Calibri"/>
              <a:ea typeface="+mn-ea"/>
              <a:cs typeface="+mn-cs"/>
            </a:rPr>
            <a:t>Baseline review</a:t>
          </a:r>
        </a:p>
      </dgm:t>
    </dgm:pt>
    <dgm:pt modelId="{DB2A538F-09A7-49DF-8BD0-D365E213B1EC}" type="parTrans" cxnId="{24E750B5-282A-459C-8BB3-FE869F8CAED1}">
      <dgm:prSet/>
      <dgm:spPr/>
      <dgm:t>
        <a:bodyPr/>
        <a:lstStyle/>
        <a:p>
          <a:pPr algn="ctr"/>
          <a:endParaRPr lang="en-NZ"/>
        </a:p>
      </dgm:t>
    </dgm:pt>
    <dgm:pt modelId="{12E9D8C6-5A94-4D89-A907-71A1A32DB328}" type="sibTrans" cxnId="{24E750B5-282A-459C-8BB3-FE869F8CAED1}">
      <dgm:prSet/>
      <dgm:spPr/>
      <dgm:t>
        <a:bodyPr/>
        <a:lstStyle/>
        <a:p>
          <a:pPr algn="ctr"/>
          <a:endParaRPr lang="en-NZ"/>
        </a:p>
      </dgm:t>
    </dgm:pt>
    <dgm:pt modelId="{1036B257-EA9E-4616-B793-BC5F61D687C9}">
      <dgm:prSet phldrT="[Text]"/>
      <dgm:spPr>
        <a:xfrm>
          <a:off x="4588556" y="2727923"/>
          <a:ext cx="1447704" cy="1257114"/>
        </a:xfrm>
        <a:solidFill>
          <a:srgbClr val="1F497D">
            <a:lumMod val="20000"/>
            <a:lumOff val="80000"/>
          </a:srgbClr>
        </a:solidFill>
        <a:ln w="25400" cap="flat" cmpd="sng" algn="ctr">
          <a:solidFill>
            <a:sysClr val="window" lastClr="FFFFFF">
              <a:hueOff val="0"/>
              <a:satOff val="0"/>
              <a:lumOff val="0"/>
              <a:alphaOff val="0"/>
            </a:sysClr>
          </a:solidFill>
          <a:prstDash val="solid"/>
        </a:ln>
        <a:effectLst/>
      </dgm:spPr>
      <dgm:t>
        <a:bodyPr/>
        <a:lstStyle/>
        <a:p>
          <a:pPr algn="ctr"/>
          <a:r>
            <a:rPr lang="en-NZ">
              <a:solidFill>
                <a:sysClr val="windowText" lastClr="000000"/>
              </a:solidFill>
              <a:latin typeface="Calibri"/>
              <a:ea typeface="+mn-ea"/>
              <a:cs typeface="+mn-cs"/>
            </a:rPr>
            <a:t>Cost recovery practices</a:t>
          </a:r>
        </a:p>
      </dgm:t>
    </dgm:pt>
    <dgm:pt modelId="{50A5D1DB-FD39-49E9-82FD-647F06B9B8A5}" type="parTrans" cxnId="{A42C53FA-49E5-494B-A8F9-7203B3B05A50}">
      <dgm:prSet/>
      <dgm:spPr/>
      <dgm:t>
        <a:bodyPr/>
        <a:lstStyle/>
        <a:p>
          <a:pPr algn="ctr"/>
          <a:endParaRPr lang="en-NZ"/>
        </a:p>
      </dgm:t>
    </dgm:pt>
    <dgm:pt modelId="{956508F0-8A07-4A13-8BE3-7F7E6903309C}" type="sibTrans" cxnId="{A42C53FA-49E5-494B-A8F9-7203B3B05A50}">
      <dgm:prSet/>
      <dgm:spPr/>
      <dgm:t>
        <a:bodyPr/>
        <a:lstStyle/>
        <a:p>
          <a:pPr algn="ctr"/>
          <a:endParaRPr lang="en-NZ"/>
        </a:p>
      </dgm:t>
    </dgm:pt>
    <dgm:pt modelId="{0F7077C6-602F-45C2-A213-8254A89584F5}" type="pres">
      <dgm:prSet presAssocID="{770B9E8A-7476-43E6-9CB1-9F52D4F5C390}" presName="Name0" presStyleCnt="0">
        <dgm:presLayoutVars>
          <dgm:chPref val="1"/>
          <dgm:dir/>
          <dgm:animOne val="branch"/>
          <dgm:animLvl val="lvl"/>
          <dgm:resizeHandles/>
        </dgm:presLayoutVars>
      </dgm:prSet>
      <dgm:spPr/>
      <dgm:t>
        <a:bodyPr/>
        <a:lstStyle/>
        <a:p>
          <a:endParaRPr lang="en-NZ"/>
        </a:p>
      </dgm:t>
    </dgm:pt>
    <dgm:pt modelId="{1B425CD6-EF88-4E65-9D1E-575B9CBC0157}" type="pres">
      <dgm:prSet presAssocID="{71B35F23-AAED-455E-844B-16A5A172032B}" presName="vertOne" presStyleCnt="0"/>
      <dgm:spPr/>
    </dgm:pt>
    <dgm:pt modelId="{9D8485CD-2EEB-4E90-8E0C-09C8598DE955}" type="pres">
      <dgm:prSet presAssocID="{71B35F23-AAED-455E-844B-16A5A172032B}" presName="txOne" presStyleLbl="node0" presStyleIdx="0" presStyleCnt="1">
        <dgm:presLayoutVars>
          <dgm:chPref val="3"/>
        </dgm:presLayoutVars>
      </dgm:prSet>
      <dgm:spPr>
        <a:prstGeom prst="roundRect">
          <a:avLst>
            <a:gd name="adj" fmla="val 10000"/>
          </a:avLst>
        </a:prstGeom>
      </dgm:spPr>
      <dgm:t>
        <a:bodyPr/>
        <a:lstStyle/>
        <a:p>
          <a:endParaRPr lang="en-NZ"/>
        </a:p>
      </dgm:t>
    </dgm:pt>
    <dgm:pt modelId="{AA2EC7FB-D8FF-44EE-BAED-1ACC2706C68B}" type="pres">
      <dgm:prSet presAssocID="{71B35F23-AAED-455E-844B-16A5A172032B}" presName="parTransOne" presStyleCnt="0"/>
      <dgm:spPr/>
    </dgm:pt>
    <dgm:pt modelId="{1FF21C17-DD51-4281-BDB2-F45235889934}" type="pres">
      <dgm:prSet presAssocID="{71B35F23-AAED-455E-844B-16A5A172032B}" presName="horzOne" presStyleCnt="0"/>
      <dgm:spPr/>
    </dgm:pt>
    <dgm:pt modelId="{9F6881FA-D213-43DD-AD0A-D53A8F6B9D16}" type="pres">
      <dgm:prSet presAssocID="{A66E243B-F052-47E2-A5E8-ACF801788B36}" presName="vertTwo" presStyleCnt="0"/>
      <dgm:spPr/>
    </dgm:pt>
    <dgm:pt modelId="{8F7F5BA3-BB02-4318-B6F1-6EA72EF5E664}" type="pres">
      <dgm:prSet presAssocID="{A66E243B-F052-47E2-A5E8-ACF801788B36}" presName="txTwo" presStyleLbl="node2" presStyleIdx="0" presStyleCnt="2">
        <dgm:presLayoutVars>
          <dgm:chPref val="3"/>
        </dgm:presLayoutVars>
      </dgm:prSet>
      <dgm:spPr>
        <a:prstGeom prst="roundRect">
          <a:avLst>
            <a:gd name="adj" fmla="val 10000"/>
          </a:avLst>
        </a:prstGeom>
      </dgm:spPr>
      <dgm:t>
        <a:bodyPr/>
        <a:lstStyle/>
        <a:p>
          <a:endParaRPr lang="en-NZ"/>
        </a:p>
      </dgm:t>
    </dgm:pt>
    <dgm:pt modelId="{9F41E253-EDD0-44FD-A1D4-AA63C592F6FE}" type="pres">
      <dgm:prSet presAssocID="{A66E243B-F052-47E2-A5E8-ACF801788B36}" presName="parTransTwo" presStyleCnt="0"/>
      <dgm:spPr/>
    </dgm:pt>
    <dgm:pt modelId="{BC9F791A-2B19-4DB7-9AA4-92E961D17F6B}" type="pres">
      <dgm:prSet presAssocID="{A66E243B-F052-47E2-A5E8-ACF801788B36}" presName="horzTwo" presStyleCnt="0"/>
      <dgm:spPr/>
    </dgm:pt>
    <dgm:pt modelId="{72CB8594-DC59-4A19-9938-5751EF66EE6A}" type="pres">
      <dgm:prSet presAssocID="{75317BDC-C29F-4CA4-A195-D9B37CF865D0}" presName="vertThree" presStyleCnt="0"/>
      <dgm:spPr/>
    </dgm:pt>
    <dgm:pt modelId="{3F04B9F0-E715-4B01-A359-69037FE85C38}" type="pres">
      <dgm:prSet presAssocID="{75317BDC-C29F-4CA4-A195-D9B37CF865D0}" presName="txThree" presStyleLbl="node3" presStyleIdx="0" presStyleCnt="4">
        <dgm:presLayoutVars>
          <dgm:chPref val="3"/>
        </dgm:presLayoutVars>
      </dgm:prSet>
      <dgm:spPr>
        <a:prstGeom prst="roundRect">
          <a:avLst>
            <a:gd name="adj" fmla="val 10000"/>
          </a:avLst>
        </a:prstGeom>
      </dgm:spPr>
      <dgm:t>
        <a:bodyPr/>
        <a:lstStyle/>
        <a:p>
          <a:endParaRPr lang="en-NZ"/>
        </a:p>
      </dgm:t>
    </dgm:pt>
    <dgm:pt modelId="{33E97B9D-44B3-4D33-B906-DD1268299224}" type="pres">
      <dgm:prSet presAssocID="{75317BDC-C29F-4CA4-A195-D9B37CF865D0}" presName="horzThree" presStyleCnt="0"/>
      <dgm:spPr/>
    </dgm:pt>
    <dgm:pt modelId="{83FA5056-EB6C-4EC9-898A-E4FB51B89E97}" type="pres">
      <dgm:prSet presAssocID="{A84E4D7B-F3D3-4C4D-B08D-5F5F21CEF5D9}" presName="sibSpaceThree" presStyleCnt="0"/>
      <dgm:spPr/>
    </dgm:pt>
    <dgm:pt modelId="{18F7F9A1-9430-493D-A190-96D74EC366F9}" type="pres">
      <dgm:prSet presAssocID="{B7F564DA-33B4-450E-AE04-447FE7C93CBF}" presName="vertThree" presStyleCnt="0"/>
      <dgm:spPr/>
    </dgm:pt>
    <dgm:pt modelId="{F7FFCF2C-6F74-4C1A-9054-8771B6979606}" type="pres">
      <dgm:prSet presAssocID="{B7F564DA-33B4-450E-AE04-447FE7C93CBF}" presName="txThree" presStyleLbl="node3" presStyleIdx="1" presStyleCnt="4">
        <dgm:presLayoutVars>
          <dgm:chPref val="3"/>
        </dgm:presLayoutVars>
      </dgm:prSet>
      <dgm:spPr>
        <a:prstGeom prst="roundRect">
          <a:avLst>
            <a:gd name="adj" fmla="val 10000"/>
          </a:avLst>
        </a:prstGeom>
      </dgm:spPr>
      <dgm:t>
        <a:bodyPr/>
        <a:lstStyle/>
        <a:p>
          <a:endParaRPr lang="en-NZ"/>
        </a:p>
      </dgm:t>
    </dgm:pt>
    <dgm:pt modelId="{1BFD72DB-DFA0-494A-B702-DF8855E48515}" type="pres">
      <dgm:prSet presAssocID="{B7F564DA-33B4-450E-AE04-447FE7C93CBF}" presName="horzThree" presStyleCnt="0"/>
      <dgm:spPr/>
    </dgm:pt>
    <dgm:pt modelId="{9DF58EB5-DF73-4DEE-B757-5C3D3CE4B00E}" type="pres">
      <dgm:prSet presAssocID="{CAF515C5-5339-4B19-9AE6-6BDD254BE595}" presName="sibSpaceTwo" presStyleCnt="0"/>
      <dgm:spPr/>
    </dgm:pt>
    <dgm:pt modelId="{8B7408FA-D231-4E0F-B1CA-718EB06920F9}" type="pres">
      <dgm:prSet presAssocID="{8B8B5F66-D2EF-42F0-8E6F-26B398A91350}" presName="vertTwo" presStyleCnt="0"/>
      <dgm:spPr/>
    </dgm:pt>
    <dgm:pt modelId="{61C1E31A-C1EF-4BBA-949A-303A79BAB179}" type="pres">
      <dgm:prSet presAssocID="{8B8B5F66-D2EF-42F0-8E6F-26B398A91350}" presName="txTwo" presStyleLbl="node2" presStyleIdx="1" presStyleCnt="2">
        <dgm:presLayoutVars>
          <dgm:chPref val="3"/>
        </dgm:presLayoutVars>
      </dgm:prSet>
      <dgm:spPr>
        <a:prstGeom prst="roundRect">
          <a:avLst>
            <a:gd name="adj" fmla="val 10000"/>
          </a:avLst>
        </a:prstGeom>
      </dgm:spPr>
      <dgm:t>
        <a:bodyPr/>
        <a:lstStyle/>
        <a:p>
          <a:endParaRPr lang="en-NZ"/>
        </a:p>
      </dgm:t>
    </dgm:pt>
    <dgm:pt modelId="{23A906BA-14C1-4CC5-B9BC-05A15C3343F2}" type="pres">
      <dgm:prSet presAssocID="{8B8B5F66-D2EF-42F0-8E6F-26B398A91350}" presName="parTransTwo" presStyleCnt="0"/>
      <dgm:spPr/>
    </dgm:pt>
    <dgm:pt modelId="{D3C7218A-8CE1-4786-9EA0-EE783DFA0F1E}" type="pres">
      <dgm:prSet presAssocID="{8B8B5F66-D2EF-42F0-8E6F-26B398A91350}" presName="horzTwo" presStyleCnt="0"/>
      <dgm:spPr/>
    </dgm:pt>
    <dgm:pt modelId="{537A2F82-C0D4-43ED-B2D5-B3AE78432655}" type="pres">
      <dgm:prSet presAssocID="{9C2756E5-C4F5-4FEE-BB32-0BF17ACB9765}" presName="vertThree" presStyleCnt="0"/>
      <dgm:spPr/>
    </dgm:pt>
    <dgm:pt modelId="{CB3237A1-3FA2-4557-B0AD-BDF2613EE424}" type="pres">
      <dgm:prSet presAssocID="{9C2756E5-C4F5-4FEE-BB32-0BF17ACB9765}" presName="txThree" presStyleLbl="node3" presStyleIdx="2" presStyleCnt="4">
        <dgm:presLayoutVars>
          <dgm:chPref val="3"/>
        </dgm:presLayoutVars>
      </dgm:prSet>
      <dgm:spPr>
        <a:prstGeom prst="roundRect">
          <a:avLst>
            <a:gd name="adj" fmla="val 10000"/>
          </a:avLst>
        </a:prstGeom>
      </dgm:spPr>
      <dgm:t>
        <a:bodyPr/>
        <a:lstStyle/>
        <a:p>
          <a:endParaRPr lang="en-NZ"/>
        </a:p>
      </dgm:t>
    </dgm:pt>
    <dgm:pt modelId="{BA85E7CE-AE29-4F9A-AD78-009B746F7007}" type="pres">
      <dgm:prSet presAssocID="{9C2756E5-C4F5-4FEE-BB32-0BF17ACB9765}" presName="horzThree" presStyleCnt="0"/>
      <dgm:spPr/>
    </dgm:pt>
    <dgm:pt modelId="{40CF813B-0FB6-4386-9D53-2D47F1EBA6BF}" type="pres">
      <dgm:prSet presAssocID="{12E9D8C6-5A94-4D89-A907-71A1A32DB328}" presName="sibSpaceThree" presStyleCnt="0"/>
      <dgm:spPr/>
    </dgm:pt>
    <dgm:pt modelId="{8E928439-B205-4073-84F1-66706EB4805E}" type="pres">
      <dgm:prSet presAssocID="{1036B257-EA9E-4616-B793-BC5F61D687C9}" presName="vertThree" presStyleCnt="0"/>
      <dgm:spPr/>
    </dgm:pt>
    <dgm:pt modelId="{962BACC4-7EEE-4E8F-8637-0C6227528F3A}" type="pres">
      <dgm:prSet presAssocID="{1036B257-EA9E-4616-B793-BC5F61D687C9}" presName="txThree" presStyleLbl="node3" presStyleIdx="3" presStyleCnt="4">
        <dgm:presLayoutVars>
          <dgm:chPref val="3"/>
        </dgm:presLayoutVars>
      </dgm:prSet>
      <dgm:spPr>
        <a:prstGeom prst="roundRect">
          <a:avLst>
            <a:gd name="adj" fmla="val 10000"/>
          </a:avLst>
        </a:prstGeom>
      </dgm:spPr>
      <dgm:t>
        <a:bodyPr/>
        <a:lstStyle/>
        <a:p>
          <a:endParaRPr lang="en-NZ"/>
        </a:p>
      </dgm:t>
    </dgm:pt>
    <dgm:pt modelId="{66E00BE2-5FC3-45EB-B6FB-D31C917216EB}" type="pres">
      <dgm:prSet presAssocID="{1036B257-EA9E-4616-B793-BC5F61D687C9}" presName="horzThree" presStyleCnt="0"/>
      <dgm:spPr/>
    </dgm:pt>
  </dgm:ptLst>
  <dgm:cxnLst>
    <dgm:cxn modelId="{A6D8BC0F-5904-4393-85A0-FD1B6676B37C}" type="presOf" srcId="{71B35F23-AAED-455E-844B-16A5A172032B}" destId="{9D8485CD-2EEB-4E90-8E0C-09C8598DE955}" srcOrd="0" destOrd="0" presId="urn:microsoft.com/office/officeart/2005/8/layout/hierarchy4"/>
    <dgm:cxn modelId="{49A63677-7C09-4351-A7DD-40289548630D}" type="presOf" srcId="{A66E243B-F052-47E2-A5E8-ACF801788B36}" destId="{8F7F5BA3-BB02-4318-B6F1-6EA72EF5E664}" srcOrd="0" destOrd="0" presId="urn:microsoft.com/office/officeart/2005/8/layout/hierarchy4"/>
    <dgm:cxn modelId="{A42C53FA-49E5-494B-A8F9-7203B3B05A50}" srcId="{8B8B5F66-D2EF-42F0-8E6F-26B398A91350}" destId="{1036B257-EA9E-4616-B793-BC5F61D687C9}" srcOrd="1" destOrd="0" parTransId="{50A5D1DB-FD39-49E9-82FD-647F06B9B8A5}" sibTransId="{956508F0-8A07-4A13-8BE3-7F7E6903309C}"/>
    <dgm:cxn modelId="{3F3B2E81-2279-4D81-B2E4-CBAE23BE3613}" type="presOf" srcId="{8B8B5F66-D2EF-42F0-8E6F-26B398A91350}" destId="{61C1E31A-C1EF-4BBA-949A-303A79BAB179}" srcOrd="0" destOrd="0" presId="urn:microsoft.com/office/officeart/2005/8/layout/hierarchy4"/>
    <dgm:cxn modelId="{A6D3A30F-D5A7-47B6-B411-D4FD0F5C0F28}" type="presOf" srcId="{9C2756E5-C4F5-4FEE-BB32-0BF17ACB9765}" destId="{CB3237A1-3FA2-4557-B0AD-BDF2613EE424}" srcOrd="0" destOrd="0" presId="urn:microsoft.com/office/officeart/2005/8/layout/hierarchy4"/>
    <dgm:cxn modelId="{227F0097-1A0A-41E0-BF26-E7D8C0541D8F}" srcId="{770B9E8A-7476-43E6-9CB1-9F52D4F5C390}" destId="{71B35F23-AAED-455E-844B-16A5A172032B}" srcOrd="0" destOrd="0" parTransId="{D39BEC0F-0D4E-43BC-BC56-A5169B31C1DA}" sibTransId="{CCA9C9B9-3435-4688-824D-B5ABE1219BDF}"/>
    <dgm:cxn modelId="{1DD86957-56D2-4CDF-923A-65FEE2463454}" srcId="{71B35F23-AAED-455E-844B-16A5A172032B}" destId="{A66E243B-F052-47E2-A5E8-ACF801788B36}" srcOrd="0" destOrd="0" parTransId="{B29AB3A7-132B-44B5-8BA2-7382575B5492}" sibTransId="{CAF515C5-5339-4B19-9AE6-6BDD254BE595}"/>
    <dgm:cxn modelId="{24002E86-14BD-4BB9-BECB-0CE331D39072}" srcId="{A66E243B-F052-47E2-A5E8-ACF801788B36}" destId="{75317BDC-C29F-4CA4-A195-D9B37CF865D0}" srcOrd="0" destOrd="0" parTransId="{53E379C7-C621-48ED-AE4F-B47188BAA5CE}" sibTransId="{A84E4D7B-F3D3-4C4D-B08D-5F5F21CEF5D9}"/>
    <dgm:cxn modelId="{1A515CD8-20A7-4502-B0C6-51E4330101A8}" type="presOf" srcId="{B7F564DA-33B4-450E-AE04-447FE7C93CBF}" destId="{F7FFCF2C-6F74-4C1A-9054-8771B6979606}" srcOrd="0" destOrd="0" presId="urn:microsoft.com/office/officeart/2005/8/layout/hierarchy4"/>
    <dgm:cxn modelId="{07FFFAB3-781F-4EEC-BE5E-A53694181311}" type="presOf" srcId="{1036B257-EA9E-4616-B793-BC5F61D687C9}" destId="{962BACC4-7EEE-4E8F-8637-0C6227528F3A}" srcOrd="0" destOrd="0" presId="urn:microsoft.com/office/officeart/2005/8/layout/hierarchy4"/>
    <dgm:cxn modelId="{4310EAF5-EAD7-4441-B617-2EF0CCB3E8A9}" type="presOf" srcId="{770B9E8A-7476-43E6-9CB1-9F52D4F5C390}" destId="{0F7077C6-602F-45C2-A213-8254A89584F5}" srcOrd="0" destOrd="0" presId="urn:microsoft.com/office/officeart/2005/8/layout/hierarchy4"/>
    <dgm:cxn modelId="{B6AA0A83-0DEE-41E8-A312-2C75C2059E18}" srcId="{71B35F23-AAED-455E-844B-16A5A172032B}" destId="{8B8B5F66-D2EF-42F0-8E6F-26B398A91350}" srcOrd="1" destOrd="0" parTransId="{F1F821CE-5B1B-472E-A488-DCF13ACF407A}" sibTransId="{3A74AA6B-E7F8-4891-B243-3B2DF4604B0D}"/>
    <dgm:cxn modelId="{24E750B5-282A-459C-8BB3-FE869F8CAED1}" srcId="{8B8B5F66-D2EF-42F0-8E6F-26B398A91350}" destId="{9C2756E5-C4F5-4FEE-BB32-0BF17ACB9765}" srcOrd="0" destOrd="0" parTransId="{DB2A538F-09A7-49DF-8BD0-D365E213B1EC}" sibTransId="{12E9D8C6-5A94-4D89-A907-71A1A32DB328}"/>
    <dgm:cxn modelId="{C09DB28A-666C-44D3-ABA3-96030CC8C868}" srcId="{A66E243B-F052-47E2-A5E8-ACF801788B36}" destId="{B7F564DA-33B4-450E-AE04-447FE7C93CBF}" srcOrd="1" destOrd="0" parTransId="{F7D73FF4-DBA3-461C-98AC-513F13AD4EC2}" sibTransId="{F55C7902-11EB-4051-A374-BE2EA23D5EC8}"/>
    <dgm:cxn modelId="{A7270A9B-4A38-4697-954B-404C9F7A2644}" type="presOf" srcId="{75317BDC-C29F-4CA4-A195-D9B37CF865D0}" destId="{3F04B9F0-E715-4B01-A359-69037FE85C38}" srcOrd="0" destOrd="0" presId="urn:microsoft.com/office/officeart/2005/8/layout/hierarchy4"/>
    <dgm:cxn modelId="{65658434-F3CC-4C0D-9A86-FF10E4CAC889}" type="presParOf" srcId="{0F7077C6-602F-45C2-A213-8254A89584F5}" destId="{1B425CD6-EF88-4E65-9D1E-575B9CBC0157}" srcOrd="0" destOrd="0" presId="urn:microsoft.com/office/officeart/2005/8/layout/hierarchy4"/>
    <dgm:cxn modelId="{7C07E764-DEBE-471C-B004-0BE3B8D3BDD0}" type="presParOf" srcId="{1B425CD6-EF88-4E65-9D1E-575B9CBC0157}" destId="{9D8485CD-2EEB-4E90-8E0C-09C8598DE955}" srcOrd="0" destOrd="0" presId="urn:microsoft.com/office/officeart/2005/8/layout/hierarchy4"/>
    <dgm:cxn modelId="{61143133-3521-4D03-94C7-9B756EB7605D}" type="presParOf" srcId="{1B425CD6-EF88-4E65-9D1E-575B9CBC0157}" destId="{AA2EC7FB-D8FF-44EE-BAED-1ACC2706C68B}" srcOrd="1" destOrd="0" presId="urn:microsoft.com/office/officeart/2005/8/layout/hierarchy4"/>
    <dgm:cxn modelId="{12469770-1716-4D72-A0A8-CE9E75109850}" type="presParOf" srcId="{1B425CD6-EF88-4E65-9D1E-575B9CBC0157}" destId="{1FF21C17-DD51-4281-BDB2-F45235889934}" srcOrd="2" destOrd="0" presId="urn:microsoft.com/office/officeart/2005/8/layout/hierarchy4"/>
    <dgm:cxn modelId="{2DB4D006-F797-4CFA-BF53-239A331A0901}" type="presParOf" srcId="{1FF21C17-DD51-4281-BDB2-F45235889934}" destId="{9F6881FA-D213-43DD-AD0A-D53A8F6B9D16}" srcOrd="0" destOrd="0" presId="urn:microsoft.com/office/officeart/2005/8/layout/hierarchy4"/>
    <dgm:cxn modelId="{1A8120D3-EAAB-43E3-ABA0-243775378FF9}" type="presParOf" srcId="{9F6881FA-D213-43DD-AD0A-D53A8F6B9D16}" destId="{8F7F5BA3-BB02-4318-B6F1-6EA72EF5E664}" srcOrd="0" destOrd="0" presId="urn:microsoft.com/office/officeart/2005/8/layout/hierarchy4"/>
    <dgm:cxn modelId="{55E96286-9D48-432E-8715-1DD316F71B28}" type="presParOf" srcId="{9F6881FA-D213-43DD-AD0A-D53A8F6B9D16}" destId="{9F41E253-EDD0-44FD-A1D4-AA63C592F6FE}" srcOrd="1" destOrd="0" presId="urn:microsoft.com/office/officeart/2005/8/layout/hierarchy4"/>
    <dgm:cxn modelId="{31B89FF8-CA8E-4597-8705-5BF915C4A291}" type="presParOf" srcId="{9F6881FA-D213-43DD-AD0A-D53A8F6B9D16}" destId="{BC9F791A-2B19-4DB7-9AA4-92E961D17F6B}" srcOrd="2" destOrd="0" presId="urn:microsoft.com/office/officeart/2005/8/layout/hierarchy4"/>
    <dgm:cxn modelId="{62CA0179-D952-4256-9550-6F772F487BCA}" type="presParOf" srcId="{BC9F791A-2B19-4DB7-9AA4-92E961D17F6B}" destId="{72CB8594-DC59-4A19-9938-5751EF66EE6A}" srcOrd="0" destOrd="0" presId="urn:microsoft.com/office/officeart/2005/8/layout/hierarchy4"/>
    <dgm:cxn modelId="{B6CEE129-4122-4E1C-8A75-F39E141B52D1}" type="presParOf" srcId="{72CB8594-DC59-4A19-9938-5751EF66EE6A}" destId="{3F04B9F0-E715-4B01-A359-69037FE85C38}" srcOrd="0" destOrd="0" presId="urn:microsoft.com/office/officeart/2005/8/layout/hierarchy4"/>
    <dgm:cxn modelId="{E6CD8887-CC9E-4570-92A4-FCB585A62183}" type="presParOf" srcId="{72CB8594-DC59-4A19-9938-5751EF66EE6A}" destId="{33E97B9D-44B3-4D33-B906-DD1268299224}" srcOrd="1" destOrd="0" presId="urn:microsoft.com/office/officeart/2005/8/layout/hierarchy4"/>
    <dgm:cxn modelId="{80FEB3FD-4295-40DA-939E-42B8EDDEC541}" type="presParOf" srcId="{BC9F791A-2B19-4DB7-9AA4-92E961D17F6B}" destId="{83FA5056-EB6C-4EC9-898A-E4FB51B89E97}" srcOrd="1" destOrd="0" presId="urn:microsoft.com/office/officeart/2005/8/layout/hierarchy4"/>
    <dgm:cxn modelId="{EA5F2C69-8A9F-4370-86E3-B2BE1BC30275}" type="presParOf" srcId="{BC9F791A-2B19-4DB7-9AA4-92E961D17F6B}" destId="{18F7F9A1-9430-493D-A190-96D74EC366F9}" srcOrd="2" destOrd="0" presId="urn:microsoft.com/office/officeart/2005/8/layout/hierarchy4"/>
    <dgm:cxn modelId="{D1511287-64D4-4404-94C7-E95756CA0EB1}" type="presParOf" srcId="{18F7F9A1-9430-493D-A190-96D74EC366F9}" destId="{F7FFCF2C-6F74-4C1A-9054-8771B6979606}" srcOrd="0" destOrd="0" presId="urn:microsoft.com/office/officeart/2005/8/layout/hierarchy4"/>
    <dgm:cxn modelId="{9123F611-FF47-4378-9FBF-4C11BEFF5E13}" type="presParOf" srcId="{18F7F9A1-9430-493D-A190-96D74EC366F9}" destId="{1BFD72DB-DFA0-494A-B702-DF8855E48515}" srcOrd="1" destOrd="0" presId="urn:microsoft.com/office/officeart/2005/8/layout/hierarchy4"/>
    <dgm:cxn modelId="{4688303F-098F-4112-B0CB-5A30BB6E5326}" type="presParOf" srcId="{1FF21C17-DD51-4281-BDB2-F45235889934}" destId="{9DF58EB5-DF73-4DEE-B757-5C3D3CE4B00E}" srcOrd="1" destOrd="0" presId="urn:microsoft.com/office/officeart/2005/8/layout/hierarchy4"/>
    <dgm:cxn modelId="{6383A880-2353-4337-8D22-56B12A016D09}" type="presParOf" srcId="{1FF21C17-DD51-4281-BDB2-F45235889934}" destId="{8B7408FA-D231-4E0F-B1CA-718EB06920F9}" srcOrd="2" destOrd="0" presId="urn:microsoft.com/office/officeart/2005/8/layout/hierarchy4"/>
    <dgm:cxn modelId="{E19791C8-6AE5-4144-9178-8B569286ABFB}" type="presParOf" srcId="{8B7408FA-D231-4E0F-B1CA-718EB06920F9}" destId="{61C1E31A-C1EF-4BBA-949A-303A79BAB179}" srcOrd="0" destOrd="0" presId="urn:microsoft.com/office/officeart/2005/8/layout/hierarchy4"/>
    <dgm:cxn modelId="{CB01F02A-B530-425D-A707-D482EA39A682}" type="presParOf" srcId="{8B7408FA-D231-4E0F-B1CA-718EB06920F9}" destId="{23A906BA-14C1-4CC5-B9BC-05A15C3343F2}" srcOrd="1" destOrd="0" presId="urn:microsoft.com/office/officeart/2005/8/layout/hierarchy4"/>
    <dgm:cxn modelId="{72E352F8-E5A3-4A7E-A1C5-F66906D8E586}" type="presParOf" srcId="{8B7408FA-D231-4E0F-B1CA-718EB06920F9}" destId="{D3C7218A-8CE1-4786-9EA0-EE783DFA0F1E}" srcOrd="2" destOrd="0" presId="urn:microsoft.com/office/officeart/2005/8/layout/hierarchy4"/>
    <dgm:cxn modelId="{D9A7EE91-6FE3-4B4E-8491-A1609D5ED4B2}" type="presParOf" srcId="{D3C7218A-8CE1-4786-9EA0-EE783DFA0F1E}" destId="{537A2F82-C0D4-43ED-B2D5-B3AE78432655}" srcOrd="0" destOrd="0" presId="urn:microsoft.com/office/officeart/2005/8/layout/hierarchy4"/>
    <dgm:cxn modelId="{3B589B74-D800-405B-833F-FDDD17D2660F}" type="presParOf" srcId="{537A2F82-C0D4-43ED-B2D5-B3AE78432655}" destId="{CB3237A1-3FA2-4557-B0AD-BDF2613EE424}" srcOrd="0" destOrd="0" presId="urn:microsoft.com/office/officeart/2005/8/layout/hierarchy4"/>
    <dgm:cxn modelId="{F1092313-4E7C-4B9E-893B-5A61DCDAEBA9}" type="presParOf" srcId="{537A2F82-C0D4-43ED-B2D5-B3AE78432655}" destId="{BA85E7CE-AE29-4F9A-AD78-009B746F7007}" srcOrd="1" destOrd="0" presId="urn:microsoft.com/office/officeart/2005/8/layout/hierarchy4"/>
    <dgm:cxn modelId="{19865088-5A5C-4A38-8394-EF75C4FAA9E8}" type="presParOf" srcId="{D3C7218A-8CE1-4786-9EA0-EE783DFA0F1E}" destId="{40CF813B-0FB6-4386-9D53-2D47F1EBA6BF}" srcOrd="1" destOrd="0" presId="urn:microsoft.com/office/officeart/2005/8/layout/hierarchy4"/>
    <dgm:cxn modelId="{B92652F3-4CDD-4DB3-90D6-B4943A258C5C}" type="presParOf" srcId="{D3C7218A-8CE1-4786-9EA0-EE783DFA0F1E}" destId="{8E928439-B205-4073-84F1-66706EB4805E}" srcOrd="2" destOrd="0" presId="urn:microsoft.com/office/officeart/2005/8/layout/hierarchy4"/>
    <dgm:cxn modelId="{81475E54-6B1A-41D1-8F0E-AE809B250E43}" type="presParOf" srcId="{8E928439-B205-4073-84F1-66706EB4805E}" destId="{962BACC4-7EEE-4E8F-8637-0C6227528F3A}" srcOrd="0" destOrd="0" presId="urn:microsoft.com/office/officeart/2005/8/layout/hierarchy4"/>
    <dgm:cxn modelId="{D24953D5-38B2-4F95-AF28-B5BCCA6F9950}" type="presParOf" srcId="{8E928439-B205-4073-84F1-66706EB4805E}" destId="{66E00BE2-5FC3-45EB-B6FB-D31C917216EB}" srcOrd="1" destOrd="0" presId="urn:microsoft.com/office/officeart/2005/8/layout/hierarchy4"/>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8485CD-2EEB-4E90-8E0C-09C8598DE955}">
      <dsp:nvSpPr>
        <dsp:cNvPr id="0" name=""/>
        <dsp:cNvSpPr/>
      </dsp:nvSpPr>
      <dsp:spPr>
        <a:xfrm>
          <a:off x="1986" y="507"/>
          <a:ext cx="5378026" cy="777656"/>
        </a:xfrm>
        <a:prstGeom prst="roundRect">
          <a:avLst>
            <a:gd name="adj" fmla="val 10000"/>
          </a:avLst>
        </a:prstGeom>
        <a:solidFill>
          <a:srgbClr val="9BBB59">
            <a:lumMod val="75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5730" tIns="125730" rIns="125730" bIns="125730" numCol="1" spcCol="1270" anchor="ctr" anchorCtr="0">
          <a:noAutofit/>
        </a:bodyPr>
        <a:lstStyle/>
        <a:p>
          <a:pPr lvl="0" algn="ctr" defTabSz="1466850">
            <a:lnSpc>
              <a:spcPct val="90000"/>
            </a:lnSpc>
            <a:spcBef>
              <a:spcPct val="0"/>
            </a:spcBef>
            <a:spcAft>
              <a:spcPct val="35000"/>
            </a:spcAft>
          </a:pPr>
          <a:r>
            <a:rPr lang="en-NZ" sz="3300" kern="1200">
              <a:solidFill>
                <a:sysClr val="window" lastClr="FFFFFF"/>
              </a:solidFill>
              <a:latin typeface="Calibri"/>
              <a:ea typeface="+mn-ea"/>
              <a:cs typeface="+mn-cs"/>
            </a:rPr>
            <a:t>Overview report</a:t>
          </a:r>
        </a:p>
      </dsp:txBody>
      <dsp:txXfrm>
        <a:off x="24763" y="23284"/>
        <a:ext cx="5332472" cy="732102"/>
      </dsp:txXfrm>
    </dsp:sp>
    <dsp:sp modelId="{8F7F5BA3-BB02-4318-B6F1-6EA72EF5E664}">
      <dsp:nvSpPr>
        <dsp:cNvPr id="0" name=""/>
        <dsp:cNvSpPr/>
      </dsp:nvSpPr>
      <dsp:spPr>
        <a:xfrm>
          <a:off x="1986" y="871171"/>
          <a:ext cx="2634820" cy="777656"/>
        </a:xfrm>
        <a:prstGeom prst="roundRect">
          <a:avLst>
            <a:gd name="adj" fmla="val 10000"/>
          </a:avLst>
        </a:prstGeom>
        <a:solidFill>
          <a:srgbClr val="8064A2">
            <a:lumMod val="75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en-NZ" sz="2000" kern="1200">
              <a:solidFill>
                <a:sysClr val="window" lastClr="FFFFFF"/>
              </a:solidFill>
              <a:latin typeface="Calibri"/>
              <a:ea typeface="+mn-ea"/>
              <a:cs typeface="+mn-cs"/>
            </a:rPr>
            <a:t>Review of effectiveness and efficiency</a:t>
          </a:r>
        </a:p>
      </dsp:txBody>
      <dsp:txXfrm>
        <a:off x="24763" y="893948"/>
        <a:ext cx="2589266" cy="732102"/>
      </dsp:txXfrm>
    </dsp:sp>
    <dsp:sp modelId="{3F04B9F0-E715-4B01-A359-69037FE85C38}">
      <dsp:nvSpPr>
        <dsp:cNvPr id="0" name=""/>
        <dsp:cNvSpPr/>
      </dsp:nvSpPr>
      <dsp:spPr>
        <a:xfrm>
          <a:off x="1986" y="1741835"/>
          <a:ext cx="1290313" cy="777656"/>
        </a:xfrm>
        <a:prstGeom prst="roundRect">
          <a:avLst>
            <a:gd name="adj" fmla="val 10000"/>
          </a:avLst>
        </a:prstGeom>
        <a:solidFill>
          <a:srgbClr val="B3A2C7"/>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NZ" sz="1400" kern="1200">
              <a:solidFill>
                <a:sysClr val="windowText" lastClr="000000"/>
              </a:solidFill>
              <a:latin typeface="Calibri"/>
              <a:ea typeface="+mn-ea"/>
              <a:cs typeface="+mn-cs"/>
            </a:rPr>
            <a:t>EPA self-review</a:t>
          </a:r>
        </a:p>
      </dsp:txBody>
      <dsp:txXfrm>
        <a:off x="24763" y="1764612"/>
        <a:ext cx="1244759" cy="732102"/>
      </dsp:txXfrm>
    </dsp:sp>
    <dsp:sp modelId="{F7FFCF2C-6F74-4C1A-9054-8771B6979606}">
      <dsp:nvSpPr>
        <dsp:cNvPr id="0" name=""/>
        <dsp:cNvSpPr/>
      </dsp:nvSpPr>
      <dsp:spPr>
        <a:xfrm>
          <a:off x="1346493" y="1741835"/>
          <a:ext cx="1290313" cy="777656"/>
        </a:xfrm>
        <a:prstGeom prst="roundRect">
          <a:avLst>
            <a:gd name="adj" fmla="val 10000"/>
          </a:avLst>
        </a:prstGeom>
        <a:solidFill>
          <a:srgbClr val="DAD2E4"/>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NZ" sz="1400" kern="1200">
              <a:solidFill>
                <a:sysClr val="windowText" lastClr="000000"/>
              </a:solidFill>
              <a:latin typeface="Calibri"/>
              <a:ea typeface="+mn-ea"/>
              <a:cs typeface="+mn-cs"/>
            </a:rPr>
            <a:t>External reviewer's assessment</a:t>
          </a:r>
        </a:p>
      </dsp:txBody>
      <dsp:txXfrm>
        <a:off x="1369270" y="1764612"/>
        <a:ext cx="1244759" cy="732102"/>
      </dsp:txXfrm>
    </dsp:sp>
    <dsp:sp modelId="{61C1E31A-C1EF-4BBA-949A-303A79BAB179}">
      <dsp:nvSpPr>
        <dsp:cNvPr id="0" name=""/>
        <dsp:cNvSpPr/>
      </dsp:nvSpPr>
      <dsp:spPr>
        <a:xfrm>
          <a:off x="2745193" y="871171"/>
          <a:ext cx="2634820" cy="777656"/>
        </a:xfrm>
        <a:prstGeom prst="roundRect">
          <a:avLst>
            <a:gd name="adj" fmla="val 10000"/>
          </a:avLst>
        </a:prstGeom>
        <a:solidFill>
          <a:srgbClr val="4F81BD">
            <a:lumMod val="75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en-NZ" sz="2000" kern="1200">
              <a:solidFill>
                <a:sysClr val="window" lastClr="FFFFFF"/>
              </a:solidFill>
              <a:latin typeface="Calibri"/>
              <a:ea typeface="+mn-ea"/>
              <a:cs typeface="+mn-cs"/>
            </a:rPr>
            <a:t>Fiscal sustainability</a:t>
          </a:r>
        </a:p>
      </dsp:txBody>
      <dsp:txXfrm>
        <a:off x="2767970" y="893948"/>
        <a:ext cx="2589266" cy="732102"/>
      </dsp:txXfrm>
    </dsp:sp>
    <dsp:sp modelId="{CB3237A1-3FA2-4557-B0AD-BDF2613EE424}">
      <dsp:nvSpPr>
        <dsp:cNvPr id="0" name=""/>
        <dsp:cNvSpPr/>
      </dsp:nvSpPr>
      <dsp:spPr>
        <a:xfrm>
          <a:off x="2745193" y="1741835"/>
          <a:ext cx="1290313" cy="777656"/>
        </a:xfrm>
        <a:prstGeom prst="roundRect">
          <a:avLst>
            <a:gd name="adj" fmla="val 10000"/>
          </a:avLst>
        </a:prstGeom>
        <a:solidFill>
          <a:srgbClr val="1F497D">
            <a:lumMod val="40000"/>
            <a:lumOff val="6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NZ" sz="1400" kern="1200">
              <a:solidFill>
                <a:sysClr val="windowText" lastClr="000000"/>
              </a:solidFill>
              <a:latin typeface="Calibri"/>
              <a:ea typeface="+mn-ea"/>
              <a:cs typeface="+mn-cs"/>
            </a:rPr>
            <a:t>Baseline review</a:t>
          </a:r>
        </a:p>
      </dsp:txBody>
      <dsp:txXfrm>
        <a:off x="2767970" y="1764612"/>
        <a:ext cx="1244759" cy="732102"/>
      </dsp:txXfrm>
    </dsp:sp>
    <dsp:sp modelId="{962BACC4-7EEE-4E8F-8637-0C6227528F3A}">
      <dsp:nvSpPr>
        <dsp:cNvPr id="0" name=""/>
        <dsp:cNvSpPr/>
      </dsp:nvSpPr>
      <dsp:spPr>
        <a:xfrm>
          <a:off x="4089699" y="1741835"/>
          <a:ext cx="1290313" cy="777656"/>
        </a:xfrm>
        <a:prstGeom prst="roundRect">
          <a:avLst>
            <a:gd name="adj" fmla="val 10000"/>
          </a:avLst>
        </a:prstGeom>
        <a:solidFill>
          <a:srgbClr val="1F497D">
            <a:lumMod val="20000"/>
            <a:lumOff val="8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NZ" sz="1400" kern="1200">
              <a:solidFill>
                <a:sysClr val="windowText" lastClr="000000"/>
              </a:solidFill>
              <a:latin typeface="Calibri"/>
              <a:ea typeface="+mn-ea"/>
              <a:cs typeface="+mn-cs"/>
            </a:rPr>
            <a:t>Cost recovery practices</a:t>
          </a:r>
        </a:p>
      </dsp:txBody>
      <dsp:txXfrm>
        <a:off x="4112476" y="1764612"/>
        <a:ext cx="1244759" cy="73210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DD45C-83AA-4C8F-9135-DFABF7A82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12104</Words>
  <Characters>68993</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FINAL - EPA Review MfE Overarching Report</vt:lpstr>
    </vt:vector>
  </TitlesOfParts>
  <LinksUpToDate>false</LinksUpToDate>
  <CharactersWithSpaces>80936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 EPA Review MfE Overarching Report</dc:title>
  <dc:creator/>
  <cp:lastModifiedBy/>
  <cp:revision>1</cp:revision>
  <dcterms:created xsi:type="dcterms:W3CDTF">2015-04-16T23:34:00Z</dcterms:created>
  <dcterms:modified xsi:type="dcterms:W3CDTF">2015-05-12T04:01:00Z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me">
    <vt:lpwstr>000001680881</vt:lpwstr>
  </property>
  <property fmtid="{D5CDD505-2E9C-101B-9397-08002B2CF9AE}" pid="3" name="DisplayName">
    <vt:lpwstr>02 - Reports</vt:lpwstr>
  </property>
  <property fmtid="{D5CDD505-2E9C-101B-9397-08002B2CF9AE}" pid="4" name="Class">
    <vt:lpwstr>MD/MD_EP/MD_EP_Seven/MD_EP_Seven_Two</vt:lpwstr>
  </property>
  <property fmtid="{D5CDD505-2E9C-101B-9397-08002B2CF9AE}" pid="5" name="ClassComments">
    <vt:lpwstr/>
  </property>
  <property fmtid="{D5CDD505-2E9C-101B-9397-08002B2CF9AE}" pid="6" name="AddedBy">
    <vt:lpwstr>WilliamsEl</vt:lpwstr>
  </property>
  <property fmtid="{D5CDD505-2E9C-101B-9397-08002B2CF9AE}" pid="7" name="DateAdded">
    <vt:filetime>2015-04-16T03:30:43Z</vt:filetime>
  </property>
  <property fmtid="{D5CDD505-2E9C-101B-9397-08002B2CF9AE}" pid="8" name="FirstAddedBy">
    <vt:lpwstr>JohnstonH</vt:lpwstr>
  </property>
  <property fmtid="{D5CDD505-2E9C-101B-9397-08002B2CF9AE}" pid="9" name="DateFirstAdded">
    <vt:filetime>2015-03-19T22:40:47Z</vt:filetime>
  </property>
  <property fmtid="{D5CDD505-2E9C-101B-9397-08002B2CF9AE}" pid="10" name="LastModifiedBy">
    <vt:lpwstr>WilliamsEl</vt:lpwstr>
  </property>
  <property fmtid="{D5CDD505-2E9C-101B-9397-08002B2CF9AE}" pid="11" name="DateLastModified">
    <vt:filetime>2015-04-16T03:30:43Z</vt:filetime>
  </property>
  <property fmtid="{D5CDD505-2E9C-101B-9397-08002B2CF9AE}" pid="12" name="IsCheckedOut">
    <vt:bool>true</vt:bool>
  </property>
  <property fmtid="{D5CDD505-2E9C-101B-9397-08002B2CF9AE}" pid="13" name="CheckedOutBy">
    <vt:lpwstr>MansonJ</vt:lpwstr>
  </property>
  <property fmtid="{D5CDD505-2E9C-101B-9397-08002B2CF9AE}" pid="14" name="CheckOutComment">
    <vt:lpwstr/>
  </property>
  <property fmtid="{D5CDD505-2E9C-101B-9397-08002B2CF9AE}" pid="15" name="CheckOutDate">
    <vt:filetime>2015-04-16T23:07:13Z</vt:filetime>
  </property>
  <property fmtid="{D5CDD505-2E9C-101B-9397-08002B2CF9AE}" pid="16" name="VersionStatus">
    <vt:i4>5</vt:i4>
  </property>
  <property fmtid="{D5CDD505-2E9C-101B-9397-08002B2CF9AE}" pid="17" name="ProtectMode">
    <vt:i4>4194336</vt:i4>
  </property>
  <property fmtid="{D5CDD505-2E9C-101B-9397-08002B2CF9AE}" pid="18" name="IndexMode">
    <vt:i4>0</vt:i4>
  </property>
  <property fmtid="{D5CDD505-2E9C-101B-9397-08002B2CF9AE}" pid="19" name="MaxVersionsOnline">
    <vt:i4>0</vt:i4>
  </property>
  <property fmtid="{D5CDD505-2E9C-101B-9397-08002B2CF9AE}" pid="20" name="Version">
    <vt:lpwstr>8.1</vt:lpwstr>
  </property>
  <property fmtid="{D5CDD505-2E9C-101B-9397-08002B2CF9AE}" pid="21" name="Versions">
    <vt:lpwstr>1.0 1.1 2.0 3.0 4.0 4.1 5.0 6.0 6.1 6.2 7.0 7.1 7.2 8.0 8.1</vt:lpwstr>
  </property>
  <property fmtid="{D5CDD505-2E9C-101B-9397-08002B2CF9AE}" pid="22" name="ContentVersion">
    <vt:lpwstr>8.1</vt:lpwstr>
  </property>
  <property fmtid="{D5CDD505-2E9C-101B-9397-08002B2CF9AE}" pid="23" name="ContentType">
    <vt:i4>0</vt:i4>
  </property>
  <property fmtid="{D5CDD505-2E9C-101B-9397-08002B2CF9AE}" pid="24" name="ContentSize">
    <vt:i4>336251</vt:i4>
  </property>
  <property fmtid="{D5CDD505-2E9C-101B-9397-08002B2CF9AE}" pid="25" name="LocaleID">
    <vt:i4>0</vt:i4>
  </property>
  <property fmtid="{D5CDD505-2E9C-101B-9397-08002B2CF9AE}" pid="26" name="RequiredSignatures">
    <vt:lpwstr/>
  </property>
  <property fmtid="{D5CDD505-2E9C-101B-9397-08002B2CF9AE}" pid="27" name="SignaturesRequired">
    <vt:lpwstr/>
  </property>
  <property fmtid="{D5CDD505-2E9C-101B-9397-08002B2CF9AE}" pid="28" name="Signatures">
    <vt:lpwstr/>
  </property>
  <property fmtid="{D5CDD505-2E9C-101B-9397-08002B2CF9AE}" pid="29" name="DateAvailable">
    <vt:filetime>1899-12-29T12:00:00Z</vt:filetime>
  </property>
  <property fmtid="{D5CDD505-2E9C-101B-9397-08002B2CF9AE}" pid="30" name="DateExpires">
    <vt:filetime>1899-12-29T12:00:00Z</vt:filetime>
  </property>
  <property fmtid="{D5CDD505-2E9C-101B-9397-08002B2CF9AE}" pid="31" name="RelativeDateExpires">
    <vt:lpwstr>Never</vt:lpwstr>
  </property>
  <property fmtid="{D5CDD505-2E9C-101B-9397-08002B2CF9AE}" pid="32" name="Parents">
    <vt:lpwstr>daec013c8cd73d24ad0293abb0b418fd</vt:lpwstr>
  </property>
  <property fmtid="{D5CDD505-2E9C-101B-9397-08002B2CF9AE}" pid="33" name="Children">
    <vt:lpwstr/>
  </property>
  <property fmtid="{D5CDD505-2E9C-101B-9397-08002B2CF9AE}" pid="34" name="Master">
    <vt:lpwstr/>
  </property>
  <property fmtid="{D5CDD505-2E9C-101B-9397-08002B2CF9AE}" pid="35" name="Slaves">
    <vt:lpwstr/>
  </property>
  <property fmtid="{D5CDD505-2E9C-101B-9397-08002B2CF9AE}" pid="36" name="PublishPaths">
    <vt:lpwstr/>
  </property>
  <property fmtid="{D5CDD505-2E9C-101B-9397-08002B2CF9AE}" pid="37" name="SeeAlso">
    <vt:lpwstr/>
  </property>
  <property fmtid="{D5CDD505-2E9C-101B-9397-08002B2CF9AE}" pid="38" name="Folders">
    <vt:lpwstr/>
  </property>
  <property fmtid="{D5CDD505-2E9C-101B-9397-08002B2CF9AE}" pid="39" name="MetaPath">
    <vt:lpwstr>\MD\MD_EP\MD_EP_Seven\MD_EP_Seven_Two</vt:lpwstr>
  </property>
  <property fmtid="{D5CDD505-2E9C-101B-9397-08002B2CF9AE}" pid="40" name="ContentPath">
    <vt:lpwstr>\MD\MD_EP\MD_EP_Seven\MD_EP_Seven_Two</vt:lpwstr>
  </property>
  <property fmtid="{D5CDD505-2E9C-101B-9397-08002B2CF9AE}" pid="41" name="ArchiveMetaPath">
    <vt:lpwstr>\MD\MD_EP\MD_EP_Seven\MD_EP_Seven_Two</vt:lpwstr>
  </property>
  <property fmtid="{D5CDD505-2E9C-101B-9397-08002B2CF9AE}" pid="42" name="ArchiveContentPath">
    <vt:lpwstr>\MD\MD_EP\MD_EP_Seven\MD_EP_Seven_Two</vt:lpwstr>
  </property>
  <property fmtid="{D5CDD505-2E9C-101B-9397-08002B2CF9AE}" pid="43" name="ContentVPath">
    <vt:lpwstr>/MD/MD_EP/MD_EP_Seven/MD_EP_Seven_Two</vt:lpwstr>
  </property>
  <property fmtid="{D5CDD505-2E9C-101B-9397-08002B2CF9AE}" pid="44" name="Icon">
    <vt:lpwstr/>
  </property>
  <property fmtid="{D5CDD505-2E9C-101B-9397-08002B2CF9AE}" pid="45" name="DefaultContent">
    <vt:lpwstr/>
  </property>
  <property fmtid="{D5CDD505-2E9C-101B-9397-08002B2CF9AE}" pid="46" name="DefaultFormat">
    <vt:lpwstr>DOCX</vt:lpwstr>
  </property>
  <property fmtid="{D5CDD505-2E9C-101B-9397-08002B2CF9AE}" pid="47" name="DefaultForm">
    <vt:lpwstr/>
  </property>
  <property fmtid="{D5CDD505-2E9C-101B-9397-08002B2CF9AE}" pid="48" name="DefaultUIHandler">
    <vt:lpwstr/>
  </property>
  <property fmtid="{D5CDD505-2E9C-101B-9397-08002B2CF9AE}" pid="49" name="Abstract">
    <vt:bool>false</vt:bool>
  </property>
  <property fmtid="{D5CDD505-2E9C-101B-9397-08002B2CF9AE}" pid="50" name="PossibleSuperiors">
    <vt:lpwstr>MD_EP_Seven</vt:lpwstr>
  </property>
  <property fmtid="{D5CDD505-2E9C-101B-9397-08002B2CF9AE}" pid="51" name="HelpFileContext">
    <vt:i4>0</vt:i4>
  </property>
  <property fmtid="{D5CDD505-2E9C-101B-9397-08002B2CF9AE}" pid="52" name="HelpFileName">
    <vt:lpwstr/>
  </property>
  <property fmtid="{D5CDD505-2E9C-101B-9397-08002B2CF9AE}" pid="53" name="Description">
    <vt:lpwstr>Version sent to Channels team for publication</vt:lpwstr>
  </property>
  <property fmtid="{D5CDD505-2E9C-101B-9397-08002B2CF9AE}" pid="54" name="Doctype">
    <vt:lpwstr>Report</vt:lpwstr>
  </property>
  <property fmtid="{D5CDD505-2E9C-101B-9397-08002B2CF9AE}" pid="55" name="To">
    <vt:lpwstr/>
  </property>
  <property fmtid="{D5CDD505-2E9C-101B-9397-08002B2CF9AE}" pid="56" name="From">
    <vt:lpwstr/>
  </property>
  <property fmtid="{D5CDD505-2E9C-101B-9397-08002B2CF9AE}" pid="57" name="Sent_Received">
    <vt:filetime>1899-12-29T12:00:00Z</vt:filetime>
  </property>
  <property fmtid="{D5CDD505-2E9C-101B-9397-08002B2CF9AE}" pid="58" name="ContractNumber">
    <vt:lpwstr/>
  </property>
  <property fmtid="{D5CDD505-2E9C-101B-9397-08002B2CF9AE}" pid="59" name="Status">
    <vt:lpwstr>Draft</vt:lpwstr>
  </property>
  <property fmtid="{D5CDD505-2E9C-101B-9397-08002B2CF9AE}" pid="60" name="Year">
    <vt:lpwstr>2014 - 2015</vt:lpwstr>
  </property>
  <property fmtid="{D5CDD505-2E9C-101B-9397-08002B2CF9AE}" pid="61" name="adspath">
    <vt:lpwstr>Amphora://EDRMS1/MD/MD_EP/MD_EP_Seven/MD_EP_Seven_Two/000001680881</vt:lpwstr>
  </property>
  <property fmtid="{D5CDD505-2E9C-101B-9397-08002B2CF9AE}" pid="62" name="_AdHocReviewCycleID">
    <vt:i4>1769071903</vt:i4>
  </property>
  <property fmtid="{D5CDD505-2E9C-101B-9397-08002B2CF9AE}" pid="63" name="_NewReviewCycle">
    <vt:lpwstr/>
  </property>
  <property fmtid="{D5CDD505-2E9C-101B-9397-08002B2CF9AE}" pid="64" name="_PreviousAdHocReviewCycleID">
    <vt:i4>1429040786</vt:i4>
  </property>
  <property fmtid="{D5CDD505-2E9C-101B-9397-08002B2CF9AE}" pid="66" name="ContentFormats">
    <vt:lpwstr>DOCX</vt:lpwstr>
  </property>
</Properties>
</file>