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6B53C6" w14:textId="255E6E08" w:rsidR="0003640E" w:rsidRPr="000E4461" w:rsidRDefault="00E56228" w:rsidP="0080531E">
      <w:pPr>
        <w:jc w:val="left"/>
        <w:rPr>
          <w:color w:val="FF0000"/>
        </w:rPr>
        <w:sectPr w:rsidR="0003640E" w:rsidRPr="000E4461" w:rsidSect="0036151C">
          <w:headerReference w:type="default" r:id="rId8"/>
          <w:footerReference w:type="default" r:id="rId9"/>
          <w:pgSz w:w="11907" w:h="16840" w:code="9"/>
          <w:pgMar w:top="5670" w:right="1418" w:bottom="1701" w:left="1418" w:header="567" w:footer="1134" w:gutter="0"/>
          <w:cols w:space="720"/>
        </w:sectPr>
      </w:pPr>
      <w:r>
        <w:rPr>
          <w:noProof/>
          <w:color w:val="FF0000"/>
        </w:rPr>
        <w:drawing>
          <wp:anchor distT="0" distB="0" distL="114300" distR="114300" simplePos="0" relativeHeight="251658240" behindDoc="1" locked="0" layoutInCell="1" allowOverlap="1" wp14:anchorId="355067B0" wp14:editId="4DE0D207">
            <wp:simplePos x="0" y="0"/>
            <wp:positionH relativeFrom="page">
              <wp:posOffset>5861</wp:posOffset>
            </wp:positionH>
            <wp:positionV relativeFrom="page">
              <wp:align>top</wp:align>
            </wp:positionV>
            <wp:extent cx="7596553" cy="10741452"/>
            <wp:effectExtent l="0" t="0" r="4445" b="3175"/>
            <wp:wrapTight wrapText="bothSides">
              <wp:wrapPolygon edited="0">
                <wp:start x="0" y="0"/>
                <wp:lineTo x="0" y="21568"/>
                <wp:lineTo x="21558" y="21568"/>
                <wp:lineTo x="2155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forming-the-ets-proposed-settings-summary-of-submissions-cove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96553" cy="10741452"/>
                    </a:xfrm>
                    <a:prstGeom prst="rect">
                      <a:avLst/>
                    </a:prstGeom>
                  </pic:spPr>
                </pic:pic>
              </a:graphicData>
            </a:graphic>
            <wp14:sizeRelH relativeFrom="page">
              <wp14:pctWidth>0</wp14:pctWidth>
            </wp14:sizeRelH>
            <wp14:sizeRelV relativeFrom="page">
              <wp14:pctHeight>0</wp14:pctHeight>
            </wp14:sizeRelV>
          </wp:anchor>
        </w:drawing>
      </w:r>
    </w:p>
    <w:p w14:paraId="148648BD" w14:textId="77777777" w:rsidR="00992FBD" w:rsidRPr="006B77BB" w:rsidRDefault="00992FBD" w:rsidP="00992FBD">
      <w:pPr>
        <w:pStyle w:val="BodyText"/>
      </w:pPr>
      <w:r w:rsidRPr="00992FBD">
        <w:lastRenderedPageBreak/>
        <w:t xml:space="preserve">This document may be cited as: Ministry for the Environment. 2020. </w:t>
      </w:r>
      <w:r w:rsidRPr="00992FBD">
        <w:rPr>
          <w:i/>
        </w:rPr>
        <w:t>Reforming the New Zealand Emissions Trading Scheme – Proposed Settings: Summary of Submissions</w:t>
      </w:r>
      <w:r w:rsidRPr="00992FBD">
        <w:t>. Wellington: Ministry for the Environment.</w:t>
      </w:r>
    </w:p>
    <w:p w14:paraId="5821BA4B" w14:textId="77777777" w:rsidR="0080531E" w:rsidRPr="000E4461" w:rsidRDefault="0080531E" w:rsidP="00992FBD">
      <w:pPr>
        <w:pStyle w:val="BodyText"/>
      </w:pPr>
    </w:p>
    <w:p w14:paraId="20F4C735" w14:textId="77777777" w:rsidR="0080531E" w:rsidRPr="000E4461" w:rsidRDefault="0080531E" w:rsidP="00992FBD">
      <w:pPr>
        <w:pStyle w:val="BodyText"/>
      </w:pPr>
    </w:p>
    <w:p w14:paraId="698B0EAC" w14:textId="77777777" w:rsidR="0080531E" w:rsidRPr="000E4461" w:rsidRDefault="0080531E" w:rsidP="0080531E">
      <w:pPr>
        <w:pStyle w:val="Imprint"/>
      </w:pPr>
    </w:p>
    <w:p w14:paraId="16BED532" w14:textId="77777777" w:rsidR="0080531E" w:rsidRPr="000E4461" w:rsidRDefault="0080531E" w:rsidP="0080531E">
      <w:pPr>
        <w:pStyle w:val="Imprint"/>
      </w:pPr>
    </w:p>
    <w:p w14:paraId="3205AA8B" w14:textId="77777777" w:rsidR="0080531E" w:rsidRPr="000E4461" w:rsidRDefault="0080531E" w:rsidP="0080531E">
      <w:pPr>
        <w:pStyle w:val="Imprint"/>
      </w:pPr>
    </w:p>
    <w:p w14:paraId="1E6C65FF" w14:textId="77777777" w:rsidR="0080531E" w:rsidRPr="000E4461" w:rsidRDefault="0080531E" w:rsidP="0080531E">
      <w:pPr>
        <w:pStyle w:val="Imprint"/>
      </w:pPr>
    </w:p>
    <w:p w14:paraId="3F91B6C3" w14:textId="77777777" w:rsidR="0080531E" w:rsidRPr="000E4461" w:rsidRDefault="0080531E" w:rsidP="0080531E">
      <w:pPr>
        <w:pStyle w:val="Imprint"/>
      </w:pPr>
    </w:p>
    <w:p w14:paraId="541D297C" w14:textId="77777777" w:rsidR="0080531E" w:rsidRPr="000E4461" w:rsidRDefault="0080531E" w:rsidP="0080531E">
      <w:pPr>
        <w:pStyle w:val="Imprint"/>
      </w:pPr>
    </w:p>
    <w:p w14:paraId="7DCD614B" w14:textId="77777777" w:rsidR="00663783" w:rsidRPr="000E4461" w:rsidRDefault="00663783" w:rsidP="0080531E">
      <w:pPr>
        <w:pStyle w:val="Imprint"/>
      </w:pPr>
    </w:p>
    <w:p w14:paraId="4B1A85FD" w14:textId="77777777" w:rsidR="00760C00" w:rsidRPr="000E4461" w:rsidRDefault="00760C00" w:rsidP="0080531E">
      <w:pPr>
        <w:pStyle w:val="Imprint"/>
      </w:pPr>
    </w:p>
    <w:p w14:paraId="53930B9B" w14:textId="49972BD5" w:rsidR="0080531E" w:rsidRPr="000E4461" w:rsidRDefault="0080531E" w:rsidP="0080531E">
      <w:pPr>
        <w:pStyle w:val="Imprint"/>
      </w:pPr>
      <w:r w:rsidRPr="000E4461">
        <w:t xml:space="preserve">Published in </w:t>
      </w:r>
      <w:r w:rsidR="00AD08AE">
        <w:t>June</w:t>
      </w:r>
      <w:r w:rsidR="00775F57" w:rsidRPr="000E4461">
        <w:t xml:space="preserve"> </w:t>
      </w:r>
      <w:r w:rsidR="00AD08AE" w:rsidRPr="00AD08AE">
        <w:t>2020</w:t>
      </w:r>
      <w:r w:rsidRPr="000E4461">
        <w:t xml:space="preserve"> by the</w:t>
      </w:r>
      <w:r w:rsidRPr="000E4461">
        <w:br/>
        <w:t xml:space="preserve">Ministry for the Environment </w:t>
      </w:r>
      <w:r w:rsidRPr="000E4461">
        <w:br/>
        <w:t>Manatū Mō Te Taiao</w:t>
      </w:r>
      <w:r w:rsidRPr="000E4461">
        <w:br/>
        <w:t>PO Box 10362, Wellington 6143, New Zealand</w:t>
      </w:r>
    </w:p>
    <w:p w14:paraId="4B312B33" w14:textId="01D9AA47" w:rsidR="0080531E" w:rsidRPr="000E4461" w:rsidRDefault="0080531E" w:rsidP="0080531E">
      <w:pPr>
        <w:pStyle w:val="Imprint"/>
        <w:tabs>
          <w:tab w:val="left" w:pos="720"/>
        </w:tabs>
        <w:ind w:left="720" w:hanging="720"/>
      </w:pPr>
      <w:r w:rsidRPr="000E4461">
        <w:t xml:space="preserve">ISBN: </w:t>
      </w:r>
      <w:r w:rsidRPr="000E4461">
        <w:tab/>
      </w:r>
      <w:r w:rsidR="00FA65D8" w:rsidRPr="00FA65D8">
        <w:t xml:space="preserve">978-1-98-857987-0 </w:t>
      </w:r>
      <w:r w:rsidRPr="000E4461">
        <w:t>(</w:t>
      </w:r>
      <w:r w:rsidR="00775F57" w:rsidRPr="000E4461">
        <w:t>online</w:t>
      </w:r>
      <w:r w:rsidRPr="000E4461">
        <w:t>)</w:t>
      </w:r>
    </w:p>
    <w:p w14:paraId="385320F7" w14:textId="61C3A9C9" w:rsidR="0080531E" w:rsidRPr="000E4461" w:rsidRDefault="0080531E" w:rsidP="0080531E">
      <w:pPr>
        <w:pStyle w:val="Imprint"/>
        <w:ind w:left="720" w:hanging="720"/>
      </w:pPr>
      <w:r w:rsidRPr="000E4461">
        <w:t xml:space="preserve">Publication number: </w:t>
      </w:r>
      <w:r w:rsidRPr="00FA65D8">
        <w:t xml:space="preserve">ME </w:t>
      </w:r>
      <w:r w:rsidR="00FA65D8">
        <w:t>1500</w:t>
      </w:r>
    </w:p>
    <w:p w14:paraId="68246A9C" w14:textId="5A240169" w:rsidR="0080531E" w:rsidRPr="000E4461" w:rsidRDefault="0080531E" w:rsidP="00593E94">
      <w:pPr>
        <w:pStyle w:val="Imprint"/>
        <w:spacing w:after="80"/>
      </w:pPr>
      <w:r w:rsidRPr="000E4461">
        <w:t xml:space="preserve">© Crown copyright New Zealand </w:t>
      </w:r>
      <w:r w:rsidR="00AD08AE" w:rsidRPr="00AD08AE">
        <w:t>2020</w:t>
      </w:r>
    </w:p>
    <w:p w14:paraId="581ADC6E" w14:textId="77777777" w:rsidR="00C04705" w:rsidRPr="000E4461" w:rsidRDefault="0080531E" w:rsidP="00593E94">
      <w:pPr>
        <w:pStyle w:val="Imprint"/>
        <w:spacing w:before="240" w:after="0"/>
        <w:rPr>
          <w:rStyle w:val="Hyperlink"/>
          <w:color w:val="auto"/>
        </w:rPr>
      </w:pPr>
      <w:r w:rsidRPr="000E4461">
        <w:t>This document is available on the Ministry for</w:t>
      </w:r>
      <w:r w:rsidR="004C4E8A" w:rsidRPr="000E4461">
        <w:t xml:space="preserve"> the Environment </w:t>
      </w:r>
      <w:r w:rsidR="00CB557F" w:rsidRPr="000E4461">
        <w:t>website</w:t>
      </w:r>
      <w:r w:rsidRPr="000E4461">
        <w:t xml:space="preserve">: </w:t>
      </w:r>
      <w:hyperlink r:id="rId11" w:history="1">
        <w:r w:rsidRPr="000E4461">
          <w:rPr>
            <w:rStyle w:val="Hyperlink"/>
          </w:rPr>
          <w:t>www.mfe.govt.nz</w:t>
        </w:r>
      </w:hyperlink>
      <w:r w:rsidR="00B51610" w:rsidRPr="000E4461">
        <w:rPr>
          <w:rStyle w:val="Hyperlink"/>
          <w:color w:val="auto"/>
        </w:rPr>
        <w:t>.</w:t>
      </w:r>
    </w:p>
    <w:p w14:paraId="1987482C" w14:textId="77777777" w:rsidR="00A84FE1" w:rsidRPr="000E4461" w:rsidRDefault="00A84FE1" w:rsidP="00A84FE1">
      <w:pPr>
        <w:pStyle w:val="Imprint"/>
        <w:spacing w:before="240" w:after="0"/>
      </w:pPr>
      <w:r w:rsidRPr="000E4461">
        <w:rPr>
          <w:noProof/>
        </w:rPr>
        <w:drawing>
          <wp:inline distT="0" distB="0" distL="0" distR="0" wp14:anchorId="64ED4BA2" wp14:editId="7E7B787D">
            <wp:extent cx="2712746" cy="11708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46" cy="1170842"/>
                    </a:xfrm>
                    <a:prstGeom prst="rect">
                      <a:avLst/>
                    </a:prstGeom>
                    <a:noFill/>
                  </pic:spPr>
                </pic:pic>
              </a:graphicData>
            </a:graphic>
          </wp:inline>
        </w:drawing>
      </w:r>
    </w:p>
    <w:p w14:paraId="75E87C26" w14:textId="77777777" w:rsidR="0080531E" w:rsidRPr="000E4461" w:rsidRDefault="0080531E" w:rsidP="00A84FE1">
      <w:pPr>
        <w:sectPr w:rsidR="0080531E" w:rsidRPr="000E4461" w:rsidSect="0036151C">
          <w:headerReference w:type="even" r:id="rId13"/>
          <w:headerReference w:type="default" r:id="rId14"/>
          <w:footerReference w:type="even" r:id="rId15"/>
          <w:footerReference w:type="default" r:id="rId16"/>
          <w:pgSz w:w="11907" w:h="16840" w:code="9"/>
          <w:pgMar w:top="1134" w:right="1418" w:bottom="1134" w:left="1418" w:header="567" w:footer="567" w:gutter="567"/>
          <w:pgNumType w:fmt="lowerRoman"/>
          <w:cols w:space="720"/>
        </w:sectPr>
      </w:pPr>
    </w:p>
    <w:p w14:paraId="72EFB889" w14:textId="77777777" w:rsidR="0080531E" w:rsidRPr="00E56228" w:rsidRDefault="0080531E" w:rsidP="008B68EC">
      <w:pPr>
        <w:pStyle w:val="Heading"/>
      </w:pPr>
      <w:r w:rsidRPr="00E56228">
        <w:lastRenderedPageBreak/>
        <w:t>Contents</w:t>
      </w:r>
    </w:p>
    <w:p w14:paraId="43995128" w14:textId="7C833E75" w:rsidR="00481A31" w:rsidRDefault="00775F57">
      <w:pPr>
        <w:pStyle w:val="TOC1"/>
        <w:rPr>
          <w:rFonts w:asciiTheme="minorHAnsi" w:hAnsiTheme="minorHAnsi"/>
          <w:noProof/>
        </w:rPr>
      </w:pPr>
      <w:r w:rsidRPr="000E4461">
        <w:rPr>
          <w:color w:val="0092CF"/>
        </w:rPr>
        <w:fldChar w:fldCharType="begin"/>
      </w:r>
      <w:r w:rsidRPr="000E4461">
        <w:rPr>
          <w:color w:val="0092CF"/>
        </w:rPr>
        <w:instrText xml:space="preserve"> TOC \h \z \t "Heading 1,1,Heading 2,2" </w:instrText>
      </w:r>
      <w:r w:rsidRPr="000E4461">
        <w:rPr>
          <w:color w:val="0092CF"/>
        </w:rPr>
        <w:fldChar w:fldCharType="separate"/>
      </w:r>
      <w:hyperlink w:anchor="_Toc40703421" w:history="1">
        <w:r w:rsidR="00481A31" w:rsidRPr="00AC0AF6">
          <w:rPr>
            <w:rStyle w:val="Hyperlink"/>
            <w:noProof/>
          </w:rPr>
          <w:t>Introduction</w:t>
        </w:r>
        <w:r w:rsidR="00481A31">
          <w:rPr>
            <w:noProof/>
            <w:webHidden/>
          </w:rPr>
          <w:tab/>
        </w:r>
        <w:r w:rsidR="00481A31">
          <w:rPr>
            <w:noProof/>
            <w:webHidden/>
          </w:rPr>
          <w:fldChar w:fldCharType="begin"/>
        </w:r>
        <w:r w:rsidR="00481A31">
          <w:rPr>
            <w:noProof/>
            <w:webHidden/>
          </w:rPr>
          <w:instrText xml:space="preserve"> PAGEREF _Toc40703421 \h </w:instrText>
        </w:r>
        <w:r w:rsidR="00481A31">
          <w:rPr>
            <w:noProof/>
            <w:webHidden/>
          </w:rPr>
        </w:r>
        <w:r w:rsidR="00481A31">
          <w:rPr>
            <w:noProof/>
            <w:webHidden/>
          </w:rPr>
          <w:fldChar w:fldCharType="separate"/>
        </w:r>
        <w:r w:rsidR="00C05B19">
          <w:rPr>
            <w:noProof/>
            <w:webHidden/>
          </w:rPr>
          <w:t>4</w:t>
        </w:r>
        <w:r w:rsidR="00481A31">
          <w:rPr>
            <w:noProof/>
            <w:webHidden/>
          </w:rPr>
          <w:fldChar w:fldCharType="end"/>
        </w:r>
      </w:hyperlink>
    </w:p>
    <w:p w14:paraId="6BCB3496" w14:textId="7C3A9791" w:rsidR="00481A31" w:rsidRDefault="00C05B19">
      <w:pPr>
        <w:pStyle w:val="TOC2"/>
        <w:rPr>
          <w:rFonts w:asciiTheme="minorHAnsi" w:hAnsiTheme="minorHAnsi"/>
          <w:noProof/>
        </w:rPr>
      </w:pPr>
      <w:hyperlink w:anchor="_Toc40703422" w:history="1">
        <w:r w:rsidR="00481A31" w:rsidRPr="00AC0AF6">
          <w:rPr>
            <w:rStyle w:val="Hyperlink"/>
            <w:noProof/>
          </w:rPr>
          <w:t>Purpose of the consultation</w:t>
        </w:r>
        <w:r w:rsidR="00481A31">
          <w:rPr>
            <w:noProof/>
            <w:webHidden/>
          </w:rPr>
          <w:tab/>
        </w:r>
        <w:r w:rsidR="00481A31">
          <w:rPr>
            <w:noProof/>
            <w:webHidden/>
          </w:rPr>
          <w:fldChar w:fldCharType="begin"/>
        </w:r>
        <w:r w:rsidR="00481A31">
          <w:rPr>
            <w:noProof/>
            <w:webHidden/>
          </w:rPr>
          <w:instrText xml:space="preserve"> PAGEREF _Toc40703422 \h </w:instrText>
        </w:r>
        <w:r w:rsidR="00481A31">
          <w:rPr>
            <w:noProof/>
            <w:webHidden/>
          </w:rPr>
        </w:r>
        <w:r w:rsidR="00481A31">
          <w:rPr>
            <w:noProof/>
            <w:webHidden/>
          </w:rPr>
          <w:fldChar w:fldCharType="separate"/>
        </w:r>
        <w:r>
          <w:rPr>
            <w:noProof/>
            <w:webHidden/>
          </w:rPr>
          <w:t>4</w:t>
        </w:r>
        <w:r w:rsidR="00481A31">
          <w:rPr>
            <w:noProof/>
            <w:webHidden/>
          </w:rPr>
          <w:fldChar w:fldCharType="end"/>
        </w:r>
      </w:hyperlink>
    </w:p>
    <w:p w14:paraId="6DAD3C26" w14:textId="7C29DF0A" w:rsidR="00481A31" w:rsidRDefault="00C05B19">
      <w:pPr>
        <w:pStyle w:val="TOC2"/>
        <w:rPr>
          <w:rFonts w:asciiTheme="minorHAnsi" w:hAnsiTheme="minorHAnsi"/>
          <w:noProof/>
        </w:rPr>
      </w:pPr>
      <w:hyperlink w:anchor="_Toc40703423" w:history="1">
        <w:r w:rsidR="00481A31" w:rsidRPr="00AC0AF6">
          <w:rPr>
            <w:rStyle w:val="Hyperlink"/>
            <w:noProof/>
          </w:rPr>
          <w:t>Consultation process</w:t>
        </w:r>
        <w:r w:rsidR="00481A31">
          <w:rPr>
            <w:noProof/>
            <w:webHidden/>
          </w:rPr>
          <w:tab/>
        </w:r>
        <w:r w:rsidR="00481A31">
          <w:rPr>
            <w:noProof/>
            <w:webHidden/>
          </w:rPr>
          <w:fldChar w:fldCharType="begin"/>
        </w:r>
        <w:r w:rsidR="00481A31">
          <w:rPr>
            <w:noProof/>
            <w:webHidden/>
          </w:rPr>
          <w:instrText xml:space="preserve"> PAGEREF _Toc40703423 \h </w:instrText>
        </w:r>
        <w:r w:rsidR="00481A31">
          <w:rPr>
            <w:noProof/>
            <w:webHidden/>
          </w:rPr>
        </w:r>
        <w:r w:rsidR="00481A31">
          <w:rPr>
            <w:noProof/>
            <w:webHidden/>
          </w:rPr>
          <w:fldChar w:fldCharType="separate"/>
        </w:r>
        <w:r>
          <w:rPr>
            <w:noProof/>
            <w:webHidden/>
          </w:rPr>
          <w:t>4</w:t>
        </w:r>
        <w:r w:rsidR="00481A31">
          <w:rPr>
            <w:noProof/>
            <w:webHidden/>
          </w:rPr>
          <w:fldChar w:fldCharType="end"/>
        </w:r>
      </w:hyperlink>
    </w:p>
    <w:p w14:paraId="29E9801B" w14:textId="7EA2E551" w:rsidR="00481A31" w:rsidRDefault="00C05B19">
      <w:pPr>
        <w:pStyle w:val="TOC2"/>
        <w:rPr>
          <w:rFonts w:asciiTheme="minorHAnsi" w:hAnsiTheme="minorHAnsi"/>
          <w:noProof/>
        </w:rPr>
      </w:pPr>
      <w:hyperlink w:anchor="_Toc40703424" w:history="1">
        <w:r w:rsidR="00481A31" w:rsidRPr="00AC0AF6">
          <w:rPr>
            <w:rStyle w:val="Hyperlink"/>
            <w:noProof/>
          </w:rPr>
          <w:t>What happens next?</w:t>
        </w:r>
        <w:r w:rsidR="00481A31">
          <w:rPr>
            <w:noProof/>
            <w:webHidden/>
          </w:rPr>
          <w:tab/>
        </w:r>
        <w:r w:rsidR="00481A31">
          <w:rPr>
            <w:noProof/>
            <w:webHidden/>
          </w:rPr>
          <w:fldChar w:fldCharType="begin"/>
        </w:r>
        <w:r w:rsidR="00481A31">
          <w:rPr>
            <w:noProof/>
            <w:webHidden/>
          </w:rPr>
          <w:instrText xml:space="preserve"> PAGEREF _Toc40703424 \h </w:instrText>
        </w:r>
        <w:r w:rsidR="00481A31">
          <w:rPr>
            <w:noProof/>
            <w:webHidden/>
          </w:rPr>
        </w:r>
        <w:r w:rsidR="00481A31">
          <w:rPr>
            <w:noProof/>
            <w:webHidden/>
          </w:rPr>
          <w:fldChar w:fldCharType="separate"/>
        </w:r>
        <w:r>
          <w:rPr>
            <w:noProof/>
            <w:webHidden/>
          </w:rPr>
          <w:t>5</w:t>
        </w:r>
        <w:r w:rsidR="00481A31">
          <w:rPr>
            <w:noProof/>
            <w:webHidden/>
          </w:rPr>
          <w:fldChar w:fldCharType="end"/>
        </w:r>
      </w:hyperlink>
    </w:p>
    <w:p w14:paraId="7DE460D9" w14:textId="6B38A1E0" w:rsidR="00481A31" w:rsidRDefault="00C05B19">
      <w:pPr>
        <w:pStyle w:val="TOC1"/>
        <w:rPr>
          <w:rFonts w:asciiTheme="minorHAnsi" w:hAnsiTheme="minorHAnsi"/>
          <w:noProof/>
        </w:rPr>
      </w:pPr>
      <w:hyperlink w:anchor="_Toc40703425" w:history="1">
        <w:r w:rsidR="00481A31" w:rsidRPr="00AC0AF6">
          <w:rPr>
            <w:rStyle w:val="Hyperlink"/>
            <w:noProof/>
          </w:rPr>
          <w:t>Who responded to the consultation</w:t>
        </w:r>
        <w:r w:rsidR="00481A31">
          <w:rPr>
            <w:noProof/>
            <w:webHidden/>
          </w:rPr>
          <w:tab/>
        </w:r>
        <w:r w:rsidR="00481A31">
          <w:rPr>
            <w:noProof/>
            <w:webHidden/>
          </w:rPr>
          <w:fldChar w:fldCharType="begin"/>
        </w:r>
        <w:r w:rsidR="00481A31">
          <w:rPr>
            <w:noProof/>
            <w:webHidden/>
          </w:rPr>
          <w:instrText xml:space="preserve"> PAGEREF _Toc40703425 \h </w:instrText>
        </w:r>
        <w:r w:rsidR="00481A31">
          <w:rPr>
            <w:noProof/>
            <w:webHidden/>
          </w:rPr>
        </w:r>
        <w:r w:rsidR="00481A31">
          <w:rPr>
            <w:noProof/>
            <w:webHidden/>
          </w:rPr>
          <w:fldChar w:fldCharType="separate"/>
        </w:r>
        <w:r>
          <w:rPr>
            <w:noProof/>
            <w:webHidden/>
          </w:rPr>
          <w:t>6</w:t>
        </w:r>
        <w:r w:rsidR="00481A31">
          <w:rPr>
            <w:noProof/>
            <w:webHidden/>
          </w:rPr>
          <w:fldChar w:fldCharType="end"/>
        </w:r>
      </w:hyperlink>
    </w:p>
    <w:p w14:paraId="3D646B41" w14:textId="3E8B334E" w:rsidR="00481A31" w:rsidRDefault="00C05B19">
      <w:pPr>
        <w:pStyle w:val="TOC1"/>
        <w:rPr>
          <w:rFonts w:asciiTheme="minorHAnsi" w:hAnsiTheme="minorHAnsi"/>
          <w:noProof/>
        </w:rPr>
      </w:pPr>
      <w:hyperlink w:anchor="_Toc40703426" w:history="1">
        <w:r w:rsidR="00481A31" w:rsidRPr="00AC0AF6">
          <w:rPr>
            <w:rStyle w:val="Hyperlink"/>
            <w:noProof/>
          </w:rPr>
          <w:t>What did submitters say?</w:t>
        </w:r>
        <w:r w:rsidR="00481A31">
          <w:rPr>
            <w:noProof/>
            <w:webHidden/>
          </w:rPr>
          <w:tab/>
        </w:r>
        <w:r w:rsidR="00481A31">
          <w:rPr>
            <w:noProof/>
            <w:webHidden/>
          </w:rPr>
          <w:fldChar w:fldCharType="begin"/>
        </w:r>
        <w:r w:rsidR="00481A31">
          <w:rPr>
            <w:noProof/>
            <w:webHidden/>
          </w:rPr>
          <w:instrText xml:space="preserve"> PAGEREF _Toc40703426 \h </w:instrText>
        </w:r>
        <w:r w:rsidR="00481A31">
          <w:rPr>
            <w:noProof/>
            <w:webHidden/>
          </w:rPr>
        </w:r>
        <w:r w:rsidR="00481A31">
          <w:rPr>
            <w:noProof/>
            <w:webHidden/>
          </w:rPr>
          <w:fldChar w:fldCharType="separate"/>
        </w:r>
        <w:r>
          <w:rPr>
            <w:noProof/>
            <w:webHidden/>
          </w:rPr>
          <w:t>7</w:t>
        </w:r>
        <w:r w:rsidR="00481A31">
          <w:rPr>
            <w:noProof/>
            <w:webHidden/>
          </w:rPr>
          <w:fldChar w:fldCharType="end"/>
        </w:r>
      </w:hyperlink>
    </w:p>
    <w:p w14:paraId="5073715B" w14:textId="0C45A6DC" w:rsidR="00481A31" w:rsidRDefault="00C05B19">
      <w:pPr>
        <w:pStyle w:val="TOC2"/>
        <w:rPr>
          <w:rFonts w:asciiTheme="minorHAnsi" w:hAnsiTheme="minorHAnsi"/>
          <w:noProof/>
        </w:rPr>
      </w:pPr>
      <w:hyperlink w:anchor="_Toc40703427" w:history="1">
        <w:r w:rsidR="00481A31" w:rsidRPr="00AC0AF6">
          <w:rPr>
            <w:rStyle w:val="Hyperlink"/>
            <w:noProof/>
          </w:rPr>
          <w:t>The provisional emissions budget</w:t>
        </w:r>
        <w:r w:rsidR="00481A31">
          <w:rPr>
            <w:noProof/>
            <w:webHidden/>
          </w:rPr>
          <w:tab/>
        </w:r>
        <w:r w:rsidR="00481A31">
          <w:rPr>
            <w:noProof/>
            <w:webHidden/>
          </w:rPr>
          <w:fldChar w:fldCharType="begin"/>
        </w:r>
        <w:r w:rsidR="00481A31">
          <w:rPr>
            <w:noProof/>
            <w:webHidden/>
          </w:rPr>
          <w:instrText xml:space="preserve"> PAGEREF _Toc40703427 \h </w:instrText>
        </w:r>
        <w:r w:rsidR="00481A31">
          <w:rPr>
            <w:noProof/>
            <w:webHidden/>
          </w:rPr>
        </w:r>
        <w:r w:rsidR="00481A31">
          <w:rPr>
            <w:noProof/>
            <w:webHidden/>
          </w:rPr>
          <w:fldChar w:fldCharType="separate"/>
        </w:r>
        <w:r>
          <w:rPr>
            <w:noProof/>
            <w:webHidden/>
          </w:rPr>
          <w:t>7</w:t>
        </w:r>
        <w:r w:rsidR="00481A31">
          <w:rPr>
            <w:noProof/>
            <w:webHidden/>
          </w:rPr>
          <w:fldChar w:fldCharType="end"/>
        </w:r>
      </w:hyperlink>
    </w:p>
    <w:p w14:paraId="77D09A9B" w14:textId="7AD1A864" w:rsidR="00481A31" w:rsidRDefault="00C05B19">
      <w:pPr>
        <w:pStyle w:val="TOC2"/>
        <w:rPr>
          <w:rFonts w:asciiTheme="minorHAnsi" w:hAnsiTheme="minorHAnsi"/>
          <w:noProof/>
        </w:rPr>
      </w:pPr>
      <w:hyperlink w:anchor="_Toc40703428" w:history="1">
        <w:r w:rsidR="00481A31" w:rsidRPr="00AC0AF6">
          <w:rPr>
            <w:rStyle w:val="Hyperlink"/>
            <w:noProof/>
          </w:rPr>
          <w:t>Unit supply settings: Technical volume adjustments</w:t>
        </w:r>
        <w:r w:rsidR="00481A31">
          <w:rPr>
            <w:noProof/>
            <w:webHidden/>
          </w:rPr>
          <w:tab/>
        </w:r>
        <w:r w:rsidR="00481A31">
          <w:rPr>
            <w:noProof/>
            <w:webHidden/>
          </w:rPr>
          <w:fldChar w:fldCharType="begin"/>
        </w:r>
        <w:r w:rsidR="00481A31">
          <w:rPr>
            <w:noProof/>
            <w:webHidden/>
          </w:rPr>
          <w:instrText xml:space="preserve"> PAGEREF _Toc40703428 \h </w:instrText>
        </w:r>
        <w:r w:rsidR="00481A31">
          <w:rPr>
            <w:noProof/>
            <w:webHidden/>
          </w:rPr>
        </w:r>
        <w:r w:rsidR="00481A31">
          <w:rPr>
            <w:noProof/>
            <w:webHidden/>
          </w:rPr>
          <w:fldChar w:fldCharType="separate"/>
        </w:r>
        <w:r>
          <w:rPr>
            <w:noProof/>
            <w:webHidden/>
          </w:rPr>
          <w:t>9</w:t>
        </w:r>
        <w:r w:rsidR="00481A31">
          <w:rPr>
            <w:noProof/>
            <w:webHidden/>
          </w:rPr>
          <w:fldChar w:fldCharType="end"/>
        </w:r>
      </w:hyperlink>
    </w:p>
    <w:p w14:paraId="18C81164" w14:textId="5028DC95" w:rsidR="00481A31" w:rsidRDefault="00C05B19">
      <w:pPr>
        <w:pStyle w:val="TOC2"/>
        <w:rPr>
          <w:rFonts w:asciiTheme="minorHAnsi" w:hAnsiTheme="minorHAnsi"/>
          <w:noProof/>
        </w:rPr>
      </w:pPr>
      <w:hyperlink w:anchor="_Toc40703429" w:history="1">
        <w:r w:rsidR="00481A31" w:rsidRPr="00AC0AF6">
          <w:rPr>
            <w:rStyle w:val="Hyperlink"/>
            <w:noProof/>
          </w:rPr>
          <w:t>NZU stockpile</w:t>
        </w:r>
        <w:r w:rsidR="00481A31">
          <w:rPr>
            <w:noProof/>
            <w:webHidden/>
          </w:rPr>
          <w:tab/>
        </w:r>
        <w:r w:rsidR="00481A31">
          <w:rPr>
            <w:noProof/>
            <w:webHidden/>
          </w:rPr>
          <w:fldChar w:fldCharType="begin"/>
        </w:r>
        <w:r w:rsidR="00481A31">
          <w:rPr>
            <w:noProof/>
            <w:webHidden/>
          </w:rPr>
          <w:instrText xml:space="preserve"> PAGEREF _Toc40703429 \h </w:instrText>
        </w:r>
        <w:r w:rsidR="00481A31">
          <w:rPr>
            <w:noProof/>
            <w:webHidden/>
          </w:rPr>
        </w:r>
        <w:r w:rsidR="00481A31">
          <w:rPr>
            <w:noProof/>
            <w:webHidden/>
          </w:rPr>
          <w:fldChar w:fldCharType="separate"/>
        </w:r>
        <w:r>
          <w:rPr>
            <w:noProof/>
            <w:webHidden/>
          </w:rPr>
          <w:t>11</w:t>
        </w:r>
        <w:r w:rsidR="00481A31">
          <w:rPr>
            <w:noProof/>
            <w:webHidden/>
          </w:rPr>
          <w:fldChar w:fldCharType="end"/>
        </w:r>
      </w:hyperlink>
    </w:p>
    <w:p w14:paraId="4E4FDE27" w14:textId="377218E0" w:rsidR="00481A31" w:rsidRDefault="00C05B19">
      <w:pPr>
        <w:pStyle w:val="TOC2"/>
        <w:rPr>
          <w:rFonts w:asciiTheme="minorHAnsi" w:hAnsiTheme="minorHAnsi"/>
          <w:noProof/>
        </w:rPr>
      </w:pPr>
      <w:hyperlink w:anchor="_Toc40703430" w:history="1">
        <w:r w:rsidR="00481A31" w:rsidRPr="00AC0AF6">
          <w:rPr>
            <w:rStyle w:val="Hyperlink"/>
            <w:noProof/>
          </w:rPr>
          <w:t>Steps and calculations to reach the final annual auction volumes</w:t>
        </w:r>
        <w:r w:rsidR="00481A31">
          <w:rPr>
            <w:noProof/>
            <w:webHidden/>
          </w:rPr>
          <w:tab/>
        </w:r>
        <w:r w:rsidR="00481A31">
          <w:rPr>
            <w:noProof/>
            <w:webHidden/>
          </w:rPr>
          <w:fldChar w:fldCharType="begin"/>
        </w:r>
        <w:r w:rsidR="00481A31">
          <w:rPr>
            <w:noProof/>
            <w:webHidden/>
          </w:rPr>
          <w:instrText xml:space="preserve"> PAGEREF _Toc40703430 \h </w:instrText>
        </w:r>
        <w:r w:rsidR="00481A31">
          <w:rPr>
            <w:noProof/>
            <w:webHidden/>
          </w:rPr>
        </w:r>
        <w:r w:rsidR="00481A31">
          <w:rPr>
            <w:noProof/>
            <w:webHidden/>
          </w:rPr>
          <w:fldChar w:fldCharType="separate"/>
        </w:r>
        <w:r>
          <w:rPr>
            <w:noProof/>
            <w:webHidden/>
          </w:rPr>
          <w:t>13</w:t>
        </w:r>
        <w:r w:rsidR="00481A31">
          <w:rPr>
            <w:noProof/>
            <w:webHidden/>
          </w:rPr>
          <w:fldChar w:fldCharType="end"/>
        </w:r>
      </w:hyperlink>
    </w:p>
    <w:p w14:paraId="690A5A2D" w14:textId="67D86C4E" w:rsidR="00481A31" w:rsidRDefault="00C05B19">
      <w:pPr>
        <w:pStyle w:val="TOC2"/>
        <w:rPr>
          <w:rFonts w:asciiTheme="minorHAnsi" w:hAnsiTheme="minorHAnsi"/>
          <w:noProof/>
        </w:rPr>
      </w:pPr>
      <w:hyperlink w:anchor="_Toc40703431" w:history="1">
        <w:r w:rsidR="00481A31" w:rsidRPr="00AC0AF6">
          <w:rPr>
            <w:rStyle w:val="Hyperlink"/>
            <w:noProof/>
          </w:rPr>
          <w:t>Price floor</w:t>
        </w:r>
        <w:r w:rsidR="00481A31">
          <w:rPr>
            <w:noProof/>
            <w:webHidden/>
          </w:rPr>
          <w:tab/>
        </w:r>
        <w:r w:rsidR="00481A31">
          <w:rPr>
            <w:noProof/>
            <w:webHidden/>
          </w:rPr>
          <w:fldChar w:fldCharType="begin"/>
        </w:r>
        <w:r w:rsidR="00481A31">
          <w:rPr>
            <w:noProof/>
            <w:webHidden/>
          </w:rPr>
          <w:instrText xml:space="preserve"> PAGEREF _Toc40703431 \h </w:instrText>
        </w:r>
        <w:r w:rsidR="00481A31">
          <w:rPr>
            <w:noProof/>
            <w:webHidden/>
          </w:rPr>
        </w:r>
        <w:r w:rsidR="00481A31">
          <w:rPr>
            <w:noProof/>
            <w:webHidden/>
          </w:rPr>
          <w:fldChar w:fldCharType="separate"/>
        </w:r>
        <w:r>
          <w:rPr>
            <w:noProof/>
            <w:webHidden/>
          </w:rPr>
          <w:t>14</w:t>
        </w:r>
        <w:r w:rsidR="00481A31">
          <w:rPr>
            <w:noProof/>
            <w:webHidden/>
          </w:rPr>
          <w:fldChar w:fldCharType="end"/>
        </w:r>
      </w:hyperlink>
    </w:p>
    <w:p w14:paraId="4D3272A6" w14:textId="107C2181" w:rsidR="00481A31" w:rsidRDefault="00C05B19">
      <w:pPr>
        <w:pStyle w:val="TOC2"/>
        <w:rPr>
          <w:rFonts w:asciiTheme="minorHAnsi" w:hAnsiTheme="minorHAnsi"/>
          <w:noProof/>
        </w:rPr>
      </w:pPr>
      <w:hyperlink w:anchor="_Toc40703432" w:history="1">
        <w:r w:rsidR="00481A31" w:rsidRPr="00AC0AF6">
          <w:rPr>
            <w:rStyle w:val="Hyperlink"/>
            <w:noProof/>
          </w:rPr>
          <w:t>The fixed price option</w:t>
        </w:r>
        <w:r w:rsidR="00481A31">
          <w:rPr>
            <w:noProof/>
            <w:webHidden/>
          </w:rPr>
          <w:tab/>
        </w:r>
        <w:r w:rsidR="00481A31">
          <w:rPr>
            <w:noProof/>
            <w:webHidden/>
          </w:rPr>
          <w:fldChar w:fldCharType="begin"/>
        </w:r>
        <w:r w:rsidR="00481A31">
          <w:rPr>
            <w:noProof/>
            <w:webHidden/>
          </w:rPr>
          <w:instrText xml:space="preserve"> PAGEREF _Toc40703432 \h </w:instrText>
        </w:r>
        <w:r w:rsidR="00481A31">
          <w:rPr>
            <w:noProof/>
            <w:webHidden/>
          </w:rPr>
        </w:r>
        <w:r w:rsidR="00481A31">
          <w:rPr>
            <w:noProof/>
            <w:webHidden/>
          </w:rPr>
          <w:fldChar w:fldCharType="separate"/>
        </w:r>
        <w:r>
          <w:rPr>
            <w:noProof/>
            <w:webHidden/>
          </w:rPr>
          <w:t>15</w:t>
        </w:r>
        <w:r w:rsidR="00481A31">
          <w:rPr>
            <w:noProof/>
            <w:webHidden/>
          </w:rPr>
          <w:fldChar w:fldCharType="end"/>
        </w:r>
      </w:hyperlink>
    </w:p>
    <w:p w14:paraId="23651F47" w14:textId="039B3B22" w:rsidR="00481A31" w:rsidRDefault="00C05B19">
      <w:pPr>
        <w:pStyle w:val="TOC2"/>
        <w:rPr>
          <w:rFonts w:asciiTheme="minorHAnsi" w:hAnsiTheme="minorHAnsi"/>
          <w:noProof/>
        </w:rPr>
      </w:pPr>
      <w:hyperlink w:anchor="_Toc40703433" w:history="1">
        <w:r w:rsidR="00481A31" w:rsidRPr="00AC0AF6">
          <w:rPr>
            <w:rStyle w:val="Hyperlink"/>
            <w:noProof/>
          </w:rPr>
          <w:t>Cost containment reserve trigger price</w:t>
        </w:r>
        <w:r w:rsidR="00481A31">
          <w:rPr>
            <w:noProof/>
            <w:webHidden/>
          </w:rPr>
          <w:tab/>
        </w:r>
        <w:r w:rsidR="00481A31">
          <w:rPr>
            <w:noProof/>
            <w:webHidden/>
          </w:rPr>
          <w:fldChar w:fldCharType="begin"/>
        </w:r>
        <w:r w:rsidR="00481A31">
          <w:rPr>
            <w:noProof/>
            <w:webHidden/>
          </w:rPr>
          <w:instrText xml:space="preserve"> PAGEREF _Toc40703433 \h </w:instrText>
        </w:r>
        <w:r w:rsidR="00481A31">
          <w:rPr>
            <w:noProof/>
            <w:webHidden/>
          </w:rPr>
        </w:r>
        <w:r w:rsidR="00481A31">
          <w:rPr>
            <w:noProof/>
            <w:webHidden/>
          </w:rPr>
          <w:fldChar w:fldCharType="separate"/>
        </w:r>
        <w:r>
          <w:rPr>
            <w:noProof/>
            <w:webHidden/>
          </w:rPr>
          <w:t>17</w:t>
        </w:r>
        <w:r w:rsidR="00481A31">
          <w:rPr>
            <w:noProof/>
            <w:webHidden/>
          </w:rPr>
          <w:fldChar w:fldCharType="end"/>
        </w:r>
      </w:hyperlink>
    </w:p>
    <w:p w14:paraId="796D9984" w14:textId="44BEBC9E" w:rsidR="00481A31" w:rsidRDefault="00C05B19">
      <w:pPr>
        <w:pStyle w:val="TOC2"/>
        <w:rPr>
          <w:rFonts w:asciiTheme="minorHAnsi" w:hAnsiTheme="minorHAnsi"/>
          <w:noProof/>
        </w:rPr>
      </w:pPr>
      <w:hyperlink w:anchor="_Toc40703434" w:history="1">
        <w:r w:rsidR="00481A31" w:rsidRPr="00AC0AF6">
          <w:rPr>
            <w:rStyle w:val="Hyperlink"/>
            <w:noProof/>
          </w:rPr>
          <w:t>Cost containment reserve volume</w:t>
        </w:r>
        <w:r w:rsidR="00481A31">
          <w:rPr>
            <w:noProof/>
            <w:webHidden/>
          </w:rPr>
          <w:tab/>
        </w:r>
        <w:r w:rsidR="00481A31">
          <w:rPr>
            <w:noProof/>
            <w:webHidden/>
          </w:rPr>
          <w:fldChar w:fldCharType="begin"/>
        </w:r>
        <w:r w:rsidR="00481A31">
          <w:rPr>
            <w:noProof/>
            <w:webHidden/>
          </w:rPr>
          <w:instrText xml:space="preserve"> PAGEREF _Toc40703434 \h </w:instrText>
        </w:r>
        <w:r w:rsidR="00481A31">
          <w:rPr>
            <w:noProof/>
            <w:webHidden/>
          </w:rPr>
        </w:r>
        <w:r w:rsidR="00481A31">
          <w:rPr>
            <w:noProof/>
            <w:webHidden/>
          </w:rPr>
          <w:fldChar w:fldCharType="separate"/>
        </w:r>
        <w:r>
          <w:rPr>
            <w:noProof/>
            <w:webHidden/>
          </w:rPr>
          <w:t>19</w:t>
        </w:r>
        <w:r w:rsidR="00481A31">
          <w:rPr>
            <w:noProof/>
            <w:webHidden/>
          </w:rPr>
          <w:fldChar w:fldCharType="end"/>
        </w:r>
      </w:hyperlink>
    </w:p>
    <w:p w14:paraId="7CA75C07" w14:textId="67FD2C20" w:rsidR="00481A31" w:rsidRDefault="00C05B19">
      <w:pPr>
        <w:pStyle w:val="TOC2"/>
        <w:rPr>
          <w:rFonts w:asciiTheme="minorHAnsi" w:hAnsiTheme="minorHAnsi"/>
          <w:noProof/>
        </w:rPr>
      </w:pPr>
      <w:hyperlink w:anchor="_Toc40703435" w:history="1">
        <w:r w:rsidR="00481A31" w:rsidRPr="00AC0AF6">
          <w:rPr>
            <w:rStyle w:val="Hyperlink"/>
            <w:noProof/>
          </w:rPr>
          <w:t>Release of NZ ETS settings information</w:t>
        </w:r>
        <w:r w:rsidR="00481A31">
          <w:rPr>
            <w:noProof/>
            <w:webHidden/>
          </w:rPr>
          <w:tab/>
        </w:r>
        <w:r w:rsidR="00481A31">
          <w:rPr>
            <w:noProof/>
            <w:webHidden/>
          </w:rPr>
          <w:fldChar w:fldCharType="begin"/>
        </w:r>
        <w:r w:rsidR="00481A31">
          <w:rPr>
            <w:noProof/>
            <w:webHidden/>
          </w:rPr>
          <w:instrText xml:space="preserve"> PAGEREF _Toc40703435 \h </w:instrText>
        </w:r>
        <w:r w:rsidR="00481A31">
          <w:rPr>
            <w:noProof/>
            <w:webHidden/>
          </w:rPr>
        </w:r>
        <w:r w:rsidR="00481A31">
          <w:rPr>
            <w:noProof/>
            <w:webHidden/>
          </w:rPr>
          <w:fldChar w:fldCharType="separate"/>
        </w:r>
        <w:r>
          <w:rPr>
            <w:noProof/>
            <w:webHidden/>
          </w:rPr>
          <w:t>20</w:t>
        </w:r>
        <w:r w:rsidR="00481A31">
          <w:rPr>
            <w:noProof/>
            <w:webHidden/>
          </w:rPr>
          <w:fldChar w:fldCharType="end"/>
        </w:r>
      </w:hyperlink>
    </w:p>
    <w:p w14:paraId="3B827B25" w14:textId="39C18236" w:rsidR="00481A31" w:rsidRDefault="00C05B19">
      <w:pPr>
        <w:pStyle w:val="TOC1"/>
        <w:rPr>
          <w:rFonts w:asciiTheme="minorHAnsi" w:hAnsiTheme="minorHAnsi"/>
          <w:noProof/>
        </w:rPr>
      </w:pPr>
      <w:hyperlink w:anchor="_Toc40703436" w:history="1">
        <w:r w:rsidR="00481A31" w:rsidRPr="00AC0AF6">
          <w:rPr>
            <w:rStyle w:val="Hyperlink"/>
            <w:noProof/>
          </w:rPr>
          <w:t>Additional comments on topics outside of the questions asked</w:t>
        </w:r>
        <w:r w:rsidR="00481A31">
          <w:rPr>
            <w:noProof/>
            <w:webHidden/>
          </w:rPr>
          <w:tab/>
        </w:r>
        <w:r w:rsidR="00481A31">
          <w:rPr>
            <w:noProof/>
            <w:webHidden/>
          </w:rPr>
          <w:fldChar w:fldCharType="begin"/>
        </w:r>
        <w:r w:rsidR="00481A31">
          <w:rPr>
            <w:noProof/>
            <w:webHidden/>
          </w:rPr>
          <w:instrText xml:space="preserve"> PAGEREF _Toc40703436 \h </w:instrText>
        </w:r>
        <w:r w:rsidR="00481A31">
          <w:rPr>
            <w:noProof/>
            <w:webHidden/>
          </w:rPr>
        </w:r>
        <w:r w:rsidR="00481A31">
          <w:rPr>
            <w:noProof/>
            <w:webHidden/>
          </w:rPr>
          <w:fldChar w:fldCharType="separate"/>
        </w:r>
        <w:r>
          <w:rPr>
            <w:noProof/>
            <w:webHidden/>
          </w:rPr>
          <w:t>21</w:t>
        </w:r>
        <w:r w:rsidR="00481A31">
          <w:rPr>
            <w:noProof/>
            <w:webHidden/>
          </w:rPr>
          <w:fldChar w:fldCharType="end"/>
        </w:r>
      </w:hyperlink>
    </w:p>
    <w:p w14:paraId="17BB04FF" w14:textId="692D23FD" w:rsidR="00481A31" w:rsidRDefault="00C05B19">
      <w:pPr>
        <w:pStyle w:val="TOC1"/>
        <w:rPr>
          <w:rFonts w:asciiTheme="minorHAnsi" w:hAnsiTheme="minorHAnsi"/>
          <w:noProof/>
        </w:rPr>
      </w:pPr>
      <w:hyperlink w:anchor="_Toc40703437" w:history="1">
        <w:r w:rsidR="00481A31" w:rsidRPr="00AC0AF6">
          <w:rPr>
            <w:rStyle w:val="Hyperlink"/>
            <w:noProof/>
          </w:rPr>
          <w:t>Appendix 1: Summary table of submissions</w:t>
        </w:r>
        <w:r w:rsidR="00481A31">
          <w:rPr>
            <w:noProof/>
            <w:webHidden/>
          </w:rPr>
          <w:tab/>
        </w:r>
        <w:r w:rsidR="00481A31">
          <w:rPr>
            <w:noProof/>
            <w:webHidden/>
          </w:rPr>
          <w:fldChar w:fldCharType="begin"/>
        </w:r>
        <w:r w:rsidR="00481A31">
          <w:rPr>
            <w:noProof/>
            <w:webHidden/>
          </w:rPr>
          <w:instrText xml:space="preserve"> PAGEREF _Toc40703437 \h </w:instrText>
        </w:r>
        <w:r w:rsidR="00481A31">
          <w:rPr>
            <w:noProof/>
            <w:webHidden/>
          </w:rPr>
        </w:r>
        <w:r w:rsidR="00481A31">
          <w:rPr>
            <w:noProof/>
            <w:webHidden/>
          </w:rPr>
          <w:fldChar w:fldCharType="separate"/>
        </w:r>
        <w:r>
          <w:rPr>
            <w:noProof/>
            <w:webHidden/>
          </w:rPr>
          <w:t>22</w:t>
        </w:r>
        <w:r w:rsidR="00481A31">
          <w:rPr>
            <w:noProof/>
            <w:webHidden/>
          </w:rPr>
          <w:fldChar w:fldCharType="end"/>
        </w:r>
      </w:hyperlink>
    </w:p>
    <w:p w14:paraId="7CBB7A35" w14:textId="2B1204D7" w:rsidR="00481A31" w:rsidRDefault="00C05B19">
      <w:pPr>
        <w:pStyle w:val="TOC1"/>
        <w:rPr>
          <w:rFonts w:asciiTheme="minorHAnsi" w:hAnsiTheme="minorHAnsi"/>
          <w:noProof/>
        </w:rPr>
      </w:pPr>
      <w:hyperlink w:anchor="_Toc40703438" w:history="1">
        <w:r w:rsidR="00481A31" w:rsidRPr="00AC0AF6">
          <w:rPr>
            <w:rStyle w:val="Hyperlink"/>
            <w:noProof/>
          </w:rPr>
          <w:t>Appendix 2: Analysis of submissions</w:t>
        </w:r>
        <w:r w:rsidR="00481A31">
          <w:rPr>
            <w:noProof/>
            <w:webHidden/>
          </w:rPr>
          <w:tab/>
        </w:r>
        <w:r w:rsidR="00481A31">
          <w:rPr>
            <w:noProof/>
            <w:webHidden/>
          </w:rPr>
          <w:fldChar w:fldCharType="begin"/>
        </w:r>
        <w:r w:rsidR="00481A31">
          <w:rPr>
            <w:noProof/>
            <w:webHidden/>
          </w:rPr>
          <w:instrText xml:space="preserve"> PAGEREF _Toc40703438 \h </w:instrText>
        </w:r>
        <w:r w:rsidR="00481A31">
          <w:rPr>
            <w:noProof/>
            <w:webHidden/>
          </w:rPr>
        </w:r>
        <w:r w:rsidR="00481A31">
          <w:rPr>
            <w:noProof/>
            <w:webHidden/>
          </w:rPr>
          <w:fldChar w:fldCharType="separate"/>
        </w:r>
        <w:r>
          <w:rPr>
            <w:noProof/>
            <w:webHidden/>
          </w:rPr>
          <w:t>26</w:t>
        </w:r>
        <w:r w:rsidR="00481A31">
          <w:rPr>
            <w:noProof/>
            <w:webHidden/>
          </w:rPr>
          <w:fldChar w:fldCharType="end"/>
        </w:r>
      </w:hyperlink>
    </w:p>
    <w:p w14:paraId="3F4C3FB6" w14:textId="0A52A0D6" w:rsidR="00481A31" w:rsidRDefault="00C05B19">
      <w:pPr>
        <w:pStyle w:val="TOC1"/>
        <w:rPr>
          <w:rFonts w:asciiTheme="minorHAnsi" w:hAnsiTheme="minorHAnsi"/>
          <w:noProof/>
        </w:rPr>
      </w:pPr>
      <w:hyperlink w:anchor="_Toc40703439" w:history="1">
        <w:r w:rsidR="00481A31" w:rsidRPr="00AC0AF6">
          <w:rPr>
            <w:rStyle w:val="Hyperlink"/>
            <w:noProof/>
          </w:rPr>
          <w:t>Appendix 3: Conventions used in this document</w:t>
        </w:r>
        <w:r w:rsidR="00481A31">
          <w:rPr>
            <w:noProof/>
            <w:webHidden/>
          </w:rPr>
          <w:tab/>
        </w:r>
        <w:r w:rsidR="00481A31">
          <w:rPr>
            <w:noProof/>
            <w:webHidden/>
          </w:rPr>
          <w:fldChar w:fldCharType="begin"/>
        </w:r>
        <w:r w:rsidR="00481A31">
          <w:rPr>
            <w:noProof/>
            <w:webHidden/>
          </w:rPr>
          <w:instrText xml:space="preserve"> PAGEREF _Toc40703439 \h </w:instrText>
        </w:r>
        <w:r w:rsidR="00481A31">
          <w:rPr>
            <w:noProof/>
            <w:webHidden/>
          </w:rPr>
        </w:r>
        <w:r w:rsidR="00481A31">
          <w:rPr>
            <w:noProof/>
            <w:webHidden/>
          </w:rPr>
          <w:fldChar w:fldCharType="separate"/>
        </w:r>
        <w:r>
          <w:rPr>
            <w:noProof/>
            <w:webHidden/>
          </w:rPr>
          <w:t>27</w:t>
        </w:r>
        <w:r w:rsidR="00481A31">
          <w:rPr>
            <w:noProof/>
            <w:webHidden/>
          </w:rPr>
          <w:fldChar w:fldCharType="end"/>
        </w:r>
      </w:hyperlink>
    </w:p>
    <w:p w14:paraId="6B34F7B7" w14:textId="659BE3A4" w:rsidR="00481A31" w:rsidRDefault="00C05B19">
      <w:pPr>
        <w:pStyle w:val="TOC1"/>
        <w:rPr>
          <w:rFonts w:asciiTheme="minorHAnsi" w:hAnsiTheme="minorHAnsi"/>
          <w:noProof/>
        </w:rPr>
      </w:pPr>
      <w:hyperlink w:anchor="_Toc40703440" w:history="1">
        <w:r w:rsidR="00481A31" w:rsidRPr="00AC0AF6">
          <w:rPr>
            <w:rStyle w:val="Hyperlink"/>
            <w:noProof/>
          </w:rPr>
          <w:t>Appendix 4: List of submitters</w:t>
        </w:r>
        <w:r w:rsidR="00481A31">
          <w:rPr>
            <w:noProof/>
            <w:webHidden/>
          </w:rPr>
          <w:tab/>
        </w:r>
        <w:r w:rsidR="00481A31">
          <w:rPr>
            <w:noProof/>
            <w:webHidden/>
          </w:rPr>
          <w:fldChar w:fldCharType="begin"/>
        </w:r>
        <w:r w:rsidR="00481A31">
          <w:rPr>
            <w:noProof/>
            <w:webHidden/>
          </w:rPr>
          <w:instrText xml:space="preserve"> PAGEREF _Toc40703440 \h </w:instrText>
        </w:r>
        <w:r w:rsidR="00481A31">
          <w:rPr>
            <w:noProof/>
            <w:webHidden/>
          </w:rPr>
        </w:r>
        <w:r w:rsidR="00481A31">
          <w:rPr>
            <w:noProof/>
            <w:webHidden/>
          </w:rPr>
          <w:fldChar w:fldCharType="separate"/>
        </w:r>
        <w:r>
          <w:rPr>
            <w:noProof/>
            <w:webHidden/>
          </w:rPr>
          <w:t>28</w:t>
        </w:r>
        <w:r w:rsidR="00481A31">
          <w:rPr>
            <w:noProof/>
            <w:webHidden/>
          </w:rPr>
          <w:fldChar w:fldCharType="end"/>
        </w:r>
      </w:hyperlink>
    </w:p>
    <w:p w14:paraId="55E28963" w14:textId="66C8E22A" w:rsidR="0080531E" w:rsidRPr="000E4461" w:rsidRDefault="00775F57" w:rsidP="002B4778">
      <w:pPr>
        <w:pStyle w:val="Glossary"/>
      </w:pPr>
      <w:r w:rsidRPr="000E4461">
        <w:rPr>
          <w:color w:val="0092CF"/>
        </w:rPr>
        <w:fldChar w:fldCharType="end"/>
      </w:r>
    </w:p>
    <w:p w14:paraId="78FCA90D" w14:textId="77777777" w:rsidR="00532334" w:rsidRPr="00CD02FD" w:rsidRDefault="00532334" w:rsidP="008B68EC">
      <w:pPr>
        <w:pStyle w:val="Heading"/>
      </w:pPr>
      <w:r w:rsidRPr="00CD02FD">
        <w:t>Tables</w:t>
      </w:r>
    </w:p>
    <w:p w14:paraId="07B30F5B" w14:textId="63E4F142" w:rsidR="00CD02FD" w:rsidRPr="00CD02FD" w:rsidRDefault="004943C2" w:rsidP="00CD02FD">
      <w:pPr>
        <w:pStyle w:val="TOC1"/>
        <w:rPr>
          <w:rStyle w:val="Hyperlink"/>
          <w:noProof/>
        </w:rPr>
      </w:pPr>
      <w:r w:rsidRPr="00CD02FD">
        <w:rPr>
          <w:rStyle w:val="Hyperlink"/>
          <w:noProof/>
        </w:rPr>
        <w:fldChar w:fldCharType="begin"/>
      </w:r>
      <w:r w:rsidRPr="00CD02FD">
        <w:rPr>
          <w:rStyle w:val="Hyperlink"/>
          <w:noProof/>
        </w:rPr>
        <w:instrText xml:space="preserve"> TOC \h \z \t "Table heading" \c </w:instrText>
      </w:r>
      <w:r w:rsidRPr="00CD02FD">
        <w:rPr>
          <w:rStyle w:val="Hyperlink"/>
          <w:noProof/>
        </w:rPr>
        <w:fldChar w:fldCharType="separate"/>
      </w:r>
      <w:hyperlink w:anchor="_Toc40789460" w:history="1">
        <w:r w:rsidR="00CD02FD">
          <w:rPr>
            <w:rStyle w:val="Hyperlink"/>
            <w:noProof/>
          </w:rPr>
          <w:t xml:space="preserve">Table 1: </w:t>
        </w:r>
        <w:r w:rsidR="00CD02FD" w:rsidRPr="00672DE9">
          <w:rPr>
            <w:rStyle w:val="Hyperlink"/>
            <w:noProof/>
          </w:rPr>
          <w:t>Number of submissions, by submitter type</w:t>
        </w:r>
        <w:r w:rsidR="00CD02FD" w:rsidRPr="00CD02FD">
          <w:rPr>
            <w:rStyle w:val="Hyperlink"/>
            <w:noProof/>
            <w:webHidden/>
          </w:rPr>
          <w:tab/>
        </w:r>
        <w:r w:rsidR="00CD02FD" w:rsidRPr="00CD02FD">
          <w:rPr>
            <w:rStyle w:val="Hyperlink"/>
            <w:noProof/>
            <w:webHidden/>
          </w:rPr>
          <w:fldChar w:fldCharType="begin"/>
        </w:r>
        <w:r w:rsidR="00CD02FD" w:rsidRPr="00CD02FD">
          <w:rPr>
            <w:rStyle w:val="Hyperlink"/>
            <w:noProof/>
            <w:webHidden/>
          </w:rPr>
          <w:instrText xml:space="preserve"> PAGEREF _Toc40789460 \h </w:instrText>
        </w:r>
        <w:r w:rsidR="00CD02FD" w:rsidRPr="00CD02FD">
          <w:rPr>
            <w:rStyle w:val="Hyperlink"/>
            <w:noProof/>
            <w:webHidden/>
          </w:rPr>
        </w:r>
        <w:r w:rsidR="00CD02FD" w:rsidRPr="00CD02FD">
          <w:rPr>
            <w:rStyle w:val="Hyperlink"/>
            <w:noProof/>
            <w:webHidden/>
          </w:rPr>
          <w:fldChar w:fldCharType="separate"/>
        </w:r>
        <w:r w:rsidR="00C05B19">
          <w:rPr>
            <w:rStyle w:val="Hyperlink"/>
            <w:noProof/>
            <w:webHidden/>
          </w:rPr>
          <w:t>6</w:t>
        </w:r>
        <w:r w:rsidR="00CD02FD" w:rsidRPr="00CD02FD">
          <w:rPr>
            <w:rStyle w:val="Hyperlink"/>
            <w:noProof/>
            <w:webHidden/>
          </w:rPr>
          <w:fldChar w:fldCharType="end"/>
        </w:r>
      </w:hyperlink>
    </w:p>
    <w:p w14:paraId="6786A7A6" w14:textId="413011EC" w:rsidR="008A2FF1" w:rsidRPr="000E4461" w:rsidRDefault="004943C2" w:rsidP="00CD02FD">
      <w:pPr>
        <w:pStyle w:val="TOC1"/>
      </w:pPr>
      <w:r w:rsidRPr="00CD02FD">
        <w:rPr>
          <w:rStyle w:val="Hyperlink"/>
          <w:noProof/>
        </w:rPr>
        <w:fldChar w:fldCharType="end"/>
      </w:r>
    </w:p>
    <w:p w14:paraId="33DA6944" w14:textId="77777777" w:rsidR="00796A6F" w:rsidRPr="000E4461" w:rsidRDefault="00796A6F" w:rsidP="00554B30">
      <w:bookmarkStart w:id="0" w:name="_Toc215561202"/>
      <w:r w:rsidRPr="000E4461">
        <w:br w:type="page"/>
      </w:r>
    </w:p>
    <w:p w14:paraId="5D052700" w14:textId="77777777" w:rsidR="000E4461" w:rsidRPr="000E4461" w:rsidRDefault="000E4461" w:rsidP="000E4461">
      <w:pPr>
        <w:pStyle w:val="Heading1"/>
      </w:pPr>
      <w:bookmarkStart w:id="1" w:name="_Toc40703421"/>
      <w:bookmarkStart w:id="2" w:name="_Toc345760336"/>
      <w:bookmarkEnd w:id="0"/>
      <w:r w:rsidRPr="000E4461">
        <w:lastRenderedPageBreak/>
        <w:t>Introduction</w:t>
      </w:r>
      <w:bookmarkEnd w:id="1"/>
    </w:p>
    <w:p w14:paraId="29B607EA" w14:textId="77777777" w:rsidR="000E4461" w:rsidRPr="000E4461" w:rsidRDefault="000E4461" w:rsidP="000E4461">
      <w:pPr>
        <w:pStyle w:val="Heading2"/>
      </w:pPr>
      <w:bookmarkStart w:id="3" w:name="_Toc40703422"/>
      <w:r w:rsidRPr="000E4461">
        <w:t>Purpose of the consultation</w:t>
      </w:r>
      <w:bookmarkEnd w:id="3"/>
      <w:r w:rsidRPr="000E4461">
        <w:t xml:space="preserve"> </w:t>
      </w:r>
    </w:p>
    <w:p w14:paraId="475A587A" w14:textId="77777777" w:rsidR="000E4461" w:rsidRPr="000E4461" w:rsidRDefault="000E4461" w:rsidP="000E4461">
      <w:pPr>
        <w:pStyle w:val="BodyText"/>
      </w:pPr>
      <w:r w:rsidRPr="000E4461">
        <w:t xml:space="preserve">The New Zealand Emissions Trading Scheme (NZ ETS) is one of the Government’s key tools to help Aotearoa New Zealand meet its emissions reduction targets and make a just transition to a low-emissions economy. </w:t>
      </w:r>
    </w:p>
    <w:p w14:paraId="70010A32" w14:textId="77777777" w:rsidR="000E4461" w:rsidRPr="000E4461" w:rsidRDefault="000E4461" w:rsidP="000E4461">
      <w:pPr>
        <w:pStyle w:val="BodyText"/>
      </w:pPr>
      <w:r w:rsidRPr="000E4461">
        <w:t xml:space="preserve">Since its establishment in 2008, the NZ ETS has undergone a series of reviews to improve its functioning. Findings from these reviews have resulted in the Climate Change Response (Emissions Trading Reform) Amendment Bill (the Bill), which is currently progressing through Parliament. </w:t>
      </w:r>
    </w:p>
    <w:p w14:paraId="72F1241C" w14:textId="77777777" w:rsidR="000E4461" w:rsidRPr="000E4461" w:rsidRDefault="000E4461" w:rsidP="000E4461">
      <w:pPr>
        <w:pStyle w:val="BodyText"/>
      </w:pPr>
      <w:r w:rsidRPr="000E4461">
        <w:t>The Bill will introduce a wide range of changes to the NZ ETS, including provisions for:</w:t>
      </w:r>
    </w:p>
    <w:p w14:paraId="2803416E" w14:textId="77777777" w:rsidR="000E4461" w:rsidRPr="000E4461" w:rsidRDefault="000E4461" w:rsidP="000E4461">
      <w:pPr>
        <w:pStyle w:val="Bullet"/>
      </w:pPr>
      <w:r w:rsidRPr="000E4461">
        <w:t>a cap on emissions in the scheme</w:t>
      </w:r>
    </w:p>
    <w:p w14:paraId="1FF1EB29" w14:textId="77777777" w:rsidR="000E4461" w:rsidRPr="000E4461" w:rsidRDefault="000E4461" w:rsidP="000E4461">
      <w:pPr>
        <w:pStyle w:val="Bullet"/>
      </w:pPr>
      <w:r w:rsidRPr="000E4461">
        <w:t>volume limits on New Zealand Units (NZUs)</w:t>
      </w:r>
    </w:p>
    <w:p w14:paraId="1ED74157" w14:textId="77777777" w:rsidR="000E4461" w:rsidRPr="000E4461" w:rsidRDefault="000E4461" w:rsidP="000E4461">
      <w:pPr>
        <w:pStyle w:val="Bullet"/>
      </w:pPr>
      <w:r w:rsidRPr="000E4461">
        <w:t>auctioning of NZUs</w:t>
      </w:r>
    </w:p>
    <w:p w14:paraId="42F257FC" w14:textId="77777777" w:rsidR="000E4461" w:rsidRPr="000E4461" w:rsidRDefault="000E4461" w:rsidP="000E4461">
      <w:pPr>
        <w:pStyle w:val="Bullet"/>
      </w:pPr>
      <w:r w:rsidRPr="000E4461">
        <w:t xml:space="preserve">price controls for NZUs sold by auction. </w:t>
      </w:r>
    </w:p>
    <w:p w14:paraId="66262CEB" w14:textId="77777777" w:rsidR="000E4461" w:rsidRPr="000E4461" w:rsidRDefault="000E4461" w:rsidP="000E4461">
      <w:pPr>
        <w:pStyle w:val="BodyText"/>
      </w:pPr>
      <w:r w:rsidRPr="000E4461">
        <w:t xml:space="preserve">The Bill provides a framework for these changes to the NZ ETS, with the specific unit supply limits and auction price controls being set through subsequent regulations. These settings are some of the most important factors in influencing the operation and effectiveness of the scheme. </w:t>
      </w:r>
    </w:p>
    <w:p w14:paraId="6196336C" w14:textId="77777777" w:rsidR="000E4461" w:rsidRPr="000E4461" w:rsidRDefault="000E4461" w:rsidP="000E4461">
      <w:pPr>
        <w:pStyle w:val="BodyText"/>
      </w:pPr>
      <w:r w:rsidRPr="000E4461">
        <w:t>In December 2019, we released a consultation document that set out the Government’s proposals for the first NZ ETS settings regulations. The consultation sought feedback on:</w:t>
      </w:r>
    </w:p>
    <w:p w14:paraId="5A3FA055" w14:textId="77777777" w:rsidR="000E4461" w:rsidRPr="000E4461" w:rsidRDefault="000E4461" w:rsidP="000E4461">
      <w:pPr>
        <w:pStyle w:val="Bullet"/>
      </w:pPr>
      <w:r w:rsidRPr="000E4461">
        <w:t xml:space="preserve">a provisional emissions budget for 2021 to 2025 </w:t>
      </w:r>
    </w:p>
    <w:p w14:paraId="55F6BE82" w14:textId="77777777" w:rsidR="000E4461" w:rsidRPr="000E4461" w:rsidRDefault="000E4461" w:rsidP="000E4461">
      <w:pPr>
        <w:pStyle w:val="Bullet"/>
      </w:pPr>
      <w:r w:rsidRPr="000E4461">
        <w:t>the steps taken to determine the NZ ETS emissions cap and the final annual auction volumes</w:t>
      </w:r>
    </w:p>
    <w:p w14:paraId="75F77510" w14:textId="77777777" w:rsidR="000E4461" w:rsidRPr="000E4461" w:rsidRDefault="000E4461" w:rsidP="000E4461">
      <w:pPr>
        <w:pStyle w:val="Bullet"/>
      </w:pPr>
      <w:r w:rsidRPr="000E4461">
        <w:t>a proposal to increase and extend the fixed price option to apply to emissions arising from 2020 activities</w:t>
      </w:r>
    </w:p>
    <w:p w14:paraId="3152DFF9" w14:textId="77777777" w:rsidR="000E4461" w:rsidRPr="000E4461" w:rsidRDefault="000E4461" w:rsidP="000E4461">
      <w:pPr>
        <w:pStyle w:val="Bullet"/>
      </w:pPr>
      <w:r w:rsidRPr="000E4461">
        <w:t xml:space="preserve">the level of the auction reserve price floor for the period 2021 to 2025 </w:t>
      </w:r>
    </w:p>
    <w:p w14:paraId="5367225B" w14:textId="77777777" w:rsidR="000E4461" w:rsidRPr="000E4461" w:rsidRDefault="000E4461" w:rsidP="000E4461">
      <w:pPr>
        <w:pStyle w:val="Bullet"/>
      </w:pPr>
      <w:r w:rsidRPr="000E4461">
        <w:t>the level of the trigger price for the cost containment reserve for the period 2021 to 2025</w:t>
      </w:r>
    </w:p>
    <w:p w14:paraId="369DE12A" w14:textId="77777777" w:rsidR="000E4461" w:rsidRPr="000E4461" w:rsidRDefault="000E4461" w:rsidP="000E4461">
      <w:pPr>
        <w:pStyle w:val="Bullet"/>
      </w:pPr>
      <w:r w:rsidRPr="000E4461">
        <w:t>the volume available within the cost containment reserve for the period 2021 to 2025.</w:t>
      </w:r>
    </w:p>
    <w:p w14:paraId="61D3D582" w14:textId="4B67609F" w:rsidR="000E4461" w:rsidRPr="000E4461" w:rsidRDefault="000E4461" w:rsidP="000E4461">
      <w:pPr>
        <w:pStyle w:val="BodyText"/>
      </w:pPr>
      <w:r w:rsidRPr="000E4461">
        <w:t xml:space="preserve">Submitters’ responses to the proposals consulted on are summarised into main themes under </w:t>
      </w:r>
      <w:hyperlink w:anchor="_What_did_submitters" w:history="1">
        <w:r w:rsidRPr="00CD02FD">
          <w:rPr>
            <w:rStyle w:val="Hyperlink"/>
          </w:rPr>
          <w:t>What did submitters say</w:t>
        </w:r>
      </w:hyperlink>
      <w:r w:rsidRPr="000E4461">
        <w:t xml:space="preserve"> and </w:t>
      </w:r>
      <w:hyperlink w:anchor="_Appendix_1:_Summary" w:history="1">
        <w:r w:rsidRPr="000244FA">
          <w:rPr>
            <w:rStyle w:val="Hyperlink"/>
          </w:rPr>
          <w:t>appendix 1</w:t>
        </w:r>
      </w:hyperlink>
      <w:r w:rsidRPr="000E4461">
        <w:t>.</w:t>
      </w:r>
    </w:p>
    <w:p w14:paraId="16B2C07C" w14:textId="77777777" w:rsidR="000E4461" w:rsidRPr="000E4461" w:rsidRDefault="000E4461" w:rsidP="000E4461">
      <w:pPr>
        <w:pStyle w:val="Heading2"/>
      </w:pPr>
      <w:bookmarkStart w:id="4" w:name="_Toc40703423"/>
      <w:r w:rsidRPr="000E4461">
        <w:t>Consultation process</w:t>
      </w:r>
      <w:bookmarkEnd w:id="4"/>
    </w:p>
    <w:p w14:paraId="628F09DF" w14:textId="77777777" w:rsidR="000E4461" w:rsidRPr="000E4461" w:rsidRDefault="000E4461" w:rsidP="000E4461">
      <w:pPr>
        <w:pStyle w:val="BodyText"/>
      </w:pPr>
      <w:r w:rsidRPr="000E4461">
        <w:t xml:space="preserve">Feedback on the proposals for the NZ ETS settings was sought from the public during the consultation period from 19 December 2019 until 28 February 2020. </w:t>
      </w:r>
    </w:p>
    <w:p w14:paraId="247A8C07" w14:textId="77777777" w:rsidR="000E4461" w:rsidRPr="000E4461" w:rsidRDefault="000E4461" w:rsidP="000E4461">
      <w:pPr>
        <w:pStyle w:val="BodyText"/>
      </w:pPr>
      <w:r w:rsidRPr="000E4461">
        <w:t>Awareness of the consultation was raised using the following methods, which were designed to foster an open and equitable consultation and encourage submissions:</w:t>
      </w:r>
    </w:p>
    <w:p w14:paraId="0C5A9E1F" w14:textId="77777777" w:rsidR="000E4461" w:rsidRPr="000E4461" w:rsidRDefault="00C05B19" w:rsidP="000E4461">
      <w:pPr>
        <w:pStyle w:val="Bullet"/>
      </w:pPr>
      <w:hyperlink r:id="rId17" w:history="1">
        <w:r w:rsidR="000E4461" w:rsidRPr="00CE66E0">
          <w:rPr>
            <w:rStyle w:val="Hyperlink"/>
          </w:rPr>
          <w:t>announcement on our website</w:t>
        </w:r>
      </w:hyperlink>
      <w:r w:rsidR="000E4461" w:rsidRPr="000E4461">
        <w:t xml:space="preserve"> and publishing the consultation document and supporting material </w:t>
      </w:r>
    </w:p>
    <w:p w14:paraId="0B70B9DF" w14:textId="77777777" w:rsidR="000E4461" w:rsidRPr="000E4461" w:rsidRDefault="00C05B19" w:rsidP="000E4461">
      <w:pPr>
        <w:pStyle w:val="Bullet"/>
      </w:pPr>
      <w:hyperlink r:id="rId18" w:history="1">
        <w:r w:rsidR="000E4461" w:rsidRPr="00CE66E0">
          <w:rPr>
            <w:rStyle w:val="Hyperlink"/>
          </w:rPr>
          <w:t>announcement on the Beehive website</w:t>
        </w:r>
      </w:hyperlink>
    </w:p>
    <w:p w14:paraId="7E9752BC" w14:textId="77777777" w:rsidR="000E4461" w:rsidRPr="000E4461" w:rsidRDefault="000E4461" w:rsidP="000E4461">
      <w:pPr>
        <w:pStyle w:val="Bullet"/>
      </w:pPr>
      <w:r w:rsidRPr="000E4461">
        <w:t>email to all NZ ETS registered account holders via the New Zealand Emissions Trading Register, sent by the Environmental Protection Authority (EPA)</w:t>
      </w:r>
    </w:p>
    <w:p w14:paraId="0E4DF561" w14:textId="77777777" w:rsidR="000E4461" w:rsidRPr="000E4461" w:rsidRDefault="000E4461" w:rsidP="000E4461">
      <w:pPr>
        <w:pStyle w:val="Bullet"/>
      </w:pPr>
      <w:r w:rsidRPr="000E4461">
        <w:t xml:space="preserve">email to stakeholders who had registered their interest with us in being notified of NZ ETS changes </w:t>
      </w:r>
    </w:p>
    <w:p w14:paraId="5FCB401C" w14:textId="77777777" w:rsidR="000E4461" w:rsidRPr="000E4461" w:rsidRDefault="000E4461" w:rsidP="000E4461">
      <w:pPr>
        <w:pStyle w:val="Bullet"/>
      </w:pPr>
      <w:r w:rsidRPr="000E4461">
        <w:t xml:space="preserve">discussion about the NZ ETS settings consultation at </w:t>
      </w:r>
      <w:hyperlink r:id="rId19" w:history="1">
        <w:r w:rsidRPr="00CE66E0">
          <w:rPr>
            <w:rStyle w:val="Hyperlink"/>
          </w:rPr>
          <w:t>regional hui ā rohe</w:t>
        </w:r>
      </w:hyperlink>
      <w:r w:rsidRPr="000E4461">
        <w:t xml:space="preserve"> in February.</w:t>
      </w:r>
    </w:p>
    <w:p w14:paraId="13676304" w14:textId="77777777" w:rsidR="000E4461" w:rsidRPr="000E4461" w:rsidRDefault="000E4461" w:rsidP="00CE66E0">
      <w:pPr>
        <w:pStyle w:val="BodyText"/>
      </w:pPr>
      <w:r w:rsidRPr="000E4461">
        <w:t>In February, we held four public information sessions on the proposed provisional emissions budget and NZ ETS settings in Auckland, Wellington, Rotorua and Christchurch. These sessions provided an opportunity for stakeholders and members of the public to hear directly what the Government was proposing and ask questions to support written submissions. Slide packs from the sessions were sent to attendees and a webinar was held for anyone who could not attend.</w:t>
      </w:r>
    </w:p>
    <w:p w14:paraId="004E5910" w14:textId="362E9A5B" w:rsidR="000E4461" w:rsidRDefault="000E4461" w:rsidP="00CE66E0">
      <w:pPr>
        <w:pStyle w:val="BodyText"/>
      </w:pPr>
      <w:r w:rsidRPr="000E4461">
        <w:t xml:space="preserve">We encouraged attendees to make written submissions. The online submission tool and </w:t>
      </w:r>
      <w:hyperlink r:id="rId20" w:history="1">
        <w:r w:rsidRPr="00F569B9">
          <w:rPr>
            <w:rStyle w:val="Hyperlink"/>
          </w:rPr>
          <w:t>etsconsultation@mfe.govt.nz</w:t>
        </w:r>
      </w:hyperlink>
      <w:r w:rsidRPr="000E4461">
        <w:t xml:space="preserve"> email address were promoted to facilitate this.</w:t>
      </w:r>
    </w:p>
    <w:p w14:paraId="58BB6EA9" w14:textId="77777777" w:rsidR="00F569B9" w:rsidRPr="001923F9" w:rsidRDefault="00F569B9" w:rsidP="00F569B9">
      <w:pPr>
        <w:pStyle w:val="Heading2"/>
      </w:pPr>
      <w:bookmarkStart w:id="5" w:name="_Toc40703424"/>
      <w:r w:rsidRPr="00185C0D">
        <w:t>What happens next?</w:t>
      </w:r>
      <w:bookmarkEnd w:id="5"/>
      <w:r w:rsidRPr="00185C0D">
        <w:t xml:space="preserve"> </w:t>
      </w:r>
    </w:p>
    <w:p w14:paraId="29913DE9" w14:textId="77777777" w:rsidR="00F569B9" w:rsidRDefault="00F569B9" w:rsidP="00F569B9">
      <w:pPr>
        <w:pStyle w:val="BodyText"/>
        <w:rPr>
          <w:highlight w:val="yellow"/>
        </w:rPr>
      </w:pPr>
      <w:r>
        <w:t>We have analysed s</w:t>
      </w:r>
      <w:r w:rsidRPr="00576089">
        <w:t xml:space="preserve">ubmissions </w:t>
      </w:r>
      <w:r>
        <w:t xml:space="preserve">from </w:t>
      </w:r>
      <w:r w:rsidRPr="00576089">
        <w:t xml:space="preserve">the consultation and </w:t>
      </w:r>
      <w:r>
        <w:t xml:space="preserve">these have been </w:t>
      </w:r>
      <w:r w:rsidRPr="00576089">
        <w:t xml:space="preserve">considered in </w:t>
      </w:r>
      <w:r>
        <w:t>our</w:t>
      </w:r>
      <w:r w:rsidRPr="00576089">
        <w:t xml:space="preserve"> advice to the Government on a provisional emissions budget and regulations for NZ ETS unit supply and price control settings. </w:t>
      </w:r>
      <w:r>
        <w:t xml:space="preserve">The submissions will </w:t>
      </w:r>
      <w:r w:rsidRPr="00576089">
        <w:t xml:space="preserve">also inform </w:t>
      </w:r>
      <w:r>
        <w:t>our</w:t>
      </w:r>
      <w:r w:rsidRPr="00576089">
        <w:t xml:space="preserve"> ongoing policy work on the </w:t>
      </w:r>
      <w:r>
        <w:t>NZ ETS</w:t>
      </w:r>
      <w:r w:rsidRPr="00576089">
        <w:t>.</w:t>
      </w:r>
      <w:r w:rsidRPr="00185C0D">
        <w:rPr>
          <w:highlight w:val="yellow"/>
        </w:rPr>
        <w:t xml:space="preserve"> </w:t>
      </w:r>
    </w:p>
    <w:p w14:paraId="4400E6D1" w14:textId="77777777" w:rsidR="00F569B9" w:rsidRDefault="00F569B9">
      <w:pPr>
        <w:spacing w:before="0" w:after="200" w:line="276" w:lineRule="auto"/>
        <w:jc w:val="left"/>
        <w:rPr>
          <w:highlight w:val="yellow"/>
        </w:rPr>
      </w:pPr>
      <w:r>
        <w:rPr>
          <w:highlight w:val="yellow"/>
        </w:rPr>
        <w:br w:type="page"/>
      </w:r>
    </w:p>
    <w:p w14:paraId="71A3AB3A" w14:textId="77777777" w:rsidR="00F569B9" w:rsidRPr="003162F1" w:rsidRDefault="00F569B9" w:rsidP="00F569B9">
      <w:pPr>
        <w:pStyle w:val="Heading1"/>
      </w:pPr>
      <w:bookmarkStart w:id="6" w:name="_Toc40703425"/>
      <w:r w:rsidRPr="003162F1">
        <w:lastRenderedPageBreak/>
        <w:t>Who responded to the consultation</w:t>
      </w:r>
      <w:bookmarkEnd w:id="6"/>
      <w:r>
        <w:t xml:space="preserve"> </w:t>
      </w:r>
    </w:p>
    <w:p w14:paraId="4B66DCFA" w14:textId="701971C3" w:rsidR="00F569B9" w:rsidRDefault="00F569B9" w:rsidP="00785C73">
      <w:pPr>
        <w:pStyle w:val="BodyText"/>
      </w:pPr>
      <w:r w:rsidRPr="00DE7BCD">
        <w:rPr>
          <w:rFonts w:ascii="Segoe UI" w:hAnsi="Segoe UI" w:cs="Segoe UI"/>
          <w:color w:val="000000"/>
          <w:sz w:val="20"/>
          <w:szCs w:val="20"/>
        </w:rPr>
        <w:t xml:space="preserve">A total of 133 submissions were </w:t>
      </w:r>
      <w:r>
        <w:rPr>
          <w:rFonts w:ascii="Segoe UI" w:hAnsi="Segoe UI" w:cs="Segoe UI"/>
          <w:color w:val="000000"/>
          <w:sz w:val="20"/>
          <w:szCs w:val="20"/>
        </w:rPr>
        <w:t>received for this consultation.</w:t>
      </w:r>
      <w:r>
        <w:t xml:space="preserve"> The largest number of submissions were from individuals (37), business/industry (20), the electricity sector (9) and NGO/community groups (9). </w:t>
      </w:r>
      <w:r>
        <w:rPr>
          <w:noProof/>
        </w:rPr>
        <w:t xml:space="preserve"> </w:t>
      </w:r>
    </w:p>
    <w:p w14:paraId="7F6A92FD" w14:textId="457C97AA" w:rsidR="009A6C21" w:rsidRDefault="009A6C21" w:rsidP="009A6C21">
      <w:pPr>
        <w:pStyle w:val="Tableheading"/>
      </w:pPr>
      <w:bookmarkStart w:id="7" w:name="_Toc38894295"/>
      <w:bookmarkStart w:id="8" w:name="_Toc40789460"/>
      <w:r w:rsidRPr="00B33916">
        <w:t xml:space="preserve">Table 1: </w:t>
      </w:r>
      <w:r w:rsidRPr="00B33916">
        <w:tab/>
        <w:t>Number of submissions, by submitter type</w:t>
      </w:r>
      <w:bookmarkEnd w:id="7"/>
      <w:bookmarkEnd w:id="8"/>
    </w:p>
    <w:tbl>
      <w:tblPr>
        <w:tblStyle w:val="TableGrid"/>
        <w:tblW w:w="8505" w:type="dxa"/>
        <w:tblInd w:w="113"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5807"/>
        <w:gridCol w:w="2698"/>
      </w:tblGrid>
      <w:tr w:rsidR="009A6C21" w:rsidRPr="006B77BB" w14:paraId="24E26152" w14:textId="77777777" w:rsidTr="009A6C21">
        <w:trPr>
          <w:tblHeader/>
        </w:trPr>
        <w:tc>
          <w:tcPr>
            <w:tcW w:w="5807" w:type="dxa"/>
            <w:shd w:val="clear" w:color="auto" w:fill="1C556C"/>
          </w:tcPr>
          <w:p w14:paraId="79B0A06E" w14:textId="43D8A6C2" w:rsidR="009A6C21" w:rsidRPr="006B77BB" w:rsidRDefault="009A6C21" w:rsidP="009A6C21">
            <w:pPr>
              <w:pStyle w:val="TableTextbold"/>
              <w:rPr>
                <w:color w:val="FFFFFF" w:themeColor="background1"/>
              </w:rPr>
            </w:pPr>
            <w:r>
              <w:rPr>
                <w:color w:val="FFFFFF" w:themeColor="background1"/>
              </w:rPr>
              <w:t>Submitter type</w:t>
            </w:r>
            <w:r w:rsidRPr="006B77BB">
              <w:rPr>
                <w:color w:val="FFFFFF" w:themeColor="background1"/>
              </w:rPr>
              <w:t xml:space="preserve"> </w:t>
            </w:r>
          </w:p>
        </w:tc>
        <w:tc>
          <w:tcPr>
            <w:tcW w:w="2698" w:type="dxa"/>
            <w:shd w:val="clear" w:color="auto" w:fill="1C556C"/>
          </w:tcPr>
          <w:p w14:paraId="08078E15" w14:textId="73CD9B46" w:rsidR="009A6C21" w:rsidRPr="006B77BB" w:rsidRDefault="009A6C21" w:rsidP="009A6C21">
            <w:pPr>
              <w:pStyle w:val="TableTextbold"/>
              <w:rPr>
                <w:color w:val="FFFFFF" w:themeColor="background1"/>
              </w:rPr>
            </w:pPr>
            <w:r>
              <w:rPr>
                <w:color w:val="FFFFFF" w:themeColor="background1"/>
              </w:rPr>
              <w:t>Number</w:t>
            </w:r>
          </w:p>
        </w:tc>
      </w:tr>
      <w:tr w:rsidR="009A6C21" w:rsidRPr="006B77BB" w14:paraId="6DCDD9D1" w14:textId="77777777" w:rsidTr="009A6C21">
        <w:tc>
          <w:tcPr>
            <w:tcW w:w="5807" w:type="dxa"/>
            <w:shd w:val="clear" w:color="auto" w:fill="auto"/>
          </w:tcPr>
          <w:p w14:paraId="1BBC4847" w14:textId="58BEA337" w:rsidR="009A6C21" w:rsidRPr="006B77BB" w:rsidRDefault="009A6C21" w:rsidP="009A6C21">
            <w:pPr>
              <w:pStyle w:val="TableText"/>
            </w:pPr>
            <w:r>
              <w:t>Individual</w:t>
            </w:r>
          </w:p>
        </w:tc>
        <w:tc>
          <w:tcPr>
            <w:tcW w:w="2698" w:type="dxa"/>
            <w:shd w:val="clear" w:color="auto" w:fill="auto"/>
          </w:tcPr>
          <w:p w14:paraId="212D9C31" w14:textId="6F4EA287" w:rsidR="009A6C21" w:rsidRPr="006B77BB" w:rsidRDefault="009A6C21" w:rsidP="009A6C21">
            <w:pPr>
              <w:pStyle w:val="TableText"/>
            </w:pPr>
            <w:r>
              <w:t>37</w:t>
            </w:r>
          </w:p>
        </w:tc>
      </w:tr>
      <w:tr w:rsidR="009A6C21" w:rsidRPr="006B77BB" w14:paraId="06559556" w14:textId="77777777" w:rsidTr="009A6C21">
        <w:tc>
          <w:tcPr>
            <w:tcW w:w="5807" w:type="dxa"/>
            <w:shd w:val="clear" w:color="auto" w:fill="auto"/>
          </w:tcPr>
          <w:p w14:paraId="0D2A14D9" w14:textId="1C613078" w:rsidR="009A6C21" w:rsidRPr="006B77BB" w:rsidRDefault="009A6C21" w:rsidP="009A6C21">
            <w:pPr>
              <w:pStyle w:val="TableText"/>
            </w:pPr>
            <w:r>
              <w:t>Business/industry</w:t>
            </w:r>
          </w:p>
        </w:tc>
        <w:tc>
          <w:tcPr>
            <w:tcW w:w="2698" w:type="dxa"/>
            <w:shd w:val="clear" w:color="auto" w:fill="auto"/>
          </w:tcPr>
          <w:p w14:paraId="226E8E4B" w14:textId="68410517" w:rsidR="009A6C21" w:rsidRPr="006B77BB" w:rsidRDefault="009A6C21" w:rsidP="009A6C21">
            <w:pPr>
              <w:pStyle w:val="TableText"/>
            </w:pPr>
            <w:r>
              <w:t>20</w:t>
            </w:r>
          </w:p>
        </w:tc>
      </w:tr>
      <w:tr w:rsidR="009A6C21" w:rsidRPr="006B77BB" w14:paraId="00B57CC2" w14:textId="77777777" w:rsidTr="009A6C21">
        <w:tc>
          <w:tcPr>
            <w:tcW w:w="5807" w:type="dxa"/>
          </w:tcPr>
          <w:p w14:paraId="1C4EBFAA" w14:textId="7AB55BBB" w:rsidR="009A6C21" w:rsidRPr="006B77BB" w:rsidRDefault="009A6C21" w:rsidP="009A6C21">
            <w:pPr>
              <w:pStyle w:val="TableText"/>
            </w:pPr>
            <w:r>
              <w:t>NGO/community group</w:t>
            </w:r>
          </w:p>
        </w:tc>
        <w:tc>
          <w:tcPr>
            <w:tcW w:w="2698" w:type="dxa"/>
          </w:tcPr>
          <w:p w14:paraId="141B91CF" w14:textId="353137A4" w:rsidR="009A6C21" w:rsidRPr="006B77BB" w:rsidRDefault="009A6C21" w:rsidP="009A6C21">
            <w:pPr>
              <w:pStyle w:val="TableText"/>
            </w:pPr>
            <w:r>
              <w:t>9</w:t>
            </w:r>
          </w:p>
        </w:tc>
      </w:tr>
      <w:tr w:rsidR="009A6C21" w:rsidRPr="006B77BB" w14:paraId="0464795B" w14:textId="77777777" w:rsidTr="009A6C21">
        <w:tc>
          <w:tcPr>
            <w:tcW w:w="5807" w:type="dxa"/>
          </w:tcPr>
          <w:p w14:paraId="34F98133" w14:textId="202EFD62" w:rsidR="009A6C21" w:rsidRPr="006B77BB" w:rsidRDefault="009A6C21" w:rsidP="009A6C21">
            <w:pPr>
              <w:pStyle w:val="TableText"/>
            </w:pPr>
            <w:r>
              <w:t>Electricity sector</w:t>
            </w:r>
          </w:p>
        </w:tc>
        <w:tc>
          <w:tcPr>
            <w:tcW w:w="2698" w:type="dxa"/>
          </w:tcPr>
          <w:p w14:paraId="62DE475C" w14:textId="7E768F12" w:rsidR="009A6C21" w:rsidRPr="006B77BB" w:rsidRDefault="009A6C21" w:rsidP="009A6C21">
            <w:pPr>
              <w:pStyle w:val="TableText"/>
            </w:pPr>
            <w:r>
              <w:t>9</w:t>
            </w:r>
          </w:p>
        </w:tc>
      </w:tr>
      <w:tr w:rsidR="009A6C21" w:rsidRPr="006B77BB" w14:paraId="39B27999" w14:textId="77777777" w:rsidTr="009A6C21">
        <w:tc>
          <w:tcPr>
            <w:tcW w:w="5807" w:type="dxa"/>
          </w:tcPr>
          <w:p w14:paraId="593F56C3" w14:textId="46026042" w:rsidR="009A6C21" w:rsidRPr="006B77BB" w:rsidRDefault="009A6C21" w:rsidP="009A6C21">
            <w:pPr>
              <w:pStyle w:val="TableText"/>
            </w:pPr>
            <w:r>
              <w:t>Stationary energy</w:t>
            </w:r>
          </w:p>
        </w:tc>
        <w:tc>
          <w:tcPr>
            <w:tcW w:w="2698" w:type="dxa"/>
          </w:tcPr>
          <w:p w14:paraId="6DF0607C" w14:textId="305C6DFB" w:rsidR="009A6C21" w:rsidRPr="006B77BB" w:rsidRDefault="009A6C21" w:rsidP="009A6C21">
            <w:pPr>
              <w:pStyle w:val="TableText"/>
            </w:pPr>
            <w:r>
              <w:t>8</w:t>
            </w:r>
          </w:p>
        </w:tc>
      </w:tr>
      <w:tr w:rsidR="009A6C21" w:rsidRPr="006B77BB" w14:paraId="22646FBE" w14:textId="77777777" w:rsidTr="009A6C21">
        <w:tc>
          <w:tcPr>
            <w:tcW w:w="5807" w:type="dxa"/>
          </w:tcPr>
          <w:p w14:paraId="6AFB7BC2" w14:textId="07769480" w:rsidR="009A6C21" w:rsidRPr="006B77BB" w:rsidRDefault="009A6C21" w:rsidP="009A6C21">
            <w:pPr>
              <w:pStyle w:val="TableText"/>
            </w:pPr>
            <w:r>
              <w:t>Iwi/Māori</w:t>
            </w:r>
          </w:p>
        </w:tc>
        <w:tc>
          <w:tcPr>
            <w:tcW w:w="2698" w:type="dxa"/>
          </w:tcPr>
          <w:p w14:paraId="4CC7A727" w14:textId="59CD05D4" w:rsidR="009A6C21" w:rsidRPr="006B77BB" w:rsidRDefault="009A6C21" w:rsidP="009A6C21">
            <w:pPr>
              <w:pStyle w:val="TableText"/>
            </w:pPr>
            <w:r>
              <w:t>7</w:t>
            </w:r>
          </w:p>
        </w:tc>
      </w:tr>
      <w:tr w:rsidR="009A6C21" w:rsidRPr="006B77BB" w14:paraId="24532AC2" w14:textId="77777777" w:rsidTr="009A6C21">
        <w:tc>
          <w:tcPr>
            <w:tcW w:w="5807" w:type="dxa"/>
          </w:tcPr>
          <w:p w14:paraId="7E685973" w14:textId="0149E2F5" w:rsidR="009A6C21" w:rsidRPr="006B77BB" w:rsidRDefault="009A6C21" w:rsidP="009A6C21">
            <w:pPr>
              <w:pStyle w:val="TableText"/>
            </w:pPr>
            <w:r>
              <w:t>Agricultural sector</w:t>
            </w:r>
          </w:p>
        </w:tc>
        <w:tc>
          <w:tcPr>
            <w:tcW w:w="2698" w:type="dxa"/>
          </w:tcPr>
          <w:p w14:paraId="043C9CAC" w14:textId="4CA09133" w:rsidR="009A6C21" w:rsidRPr="006B77BB" w:rsidRDefault="009A6C21" w:rsidP="009A6C21">
            <w:pPr>
              <w:pStyle w:val="TableText"/>
            </w:pPr>
            <w:r>
              <w:t>7</w:t>
            </w:r>
          </w:p>
        </w:tc>
      </w:tr>
      <w:tr w:rsidR="009A6C21" w:rsidRPr="006B77BB" w14:paraId="5329B679" w14:textId="77777777" w:rsidTr="009A6C21">
        <w:tc>
          <w:tcPr>
            <w:tcW w:w="5807" w:type="dxa"/>
          </w:tcPr>
          <w:p w14:paraId="5369733C" w14:textId="20F1C2BF" w:rsidR="009A6C21" w:rsidRPr="006B77BB" w:rsidRDefault="009A6C21" w:rsidP="009A6C21">
            <w:pPr>
              <w:pStyle w:val="TableText"/>
            </w:pPr>
            <w:r>
              <w:t>Liquid fossil fuels</w:t>
            </w:r>
          </w:p>
        </w:tc>
        <w:tc>
          <w:tcPr>
            <w:tcW w:w="2698" w:type="dxa"/>
          </w:tcPr>
          <w:p w14:paraId="0F769473" w14:textId="1F5BDDA9" w:rsidR="009A6C21" w:rsidRPr="006B77BB" w:rsidRDefault="009A6C21" w:rsidP="009A6C21">
            <w:pPr>
              <w:pStyle w:val="TableText"/>
            </w:pPr>
            <w:r>
              <w:t>6</w:t>
            </w:r>
          </w:p>
        </w:tc>
      </w:tr>
      <w:tr w:rsidR="009A6C21" w:rsidRPr="006B77BB" w14:paraId="1386BB61" w14:textId="77777777" w:rsidTr="009A6C21">
        <w:tc>
          <w:tcPr>
            <w:tcW w:w="5807" w:type="dxa"/>
          </w:tcPr>
          <w:p w14:paraId="1CD5A4F6" w14:textId="474E228D" w:rsidR="009A6C21" w:rsidRPr="006B77BB" w:rsidRDefault="009A6C21" w:rsidP="009A6C21">
            <w:pPr>
              <w:pStyle w:val="TableText"/>
            </w:pPr>
            <w:r>
              <w:t>Local government</w:t>
            </w:r>
          </w:p>
        </w:tc>
        <w:tc>
          <w:tcPr>
            <w:tcW w:w="2698" w:type="dxa"/>
          </w:tcPr>
          <w:p w14:paraId="4B263331" w14:textId="5CA71EC2" w:rsidR="009A6C21" w:rsidRPr="006B77BB" w:rsidRDefault="009A6C21" w:rsidP="009A6C21">
            <w:pPr>
              <w:pStyle w:val="TableText"/>
            </w:pPr>
            <w:r>
              <w:t>5</w:t>
            </w:r>
          </w:p>
        </w:tc>
      </w:tr>
      <w:tr w:rsidR="009A6C21" w:rsidRPr="006B77BB" w14:paraId="015DB24C" w14:textId="77777777" w:rsidTr="009A6C21">
        <w:tc>
          <w:tcPr>
            <w:tcW w:w="5807" w:type="dxa"/>
          </w:tcPr>
          <w:p w14:paraId="283D0767" w14:textId="3999D1B5" w:rsidR="009A6C21" w:rsidRPr="006B77BB" w:rsidRDefault="009A6C21" w:rsidP="009A6C21">
            <w:pPr>
              <w:pStyle w:val="TableText"/>
            </w:pPr>
            <w:r>
              <w:t>Industrial processors</w:t>
            </w:r>
          </w:p>
        </w:tc>
        <w:tc>
          <w:tcPr>
            <w:tcW w:w="2698" w:type="dxa"/>
          </w:tcPr>
          <w:p w14:paraId="4851B370" w14:textId="62638E81" w:rsidR="009A6C21" w:rsidRPr="006B77BB" w:rsidRDefault="009A6C21" w:rsidP="009A6C21">
            <w:pPr>
              <w:pStyle w:val="TableText"/>
            </w:pPr>
            <w:r>
              <w:t>5</w:t>
            </w:r>
          </w:p>
        </w:tc>
      </w:tr>
      <w:tr w:rsidR="009A6C21" w:rsidRPr="006B77BB" w14:paraId="710CEF9B" w14:textId="77777777" w:rsidTr="009A6C21">
        <w:tc>
          <w:tcPr>
            <w:tcW w:w="5807" w:type="dxa"/>
          </w:tcPr>
          <w:p w14:paraId="23B5354E" w14:textId="1DFE5972" w:rsidR="009A6C21" w:rsidRPr="006B77BB" w:rsidRDefault="009A6C21" w:rsidP="009A6C21">
            <w:pPr>
              <w:pStyle w:val="TableText"/>
            </w:pPr>
            <w:r>
              <w:t>Horticulture</w:t>
            </w:r>
          </w:p>
        </w:tc>
        <w:tc>
          <w:tcPr>
            <w:tcW w:w="2698" w:type="dxa"/>
          </w:tcPr>
          <w:p w14:paraId="79CAB84A" w14:textId="69AAB55D" w:rsidR="009A6C21" w:rsidRPr="006B77BB" w:rsidRDefault="009A6C21" w:rsidP="009A6C21">
            <w:pPr>
              <w:pStyle w:val="TableText"/>
            </w:pPr>
            <w:r>
              <w:t>5</w:t>
            </w:r>
          </w:p>
        </w:tc>
      </w:tr>
      <w:tr w:rsidR="009A6C21" w:rsidRPr="006B77BB" w14:paraId="20AA1347" w14:textId="77777777" w:rsidTr="009A6C21">
        <w:tc>
          <w:tcPr>
            <w:tcW w:w="5807" w:type="dxa"/>
          </w:tcPr>
          <w:p w14:paraId="0A1199A7" w14:textId="7EEAB247" w:rsidR="009A6C21" w:rsidRPr="006B77BB" w:rsidRDefault="009A6C21" w:rsidP="009A6C21">
            <w:pPr>
              <w:pStyle w:val="TableText"/>
            </w:pPr>
            <w:r>
              <w:t>Forestry sectors</w:t>
            </w:r>
          </w:p>
        </w:tc>
        <w:tc>
          <w:tcPr>
            <w:tcW w:w="2698" w:type="dxa"/>
          </w:tcPr>
          <w:p w14:paraId="60405FDA" w14:textId="10FEA33A" w:rsidR="009A6C21" w:rsidRPr="006B77BB" w:rsidRDefault="009A6C21" w:rsidP="009A6C21">
            <w:pPr>
              <w:pStyle w:val="TableText"/>
            </w:pPr>
            <w:r>
              <w:t>5</w:t>
            </w:r>
          </w:p>
        </w:tc>
      </w:tr>
      <w:tr w:rsidR="009A6C21" w:rsidRPr="006B77BB" w14:paraId="11E3AF02" w14:textId="77777777" w:rsidTr="009A6C21">
        <w:tc>
          <w:tcPr>
            <w:tcW w:w="5807" w:type="dxa"/>
          </w:tcPr>
          <w:p w14:paraId="03931778" w14:textId="5D558D11" w:rsidR="009A6C21" w:rsidRPr="006B77BB" w:rsidRDefault="009A6C21" w:rsidP="009A6C21">
            <w:pPr>
              <w:pStyle w:val="TableText"/>
            </w:pPr>
            <w:r>
              <w:t>Market intermediaries</w:t>
            </w:r>
          </w:p>
        </w:tc>
        <w:tc>
          <w:tcPr>
            <w:tcW w:w="2698" w:type="dxa"/>
          </w:tcPr>
          <w:p w14:paraId="3CF804FA" w14:textId="20A92CEA" w:rsidR="009A6C21" w:rsidRPr="006B77BB" w:rsidRDefault="009A6C21" w:rsidP="009A6C21">
            <w:pPr>
              <w:pStyle w:val="TableText"/>
            </w:pPr>
            <w:r>
              <w:t>4</w:t>
            </w:r>
          </w:p>
        </w:tc>
      </w:tr>
      <w:tr w:rsidR="009A6C21" w:rsidRPr="006B77BB" w14:paraId="36C7705F" w14:textId="77777777" w:rsidTr="009A6C21">
        <w:tc>
          <w:tcPr>
            <w:tcW w:w="5807" w:type="dxa"/>
          </w:tcPr>
          <w:p w14:paraId="297A9349" w14:textId="2A466BCD" w:rsidR="009A6C21" w:rsidRDefault="009A6C21" w:rsidP="009A6C21">
            <w:pPr>
              <w:pStyle w:val="TableText"/>
            </w:pPr>
            <w:r>
              <w:t>Research and tertiary organsiations</w:t>
            </w:r>
          </w:p>
        </w:tc>
        <w:tc>
          <w:tcPr>
            <w:tcW w:w="2698" w:type="dxa"/>
          </w:tcPr>
          <w:p w14:paraId="5E712C90" w14:textId="01D81742" w:rsidR="009A6C21" w:rsidRPr="006B77BB" w:rsidRDefault="009A6C21" w:rsidP="009A6C21">
            <w:pPr>
              <w:pStyle w:val="TableText"/>
            </w:pPr>
            <w:r>
              <w:t>3</w:t>
            </w:r>
          </w:p>
        </w:tc>
      </w:tr>
      <w:tr w:rsidR="009A6C21" w:rsidRPr="006B77BB" w14:paraId="0ECB8A63" w14:textId="77777777" w:rsidTr="009A6C21">
        <w:tc>
          <w:tcPr>
            <w:tcW w:w="5807" w:type="dxa"/>
          </w:tcPr>
          <w:p w14:paraId="4F5DBB61" w14:textId="4D704878" w:rsidR="009A6C21" w:rsidRDefault="009A6C21" w:rsidP="009A6C21">
            <w:pPr>
              <w:pStyle w:val="TableText"/>
            </w:pPr>
            <w:r>
              <w:t>Wood processors/manufacturer</w:t>
            </w:r>
          </w:p>
        </w:tc>
        <w:tc>
          <w:tcPr>
            <w:tcW w:w="2698" w:type="dxa"/>
          </w:tcPr>
          <w:p w14:paraId="59EA5BAB" w14:textId="588710A7" w:rsidR="009A6C21" w:rsidRPr="006B77BB" w:rsidRDefault="009A6C21" w:rsidP="009A6C21">
            <w:pPr>
              <w:pStyle w:val="TableText"/>
            </w:pPr>
            <w:r>
              <w:t>2</w:t>
            </w:r>
          </w:p>
        </w:tc>
      </w:tr>
      <w:tr w:rsidR="009A6C21" w:rsidRPr="006B77BB" w14:paraId="43029B2C" w14:textId="77777777" w:rsidTr="009A6C21">
        <w:tc>
          <w:tcPr>
            <w:tcW w:w="5807" w:type="dxa"/>
          </w:tcPr>
          <w:p w14:paraId="1E637969" w14:textId="7FD5DEDA" w:rsidR="009A6C21" w:rsidRDefault="009A6C21" w:rsidP="009A6C21">
            <w:pPr>
              <w:pStyle w:val="TableText"/>
            </w:pPr>
            <w:r>
              <w:t>Central government</w:t>
            </w:r>
          </w:p>
        </w:tc>
        <w:tc>
          <w:tcPr>
            <w:tcW w:w="2698" w:type="dxa"/>
          </w:tcPr>
          <w:p w14:paraId="69357627" w14:textId="05655747" w:rsidR="009A6C21" w:rsidRPr="006B77BB" w:rsidRDefault="009A6C21" w:rsidP="009A6C21">
            <w:pPr>
              <w:pStyle w:val="TableText"/>
            </w:pPr>
            <w:r>
              <w:t>1</w:t>
            </w:r>
          </w:p>
        </w:tc>
      </w:tr>
    </w:tbl>
    <w:p w14:paraId="7F024984" w14:textId="77777777" w:rsidR="009A6C21" w:rsidRDefault="009A6C21" w:rsidP="00F569B9">
      <w:pPr>
        <w:ind w:left="360"/>
      </w:pPr>
    </w:p>
    <w:p w14:paraId="44383517" w14:textId="7A3235DA" w:rsidR="00F569B9" w:rsidRDefault="00F569B9" w:rsidP="00F569B9">
      <w:pPr>
        <w:pStyle w:val="BodyText"/>
      </w:pPr>
      <w:r>
        <w:t>We received 82 submissions via email and 51 via the online form. Submissions</w:t>
      </w:r>
      <w:r w:rsidR="00BE4157">
        <w:t xml:space="preserve"> that came</w:t>
      </w:r>
      <w:r>
        <w:t xml:space="preserve"> via email sometimes contained significant comments outside the scope of the consultation proposals for the provisional emissions budget and NZ ETS settings. </w:t>
      </w:r>
    </w:p>
    <w:p w14:paraId="3B599E21" w14:textId="77777777" w:rsidR="00F569B9" w:rsidRDefault="00F569B9" w:rsidP="00F569B9">
      <w:pPr>
        <w:rPr>
          <w:rFonts w:eastAsia="Times New Roman" w:cstheme="majorBidi"/>
          <w:b/>
          <w:color w:val="1C556C"/>
          <w:sz w:val="48"/>
          <w:szCs w:val="32"/>
        </w:rPr>
      </w:pPr>
      <w:r>
        <w:br w:type="page"/>
      </w:r>
    </w:p>
    <w:p w14:paraId="78142B9B" w14:textId="77777777" w:rsidR="00F569B9" w:rsidRPr="003162F1" w:rsidRDefault="00F569B9" w:rsidP="00F569B9">
      <w:pPr>
        <w:pStyle w:val="Heading1"/>
      </w:pPr>
      <w:bookmarkStart w:id="9" w:name="_What_did_submitters"/>
      <w:bookmarkStart w:id="10" w:name="_Toc40703426"/>
      <w:bookmarkEnd w:id="9"/>
      <w:r w:rsidRPr="003162F1">
        <w:lastRenderedPageBreak/>
        <w:t>What did submitters say?</w:t>
      </w:r>
      <w:bookmarkEnd w:id="10"/>
      <w:r w:rsidRPr="003162F1">
        <w:t xml:space="preserve"> </w:t>
      </w:r>
    </w:p>
    <w:p w14:paraId="38D9CE6C" w14:textId="77777777" w:rsidR="00F569B9" w:rsidRDefault="00F569B9" w:rsidP="00F569B9">
      <w:pPr>
        <w:pStyle w:val="Heading2"/>
        <w:spacing w:before="120"/>
      </w:pPr>
      <w:bookmarkStart w:id="11" w:name="_Toc40703427"/>
      <w:r>
        <w:t>The provisional emissions budget</w:t>
      </w:r>
      <w:bookmarkEnd w:id="11"/>
    </w:p>
    <w:p w14:paraId="16D0DB7B" w14:textId="77777777" w:rsidR="00F569B9" w:rsidRPr="00AE577A" w:rsidRDefault="00F569B9" w:rsidP="00F569B9">
      <w:pPr>
        <w:pStyle w:val="Heading3"/>
      </w:pPr>
      <w:r w:rsidRPr="00AE577A">
        <w:t xml:space="preserve">Do you agree with the proposal to set a provisional emissions budget of 354 </w:t>
      </w:r>
      <w:r>
        <w:t>Mt CO</w:t>
      </w:r>
      <w:r>
        <w:softHyphen/>
      </w:r>
      <w:r>
        <w:softHyphen/>
      </w:r>
      <w:r>
        <w:softHyphen/>
      </w:r>
      <w:r w:rsidRPr="003F19E6">
        <w:rPr>
          <w:vertAlign w:val="subscript"/>
        </w:rPr>
        <w:t>2</w:t>
      </w:r>
      <w:r>
        <w:t>-e for the 2021–25 period?</w:t>
      </w:r>
      <w:r w:rsidRPr="00AE577A">
        <w:t xml:space="preserve"> If not, why not?</w:t>
      </w:r>
    </w:p>
    <w:p w14:paraId="6580B3C8" w14:textId="09B71B46" w:rsidR="00F569B9" w:rsidRDefault="00F569B9" w:rsidP="00F569B9">
      <w:pPr>
        <w:pStyle w:val="BodyText"/>
      </w:pPr>
      <w:r>
        <w:t xml:space="preserve">Responses to the proposed volume of the provisional budget were very mixed and, in many cases, strongly opinionated. Approximately 82 per cent of all submissions had feedback specifically about the provisional budget proposal. </w:t>
      </w:r>
    </w:p>
    <w:p w14:paraId="157DDF0B" w14:textId="77777777" w:rsidR="00F569B9" w:rsidRDefault="00F569B9" w:rsidP="00F569B9">
      <w:pPr>
        <w:pStyle w:val="BodyText"/>
      </w:pPr>
      <w:r>
        <w:t xml:space="preserve">Despite many differing views about the volume and methodology for the provisional budget, there was generally agreement about the overall goal of making a contribution towards reducing New Zealand’s emissions, and the importance of setting an emissions budget and an NZ ETS cap in helping to achieve this. </w:t>
      </w:r>
    </w:p>
    <w:p w14:paraId="18E2653E" w14:textId="77777777" w:rsidR="00F569B9" w:rsidRPr="00A3787C" w:rsidRDefault="00F569B9" w:rsidP="00F569B9">
      <w:pPr>
        <w:pStyle w:val="BodyText"/>
      </w:pPr>
      <w:r>
        <w:t>Because of the large scope and inputs involved in the provisional budget, submissions could not generally be easily categorised into agree/disagree. However, we discuss below the overarching themes that emerged in response to the proposed provisional budget.</w:t>
      </w:r>
    </w:p>
    <w:p w14:paraId="4052B080" w14:textId="77777777" w:rsidR="00F569B9" w:rsidRDefault="00F569B9" w:rsidP="00F569B9">
      <w:pPr>
        <w:pStyle w:val="Heading4"/>
      </w:pPr>
      <w:r>
        <w:t>In principle agreement</w:t>
      </w:r>
    </w:p>
    <w:p w14:paraId="3F49E216" w14:textId="77777777" w:rsidR="00F569B9" w:rsidRDefault="00F569B9" w:rsidP="00F569B9">
      <w:pPr>
        <w:pStyle w:val="BodyText"/>
      </w:pPr>
      <w:r>
        <w:t xml:space="preserve">Thirty-six submissions generally supported the proposal for the provisional budget. Their support was mainly based on their agreement in principle with the suggestion of a straight-line emissions reduction pathway towards the 2050 target as set in the Climate Change Response (Zero Carbon) Amendment Act. They supported the transparency and stability this provided to the scheme. </w:t>
      </w:r>
    </w:p>
    <w:p w14:paraId="107339B1" w14:textId="77777777" w:rsidR="00F569B9" w:rsidRDefault="00F569B9" w:rsidP="00F569B9">
      <w:pPr>
        <w:pStyle w:val="BodyText"/>
      </w:pPr>
      <w:r>
        <w:t xml:space="preserve">Submitters commented it is largely a sensible place to start to allow for an emissions cap to be put in place as soon as possible. Comments mentioned that “it needs to start somewhere” and some submitters supported the provision it would only be in place until the Climate Change Commission provides its official recommendations to the Government. </w:t>
      </w:r>
    </w:p>
    <w:p w14:paraId="2F78EAA8" w14:textId="77777777" w:rsidR="00F569B9" w:rsidRDefault="00F569B9" w:rsidP="00F569B9">
      <w:pPr>
        <w:pStyle w:val="BodyText"/>
      </w:pPr>
      <w:r>
        <w:t>‘In principle’ support, came from most of the electricity sector including Meridian, Vector, Mercury, Trustpower and the New Zealand Wind Energy Association. In principle support also came from some business and industry groups including Federated Farmers,</w:t>
      </w:r>
      <w:r>
        <w:rPr>
          <w:rStyle w:val="FootnoteReference"/>
        </w:rPr>
        <w:footnoteReference w:id="1"/>
      </w:r>
      <w:r>
        <w:t xml:space="preserve"> Oji Fibre, BP, First Gas and Wellington Chamber of Commerce. Beef + Lamb NZ and Business NZ tentatively supported the architecture of emissions held at 2020 levels and then a ‘straight-line path’ from 2022 towards the 2050 Zero Carbon Act target, but they had other significant concerns about some of the methodologies of the calculations used (discussed further below).</w:t>
      </w:r>
    </w:p>
    <w:p w14:paraId="4CCF0114" w14:textId="77777777" w:rsidR="00F569B9" w:rsidRDefault="00F569B9" w:rsidP="00F569B9">
      <w:pPr>
        <w:pStyle w:val="BodyText"/>
      </w:pPr>
      <w:r>
        <w:t xml:space="preserve">The Climate Change Commission noted a straight-line trajectory towards the 2050 target was a pragmatic approach, based on consistency and the difficulties associated with the currently limited available evidence. </w:t>
      </w:r>
    </w:p>
    <w:p w14:paraId="3C693222" w14:textId="77777777" w:rsidR="00F569B9" w:rsidRDefault="00F569B9" w:rsidP="00F569B9">
      <w:pPr>
        <w:pStyle w:val="BodyText"/>
      </w:pPr>
      <w:r>
        <w:lastRenderedPageBreak/>
        <w:t xml:space="preserve">Only a small minority of submitters who supported the provisional budget volume were individual submitters (6/36). </w:t>
      </w:r>
    </w:p>
    <w:p w14:paraId="2AB52256" w14:textId="77777777" w:rsidR="00F569B9" w:rsidRDefault="00F569B9" w:rsidP="00F569B9">
      <w:pPr>
        <w:pStyle w:val="Heading4"/>
      </w:pPr>
      <w:r>
        <w:t>The provisional budget is not ambitious enough</w:t>
      </w:r>
    </w:p>
    <w:p w14:paraId="01F30ADF" w14:textId="77777777" w:rsidR="00F569B9" w:rsidRDefault="00F569B9" w:rsidP="00F569B9">
      <w:pPr>
        <w:pStyle w:val="BodyText"/>
      </w:pPr>
      <w:r>
        <w:t xml:space="preserve">Thirty submissions said the provisional budget was not ambitious enough. </w:t>
      </w:r>
    </w:p>
    <w:p w14:paraId="63F4C761" w14:textId="77777777" w:rsidR="00F569B9" w:rsidRDefault="00F569B9" w:rsidP="00F569B9">
      <w:pPr>
        <w:pStyle w:val="BodyText"/>
      </w:pPr>
      <w:r>
        <w:t xml:space="preserve">Most individual submitters that responded to questions about the provisional budget believed the proposal was not sufficiently ambitious (16/27). The concern raised most frequently was that the proposal was not in line with New Zealand’s Nationally Determined Contribution (NDC) under the Paris Agreement, or the emissions reduction recommendations within the </w:t>
      </w:r>
      <w:r w:rsidRPr="00442481">
        <w:t>IPCC</w:t>
      </w:r>
      <w:r>
        <w:t xml:space="preserve"> 1.5 degrees C report.</w:t>
      </w:r>
      <w:r>
        <w:rPr>
          <w:rStyle w:val="FootnoteReference"/>
        </w:rPr>
        <w:footnoteReference w:id="2"/>
      </w:r>
      <w:r>
        <w:t xml:space="preserve"> Submitters discussed the NDC requirements to limit emissions to 601 Mt CO</w:t>
      </w:r>
      <w:r>
        <w:softHyphen/>
      </w:r>
      <w:r w:rsidRPr="009F4828">
        <w:rPr>
          <w:vertAlign w:val="subscript"/>
        </w:rPr>
        <w:t>2</w:t>
      </w:r>
      <w:r>
        <w:t xml:space="preserve">-e over 2021–30 due to the fact the provisional budget is significantly more than half of the volume for the whole decade. This leaves a large proportion of emissions reductions to the second half of the decade whereas climate change and emissions reductions need to be addressed immediately. </w:t>
      </w:r>
    </w:p>
    <w:p w14:paraId="4091C130" w14:textId="77777777" w:rsidR="00F569B9" w:rsidRDefault="00F569B9" w:rsidP="00F569B9">
      <w:pPr>
        <w:pStyle w:val="BodyText"/>
      </w:pPr>
      <w:r>
        <w:t xml:space="preserve">NGO/community groups – including the Sustainable Business Network, Carbon Energy Professionals, Environment and Conservation Organisations of Aotearoa NZ, Lawyers for Climate Action, and Zero Carbon Nelson Tasman – raised similar concerns about the lack of sufficient ambition. Many also noted the potentially large costs and liability associated with not meeting the NDC and being required to buy international units. </w:t>
      </w:r>
    </w:p>
    <w:p w14:paraId="32AD1CF7" w14:textId="77777777" w:rsidR="00F569B9" w:rsidRDefault="00F569B9" w:rsidP="00F569B9">
      <w:pPr>
        <w:pStyle w:val="BodyText"/>
      </w:pPr>
      <w:r>
        <w:t xml:space="preserve">Carbon forestry organisations, New Zealand Carbon Farming and Carbon Farm Ltd, also believed the provisional budget was not ambitious enough. </w:t>
      </w:r>
    </w:p>
    <w:p w14:paraId="363CF0FE" w14:textId="77777777" w:rsidR="00F569B9" w:rsidRPr="008F43ED" w:rsidRDefault="00F569B9" w:rsidP="00F569B9">
      <w:pPr>
        <w:pStyle w:val="BodyText"/>
      </w:pPr>
      <w:r>
        <w:t>The Office of the Māori Climate Commissioner was deeply concerned about the lack of ambition of only delivering an additional 13 Mt CO</w:t>
      </w:r>
      <w:r>
        <w:softHyphen/>
      </w:r>
      <w:r w:rsidRPr="003E0F5C">
        <w:rPr>
          <w:vertAlign w:val="subscript"/>
        </w:rPr>
        <w:t>2</w:t>
      </w:r>
      <w:r>
        <w:t>-e of abatement within five years. Compass Climate was also significantly concerned with the proposal and, of the three options discussed in the consultation document, supported the more ambitious budget of 349 Mt CO</w:t>
      </w:r>
      <w:r>
        <w:softHyphen/>
      </w:r>
      <w:r w:rsidRPr="00067A1B">
        <w:rPr>
          <w:vertAlign w:val="subscript"/>
        </w:rPr>
        <w:t>2</w:t>
      </w:r>
      <w:r>
        <w:t>-e, which would require 18 Mt CO</w:t>
      </w:r>
      <w:r w:rsidRPr="00067A1B">
        <w:rPr>
          <w:vertAlign w:val="subscript"/>
        </w:rPr>
        <w:t>2</w:t>
      </w:r>
      <w:r>
        <w:t xml:space="preserve">-e of additional abatement. </w:t>
      </w:r>
    </w:p>
    <w:p w14:paraId="5AF62221" w14:textId="77777777" w:rsidR="00F569B9" w:rsidRDefault="00F569B9" w:rsidP="00F569B9">
      <w:pPr>
        <w:pStyle w:val="Heading4"/>
      </w:pPr>
      <w:r>
        <w:t xml:space="preserve"> The provisional budget is too ambitious</w:t>
      </w:r>
    </w:p>
    <w:p w14:paraId="2F882E5F" w14:textId="77777777" w:rsidR="00F569B9" w:rsidRDefault="00F569B9" w:rsidP="00F569B9">
      <w:pPr>
        <w:pStyle w:val="BodyText"/>
      </w:pPr>
      <w:r>
        <w:t xml:space="preserve">Seventeen submissions stated they believed the provisional budget was too ambitious. Nearly all of these were from business/industrial groups. No individual submitters explicitly said they thought the provisional budget was too ambitious. </w:t>
      </w:r>
    </w:p>
    <w:p w14:paraId="1667B8F2" w14:textId="77777777" w:rsidR="00F569B9" w:rsidRDefault="00F569B9" w:rsidP="00F569B9">
      <w:pPr>
        <w:pStyle w:val="BodyText"/>
      </w:pPr>
      <w:r>
        <w:t xml:space="preserve">The main themes emerging from submissions that said the budget was too ambitious, were that it would have a negative effect on businesses and that emissions reduction technologies would become cheaper in the future. These submitters believed it would make more sense to start at a lower emissions reduction rate that increases in future. </w:t>
      </w:r>
    </w:p>
    <w:p w14:paraId="242EEBDD" w14:textId="77777777" w:rsidR="00F569B9" w:rsidRDefault="00F569B9" w:rsidP="00F569B9">
      <w:pPr>
        <w:pStyle w:val="BodyText"/>
      </w:pPr>
      <w:r>
        <w:t xml:space="preserve">The Major Electricity Users Group responded that a cautionary approach should be taken, as not enough consideration had been given to unexpected, detrimental impacts on households and businesses. It specifically proposed an S-curve type arrangement with an example graph. </w:t>
      </w:r>
    </w:p>
    <w:p w14:paraId="371B4FDB" w14:textId="49879124" w:rsidR="00F569B9" w:rsidRDefault="00F569B9" w:rsidP="00F569B9">
      <w:pPr>
        <w:pStyle w:val="BodyText"/>
      </w:pPr>
      <w:r>
        <w:t xml:space="preserve">Fonterra, Fletcher Building, Todd Corporation, Bathurst Resources, Straterra and Evonik Peroxide were among the submitters that discussed similar themes around how major projects delivering emissions reductions required significant time for design, planning and </w:t>
      </w:r>
      <w:r>
        <w:lastRenderedPageBreak/>
        <w:t>implementation, and technologies became cheaper over time. Therefore, they did not believe it was appropriate to begin with an equivalent straight-line reduction rate from 2022.</w:t>
      </w:r>
    </w:p>
    <w:p w14:paraId="2DD364D8" w14:textId="77777777" w:rsidR="00F569B9" w:rsidRDefault="00F569B9" w:rsidP="00F569B9">
      <w:pPr>
        <w:pStyle w:val="Heading4"/>
      </w:pPr>
      <w:r>
        <w:t>The provisional budget requires further analysis</w:t>
      </w:r>
    </w:p>
    <w:p w14:paraId="21D0759B" w14:textId="77777777" w:rsidR="00F569B9" w:rsidRDefault="00F569B9" w:rsidP="00F569B9">
      <w:pPr>
        <w:pStyle w:val="BodyText"/>
      </w:pPr>
      <w:r>
        <w:t xml:space="preserve">A number of business/industry groups expressed concerns there had not been sufficient or accurate analysis of options for emissions reductions to be able to set the provisional budget. Many of these concerns were based around limits or incorrect assumptions within the marginal abatement cost curve (MACC) analysis. Refining NZ and NZ Steel pointed out some of the emissions reductions assumed available within the MACC had already been implemented, or weren’t actually available. Gas NZ disagreed with an assumption that current coal- and gas-fired electricity could be replaced by wind and geothermal by mid-2024 at a low-medium cost. </w:t>
      </w:r>
    </w:p>
    <w:p w14:paraId="553C8B8E" w14:textId="77777777" w:rsidR="00F569B9" w:rsidRPr="00343C5E" w:rsidRDefault="00F569B9" w:rsidP="00F569B9">
      <w:pPr>
        <w:pStyle w:val="BodyText"/>
      </w:pPr>
      <w:r>
        <w:t xml:space="preserve">One submitter commented that before applying the MACC analysis work there needed to be further engagement with industries to understand the real-life application of ‘desk-top’ modelling. Petroleum Exploration and Production Association of NZ (PEPANZ) said MACC analysis must be treated with caution when used at a sectoral level, rather than at the business level. </w:t>
      </w:r>
    </w:p>
    <w:p w14:paraId="0EC2B509" w14:textId="77777777" w:rsidR="00F569B9" w:rsidRDefault="00F569B9" w:rsidP="00F569B9">
      <w:pPr>
        <w:pStyle w:val="BodyText"/>
      </w:pPr>
      <w:r>
        <w:t xml:space="preserve">Generally, submitters who believed there was not enough analysis suggested it was not appropriate to apply a provisional budget until further work was done by the Government. Genesis said it had significant reservations about the Government setting the provisional budget before the Climate Change Commission provided its official advice. </w:t>
      </w:r>
    </w:p>
    <w:p w14:paraId="5EA7C3B4" w14:textId="77777777" w:rsidR="00F569B9" w:rsidRDefault="00F569B9" w:rsidP="00F569B9">
      <w:pPr>
        <w:pStyle w:val="Heading4"/>
      </w:pPr>
      <w:r w:rsidRPr="0000172B">
        <w:t>Other issues need to be considered</w:t>
      </w:r>
    </w:p>
    <w:p w14:paraId="650BBB63" w14:textId="77777777" w:rsidR="00F569B9" w:rsidRPr="002E21F7" w:rsidRDefault="00F569B9" w:rsidP="002E21F7">
      <w:pPr>
        <w:pStyle w:val="BodyText"/>
      </w:pPr>
      <w:r w:rsidRPr="002E21F7">
        <w:t xml:space="preserve">There were a number of additional issues submitters believed needed to be addressed within the provisional budget recommendation. </w:t>
      </w:r>
    </w:p>
    <w:p w14:paraId="0E20AD7E" w14:textId="77777777" w:rsidR="00F569B9" w:rsidRPr="002E21F7" w:rsidRDefault="00F569B9" w:rsidP="002E21F7">
      <w:pPr>
        <w:pStyle w:val="BodyText"/>
      </w:pPr>
      <w:r w:rsidRPr="002E21F7">
        <w:t xml:space="preserve">The Climate Change Commission, Federated Farmers, Dairy NZ and Beef + Lamb NZ all noted the 2050 target is a split-gas target, and the provisional budget does not sufficiently take this into account by simply combining all gases into a single budget. </w:t>
      </w:r>
    </w:p>
    <w:p w14:paraId="16AC7D2A" w14:textId="77777777" w:rsidR="00F569B9" w:rsidRPr="002E21F7" w:rsidRDefault="00F569B9" w:rsidP="002E21F7">
      <w:pPr>
        <w:pStyle w:val="BodyText"/>
      </w:pPr>
      <w:r w:rsidRPr="002E21F7">
        <w:t xml:space="preserve">Lawyers for Climate Action, Caritas (the Catholic Agency for Justice, Peace and Development) and Environment and Conservation Organisations of NZ questioned the budget’s ability to achieve sufficient reductions whilst still providing such large levels of free allocation. </w:t>
      </w:r>
    </w:p>
    <w:p w14:paraId="724A652F" w14:textId="77777777" w:rsidR="00F569B9" w:rsidRPr="002E21F7" w:rsidRDefault="00F569B9" w:rsidP="002E21F7">
      <w:pPr>
        <w:pStyle w:val="BodyText"/>
      </w:pPr>
      <w:r w:rsidRPr="002E21F7">
        <w:t xml:space="preserve">The Citizens’ Climate Lobby, Zero Carbon Nelson Tasman and several individual submissions raised concerns that the budget was entirely based on net emissions, and did not also set a gross emissions reduction target. </w:t>
      </w:r>
    </w:p>
    <w:p w14:paraId="2B18AD5E" w14:textId="77777777" w:rsidR="00F569B9" w:rsidRDefault="00F569B9" w:rsidP="00F569B9">
      <w:pPr>
        <w:pStyle w:val="Heading2"/>
      </w:pPr>
      <w:bookmarkStart w:id="12" w:name="_Toc40703428"/>
      <w:r>
        <w:t>Unit supply settings: Technical volume adjustments</w:t>
      </w:r>
      <w:bookmarkEnd w:id="12"/>
    </w:p>
    <w:p w14:paraId="6CBFBB33" w14:textId="77777777" w:rsidR="00F569B9" w:rsidRDefault="00F569B9" w:rsidP="00F569B9">
      <w:pPr>
        <w:pStyle w:val="Heading3"/>
      </w:pPr>
      <w:r w:rsidRPr="00097A79">
        <w:t>Do you support the decisions made regarding the technical volume adjustment decisions? If not, why not?</w:t>
      </w:r>
      <w:r w:rsidRPr="00D8224B">
        <w:t xml:space="preserve"> </w:t>
      </w:r>
      <w:r w:rsidRPr="00097A79">
        <w:t>Are there other adjustments that need to be considered?</w:t>
      </w:r>
    </w:p>
    <w:p w14:paraId="127D7B62" w14:textId="77777777" w:rsidR="00F569B9" w:rsidRPr="00817C22" w:rsidRDefault="00F569B9" w:rsidP="002E21F7">
      <w:pPr>
        <w:pStyle w:val="BodyText"/>
      </w:pPr>
      <w:r>
        <w:t xml:space="preserve">Most submitters tended to agree in principle with the technical volume adjustments, however, a wide range of additional considerations were also suggested. </w:t>
      </w:r>
    </w:p>
    <w:p w14:paraId="72F308C9" w14:textId="77777777" w:rsidR="00F569B9" w:rsidRPr="00726164" w:rsidRDefault="00F569B9" w:rsidP="00F569B9">
      <w:pPr>
        <w:pStyle w:val="Heading4"/>
      </w:pPr>
      <w:r w:rsidRPr="00726164">
        <w:lastRenderedPageBreak/>
        <w:t>Support for the proposal</w:t>
      </w:r>
    </w:p>
    <w:p w14:paraId="70A4EAF9" w14:textId="77777777" w:rsidR="00F569B9" w:rsidRDefault="00F569B9" w:rsidP="002E21F7">
      <w:pPr>
        <w:pStyle w:val="BodyText"/>
      </w:pPr>
      <w:r>
        <w:t xml:space="preserve">Thirty-one submitters supported </w:t>
      </w:r>
      <w:r w:rsidRPr="00D8224B">
        <w:t>the technical volume adjustment</w:t>
      </w:r>
      <w:r>
        <w:t xml:space="preserve"> decisions. These submitters included Te Awahohonu Forest Trust, New Zealand Wind Energy Association, Forest Management Limited, Business NZ, Federated Farmers, NZX &amp; EEX, Carbon Farm Limited, New Zealand Carbon Farming, NZ Steel and Dairy Companies Association of New Zealand. Eight individual submitters also supported the technical volume adjustment. Most of these submitters did not elaborate further on the topic. </w:t>
      </w:r>
    </w:p>
    <w:p w14:paraId="01D7384A" w14:textId="77777777" w:rsidR="00F569B9" w:rsidRPr="00726164" w:rsidRDefault="00F569B9" w:rsidP="00F569B9">
      <w:pPr>
        <w:pStyle w:val="Heading4"/>
      </w:pPr>
      <w:r w:rsidRPr="00726164">
        <w:t>Unsure about the proposal</w:t>
      </w:r>
    </w:p>
    <w:p w14:paraId="38971CAA" w14:textId="77777777" w:rsidR="00F569B9" w:rsidRDefault="00F569B9" w:rsidP="002E21F7">
      <w:pPr>
        <w:pStyle w:val="BodyText"/>
      </w:pPr>
      <w:r>
        <w:t>Fifteen submitters were unsure if they supported the decisions on technical volume adjustments, often not expanding on this point (eg, Mangatu Blocks and Envirohub Bay of Plenty). BP New Zealand considered that i</w:t>
      </w:r>
      <w:r w:rsidRPr="008248CC">
        <w:t>f technical adjustments bec</w:t>
      </w:r>
      <w:r>
        <w:t>a</w:t>
      </w:r>
      <w:r w:rsidRPr="008248CC">
        <w:t>me necessary in the future</w:t>
      </w:r>
      <w:r>
        <w:t>,</w:t>
      </w:r>
      <w:r w:rsidRPr="008248CC">
        <w:t xml:space="preserve"> it </w:t>
      </w:r>
      <w:r>
        <w:t>was</w:t>
      </w:r>
      <w:r w:rsidRPr="008248CC">
        <w:t xml:space="preserve"> important the </w:t>
      </w:r>
      <w:r>
        <w:t>G</w:t>
      </w:r>
      <w:r w:rsidRPr="008248CC">
        <w:t xml:space="preserve">overnment </w:t>
      </w:r>
      <w:r>
        <w:t xml:space="preserve">provided advance warning and </w:t>
      </w:r>
      <w:r w:rsidRPr="008248CC">
        <w:t>ensure</w:t>
      </w:r>
      <w:r>
        <w:t>d</w:t>
      </w:r>
      <w:r w:rsidRPr="008248CC">
        <w:t xml:space="preserve"> the appropriate controls </w:t>
      </w:r>
      <w:r>
        <w:t>were</w:t>
      </w:r>
      <w:r w:rsidRPr="008248CC">
        <w:t xml:space="preserve"> in place to avoid the potential for sudden discretionary adjustments</w:t>
      </w:r>
      <w:r>
        <w:t>.</w:t>
      </w:r>
    </w:p>
    <w:p w14:paraId="18337EED" w14:textId="77777777" w:rsidR="00F569B9" w:rsidRPr="00726164" w:rsidRDefault="00F569B9" w:rsidP="00F569B9">
      <w:pPr>
        <w:pStyle w:val="Heading4"/>
      </w:pPr>
      <w:r w:rsidRPr="00726164">
        <w:t xml:space="preserve">Suggested additional considerations </w:t>
      </w:r>
    </w:p>
    <w:p w14:paraId="0A991A6D" w14:textId="471882A1" w:rsidR="00F569B9" w:rsidRDefault="00F569B9" w:rsidP="002E21F7">
      <w:pPr>
        <w:pStyle w:val="BodyText"/>
      </w:pPr>
      <w:r>
        <w:t>Twenty-three submitters believed additional adjustments needed to be considered. These additional considerations were wide ranging, from the potential need to respond to catastrophic events by increasing the am</w:t>
      </w:r>
      <w:r w:rsidR="00785C73">
        <w:t xml:space="preserve">bition of emissions reductions, </w:t>
      </w:r>
      <w:r>
        <w:t xml:space="preserve">to considering more appropriate metrics for comparing short- and long-lived gases. Western Beech Limited suggested indigenous pre-1989 forestry should be considered, with Te Awahohonu Forest Trust noting annual growth in indigenous forests. </w:t>
      </w:r>
    </w:p>
    <w:p w14:paraId="2E977049" w14:textId="77777777" w:rsidR="00F569B9" w:rsidRDefault="00F569B9" w:rsidP="002E21F7">
      <w:pPr>
        <w:pStyle w:val="BodyText"/>
      </w:pPr>
      <w:r>
        <w:t xml:space="preserve">Four submitters discussed voluntary offsetting as something that needed to be further considered (NZ Carbon Farming, Fonterra, the Climate Change Commission and Compass Climate). The Climate Change Commission noted </w:t>
      </w:r>
      <w:r w:rsidRPr="007D0947">
        <w:t xml:space="preserve">there </w:t>
      </w:r>
      <w:r>
        <w:t>was</w:t>
      </w:r>
      <w:r w:rsidRPr="007D0947">
        <w:t xml:space="preserve"> currently no mechanism proposed for enabling voluntary offsetting through </w:t>
      </w:r>
      <w:r>
        <w:t xml:space="preserve">cancelling </w:t>
      </w:r>
      <w:r w:rsidRPr="007D0947">
        <w:t>N</w:t>
      </w:r>
      <w:r>
        <w:t xml:space="preserve">ew Zealand </w:t>
      </w:r>
      <w:r w:rsidRPr="007D0947">
        <w:t>U</w:t>
      </w:r>
      <w:r>
        <w:t>nits (NZUs)</w:t>
      </w:r>
      <w:r w:rsidRPr="007D0947">
        <w:t xml:space="preserve"> </w:t>
      </w:r>
      <w:r>
        <w:t>after</w:t>
      </w:r>
      <w:r w:rsidRPr="007D0947">
        <w:t xml:space="preserve"> 2021 that avoid</w:t>
      </w:r>
      <w:r>
        <w:t>ed</w:t>
      </w:r>
      <w:r w:rsidRPr="007D0947">
        <w:t xml:space="preserve"> the double counting of emission reductions against New Zealand’s emissions reduction targets</w:t>
      </w:r>
      <w:r>
        <w:t xml:space="preserve">. The Commission suggested clear guidance be provided to market participants </w:t>
      </w:r>
      <w:r w:rsidRPr="00B76458">
        <w:t xml:space="preserve">on the extent to which </w:t>
      </w:r>
      <w:r>
        <w:t>cancelling</w:t>
      </w:r>
      <w:r w:rsidRPr="00B76458">
        <w:t xml:space="preserve"> NZUs fulfils commonly accepted </w:t>
      </w:r>
      <w:r>
        <w:t xml:space="preserve">criteria for </w:t>
      </w:r>
      <w:r w:rsidRPr="00B76458">
        <w:t>voluntary offsetting post-2020</w:t>
      </w:r>
      <w:r>
        <w:t xml:space="preserve">. </w:t>
      </w:r>
    </w:p>
    <w:p w14:paraId="02BB6C34" w14:textId="77777777" w:rsidR="00F569B9" w:rsidRDefault="00F569B9" w:rsidP="002E21F7">
      <w:pPr>
        <w:pStyle w:val="BodyText"/>
      </w:pPr>
      <w:r>
        <w:t xml:space="preserve">Three submitters, including the New Zealand Wind Energy Association and Wollemi Consulting Limited, raised concerns about current industrial allocation levels. Wollemi Consulting Limited suggested industries should have to credibly prove that emissions leakage was a real risk before they received any free allocation. New Zealand Wind Energy Association noted the risk of the overall limit on emissions being breached through industrial allocation, and suggested </w:t>
      </w:r>
      <w:r w:rsidRPr="00D03A59">
        <w:t xml:space="preserve">auction volumes </w:t>
      </w:r>
      <w:r>
        <w:t xml:space="preserve">should be able to </w:t>
      </w:r>
      <w:r w:rsidRPr="00D03A59">
        <w:t>be reset</w:t>
      </w:r>
      <w:r>
        <w:t xml:space="preserve"> to ensure</w:t>
      </w:r>
      <w:r w:rsidRPr="00D03A59">
        <w:t xml:space="preserve"> the overall</w:t>
      </w:r>
      <w:r>
        <w:t xml:space="preserve"> limit was not exceeded. </w:t>
      </w:r>
    </w:p>
    <w:p w14:paraId="6B32A589" w14:textId="77777777" w:rsidR="00F569B9" w:rsidRDefault="00F569B9" w:rsidP="002E21F7">
      <w:pPr>
        <w:pStyle w:val="BodyText"/>
      </w:pPr>
      <w:r>
        <w:t xml:space="preserve">Also in this section, four submitters raised the need to consider complementary policies such as energy efficiency standards for building and subsidies for electric vehicles to help the transition to a low-emissions economy. </w:t>
      </w:r>
    </w:p>
    <w:p w14:paraId="11055DC7" w14:textId="77777777" w:rsidR="00F569B9" w:rsidRDefault="00F569B9" w:rsidP="00F569B9">
      <w:pPr>
        <w:pStyle w:val="Heading2"/>
      </w:pPr>
      <w:bookmarkStart w:id="13" w:name="_Toc40703429"/>
      <w:r>
        <w:lastRenderedPageBreak/>
        <w:t>NZU stockpile</w:t>
      </w:r>
      <w:bookmarkEnd w:id="13"/>
    </w:p>
    <w:p w14:paraId="15EB6028" w14:textId="77777777" w:rsidR="00F569B9" w:rsidRDefault="00F569B9" w:rsidP="00F569B9">
      <w:pPr>
        <w:pStyle w:val="Heading3"/>
      </w:pPr>
      <w:r w:rsidRPr="00386A61">
        <w:t>Do you agree with the proposal to address the NZ ETS unit stockpile by reducing the annual volume of NZUs available for auction? If not, why not?</w:t>
      </w:r>
    </w:p>
    <w:p w14:paraId="01D48F3D" w14:textId="77777777" w:rsidR="00F569B9" w:rsidRPr="00550E82" w:rsidRDefault="00F569B9" w:rsidP="002E21F7">
      <w:pPr>
        <w:pStyle w:val="BodyText"/>
      </w:pPr>
      <w:r>
        <w:t xml:space="preserve">For the proposed approach for reducing the NZ ETS unit stockpile, 45 submitters supported the proposal, seven were unsure and 29 opposed it. Reasons for opposing it included concerns that the approach would cause NZU prices to increase without reducing the stockpile, and beliefs that alternative measures would be more effective.   </w:t>
      </w:r>
    </w:p>
    <w:p w14:paraId="5287CD2F" w14:textId="77777777" w:rsidR="00F569B9" w:rsidRPr="00F23B46" w:rsidRDefault="00F569B9" w:rsidP="00F569B9">
      <w:pPr>
        <w:pStyle w:val="Heading4"/>
      </w:pPr>
      <w:r w:rsidRPr="00F23B46">
        <w:t>Support for the proposal</w:t>
      </w:r>
    </w:p>
    <w:p w14:paraId="3ED75C7E" w14:textId="77777777" w:rsidR="00F569B9" w:rsidRDefault="00F569B9" w:rsidP="00913938">
      <w:pPr>
        <w:pStyle w:val="BodyText"/>
      </w:pPr>
      <w:r>
        <w:t xml:space="preserve">Most submissions on this section of the consultation document agreed in principle with the approach for reducing the annual volume of NZUs available for auction. This support came from 45 submitters including: the Climate Change Commission, </w:t>
      </w:r>
      <w:r w:rsidRPr="00652000">
        <w:t>Beef + Lamb</w:t>
      </w:r>
      <w:r>
        <w:t xml:space="preserve"> NZ, Federated Farmers NZX-EEX, Carbon and Energy Professionals New Zealand and </w:t>
      </w:r>
      <w:r w:rsidRPr="00652000">
        <w:t>Compass Climate</w:t>
      </w:r>
      <w:r>
        <w:t xml:space="preserve">. These submitters acknowledged the need to manage the scale of banked units in the stockpile and agreed that reducing annual auction volume was an appropriate way to do this. </w:t>
      </w:r>
    </w:p>
    <w:p w14:paraId="67042523" w14:textId="77777777" w:rsidR="00F569B9" w:rsidRPr="00F23B46" w:rsidRDefault="00F569B9" w:rsidP="00F569B9">
      <w:pPr>
        <w:pStyle w:val="Heading4"/>
      </w:pPr>
      <w:r w:rsidRPr="00F23B46">
        <w:t xml:space="preserve">Unsure about the proposal </w:t>
      </w:r>
    </w:p>
    <w:p w14:paraId="2511A7FA" w14:textId="70D7DF07" w:rsidR="00F569B9" w:rsidRDefault="00F569B9" w:rsidP="002E21F7">
      <w:pPr>
        <w:pStyle w:val="BodyText"/>
      </w:pPr>
      <w:r>
        <w:t xml:space="preserve">Seven submitters were unsure if reducing annual auction volume was the best way to manage the stockpile. These included Waikato Regional Council, BP New Zealand, Queenstown Lakes District Council and Vector. BP New Zealand considered more analysis was needed to determine the number of units in the registry that were ‘surplus’. One submitter suggested enforcing this by regulation, by requiring all registry holders to state how many </w:t>
      </w:r>
      <w:r w:rsidRPr="000226C1">
        <w:t xml:space="preserve">of the NZUs they </w:t>
      </w:r>
      <w:r>
        <w:t>held</w:t>
      </w:r>
      <w:r w:rsidRPr="000226C1">
        <w:t xml:space="preserve"> </w:t>
      </w:r>
      <w:r>
        <w:t>were:</w:t>
      </w:r>
      <w:r w:rsidRPr="000226C1">
        <w:t xml:space="preserve"> (1) held for future harvest liability</w:t>
      </w:r>
      <w:r>
        <w:t xml:space="preserve"> or for future surrender/ hedging</w:t>
      </w:r>
      <w:r w:rsidRPr="000226C1">
        <w:t>; and (2) speculative or unencumbered</w:t>
      </w:r>
      <w:r>
        <w:t>.</w:t>
      </w:r>
    </w:p>
    <w:p w14:paraId="3165E9C1" w14:textId="77777777" w:rsidR="00F569B9" w:rsidRPr="00F23B46" w:rsidRDefault="00F569B9" w:rsidP="00F569B9">
      <w:pPr>
        <w:pStyle w:val="Heading4"/>
      </w:pPr>
      <w:r w:rsidRPr="00F23B46">
        <w:t>Opposition towards the proposal</w:t>
      </w:r>
    </w:p>
    <w:p w14:paraId="2DC552FA" w14:textId="77777777" w:rsidR="00F569B9" w:rsidRDefault="00F569B9" w:rsidP="002E21F7">
      <w:pPr>
        <w:pStyle w:val="BodyText"/>
      </w:pPr>
      <w:r>
        <w:t xml:space="preserve">Thirty submitters said they did not agree with the proposal. Fourteen of these submitters were concerned that reducing auction volumes would contribute to NZU prices increasing, and incentivise market participants to hold onto stockpiled NZUs to sell at a later date when they were potentially worth more. These submitters were also generally concerned there was insufficient analysis, and that removal of units from auctioning should not take place until the effect on market dynamics was better understood. These submitters included </w:t>
      </w:r>
      <w:r w:rsidRPr="00BA5F9C">
        <w:t>Balance,</w:t>
      </w:r>
      <w:r>
        <w:t xml:space="preserve"> Staterra, Evonik Peroxide, Genesis Energy, Nukuhau Carbon Farms, Oji Fibre Solutions, New Zealand Steel, Dairy Companies Association of New Zealand, Business NZ and Todd Corporation.</w:t>
      </w:r>
    </w:p>
    <w:p w14:paraId="060D0DB3" w14:textId="77777777" w:rsidR="00F569B9" w:rsidRDefault="00F569B9" w:rsidP="002E21F7">
      <w:pPr>
        <w:pStyle w:val="BodyText"/>
      </w:pPr>
      <w:r>
        <w:t xml:space="preserve">Six submitters who opposed the proposal suggested alternative ways to address the stockpile. First Gas, Tailored Energy and Gas NZ suggested stockpiled NZUs should have an expiry date, while Engineers for Social Responsibility suggested the Government should buy them back for the price they were originally paid for. Lawyers for Climate Action New Zealand Incorporated presented both of these ideas as options. Wollemi Consulting took a firmer line and proposed cancelling the stockpile due to the fraudulent nature of previous international units. </w:t>
      </w:r>
    </w:p>
    <w:p w14:paraId="3DD34D71" w14:textId="77777777" w:rsidR="00F569B9" w:rsidRDefault="00F569B9" w:rsidP="002E21F7">
      <w:pPr>
        <w:pStyle w:val="BodyText"/>
      </w:pPr>
      <w:r>
        <w:lastRenderedPageBreak/>
        <w:t xml:space="preserve">The remaining seven submitters who opposed the proposal did so for a variety of reasons. NZ Carbon Farming believed the market was undersupplied and highlighted that many units in the stockpile were owned by foresters for future harvest liabilities. Another submitter considered the proposal assumed </w:t>
      </w:r>
      <w:r w:rsidRPr="002135C6">
        <w:t xml:space="preserve">those with </w:t>
      </w:r>
      <w:r>
        <w:t xml:space="preserve">surrender </w:t>
      </w:r>
      <w:r w:rsidRPr="002135C6">
        <w:t>obligati</w:t>
      </w:r>
      <w:r>
        <w:t xml:space="preserve">ons also had NZUs stockpiled. This submitter argued this was not </w:t>
      </w:r>
      <w:r w:rsidRPr="002135C6">
        <w:t xml:space="preserve">necessarily the case and </w:t>
      </w:r>
      <w:r>
        <w:t xml:space="preserve">was concerned the proposal penalised market participants </w:t>
      </w:r>
      <w:r w:rsidRPr="002135C6">
        <w:t xml:space="preserve">who </w:t>
      </w:r>
      <w:r>
        <w:t>had</w:t>
      </w:r>
      <w:r w:rsidRPr="002135C6">
        <w:t xml:space="preserve"> not been stockpiling</w:t>
      </w:r>
      <w:r>
        <w:t xml:space="preserve">. </w:t>
      </w:r>
    </w:p>
    <w:p w14:paraId="6E4EB17A" w14:textId="77777777" w:rsidR="00F569B9" w:rsidRDefault="00F569B9" w:rsidP="002E21F7">
      <w:pPr>
        <w:pStyle w:val="BodyText"/>
      </w:pPr>
      <w:r>
        <w:t xml:space="preserve">Other submitters who opposed the proposal were individuals who broadly did not support market-based measures as policies to facilitate emissions reductions, nor the concept of participants being able to profit from receiving units that were now of greater value. </w:t>
      </w:r>
    </w:p>
    <w:p w14:paraId="5BFB95D2" w14:textId="77777777" w:rsidR="00F569B9" w:rsidRPr="00726164" w:rsidRDefault="00F569B9" w:rsidP="00F569B9">
      <w:pPr>
        <w:pStyle w:val="Heading4"/>
      </w:pPr>
      <w:r w:rsidRPr="00726164">
        <w:t>Additional comments</w:t>
      </w:r>
    </w:p>
    <w:p w14:paraId="5DAF86E8" w14:textId="2493FE4A" w:rsidR="00F569B9" w:rsidRDefault="00F569B9" w:rsidP="002E21F7">
      <w:pPr>
        <w:pStyle w:val="BodyText"/>
      </w:pPr>
      <w:r>
        <w:t xml:space="preserve">Two submitters, including Compass Climate, shared concerns that </w:t>
      </w:r>
      <w:r w:rsidRPr="002B22E5">
        <w:t>extensive use of the $25</w:t>
      </w:r>
      <w:r>
        <w:t xml:space="preserve"> FPO</w:t>
      </w:r>
      <w:r w:rsidRPr="002B22E5">
        <w:t xml:space="preserve"> in 2020 and $35 option in 2021 could further increase the stockpile</w:t>
      </w:r>
      <w:r>
        <w:t xml:space="preserve">. They emphasised the Government should consider adjusting auction volumes in future depending on the extent of the use of the fixed price option. </w:t>
      </w:r>
    </w:p>
    <w:p w14:paraId="31D76885" w14:textId="77777777" w:rsidR="00F569B9" w:rsidRPr="002566FB" w:rsidRDefault="00F569B9" w:rsidP="002E21F7">
      <w:pPr>
        <w:pStyle w:val="BodyText"/>
      </w:pPr>
      <w:r>
        <w:t xml:space="preserve">In line with reasoning from industry groups who opposed the proposal, the Climate Change Commission </w:t>
      </w:r>
      <w:r w:rsidRPr="002566FB">
        <w:t>suggest</w:t>
      </w:r>
      <w:r>
        <w:t>ed</w:t>
      </w:r>
      <w:r w:rsidRPr="002566FB">
        <w:t xml:space="preserve"> consideration be given to how </w:t>
      </w:r>
      <w:r>
        <w:t>to develop a</w:t>
      </w:r>
      <w:r w:rsidRPr="002566FB">
        <w:t xml:space="preserve"> better evidence base </w:t>
      </w:r>
      <w:r>
        <w:t xml:space="preserve">on market participants’ behaviour </w:t>
      </w:r>
      <w:r w:rsidRPr="002566FB">
        <w:t>to inform these adjustments</w:t>
      </w:r>
      <w:r>
        <w:t>. It proposed</w:t>
      </w:r>
      <w:r w:rsidRPr="002566FB">
        <w:t xml:space="preserve"> market research be undertaken</w:t>
      </w:r>
      <w:r>
        <w:t xml:space="preserve">, </w:t>
      </w:r>
      <w:r w:rsidRPr="002566FB">
        <w:t xml:space="preserve">such as surveying </w:t>
      </w:r>
      <w:r>
        <w:t xml:space="preserve">unit </w:t>
      </w:r>
      <w:r w:rsidRPr="002566FB">
        <w:t xml:space="preserve">holders about their intentions, to understand </w:t>
      </w:r>
      <w:r>
        <w:t xml:space="preserve">better </w:t>
      </w:r>
      <w:r w:rsidRPr="002566FB">
        <w:t xml:space="preserve">what factors </w:t>
      </w:r>
      <w:r>
        <w:t>would</w:t>
      </w:r>
      <w:r w:rsidRPr="002566FB">
        <w:t xml:space="preserve"> drive actual stockpile reduction.</w:t>
      </w:r>
    </w:p>
    <w:p w14:paraId="2FD181EC" w14:textId="77777777" w:rsidR="00F569B9" w:rsidRDefault="00F569B9" w:rsidP="00F569B9">
      <w:pPr>
        <w:pStyle w:val="Heading3"/>
      </w:pPr>
      <w:r w:rsidRPr="002A03D6">
        <w:t>Do you agree with 27 million NZUs being removed from</w:t>
      </w:r>
      <w:r>
        <w:t xml:space="preserve"> auction volume between 2021–-25?</w:t>
      </w:r>
      <w:r w:rsidRPr="002A03D6">
        <w:t xml:space="preserve"> If not, why not?</w:t>
      </w:r>
    </w:p>
    <w:p w14:paraId="1371F8C7" w14:textId="77777777" w:rsidR="00F569B9" w:rsidRDefault="00F569B9" w:rsidP="002E21F7">
      <w:pPr>
        <w:pStyle w:val="BodyText"/>
      </w:pPr>
      <w:r>
        <w:t xml:space="preserve">Many submitters who answered this question reinforced their opposition towards the </w:t>
      </w:r>
      <w:r w:rsidRPr="00986391">
        <w:rPr>
          <w:i/>
        </w:rPr>
        <w:t>approach</w:t>
      </w:r>
      <w:r>
        <w:t xml:space="preserve"> to reducing the stockpile, rather than commenting on the proposed </w:t>
      </w:r>
      <w:r w:rsidRPr="00986391">
        <w:rPr>
          <w:i/>
        </w:rPr>
        <w:t>volume</w:t>
      </w:r>
      <w:r>
        <w:rPr>
          <w:i/>
        </w:rPr>
        <w:t xml:space="preserve"> reduction</w:t>
      </w:r>
      <w:r w:rsidRPr="00986391">
        <w:rPr>
          <w:i/>
        </w:rPr>
        <w:t xml:space="preserve"> </w:t>
      </w:r>
      <w:r>
        <w:t>specifically. Comments of this nature have been included in the previous section.</w:t>
      </w:r>
    </w:p>
    <w:p w14:paraId="1661AD0F" w14:textId="77777777" w:rsidR="00F569B9" w:rsidRPr="00642D3D" w:rsidRDefault="00F569B9" w:rsidP="002E21F7">
      <w:pPr>
        <w:pStyle w:val="BodyText"/>
      </w:pPr>
      <w:r>
        <w:t>The submissions discussed below are comments that directly related to the proposed volume of 27 million NZUs to be removed from the auction volume. These submitters either agreed with the proposed volume, thought that a greater reduction was necessary, or did not believe they were informed enough to have an opinion.</w:t>
      </w:r>
    </w:p>
    <w:p w14:paraId="3C38C5DB" w14:textId="77777777" w:rsidR="00F569B9" w:rsidRPr="00726164" w:rsidRDefault="00F569B9" w:rsidP="00F569B9">
      <w:pPr>
        <w:pStyle w:val="Heading4"/>
      </w:pPr>
      <w:r w:rsidRPr="00726164">
        <w:t>Support for the volume proposed</w:t>
      </w:r>
    </w:p>
    <w:p w14:paraId="690B3F3E" w14:textId="77777777" w:rsidR="00F569B9" w:rsidRDefault="00F569B9" w:rsidP="002E21F7">
      <w:pPr>
        <w:pStyle w:val="BodyText"/>
        <w:rPr>
          <w:rFonts w:eastAsia="Times New Roman"/>
        </w:rPr>
      </w:pPr>
      <w:r>
        <w:rPr>
          <w:rFonts w:cstheme="minorHAnsi"/>
        </w:rPr>
        <w:t xml:space="preserve">Twenty-one submitters agreed with the proposal, broadly commenting the volume seemed appropriate. These included </w:t>
      </w:r>
      <w:r w:rsidRPr="00CA0DD2">
        <w:rPr>
          <w:rFonts w:eastAsia="Times New Roman"/>
        </w:rPr>
        <w:t>Mangatu Blocks Incorporation</w:t>
      </w:r>
      <w:r>
        <w:rPr>
          <w:rFonts w:eastAsia="Times New Roman"/>
        </w:rPr>
        <w:t xml:space="preserve">, Solray Systems Limited, Envirohub Bay of Plenty, </w:t>
      </w:r>
      <w:r w:rsidRPr="00CA0DD2">
        <w:rPr>
          <w:rFonts w:eastAsia="Times New Roman"/>
        </w:rPr>
        <w:t>Carbon and Energy Professionals New Zealand</w:t>
      </w:r>
      <w:r>
        <w:rPr>
          <w:rFonts w:eastAsia="Times New Roman"/>
        </w:rPr>
        <w:t xml:space="preserve">, </w:t>
      </w:r>
      <w:r w:rsidRPr="00E225E5">
        <w:rPr>
          <w:rFonts w:eastAsia="Times New Roman"/>
        </w:rPr>
        <w:t>Forest Management Limited</w:t>
      </w:r>
      <w:r>
        <w:rPr>
          <w:rFonts w:eastAsia="Times New Roman"/>
        </w:rPr>
        <w:t xml:space="preserve">, </w:t>
      </w:r>
      <w:r w:rsidRPr="00E225E5">
        <w:rPr>
          <w:rFonts w:eastAsia="Times New Roman"/>
        </w:rPr>
        <w:t>Trustpower</w:t>
      </w:r>
      <w:r>
        <w:rPr>
          <w:rFonts w:eastAsia="Times New Roman"/>
        </w:rPr>
        <w:t xml:space="preserve">, New Zealand Wind Energy Association, Meridian, </w:t>
      </w:r>
      <w:r w:rsidRPr="00E225E5">
        <w:rPr>
          <w:rFonts w:eastAsia="Times New Roman"/>
        </w:rPr>
        <w:t>Sustainable Business Network</w:t>
      </w:r>
      <w:r>
        <w:rPr>
          <w:rFonts w:eastAsia="Times New Roman"/>
        </w:rPr>
        <w:t xml:space="preserve">, </w:t>
      </w:r>
      <w:r w:rsidRPr="00E225E5">
        <w:rPr>
          <w:rFonts w:eastAsia="Times New Roman"/>
        </w:rPr>
        <w:t>Te Awahohonu Forest Trust</w:t>
      </w:r>
      <w:r>
        <w:rPr>
          <w:rFonts w:eastAsia="Times New Roman"/>
        </w:rPr>
        <w:t xml:space="preserve"> and Nelson Forests Limited.</w:t>
      </w:r>
    </w:p>
    <w:p w14:paraId="6F8621CF" w14:textId="77777777" w:rsidR="00F569B9" w:rsidRPr="00726164" w:rsidRDefault="00F569B9" w:rsidP="00F569B9">
      <w:pPr>
        <w:pStyle w:val="Heading4"/>
        <w:rPr>
          <w:rFonts w:eastAsia="Times New Roman"/>
        </w:rPr>
      </w:pPr>
      <w:r w:rsidRPr="00726164">
        <w:rPr>
          <w:rFonts w:eastAsia="Times New Roman"/>
        </w:rPr>
        <w:t>Opposition towards the proposal</w:t>
      </w:r>
    </w:p>
    <w:p w14:paraId="07CBFECF" w14:textId="77777777" w:rsidR="00F569B9" w:rsidRDefault="00F569B9" w:rsidP="002E21F7">
      <w:pPr>
        <w:pStyle w:val="BodyText"/>
      </w:pPr>
      <w:r>
        <w:t>Carbon Farm Limited and Environment Conservation Organisations of New Zealand Incorporated argued for a greater reduction in auction volume to sufficiently reduce the stockpile.</w:t>
      </w:r>
    </w:p>
    <w:p w14:paraId="37FB0160" w14:textId="77777777" w:rsidR="00F569B9" w:rsidRPr="00726164" w:rsidRDefault="00F569B9" w:rsidP="00F569B9">
      <w:pPr>
        <w:pStyle w:val="Heading4"/>
      </w:pPr>
      <w:r w:rsidRPr="00726164">
        <w:lastRenderedPageBreak/>
        <w:t>Unsure about the proposal</w:t>
      </w:r>
    </w:p>
    <w:p w14:paraId="33707FDD" w14:textId="77777777" w:rsidR="00F569B9" w:rsidRDefault="00F569B9" w:rsidP="002E21F7">
      <w:pPr>
        <w:pStyle w:val="BodyText"/>
      </w:pPr>
      <w:r>
        <w:t xml:space="preserve">Eleven submitters, mostly individuals, were unsure about the proposal. Their reasons for this generally were the difficulty in judging an appropriate volume and not having access to appropriate analysis to make an informed opinion. </w:t>
      </w:r>
    </w:p>
    <w:p w14:paraId="6D2AF2E3" w14:textId="77777777" w:rsidR="00D57D39" w:rsidRDefault="00D57D39" w:rsidP="00D57D39">
      <w:pPr>
        <w:pStyle w:val="Heading2"/>
      </w:pPr>
      <w:bookmarkStart w:id="14" w:name="_Toc40703430"/>
      <w:r>
        <w:t>Steps and calculations to reach the final annual auction volumes</w:t>
      </w:r>
      <w:bookmarkEnd w:id="14"/>
    </w:p>
    <w:p w14:paraId="23B4DE1C" w14:textId="77777777" w:rsidR="00D57D39" w:rsidRPr="00905514" w:rsidRDefault="00D57D39" w:rsidP="00D57D39">
      <w:pPr>
        <w:pStyle w:val="Heading3"/>
      </w:pPr>
      <w:r>
        <w:t xml:space="preserve">Do you agree with the steps and calculations taken to reach the proposed annual auction volumes? Do you support the proposal to auction 80 million NZUs over the 2021–25 period plus 2 million NZUs for auctioning trial in 2020? </w:t>
      </w:r>
    </w:p>
    <w:p w14:paraId="6CB9A485" w14:textId="77777777" w:rsidR="00D57D39" w:rsidRDefault="00D57D39" w:rsidP="00D57D39">
      <w:pPr>
        <w:pStyle w:val="BodyText"/>
      </w:pPr>
      <w:r>
        <w:t xml:space="preserve">The final annual auction volumes proposed in the unit supply settings section of the consultation document are principally based on a simple calculation at the end of a series of steps with their own specific policy proposals. Therefore, when people said they disagreed with the steps or final volumes, they were usually disagreeing with the previous proposals relating to the overall provisional budget volume, rather than the step methodology itself. The types of disagreements that emerged for this question related to the methodology for reducing the stockpile, the level of industrial allocation and whether or not agriculture was in the NZ ETS. </w:t>
      </w:r>
    </w:p>
    <w:p w14:paraId="28E9860B" w14:textId="77777777" w:rsidR="00D57D39" w:rsidRPr="006F3319" w:rsidRDefault="00D57D39" w:rsidP="00D57D39">
      <w:pPr>
        <w:pStyle w:val="Heading4"/>
      </w:pPr>
      <w:r>
        <w:t>Agree with the steps taken to reach the final volumes</w:t>
      </w:r>
    </w:p>
    <w:p w14:paraId="21C81410" w14:textId="77777777" w:rsidR="00D57D39" w:rsidRDefault="00D57D39" w:rsidP="00D57D39">
      <w:pPr>
        <w:pStyle w:val="BodyText"/>
      </w:pPr>
      <w:r>
        <w:t xml:space="preserve">Twenty-five submitters agreed in principle with the steps taken, generally saying they were logical and the overall methodology seemed sound. Those agreeing with the steps proposed included Sustainable Business Network, Bathurst Resources, Todd Corp, NZ Steel, Vector, Meridian, Balance and Evonik Peroxide. </w:t>
      </w:r>
    </w:p>
    <w:p w14:paraId="13B668E8" w14:textId="77777777" w:rsidR="00D57D39" w:rsidRDefault="00D57D39" w:rsidP="00D57D39">
      <w:pPr>
        <w:pStyle w:val="BodyText"/>
      </w:pPr>
      <w:r>
        <w:t xml:space="preserve">One submitter said the approach seemed sound but “too simplistic”, however they did not provide specific additional recommendations. </w:t>
      </w:r>
    </w:p>
    <w:p w14:paraId="57E33D82" w14:textId="77777777" w:rsidR="00D57D39" w:rsidRDefault="00D57D39" w:rsidP="00D57D39">
      <w:pPr>
        <w:pStyle w:val="Heading4"/>
      </w:pPr>
      <w:r>
        <w:t>Disagreed with the steps taken to reach the final volumes</w:t>
      </w:r>
    </w:p>
    <w:p w14:paraId="43BB8B07" w14:textId="77777777" w:rsidR="00D57D39" w:rsidRDefault="00D57D39" w:rsidP="00D57D39">
      <w:pPr>
        <w:pStyle w:val="BodyText"/>
      </w:pPr>
      <w:r>
        <w:t xml:space="preserve">Business NZ said it disagreed with the calculation used to reach the proposed auction volumes. This was due to insufficient analysis on the impacts of withholding units, and incomplete assessment of appropriate free allocation volumes, which had been determined in isolation from other proposed allocative changes. </w:t>
      </w:r>
    </w:p>
    <w:p w14:paraId="0CD16D7A" w14:textId="77777777" w:rsidR="00D57D39" w:rsidRDefault="00D57D39" w:rsidP="00D57D39">
      <w:pPr>
        <w:pStyle w:val="BodyText"/>
      </w:pPr>
      <w:r w:rsidRPr="00207274">
        <w:t>Dairy Companies Association of New Zealand</w:t>
      </w:r>
      <w:r>
        <w:t xml:space="preserve"> (DCANZ) also said it did not agree with the steps and calculations taken. However, this was predominantly based on its opinions about the release of stockpiled NZUs onto the market and the extended use of the fixed price option. </w:t>
      </w:r>
    </w:p>
    <w:p w14:paraId="5961A44E" w14:textId="77777777" w:rsidR="00D57D39" w:rsidRDefault="00D57D39" w:rsidP="00D57D39">
      <w:pPr>
        <w:pStyle w:val="BodyText"/>
      </w:pPr>
      <w:r>
        <w:t xml:space="preserve">Compass Climate commented that until policies were implemented to allow for use of international units or a major scale-up of emissions reductions in non-ETS sectors, units should not be auctioned that would put New Zealand on track to not comply with the Nationally Determined Contribution. </w:t>
      </w:r>
    </w:p>
    <w:p w14:paraId="11E92D04" w14:textId="77777777" w:rsidR="00D57D39" w:rsidRPr="002E6A2A" w:rsidRDefault="00D57D39" w:rsidP="00404050">
      <w:pPr>
        <w:pStyle w:val="BodyText"/>
      </w:pPr>
      <w:r>
        <w:lastRenderedPageBreak/>
        <w:t xml:space="preserve">Tailored Energy Solutions believed the method was too restrictive and subject to manipulation, and Oji Fibre believed the method required NZ ETS participants to take too much of the burden of reducing emissions. </w:t>
      </w:r>
    </w:p>
    <w:p w14:paraId="39709C6A" w14:textId="77777777" w:rsidR="00D57D39" w:rsidRPr="00DC1526" w:rsidRDefault="00D57D39" w:rsidP="00D57D39">
      <w:pPr>
        <w:pStyle w:val="Heading4"/>
      </w:pPr>
      <w:r>
        <w:t>Comments on t</w:t>
      </w:r>
      <w:r w:rsidRPr="00DC1526">
        <w:t>rial auction</w:t>
      </w:r>
    </w:p>
    <w:p w14:paraId="302D5D8F" w14:textId="77777777" w:rsidR="00D57D39" w:rsidRDefault="00D57D39" w:rsidP="00404050">
      <w:pPr>
        <w:pStyle w:val="BodyText"/>
      </w:pPr>
      <w:r>
        <w:t xml:space="preserve">The consultation document proposed a trial auction of 2 million NZUs at the end of 2020. However, it is now highly unlikely this will be able to occur due to timeframe limitations around auctioning. </w:t>
      </w:r>
    </w:p>
    <w:p w14:paraId="576B02A0" w14:textId="77777777" w:rsidR="00D57D39" w:rsidRDefault="00D57D39" w:rsidP="00404050">
      <w:pPr>
        <w:pStyle w:val="BodyText"/>
      </w:pPr>
      <w:r>
        <w:t xml:space="preserve">Opinions were mixed about the trial auction. Some submitters, including NZX, said they did not support the trial auction because it added additional complexity and was just adding an additional 2 million units to the market from outside of a budget. Compass Climate commented if there was a trial volume in 2020, the volume should be deducted from the future budget. </w:t>
      </w:r>
    </w:p>
    <w:p w14:paraId="3F509F7F" w14:textId="77777777" w:rsidR="00D57D39" w:rsidRPr="001D3094" w:rsidRDefault="00D57D39" w:rsidP="00404050">
      <w:pPr>
        <w:pStyle w:val="BodyText"/>
        <w:rPr>
          <w:b/>
        </w:rPr>
      </w:pPr>
      <w:r>
        <w:t xml:space="preserve">Enviro NZ believed auction volumes should be higher in the trial. Todd Corporation, DCANZ, Carbon Energy Professionals, NZ Steel and Gas NZ supported the trial auction. </w:t>
      </w:r>
    </w:p>
    <w:p w14:paraId="1303B025" w14:textId="77777777" w:rsidR="00D57D39" w:rsidRDefault="00D57D39" w:rsidP="00D57D39">
      <w:pPr>
        <w:pStyle w:val="Heading2"/>
      </w:pPr>
      <w:bookmarkStart w:id="15" w:name="_Toc40703431"/>
      <w:r>
        <w:t>Price floor</w:t>
      </w:r>
      <w:bookmarkEnd w:id="15"/>
    </w:p>
    <w:p w14:paraId="0F89293A" w14:textId="77777777" w:rsidR="00D57D39" w:rsidRDefault="00D57D39" w:rsidP="00D57D39">
      <w:pPr>
        <w:pStyle w:val="Heading3"/>
      </w:pPr>
      <w:r>
        <w:t>Do you agree with the proposal to set an auction reserve price floor at $20 for the period 2020–25? If not, why not?</w:t>
      </w:r>
    </w:p>
    <w:p w14:paraId="1BFF48E0" w14:textId="77777777" w:rsidR="00D57D39" w:rsidRDefault="00D57D39" w:rsidP="00D57D39">
      <w:pPr>
        <w:pStyle w:val="BodyText"/>
      </w:pPr>
      <w:r>
        <w:t xml:space="preserve">Submitters’ opinions on the price floor fell broadly into four categories. The largest proportion of submitters were unsure and had no substantial comments. Among those that had an opinion, most were in favour of a price floor, however, only half of these thought $20 was a reasonable price floor. A small number of submitters were against the idea of a price floor for a few different reasons. </w:t>
      </w:r>
    </w:p>
    <w:p w14:paraId="2B9B72B2" w14:textId="77777777" w:rsidR="00D57D39" w:rsidRPr="00726164" w:rsidRDefault="00D57D39" w:rsidP="00D57D39">
      <w:pPr>
        <w:pStyle w:val="Heading4"/>
      </w:pPr>
      <w:r w:rsidRPr="00726164">
        <w:t xml:space="preserve">Support </w:t>
      </w:r>
      <w:r>
        <w:t xml:space="preserve">for </w:t>
      </w:r>
      <w:r w:rsidRPr="00726164">
        <w:t>a $20 price floor</w:t>
      </w:r>
      <w:r>
        <w:t xml:space="preserve"> </w:t>
      </w:r>
    </w:p>
    <w:p w14:paraId="058BEEC9" w14:textId="77777777" w:rsidR="00D57D39" w:rsidRDefault="00D57D39" w:rsidP="00D57D39">
      <w:pPr>
        <w:pStyle w:val="BodyText"/>
      </w:pPr>
      <w:r>
        <w:t>Of the total 133 submitters, 37 responded they were in favour of a price floor at $20. Among these were EnviroNZ, Fonterra, Federated Farmers, BP New Zealand, NZ Carbon Farming, Fletcher Building, Vector, Sustainable Business Network, Oji Fibre Solutions, Te Awahohonu Forest Trust and Westland Milk Products. Submitters’ main reason for supporting the $20 price floor was the business certainty a minimum value provided for foresters and emitters. Some submitters suggested if credible international units became available at a lower price (and New Zealand was not allowed access to such units), the price floor should be reviewed. In this group, two submitters suggested the price floor should start at $20 and then go up in increments over time.</w:t>
      </w:r>
    </w:p>
    <w:p w14:paraId="64543982" w14:textId="77777777" w:rsidR="00D57D39" w:rsidRPr="00726164" w:rsidRDefault="00D57D39" w:rsidP="00D57D39">
      <w:pPr>
        <w:pStyle w:val="Heading4"/>
      </w:pPr>
      <w:r w:rsidRPr="00726164">
        <w:t xml:space="preserve"> Price floor should be higher</w:t>
      </w:r>
    </w:p>
    <w:p w14:paraId="0E2F1BAD" w14:textId="77777777" w:rsidR="00D57D39" w:rsidRDefault="00D57D39" w:rsidP="00D57D39">
      <w:pPr>
        <w:pStyle w:val="BodyText"/>
      </w:pPr>
      <w:r>
        <w:t xml:space="preserve">This group of 34 submitters mainly supported the concept of a price floor but had strong opinions about the $20 price. Most thought a $20 floor was not high enough to have any real impact, including 10 individual submitters. They questioned whether this was a realistic cost of emission reductions. In general, their concern was that the cost to business of reducing emissions was considered, but the cost of actual removals and the social cost of carbon was not. </w:t>
      </w:r>
    </w:p>
    <w:p w14:paraId="40458175" w14:textId="77777777" w:rsidR="00D57D39" w:rsidRDefault="00D57D39" w:rsidP="00D57D39">
      <w:pPr>
        <w:pStyle w:val="BodyText"/>
      </w:pPr>
      <w:r>
        <w:lastRenderedPageBreak/>
        <w:t>Some submitters said $25 would be a more realistic price, matching the fixed price option while other preferences ranged from $30 to $50 up to $155. Aigis Forestry Limited, Ecotricity, Wollemi Consulting Limited and Zero Carbon Nelson Tasman were among submitters supporting between the $30 to $50 price floor. Engineers for Social Responsibility submitted in favour of the higher end of the price spectrum.</w:t>
      </w:r>
    </w:p>
    <w:p w14:paraId="45843587" w14:textId="77777777" w:rsidR="00D57D39" w:rsidRDefault="00D57D39" w:rsidP="00D57D39">
      <w:pPr>
        <w:pStyle w:val="BodyText"/>
      </w:pPr>
      <w:r>
        <w:t>Multiple submitters thought the price floor should increase over time, with suggestions for increments from $2 and $5 to $25 per year. These suggestions were made by Compass Climate, Environment and Conservation Organisations of NZ and Engineers for Social Responsibility, respectively.</w:t>
      </w:r>
    </w:p>
    <w:p w14:paraId="7C065594" w14:textId="3FD0FDE7" w:rsidR="00D57D39" w:rsidRDefault="00D57D39" w:rsidP="00D57D39">
      <w:pPr>
        <w:pStyle w:val="BodyText"/>
      </w:pPr>
      <w:r>
        <w:t xml:space="preserve">Bathurst Resources and Evonik Peroxide were among submitters </w:t>
      </w:r>
      <w:r w:rsidR="009E3DE9">
        <w:t>who</w:t>
      </w:r>
      <w:r>
        <w:t xml:space="preserve"> supported a price floor mechanism but not $20, saying there was not enough evidence for the $20 price and it seemed arbitrary. </w:t>
      </w:r>
    </w:p>
    <w:p w14:paraId="1A0E114B" w14:textId="77777777" w:rsidR="00D57D39" w:rsidRPr="00726164" w:rsidRDefault="00D57D39" w:rsidP="00D57D39">
      <w:pPr>
        <w:pStyle w:val="Heading4"/>
      </w:pPr>
      <w:r>
        <w:t xml:space="preserve">Opposition </w:t>
      </w:r>
      <w:r w:rsidRPr="00726164">
        <w:t>t</w:t>
      </w:r>
      <w:r>
        <w:t>owards</w:t>
      </w:r>
      <w:r w:rsidRPr="00726164">
        <w:t xml:space="preserve"> a price floor </w:t>
      </w:r>
    </w:p>
    <w:p w14:paraId="28BA2DE8" w14:textId="77777777" w:rsidR="00D57D39" w:rsidRDefault="00D57D39" w:rsidP="00D57D39">
      <w:pPr>
        <w:pStyle w:val="BodyText"/>
      </w:pPr>
      <w:r>
        <w:t xml:space="preserve">Only 17 of the 133 submitters were entirely against this proposal. The reasons for opposing the price floor varied. </w:t>
      </w:r>
    </w:p>
    <w:p w14:paraId="097FF7F3" w14:textId="77777777" w:rsidR="00D57D39" w:rsidRDefault="00D57D39" w:rsidP="00D57D39">
      <w:pPr>
        <w:pStyle w:val="BodyText"/>
      </w:pPr>
      <w:r>
        <w:t xml:space="preserve">Tailored Energy Solutions Ltd, J S Ewers Limited and Todd Corporation believed a free market should not have price controls, and that the price would regulate itself. Business NZ and NZX&amp;EEX, among others, favoured a confidential technical reserve price instead of a public price floor. </w:t>
      </w:r>
    </w:p>
    <w:p w14:paraId="0D57D084" w14:textId="77777777" w:rsidR="00D57D39" w:rsidRDefault="00D57D39" w:rsidP="00D57D39">
      <w:pPr>
        <w:pStyle w:val="Heading2"/>
      </w:pPr>
      <w:bookmarkStart w:id="16" w:name="_Toc40703432"/>
      <w:r>
        <w:t>The fixed price option</w:t>
      </w:r>
      <w:bookmarkEnd w:id="16"/>
      <w:r>
        <w:t xml:space="preserve"> </w:t>
      </w:r>
    </w:p>
    <w:p w14:paraId="7CE70402" w14:textId="77777777" w:rsidR="00D57D39" w:rsidRDefault="00D57D39" w:rsidP="00D57D39">
      <w:pPr>
        <w:pStyle w:val="Heading3"/>
      </w:pPr>
      <w:r>
        <w:t>Do you agree with the proposal to increase the fixed price option to $35 for obligations arising from activities over 2020?</w:t>
      </w:r>
    </w:p>
    <w:p w14:paraId="4591B970" w14:textId="77777777" w:rsidR="00D57D39" w:rsidRDefault="00D57D39" w:rsidP="00D57D39">
      <w:pPr>
        <w:pStyle w:val="BodyText"/>
      </w:pPr>
      <w:r>
        <w:t>Submitters held a range of opinions on the proposal to increase the fixed price option to $35 for obligations arising from activities during 2020. Submitters’ responses were complex, and could not usually be categorised as simply supporting or opposing the proposal. However, several themes clearly emerged.</w:t>
      </w:r>
    </w:p>
    <w:p w14:paraId="0283C925" w14:textId="77777777" w:rsidR="00D57D39" w:rsidRPr="00BE47A5" w:rsidRDefault="00D57D39" w:rsidP="00D57D39">
      <w:pPr>
        <w:pStyle w:val="Heading4"/>
      </w:pPr>
      <w:r>
        <w:t>Fixed price option</w:t>
      </w:r>
      <w:r w:rsidRPr="001D619C">
        <w:t xml:space="preserve"> should be higher</w:t>
      </w:r>
      <w:r w:rsidRPr="00BE47A5">
        <w:t xml:space="preserve"> </w:t>
      </w:r>
    </w:p>
    <w:p w14:paraId="14C8408C" w14:textId="77777777" w:rsidR="00D57D39" w:rsidRDefault="00D57D39" w:rsidP="00D57D39">
      <w:pPr>
        <w:pStyle w:val="BodyText"/>
      </w:pPr>
      <w:r>
        <w:t xml:space="preserve">The largest proportion of submitters who commented on the fixed price option believed its price should be higher. This opinion was held by 26 submitters including the Climate Change Commission, Citizens’ Climate Lobby New Zealand, </w:t>
      </w:r>
      <w:r w:rsidRPr="0049407B">
        <w:rPr>
          <w:rFonts w:eastAsia="Times New Roman" w:cs="Calibri"/>
          <w:color w:val="000000"/>
        </w:rPr>
        <w:t>Environment and Conservation Organisations of NZ</w:t>
      </w:r>
      <w:r>
        <w:t xml:space="preserve">, Lawyers for Climate Action New Zealand, New Zealand Carbon Farming, New Zealand Wind Energy Association, Pan Pac Forest Products Limited and Zero Carbon Nelson Tasman. </w:t>
      </w:r>
    </w:p>
    <w:p w14:paraId="616105DD" w14:textId="77777777" w:rsidR="00D57D39" w:rsidRDefault="00D57D39" w:rsidP="00D57D39">
      <w:pPr>
        <w:pStyle w:val="BodyText"/>
      </w:pPr>
      <w:r>
        <w:t xml:space="preserve">One main driver of this opinion was the belief NZU prices needed to rise significantly to drive greenhouse gas abatement and investment in low-emissions technology. Another point commonly discussed was the $35 fixed price option combined with the $50 cost containment reserve trigger price, would lead to expectations of NZU prices rising and, in turn, many participants choosing to use the fixed price option  for 2020 surrender obligations. As noted by many submitters including the Climate Change Commission, this risked the stockpile increasing </w:t>
      </w:r>
      <w:r>
        <w:lastRenderedPageBreak/>
        <w:t xml:space="preserve">as a result, through free allocation and units granted for forestry removals. The Climate Change Commission recommended that setting the fixed price option for 2020 emissions “at a higher level that is closer to the cost containment reserve trigger price” would help mitigate this impact. </w:t>
      </w:r>
    </w:p>
    <w:p w14:paraId="622AD94F" w14:textId="77777777" w:rsidR="00D57D39" w:rsidRPr="00BE47A5" w:rsidRDefault="00D57D39" w:rsidP="00D57D39">
      <w:pPr>
        <w:pStyle w:val="Heading4"/>
      </w:pPr>
      <w:r w:rsidRPr="00BE47A5">
        <w:t xml:space="preserve">General support for </w:t>
      </w:r>
      <w:r>
        <w:t>fixed price option</w:t>
      </w:r>
      <w:r w:rsidRPr="00BE47A5">
        <w:t xml:space="preserve"> proposal</w:t>
      </w:r>
    </w:p>
    <w:p w14:paraId="20DF865D" w14:textId="77777777" w:rsidR="00D57D39" w:rsidRDefault="00D57D39" w:rsidP="00D57D39">
      <w:pPr>
        <w:pStyle w:val="BodyText"/>
      </w:pPr>
      <w:r>
        <w:t xml:space="preserve">Twenty-three submitters showed general support for the proposal to increase the fixed price option to $35 for obligations arising from activities over 2020. Seven of these submitters highlighted the merit of the proposal as a transitionary measure that would provide predictability about the direction of change as well as time to adjust. These submitters included Carbon and Energy Professionals New Zealand, Trustpower, NZX Limited &amp; European Energy Exchange AG, Vector, Oji Fibre Solutions and </w:t>
      </w:r>
      <w:r w:rsidRPr="0049297E">
        <w:t>Tāne’s Tree Trust</w:t>
      </w:r>
      <w:r>
        <w:t>.</w:t>
      </w:r>
    </w:p>
    <w:p w14:paraId="3A326F62" w14:textId="77777777" w:rsidR="00D57D39" w:rsidRPr="00BE47A5" w:rsidRDefault="00D57D39" w:rsidP="00D57D39">
      <w:pPr>
        <w:pStyle w:val="Heading4"/>
      </w:pPr>
      <w:r w:rsidRPr="00BE47A5">
        <w:t xml:space="preserve">Opposition towards </w:t>
      </w:r>
      <w:r>
        <w:t>increase in fixed price option price and timing of changes</w:t>
      </w:r>
    </w:p>
    <w:p w14:paraId="3BE7D506" w14:textId="77777777" w:rsidR="00D57D39" w:rsidRDefault="00D57D39" w:rsidP="00D57D39">
      <w:pPr>
        <w:pStyle w:val="BodyText"/>
      </w:pPr>
      <w:r>
        <w:t>Two main themes emerged from submitters who strongly opposed the proposal: a general opposition towards NZU prices increasing, and a belief the proposal was retrospective and subsequently unreasonable.</w:t>
      </w:r>
    </w:p>
    <w:p w14:paraId="47E41987" w14:textId="77777777" w:rsidR="00D57D39" w:rsidRDefault="00D57D39" w:rsidP="00D57D39">
      <w:pPr>
        <w:pStyle w:val="BodyText"/>
      </w:pPr>
      <w:r>
        <w:t xml:space="preserve">Eight submitters opposed the fixed price option proposal due to a general opposition towards NZU prices increasing and the impacts this would have. Tailored Energy Solutions argued local manufacturing already had financial burdens that offshore competitors did not face, and therefore believed increasing NZU prices would drive emissions leakage. Genesis discussed the impacts that a 40 per cent increase in the fixed price option would have on electricity prices and costs of production, while Gisborne District Council was concerned about the impacts of passed down costs on low socio-economic households. </w:t>
      </w:r>
    </w:p>
    <w:p w14:paraId="14B41B6C" w14:textId="77777777" w:rsidR="00D57D39" w:rsidRPr="005C4583" w:rsidRDefault="00D57D39" w:rsidP="00D57D39">
      <w:pPr>
        <w:pStyle w:val="BodyText"/>
      </w:pPr>
      <w:r>
        <w:t xml:space="preserve">Seven submitters, including EnviroNZ, Mobil Oil, Petroleum Exploration and Production New Zealand, Realcold NZ and Todd Corporation, thought it was unreasonable to increase the fixed price option to $35 for surrender obligations in 2021 for emissions produced in 2020. These industry submitters described the fixed price option proposal as retrospective or retroactive, and were concerned this would undermine the forward-looking cost certainty the fixed price option sought to facilitate. Submitters opposing the proposal for this reason highlighted it was not the price increase they opposed but the lack of price certainty it might bring. </w:t>
      </w:r>
    </w:p>
    <w:p w14:paraId="5C8CCDBB" w14:textId="77777777" w:rsidR="00D57D39" w:rsidRDefault="00D57D39" w:rsidP="00D57D39">
      <w:pPr>
        <w:pStyle w:val="Heading4"/>
      </w:pPr>
      <w:r>
        <w:t>Unsure</w:t>
      </w:r>
    </w:p>
    <w:p w14:paraId="20BD746C" w14:textId="77777777" w:rsidR="00D57D39" w:rsidRDefault="00D57D39" w:rsidP="00D57D39">
      <w:pPr>
        <w:pStyle w:val="BodyText"/>
      </w:pPr>
      <w:r>
        <w:t xml:space="preserve">Ten individual submitters said they were unsure if they supported the proposal. Reasons for their uncertainty varied, from concern about the fixed price option’s extension mitigating the Government’s efforts to reduce the NZU stockpile, to general support for extending the fixed price option but concern that $35 as a midpoint between $20 and $50 was an arbitrary price that might not be the best option. </w:t>
      </w:r>
    </w:p>
    <w:p w14:paraId="1F2825E2" w14:textId="77777777" w:rsidR="00D57D39" w:rsidRDefault="00D57D39" w:rsidP="00D57D39">
      <w:pPr>
        <w:pStyle w:val="Heading2"/>
      </w:pPr>
      <w:bookmarkStart w:id="17" w:name="_Toc40703433"/>
      <w:r>
        <w:lastRenderedPageBreak/>
        <w:t>Cost containment reserve trigger price</w:t>
      </w:r>
      <w:bookmarkEnd w:id="17"/>
    </w:p>
    <w:p w14:paraId="62420FFD" w14:textId="77777777" w:rsidR="00D57D39" w:rsidRDefault="00D57D39" w:rsidP="00D57D39">
      <w:pPr>
        <w:pStyle w:val="Heading3"/>
      </w:pPr>
      <w:r w:rsidRPr="006A69BF">
        <w:t>Do you agree with the proposal to set the price ceiling trigger of the cost containment reserve at $50 for the 2020–25 period? If not, why not?</w:t>
      </w:r>
    </w:p>
    <w:p w14:paraId="1B6C424A" w14:textId="77777777" w:rsidR="00D57D39" w:rsidRPr="005B6023" w:rsidRDefault="00D57D39" w:rsidP="00D57D39">
      <w:pPr>
        <w:pStyle w:val="BodyText"/>
      </w:pPr>
      <w:r>
        <w:t>In-principle support for a price ceiling trigger was high, with the largest number of submitters believing the price should be increased above the proposed rate. Only a small number of submitters believed the price was too high, with most concerns about this mechanism relating to how the price of $50 was reached as the proposed price.</w:t>
      </w:r>
    </w:p>
    <w:p w14:paraId="2337E182" w14:textId="77777777" w:rsidR="00D57D39" w:rsidRPr="00A1438B" w:rsidRDefault="00D57D39" w:rsidP="00D57D39">
      <w:pPr>
        <w:pStyle w:val="Heading4"/>
      </w:pPr>
      <w:r w:rsidRPr="00A1438B">
        <w:t>Price ce</w:t>
      </w:r>
      <w:r>
        <w:t>i</w:t>
      </w:r>
      <w:r w:rsidRPr="00A1438B">
        <w:t>ling trigger should be higher</w:t>
      </w:r>
    </w:p>
    <w:p w14:paraId="31D2FCCA" w14:textId="77777777" w:rsidR="00D57D39" w:rsidRDefault="00D57D39" w:rsidP="00D57D39">
      <w:pPr>
        <w:pStyle w:val="BodyText"/>
        <w:rPr>
          <w:rFonts w:eastAsia="Times New Roman" w:cs="Calibri"/>
          <w:color w:val="000000"/>
        </w:rPr>
      </w:pPr>
      <w:r>
        <w:t xml:space="preserve">The greatest proportion of submitters responding to this question argued the price ceiling trigger of the cost containment reserve should be higher than the proposed level of $50. Thirty-one submitters held this opinion including: 16 individual submissions, Carbon and Energy Professionals New Zealand, Citizens’ Climate Lobby New Zealand, Compass Climate, Contact Energy, Envirohub Bay of Plenty, </w:t>
      </w:r>
      <w:r w:rsidRPr="00461625">
        <w:rPr>
          <w:rFonts w:eastAsia="Times New Roman" w:cs="Calibri"/>
          <w:color w:val="000000"/>
        </w:rPr>
        <w:t>Engineers for Social Responsibility</w:t>
      </w:r>
      <w:r>
        <w:rPr>
          <w:rFonts w:eastAsia="Times New Roman" w:cs="Calibri"/>
          <w:color w:val="000000"/>
        </w:rPr>
        <w:t>,</w:t>
      </w:r>
      <w:r w:rsidRPr="000E78B0">
        <w:rPr>
          <w:rFonts w:eastAsia="Times New Roman" w:cs="Calibri"/>
          <w:color w:val="000000"/>
        </w:rPr>
        <w:t xml:space="preserve"> </w:t>
      </w:r>
      <w:r w:rsidRPr="0049407B">
        <w:rPr>
          <w:rFonts w:eastAsia="Times New Roman" w:cs="Calibri"/>
          <w:color w:val="000000"/>
        </w:rPr>
        <w:t>Environment and Conservation Organisations of NZ</w:t>
      </w:r>
      <w:r>
        <w:t>,</w:t>
      </w:r>
      <w:r w:rsidRPr="00EF2335">
        <w:t xml:space="preserve"> </w:t>
      </w:r>
      <w:r>
        <w:t xml:space="preserve">Lawyers for Climate Action New Zealand, New Zealand Wind Energy Association, Mercury, Nelson Forests Limited, Pioneer Energy, the Sustainable Business Network, </w:t>
      </w:r>
      <w:r w:rsidRPr="00461625">
        <w:rPr>
          <w:rFonts w:eastAsia="Times New Roman" w:cs="Calibri"/>
          <w:color w:val="000000"/>
        </w:rPr>
        <w:t>Toitū Envirocare</w:t>
      </w:r>
      <w:r>
        <w:rPr>
          <w:rFonts w:cs="Calibri"/>
          <w:color w:val="000000"/>
        </w:rPr>
        <w:t xml:space="preserve"> and </w:t>
      </w:r>
      <w:r>
        <w:rPr>
          <w:rFonts w:eastAsia="Times New Roman" w:cs="Calibri"/>
          <w:color w:val="000000"/>
        </w:rPr>
        <w:t xml:space="preserve">Zero Carbon Tasman New Zealand. </w:t>
      </w:r>
    </w:p>
    <w:p w14:paraId="06388C94" w14:textId="77777777" w:rsidR="00D57D39" w:rsidRDefault="00D57D39" w:rsidP="00D57D39">
      <w:pPr>
        <w:pStyle w:val="BodyText"/>
        <w:rPr>
          <w:rFonts w:eastAsia="Times New Roman" w:cs="Calibri"/>
          <w:color w:val="000000"/>
        </w:rPr>
      </w:pPr>
      <w:r>
        <w:rPr>
          <w:rFonts w:eastAsia="Times New Roman" w:cs="Calibri"/>
          <w:color w:val="000000"/>
        </w:rPr>
        <w:t xml:space="preserve">Many submitters argued the price on emissions needed to increase considerably to adequately incentivise low-emissions investment decisions. Trustpower believed the proposed price of $50 was well within the expected cost of emission abatement and would not be sufficient to incentivise the necessary market behaviour. It believed hitting the $50 ceiling price trigger would dampen NZU prices relative to international trends and could risk muting domestic emission reduction projects. Other submitters’ suggestions for a higher price ceiling trigger ranged from $70 to $100 (Contact, Nelson Forests, Solray Systems, Zero Carbon Nelson). </w:t>
      </w:r>
    </w:p>
    <w:p w14:paraId="4275D046" w14:textId="77777777" w:rsidR="00D57D39" w:rsidRPr="00461625" w:rsidRDefault="00D57D39" w:rsidP="00D57D39">
      <w:pPr>
        <w:pStyle w:val="BodyText"/>
        <w:rPr>
          <w:rFonts w:eastAsia="Times New Roman" w:cs="Calibri"/>
          <w:color w:val="000000"/>
        </w:rPr>
      </w:pPr>
      <w:r>
        <w:rPr>
          <w:rFonts w:eastAsia="Times New Roman" w:cs="Calibri"/>
          <w:color w:val="000000"/>
        </w:rPr>
        <w:t xml:space="preserve">Other submitters, such as Contact Energy and Nelson Forests Limited, discussed international market trends and the likelihood of emissions prices rising significantly in the coming years and quickly reaching the proposed trigger price. Many submitters noted the intent of the price ceiling trigger for the cost containment reserve was to be set outside of the expected emissions price path, and disagreed that $50 was sufficiently out of reach. </w:t>
      </w:r>
    </w:p>
    <w:p w14:paraId="3CC3E459" w14:textId="77777777" w:rsidR="00D57D39" w:rsidRDefault="00D57D39" w:rsidP="00D57D39">
      <w:pPr>
        <w:pStyle w:val="Heading4"/>
      </w:pPr>
      <w:r w:rsidRPr="002876D4">
        <w:t xml:space="preserve">Price ceiling should rise incrementally </w:t>
      </w:r>
    </w:p>
    <w:p w14:paraId="421BF8C8" w14:textId="77777777" w:rsidR="00D57D39" w:rsidRDefault="00D57D39" w:rsidP="00D57D39">
      <w:pPr>
        <w:pStyle w:val="BodyText"/>
        <w:rPr>
          <w:shd w:val="clear" w:color="auto" w:fill="FFFFFF"/>
        </w:rPr>
      </w:pPr>
      <w:r>
        <w:t xml:space="preserve">In addition to advocating for a higher price ceiling trigger, 15 submitters specified the trigger should increase incrementally rather than be a flat price for the period 2021 to 2025. Submitters holding this opinion included Aigis Forestry, </w:t>
      </w:r>
      <w:r w:rsidRPr="00FC7031">
        <w:rPr>
          <w:rFonts w:eastAsia="Times New Roman" w:cs="Calibri"/>
          <w:color w:val="000000"/>
        </w:rPr>
        <w:t>Brigham Investments</w:t>
      </w:r>
      <w:r>
        <w:rPr>
          <w:rFonts w:eastAsia="Times New Roman" w:cs="Calibri"/>
          <w:color w:val="000000"/>
        </w:rPr>
        <w:t>,</w:t>
      </w:r>
      <w:r>
        <w:t xml:space="preserve"> the Climate Change Commission, Citizens’ Climate Lobby, Compass Climate, Forest Management Limited,</w:t>
      </w:r>
      <w:r w:rsidRPr="00E02931">
        <w:t xml:space="preserve"> </w:t>
      </w:r>
      <w:r>
        <w:t xml:space="preserve">Lawyers for Climate Action New Zealand, Meridian Energy, </w:t>
      </w:r>
      <w:r>
        <w:rPr>
          <w:shd w:val="clear" w:color="auto" w:fill="FFFFFF"/>
        </w:rPr>
        <w:t>New Zealand Carbon Farming</w:t>
      </w:r>
      <w:r>
        <w:t>, Solray, New Zealand Wind and Energy Association, the</w:t>
      </w:r>
      <w:r w:rsidRPr="004D6852">
        <w:rPr>
          <w:shd w:val="clear" w:color="auto" w:fill="FFFFFF"/>
        </w:rPr>
        <w:t xml:space="preserve"> Office </w:t>
      </w:r>
      <w:r>
        <w:rPr>
          <w:shd w:val="clear" w:color="auto" w:fill="FFFFFF"/>
        </w:rPr>
        <w:t>of the Māori Climate Commission and multiple individual submitters.</w:t>
      </w:r>
    </w:p>
    <w:p w14:paraId="4623F150" w14:textId="5C8F2257" w:rsidR="00D57D39" w:rsidRPr="000446F5" w:rsidRDefault="00D57D39" w:rsidP="00D57D39">
      <w:pPr>
        <w:pStyle w:val="BodyText"/>
      </w:pPr>
      <w:r>
        <w:rPr>
          <w:shd w:val="clear" w:color="auto" w:fill="FFFFFF"/>
        </w:rPr>
        <w:t xml:space="preserve">The Climate Change Commission noted matters the Minister must consider when recommending price controls included the proper functioning of the NZ ETS, the level and trajectory of international prices and inflation. The Climate Change Commission expressed concern the proposed flat price of $50 for 2021–2025 did not reflect these matters, highlighting the lack of adjustment for inflation at the least. A point made by several submitters, including the Climate Change Commission, Compass Climate and </w:t>
      </w:r>
      <w:r w:rsidRPr="00461625">
        <w:rPr>
          <w:rFonts w:eastAsia="Times New Roman" w:cs="Calibri"/>
          <w:color w:val="000000"/>
        </w:rPr>
        <w:t>Toitū Envirocare</w:t>
      </w:r>
      <w:r>
        <w:rPr>
          <w:rFonts w:eastAsia="Times New Roman" w:cs="Calibri"/>
          <w:color w:val="000000"/>
        </w:rPr>
        <w:t>,</w:t>
      </w:r>
      <w:r>
        <w:rPr>
          <w:shd w:val="clear" w:color="auto" w:fill="FFFFFF"/>
        </w:rPr>
        <w:t xml:space="preserve"> </w:t>
      </w:r>
      <w:r>
        <w:rPr>
          <w:shd w:val="clear" w:color="auto" w:fill="FFFFFF"/>
        </w:rPr>
        <w:lastRenderedPageBreak/>
        <w:t xml:space="preserve">was the price ceiling trigger needed to </w:t>
      </w:r>
      <w:r>
        <w:rPr>
          <w:rFonts w:eastAsia="Times New Roman" w:cs="Calibri"/>
          <w:color w:val="000000"/>
        </w:rPr>
        <w:t>sufficiently incentivise use of stockpiled units ahead of the cost containment reserve. These submitters noted i</w:t>
      </w:r>
      <w:r w:rsidRPr="00DC6410">
        <w:rPr>
          <w:rFonts w:eastAsia="Times New Roman" w:cs="Calibri"/>
          <w:color w:val="000000"/>
        </w:rPr>
        <w:t xml:space="preserve">f </w:t>
      </w:r>
      <w:r>
        <w:rPr>
          <w:rFonts w:eastAsia="Times New Roman" w:cs="Calibri"/>
          <w:color w:val="000000"/>
        </w:rPr>
        <w:t xml:space="preserve">the trigger price was </w:t>
      </w:r>
      <w:r w:rsidRPr="00DC6410">
        <w:rPr>
          <w:rFonts w:eastAsia="Times New Roman" w:cs="Calibri"/>
          <w:color w:val="000000"/>
        </w:rPr>
        <w:t xml:space="preserve">set too low, the </w:t>
      </w:r>
      <w:r>
        <w:rPr>
          <w:rFonts w:eastAsia="Times New Roman" w:cs="Calibri"/>
          <w:color w:val="000000"/>
        </w:rPr>
        <w:t>cost containment reserve had</w:t>
      </w:r>
      <w:r w:rsidRPr="00DC6410">
        <w:rPr>
          <w:rFonts w:eastAsia="Times New Roman" w:cs="Calibri"/>
          <w:color w:val="000000"/>
        </w:rPr>
        <w:t xml:space="preserve"> the potential to inflate the NZU stockpile further</w:t>
      </w:r>
      <w:r>
        <w:rPr>
          <w:rFonts w:eastAsia="Times New Roman" w:cs="Calibri"/>
          <w:color w:val="000000"/>
        </w:rPr>
        <w:t>. This would contribute</w:t>
      </w:r>
      <w:r w:rsidRPr="00DC6410">
        <w:rPr>
          <w:rFonts w:eastAsia="Times New Roman" w:cs="Calibri"/>
          <w:color w:val="000000"/>
        </w:rPr>
        <w:t xml:space="preserve"> to an oversupply of units that could suppress future emission prices below the level required to achieve emissions reduction targets</w:t>
      </w:r>
      <w:r>
        <w:rPr>
          <w:rFonts w:eastAsia="Times New Roman" w:cs="Calibri"/>
          <w:color w:val="000000"/>
        </w:rPr>
        <w:t xml:space="preserve">. The recommendation by many submitters to raise the trigger price annually had the purpose of mitigating this risk. </w:t>
      </w:r>
    </w:p>
    <w:p w14:paraId="6BED700A" w14:textId="77777777" w:rsidR="00D57D39" w:rsidRPr="004A65D1" w:rsidRDefault="00D57D39" w:rsidP="00D57D39">
      <w:pPr>
        <w:pStyle w:val="Heading4"/>
      </w:pPr>
      <w:r w:rsidRPr="004A65D1">
        <w:t>Support for current proposal</w:t>
      </w:r>
    </w:p>
    <w:p w14:paraId="0EF011A4" w14:textId="77777777" w:rsidR="00D57D39" w:rsidRDefault="00D57D39" w:rsidP="00D57D39">
      <w:pPr>
        <w:pStyle w:val="BodyText"/>
      </w:pPr>
      <w:r>
        <w:t xml:space="preserve">Seventeen submitters broadly supported the current proposal of </w:t>
      </w:r>
      <w:r w:rsidRPr="000446F5">
        <w:t>set</w:t>
      </w:r>
      <w:r>
        <w:t>ting</w:t>
      </w:r>
      <w:r w:rsidRPr="000446F5">
        <w:t xml:space="preserve"> the price ceiling trigger of the cost containment reserve at $50 for the 2020–25 period</w:t>
      </w:r>
      <w:r>
        <w:t xml:space="preserve"> (including </w:t>
      </w:r>
      <w:r w:rsidRPr="009B4E99">
        <w:t>Mangatu Blocks</w:t>
      </w:r>
      <w:r>
        <w:t xml:space="preserve"> Incorporation</w:t>
      </w:r>
      <w:r w:rsidRPr="009B4E99">
        <w:t>,</w:t>
      </w:r>
      <w:r>
        <w:t xml:space="preserve"> Western Beech Ltd, EnviroNZ, Carbon Farm Limited, Northland Regional Council, Waikato Regional Council, Genesis Energy, Caritas, Vector, Horticulture NZ, Todd Corporation, Oji Fibre Solutions and Waikato Tainui). Submitters who supported the proposal tended to focus on the principle of the price ceiling trigger and noted the price of $50 seemed reasonable/appropriate. </w:t>
      </w:r>
    </w:p>
    <w:p w14:paraId="2AE18A89" w14:textId="77777777" w:rsidR="00D57D39" w:rsidRPr="004A65D1" w:rsidRDefault="00D57D39" w:rsidP="00D57D39">
      <w:pPr>
        <w:pStyle w:val="Heading4"/>
      </w:pPr>
      <w:r w:rsidRPr="004A65D1">
        <w:t>Price ceiling trigger should be lower</w:t>
      </w:r>
    </w:p>
    <w:p w14:paraId="298C67F6" w14:textId="77777777" w:rsidR="00D57D39" w:rsidRDefault="00D57D39" w:rsidP="00D57D39">
      <w:pPr>
        <w:pStyle w:val="BodyText"/>
      </w:pPr>
      <w:r>
        <w:t>Four submitters, including Beef + Lamb NZ and Dairy Companies Association of New Zealand, argued the price ceiling trigger should be lower than the proposed $50.</w:t>
      </w:r>
    </w:p>
    <w:p w14:paraId="0A7D1912" w14:textId="77777777" w:rsidR="00D57D39" w:rsidRDefault="00D57D39" w:rsidP="00D57D39">
      <w:pPr>
        <w:pStyle w:val="BodyText"/>
      </w:pPr>
      <w:r>
        <w:t>Dairy Companies Association of New Zealand expressed concerns that a significant rise in emissions price could constrain companies from investing in the transition to lower emissions. It also suggested the price ceiling trigger should be pegged to international prices to limit any competitive disadvantage New Zealand exporters could face.</w:t>
      </w:r>
    </w:p>
    <w:p w14:paraId="7C376CB3" w14:textId="77777777" w:rsidR="00D57D39" w:rsidRDefault="00D57D39" w:rsidP="00D57D39">
      <w:pPr>
        <w:pStyle w:val="BodyText"/>
      </w:pPr>
      <w:r w:rsidRPr="00A4553F">
        <w:t>Beef</w:t>
      </w:r>
      <w:r>
        <w:t xml:space="preserve"> </w:t>
      </w:r>
      <w:r w:rsidRPr="00A4553F">
        <w:t>+</w:t>
      </w:r>
      <w:r>
        <w:t xml:space="preserve"> </w:t>
      </w:r>
      <w:r w:rsidRPr="00A4553F">
        <w:t>Lamb</w:t>
      </w:r>
      <w:r>
        <w:t xml:space="preserve"> NZ</w:t>
      </w:r>
      <w:r w:rsidRPr="00A4553F">
        <w:t>’s concerns</w:t>
      </w:r>
      <w:r>
        <w:t xml:space="preserve"> focused on the risk of increased emission prices leading to large-scale sheep and beef farmland being converted to forestry. Beef + Lamb NZ emphasised the potential economic impacts of this, at both national and regional levels, and commented there had been insufficient analysis to support the price ceiling trigger proposal. </w:t>
      </w:r>
    </w:p>
    <w:p w14:paraId="755212D3" w14:textId="77777777" w:rsidR="00D57D39" w:rsidRDefault="00D57D39" w:rsidP="00D57D39">
      <w:pPr>
        <w:pStyle w:val="Heading4"/>
      </w:pPr>
      <w:r w:rsidRPr="004A65D1">
        <w:t>Uncertainties</w:t>
      </w:r>
      <w:r>
        <w:t xml:space="preserve"> and other concerns</w:t>
      </w:r>
    </w:p>
    <w:p w14:paraId="68A915F8" w14:textId="77777777" w:rsidR="00D57D39" w:rsidRDefault="00D57D39" w:rsidP="00D57D39">
      <w:pPr>
        <w:pStyle w:val="BodyText"/>
      </w:pPr>
      <w:r>
        <w:t xml:space="preserve">Twelve submitters commented they did not support the proposal. Federated Farmers was unconvinced the $50 price ceiling trigger would not be quickly reached and was unsure about the ability of the cost containment reserve, in general, to adequately moderate prices. Gas NZ considered a price ceiling trigger would encourage an arbitrarily skewed market, with prices up to or close to the trigger. Four submitters explicitly opposed having any price ceiling trigger including Ecotricity and Wollemi Consulting. They argued the NZU price should be left to increase naturally over time with no upper limit. </w:t>
      </w:r>
    </w:p>
    <w:p w14:paraId="39BCCBE5" w14:textId="77777777" w:rsidR="00D57D39" w:rsidRDefault="00D57D39" w:rsidP="00D57D39">
      <w:pPr>
        <w:pStyle w:val="BodyText"/>
      </w:pPr>
      <w:r>
        <w:t xml:space="preserve">Seven submitters, including NZ Steel and the Wellington Chamber of Commerce, were unsure about the proposal due to concerns there were too many uncertainties in reaching $50 as a proposed price. Many of these submitters supported the concept and purpose of a cost containment reserve but said they could not comment on the proposed price of $50 due to a lack of analysis. </w:t>
      </w:r>
    </w:p>
    <w:p w14:paraId="1AE6F340" w14:textId="77777777" w:rsidR="00D57D39" w:rsidRDefault="00D57D39" w:rsidP="00D57D39">
      <w:pPr>
        <w:pStyle w:val="BodyText"/>
      </w:pPr>
      <w:r>
        <w:t xml:space="preserve">Two submitters (Gisborne District Council and Lawyers for Climate Action New Zealand Inc (LCANZI)) mentioned market manipulation and/or distortion as a reason for concern about the proposal. LCANZI considered that if the market expected a price greater than $50 in future, then the cost containment reserve might be triggered by speculators taking advantage of the </w:t>
      </w:r>
      <w:r>
        <w:lastRenderedPageBreak/>
        <w:t xml:space="preserve">arbitrage opportunity. In line with submitters who believed the price ceiling trigger should be higher, LCANZI noted constraining the price might lead to stockpiling units. </w:t>
      </w:r>
    </w:p>
    <w:p w14:paraId="290E96AC" w14:textId="77777777" w:rsidR="00D57D39" w:rsidRDefault="00D57D39" w:rsidP="00D57D39">
      <w:pPr>
        <w:pStyle w:val="Heading2"/>
      </w:pPr>
      <w:bookmarkStart w:id="18" w:name="_Toc40703434"/>
      <w:r>
        <w:t>Cost containment reserve volume</w:t>
      </w:r>
      <w:bookmarkEnd w:id="18"/>
    </w:p>
    <w:p w14:paraId="2FB715B5" w14:textId="77777777" w:rsidR="00D57D39" w:rsidRDefault="00D57D39" w:rsidP="00D57D39">
      <w:pPr>
        <w:pStyle w:val="Heading3"/>
      </w:pPr>
      <w:r w:rsidRPr="00317951">
        <w:t>Do you agree with the proposed annual cost containment reserve volumes to be released if the price ceiling trigger is hit? If not, why not?</w:t>
      </w:r>
    </w:p>
    <w:p w14:paraId="1DC896B3" w14:textId="77777777" w:rsidR="00D57D39" w:rsidRPr="00E62E2F" w:rsidRDefault="00D57D39" w:rsidP="009E532E">
      <w:pPr>
        <w:pStyle w:val="BodyText"/>
      </w:pPr>
      <w:r>
        <w:t xml:space="preserve">While many submitters supported the proposed cost containment reserve volume, those who opposed it did so for very different reasons. Some submitters were concerned that through releasing units outside the budget, it reduced the integrity of the ETS cap, whereas the concerns from business and/or industry groups related to the restriction of units and price impacts. </w:t>
      </w:r>
    </w:p>
    <w:p w14:paraId="334A119E" w14:textId="77777777" w:rsidR="00D57D39" w:rsidRDefault="00D57D39" w:rsidP="00D57D39">
      <w:pPr>
        <w:pStyle w:val="Heading4"/>
      </w:pPr>
      <w:r w:rsidRPr="001A621E">
        <w:t>Support for the proposal</w:t>
      </w:r>
    </w:p>
    <w:p w14:paraId="3B92A3E7" w14:textId="77777777" w:rsidR="00D57D39" w:rsidRPr="001A621E" w:rsidRDefault="00D57D39" w:rsidP="00D57D39">
      <w:pPr>
        <w:pStyle w:val="BodyText"/>
      </w:pPr>
      <w:r>
        <w:t xml:space="preserve">Twenty-three submitters said they supported the </w:t>
      </w:r>
      <w:r w:rsidRPr="001A621E">
        <w:t xml:space="preserve">proposed annual cost containment reserve volumes to be released if the price ceiling trigger </w:t>
      </w:r>
      <w:r>
        <w:t>was</w:t>
      </w:r>
      <w:r w:rsidRPr="001A621E">
        <w:t xml:space="preserve"> hit</w:t>
      </w:r>
      <w:r>
        <w:t xml:space="preserve">. These submitters included Todd Corporation, Fonterra, New Zealand Carbon Farming, Genesis, Vector, Pan Pac Forest Products Ltd, Carbon Farm Limited, NZX &amp; EEX, Forest Management Limited, Mangatu Blocks Incorporated, Western Beech Limited, Solray Systems, EnviroNZ and six individuals. Amongst those who left specific comments, submitters broadly believed that releasing the cost containment reserve volume was an appropriate way to manage unexpectedly high NZU prices, and that 90 per cent of the difference between forecast net emissions and the proposed unit supply was a suitable method of determining the volume. </w:t>
      </w:r>
    </w:p>
    <w:p w14:paraId="03A6B607" w14:textId="77777777" w:rsidR="00D57D39" w:rsidRDefault="00D57D39" w:rsidP="00D57D39">
      <w:pPr>
        <w:pStyle w:val="Heading4"/>
      </w:pPr>
      <w:r w:rsidRPr="001A621E">
        <w:t>Opposition towards the proposal</w:t>
      </w:r>
    </w:p>
    <w:p w14:paraId="2DA1ED9B" w14:textId="77777777" w:rsidR="00D57D39" w:rsidRDefault="00D57D39" w:rsidP="00D57D39">
      <w:pPr>
        <w:pStyle w:val="BodyText"/>
      </w:pPr>
      <w:r>
        <w:t xml:space="preserve">Thirty submitters did not support the proposed </w:t>
      </w:r>
      <w:r w:rsidRPr="001A621E">
        <w:t xml:space="preserve">annual cost containment reserve volumes to be released if the price ceiling trigger </w:t>
      </w:r>
      <w:r>
        <w:t>was</w:t>
      </w:r>
      <w:r w:rsidRPr="001A621E">
        <w:t xml:space="preserve"> hit</w:t>
      </w:r>
      <w:r>
        <w:t xml:space="preserve">. These submitters included EnviroHub Bay of Plenty, </w:t>
      </w:r>
      <w:r w:rsidRPr="00084141">
        <w:t>Toitū Envirocare</w:t>
      </w:r>
      <w:r>
        <w:t xml:space="preserve">, Tailored Energy Solutions, Bathurst Resources Ltd, Business NZ, First Gas, Federated Framers, NZ Steel, Gas NZ, Evonik Peroxide, Ballance, Meridian Energy, Compass Climate, Westland Milk Products and Dairy Companies Association of New Zealand. </w:t>
      </w:r>
    </w:p>
    <w:p w14:paraId="38251C97" w14:textId="77777777" w:rsidR="00D57D39" w:rsidRDefault="00D57D39" w:rsidP="00D57D39">
      <w:pPr>
        <w:pStyle w:val="BodyText"/>
      </w:pPr>
      <w:r>
        <w:t xml:space="preserve">The submissions from Meridian, Compass Climate, </w:t>
      </w:r>
      <w:r w:rsidRPr="009F319D">
        <w:t>Toitū Envirocare</w:t>
      </w:r>
      <w:r>
        <w:t>, Envirohub Bay of Plenty, and many individuals, focused on the threat to the environmental integrity of the scheme through releasing cost containment reserve volumes. These submitters argued the cost containment reserve volume was significantly too high, with Compass Climate noting that emissions would look like current projections rather than reductions if the reserve was used to its maximum. Compass Climate also argued the increasing volume in the cost containment reserve over time was not consistent with making a net zero transition.</w:t>
      </w:r>
    </w:p>
    <w:p w14:paraId="02C69910" w14:textId="77777777" w:rsidR="00D57D39" w:rsidRDefault="00D57D39" w:rsidP="00D57D39">
      <w:pPr>
        <w:pStyle w:val="BodyText"/>
      </w:pPr>
      <w:r>
        <w:t xml:space="preserve">In contrast, many business and/or industry groups were concerned about there being a restriction on units within the cost containment reserve (Bathurst Resources Ltd, Business NZ, NZ Steel, Evonik Peroxide, Balance and Westlake Milk Products). The major theme that emerged from these submissions was the perception the proposed cost containment reserve volume was tight, and might unduly </w:t>
      </w:r>
      <w:r w:rsidRPr="00205061">
        <w:t>incre</w:t>
      </w:r>
      <w:r>
        <w:t>ase the NZU price in the 2020–</w:t>
      </w:r>
      <w:r w:rsidRPr="00205061">
        <w:t xml:space="preserve">25 period before the economy </w:t>
      </w:r>
      <w:r>
        <w:t>had</w:t>
      </w:r>
      <w:r w:rsidRPr="00205061">
        <w:t xml:space="preserve"> time to adequately </w:t>
      </w:r>
      <w:r>
        <w:t xml:space="preserve">adjust. These groups were concerned about a depleted cost containment reserve and the subsequent risk of being penalised at </w:t>
      </w:r>
      <w:r w:rsidRPr="00205061">
        <w:t>three times the carbon price</w:t>
      </w:r>
      <w:r>
        <w:t xml:space="preserve"> for not surrendering units. </w:t>
      </w:r>
    </w:p>
    <w:p w14:paraId="17EAA3E0" w14:textId="77777777" w:rsidR="00D57D39" w:rsidRPr="00084141" w:rsidRDefault="00D57D39" w:rsidP="00D57D39">
      <w:pPr>
        <w:pStyle w:val="BodyText"/>
      </w:pPr>
      <w:r>
        <w:lastRenderedPageBreak/>
        <w:t xml:space="preserve">Several individual submitters had concerns about the backing of cost containment reserve units with equivalent emissions reductions. These included </w:t>
      </w:r>
      <w:r w:rsidRPr="009F319D">
        <w:t>Toitū Envirocare</w:t>
      </w:r>
      <w:r>
        <w:t>, Business NZ, NZ Steel, Wollemi Consulting, Balance, Oji Fibre Solutions and Meridian Energy. Meridian noted the proposal to set the international unit limit at zero and the risk of the Crown not being able to source genuine emissions reductions. Meridian and Wollemi Consulting considered both the environmental and fiscal risks of this situation, with Meridian being particularly concerned about moving</w:t>
      </w:r>
      <w:r w:rsidRPr="00FA416B">
        <w:t xml:space="preserve"> the cost of emissions reduction</w:t>
      </w:r>
      <w:r>
        <w:t>s</w:t>
      </w:r>
      <w:r w:rsidRPr="00FA416B">
        <w:t xml:space="preserve"> from polluters to the Crown and</w:t>
      </w:r>
      <w:r>
        <w:t xml:space="preserve"> then</w:t>
      </w:r>
      <w:r w:rsidRPr="00FA416B">
        <w:t xml:space="preserve"> </w:t>
      </w:r>
      <w:r>
        <w:t xml:space="preserve">potentially to </w:t>
      </w:r>
      <w:r w:rsidRPr="00FA416B">
        <w:t>taxpayers</w:t>
      </w:r>
      <w:r>
        <w:t xml:space="preserve">. </w:t>
      </w:r>
    </w:p>
    <w:p w14:paraId="1F9D9089" w14:textId="77777777" w:rsidR="00D57D39" w:rsidRDefault="00D57D39" w:rsidP="00D57D39">
      <w:pPr>
        <w:pStyle w:val="Heading4"/>
      </w:pPr>
      <w:r w:rsidRPr="001A621E">
        <w:t>Un</w:t>
      </w:r>
      <w:r>
        <w:t>certainties and other points raised</w:t>
      </w:r>
    </w:p>
    <w:p w14:paraId="7ABE9F2C" w14:textId="77777777" w:rsidR="00D57D39" w:rsidRDefault="00D57D39" w:rsidP="00D57D39">
      <w:pPr>
        <w:pStyle w:val="BodyText"/>
      </w:pPr>
      <w:r>
        <w:t xml:space="preserve">Twelve submitters were uncertain about the proposal including Engineers for Social Responsibility, Waikato Regional Council, BP New Zealand, Carbon and Energy Professionals NZ, Nukuhau Carbon Limited, Tane’s Tree Trust and OMV. Reasons for this stemmed from uncertainties about whether the mechanism was necessary and the ability to access international units to back cost containment reserve units. </w:t>
      </w:r>
    </w:p>
    <w:p w14:paraId="7DED5F28" w14:textId="77777777" w:rsidR="00D57D39" w:rsidRPr="00A1567D" w:rsidRDefault="00D57D39" w:rsidP="00D57D39">
      <w:pPr>
        <w:pStyle w:val="BodyText"/>
      </w:pPr>
      <w:r w:rsidRPr="0049407B">
        <w:rPr>
          <w:rFonts w:eastAsia="Times New Roman" w:cs="Calibri"/>
          <w:color w:val="000000"/>
        </w:rPr>
        <w:t>Environment and Conservation Organisations of NZ</w:t>
      </w:r>
      <w:r>
        <w:t xml:space="preserve"> said its position on the proposed volume was contingent on the level of the price ceiling trigger. It considered the proposed volume appropriate only if the ceiling trigger</w:t>
      </w:r>
      <w:r w:rsidRPr="00A83C78">
        <w:t xml:space="preserve"> </w:t>
      </w:r>
      <w:r>
        <w:t>was</w:t>
      </w:r>
      <w:r w:rsidRPr="00A83C78">
        <w:t xml:space="preserve"> set as an escalating price over the next </w:t>
      </w:r>
      <w:r>
        <w:t>five</w:t>
      </w:r>
      <w:r w:rsidRPr="00A83C78">
        <w:t xml:space="preserve"> years from $75 to $95</w:t>
      </w:r>
      <w:r>
        <w:t>.</w:t>
      </w:r>
    </w:p>
    <w:p w14:paraId="16686B42" w14:textId="77777777" w:rsidR="00D57D39" w:rsidRDefault="00D57D39" w:rsidP="00D57D39">
      <w:pPr>
        <w:pStyle w:val="BodyText"/>
      </w:pPr>
      <w:r w:rsidRPr="00D746C0">
        <w:t xml:space="preserve">Queenstown Lakes District Council </w:t>
      </w:r>
      <w:r>
        <w:t xml:space="preserve">considered cost containment reserve volumes should be released into a separate auction that was limited to participants with surrender obligations. </w:t>
      </w:r>
    </w:p>
    <w:p w14:paraId="3EE781D7" w14:textId="77777777" w:rsidR="00D57D39" w:rsidRDefault="00D57D39" w:rsidP="00D57D39">
      <w:pPr>
        <w:pStyle w:val="BodyText"/>
      </w:pPr>
      <w:r>
        <w:t xml:space="preserve">Other submitters emphasised the importance of understanding the impact on the market and the potential for market manipulation. </w:t>
      </w:r>
    </w:p>
    <w:p w14:paraId="526CFE27" w14:textId="77777777" w:rsidR="00D57D39" w:rsidRDefault="00D57D39" w:rsidP="00D57D39">
      <w:pPr>
        <w:pStyle w:val="Heading2"/>
        <w:ind w:left="720" w:hanging="720"/>
      </w:pPr>
      <w:bookmarkStart w:id="19" w:name="_Toc40703435"/>
      <w:r>
        <w:t>Release of NZ ETS settings information</w:t>
      </w:r>
      <w:bookmarkEnd w:id="19"/>
    </w:p>
    <w:p w14:paraId="3A5F1155" w14:textId="77777777" w:rsidR="00D57D39" w:rsidRDefault="00D57D39" w:rsidP="00D57D39">
      <w:pPr>
        <w:pStyle w:val="Heading3"/>
      </w:pPr>
      <w:r w:rsidRPr="00ED66DA">
        <w:t>Do you agree with the proposed approach for release of NZ ETS settings information? If not, why not?</w:t>
      </w:r>
      <w:r>
        <w:t xml:space="preserve"> </w:t>
      </w:r>
    </w:p>
    <w:p w14:paraId="6C28CAAF" w14:textId="77777777" w:rsidR="00D57D39" w:rsidRDefault="00D57D39" w:rsidP="00D57D39">
      <w:pPr>
        <w:pStyle w:val="BodyText"/>
      </w:pPr>
      <w:r>
        <w:t>The vast majority of submitters responding to this question supported the</w:t>
      </w:r>
      <w:r w:rsidRPr="00ED66DA">
        <w:t xml:space="preserve"> proposed approach for </w:t>
      </w:r>
      <w:r>
        <w:t xml:space="preserve">the </w:t>
      </w:r>
      <w:r w:rsidRPr="00ED66DA">
        <w:t>release of NZ ETS settings information</w:t>
      </w:r>
      <w:r>
        <w:t xml:space="preserve"> on a five-year rolling basis (46/50). Submitters responded they supported the greater transparency, market stability, certainty and confidence this method provided. </w:t>
      </w:r>
    </w:p>
    <w:p w14:paraId="73F48F7C" w14:textId="77777777" w:rsidR="00D57D39" w:rsidRPr="00C6607F" w:rsidRDefault="00D57D39" w:rsidP="00D57D39">
      <w:pPr>
        <w:pStyle w:val="BodyText"/>
      </w:pPr>
      <w:r>
        <w:t>The Office of the</w:t>
      </w:r>
      <w:r w:rsidRPr="00B22FAD">
        <w:t xml:space="preserve"> Māori Climate Commission</w:t>
      </w:r>
      <w:r>
        <w:t xml:space="preserve"> and Waikato-Tainui supported the process in general, but as Treaty partners, highlighted the importance of keeping them involved in regular discussion and consultations before final settings were released. </w:t>
      </w:r>
    </w:p>
    <w:p w14:paraId="08318841" w14:textId="77777777" w:rsidR="00D57D39" w:rsidRPr="00553F3D" w:rsidRDefault="00D57D39" w:rsidP="00D57D39">
      <w:pPr>
        <w:pStyle w:val="BodyText"/>
      </w:pPr>
      <w:r>
        <w:t>Eight submitters, including Nukuhau Carbon Limited, Envirohub Bay of Plenty and Mangatu Blocks, were unsure about the approach for releasing</w:t>
      </w:r>
      <w:r w:rsidRPr="00553F3D">
        <w:t xml:space="preserve"> NZ ETS settings information</w:t>
      </w:r>
      <w:r>
        <w:t xml:space="preserve">. These submitters mostly did not elaborate on why they were unsure, with one individual mentioning the approach appeared complex and another saying that the release of settings information was of little importance because it did not incentivise emissions reductions. </w:t>
      </w:r>
    </w:p>
    <w:p w14:paraId="6F44D0FF" w14:textId="77777777" w:rsidR="00D57D39" w:rsidRDefault="00D57D39" w:rsidP="00D57D39">
      <w:pPr>
        <w:pStyle w:val="BodyText"/>
      </w:pPr>
      <w:r>
        <w:t xml:space="preserve">Nine submitters did not agree with the proposed approach, but most did not comment further on why they disagreed. </w:t>
      </w:r>
    </w:p>
    <w:p w14:paraId="69E85AE4" w14:textId="77777777" w:rsidR="00D57D39" w:rsidRDefault="00D57D39" w:rsidP="00D57D39">
      <w:pPr>
        <w:pStyle w:val="Heading1"/>
      </w:pPr>
      <w:bookmarkStart w:id="20" w:name="_Toc40703436"/>
      <w:r>
        <w:lastRenderedPageBreak/>
        <w:t>Additional comments on topics outside of the questions asked</w:t>
      </w:r>
      <w:bookmarkEnd w:id="20"/>
    </w:p>
    <w:p w14:paraId="11F3C38F" w14:textId="77777777" w:rsidR="00D57D39" w:rsidRPr="00594B21" w:rsidRDefault="00D57D39" w:rsidP="00D57D39">
      <w:pPr>
        <w:pStyle w:val="Heading3"/>
      </w:pPr>
      <w:r>
        <w:t>Some submitters</w:t>
      </w:r>
      <w:r w:rsidRPr="00594B21">
        <w:t xml:space="preserve"> </w:t>
      </w:r>
      <w:r>
        <w:t xml:space="preserve">were </w:t>
      </w:r>
      <w:r w:rsidRPr="00594B21">
        <w:t>concerned about</w:t>
      </w:r>
      <w:r>
        <w:t xml:space="preserve"> the</w:t>
      </w:r>
      <w:r w:rsidRPr="00594B21">
        <w:t xml:space="preserve"> impacts of the proposals on </w:t>
      </w:r>
      <w:r>
        <w:t xml:space="preserve">agriculture and rural communities </w:t>
      </w:r>
    </w:p>
    <w:p w14:paraId="4FA1F98C" w14:textId="77777777" w:rsidR="00D57D39" w:rsidRDefault="00D57D39" w:rsidP="00D57D39">
      <w:pPr>
        <w:pStyle w:val="BodyText"/>
      </w:pPr>
      <w:r>
        <w:t xml:space="preserve">Eleven submitters, including Federated Framers, Beef + Lamb NZ and Export NZ, raised concerns about the impacts of increasing NZU prices and how this could incentivise greater afforestation of productive farm land. Both Federated Farmers and Beef + Lamb NZ considered more research was needed to better understand the social, economic and environmental impacts of increasing afforestation in regional communities. </w:t>
      </w:r>
    </w:p>
    <w:p w14:paraId="13EF5D55" w14:textId="77777777" w:rsidR="00D57D39" w:rsidRPr="00594B21" w:rsidRDefault="00D57D39" w:rsidP="00D57D39">
      <w:pPr>
        <w:pStyle w:val="Heading3"/>
      </w:pPr>
      <w:r>
        <w:t xml:space="preserve">Some business and/or industry </w:t>
      </w:r>
      <w:r w:rsidRPr="00594B21">
        <w:t>submitters wanted access to units from international markets</w:t>
      </w:r>
    </w:p>
    <w:p w14:paraId="60DC47D0" w14:textId="77777777" w:rsidR="00D57D39" w:rsidRDefault="00D57D39" w:rsidP="00D57D39">
      <w:pPr>
        <w:pStyle w:val="BodyText"/>
      </w:pPr>
      <w:r>
        <w:t>Submitters including Fletcher Building, Pan Pac Forest Products Limited, Business NZ, Genesis Energy, First Gas, Export NZ, Z Energy, Gas NZ, and Nelson Forests Limited supported the NZ ETS being reopened to use international units. Fletcher Building noted that, as a business, it faced significant international competition and it considered a lack of access to international markets placed it at a competitive disadvantage.</w:t>
      </w:r>
    </w:p>
    <w:p w14:paraId="7DBBF0C4" w14:textId="77777777" w:rsidR="00D57D39" w:rsidRDefault="00D57D39" w:rsidP="00D57D39">
      <w:pPr>
        <w:pStyle w:val="BodyText"/>
      </w:pPr>
      <w:r>
        <w:t xml:space="preserve">Meridian Energy and Trustpower agreed a zero limit of international units in the NZ ETS was the right approach for now, but would like to see proactive consideration to how to enable international carbon markets. </w:t>
      </w:r>
    </w:p>
    <w:p w14:paraId="7DE61FC4" w14:textId="613DDF52" w:rsidR="00F74C50" w:rsidRDefault="00F74C50">
      <w:pPr>
        <w:spacing w:before="0" w:after="200" w:line="276" w:lineRule="auto"/>
        <w:jc w:val="left"/>
      </w:pPr>
      <w:r>
        <w:br w:type="page"/>
      </w:r>
    </w:p>
    <w:p w14:paraId="1DAD48CC" w14:textId="7CCA6369" w:rsidR="00F569B9" w:rsidRPr="000E4461" w:rsidRDefault="00F74C50" w:rsidP="00F74C50">
      <w:pPr>
        <w:pStyle w:val="Heading1"/>
      </w:pPr>
      <w:bookmarkStart w:id="21" w:name="_Appendix_1:_Summary"/>
      <w:bookmarkStart w:id="22" w:name="_Toc40703437"/>
      <w:bookmarkEnd w:id="21"/>
      <w:r>
        <w:lastRenderedPageBreak/>
        <w:t>Appendix 1: Summary table of submissions</w:t>
      </w:r>
      <w:bookmarkEnd w:id="22"/>
    </w:p>
    <w:tbl>
      <w:tblPr>
        <w:tblStyle w:val="TableGrid"/>
        <w:tblW w:w="8228" w:type="dxa"/>
        <w:tblInd w:w="113"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1872"/>
        <w:gridCol w:w="1843"/>
        <w:gridCol w:w="1417"/>
        <w:gridCol w:w="3096"/>
      </w:tblGrid>
      <w:tr w:rsidR="00F74C50" w:rsidRPr="00F74C50" w14:paraId="0D0E8B17" w14:textId="77777777" w:rsidTr="00F74C50">
        <w:trPr>
          <w:trHeight w:val="361"/>
          <w:tblHeader/>
        </w:trPr>
        <w:tc>
          <w:tcPr>
            <w:tcW w:w="1872" w:type="dxa"/>
            <w:shd w:val="clear" w:color="auto" w:fill="1C556C"/>
          </w:tcPr>
          <w:p w14:paraId="6E8290C5" w14:textId="77777777" w:rsidR="00F74C50" w:rsidRPr="00F74C50" w:rsidRDefault="00F74C50" w:rsidP="00F74C50">
            <w:pPr>
              <w:rPr>
                <w:b/>
                <w:color w:val="FFFFFF" w:themeColor="background1"/>
              </w:rPr>
            </w:pPr>
            <w:r w:rsidRPr="00F74C50">
              <w:rPr>
                <w:b/>
                <w:color w:val="FFFFFF" w:themeColor="background1"/>
              </w:rPr>
              <w:t xml:space="preserve">Topic </w:t>
            </w:r>
          </w:p>
          <w:p w14:paraId="23741E39" w14:textId="1828C10B" w:rsidR="00F74C50" w:rsidRPr="00F74C50" w:rsidRDefault="00F74C50" w:rsidP="00F74C50">
            <w:pPr>
              <w:pStyle w:val="TableTextbold"/>
              <w:rPr>
                <w:b w:val="0"/>
                <w:color w:val="FFFFFF" w:themeColor="background1"/>
              </w:rPr>
            </w:pPr>
          </w:p>
        </w:tc>
        <w:tc>
          <w:tcPr>
            <w:tcW w:w="1843" w:type="dxa"/>
            <w:shd w:val="clear" w:color="auto" w:fill="1C556C"/>
          </w:tcPr>
          <w:p w14:paraId="462DE3BE" w14:textId="21F8C43D" w:rsidR="00F74C50" w:rsidRPr="00F74C50" w:rsidRDefault="00F74C50" w:rsidP="00F74C50">
            <w:pPr>
              <w:pStyle w:val="TableTextbold"/>
              <w:rPr>
                <w:b w:val="0"/>
                <w:color w:val="FFFFFF" w:themeColor="background1"/>
              </w:rPr>
            </w:pPr>
            <w:r w:rsidRPr="00F74C50">
              <w:rPr>
                <w:color w:val="FFFFFF" w:themeColor="background1"/>
              </w:rPr>
              <w:t>Point raised</w:t>
            </w:r>
          </w:p>
        </w:tc>
        <w:tc>
          <w:tcPr>
            <w:tcW w:w="1417" w:type="dxa"/>
            <w:shd w:val="clear" w:color="auto" w:fill="1C556C"/>
          </w:tcPr>
          <w:p w14:paraId="72685058" w14:textId="5F8D1693" w:rsidR="00F74C50" w:rsidRPr="00F74C50" w:rsidRDefault="00F74C50" w:rsidP="00F74C50">
            <w:pPr>
              <w:pStyle w:val="TableTextbold"/>
              <w:rPr>
                <w:b w:val="0"/>
                <w:color w:val="FFFFFF" w:themeColor="background1"/>
              </w:rPr>
            </w:pPr>
            <w:r w:rsidRPr="00F74C50">
              <w:rPr>
                <w:color w:val="FFFFFF" w:themeColor="background1"/>
              </w:rPr>
              <w:t>Number of submitters who raised this point</w:t>
            </w:r>
          </w:p>
        </w:tc>
        <w:tc>
          <w:tcPr>
            <w:tcW w:w="3096" w:type="dxa"/>
            <w:shd w:val="clear" w:color="auto" w:fill="1C556C"/>
          </w:tcPr>
          <w:p w14:paraId="38B82FCD" w14:textId="3EEF6AE4" w:rsidR="00F74C50" w:rsidRPr="00F74C50" w:rsidRDefault="00F74C50" w:rsidP="00F74C50">
            <w:pPr>
              <w:pStyle w:val="TableTextbold"/>
              <w:rPr>
                <w:b w:val="0"/>
                <w:color w:val="FFFFFF" w:themeColor="background1"/>
              </w:rPr>
            </w:pPr>
            <w:r w:rsidRPr="00F74C50">
              <w:rPr>
                <w:color w:val="FFFFFF" w:themeColor="background1"/>
              </w:rPr>
              <w:t>Submitters’ rationale</w:t>
            </w:r>
          </w:p>
        </w:tc>
      </w:tr>
      <w:tr w:rsidR="00F74C50" w:rsidRPr="000E4461" w14:paraId="07374F33" w14:textId="77777777" w:rsidTr="00F54B94">
        <w:trPr>
          <w:trHeight w:val="369"/>
        </w:trPr>
        <w:tc>
          <w:tcPr>
            <w:tcW w:w="1872" w:type="dxa"/>
            <w:vMerge w:val="restart"/>
          </w:tcPr>
          <w:p w14:paraId="01FAAD01" w14:textId="06EDAD13" w:rsidR="00F74C50" w:rsidRPr="000E4461" w:rsidRDefault="00F74C50" w:rsidP="00F74C50">
            <w:pPr>
              <w:pStyle w:val="TableText"/>
            </w:pPr>
            <w:r w:rsidRPr="00812D3F">
              <w:rPr>
                <w:b/>
              </w:rPr>
              <w:t>The provisional emissions budget</w:t>
            </w:r>
          </w:p>
        </w:tc>
        <w:tc>
          <w:tcPr>
            <w:tcW w:w="1843" w:type="dxa"/>
          </w:tcPr>
          <w:p w14:paraId="70DE8D45" w14:textId="6715563E" w:rsidR="00F74C50" w:rsidRPr="000E4461" w:rsidRDefault="00F74C50" w:rsidP="00F74C50">
            <w:pPr>
              <w:pStyle w:val="TableText"/>
            </w:pPr>
            <w:r>
              <w:t>Support the provisional budget in principle</w:t>
            </w:r>
          </w:p>
        </w:tc>
        <w:tc>
          <w:tcPr>
            <w:tcW w:w="1417" w:type="dxa"/>
          </w:tcPr>
          <w:p w14:paraId="5BBF3FF9" w14:textId="389A6609" w:rsidR="00F74C50" w:rsidRPr="000E4461" w:rsidRDefault="00F74C50" w:rsidP="00F74C50">
            <w:pPr>
              <w:pStyle w:val="TableText"/>
            </w:pPr>
            <w:r>
              <w:t>36</w:t>
            </w:r>
          </w:p>
        </w:tc>
        <w:tc>
          <w:tcPr>
            <w:tcW w:w="3096" w:type="dxa"/>
          </w:tcPr>
          <w:p w14:paraId="08CBA2F5" w14:textId="1649351F" w:rsidR="00F74C50" w:rsidRPr="000E4461" w:rsidRDefault="00F74C50" w:rsidP="00F74C50">
            <w:pPr>
              <w:pStyle w:val="TableText"/>
            </w:pPr>
            <w:r w:rsidRPr="006B541D">
              <w:t xml:space="preserve">Support </w:t>
            </w:r>
            <w:r>
              <w:t xml:space="preserve">for </w:t>
            </w:r>
            <w:r w:rsidRPr="006B541D">
              <w:t>a straight-line emissions reduction pathway towards the Zero Carbon</w:t>
            </w:r>
            <w:r>
              <w:t xml:space="preserve"> Bill</w:t>
            </w:r>
            <w:r w:rsidRPr="006B541D">
              <w:t xml:space="preserve"> target</w:t>
            </w:r>
            <w:r>
              <w:t xml:space="preserve">. The reason was this seemed like a good starting place, would be </w:t>
            </w:r>
            <w:r w:rsidRPr="006B541D">
              <w:t>transparen</w:t>
            </w:r>
            <w:r>
              <w:t xml:space="preserve">t </w:t>
            </w:r>
            <w:r w:rsidRPr="006B541D">
              <w:t>and</w:t>
            </w:r>
            <w:r>
              <w:t xml:space="preserve"> provide</w:t>
            </w:r>
            <w:r w:rsidRPr="006B541D">
              <w:t xml:space="preserve"> stability </w:t>
            </w:r>
            <w:r>
              <w:t>t</w:t>
            </w:r>
            <w:r w:rsidRPr="006B541D">
              <w:t>o the scheme</w:t>
            </w:r>
            <w:r>
              <w:t>.</w:t>
            </w:r>
          </w:p>
        </w:tc>
      </w:tr>
      <w:tr w:rsidR="00F74C50" w:rsidRPr="000E4461" w14:paraId="656BA634" w14:textId="77777777" w:rsidTr="00F54B94">
        <w:trPr>
          <w:trHeight w:val="361"/>
        </w:trPr>
        <w:tc>
          <w:tcPr>
            <w:tcW w:w="1872" w:type="dxa"/>
            <w:vMerge/>
          </w:tcPr>
          <w:p w14:paraId="6FE618DA" w14:textId="77777777" w:rsidR="00F74C50" w:rsidRPr="000E4461" w:rsidRDefault="00F74C50" w:rsidP="00F74C50">
            <w:pPr>
              <w:pStyle w:val="TableText"/>
            </w:pPr>
          </w:p>
        </w:tc>
        <w:tc>
          <w:tcPr>
            <w:tcW w:w="1843" w:type="dxa"/>
          </w:tcPr>
          <w:p w14:paraId="049FEEE0" w14:textId="1187B58A" w:rsidR="00F74C50" w:rsidRPr="000E4461" w:rsidRDefault="00F74C50" w:rsidP="00F74C50">
            <w:pPr>
              <w:pStyle w:val="TableText"/>
            </w:pPr>
            <w:r>
              <w:t xml:space="preserve">The provisional budget is not ambitious enough </w:t>
            </w:r>
          </w:p>
        </w:tc>
        <w:tc>
          <w:tcPr>
            <w:tcW w:w="1417" w:type="dxa"/>
          </w:tcPr>
          <w:p w14:paraId="2DF0637A" w14:textId="1E4C295B" w:rsidR="00F74C50" w:rsidRPr="000E4461" w:rsidRDefault="00F74C50" w:rsidP="00F74C50">
            <w:pPr>
              <w:pStyle w:val="TableText"/>
            </w:pPr>
            <w:r>
              <w:t>30</w:t>
            </w:r>
          </w:p>
        </w:tc>
        <w:tc>
          <w:tcPr>
            <w:tcW w:w="3096" w:type="dxa"/>
          </w:tcPr>
          <w:p w14:paraId="69546320" w14:textId="6ADB40B4" w:rsidR="00F74C50" w:rsidRPr="000E4461" w:rsidRDefault="00F74C50" w:rsidP="00F74C50">
            <w:pPr>
              <w:pStyle w:val="TableText"/>
            </w:pPr>
            <w:r>
              <w:t xml:space="preserve">Because the provisional budget is not in line with the NDC or the emissions reductions recommendations within the 2018 </w:t>
            </w:r>
            <w:r w:rsidRPr="00442481">
              <w:t>IPCC report</w:t>
            </w:r>
            <w:r>
              <w:t>.</w:t>
            </w:r>
          </w:p>
        </w:tc>
      </w:tr>
      <w:tr w:rsidR="00F74C50" w:rsidRPr="000E4461" w14:paraId="1A59FC5D" w14:textId="77777777" w:rsidTr="00F74C50">
        <w:trPr>
          <w:trHeight w:val="369"/>
        </w:trPr>
        <w:tc>
          <w:tcPr>
            <w:tcW w:w="1872" w:type="dxa"/>
            <w:vMerge/>
          </w:tcPr>
          <w:p w14:paraId="6DD40216" w14:textId="77777777" w:rsidR="00F74C50" w:rsidRPr="000E4461" w:rsidRDefault="00F74C50" w:rsidP="00F74C50">
            <w:pPr>
              <w:pStyle w:val="TableText"/>
            </w:pPr>
          </w:p>
        </w:tc>
        <w:tc>
          <w:tcPr>
            <w:tcW w:w="1843" w:type="dxa"/>
          </w:tcPr>
          <w:p w14:paraId="1FC66A16" w14:textId="784E1F84" w:rsidR="00F74C50" w:rsidRPr="000E4461" w:rsidRDefault="00F74C50" w:rsidP="00F74C50">
            <w:pPr>
              <w:pStyle w:val="TableText"/>
            </w:pPr>
            <w:r>
              <w:t xml:space="preserve">The provisional budget is too ambitious </w:t>
            </w:r>
          </w:p>
        </w:tc>
        <w:tc>
          <w:tcPr>
            <w:tcW w:w="1417" w:type="dxa"/>
          </w:tcPr>
          <w:p w14:paraId="78FE9132" w14:textId="681BFAF8" w:rsidR="00F74C50" w:rsidRPr="000E4461" w:rsidRDefault="00F74C50" w:rsidP="00F74C50">
            <w:pPr>
              <w:pStyle w:val="TableText"/>
            </w:pPr>
            <w:r>
              <w:t>17</w:t>
            </w:r>
          </w:p>
        </w:tc>
        <w:tc>
          <w:tcPr>
            <w:tcW w:w="3096" w:type="dxa"/>
          </w:tcPr>
          <w:p w14:paraId="1477EB37" w14:textId="77777777" w:rsidR="00F74C50" w:rsidRDefault="00F74C50" w:rsidP="00121FC9">
            <w:pPr>
              <w:pStyle w:val="TableBullet"/>
              <w:numPr>
                <w:ilvl w:val="0"/>
                <w:numId w:val="17"/>
              </w:numPr>
            </w:pPr>
            <w:r>
              <w:t xml:space="preserve">Since it may have a negative effect on businesses. </w:t>
            </w:r>
          </w:p>
          <w:p w14:paraId="79610717" w14:textId="57875EC4" w:rsidR="00F74C50" w:rsidRPr="000E4461" w:rsidRDefault="00F74C50" w:rsidP="00121FC9">
            <w:pPr>
              <w:pStyle w:val="TableBullet"/>
              <w:numPr>
                <w:ilvl w:val="0"/>
                <w:numId w:val="17"/>
              </w:numPr>
            </w:pPr>
            <w:r>
              <w:t>Emissions reduction technologies would become cheaper in the future so it would be preferable to start at a lower emissions reduction rate with future increases.</w:t>
            </w:r>
          </w:p>
        </w:tc>
      </w:tr>
      <w:tr w:rsidR="00F74C50" w:rsidRPr="000E4461" w14:paraId="2EE72506" w14:textId="77777777" w:rsidTr="00F74C50">
        <w:trPr>
          <w:trHeight w:val="369"/>
        </w:trPr>
        <w:tc>
          <w:tcPr>
            <w:tcW w:w="1872" w:type="dxa"/>
            <w:vMerge/>
          </w:tcPr>
          <w:p w14:paraId="2BEA5CCA" w14:textId="77777777" w:rsidR="00F74C50" w:rsidRPr="000E4461" w:rsidRDefault="00F74C50" w:rsidP="00F74C50">
            <w:pPr>
              <w:pStyle w:val="TableText"/>
            </w:pPr>
          </w:p>
        </w:tc>
        <w:tc>
          <w:tcPr>
            <w:tcW w:w="1843" w:type="dxa"/>
          </w:tcPr>
          <w:p w14:paraId="58F688BF" w14:textId="7F4B7179" w:rsidR="00F74C50" w:rsidRPr="000E4461" w:rsidRDefault="00F74C50" w:rsidP="00F74C50">
            <w:pPr>
              <w:pStyle w:val="TableText"/>
            </w:pPr>
            <w:r>
              <w:t>The provisional budget requires further analysis</w:t>
            </w:r>
          </w:p>
        </w:tc>
        <w:tc>
          <w:tcPr>
            <w:tcW w:w="1417" w:type="dxa"/>
          </w:tcPr>
          <w:p w14:paraId="04E8FFA7" w14:textId="0C4D1ADB" w:rsidR="00F74C50" w:rsidRPr="000E4461" w:rsidRDefault="00F74C50" w:rsidP="00F74C50">
            <w:pPr>
              <w:pStyle w:val="TableText"/>
            </w:pPr>
            <w:r>
              <w:t>14</w:t>
            </w:r>
          </w:p>
        </w:tc>
        <w:tc>
          <w:tcPr>
            <w:tcW w:w="3096" w:type="dxa"/>
          </w:tcPr>
          <w:p w14:paraId="79A44B3C" w14:textId="050C0C9E" w:rsidR="00F74C50" w:rsidRPr="000E4461" w:rsidRDefault="00F74C50" w:rsidP="00F74C50">
            <w:pPr>
              <w:pStyle w:val="TableText"/>
            </w:pPr>
            <w:r>
              <w:t>These concerns were based around limits or incorrect assumptions within the marginal abatement cost curve (MACC) analysis. Disagreements included technology replacement costs and timing, in the modelling approach and a lack of advice from the Climate Change Commission.</w:t>
            </w:r>
          </w:p>
        </w:tc>
      </w:tr>
      <w:tr w:rsidR="00F74C50" w:rsidRPr="000E4461" w14:paraId="7E701061" w14:textId="77777777" w:rsidTr="00F74C50">
        <w:trPr>
          <w:trHeight w:val="369"/>
        </w:trPr>
        <w:tc>
          <w:tcPr>
            <w:tcW w:w="1872" w:type="dxa"/>
            <w:vMerge/>
          </w:tcPr>
          <w:p w14:paraId="0C058902" w14:textId="77777777" w:rsidR="00F74C50" w:rsidRPr="000E4461" w:rsidRDefault="00F74C50" w:rsidP="00F74C50">
            <w:pPr>
              <w:pStyle w:val="TableText"/>
            </w:pPr>
          </w:p>
        </w:tc>
        <w:tc>
          <w:tcPr>
            <w:tcW w:w="1843" w:type="dxa"/>
          </w:tcPr>
          <w:p w14:paraId="4B65CF18" w14:textId="3A4CC0B2" w:rsidR="00F74C50" w:rsidRPr="000E4461" w:rsidRDefault="00F74C50" w:rsidP="00F74C50">
            <w:pPr>
              <w:pStyle w:val="TableText"/>
            </w:pPr>
            <w:r>
              <w:t>Other issues need to be considered</w:t>
            </w:r>
          </w:p>
        </w:tc>
        <w:tc>
          <w:tcPr>
            <w:tcW w:w="1417" w:type="dxa"/>
          </w:tcPr>
          <w:p w14:paraId="1BC69C7E" w14:textId="2D894874" w:rsidR="00F74C50" w:rsidRPr="000E4461" w:rsidRDefault="00F74C50" w:rsidP="00F74C50">
            <w:pPr>
              <w:pStyle w:val="TableText"/>
            </w:pPr>
            <w:r>
              <w:t>11</w:t>
            </w:r>
          </w:p>
        </w:tc>
        <w:tc>
          <w:tcPr>
            <w:tcW w:w="3096" w:type="dxa"/>
          </w:tcPr>
          <w:p w14:paraId="06AD512D" w14:textId="77777777" w:rsidR="00F74C50" w:rsidRDefault="00F74C50" w:rsidP="00F74C50">
            <w:pPr>
              <w:pStyle w:val="TableText"/>
            </w:pPr>
            <w:r>
              <w:t xml:space="preserve">Three main concerns included: </w:t>
            </w:r>
          </w:p>
          <w:p w14:paraId="420FE651" w14:textId="77777777" w:rsidR="00F74C50" w:rsidRDefault="00F74C50" w:rsidP="00121FC9">
            <w:pPr>
              <w:pStyle w:val="TableBullet"/>
              <w:numPr>
                <w:ilvl w:val="0"/>
                <w:numId w:val="18"/>
              </w:numPr>
            </w:pPr>
            <w:r>
              <w:t>T</w:t>
            </w:r>
            <w:r w:rsidRPr="00CB5021">
              <w:t>he 2050 is a split-gas target, and</w:t>
            </w:r>
            <w:r>
              <w:t xml:space="preserve"> the provisional budget </w:t>
            </w:r>
            <w:r w:rsidRPr="00CB5021">
              <w:t>straight-line methodology does not sufficiently take this into account by simply combining them into a single budget</w:t>
            </w:r>
            <w:r>
              <w:t xml:space="preserve"> and using the mid-point of the</w:t>
            </w:r>
            <w:r w:rsidRPr="00CB5021">
              <w:t xml:space="preserve"> methane target.</w:t>
            </w:r>
            <w:r>
              <w:t xml:space="preserve"> </w:t>
            </w:r>
          </w:p>
          <w:p w14:paraId="77038963" w14:textId="77777777" w:rsidR="00F74C50" w:rsidRDefault="00F74C50" w:rsidP="00121FC9">
            <w:pPr>
              <w:pStyle w:val="TableBullet"/>
              <w:numPr>
                <w:ilvl w:val="0"/>
                <w:numId w:val="18"/>
              </w:numPr>
            </w:pPr>
            <w:r>
              <w:t xml:space="preserve">The ability of the budget to achieve sufficient reductions while still providing such large levels of </w:t>
            </w:r>
            <w:r w:rsidRPr="0021684B">
              <w:rPr>
                <w:i/>
              </w:rPr>
              <w:t>free allocation</w:t>
            </w:r>
            <w:r>
              <w:t>.</w:t>
            </w:r>
          </w:p>
          <w:p w14:paraId="2D6E6045" w14:textId="7A254C0D" w:rsidR="00F74C50" w:rsidRPr="000E4461" w:rsidRDefault="00F74C50" w:rsidP="00121FC9">
            <w:pPr>
              <w:pStyle w:val="TableBullet"/>
              <w:numPr>
                <w:ilvl w:val="0"/>
                <w:numId w:val="18"/>
              </w:numPr>
            </w:pPr>
            <w:r>
              <w:t>T</w:t>
            </w:r>
            <w:r w:rsidRPr="00CB5021">
              <w:t>he budget being entirely based on net</w:t>
            </w:r>
            <w:r>
              <w:t xml:space="preserve"> </w:t>
            </w:r>
            <w:r w:rsidRPr="00CB5021">
              <w:t xml:space="preserve">emissions, and </w:t>
            </w:r>
            <w:r>
              <w:t xml:space="preserve">also </w:t>
            </w:r>
            <w:r w:rsidRPr="00CB5021">
              <w:t>not setting a gross-emissions reduction target</w:t>
            </w:r>
            <w:r>
              <w:t>.</w:t>
            </w:r>
          </w:p>
        </w:tc>
      </w:tr>
      <w:tr w:rsidR="00F74C50" w:rsidRPr="000E4461" w14:paraId="3D44897B" w14:textId="77777777" w:rsidTr="00F74C50">
        <w:trPr>
          <w:trHeight w:val="369"/>
        </w:trPr>
        <w:tc>
          <w:tcPr>
            <w:tcW w:w="1872" w:type="dxa"/>
            <w:vMerge w:val="restart"/>
          </w:tcPr>
          <w:p w14:paraId="317A58AF" w14:textId="66D78D0B" w:rsidR="00F74C50" w:rsidRPr="000E4461" w:rsidRDefault="00F74C50" w:rsidP="00F74C50">
            <w:pPr>
              <w:pStyle w:val="TableText"/>
            </w:pPr>
            <w:r w:rsidRPr="00812D3F">
              <w:t xml:space="preserve">Technical volume adjustments </w:t>
            </w:r>
          </w:p>
        </w:tc>
        <w:tc>
          <w:tcPr>
            <w:tcW w:w="1843" w:type="dxa"/>
          </w:tcPr>
          <w:p w14:paraId="3DA8FB74" w14:textId="764ACF50" w:rsidR="00F74C50" w:rsidRPr="000E4461" w:rsidRDefault="00F74C50" w:rsidP="00F74C50">
            <w:pPr>
              <w:pStyle w:val="TableText"/>
            </w:pPr>
            <w:r>
              <w:t>Support for the proposal</w:t>
            </w:r>
          </w:p>
        </w:tc>
        <w:tc>
          <w:tcPr>
            <w:tcW w:w="1417" w:type="dxa"/>
          </w:tcPr>
          <w:p w14:paraId="16C36EBB" w14:textId="2F00149E" w:rsidR="00F74C50" w:rsidRPr="000E4461" w:rsidRDefault="00F74C50" w:rsidP="00F74C50">
            <w:pPr>
              <w:pStyle w:val="TableText"/>
            </w:pPr>
            <w:r>
              <w:t>31</w:t>
            </w:r>
          </w:p>
        </w:tc>
        <w:tc>
          <w:tcPr>
            <w:tcW w:w="3096" w:type="dxa"/>
          </w:tcPr>
          <w:p w14:paraId="627BAA63" w14:textId="3123C23F" w:rsidR="00F74C50" w:rsidRPr="000E4461" w:rsidRDefault="00F74C50" w:rsidP="00F74C50">
            <w:pPr>
              <w:pStyle w:val="TableText"/>
            </w:pPr>
            <w:r>
              <w:t xml:space="preserve">Support with no elaboration. </w:t>
            </w:r>
          </w:p>
        </w:tc>
      </w:tr>
      <w:tr w:rsidR="00F74C50" w:rsidRPr="000E4461" w14:paraId="01AA1602" w14:textId="77777777" w:rsidTr="00F74C50">
        <w:trPr>
          <w:trHeight w:val="369"/>
        </w:trPr>
        <w:tc>
          <w:tcPr>
            <w:tcW w:w="1872" w:type="dxa"/>
            <w:vMerge/>
          </w:tcPr>
          <w:p w14:paraId="790DFDE4" w14:textId="77777777" w:rsidR="00F74C50" w:rsidRPr="000E4461" w:rsidRDefault="00F74C50" w:rsidP="00F74C50">
            <w:pPr>
              <w:pStyle w:val="TableText"/>
            </w:pPr>
          </w:p>
        </w:tc>
        <w:tc>
          <w:tcPr>
            <w:tcW w:w="1843" w:type="dxa"/>
          </w:tcPr>
          <w:p w14:paraId="28D20A84" w14:textId="43DFC45A" w:rsidR="00F74C50" w:rsidRPr="000E4461" w:rsidRDefault="00F74C50" w:rsidP="00F74C50">
            <w:pPr>
              <w:pStyle w:val="TableText"/>
            </w:pPr>
            <w:r>
              <w:t>Unsure about the proposal</w:t>
            </w:r>
          </w:p>
        </w:tc>
        <w:tc>
          <w:tcPr>
            <w:tcW w:w="1417" w:type="dxa"/>
          </w:tcPr>
          <w:p w14:paraId="1CEA3901" w14:textId="7A7C85E3" w:rsidR="00F74C50" w:rsidRPr="000E4461" w:rsidRDefault="00F74C50" w:rsidP="00F74C50">
            <w:pPr>
              <w:pStyle w:val="TableText"/>
            </w:pPr>
            <w:r>
              <w:t>15</w:t>
            </w:r>
          </w:p>
        </w:tc>
        <w:tc>
          <w:tcPr>
            <w:tcW w:w="3096" w:type="dxa"/>
          </w:tcPr>
          <w:p w14:paraId="6099A70A" w14:textId="16294376" w:rsidR="00F74C50" w:rsidRPr="000E4461" w:rsidRDefault="00F74C50" w:rsidP="00F74C50">
            <w:pPr>
              <w:pStyle w:val="TableText"/>
            </w:pPr>
            <w:r>
              <w:t>No reason mentioned.</w:t>
            </w:r>
          </w:p>
        </w:tc>
      </w:tr>
      <w:tr w:rsidR="00F74C50" w:rsidRPr="000E4461" w14:paraId="5A56636D" w14:textId="77777777" w:rsidTr="00F74C50">
        <w:trPr>
          <w:trHeight w:val="369"/>
        </w:trPr>
        <w:tc>
          <w:tcPr>
            <w:tcW w:w="1872" w:type="dxa"/>
            <w:vMerge/>
          </w:tcPr>
          <w:p w14:paraId="1D88FD04" w14:textId="77777777" w:rsidR="00F74C50" w:rsidRPr="000E4461" w:rsidRDefault="00F74C50" w:rsidP="00F74C50">
            <w:pPr>
              <w:pStyle w:val="TableText"/>
            </w:pPr>
          </w:p>
        </w:tc>
        <w:tc>
          <w:tcPr>
            <w:tcW w:w="1843" w:type="dxa"/>
          </w:tcPr>
          <w:p w14:paraId="2B5F4584" w14:textId="480DD238" w:rsidR="00F74C50" w:rsidRPr="000E4461" w:rsidRDefault="00F74C50" w:rsidP="00F74C50">
            <w:pPr>
              <w:pStyle w:val="TableText"/>
            </w:pPr>
            <w:r>
              <w:t>Additional adjustments should be considered</w:t>
            </w:r>
          </w:p>
        </w:tc>
        <w:tc>
          <w:tcPr>
            <w:tcW w:w="1417" w:type="dxa"/>
          </w:tcPr>
          <w:p w14:paraId="00FAA23D" w14:textId="55468BB4" w:rsidR="00F74C50" w:rsidRPr="000E4461" w:rsidRDefault="00F74C50" w:rsidP="00F74C50">
            <w:pPr>
              <w:pStyle w:val="TableText"/>
            </w:pPr>
            <w:r>
              <w:t>24</w:t>
            </w:r>
          </w:p>
        </w:tc>
        <w:tc>
          <w:tcPr>
            <w:tcW w:w="3096" w:type="dxa"/>
          </w:tcPr>
          <w:p w14:paraId="2A2EA400" w14:textId="0E6A5EAC" w:rsidR="00F74C50" w:rsidRPr="000E4461" w:rsidRDefault="00F74C50" w:rsidP="00F74C50">
            <w:pPr>
              <w:pStyle w:val="TableText"/>
            </w:pPr>
            <w:r>
              <w:t xml:space="preserve">These included </w:t>
            </w:r>
            <w:r>
              <w:rPr>
                <w:rFonts w:cstheme="minorHAnsi"/>
              </w:rPr>
              <w:t xml:space="preserve">the potential need to respond to catastrophic events by increasing the ambition of emissions reductions, considering more appropriate metrics for comparing short- and long-lived gases, voluntary offsetting rules, industrial allocation rules and an auction volume reset. </w:t>
            </w:r>
          </w:p>
        </w:tc>
      </w:tr>
      <w:tr w:rsidR="00F74C50" w:rsidRPr="000E4461" w14:paraId="2E981E2F" w14:textId="77777777" w:rsidTr="00F74C50">
        <w:trPr>
          <w:trHeight w:val="369"/>
        </w:trPr>
        <w:tc>
          <w:tcPr>
            <w:tcW w:w="1872" w:type="dxa"/>
            <w:vMerge w:val="restart"/>
          </w:tcPr>
          <w:p w14:paraId="23ADA063" w14:textId="21BE9DA4" w:rsidR="00F74C50" w:rsidRPr="000E4461" w:rsidRDefault="00F74C50" w:rsidP="00F74C50">
            <w:pPr>
              <w:pStyle w:val="TableText"/>
            </w:pPr>
            <w:r w:rsidRPr="00812D3F">
              <w:t>NZU stockpile reduction principle</w:t>
            </w:r>
          </w:p>
        </w:tc>
        <w:tc>
          <w:tcPr>
            <w:tcW w:w="1843" w:type="dxa"/>
          </w:tcPr>
          <w:p w14:paraId="56EEB38E" w14:textId="28B2560D" w:rsidR="00F74C50" w:rsidRPr="000E4461" w:rsidRDefault="00F74C50" w:rsidP="00F74C50">
            <w:pPr>
              <w:pStyle w:val="TableText"/>
            </w:pPr>
            <w:r>
              <w:t>Support for the proposal</w:t>
            </w:r>
          </w:p>
        </w:tc>
        <w:tc>
          <w:tcPr>
            <w:tcW w:w="1417" w:type="dxa"/>
          </w:tcPr>
          <w:p w14:paraId="1E6B3444" w14:textId="5C9BF069" w:rsidR="00F74C50" w:rsidRPr="000E4461" w:rsidRDefault="00F74C50" w:rsidP="00F74C50">
            <w:pPr>
              <w:pStyle w:val="TableText"/>
            </w:pPr>
            <w:r>
              <w:t>43</w:t>
            </w:r>
          </w:p>
        </w:tc>
        <w:tc>
          <w:tcPr>
            <w:tcW w:w="3096" w:type="dxa"/>
          </w:tcPr>
          <w:p w14:paraId="11C0DAD7" w14:textId="6562D51E" w:rsidR="00F74C50" w:rsidRPr="000E4461" w:rsidRDefault="00F74C50" w:rsidP="00F74C50">
            <w:pPr>
              <w:pStyle w:val="TableText"/>
            </w:pPr>
            <w:r>
              <w:t>To manage</w:t>
            </w:r>
            <w:r>
              <w:rPr>
                <w:rFonts w:cstheme="minorHAnsi"/>
              </w:rPr>
              <w:t xml:space="preserve"> the scale of banked units in the stockpile and agreed reducing annual auction volume was an appropriate way to do this.</w:t>
            </w:r>
          </w:p>
        </w:tc>
      </w:tr>
      <w:tr w:rsidR="00F74C50" w:rsidRPr="000E4461" w14:paraId="365C8765" w14:textId="77777777" w:rsidTr="00F74C50">
        <w:trPr>
          <w:trHeight w:val="369"/>
        </w:trPr>
        <w:tc>
          <w:tcPr>
            <w:tcW w:w="1872" w:type="dxa"/>
            <w:vMerge/>
          </w:tcPr>
          <w:p w14:paraId="69005ACC" w14:textId="77777777" w:rsidR="00F74C50" w:rsidRPr="000E4461" w:rsidRDefault="00F74C50" w:rsidP="00F74C50">
            <w:pPr>
              <w:pStyle w:val="TableText"/>
            </w:pPr>
          </w:p>
        </w:tc>
        <w:tc>
          <w:tcPr>
            <w:tcW w:w="1843" w:type="dxa"/>
          </w:tcPr>
          <w:p w14:paraId="4DA834E0" w14:textId="1B96CC19" w:rsidR="00F74C50" w:rsidRPr="000E4461" w:rsidRDefault="00F74C50" w:rsidP="00F74C50">
            <w:pPr>
              <w:pStyle w:val="TableText"/>
            </w:pPr>
            <w:r>
              <w:t>Unsure about the proposal</w:t>
            </w:r>
          </w:p>
        </w:tc>
        <w:tc>
          <w:tcPr>
            <w:tcW w:w="1417" w:type="dxa"/>
          </w:tcPr>
          <w:p w14:paraId="49015D60" w14:textId="032099A7" w:rsidR="00F74C50" w:rsidRPr="000E4461" w:rsidRDefault="00F74C50" w:rsidP="00F74C50">
            <w:pPr>
              <w:pStyle w:val="TableText"/>
            </w:pPr>
            <w:r>
              <w:t>7</w:t>
            </w:r>
          </w:p>
        </w:tc>
        <w:tc>
          <w:tcPr>
            <w:tcW w:w="3096" w:type="dxa"/>
          </w:tcPr>
          <w:p w14:paraId="54680A35" w14:textId="271972EE" w:rsidR="00F74C50" w:rsidRPr="000E4461" w:rsidRDefault="00F74C50" w:rsidP="00F74C50">
            <w:pPr>
              <w:pStyle w:val="TableText"/>
            </w:pPr>
            <w:r>
              <w:t>‘More analysis required’ to determine the surplus and it would be ineffective if the fixed price option extended for 2020.</w:t>
            </w:r>
          </w:p>
        </w:tc>
      </w:tr>
      <w:tr w:rsidR="00F74C50" w:rsidRPr="000E4461" w14:paraId="555DFB27" w14:textId="77777777" w:rsidTr="00F74C50">
        <w:trPr>
          <w:trHeight w:val="369"/>
        </w:trPr>
        <w:tc>
          <w:tcPr>
            <w:tcW w:w="1872" w:type="dxa"/>
            <w:vMerge/>
          </w:tcPr>
          <w:p w14:paraId="5F0EA1B8" w14:textId="77777777" w:rsidR="00F74C50" w:rsidRPr="000E4461" w:rsidRDefault="00F74C50" w:rsidP="00F74C50">
            <w:pPr>
              <w:pStyle w:val="TableText"/>
            </w:pPr>
          </w:p>
        </w:tc>
        <w:tc>
          <w:tcPr>
            <w:tcW w:w="1843" w:type="dxa"/>
          </w:tcPr>
          <w:p w14:paraId="4F5EF825" w14:textId="3C0A45F9" w:rsidR="00F74C50" w:rsidRPr="000E4461" w:rsidRDefault="00F74C50" w:rsidP="00F74C50">
            <w:pPr>
              <w:pStyle w:val="TableText"/>
            </w:pPr>
            <w:r>
              <w:t>Opposition towards the proposal</w:t>
            </w:r>
          </w:p>
        </w:tc>
        <w:tc>
          <w:tcPr>
            <w:tcW w:w="1417" w:type="dxa"/>
          </w:tcPr>
          <w:p w14:paraId="0962774A" w14:textId="712B3167" w:rsidR="00F74C50" w:rsidRPr="000E4461" w:rsidRDefault="00F74C50" w:rsidP="00F74C50">
            <w:pPr>
              <w:pStyle w:val="TableText"/>
            </w:pPr>
            <w:r>
              <w:t>30</w:t>
            </w:r>
          </w:p>
        </w:tc>
        <w:tc>
          <w:tcPr>
            <w:tcW w:w="3096" w:type="dxa"/>
          </w:tcPr>
          <w:p w14:paraId="2113355B" w14:textId="77777777" w:rsidR="00F74C50" w:rsidRPr="0021684B" w:rsidRDefault="00F74C50" w:rsidP="00121FC9">
            <w:pPr>
              <w:pStyle w:val="TableBullet"/>
              <w:numPr>
                <w:ilvl w:val="0"/>
                <w:numId w:val="19"/>
              </w:numPr>
            </w:pPr>
            <w:r w:rsidRPr="0021684B">
              <w:t xml:space="preserve">Concerned that reducing auction volumes would contribute to NZU prices increasing, and would incentivise market participants to hold onto stockpiled NZUs. </w:t>
            </w:r>
          </w:p>
          <w:p w14:paraId="78F29E20" w14:textId="77777777" w:rsidR="00F74C50" w:rsidRPr="0021684B" w:rsidRDefault="00F74C50" w:rsidP="00121FC9">
            <w:pPr>
              <w:pStyle w:val="TableBullet"/>
              <w:numPr>
                <w:ilvl w:val="0"/>
                <w:numId w:val="19"/>
              </w:numPr>
            </w:pPr>
            <w:r w:rsidRPr="0021684B">
              <w:t xml:space="preserve">Suggested alternative ways to address the stockpile. </w:t>
            </w:r>
          </w:p>
          <w:p w14:paraId="0EA92910" w14:textId="77777777" w:rsidR="00F74C50" w:rsidRPr="0021684B" w:rsidRDefault="00F74C50" w:rsidP="00121FC9">
            <w:pPr>
              <w:pStyle w:val="TableBullet"/>
              <w:numPr>
                <w:ilvl w:val="0"/>
                <w:numId w:val="19"/>
              </w:numPr>
            </w:pPr>
            <w:r w:rsidRPr="0021684B">
              <w:t xml:space="preserve">The stockpile should be cancelled due to the fraudulent nature of previous international units. </w:t>
            </w:r>
          </w:p>
          <w:p w14:paraId="21870F2D" w14:textId="0A9912F9" w:rsidR="00F74C50" w:rsidRPr="000E4461" w:rsidRDefault="00F74C50" w:rsidP="00121FC9">
            <w:pPr>
              <w:pStyle w:val="TableBullet"/>
              <w:numPr>
                <w:ilvl w:val="0"/>
                <w:numId w:val="19"/>
              </w:numPr>
            </w:pPr>
            <w:r w:rsidRPr="0021684B">
              <w:t>Broadly</w:t>
            </w:r>
            <w:r>
              <w:t>,</w:t>
            </w:r>
            <w:r w:rsidRPr="0021684B">
              <w:t xml:space="preserve"> did no support market measures as policies to facilitate emissions reductions, or the concept of participants profiting from receiving units that </w:t>
            </w:r>
            <w:r>
              <w:t>were</w:t>
            </w:r>
            <w:r w:rsidRPr="0021684B">
              <w:t xml:space="preserve"> now of greater value. </w:t>
            </w:r>
          </w:p>
        </w:tc>
      </w:tr>
      <w:tr w:rsidR="00F74C50" w:rsidRPr="000E4461" w14:paraId="6D706F1C" w14:textId="77777777" w:rsidTr="00F74C50">
        <w:trPr>
          <w:trHeight w:val="369"/>
        </w:trPr>
        <w:tc>
          <w:tcPr>
            <w:tcW w:w="1872" w:type="dxa"/>
            <w:vMerge w:val="restart"/>
          </w:tcPr>
          <w:p w14:paraId="2D2D3A13" w14:textId="2D798ADD" w:rsidR="00F74C50" w:rsidRPr="000E4461" w:rsidRDefault="00F74C50" w:rsidP="00F74C50">
            <w:pPr>
              <w:pStyle w:val="TableText"/>
            </w:pPr>
            <w:r w:rsidRPr="00812D3F">
              <w:t xml:space="preserve">NZU stockpile reduction volume </w:t>
            </w:r>
          </w:p>
        </w:tc>
        <w:tc>
          <w:tcPr>
            <w:tcW w:w="1843" w:type="dxa"/>
          </w:tcPr>
          <w:p w14:paraId="3B19BF20" w14:textId="2AD100CD" w:rsidR="00F74C50" w:rsidRPr="000E4461" w:rsidRDefault="00F74C50" w:rsidP="00F74C50">
            <w:pPr>
              <w:pStyle w:val="TableText"/>
            </w:pPr>
            <w:r>
              <w:t>Support for the proposal</w:t>
            </w:r>
          </w:p>
        </w:tc>
        <w:tc>
          <w:tcPr>
            <w:tcW w:w="1417" w:type="dxa"/>
          </w:tcPr>
          <w:p w14:paraId="65C5F6C7" w14:textId="2F187B03" w:rsidR="00F74C50" w:rsidRPr="000E4461" w:rsidRDefault="00F74C50" w:rsidP="00F74C50">
            <w:pPr>
              <w:pStyle w:val="TableText"/>
            </w:pPr>
            <w:r>
              <w:t>21</w:t>
            </w:r>
          </w:p>
        </w:tc>
        <w:tc>
          <w:tcPr>
            <w:tcW w:w="3096" w:type="dxa"/>
          </w:tcPr>
          <w:p w14:paraId="76992D6C" w14:textId="5933E0F4" w:rsidR="00F74C50" w:rsidRPr="000E4461" w:rsidRDefault="00F74C50" w:rsidP="00F74C50">
            <w:pPr>
              <w:pStyle w:val="TableText"/>
            </w:pPr>
            <w:r>
              <w:t>T</w:t>
            </w:r>
            <w:r w:rsidRPr="00FC3DA5">
              <w:t>he volume seemed appropriate</w:t>
            </w:r>
            <w:r>
              <w:t>.</w:t>
            </w:r>
          </w:p>
        </w:tc>
      </w:tr>
      <w:tr w:rsidR="00F74C50" w:rsidRPr="000E4461" w14:paraId="4125E4B1" w14:textId="77777777" w:rsidTr="00F74C50">
        <w:trPr>
          <w:trHeight w:val="369"/>
        </w:trPr>
        <w:tc>
          <w:tcPr>
            <w:tcW w:w="1872" w:type="dxa"/>
            <w:vMerge/>
          </w:tcPr>
          <w:p w14:paraId="56EF31C2" w14:textId="77777777" w:rsidR="00F74C50" w:rsidRPr="000E4461" w:rsidRDefault="00F74C50" w:rsidP="00F74C50">
            <w:pPr>
              <w:pStyle w:val="TableText"/>
            </w:pPr>
          </w:p>
        </w:tc>
        <w:tc>
          <w:tcPr>
            <w:tcW w:w="1843" w:type="dxa"/>
          </w:tcPr>
          <w:p w14:paraId="3154D1E5" w14:textId="3649D9B1" w:rsidR="00F74C50" w:rsidRPr="000E4461" w:rsidRDefault="00F74C50" w:rsidP="00F74C50">
            <w:pPr>
              <w:pStyle w:val="TableText"/>
            </w:pPr>
            <w:r>
              <w:t>Unsure about the proposal</w:t>
            </w:r>
          </w:p>
        </w:tc>
        <w:tc>
          <w:tcPr>
            <w:tcW w:w="1417" w:type="dxa"/>
          </w:tcPr>
          <w:p w14:paraId="1E04FFAE" w14:textId="4A31281A" w:rsidR="00F74C50" w:rsidRPr="000E4461" w:rsidRDefault="00F74C50" w:rsidP="00F74C50">
            <w:pPr>
              <w:pStyle w:val="TableText"/>
            </w:pPr>
            <w:r>
              <w:t>11</w:t>
            </w:r>
          </w:p>
        </w:tc>
        <w:tc>
          <w:tcPr>
            <w:tcW w:w="3096" w:type="dxa"/>
          </w:tcPr>
          <w:p w14:paraId="40D1869C" w14:textId="5ADC4E40" w:rsidR="00F74C50" w:rsidRPr="000E4461" w:rsidRDefault="00F74C50" w:rsidP="00F74C50">
            <w:pPr>
              <w:pStyle w:val="TableText"/>
            </w:pPr>
            <w:r>
              <w:t>D</w:t>
            </w:r>
            <w:r w:rsidRPr="00FC3DA5">
              <w:t>ifficulty in judging an appropriate volume, and not having access to appropriate analysis to make an informed opinion</w:t>
            </w:r>
            <w:r>
              <w:t>.</w:t>
            </w:r>
          </w:p>
        </w:tc>
      </w:tr>
      <w:tr w:rsidR="00F74C50" w:rsidRPr="000E4461" w14:paraId="5EB9BF9F" w14:textId="77777777" w:rsidTr="00F74C50">
        <w:trPr>
          <w:trHeight w:val="369"/>
        </w:trPr>
        <w:tc>
          <w:tcPr>
            <w:tcW w:w="1872" w:type="dxa"/>
            <w:vMerge/>
          </w:tcPr>
          <w:p w14:paraId="41E4233B" w14:textId="77777777" w:rsidR="00F74C50" w:rsidRPr="000E4461" w:rsidRDefault="00F74C50" w:rsidP="00F74C50">
            <w:pPr>
              <w:pStyle w:val="TableText"/>
            </w:pPr>
          </w:p>
        </w:tc>
        <w:tc>
          <w:tcPr>
            <w:tcW w:w="1843" w:type="dxa"/>
          </w:tcPr>
          <w:p w14:paraId="68287801" w14:textId="50B2E12A" w:rsidR="00F74C50" w:rsidRPr="000E4461" w:rsidRDefault="00F74C50" w:rsidP="00F74C50">
            <w:pPr>
              <w:pStyle w:val="TableText"/>
            </w:pPr>
            <w:r>
              <w:t>Opposition towards the proposal</w:t>
            </w:r>
          </w:p>
        </w:tc>
        <w:tc>
          <w:tcPr>
            <w:tcW w:w="1417" w:type="dxa"/>
          </w:tcPr>
          <w:p w14:paraId="7390BBF1" w14:textId="7974E205" w:rsidR="00F74C50" w:rsidRPr="000E4461" w:rsidRDefault="00F74C50" w:rsidP="00F74C50">
            <w:pPr>
              <w:pStyle w:val="TableText"/>
            </w:pPr>
            <w:r>
              <w:t>2</w:t>
            </w:r>
          </w:p>
        </w:tc>
        <w:tc>
          <w:tcPr>
            <w:tcW w:w="3096" w:type="dxa"/>
          </w:tcPr>
          <w:p w14:paraId="1286F6E1" w14:textId="140FCAE3" w:rsidR="00F74C50" w:rsidRPr="000E4461" w:rsidRDefault="00F74C50" w:rsidP="00F74C50">
            <w:pPr>
              <w:pStyle w:val="TableText"/>
            </w:pPr>
            <w:r>
              <w:rPr>
                <w:rFonts w:cstheme="minorHAnsi"/>
              </w:rPr>
              <w:t>A greater reduction in auction volume is necessary.</w:t>
            </w:r>
          </w:p>
        </w:tc>
      </w:tr>
      <w:tr w:rsidR="00F74C50" w:rsidRPr="000E4461" w14:paraId="173EADC9" w14:textId="77777777" w:rsidTr="00F74C50">
        <w:trPr>
          <w:trHeight w:val="369"/>
        </w:trPr>
        <w:tc>
          <w:tcPr>
            <w:tcW w:w="1872" w:type="dxa"/>
            <w:vMerge w:val="restart"/>
          </w:tcPr>
          <w:p w14:paraId="0EDEA7D3" w14:textId="3CE71DB0" w:rsidR="00F74C50" w:rsidRPr="000E4461" w:rsidRDefault="00F74C50" w:rsidP="00F74C50">
            <w:pPr>
              <w:pStyle w:val="TableText"/>
            </w:pPr>
            <w:r w:rsidRPr="00EF38FE">
              <w:t>Steps to reach final auction volumes</w:t>
            </w:r>
          </w:p>
        </w:tc>
        <w:tc>
          <w:tcPr>
            <w:tcW w:w="1843" w:type="dxa"/>
          </w:tcPr>
          <w:p w14:paraId="0ED8FB09" w14:textId="096ABDC3" w:rsidR="00F74C50" w:rsidRPr="000E4461" w:rsidRDefault="00F74C50" w:rsidP="00F74C50">
            <w:pPr>
              <w:pStyle w:val="TableText"/>
            </w:pPr>
            <w:r>
              <w:t>Support for the proposal</w:t>
            </w:r>
          </w:p>
        </w:tc>
        <w:tc>
          <w:tcPr>
            <w:tcW w:w="1417" w:type="dxa"/>
          </w:tcPr>
          <w:p w14:paraId="35233BC9" w14:textId="5EFE86A1" w:rsidR="00F74C50" w:rsidRPr="000E4461" w:rsidRDefault="00F74C50" w:rsidP="00F74C50">
            <w:pPr>
              <w:pStyle w:val="TableText"/>
            </w:pPr>
            <w:r>
              <w:t>25</w:t>
            </w:r>
          </w:p>
        </w:tc>
        <w:tc>
          <w:tcPr>
            <w:tcW w:w="3096" w:type="dxa"/>
          </w:tcPr>
          <w:p w14:paraId="23B94FFF" w14:textId="657FAF72" w:rsidR="00F74C50" w:rsidRPr="000E4461" w:rsidRDefault="00F74C50" w:rsidP="00F74C50">
            <w:pPr>
              <w:pStyle w:val="TableText"/>
            </w:pPr>
            <w:r>
              <w:t>Logical, and the overall methodology seemed sound.</w:t>
            </w:r>
          </w:p>
        </w:tc>
      </w:tr>
      <w:tr w:rsidR="00F74C50" w:rsidRPr="000E4461" w14:paraId="7F132DC5" w14:textId="77777777" w:rsidTr="00F74C50">
        <w:trPr>
          <w:trHeight w:val="369"/>
        </w:trPr>
        <w:tc>
          <w:tcPr>
            <w:tcW w:w="1872" w:type="dxa"/>
            <w:vMerge/>
          </w:tcPr>
          <w:p w14:paraId="380BE3CA" w14:textId="77777777" w:rsidR="00F74C50" w:rsidRPr="000E4461" w:rsidRDefault="00F74C50" w:rsidP="00F74C50">
            <w:pPr>
              <w:pStyle w:val="TableText"/>
            </w:pPr>
          </w:p>
        </w:tc>
        <w:tc>
          <w:tcPr>
            <w:tcW w:w="1843" w:type="dxa"/>
          </w:tcPr>
          <w:p w14:paraId="3B2E7CBF" w14:textId="6E7A83E6" w:rsidR="00F74C50" w:rsidRPr="000E4461" w:rsidRDefault="00F74C50" w:rsidP="00F74C50">
            <w:pPr>
              <w:pStyle w:val="TableText"/>
            </w:pPr>
            <w:r>
              <w:t xml:space="preserve">Opposition towards the proposal </w:t>
            </w:r>
          </w:p>
        </w:tc>
        <w:tc>
          <w:tcPr>
            <w:tcW w:w="1417" w:type="dxa"/>
          </w:tcPr>
          <w:p w14:paraId="0174865B" w14:textId="6D230670" w:rsidR="00F74C50" w:rsidRPr="000E4461" w:rsidRDefault="00F74C50" w:rsidP="00F74C50">
            <w:pPr>
              <w:pStyle w:val="TableText"/>
            </w:pPr>
            <w:r w:rsidRPr="00726164">
              <w:t>4</w:t>
            </w:r>
          </w:p>
        </w:tc>
        <w:tc>
          <w:tcPr>
            <w:tcW w:w="3096" w:type="dxa"/>
          </w:tcPr>
          <w:p w14:paraId="73BAE880" w14:textId="77777777" w:rsidR="00F74C50" w:rsidRPr="00121FC9" w:rsidRDefault="00F74C50" w:rsidP="00121FC9">
            <w:pPr>
              <w:pStyle w:val="TableBullet"/>
              <w:numPr>
                <w:ilvl w:val="0"/>
                <w:numId w:val="20"/>
              </w:numPr>
            </w:pPr>
            <w:r w:rsidRPr="00121FC9">
              <w:t>Insufficient analysis on the impacts of withholding units, and incomplete assessment of appropriate free allocation volume.</w:t>
            </w:r>
          </w:p>
          <w:p w14:paraId="64767367" w14:textId="77777777" w:rsidR="00F74C50" w:rsidRPr="00121FC9" w:rsidRDefault="00F74C50" w:rsidP="00121FC9">
            <w:pPr>
              <w:pStyle w:val="TableBullet"/>
              <w:numPr>
                <w:ilvl w:val="0"/>
                <w:numId w:val="20"/>
              </w:numPr>
            </w:pPr>
            <w:r w:rsidRPr="00121FC9">
              <w:t>Method was too restrictive and subject to manipulation.</w:t>
            </w:r>
          </w:p>
          <w:p w14:paraId="6E52F1CD" w14:textId="2F362ED4" w:rsidR="00F74C50" w:rsidRPr="000E4461" w:rsidRDefault="00F74C50" w:rsidP="00121FC9">
            <w:pPr>
              <w:pStyle w:val="TableBullet"/>
              <w:numPr>
                <w:ilvl w:val="0"/>
                <w:numId w:val="20"/>
              </w:numPr>
            </w:pPr>
            <w:r w:rsidRPr="00121FC9">
              <w:t>Too much burden on ETS participants to reduce.</w:t>
            </w:r>
            <w:r>
              <w:t xml:space="preserve"> </w:t>
            </w:r>
          </w:p>
        </w:tc>
      </w:tr>
      <w:tr w:rsidR="00F74C50" w:rsidRPr="000E4461" w14:paraId="004C9B51" w14:textId="77777777" w:rsidTr="00F74C50">
        <w:trPr>
          <w:trHeight w:val="369"/>
        </w:trPr>
        <w:tc>
          <w:tcPr>
            <w:tcW w:w="1872" w:type="dxa"/>
            <w:vMerge/>
          </w:tcPr>
          <w:p w14:paraId="3B415372" w14:textId="77777777" w:rsidR="00F74C50" w:rsidRPr="000E4461" w:rsidRDefault="00F74C50" w:rsidP="00F74C50">
            <w:pPr>
              <w:pStyle w:val="TableText"/>
            </w:pPr>
          </w:p>
        </w:tc>
        <w:tc>
          <w:tcPr>
            <w:tcW w:w="1843" w:type="dxa"/>
          </w:tcPr>
          <w:p w14:paraId="542B01B9" w14:textId="4CAF50E2" w:rsidR="00F74C50" w:rsidRPr="000E4461" w:rsidRDefault="00F74C50" w:rsidP="00F74C50">
            <w:pPr>
              <w:pStyle w:val="TableText"/>
            </w:pPr>
            <w:r>
              <w:t>Comments on trial auction</w:t>
            </w:r>
          </w:p>
        </w:tc>
        <w:tc>
          <w:tcPr>
            <w:tcW w:w="1417" w:type="dxa"/>
          </w:tcPr>
          <w:p w14:paraId="10EDF0B9" w14:textId="7CBECE15" w:rsidR="00F74C50" w:rsidRPr="000E4461" w:rsidRDefault="00F74C50" w:rsidP="00F74C50">
            <w:pPr>
              <w:pStyle w:val="TableText"/>
            </w:pPr>
            <w:r>
              <w:t>7</w:t>
            </w:r>
          </w:p>
        </w:tc>
        <w:tc>
          <w:tcPr>
            <w:tcW w:w="3096" w:type="dxa"/>
          </w:tcPr>
          <w:p w14:paraId="3EF4EF9E" w14:textId="77777777" w:rsidR="00F74C50" w:rsidRDefault="00F74C50" w:rsidP="00121FC9">
            <w:pPr>
              <w:pStyle w:val="TableBullet"/>
              <w:numPr>
                <w:ilvl w:val="0"/>
                <w:numId w:val="21"/>
              </w:numPr>
            </w:pPr>
            <w:r>
              <w:t>Added additional complexity and an additional 2 million units to the market from outside of a budget.</w:t>
            </w:r>
          </w:p>
          <w:p w14:paraId="55996121" w14:textId="77777777" w:rsidR="00F74C50" w:rsidRDefault="00F74C50" w:rsidP="00121FC9">
            <w:pPr>
              <w:pStyle w:val="TableBullet"/>
              <w:numPr>
                <w:ilvl w:val="0"/>
                <w:numId w:val="21"/>
              </w:numPr>
            </w:pPr>
            <w:r>
              <w:t>If there is a trial volume in 2020, the volume should be deducted from the future budget.</w:t>
            </w:r>
          </w:p>
          <w:p w14:paraId="78301BEE" w14:textId="77777777" w:rsidR="00F74C50" w:rsidRDefault="00F74C50" w:rsidP="00121FC9">
            <w:pPr>
              <w:pStyle w:val="TableBullet"/>
              <w:numPr>
                <w:ilvl w:val="0"/>
                <w:numId w:val="21"/>
              </w:numPr>
            </w:pPr>
            <w:r>
              <w:t>Auction volumes should be higher in the trial.</w:t>
            </w:r>
          </w:p>
          <w:p w14:paraId="1338ACDF" w14:textId="68AC7DB5" w:rsidR="00F74C50" w:rsidRPr="000E4461" w:rsidRDefault="00F74C50" w:rsidP="00121FC9">
            <w:pPr>
              <w:pStyle w:val="TableBullet"/>
              <w:numPr>
                <w:ilvl w:val="0"/>
                <w:numId w:val="21"/>
              </w:numPr>
            </w:pPr>
            <w:r>
              <w:t>Supported the trial.</w:t>
            </w:r>
          </w:p>
        </w:tc>
      </w:tr>
      <w:tr w:rsidR="00121FC9" w:rsidRPr="000E4461" w14:paraId="0ED7B760" w14:textId="77777777" w:rsidTr="00F74C50">
        <w:trPr>
          <w:trHeight w:val="369"/>
        </w:trPr>
        <w:tc>
          <w:tcPr>
            <w:tcW w:w="1872" w:type="dxa"/>
            <w:vMerge w:val="restart"/>
          </w:tcPr>
          <w:p w14:paraId="2DB621FD" w14:textId="1242F6A7" w:rsidR="00121FC9" w:rsidRPr="000E4461" w:rsidRDefault="00121FC9" w:rsidP="00F74C50">
            <w:pPr>
              <w:pStyle w:val="TableText"/>
            </w:pPr>
            <w:r w:rsidRPr="00EF38FE">
              <w:t>Price floor</w:t>
            </w:r>
          </w:p>
        </w:tc>
        <w:tc>
          <w:tcPr>
            <w:tcW w:w="1843" w:type="dxa"/>
          </w:tcPr>
          <w:p w14:paraId="3F42B7D5" w14:textId="2DFD1945" w:rsidR="00121FC9" w:rsidRPr="000E4461" w:rsidRDefault="00121FC9" w:rsidP="00F74C50">
            <w:pPr>
              <w:pStyle w:val="TableText"/>
            </w:pPr>
            <w:r>
              <w:t>Support for the proposal</w:t>
            </w:r>
          </w:p>
        </w:tc>
        <w:tc>
          <w:tcPr>
            <w:tcW w:w="1417" w:type="dxa"/>
          </w:tcPr>
          <w:p w14:paraId="7D9346CF" w14:textId="61BF332C" w:rsidR="00121FC9" w:rsidRPr="000E4461" w:rsidRDefault="00121FC9" w:rsidP="00F74C50">
            <w:pPr>
              <w:pStyle w:val="TableText"/>
            </w:pPr>
            <w:r>
              <w:t>37</w:t>
            </w:r>
          </w:p>
        </w:tc>
        <w:tc>
          <w:tcPr>
            <w:tcW w:w="3096" w:type="dxa"/>
          </w:tcPr>
          <w:p w14:paraId="16106AA3" w14:textId="7F1B0748" w:rsidR="00121FC9" w:rsidRPr="000E4461" w:rsidRDefault="00121FC9" w:rsidP="00F74C50">
            <w:pPr>
              <w:pStyle w:val="TableText"/>
            </w:pPr>
            <w:r>
              <w:t>The business certainty that a minimum value provided for foresters and emitters.</w:t>
            </w:r>
          </w:p>
        </w:tc>
      </w:tr>
      <w:tr w:rsidR="00121FC9" w:rsidRPr="000E4461" w14:paraId="23B60D78" w14:textId="77777777" w:rsidTr="00F74C50">
        <w:trPr>
          <w:trHeight w:val="369"/>
        </w:trPr>
        <w:tc>
          <w:tcPr>
            <w:tcW w:w="1872" w:type="dxa"/>
            <w:vMerge/>
          </w:tcPr>
          <w:p w14:paraId="23EF6530" w14:textId="77777777" w:rsidR="00121FC9" w:rsidRPr="000E4461" w:rsidRDefault="00121FC9" w:rsidP="00F74C50">
            <w:pPr>
              <w:pStyle w:val="TableText"/>
            </w:pPr>
          </w:p>
        </w:tc>
        <w:tc>
          <w:tcPr>
            <w:tcW w:w="1843" w:type="dxa"/>
          </w:tcPr>
          <w:p w14:paraId="3209A354" w14:textId="4AF34F5D" w:rsidR="00121FC9" w:rsidRPr="000E4461" w:rsidRDefault="00121FC9" w:rsidP="00F74C50">
            <w:pPr>
              <w:pStyle w:val="TableText"/>
            </w:pPr>
            <w:r>
              <w:t>Price floor should be higher</w:t>
            </w:r>
          </w:p>
        </w:tc>
        <w:tc>
          <w:tcPr>
            <w:tcW w:w="1417" w:type="dxa"/>
          </w:tcPr>
          <w:p w14:paraId="36CB8C88" w14:textId="73388683" w:rsidR="00121FC9" w:rsidRPr="000E4461" w:rsidRDefault="00121FC9" w:rsidP="00F74C50">
            <w:pPr>
              <w:pStyle w:val="TableText"/>
            </w:pPr>
            <w:r>
              <w:t>34</w:t>
            </w:r>
          </w:p>
        </w:tc>
        <w:tc>
          <w:tcPr>
            <w:tcW w:w="3096" w:type="dxa"/>
          </w:tcPr>
          <w:p w14:paraId="5A8D46B9" w14:textId="77777777" w:rsidR="00121FC9" w:rsidRDefault="00121FC9" w:rsidP="00F54B94">
            <w:pPr>
              <w:pStyle w:val="TableBullet"/>
              <w:numPr>
                <w:ilvl w:val="0"/>
                <w:numId w:val="23"/>
              </w:numPr>
            </w:pPr>
            <w:r>
              <w:t>Cost to businesses of reducing emissions was considered, but no account was being taken of the social cost of carbon.</w:t>
            </w:r>
          </w:p>
          <w:p w14:paraId="78DF2037" w14:textId="77777777" w:rsidR="00121FC9" w:rsidRDefault="00121FC9" w:rsidP="00F54B94">
            <w:pPr>
              <w:pStyle w:val="TableBullet"/>
              <w:numPr>
                <w:ilvl w:val="0"/>
                <w:numId w:val="23"/>
              </w:numPr>
            </w:pPr>
            <w:r>
              <w:t>Preferences ranged from $25, $30, $40, $50 and up to $155.</w:t>
            </w:r>
          </w:p>
          <w:p w14:paraId="39DB0E08" w14:textId="22E3C53C" w:rsidR="00121FC9" w:rsidRPr="000E4461" w:rsidRDefault="00121FC9" w:rsidP="00F54B94">
            <w:pPr>
              <w:pStyle w:val="TableBullet"/>
              <w:numPr>
                <w:ilvl w:val="0"/>
                <w:numId w:val="23"/>
              </w:numPr>
            </w:pPr>
            <w:r>
              <w:t>Price floor should increase over time.</w:t>
            </w:r>
          </w:p>
        </w:tc>
      </w:tr>
      <w:tr w:rsidR="00121FC9" w:rsidRPr="000E4461" w14:paraId="7E898D8D" w14:textId="77777777" w:rsidTr="00F74C50">
        <w:trPr>
          <w:trHeight w:val="369"/>
        </w:trPr>
        <w:tc>
          <w:tcPr>
            <w:tcW w:w="1872" w:type="dxa"/>
            <w:vMerge/>
          </w:tcPr>
          <w:p w14:paraId="7B58386D" w14:textId="77777777" w:rsidR="00121FC9" w:rsidRPr="000E4461" w:rsidRDefault="00121FC9" w:rsidP="00F74C50">
            <w:pPr>
              <w:pStyle w:val="TableText"/>
            </w:pPr>
          </w:p>
        </w:tc>
        <w:tc>
          <w:tcPr>
            <w:tcW w:w="1843" w:type="dxa"/>
          </w:tcPr>
          <w:p w14:paraId="0279AF4D" w14:textId="17124DF7" w:rsidR="00121FC9" w:rsidRPr="000E4461" w:rsidRDefault="00121FC9" w:rsidP="00F74C50">
            <w:pPr>
              <w:pStyle w:val="TableText"/>
            </w:pPr>
            <w:r>
              <w:t>Opposition towards a price floor</w:t>
            </w:r>
          </w:p>
        </w:tc>
        <w:tc>
          <w:tcPr>
            <w:tcW w:w="1417" w:type="dxa"/>
          </w:tcPr>
          <w:p w14:paraId="1146E0A3" w14:textId="3445B4ED" w:rsidR="00121FC9" w:rsidRPr="000E4461" w:rsidRDefault="00121FC9" w:rsidP="00F74C50">
            <w:pPr>
              <w:pStyle w:val="TableText"/>
            </w:pPr>
            <w:r>
              <w:t>17</w:t>
            </w:r>
          </w:p>
        </w:tc>
        <w:tc>
          <w:tcPr>
            <w:tcW w:w="3096" w:type="dxa"/>
          </w:tcPr>
          <w:p w14:paraId="67248184" w14:textId="713ACAC7" w:rsidR="00121FC9" w:rsidRPr="000E4461" w:rsidRDefault="00121FC9" w:rsidP="00F74C50">
            <w:pPr>
              <w:pStyle w:val="TableText"/>
            </w:pPr>
            <w:r>
              <w:t>The opinion is that a free market should not have price controls.</w:t>
            </w:r>
          </w:p>
        </w:tc>
      </w:tr>
      <w:tr w:rsidR="00121FC9" w:rsidRPr="000E4461" w14:paraId="660DB0A6" w14:textId="77777777" w:rsidTr="00F74C50">
        <w:trPr>
          <w:trHeight w:val="369"/>
        </w:trPr>
        <w:tc>
          <w:tcPr>
            <w:tcW w:w="1872" w:type="dxa"/>
            <w:vMerge/>
          </w:tcPr>
          <w:p w14:paraId="2E8AA032" w14:textId="77777777" w:rsidR="00121FC9" w:rsidRPr="000E4461" w:rsidRDefault="00121FC9" w:rsidP="00F74C50">
            <w:pPr>
              <w:pStyle w:val="TableText"/>
            </w:pPr>
          </w:p>
        </w:tc>
        <w:tc>
          <w:tcPr>
            <w:tcW w:w="1843" w:type="dxa"/>
          </w:tcPr>
          <w:p w14:paraId="17306E0A" w14:textId="77821699" w:rsidR="00121FC9" w:rsidRPr="000E4461" w:rsidRDefault="00121FC9" w:rsidP="00F74C50">
            <w:pPr>
              <w:pStyle w:val="TableText"/>
            </w:pPr>
            <w:r>
              <w:t>Unsure</w:t>
            </w:r>
          </w:p>
        </w:tc>
        <w:tc>
          <w:tcPr>
            <w:tcW w:w="1417" w:type="dxa"/>
          </w:tcPr>
          <w:p w14:paraId="37FA413C" w14:textId="54A9D169" w:rsidR="00121FC9" w:rsidRPr="000E4461" w:rsidRDefault="00121FC9" w:rsidP="00F74C50">
            <w:pPr>
              <w:pStyle w:val="TableText"/>
            </w:pPr>
            <w:r>
              <w:t>45</w:t>
            </w:r>
          </w:p>
        </w:tc>
        <w:tc>
          <w:tcPr>
            <w:tcW w:w="3096" w:type="dxa"/>
          </w:tcPr>
          <w:p w14:paraId="16A57F34" w14:textId="11D37D4B" w:rsidR="00121FC9" w:rsidRPr="000E4461" w:rsidRDefault="00121FC9" w:rsidP="00F74C50">
            <w:pPr>
              <w:pStyle w:val="TableText"/>
            </w:pPr>
            <w:r>
              <w:t>No comments on the price floor.</w:t>
            </w:r>
          </w:p>
        </w:tc>
      </w:tr>
      <w:tr w:rsidR="00121FC9" w:rsidRPr="000E4461" w14:paraId="4099557C" w14:textId="77777777" w:rsidTr="00F74C50">
        <w:trPr>
          <w:trHeight w:val="369"/>
        </w:trPr>
        <w:tc>
          <w:tcPr>
            <w:tcW w:w="1872" w:type="dxa"/>
            <w:vMerge w:val="restart"/>
          </w:tcPr>
          <w:p w14:paraId="12EEEADB" w14:textId="797A590B" w:rsidR="00121FC9" w:rsidRPr="000E4461" w:rsidRDefault="00121FC9" w:rsidP="00F74C50">
            <w:pPr>
              <w:pStyle w:val="TableText"/>
            </w:pPr>
            <w:r w:rsidRPr="00EF38FE">
              <w:t>The fixed price option</w:t>
            </w:r>
            <w:r>
              <w:t xml:space="preserve"> </w:t>
            </w:r>
          </w:p>
        </w:tc>
        <w:tc>
          <w:tcPr>
            <w:tcW w:w="1843" w:type="dxa"/>
          </w:tcPr>
          <w:p w14:paraId="72B480BD" w14:textId="65B7010A" w:rsidR="00121FC9" w:rsidRPr="000E4461" w:rsidRDefault="00121FC9" w:rsidP="00F74C50">
            <w:pPr>
              <w:pStyle w:val="TableText"/>
            </w:pPr>
            <w:r>
              <w:t>Support for the proposal</w:t>
            </w:r>
          </w:p>
        </w:tc>
        <w:tc>
          <w:tcPr>
            <w:tcW w:w="1417" w:type="dxa"/>
          </w:tcPr>
          <w:p w14:paraId="11BBC0CF" w14:textId="38AFDB30" w:rsidR="00121FC9" w:rsidRPr="000E4461" w:rsidRDefault="00121FC9" w:rsidP="00F74C50">
            <w:pPr>
              <w:pStyle w:val="TableText"/>
            </w:pPr>
            <w:r>
              <w:t>23</w:t>
            </w:r>
          </w:p>
        </w:tc>
        <w:tc>
          <w:tcPr>
            <w:tcW w:w="3096" w:type="dxa"/>
          </w:tcPr>
          <w:p w14:paraId="6AE07946" w14:textId="4D789242" w:rsidR="00121FC9" w:rsidRPr="000E4461" w:rsidRDefault="00121FC9" w:rsidP="00F74C50">
            <w:pPr>
              <w:pStyle w:val="TableText"/>
            </w:pPr>
            <w:r>
              <w:t>As a transitionary measure to provide predictability about the direction of change and time to adjust.</w:t>
            </w:r>
          </w:p>
        </w:tc>
      </w:tr>
      <w:tr w:rsidR="00121FC9" w:rsidRPr="000E4461" w14:paraId="4FAE10B6" w14:textId="77777777" w:rsidTr="00F74C50">
        <w:trPr>
          <w:trHeight w:val="369"/>
        </w:trPr>
        <w:tc>
          <w:tcPr>
            <w:tcW w:w="1872" w:type="dxa"/>
            <w:vMerge/>
          </w:tcPr>
          <w:p w14:paraId="7A1B1931" w14:textId="77777777" w:rsidR="00121FC9" w:rsidRPr="000E4461" w:rsidRDefault="00121FC9" w:rsidP="00F74C50">
            <w:pPr>
              <w:pStyle w:val="TableText"/>
            </w:pPr>
          </w:p>
        </w:tc>
        <w:tc>
          <w:tcPr>
            <w:tcW w:w="1843" w:type="dxa"/>
          </w:tcPr>
          <w:p w14:paraId="7CA26B93" w14:textId="258FD54E" w:rsidR="00121FC9" w:rsidRPr="000E4461" w:rsidRDefault="00121FC9" w:rsidP="00F74C50">
            <w:pPr>
              <w:pStyle w:val="TableText"/>
            </w:pPr>
            <w:r>
              <w:t>Fixed price option price should be higher</w:t>
            </w:r>
          </w:p>
        </w:tc>
        <w:tc>
          <w:tcPr>
            <w:tcW w:w="1417" w:type="dxa"/>
          </w:tcPr>
          <w:p w14:paraId="7E05F37D" w14:textId="19F6D752" w:rsidR="00121FC9" w:rsidRPr="000E4461" w:rsidRDefault="00121FC9" w:rsidP="00F74C50">
            <w:pPr>
              <w:pStyle w:val="TableText"/>
            </w:pPr>
            <w:r>
              <w:t>25</w:t>
            </w:r>
          </w:p>
        </w:tc>
        <w:tc>
          <w:tcPr>
            <w:tcW w:w="3096" w:type="dxa"/>
          </w:tcPr>
          <w:p w14:paraId="455B03D0" w14:textId="2DAF314B" w:rsidR="00121FC9" w:rsidRPr="000E4461" w:rsidRDefault="00121FC9" w:rsidP="00F74C50">
            <w:pPr>
              <w:pStyle w:val="TableText"/>
            </w:pPr>
            <w:r>
              <w:t>To support greater ambition on emissions reductions and to avoid increasing the stockpile of units in the market.</w:t>
            </w:r>
          </w:p>
        </w:tc>
      </w:tr>
      <w:tr w:rsidR="00121FC9" w:rsidRPr="000E4461" w14:paraId="10ED71E8" w14:textId="77777777" w:rsidTr="00F74C50">
        <w:trPr>
          <w:trHeight w:val="369"/>
        </w:trPr>
        <w:tc>
          <w:tcPr>
            <w:tcW w:w="1872" w:type="dxa"/>
            <w:vMerge/>
          </w:tcPr>
          <w:p w14:paraId="702F9083" w14:textId="77777777" w:rsidR="00121FC9" w:rsidRPr="000E4461" w:rsidRDefault="00121FC9" w:rsidP="00F74C50">
            <w:pPr>
              <w:pStyle w:val="TableText"/>
            </w:pPr>
          </w:p>
        </w:tc>
        <w:tc>
          <w:tcPr>
            <w:tcW w:w="1843" w:type="dxa"/>
          </w:tcPr>
          <w:p w14:paraId="6BC7E44D" w14:textId="3502CF2E" w:rsidR="00121FC9" w:rsidRPr="000E4461" w:rsidRDefault="00121FC9" w:rsidP="00F74C50">
            <w:pPr>
              <w:pStyle w:val="TableText"/>
            </w:pPr>
            <w:r>
              <w:t>Opposition towards fixed price option price increase</w:t>
            </w:r>
          </w:p>
        </w:tc>
        <w:tc>
          <w:tcPr>
            <w:tcW w:w="1417" w:type="dxa"/>
          </w:tcPr>
          <w:p w14:paraId="6E8E61C5" w14:textId="47D2F5BF" w:rsidR="00121FC9" w:rsidRPr="000E4461" w:rsidRDefault="00121FC9" w:rsidP="00F74C50">
            <w:pPr>
              <w:pStyle w:val="TableText"/>
            </w:pPr>
            <w:r>
              <w:t>8</w:t>
            </w:r>
          </w:p>
        </w:tc>
        <w:tc>
          <w:tcPr>
            <w:tcW w:w="3096" w:type="dxa"/>
          </w:tcPr>
          <w:p w14:paraId="6749AFE2" w14:textId="032A78A8" w:rsidR="00121FC9" w:rsidRPr="000E4461" w:rsidRDefault="00121FC9" w:rsidP="00F74C50">
            <w:pPr>
              <w:pStyle w:val="TableText"/>
            </w:pPr>
            <w:r>
              <w:t>Impacts on costs and production and risk of emissions leakage.</w:t>
            </w:r>
          </w:p>
        </w:tc>
      </w:tr>
      <w:tr w:rsidR="00121FC9" w:rsidRPr="000E4461" w14:paraId="404F60AD" w14:textId="77777777" w:rsidTr="00F74C50">
        <w:trPr>
          <w:trHeight w:val="369"/>
        </w:trPr>
        <w:tc>
          <w:tcPr>
            <w:tcW w:w="1872" w:type="dxa"/>
            <w:vMerge/>
          </w:tcPr>
          <w:p w14:paraId="7CE3D85C" w14:textId="77777777" w:rsidR="00121FC9" w:rsidRPr="000E4461" w:rsidRDefault="00121FC9" w:rsidP="00F74C50">
            <w:pPr>
              <w:pStyle w:val="TableText"/>
            </w:pPr>
          </w:p>
        </w:tc>
        <w:tc>
          <w:tcPr>
            <w:tcW w:w="1843" w:type="dxa"/>
          </w:tcPr>
          <w:p w14:paraId="4BF048AB" w14:textId="0F637776" w:rsidR="00121FC9" w:rsidRPr="000E4461" w:rsidRDefault="00121FC9" w:rsidP="00F74C50">
            <w:pPr>
              <w:pStyle w:val="TableText"/>
            </w:pPr>
            <w:r>
              <w:t>Opposition towards proposal because of ‘retrospectivity’</w:t>
            </w:r>
          </w:p>
        </w:tc>
        <w:tc>
          <w:tcPr>
            <w:tcW w:w="1417" w:type="dxa"/>
          </w:tcPr>
          <w:p w14:paraId="5C209CB7" w14:textId="75EAA6B5" w:rsidR="00121FC9" w:rsidRPr="000E4461" w:rsidRDefault="00121FC9" w:rsidP="00F74C50">
            <w:pPr>
              <w:pStyle w:val="TableText"/>
            </w:pPr>
            <w:r>
              <w:t>7</w:t>
            </w:r>
          </w:p>
        </w:tc>
        <w:tc>
          <w:tcPr>
            <w:tcW w:w="3096" w:type="dxa"/>
          </w:tcPr>
          <w:p w14:paraId="6A28F517" w14:textId="460A717A" w:rsidR="00121FC9" w:rsidRPr="000E4461" w:rsidRDefault="00121FC9" w:rsidP="00F74C50">
            <w:pPr>
              <w:pStyle w:val="TableText"/>
            </w:pPr>
            <w:r>
              <w:t>Undermines price certainty given it would apply to activities from the start of 2020.</w:t>
            </w:r>
          </w:p>
        </w:tc>
      </w:tr>
      <w:tr w:rsidR="00121FC9" w:rsidRPr="000E4461" w14:paraId="7286715B" w14:textId="77777777" w:rsidTr="00F74C50">
        <w:trPr>
          <w:trHeight w:val="369"/>
        </w:trPr>
        <w:tc>
          <w:tcPr>
            <w:tcW w:w="1872" w:type="dxa"/>
            <w:vMerge w:val="restart"/>
          </w:tcPr>
          <w:p w14:paraId="1015BE2E" w14:textId="19B03BC0" w:rsidR="00121FC9" w:rsidRPr="000E4461" w:rsidRDefault="00121FC9" w:rsidP="00F74C50">
            <w:pPr>
              <w:pStyle w:val="TableText"/>
            </w:pPr>
            <w:r>
              <w:t>The cost containment reserve trigger price</w:t>
            </w:r>
          </w:p>
        </w:tc>
        <w:tc>
          <w:tcPr>
            <w:tcW w:w="1843" w:type="dxa"/>
          </w:tcPr>
          <w:p w14:paraId="2D2DA994" w14:textId="18F0F3D8" w:rsidR="00121FC9" w:rsidRPr="000E4461" w:rsidRDefault="00121FC9" w:rsidP="00F74C50">
            <w:pPr>
              <w:pStyle w:val="TableText"/>
            </w:pPr>
            <w:r>
              <w:t xml:space="preserve">Price ceiling trigger price should be higher </w:t>
            </w:r>
          </w:p>
        </w:tc>
        <w:tc>
          <w:tcPr>
            <w:tcW w:w="1417" w:type="dxa"/>
          </w:tcPr>
          <w:p w14:paraId="4BCF5574" w14:textId="6EC756B2" w:rsidR="00121FC9" w:rsidRPr="000E4461" w:rsidRDefault="00121FC9" w:rsidP="00F74C50">
            <w:pPr>
              <w:pStyle w:val="TableText"/>
            </w:pPr>
            <w:r>
              <w:t>31</w:t>
            </w:r>
          </w:p>
        </w:tc>
        <w:tc>
          <w:tcPr>
            <w:tcW w:w="3096" w:type="dxa"/>
          </w:tcPr>
          <w:p w14:paraId="6C0E0FF1" w14:textId="7055D177" w:rsidR="00121FC9" w:rsidRPr="000E4461" w:rsidRDefault="00121FC9" w:rsidP="00F74C50">
            <w:pPr>
              <w:pStyle w:val="TableText"/>
            </w:pPr>
            <w:r>
              <w:rPr>
                <w:rFonts w:eastAsia="Times New Roman" w:cs="Calibri"/>
                <w:color w:val="000000"/>
              </w:rPr>
              <w:t>Price on emissions needed to increase considerably to adequately incentivise low emissions investment decisions.</w:t>
            </w:r>
          </w:p>
        </w:tc>
      </w:tr>
      <w:tr w:rsidR="00121FC9" w:rsidRPr="000E4461" w14:paraId="586E8220" w14:textId="77777777" w:rsidTr="00F74C50">
        <w:trPr>
          <w:trHeight w:val="369"/>
        </w:trPr>
        <w:tc>
          <w:tcPr>
            <w:tcW w:w="1872" w:type="dxa"/>
            <w:vMerge/>
          </w:tcPr>
          <w:p w14:paraId="7A7645DA" w14:textId="77777777" w:rsidR="00121FC9" w:rsidRPr="000E4461" w:rsidRDefault="00121FC9" w:rsidP="00F74C50">
            <w:pPr>
              <w:pStyle w:val="TableText"/>
            </w:pPr>
          </w:p>
        </w:tc>
        <w:tc>
          <w:tcPr>
            <w:tcW w:w="1843" w:type="dxa"/>
          </w:tcPr>
          <w:p w14:paraId="2662C577" w14:textId="2751A42A" w:rsidR="00121FC9" w:rsidRPr="000E4461" w:rsidRDefault="00121FC9" w:rsidP="00F74C50">
            <w:pPr>
              <w:pStyle w:val="TableText"/>
            </w:pPr>
            <w:r>
              <w:t>Price ceiling trigger should rise annually</w:t>
            </w:r>
          </w:p>
        </w:tc>
        <w:tc>
          <w:tcPr>
            <w:tcW w:w="1417" w:type="dxa"/>
          </w:tcPr>
          <w:p w14:paraId="363E3714" w14:textId="0213A253" w:rsidR="00121FC9" w:rsidRPr="000E4461" w:rsidRDefault="00121FC9" w:rsidP="00F74C50">
            <w:pPr>
              <w:pStyle w:val="TableText"/>
            </w:pPr>
            <w:r>
              <w:t>15</w:t>
            </w:r>
          </w:p>
        </w:tc>
        <w:tc>
          <w:tcPr>
            <w:tcW w:w="3096" w:type="dxa"/>
          </w:tcPr>
          <w:p w14:paraId="0BD3D3BC" w14:textId="4646ED12" w:rsidR="00121FC9" w:rsidRPr="000E4461" w:rsidRDefault="00121FC9" w:rsidP="00F74C50">
            <w:pPr>
              <w:pStyle w:val="TableText"/>
            </w:pPr>
            <w:r>
              <w:rPr>
                <w:rFonts w:cstheme="minorHAnsi"/>
                <w:shd w:val="clear" w:color="auto" w:fill="FFFFFF"/>
              </w:rPr>
              <w:t>Proposed flat price of $50 for 2021–2025 did not reflect the level and trajectory of international prices and inflation.</w:t>
            </w:r>
          </w:p>
        </w:tc>
      </w:tr>
      <w:tr w:rsidR="00121FC9" w:rsidRPr="000E4461" w14:paraId="77A5C84A" w14:textId="77777777" w:rsidTr="00F74C50">
        <w:trPr>
          <w:trHeight w:val="369"/>
        </w:trPr>
        <w:tc>
          <w:tcPr>
            <w:tcW w:w="1872" w:type="dxa"/>
            <w:vMerge/>
          </w:tcPr>
          <w:p w14:paraId="14877507" w14:textId="77777777" w:rsidR="00121FC9" w:rsidRPr="000E4461" w:rsidRDefault="00121FC9" w:rsidP="00F74C50">
            <w:pPr>
              <w:pStyle w:val="TableText"/>
            </w:pPr>
          </w:p>
        </w:tc>
        <w:tc>
          <w:tcPr>
            <w:tcW w:w="1843" w:type="dxa"/>
          </w:tcPr>
          <w:p w14:paraId="2BA140DF" w14:textId="2A0197BF" w:rsidR="00121FC9" w:rsidRPr="000E4461" w:rsidRDefault="00121FC9" w:rsidP="00F74C50">
            <w:pPr>
              <w:pStyle w:val="TableText"/>
            </w:pPr>
            <w:r>
              <w:t>Support for the proposal</w:t>
            </w:r>
          </w:p>
        </w:tc>
        <w:tc>
          <w:tcPr>
            <w:tcW w:w="1417" w:type="dxa"/>
          </w:tcPr>
          <w:p w14:paraId="64426EBF" w14:textId="1A273A74" w:rsidR="00121FC9" w:rsidRPr="000E4461" w:rsidRDefault="00121FC9" w:rsidP="00F74C50">
            <w:pPr>
              <w:pStyle w:val="TableText"/>
            </w:pPr>
            <w:r>
              <w:t>17</w:t>
            </w:r>
          </w:p>
        </w:tc>
        <w:tc>
          <w:tcPr>
            <w:tcW w:w="3096" w:type="dxa"/>
          </w:tcPr>
          <w:p w14:paraId="639F7704" w14:textId="6DFA333A" w:rsidR="00121FC9" w:rsidRPr="000E4461" w:rsidRDefault="00121FC9" w:rsidP="00F74C50">
            <w:pPr>
              <w:pStyle w:val="TableText"/>
            </w:pPr>
            <w:r w:rsidRPr="00BB23E7">
              <w:t>Focus</w:t>
            </w:r>
            <w:r>
              <w:t>ed</w:t>
            </w:r>
            <w:r w:rsidRPr="00BB23E7">
              <w:t xml:space="preserve"> on the principle of the price ceiling trigger and noted the price of $50 seemed reasonable/appropriate.</w:t>
            </w:r>
          </w:p>
        </w:tc>
      </w:tr>
      <w:tr w:rsidR="00121FC9" w:rsidRPr="000E4461" w14:paraId="3B696887" w14:textId="77777777" w:rsidTr="00F74C50">
        <w:trPr>
          <w:trHeight w:val="369"/>
        </w:trPr>
        <w:tc>
          <w:tcPr>
            <w:tcW w:w="1872" w:type="dxa"/>
            <w:vMerge/>
          </w:tcPr>
          <w:p w14:paraId="5EC8722C" w14:textId="77777777" w:rsidR="00121FC9" w:rsidRPr="000E4461" w:rsidRDefault="00121FC9" w:rsidP="00F74C50">
            <w:pPr>
              <w:pStyle w:val="TableText"/>
            </w:pPr>
          </w:p>
        </w:tc>
        <w:tc>
          <w:tcPr>
            <w:tcW w:w="1843" w:type="dxa"/>
          </w:tcPr>
          <w:p w14:paraId="4AD0F719" w14:textId="328C3607" w:rsidR="00121FC9" w:rsidRPr="000E4461" w:rsidRDefault="00121FC9" w:rsidP="00F74C50">
            <w:pPr>
              <w:pStyle w:val="TableText"/>
            </w:pPr>
            <w:r>
              <w:t>Price ceiling trigger should be lower</w:t>
            </w:r>
          </w:p>
        </w:tc>
        <w:tc>
          <w:tcPr>
            <w:tcW w:w="1417" w:type="dxa"/>
          </w:tcPr>
          <w:p w14:paraId="4DA45040" w14:textId="48016B0E" w:rsidR="00121FC9" w:rsidRPr="000E4461" w:rsidRDefault="00121FC9" w:rsidP="00F74C50">
            <w:pPr>
              <w:pStyle w:val="TableText"/>
            </w:pPr>
            <w:r>
              <w:t>4</w:t>
            </w:r>
          </w:p>
        </w:tc>
        <w:tc>
          <w:tcPr>
            <w:tcW w:w="3096" w:type="dxa"/>
          </w:tcPr>
          <w:p w14:paraId="33A77CBF" w14:textId="7974E0FB" w:rsidR="00121FC9" w:rsidRPr="000E4461" w:rsidRDefault="00121FC9" w:rsidP="00F74C50">
            <w:pPr>
              <w:pStyle w:val="TableText"/>
            </w:pPr>
            <w:r w:rsidRPr="00BB23E7">
              <w:t>Significant rise in emissions price could constrain companies from investing in the transition to lower emissions.</w:t>
            </w:r>
          </w:p>
        </w:tc>
      </w:tr>
      <w:tr w:rsidR="00121FC9" w:rsidRPr="000E4461" w14:paraId="3526DA74" w14:textId="77777777" w:rsidTr="00F74C50">
        <w:trPr>
          <w:trHeight w:val="369"/>
        </w:trPr>
        <w:tc>
          <w:tcPr>
            <w:tcW w:w="1872" w:type="dxa"/>
            <w:vMerge/>
          </w:tcPr>
          <w:p w14:paraId="4DAE7E03" w14:textId="77777777" w:rsidR="00121FC9" w:rsidRPr="000E4461" w:rsidRDefault="00121FC9" w:rsidP="00F74C50">
            <w:pPr>
              <w:pStyle w:val="TableText"/>
            </w:pPr>
          </w:p>
        </w:tc>
        <w:tc>
          <w:tcPr>
            <w:tcW w:w="1843" w:type="dxa"/>
          </w:tcPr>
          <w:p w14:paraId="3A251301" w14:textId="13E808C7" w:rsidR="00121FC9" w:rsidRPr="000E4461" w:rsidRDefault="00121FC9" w:rsidP="00F74C50">
            <w:pPr>
              <w:pStyle w:val="TableText"/>
            </w:pPr>
            <w:r>
              <w:t>Other concerns</w:t>
            </w:r>
          </w:p>
        </w:tc>
        <w:tc>
          <w:tcPr>
            <w:tcW w:w="1417" w:type="dxa"/>
          </w:tcPr>
          <w:p w14:paraId="3B56E601" w14:textId="47A57D0E" w:rsidR="00121FC9" w:rsidRPr="000E4461" w:rsidRDefault="00121FC9" w:rsidP="00F74C50">
            <w:pPr>
              <w:pStyle w:val="TableText"/>
            </w:pPr>
            <w:r>
              <w:t>12</w:t>
            </w:r>
          </w:p>
        </w:tc>
        <w:tc>
          <w:tcPr>
            <w:tcW w:w="3096" w:type="dxa"/>
          </w:tcPr>
          <w:p w14:paraId="32BB55DB" w14:textId="77777777" w:rsidR="00121FC9" w:rsidRPr="00D11D05" w:rsidRDefault="00121FC9" w:rsidP="00F54B94">
            <w:pPr>
              <w:pStyle w:val="TableBullet"/>
              <w:numPr>
                <w:ilvl w:val="0"/>
                <w:numId w:val="24"/>
              </w:numPr>
            </w:pPr>
            <w:r w:rsidRPr="00D11D05">
              <w:t>Unsure about the ability of the cost containment reserve in general to adequately moderate prices</w:t>
            </w:r>
            <w:r>
              <w:t>.</w:t>
            </w:r>
          </w:p>
          <w:p w14:paraId="57D98F3E" w14:textId="77777777" w:rsidR="00121FC9" w:rsidRPr="00D11D05" w:rsidRDefault="00121FC9" w:rsidP="00F54B94">
            <w:pPr>
              <w:pStyle w:val="TableBullet"/>
              <w:numPr>
                <w:ilvl w:val="0"/>
                <w:numId w:val="24"/>
              </w:numPr>
            </w:pPr>
            <w:r w:rsidRPr="00D11D05">
              <w:t>The NZU price should be left to increase over time naturally with no upper limit</w:t>
            </w:r>
            <w:r>
              <w:t>.</w:t>
            </w:r>
          </w:p>
          <w:p w14:paraId="505931D0" w14:textId="77777777" w:rsidR="00121FC9" w:rsidRPr="00D11D05" w:rsidRDefault="00121FC9" w:rsidP="00F54B94">
            <w:pPr>
              <w:pStyle w:val="TableBullet"/>
              <w:numPr>
                <w:ilvl w:val="0"/>
                <w:numId w:val="24"/>
              </w:numPr>
            </w:pPr>
            <w:r w:rsidRPr="00D11D05">
              <w:t>Too many uncertainties in reaching $50 as a proposed price.</w:t>
            </w:r>
          </w:p>
          <w:p w14:paraId="08D8CECF" w14:textId="77777777" w:rsidR="00121FC9" w:rsidRPr="00D11D05" w:rsidRDefault="00121FC9" w:rsidP="00F54B94">
            <w:pPr>
              <w:pStyle w:val="TableBullet"/>
              <w:numPr>
                <w:ilvl w:val="0"/>
                <w:numId w:val="24"/>
              </w:numPr>
            </w:pPr>
            <w:r w:rsidRPr="00D11D05">
              <w:t>Lack of analysis provided on why it was proposed.</w:t>
            </w:r>
          </w:p>
          <w:p w14:paraId="0FC289A3" w14:textId="36310E3F" w:rsidR="00121FC9" w:rsidRPr="00F54B94" w:rsidRDefault="00121FC9" w:rsidP="00F74C50">
            <w:pPr>
              <w:pStyle w:val="TableBullet"/>
              <w:numPr>
                <w:ilvl w:val="0"/>
                <w:numId w:val="24"/>
              </w:numPr>
            </w:pPr>
            <w:r w:rsidRPr="00D11D05">
              <w:t>Market manipulation/distortion.</w:t>
            </w:r>
          </w:p>
        </w:tc>
      </w:tr>
      <w:tr w:rsidR="00121FC9" w:rsidRPr="000E4461" w14:paraId="105C71F4" w14:textId="77777777" w:rsidTr="00F74C50">
        <w:trPr>
          <w:trHeight w:val="369"/>
        </w:trPr>
        <w:tc>
          <w:tcPr>
            <w:tcW w:w="1872" w:type="dxa"/>
            <w:vMerge w:val="restart"/>
          </w:tcPr>
          <w:p w14:paraId="27E58FC2" w14:textId="2C0CEFFF" w:rsidR="00121FC9" w:rsidRPr="000E4461" w:rsidRDefault="00121FC9" w:rsidP="00F74C50">
            <w:pPr>
              <w:pStyle w:val="TableText"/>
            </w:pPr>
            <w:r>
              <w:t xml:space="preserve">The cost containment reserve volumes </w:t>
            </w:r>
          </w:p>
        </w:tc>
        <w:tc>
          <w:tcPr>
            <w:tcW w:w="1843" w:type="dxa"/>
          </w:tcPr>
          <w:p w14:paraId="2CC8CE3C" w14:textId="075FC5E2" w:rsidR="00121FC9" w:rsidRPr="000E4461" w:rsidRDefault="00121FC9" w:rsidP="00F74C50">
            <w:pPr>
              <w:pStyle w:val="TableText"/>
            </w:pPr>
            <w:r>
              <w:t>Support for the proposal</w:t>
            </w:r>
          </w:p>
        </w:tc>
        <w:tc>
          <w:tcPr>
            <w:tcW w:w="1417" w:type="dxa"/>
          </w:tcPr>
          <w:p w14:paraId="2E9C9596" w14:textId="00372F95" w:rsidR="00121FC9" w:rsidRPr="000E4461" w:rsidRDefault="00121FC9" w:rsidP="00F74C50">
            <w:pPr>
              <w:pStyle w:val="TableText"/>
            </w:pPr>
            <w:r>
              <w:t>22</w:t>
            </w:r>
          </w:p>
        </w:tc>
        <w:tc>
          <w:tcPr>
            <w:tcW w:w="3096" w:type="dxa"/>
          </w:tcPr>
          <w:p w14:paraId="48236166" w14:textId="602912FF" w:rsidR="00121FC9" w:rsidRPr="000E4461" w:rsidRDefault="00121FC9" w:rsidP="00F74C50">
            <w:pPr>
              <w:pStyle w:val="TableText"/>
            </w:pPr>
            <w:r>
              <w:t>R</w:t>
            </w:r>
            <w:r w:rsidRPr="00A82311">
              <w:t xml:space="preserve">eleasing the cost containment reserve volume </w:t>
            </w:r>
            <w:r>
              <w:t>was</w:t>
            </w:r>
            <w:r w:rsidRPr="00A82311">
              <w:t xml:space="preserve"> an appropriate way to manage unexpectedly high NZU prices, and 90</w:t>
            </w:r>
            <w:r>
              <w:t xml:space="preserve"> per cent</w:t>
            </w:r>
            <w:r w:rsidRPr="00A82311">
              <w:t xml:space="preserve"> of the difference between forecast net emissions and the proposed unit supply </w:t>
            </w:r>
            <w:r>
              <w:t>was</w:t>
            </w:r>
            <w:r w:rsidRPr="00A82311">
              <w:t xml:space="preserve"> a suitable method of determining the volume.</w:t>
            </w:r>
          </w:p>
        </w:tc>
      </w:tr>
      <w:tr w:rsidR="00121FC9" w:rsidRPr="000E4461" w14:paraId="5AC903AC" w14:textId="77777777" w:rsidTr="00F74C50">
        <w:trPr>
          <w:trHeight w:val="369"/>
        </w:trPr>
        <w:tc>
          <w:tcPr>
            <w:tcW w:w="1872" w:type="dxa"/>
            <w:vMerge/>
          </w:tcPr>
          <w:p w14:paraId="0AE826B1" w14:textId="77777777" w:rsidR="00121FC9" w:rsidRPr="000E4461" w:rsidRDefault="00121FC9" w:rsidP="00F74C50">
            <w:pPr>
              <w:pStyle w:val="TableText"/>
            </w:pPr>
          </w:p>
        </w:tc>
        <w:tc>
          <w:tcPr>
            <w:tcW w:w="1843" w:type="dxa"/>
          </w:tcPr>
          <w:p w14:paraId="072111BF" w14:textId="22CABB1C" w:rsidR="00121FC9" w:rsidRPr="000E4461" w:rsidRDefault="00121FC9" w:rsidP="00F74C50">
            <w:pPr>
              <w:pStyle w:val="TableText"/>
            </w:pPr>
            <w:r>
              <w:t>Opposition towards the proposal</w:t>
            </w:r>
          </w:p>
        </w:tc>
        <w:tc>
          <w:tcPr>
            <w:tcW w:w="1417" w:type="dxa"/>
          </w:tcPr>
          <w:p w14:paraId="1AB28945" w14:textId="5678F205" w:rsidR="00121FC9" w:rsidRPr="000E4461" w:rsidRDefault="00121FC9" w:rsidP="00F74C50">
            <w:pPr>
              <w:pStyle w:val="TableText"/>
            </w:pPr>
            <w:r>
              <w:t>30</w:t>
            </w:r>
          </w:p>
        </w:tc>
        <w:tc>
          <w:tcPr>
            <w:tcW w:w="3096" w:type="dxa"/>
          </w:tcPr>
          <w:p w14:paraId="78E98347" w14:textId="77777777" w:rsidR="00121FC9" w:rsidRPr="00D11D05" w:rsidRDefault="00121FC9" w:rsidP="00F54B94">
            <w:pPr>
              <w:pStyle w:val="TableBullet"/>
              <w:numPr>
                <w:ilvl w:val="0"/>
                <w:numId w:val="25"/>
              </w:numPr>
            </w:pPr>
            <w:r w:rsidRPr="00D11D05">
              <w:t>Focused on the threat to the environmental integrity of the scheme through releasing cost containment reserve volumes.</w:t>
            </w:r>
          </w:p>
          <w:p w14:paraId="315E365A" w14:textId="77777777" w:rsidR="00121FC9" w:rsidRPr="00D11D05" w:rsidRDefault="00121FC9" w:rsidP="00F54B94">
            <w:pPr>
              <w:pStyle w:val="TableBullet"/>
              <w:numPr>
                <w:ilvl w:val="0"/>
                <w:numId w:val="25"/>
              </w:numPr>
            </w:pPr>
            <w:r w:rsidRPr="00D11D05">
              <w:t>The perception the proposed cost containment reserve volume was tight, and might unduly increase the NZU price in the 2020</w:t>
            </w:r>
            <w:r>
              <w:t>–</w:t>
            </w:r>
            <w:r w:rsidRPr="00D11D05">
              <w:t>25 period.</w:t>
            </w:r>
          </w:p>
          <w:p w14:paraId="4E48D2BA" w14:textId="0657E268" w:rsidR="00121FC9" w:rsidRPr="000E4461" w:rsidRDefault="00121FC9" w:rsidP="00F54B94">
            <w:pPr>
              <w:pStyle w:val="TableBullet"/>
              <w:numPr>
                <w:ilvl w:val="0"/>
                <w:numId w:val="25"/>
              </w:numPr>
            </w:pPr>
            <w:r w:rsidRPr="00D11D05">
              <w:t xml:space="preserve">Concerns about a depleted cost containment reserve. </w:t>
            </w:r>
          </w:p>
        </w:tc>
      </w:tr>
      <w:tr w:rsidR="00121FC9" w:rsidRPr="000E4461" w14:paraId="077384BA" w14:textId="77777777" w:rsidTr="00F74C50">
        <w:trPr>
          <w:trHeight w:val="369"/>
        </w:trPr>
        <w:tc>
          <w:tcPr>
            <w:tcW w:w="1872" w:type="dxa"/>
            <w:vMerge/>
          </w:tcPr>
          <w:p w14:paraId="6E25DE2B" w14:textId="77777777" w:rsidR="00121FC9" w:rsidRPr="000E4461" w:rsidRDefault="00121FC9" w:rsidP="00F74C50">
            <w:pPr>
              <w:pStyle w:val="TableText"/>
            </w:pPr>
          </w:p>
        </w:tc>
        <w:tc>
          <w:tcPr>
            <w:tcW w:w="1843" w:type="dxa"/>
          </w:tcPr>
          <w:p w14:paraId="3DC8FA4D" w14:textId="74955CBC" w:rsidR="00121FC9" w:rsidRPr="000E4461" w:rsidRDefault="00121FC9" w:rsidP="00F74C50">
            <w:pPr>
              <w:pStyle w:val="TableText"/>
            </w:pPr>
            <w:r>
              <w:t>Unsure about the proposal</w:t>
            </w:r>
          </w:p>
        </w:tc>
        <w:tc>
          <w:tcPr>
            <w:tcW w:w="1417" w:type="dxa"/>
          </w:tcPr>
          <w:p w14:paraId="62373E5A" w14:textId="211397E7" w:rsidR="00121FC9" w:rsidRPr="000E4461" w:rsidRDefault="00121FC9" w:rsidP="00F74C50">
            <w:pPr>
              <w:pStyle w:val="TableText"/>
            </w:pPr>
            <w:r>
              <w:t>12</w:t>
            </w:r>
          </w:p>
        </w:tc>
        <w:tc>
          <w:tcPr>
            <w:tcW w:w="3096" w:type="dxa"/>
          </w:tcPr>
          <w:p w14:paraId="07B73949" w14:textId="77777777" w:rsidR="00121FC9" w:rsidRPr="00D11D05" w:rsidRDefault="00121FC9" w:rsidP="00F54B94">
            <w:pPr>
              <w:pStyle w:val="TableBullet"/>
              <w:numPr>
                <w:ilvl w:val="0"/>
                <w:numId w:val="26"/>
              </w:numPr>
            </w:pPr>
            <w:r w:rsidRPr="00D11D05">
              <w:t xml:space="preserve">Uncertainties about whether the mechanism </w:t>
            </w:r>
            <w:r>
              <w:t>was</w:t>
            </w:r>
            <w:r w:rsidRPr="00D11D05">
              <w:t xml:space="preserve"> necessary</w:t>
            </w:r>
            <w:r>
              <w:t>.</w:t>
            </w:r>
            <w:r w:rsidRPr="00D11D05">
              <w:t xml:space="preserve"> </w:t>
            </w:r>
          </w:p>
          <w:p w14:paraId="7C5FEF7D" w14:textId="1B1D5A1F" w:rsidR="00121FC9" w:rsidRPr="000E4461" w:rsidRDefault="00121FC9" w:rsidP="00F54B94">
            <w:pPr>
              <w:pStyle w:val="TableBullet"/>
              <w:numPr>
                <w:ilvl w:val="0"/>
                <w:numId w:val="26"/>
              </w:numPr>
            </w:pPr>
            <w:r>
              <w:t>T</w:t>
            </w:r>
            <w:r w:rsidRPr="00D11D05">
              <w:t>he proposed volume was contingent on the level of the price ceiling trigger</w:t>
            </w:r>
            <w:r>
              <w:t>.</w:t>
            </w:r>
          </w:p>
        </w:tc>
      </w:tr>
      <w:tr w:rsidR="00121FC9" w:rsidRPr="000E4461" w14:paraId="5BE3E246" w14:textId="77777777" w:rsidTr="00F74C50">
        <w:trPr>
          <w:trHeight w:val="369"/>
        </w:trPr>
        <w:tc>
          <w:tcPr>
            <w:tcW w:w="1872" w:type="dxa"/>
            <w:vMerge/>
          </w:tcPr>
          <w:p w14:paraId="4A4F1B1F" w14:textId="77777777" w:rsidR="00121FC9" w:rsidRPr="000E4461" w:rsidRDefault="00121FC9" w:rsidP="00F74C50">
            <w:pPr>
              <w:pStyle w:val="TableText"/>
            </w:pPr>
          </w:p>
        </w:tc>
        <w:tc>
          <w:tcPr>
            <w:tcW w:w="1843" w:type="dxa"/>
          </w:tcPr>
          <w:p w14:paraId="57D04256" w14:textId="50171E5E" w:rsidR="00121FC9" w:rsidRPr="000E4461" w:rsidRDefault="00121FC9" w:rsidP="00F74C50">
            <w:pPr>
              <w:pStyle w:val="TableText"/>
            </w:pPr>
            <w:r>
              <w:t xml:space="preserve">Other </w:t>
            </w:r>
          </w:p>
        </w:tc>
        <w:tc>
          <w:tcPr>
            <w:tcW w:w="1417" w:type="dxa"/>
          </w:tcPr>
          <w:p w14:paraId="6B8DC16B" w14:textId="21F4E473" w:rsidR="00121FC9" w:rsidRPr="000E4461" w:rsidRDefault="00121FC9" w:rsidP="00F74C50">
            <w:pPr>
              <w:pStyle w:val="TableText"/>
            </w:pPr>
            <w:r>
              <w:t>3</w:t>
            </w:r>
          </w:p>
        </w:tc>
        <w:tc>
          <w:tcPr>
            <w:tcW w:w="3096" w:type="dxa"/>
          </w:tcPr>
          <w:p w14:paraId="38422074" w14:textId="4AECE39F" w:rsidR="00121FC9" w:rsidRPr="000E4461" w:rsidRDefault="00121FC9" w:rsidP="00F74C50">
            <w:pPr>
              <w:pStyle w:val="TableText"/>
            </w:pPr>
            <w:r>
              <w:rPr>
                <w:rFonts w:cstheme="minorHAnsi"/>
              </w:rPr>
              <w:t>Submitters emphasised the importance of understanding the impact on the market and the potential for market manipulation.</w:t>
            </w:r>
          </w:p>
        </w:tc>
      </w:tr>
      <w:tr w:rsidR="00121FC9" w:rsidRPr="000E4461" w14:paraId="064A08E9" w14:textId="77777777" w:rsidTr="00F74C50">
        <w:trPr>
          <w:trHeight w:val="369"/>
        </w:trPr>
        <w:tc>
          <w:tcPr>
            <w:tcW w:w="1872" w:type="dxa"/>
            <w:vMerge w:val="restart"/>
          </w:tcPr>
          <w:p w14:paraId="1412EACE" w14:textId="7CE52E6A" w:rsidR="00121FC9" w:rsidRPr="000E4461" w:rsidRDefault="00121FC9" w:rsidP="00F74C50">
            <w:pPr>
              <w:pStyle w:val="TableText"/>
            </w:pPr>
            <w:r>
              <w:t>Release of NZ ETS settings information</w:t>
            </w:r>
          </w:p>
        </w:tc>
        <w:tc>
          <w:tcPr>
            <w:tcW w:w="1843" w:type="dxa"/>
          </w:tcPr>
          <w:p w14:paraId="34C6A300" w14:textId="7F3288AC" w:rsidR="00121FC9" w:rsidRPr="000E4461" w:rsidRDefault="00121FC9" w:rsidP="00F74C50">
            <w:pPr>
              <w:pStyle w:val="TableText"/>
            </w:pPr>
            <w:r>
              <w:t>Support for the proposal</w:t>
            </w:r>
          </w:p>
        </w:tc>
        <w:tc>
          <w:tcPr>
            <w:tcW w:w="1417" w:type="dxa"/>
          </w:tcPr>
          <w:p w14:paraId="4367F963" w14:textId="50B22B8A" w:rsidR="00121FC9" w:rsidRPr="000E4461" w:rsidRDefault="00121FC9" w:rsidP="00F74C50">
            <w:pPr>
              <w:pStyle w:val="TableText"/>
            </w:pPr>
            <w:r>
              <w:t>46</w:t>
            </w:r>
          </w:p>
        </w:tc>
        <w:tc>
          <w:tcPr>
            <w:tcW w:w="3096" w:type="dxa"/>
          </w:tcPr>
          <w:p w14:paraId="06D72243" w14:textId="5E3D2D1D" w:rsidR="00121FC9" w:rsidRPr="000E4461" w:rsidRDefault="00121FC9" w:rsidP="00F74C50">
            <w:pPr>
              <w:pStyle w:val="TableText"/>
            </w:pPr>
            <w:r>
              <w:rPr>
                <w:rFonts w:cstheme="minorHAnsi"/>
              </w:rPr>
              <w:t xml:space="preserve">Supported the greater transparency, market stability, certainty and confidence that this method provided. </w:t>
            </w:r>
          </w:p>
        </w:tc>
      </w:tr>
      <w:tr w:rsidR="00121FC9" w:rsidRPr="000E4461" w14:paraId="54CA081A" w14:textId="77777777" w:rsidTr="00F74C50">
        <w:trPr>
          <w:trHeight w:val="369"/>
        </w:trPr>
        <w:tc>
          <w:tcPr>
            <w:tcW w:w="1872" w:type="dxa"/>
            <w:vMerge/>
          </w:tcPr>
          <w:p w14:paraId="276C3A44" w14:textId="77777777" w:rsidR="00121FC9" w:rsidRPr="000E4461" w:rsidRDefault="00121FC9" w:rsidP="00F74C50">
            <w:pPr>
              <w:pStyle w:val="TableText"/>
            </w:pPr>
          </w:p>
        </w:tc>
        <w:tc>
          <w:tcPr>
            <w:tcW w:w="1843" w:type="dxa"/>
          </w:tcPr>
          <w:p w14:paraId="7E03FB45" w14:textId="6BF8A586" w:rsidR="00121FC9" w:rsidRPr="000E4461" w:rsidRDefault="00121FC9" w:rsidP="00F74C50">
            <w:pPr>
              <w:pStyle w:val="TableText"/>
            </w:pPr>
            <w:r>
              <w:t>Unsure about the proposal</w:t>
            </w:r>
          </w:p>
        </w:tc>
        <w:tc>
          <w:tcPr>
            <w:tcW w:w="1417" w:type="dxa"/>
          </w:tcPr>
          <w:p w14:paraId="79CB8B96" w14:textId="3CF2E66A" w:rsidR="00121FC9" w:rsidRPr="000E4461" w:rsidRDefault="00121FC9" w:rsidP="00F74C50">
            <w:pPr>
              <w:pStyle w:val="TableText"/>
            </w:pPr>
            <w:r>
              <w:t>8</w:t>
            </w:r>
          </w:p>
        </w:tc>
        <w:tc>
          <w:tcPr>
            <w:tcW w:w="3096" w:type="dxa"/>
          </w:tcPr>
          <w:p w14:paraId="4D7E372A" w14:textId="77777777" w:rsidR="00121FC9" w:rsidRDefault="00121FC9" w:rsidP="00F74C50">
            <w:pPr>
              <w:pStyle w:val="TableText"/>
              <w:rPr>
                <w:rFonts w:cstheme="minorHAnsi"/>
              </w:rPr>
            </w:pPr>
            <w:r>
              <w:rPr>
                <w:rFonts w:cstheme="minorHAnsi"/>
              </w:rPr>
              <w:t>Approach appeared complex.</w:t>
            </w:r>
          </w:p>
          <w:p w14:paraId="10B6EDB6" w14:textId="77777777" w:rsidR="00121FC9" w:rsidRPr="000E4461" w:rsidRDefault="00121FC9" w:rsidP="00F74C50">
            <w:pPr>
              <w:pStyle w:val="TableText"/>
            </w:pPr>
          </w:p>
        </w:tc>
      </w:tr>
      <w:tr w:rsidR="00121FC9" w:rsidRPr="000E4461" w14:paraId="3AAF3906" w14:textId="77777777" w:rsidTr="00F74C50">
        <w:trPr>
          <w:trHeight w:val="369"/>
        </w:trPr>
        <w:tc>
          <w:tcPr>
            <w:tcW w:w="1872" w:type="dxa"/>
            <w:vMerge/>
          </w:tcPr>
          <w:p w14:paraId="3D014C36" w14:textId="77777777" w:rsidR="00121FC9" w:rsidRPr="000E4461" w:rsidRDefault="00121FC9" w:rsidP="00F74C50">
            <w:pPr>
              <w:pStyle w:val="TableText"/>
            </w:pPr>
          </w:p>
        </w:tc>
        <w:tc>
          <w:tcPr>
            <w:tcW w:w="1843" w:type="dxa"/>
          </w:tcPr>
          <w:p w14:paraId="75D59A1E" w14:textId="7E172B1C" w:rsidR="00121FC9" w:rsidRPr="000E4461" w:rsidRDefault="00121FC9" w:rsidP="00F74C50">
            <w:pPr>
              <w:pStyle w:val="TableText"/>
            </w:pPr>
            <w:r>
              <w:t xml:space="preserve">Opposition towards the proposal </w:t>
            </w:r>
          </w:p>
        </w:tc>
        <w:tc>
          <w:tcPr>
            <w:tcW w:w="1417" w:type="dxa"/>
          </w:tcPr>
          <w:p w14:paraId="1E865D52" w14:textId="59DDBDBE" w:rsidR="00121FC9" w:rsidRPr="000E4461" w:rsidRDefault="00121FC9" w:rsidP="00F74C50">
            <w:pPr>
              <w:pStyle w:val="TableText"/>
            </w:pPr>
            <w:r>
              <w:t>9</w:t>
            </w:r>
          </w:p>
        </w:tc>
        <w:tc>
          <w:tcPr>
            <w:tcW w:w="3096" w:type="dxa"/>
          </w:tcPr>
          <w:p w14:paraId="23B6E656" w14:textId="2AC50382" w:rsidR="00121FC9" w:rsidRPr="000E4461" w:rsidRDefault="00121FC9" w:rsidP="00F74C50">
            <w:pPr>
              <w:pStyle w:val="TableText"/>
            </w:pPr>
            <w:r>
              <w:t>No reason specified.</w:t>
            </w:r>
          </w:p>
        </w:tc>
      </w:tr>
    </w:tbl>
    <w:p w14:paraId="48C979E4" w14:textId="77777777" w:rsidR="00F54B94" w:rsidRDefault="00F54B94" w:rsidP="00F54B94">
      <w:pPr>
        <w:pStyle w:val="Heading1"/>
        <w:ind w:left="360" w:hanging="360"/>
      </w:pPr>
      <w:bookmarkStart w:id="23" w:name="_Toc40703438"/>
      <w:r>
        <w:lastRenderedPageBreak/>
        <w:t>Appendix 2: Analysis of submissions</w:t>
      </w:r>
      <w:bookmarkEnd w:id="23"/>
    </w:p>
    <w:p w14:paraId="7455FB76" w14:textId="77777777" w:rsidR="00F54B94" w:rsidRDefault="00F54B94" w:rsidP="00F54B94">
      <w:pPr>
        <w:pStyle w:val="BodyText"/>
      </w:pPr>
      <w:r>
        <w:t xml:space="preserve">We used an online tool to process submissions. Submitters either used the online submission form or emailed their submission directly to us. One submission was hand written. </w:t>
      </w:r>
    </w:p>
    <w:p w14:paraId="219CE3B1" w14:textId="77777777" w:rsidR="00F54B94" w:rsidRDefault="00F54B94" w:rsidP="00F54B94">
      <w:pPr>
        <w:pStyle w:val="BodyText"/>
      </w:pPr>
      <w:r>
        <w:t>We gave each submission a unique identification number and classified it according to the submitter type (such as individual, business/industry, NGO). If no type was selected, we made a selection based on the content of the submission.</w:t>
      </w:r>
    </w:p>
    <w:p w14:paraId="1AD7C0AA" w14:textId="77777777" w:rsidR="00F54B94" w:rsidRDefault="00F54B94" w:rsidP="00F54B94">
      <w:pPr>
        <w:pStyle w:val="BodyText"/>
      </w:pPr>
      <w:r>
        <w:t>A small number of parties sent more than one submission document. In these cases, we logged all documents as a single combined submission to avoid duplication.</w:t>
      </w:r>
    </w:p>
    <w:p w14:paraId="6206F88C" w14:textId="77777777" w:rsidR="00F54B94" w:rsidRPr="00FF52F5" w:rsidRDefault="00F54B94" w:rsidP="00F54B94">
      <w:pPr>
        <w:pStyle w:val="BodyText"/>
      </w:pPr>
      <w:r>
        <w:t xml:space="preserve">Our analysts received instructions and guidance to ensure their analysis was consistent across all submissions. We made every effort to ensure this document accurately summarises the overall feedback on the consultation document and its proposals. However, we cannot guarantee this report reflects all views.  </w:t>
      </w:r>
    </w:p>
    <w:p w14:paraId="4079F4F1" w14:textId="77777777" w:rsidR="00F54B94" w:rsidRDefault="00F54B94" w:rsidP="00F54B94">
      <w:pPr>
        <w:rPr>
          <w:rFonts w:eastAsia="Times New Roman" w:cstheme="majorBidi"/>
          <w:b/>
          <w:color w:val="1C556C"/>
          <w:sz w:val="48"/>
          <w:szCs w:val="32"/>
        </w:rPr>
      </w:pPr>
      <w:r>
        <w:br w:type="page"/>
      </w:r>
    </w:p>
    <w:p w14:paraId="21B6927A" w14:textId="77777777" w:rsidR="00F54B94" w:rsidRPr="00F54B94" w:rsidRDefault="00F54B94" w:rsidP="00F54B94">
      <w:pPr>
        <w:pStyle w:val="Heading1"/>
      </w:pPr>
      <w:bookmarkStart w:id="24" w:name="_Toc40703439"/>
      <w:r w:rsidRPr="00F54B94">
        <w:lastRenderedPageBreak/>
        <w:t>Appendix 3: Conventions used in this document</w:t>
      </w:r>
      <w:bookmarkEnd w:id="24"/>
    </w:p>
    <w:p w14:paraId="741E0C63" w14:textId="77777777" w:rsidR="00F54B94" w:rsidRDefault="00F54B94" w:rsidP="00F54B94">
      <w:pPr>
        <w:pStyle w:val="BodyText"/>
      </w:pPr>
      <w:r>
        <w:t xml:space="preserve">Where we have used numbers when referring to the submitters who supported or opposed specific proposals, these are based on our interpretation of the submissions. We established protocols to ensure as much consistency in interpretation as possible. </w:t>
      </w:r>
    </w:p>
    <w:p w14:paraId="3FCE2967" w14:textId="77777777" w:rsidR="00F54B94" w:rsidRDefault="00F54B94" w:rsidP="00F54B94">
      <w:pPr>
        <w:pStyle w:val="BodyText"/>
      </w:pPr>
      <w:r>
        <w:t xml:space="preserve">Submitters did not always identify whether they agreed, disagreed or were ambivalent to proposals, even when they gave comments. If comments appeared to strongly support or oppose a proposal, we entered a selection on behalf of the submitter. </w:t>
      </w:r>
    </w:p>
    <w:p w14:paraId="63171C92" w14:textId="77777777" w:rsidR="00F54B94" w:rsidRPr="00594B21" w:rsidRDefault="00F54B94" w:rsidP="00F54B94">
      <w:pPr>
        <w:pStyle w:val="BodyText"/>
      </w:pPr>
      <w:r>
        <w:t xml:space="preserve">This document includes selected quotations. We have selected quotations for their value in illustrating issues or because they express points in a way that is difficult to paraphrase without losing the original meaning. Their inclusion here does not mean we have given these submissions more weight than other submissions we have not cited. </w:t>
      </w:r>
    </w:p>
    <w:p w14:paraId="08B00A2C" w14:textId="77777777" w:rsidR="00F54B94" w:rsidRPr="00FF52F5" w:rsidRDefault="00F54B94" w:rsidP="00F54B94"/>
    <w:p w14:paraId="6482FA7F" w14:textId="77777777" w:rsidR="00F54B94" w:rsidRDefault="00F54B94" w:rsidP="00F54B94">
      <w:pPr>
        <w:rPr>
          <w:rFonts w:eastAsia="Times New Roman" w:cstheme="majorBidi"/>
          <w:b/>
          <w:color w:val="1C556C"/>
          <w:sz w:val="48"/>
          <w:szCs w:val="32"/>
        </w:rPr>
      </w:pPr>
      <w:r>
        <w:br w:type="page"/>
      </w:r>
    </w:p>
    <w:p w14:paraId="09332AC5" w14:textId="38C17BA6" w:rsidR="00390056" w:rsidRDefault="00F54B94" w:rsidP="00F54B94">
      <w:pPr>
        <w:pStyle w:val="Heading1"/>
      </w:pPr>
      <w:bookmarkStart w:id="25" w:name="_Toc40703440"/>
      <w:r>
        <w:lastRenderedPageBreak/>
        <w:t>Appendix 4: List of submitters</w:t>
      </w:r>
      <w:bookmarkEnd w:id="25"/>
    </w:p>
    <w:tbl>
      <w:tblPr>
        <w:tblStyle w:val="TableGrid"/>
        <w:tblW w:w="8505" w:type="dxa"/>
        <w:tblInd w:w="113"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2439"/>
        <w:gridCol w:w="6066"/>
      </w:tblGrid>
      <w:tr w:rsidR="00F54B94" w:rsidRPr="001021AC" w14:paraId="4FCDB396" w14:textId="77777777" w:rsidTr="00F54B94">
        <w:trPr>
          <w:tblHeader/>
        </w:trPr>
        <w:tc>
          <w:tcPr>
            <w:tcW w:w="2439" w:type="dxa"/>
            <w:shd w:val="clear" w:color="auto" w:fill="1C556C"/>
          </w:tcPr>
          <w:p w14:paraId="21D21F77" w14:textId="282EE168" w:rsidR="00F54B94" w:rsidRPr="001021AC" w:rsidRDefault="00F54B94" w:rsidP="001021AC">
            <w:pPr>
              <w:pStyle w:val="TableText"/>
              <w:rPr>
                <w:b/>
                <w:color w:val="FFFFFF" w:themeColor="background1"/>
              </w:rPr>
            </w:pPr>
            <w:r w:rsidRPr="001021AC">
              <w:rPr>
                <w:b/>
                <w:color w:val="FFFFFF" w:themeColor="background1"/>
              </w:rPr>
              <w:t>Submission reference number</w:t>
            </w:r>
          </w:p>
        </w:tc>
        <w:tc>
          <w:tcPr>
            <w:tcW w:w="6066" w:type="dxa"/>
            <w:shd w:val="clear" w:color="auto" w:fill="1C556C"/>
          </w:tcPr>
          <w:p w14:paraId="150DDC6B" w14:textId="32521ECB" w:rsidR="00F54B94" w:rsidRPr="001021AC" w:rsidRDefault="00F54B94" w:rsidP="001021AC">
            <w:pPr>
              <w:pStyle w:val="TableText"/>
              <w:rPr>
                <w:b/>
                <w:color w:val="FFFFFF" w:themeColor="background1"/>
              </w:rPr>
            </w:pPr>
            <w:r w:rsidRPr="001021AC">
              <w:rPr>
                <w:b/>
                <w:color w:val="FFFFFF" w:themeColor="background1"/>
              </w:rPr>
              <w:t>Submitter name</w:t>
            </w:r>
          </w:p>
        </w:tc>
      </w:tr>
      <w:tr w:rsidR="001021AC" w:rsidRPr="00A4562A" w14:paraId="1019400E" w14:textId="77777777" w:rsidTr="00481A31">
        <w:tc>
          <w:tcPr>
            <w:tcW w:w="2439" w:type="dxa"/>
            <w:shd w:val="clear" w:color="auto" w:fill="auto"/>
            <w:vAlign w:val="bottom"/>
          </w:tcPr>
          <w:p w14:paraId="77D4BFB4" w14:textId="50DC853E" w:rsidR="001021AC" w:rsidRPr="006B77BB" w:rsidRDefault="001021AC" w:rsidP="001021AC">
            <w:pPr>
              <w:pStyle w:val="TableText"/>
            </w:pPr>
            <w:r w:rsidRPr="0049407B">
              <w:rPr>
                <w:rFonts w:eastAsia="Times New Roman" w:cs="Calibri"/>
                <w:color w:val="000000"/>
              </w:rPr>
              <w:t>1</w:t>
            </w:r>
          </w:p>
        </w:tc>
        <w:tc>
          <w:tcPr>
            <w:tcW w:w="6066" w:type="dxa"/>
            <w:shd w:val="clear" w:color="auto" w:fill="auto"/>
            <w:vAlign w:val="bottom"/>
          </w:tcPr>
          <w:p w14:paraId="37CB5F71" w14:textId="36F07729" w:rsidR="001021AC" w:rsidRPr="006B77BB" w:rsidRDefault="001021AC" w:rsidP="001021AC">
            <w:pPr>
              <w:pStyle w:val="TableText"/>
            </w:pPr>
            <w:r>
              <w:rPr>
                <w:rFonts w:eastAsia="Times New Roman" w:cs="Calibri"/>
                <w:color w:val="000000"/>
              </w:rPr>
              <w:t xml:space="preserve">Name withheld on request </w:t>
            </w:r>
          </w:p>
        </w:tc>
      </w:tr>
      <w:tr w:rsidR="001021AC" w:rsidRPr="006B77BB" w14:paraId="1DC85705" w14:textId="77777777" w:rsidTr="00481A31">
        <w:tc>
          <w:tcPr>
            <w:tcW w:w="2439" w:type="dxa"/>
            <w:vAlign w:val="bottom"/>
          </w:tcPr>
          <w:p w14:paraId="33BB0FEF" w14:textId="7AF75BA4" w:rsidR="001021AC" w:rsidRPr="006B77BB" w:rsidRDefault="001021AC" w:rsidP="001021AC">
            <w:pPr>
              <w:pStyle w:val="TableText"/>
            </w:pPr>
            <w:r w:rsidRPr="0049407B">
              <w:rPr>
                <w:rFonts w:eastAsia="Times New Roman" w:cs="Calibri"/>
                <w:color w:val="000000"/>
              </w:rPr>
              <w:t>2</w:t>
            </w:r>
          </w:p>
        </w:tc>
        <w:tc>
          <w:tcPr>
            <w:tcW w:w="6066" w:type="dxa"/>
            <w:vAlign w:val="bottom"/>
          </w:tcPr>
          <w:p w14:paraId="2A5F1C2B" w14:textId="37434945" w:rsidR="001021AC" w:rsidRPr="006B77BB" w:rsidRDefault="001021AC" w:rsidP="001021AC">
            <w:pPr>
              <w:pStyle w:val="TableText"/>
            </w:pPr>
            <w:r>
              <w:rPr>
                <w:rFonts w:eastAsia="Times New Roman" w:cs="Calibri"/>
                <w:color w:val="000000"/>
              </w:rPr>
              <w:t>Name withheld on request</w:t>
            </w:r>
          </w:p>
        </w:tc>
      </w:tr>
      <w:tr w:rsidR="001021AC" w:rsidRPr="006B77BB" w14:paraId="446CB878" w14:textId="77777777" w:rsidTr="00481A31">
        <w:tc>
          <w:tcPr>
            <w:tcW w:w="2439" w:type="dxa"/>
            <w:vAlign w:val="bottom"/>
          </w:tcPr>
          <w:p w14:paraId="5119DEF6" w14:textId="2B5EB349" w:rsidR="001021AC" w:rsidRPr="006B77BB" w:rsidRDefault="001021AC" w:rsidP="001021AC">
            <w:pPr>
              <w:pStyle w:val="TableText"/>
            </w:pPr>
            <w:r w:rsidRPr="0049407B">
              <w:rPr>
                <w:rFonts w:eastAsia="Times New Roman" w:cs="Calibri"/>
                <w:color w:val="000000"/>
              </w:rPr>
              <w:t>3</w:t>
            </w:r>
          </w:p>
        </w:tc>
        <w:tc>
          <w:tcPr>
            <w:tcW w:w="6066" w:type="dxa"/>
            <w:vAlign w:val="bottom"/>
          </w:tcPr>
          <w:p w14:paraId="688B55F0" w14:textId="6B10BB7A" w:rsidR="001021AC" w:rsidRPr="006B77BB" w:rsidRDefault="001021AC" w:rsidP="001021AC">
            <w:pPr>
              <w:pStyle w:val="TableText"/>
            </w:pPr>
            <w:r>
              <w:rPr>
                <w:rFonts w:eastAsia="Times New Roman" w:cs="Calibri"/>
                <w:color w:val="000000"/>
              </w:rPr>
              <w:t>Name withheld on request</w:t>
            </w:r>
          </w:p>
        </w:tc>
      </w:tr>
      <w:tr w:rsidR="001021AC" w:rsidRPr="006B77BB" w14:paraId="1FA510AB" w14:textId="77777777" w:rsidTr="00481A31">
        <w:tc>
          <w:tcPr>
            <w:tcW w:w="2439" w:type="dxa"/>
            <w:vAlign w:val="bottom"/>
          </w:tcPr>
          <w:p w14:paraId="09E438A8" w14:textId="7BF52DDB" w:rsidR="001021AC" w:rsidRPr="006B77BB" w:rsidRDefault="001021AC" w:rsidP="001021AC">
            <w:pPr>
              <w:pStyle w:val="TableText"/>
            </w:pPr>
            <w:r w:rsidRPr="0049407B">
              <w:rPr>
                <w:rFonts w:eastAsia="Times New Roman" w:cs="Calibri"/>
                <w:color w:val="000000"/>
              </w:rPr>
              <w:t>5</w:t>
            </w:r>
          </w:p>
        </w:tc>
        <w:tc>
          <w:tcPr>
            <w:tcW w:w="6066" w:type="dxa"/>
            <w:vAlign w:val="bottom"/>
          </w:tcPr>
          <w:p w14:paraId="135E31B1" w14:textId="07ED1230" w:rsidR="001021AC" w:rsidRPr="006B77BB" w:rsidRDefault="001021AC" w:rsidP="001021AC">
            <w:pPr>
              <w:pStyle w:val="TableText"/>
            </w:pPr>
            <w:r>
              <w:rPr>
                <w:rFonts w:eastAsia="Times New Roman" w:cs="Calibri"/>
                <w:color w:val="000000"/>
              </w:rPr>
              <w:t>Name withheld on request</w:t>
            </w:r>
          </w:p>
        </w:tc>
      </w:tr>
      <w:tr w:rsidR="001021AC" w:rsidRPr="006B77BB" w14:paraId="0829CCAC" w14:textId="77777777" w:rsidTr="00481A31">
        <w:tc>
          <w:tcPr>
            <w:tcW w:w="2439" w:type="dxa"/>
            <w:vAlign w:val="bottom"/>
          </w:tcPr>
          <w:p w14:paraId="058D19B4" w14:textId="2CDF7702" w:rsidR="001021AC" w:rsidRPr="006B77BB" w:rsidRDefault="001021AC" w:rsidP="001021AC">
            <w:pPr>
              <w:pStyle w:val="TableText"/>
            </w:pPr>
            <w:r w:rsidRPr="0049407B">
              <w:rPr>
                <w:rFonts w:eastAsia="Times New Roman" w:cs="Calibri"/>
                <w:color w:val="000000"/>
              </w:rPr>
              <w:t>6</w:t>
            </w:r>
          </w:p>
        </w:tc>
        <w:tc>
          <w:tcPr>
            <w:tcW w:w="6066" w:type="dxa"/>
            <w:vAlign w:val="bottom"/>
          </w:tcPr>
          <w:p w14:paraId="111FB32F" w14:textId="13E54AB7" w:rsidR="001021AC" w:rsidRPr="006B77BB" w:rsidRDefault="001021AC" w:rsidP="001021AC">
            <w:pPr>
              <w:pStyle w:val="TableText"/>
            </w:pPr>
            <w:r w:rsidRPr="0049407B">
              <w:rPr>
                <w:rFonts w:eastAsia="Times New Roman" w:cs="Calibri"/>
                <w:color w:val="000000"/>
              </w:rPr>
              <w:t>Aigis Forestry Limited</w:t>
            </w:r>
          </w:p>
        </w:tc>
      </w:tr>
      <w:tr w:rsidR="001021AC" w:rsidRPr="006B77BB" w14:paraId="3E8BADB8" w14:textId="77777777" w:rsidTr="00481A31">
        <w:tc>
          <w:tcPr>
            <w:tcW w:w="2439" w:type="dxa"/>
            <w:vAlign w:val="bottom"/>
          </w:tcPr>
          <w:p w14:paraId="3AFDF49E" w14:textId="5E7010CA" w:rsidR="001021AC" w:rsidRPr="006B77BB" w:rsidRDefault="001021AC" w:rsidP="001021AC">
            <w:pPr>
              <w:pStyle w:val="TableText"/>
            </w:pPr>
            <w:r w:rsidRPr="0049407B">
              <w:rPr>
                <w:rFonts w:eastAsia="Times New Roman" w:cs="Calibri"/>
                <w:color w:val="000000"/>
              </w:rPr>
              <w:t>7</w:t>
            </w:r>
          </w:p>
        </w:tc>
        <w:tc>
          <w:tcPr>
            <w:tcW w:w="6066" w:type="dxa"/>
            <w:vAlign w:val="bottom"/>
          </w:tcPr>
          <w:p w14:paraId="3B9E2F5C" w14:textId="0C410C13" w:rsidR="001021AC" w:rsidRPr="006B77BB" w:rsidRDefault="001021AC" w:rsidP="001021AC">
            <w:pPr>
              <w:pStyle w:val="TableText"/>
            </w:pPr>
            <w:r w:rsidRPr="0049407B">
              <w:rPr>
                <w:rFonts w:eastAsia="Times New Roman" w:cs="Calibri"/>
                <w:color w:val="000000"/>
              </w:rPr>
              <w:t>Brigham Investments Limited</w:t>
            </w:r>
          </w:p>
        </w:tc>
      </w:tr>
      <w:tr w:rsidR="001021AC" w:rsidRPr="006B77BB" w14:paraId="4EFD2A8E" w14:textId="77777777" w:rsidTr="00481A31">
        <w:tc>
          <w:tcPr>
            <w:tcW w:w="2439" w:type="dxa"/>
            <w:vAlign w:val="bottom"/>
          </w:tcPr>
          <w:p w14:paraId="72493175" w14:textId="3678DD97" w:rsidR="001021AC" w:rsidRPr="006B77BB" w:rsidRDefault="001021AC" w:rsidP="001021AC">
            <w:pPr>
              <w:pStyle w:val="TableText"/>
            </w:pPr>
            <w:r w:rsidRPr="0049407B">
              <w:rPr>
                <w:rFonts w:eastAsia="Times New Roman" w:cs="Calibri"/>
                <w:color w:val="000000"/>
              </w:rPr>
              <w:t>8</w:t>
            </w:r>
          </w:p>
        </w:tc>
        <w:tc>
          <w:tcPr>
            <w:tcW w:w="6066" w:type="dxa"/>
            <w:vAlign w:val="bottom"/>
          </w:tcPr>
          <w:p w14:paraId="7CFB47C4" w14:textId="55D9B588" w:rsidR="001021AC" w:rsidRPr="006B77BB" w:rsidRDefault="001021AC" w:rsidP="001021AC">
            <w:pPr>
              <w:pStyle w:val="TableText"/>
            </w:pPr>
            <w:r>
              <w:rPr>
                <w:rFonts w:eastAsia="Times New Roman" w:cs="Calibri"/>
                <w:color w:val="000000"/>
              </w:rPr>
              <w:t>Name withheld on request</w:t>
            </w:r>
          </w:p>
        </w:tc>
      </w:tr>
      <w:tr w:rsidR="001021AC" w:rsidRPr="006B77BB" w14:paraId="74C7A73C" w14:textId="77777777" w:rsidTr="00481A31">
        <w:tc>
          <w:tcPr>
            <w:tcW w:w="2439" w:type="dxa"/>
            <w:vAlign w:val="bottom"/>
          </w:tcPr>
          <w:p w14:paraId="352761DC" w14:textId="1C160DC8" w:rsidR="001021AC" w:rsidRPr="006B77BB" w:rsidRDefault="001021AC" w:rsidP="001021AC">
            <w:pPr>
              <w:pStyle w:val="TableText"/>
            </w:pPr>
            <w:r w:rsidRPr="0049407B">
              <w:rPr>
                <w:rFonts w:eastAsia="Times New Roman" w:cs="Calibri"/>
                <w:color w:val="000000"/>
              </w:rPr>
              <w:t>9</w:t>
            </w:r>
          </w:p>
        </w:tc>
        <w:tc>
          <w:tcPr>
            <w:tcW w:w="6066" w:type="dxa"/>
            <w:vAlign w:val="bottom"/>
          </w:tcPr>
          <w:p w14:paraId="42E20ADD" w14:textId="151B704D" w:rsidR="001021AC" w:rsidRPr="006B77BB" w:rsidRDefault="001021AC" w:rsidP="001021AC">
            <w:pPr>
              <w:pStyle w:val="TableText"/>
            </w:pPr>
            <w:r w:rsidRPr="0049407B">
              <w:rPr>
                <w:rFonts w:eastAsia="Times New Roman" w:cs="Calibri"/>
                <w:color w:val="000000"/>
              </w:rPr>
              <w:t>Andrew Phillips</w:t>
            </w:r>
          </w:p>
        </w:tc>
      </w:tr>
      <w:tr w:rsidR="001021AC" w:rsidRPr="006B77BB" w14:paraId="4AE322A5" w14:textId="77777777" w:rsidTr="00481A31">
        <w:tc>
          <w:tcPr>
            <w:tcW w:w="2439" w:type="dxa"/>
            <w:vAlign w:val="bottom"/>
          </w:tcPr>
          <w:p w14:paraId="1C13A4B5" w14:textId="58AFE7C1" w:rsidR="001021AC" w:rsidRPr="006B77BB" w:rsidRDefault="001021AC" w:rsidP="001021AC">
            <w:pPr>
              <w:pStyle w:val="TableText"/>
            </w:pPr>
            <w:r w:rsidRPr="0049407B">
              <w:rPr>
                <w:rFonts w:eastAsia="Times New Roman" w:cs="Calibri"/>
                <w:color w:val="000000"/>
              </w:rPr>
              <w:t>10</w:t>
            </w:r>
          </w:p>
        </w:tc>
        <w:tc>
          <w:tcPr>
            <w:tcW w:w="6066" w:type="dxa"/>
            <w:vAlign w:val="bottom"/>
          </w:tcPr>
          <w:p w14:paraId="38A27159" w14:textId="6F5AB046" w:rsidR="001021AC" w:rsidRPr="006B77BB" w:rsidRDefault="001021AC" w:rsidP="001021AC">
            <w:pPr>
              <w:pStyle w:val="TableText"/>
            </w:pPr>
            <w:r w:rsidRPr="0049407B">
              <w:rPr>
                <w:rFonts w:eastAsia="Times New Roman" w:cs="Calibri"/>
                <w:color w:val="000000"/>
              </w:rPr>
              <w:t>Gregory Peebles</w:t>
            </w:r>
          </w:p>
        </w:tc>
      </w:tr>
      <w:tr w:rsidR="001021AC" w:rsidRPr="006B77BB" w14:paraId="5ADFF9B1" w14:textId="77777777" w:rsidTr="00481A31">
        <w:tc>
          <w:tcPr>
            <w:tcW w:w="2439" w:type="dxa"/>
            <w:vAlign w:val="bottom"/>
          </w:tcPr>
          <w:p w14:paraId="4C1B1EEE" w14:textId="0529737B" w:rsidR="001021AC" w:rsidRPr="006B77BB" w:rsidRDefault="001021AC" w:rsidP="001021AC">
            <w:pPr>
              <w:pStyle w:val="TableText"/>
            </w:pPr>
            <w:r w:rsidRPr="0049407B">
              <w:rPr>
                <w:rFonts w:eastAsia="Times New Roman" w:cs="Calibri"/>
                <w:color w:val="000000"/>
              </w:rPr>
              <w:t>11</w:t>
            </w:r>
          </w:p>
        </w:tc>
        <w:tc>
          <w:tcPr>
            <w:tcW w:w="6066" w:type="dxa"/>
            <w:vAlign w:val="bottom"/>
          </w:tcPr>
          <w:p w14:paraId="477E7F21" w14:textId="223FE783" w:rsidR="001021AC" w:rsidRPr="006B77BB" w:rsidRDefault="001021AC" w:rsidP="001021AC">
            <w:pPr>
              <w:pStyle w:val="TableText"/>
            </w:pPr>
            <w:r>
              <w:rPr>
                <w:rFonts w:eastAsia="Times New Roman" w:cs="Calibri"/>
                <w:color w:val="000000"/>
              </w:rPr>
              <w:t>Name withheld on request</w:t>
            </w:r>
          </w:p>
        </w:tc>
      </w:tr>
      <w:tr w:rsidR="001021AC" w:rsidRPr="006B77BB" w14:paraId="0B75E2D4" w14:textId="77777777" w:rsidTr="00481A31">
        <w:tc>
          <w:tcPr>
            <w:tcW w:w="2439" w:type="dxa"/>
            <w:vAlign w:val="bottom"/>
          </w:tcPr>
          <w:p w14:paraId="401D828A" w14:textId="08A15E6A" w:rsidR="001021AC" w:rsidRPr="006B77BB" w:rsidRDefault="001021AC" w:rsidP="001021AC">
            <w:pPr>
              <w:pStyle w:val="TableText"/>
            </w:pPr>
            <w:r w:rsidRPr="0049407B">
              <w:rPr>
                <w:rFonts w:eastAsia="Times New Roman" w:cs="Calibri"/>
                <w:color w:val="000000"/>
              </w:rPr>
              <w:t>12</w:t>
            </w:r>
          </w:p>
        </w:tc>
        <w:tc>
          <w:tcPr>
            <w:tcW w:w="6066" w:type="dxa"/>
            <w:vAlign w:val="bottom"/>
          </w:tcPr>
          <w:p w14:paraId="4725AD4B" w14:textId="31AFC979" w:rsidR="001021AC" w:rsidRPr="006B77BB" w:rsidRDefault="001021AC" w:rsidP="001021AC">
            <w:pPr>
              <w:pStyle w:val="TableText"/>
            </w:pPr>
            <w:r w:rsidRPr="0049407B">
              <w:rPr>
                <w:rFonts w:eastAsia="Times New Roman" w:cs="Calibri"/>
                <w:color w:val="000000"/>
              </w:rPr>
              <w:t>Robert Coates</w:t>
            </w:r>
          </w:p>
        </w:tc>
      </w:tr>
      <w:tr w:rsidR="001021AC" w:rsidRPr="006B77BB" w14:paraId="5CC9DA12" w14:textId="77777777" w:rsidTr="00481A31">
        <w:tc>
          <w:tcPr>
            <w:tcW w:w="2439" w:type="dxa"/>
            <w:vAlign w:val="bottom"/>
          </w:tcPr>
          <w:p w14:paraId="201FD8B9" w14:textId="3FD0ECF1" w:rsidR="001021AC" w:rsidRPr="006B77BB" w:rsidRDefault="001021AC" w:rsidP="001021AC">
            <w:pPr>
              <w:pStyle w:val="TableText"/>
            </w:pPr>
            <w:r w:rsidRPr="0049407B">
              <w:rPr>
                <w:rFonts w:eastAsia="Times New Roman" w:cs="Calibri"/>
                <w:color w:val="000000"/>
              </w:rPr>
              <w:t>13</w:t>
            </w:r>
          </w:p>
        </w:tc>
        <w:tc>
          <w:tcPr>
            <w:tcW w:w="6066" w:type="dxa"/>
            <w:vAlign w:val="bottom"/>
          </w:tcPr>
          <w:p w14:paraId="00C9E7AF" w14:textId="4D1EA60D" w:rsidR="001021AC" w:rsidRPr="006B77BB" w:rsidRDefault="001021AC" w:rsidP="001021AC">
            <w:pPr>
              <w:pStyle w:val="TableText"/>
            </w:pPr>
            <w:r w:rsidRPr="0049407B">
              <w:rPr>
                <w:rFonts w:eastAsia="Times New Roman" w:cs="Calibri"/>
                <w:color w:val="000000"/>
              </w:rPr>
              <w:t>Paul Callister</w:t>
            </w:r>
          </w:p>
        </w:tc>
      </w:tr>
      <w:tr w:rsidR="001021AC" w:rsidRPr="006B77BB" w14:paraId="73D8BB9A" w14:textId="77777777" w:rsidTr="00481A31">
        <w:tc>
          <w:tcPr>
            <w:tcW w:w="2439" w:type="dxa"/>
            <w:vAlign w:val="bottom"/>
          </w:tcPr>
          <w:p w14:paraId="1A9ACB9C" w14:textId="2BD52C06" w:rsidR="001021AC" w:rsidRPr="006B77BB" w:rsidRDefault="001021AC" w:rsidP="001021AC">
            <w:pPr>
              <w:pStyle w:val="TableText"/>
            </w:pPr>
            <w:r w:rsidRPr="0049407B">
              <w:rPr>
                <w:rFonts w:eastAsia="Times New Roman" w:cs="Calibri"/>
                <w:color w:val="000000"/>
              </w:rPr>
              <w:t>14</w:t>
            </w:r>
          </w:p>
        </w:tc>
        <w:tc>
          <w:tcPr>
            <w:tcW w:w="6066" w:type="dxa"/>
            <w:vAlign w:val="bottom"/>
          </w:tcPr>
          <w:p w14:paraId="3F81DBC4" w14:textId="2C0699DA" w:rsidR="001021AC" w:rsidRPr="006B77BB" w:rsidRDefault="001021AC" w:rsidP="001021AC">
            <w:pPr>
              <w:pStyle w:val="TableText"/>
            </w:pPr>
            <w:r w:rsidRPr="0049407B">
              <w:rPr>
                <w:rFonts w:eastAsia="Times New Roman" w:cs="Calibri"/>
                <w:color w:val="000000"/>
              </w:rPr>
              <w:t>Mangatu Blocks Incorporation</w:t>
            </w:r>
          </w:p>
        </w:tc>
      </w:tr>
      <w:tr w:rsidR="001021AC" w:rsidRPr="006B77BB" w14:paraId="15AD744C" w14:textId="77777777" w:rsidTr="00481A31">
        <w:tc>
          <w:tcPr>
            <w:tcW w:w="2439" w:type="dxa"/>
            <w:vAlign w:val="bottom"/>
          </w:tcPr>
          <w:p w14:paraId="2D7B9411" w14:textId="14491877" w:rsidR="001021AC" w:rsidRPr="006B77BB" w:rsidRDefault="001021AC" w:rsidP="001021AC">
            <w:pPr>
              <w:pStyle w:val="TableText"/>
            </w:pPr>
            <w:r w:rsidRPr="0049407B">
              <w:rPr>
                <w:rFonts w:eastAsia="Times New Roman" w:cs="Calibri"/>
                <w:color w:val="000000"/>
              </w:rPr>
              <w:t>16</w:t>
            </w:r>
          </w:p>
        </w:tc>
        <w:tc>
          <w:tcPr>
            <w:tcW w:w="6066" w:type="dxa"/>
            <w:vAlign w:val="bottom"/>
          </w:tcPr>
          <w:p w14:paraId="78EC20A6" w14:textId="533C3FA8" w:rsidR="001021AC" w:rsidRPr="006B77BB" w:rsidRDefault="001021AC" w:rsidP="001021AC">
            <w:pPr>
              <w:pStyle w:val="TableText"/>
            </w:pPr>
            <w:r w:rsidRPr="0049407B">
              <w:rPr>
                <w:rFonts w:eastAsia="Times New Roman" w:cs="Calibri"/>
                <w:color w:val="000000"/>
              </w:rPr>
              <w:t>Bruce Crothers</w:t>
            </w:r>
          </w:p>
        </w:tc>
      </w:tr>
      <w:tr w:rsidR="001021AC" w:rsidRPr="006B77BB" w14:paraId="3E66ED6E" w14:textId="77777777" w:rsidTr="00481A31">
        <w:tc>
          <w:tcPr>
            <w:tcW w:w="2439" w:type="dxa"/>
            <w:vAlign w:val="bottom"/>
          </w:tcPr>
          <w:p w14:paraId="523AC6E8" w14:textId="4962F33C" w:rsidR="001021AC" w:rsidRPr="006B77BB" w:rsidRDefault="001021AC" w:rsidP="001021AC">
            <w:pPr>
              <w:pStyle w:val="TableText"/>
            </w:pPr>
            <w:r w:rsidRPr="0049407B">
              <w:rPr>
                <w:rFonts w:eastAsia="Times New Roman" w:cs="Calibri"/>
                <w:color w:val="000000"/>
              </w:rPr>
              <w:t>17</w:t>
            </w:r>
          </w:p>
        </w:tc>
        <w:tc>
          <w:tcPr>
            <w:tcW w:w="6066" w:type="dxa"/>
            <w:vAlign w:val="bottom"/>
          </w:tcPr>
          <w:p w14:paraId="33EDA1DA" w14:textId="741A3184" w:rsidR="001021AC" w:rsidRPr="006B77BB" w:rsidRDefault="001021AC" w:rsidP="001021AC">
            <w:pPr>
              <w:pStyle w:val="TableText"/>
            </w:pPr>
            <w:r>
              <w:rPr>
                <w:rFonts w:eastAsia="Times New Roman" w:cs="Calibri"/>
                <w:color w:val="000000"/>
              </w:rPr>
              <w:t>Name withheld on request</w:t>
            </w:r>
          </w:p>
        </w:tc>
      </w:tr>
      <w:tr w:rsidR="001021AC" w:rsidRPr="006B77BB" w14:paraId="6FA35D0B" w14:textId="77777777" w:rsidTr="00481A31">
        <w:tc>
          <w:tcPr>
            <w:tcW w:w="2439" w:type="dxa"/>
            <w:vAlign w:val="bottom"/>
          </w:tcPr>
          <w:p w14:paraId="3E6868AF" w14:textId="2BEA844C" w:rsidR="001021AC" w:rsidRPr="006B77BB" w:rsidRDefault="001021AC" w:rsidP="001021AC">
            <w:pPr>
              <w:pStyle w:val="TableText"/>
            </w:pPr>
            <w:r w:rsidRPr="0049407B">
              <w:rPr>
                <w:rFonts w:eastAsia="Times New Roman" w:cs="Calibri"/>
                <w:color w:val="000000"/>
              </w:rPr>
              <w:t>18</w:t>
            </w:r>
          </w:p>
        </w:tc>
        <w:tc>
          <w:tcPr>
            <w:tcW w:w="6066" w:type="dxa"/>
            <w:vAlign w:val="bottom"/>
          </w:tcPr>
          <w:p w14:paraId="4684CC6D" w14:textId="5EE22E73" w:rsidR="001021AC" w:rsidRPr="006B77BB" w:rsidRDefault="001021AC" w:rsidP="001021AC">
            <w:pPr>
              <w:pStyle w:val="TableText"/>
            </w:pPr>
            <w:r w:rsidRPr="0049407B">
              <w:rPr>
                <w:rFonts w:eastAsia="Times New Roman" w:cs="Calibri"/>
                <w:color w:val="000000"/>
              </w:rPr>
              <w:t>Western Beech Limited</w:t>
            </w:r>
          </w:p>
        </w:tc>
      </w:tr>
      <w:tr w:rsidR="001021AC" w:rsidRPr="006B77BB" w14:paraId="7F12BA32" w14:textId="77777777" w:rsidTr="00481A31">
        <w:tc>
          <w:tcPr>
            <w:tcW w:w="2439" w:type="dxa"/>
            <w:vAlign w:val="bottom"/>
          </w:tcPr>
          <w:p w14:paraId="4151E5CB" w14:textId="261CDFA0" w:rsidR="001021AC" w:rsidRPr="006B77BB" w:rsidRDefault="001021AC" w:rsidP="001021AC">
            <w:pPr>
              <w:pStyle w:val="TableText"/>
            </w:pPr>
            <w:r w:rsidRPr="0049407B">
              <w:rPr>
                <w:rFonts w:eastAsia="Times New Roman" w:cs="Calibri"/>
                <w:color w:val="000000"/>
              </w:rPr>
              <w:t>19</w:t>
            </w:r>
          </w:p>
        </w:tc>
        <w:tc>
          <w:tcPr>
            <w:tcW w:w="6066" w:type="dxa"/>
            <w:vAlign w:val="bottom"/>
          </w:tcPr>
          <w:p w14:paraId="7DE96D4A" w14:textId="3CBBBB8A" w:rsidR="001021AC" w:rsidRPr="006B77BB" w:rsidRDefault="001021AC" w:rsidP="001021AC">
            <w:pPr>
              <w:pStyle w:val="TableText"/>
            </w:pPr>
            <w:r>
              <w:rPr>
                <w:rFonts w:eastAsia="Times New Roman" w:cs="Calibri"/>
                <w:color w:val="000000"/>
              </w:rPr>
              <w:t>Name withheld on request</w:t>
            </w:r>
          </w:p>
        </w:tc>
      </w:tr>
      <w:tr w:rsidR="001021AC" w:rsidRPr="006B77BB" w14:paraId="7A165172" w14:textId="77777777" w:rsidTr="00481A31">
        <w:tc>
          <w:tcPr>
            <w:tcW w:w="2439" w:type="dxa"/>
            <w:vAlign w:val="bottom"/>
          </w:tcPr>
          <w:p w14:paraId="66586FB9" w14:textId="091682BD" w:rsidR="001021AC" w:rsidRPr="006B77BB" w:rsidRDefault="001021AC" w:rsidP="001021AC">
            <w:pPr>
              <w:pStyle w:val="TableText"/>
            </w:pPr>
            <w:r w:rsidRPr="0049407B">
              <w:rPr>
                <w:rFonts w:eastAsia="Times New Roman" w:cs="Calibri"/>
                <w:color w:val="000000"/>
              </w:rPr>
              <w:t>20</w:t>
            </w:r>
          </w:p>
        </w:tc>
        <w:tc>
          <w:tcPr>
            <w:tcW w:w="6066" w:type="dxa"/>
            <w:vAlign w:val="bottom"/>
          </w:tcPr>
          <w:p w14:paraId="69C307FD" w14:textId="3FA24BD3" w:rsidR="001021AC" w:rsidRPr="006B77BB" w:rsidRDefault="001021AC" w:rsidP="001021AC">
            <w:pPr>
              <w:pStyle w:val="TableText"/>
            </w:pPr>
            <w:r w:rsidRPr="0049407B">
              <w:rPr>
                <w:rFonts w:eastAsia="Times New Roman" w:cs="Calibri"/>
                <w:color w:val="000000"/>
              </w:rPr>
              <w:t>Bill Macky</w:t>
            </w:r>
          </w:p>
        </w:tc>
      </w:tr>
      <w:tr w:rsidR="001021AC" w:rsidRPr="006B77BB" w14:paraId="12B360B9" w14:textId="77777777" w:rsidTr="00481A31">
        <w:tc>
          <w:tcPr>
            <w:tcW w:w="2439" w:type="dxa"/>
            <w:vAlign w:val="bottom"/>
          </w:tcPr>
          <w:p w14:paraId="379A79BE" w14:textId="5043BC36" w:rsidR="001021AC" w:rsidRPr="006B77BB" w:rsidRDefault="001021AC" w:rsidP="001021AC">
            <w:pPr>
              <w:pStyle w:val="TableText"/>
            </w:pPr>
            <w:r w:rsidRPr="0049407B">
              <w:rPr>
                <w:rFonts w:eastAsia="Times New Roman" w:cs="Calibri"/>
                <w:color w:val="000000"/>
              </w:rPr>
              <w:t>21</w:t>
            </w:r>
          </w:p>
        </w:tc>
        <w:tc>
          <w:tcPr>
            <w:tcW w:w="6066" w:type="dxa"/>
            <w:vAlign w:val="bottom"/>
          </w:tcPr>
          <w:p w14:paraId="3C3D31FC" w14:textId="5198464C" w:rsidR="001021AC" w:rsidRPr="006B77BB" w:rsidRDefault="001021AC" w:rsidP="001021AC">
            <w:pPr>
              <w:pStyle w:val="TableText"/>
            </w:pPr>
            <w:r w:rsidRPr="0049407B">
              <w:rPr>
                <w:rFonts w:eastAsia="Times New Roman" w:cs="Calibri"/>
                <w:color w:val="000000"/>
              </w:rPr>
              <w:t>Solray Systems Limited</w:t>
            </w:r>
          </w:p>
        </w:tc>
      </w:tr>
      <w:tr w:rsidR="001021AC" w:rsidRPr="006B77BB" w14:paraId="6D2FB675" w14:textId="77777777" w:rsidTr="00481A31">
        <w:tc>
          <w:tcPr>
            <w:tcW w:w="2439" w:type="dxa"/>
            <w:vAlign w:val="bottom"/>
          </w:tcPr>
          <w:p w14:paraId="657F14CF" w14:textId="59CDB3EA" w:rsidR="001021AC" w:rsidRPr="006B77BB" w:rsidRDefault="001021AC" w:rsidP="001021AC">
            <w:pPr>
              <w:pStyle w:val="TableText"/>
            </w:pPr>
            <w:r w:rsidRPr="0049407B">
              <w:rPr>
                <w:rFonts w:eastAsia="Times New Roman" w:cs="Calibri"/>
                <w:color w:val="000000"/>
              </w:rPr>
              <w:t>22</w:t>
            </w:r>
          </w:p>
        </w:tc>
        <w:tc>
          <w:tcPr>
            <w:tcW w:w="6066" w:type="dxa"/>
            <w:vAlign w:val="bottom"/>
          </w:tcPr>
          <w:p w14:paraId="574E2D61" w14:textId="437BFDD6" w:rsidR="001021AC" w:rsidRPr="006B77BB" w:rsidRDefault="001021AC" w:rsidP="001021AC">
            <w:pPr>
              <w:pStyle w:val="TableText"/>
            </w:pPr>
            <w:r w:rsidRPr="0049407B">
              <w:rPr>
                <w:rFonts w:eastAsia="Times New Roman" w:cs="Calibri"/>
                <w:color w:val="000000"/>
              </w:rPr>
              <w:t xml:space="preserve">Enviro (NZ) Limited </w:t>
            </w:r>
          </w:p>
        </w:tc>
      </w:tr>
      <w:tr w:rsidR="001021AC" w:rsidRPr="006B77BB" w14:paraId="2690C15A" w14:textId="77777777" w:rsidTr="00481A31">
        <w:tc>
          <w:tcPr>
            <w:tcW w:w="2439" w:type="dxa"/>
            <w:vAlign w:val="bottom"/>
          </w:tcPr>
          <w:p w14:paraId="72AC203A" w14:textId="06C5CED1" w:rsidR="001021AC" w:rsidRPr="006B77BB" w:rsidRDefault="001021AC" w:rsidP="001021AC">
            <w:pPr>
              <w:pStyle w:val="TableText"/>
            </w:pPr>
            <w:r w:rsidRPr="0049407B">
              <w:rPr>
                <w:rFonts w:eastAsia="Times New Roman" w:cs="Calibri"/>
                <w:color w:val="000000"/>
              </w:rPr>
              <w:t>24</w:t>
            </w:r>
          </w:p>
        </w:tc>
        <w:tc>
          <w:tcPr>
            <w:tcW w:w="6066" w:type="dxa"/>
            <w:vAlign w:val="bottom"/>
          </w:tcPr>
          <w:p w14:paraId="505D4E46" w14:textId="6D9BD3C2" w:rsidR="001021AC" w:rsidRPr="006B77BB" w:rsidRDefault="001021AC" w:rsidP="001021AC">
            <w:pPr>
              <w:pStyle w:val="TableText"/>
            </w:pPr>
            <w:r>
              <w:rPr>
                <w:rFonts w:eastAsia="Times New Roman" w:cs="Calibri"/>
                <w:color w:val="000000"/>
              </w:rPr>
              <w:t>Name withheld on request</w:t>
            </w:r>
          </w:p>
        </w:tc>
      </w:tr>
      <w:tr w:rsidR="001021AC" w:rsidRPr="006B77BB" w14:paraId="69B8B3AF" w14:textId="77777777" w:rsidTr="00481A31">
        <w:tc>
          <w:tcPr>
            <w:tcW w:w="2439" w:type="dxa"/>
            <w:vAlign w:val="bottom"/>
          </w:tcPr>
          <w:p w14:paraId="22BEE59D" w14:textId="0E179D49" w:rsidR="001021AC" w:rsidRPr="006B77BB" w:rsidRDefault="001021AC" w:rsidP="001021AC">
            <w:pPr>
              <w:pStyle w:val="TableText"/>
            </w:pPr>
            <w:r w:rsidRPr="0049407B">
              <w:rPr>
                <w:rFonts w:eastAsia="Times New Roman" w:cs="Calibri"/>
                <w:color w:val="000000"/>
              </w:rPr>
              <w:t>26</w:t>
            </w:r>
          </w:p>
        </w:tc>
        <w:tc>
          <w:tcPr>
            <w:tcW w:w="6066" w:type="dxa"/>
            <w:vAlign w:val="bottom"/>
          </w:tcPr>
          <w:p w14:paraId="107B6AB1" w14:textId="3AF9AAE6" w:rsidR="001021AC" w:rsidRPr="006B77BB" w:rsidRDefault="001021AC" w:rsidP="001021AC">
            <w:pPr>
              <w:pStyle w:val="TableText"/>
            </w:pPr>
            <w:r>
              <w:rPr>
                <w:rFonts w:eastAsia="Times New Roman" w:cs="Calibri"/>
                <w:color w:val="000000"/>
              </w:rPr>
              <w:t>Name withheld on request</w:t>
            </w:r>
          </w:p>
        </w:tc>
      </w:tr>
      <w:tr w:rsidR="001021AC" w:rsidRPr="006B77BB" w14:paraId="1FEB8D86" w14:textId="77777777" w:rsidTr="00481A31">
        <w:tc>
          <w:tcPr>
            <w:tcW w:w="2439" w:type="dxa"/>
            <w:vAlign w:val="bottom"/>
          </w:tcPr>
          <w:p w14:paraId="3AF128CE" w14:textId="171E07EF" w:rsidR="001021AC" w:rsidRPr="006B77BB" w:rsidRDefault="001021AC" w:rsidP="001021AC">
            <w:pPr>
              <w:pStyle w:val="TableText"/>
            </w:pPr>
            <w:r w:rsidRPr="0049407B">
              <w:rPr>
                <w:rFonts w:eastAsia="Times New Roman" w:cs="Calibri"/>
                <w:color w:val="000000"/>
              </w:rPr>
              <w:t>28</w:t>
            </w:r>
          </w:p>
        </w:tc>
        <w:tc>
          <w:tcPr>
            <w:tcW w:w="6066" w:type="dxa"/>
            <w:vAlign w:val="bottom"/>
          </w:tcPr>
          <w:p w14:paraId="50B737FC" w14:textId="76230F26" w:rsidR="001021AC" w:rsidRPr="006B77BB" w:rsidRDefault="001021AC" w:rsidP="001021AC">
            <w:pPr>
              <w:pStyle w:val="TableText"/>
            </w:pPr>
            <w:r>
              <w:rPr>
                <w:rFonts w:eastAsia="Times New Roman" w:cs="Calibri"/>
                <w:color w:val="000000"/>
              </w:rPr>
              <w:t>Name withheld on request</w:t>
            </w:r>
          </w:p>
        </w:tc>
      </w:tr>
      <w:tr w:rsidR="001021AC" w:rsidRPr="006B77BB" w14:paraId="4C317903" w14:textId="77777777" w:rsidTr="00481A31">
        <w:tc>
          <w:tcPr>
            <w:tcW w:w="2439" w:type="dxa"/>
            <w:vAlign w:val="bottom"/>
          </w:tcPr>
          <w:p w14:paraId="4CD44B57" w14:textId="3A090EE7" w:rsidR="001021AC" w:rsidRPr="006B77BB" w:rsidRDefault="001021AC" w:rsidP="001021AC">
            <w:pPr>
              <w:pStyle w:val="TableText"/>
            </w:pPr>
            <w:r w:rsidRPr="0049407B">
              <w:rPr>
                <w:rFonts w:eastAsia="Times New Roman" w:cs="Calibri"/>
                <w:color w:val="000000"/>
              </w:rPr>
              <w:t>29</w:t>
            </w:r>
          </w:p>
        </w:tc>
        <w:tc>
          <w:tcPr>
            <w:tcW w:w="6066" w:type="dxa"/>
            <w:vAlign w:val="bottom"/>
          </w:tcPr>
          <w:p w14:paraId="075B1496" w14:textId="088D958E" w:rsidR="001021AC" w:rsidRPr="006B77BB" w:rsidRDefault="001021AC" w:rsidP="001021AC">
            <w:pPr>
              <w:pStyle w:val="TableText"/>
            </w:pPr>
            <w:r w:rsidRPr="0049407B">
              <w:rPr>
                <w:rFonts w:eastAsia="Times New Roman" w:cs="Calibri"/>
                <w:color w:val="000000"/>
              </w:rPr>
              <w:t>David Robinson</w:t>
            </w:r>
          </w:p>
        </w:tc>
      </w:tr>
      <w:tr w:rsidR="001021AC" w:rsidRPr="006B77BB" w14:paraId="5A9EE8F1" w14:textId="77777777" w:rsidTr="00481A31">
        <w:tc>
          <w:tcPr>
            <w:tcW w:w="2439" w:type="dxa"/>
            <w:vAlign w:val="bottom"/>
          </w:tcPr>
          <w:p w14:paraId="0D22492A" w14:textId="3AAF0FB3" w:rsidR="001021AC" w:rsidRPr="006B77BB" w:rsidRDefault="001021AC" w:rsidP="001021AC">
            <w:pPr>
              <w:pStyle w:val="TableText"/>
            </w:pPr>
            <w:r w:rsidRPr="0049407B">
              <w:rPr>
                <w:rFonts w:eastAsia="Times New Roman" w:cs="Calibri"/>
                <w:color w:val="000000"/>
              </w:rPr>
              <w:t>30</w:t>
            </w:r>
          </w:p>
        </w:tc>
        <w:tc>
          <w:tcPr>
            <w:tcW w:w="6066" w:type="dxa"/>
            <w:vAlign w:val="bottom"/>
          </w:tcPr>
          <w:p w14:paraId="775D8AB3" w14:textId="68FA18D2" w:rsidR="001021AC" w:rsidRPr="006B77BB" w:rsidRDefault="001021AC" w:rsidP="001021AC">
            <w:pPr>
              <w:pStyle w:val="TableText"/>
            </w:pPr>
            <w:r w:rsidRPr="0049407B">
              <w:rPr>
                <w:rFonts w:eastAsia="Times New Roman" w:cs="Calibri"/>
                <w:color w:val="000000"/>
              </w:rPr>
              <w:t>Rio Greening</w:t>
            </w:r>
          </w:p>
        </w:tc>
      </w:tr>
      <w:tr w:rsidR="001021AC" w:rsidRPr="006B77BB" w14:paraId="35271D48" w14:textId="77777777" w:rsidTr="00481A31">
        <w:tc>
          <w:tcPr>
            <w:tcW w:w="2439" w:type="dxa"/>
            <w:vAlign w:val="bottom"/>
          </w:tcPr>
          <w:p w14:paraId="3E8C01A3" w14:textId="5D97257A" w:rsidR="001021AC" w:rsidRPr="006B77BB" w:rsidRDefault="001021AC" w:rsidP="001021AC">
            <w:pPr>
              <w:pStyle w:val="TableText"/>
            </w:pPr>
            <w:r w:rsidRPr="0049407B">
              <w:rPr>
                <w:rFonts w:eastAsia="Times New Roman" w:cs="Calibri"/>
                <w:color w:val="000000"/>
              </w:rPr>
              <w:t>31</w:t>
            </w:r>
          </w:p>
        </w:tc>
        <w:tc>
          <w:tcPr>
            <w:tcW w:w="6066" w:type="dxa"/>
            <w:vAlign w:val="bottom"/>
          </w:tcPr>
          <w:p w14:paraId="1C279260" w14:textId="0A859676" w:rsidR="001021AC" w:rsidRPr="006B77BB" w:rsidRDefault="001021AC" w:rsidP="001021AC">
            <w:pPr>
              <w:pStyle w:val="TableText"/>
            </w:pPr>
            <w:r w:rsidRPr="0049407B">
              <w:rPr>
                <w:rFonts w:eastAsia="Times New Roman" w:cs="Calibri"/>
                <w:color w:val="000000"/>
              </w:rPr>
              <w:t>Great South</w:t>
            </w:r>
          </w:p>
        </w:tc>
      </w:tr>
      <w:tr w:rsidR="001021AC" w:rsidRPr="006B77BB" w14:paraId="27AA8357" w14:textId="77777777" w:rsidTr="00481A31">
        <w:tc>
          <w:tcPr>
            <w:tcW w:w="2439" w:type="dxa"/>
            <w:vAlign w:val="bottom"/>
          </w:tcPr>
          <w:p w14:paraId="3151862A" w14:textId="41E9D7E0" w:rsidR="001021AC" w:rsidRPr="006B77BB" w:rsidRDefault="001021AC" w:rsidP="001021AC">
            <w:pPr>
              <w:pStyle w:val="TableText"/>
            </w:pPr>
            <w:r w:rsidRPr="0049407B">
              <w:rPr>
                <w:rFonts w:eastAsia="Times New Roman" w:cs="Calibri"/>
                <w:color w:val="000000"/>
              </w:rPr>
              <w:t>36</w:t>
            </w:r>
          </w:p>
        </w:tc>
        <w:tc>
          <w:tcPr>
            <w:tcW w:w="6066" w:type="dxa"/>
            <w:vAlign w:val="bottom"/>
          </w:tcPr>
          <w:p w14:paraId="1F94B9D9" w14:textId="430B9041" w:rsidR="001021AC" w:rsidRPr="006B77BB" w:rsidRDefault="001021AC" w:rsidP="001021AC">
            <w:pPr>
              <w:pStyle w:val="TableText"/>
            </w:pPr>
            <w:r w:rsidRPr="0049407B">
              <w:rPr>
                <w:rFonts w:eastAsia="Times New Roman" w:cs="Calibri"/>
                <w:color w:val="000000"/>
              </w:rPr>
              <w:t>Anthony Bradshaw</w:t>
            </w:r>
          </w:p>
        </w:tc>
      </w:tr>
      <w:tr w:rsidR="001021AC" w:rsidRPr="006B77BB" w14:paraId="5F8FE8E1" w14:textId="77777777" w:rsidTr="00481A31">
        <w:tc>
          <w:tcPr>
            <w:tcW w:w="2439" w:type="dxa"/>
            <w:vAlign w:val="bottom"/>
          </w:tcPr>
          <w:p w14:paraId="2BF80B78" w14:textId="2DA9EC53" w:rsidR="001021AC" w:rsidRPr="006B77BB" w:rsidRDefault="001021AC" w:rsidP="001021AC">
            <w:pPr>
              <w:pStyle w:val="TableText"/>
            </w:pPr>
            <w:r w:rsidRPr="0049407B">
              <w:rPr>
                <w:rFonts w:eastAsia="Times New Roman" w:cs="Calibri"/>
                <w:color w:val="000000"/>
              </w:rPr>
              <w:t>37</w:t>
            </w:r>
          </w:p>
        </w:tc>
        <w:tc>
          <w:tcPr>
            <w:tcW w:w="6066" w:type="dxa"/>
            <w:vAlign w:val="bottom"/>
          </w:tcPr>
          <w:p w14:paraId="65DCB81C" w14:textId="6ADBF667" w:rsidR="001021AC" w:rsidRPr="006B77BB" w:rsidRDefault="001021AC" w:rsidP="001021AC">
            <w:pPr>
              <w:pStyle w:val="TableText"/>
            </w:pPr>
            <w:r>
              <w:rPr>
                <w:rFonts w:eastAsia="Times New Roman" w:cs="Calibri"/>
                <w:color w:val="000000"/>
              </w:rPr>
              <w:t>Name withheld on request</w:t>
            </w:r>
          </w:p>
        </w:tc>
      </w:tr>
      <w:tr w:rsidR="001021AC" w:rsidRPr="006B77BB" w14:paraId="06F864D8" w14:textId="77777777" w:rsidTr="00481A31">
        <w:tc>
          <w:tcPr>
            <w:tcW w:w="2439" w:type="dxa"/>
            <w:vAlign w:val="bottom"/>
          </w:tcPr>
          <w:p w14:paraId="2EE5F05B" w14:textId="1388CDD9" w:rsidR="001021AC" w:rsidRPr="006B77BB" w:rsidRDefault="001021AC" w:rsidP="001021AC">
            <w:pPr>
              <w:pStyle w:val="TableText"/>
            </w:pPr>
            <w:r w:rsidRPr="0049407B">
              <w:rPr>
                <w:rFonts w:eastAsia="Times New Roman" w:cs="Calibri"/>
                <w:color w:val="000000"/>
              </w:rPr>
              <w:t>42</w:t>
            </w:r>
          </w:p>
        </w:tc>
        <w:tc>
          <w:tcPr>
            <w:tcW w:w="6066" w:type="dxa"/>
            <w:vAlign w:val="bottom"/>
          </w:tcPr>
          <w:p w14:paraId="4642AD1F" w14:textId="024DBE33" w:rsidR="001021AC" w:rsidRPr="006B77BB" w:rsidRDefault="001021AC" w:rsidP="001021AC">
            <w:pPr>
              <w:pStyle w:val="TableText"/>
            </w:pPr>
            <w:r w:rsidRPr="0049407B">
              <w:rPr>
                <w:rFonts w:eastAsia="Times New Roman" w:cs="Calibri"/>
                <w:color w:val="000000"/>
              </w:rPr>
              <w:t>HYDRA software</w:t>
            </w:r>
          </w:p>
        </w:tc>
      </w:tr>
      <w:tr w:rsidR="001021AC" w:rsidRPr="006B77BB" w14:paraId="03F68696" w14:textId="77777777" w:rsidTr="00481A31">
        <w:tc>
          <w:tcPr>
            <w:tcW w:w="2439" w:type="dxa"/>
            <w:vAlign w:val="bottom"/>
          </w:tcPr>
          <w:p w14:paraId="02415923" w14:textId="7B865F20" w:rsidR="001021AC" w:rsidRPr="006B77BB" w:rsidRDefault="001021AC" w:rsidP="001021AC">
            <w:pPr>
              <w:pStyle w:val="TableText"/>
            </w:pPr>
            <w:r w:rsidRPr="0049407B">
              <w:rPr>
                <w:rFonts w:eastAsia="Times New Roman" w:cs="Calibri"/>
                <w:color w:val="000000"/>
              </w:rPr>
              <w:t>43</w:t>
            </w:r>
          </w:p>
        </w:tc>
        <w:tc>
          <w:tcPr>
            <w:tcW w:w="6066" w:type="dxa"/>
            <w:vAlign w:val="bottom"/>
          </w:tcPr>
          <w:p w14:paraId="20053CB4" w14:textId="69948296" w:rsidR="001021AC" w:rsidRPr="006B77BB" w:rsidRDefault="00583369" w:rsidP="001021AC">
            <w:pPr>
              <w:pStyle w:val="TableText"/>
            </w:pPr>
            <w:r>
              <w:rPr>
                <w:rFonts w:eastAsia="Times New Roman" w:cs="Calibri"/>
                <w:color w:val="000000"/>
              </w:rPr>
              <w:t>Bay d</w:t>
            </w:r>
            <w:r w:rsidR="001021AC" w:rsidRPr="0049407B">
              <w:rPr>
                <w:rFonts w:eastAsia="Times New Roman" w:cs="Calibri"/>
                <w:color w:val="000000"/>
              </w:rPr>
              <w:t>e Lautour</w:t>
            </w:r>
          </w:p>
        </w:tc>
      </w:tr>
      <w:tr w:rsidR="001021AC" w:rsidRPr="006B77BB" w14:paraId="1963597B" w14:textId="77777777" w:rsidTr="00481A31">
        <w:tc>
          <w:tcPr>
            <w:tcW w:w="2439" w:type="dxa"/>
            <w:vAlign w:val="bottom"/>
          </w:tcPr>
          <w:p w14:paraId="2395CDA9" w14:textId="239A6406" w:rsidR="001021AC" w:rsidRPr="006B77BB" w:rsidRDefault="001021AC" w:rsidP="001021AC">
            <w:pPr>
              <w:pStyle w:val="TableText"/>
            </w:pPr>
            <w:r w:rsidRPr="0049407B">
              <w:rPr>
                <w:rFonts w:eastAsia="Times New Roman" w:cs="Calibri"/>
                <w:color w:val="000000"/>
              </w:rPr>
              <w:t>44</w:t>
            </w:r>
          </w:p>
        </w:tc>
        <w:tc>
          <w:tcPr>
            <w:tcW w:w="6066" w:type="dxa"/>
            <w:vAlign w:val="bottom"/>
          </w:tcPr>
          <w:p w14:paraId="44FF8378" w14:textId="74FC0508" w:rsidR="001021AC" w:rsidRPr="006B77BB" w:rsidRDefault="001021AC" w:rsidP="001021AC">
            <w:pPr>
              <w:pStyle w:val="TableText"/>
            </w:pPr>
            <w:r w:rsidRPr="0049407B">
              <w:rPr>
                <w:rFonts w:eastAsia="Times New Roman" w:cs="Calibri"/>
                <w:color w:val="000000"/>
              </w:rPr>
              <w:t>Greymouth Petroleum</w:t>
            </w:r>
          </w:p>
        </w:tc>
      </w:tr>
      <w:tr w:rsidR="001021AC" w:rsidRPr="006B77BB" w14:paraId="52E6CE78" w14:textId="77777777" w:rsidTr="00481A31">
        <w:tc>
          <w:tcPr>
            <w:tcW w:w="2439" w:type="dxa"/>
            <w:vAlign w:val="bottom"/>
          </w:tcPr>
          <w:p w14:paraId="136C70B8" w14:textId="0359EF5C" w:rsidR="001021AC" w:rsidRPr="006B77BB" w:rsidRDefault="001021AC" w:rsidP="001021AC">
            <w:pPr>
              <w:pStyle w:val="TableText"/>
            </w:pPr>
            <w:r w:rsidRPr="0049407B">
              <w:rPr>
                <w:rFonts w:eastAsia="Times New Roman" w:cs="Calibri"/>
                <w:color w:val="000000"/>
              </w:rPr>
              <w:t>45</w:t>
            </w:r>
          </w:p>
        </w:tc>
        <w:tc>
          <w:tcPr>
            <w:tcW w:w="6066" w:type="dxa"/>
            <w:vAlign w:val="bottom"/>
          </w:tcPr>
          <w:p w14:paraId="422CFCB0" w14:textId="2C403BD2" w:rsidR="001021AC" w:rsidRPr="006B77BB" w:rsidRDefault="001021AC" w:rsidP="001021AC">
            <w:pPr>
              <w:pStyle w:val="TableText"/>
            </w:pPr>
            <w:r w:rsidRPr="0049407B">
              <w:rPr>
                <w:rFonts w:eastAsia="Times New Roman" w:cs="Calibri"/>
                <w:color w:val="000000"/>
              </w:rPr>
              <w:t>Carl Alsweiler</w:t>
            </w:r>
          </w:p>
        </w:tc>
      </w:tr>
      <w:tr w:rsidR="001021AC" w:rsidRPr="006B77BB" w14:paraId="14CBE816" w14:textId="77777777" w:rsidTr="00481A31">
        <w:tc>
          <w:tcPr>
            <w:tcW w:w="2439" w:type="dxa"/>
            <w:vAlign w:val="bottom"/>
          </w:tcPr>
          <w:p w14:paraId="7B8BA5F6" w14:textId="37439EE3" w:rsidR="001021AC" w:rsidRPr="006B77BB" w:rsidRDefault="001021AC" w:rsidP="001021AC">
            <w:pPr>
              <w:pStyle w:val="TableText"/>
            </w:pPr>
            <w:r w:rsidRPr="0049407B">
              <w:rPr>
                <w:rFonts w:eastAsia="Times New Roman" w:cs="Calibri"/>
                <w:color w:val="000000"/>
              </w:rPr>
              <w:t>46</w:t>
            </w:r>
          </w:p>
        </w:tc>
        <w:tc>
          <w:tcPr>
            <w:tcW w:w="6066" w:type="dxa"/>
            <w:vAlign w:val="bottom"/>
          </w:tcPr>
          <w:p w14:paraId="376ABC70" w14:textId="38333BC3" w:rsidR="001021AC" w:rsidRPr="006B77BB" w:rsidRDefault="001021AC" w:rsidP="001021AC">
            <w:pPr>
              <w:pStyle w:val="TableText"/>
            </w:pPr>
            <w:r>
              <w:rPr>
                <w:rFonts w:eastAsia="Times New Roman" w:cs="Calibri"/>
                <w:color w:val="000000"/>
              </w:rPr>
              <w:t>Name withheld on request</w:t>
            </w:r>
          </w:p>
        </w:tc>
      </w:tr>
      <w:tr w:rsidR="001021AC" w:rsidRPr="006B77BB" w14:paraId="62246ADF" w14:textId="77777777" w:rsidTr="00481A31">
        <w:tc>
          <w:tcPr>
            <w:tcW w:w="2439" w:type="dxa"/>
            <w:vAlign w:val="bottom"/>
          </w:tcPr>
          <w:p w14:paraId="6D934DD6" w14:textId="208884C1" w:rsidR="001021AC" w:rsidRPr="006B77BB" w:rsidRDefault="001021AC" w:rsidP="001021AC">
            <w:pPr>
              <w:pStyle w:val="TableText"/>
            </w:pPr>
            <w:r w:rsidRPr="0049407B">
              <w:rPr>
                <w:rFonts w:eastAsia="Times New Roman" w:cs="Calibri"/>
                <w:color w:val="000000"/>
              </w:rPr>
              <w:t>47</w:t>
            </w:r>
          </w:p>
        </w:tc>
        <w:tc>
          <w:tcPr>
            <w:tcW w:w="6066" w:type="dxa"/>
            <w:vAlign w:val="bottom"/>
          </w:tcPr>
          <w:p w14:paraId="471DED46" w14:textId="30599C95" w:rsidR="001021AC" w:rsidRPr="006B77BB" w:rsidRDefault="001021AC" w:rsidP="001021AC">
            <w:pPr>
              <w:pStyle w:val="TableText"/>
            </w:pPr>
            <w:r w:rsidRPr="0049407B">
              <w:rPr>
                <w:rFonts w:eastAsia="Times New Roman" w:cs="Calibri"/>
                <w:color w:val="000000"/>
              </w:rPr>
              <w:t>Mercury</w:t>
            </w:r>
          </w:p>
        </w:tc>
      </w:tr>
      <w:tr w:rsidR="001021AC" w:rsidRPr="006B77BB" w14:paraId="1001C65A" w14:textId="77777777" w:rsidTr="00481A31">
        <w:tc>
          <w:tcPr>
            <w:tcW w:w="2439" w:type="dxa"/>
            <w:vAlign w:val="bottom"/>
          </w:tcPr>
          <w:p w14:paraId="2A24E20D" w14:textId="78D8CA01" w:rsidR="001021AC" w:rsidRPr="006B77BB" w:rsidRDefault="001021AC" w:rsidP="001021AC">
            <w:pPr>
              <w:pStyle w:val="TableText"/>
            </w:pPr>
            <w:r w:rsidRPr="0049407B">
              <w:rPr>
                <w:rFonts w:eastAsia="Times New Roman" w:cs="Calibri"/>
                <w:color w:val="000000"/>
              </w:rPr>
              <w:t>48</w:t>
            </w:r>
          </w:p>
        </w:tc>
        <w:tc>
          <w:tcPr>
            <w:tcW w:w="6066" w:type="dxa"/>
            <w:vAlign w:val="bottom"/>
          </w:tcPr>
          <w:p w14:paraId="6400DBEC" w14:textId="2FCA8C50" w:rsidR="001021AC" w:rsidRPr="006B77BB" w:rsidRDefault="001021AC" w:rsidP="001021AC">
            <w:pPr>
              <w:pStyle w:val="TableText"/>
            </w:pPr>
            <w:r w:rsidRPr="0049407B">
              <w:rPr>
                <w:rFonts w:eastAsia="Times New Roman" w:cs="Calibri"/>
                <w:color w:val="000000"/>
              </w:rPr>
              <w:t xml:space="preserve">Anthony Sellin </w:t>
            </w:r>
          </w:p>
        </w:tc>
      </w:tr>
      <w:tr w:rsidR="001021AC" w:rsidRPr="006B77BB" w14:paraId="0E9D03DE" w14:textId="77777777" w:rsidTr="00481A31">
        <w:tc>
          <w:tcPr>
            <w:tcW w:w="2439" w:type="dxa"/>
            <w:vAlign w:val="bottom"/>
          </w:tcPr>
          <w:p w14:paraId="2F232777" w14:textId="0875ADF6" w:rsidR="001021AC" w:rsidRPr="006B77BB" w:rsidRDefault="001021AC" w:rsidP="001021AC">
            <w:pPr>
              <w:pStyle w:val="TableText"/>
            </w:pPr>
            <w:r w:rsidRPr="0049407B">
              <w:rPr>
                <w:rFonts w:eastAsia="Times New Roman" w:cs="Calibri"/>
                <w:color w:val="000000"/>
              </w:rPr>
              <w:lastRenderedPageBreak/>
              <w:t>50</w:t>
            </w:r>
          </w:p>
        </w:tc>
        <w:tc>
          <w:tcPr>
            <w:tcW w:w="6066" w:type="dxa"/>
            <w:vAlign w:val="bottom"/>
          </w:tcPr>
          <w:p w14:paraId="72ADBF9E" w14:textId="259F6221" w:rsidR="001021AC" w:rsidRPr="006B77BB" w:rsidRDefault="001021AC" w:rsidP="001021AC">
            <w:pPr>
              <w:pStyle w:val="TableText"/>
            </w:pPr>
            <w:r w:rsidRPr="0049407B">
              <w:rPr>
                <w:rFonts w:eastAsia="Times New Roman" w:cs="Calibri"/>
                <w:color w:val="000000"/>
              </w:rPr>
              <w:t>Ecotricity</w:t>
            </w:r>
          </w:p>
        </w:tc>
      </w:tr>
      <w:tr w:rsidR="001021AC" w:rsidRPr="006B77BB" w14:paraId="78BE0606" w14:textId="77777777" w:rsidTr="00481A31">
        <w:tc>
          <w:tcPr>
            <w:tcW w:w="2439" w:type="dxa"/>
            <w:vAlign w:val="bottom"/>
          </w:tcPr>
          <w:p w14:paraId="38AA0BAE" w14:textId="6E844275" w:rsidR="001021AC" w:rsidRPr="006B77BB" w:rsidRDefault="001021AC" w:rsidP="001021AC">
            <w:pPr>
              <w:pStyle w:val="TableText"/>
            </w:pPr>
            <w:r w:rsidRPr="0049407B">
              <w:rPr>
                <w:rFonts w:eastAsia="Times New Roman" w:cs="Calibri"/>
                <w:color w:val="000000"/>
              </w:rPr>
              <w:t>55</w:t>
            </w:r>
          </w:p>
        </w:tc>
        <w:tc>
          <w:tcPr>
            <w:tcW w:w="6066" w:type="dxa"/>
            <w:vAlign w:val="bottom"/>
          </w:tcPr>
          <w:p w14:paraId="6E8ED63E" w14:textId="62F684BA" w:rsidR="001021AC" w:rsidRPr="006B77BB" w:rsidRDefault="001021AC" w:rsidP="001021AC">
            <w:pPr>
              <w:pStyle w:val="TableText"/>
            </w:pPr>
            <w:r w:rsidRPr="0049407B">
              <w:rPr>
                <w:rFonts w:eastAsia="Times New Roman" w:cs="Calibri"/>
                <w:color w:val="000000"/>
              </w:rPr>
              <w:t>George Preddey</w:t>
            </w:r>
          </w:p>
        </w:tc>
      </w:tr>
      <w:tr w:rsidR="001021AC" w:rsidRPr="006B77BB" w14:paraId="0990B9B3" w14:textId="77777777" w:rsidTr="00481A31">
        <w:tc>
          <w:tcPr>
            <w:tcW w:w="2439" w:type="dxa"/>
            <w:vAlign w:val="bottom"/>
          </w:tcPr>
          <w:p w14:paraId="2CFA1DF9" w14:textId="264EC816" w:rsidR="001021AC" w:rsidRPr="006B77BB" w:rsidRDefault="001021AC" w:rsidP="001021AC">
            <w:pPr>
              <w:pStyle w:val="TableText"/>
            </w:pPr>
            <w:r w:rsidRPr="0049407B">
              <w:rPr>
                <w:rFonts w:eastAsia="Times New Roman" w:cs="Calibri"/>
                <w:color w:val="000000"/>
              </w:rPr>
              <w:t>56</w:t>
            </w:r>
          </w:p>
        </w:tc>
        <w:tc>
          <w:tcPr>
            <w:tcW w:w="6066" w:type="dxa"/>
            <w:vAlign w:val="bottom"/>
          </w:tcPr>
          <w:p w14:paraId="125CB4CC" w14:textId="375EB8C7" w:rsidR="001021AC" w:rsidRPr="006B77BB" w:rsidRDefault="001021AC" w:rsidP="001021AC">
            <w:pPr>
              <w:pStyle w:val="TableText"/>
            </w:pPr>
            <w:r w:rsidRPr="0049407B">
              <w:rPr>
                <w:rFonts w:eastAsia="Times New Roman" w:cs="Calibri"/>
                <w:color w:val="000000"/>
              </w:rPr>
              <w:t>Duncan Brown</w:t>
            </w:r>
          </w:p>
        </w:tc>
      </w:tr>
      <w:tr w:rsidR="001021AC" w:rsidRPr="006B77BB" w14:paraId="1E371721" w14:textId="77777777" w:rsidTr="00481A31">
        <w:tc>
          <w:tcPr>
            <w:tcW w:w="2439" w:type="dxa"/>
            <w:vAlign w:val="bottom"/>
          </w:tcPr>
          <w:p w14:paraId="1030B55D" w14:textId="47E37A64" w:rsidR="001021AC" w:rsidRPr="006B77BB" w:rsidRDefault="001021AC" w:rsidP="001021AC">
            <w:pPr>
              <w:pStyle w:val="TableText"/>
            </w:pPr>
            <w:r w:rsidRPr="0049407B">
              <w:rPr>
                <w:rFonts w:eastAsia="Times New Roman" w:cs="Calibri"/>
                <w:color w:val="000000"/>
              </w:rPr>
              <w:t>57</w:t>
            </w:r>
          </w:p>
        </w:tc>
        <w:tc>
          <w:tcPr>
            <w:tcW w:w="6066" w:type="dxa"/>
            <w:vAlign w:val="bottom"/>
          </w:tcPr>
          <w:p w14:paraId="37AA6024" w14:textId="7CDB2ED5" w:rsidR="001021AC" w:rsidRPr="006B77BB" w:rsidRDefault="001021AC" w:rsidP="001021AC">
            <w:pPr>
              <w:pStyle w:val="TableText"/>
            </w:pPr>
            <w:r w:rsidRPr="0049407B">
              <w:rPr>
                <w:rFonts w:eastAsia="Times New Roman" w:cs="Calibri"/>
                <w:color w:val="000000"/>
              </w:rPr>
              <w:t>Pan Pac Forest Products Limited</w:t>
            </w:r>
          </w:p>
        </w:tc>
      </w:tr>
      <w:tr w:rsidR="001021AC" w:rsidRPr="006B77BB" w14:paraId="2618D91B" w14:textId="77777777" w:rsidTr="00481A31">
        <w:tc>
          <w:tcPr>
            <w:tcW w:w="2439" w:type="dxa"/>
            <w:vAlign w:val="bottom"/>
          </w:tcPr>
          <w:p w14:paraId="427EFC7E" w14:textId="7FA09FC8" w:rsidR="001021AC" w:rsidRPr="006B77BB" w:rsidRDefault="001021AC" w:rsidP="001021AC">
            <w:pPr>
              <w:pStyle w:val="TableText"/>
            </w:pPr>
            <w:r w:rsidRPr="0049407B">
              <w:rPr>
                <w:rFonts w:eastAsia="Times New Roman" w:cs="Calibri"/>
                <w:color w:val="000000"/>
              </w:rPr>
              <w:t>58</w:t>
            </w:r>
          </w:p>
        </w:tc>
        <w:tc>
          <w:tcPr>
            <w:tcW w:w="6066" w:type="dxa"/>
            <w:vAlign w:val="bottom"/>
          </w:tcPr>
          <w:p w14:paraId="1CA94DC2" w14:textId="501EA5FB" w:rsidR="001021AC" w:rsidRPr="006B77BB" w:rsidRDefault="001021AC" w:rsidP="001021AC">
            <w:pPr>
              <w:pStyle w:val="TableText"/>
            </w:pPr>
            <w:r w:rsidRPr="0049407B">
              <w:rPr>
                <w:rFonts w:eastAsia="Times New Roman" w:cs="Calibri"/>
                <w:color w:val="000000"/>
              </w:rPr>
              <w:t xml:space="preserve">Envirohub Bay of Plenty </w:t>
            </w:r>
          </w:p>
        </w:tc>
      </w:tr>
      <w:tr w:rsidR="001021AC" w:rsidRPr="006B77BB" w14:paraId="3BFCED22" w14:textId="77777777" w:rsidTr="00481A31">
        <w:tc>
          <w:tcPr>
            <w:tcW w:w="2439" w:type="dxa"/>
            <w:vAlign w:val="bottom"/>
          </w:tcPr>
          <w:p w14:paraId="224D9B2E" w14:textId="42D25E6F" w:rsidR="001021AC" w:rsidRPr="006B77BB" w:rsidRDefault="001021AC" w:rsidP="001021AC">
            <w:pPr>
              <w:pStyle w:val="TableText"/>
            </w:pPr>
            <w:r w:rsidRPr="0049407B">
              <w:rPr>
                <w:rFonts w:eastAsia="Times New Roman" w:cs="Calibri"/>
                <w:color w:val="000000"/>
              </w:rPr>
              <w:t>59</w:t>
            </w:r>
          </w:p>
        </w:tc>
        <w:tc>
          <w:tcPr>
            <w:tcW w:w="6066" w:type="dxa"/>
            <w:vAlign w:val="bottom"/>
          </w:tcPr>
          <w:p w14:paraId="1646FA4C" w14:textId="1B7D9068" w:rsidR="001021AC" w:rsidRPr="006B77BB" w:rsidRDefault="001021AC" w:rsidP="001021AC">
            <w:pPr>
              <w:pStyle w:val="TableText"/>
            </w:pPr>
            <w:r w:rsidRPr="0049407B">
              <w:rPr>
                <w:rFonts w:eastAsia="Times New Roman" w:cs="Calibri"/>
                <w:color w:val="000000"/>
              </w:rPr>
              <w:t>Toitū Envirocare</w:t>
            </w:r>
          </w:p>
        </w:tc>
      </w:tr>
      <w:tr w:rsidR="001021AC" w:rsidRPr="006B77BB" w14:paraId="6F71E40D" w14:textId="77777777" w:rsidTr="00481A31">
        <w:tc>
          <w:tcPr>
            <w:tcW w:w="2439" w:type="dxa"/>
            <w:vAlign w:val="bottom"/>
          </w:tcPr>
          <w:p w14:paraId="7121FBAE" w14:textId="3B19B595" w:rsidR="001021AC" w:rsidRPr="006B77BB" w:rsidRDefault="001021AC" w:rsidP="001021AC">
            <w:pPr>
              <w:pStyle w:val="TableText"/>
            </w:pPr>
            <w:r w:rsidRPr="0049407B">
              <w:rPr>
                <w:rFonts w:eastAsia="Times New Roman" w:cs="Calibri"/>
                <w:color w:val="000000"/>
              </w:rPr>
              <w:t>60</w:t>
            </w:r>
          </w:p>
        </w:tc>
        <w:tc>
          <w:tcPr>
            <w:tcW w:w="6066" w:type="dxa"/>
            <w:vAlign w:val="bottom"/>
          </w:tcPr>
          <w:p w14:paraId="3FC1233E" w14:textId="6457D9C3" w:rsidR="001021AC" w:rsidRPr="006B77BB" w:rsidRDefault="001021AC" w:rsidP="001021AC">
            <w:pPr>
              <w:pStyle w:val="TableText"/>
            </w:pPr>
            <w:r w:rsidRPr="0049407B">
              <w:rPr>
                <w:rFonts w:eastAsia="Times New Roman" w:cs="Calibri"/>
                <w:color w:val="000000"/>
              </w:rPr>
              <w:t>Carbon Farm Limited</w:t>
            </w:r>
          </w:p>
        </w:tc>
      </w:tr>
      <w:tr w:rsidR="001021AC" w:rsidRPr="006B77BB" w14:paraId="1F0843C2" w14:textId="77777777" w:rsidTr="00481A31">
        <w:tc>
          <w:tcPr>
            <w:tcW w:w="2439" w:type="dxa"/>
            <w:vAlign w:val="bottom"/>
          </w:tcPr>
          <w:p w14:paraId="7F46C174" w14:textId="1949F65E" w:rsidR="001021AC" w:rsidRPr="006B77BB" w:rsidRDefault="001021AC" w:rsidP="001021AC">
            <w:pPr>
              <w:pStyle w:val="TableText"/>
            </w:pPr>
            <w:r w:rsidRPr="0049407B">
              <w:rPr>
                <w:rFonts w:eastAsia="Times New Roman" w:cs="Calibri"/>
                <w:color w:val="000000"/>
              </w:rPr>
              <w:t>61</w:t>
            </w:r>
          </w:p>
        </w:tc>
        <w:tc>
          <w:tcPr>
            <w:tcW w:w="6066" w:type="dxa"/>
            <w:vAlign w:val="bottom"/>
          </w:tcPr>
          <w:p w14:paraId="58786D5C" w14:textId="457D3689" w:rsidR="001021AC" w:rsidRPr="006B77BB" w:rsidRDefault="001021AC" w:rsidP="001021AC">
            <w:pPr>
              <w:pStyle w:val="TableText"/>
            </w:pPr>
            <w:r w:rsidRPr="0049407B">
              <w:rPr>
                <w:rFonts w:eastAsia="Times New Roman" w:cs="Calibri"/>
                <w:color w:val="000000"/>
              </w:rPr>
              <w:t>Tailored Energy Solutions Limited</w:t>
            </w:r>
          </w:p>
        </w:tc>
      </w:tr>
      <w:tr w:rsidR="001021AC" w:rsidRPr="006B77BB" w14:paraId="7973152F" w14:textId="77777777" w:rsidTr="00481A31">
        <w:tc>
          <w:tcPr>
            <w:tcW w:w="2439" w:type="dxa"/>
            <w:vAlign w:val="bottom"/>
          </w:tcPr>
          <w:p w14:paraId="1B1C1B15" w14:textId="6FA1FD0F" w:rsidR="001021AC" w:rsidRPr="006B77BB" w:rsidRDefault="001021AC" w:rsidP="001021AC">
            <w:pPr>
              <w:pStyle w:val="TableText"/>
            </w:pPr>
            <w:r w:rsidRPr="0049407B">
              <w:rPr>
                <w:rFonts w:eastAsia="Times New Roman" w:cs="Calibri"/>
                <w:color w:val="000000"/>
              </w:rPr>
              <w:t>62</w:t>
            </w:r>
          </w:p>
        </w:tc>
        <w:tc>
          <w:tcPr>
            <w:tcW w:w="6066" w:type="dxa"/>
            <w:vAlign w:val="bottom"/>
          </w:tcPr>
          <w:p w14:paraId="2047B18C" w14:textId="347619BE" w:rsidR="001021AC" w:rsidRPr="006B77BB" w:rsidRDefault="001021AC" w:rsidP="001021AC">
            <w:pPr>
              <w:pStyle w:val="TableText"/>
            </w:pPr>
            <w:r w:rsidRPr="0049407B">
              <w:rPr>
                <w:rFonts w:eastAsia="Times New Roman" w:cs="Calibri"/>
                <w:color w:val="000000"/>
              </w:rPr>
              <w:t>Engineers for Social Responsibility</w:t>
            </w:r>
          </w:p>
        </w:tc>
      </w:tr>
      <w:tr w:rsidR="001021AC" w:rsidRPr="006B77BB" w14:paraId="2B844A1B" w14:textId="77777777" w:rsidTr="00481A31">
        <w:tc>
          <w:tcPr>
            <w:tcW w:w="2439" w:type="dxa"/>
            <w:vAlign w:val="bottom"/>
          </w:tcPr>
          <w:p w14:paraId="4F00974C" w14:textId="31C65A14" w:rsidR="001021AC" w:rsidRPr="006B77BB" w:rsidRDefault="001021AC" w:rsidP="001021AC">
            <w:pPr>
              <w:pStyle w:val="TableText"/>
            </w:pPr>
            <w:r w:rsidRPr="0049407B">
              <w:rPr>
                <w:rFonts w:eastAsia="Times New Roman" w:cs="Calibri"/>
                <w:color w:val="000000"/>
              </w:rPr>
              <w:t>63</w:t>
            </w:r>
          </w:p>
        </w:tc>
        <w:tc>
          <w:tcPr>
            <w:tcW w:w="6066" w:type="dxa"/>
            <w:vAlign w:val="bottom"/>
          </w:tcPr>
          <w:p w14:paraId="64B915C0" w14:textId="217A72C1" w:rsidR="001021AC" w:rsidRPr="006B77BB" w:rsidRDefault="001021AC" w:rsidP="001021AC">
            <w:pPr>
              <w:pStyle w:val="TableText"/>
            </w:pPr>
            <w:r w:rsidRPr="0049407B">
              <w:rPr>
                <w:rFonts w:eastAsia="Times New Roman" w:cs="Calibri"/>
                <w:color w:val="000000"/>
              </w:rPr>
              <w:t>Bathurst Resources Limited/ BT Mining Limited</w:t>
            </w:r>
          </w:p>
        </w:tc>
      </w:tr>
      <w:tr w:rsidR="001021AC" w:rsidRPr="006B77BB" w14:paraId="7589404C" w14:textId="77777777" w:rsidTr="00481A31">
        <w:tc>
          <w:tcPr>
            <w:tcW w:w="2439" w:type="dxa"/>
            <w:vAlign w:val="bottom"/>
          </w:tcPr>
          <w:p w14:paraId="0D1BC21B" w14:textId="71912682" w:rsidR="001021AC" w:rsidRPr="006B77BB" w:rsidRDefault="001021AC" w:rsidP="001021AC">
            <w:pPr>
              <w:pStyle w:val="TableText"/>
            </w:pPr>
            <w:r w:rsidRPr="0049407B">
              <w:rPr>
                <w:rFonts w:eastAsia="Times New Roman" w:cs="Calibri"/>
                <w:color w:val="000000"/>
              </w:rPr>
              <w:t>65</w:t>
            </w:r>
          </w:p>
        </w:tc>
        <w:tc>
          <w:tcPr>
            <w:tcW w:w="6066" w:type="dxa"/>
            <w:vAlign w:val="bottom"/>
          </w:tcPr>
          <w:p w14:paraId="7CF2468B" w14:textId="687F459B" w:rsidR="001021AC" w:rsidRPr="006B77BB" w:rsidRDefault="001021AC" w:rsidP="001021AC">
            <w:pPr>
              <w:pStyle w:val="TableText"/>
            </w:pPr>
            <w:r w:rsidRPr="0049407B">
              <w:rPr>
                <w:rFonts w:eastAsia="Times New Roman" w:cs="Calibri"/>
                <w:color w:val="000000"/>
              </w:rPr>
              <w:t>Kerry Worsnop</w:t>
            </w:r>
          </w:p>
        </w:tc>
      </w:tr>
      <w:tr w:rsidR="001021AC" w:rsidRPr="006B77BB" w14:paraId="403FA45F" w14:textId="77777777" w:rsidTr="00481A31">
        <w:tc>
          <w:tcPr>
            <w:tcW w:w="2439" w:type="dxa"/>
            <w:vAlign w:val="bottom"/>
          </w:tcPr>
          <w:p w14:paraId="2D74A2EA" w14:textId="759E393A" w:rsidR="001021AC" w:rsidRPr="006B77BB" w:rsidRDefault="001021AC" w:rsidP="001021AC">
            <w:pPr>
              <w:pStyle w:val="TableText"/>
            </w:pPr>
            <w:r w:rsidRPr="0049407B">
              <w:rPr>
                <w:rFonts w:eastAsia="Times New Roman" w:cs="Calibri"/>
                <w:color w:val="000000"/>
              </w:rPr>
              <w:t>66</w:t>
            </w:r>
          </w:p>
        </w:tc>
        <w:tc>
          <w:tcPr>
            <w:tcW w:w="6066" w:type="dxa"/>
            <w:vAlign w:val="bottom"/>
          </w:tcPr>
          <w:p w14:paraId="6E9AB5DC" w14:textId="520651D1" w:rsidR="001021AC" w:rsidRPr="006B77BB" w:rsidRDefault="001021AC" w:rsidP="001021AC">
            <w:pPr>
              <w:pStyle w:val="TableText"/>
            </w:pPr>
            <w:r w:rsidRPr="0049407B">
              <w:rPr>
                <w:rFonts w:eastAsia="Times New Roman" w:cs="Calibri"/>
                <w:color w:val="000000"/>
              </w:rPr>
              <w:t>Peter Besley</w:t>
            </w:r>
          </w:p>
        </w:tc>
      </w:tr>
      <w:tr w:rsidR="001021AC" w:rsidRPr="006B77BB" w14:paraId="4066E4D7" w14:textId="77777777" w:rsidTr="00481A31">
        <w:tc>
          <w:tcPr>
            <w:tcW w:w="2439" w:type="dxa"/>
            <w:vAlign w:val="bottom"/>
          </w:tcPr>
          <w:p w14:paraId="64919645" w14:textId="577DA08E" w:rsidR="001021AC" w:rsidRPr="006B77BB" w:rsidRDefault="001021AC" w:rsidP="001021AC">
            <w:pPr>
              <w:pStyle w:val="TableText"/>
            </w:pPr>
            <w:r w:rsidRPr="0049407B">
              <w:rPr>
                <w:rFonts w:eastAsia="Times New Roman" w:cs="Calibri"/>
                <w:color w:val="000000"/>
              </w:rPr>
              <w:t>68</w:t>
            </w:r>
          </w:p>
        </w:tc>
        <w:tc>
          <w:tcPr>
            <w:tcW w:w="6066" w:type="dxa"/>
            <w:vAlign w:val="bottom"/>
          </w:tcPr>
          <w:p w14:paraId="403EB307" w14:textId="09855B6E" w:rsidR="001021AC" w:rsidRPr="006B77BB" w:rsidRDefault="001021AC" w:rsidP="001021AC">
            <w:pPr>
              <w:pStyle w:val="TableText"/>
            </w:pPr>
            <w:r w:rsidRPr="0049407B">
              <w:rPr>
                <w:rFonts w:eastAsia="Times New Roman" w:cs="Calibri"/>
                <w:color w:val="000000"/>
              </w:rPr>
              <w:t>NZX Limited &amp; European Energy Exchange AG</w:t>
            </w:r>
          </w:p>
        </w:tc>
      </w:tr>
      <w:tr w:rsidR="001021AC" w:rsidRPr="006B77BB" w14:paraId="496EB766" w14:textId="77777777" w:rsidTr="00481A31">
        <w:tc>
          <w:tcPr>
            <w:tcW w:w="2439" w:type="dxa"/>
            <w:vAlign w:val="bottom"/>
          </w:tcPr>
          <w:p w14:paraId="4665E904" w14:textId="5C113764" w:rsidR="001021AC" w:rsidRPr="006B77BB" w:rsidRDefault="001021AC" w:rsidP="001021AC">
            <w:pPr>
              <w:pStyle w:val="TableText"/>
            </w:pPr>
            <w:r w:rsidRPr="0049407B">
              <w:rPr>
                <w:rFonts w:eastAsia="Times New Roman" w:cs="Calibri"/>
                <w:color w:val="000000"/>
              </w:rPr>
              <w:t>69</w:t>
            </w:r>
          </w:p>
        </w:tc>
        <w:tc>
          <w:tcPr>
            <w:tcW w:w="6066" w:type="dxa"/>
            <w:vAlign w:val="bottom"/>
          </w:tcPr>
          <w:p w14:paraId="4EA92148" w14:textId="1B86EC85" w:rsidR="001021AC" w:rsidRPr="006B77BB" w:rsidRDefault="001021AC" w:rsidP="001021AC">
            <w:pPr>
              <w:pStyle w:val="TableText"/>
            </w:pPr>
            <w:r w:rsidRPr="0049407B">
              <w:rPr>
                <w:rFonts w:eastAsia="Times New Roman" w:cs="Calibri"/>
                <w:color w:val="000000"/>
              </w:rPr>
              <w:t>Northland Regional Council</w:t>
            </w:r>
          </w:p>
        </w:tc>
      </w:tr>
      <w:tr w:rsidR="001021AC" w:rsidRPr="006B77BB" w14:paraId="336C4535" w14:textId="77777777" w:rsidTr="00481A31">
        <w:tc>
          <w:tcPr>
            <w:tcW w:w="2439" w:type="dxa"/>
            <w:vAlign w:val="bottom"/>
          </w:tcPr>
          <w:p w14:paraId="377EA1A4" w14:textId="222C6117" w:rsidR="001021AC" w:rsidRPr="006B77BB" w:rsidRDefault="001021AC" w:rsidP="001021AC">
            <w:pPr>
              <w:pStyle w:val="TableText"/>
            </w:pPr>
            <w:r w:rsidRPr="0049407B">
              <w:rPr>
                <w:rFonts w:eastAsia="Times New Roman" w:cs="Calibri"/>
                <w:color w:val="000000"/>
              </w:rPr>
              <w:t>70</w:t>
            </w:r>
          </w:p>
        </w:tc>
        <w:tc>
          <w:tcPr>
            <w:tcW w:w="6066" w:type="dxa"/>
            <w:vAlign w:val="bottom"/>
          </w:tcPr>
          <w:p w14:paraId="100BE566" w14:textId="1B9580BB" w:rsidR="001021AC" w:rsidRPr="006B77BB" w:rsidRDefault="001021AC" w:rsidP="001021AC">
            <w:pPr>
              <w:pStyle w:val="TableText"/>
            </w:pPr>
            <w:r w:rsidRPr="0049407B">
              <w:rPr>
                <w:rFonts w:eastAsia="Times New Roman" w:cs="Calibri"/>
                <w:color w:val="000000"/>
              </w:rPr>
              <w:t>New Zealand Shipping Federation</w:t>
            </w:r>
          </w:p>
        </w:tc>
      </w:tr>
      <w:tr w:rsidR="001021AC" w:rsidRPr="006B77BB" w14:paraId="54275F54" w14:textId="77777777" w:rsidTr="00481A31">
        <w:tc>
          <w:tcPr>
            <w:tcW w:w="2439" w:type="dxa"/>
            <w:vAlign w:val="bottom"/>
          </w:tcPr>
          <w:p w14:paraId="5BA7E336" w14:textId="51784373" w:rsidR="001021AC" w:rsidRPr="006B77BB" w:rsidRDefault="001021AC" w:rsidP="001021AC">
            <w:pPr>
              <w:pStyle w:val="TableText"/>
            </w:pPr>
            <w:r w:rsidRPr="0049407B">
              <w:rPr>
                <w:rFonts w:eastAsia="Times New Roman" w:cs="Calibri"/>
                <w:color w:val="000000"/>
              </w:rPr>
              <w:t>71</w:t>
            </w:r>
          </w:p>
        </w:tc>
        <w:tc>
          <w:tcPr>
            <w:tcW w:w="6066" w:type="dxa"/>
            <w:vAlign w:val="bottom"/>
          </w:tcPr>
          <w:p w14:paraId="52C46A1B" w14:textId="0DC0717D" w:rsidR="001021AC" w:rsidRPr="006B77BB" w:rsidRDefault="001021AC" w:rsidP="001021AC">
            <w:pPr>
              <w:pStyle w:val="TableText"/>
            </w:pPr>
            <w:r>
              <w:rPr>
                <w:rFonts w:eastAsia="Times New Roman" w:cs="Calibri"/>
                <w:color w:val="000000"/>
              </w:rPr>
              <w:t>Name withheld on request</w:t>
            </w:r>
          </w:p>
        </w:tc>
      </w:tr>
      <w:tr w:rsidR="001021AC" w:rsidRPr="006B77BB" w14:paraId="0BA72B57" w14:textId="77777777" w:rsidTr="00481A31">
        <w:tc>
          <w:tcPr>
            <w:tcW w:w="2439" w:type="dxa"/>
            <w:vAlign w:val="bottom"/>
          </w:tcPr>
          <w:p w14:paraId="05810B56" w14:textId="2ACE92AA" w:rsidR="001021AC" w:rsidRPr="006B77BB" w:rsidRDefault="001021AC" w:rsidP="001021AC">
            <w:pPr>
              <w:pStyle w:val="TableText"/>
            </w:pPr>
            <w:r w:rsidRPr="0049407B">
              <w:rPr>
                <w:rFonts w:eastAsia="Times New Roman" w:cs="Calibri"/>
                <w:color w:val="000000"/>
              </w:rPr>
              <w:t>73</w:t>
            </w:r>
          </w:p>
        </w:tc>
        <w:tc>
          <w:tcPr>
            <w:tcW w:w="6066" w:type="dxa"/>
            <w:vAlign w:val="bottom"/>
          </w:tcPr>
          <w:p w14:paraId="429C9259" w14:textId="51DD5DD2" w:rsidR="001021AC" w:rsidRPr="006B77BB" w:rsidRDefault="001021AC" w:rsidP="001021AC">
            <w:pPr>
              <w:pStyle w:val="TableText"/>
            </w:pPr>
            <w:r w:rsidRPr="0049407B">
              <w:rPr>
                <w:rFonts w:eastAsia="Times New Roman" w:cs="Calibri"/>
                <w:color w:val="000000"/>
              </w:rPr>
              <w:t>Robert Mclachlan</w:t>
            </w:r>
          </w:p>
        </w:tc>
      </w:tr>
      <w:tr w:rsidR="001021AC" w:rsidRPr="006B77BB" w14:paraId="2B21B650" w14:textId="77777777" w:rsidTr="00481A31">
        <w:tc>
          <w:tcPr>
            <w:tcW w:w="2439" w:type="dxa"/>
            <w:vAlign w:val="bottom"/>
          </w:tcPr>
          <w:p w14:paraId="27365544" w14:textId="346527DE" w:rsidR="001021AC" w:rsidRPr="006B77BB" w:rsidRDefault="001021AC" w:rsidP="001021AC">
            <w:pPr>
              <w:pStyle w:val="TableText"/>
            </w:pPr>
            <w:r w:rsidRPr="0049407B">
              <w:rPr>
                <w:rFonts w:eastAsia="Times New Roman" w:cs="Calibri"/>
                <w:color w:val="000000"/>
              </w:rPr>
              <w:t>74</w:t>
            </w:r>
          </w:p>
        </w:tc>
        <w:tc>
          <w:tcPr>
            <w:tcW w:w="6066" w:type="dxa"/>
            <w:vAlign w:val="bottom"/>
          </w:tcPr>
          <w:p w14:paraId="6A71CF11" w14:textId="27B73CAD" w:rsidR="001021AC" w:rsidRPr="006B77BB" w:rsidRDefault="001021AC" w:rsidP="001021AC">
            <w:pPr>
              <w:pStyle w:val="TableText"/>
            </w:pPr>
            <w:r w:rsidRPr="0049407B">
              <w:rPr>
                <w:rFonts w:eastAsia="Times New Roman" w:cs="Calibri"/>
                <w:color w:val="000000"/>
              </w:rPr>
              <w:t>Joanne Wills</w:t>
            </w:r>
          </w:p>
        </w:tc>
      </w:tr>
      <w:tr w:rsidR="001021AC" w:rsidRPr="006B77BB" w14:paraId="453AD7F6" w14:textId="77777777" w:rsidTr="00481A31">
        <w:tc>
          <w:tcPr>
            <w:tcW w:w="2439" w:type="dxa"/>
            <w:vAlign w:val="bottom"/>
          </w:tcPr>
          <w:p w14:paraId="475BED8F" w14:textId="3B9F8833" w:rsidR="001021AC" w:rsidRPr="006B77BB" w:rsidRDefault="001021AC" w:rsidP="001021AC">
            <w:pPr>
              <w:pStyle w:val="TableText"/>
            </w:pPr>
            <w:r w:rsidRPr="0049407B">
              <w:rPr>
                <w:rFonts w:eastAsia="Times New Roman" w:cs="Calibri"/>
                <w:color w:val="000000"/>
              </w:rPr>
              <w:t>75</w:t>
            </w:r>
          </w:p>
        </w:tc>
        <w:tc>
          <w:tcPr>
            <w:tcW w:w="6066" w:type="dxa"/>
            <w:vAlign w:val="bottom"/>
          </w:tcPr>
          <w:p w14:paraId="2CB56044" w14:textId="7238CDB6" w:rsidR="001021AC" w:rsidRPr="006B77BB" w:rsidRDefault="001021AC" w:rsidP="001021AC">
            <w:pPr>
              <w:pStyle w:val="TableText"/>
            </w:pPr>
            <w:r w:rsidRPr="0049407B">
              <w:rPr>
                <w:rFonts w:eastAsia="Times New Roman" w:cs="Calibri"/>
                <w:color w:val="000000"/>
              </w:rPr>
              <w:t>Carbon and Energy Professionals New Zealand</w:t>
            </w:r>
          </w:p>
        </w:tc>
      </w:tr>
      <w:tr w:rsidR="001021AC" w:rsidRPr="006B77BB" w14:paraId="5A33B61A" w14:textId="77777777" w:rsidTr="00481A31">
        <w:tc>
          <w:tcPr>
            <w:tcW w:w="2439" w:type="dxa"/>
            <w:vAlign w:val="bottom"/>
          </w:tcPr>
          <w:p w14:paraId="7D7BC83D" w14:textId="0838C05F" w:rsidR="001021AC" w:rsidRPr="006B77BB" w:rsidRDefault="001021AC" w:rsidP="001021AC">
            <w:pPr>
              <w:pStyle w:val="TableText"/>
            </w:pPr>
            <w:r w:rsidRPr="0049407B">
              <w:rPr>
                <w:rFonts w:eastAsia="Times New Roman" w:cs="Calibri"/>
                <w:color w:val="000000"/>
              </w:rPr>
              <w:t>76</w:t>
            </w:r>
          </w:p>
        </w:tc>
        <w:tc>
          <w:tcPr>
            <w:tcW w:w="6066" w:type="dxa"/>
            <w:vAlign w:val="bottom"/>
          </w:tcPr>
          <w:p w14:paraId="10BDBE21" w14:textId="0438BCBB" w:rsidR="001021AC" w:rsidRPr="006B77BB" w:rsidRDefault="001021AC" w:rsidP="001021AC">
            <w:pPr>
              <w:pStyle w:val="TableText"/>
            </w:pPr>
            <w:r w:rsidRPr="0049407B">
              <w:rPr>
                <w:rFonts w:eastAsia="Times New Roman" w:cs="Calibri"/>
                <w:color w:val="000000"/>
              </w:rPr>
              <w:t>Margie Mollison</w:t>
            </w:r>
          </w:p>
        </w:tc>
      </w:tr>
      <w:tr w:rsidR="001021AC" w:rsidRPr="006B77BB" w14:paraId="4DACBA54" w14:textId="77777777" w:rsidTr="00481A31">
        <w:tc>
          <w:tcPr>
            <w:tcW w:w="2439" w:type="dxa"/>
            <w:vAlign w:val="bottom"/>
          </w:tcPr>
          <w:p w14:paraId="57CE0613" w14:textId="0FACF89A" w:rsidR="001021AC" w:rsidRPr="006B77BB" w:rsidRDefault="001021AC" w:rsidP="001021AC">
            <w:pPr>
              <w:pStyle w:val="TableText"/>
            </w:pPr>
            <w:r w:rsidRPr="0049407B">
              <w:rPr>
                <w:rFonts w:eastAsia="Times New Roman" w:cs="Calibri"/>
                <w:color w:val="000000"/>
              </w:rPr>
              <w:t>77</w:t>
            </w:r>
          </w:p>
        </w:tc>
        <w:tc>
          <w:tcPr>
            <w:tcW w:w="6066" w:type="dxa"/>
            <w:vAlign w:val="bottom"/>
          </w:tcPr>
          <w:p w14:paraId="15CBFCC4" w14:textId="79C9D4EE" w:rsidR="001021AC" w:rsidRPr="006B77BB" w:rsidRDefault="001021AC" w:rsidP="001021AC">
            <w:pPr>
              <w:pStyle w:val="TableText"/>
            </w:pPr>
            <w:r w:rsidRPr="0049407B">
              <w:rPr>
                <w:rFonts w:eastAsia="Times New Roman" w:cs="Calibri"/>
                <w:color w:val="000000"/>
              </w:rPr>
              <w:t>Russell Coker</w:t>
            </w:r>
          </w:p>
        </w:tc>
      </w:tr>
      <w:tr w:rsidR="001021AC" w:rsidRPr="006B77BB" w14:paraId="68EDDFF8" w14:textId="77777777" w:rsidTr="00481A31">
        <w:tc>
          <w:tcPr>
            <w:tcW w:w="2439" w:type="dxa"/>
            <w:vAlign w:val="bottom"/>
          </w:tcPr>
          <w:p w14:paraId="7674FB29" w14:textId="4EFA9603" w:rsidR="001021AC" w:rsidRPr="006B77BB" w:rsidRDefault="001021AC" w:rsidP="001021AC">
            <w:pPr>
              <w:pStyle w:val="TableText"/>
            </w:pPr>
            <w:r w:rsidRPr="0049407B">
              <w:rPr>
                <w:rFonts w:eastAsia="Times New Roman" w:cs="Calibri"/>
                <w:color w:val="000000"/>
              </w:rPr>
              <w:t>78</w:t>
            </w:r>
          </w:p>
        </w:tc>
        <w:tc>
          <w:tcPr>
            <w:tcW w:w="6066" w:type="dxa"/>
            <w:vAlign w:val="bottom"/>
          </w:tcPr>
          <w:p w14:paraId="00D43B26" w14:textId="7E59CC20" w:rsidR="001021AC" w:rsidRPr="006B77BB" w:rsidRDefault="001021AC" w:rsidP="001021AC">
            <w:pPr>
              <w:pStyle w:val="TableText"/>
            </w:pPr>
            <w:r w:rsidRPr="0049407B">
              <w:rPr>
                <w:rFonts w:eastAsia="Times New Roman" w:cs="Calibri"/>
                <w:color w:val="000000"/>
              </w:rPr>
              <w:t>Citizens' Climate Lobby New Zealand</w:t>
            </w:r>
          </w:p>
        </w:tc>
      </w:tr>
      <w:tr w:rsidR="001021AC" w:rsidRPr="006B77BB" w14:paraId="0C3B4CDB" w14:textId="77777777" w:rsidTr="00481A31">
        <w:tc>
          <w:tcPr>
            <w:tcW w:w="2439" w:type="dxa"/>
            <w:vAlign w:val="bottom"/>
          </w:tcPr>
          <w:p w14:paraId="08B60BA8" w14:textId="55F8DC10" w:rsidR="001021AC" w:rsidRPr="006B77BB" w:rsidRDefault="001021AC" w:rsidP="001021AC">
            <w:pPr>
              <w:pStyle w:val="TableText"/>
            </w:pPr>
            <w:r w:rsidRPr="0049407B">
              <w:rPr>
                <w:rFonts w:eastAsia="Times New Roman" w:cs="Calibri"/>
                <w:color w:val="000000"/>
              </w:rPr>
              <w:t>79</w:t>
            </w:r>
          </w:p>
        </w:tc>
        <w:tc>
          <w:tcPr>
            <w:tcW w:w="6066" w:type="dxa"/>
            <w:vAlign w:val="bottom"/>
          </w:tcPr>
          <w:p w14:paraId="4AE9F3D0" w14:textId="471F3624" w:rsidR="001021AC" w:rsidRPr="006B77BB" w:rsidRDefault="001021AC" w:rsidP="001021AC">
            <w:pPr>
              <w:pStyle w:val="TableText"/>
            </w:pPr>
            <w:r w:rsidRPr="0049407B">
              <w:rPr>
                <w:rFonts w:eastAsia="Times New Roman" w:cs="Calibri"/>
                <w:color w:val="000000"/>
              </w:rPr>
              <w:t>Forest Management Limited</w:t>
            </w:r>
          </w:p>
        </w:tc>
      </w:tr>
      <w:tr w:rsidR="001021AC" w:rsidRPr="006B77BB" w14:paraId="47B512D4" w14:textId="77777777" w:rsidTr="00481A31">
        <w:tc>
          <w:tcPr>
            <w:tcW w:w="2439" w:type="dxa"/>
            <w:vAlign w:val="bottom"/>
          </w:tcPr>
          <w:p w14:paraId="5A001C50" w14:textId="136CE53D" w:rsidR="001021AC" w:rsidRPr="006B77BB" w:rsidRDefault="001021AC" w:rsidP="001021AC">
            <w:pPr>
              <w:pStyle w:val="TableText"/>
            </w:pPr>
            <w:r w:rsidRPr="0049407B">
              <w:rPr>
                <w:rFonts w:eastAsia="Times New Roman" w:cs="Calibri"/>
                <w:color w:val="000000"/>
              </w:rPr>
              <w:t>80</w:t>
            </w:r>
          </w:p>
        </w:tc>
        <w:tc>
          <w:tcPr>
            <w:tcW w:w="6066" w:type="dxa"/>
            <w:vAlign w:val="bottom"/>
          </w:tcPr>
          <w:p w14:paraId="514B1017" w14:textId="53A306B0" w:rsidR="001021AC" w:rsidRPr="006B77BB" w:rsidRDefault="001021AC" w:rsidP="001021AC">
            <w:pPr>
              <w:pStyle w:val="TableText"/>
            </w:pPr>
            <w:r w:rsidRPr="0049407B">
              <w:rPr>
                <w:rFonts w:eastAsia="Times New Roman" w:cs="Calibri"/>
                <w:color w:val="000000"/>
              </w:rPr>
              <w:t>Adrian Heays</w:t>
            </w:r>
          </w:p>
        </w:tc>
      </w:tr>
      <w:tr w:rsidR="001021AC" w:rsidRPr="006B77BB" w14:paraId="33B0AF3B" w14:textId="77777777" w:rsidTr="00481A31">
        <w:tc>
          <w:tcPr>
            <w:tcW w:w="2439" w:type="dxa"/>
            <w:vAlign w:val="bottom"/>
          </w:tcPr>
          <w:p w14:paraId="08A02C01" w14:textId="30446A40" w:rsidR="001021AC" w:rsidRPr="006B77BB" w:rsidRDefault="001021AC" w:rsidP="001021AC">
            <w:pPr>
              <w:pStyle w:val="TableText"/>
            </w:pPr>
            <w:r w:rsidRPr="0049407B">
              <w:rPr>
                <w:rFonts w:eastAsia="Times New Roman" w:cs="Calibri"/>
                <w:color w:val="000000"/>
              </w:rPr>
              <w:t>81</w:t>
            </w:r>
          </w:p>
        </w:tc>
        <w:tc>
          <w:tcPr>
            <w:tcW w:w="6066" w:type="dxa"/>
            <w:vAlign w:val="bottom"/>
          </w:tcPr>
          <w:p w14:paraId="03C4E5CE" w14:textId="4BACEAB2" w:rsidR="001021AC" w:rsidRPr="006B77BB" w:rsidRDefault="001021AC" w:rsidP="001021AC">
            <w:pPr>
              <w:pStyle w:val="TableText"/>
            </w:pPr>
            <w:r w:rsidRPr="0049407B">
              <w:rPr>
                <w:rFonts w:eastAsia="Times New Roman" w:cs="Calibri"/>
                <w:color w:val="000000"/>
              </w:rPr>
              <w:t>Realcold NZ Limited</w:t>
            </w:r>
          </w:p>
        </w:tc>
      </w:tr>
      <w:tr w:rsidR="001021AC" w:rsidRPr="006B77BB" w14:paraId="384395D2" w14:textId="77777777" w:rsidTr="00481A31">
        <w:tc>
          <w:tcPr>
            <w:tcW w:w="2439" w:type="dxa"/>
            <w:vAlign w:val="bottom"/>
          </w:tcPr>
          <w:p w14:paraId="1C3F4865" w14:textId="43B49983" w:rsidR="001021AC" w:rsidRPr="006B77BB" w:rsidRDefault="001021AC" w:rsidP="001021AC">
            <w:pPr>
              <w:pStyle w:val="TableText"/>
            </w:pPr>
            <w:r w:rsidRPr="0049407B">
              <w:rPr>
                <w:rFonts w:eastAsia="Times New Roman" w:cs="Calibri"/>
                <w:color w:val="000000"/>
              </w:rPr>
              <w:t>82</w:t>
            </w:r>
          </w:p>
        </w:tc>
        <w:tc>
          <w:tcPr>
            <w:tcW w:w="6066" w:type="dxa"/>
            <w:vAlign w:val="bottom"/>
          </w:tcPr>
          <w:p w14:paraId="42C91BFD" w14:textId="0272112F" w:rsidR="001021AC" w:rsidRPr="006B77BB" w:rsidRDefault="001021AC" w:rsidP="001021AC">
            <w:pPr>
              <w:pStyle w:val="TableText"/>
            </w:pPr>
            <w:r w:rsidRPr="0049407B">
              <w:rPr>
                <w:rFonts w:eastAsia="Times New Roman" w:cs="Calibri"/>
                <w:color w:val="000000"/>
              </w:rPr>
              <w:t>Waikato Regional Council</w:t>
            </w:r>
          </w:p>
        </w:tc>
      </w:tr>
      <w:tr w:rsidR="001021AC" w:rsidRPr="006B77BB" w14:paraId="359DF1AA" w14:textId="77777777" w:rsidTr="00481A31">
        <w:tc>
          <w:tcPr>
            <w:tcW w:w="2439" w:type="dxa"/>
            <w:vAlign w:val="bottom"/>
          </w:tcPr>
          <w:p w14:paraId="13D77C1F" w14:textId="6D09DC56" w:rsidR="001021AC" w:rsidRPr="006B77BB" w:rsidRDefault="001021AC" w:rsidP="001021AC">
            <w:pPr>
              <w:pStyle w:val="TableText"/>
            </w:pPr>
            <w:r w:rsidRPr="0049407B">
              <w:rPr>
                <w:rFonts w:eastAsia="Times New Roman" w:cs="Calibri"/>
                <w:color w:val="000000"/>
              </w:rPr>
              <w:t>83</w:t>
            </w:r>
          </w:p>
        </w:tc>
        <w:tc>
          <w:tcPr>
            <w:tcW w:w="6066" w:type="dxa"/>
            <w:vAlign w:val="bottom"/>
          </w:tcPr>
          <w:p w14:paraId="4CC17B24" w14:textId="2E56CC27" w:rsidR="001021AC" w:rsidRPr="006B77BB" w:rsidRDefault="001021AC" w:rsidP="001021AC">
            <w:pPr>
              <w:pStyle w:val="TableText"/>
            </w:pPr>
            <w:r w:rsidRPr="0049407B">
              <w:rPr>
                <w:rFonts w:eastAsia="Times New Roman" w:cs="Calibri"/>
                <w:color w:val="000000"/>
              </w:rPr>
              <w:t>BP New Zealand</w:t>
            </w:r>
          </w:p>
        </w:tc>
      </w:tr>
      <w:tr w:rsidR="001021AC" w:rsidRPr="006B77BB" w14:paraId="05BB2355" w14:textId="77777777" w:rsidTr="00481A31">
        <w:tc>
          <w:tcPr>
            <w:tcW w:w="2439" w:type="dxa"/>
            <w:vAlign w:val="bottom"/>
          </w:tcPr>
          <w:p w14:paraId="074CDB95" w14:textId="52E2B6C7" w:rsidR="001021AC" w:rsidRPr="006B77BB" w:rsidRDefault="001021AC" w:rsidP="001021AC">
            <w:pPr>
              <w:pStyle w:val="TableText"/>
            </w:pPr>
            <w:r w:rsidRPr="0049407B">
              <w:rPr>
                <w:rFonts w:eastAsia="Times New Roman" w:cs="Calibri"/>
                <w:color w:val="000000"/>
              </w:rPr>
              <w:t>84</w:t>
            </w:r>
          </w:p>
        </w:tc>
        <w:tc>
          <w:tcPr>
            <w:tcW w:w="6066" w:type="dxa"/>
            <w:vAlign w:val="bottom"/>
          </w:tcPr>
          <w:p w14:paraId="2A9087EC" w14:textId="5E8ADC7D" w:rsidR="001021AC" w:rsidRPr="006B77BB" w:rsidRDefault="001021AC" w:rsidP="001021AC">
            <w:pPr>
              <w:pStyle w:val="TableText"/>
            </w:pPr>
            <w:r>
              <w:rPr>
                <w:rFonts w:eastAsia="Times New Roman" w:cs="Calibri"/>
                <w:color w:val="000000"/>
              </w:rPr>
              <w:t>Name withheld on request</w:t>
            </w:r>
          </w:p>
        </w:tc>
      </w:tr>
      <w:tr w:rsidR="001021AC" w:rsidRPr="006B77BB" w14:paraId="22B2BBEB" w14:textId="77777777" w:rsidTr="00481A31">
        <w:tc>
          <w:tcPr>
            <w:tcW w:w="2439" w:type="dxa"/>
            <w:vAlign w:val="bottom"/>
          </w:tcPr>
          <w:p w14:paraId="77472900" w14:textId="10398C58" w:rsidR="001021AC" w:rsidRPr="006B77BB" w:rsidRDefault="001021AC" w:rsidP="001021AC">
            <w:pPr>
              <w:pStyle w:val="TableText"/>
            </w:pPr>
            <w:r w:rsidRPr="0049407B">
              <w:rPr>
                <w:rFonts w:eastAsia="Times New Roman" w:cs="Calibri"/>
                <w:color w:val="000000"/>
              </w:rPr>
              <w:t>85</w:t>
            </w:r>
          </w:p>
        </w:tc>
        <w:tc>
          <w:tcPr>
            <w:tcW w:w="6066" w:type="dxa"/>
            <w:vAlign w:val="bottom"/>
          </w:tcPr>
          <w:p w14:paraId="7FFCDCE2" w14:textId="0AC9B2C9" w:rsidR="001021AC" w:rsidRPr="006B77BB" w:rsidRDefault="001021AC" w:rsidP="001021AC">
            <w:pPr>
              <w:pStyle w:val="TableText"/>
            </w:pPr>
            <w:r w:rsidRPr="0049407B">
              <w:rPr>
                <w:rFonts w:eastAsia="Times New Roman" w:cs="Calibri"/>
                <w:color w:val="000000"/>
              </w:rPr>
              <w:t>Business NZ</w:t>
            </w:r>
          </w:p>
        </w:tc>
      </w:tr>
      <w:tr w:rsidR="001021AC" w:rsidRPr="006B77BB" w14:paraId="0D0C6216" w14:textId="77777777" w:rsidTr="00481A31">
        <w:tc>
          <w:tcPr>
            <w:tcW w:w="2439" w:type="dxa"/>
            <w:vAlign w:val="bottom"/>
          </w:tcPr>
          <w:p w14:paraId="3DDFFCEA" w14:textId="76DC7FF0" w:rsidR="001021AC" w:rsidRPr="006B77BB" w:rsidRDefault="001021AC" w:rsidP="001021AC">
            <w:pPr>
              <w:pStyle w:val="TableText"/>
            </w:pPr>
            <w:r w:rsidRPr="0049407B">
              <w:rPr>
                <w:rFonts w:eastAsia="Times New Roman" w:cs="Calibri"/>
                <w:color w:val="000000"/>
              </w:rPr>
              <w:t>86</w:t>
            </w:r>
          </w:p>
        </w:tc>
        <w:tc>
          <w:tcPr>
            <w:tcW w:w="6066" w:type="dxa"/>
            <w:vAlign w:val="bottom"/>
          </w:tcPr>
          <w:p w14:paraId="54F66EFA" w14:textId="04251FDD" w:rsidR="001021AC" w:rsidRPr="006B77BB" w:rsidRDefault="001021AC" w:rsidP="001021AC">
            <w:pPr>
              <w:pStyle w:val="TableText"/>
            </w:pPr>
            <w:r w:rsidRPr="0049407B">
              <w:rPr>
                <w:rFonts w:eastAsia="Times New Roman" w:cs="Calibri"/>
                <w:color w:val="000000"/>
              </w:rPr>
              <w:t>First Gas</w:t>
            </w:r>
          </w:p>
        </w:tc>
      </w:tr>
      <w:tr w:rsidR="001021AC" w:rsidRPr="006B77BB" w14:paraId="0F044F1E" w14:textId="77777777" w:rsidTr="00481A31">
        <w:tc>
          <w:tcPr>
            <w:tcW w:w="2439" w:type="dxa"/>
            <w:vAlign w:val="bottom"/>
          </w:tcPr>
          <w:p w14:paraId="2F1BA3BC" w14:textId="1F441690" w:rsidR="001021AC" w:rsidRPr="006B77BB" w:rsidRDefault="001021AC" w:rsidP="001021AC">
            <w:pPr>
              <w:pStyle w:val="TableText"/>
            </w:pPr>
            <w:r w:rsidRPr="0049407B">
              <w:rPr>
                <w:rFonts w:eastAsia="Times New Roman" w:cs="Calibri"/>
                <w:color w:val="000000"/>
              </w:rPr>
              <w:t>87</w:t>
            </w:r>
          </w:p>
        </w:tc>
        <w:tc>
          <w:tcPr>
            <w:tcW w:w="6066" w:type="dxa"/>
            <w:vAlign w:val="bottom"/>
          </w:tcPr>
          <w:p w14:paraId="5265308C" w14:textId="12224B69" w:rsidR="001021AC" w:rsidRPr="006B77BB" w:rsidRDefault="001021AC" w:rsidP="001021AC">
            <w:pPr>
              <w:pStyle w:val="TableText"/>
            </w:pPr>
            <w:r w:rsidRPr="0049407B">
              <w:rPr>
                <w:rFonts w:eastAsia="Times New Roman" w:cs="Calibri"/>
                <w:color w:val="000000"/>
              </w:rPr>
              <w:t>Export NZ</w:t>
            </w:r>
          </w:p>
        </w:tc>
      </w:tr>
      <w:tr w:rsidR="001021AC" w:rsidRPr="006B77BB" w14:paraId="44E6F748" w14:textId="77777777" w:rsidTr="00481A31">
        <w:tc>
          <w:tcPr>
            <w:tcW w:w="2439" w:type="dxa"/>
            <w:vAlign w:val="bottom"/>
          </w:tcPr>
          <w:p w14:paraId="335BE6B9" w14:textId="48B3BE5B" w:rsidR="001021AC" w:rsidRPr="006B77BB" w:rsidRDefault="001021AC" w:rsidP="001021AC">
            <w:pPr>
              <w:pStyle w:val="TableText"/>
            </w:pPr>
            <w:r w:rsidRPr="0049407B">
              <w:rPr>
                <w:rFonts w:eastAsia="Times New Roman" w:cs="Calibri"/>
                <w:color w:val="000000"/>
              </w:rPr>
              <w:t>88</w:t>
            </w:r>
          </w:p>
        </w:tc>
        <w:tc>
          <w:tcPr>
            <w:tcW w:w="6066" w:type="dxa"/>
            <w:vAlign w:val="bottom"/>
          </w:tcPr>
          <w:p w14:paraId="67AF2338" w14:textId="329A8047" w:rsidR="001021AC" w:rsidRPr="006B77BB" w:rsidRDefault="001021AC" w:rsidP="001021AC">
            <w:pPr>
              <w:pStyle w:val="TableText"/>
            </w:pPr>
            <w:r w:rsidRPr="0049407B">
              <w:rPr>
                <w:rFonts w:eastAsia="Times New Roman" w:cs="Calibri"/>
                <w:color w:val="000000"/>
              </w:rPr>
              <w:t>Genesis</w:t>
            </w:r>
          </w:p>
        </w:tc>
      </w:tr>
      <w:tr w:rsidR="001021AC" w:rsidRPr="006B77BB" w14:paraId="44528345" w14:textId="77777777" w:rsidTr="00481A31">
        <w:tc>
          <w:tcPr>
            <w:tcW w:w="2439" w:type="dxa"/>
            <w:vAlign w:val="bottom"/>
          </w:tcPr>
          <w:p w14:paraId="6BA95A1F" w14:textId="6C37E7C0" w:rsidR="001021AC" w:rsidRPr="006B77BB" w:rsidRDefault="001021AC" w:rsidP="001021AC">
            <w:pPr>
              <w:pStyle w:val="TableText"/>
            </w:pPr>
            <w:r w:rsidRPr="0049407B">
              <w:rPr>
                <w:rFonts w:eastAsia="Times New Roman" w:cs="Calibri"/>
                <w:color w:val="000000"/>
              </w:rPr>
              <w:t>90</w:t>
            </w:r>
          </w:p>
        </w:tc>
        <w:tc>
          <w:tcPr>
            <w:tcW w:w="6066" w:type="dxa"/>
            <w:vAlign w:val="bottom"/>
          </w:tcPr>
          <w:p w14:paraId="5AF356B7" w14:textId="37C2A74A" w:rsidR="001021AC" w:rsidRPr="006B77BB" w:rsidRDefault="001021AC" w:rsidP="001021AC">
            <w:pPr>
              <w:pStyle w:val="TableText"/>
            </w:pPr>
            <w:r w:rsidRPr="0049407B">
              <w:rPr>
                <w:rFonts w:eastAsia="Times New Roman" w:cs="Calibri"/>
                <w:color w:val="000000"/>
              </w:rPr>
              <w:t>Chartered Accountants ANZ</w:t>
            </w:r>
          </w:p>
        </w:tc>
      </w:tr>
      <w:tr w:rsidR="001021AC" w:rsidRPr="006B77BB" w14:paraId="5C937E5D" w14:textId="77777777" w:rsidTr="00481A31">
        <w:tc>
          <w:tcPr>
            <w:tcW w:w="2439" w:type="dxa"/>
            <w:vAlign w:val="bottom"/>
          </w:tcPr>
          <w:p w14:paraId="2C82D146" w14:textId="41988325" w:rsidR="001021AC" w:rsidRPr="006B77BB" w:rsidRDefault="001021AC" w:rsidP="001021AC">
            <w:pPr>
              <w:pStyle w:val="TableText"/>
            </w:pPr>
            <w:r w:rsidRPr="0049407B">
              <w:rPr>
                <w:rFonts w:eastAsia="Times New Roman" w:cs="Calibri"/>
                <w:color w:val="000000"/>
              </w:rPr>
              <w:t>91</w:t>
            </w:r>
          </w:p>
        </w:tc>
        <w:tc>
          <w:tcPr>
            <w:tcW w:w="6066" w:type="dxa"/>
            <w:vAlign w:val="bottom"/>
          </w:tcPr>
          <w:p w14:paraId="31A330CA" w14:textId="12EC044D" w:rsidR="001021AC" w:rsidRPr="006B77BB" w:rsidRDefault="001021AC" w:rsidP="001021AC">
            <w:pPr>
              <w:pStyle w:val="TableText"/>
            </w:pPr>
            <w:r w:rsidRPr="0049407B">
              <w:rPr>
                <w:rFonts w:eastAsia="Times New Roman" w:cs="Calibri"/>
                <w:color w:val="000000"/>
              </w:rPr>
              <w:t>Queenstown Lakes District Council</w:t>
            </w:r>
          </w:p>
        </w:tc>
      </w:tr>
      <w:tr w:rsidR="001021AC" w:rsidRPr="006B77BB" w14:paraId="3EDC1217" w14:textId="77777777" w:rsidTr="00481A31">
        <w:tc>
          <w:tcPr>
            <w:tcW w:w="2439" w:type="dxa"/>
            <w:vAlign w:val="bottom"/>
          </w:tcPr>
          <w:p w14:paraId="21638C7B" w14:textId="036DB9FF" w:rsidR="001021AC" w:rsidRPr="006B77BB" w:rsidRDefault="001021AC" w:rsidP="001021AC">
            <w:pPr>
              <w:pStyle w:val="TableText"/>
            </w:pPr>
            <w:r w:rsidRPr="0049407B">
              <w:rPr>
                <w:rFonts w:eastAsia="Times New Roman" w:cs="Calibri"/>
                <w:color w:val="000000"/>
              </w:rPr>
              <w:t>92</w:t>
            </w:r>
          </w:p>
        </w:tc>
        <w:tc>
          <w:tcPr>
            <w:tcW w:w="6066" w:type="dxa"/>
            <w:vAlign w:val="bottom"/>
          </w:tcPr>
          <w:p w14:paraId="0311043C" w14:textId="23850BB5" w:rsidR="001021AC" w:rsidRPr="006B77BB" w:rsidRDefault="001021AC" w:rsidP="001021AC">
            <w:pPr>
              <w:pStyle w:val="TableText"/>
            </w:pPr>
            <w:r w:rsidRPr="0049407B">
              <w:rPr>
                <w:rFonts w:eastAsia="Times New Roman" w:cs="Calibri"/>
                <w:color w:val="000000"/>
              </w:rPr>
              <w:t>Anna Berthelsen</w:t>
            </w:r>
          </w:p>
        </w:tc>
      </w:tr>
      <w:tr w:rsidR="001021AC" w:rsidRPr="006B77BB" w14:paraId="456CEA5B" w14:textId="77777777" w:rsidTr="00481A31">
        <w:tc>
          <w:tcPr>
            <w:tcW w:w="2439" w:type="dxa"/>
            <w:vAlign w:val="bottom"/>
          </w:tcPr>
          <w:p w14:paraId="1BAEE137" w14:textId="421EEEB4" w:rsidR="001021AC" w:rsidRPr="006B77BB" w:rsidRDefault="001021AC" w:rsidP="001021AC">
            <w:pPr>
              <w:pStyle w:val="TableText"/>
            </w:pPr>
            <w:r w:rsidRPr="0049407B">
              <w:rPr>
                <w:rFonts w:eastAsia="Times New Roman" w:cs="Calibri"/>
                <w:color w:val="000000"/>
              </w:rPr>
              <w:t>93</w:t>
            </w:r>
          </w:p>
        </w:tc>
        <w:tc>
          <w:tcPr>
            <w:tcW w:w="6066" w:type="dxa"/>
            <w:vAlign w:val="bottom"/>
          </w:tcPr>
          <w:p w14:paraId="1F02B1D5" w14:textId="37B841F6" w:rsidR="001021AC" w:rsidRPr="006B77BB" w:rsidRDefault="001021AC" w:rsidP="001021AC">
            <w:pPr>
              <w:pStyle w:val="TableText"/>
            </w:pPr>
            <w:r w:rsidRPr="0049407B">
              <w:rPr>
                <w:rFonts w:eastAsia="Times New Roman" w:cs="Calibri"/>
                <w:color w:val="000000"/>
              </w:rPr>
              <w:t>Zero Carbon Nelson Tasman</w:t>
            </w:r>
          </w:p>
        </w:tc>
      </w:tr>
      <w:tr w:rsidR="001021AC" w:rsidRPr="006B77BB" w14:paraId="311BAAE6" w14:textId="77777777" w:rsidTr="00481A31">
        <w:tc>
          <w:tcPr>
            <w:tcW w:w="2439" w:type="dxa"/>
            <w:vAlign w:val="bottom"/>
          </w:tcPr>
          <w:p w14:paraId="7E6784D0" w14:textId="32C75AA7" w:rsidR="001021AC" w:rsidRPr="006B77BB" w:rsidRDefault="001021AC" w:rsidP="001021AC">
            <w:pPr>
              <w:pStyle w:val="TableText"/>
            </w:pPr>
            <w:r w:rsidRPr="0049407B">
              <w:rPr>
                <w:rFonts w:eastAsia="Times New Roman" w:cs="Calibri"/>
                <w:color w:val="000000"/>
              </w:rPr>
              <w:t>94</w:t>
            </w:r>
          </w:p>
        </w:tc>
        <w:tc>
          <w:tcPr>
            <w:tcW w:w="6066" w:type="dxa"/>
            <w:vAlign w:val="bottom"/>
          </w:tcPr>
          <w:p w14:paraId="645F2502" w14:textId="24ED7BCE" w:rsidR="001021AC" w:rsidRPr="006B77BB" w:rsidRDefault="001021AC" w:rsidP="001021AC">
            <w:pPr>
              <w:pStyle w:val="TableText"/>
            </w:pPr>
            <w:r w:rsidRPr="0049407B">
              <w:rPr>
                <w:rFonts w:eastAsia="Times New Roman" w:cs="Calibri"/>
                <w:color w:val="000000"/>
              </w:rPr>
              <w:t>Federated Farmers</w:t>
            </w:r>
          </w:p>
        </w:tc>
      </w:tr>
      <w:tr w:rsidR="001021AC" w:rsidRPr="006B77BB" w14:paraId="658C4DBE" w14:textId="77777777" w:rsidTr="00481A31">
        <w:tc>
          <w:tcPr>
            <w:tcW w:w="2439" w:type="dxa"/>
            <w:vAlign w:val="bottom"/>
          </w:tcPr>
          <w:p w14:paraId="0D7805FC" w14:textId="45B35E16" w:rsidR="001021AC" w:rsidRPr="006B77BB" w:rsidRDefault="001021AC" w:rsidP="001021AC">
            <w:pPr>
              <w:pStyle w:val="TableText"/>
            </w:pPr>
            <w:r w:rsidRPr="0049407B">
              <w:rPr>
                <w:rFonts w:eastAsia="Times New Roman" w:cs="Calibri"/>
                <w:color w:val="000000"/>
              </w:rPr>
              <w:lastRenderedPageBreak/>
              <w:t>95</w:t>
            </w:r>
          </w:p>
        </w:tc>
        <w:tc>
          <w:tcPr>
            <w:tcW w:w="6066" w:type="dxa"/>
            <w:vAlign w:val="bottom"/>
          </w:tcPr>
          <w:p w14:paraId="508A5283" w14:textId="0D2D3A14" w:rsidR="001021AC" w:rsidRPr="006B77BB" w:rsidRDefault="001021AC" w:rsidP="001021AC">
            <w:pPr>
              <w:pStyle w:val="TableText"/>
            </w:pPr>
            <w:r w:rsidRPr="0049407B">
              <w:rPr>
                <w:rFonts w:eastAsia="Times New Roman" w:cs="Calibri"/>
                <w:color w:val="000000"/>
              </w:rPr>
              <w:t xml:space="preserve">Aaron </w:t>
            </w:r>
          </w:p>
        </w:tc>
      </w:tr>
      <w:tr w:rsidR="001021AC" w:rsidRPr="006B77BB" w14:paraId="37E94D42" w14:textId="77777777" w:rsidTr="00481A31">
        <w:tc>
          <w:tcPr>
            <w:tcW w:w="2439" w:type="dxa"/>
            <w:vAlign w:val="bottom"/>
          </w:tcPr>
          <w:p w14:paraId="528F7047" w14:textId="1B19BAB4" w:rsidR="001021AC" w:rsidRPr="006B77BB" w:rsidRDefault="001021AC" w:rsidP="001021AC">
            <w:pPr>
              <w:pStyle w:val="TableText"/>
            </w:pPr>
            <w:r w:rsidRPr="0049407B">
              <w:rPr>
                <w:rFonts w:eastAsia="Times New Roman" w:cs="Calibri"/>
                <w:color w:val="000000"/>
              </w:rPr>
              <w:t>96</w:t>
            </w:r>
          </w:p>
        </w:tc>
        <w:tc>
          <w:tcPr>
            <w:tcW w:w="6066" w:type="dxa"/>
            <w:vAlign w:val="bottom"/>
          </w:tcPr>
          <w:p w14:paraId="63D3301A" w14:textId="451C5006" w:rsidR="001021AC" w:rsidRPr="006B77BB" w:rsidRDefault="001021AC" w:rsidP="001021AC">
            <w:pPr>
              <w:pStyle w:val="TableText"/>
            </w:pPr>
            <w:r w:rsidRPr="0049407B">
              <w:rPr>
                <w:rFonts w:eastAsia="Times New Roman" w:cs="Calibri"/>
                <w:color w:val="000000"/>
              </w:rPr>
              <w:t>NZ Carbon Farming</w:t>
            </w:r>
          </w:p>
        </w:tc>
      </w:tr>
      <w:tr w:rsidR="001021AC" w:rsidRPr="006B77BB" w14:paraId="27148122" w14:textId="77777777" w:rsidTr="00481A31">
        <w:tc>
          <w:tcPr>
            <w:tcW w:w="2439" w:type="dxa"/>
            <w:vAlign w:val="bottom"/>
          </w:tcPr>
          <w:p w14:paraId="0C45A177" w14:textId="6A36DEB4" w:rsidR="001021AC" w:rsidRPr="006B77BB" w:rsidRDefault="001021AC" w:rsidP="001021AC">
            <w:pPr>
              <w:pStyle w:val="TableText"/>
            </w:pPr>
            <w:r w:rsidRPr="0049407B">
              <w:rPr>
                <w:rFonts w:eastAsia="Times New Roman" w:cs="Calibri"/>
                <w:color w:val="000000"/>
              </w:rPr>
              <w:t>97</w:t>
            </w:r>
          </w:p>
        </w:tc>
        <w:tc>
          <w:tcPr>
            <w:tcW w:w="6066" w:type="dxa"/>
            <w:vAlign w:val="bottom"/>
          </w:tcPr>
          <w:p w14:paraId="66500674" w14:textId="560A8824" w:rsidR="001021AC" w:rsidRPr="006B77BB" w:rsidRDefault="001021AC" w:rsidP="001021AC">
            <w:pPr>
              <w:pStyle w:val="TableText"/>
            </w:pPr>
            <w:r w:rsidRPr="0049407B">
              <w:rPr>
                <w:rFonts w:eastAsia="Times New Roman" w:cs="Calibri"/>
                <w:color w:val="000000"/>
              </w:rPr>
              <w:t>NZ Steel</w:t>
            </w:r>
          </w:p>
        </w:tc>
      </w:tr>
      <w:tr w:rsidR="001021AC" w:rsidRPr="006B77BB" w14:paraId="255D3429" w14:textId="77777777" w:rsidTr="00481A31">
        <w:tc>
          <w:tcPr>
            <w:tcW w:w="2439" w:type="dxa"/>
            <w:vAlign w:val="bottom"/>
          </w:tcPr>
          <w:p w14:paraId="58AACBE4" w14:textId="6D15A45E" w:rsidR="001021AC" w:rsidRPr="006B77BB" w:rsidRDefault="001021AC" w:rsidP="001021AC">
            <w:pPr>
              <w:pStyle w:val="TableText"/>
            </w:pPr>
            <w:r w:rsidRPr="0049407B">
              <w:rPr>
                <w:rFonts w:eastAsia="Times New Roman" w:cs="Calibri"/>
                <w:color w:val="000000"/>
              </w:rPr>
              <w:t>98</w:t>
            </w:r>
          </w:p>
        </w:tc>
        <w:tc>
          <w:tcPr>
            <w:tcW w:w="6066" w:type="dxa"/>
            <w:vAlign w:val="bottom"/>
          </w:tcPr>
          <w:p w14:paraId="2B5CE22A" w14:textId="724F9B70" w:rsidR="001021AC" w:rsidRPr="006B77BB" w:rsidRDefault="001021AC" w:rsidP="001021AC">
            <w:pPr>
              <w:pStyle w:val="TableText"/>
            </w:pPr>
            <w:r w:rsidRPr="0049407B">
              <w:rPr>
                <w:rFonts w:eastAsia="Times New Roman" w:cs="Calibri"/>
                <w:color w:val="000000"/>
              </w:rPr>
              <w:t>Pioneer Energy</w:t>
            </w:r>
          </w:p>
        </w:tc>
      </w:tr>
      <w:tr w:rsidR="001021AC" w:rsidRPr="006B77BB" w14:paraId="3660417C" w14:textId="77777777" w:rsidTr="00481A31">
        <w:tc>
          <w:tcPr>
            <w:tcW w:w="2439" w:type="dxa"/>
            <w:vAlign w:val="bottom"/>
          </w:tcPr>
          <w:p w14:paraId="03A6C6A4" w14:textId="730B0A1A" w:rsidR="001021AC" w:rsidRPr="006B77BB" w:rsidRDefault="001021AC" w:rsidP="001021AC">
            <w:pPr>
              <w:pStyle w:val="TableText"/>
            </w:pPr>
            <w:r w:rsidRPr="0049407B">
              <w:rPr>
                <w:rFonts w:eastAsia="Times New Roman" w:cs="Calibri"/>
                <w:color w:val="000000"/>
              </w:rPr>
              <w:t>99</w:t>
            </w:r>
          </w:p>
        </w:tc>
        <w:tc>
          <w:tcPr>
            <w:tcW w:w="6066" w:type="dxa"/>
            <w:vAlign w:val="bottom"/>
          </w:tcPr>
          <w:p w14:paraId="301F2878" w14:textId="098F6F60" w:rsidR="001021AC" w:rsidRPr="006B77BB" w:rsidRDefault="001021AC" w:rsidP="001021AC">
            <w:pPr>
              <w:pStyle w:val="TableText"/>
            </w:pPr>
            <w:r w:rsidRPr="0049407B">
              <w:rPr>
                <w:rFonts w:eastAsia="Times New Roman" w:cs="Calibri"/>
                <w:color w:val="000000"/>
              </w:rPr>
              <w:t>Nukuhau Carbon Limited</w:t>
            </w:r>
          </w:p>
        </w:tc>
      </w:tr>
      <w:tr w:rsidR="001021AC" w:rsidRPr="006B77BB" w14:paraId="1759EB24" w14:textId="77777777" w:rsidTr="00481A31">
        <w:tc>
          <w:tcPr>
            <w:tcW w:w="2439" w:type="dxa"/>
            <w:vAlign w:val="bottom"/>
          </w:tcPr>
          <w:p w14:paraId="25BD0D3D" w14:textId="5EB066F4" w:rsidR="001021AC" w:rsidRPr="006B77BB" w:rsidRDefault="001021AC" w:rsidP="001021AC">
            <w:pPr>
              <w:pStyle w:val="TableText"/>
            </w:pPr>
            <w:r w:rsidRPr="0049407B">
              <w:rPr>
                <w:rFonts w:eastAsia="Times New Roman" w:cs="Calibri"/>
                <w:color w:val="000000"/>
              </w:rPr>
              <w:t>100</w:t>
            </w:r>
          </w:p>
        </w:tc>
        <w:tc>
          <w:tcPr>
            <w:tcW w:w="6066" w:type="dxa"/>
            <w:vAlign w:val="bottom"/>
          </w:tcPr>
          <w:p w14:paraId="60B192CF" w14:textId="306A7782" w:rsidR="001021AC" w:rsidRPr="006B77BB" w:rsidRDefault="001021AC" w:rsidP="001021AC">
            <w:pPr>
              <w:pStyle w:val="TableText"/>
            </w:pPr>
            <w:r w:rsidRPr="0049407B">
              <w:rPr>
                <w:rFonts w:eastAsia="Times New Roman" w:cs="Calibri"/>
                <w:color w:val="000000"/>
              </w:rPr>
              <w:t>Gillian Cookee</w:t>
            </w:r>
          </w:p>
        </w:tc>
      </w:tr>
      <w:tr w:rsidR="001021AC" w:rsidRPr="006B77BB" w14:paraId="70955E8C" w14:textId="77777777" w:rsidTr="00481A31">
        <w:tc>
          <w:tcPr>
            <w:tcW w:w="2439" w:type="dxa"/>
            <w:vAlign w:val="bottom"/>
          </w:tcPr>
          <w:p w14:paraId="6F9E72AE" w14:textId="7F777A08" w:rsidR="001021AC" w:rsidRPr="006B77BB" w:rsidRDefault="001021AC" w:rsidP="001021AC">
            <w:pPr>
              <w:pStyle w:val="TableText"/>
            </w:pPr>
            <w:r w:rsidRPr="0049407B">
              <w:rPr>
                <w:rFonts w:eastAsia="Times New Roman" w:cs="Calibri"/>
                <w:color w:val="000000"/>
              </w:rPr>
              <w:t>103</w:t>
            </w:r>
          </w:p>
        </w:tc>
        <w:tc>
          <w:tcPr>
            <w:tcW w:w="6066" w:type="dxa"/>
            <w:vAlign w:val="bottom"/>
          </w:tcPr>
          <w:p w14:paraId="2CA27CAA" w14:textId="259193DF" w:rsidR="001021AC" w:rsidRPr="006B77BB" w:rsidRDefault="001021AC" w:rsidP="001021AC">
            <w:pPr>
              <w:pStyle w:val="TableText"/>
            </w:pPr>
            <w:r>
              <w:rPr>
                <w:rFonts w:eastAsia="Times New Roman" w:cs="Calibri"/>
                <w:color w:val="000000"/>
              </w:rPr>
              <w:t>Name withheld on request</w:t>
            </w:r>
          </w:p>
        </w:tc>
      </w:tr>
      <w:tr w:rsidR="001021AC" w:rsidRPr="006B77BB" w14:paraId="04B63EC1" w14:textId="77777777" w:rsidTr="00481A31">
        <w:tc>
          <w:tcPr>
            <w:tcW w:w="2439" w:type="dxa"/>
            <w:vAlign w:val="bottom"/>
          </w:tcPr>
          <w:p w14:paraId="2D590411" w14:textId="5CE29B5D" w:rsidR="001021AC" w:rsidRPr="006B77BB" w:rsidRDefault="001021AC" w:rsidP="001021AC">
            <w:pPr>
              <w:pStyle w:val="TableText"/>
            </w:pPr>
            <w:r w:rsidRPr="0049407B">
              <w:rPr>
                <w:rFonts w:eastAsia="Times New Roman" w:cs="Calibri"/>
                <w:color w:val="000000"/>
              </w:rPr>
              <w:t>104</w:t>
            </w:r>
          </w:p>
        </w:tc>
        <w:tc>
          <w:tcPr>
            <w:tcW w:w="6066" w:type="dxa"/>
            <w:vAlign w:val="bottom"/>
          </w:tcPr>
          <w:p w14:paraId="4AFDC688" w14:textId="7C6F3851" w:rsidR="001021AC" w:rsidRPr="006B77BB" w:rsidRDefault="001021AC" w:rsidP="001021AC">
            <w:pPr>
              <w:pStyle w:val="TableText"/>
            </w:pPr>
            <w:r w:rsidRPr="0049407B">
              <w:rPr>
                <w:rFonts w:eastAsia="Times New Roman" w:cs="Calibri"/>
                <w:color w:val="000000"/>
              </w:rPr>
              <w:t>Contact</w:t>
            </w:r>
          </w:p>
        </w:tc>
      </w:tr>
      <w:tr w:rsidR="001021AC" w:rsidRPr="006B77BB" w14:paraId="63702C06" w14:textId="77777777" w:rsidTr="00481A31">
        <w:tc>
          <w:tcPr>
            <w:tcW w:w="2439" w:type="dxa"/>
            <w:vAlign w:val="bottom"/>
          </w:tcPr>
          <w:p w14:paraId="5E922271" w14:textId="51D06D17" w:rsidR="001021AC" w:rsidRPr="006B77BB" w:rsidRDefault="001021AC" w:rsidP="001021AC">
            <w:pPr>
              <w:pStyle w:val="TableText"/>
            </w:pPr>
            <w:r w:rsidRPr="0049407B">
              <w:rPr>
                <w:rFonts w:eastAsia="Times New Roman" w:cs="Calibri"/>
                <w:color w:val="000000"/>
              </w:rPr>
              <w:t>105</w:t>
            </w:r>
          </w:p>
        </w:tc>
        <w:tc>
          <w:tcPr>
            <w:tcW w:w="6066" w:type="dxa"/>
            <w:vAlign w:val="bottom"/>
          </w:tcPr>
          <w:p w14:paraId="274028F6" w14:textId="43F5FA53" w:rsidR="001021AC" w:rsidRPr="006B77BB" w:rsidRDefault="001021AC" w:rsidP="001021AC">
            <w:pPr>
              <w:pStyle w:val="TableText"/>
            </w:pPr>
            <w:r w:rsidRPr="0049407B">
              <w:rPr>
                <w:rFonts w:eastAsia="Times New Roman" w:cs="Calibri"/>
                <w:color w:val="000000"/>
              </w:rPr>
              <w:t>Trustpower</w:t>
            </w:r>
          </w:p>
        </w:tc>
      </w:tr>
      <w:tr w:rsidR="001021AC" w:rsidRPr="006B77BB" w14:paraId="411EABBA" w14:textId="77777777" w:rsidTr="00481A31">
        <w:tc>
          <w:tcPr>
            <w:tcW w:w="2439" w:type="dxa"/>
            <w:vAlign w:val="bottom"/>
          </w:tcPr>
          <w:p w14:paraId="6155C708" w14:textId="4E911C5E" w:rsidR="001021AC" w:rsidRPr="006B77BB" w:rsidRDefault="001021AC" w:rsidP="001021AC">
            <w:pPr>
              <w:pStyle w:val="TableText"/>
            </w:pPr>
            <w:r w:rsidRPr="0049407B">
              <w:rPr>
                <w:rFonts w:eastAsia="Times New Roman" w:cs="Calibri"/>
                <w:color w:val="000000"/>
              </w:rPr>
              <w:t>106</w:t>
            </w:r>
          </w:p>
        </w:tc>
        <w:tc>
          <w:tcPr>
            <w:tcW w:w="6066" w:type="dxa"/>
            <w:vAlign w:val="bottom"/>
          </w:tcPr>
          <w:p w14:paraId="32C16A7A" w14:textId="2FFA104D" w:rsidR="001021AC" w:rsidRPr="006B77BB" w:rsidRDefault="001021AC" w:rsidP="001021AC">
            <w:pPr>
              <w:pStyle w:val="TableText"/>
            </w:pPr>
            <w:r w:rsidRPr="0049407B">
              <w:rPr>
                <w:rFonts w:eastAsia="Times New Roman" w:cs="Calibri"/>
                <w:color w:val="000000"/>
              </w:rPr>
              <w:t>Gas NZ</w:t>
            </w:r>
          </w:p>
        </w:tc>
      </w:tr>
      <w:tr w:rsidR="001021AC" w:rsidRPr="006B77BB" w14:paraId="12ED1CE2" w14:textId="77777777" w:rsidTr="00481A31">
        <w:tc>
          <w:tcPr>
            <w:tcW w:w="2439" w:type="dxa"/>
            <w:vAlign w:val="bottom"/>
          </w:tcPr>
          <w:p w14:paraId="50AEDD81" w14:textId="27501EC2" w:rsidR="001021AC" w:rsidRPr="006B77BB" w:rsidRDefault="001021AC" w:rsidP="001021AC">
            <w:pPr>
              <w:pStyle w:val="TableText"/>
            </w:pPr>
            <w:r w:rsidRPr="0049407B">
              <w:rPr>
                <w:rFonts w:eastAsia="Times New Roman" w:cs="Calibri"/>
                <w:color w:val="000000"/>
              </w:rPr>
              <w:t>107</w:t>
            </w:r>
          </w:p>
        </w:tc>
        <w:tc>
          <w:tcPr>
            <w:tcW w:w="6066" w:type="dxa"/>
            <w:vAlign w:val="bottom"/>
          </w:tcPr>
          <w:p w14:paraId="5F747D05" w14:textId="47B8C893" w:rsidR="001021AC" w:rsidRPr="006B77BB" w:rsidRDefault="001021AC" w:rsidP="001021AC">
            <w:pPr>
              <w:pStyle w:val="TableText"/>
            </w:pPr>
            <w:r w:rsidRPr="0049407B">
              <w:rPr>
                <w:rFonts w:eastAsia="Times New Roman" w:cs="Calibri"/>
                <w:color w:val="000000"/>
              </w:rPr>
              <w:t>Evonik Peroxide</w:t>
            </w:r>
          </w:p>
        </w:tc>
      </w:tr>
      <w:tr w:rsidR="001021AC" w:rsidRPr="006B77BB" w14:paraId="71AF2FD9" w14:textId="77777777" w:rsidTr="00481A31">
        <w:tc>
          <w:tcPr>
            <w:tcW w:w="2439" w:type="dxa"/>
            <w:vAlign w:val="bottom"/>
          </w:tcPr>
          <w:p w14:paraId="2D79CB71" w14:textId="16F38FEA" w:rsidR="001021AC" w:rsidRPr="006B77BB" w:rsidRDefault="001021AC" w:rsidP="001021AC">
            <w:pPr>
              <w:pStyle w:val="TableText"/>
            </w:pPr>
            <w:r w:rsidRPr="0049407B">
              <w:rPr>
                <w:rFonts w:eastAsia="Times New Roman" w:cs="Calibri"/>
                <w:color w:val="000000"/>
              </w:rPr>
              <w:t>108</w:t>
            </w:r>
          </w:p>
        </w:tc>
        <w:tc>
          <w:tcPr>
            <w:tcW w:w="6066" w:type="dxa"/>
            <w:vAlign w:val="bottom"/>
          </w:tcPr>
          <w:p w14:paraId="347E7083" w14:textId="18E4B5B0" w:rsidR="001021AC" w:rsidRPr="006B77BB" w:rsidRDefault="001021AC" w:rsidP="001021AC">
            <w:pPr>
              <w:pStyle w:val="TableText"/>
            </w:pPr>
            <w:r w:rsidRPr="0049407B">
              <w:rPr>
                <w:rFonts w:eastAsia="Times New Roman" w:cs="Calibri"/>
                <w:color w:val="000000"/>
              </w:rPr>
              <w:t>Dairy NZ</w:t>
            </w:r>
          </w:p>
        </w:tc>
      </w:tr>
      <w:tr w:rsidR="001021AC" w:rsidRPr="006B77BB" w14:paraId="1ECA6096" w14:textId="77777777" w:rsidTr="00481A31">
        <w:tc>
          <w:tcPr>
            <w:tcW w:w="2439" w:type="dxa"/>
            <w:vAlign w:val="bottom"/>
          </w:tcPr>
          <w:p w14:paraId="68CB8500" w14:textId="191AE4D3" w:rsidR="001021AC" w:rsidRPr="006B77BB" w:rsidRDefault="001021AC" w:rsidP="001021AC">
            <w:pPr>
              <w:pStyle w:val="TableText"/>
            </w:pPr>
            <w:r w:rsidRPr="0049407B">
              <w:rPr>
                <w:rFonts w:eastAsia="Times New Roman" w:cs="Calibri"/>
                <w:color w:val="000000"/>
              </w:rPr>
              <w:t>110</w:t>
            </w:r>
          </w:p>
        </w:tc>
        <w:tc>
          <w:tcPr>
            <w:tcW w:w="6066" w:type="dxa"/>
            <w:vAlign w:val="bottom"/>
          </w:tcPr>
          <w:p w14:paraId="62BA43DD" w14:textId="37C93BDC" w:rsidR="001021AC" w:rsidRPr="006B77BB" w:rsidRDefault="001021AC" w:rsidP="001021AC">
            <w:pPr>
              <w:pStyle w:val="TableText"/>
            </w:pPr>
            <w:r w:rsidRPr="0049407B">
              <w:rPr>
                <w:rFonts w:eastAsia="Times New Roman" w:cs="Calibri"/>
                <w:color w:val="000000"/>
              </w:rPr>
              <w:t>New Zealand Wind Energy Association</w:t>
            </w:r>
          </w:p>
        </w:tc>
      </w:tr>
      <w:tr w:rsidR="001021AC" w:rsidRPr="006B77BB" w14:paraId="35C6C678" w14:textId="77777777" w:rsidTr="00481A31">
        <w:tc>
          <w:tcPr>
            <w:tcW w:w="2439" w:type="dxa"/>
            <w:vAlign w:val="bottom"/>
          </w:tcPr>
          <w:p w14:paraId="54E8122A" w14:textId="3E0A2C28" w:rsidR="001021AC" w:rsidRPr="006B77BB" w:rsidRDefault="001021AC" w:rsidP="001021AC">
            <w:pPr>
              <w:pStyle w:val="TableText"/>
            </w:pPr>
            <w:r w:rsidRPr="0049407B">
              <w:rPr>
                <w:rFonts w:eastAsia="Times New Roman" w:cs="Calibri"/>
                <w:color w:val="000000"/>
              </w:rPr>
              <w:t>111</w:t>
            </w:r>
          </w:p>
        </w:tc>
        <w:tc>
          <w:tcPr>
            <w:tcW w:w="6066" w:type="dxa"/>
            <w:vAlign w:val="bottom"/>
          </w:tcPr>
          <w:p w14:paraId="660DAD85" w14:textId="274CCE14" w:rsidR="001021AC" w:rsidRPr="006B77BB" w:rsidRDefault="001021AC" w:rsidP="001021AC">
            <w:pPr>
              <w:pStyle w:val="TableText"/>
            </w:pPr>
            <w:r w:rsidRPr="0049407B">
              <w:rPr>
                <w:rFonts w:eastAsia="Times New Roman" w:cs="Calibri"/>
                <w:color w:val="000000"/>
              </w:rPr>
              <w:t>Beef</w:t>
            </w:r>
            <w:r>
              <w:rPr>
                <w:rFonts w:eastAsia="Times New Roman" w:cs="Calibri"/>
                <w:color w:val="000000"/>
              </w:rPr>
              <w:t xml:space="preserve"> </w:t>
            </w:r>
            <w:r w:rsidRPr="0049407B">
              <w:rPr>
                <w:rFonts w:eastAsia="Times New Roman" w:cs="Calibri"/>
                <w:color w:val="000000"/>
              </w:rPr>
              <w:t>+</w:t>
            </w:r>
            <w:r>
              <w:rPr>
                <w:rFonts w:eastAsia="Times New Roman" w:cs="Calibri"/>
                <w:color w:val="000000"/>
              </w:rPr>
              <w:t xml:space="preserve"> </w:t>
            </w:r>
            <w:r w:rsidRPr="0049407B">
              <w:rPr>
                <w:rFonts w:eastAsia="Times New Roman" w:cs="Calibri"/>
                <w:color w:val="000000"/>
              </w:rPr>
              <w:t>Lamb</w:t>
            </w:r>
            <w:r>
              <w:rPr>
                <w:rFonts w:eastAsia="Times New Roman" w:cs="Calibri"/>
                <w:color w:val="000000"/>
              </w:rPr>
              <w:t xml:space="preserve"> NZ</w:t>
            </w:r>
          </w:p>
        </w:tc>
      </w:tr>
      <w:tr w:rsidR="001021AC" w:rsidRPr="006B77BB" w14:paraId="2F61A65C" w14:textId="77777777" w:rsidTr="00481A31">
        <w:tc>
          <w:tcPr>
            <w:tcW w:w="2439" w:type="dxa"/>
            <w:vAlign w:val="bottom"/>
          </w:tcPr>
          <w:p w14:paraId="25B8CCCD" w14:textId="488A9D0C" w:rsidR="001021AC" w:rsidRPr="006B77BB" w:rsidRDefault="001021AC" w:rsidP="001021AC">
            <w:pPr>
              <w:pStyle w:val="TableText"/>
            </w:pPr>
            <w:r w:rsidRPr="0049407B">
              <w:rPr>
                <w:rFonts w:eastAsia="Times New Roman" w:cs="Calibri"/>
                <w:color w:val="000000"/>
              </w:rPr>
              <w:t>113</w:t>
            </w:r>
          </w:p>
        </w:tc>
        <w:tc>
          <w:tcPr>
            <w:tcW w:w="6066" w:type="dxa"/>
            <w:vAlign w:val="bottom"/>
          </w:tcPr>
          <w:p w14:paraId="3D959AD5" w14:textId="08B7AFA7" w:rsidR="001021AC" w:rsidRPr="006B77BB" w:rsidRDefault="001021AC" w:rsidP="001021AC">
            <w:pPr>
              <w:pStyle w:val="TableText"/>
            </w:pPr>
            <w:r w:rsidRPr="0049407B">
              <w:rPr>
                <w:rFonts w:eastAsia="Times New Roman" w:cs="Calibri"/>
                <w:color w:val="000000"/>
              </w:rPr>
              <w:t>Caritas</w:t>
            </w:r>
          </w:p>
        </w:tc>
      </w:tr>
      <w:tr w:rsidR="001021AC" w:rsidRPr="006B77BB" w14:paraId="574F1212" w14:textId="77777777" w:rsidTr="00481A31">
        <w:tc>
          <w:tcPr>
            <w:tcW w:w="2439" w:type="dxa"/>
            <w:vAlign w:val="bottom"/>
          </w:tcPr>
          <w:p w14:paraId="5037EE1D" w14:textId="09DA486D" w:rsidR="001021AC" w:rsidRPr="006B77BB" w:rsidRDefault="001021AC" w:rsidP="001021AC">
            <w:pPr>
              <w:pStyle w:val="TableText"/>
            </w:pPr>
            <w:r w:rsidRPr="0049407B">
              <w:rPr>
                <w:rFonts w:eastAsia="Times New Roman" w:cs="Calibri"/>
                <w:color w:val="000000"/>
              </w:rPr>
              <w:t>114</w:t>
            </w:r>
          </w:p>
        </w:tc>
        <w:tc>
          <w:tcPr>
            <w:tcW w:w="6066" w:type="dxa"/>
            <w:vAlign w:val="bottom"/>
          </w:tcPr>
          <w:p w14:paraId="0CB6AE72" w14:textId="16193E43" w:rsidR="001021AC" w:rsidRPr="006B77BB" w:rsidRDefault="001021AC" w:rsidP="001021AC">
            <w:pPr>
              <w:pStyle w:val="TableText"/>
            </w:pPr>
            <w:r w:rsidRPr="0049407B">
              <w:rPr>
                <w:rFonts w:eastAsia="Times New Roman" w:cs="Calibri"/>
                <w:color w:val="000000"/>
              </w:rPr>
              <w:t>Sarah Strawbridge</w:t>
            </w:r>
          </w:p>
        </w:tc>
      </w:tr>
      <w:tr w:rsidR="001021AC" w:rsidRPr="006B77BB" w14:paraId="541689F6" w14:textId="77777777" w:rsidTr="00481A31">
        <w:tc>
          <w:tcPr>
            <w:tcW w:w="2439" w:type="dxa"/>
            <w:vAlign w:val="bottom"/>
          </w:tcPr>
          <w:p w14:paraId="0F752165" w14:textId="617660D0" w:rsidR="001021AC" w:rsidRPr="006B77BB" w:rsidRDefault="001021AC" w:rsidP="001021AC">
            <w:pPr>
              <w:pStyle w:val="TableText"/>
            </w:pPr>
            <w:r w:rsidRPr="0049407B">
              <w:rPr>
                <w:rFonts w:eastAsia="Times New Roman" w:cs="Calibri"/>
                <w:color w:val="000000"/>
              </w:rPr>
              <w:t>115</w:t>
            </w:r>
          </w:p>
        </w:tc>
        <w:tc>
          <w:tcPr>
            <w:tcW w:w="6066" w:type="dxa"/>
            <w:vAlign w:val="bottom"/>
          </w:tcPr>
          <w:p w14:paraId="1B8EE5E7" w14:textId="156CE88D" w:rsidR="001021AC" w:rsidRPr="006B77BB" w:rsidRDefault="001021AC" w:rsidP="001021AC">
            <w:pPr>
              <w:pStyle w:val="TableText"/>
            </w:pPr>
            <w:r w:rsidRPr="0049407B">
              <w:rPr>
                <w:rFonts w:eastAsia="Times New Roman" w:cs="Calibri"/>
                <w:color w:val="000000"/>
              </w:rPr>
              <w:t>Annette Heays</w:t>
            </w:r>
          </w:p>
        </w:tc>
      </w:tr>
      <w:tr w:rsidR="001021AC" w:rsidRPr="006B77BB" w14:paraId="12D75435" w14:textId="77777777" w:rsidTr="00481A31">
        <w:tc>
          <w:tcPr>
            <w:tcW w:w="2439" w:type="dxa"/>
            <w:vAlign w:val="bottom"/>
          </w:tcPr>
          <w:p w14:paraId="7FB7814C" w14:textId="0E222CA9" w:rsidR="001021AC" w:rsidRPr="006B77BB" w:rsidRDefault="001021AC" w:rsidP="001021AC">
            <w:pPr>
              <w:pStyle w:val="TableText"/>
            </w:pPr>
            <w:r w:rsidRPr="0049407B">
              <w:rPr>
                <w:rFonts w:eastAsia="Times New Roman" w:cs="Calibri"/>
                <w:color w:val="000000"/>
              </w:rPr>
              <w:t>117</w:t>
            </w:r>
          </w:p>
        </w:tc>
        <w:tc>
          <w:tcPr>
            <w:tcW w:w="6066" w:type="dxa"/>
            <w:vAlign w:val="bottom"/>
          </w:tcPr>
          <w:p w14:paraId="3DE84622" w14:textId="50181527" w:rsidR="001021AC" w:rsidRPr="006B77BB" w:rsidRDefault="001021AC" w:rsidP="001021AC">
            <w:pPr>
              <w:pStyle w:val="TableText"/>
            </w:pPr>
            <w:r>
              <w:rPr>
                <w:rFonts w:eastAsia="Times New Roman" w:cs="Calibri"/>
                <w:color w:val="000000"/>
              </w:rPr>
              <w:t>Name withheld on request</w:t>
            </w:r>
          </w:p>
        </w:tc>
      </w:tr>
      <w:tr w:rsidR="001021AC" w:rsidRPr="006B77BB" w14:paraId="7C39441C" w14:textId="77777777" w:rsidTr="00481A31">
        <w:tc>
          <w:tcPr>
            <w:tcW w:w="2439" w:type="dxa"/>
            <w:vAlign w:val="bottom"/>
          </w:tcPr>
          <w:p w14:paraId="69C61E2A" w14:textId="46F05721" w:rsidR="001021AC" w:rsidRPr="006B77BB" w:rsidRDefault="001021AC" w:rsidP="001021AC">
            <w:pPr>
              <w:pStyle w:val="TableText"/>
            </w:pPr>
            <w:r w:rsidRPr="0049407B">
              <w:rPr>
                <w:rFonts w:eastAsia="Times New Roman" w:cs="Calibri"/>
                <w:color w:val="000000"/>
              </w:rPr>
              <w:t>119</w:t>
            </w:r>
          </w:p>
        </w:tc>
        <w:tc>
          <w:tcPr>
            <w:tcW w:w="6066" w:type="dxa"/>
            <w:vAlign w:val="bottom"/>
          </w:tcPr>
          <w:p w14:paraId="708011D6" w14:textId="0D4B5E4A" w:rsidR="001021AC" w:rsidRPr="006B77BB" w:rsidRDefault="001021AC" w:rsidP="001021AC">
            <w:pPr>
              <w:pStyle w:val="TableText"/>
            </w:pPr>
            <w:r w:rsidRPr="0049407B">
              <w:rPr>
                <w:rFonts w:eastAsia="Times New Roman" w:cs="Calibri"/>
                <w:color w:val="000000"/>
              </w:rPr>
              <w:t>AA (The New Zealand Automobile Association Inc)</w:t>
            </w:r>
          </w:p>
        </w:tc>
      </w:tr>
      <w:tr w:rsidR="001021AC" w:rsidRPr="006B77BB" w14:paraId="19830431" w14:textId="77777777" w:rsidTr="00481A31">
        <w:tc>
          <w:tcPr>
            <w:tcW w:w="2439" w:type="dxa"/>
            <w:vAlign w:val="bottom"/>
          </w:tcPr>
          <w:p w14:paraId="3BF6F2AA" w14:textId="1F6CF36F" w:rsidR="001021AC" w:rsidRPr="006B77BB" w:rsidRDefault="001021AC" w:rsidP="001021AC">
            <w:pPr>
              <w:pStyle w:val="TableText"/>
            </w:pPr>
            <w:r w:rsidRPr="0049407B">
              <w:rPr>
                <w:rFonts w:eastAsia="Times New Roman" w:cs="Calibri"/>
                <w:color w:val="000000"/>
              </w:rPr>
              <w:t>120</w:t>
            </w:r>
          </w:p>
        </w:tc>
        <w:tc>
          <w:tcPr>
            <w:tcW w:w="6066" w:type="dxa"/>
            <w:vAlign w:val="bottom"/>
          </w:tcPr>
          <w:p w14:paraId="0BC82D6A" w14:textId="31C3A5CB" w:rsidR="001021AC" w:rsidRPr="006B77BB" w:rsidRDefault="001021AC" w:rsidP="001021AC">
            <w:pPr>
              <w:pStyle w:val="TableText"/>
            </w:pPr>
            <w:r w:rsidRPr="0049407B">
              <w:rPr>
                <w:rFonts w:eastAsia="Times New Roman" w:cs="Calibri"/>
                <w:color w:val="000000"/>
              </w:rPr>
              <w:t>Ian M</w:t>
            </w:r>
            <w:r>
              <w:rPr>
                <w:rFonts w:eastAsia="Times New Roman" w:cs="Calibri"/>
                <w:color w:val="000000"/>
              </w:rPr>
              <w:t>cC</w:t>
            </w:r>
            <w:r w:rsidRPr="0049407B">
              <w:rPr>
                <w:rFonts w:eastAsia="Times New Roman" w:cs="Calibri"/>
                <w:color w:val="000000"/>
              </w:rPr>
              <w:t>hesney</w:t>
            </w:r>
          </w:p>
        </w:tc>
      </w:tr>
      <w:tr w:rsidR="001021AC" w:rsidRPr="006B77BB" w14:paraId="0F816FE8" w14:textId="77777777" w:rsidTr="00481A31">
        <w:tc>
          <w:tcPr>
            <w:tcW w:w="2439" w:type="dxa"/>
            <w:vAlign w:val="bottom"/>
          </w:tcPr>
          <w:p w14:paraId="5244869E" w14:textId="39BC26A0" w:rsidR="001021AC" w:rsidRPr="006B77BB" w:rsidRDefault="001021AC" w:rsidP="001021AC">
            <w:pPr>
              <w:pStyle w:val="TableText"/>
            </w:pPr>
            <w:r w:rsidRPr="0049407B">
              <w:rPr>
                <w:rFonts w:eastAsia="Times New Roman" w:cs="Calibri"/>
                <w:color w:val="000000"/>
              </w:rPr>
              <w:t>121</w:t>
            </w:r>
          </w:p>
        </w:tc>
        <w:tc>
          <w:tcPr>
            <w:tcW w:w="6066" w:type="dxa"/>
            <w:vAlign w:val="bottom"/>
          </w:tcPr>
          <w:p w14:paraId="29ED4BCB" w14:textId="0222A5B7" w:rsidR="001021AC" w:rsidRPr="006B77BB" w:rsidRDefault="001021AC" w:rsidP="001021AC">
            <w:pPr>
              <w:pStyle w:val="TableText"/>
            </w:pPr>
            <w:r>
              <w:rPr>
                <w:rFonts w:eastAsia="Times New Roman" w:cs="Calibri"/>
                <w:color w:val="000000"/>
              </w:rPr>
              <w:t>Name withheld on request</w:t>
            </w:r>
          </w:p>
        </w:tc>
      </w:tr>
      <w:tr w:rsidR="001021AC" w:rsidRPr="006B77BB" w14:paraId="14A58AA5" w14:textId="77777777" w:rsidTr="00481A31">
        <w:tc>
          <w:tcPr>
            <w:tcW w:w="2439" w:type="dxa"/>
            <w:vAlign w:val="bottom"/>
          </w:tcPr>
          <w:p w14:paraId="73AEE3DB" w14:textId="063C0BF1" w:rsidR="001021AC" w:rsidRPr="006B77BB" w:rsidRDefault="001021AC" w:rsidP="001021AC">
            <w:pPr>
              <w:pStyle w:val="TableText"/>
            </w:pPr>
            <w:r w:rsidRPr="0049407B">
              <w:rPr>
                <w:rFonts w:eastAsia="Times New Roman" w:cs="Calibri"/>
                <w:color w:val="000000"/>
              </w:rPr>
              <w:t>123</w:t>
            </w:r>
          </w:p>
        </w:tc>
        <w:tc>
          <w:tcPr>
            <w:tcW w:w="6066" w:type="dxa"/>
            <w:vAlign w:val="bottom"/>
          </w:tcPr>
          <w:p w14:paraId="17683AD4" w14:textId="48A2C158" w:rsidR="001021AC" w:rsidRPr="006B77BB" w:rsidRDefault="001021AC" w:rsidP="001021AC">
            <w:pPr>
              <w:pStyle w:val="TableText"/>
            </w:pPr>
            <w:r w:rsidRPr="0049407B">
              <w:rPr>
                <w:rFonts w:eastAsia="Times New Roman" w:cs="Calibri"/>
                <w:color w:val="000000"/>
              </w:rPr>
              <w:t>Glen Crowther</w:t>
            </w:r>
          </w:p>
        </w:tc>
      </w:tr>
      <w:tr w:rsidR="001021AC" w:rsidRPr="006B77BB" w14:paraId="260E0078" w14:textId="77777777" w:rsidTr="00481A31">
        <w:tc>
          <w:tcPr>
            <w:tcW w:w="2439" w:type="dxa"/>
            <w:vAlign w:val="bottom"/>
          </w:tcPr>
          <w:p w14:paraId="2DC49530" w14:textId="26E01E8F" w:rsidR="001021AC" w:rsidRPr="006B77BB" w:rsidRDefault="001021AC" w:rsidP="001021AC">
            <w:pPr>
              <w:pStyle w:val="TableText"/>
            </w:pPr>
            <w:r w:rsidRPr="0049407B">
              <w:rPr>
                <w:rFonts w:eastAsia="Times New Roman" w:cs="Calibri"/>
                <w:color w:val="000000"/>
              </w:rPr>
              <w:t>124</w:t>
            </w:r>
          </w:p>
        </w:tc>
        <w:tc>
          <w:tcPr>
            <w:tcW w:w="6066" w:type="dxa"/>
            <w:vAlign w:val="bottom"/>
          </w:tcPr>
          <w:p w14:paraId="699C2395" w14:textId="7F011715" w:rsidR="001021AC" w:rsidRPr="006B77BB" w:rsidRDefault="001021AC" w:rsidP="001021AC">
            <w:pPr>
              <w:pStyle w:val="TableText"/>
            </w:pPr>
            <w:r w:rsidRPr="0049407B">
              <w:rPr>
                <w:rFonts w:eastAsia="Times New Roman" w:cs="Calibri"/>
                <w:color w:val="000000"/>
              </w:rPr>
              <w:t>Simon Johnson</w:t>
            </w:r>
          </w:p>
        </w:tc>
      </w:tr>
      <w:tr w:rsidR="001021AC" w:rsidRPr="006B77BB" w14:paraId="02236EDE" w14:textId="77777777" w:rsidTr="00481A31">
        <w:tc>
          <w:tcPr>
            <w:tcW w:w="2439" w:type="dxa"/>
            <w:vAlign w:val="bottom"/>
          </w:tcPr>
          <w:p w14:paraId="0234C04F" w14:textId="67DF773D" w:rsidR="001021AC" w:rsidRPr="006B77BB" w:rsidRDefault="001021AC" w:rsidP="001021AC">
            <w:pPr>
              <w:pStyle w:val="TableText"/>
            </w:pPr>
            <w:r w:rsidRPr="0049407B">
              <w:rPr>
                <w:rFonts w:eastAsia="Times New Roman" w:cs="Calibri"/>
                <w:color w:val="000000"/>
              </w:rPr>
              <w:t>125</w:t>
            </w:r>
          </w:p>
        </w:tc>
        <w:tc>
          <w:tcPr>
            <w:tcW w:w="6066" w:type="dxa"/>
            <w:vAlign w:val="bottom"/>
          </w:tcPr>
          <w:p w14:paraId="3CC23977" w14:textId="02EE4DAF" w:rsidR="001021AC" w:rsidRPr="006B77BB" w:rsidRDefault="001021AC" w:rsidP="001021AC">
            <w:pPr>
              <w:pStyle w:val="TableText"/>
            </w:pPr>
            <w:r>
              <w:rPr>
                <w:rFonts w:eastAsia="Times New Roman" w:cs="Calibri"/>
                <w:color w:val="000000"/>
              </w:rPr>
              <w:t>Name withheld on request</w:t>
            </w:r>
          </w:p>
        </w:tc>
      </w:tr>
      <w:tr w:rsidR="001021AC" w:rsidRPr="006B77BB" w14:paraId="73407095" w14:textId="77777777" w:rsidTr="00481A31">
        <w:tc>
          <w:tcPr>
            <w:tcW w:w="2439" w:type="dxa"/>
            <w:vAlign w:val="bottom"/>
          </w:tcPr>
          <w:p w14:paraId="2460DC98" w14:textId="0B26E2FB" w:rsidR="001021AC" w:rsidRPr="006B77BB" w:rsidRDefault="001021AC" w:rsidP="001021AC">
            <w:pPr>
              <w:pStyle w:val="TableText"/>
            </w:pPr>
            <w:r w:rsidRPr="0049407B">
              <w:rPr>
                <w:rFonts w:eastAsia="Times New Roman" w:cs="Calibri"/>
                <w:color w:val="000000"/>
              </w:rPr>
              <w:t>126</w:t>
            </w:r>
          </w:p>
        </w:tc>
        <w:tc>
          <w:tcPr>
            <w:tcW w:w="6066" w:type="dxa"/>
            <w:vAlign w:val="bottom"/>
          </w:tcPr>
          <w:p w14:paraId="32FB7190" w14:textId="6DDE77B2" w:rsidR="001021AC" w:rsidRPr="006B77BB" w:rsidRDefault="001021AC" w:rsidP="001021AC">
            <w:pPr>
              <w:pStyle w:val="TableText"/>
            </w:pPr>
            <w:r w:rsidRPr="0049407B">
              <w:rPr>
                <w:rFonts w:eastAsia="Times New Roman" w:cs="Calibri"/>
                <w:color w:val="000000"/>
              </w:rPr>
              <w:t>Fletcher Building</w:t>
            </w:r>
          </w:p>
        </w:tc>
      </w:tr>
      <w:tr w:rsidR="001021AC" w:rsidRPr="006B77BB" w14:paraId="7AC5CEA4" w14:textId="77777777" w:rsidTr="00481A31">
        <w:tc>
          <w:tcPr>
            <w:tcW w:w="2439" w:type="dxa"/>
            <w:vAlign w:val="bottom"/>
          </w:tcPr>
          <w:p w14:paraId="0A2C0B14" w14:textId="0AA2E790" w:rsidR="001021AC" w:rsidRPr="006B77BB" w:rsidRDefault="001021AC" w:rsidP="001021AC">
            <w:pPr>
              <w:pStyle w:val="TableText"/>
            </w:pPr>
            <w:r w:rsidRPr="0049407B">
              <w:rPr>
                <w:rFonts w:eastAsia="Times New Roman" w:cs="Calibri"/>
                <w:color w:val="000000"/>
              </w:rPr>
              <w:t>127</w:t>
            </w:r>
          </w:p>
        </w:tc>
        <w:tc>
          <w:tcPr>
            <w:tcW w:w="6066" w:type="dxa"/>
            <w:vAlign w:val="bottom"/>
          </w:tcPr>
          <w:p w14:paraId="56B1B6FC" w14:textId="269A25E7" w:rsidR="001021AC" w:rsidRPr="006B77BB" w:rsidRDefault="001021AC" w:rsidP="001021AC">
            <w:pPr>
              <w:pStyle w:val="TableText"/>
            </w:pPr>
            <w:r w:rsidRPr="0049407B">
              <w:rPr>
                <w:rFonts w:eastAsia="Times New Roman" w:cs="Calibri"/>
                <w:color w:val="000000"/>
              </w:rPr>
              <w:t>Ballance</w:t>
            </w:r>
          </w:p>
        </w:tc>
      </w:tr>
      <w:tr w:rsidR="001021AC" w:rsidRPr="006B77BB" w14:paraId="1CA7A085" w14:textId="77777777" w:rsidTr="00481A31">
        <w:tc>
          <w:tcPr>
            <w:tcW w:w="2439" w:type="dxa"/>
            <w:vAlign w:val="bottom"/>
          </w:tcPr>
          <w:p w14:paraId="11955567" w14:textId="02ACD74E" w:rsidR="001021AC" w:rsidRPr="006B77BB" w:rsidRDefault="001021AC" w:rsidP="001021AC">
            <w:pPr>
              <w:pStyle w:val="TableText"/>
            </w:pPr>
            <w:r w:rsidRPr="0049407B">
              <w:rPr>
                <w:rFonts w:eastAsia="Times New Roman" w:cs="Calibri"/>
                <w:color w:val="000000"/>
              </w:rPr>
              <w:t>128</w:t>
            </w:r>
          </w:p>
        </w:tc>
        <w:tc>
          <w:tcPr>
            <w:tcW w:w="6066" w:type="dxa"/>
            <w:vAlign w:val="bottom"/>
          </w:tcPr>
          <w:p w14:paraId="28FA1295" w14:textId="3BCC6A48" w:rsidR="001021AC" w:rsidRPr="006B77BB" w:rsidRDefault="001021AC" w:rsidP="001021AC">
            <w:pPr>
              <w:pStyle w:val="TableText"/>
            </w:pPr>
            <w:r>
              <w:rPr>
                <w:rFonts w:eastAsia="Times New Roman" w:cs="Calibri"/>
                <w:color w:val="000000"/>
              </w:rPr>
              <w:t>Name withheld on request</w:t>
            </w:r>
          </w:p>
        </w:tc>
      </w:tr>
      <w:tr w:rsidR="001021AC" w:rsidRPr="006B77BB" w14:paraId="264783FB" w14:textId="77777777" w:rsidTr="00481A31">
        <w:tc>
          <w:tcPr>
            <w:tcW w:w="2439" w:type="dxa"/>
            <w:vAlign w:val="bottom"/>
          </w:tcPr>
          <w:p w14:paraId="65C5BF3E" w14:textId="2C1626AC" w:rsidR="001021AC" w:rsidRPr="006B77BB" w:rsidRDefault="001021AC" w:rsidP="001021AC">
            <w:pPr>
              <w:pStyle w:val="TableText"/>
            </w:pPr>
            <w:r w:rsidRPr="0049407B">
              <w:rPr>
                <w:rFonts w:eastAsia="Times New Roman" w:cs="Calibri"/>
                <w:color w:val="000000"/>
              </w:rPr>
              <w:t>131</w:t>
            </w:r>
          </w:p>
        </w:tc>
        <w:tc>
          <w:tcPr>
            <w:tcW w:w="6066" w:type="dxa"/>
            <w:vAlign w:val="bottom"/>
          </w:tcPr>
          <w:p w14:paraId="6E469ED0" w14:textId="68D66F25" w:rsidR="001021AC" w:rsidRPr="006B77BB" w:rsidRDefault="001021AC" w:rsidP="001021AC">
            <w:pPr>
              <w:pStyle w:val="TableText"/>
            </w:pPr>
            <w:r w:rsidRPr="0049407B">
              <w:rPr>
                <w:rFonts w:eastAsia="Times New Roman" w:cs="Calibri"/>
                <w:color w:val="000000"/>
              </w:rPr>
              <w:t>Vector</w:t>
            </w:r>
          </w:p>
        </w:tc>
      </w:tr>
      <w:tr w:rsidR="001021AC" w:rsidRPr="006B77BB" w14:paraId="636CF902" w14:textId="77777777" w:rsidTr="00481A31">
        <w:tc>
          <w:tcPr>
            <w:tcW w:w="2439" w:type="dxa"/>
            <w:vAlign w:val="bottom"/>
          </w:tcPr>
          <w:p w14:paraId="209EF5C0" w14:textId="0572D668" w:rsidR="001021AC" w:rsidRPr="006B77BB" w:rsidRDefault="001021AC" w:rsidP="001021AC">
            <w:pPr>
              <w:pStyle w:val="TableText"/>
            </w:pPr>
            <w:r w:rsidRPr="0049407B">
              <w:rPr>
                <w:rFonts w:eastAsia="Times New Roman" w:cs="Calibri"/>
                <w:color w:val="000000"/>
              </w:rPr>
              <w:t>132</w:t>
            </w:r>
          </w:p>
        </w:tc>
        <w:tc>
          <w:tcPr>
            <w:tcW w:w="6066" w:type="dxa"/>
            <w:vAlign w:val="bottom"/>
          </w:tcPr>
          <w:p w14:paraId="0D4677C2" w14:textId="2197FFD7" w:rsidR="001021AC" w:rsidRPr="006B77BB" w:rsidRDefault="001021AC" w:rsidP="001021AC">
            <w:pPr>
              <w:pStyle w:val="TableText"/>
            </w:pPr>
            <w:r w:rsidRPr="0049407B">
              <w:rPr>
                <w:rFonts w:eastAsia="Times New Roman" w:cs="Calibri"/>
                <w:color w:val="000000"/>
              </w:rPr>
              <w:t>Gray Southon</w:t>
            </w:r>
          </w:p>
        </w:tc>
      </w:tr>
      <w:tr w:rsidR="001021AC" w:rsidRPr="006B77BB" w14:paraId="4B8FAADF" w14:textId="77777777" w:rsidTr="00481A31">
        <w:tc>
          <w:tcPr>
            <w:tcW w:w="2439" w:type="dxa"/>
            <w:vAlign w:val="bottom"/>
          </w:tcPr>
          <w:p w14:paraId="6699B005" w14:textId="5F3EAD73" w:rsidR="001021AC" w:rsidRPr="006B77BB" w:rsidRDefault="001021AC" w:rsidP="001021AC">
            <w:pPr>
              <w:pStyle w:val="TableText"/>
            </w:pPr>
            <w:r w:rsidRPr="0049407B">
              <w:rPr>
                <w:rFonts w:eastAsia="Times New Roman" w:cs="Calibri"/>
                <w:color w:val="000000"/>
              </w:rPr>
              <w:t>133</w:t>
            </w:r>
          </w:p>
        </w:tc>
        <w:tc>
          <w:tcPr>
            <w:tcW w:w="6066" w:type="dxa"/>
            <w:vAlign w:val="bottom"/>
          </w:tcPr>
          <w:p w14:paraId="3102980B" w14:textId="02910686" w:rsidR="001021AC" w:rsidRPr="006B77BB" w:rsidRDefault="001021AC" w:rsidP="001021AC">
            <w:pPr>
              <w:pStyle w:val="TableText"/>
            </w:pPr>
            <w:r w:rsidRPr="0049407B">
              <w:rPr>
                <w:rFonts w:eastAsia="Times New Roman" w:cs="Calibri"/>
                <w:color w:val="000000"/>
              </w:rPr>
              <w:t>Wellington Chamber of Commerce</w:t>
            </w:r>
          </w:p>
        </w:tc>
      </w:tr>
      <w:tr w:rsidR="001021AC" w:rsidRPr="006B77BB" w14:paraId="6A6ACFB3" w14:textId="77777777" w:rsidTr="00481A31">
        <w:tc>
          <w:tcPr>
            <w:tcW w:w="2439" w:type="dxa"/>
            <w:vAlign w:val="bottom"/>
          </w:tcPr>
          <w:p w14:paraId="619B14C9" w14:textId="10B3EBD2" w:rsidR="001021AC" w:rsidRPr="006B77BB" w:rsidRDefault="001021AC" w:rsidP="001021AC">
            <w:pPr>
              <w:pStyle w:val="TableText"/>
            </w:pPr>
            <w:r w:rsidRPr="0049407B">
              <w:rPr>
                <w:rFonts w:eastAsia="Times New Roman" w:cs="Calibri"/>
                <w:color w:val="000000"/>
              </w:rPr>
              <w:t>134</w:t>
            </w:r>
          </w:p>
        </w:tc>
        <w:tc>
          <w:tcPr>
            <w:tcW w:w="6066" w:type="dxa"/>
            <w:vAlign w:val="bottom"/>
          </w:tcPr>
          <w:p w14:paraId="157952D1" w14:textId="616A800D" w:rsidR="001021AC" w:rsidRPr="006B77BB" w:rsidRDefault="001021AC" w:rsidP="001021AC">
            <w:pPr>
              <w:pStyle w:val="TableText"/>
            </w:pPr>
            <w:r w:rsidRPr="0049407B">
              <w:rPr>
                <w:rFonts w:eastAsia="Times New Roman" w:cs="Calibri"/>
                <w:color w:val="000000"/>
              </w:rPr>
              <w:t>Fertiliser Association</w:t>
            </w:r>
          </w:p>
        </w:tc>
      </w:tr>
      <w:tr w:rsidR="001021AC" w:rsidRPr="006B77BB" w14:paraId="2F62016D" w14:textId="77777777" w:rsidTr="00481A31">
        <w:tc>
          <w:tcPr>
            <w:tcW w:w="2439" w:type="dxa"/>
            <w:vAlign w:val="bottom"/>
          </w:tcPr>
          <w:p w14:paraId="1EAEF393" w14:textId="4DBF5C5F" w:rsidR="001021AC" w:rsidRPr="006B77BB" w:rsidRDefault="001021AC" w:rsidP="001021AC">
            <w:pPr>
              <w:pStyle w:val="TableText"/>
            </w:pPr>
            <w:r w:rsidRPr="0049407B">
              <w:rPr>
                <w:rFonts w:eastAsia="Times New Roman" w:cs="Calibri"/>
                <w:color w:val="000000"/>
              </w:rPr>
              <w:t>135</w:t>
            </w:r>
          </w:p>
        </w:tc>
        <w:tc>
          <w:tcPr>
            <w:tcW w:w="6066" w:type="dxa"/>
            <w:vAlign w:val="bottom"/>
          </w:tcPr>
          <w:p w14:paraId="38C3174F" w14:textId="414786B2" w:rsidR="001021AC" w:rsidRPr="006B77BB" w:rsidRDefault="001021AC" w:rsidP="001021AC">
            <w:pPr>
              <w:pStyle w:val="TableText"/>
            </w:pPr>
            <w:r w:rsidRPr="0049407B">
              <w:rPr>
                <w:rFonts w:eastAsia="Times New Roman" w:cs="Calibri"/>
                <w:color w:val="000000"/>
              </w:rPr>
              <w:t>Office of the Māori Climate Commission</w:t>
            </w:r>
          </w:p>
        </w:tc>
      </w:tr>
      <w:tr w:rsidR="001021AC" w:rsidRPr="006B77BB" w14:paraId="199AF9ED" w14:textId="77777777" w:rsidTr="00481A31">
        <w:tc>
          <w:tcPr>
            <w:tcW w:w="2439" w:type="dxa"/>
            <w:vAlign w:val="bottom"/>
          </w:tcPr>
          <w:p w14:paraId="5DDD7043" w14:textId="700740DD" w:rsidR="001021AC" w:rsidRPr="006B77BB" w:rsidRDefault="001021AC" w:rsidP="001021AC">
            <w:pPr>
              <w:pStyle w:val="TableText"/>
            </w:pPr>
            <w:r w:rsidRPr="0049407B">
              <w:rPr>
                <w:rFonts w:eastAsia="Times New Roman" w:cs="Calibri"/>
                <w:color w:val="000000"/>
              </w:rPr>
              <w:t>136</w:t>
            </w:r>
          </w:p>
        </w:tc>
        <w:tc>
          <w:tcPr>
            <w:tcW w:w="6066" w:type="dxa"/>
            <w:vAlign w:val="bottom"/>
          </w:tcPr>
          <w:p w14:paraId="1328A6FD" w14:textId="61505532" w:rsidR="001021AC" w:rsidRPr="006B77BB" w:rsidRDefault="001021AC" w:rsidP="001021AC">
            <w:pPr>
              <w:pStyle w:val="TableText"/>
            </w:pPr>
            <w:r w:rsidRPr="0049407B">
              <w:rPr>
                <w:rFonts w:eastAsia="Times New Roman" w:cs="Calibri"/>
                <w:color w:val="000000"/>
              </w:rPr>
              <w:t>Horticulture NZ</w:t>
            </w:r>
          </w:p>
        </w:tc>
      </w:tr>
      <w:tr w:rsidR="001021AC" w:rsidRPr="006B77BB" w14:paraId="0486F3E0" w14:textId="77777777" w:rsidTr="00481A31">
        <w:tc>
          <w:tcPr>
            <w:tcW w:w="2439" w:type="dxa"/>
            <w:vAlign w:val="bottom"/>
          </w:tcPr>
          <w:p w14:paraId="6972AD8C" w14:textId="61E14331" w:rsidR="001021AC" w:rsidRPr="006B77BB" w:rsidRDefault="001021AC" w:rsidP="001021AC">
            <w:pPr>
              <w:pStyle w:val="TableText"/>
            </w:pPr>
            <w:r w:rsidRPr="0049407B">
              <w:rPr>
                <w:rFonts w:eastAsia="Times New Roman" w:cs="Calibri"/>
                <w:color w:val="000000"/>
              </w:rPr>
              <w:t>137</w:t>
            </w:r>
          </w:p>
        </w:tc>
        <w:tc>
          <w:tcPr>
            <w:tcW w:w="6066" w:type="dxa"/>
            <w:vAlign w:val="bottom"/>
          </w:tcPr>
          <w:p w14:paraId="6F78B364" w14:textId="19DB9B73" w:rsidR="001021AC" w:rsidRPr="006B77BB" w:rsidRDefault="001021AC" w:rsidP="001021AC">
            <w:pPr>
              <w:pStyle w:val="TableText"/>
            </w:pPr>
            <w:r w:rsidRPr="0049407B">
              <w:rPr>
                <w:rFonts w:eastAsia="Times New Roman" w:cs="Calibri"/>
                <w:color w:val="000000"/>
              </w:rPr>
              <w:t>Petroleum Exploration and Production Association of NZ</w:t>
            </w:r>
          </w:p>
        </w:tc>
      </w:tr>
      <w:tr w:rsidR="001021AC" w:rsidRPr="006B77BB" w14:paraId="5BE9E6A8" w14:textId="77777777" w:rsidTr="00481A31">
        <w:tc>
          <w:tcPr>
            <w:tcW w:w="2439" w:type="dxa"/>
            <w:vAlign w:val="bottom"/>
          </w:tcPr>
          <w:p w14:paraId="48468542" w14:textId="18E74CCB" w:rsidR="001021AC" w:rsidRPr="006B77BB" w:rsidRDefault="001021AC" w:rsidP="001021AC">
            <w:pPr>
              <w:pStyle w:val="TableText"/>
            </w:pPr>
            <w:r w:rsidRPr="0049407B">
              <w:rPr>
                <w:rFonts w:eastAsia="Times New Roman" w:cs="Calibri"/>
                <w:color w:val="000000"/>
              </w:rPr>
              <w:t>138</w:t>
            </w:r>
          </w:p>
        </w:tc>
        <w:tc>
          <w:tcPr>
            <w:tcW w:w="6066" w:type="dxa"/>
            <w:vAlign w:val="bottom"/>
          </w:tcPr>
          <w:p w14:paraId="5473073F" w14:textId="7C79BC31" w:rsidR="001021AC" w:rsidRPr="006B77BB" w:rsidRDefault="001021AC" w:rsidP="001021AC">
            <w:pPr>
              <w:pStyle w:val="TableText"/>
            </w:pPr>
            <w:r w:rsidRPr="0049407B">
              <w:rPr>
                <w:rFonts w:eastAsia="Times New Roman" w:cs="Calibri"/>
                <w:color w:val="000000"/>
              </w:rPr>
              <w:t>Meridian Energy</w:t>
            </w:r>
          </w:p>
        </w:tc>
      </w:tr>
      <w:tr w:rsidR="001021AC" w:rsidRPr="006B77BB" w14:paraId="1A648610" w14:textId="77777777" w:rsidTr="00481A31">
        <w:tc>
          <w:tcPr>
            <w:tcW w:w="2439" w:type="dxa"/>
            <w:vAlign w:val="bottom"/>
          </w:tcPr>
          <w:p w14:paraId="3742B504" w14:textId="6535A9B2" w:rsidR="001021AC" w:rsidRPr="006B77BB" w:rsidRDefault="001021AC" w:rsidP="001021AC">
            <w:pPr>
              <w:pStyle w:val="TableText"/>
            </w:pPr>
            <w:r w:rsidRPr="0049407B">
              <w:rPr>
                <w:rFonts w:eastAsia="Times New Roman" w:cs="Calibri"/>
                <w:color w:val="000000"/>
              </w:rPr>
              <w:t>139</w:t>
            </w:r>
          </w:p>
        </w:tc>
        <w:tc>
          <w:tcPr>
            <w:tcW w:w="6066" w:type="dxa"/>
            <w:vAlign w:val="bottom"/>
          </w:tcPr>
          <w:p w14:paraId="15272935" w14:textId="56BC0248" w:rsidR="001021AC" w:rsidRPr="006B77BB" w:rsidRDefault="001021AC" w:rsidP="001021AC">
            <w:pPr>
              <w:pStyle w:val="TableText"/>
            </w:pPr>
            <w:r w:rsidRPr="0049407B">
              <w:rPr>
                <w:rFonts w:eastAsia="Times New Roman" w:cs="Calibri"/>
                <w:color w:val="000000"/>
              </w:rPr>
              <w:t>Gisborne District Council</w:t>
            </w:r>
          </w:p>
        </w:tc>
      </w:tr>
      <w:tr w:rsidR="001021AC" w:rsidRPr="006B77BB" w14:paraId="0D43AA52" w14:textId="77777777" w:rsidTr="00481A31">
        <w:tc>
          <w:tcPr>
            <w:tcW w:w="2439" w:type="dxa"/>
            <w:vAlign w:val="bottom"/>
          </w:tcPr>
          <w:p w14:paraId="1D77C2F2" w14:textId="05B05E39" w:rsidR="001021AC" w:rsidRPr="006B77BB" w:rsidRDefault="001021AC" w:rsidP="001021AC">
            <w:pPr>
              <w:pStyle w:val="TableText"/>
            </w:pPr>
            <w:r w:rsidRPr="0049407B">
              <w:rPr>
                <w:rFonts w:eastAsia="Times New Roman" w:cs="Calibri"/>
                <w:color w:val="000000"/>
              </w:rPr>
              <w:t>140</w:t>
            </w:r>
          </w:p>
        </w:tc>
        <w:tc>
          <w:tcPr>
            <w:tcW w:w="6066" w:type="dxa"/>
            <w:vAlign w:val="bottom"/>
          </w:tcPr>
          <w:p w14:paraId="167E7B0F" w14:textId="5A1B70EB" w:rsidR="001021AC" w:rsidRPr="006B77BB" w:rsidRDefault="001021AC" w:rsidP="001021AC">
            <w:pPr>
              <w:pStyle w:val="TableText"/>
            </w:pPr>
            <w:r w:rsidRPr="0049407B">
              <w:rPr>
                <w:rFonts w:eastAsia="Times New Roman" w:cs="Calibri"/>
                <w:color w:val="000000"/>
              </w:rPr>
              <w:t>Mobil New Zealand</w:t>
            </w:r>
          </w:p>
        </w:tc>
      </w:tr>
      <w:tr w:rsidR="001021AC" w:rsidRPr="006B77BB" w14:paraId="72BAA403" w14:textId="77777777" w:rsidTr="00481A31">
        <w:tc>
          <w:tcPr>
            <w:tcW w:w="2439" w:type="dxa"/>
            <w:vAlign w:val="bottom"/>
          </w:tcPr>
          <w:p w14:paraId="77E9C448" w14:textId="69C7DAC2" w:rsidR="001021AC" w:rsidRPr="006B77BB" w:rsidRDefault="001021AC" w:rsidP="001021AC">
            <w:pPr>
              <w:pStyle w:val="TableText"/>
            </w:pPr>
            <w:r w:rsidRPr="0049407B">
              <w:rPr>
                <w:rFonts w:eastAsia="Times New Roman" w:cs="Calibri"/>
                <w:color w:val="000000"/>
              </w:rPr>
              <w:lastRenderedPageBreak/>
              <w:t>141</w:t>
            </w:r>
          </w:p>
        </w:tc>
        <w:tc>
          <w:tcPr>
            <w:tcW w:w="6066" w:type="dxa"/>
            <w:vAlign w:val="bottom"/>
          </w:tcPr>
          <w:p w14:paraId="5E1BFCB5" w14:textId="33203A31" w:rsidR="001021AC" w:rsidRPr="006B77BB" w:rsidRDefault="001021AC" w:rsidP="001021AC">
            <w:pPr>
              <w:pStyle w:val="TableText"/>
            </w:pPr>
            <w:r w:rsidRPr="0049407B">
              <w:rPr>
                <w:rFonts w:eastAsia="Times New Roman" w:cs="Calibri"/>
                <w:color w:val="000000"/>
              </w:rPr>
              <w:t>Todd Corporation</w:t>
            </w:r>
          </w:p>
        </w:tc>
      </w:tr>
      <w:tr w:rsidR="001021AC" w:rsidRPr="006B77BB" w14:paraId="437FC9F8" w14:textId="77777777" w:rsidTr="00481A31">
        <w:tc>
          <w:tcPr>
            <w:tcW w:w="2439" w:type="dxa"/>
            <w:vAlign w:val="bottom"/>
          </w:tcPr>
          <w:p w14:paraId="7D32F562" w14:textId="76652AFC" w:rsidR="001021AC" w:rsidRPr="006B77BB" w:rsidRDefault="001021AC" w:rsidP="001021AC">
            <w:pPr>
              <w:pStyle w:val="TableText"/>
            </w:pPr>
            <w:r w:rsidRPr="0049407B">
              <w:rPr>
                <w:rFonts w:eastAsia="Times New Roman" w:cs="Calibri"/>
                <w:color w:val="000000"/>
              </w:rPr>
              <w:t>142</w:t>
            </w:r>
          </w:p>
        </w:tc>
        <w:tc>
          <w:tcPr>
            <w:tcW w:w="6066" w:type="dxa"/>
            <w:vAlign w:val="bottom"/>
          </w:tcPr>
          <w:p w14:paraId="26FC98D4" w14:textId="222F06CD" w:rsidR="001021AC" w:rsidRPr="006B77BB" w:rsidRDefault="001021AC" w:rsidP="001021AC">
            <w:pPr>
              <w:pStyle w:val="TableText"/>
            </w:pPr>
            <w:r w:rsidRPr="0049407B">
              <w:rPr>
                <w:rFonts w:eastAsia="Times New Roman" w:cs="Calibri"/>
                <w:color w:val="000000"/>
              </w:rPr>
              <w:t>Climate Change Commission</w:t>
            </w:r>
          </w:p>
        </w:tc>
      </w:tr>
      <w:tr w:rsidR="001021AC" w:rsidRPr="006B77BB" w14:paraId="319353C5" w14:textId="77777777" w:rsidTr="00481A31">
        <w:tc>
          <w:tcPr>
            <w:tcW w:w="2439" w:type="dxa"/>
            <w:vAlign w:val="bottom"/>
          </w:tcPr>
          <w:p w14:paraId="17492515" w14:textId="7C017A1D" w:rsidR="001021AC" w:rsidRPr="0049407B" w:rsidRDefault="001021AC" w:rsidP="001021AC">
            <w:pPr>
              <w:pStyle w:val="TableText"/>
              <w:rPr>
                <w:rFonts w:eastAsia="Times New Roman" w:cs="Calibri"/>
                <w:color w:val="000000"/>
              </w:rPr>
            </w:pPr>
            <w:r w:rsidRPr="0049407B">
              <w:rPr>
                <w:rFonts w:eastAsia="Times New Roman" w:cs="Calibri"/>
                <w:color w:val="000000"/>
              </w:rPr>
              <w:t>143</w:t>
            </w:r>
          </w:p>
        </w:tc>
        <w:tc>
          <w:tcPr>
            <w:tcW w:w="6066" w:type="dxa"/>
            <w:vAlign w:val="bottom"/>
          </w:tcPr>
          <w:p w14:paraId="6C20636E" w14:textId="5FB6AAA9" w:rsidR="001021AC" w:rsidRPr="0049407B" w:rsidRDefault="001021AC" w:rsidP="001021AC">
            <w:pPr>
              <w:pStyle w:val="TableText"/>
              <w:rPr>
                <w:rFonts w:eastAsia="Times New Roman" w:cs="Calibri"/>
                <w:color w:val="000000"/>
              </w:rPr>
            </w:pPr>
            <w:r w:rsidRPr="0049407B">
              <w:rPr>
                <w:rFonts w:eastAsia="Times New Roman" w:cs="Calibri"/>
                <w:color w:val="000000"/>
              </w:rPr>
              <w:t>Sustainable Business Network</w:t>
            </w:r>
          </w:p>
        </w:tc>
      </w:tr>
      <w:tr w:rsidR="001021AC" w:rsidRPr="006B77BB" w14:paraId="49BBF176" w14:textId="77777777" w:rsidTr="00481A31">
        <w:tc>
          <w:tcPr>
            <w:tcW w:w="2439" w:type="dxa"/>
            <w:vAlign w:val="bottom"/>
          </w:tcPr>
          <w:p w14:paraId="5929BD05" w14:textId="4A2B14A8" w:rsidR="001021AC" w:rsidRPr="0049407B" w:rsidRDefault="001021AC" w:rsidP="001021AC">
            <w:pPr>
              <w:pStyle w:val="TableText"/>
              <w:rPr>
                <w:rFonts w:eastAsia="Times New Roman" w:cs="Calibri"/>
                <w:color w:val="000000"/>
              </w:rPr>
            </w:pPr>
            <w:r w:rsidRPr="0049407B">
              <w:rPr>
                <w:rFonts w:eastAsia="Times New Roman" w:cs="Calibri"/>
                <w:color w:val="000000"/>
              </w:rPr>
              <w:t>145</w:t>
            </w:r>
          </w:p>
        </w:tc>
        <w:tc>
          <w:tcPr>
            <w:tcW w:w="6066" w:type="dxa"/>
            <w:vAlign w:val="bottom"/>
          </w:tcPr>
          <w:p w14:paraId="314546DA" w14:textId="71C4543C" w:rsidR="001021AC" w:rsidRPr="0049407B" w:rsidRDefault="001021AC" w:rsidP="001021AC">
            <w:pPr>
              <w:pStyle w:val="TableText"/>
              <w:rPr>
                <w:rFonts w:eastAsia="Times New Roman" w:cs="Calibri"/>
                <w:color w:val="000000"/>
              </w:rPr>
            </w:pPr>
            <w:r w:rsidRPr="0049407B">
              <w:rPr>
                <w:rFonts w:eastAsia="Times New Roman" w:cs="Calibri"/>
                <w:color w:val="000000"/>
              </w:rPr>
              <w:t>Major Electricity Users Group</w:t>
            </w:r>
          </w:p>
        </w:tc>
      </w:tr>
      <w:tr w:rsidR="001021AC" w:rsidRPr="006B77BB" w14:paraId="36DE04F6" w14:textId="77777777" w:rsidTr="00481A31">
        <w:tc>
          <w:tcPr>
            <w:tcW w:w="2439" w:type="dxa"/>
            <w:vAlign w:val="bottom"/>
          </w:tcPr>
          <w:p w14:paraId="2F93F32C" w14:textId="7E7132B2" w:rsidR="001021AC" w:rsidRPr="0049407B" w:rsidRDefault="001021AC" w:rsidP="001021AC">
            <w:pPr>
              <w:pStyle w:val="TableText"/>
              <w:rPr>
                <w:rFonts w:eastAsia="Times New Roman" w:cs="Calibri"/>
                <w:color w:val="000000"/>
              </w:rPr>
            </w:pPr>
            <w:r w:rsidRPr="0049407B">
              <w:rPr>
                <w:rFonts w:eastAsia="Times New Roman" w:cs="Calibri"/>
                <w:color w:val="000000"/>
              </w:rPr>
              <w:t>146</w:t>
            </w:r>
          </w:p>
        </w:tc>
        <w:tc>
          <w:tcPr>
            <w:tcW w:w="6066" w:type="dxa"/>
            <w:vAlign w:val="bottom"/>
          </w:tcPr>
          <w:p w14:paraId="59E4BAC5" w14:textId="57B2D4FE" w:rsidR="001021AC" w:rsidRPr="0049407B" w:rsidRDefault="001021AC" w:rsidP="001021AC">
            <w:pPr>
              <w:pStyle w:val="TableText"/>
              <w:rPr>
                <w:rFonts w:eastAsia="Times New Roman" w:cs="Calibri"/>
                <w:color w:val="000000"/>
              </w:rPr>
            </w:pPr>
            <w:r w:rsidRPr="0049407B">
              <w:rPr>
                <w:rFonts w:eastAsia="Times New Roman" w:cs="Calibri"/>
                <w:color w:val="000000"/>
              </w:rPr>
              <w:t>Lawyers for Climate Action New Zealand Incorporated</w:t>
            </w:r>
          </w:p>
        </w:tc>
      </w:tr>
      <w:tr w:rsidR="001021AC" w:rsidRPr="006B77BB" w14:paraId="4B5386E7" w14:textId="77777777" w:rsidTr="00481A31">
        <w:tc>
          <w:tcPr>
            <w:tcW w:w="2439" w:type="dxa"/>
            <w:vAlign w:val="bottom"/>
          </w:tcPr>
          <w:p w14:paraId="4F9BDCA6" w14:textId="5E6B224F" w:rsidR="001021AC" w:rsidRPr="0049407B" w:rsidRDefault="001021AC" w:rsidP="001021AC">
            <w:pPr>
              <w:pStyle w:val="TableText"/>
              <w:rPr>
                <w:rFonts w:eastAsia="Times New Roman" w:cs="Calibri"/>
                <w:color w:val="000000"/>
              </w:rPr>
            </w:pPr>
            <w:r w:rsidRPr="0049407B">
              <w:rPr>
                <w:rFonts w:eastAsia="Times New Roman" w:cs="Calibri"/>
                <w:color w:val="000000"/>
              </w:rPr>
              <w:t>147</w:t>
            </w:r>
          </w:p>
        </w:tc>
        <w:tc>
          <w:tcPr>
            <w:tcW w:w="6066" w:type="dxa"/>
            <w:vAlign w:val="bottom"/>
          </w:tcPr>
          <w:p w14:paraId="296CBB20" w14:textId="4F101B19" w:rsidR="001021AC" w:rsidRPr="0049407B" w:rsidRDefault="001021AC" w:rsidP="001021AC">
            <w:pPr>
              <w:pStyle w:val="TableText"/>
              <w:rPr>
                <w:rFonts w:eastAsia="Times New Roman" w:cs="Calibri"/>
                <w:color w:val="000000"/>
              </w:rPr>
            </w:pPr>
            <w:r w:rsidRPr="0049407B">
              <w:rPr>
                <w:rFonts w:eastAsia="Times New Roman" w:cs="Calibri"/>
                <w:color w:val="000000"/>
              </w:rPr>
              <w:t>Oji Fibre Solutions</w:t>
            </w:r>
          </w:p>
        </w:tc>
      </w:tr>
      <w:tr w:rsidR="001021AC" w:rsidRPr="006B77BB" w14:paraId="0B06E818" w14:textId="77777777" w:rsidTr="00481A31">
        <w:tc>
          <w:tcPr>
            <w:tcW w:w="2439" w:type="dxa"/>
            <w:vAlign w:val="bottom"/>
          </w:tcPr>
          <w:p w14:paraId="6A587D1B" w14:textId="23028A28" w:rsidR="001021AC" w:rsidRPr="0049407B" w:rsidRDefault="001021AC" w:rsidP="001021AC">
            <w:pPr>
              <w:pStyle w:val="TableText"/>
              <w:rPr>
                <w:rFonts w:eastAsia="Times New Roman" w:cs="Calibri"/>
                <w:color w:val="000000"/>
              </w:rPr>
            </w:pPr>
            <w:r w:rsidRPr="0049407B">
              <w:rPr>
                <w:rFonts w:eastAsia="Times New Roman" w:cs="Calibri"/>
                <w:color w:val="000000"/>
              </w:rPr>
              <w:t>149</w:t>
            </w:r>
          </w:p>
        </w:tc>
        <w:tc>
          <w:tcPr>
            <w:tcW w:w="6066" w:type="dxa"/>
            <w:vAlign w:val="bottom"/>
          </w:tcPr>
          <w:p w14:paraId="5FC45BE9" w14:textId="337AE52B" w:rsidR="001021AC" w:rsidRPr="0049407B" w:rsidRDefault="001021AC" w:rsidP="001021AC">
            <w:pPr>
              <w:pStyle w:val="TableText"/>
              <w:rPr>
                <w:rFonts w:eastAsia="Times New Roman" w:cs="Calibri"/>
                <w:color w:val="000000"/>
              </w:rPr>
            </w:pPr>
            <w:r w:rsidRPr="0049407B">
              <w:rPr>
                <w:rFonts w:eastAsia="Times New Roman" w:cs="Calibri"/>
                <w:color w:val="000000"/>
              </w:rPr>
              <w:t>Compass Climate</w:t>
            </w:r>
          </w:p>
        </w:tc>
      </w:tr>
      <w:tr w:rsidR="001021AC" w:rsidRPr="006B77BB" w14:paraId="18998C6F" w14:textId="77777777" w:rsidTr="00481A31">
        <w:tc>
          <w:tcPr>
            <w:tcW w:w="2439" w:type="dxa"/>
            <w:vAlign w:val="bottom"/>
          </w:tcPr>
          <w:p w14:paraId="161EAE13" w14:textId="55AD3FD0" w:rsidR="001021AC" w:rsidRPr="0049407B" w:rsidRDefault="001021AC" w:rsidP="001021AC">
            <w:pPr>
              <w:pStyle w:val="TableText"/>
              <w:rPr>
                <w:rFonts w:eastAsia="Times New Roman" w:cs="Calibri"/>
                <w:color w:val="000000"/>
              </w:rPr>
            </w:pPr>
            <w:r w:rsidRPr="0049407B">
              <w:rPr>
                <w:rFonts w:eastAsia="Times New Roman" w:cs="Calibri"/>
                <w:color w:val="000000"/>
              </w:rPr>
              <w:t>150</w:t>
            </w:r>
          </w:p>
        </w:tc>
        <w:tc>
          <w:tcPr>
            <w:tcW w:w="6066" w:type="dxa"/>
            <w:vAlign w:val="bottom"/>
          </w:tcPr>
          <w:p w14:paraId="3208D9D5" w14:textId="7275DEF5" w:rsidR="001021AC" w:rsidRPr="0049407B" w:rsidRDefault="001021AC" w:rsidP="001021AC">
            <w:pPr>
              <w:pStyle w:val="TableText"/>
              <w:rPr>
                <w:rFonts w:eastAsia="Times New Roman" w:cs="Calibri"/>
                <w:color w:val="000000"/>
              </w:rPr>
            </w:pPr>
            <w:r w:rsidRPr="0049407B">
              <w:rPr>
                <w:rFonts w:eastAsia="Times New Roman" w:cs="Calibri"/>
                <w:color w:val="000000"/>
              </w:rPr>
              <w:t>Te Awahohonu Forest Trust</w:t>
            </w:r>
          </w:p>
        </w:tc>
      </w:tr>
      <w:tr w:rsidR="001021AC" w:rsidRPr="006B77BB" w14:paraId="65DCD239" w14:textId="77777777" w:rsidTr="00481A31">
        <w:tc>
          <w:tcPr>
            <w:tcW w:w="2439" w:type="dxa"/>
            <w:vAlign w:val="bottom"/>
          </w:tcPr>
          <w:p w14:paraId="7160C410" w14:textId="6379B6B6" w:rsidR="001021AC" w:rsidRPr="0049407B" w:rsidRDefault="001021AC" w:rsidP="001021AC">
            <w:pPr>
              <w:pStyle w:val="TableText"/>
              <w:rPr>
                <w:rFonts w:eastAsia="Times New Roman" w:cs="Calibri"/>
                <w:color w:val="000000"/>
              </w:rPr>
            </w:pPr>
            <w:r w:rsidRPr="0049407B">
              <w:rPr>
                <w:rFonts w:eastAsia="Times New Roman" w:cs="Calibri"/>
                <w:color w:val="000000"/>
              </w:rPr>
              <w:t>151</w:t>
            </w:r>
          </w:p>
        </w:tc>
        <w:tc>
          <w:tcPr>
            <w:tcW w:w="6066" w:type="dxa"/>
            <w:vAlign w:val="bottom"/>
          </w:tcPr>
          <w:p w14:paraId="284E7B4C" w14:textId="4F63546F" w:rsidR="001021AC" w:rsidRPr="0049407B" w:rsidRDefault="001021AC" w:rsidP="001021AC">
            <w:pPr>
              <w:pStyle w:val="TableText"/>
              <w:rPr>
                <w:rFonts w:eastAsia="Times New Roman" w:cs="Calibri"/>
                <w:color w:val="000000"/>
              </w:rPr>
            </w:pPr>
            <w:r w:rsidRPr="0049407B">
              <w:rPr>
                <w:rFonts w:eastAsia="Times New Roman" w:cs="Calibri"/>
                <w:color w:val="000000"/>
              </w:rPr>
              <w:t>Nelson Forests Limited</w:t>
            </w:r>
          </w:p>
        </w:tc>
      </w:tr>
      <w:tr w:rsidR="001021AC" w:rsidRPr="006B77BB" w14:paraId="6718A4C0" w14:textId="77777777" w:rsidTr="00481A31">
        <w:tc>
          <w:tcPr>
            <w:tcW w:w="2439" w:type="dxa"/>
            <w:vAlign w:val="bottom"/>
          </w:tcPr>
          <w:p w14:paraId="55E1D637" w14:textId="37755382" w:rsidR="001021AC" w:rsidRPr="0049407B" w:rsidRDefault="001021AC" w:rsidP="001021AC">
            <w:pPr>
              <w:pStyle w:val="TableText"/>
              <w:rPr>
                <w:rFonts w:eastAsia="Times New Roman" w:cs="Calibri"/>
                <w:color w:val="000000"/>
              </w:rPr>
            </w:pPr>
            <w:r w:rsidRPr="0049407B">
              <w:rPr>
                <w:rFonts w:eastAsia="Times New Roman" w:cs="Calibri"/>
                <w:color w:val="000000"/>
              </w:rPr>
              <w:t>153</w:t>
            </w:r>
          </w:p>
        </w:tc>
        <w:tc>
          <w:tcPr>
            <w:tcW w:w="6066" w:type="dxa"/>
            <w:vAlign w:val="bottom"/>
          </w:tcPr>
          <w:p w14:paraId="53E3D96A" w14:textId="3BDFC709" w:rsidR="001021AC" w:rsidRPr="0049407B" w:rsidRDefault="002F5B39" w:rsidP="001021AC">
            <w:pPr>
              <w:pStyle w:val="TableText"/>
              <w:rPr>
                <w:rFonts w:eastAsia="Times New Roman" w:cs="Calibri"/>
                <w:color w:val="000000"/>
              </w:rPr>
            </w:pPr>
            <w:r>
              <w:rPr>
                <w:rFonts w:eastAsia="Times New Roman" w:cs="Calibri"/>
                <w:color w:val="000000"/>
              </w:rPr>
              <w:t>New Zealand Aluminium Smelter</w:t>
            </w:r>
          </w:p>
        </w:tc>
      </w:tr>
      <w:tr w:rsidR="001021AC" w:rsidRPr="006B77BB" w14:paraId="422A83CA" w14:textId="77777777" w:rsidTr="00481A31">
        <w:tc>
          <w:tcPr>
            <w:tcW w:w="2439" w:type="dxa"/>
            <w:vAlign w:val="bottom"/>
          </w:tcPr>
          <w:p w14:paraId="7CCB912A" w14:textId="740EC308" w:rsidR="001021AC" w:rsidRPr="0049407B" w:rsidRDefault="001021AC" w:rsidP="001021AC">
            <w:pPr>
              <w:pStyle w:val="TableText"/>
              <w:rPr>
                <w:rFonts w:eastAsia="Times New Roman" w:cs="Calibri"/>
                <w:color w:val="000000"/>
              </w:rPr>
            </w:pPr>
            <w:r w:rsidRPr="0049407B">
              <w:rPr>
                <w:rFonts w:eastAsia="Times New Roman" w:cs="Calibri"/>
                <w:color w:val="000000"/>
              </w:rPr>
              <w:t>154</w:t>
            </w:r>
          </w:p>
        </w:tc>
        <w:tc>
          <w:tcPr>
            <w:tcW w:w="6066" w:type="dxa"/>
            <w:vAlign w:val="bottom"/>
          </w:tcPr>
          <w:p w14:paraId="288CF1F1" w14:textId="755D0443" w:rsidR="001021AC" w:rsidRPr="0049407B" w:rsidRDefault="001021AC" w:rsidP="001021AC">
            <w:pPr>
              <w:pStyle w:val="TableText"/>
              <w:rPr>
                <w:rFonts w:eastAsia="Times New Roman" w:cs="Calibri"/>
                <w:color w:val="000000"/>
              </w:rPr>
            </w:pPr>
            <w:r w:rsidRPr="0049407B">
              <w:rPr>
                <w:rFonts w:eastAsia="Times New Roman" w:cs="Calibri"/>
                <w:color w:val="000000"/>
              </w:rPr>
              <w:t>Tāne’s Tree Trust</w:t>
            </w:r>
          </w:p>
        </w:tc>
      </w:tr>
      <w:tr w:rsidR="001021AC" w:rsidRPr="006B77BB" w14:paraId="4DB7A5CC" w14:textId="77777777" w:rsidTr="00481A31">
        <w:tc>
          <w:tcPr>
            <w:tcW w:w="2439" w:type="dxa"/>
            <w:vAlign w:val="bottom"/>
          </w:tcPr>
          <w:p w14:paraId="63012817" w14:textId="19605336" w:rsidR="001021AC" w:rsidRPr="0049407B" w:rsidRDefault="001021AC" w:rsidP="001021AC">
            <w:pPr>
              <w:pStyle w:val="TableText"/>
              <w:rPr>
                <w:rFonts w:eastAsia="Times New Roman" w:cs="Calibri"/>
                <w:color w:val="000000"/>
              </w:rPr>
            </w:pPr>
            <w:r w:rsidRPr="0049407B">
              <w:rPr>
                <w:rFonts w:eastAsia="Times New Roman" w:cs="Calibri"/>
                <w:color w:val="000000"/>
              </w:rPr>
              <w:t>156</w:t>
            </w:r>
          </w:p>
        </w:tc>
        <w:tc>
          <w:tcPr>
            <w:tcW w:w="6066" w:type="dxa"/>
            <w:vAlign w:val="bottom"/>
          </w:tcPr>
          <w:p w14:paraId="3E6BEEDF" w14:textId="1F64F8C4" w:rsidR="001021AC" w:rsidRPr="0049407B" w:rsidRDefault="001021AC" w:rsidP="001021AC">
            <w:pPr>
              <w:pStyle w:val="TableText"/>
              <w:rPr>
                <w:rFonts w:eastAsia="Times New Roman" w:cs="Calibri"/>
                <w:color w:val="000000"/>
              </w:rPr>
            </w:pPr>
            <w:r w:rsidRPr="0049407B">
              <w:rPr>
                <w:rFonts w:eastAsia="Times New Roman" w:cs="Calibri"/>
                <w:color w:val="000000"/>
              </w:rPr>
              <w:t xml:space="preserve">OMV </w:t>
            </w:r>
          </w:p>
        </w:tc>
      </w:tr>
      <w:tr w:rsidR="001021AC" w:rsidRPr="006B77BB" w14:paraId="3C06AB8D" w14:textId="77777777" w:rsidTr="00481A31">
        <w:tc>
          <w:tcPr>
            <w:tcW w:w="2439" w:type="dxa"/>
            <w:vAlign w:val="bottom"/>
          </w:tcPr>
          <w:p w14:paraId="1F989844" w14:textId="66F004A1" w:rsidR="001021AC" w:rsidRPr="0049407B" w:rsidRDefault="001021AC" w:rsidP="001021AC">
            <w:pPr>
              <w:pStyle w:val="TableText"/>
              <w:rPr>
                <w:rFonts w:eastAsia="Times New Roman" w:cs="Calibri"/>
                <w:color w:val="000000"/>
              </w:rPr>
            </w:pPr>
            <w:r w:rsidRPr="0049407B">
              <w:rPr>
                <w:rFonts w:eastAsia="Times New Roman" w:cs="Calibri"/>
                <w:color w:val="000000"/>
              </w:rPr>
              <w:t>157</w:t>
            </w:r>
          </w:p>
        </w:tc>
        <w:tc>
          <w:tcPr>
            <w:tcW w:w="6066" w:type="dxa"/>
            <w:vAlign w:val="bottom"/>
          </w:tcPr>
          <w:p w14:paraId="3C163BF3" w14:textId="20EE8E79" w:rsidR="001021AC" w:rsidRPr="0049407B" w:rsidRDefault="001021AC" w:rsidP="001021AC">
            <w:pPr>
              <w:pStyle w:val="TableText"/>
              <w:rPr>
                <w:rFonts w:eastAsia="Times New Roman" w:cs="Calibri"/>
                <w:color w:val="000000"/>
              </w:rPr>
            </w:pPr>
            <w:r w:rsidRPr="0049407B">
              <w:rPr>
                <w:rFonts w:eastAsia="Times New Roman" w:cs="Calibri"/>
                <w:color w:val="000000"/>
              </w:rPr>
              <w:t>Phil Jones</w:t>
            </w:r>
          </w:p>
        </w:tc>
      </w:tr>
      <w:tr w:rsidR="001021AC" w:rsidRPr="006B77BB" w14:paraId="74239B48" w14:textId="77777777" w:rsidTr="00481A31">
        <w:tc>
          <w:tcPr>
            <w:tcW w:w="2439" w:type="dxa"/>
            <w:vAlign w:val="bottom"/>
          </w:tcPr>
          <w:p w14:paraId="27256A61" w14:textId="15091B03" w:rsidR="001021AC" w:rsidRPr="0049407B" w:rsidRDefault="001021AC" w:rsidP="001021AC">
            <w:pPr>
              <w:pStyle w:val="TableText"/>
              <w:rPr>
                <w:rFonts w:eastAsia="Times New Roman" w:cs="Calibri"/>
                <w:color w:val="000000"/>
              </w:rPr>
            </w:pPr>
            <w:r w:rsidRPr="0049407B">
              <w:rPr>
                <w:rFonts w:eastAsia="Times New Roman" w:cs="Calibri"/>
                <w:color w:val="000000"/>
              </w:rPr>
              <w:t>158</w:t>
            </w:r>
          </w:p>
        </w:tc>
        <w:tc>
          <w:tcPr>
            <w:tcW w:w="6066" w:type="dxa"/>
            <w:vAlign w:val="bottom"/>
          </w:tcPr>
          <w:p w14:paraId="616ED664" w14:textId="195DED53" w:rsidR="001021AC" w:rsidRPr="0049407B" w:rsidRDefault="001021AC" w:rsidP="001021AC">
            <w:pPr>
              <w:pStyle w:val="TableText"/>
              <w:rPr>
                <w:rFonts w:eastAsia="Times New Roman" w:cs="Calibri"/>
                <w:color w:val="000000"/>
              </w:rPr>
            </w:pPr>
            <w:r w:rsidRPr="0049407B">
              <w:rPr>
                <w:rFonts w:eastAsia="Times New Roman" w:cs="Calibri"/>
                <w:color w:val="000000"/>
              </w:rPr>
              <w:t>Straterra</w:t>
            </w:r>
          </w:p>
        </w:tc>
      </w:tr>
      <w:tr w:rsidR="001021AC" w:rsidRPr="006B77BB" w14:paraId="774C0888" w14:textId="77777777" w:rsidTr="00481A31">
        <w:tc>
          <w:tcPr>
            <w:tcW w:w="2439" w:type="dxa"/>
            <w:vAlign w:val="bottom"/>
          </w:tcPr>
          <w:p w14:paraId="0494D922" w14:textId="3AF0426B" w:rsidR="001021AC" w:rsidRPr="0049407B" w:rsidRDefault="001021AC" w:rsidP="001021AC">
            <w:pPr>
              <w:pStyle w:val="TableText"/>
              <w:rPr>
                <w:rFonts w:eastAsia="Times New Roman" w:cs="Calibri"/>
                <w:color w:val="000000"/>
              </w:rPr>
            </w:pPr>
            <w:r w:rsidRPr="0049407B">
              <w:rPr>
                <w:rFonts w:eastAsia="Times New Roman" w:cs="Calibri"/>
                <w:color w:val="000000"/>
              </w:rPr>
              <w:t>159</w:t>
            </w:r>
          </w:p>
        </w:tc>
        <w:tc>
          <w:tcPr>
            <w:tcW w:w="6066" w:type="dxa"/>
            <w:vAlign w:val="bottom"/>
          </w:tcPr>
          <w:p w14:paraId="5D5A967C" w14:textId="2E30C3D6" w:rsidR="001021AC" w:rsidRPr="0049407B" w:rsidRDefault="001021AC" w:rsidP="001021AC">
            <w:pPr>
              <w:pStyle w:val="TableText"/>
              <w:rPr>
                <w:rFonts w:eastAsia="Times New Roman" w:cs="Calibri"/>
                <w:color w:val="000000"/>
              </w:rPr>
            </w:pPr>
            <w:r w:rsidRPr="0049407B">
              <w:rPr>
                <w:rFonts w:eastAsia="Times New Roman" w:cs="Calibri"/>
                <w:color w:val="000000"/>
              </w:rPr>
              <w:t xml:space="preserve">Dairy Companies Association of New Zealand </w:t>
            </w:r>
          </w:p>
        </w:tc>
      </w:tr>
      <w:tr w:rsidR="001021AC" w:rsidRPr="006B77BB" w14:paraId="57C32C8F" w14:textId="77777777" w:rsidTr="00481A31">
        <w:tc>
          <w:tcPr>
            <w:tcW w:w="2439" w:type="dxa"/>
            <w:vAlign w:val="bottom"/>
          </w:tcPr>
          <w:p w14:paraId="1499B7D7" w14:textId="759142BC" w:rsidR="001021AC" w:rsidRPr="0049407B" w:rsidRDefault="001021AC" w:rsidP="001021AC">
            <w:pPr>
              <w:pStyle w:val="TableText"/>
              <w:rPr>
                <w:rFonts w:eastAsia="Times New Roman" w:cs="Calibri"/>
                <w:color w:val="000000"/>
              </w:rPr>
            </w:pPr>
            <w:r w:rsidRPr="0049407B">
              <w:rPr>
                <w:rFonts w:eastAsia="Times New Roman" w:cs="Calibri"/>
                <w:color w:val="000000"/>
              </w:rPr>
              <w:t>165</w:t>
            </w:r>
          </w:p>
        </w:tc>
        <w:tc>
          <w:tcPr>
            <w:tcW w:w="6066" w:type="dxa"/>
            <w:vAlign w:val="bottom"/>
          </w:tcPr>
          <w:p w14:paraId="682E6AC6" w14:textId="60BA2FDD" w:rsidR="001021AC" w:rsidRPr="0049407B" w:rsidRDefault="001021AC" w:rsidP="001021AC">
            <w:pPr>
              <w:pStyle w:val="TableText"/>
              <w:rPr>
                <w:rFonts w:eastAsia="Times New Roman" w:cs="Calibri"/>
                <w:color w:val="000000"/>
              </w:rPr>
            </w:pPr>
            <w:r w:rsidRPr="0049407B">
              <w:rPr>
                <w:rFonts w:eastAsia="Times New Roman" w:cs="Calibri"/>
                <w:color w:val="000000"/>
              </w:rPr>
              <w:t>Environment and Conservation Organisations of NZ Inc</w:t>
            </w:r>
          </w:p>
        </w:tc>
      </w:tr>
      <w:tr w:rsidR="001021AC" w:rsidRPr="006B77BB" w14:paraId="22E644D0" w14:textId="77777777" w:rsidTr="00481A31">
        <w:tc>
          <w:tcPr>
            <w:tcW w:w="2439" w:type="dxa"/>
            <w:vAlign w:val="bottom"/>
          </w:tcPr>
          <w:p w14:paraId="7FA72571" w14:textId="76EA9E0D" w:rsidR="001021AC" w:rsidRPr="0049407B" w:rsidRDefault="001021AC" w:rsidP="001021AC">
            <w:pPr>
              <w:pStyle w:val="TableText"/>
              <w:rPr>
                <w:rFonts w:eastAsia="Times New Roman" w:cs="Calibri"/>
                <w:color w:val="000000"/>
              </w:rPr>
            </w:pPr>
            <w:r w:rsidRPr="0049407B">
              <w:rPr>
                <w:rFonts w:eastAsia="Times New Roman" w:cs="Calibri"/>
                <w:color w:val="000000"/>
              </w:rPr>
              <w:t>166</w:t>
            </w:r>
          </w:p>
        </w:tc>
        <w:tc>
          <w:tcPr>
            <w:tcW w:w="6066" w:type="dxa"/>
            <w:vAlign w:val="bottom"/>
          </w:tcPr>
          <w:p w14:paraId="4A546652" w14:textId="21BE454C" w:rsidR="001021AC" w:rsidRPr="0049407B" w:rsidRDefault="001021AC" w:rsidP="001021AC">
            <w:pPr>
              <w:pStyle w:val="TableText"/>
              <w:rPr>
                <w:rFonts w:eastAsia="Times New Roman" w:cs="Calibri"/>
                <w:color w:val="000000"/>
              </w:rPr>
            </w:pPr>
            <w:r w:rsidRPr="0049407B">
              <w:rPr>
                <w:rFonts w:eastAsia="Times New Roman" w:cs="Calibri"/>
                <w:color w:val="000000"/>
              </w:rPr>
              <w:t>Refining NZ</w:t>
            </w:r>
          </w:p>
        </w:tc>
      </w:tr>
      <w:tr w:rsidR="001021AC" w:rsidRPr="006B77BB" w14:paraId="6FF3922A" w14:textId="77777777" w:rsidTr="00481A31">
        <w:tc>
          <w:tcPr>
            <w:tcW w:w="2439" w:type="dxa"/>
            <w:vAlign w:val="bottom"/>
          </w:tcPr>
          <w:p w14:paraId="29E174FF" w14:textId="6E3B4BB8" w:rsidR="001021AC" w:rsidRPr="0049407B" w:rsidRDefault="001021AC" w:rsidP="001021AC">
            <w:pPr>
              <w:pStyle w:val="TableText"/>
              <w:rPr>
                <w:rFonts w:eastAsia="Times New Roman" w:cs="Calibri"/>
                <w:color w:val="000000"/>
              </w:rPr>
            </w:pPr>
            <w:r w:rsidRPr="0049407B">
              <w:rPr>
                <w:rFonts w:eastAsia="Times New Roman" w:cs="Calibri"/>
                <w:color w:val="000000"/>
              </w:rPr>
              <w:t>167</w:t>
            </w:r>
          </w:p>
        </w:tc>
        <w:tc>
          <w:tcPr>
            <w:tcW w:w="6066" w:type="dxa"/>
            <w:vAlign w:val="bottom"/>
          </w:tcPr>
          <w:p w14:paraId="495228C9" w14:textId="73D4B26C" w:rsidR="001021AC" w:rsidRPr="0049407B" w:rsidRDefault="001021AC" w:rsidP="001021AC">
            <w:pPr>
              <w:pStyle w:val="TableText"/>
              <w:rPr>
                <w:rFonts w:eastAsia="Times New Roman" w:cs="Calibri"/>
                <w:color w:val="000000"/>
              </w:rPr>
            </w:pPr>
            <w:r w:rsidRPr="0049407B">
              <w:rPr>
                <w:rFonts w:eastAsia="Times New Roman" w:cs="Calibri"/>
                <w:color w:val="000000"/>
              </w:rPr>
              <w:t>Waikato-Tainui</w:t>
            </w:r>
          </w:p>
        </w:tc>
      </w:tr>
      <w:tr w:rsidR="001021AC" w:rsidRPr="006B77BB" w14:paraId="6526172A" w14:textId="77777777" w:rsidTr="00481A31">
        <w:tc>
          <w:tcPr>
            <w:tcW w:w="2439" w:type="dxa"/>
            <w:vAlign w:val="bottom"/>
          </w:tcPr>
          <w:p w14:paraId="0BCFCA08" w14:textId="0153A484" w:rsidR="001021AC" w:rsidRPr="0049407B" w:rsidRDefault="001021AC" w:rsidP="001021AC">
            <w:pPr>
              <w:pStyle w:val="TableText"/>
              <w:rPr>
                <w:rFonts w:eastAsia="Times New Roman" w:cs="Calibri"/>
                <w:color w:val="000000"/>
              </w:rPr>
            </w:pPr>
            <w:r w:rsidRPr="0049407B">
              <w:rPr>
                <w:rFonts w:eastAsia="Times New Roman" w:cs="Calibri"/>
                <w:color w:val="000000"/>
              </w:rPr>
              <w:t>168</w:t>
            </w:r>
          </w:p>
        </w:tc>
        <w:tc>
          <w:tcPr>
            <w:tcW w:w="6066" w:type="dxa"/>
            <w:vAlign w:val="bottom"/>
          </w:tcPr>
          <w:p w14:paraId="3D8652DF" w14:textId="00DB11E8" w:rsidR="001021AC" w:rsidRPr="0049407B" w:rsidRDefault="001021AC" w:rsidP="001021AC">
            <w:pPr>
              <w:pStyle w:val="TableText"/>
              <w:rPr>
                <w:rFonts w:eastAsia="Times New Roman" w:cs="Calibri"/>
                <w:color w:val="000000"/>
              </w:rPr>
            </w:pPr>
            <w:r w:rsidRPr="0049407B">
              <w:rPr>
                <w:rFonts w:eastAsia="Times New Roman" w:cs="Calibri"/>
                <w:color w:val="000000"/>
              </w:rPr>
              <w:t xml:space="preserve">Westland Milk Products </w:t>
            </w:r>
          </w:p>
        </w:tc>
      </w:tr>
      <w:tr w:rsidR="001021AC" w:rsidRPr="006B77BB" w14:paraId="68AB5F47" w14:textId="77777777" w:rsidTr="00481A31">
        <w:tc>
          <w:tcPr>
            <w:tcW w:w="2439" w:type="dxa"/>
            <w:vAlign w:val="bottom"/>
          </w:tcPr>
          <w:p w14:paraId="4CBBF4B3" w14:textId="11731C49" w:rsidR="001021AC" w:rsidRPr="0049407B" w:rsidRDefault="001021AC" w:rsidP="001021AC">
            <w:pPr>
              <w:pStyle w:val="TableText"/>
              <w:rPr>
                <w:rFonts w:eastAsia="Times New Roman" w:cs="Calibri"/>
                <w:color w:val="000000"/>
              </w:rPr>
            </w:pPr>
            <w:r w:rsidRPr="0049407B">
              <w:rPr>
                <w:rFonts w:eastAsia="Times New Roman" w:cs="Calibri"/>
                <w:color w:val="000000"/>
              </w:rPr>
              <w:t>169</w:t>
            </w:r>
          </w:p>
        </w:tc>
        <w:tc>
          <w:tcPr>
            <w:tcW w:w="6066" w:type="dxa"/>
            <w:vAlign w:val="bottom"/>
          </w:tcPr>
          <w:p w14:paraId="61A74267" w14:textId="0810C8CE" w:rsidR="001021AC" w:rsidRPr="0049407B" w:rsidRDefault="001021AC" w:rsidP="001021AC">
            <w:pPr>
              <w:pStyle w:val="TableText"/>
              <w:rPr>
                <w:rFonts w:eastAsia="Times New Roman" w:cs="Calibri"/>
                <w:color w:val="000000"/>
              </w:rPr>
            </w:pPr>
            <w:r>
              <w:rPr>
                <w:rFonts w:eastAsia="Times New Roman" w:cs="Calibri"/>
                <w:color w:val="000000"/>
              </w:rPr>
              <w:t>NZ Farm Forestry Association</w:t>
            </w:r>
            <w:r w:rsidRPr="0049407B">
              <w:rPr>
                <w:rFonts w:eastAsia="Times New Roman" w:cs="Calibri"/>
                <w:color w:val="000000"/>
              </w:rPr>
              <w:t xml:space="preserve"> </w:t>
            </w:r>
          </w:p>
        </w:tc>
      </w:tr>
      <w:tr w:rsidR="001021AC" w:rsidRPr="006B77BB" w14:paraId="25A4B110" w14:textId="77777777" w:rsidTr="00481A31">
        <w:tc>
          <w:tcPr>
            <w:tcW w:w="2439" w:type="dxa"/>
            <w:vAlign w:val="bottom"/>
          </w:tcPr>
          <w:p w14:paraId="478F701D" w14:textId="3A297952" w:rsidR="001021AC" w:rsidRPr="0049407B" w:rsidRDefault="001021AC" w:rsidP="001021AC">
            <w:pPr>
              <w:pStyle w:val="TableText"/>
              <w:rPr>
                <w:rFonts w:eastAsia="Times New Roman" w:cs="Calibri"/>
                <w:color w:val="000000"/>
              </w:rPr>
            </w:pPr>
            <w:r w:rsidRPr="0049407B">
              <w:rPr>
                <w:rFonts w:eastAsia="Times New Roman" w:cs="Calibri"/>
                <w:color w:val="000000"/>
              </w:rPr>
              <w:t>170</w:t>
            </w:r>
          </w:p>
        </w:tc>
        <w:tc>
          <w:tcPr>
            <w:tcW w:w="6066" w:type="dxa"/>
            <w:vAlign w:val="bottom"/>
          </w:tcPr>
          <w:p w14:paraId="64CCF375" w14:textId="642015B4" w:rsidR="001021AC" w:rsidRDefault="001021AC" w:rsidP="001021AC">
            <w:pPr>
              <w:pStyle w:val="TableText"/>
              <w:rPr>
                <w:rFonts w:eastAsia="Times New Roman" w:cs="Calibri"/>
                <w:color w:val="000000"/>
              </w:rPr>
            </w:pPr>
            <w:r w:rsidRPr="0049407B">
              <w:rPr>
                <w:rFonts w:eastAsia="Times New Roman" w:cs="Calibri"/>
                <w:color w:val="000000"/>
              </w:rPr>
              <w:t xml:space="preserve">Fonterra </w:t>
            </w:r>
          </w:p>
        </w:tc>
      </w:tr>
    </w:tbl>
    <w:p w14:paraId="0AFC76C6" w14:textId="5D4B9C6E" w:rsidR="00D51469" w:rsidRPr="000E4461" w:rsidRDefault="00D51469" w:rsidP="00554B30">
      <w:bookmarkStart w:id="26" w:name="_GoBack"/>
      <w:bookmarkEnd w:id="2"/>
      <w:bookmarkEnd w:id="26"/>
    </w:p>
    <w:sectPr w:rsidR="00D51469" w:rsidRPr="000E4461" w:rsidSect="00475D30">
      <w:footerReference w:type="even" r:id="rId21"/>
      <w:footerReference w:type="default" r:id="rId22"/>
      <w:pgSz w:w="11907" w:h="16840" w:code="9"/>
      <w:pgMar w:top="1134" w:right="1418" w:bottom="1134" w:left="1418" w:header="567" w:footer="567" w:gutter="567"/>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315740" w14:textId="77777777" w:rsidR="00AD7274" w:rsidRDefault="00AD7274" w:rsidP="0080531E">
      <w:pPr>
        <w:spacing w:before="0" w:after="0" w:line="240" w:lineRule="auto"/>
      </w:pPr>
      <w:r>
        <w:separator/>
      </w:r>
    </w:p>
    <w:p w14:paraId="77ED28C9" w14:textId="77777777" w:rsidR="00AD7274" w:rsidRDefault="00AD7274"/>
  </w:endnote>
  <w:endnote w:type="continuationSeparator" w:id="0">
    <w:p w14:paraId="74617221" w14:textId="77777777" w:rsidR="00AD7274" w:rsidRDefault="00AD7274" w:rsidP="0080531E">
      <w:pPr>
        <w:spacing w:before="0" w:after="0" w:line="240" w:lineRule="auto"/>
      </w:pPr>
      <w:r>
        <w:continuationSeparator/>
      </w:r>
    </w:p>
    <w:p w14:paraId="59644D94" w14:textId="77777777" w:rsidR="00AD7274" w:rsidRDefault="00AD72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C3FDE6" w14:textId="3F8494C9" w:rsidR="009A6C21" w:rsidRDefault="009A6C21" w:rsidP="00734B9A">
    <w:pPr>
      <w:spacing w:before="0" w:after="0" w:line="240" w:lineRule="auto"/>
      <w:ind w:left="-57"/>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B9923" w14:textId="77777777" w:rsidR="009A6C21" w:rsidRDefault="009A6C21" w:rsidP="00E65427">
    <w:pPr>
      <w:spacing w:before="240"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5E73EB" w14:textId="77777777" w:rsidR="009A6C21" w:rsidRDefault="009A6C21"/>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6912E" w14:textId="73087D16" w:rsidR="009A6C21" w:rsidRDefault="009A6C21" w:rsidP="00CD25E1">
    <w:pPr>
      <w:pStyle w:val="Footereven"/>
    </w:pPr>
    <w:r w:rsidRPr="004F458A">
      <w:rPr>
        <w:b/>
      </w:rPr>
      <w:fldChar w:fldCharType="begin"/>
    </w:r>
    <w:r w:rsidRPr="004F458A">
      <w:instrText xml:space="preserve"> PAGE </w:instrText>
    </w:r>
    <w:r w:rsidRPr="004F458A">
      <w:rPr>
        <w:b/>
      </w:rPr>
      <w:fldChar w:fldCharType="separate"/>
    </w:r>
    <w:r w:rsidR="00C05B19">
      <w:rPr>
        <w:noProof/>
      </w:rPr>
      <w:t>28</w:t>
    </w:r>
    <w:r w:rsidRPr="004F458A">
      <w:rPr>
        <w:b/>
      </w:rPr>
      <w:fldChar w:fldCharType="end"/>
    </w:r>
    <w:r>
      <w:tab/>
    </w:r>
    <w:r w:rsidRPr="00992FBD">
      <w:t>Reforming the New Zealand Emissions Trading Scheme – Proposed Settings: Summary of Submissions</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B4C43" w14:textId="5BA37AAF" w:rsidR="009A6C21" w:rsidRDefault="009A6C21" w:rsidP="00CD25E1">
    <w:pPr>
      <w:pStyle w:val="Footerodd"/>
    </w:pPr>
    <w:r>
      <w:tab/>
    </w:r>
    <w:r w:rsidRPr="00992FBD">
      <w:t>Reforming the New Zealand Emissions Trading Scheme – Proposed Settings: Summary of Submissions</w:t>
    </w:r>
    <w:r>
      <w:tab/>
    </w:r>
    <w:r>
      <w:fldChar w:fldCharType="begin"/>
    </w:r>
    <w:r>
      <w:instrText xml:space="preserve"> PAGE   \* MERGEFORMAT </w:instrText>
    </w:r>
    <w:r>
      <w:fldChar w:fldCharType="separate"/>
    </w:r>
    <w:r w:rsidR="00C05B19">
      <w:rPr>
        <w:noProof/>
      </w:rPr>
      <w:t>27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C5DD5D" w14:textId="77777777" w:rsidR="00AD7274" w:rsidRDefault="00AD7274" w:rsidP="00CB5C5F">
      <w:pPr>
        <w:spacing w:before="0" w:after="80" w:line="240" w:lineRule="auto"/>
      </w:pPr>
      <w:r>
        <w:separator/>
      </w:r>
    </w:p>
  </w:footnote>
  <w:footnote w:type="continuationSeparator" w:id="0">
    <w:p w14:paraId="51BE94E8" w14:textId="77777777" w:rsidR="00AD7274" w:rsidRDefault="00AD7274" w:rsidP="0080531E">
      <w:pPr>
        <w:spacing w:before="0" w:after="0" w:line="240" w:lineRule="auto"/>
      </w:pPr>
      <w:r>
        <w:continuationSeparator/>
      </w:r>
    </w:p>
    <w:p w14:paraId="176371DC" w14:textId="77777777" w:rsidR="00AD7274" w:rsidRDefault="00AD7274"/>
  </w:footnote>
  <w:footnote w:id="1">
    <w:p w14:paraId="58CD603E" w14:textId="77777777" w:rsidR="009A6C21" w:rsidRDefault="009A6C21" w:rsidP="00F569B9">
      <w:pPr>
        <w:pStyle w:val="FootnoteText"/>
        <w:ind w:left="426" w:hanging="426"/>
      </w:pPr>
      <w:r w:rsidRPr="009F4828">
        <w:rPr>
          <w:rStyle w:val="FootnoteReference"/>
          <w:szCs w:val="19"/>
        </w:rPr>
        <w:footnoteRef/>
      </w:r>
      <w:r>
        <w:t xml:space="preserve"> </w:t>
      </w:r>
      <w:r>
        <w:tab/>
        <w:t xml:space="preserve">Note, the agricultural sector is not within the NZ ETS, but is included in the overall </w:t>
      </w:r>
      <w:r w:rsidRPr="007C5C6F">
        <w:t>provisional budget</w:t>
      </w:r>
      <w:r>
        <w:t xml:space="preserve"> volume.</w:t>
      </w:r>
    </w:p>
  </w:footnote>
  <w:footnote w:id="2">
    <w:p w14:paraId="59F1FFA4" w14:textId="77777777" w:rsidR="009A6C21" w:rsidRDefault="009A6C21" w:rsidP="00F569B9">
      <w:pPr>
        <w:pStyle w:val="FootnoteText"/>
      </w:pPr>
      <w:r>
        <w:rPr>
          <w:rStyle w:val="FootnoteReference"/>
        </w:rPr>
        <w:footnoteRef/>
      </w:r>
      <w:r>
        <w:t xml:space="preserve"> </w:t>
      </w:r>
      <w:r>
        <w:tab/>
        <w:t xml:space="preserve">       </w:t>
      </w:r>
      <w:r w:rsidRPr="00442481">
        <w:t xml:space="preserve">Special Report on Global </w:t>
      </w:r>
      <w:r>
        <w:t>Warming of 1.5 degrees C, 2018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DCF197" w14:textId="49372719" w:rsidR="009A6C21" w:rsidRPr="00DE7BF8" w:rsidRDefault="009A6C21" w:rsidP="00734B9A">
    <w:pPr>
      <w:pStyle w:val="Header"/>
      <w:ind w:left="-57"/>
      <w:jc w:val="left"/>
      <w:rPr>
        <w:rFonts w:ascii="Calibri" w:hAnsi="Calibri"/>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6481B5" w14:textId="77777777" w:rsidR="009A6C21" w:rsidRDefault="009A6C21" w:rsidP="0036151C"/>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778EDF" w14:textId="77777777" w:rsidR="009A6C21" w:rsidRDefault="009A6C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1"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 w15:restartNumberingAfterBreak="0">
    <w:nsid w:val="0EAF7BC6"/>
    <w:multiLevelType w:val="hybridMultilevel"/>
    <w:tmpl w:val="5456EB9E"/>
    <w:lvl w:ilvl="0" w:tplc="1409000F">
      <w:start w:val="1"/>
      <w:numFmt w:val="decimal"/>
      <w:lvlText w:val="%1."/>
      <w:lvlJc w:val="left"/>
      <w:pPr>
        <w:tabs>
          <w:tab w:val="num" w:pos="284"/>
        </w:tabs>
        <w:ind w:left="284" w:hanging="284"/>
      </w:pPr>
      <w:rPr>
        <w:rFonts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EA13A1A"/>
    <w:multiLevelType w:val="hybridMultilevel"/>
    <w:tmpl w:val="831E93DE"/>
    <w:lvl w:ilvl="0" w:tplc="1409000F">
      <w:start w:val="1"/>
      <w:numFmt w:val="decimal"/>
      <w:lvlText w:val="%1."/>
      <w:lvlJc w:val="left"/>
      <w:pPr>
        <w:tabs>
          <w:tab w:val="num" w:pos="284"/>
        </w:tabs>
        <w:ind w:left="284" w:hanging="284"/>
      </w:pPr>
      <w:rPr>
        <w:rFonts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04F1D2E"/>
    <w:multiLevelType w:val="multilevel"/>
    <w:tmpl w:val="78387896"/>
    <w:lvl w:ilvl="0">
      <w:start w:val="1"/>
      <w:numFmt w:val="bullet"/>
      <w:pStyle w:val="Blue-boxsub-bullet"/>
      <w:lvlText w:val="‒"/>
      <w:lvlJc w:val="left"/>
      <w:pPr>
        <w:ind w:left="1077" w:hanging="397"/>
      </w:pPr>
      <w:rPr>
        <w:rFonts w:ascii="Times New Roman" w:hAnsi="Times New Roman" w:cs="Times New Roman"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6" w15:restartNumberingAfterBreak="0">
    <w:nsid w:val="22C17BE8"/>
    <w:multiLevelType w:val="hybridMultilevel"/>
    <w:tmpl w:val="7744D47E"/>
    <w:lvl w:ilvl="0" w:tplc="1409000F">
      <w:start w:val="1"/>
      <w:numFmt w:val="decimal"/>
      <w:lvlText w:val="%1."/>
      <w:lvlJc w:val="left"/>
      <w:pPr>
        <w:tabs>
          <w:tab w:val="num" w:pos="284"/>
        </w:tabs>
        <w:ind w:left="284" w:hanging="284"/>
      </w:pPr>
      <w:rPr>
        <w:rFonts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3D8547E"/>
    <w:multiLevelType w:val="hybridMultilevel"/>
    <w:tmpl w:val="37B80D42"/>
    <w:lvl w:ilvl="0" w:tplc="1409000F">
      <w:start w:val="1"/>
      <w:numFmt w:val="decimal"/>
      <w:lvlText w:val="%1."/>
      <w:lvlJc w:val="left"/>
      <w:pPr>
        <w:tabs>
          <w:tab w:val="num" w:pos="284"/>
        </w:tabs>
        <w:ind w:left="284" w:hanging="284"/>
      </w:pPr>
      <w:rPr>
        <w:rFonts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D1A6BE2"/>
    <w:multiLevelType w:val="multilevel"/>
    <w:tmpl w:val="45DECC76"/>
    <w:lvl w:ilvl="0">
      <w:start w:val="1"/>
      <w:numFmt w:val="decimal"/>
      <w:pStyle w:val="Numberedparagraph"/>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1" w15:restartNumberingAfterBreak="0">
    <w:nsid w:val="2E4D044F"/>
    <w:multiLevelType w:val="hybridMultilevel"/>
    <w:tmpl w:val="0448942C"/>
    <w:lvl w:ilvl="0" w:tplc="1409000F">
      <w:start w:val="1"/>
      <w:numFmt w:val="decimal"/>
      <w:lvlText w:val="%1."/>
      <w:lvlJc w:val="left"/>
      <w:pPr>
        <w:tabs>
          <w:tab w:val="num" w:pos="284"/>
        </w:tabs>
        <w:ind w:left="284" w:hanging="284"/>
      </w:pPr>
      <w:rPr>
        <w:rFonts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3" w15:restartNumberingAfterBreak="0">
    <w:nsid w:val="3D465A16"/>
    <w:multiLevelType w:val="multilevel"/>
    <w:tmpl w:val="EA8CA7B0"/>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17" w15:restartNumberingAfterBreak="0">
    <w:nsid w:val="507E421F"/>
    <w:multiLevelType w:val="hybridMultilevel"/>
    <w:tmpl w:val="D096B892"/>
    <w:lvl w:ilvl="0" w:tplc="1409000F">
      <w:start w:val="1"/>
      <w:numFmt w:val="decimal"/>
      <w:lvlText w:val="%1."/>
      <w:lvlJc w:val="left"/>
      <w:pPr>
        <w:tabs>
          <w:tab w:val="num" w:pos="284"/>
        </w:tabs>
        <w:ind w:left="284" w:hanging="284"/>
      </w:pPr>
      <w:rPr>
        <w:rFonts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3535234"/>
    <w:multiLevelType w:val="singleLevel"/>
    <w:tmpl w:val="D1A2CC06"/>
    <w:lvl w:ilvl="0">
      <w:start w:val="1"/>
      <w:numFmt w:val="bullet"/>
      <w:pStyle w:val="Blue-boxbullet"/>
      <w:lvlText w:val=""/>
      <w:lvlJc w:val="left"/>
      <w:pPr>
        <w:ind w:left="644" w:hanging="360"/>
      </w:pPr>
      <w:rPr>
        <w:rFonts w:ascii="Symbol" w:hAnsi="Symbol" w:hint="default"/>
        <w:color w:val="1C556C"/>
        <w:sz w:val="16"/>
      </w:rPr>
    </w:lvl>
  </w:abstractNum>
  <w:abstractNum w:abstractNumId="19" w15:restartNumberingAfterBreak="0">
    <w:nsid w:val="6020660E"/>
    <w:multiLevelType w:val="hybridMultilevel"/>
    <w:tmpl w:val="ECF629CA"/>
    <w:lvl w:ilvl="0" w:tplc="1409000F">
      <w:start w:val="1"/>
      <w:numFmt w:val="decimal"/>
      <w:lvlText w:val="%1."/>
      <w:lvlJc w:val="left"/>
      <w:pPr>
        <w:tabs>
          <w:tab w:val="num" w:pos="284"/>
        </w:tabs>
        <w:ind w:left="284" w:hanging="284"/>
      </w:pPr>
      <w:rPr>
        <w:rFonts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22" w15:restartNumberingAfterBreak="0">
    <w:nsid w:val="7166140B"/>
    <w:multiLevelType w:val="hybridMultilevel"/>
    <w:tmpl w:val="21CE5734"/>
    <w:lvl w:ilvl="0" w:tplc="1409000F">
      <w:start w:val="1"/>
      <w:numFmt w:val="decimal"/>
      <w:lvlText w:val="%1."/>
      <w:lvlJc w:val="left"/>
      <w:pPr>
        <w:tabs>
          <w:tab w:val="num" w:pos="284"/>
        </w:tabs>
        <w:ind w:left="284" w:hanging="284"/>
      </w:pPr>
      <w:rPr>
        <w:rFonts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5811DDE"/>
    <w:multiLevelType w:val="hybridMultilevel"/>
    <w:tmpl w:val="C38A23EA"/>
    <w:lvl w:ilvl="0" w:tplc="528AF70E">
      <w:start w:val="1"/>
      <w:numFmt w:val="bullet"/>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74F7266"/>
    <w:multiLevelType w:val="hybridMultilevel"/>
    <w:tmpl w:val="1AC8EEF4"/>
    <w:lvl w:ilvl="0" w:tplc="1409000F">
      <w:start w:val="1"/>
      <w:numFmt w:val="decimal"/>
      <w:lvlText w:val="%1."/>
      <w:lvlJc w:val="left"/>
      <w:pPr>
        <w:tabs>
          <w:tab w:val="num" w:pos="284"/>
        </w:tabs>
        <w:ind w:left="284" w:hanging="284"/>
      </w:pPr>
      <w:rPr>
        <w:rFonts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8"/>
  </w:num>
  <w:num w:numId="3">
    <w:abstractNumId w:val="14"/>
  </w:num>
  <w:num w:numId="4">
    <w:abstractNumId w:val="10"/>
  </w:num>
  <w:num w:numId="5">
    <w:abstractNumId w:val="5"/>
  </w:num>
  <w:num w:numId="6">
    <w:abstractNumId w:val="16"/>
  </w:num>
  <w:num w:numId="7">
    <w:abstractNumId w:val="15"/>
  </w:num>
  <w:num w:numId="8">
    <w:abstractNumId w:val="23"/>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20"/>
  </w:num>
  <w:num w:numId="12">
    <w:abstractNumId w:val="1"/>
  </w:num>
  <w:num w:numId="13">
    <w:abstractNumId w:val="8"/>
  </w:num>
  <w:num w:numId="14">
    <w:abstractNumId w:val="13"/>
  </w:num>
  <w:num w:numId="15">
    <w:abstractNumId w:val="4"/>
  </w:num>
  <w:num w:numId="16">
    <w:abstractNumId w:val="21"/>
  </w:num>
  <w:num w:numId="17">
    <w:abstractNumId w:val="7"/>
  </w:num>
  <w:num w:numId="18">
    <w:abstractNumId w:val="17"/>
  </w:num>
  <w:num w:numId="19">
    <w:abstractNumId w:val="3"/>
  </w:num>
  <w:num w:numId="20">
    <w:abstractNumId w:val="19"/>
  </w:num>
  <w:num w:numId="21">
    <w:abstractNumId w:val="24"/>
  </w:num>
  <w:num w:numId="22">
    <w:abstractNumId w:val="0"/>
  </w:num>
  <w:num w:numId="23">
    <w:abstractNumId w:val="22"/>
  </w:num>
  <w:num w:numId="24">
    <w:abstractNumId w:val="6"/>
  </w:num>
  <w:num w:numId="25">
    <w:abstractNumId w:val="11"/>
  </w:num>
  <w:num w:numId="26">
    <w:abstractNumId w:val="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defaultTabStop w:val="397"/>
  <w:evenAndOddHeaders/>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2373"/>
    <w:rsid w:val="00000792"/>
    <w:rsid w:val="00000F04"/>
    <w:rsid w:val="00003C4F"/>
    <w:rsid w:val="00004E0A"/>
    <w:rsid w:val="00004FD3"/>
    <w:rsid w:val="00006DF5"/>
    <w:rsid w:val="00006F95"/>
    <w:rsid w:val="00007023"/>
    <w:rsid w:val="0000709F"/>
    <w:rsid w:val="000071D6"/>
    <w:rsid w:val="00007F2D"/>
    <w:rsid w:val="00007FAC"/>
    <w:rsid w:val="00010A9C"/>
    <w:rsid w:val="00010ABA"/>
    <w:rsid w:val="00010E15"/>
    <w:rsid w:val="00010F57"/>
    <w:rsid w:val="0001100C"/>
    <w:rsid w:val="00011188"/>
    <w:rsid w:val="00012555"/>
    <w:rsid w:val="00014236"/>
    <w:rsid w:val="000148F6"/>
    <w:rsid w:val="00015217"/>
    <w:rsid w:val="000159D2"/>
    <w:rsid w:val="00016264"/>
    <w:rsid w:val="00016993"/>
    <w:rsid w:val="00016CAB"/>
    <w:rsid w:val="00016E5B"/>
    <w:rsid w:val="0001749B"/>
    <w:rsid w:val="00017D75"/>
    <w:rsid w:val="00017FE5"/>
    <w:rsid w:val="00021910"/>
    <w:rsid w:val="00022E8D"/>
    <w:rsid w:val="0002348A"/>
    <w:rsid w:val="000244FA"/>
    <w:rsid w:val="00024708"/>
    <w:rsid w:val="00024EE7"/>
    <w:rsid w:val="00025F96"/>
    <w:rsid w:val="00025FAB"/>
    <w:rsid w:val="00026E89"/>
    <w:rsid w:val="000275A3"/>
    <w:rsid w:val="00030558"/>
    <w:rsid w:val="00030699"/>
    <w:rsid w:val="00030725"/>
    <w:rsid w:val="00030DB8"/>
    <w:rsid w:val="00031A83"/>
    <w:rsid w:val="0003213A"/>
    <w:rsid w:val="00032A81"/>
    <w:rsid w:val="000340D8"/>
    <w:rsid w:val="0003427D"/>
    <w:rsid w:val="00034DFA"/>
    <w:rsid w:val="000357ED"/>
    <w:rsid w:val="00035E15"/>
    <w:rsid w:val="0003640E"/>
    <w:rsid w:val="0003688A"/>
    <w:rsid w:val="000368FC"/>
    <w:rsid w:val="00036DA3"/>
    <w:rsid w:val="000379BF"/>
    <w:rsid w:val="00037BEC"/>
    <w:rsid w:val="000400D9"/>
    <w:rsid w:val="0004035C"/>
    <w:rsid w:val="00040860"/>
    <w:rsid w:val="00040CED"/>
    <w:rsid w:val="00040EA1"/>
    <w:rsid w:val="0004205F"/>
    <w:rsid w:val="000423C6"/>
    <w:rsid w:val="00042EDB"/>
    <w:rsid w:val="00044A50"/>
    <w:rsid w:val="00044C65"/>
    <w:rsid w:val="000458C7"/>
    <w:rsid w:val="00045991"/>
    <w:rsid w:val="00045E5C"/>
    <w:rsid w:val="00046288"/>
    <w:rsid w:val="00047941"/>
    <w:rsid w:val="00050A22"/>
    <w:rsid w:val="00050E27"/>
    <w:rsid w:val="0005144F"/>
    <w:rsid w:val="00051AF1"/>
    <w:rsid w:val="00051D42"/>
    <w:rsid w:val="000538A1"/>
    <w:rsid w:val="00055375"/>
    <w:rsid w:val="00056319"/>
    <w:rsid w:val="000564E7"/>
    <w:rsid w:val="00056770"/>
    <w:rsid w:val="00057386"/>
    <w:rsid w:val="00057EEF"/>
    <w:rsid w:val="000619CB"/>
    <w:rsid w:val="00062373"/>
    <w:rsid w:val="00062387"/>
    <w:rsid w:val="000640F0"/>
    <w:rsid w:val="0006434D"/>
    <w:rsid w:val="000643A1"/>
    <w:rsid w:val="00064679"/>
    <w:rsid w:val="00064A13"/>
    <w:rsid w:val="00064AF4"/>
    <w:rsid w:val="00064DB1"/>
    <w:rsid w:val="00065BA3"/>
    <w:rsid w:val="00065D3B"/>
    <w:rsid w:val="000667E9"/>
    <w:rsid w:val="00067128"/>
    <w:rsid w:val="000675CD"/>
    <w:rsid w:val="00067872"/>
    <w:rsid w:val="000678AC"/>
    <w:rsid w:val="000703B2"/>
    <w:rsid w:val="00070FBF"/>
    <w:rsid w:val="000711EE"/>
    <w:rsid w:val="0007180E"/>
    <w:rsid w:val="00071AE4"/>
    <w:rsid w:val="00071CB5"/>
    <w:rsid w:val="00071CCB"/>
    <w:rsid w:val="00071D03"/>
    <w:rsid w:val="0007232B"/>
    <w:rsid w:val="000735A2"/>
    <w:rsid w:val="0007517E"/>
    <w:rsid w:val="00075FE1"/>
    <w:rsid w:val="00076667"/>
    <w:rsid w:val="00077473"/>
    <w:rsid w:val="00077481"/>
    <w:rsid w:val="000776F9"/>
    <w:rsid w:val="00077EE0"/>
    <w:rsid w:val="000802F9"/>
    <w:rsid w:val="0008145A"/>
    <w:rsid w:val="0008162D"/>
    <w:rsid w:val="000831C8"/>
    <w:rsid w:val="00083F5E"/>
    <w:rsid w:val="00084FDB"/>
    <w:rsid w:val="0008505C"/>
    <w:rsid w:val="00085C46"/>
    <w:rsid w:val="0008686A"/>
    <w:rsid w:val="00087175"/>
    <w:rsid w:val="00087D35"/>
    <w:rsid w:val="00091796"/>
    <w:rsid w:val="00091BA2"/>
    <w:rsid w:val="00091CB0"/>
    <w:rsid w:val="00094344"/>
    <w:rsid w:val="000953C6"/>
    <w:rsid w:val="000953F4"/>
    <w:rsid w:val="0009590C"/>
    <w:rsid w:val="000959E7"/>
    <w:rsid w:val="00095E7D"/>
    <w:rsid w:val="000964DE"/>
    <w:rsid w:val="000972AB"/>
    <w:rsid w:val="00097B40"/>
    <w:rsid w:val="00097D0E"/>
    <w:rsid w:val="000A17EA"/>
    <w:rsid w:val="000A1C7A"/>
    <w:rsid w:val="000A2345"/>
    <w:rsid w:val="000A2394"/>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7658"/>
    <w:rsid w:val="000A7F0F"/>
    <w:rsid w:val="000A7F4C"/>
    <w:rsid w:val="000B02BC"/>
    <w:rsid w:val="000B0498"/>
    <w:rsid w:val="000B0F36"/>
    <w:rsid w:val="000B1942"/>
    <w:rsid w:val="000B1BED"/>
    <w:rsid w:val="000B2240"/>
    <w:rsid w:val="000B2477"/>
    <w:rsid w:val="000B2600"/>
    <w:rsid w:val="000B36F9"/>
    <w:rsid w:val="000B4074"/>
    <w:rsid w:val="000B4732"/>
    <w:rsid w:val="000B4BCD"/>
    <w:rsid w:val="000B66DC"/>
    <w:rsid w:val="000B6D1F"/>
    <w:rsid w:val="000C062F"/>
    <w:rsid w:val="000C17E7"/>
    <w:rsid w:val="000C3270"/>
    <w:rsid w:val="000C577E"/>
    <w:rsid w:val="000D04BA"/>
    <w:rsid w:val="000D0B6E"/>
    <w:rsid w:val="000D0D65"/>
    <w:rsid w:val="000D12E0"/>
    <w:rsid w:val="000D1944"/>
    <w:rsid w:val="000D1DD9"/>
    <w:rsid w:val="000D2172"/>
    <w:rsid w:val="000D293C"/>
    <w:rsid w:val="000D2BC1"/>
    <w:rsid w:val="000D337B"/>
    <w:rsid w:val="000D385A"/>
    <w:rsid w:val="000D38C2"/>
    <w:rsid w:val="000D3CA7"/>
    <w:rsid w:val="000D5B16"/>
    <w:rsid w:val="000D5FD6"/>
    <w:rsid w:val="000D6201"/>
    <w:rsid w:val="000D6488"/>
    <w:rsid w:val="000D7088"/>
    <w:rsid w:val="000D770B"/>
    <w:rsid w:val="000D788E"/>
    <w:rsid w:val="000E12B0"/>
    <w:rsid w:val="000E1BC8"/>
    <w:rsid w:val="000E1D32"/>
    <w:rsid w:val="000E26D8"/>
    <w:rsid w:val="000E2B94"/>
    <w:rsid w:val="000E3156"/>
    <w:rsid w:val="000E35B6"/>
    <w:rsid w:val="000E3BB8"/>
    <w:rsid w:val="000E3D9B"/>
    <w:rsid w:val="000E3DFD"/>
    <w:rsid w:val="000E4261"/>
    <w:rsid w:val="000E4461"/>
    <w:rsid w:val="000E4697"/>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1D43"/>
    <w:rsid w:val="000F1FFF"/>
    <w:rsid w:val="000F20AA"/>
    <w:rsid w:val="000F2651"/>
    <w:rsid w:val="000F348D"/>
    <w:rsid w:val="000F369A"/>
    <w:rsid w:val="000F4463"/>
    <w:rsid w:val="000F5285"/>
    <w:rsid w:val="000F52E0"/>
    <w:rsid w:val="000F53A9"/>
    <w:rsid w:val="000F6464"/>
    <w:rsid w:val="000F6628"/>
    <w:rsid w:val="000F6C25"/>
    <w:rsid w:val="000F76EB"/>
    <w:rsid w:val="000F78AE"/>
    <w:rsid w:val="000F7E25"/>
    <w:rsid w:val="001007EE"/>
    <w:rsid w:val="00100F76"/>
    <w:rsid w:val="0010148E"/>
    <w:rsid w:val="001021AC"/>
    <w:rsid w:val="0010253C"/>
    <w:rsid w:val="00102BD1"/>
    <w:rsid w:val="0010486A"/>
    <w:rsid w:val="0010561C"/>
    <w:rsid w:val="00105C0F"/>
    <w:rsid w:val="00105E39"/>
    <w:rsid w:val="00106561"/>
    <w:rsid w:val="00106D63"/>
    <w:rsid w:val="001075F3"/>
    <w:rsid w:val="00107A01"/>
    <w:rsid w:val="00107C23"/>
    <w:rsid w:val="00110307"/>
    <w:rsid w:val="00110C7F"/>
    <w:rsid w:val="00110EE2"/>
    <w:rsid w:val="00111A88"/>
    <w:rsid w:val="0011221A"/>
    <w:rsid w:val="00113283"/>
    <w:rsid w:val="001137AE"/>
    <w:rsid w:val="00113B20"/>
    <w:rsid w:val="001147B3"/>
    <w:rsid w:val="001148F7"/>
    <w:rsid w:val="001149B2"/>
    <w:rsid w:val="00114C2D"/>
    <w:rsid w:val="00115125"/>
    <w:rsid w:val="001152F2"/>
    <w:rsid w:val="001157D7"/>
    <w:rsid w:val="00116382"/>
    <w:rsid w:val="00116484"/>
    <w:rsid w:val="00116ACF"/>
    <w:rsid w:val="00116D5C"/>
    <w:rsid w:val="001172B2"/>
    <w:rsid w:val="00117F9B"/>
    <w:rsid w:val="00121211"/>
    <w:rsid w:val="00121628"/>
    <w:rsid w:val="0012167D"/>
    <w:rsid w:val="00121FC9"/>
    <w:rsid w:val="00122189"/>
    <w:rsid w:val="00122280"/>
    <w:rsid w:val="00122D42"/>
    <w:rsid w:val="00123345"/>
    <w:rsid w:val="00123C46"/>
    <w:rsid w:val="0012470B"/>
    <w:rsid w:val="00125C75"/>
    <w:rsid w:val="00125C7E"/>
    <w:rsid w:val="00127945"/>
    <w:rsid w:val="00127D94"/>
    <w:rsid w:val="00127E90"/>
    <w:rsid w:val="001302C1"/>
    <w:rsid w:val="001306D3"/>
    <w:rsid w:val="001310BF"/>
    <w:rsid w:val="00133E73"/>
    <w:rsid w:val="00133FDB"/>
    <w:rsid w:val="00134F4A"/>
    <w:rsid w:val="00135E4E"/>
    <w:rsid w:val="00136246"/>
    <w:rsid w:val="001364D4"/>
    <w:rsid w:val="001371C8"/>
    <w:rsid w:val="001372ED"/>
    <w:rsid w:val="00142B50"/>
    <w:rsid w:val="00143873"/>
    <w:rsid w:val="001439E9"/>
    <w:rsid w:val="00143C55"/>
    <w:rsid w:val="00144C6F"/>
    <w:rsid w:val="00145089"/>
    <w:rsid w:val="001451E7"/>
    <w:rsid w:val="001462E3"/>
    <w:rsid w:val="0014720C"/>
    <w:rsid w:val="001472C2"/>
    <w:rsid w:val="00147458"/>
    <w:rsid w:val="00147E21"/>
    <w:rsid w:val="00150BA8"/>
    <w:rsid w:val="00150D19"/>
    <w:rsid w:val="0015181B"/>
    <w:rsid w:val="00151A9F"/>
    <w:rsid w:val="00152B87"/>
    <w:rsid w:val="00153A96"/>
    <w:rsid w:val="00153D1C"/>
    <w:rsid w:val="001543E2"/>
    <w:rsid w:val="00155B43"/>
    <w:rsid w:val="001565A2"/>
    <w:rsid w:val="001567C3"/>
    <w:rsid w:val="00156A12"/>
    <w:rsid w:val="00157B3F"/>
    <w:rsid w:val="00157F8A"/>
    <w:rsid w:val="00160C3D"/>
    <w:rsid w:val="00161B24"/>
    <w:rsid w:val="00161C41"/>
    <w:rsid w:val="00161DD5"/>
    <w:rsid w:val="001633A4"/>
    <w:rsid w:val="001634D6"/>
    <w:rsid w:val="001648DD"/>
    <w:rsid w:val="00165705"/>
    <w:rsid w:val="00166389"/>
    <w:rsid w:val="00166E03"/>
    <w:rsid w:val="00167E4C"/>
    <w:rsid w:val="00171449"/>
    <w:rsid w:val="0017199C"/>
    <w:rsid w:val="00171C7E"/>
    <w:rsid w:val="00171F35"/>
    <w:rsid w:val="00172552"/>
    <w:rsid w:val="00172873"/>
    <w:rsid w:val="00172CF7"/>
    <w:rsid w:val="0017319E"/>
    <w:rsid w:val="00173A1F"/>
    <w:rsid w:val="00173BC3"/>
    <w:rsid w:val="00174128"/>
    <w:rsid w:val="00175C34"/>
    <w:rsid w:val="00175F9A"/>
    <w:rsid w:val="00176E98"/>
    <w:rsid w:val="00177996"/>
    <w:rsid w:val="00180B3F"/>
    <w:rsid w:val="00180C83"/>
    <w:rsid w:val="00180CE5"/>
    <w:rsid w:val="0018175B"/>
    <w:rsid w:val="001820A3"/>
    <w:rsid w:val="0018332A"/>
    <w:rsid w:val="00183D80"/>
    <w:rsid w:val="001842C8"/>
    <w:rsid w:val="00185044"/>
    <w:rsid w:val="001850DB"/>
    <w:rsid w:val="0018599C"/>
    <w:rsid w:val="001869EE"/>
    <w:rsid w:val="00186D00"/>
    <w:rsid w:val="0018743A"/>
    <w:rsid w:val="00190A57"/>
    <w:rsid w:val="00190B3F"/>
    <w:rsid w:val="0019122C"/>
    <w:rsid w:val="00191908"/>
    <w:rsid w:val="00192DF3"/>
    <w:rsid w:val="0019301F"/>
    <w:rsid w:val="00193286"/>
    <w:rsid w:val="001937B8"/>
    <w:rsid w:val="00194382"/>
    <w:rsid w:val="00194BB7"/>
    <w:rsid w:val="00194CC5"/>
    <w:rsid w:val="001951B2"/>
    <w:rsid w:val="0019565D"/>
    <w:rsid w:val="00197564"/>
    <w:rsid w:val="00197EC2"/>
    <w:rsid w:val="00197ECE"/>
    <w:rsid w:val="001A1CED"/>
    <w:rsid w:val="001A279B"/>
    <w:rsid w:val="001A2DC3"/>
    <w:rsid w:val="001A2E87"/>
    <w:rsid w:val="001A3869"/>
    <w:rsid w:val="001A38C2"/>
    <w:rsid w:val="001A65C8"/>
    <w:rsid w:val="001A732E"/>
    <w:rsid w:val="001A7F30"/>
    <w:rsid w:val="001B06E2"/>
    <w:rsid w:val="001B103A"/>
    <w:rsid w:val="001B103D"/>
    <w:rsid w:val="001B1513"/>
    <w:rsid w:val="001B1767"/>
    <w:rsid w:val="001B2453"/>
    <w:rsid w:val="001B3D48"/>
    <w:rsid w:val="001B5AF9"/>
    <w:rsid w:val="001B6600"/>
    <w:rsid w:val="001B6B9B"/>
    <w:rsid w:val="001B6C27"/>
    <w:rsid w:val="001B7144"/>
    <w:rsid w:val="001B7E91"/>
    <w:rsid w:val="001C147E"/>
    <w:rsid w:val="001C151B"/>
    <w:rsid w:val="001C19E5"/>
    <w:rsid w:val="001C3800"/>
    <w:rsid w:val="001C3C7B"/>
    <w:rsid w:val="001C6122"/>
    <w:rsid w:val="001C6587"/>
    <w:rsid w:val="001C69BE"/>
    <w:rsid w:val="001C6DB5"/>
    <w:rsid w:val="001C71AC"/>
    <w:rsid w:val="001C7316"/>
    <w:rsid w:val="001C7E5C"/>
    <w:rsid w:val="001D00CC"/>
    <w:rsid w:val="001D0494"/>
    <w:rsid w:val="001D07B7"/>
    <w:rsid w:val="001D1719"/>
    <w:rsid w:val="001D171B"/>
    <w:rsid w:val="001D1732"/>
    <w:rsid w:val="001D1E2E"/>
    <w:rsid w:val="001D2203"/>
    <w:rsid w:val="001D255C"/>
    <w:rsid w:val="001D2DEF"/>
    <w:rsid w:val="001D30BB"/>
    <w:rsid w:val="001D488C"/>
    <w:rsid w:val="001D4CDF"/>
    <w:rsid w:val="001D4F88"/>
    <w:rsid w:val="001D578D"/>
    <w:rsid w:val="001D5818"/>
    <w:rsid w:val="001D653A"/>
    <w:rsid w:val="001D7DEE"/>
    <w:rsid w:val="001E02CB"/>
    <w:rsid w:val="001E14FD"/>
    <w:rsid w:val="001E180F"/>
    <w:rsid w:val="001E1C64"/>
    <w:rsid w:val="001E1CEC"/>
    <w:rsid w:val="001E2ECB"/>
    <w:rsid w:val="001E4B64"/>
    <w:rsid w:val="001E552A"/>
    <w:rsid w:val="001E57B9"/>
    <w:rsid w:val="001E6E8D"/>
    <w:rsid w:val="001E7EE4"/>
    <w:rsid w:val="001E7F76"/>
    <w:rsid w:val="001F0FAF"/>
    <w:rsid w:val="001F139F"/>
    <w:rsid w:val="001F2805"/>
    <w:rsid w:val="001F2E79"/>
    <w:rsid w:val="001F2F07"/>
    <w:rsid w:val="001F3123"/>
    <w:rsid w:val="001F376D"/>
    <w:rsid w:val="001F418C"/>
    <w:rsid w:val="001F4B2D"/>
    <w:rsid w:val="001F4F40"/>
    <w:rsid w:val="001F50E0"/>
    <w:rsid w:val="001F594C"/>
    <w:rsid w:val="001F69FC"/>
    <w:rsid w:val="001F6D62"/>
    <w:rsid w:val="001F7675"/>
    <w:rsid w:val="00200FAE"/>
    <w:rsid w:val="0020102D"/>
    <w:rsid w:val="002010E2"/>
    <w:rsid w:val="00201B73"/>
    <w:rsid w:val="00202517"/>
    <w:rsid w:val="00202ADB"/>
    <w:rsid w:val="00202BB7"/>
    <w:rsid w:val="0020435B"/>
    <w:rsid w:val="00204533"/>
    <w:rsid w:val="00204F2D"/>
    <w:rsid w:val="00205566"/>
    <w:rsid w:val="002063AA"/>
    <w:rsid w:val="00210549"/>
    <w:rsid w:val="0021069E"/>
    <w:rsid w:val="00210804"/>
    <w:rsid w:val="0021088F"/>
    <w:rsid w:val="002113FE"/>
    <w:rsid w:val="00211737"/>
    <w:rsid w:val="0021181B"/>
    <w:rsid w:val="0021230F"/>
    <w:rsid w:val="002125B0"/>
    <w:rsid w:val="00212A82"/>
    <w:rsid w:val="00214EA2"/>
    <w:rsid w:val="002160FA"/>
    <w:rsid w:val="002166DD"/>
    <w:rsid w:val="002168A2"/>
    <w:rsid w:val="00217867"/>
    <w:rsid w:val="002205E4"/>
    <w:rsid w:val="00220D67"/>
    <w:rsid w:val="002215F8"/>
    <w:rsid w:val="00221F80"/>
    <w:rsid w:val="0022273A"/>
    <w:rsid w:val="00222D28"/>
    <w:rsid w:val="00223CF4"/>
    <w:rsid w:val="00224220"/>
    <w:rsid w:val="00224398"/>
    <w:rsid w:val="00224A81"/>
    <w:rsid w:val="00224E91"/>
    <w:rsid w:val="00225B4C"/>
    <w:rsid w:val="00225E1E"/>
    <w:rsid w:val="00226129"/>
    <w:rsid w:val="0022614D"/>
    <w:rsid w:val="00226AA2"/>
    <w:rsid w:val="00227218"/>
    <w:rsid w:val="0022770A"/>
    <w:rsid w:val="00227BEE"/>
    <w:rsid w:val="00227FB4"/>
    <w:rsid w:val="0023057E"/>
    <w:rsid w:val="002312BC"/>
    <w:rsid w:val="002337E5"/>
    <w:rsid w:val="00233C06"/>
    <w:rsid w:val="00233F24"/>
    <w:rsid w:val="00234BBB"/>
    <w:rsid w:val="002356F4"/>
    <w:rsid w:val="00235F02"/>
    <w:rsid w:val="00236D28"/>
    <w:rsid w:val="00237FE4"/>
    <w:rsid w:val="00240656"/>
    <w:rsid w:val="00241610"/>
    <w:rsid w:val="00241AED"/>
    <w:rsid w:val="00243182"/>
    <w:rsid w:val="00243928"/>
    <w:rsid w:val="00243946"/>
    <w:rsid w:val="00243BC5"/>
    <w:rsid w:val="00243C7D"/>
    <w:rsid w:val="00243E9A"/>
    <w:rsid w:val="00244371"/>
    <w:rsid w:val="00244AF8"/>
    <w:rsid w:val="00244BC5"/>
    <w:rsid w:val="00244E68"/>
    <w:rsid w:val="002456C5"/>
    <w:rsid w:val="00245ABE"/>
    <w:rsid w:val="00245C0B"/>
    <w:rsid w:val="00246EAE"/>
    <w:rsid w:val="00247116"/>
    <w:rsid w:val="002471E5"/>
    <w:rsid w:val="002517A8"/>
    <w:rsid w:val="00251EEE"/>
    <w:rsid w:val="00253177"/>
    <w:rsid w:val="002538B8"/>
    <w:rsid w:val="0025396F"/>
    <w:rsid w:val="00254319"/>
    <w:rsid w:val="0025539F"/>
    <w:rsid w:val="00256388"/>
    <w:rsid w:val="00256E44"/>
    <w:rsid w:val="00260919"/>
    <w:rsid w:val="002612FD"/>
    <w:rsid w:val="002613DC"/>
    <w:rsid w:val="00261755"/>
    <w:rsid w:val="00261AAA"/>
    <w:rsid w:val="00262097"/>
    <w:rsid w:val="00262D20"/>
    <w:rsid w:val="002634AB"/>
    <w:rsid w:val="002638E0"/>
    <w:rsid w:val="00263C19"/>
    <w:rsid w:val="00263E9F"/>
    <w:rsid w:val="00264F03"/>
    <w:rsid w:val="00264F8F"/>
    <w:rsid w:val="002655AE"/>
    <w:rsid w:val="0026591F"/>
    <w:rsid w:val="00265A65"/>
    <w:rsid w:val="002660F0"/>
    <w:rsid w:val="002675B6"/>
    <w:rsid w:val="00267A99"/>
    <w:rsid w:val="00270271"/>
    <w:rsid w:val="00272174"/>
    <w:rsid w:val="002721A6"/>
    <w:rsid w:val="002722E0"/>
    <w:rsid w:val="002730EC"/>
    <w:rsid w:val="00273100"/>
    <w:rsid w:val="002735CC"/>
    <w:rsid w:val="00274588"/>
    <w:rsid w:val="00274A67"/>
    <w:rsid w:val="00274AA2"/>
    <w:rsid w:val="002756EF"/>
    <w:rsid w:val="00275708"/>
    <w:rsid w:val="002768CF"/>
    <w:rsid w:val="00276F82"/>
    <w:rsid w:val="002805DF"/>
    <w:rsid w:val="0028092D"/>
    <w:rsid w:val="002815D9"/>
    <w:rsid w:val="00282317"/>
    <w:rsid w:val="00282D25"/>
    <w:rsid w:val="00282DF9"/>
    <w:rsid w:val="00283A44"/>
    <w:rsid w:val="0028529F"/>
    <w:rsid w:val="00285687"/>
    <w:rsid w:val="00287649"/>
    <w:rsid w:val="00287DAB"/>
    <w:rsid w:val="00287FB6"/>
    <w:rsid w:val="002900C5"/>
    <w:rsid w:val="002901E0"/>
    <w:rsid w:val="0029075B"/>
    <w:rsid w:val="00290BB1"/>
    <w:rsid w:val="00291BC1"/>
    <w:rsid w:val="002933CA"/>
    <w:rsid w:val="00293A8F"/>
    <w:rsid w:val="00295155"/>
    <w:rsid w:val="00295D51"/>
    <w:rsid w:val="00296203"/>
    <w:rsid w:val="00296428"/>
    <w:rsid w:val="0029643D"/>
    <w:rsid w:val="0029706A"/>
    <w:rsid w:val="002972EE"/>
    <w:rsid w:val="00297F01"/>
    <w:rsid w:val="002A052D"/>
    <w:rsid w:val="002A0DF8"/>
    <w:rsid w:val="002A1928"/>
    <w:rsid w:val="002A1F1F"/>
    <w:rsid w:val="002A21B5"/>
    <w:rsid w:val="002A2631"/>
    <w:rsid w:val="002A2A0C"/>
    <w:rsid w:val="002A2BB6"/>
    <w:rsid w:val="002A30E0"/>
    <w:rsid w:val="002A310C"/>
    <w:rsid w:val="002A3521"/>
    <w:rsid w:val="002A35C5"/>
    <w:rsid w:val="002A37E1"/>
    <w:rsid w:val="002A3B61"/>
    <w:rsid w:val="002A402A"/>
    <w:rsid w:val="002A45AA"/>
    <w:rsid w:val="002A4B0B"/>
    <w:rsid w:val="002A4B6F"/>
    <w:rsid w:val="002A4FFF"/>
    <w:rsid w:val="002A533C"/>
    <w:rsid w:val="002A56E1"/>
    <w:rsid w:val="002A59BD"/>
    <w:rsid w:val="002A75CA"/>
    <w:rsid w:val="002A7889"/>
    <w:rsid w:val="002A799A"/>
    <w:rsid w:val="002B097D"/>
    <w:rsid w:val="002B11B2"/>
    <w:rsid w:val="002B18F7"/>
    <w:rsid w:val="002B3ED7"/>
    <w:rsid w:val="002B4778"/>
    <w:rsid w:val="002B75B2"/>
    <w:rsid w:val="002B79B7"/>
    <w:rsid w:val="002C141D"/>
    <w:rsid w:val="002C19C0"/>
    <w:rsid w:val="002C2485"/>
    <w:rsid w:val="002C25E0"/>
    <w:rsid w:val="002C2A2D"/>
    <w:rsid w:val="002C36C0"/>
    <w:rsid w:val="002C3928"/>
    <w:rsid w:val="002C3B33"/>
    <w:rsid w:val="002C435E"/>
    <w:rsid w:val="002C43BB"/>
    <w:rsid w:val="002C44AB"/>
    <w:rsid w:val="002C5E39"/>
    <w:rsid w:val="002C5FA2"/>
    <w:rsid w:val="002C7A02"/>
    <w:rsid w:val="002C7BD4"/>
    <w:rsid w:val="002D0107"/>
    <w:rsid w:val="002D062E"/>
    <w:rsid w:val="002D0D43"/>
    <w:rsid w:val="002D15C2"/>
    <w:rsid w:val="002D2B10"/>
    <w:rsid w:val="002D386A"/>
    <w:rsid w:val="002D4100"/>
    <w:rsid w:val="002D477F"/>
    <w:rsid w:val="002D4F48"/>
    <w:rsid w:val="002D519B"/>
    <w:rsid w:val="002D621E"/>
    <w:rsid w:val="002D66DA"/>
    <w:rsid w:val="002D7027"/>
    <w:rsid w:val="002D70DC"/>
    <w:rsid w:val="002D758B"/>
    <w:rsid w:val="002D79BC"/>
    <w:rsid w:val="002D7E58"/>
    <w:rsid w:val="002E0D31"/>
    <w:rsid w:val="002E0EFA"/>
    <w:rsid w:val="002E1073"/>
    <w:rsid w:val="002E12EC"/>
    <w:rsid w:val="002E146D"/>
    <w:rsid w:val="002E21F7"/>
    <w:rsid w:val="002E272B"/>
    <w:rsid w:val="002E29F8"/>
    <w:rsid w:val="002E2C52"/>
    <w:rsid w:val="002E342B"/>
    <w:rsid w:val="002E3B81"/>
    <w:rsid w:val="002E3D08"/>
    <w:rsid w:val="002E3E1D"/>
    <w:rsid w:val="002E3EEA"/>
    <w:rsid w:val="002E4D08"/>
    <w:rsid w:val="002E4DA5"/>
    <w:rsid w:val="002E52B8"/>
    <w:rsid w:val="002E5DBF"/>
    <w:rsid w:val="002E5E01"/>
    <w:rsid w:val="002E60F5"/>
    <w:rsid w:val="002E6536"/>
    <w:rsid w:val="002E69F5"/>
    <w:rsid w:val="002E6CAA"/>
    <w:rsid w:val="002E73EC"/>
    <w:rsid w:val="002F023D"/>
    <w:rsid w:val="002F10EC"/>
    <w:rsid w:val="002F1136"/>
    <w:rsid w:val="002F1231"/>
    <w:rsid w:val="002F1521"/>
    <w:rsid w:val="002F15EE"/>
    <w:rsid w:val="002F3632"/>
    <w:rsid w:val="002F3AFB"/>
    <w:rsid w:val="002F3C41"/>
    <w:rsid w:val="002F4C8E"/>
    <w:rsid w:val="002F5076"/>
    <w:rsid w:val="002F5839"/>
    <w:rsid w:val="002F5B39"/>
    <w:rsid w:val="002F64D9"/>
    <w:rsid w:val="002F651D"/>
    <w:rsid w:val="002F6648"/>
    <w:rsid w:val="002F6E44"/>
    <w:rsid w:val="002F74FD"/>
    <w:rsid w:val="002F787B"/>
    <w:rsid w:val="002F7974"/>
    <w:rsid w:val="002F7D01"/>
    <w:rsid w:val="0030005C"/>
    <w:rsid w:val="00300369"/>
    <w:rsid w:val="00301D0A"/>
    <w:rsid w:val="003027B8"/>
    <w:rsid w:val="0030293F"/>
    <w:rsid w:val="00302947"/>
    <w:rsid w:val="00302C50"/>
    <w:rsid w:val="003031C2"/>
    <w:rsid w:val="00303861"/>
    <w:rsid w:val="00304FFF"/>
    <w:rsid w:val="00305557"/>
    <w:rsid w:val="0030561F"/>
    <w:rsid w:val="00305CA3"/>
    <w:rsid w:val="00306E5C"/>
    <w:rsid w:val="00307C19"/>
    <w:rsid w:val="00310732"/>
    <w:rsid w:val="00310BC9"/>
    <w:rsid w:val="00311762"/>
    <w:rsid w:val="00311E98"/>
    <w:rsid w:val="00312215"/>
    <w:rsid w:val="0031249C"/>
    <w:rsid w:val="003125C3"/>
    <w:rsid w:val="00312896"/>
    <w:rsid w:val="00313EAC"/>
    <w:rsid w:val="003142F4"/>
    <w:rsid w:val="0031454E"/>
    <w:rsid w:val="0031611F"/>
    <w:rsid w:val="00317A33"/>
    <w:rsid w:val="00320339"/>
    <w:rsid w:val="00321214"/>
    <w:rsid w:val="003213D5"/>
    <w:rsid w:val="00323737"/>
    <w:rsid w:val="00323AD6"/>
    <w:rsid w:val="00323F27"/>
    <w:rsid w:val="003242EF"/>
    <w:rsid w:val="00325339"/>
    <w:rsid w:val="003255AA"/>
    <w:rsid w:val="003314B6"/>
    <w:rsid w:val="00331A20"/>
    <w:rsid w:val="00331E65"/>
    <w:rsid w:val="00333107"/>
    <w:rsid w:val="0033343B"/>
    <w:rsid w:val="0033393C"/>
    <w:rsid w:val="003357EE"/>
    <w:rsid w:val="00337368"/>
    <w:rsid w:val="00337B4D"/>
    <w:rsid w:val="003407A9"/>
    <w:rsid w:val="00340BA3"/>
    <w:rsid w:val="00340BAF"/>
    <w:rsid w:val="00340C2B"/>
    <w:rsid w:val="00340F9A"/>
    <w:rsid w:val="00341018"/>
    <w:rsid w:val="003420D9"/>
    <w:rsid w:val="003423E0"/>
    <w:rsid w:val="0034301A"/>
    <w:rsid w:val="00343D76"/>
    <w:rsid w:val="00344DFD"/>
    <w:rsid w:val="003451D3"/>
    <w:rsid w:val="00346631"/>
    <w:rsid w:val="00346AAD"/>
    <w:rsid w:val="00346D96"/>
    <w:rsid w:val="0034736A"/>
    <w:rsid w:val="0034747C"/>
    <w:rsid w:val="00347B6C"/>
    <w:rsid w:val="0035151C"/>
    <w:rsid w:val="00352254"/>
    <w:rsid w:val="003522A3"/>
    <w:rsid w:val="00353929"/>
    <w:rsid w:val="00353F9E"/>
    <w:rsid w:val="003540D1"/>
    <w:rsid w:val="003545BF"/>
    <w:rsid w:val="0035586A"/>
    <w:rsid w:val="0035611A"/>
    <w:rsid w:val="00356C3D"/>
    <w:rsid w:val="00360B75"/>
    <w:rsid w:val="0036151C"/>
    <w:rsid w:val="00361A9B"/>
    <w:rsid w:val="00362CCF"/>
    <w:rsid w:val="003631DB"/>
    <w:rsid w:val="00364524"/>
    <w:rsid w:val="0036513A"/>
    <w:rsid w:val="00365237"/>
    <w:rsid w:val="0036559C"/>
    <w:rsid w:val="0036587E"/>
    <w:rsid w:val="003660CD"/>
    <w:rsid w:val="00366B08"/>
    <w:rsid w:val="00367496"/>
    <w:rsid w:val="003678BE"/>
    <w:rsid w:val="003700F8"/>
    <w:rsid w:val="00370949"/>
    <w:rsid w:val="0037243B"/>
    <w:rsid w:val="0037251C"/>
    <w:rsid w:val="0037272C"/>
    <w:rsid w:val="00372B9A"/>
    <w:rsid w:val="003731BF"/>
    <w:rsid w:val="00375287"/>
    <w:rsid w:val="00375791"/>
    <w:rsid w:val="00375826"/>
    <w:rsid w:val="00375994"/>
    <w:rsid w:val="00375C59"/>
    <w:rsid w:val="00375E05"/>
    <w:rsid w:val="00376BB7"/>
    <w:rsid w:val="00376EEE"/>
    <w:rsid w:val="00377BA1"/>
    <w:rsid w:val="00377FF0"/>
    <w:rsid w:val="00380616"/>
    <w:rsid w:val="00381022"/>
    <w:rsid w:val="003814B8"/>
    <w:rsid w:val="00382909"/>
    <w:rsid w:val="00382EE1"/>
    <w:rsid w:val="00384258"/>
    <w:rsid w:val="00385131"/>
    <w:rsid w:val="0038620B"/>
    <w:rsid w:val="00387647"/>
    <w:rsid w:val="0038791A"/>
    <w:rsid w:val="00390056"/>
    <w:rsid w:val="0039055C"/>
    <w:rsid w:val="00390718"/>
    <w:rsid w:val="00390767"/>
    <w:rsid w:val="00390883"/>
    <w:rsid w:val="00391470"/>
    <w:rsid w:val="003920C4"/>
    <w:rsid w:val="00392184"/>
    <w:rsid w:val="00392652"/>
    <w:rsid w:val="00392B41"/>
    <w:rsid w:val="0039456F"/>
    <w:rsid w:val="003945C8"/>
    <w:rsid w:val="0039480D"/>
    <w:rsid w:val="00395446"/>
    <w:rsid w:val="00396725"/>
    <w:rsid w:val="00397A28"/>
    <w:rsid w:val="00397E94"/>
    <w:rsid w:val="00397F05"/>
    <w:rsid w:val="003A0442"/>
    <w:rsid w:val="003A0899"/>
    <w:rsid w:val="003A1512"/>
    <w:rsid w:val="003A1EB7"/>
    <w:rsid w:val="003A23F3"/>
    <w:rsid w:val="003A2D82"/>
    <w:rsid w:val="003A337C"/>
    <w:rsid w:val="003A36DA"/>
    <w:rsid w:val="003A38F1"/>
    <w:rsid w:val="003A3D1B"/>
    <w:rsid w:val="003A3F39"/>
    <w:rsid w:val="003A4296"/>
    <w:rsid w:val="003A4549"/>
    <w:rsid w:val="003A49B3"/>
    <w:rsid w:val="003A55B4"/>
    <w:rsid w:val="003A61B6"/>
    <w:rsid w:val="003A623F"/>
    <w:rsid w:val="003A71AD"/>
    <w:rsid w:val="003A7D1D"/>
    <w:rsid w:val="003B1688"/>
    <w:rsid w:val="003B1FA4"/>
    <w:rsid w:val="003B1FE6"/>
    <w:rsid w:val="003B3106"/>
    <w:rsid w:val="003B3974"/>
    <w:rsid w:val="003B39E0"/>
    <w:rsid w:val="003B3DAB"/>
    <w:rsid w:val="003B404D"/>
    <w:rsid w:val="003B4B34"/>
    <w:rsid w:val="003B4CDA"/>
    <w:rsid w:val="003B4F2D"/>
    <w:rsid w:val="003B5BD9"/>
    <w:rsid w:val="003B64A3"/>
    <w:rsid w:val="003B6DB8"/>
    <w:rsid w:val="003B72B9"/>
    <w:rsid w:val="003C0887"/>
    <w:rsid w:val="003C08AF"/>
    <w:rsid w:val="003C2EDD"/>
    <w:rsid w:val="003C3220"/>
    <w:rsid w:val="003C3A47"/>
    <w:rsid w:val="003C3A79"/>
    <w:rsid w:val="003C48F2"/>
    <w:rsid w:val="003C5177"/>
    <w:rsid w:val="003C52B0"/>
    <w:rsid w:val="003C5911"/>
    <w:rsid w:val="003C5CDB"/>
    <w:rsid w:val="003C6465"/>
    <w:rsid w:val="003C65E4"/>
    <w:rsid w:val="003C7712"/>
    <w:rsid w:val="003C7862"/>
    <w:rsid w:val="003C7ECD"/>
    <w:rsid w:val="003D007D"/>
    <w:rsid w:val="003D01A1"/>
    <w:rsid w:val="003D04D6"/>
    <w:rsid w:val="003D04F6"/>
    <w:rsid w:val="003D18CC"/>
    <w:rsid w:val="003D3583"/>
    <w:rsid w:val="003D391E"/>
    <w:rsid w:val="003D3B6F"/>
    <w:rsid w:val="003D40E8"/>
    <w:rsid w:val="003D455E"/>
    <w:rsid w:val="003D5785"/>
    <w:rsid w:val="003D5A2D"/>
    <w:rsid w:val="003D5A9D"/>
    <w:rsid w:val="003D62C0"/>
    <w:rsid w:val="003D65F6"/>
    <w:rsid w:val="003D6911"/>
    <w:rsid w:val="003D7E4B"/>
    <w:rsid w:val="003E0035"/>
    <w:rsid w:val="003E0C14"/>
    <w:rsid w:val="003E0D6F"/>
    <w:rsid w:val="003E1591"/>
    <w:rsid w:val="003E1ACF"/>
    <w:rsid w:val="003E216C"/>
    <w:rsid w:val="003E236E"/>
    <w:rsid w:val="003E259D"/>
    <w:rsid w:val="003E26BA"/>
    <w:rsid w:val="003E2906"/>
    <w:rsid w:val="003E2969"/>
    <w:rsid w:val="003E2C1A"/>
    <w:rsid w:val="003E330F"/>
    <w:rsid w:val="003E3478"/>
    <w:rsid w:val="003E4E74"/>
    <w:rsid w:val="003E5F7D"/>
    <w:rsid w:val="003E6520"/>
    <w:rsid w:val="003E67E7"/>
    <w:rsid w:val="003E6B3C"/>
    <w:rsid w:val="003E6B95"/>
    <w:rsid w:val="003E70FF"/>
    <w:rsid w:val="003E7F1B"/>
    <w:rsid w:val="003F0B41"/>
    <w:rsid w:val="003F1E39"/>
    <w:rsid w:val="003F229D"/>
    <w:rsid w:val="003F25F0"/>
    <w:rsid w:val="003F2D5B"/>
    <w:rsid w:val="003F5AD2"/>
    <w:rsid w:val="003F5CA4"/>
    <w:rsid w:val="003F6D50"/>
    <w:rsid w:val="003F7006"/>
    <w:rsid w:val="003F7507"/>
    <w:rsid w:val="003F7C72"/>
    <w:rsid w:val="003F7D10"/>
    <w:rsid w:val="00401000"/>
    <w:rsid w:val="004016C6"/>
    <w:rsid w:val="0040179A"/>
    <w:rsid w:val="00401856"/>
    <w:rsid w:val="004028A2"/>
    <w:rsid w:val="00402FEB"/>
    <w:rsid w:val="00403344"/>
    <w:rsid w:val="00403C82"/>
    <w:rsid w:val="00404050"/>
    <w:rsid w:val="00404C44"/>
    <w:rsid w:val="00404EE8"/>
    <w:rsid w:val="0040510D"/>
    <w:rsid w:val="0040512D"/>
    <w:rsid w:val="0040602F"/>
    <w:rsid w:val="00406AFB"/>
    <w:rsid w:val="00407382"/>
    <w:rsid w:val="0040791B"/>
    <w:rsid w:val="00411958"/>
    <w:rsid w:val="00411B2A"/>
    <w:rsid w:val="00412973"/>
    <w:rsid w:val="00412D42"/>
    <w:rsid w:val="00412DA4"/>
    <w:rsid w:val="00412EB6"/>
    <w:rsid w:val="0041351F"/>
    <w:rsid w:val="004137C8"/>
    <w:rsid w:val="00413BF9"/>
    <w:rsid w:val="00413C25"/>
    <w:rsid w:val="00415531"/>
    <w:rsid w:val="00416330"/>
    <w:rsid w:val="00416DB7"/>
    <w:rsid w:val="004176C7"/>
    <w:rsid w:val="00417877"/>
    <w:rsid w:val="00417D9F"/>
    <w:rsid w:val="00420229"/>
    <w:rsid w:val="00420DBA"/>
    <w:rsid w:val="00421311"/>
    <w:rsid w:val="00422E13"/>
    <w:rsid w:val="0042350F"/>
    <w:rsid w:val="00423599"/>
    <w:rsid w:val="0042384C"/>
    <w:rsid w:val="00423893"/>
    <w:rsid w:val="00423BC9"/>
    <w:rsid w:val="004255B4"/>
    <w:rsid w:val="00426766"/>
    <w:rsid w:val="004267D0"/>
    <w:rsid w:val="004279CA"/>
    <w:rsid w:val="00427A82"/>
    <w:rsid w:val="00427EA2"/>
    <w:rsid w:val="00430115"/>
    <w:rsid w:val="00430A4B"/>
    <w:rsid w:val="00431C46"/>
    <w:rsid w:val="004327E6"/>
    <w:rsid w:val="004329DC"/>
    <w:rsid w:val="00432AC6"/>
    <w:rsid w:val="00434C5E"/>
    <w:rsid w:val="00435765"/>
    <w:rsid w:val="004360B6"/>
    <w:rsid w:val="004362E5"/>
    <w:rsid w:val="00436356"/>
    <w:rsid w:val="00440722"/>
    <w:rsid w:val="004425D9"/>
    <w:rsid w:val="00443244"/>
    <w:rsid w:val="00444AF6"/>
    <w:rsid w:val="0044519D"/>
    <w:rsid w:val="00445544"/>
    <w:rsid w:val="00445C0B"/>
    <w:rsid w:val="00446195"/>
    <w:rsid w:val="00447CD0"/>
    <w:rsid w:val="00447FC2"/>
    <w:rsid w:val="004502F4"/>
    <w:rsid w:val="004506F4"/>
    <w:rsid w:val="004509D1"/>
    <w:rsid w:val="00450A42"/>
    <w:rsid w:val="004513A5"/>
    <w:rsid w:val="00451D50"/>
    <w:rsid w:val="00452EC4"/>
    <w:rsid w:val="00453340"/>
    <w:rsid w:val="00453775"/>
    <w:rsid w:val="00453890"/>
    <w:rsid w:val="00454380"/>
    <w:rsid w:val="0045470C"/>
    <w:rsid w:val="004552C8"/>
    <w:rsid w:val="0045536C"/>
    <w:rsid w:val="00455A07"/>
    <w:rsid w:val="00455AEB"/>
    <w:rsid w:val="0045603C"/>
    <w:rsid w:val="00456053"/>
    <w:rsid w:val="00456068"/>
    <w:rsid w:val="00456896"/>
    <w:rsid w:val="00456ADA"/>
    <w:rsid w:val="00456B0D"/>
    <w:rsid w:val="0045770D"/>
    <w:rsid w:val="0045790F"/>
    <w:rsid w:val="00457D63"/>
    <w:rsid w:val="00457E21"/>
    <w:rsid w:val="0046007E"/>
    <w:rsid w:val="0046024B"/>
    <w:rsid w:val="00460E36"/>
    <w:rsid w:val="00461155"/>
    <w:rsid w:val="0046218C"/>
    <w:rsid w:val="004623D4"/>
    <w:rsid w:val="00463944"/>
    <w:rsid w:val="0046512A"/>
    <w:rsid w:val="00465234"/>
    <w:rsid w:val="00465B24"/>
    <w:rsid w:val="00466858"/>
    <w:rsid w:val="00466D0F"/>
    <w:rsid w:val="00467544"/>
    <w:rsid w:val="004676BA"/>
    <w:rsid w:val="0046784C"/>
    <w:rsid w:val="00467ECB"/>
    <w:rsid w:val="004710C3"/>
    <w:rsid w:val="00471459"/>
    <w:rsid w:val="00472274"/>
    <w:rsid w:val="004722D4"/>
    <w:rsid w:val="00472D9C"/>
    <w:rsid w:val="00473B60"/>
    <w:rsid w:val="00475AFF"/>
    <w:rsid w:val="00475D30"/>
    <w:rsid w:val="004765F4"/>
    <w:rsid w:val="00476B4D"/>
    <w:rsid w:val="00476CBC"/>
    <w:rsid w:val="00476E6C"/>
    <w:rsid w:val="00477282"/>
    <w:rsid w:val="00477947"/>
    <w:rsid w:val="00480FA1"/>
    <w:rsid w:val="00481A31"/>
    <w:rsid w:val="00481FD7"/>
    <w:rsid w:val="00482DE5"/>
    <w:rsid w:val="00483266"/>
    <w:rsid w:val="0048352E"/>
    <w:rsid w:val="004836A9"/>
    <w:rsid w:val="00483B23"/>
    <w:rsid w:val="004840D7"/>
    <w:rsid w:val="004846F4"/>
    <w:rsid w:val="00485C26"/>
    <w:rsid w:val="00485EC0"/>
    <w:rsid w:val="004875E1"/>
    <w:rsid w:val="00487B37"/>
    <w:rsid w:val="00490636"/>
    <w:rsid w:val="00490FF0"/>
    <w:rsid w:val="004910FE"/>
    <w:rsid w:val="00491198"/>
    <w:rsid w:val="004917E0"/>
    <w:rsid w:val="00491BF6"/>
    <w:rsid w:val="00491FED"/>
    <w:rsid w:val="00492F82"/>
    <w:rsid w:val="004943C2"/>
    <w:rsid w:val="00494918"/>
    <w:rsid w:val="00494C65"/>
    <w:rsid w:val="00494F0C"/>
    <w:rsid w:val="00495557"/>
    <w:rsid w:val="0049618D"/>
    <w:rsid w:val="004965EF"/>
    <w:rsid w:val="0049719D"/>
    <w:rsid w:val="00497FCD"/>
    <w:rsid w:val="004A0D1E"/>
    <w:rsid w:val="004A0E66"/>
    <w:rsid w:val="004A0EEC"/>
    <w:rsid w:val="004A130F"/>
    <w:rsid w:val="004A17EF"/>
    <w:rsid w:val="004A1BDA"/>
    <w:rsid w:val="004A22DA"/>
    <w:rsid w:val="004A2700"/>
    <w:rsid w:val="004A36C8"/>
    <w:rsid w:val="004A3721"/>
    <w:rsid w:val="004A3742"/>
    <w:rsid w:val="004A37B8"/>
    <w:rsid w:val="004A3ED3"/>
    <w:rsid w:val="004A47BC"/>
    <w:rsid w:val="004A4AC6"/>
    <w:rsid w:val="004B1199"/>
    <w:rsid w:val="004B16C4"/>
    <w:rsid w:val="004B1867"/>
    <w:rsid w:val="004B2A64"/>
    <w:rsid w:val="004B41DA"/>
    <w:rsid w:val="004B470D"/>
    <w:rsid w:val="004B4764"/>
    <w:rsid w:val="004B4846"/>
    <w:rsid w:val="004B5394"/>
    <w:rsid w:val="004B5BDD"/>
    <w:rsid w:val="004B6E9E"/>
    <w:rsid w:val="004B6F83"/>
    <w:rsid w:val="004B7C29"/>
    <w:rsid w:val="004C06E5"/>
    <w:rsid w:val="004C1B7D"/>
    <w:rsid w:val="004C1E3C"/>
    <w:rsid w:val="004C25F0"/>
    <w:rsid w:val="004C26DD"/>
    <w:rsid w:val="004C2B5D"/>
    <w:rsid w:val="004C2D68"/>
    <w:rsid w:val="004C2F56"/>
    <w:rsid w:val="004C339D"/>
    <w:rsid w:val="004C33E8"/>
    <w:rsid w:val="004C4307"/>
    <w:rsid w:val="004C4309"/>
    <w:rsid w:val="004C49E3"/>
    <w:rsid w:val="004C4E8A"/>
    <w:rsid w:val="004C514A"/>
    <w:rsid w:val="004C6572"/>
    <w:rsid w:val="004C6D4F"/>
    <w:rsid w:val="004C7541"/>
    <w:rsid w:val="004D1E71"/>
    <w:rsid w:val="004D2CDF"/>
    <w:rsid w:val="004D33CE"/>
    <w:rsid w:val="004D4AAE"/>
    <w:rsid w:val="004D7C86"/>
    <w:rsid w:val="004E0197"/>
    <w:rsid w:val="004E1122"/>
    <w:rsid w:val="004E1409"/>
    <w:rsid w:val="004E1A87"/>
    <w:rsid w:val="004E1BB0"/>
    <w:rsid w:val="004E3030"/>
    <w:rsid w:val="004E3311"/>
    <w:rsid w:val="004E38EC"/>
    <w:rsid w:val="004E3933"/>
    <w:rsid w:val="004E4549"/>
    <w:rsid w:val="004E4C83"/>
    <w:rsid w:val="004E4D53"/>
    <w:rsid w:val="004E4D84"/>
    <w:rsid w:val="004E4EBC"/>
    <w:rsid w:val="004E5104"/>
    <w:rsid w:val="004E5B06"/>
    <w:rsid w:val="004E5FA8"/>
    <w:rsid w:val="004E684C"/>
    <w:rsid w:val="004E6FF1"/>
    <w:rsid w:val="004E76DB"/>
    <w:rsid w:val="004F1F90"/>
    <w:rsid w:val="004F2401"/>
    <w:rsid w:val="004F2A44"/>
    <w:rsid w:val="004F2DAD"/>
    <w:rsid w:val="004F34F7"/>
    <w:rsid w:val="004F55D6"/>
    <w:rsid w:val="004F565A"/>
    <w:rsid w:val="004F571B"/>
    <w:rsid w:val="004F64EB"/>
    <w:rsid w:val="004F7A74"/>
    <w:rsid w:val="00500250"/>
    <w:rsid w:val="00500264"/>
    <w:rsid w:val="00500824"/>
    <w:rsid w:val="00500DAB"/>
    <w:rsid w:val="00501144"/>
    <w:rsid w:val="005013EF"/>
    <w:rsid w:val="005019E0"/>
    <w:rsid w:val="0050211F"/>
    <w:rsid w:val="005022E7"/>
    <w:rsid w:val="00502A93"/>
    <w:rsid w:val="00506083"/>
    <w:rsid w:val="005068D6"/>
    <w:rsid w:val="00506B86"/>
    <w:rsid w:val="00506EEC"/>
    <w:rsid w:val="00506FD4"/>
    <w:rsid w:val="005107FF"/>
    <w:rsid w:val="00510CBC"/>
    <w:rsid w:val="0051102D"/>
    <w:rsid w:val="005112A5"/>
    <w:rsid w:val="00511F48"/>
    <w:rsid w:val="00512448"/>
    <w:rsid w:val="0051253A"/>
    <w:rsid w:val="0051266C"/>
    <w:rsid w:val="00513B72"/>
    <w:rsid w:val="00515277"/>
    <w:rsid w:val="005158C2"/>
    <w:rsid w:val="005169DE"/>
    <w:rsid w:val="0051754D"/>
    <w:rsid w:val="0051785D"/>
    <w:rsid w:val="00517913"/>
    <w:rsid w:val="0052005F"/>
    <w:rsid w:val="00520200"/>
    <w:rsid w:val="00520E2D"/>
    <w:rsid w:val="00520F04"/>
    <w:rsid w:val="00521717"/>
    <w:rsid w:val="005224B2"/>
    <w:rsid w:val="00523B23"/>
    <w:rsid w:val="00523DFA"/>
    <w:rsid w:val="005254BC"/>
    <w:rsid w:val="005256FC"/>
    <w:rsid w:val="00526C27"/>
    <w:rsid w:val="00526DFF"/>
    <w:rsid w:val="00527473"/>
    <w:rsid w:val="00527EF9"/>
    <w:rsid w:val="005305FF"/>
    <w:rsid w:val="00530C9B"/>
    <w:rsid w:val="00532334"/>
    <w:rsid w:val="005324AF"/>
    <w:rsid w:val="0053402C"/>
    <w:rsid w:val="00534090"/>
    <w:rsid w:val="00534ABA"/>
    <w:rsid w:val="00535FFF"/>
    <w:rsid w:val="0053616F"/>
    <w:rsid w:val="005368AD"/>
    <w:rsid w:val="005370BC"/>
    <w:rsid w:val="00537B35"/>
    <w:rsid w:val="00537DE7"/>
    <w:rsid w:val="00537EC4"/>
    <w:rsid w:val="00537FE4"/>
    <w:rsid w:val="0054027D"/>
    <w:rsid w:val="00541222"/>
    <w:rsid w:val="00541A8D"/>
    <w:rsid w:val="00544DA0"/>
    <w:rsid w:val="005454BD"/>
    <w:rsid w:val="005457E4"/>
    <w:rsid w:val="00546C49"/>
    <w:rsid w:val="0055010B"/>
    <w:rsid w:val="00550D59"/>
    <w:rsid w:val="0055110D"/>
    <w:rsid w:val="00551F81"/>
    <w:rsid w:val="0055210F"/>
    <w:rsid w:val="00552CD7"/>
    <w:rsid w:val="005533BE"/>
    <w:rsid w:val="00554B30"/>
    <w:rsid w:val="00554FFB"/>
    <w:rsid w:val="005568DE"/>
    <w:rsid w:val="00557C50"/>
    <w:rsid w:val="005606B6"/>
    <w:rsid w:val="005608D6"/>
    <w:rsid w:val="00560F19"/>
    <w:rsid w:val="00561E6B"/>
    <w:rsid w:val="005621D2"/>
    <w:rsid w:val="005621E0"/>
    <w:rsid w:val="00562D90"/>
    <w:rsid w:val="00563A23"/>
    <w:rsid w:val="00563A5A"/>
    <w:rsid w:val="00563C61"/>
    <w:rsid w:val="00563ECB"/>
    <w:rsid w:val="00563F47"/>
    <w:rsid w:val="005640BB"/>
    <w:rsid w:val="00564C23"/>
    <w:rsid w:val="00565406"/>
    <w:rsid w:val="00565570"/>
    <w:rsid w:val="005657DD"/>
    <w:rsid w:val="00565B29"/>
    <w:rsid w:val="005664CC"/>
    <w:rsid w:val="0056664B"/>
    <w:rsid w:val="00567588"/>
    <w:rsid w:val="00567992"/>
    <w:rsid w:val="00567C3C"/>
    <w:rsid w:val="005702F8"/>
    <w:rsid w:val="00571231"/>
    <w:rsid w:val="00571767"/>
    <w:rsid w:val="00571E44"/>
    <w:rsid w:val="00573E61"/>
    <w:rsid w:val="0057411B"/>
    <w:rsid w:val="00574525"/>
    <w:rsid w:val="00574778"/>
    <w:rsid w:val="0057498F"/>
    <w:rsid w:val="00574DE9"/>
    <w:rsid w:val="00575DF4"/>
    <w:rsid w:val="0057765D"/>
    <w:rsid w:val="005777FC"/>
    <w:rsid w:val="005808EB"/>
    <w:rsid w:val="00580D37"/>
    <w:rsid w:val="00581FA0"/>
    <w:rsid w:val="00582B90"/>
    <w:rsid w:val="005831A7"/>
    <w:rsid w:val="00583321"/>
    <w:rsid w:val="00583369"/>
    <w:rsid w:val="0058341E"/>
    <w:rsid w:val="00584F3A"/>
    <w:rsid w:val="005853AB"/>
    <w:rsid w:val="00585748"/>
    <w:rsid w:val="005859C5"/>
    <w:rsid w:val="00585C79"/>
    <w:rsid w:val="00586144"/>
    <w:rsid w:val="00587785"/>
    <w:rsid w:val="0058788D"/>
    <w:rsid w:val="00587E29"/>
    <w:rsid w:val="00587FE6"/>
    <w:rsid w:val="00591698"/>
    <w:rsid w:val="00593B87"/>
    <w:rsid w:val="00593C1C"/>
    <w:rsid w:val="00593E94"/>
    <w:rsid w:val="00594143"/>
    <w:rsid w:val="00594543"/>
    <w:rsid w:val="00594612"/>
    <w:rsid w:val="00595873"/>
    <w:rsid w:val="00595CDD"/>
    <w:rsid w:val="005964BB"/>
    <w:rsid w:val="00596A70"/>
    <w:rsid w:val="00596BD3"/>
    <w:rsid w:val="00596BE7"/>
    <w:rsid w:val="00596C3E"/>
    <w:rsid w:val="005977DD"/>
    <w:rsid w:val="005A04BD"/>
    <w:rsid w:val="005A0A3F"/>
    <w:rsid w:val="005A114F"/>
    <w:rsid w:val="005A1F49"/>
    <w:rsid w:val="005A2364"/>
    <w:rsid w:val="005A2480"/>
    <w:rsid w:val="005A2B2C"/>
    <w:rsid w:val="005A2D6B"/>
    <w:rsid w:val="005A3252"/>
    <w:rsid w:val="005A33F7"/>
    <w:rsid w:val="005A40CF"/>
    <w:rsid w:val="005A4A9C"/>
    <w:rsid w:val="005A4BAE"/>
    <w:rsid w:val="005A4F39"/>
    <w:rsid w:val="005A574D"/>
    <w:rsid w:val="005A5B5C"/>
    <w:rsid w:val="005A6E93"/>
    <w:rsid w:val="005A707A"/>
    <w:rsid w:val="005A7340"/>
    <w:rsid w:val="005A7F93"/>
    <w:rsid w:val="005B07EA"/>
    <w:rsid w:val="005B0B20"/>
    <w:rsid w:val="005B0BD6"/>
    <w:rsid w:val="005B0EFB"/>
    <w:rsid w:val="005B1060"/>
    <w:rsid w:val="005B12B9"/>
    <w:rsid w:val="005B17C1"/>
    <w:rsid w:val="005B3737"/>
    <w:rsid w:val="005B3A42"/>
    <w:rsid w:val="005B5D40"/>
    <w:rsid w:val="005B5EFC"/>
    <w:rsid w:val="005B6412"/>
    <w:rsid w:val="005B6698"/>
    <w:rsid w:val="005B68A7"/>
    <w:rsid w:val="005B6AC3"/>
    <w:rsid w:val="005C055E"/>
    <w:rsid w:val="005C0FA1"/>
    <w:rsid w:val="005C1615"/>
    <w:rsid w:val="005C1D98"/>
    <w:rsid w:val="005C1DA5"/>
    <w:rsid w:val="005C2559"/>
    <w:rsid w:val="005C2873"/>
    <w:rsid w:val="005C34FC"/>
    <w:rsid w:val="005C3B5C"/>
    <w:rsid w:val="005C3C7F"/>
    <w:rsid w:val="005C5143"/>
    <w:rsid w:val="005C5639"/>
    <w:rsid w:val="005C5742"/>
    <w:rsid w:val="005C760E"/>
    <w:rsid w:val="005C7E9E"/>
    <w:rsid w:val="005D18C9"/>
    <w:rsid w:val="005D1B72"/>
    <w:rsid w:val="005D2471"/>
    <w:rsid w:val="005D25A3"/>
    <w:rsid w:val="005D2779"/>
    <w:rsid w:val="005D3242"/>
    <w:rsid w:val="005D610C"/>
    <w:rsid w:val="005D74E7"/>
    <w:rsid w:val="005D7F7B"/>
    <w:rsid w:val="005E3BCD"/>
    <w:rsid w:val="005E4A87"/>
    <w:rsid w:val="005E4DA5"/>
    <w:rsid w:val="005E503E"/>
    <w:rsid w:val="005E59C7"/>
    <w:rsid w:val="005E5E7B"/>
    <w:rsid w:val="005E6095"/>
    <w:rsid w:val="005E6A3F"/>
    <w:rsid w:val="005E6DB8"/>
    <w:rsid w:val="005E7228"/>
    <w:rsid w:val="005E7284"/>
    <w:rsid w:val="005E7BAC"/>
    <w:rsid w:val="005F0E5C"/>
    <w:rsid w:val="005F134E"/>
    <w:rsid w:val="005F1365"/>
    <w:rsid w:val="005F2C1F"/>
    <w:rsid w:val="005F2E44"/>
    <w:rsid w:val="005F3690"/>
    <w:rsid w:val="005F3986"/>
    <w:rsid w:val="005F4C57"/>
    <w:rsid w:val="005F6774"/>
    <w:rsid w:val="005F79AA"/>
    <w:rsid w:val="0060044B"/>
    <w:rsid w:val="006013D7"/>
    <w:rsid w:val="006014DB"/>
    <w:rsid w:val="00601587"/>
    <w:rsid w:val="00602079"/>
    <w:rsid w:val="006022F3"/>
    <w:rsid w:val="00602579"/>
    <w:rsid w:val="00602BA4"/>
    <w:rsid w:val="00602DA2"/>
    <w:rsid w:val="00602FF4"/>
    <w:rsid w:val="00603228"/>
    <w:rsid w:val="00604ACD"/>
    <w:rsid w:val="00604C15"/>
    <w:rsid w:val="00604DC2"/>
    <w:rsid w:val="006060C4"/>
    <w:rsid w:val="00607C35"/>
    <w:rsid w:val="00611777"/>
    <w:rsid w:val="0061189F"/>
    <w:rsid w:val="0061219B"/>
    <w:rsid w:val="00612D05"/>
    <w:rsid w:val="00613FB6"/>
    <w:rsid w:val="006140C6"/>
    <w:rsid w:val="00614134"/>
    <w:rsid w:val="00614241"/>
    <w:rsid w:val="0061428D"/>
    <w:rsid w:val="00615411"/>
    <w:rsid w:val="0061599E"/>
    <w:rsid w:val="00615AC7"/>
    <w:rsid w:val="006162E6"/>
    <w:rsid w:val="006171A5"/>
    <w:rsid w:val="00620309"/>
    <w:rsid w:val="0062159D"/>
    <w:rsid w:val="00621680"/>
    <w:rsid w:val="00621EC5"/>
    <w:rsid w:val="006223E0"/>
    <w:rsid w:val="006224D0"/>
    <w:rsid w:val="00622BCE"/>
    <w:rsid w:val="00622E29"/>
    <w:rsid w:val="00623643"/>
    <w:rsid w:val="00624018"/>
    <w:rsid w:val="006240C4"/>
    <w:rsid w:val="00625304"/>
    <w:rsid w:val="0062581B"/>
    <w:rsid w:val="006261F4"/>
    <w:rsid w:val="0063164E"/>
    <w:rsid w:val="0063191D"/>
    <w:rsid w:val="00633488"/>
    <w:rsid w:val="00633581"/>
    <w:rsid w:val="006339AF"/>
    <w:rsid w:val="00633C47"/>
    <w:rsid w:val="006348F7"/>
    <w:rsid w:val="0063512D"/>
    <w:rsid w:val="006358FB"/>
    <w:rsid w:val="00635AE2"/>
    <w:rsid w:val="00635E1E"/>
    <w:rsid w:val="0063677C"/>
    <w:rsid w:val="00636972"/>
    <w:rsid w:val="00636B69"/>
    <w:rsid w:val="00636BC2"/>
    <w:rsid w:val="006404D1"/>
    <w:rsid w:val="00640F43"/>
    <w:rsid w:val="006412CA"/>
    <w:rsid w:val="006420DA"/>
    <w:rsid w:val="00642A0A"/>
    <w:rsid w:val="00643AC1"/>
    <w:rsid w:val="00643D62"/>
    <w:rsid w:val="00644A5E"/>
    <w:rsid w:val="00644A6C"/>
    <w:rsid w:val="00644D69"/>
    <w:rsid w:val="006457A8"/>
    <w:rsid w:val="00645EA0"/>
    <w:rsid w:val="00645F76"/>
    <w:rsid w:val="00646EB0"/>
    <w:rsid w:val="0064714D"/>
    <w:rsid w:val="0064727D"/>
    <w:rsid w:val="00647B32"/>
    <w:rsid w:val="00647C27"/>
    <w:rsid w:val="006519E6"/>
    <w:rsid w:val="00651CDE"/>
    <w:rsid w:val="00652326"/>
    <w:rsid w:val="00652907"/>
    <w:rsid w:val="00652E06"/>
    <w:rsid w:val="00653FC4"/>
    <w:rsid w:val="00654F91"/>
    <w:rsid w:val="00655361"/>
    <w:rsid w:val="00656253"/>
    <w:rsid w:val="00656799"/>
    <w:rsid w:val="00656B77"/>
    <w:rsid w:val="00656E72"/>
    <w:rsid w:val="0065760E"/>
    <w:rsid w:val="006578A1"/>
    <w:rsid w:val="0066137B"/>
    <w:rsid w:val="0066174E"/>
    <w:rsid w:val="00661BBB"/>
    <w:rsid w:val="00661E57"/>
    <w:rsid w:val="006629E4"/>
    <w:rsid w:val="00663783"/>
    <w:rsid w:val="00663E47"/>
    <w:rsid w:val="006644A7"/>
    <w:rsid w:val="00664BDE"/>
    <w:rsid w:val="0066565B"/>
    <w:rsid w:val="00665C44"/>
    <w:rsid w:val="00666284"/>
    <w:rsid w:val="006667F3"/>
    <w:rsid w:val="00667AEA"/>
    <w:rsid w:val="006704FA"/>
    <w:rsid w:val="00670687"/>
    <w:rsid w:val="00670DC5"/>
    <w:rsid w:val="00671652"/>
    <w:rsid w:val="00671FAA"/>
    <w:rsid w:val="00675DA5"/>
    <w:rsid w:val="0067674F"/>
    <w:rsid w:val="00680482"/>
    <w:rsid w:val="006808DC"/>
    <w:rsid w:val="006816B6"/>
    <w:rsid w:val="006820EB"/>
    <w:rsid w:val="00682128"/>
    <w:rsid w:val="0068220C"/>
    <w:rsid w:val="00682AB1"/>
    <w:rsid w:val="00682E9F"/>
    <w:rsid w:val="00683252"/>
    <w:rsid w:val="0068343A"/>
    <w:rsid w:val="006834D4"/>
    <w:rsid w:val="0068413D"/>
    <w:rsid w:val="006844BA"/>
    <w:rsid w:val="006845A2"/>
    <w:rsid w:val="00684BF8"/>
    <w:rsid w:val="00684D9B"/>
    <w:rsid w:val="006858AA"/>
    <w:rsid w:val="00685BCF"/>
    <w:rsid w:val="006871D0"/>
    <w:rsid w:val="0068751F"/>
    <w:rsid w:val="006900D1"/>
    <w:rsid w:val="00690297"/>
    <w:rsid w:val="0069115A"/>
    <w:rsid w:val="006912F1"/>
    <w:rsid w:val="00691387"/>
    <w:rsid w:val="006927F2"/>
    <w:rsid w:val="006931E1"/>
    <w:rsid w:val="00694310"/>
    <w:rsid w:val="00694700"/>
    <w:rsid w:val="00694803"/>
    <w:rsid w:val="00694CE8"/>
    <w:rsid w:val="0069569E"/>
    <w:rsid w:val="006956C6"/>
    <w:rsid w:val="00696EE3"/>
    <w:rsid w:val="0069715D"/>
    <w:rsid w:val="00697392"/>
    <w:rsid w:val="006973E5"/>
    <w:rsid w:val="00697664"/>
    <w:rsid w:val="00697681"/>
    <w:rsid w:val="0069770C"/>
    <w:rsid w:val="006A08F2"/>
    <w:rsid w:val="006A151A"/>
    <w:rsid w:val="006A1E62"/>
    <w:rsid w:val="006A2A12"/>
    <w:rsid w:val="006A2E9C"/>
    <w:rsid w:val="006A35E0"/>
    <w:rsid w:val="006A377F"/>
    <w:rsid w:val="006A384A"/>
    <w:rsid w:val="006A3875"/>
    <w:rsid w:val="006A3D40"/>
    <w:rsid w:val="006A561D"/>
    <w:rsid w:val="006A5A0C"/>
    <w:rsid w:val="006A5BA0"/>
    <w:rsid w:val="006A5BB1"/>
    <w:rsid w:val="006A5F88"/>
    <w:rsid w:val="006A7D95"/>
    <w:rsid w:val="006B120D"/>
    <w:rsid w:val="006B13C1"/>
    <w:rsid w:val="006B2CC7"/>
    <w:rsid w:val="006B3AF9"/>
    <w:rsid w:val="006B44C5"/>
    <w:rsid w:val="006B555F"/>
    <w:rsid w:val="006B6242"/>
    <w:rsid w:val="006B6C7C"/>
    <w:rsid w:val="006B6EA4"/>
    <w:rsid w:val="006B77BB"/>
    <w:rsid w:val="006B7F8F"/>
    <w:rsid w:val="006B7FC5"/>
    <w:rsid w:val="006C055E"/>
    <w:rsid w:val="006C0D13"/>
    <w:rsid w:val="006C187F"/>
    <w:rsid w:val="006C19BC"/>
    <w:rsid w:val="006C19D5"/>
    <w:rsid w:val="006C1B44"/>
    <w:rsid w:val="006C1F77"/>
    <w:rsid w:val="006C2211"/>
    <w:rsid w:val="006C3031"/>
    <w:rsid w:val="006C3607"/>
    <w:rsid w:val="006C3990"/>
    <w:rsid w:val="006C3ED2"/>
    <w:rsid w:val="006C4233"/>
    <w:rsid w:val="006C42E7"/>
    <w:rsid w:val="006C4422"/>
    <w:rsid w:val="006C5CCA"/>
    <w:rsid w:val="006C625F"/>
    <w:rsid w:val="006C78A6"/>
    <w:rsid w:val="006C7AB4"/>
    <w:rsid w:val="006D006B"/>
    <w:rsid w:val="006D105C"/>
    <w:rsid w:val="006D30E7"/>
    <w:rsid w:val="006D48E7"/>
    <w:rsid w:val="006D4947"/>
    <w:rsid w:val="006D5F16"/>
    <w:rsid w:val="006D63AD"/>
    <w:rsid w:val="006D6764"/>
    <w:rsid w:val="006D67D9"/>
    <w:rsid w:val="006D6C93"/>
    <w:rsid w:val="006D7573"/>
    <w:rsid w:val="006E0340"/>
    <w:rsid w:val="006E06F9"/>
    <w:rsid w:val="006E07A9"/>
    <w:rsid w:val="006E0D91"/>
    <w:rsid w:val="006E1706"/>
    <w:rsid w:val="006E3CB2"/>
    <w:rsid w:val="006E3DA8"/>
    <w:rsid w:val="006E5DAA"/>
    <w:rsid w:val="006E7006"/>
    <w:rsid w:val="006F00E7"/>
    <w:rsid w:val="006F0F6E"/>
    <w:rsid w:val="006F1B22"/>
    <w:rsid w:val="006F1BA4"/>
    <w:rsid w:val="006F2259"/>
    <w:rsid w:val="006F23E1"/>
    <w:rsid w:val="006F2F8F"/>
    <w:rsid w:val="006F2FDA"/>
    <w:rsid w:val="006F2FE5"/>
    <w:rsid w:val="006F3460"/>
    <w:rsid w:val="006F34FE"/>
    <w:rsid w:val="006F3615"/>
    <w:rsid w:val="006F3FA3"/>
    <w:rsid w:val="006F48BA"/>
    <w:rsid w:val="006F4AF9"/>
    <w:rsid w:val="006F54EB"/>
    <w:rsid w:val="006F5CC1"/>
    <w:rsid w:val="006F67A5"/>
    <w:rsid w:val="006F762D"/>
    <w:rsid w:val="00700492"/>
    <w:rsid w:val="0070167E"/>
    <w:rsid w:val="00701E1B"/>
    <w:rsid w:val="00702ED0"/>
    <w:rsid w:val="00703C09"/>
    <w:rsid w:val="0070434A"/>
    <w:rsid w:val="007048C4"/>
    <w:rsid w:val="00704CC4"/>
    <w:rsid w:val="00705345"/>
    <w:rsid w:val="0070638D"/>
    <w:rsid w:val="00706DBF"/>
    <w:rsid w:val="00707A59"/>
    <w:rsid w:val="0071046B"/>
    <w:rsid w:val="00710AC6"/>
    <w:rsid w:val="00710C1D"/>
    <w:rsid w:val="007110A3"/>
    <w:rsid w:val="00711108"/>
    <w:rsid w:val="00711213"/>
    <w:rsid w:val="007112A1"/>
    <w:rsid w:val="00711996"/>
    <w:rsid w:val="00711B3B"/>
    <w:rsid w:val="00711BA3"/>
    <w:rsid w:val="00711C9D"/>
    <w:rsid w:val="00712B71"/>
    <w:rsid w:val="00712E55"/>
    <w:rsid w:val="00713023"/>
    <w:rsid w:val="0071322C"/>
    <w:rsid w:val="00713779"/>
    <w:rsid w:val="00713989"/>
    <w:rsid w:val="00713DCF"/>
    <w:rsid w:val="00714004"/>
    <w:rsid w:val="0071458E"/>
    <w:rsid w:val="007145C9"/>
    <w:rsid w:val="00714631"/>
    <w:rsid w:val="00714B6E"/>
    <w:rsid w:val="0071512F"/>
    <w:rsid w:val="007169AC"/>
    <w:rsid w:val="007169DD"/>
    <w:rsid w:val="00717679"/>
    <w:rsid w:val="00717B67"/>
    <w:rsid w:val="007206A2"/>
    <w:rsid w:val="00720B38"/>
    <w:rsid w:val="00720CA7"/>
    <w:rsid w:val="0072147B"/>
    <w:rsid w:val="0072181E"/>
    <w:rsid w:val="00722267"/>
    <w:rsid w:val="0072285E"/>
    <w:rsid w:val="00722C62"/>
    <w:rsid w:val="0072321F"/>
    <w:rsid w:val="00723295"/>
    <w:rsid w:val="007238E2"/>
    <w:rsid w:val="007239B4"/>
    <w:rsid w:val="00724446"/>
    <w:rsid w:val="00724584"/>
    <w:rsid w:val="00724AA1"/>
    <w:rsid w:val="00724D39"/>
    <w:rsid w:val="00725A19"/>
    <w:rsid w:val="00726356"/>
    <w:rsid w:val="007268C7"/>
    <w:rsid w:val="00726AAB"/>
    <w:rsid w:val="00727077"/>
    <w:rsid w:val="00730EA6"/>
    <w:rsid w:val="00731C15"/>
    <w:rsid w:val="00732045"/>
    <w:rsid w:val="007322A0"/>
    <w:rsid w:val="00732C1A"/>
    <w:rsid w:val="00733CDC"/>
    <w:rsid w:val="00734B9A"/>
    <w:rsid w:val="00735695"/>
    <w:rsid w:val="007360CB"/>
    <w:rsid w:val="00737566"/>
    <w:rsid w:val="00741BA2"/>
    <w:rsid w:val="00741CF4"/>
    <w:rsid w:val="00741DCC"/>
    <w:rsid w:val="00741DE2"/>
    <w:rsid w:val="007421A1"/>
    <w:rsid w:val="007427FE"/>
    <w:rsid w:val="00742C51"/>
    <w:rsid w:val="00743445"/>
    <w:rsid w:val="00745E01"/>
    <w:rsid w:val="0074666B"/>
    <w:rsid w:val="007468D6"/>
    <w:rsid w:val="00746BFF"/>
    <w:rsid w:val="007473E1"/>
    <w:rsid w:val="00747897"/>
    <w:rsid w:val="00747E47"/>
    <w:rsid w:val="00750192"/>
    <w:rsid w:val="007504E1"/>
    <w:rsid w:val="00750544"/>
    <w:rsid w:val="00750804"/>
    <w:rsid w:val="007509AB"/>
    <w:rsid w:val="00751689"/>
    <w:rsid w:val="007524AA"/>
    <w:rsid w:val="00753744"/>
    <w:rsid w:val="00753A93"/>
    <w:rsid w:val="00755663"/>
    <w:rsid w:val="00756386"/>
    <w:rsid w:val="00756603"/>
    <w:rsid w:val="007575C0"/>
    <w:rsid w:val="00757D2F"/>
    <w:rsid w:val="0076000E"/>
    <w:rsid w:val="00760C00"/>
    <w:rsid w:val="007610E9"/>
    <w:rsid w:val="00761728"/>
    <w:rsid w:val="00761C6C"/>
    <w:rsid w:val="00762B72"/>
    <w:rsid w:val="00763CCB"/>
    <w:rsid w:val="007642B4"/>
    <w:rsid w:val="00764C45"/>
    <w:rsid w:val="00766277"/>
    <w:rsid w:val="0076656A"/>
    <w:rsid w:val="00766701"/>
    <w:rsid w:val="00766911"/>
    <w:rsid w:val="00767793"/>
    <w:rsid w:val="007679D8"/>
    <w:rsid w:val="00770803"/>
    <w:rsid w:val="00771319"/>
    <w:rsid w:val="007713E8"/>
    <w:rsid w:val="00771794"/>
    <w:rsid w:val="00771CCF"/>
    <w:rsid w:val="00771F7D"/>
    <w:rsid w:val="00772C3E"/>
    <w:rsid w:val="007736E8"/>
    <w:rsid w:val="00774ACE"/>
    <w:rsid w:val="00775823"/>
    <w:rsid w:val="00775F57"/>
    <w:rsid w:val="00776584"/>
    <w:rsid w:val="007769EF"/>
    <w:rsid w:val="00776D4F"/>
    <w:rsid w:val="00776DDC"/>
    <w:rsid w:val="007770F9"/>
    <w:rsid w:val="00777179"/>
    <w:rsid w:val="00777945"/>
    <w:rsid w:val="00777D40"/>
    <w:rsid w:val="00780B8D"/>
    <w:rsid w:val="00780B8E"/>
    <w:rsid w:val="00781649"/>
    <w:rsid w:val="007823D6"/>
    <w:rsid w:val="0078254E"/>
    <w:rsid w:val="00782628"/>
    <w:rsid w:val="007826AB"/>
    <w:rsid w:val="007840E2"/>
    <w:rsid w:val="0078569F"/>
    <w:rsid w:val="00785803"/>
    <w:rsid w:val="00785C73"/>
    <w:rsid w:val="00785EB4"/>
    <w:rsid w:val="0078609A"/>
    <w:rsid w:val="00786F85"/>
    <w:rsid w:val="0078731A"/>
    <w:rsid w:val="00787487"/>
    <w:rsid w:val="007906F1"/>
    <w:rsid w:val="00790EDA"/>
    <w:rsid w:val="00791349"/>
    <w:rsid w:val="00791D85"/>
    <w:rsid w:val="00791DAF"/>
    <w:rsid w:val="007924CA"/>
    <w:rsid w:val="00794CBF"/>
    <w:rsid w:val="00795365"/>
    <w:rsid w:val="0079567E"/>
    <w:rsid w:val="007961D5"/>
    <w:rsid w:val="00796A6F"/>
    <w:rsid w:val="00796C5D"/>
    <w:rsid w:val="00797B06"/>
    <w:rsid w:val="00797B9C"/>
    <w:rsid w:val="007A0483"/>
    <w:rsid w:val="007A1065"/>
    <w:rsid w:val="007A1D86"/>
    <w:rsid w:val="007A2A97"/>
    <w:rsid w:val="007A2CDC"/>
    <w:rsid w:val="007A371B"/>
    <w:rsid w:val="007A3832"/>
    <w:rsid w:val="007A3A0F"/>
    <w:rsid w:val="007A3E60"/>
    <w:rsid w:val="007A407D"/>
    <w:rsid w:val="007A464F"/>
    <w:rsid w:val="007A6196"/>
    <w:rsid w:val="007A63D5"/>
    <w:rsid w:val="007A689A"/>
    <w:rsid w:val="007A68EA"/>
    <w:rsid w:val="007A6B7D"/>
    <w:rsid w:val="007A7629"/>
    <w:rsid w:val="007B1027"/>
    <w:rsid w:val="007B1691"/>
    <w:rsid w:val="007B174F"/>
    <w:rsid w:val="007B1863"/>
    <w:rsid w:val="007B22E0"/>
    <w:rsid w:val="007B28CA"/>
    <w:rsid w:val="007B358D"/>
    <w:rsid w:val="007B5401"/>
    <w:rsid w:val="007B5FB4"/>
    <w:rsid w:val="007B6B2B"/>
    <w:rsid w:val="007B6F24"/>
    <w:rsid w:val="007B7949"/>
    <w:rsid w:val="007B7D30"/>
    <w:rsid w:val="007C0FA9"/>
    <w:rsid w:val="007C2413"/>
    <w:rsid w:val="007C25AE"/>
    <w:rsid w:val="007C3152"/>
    <w:rsid w:val="007C333B"/>
    <w:rsid w:val="007C3914"/>
    <w:rsid w:val="007C3CEA"/>
    <w:rsid w:val="007C3D92"/>
    <w:rsid w:val="007C3E98"/>
    <w:rsid w:val="007C5A8F"/>
    <w:rsid w:val="007C5B38"/>
    <w:rsid w:val="007C6648"/>
    <w:rsid w:val="007C76E8"/>
    <w:rsid w:val="007D01E6"/>
    <w:rsid w:val="007D035E"/>
    <w:rsid w:val="007D0396"/>
    <w:rsid w:val="007D0644"/>
    <w:rsid w:val="007D1801"/>
    <w:rsid w:val="007D1FE0"/>
    <w:rsid w:val="007D20BB"/>
    <w:rsid w:val="007D261E"/>
    <w:rsid w:val="007D2F61"/>
    <w:rsid w:val="007D3004"/>
    <w:rsid w:val="007D3D0E"/>
    <w:rsid w:val="007D3D33"/>
    <w:rsid w:val="007D41C2"/>
    <w:rsid w:val="007D4F02"/>
    <w:rsid w:val="007D674C"/>
    <w:rsid w:val="007D6B7B"/>
    <w:rsid w:val="007D6CF1"/>
    <w:rsid w:val="007D7131"/>
    <w:rsid w:val="007D7BEC"/>
    <w:rsid w:val="007D7CE3"/>
    <w:rsid w:val="007E051A"/>
    <w:rsid w:val="007E0798"/>
    <w:rsid w:val="007E1B72"/>
    <w:rsid w:val="007E3EE3"/>
    <w:rsid w:val="007E57DE"/>
    <w:rsid w:val="007E5902"/>
    <w:rsid w:val="007E6719"/>
    <w:rsid w:val="007E68ED"/>
    <w:rsid w:val="007E69ED"/>
    <w:rsid w:val="007E7B2D"/>
    <w:rsid w:val="007F0221"/>
    <w:rsid w:val="007F034B"/>
    <w:rsid w:val="007F07B9"/>
    <w:rsid w:val="007F0928"/>
    <w:rsid w:val="007F15CE"/>
    <w:rsid w:val="007F1E88"/>
    <w:rsid w:val="007F2CD7"/>
    <w:rsid w:val="007F3568"/>
    <w:rsid w:val="007F422D"/>
    <w:rsid w:val="007F4DBA"/>
    <w:rsid w:val="007F519C"/>
    <w:rsid w:val="007F534D"/>
    <w:rsid w:val="007F54A2"/>
    <w:rsid w:val="007F54FE"/>
    <w:rsid w:val="007F5535"/>
    <w:rsid w:val="007F5D32"/>
    <w:rsid w:val="007F72DC"/>
    <w:rsid w:val="007F795F"/>
    <w:rsid w:val="0080069C"/>
    <w:rsid w:val="008006FD"/>
    <w:rsid w:val="0080148D"/>
    <w:rsid w:val="0080156B"/>
    <w:rsid w:val="00801A3A"/>
    <w:rsid w:val="00804114"/>
    <w:rsid w:val="00804634"/>
    <w:rsid w:val="008047E8"/>
    <w:rsid w:val="0080531E"/>
    <w:rsid w:val="00805C3D"/>
    <w:rsid w:val="00806F1D"/>
    <w:rsid w:val="008077ED"/>
    <w:rsid w:val="00807B6F"/>
    <w:rsid w:val="00807E93"/>
    <w:rsid w:val="00810172"/>
    <w:rsid w:val="00810762"/>
    <w:rsid w:val="00810858"/>
    <w:rsid w:val="00810EFF"/>
    <w:rsid w:val="00811314"/>
    <w:rsid w:val="00811A39"/>
    <w:rsid w:val="0081291B"/>
    <w:rsid w:val="00813622"/>
    <w:rsid w:val="00813DCF"/>
    <w:rsid w:val="00813FAB"/>
    <w:rsid w:val="0081498C"/>
    <w:rsid w:val="00814AE1"/>
    <w:rsid w:val="00815D31"/>
    <w:rsid w:val="0081601F"/>
    <w:rsid w:val="00816064"/>
    <w:rsid w:val="008174B2"/>
    <w:rsid w:val="00817CFF"/>
    <w:rsid w:val="0082000D"/>
    <w:rsid w:val="0082037E"/>
    <w:rsid w:val="00820C9C"/>
    <w:rsid w:val="00820F55"/>
    <w:rsid w:val="00821572"/>
    <w:rsid w:val="00822310"/>
    <w:rsid w:val="00823794"/>
    <w:rsid w:val="008237F4"/>
    <w:rsid w:val="00823F67"/>
    <w:rsid w:val="00824022"/>
    <w:rsid w:val="0082483A"/>
    <w:rsid w:val="00824A81"/>
    <w:rsid w:val="008257B8"/>
    <w:rsid w:val="008260ED"/>
    <w:rsid w:val="0082699D"/>
    <w:rsid w:val="00826E6B"/>
    <w:rsid w:val="008275FD"/>
    <w:rsid w:val="00830BA1"/>
    <w:rsid w:val="00830EB2"/>
    <w:rsid w:val="00831652"/>
    <w:rsid w:val="0083202E"/>
    <w:rsid w:val="0083304F"/>
    <w:rsid w:val="008334C9"/>
    <w:rsid w:val="00834122"/>
    <w:rsid w:val="008352C5"/>
    <w:rsid w:val="008358A6"/>
    <w:rsid w:val="008359FB"/>
    <w:rsid w:val="00835C56"/>
    <w:rsid w:val="008360FC"/>
    <w:rsid w:val="00836E81"/>
    <w:rsid w:val="008377C1"/>
    <w:rsid w:val="00837C90"/>
    <w:rsid w:val="00837EB1"/>
    <w:rsid w:val="0084042B"/>
    <w:rsid w:val="008409BB"/>
    <w:rsid w:val="0084184A"/>
    <w:rsid w:val="008423F2"/>
    <w:rsid w:val="00842A30"/>
    <w:rsid w:val="00842F71"/>
    <w:rsid w:val="00843179"/>
    <w:rsid w:val="0084386A"/>
    <w:rsid w:val="00843E0E"/>
    <w:rsid w:val="008442EA"/>
    <w:rsid w:val="00844589"/>
    <w:rsid w:val="00844794"/>
    <w:rsid w:val="00844FE7"/>
    <w:rsid w:val="00845969"/>
    <w:rsid w:val="00845F37"/>
    <w:rsid w:val="00845FF5"/>
    <w:rsid w:val="00846001"/>
    <w:rsid w:val="0084615D"/>
    <w:rsid w:val="0084642A"/>
    <w:rsid w:val="008465C4"/>
    <w:rsid w:val="00846710"/>
    <w:rsid w:val="008478ED"/>
    <w:rsid w:val="00851728"/>
    <w:rsid w:val="00851DFF"/>
    <w:rsid w:val="00853084"/>
    <w:rsid w:val="00853142"/>
    <w:rsid w:val="008540A6"/>
    <w:rsid w:val="00854420"/>
    <w:rsid w:val="00854481"/>
    <w:rsid w:val="00857591"/>
    <w:rsid w:val="00857E88"/>
    <w:rsid w:val="008612DB"/>
    <w:rsid w:val="00861B57"/>
    <w:rsid w:val="00862AC4"/>
    <w:rsid w:val="008633AC"/>
    <w:rsid w:val="008634E3"/>
    <w:rsid w:val="00864627"/>
    <w:rsid w:val="00864635"/>
    <w:rsid w:val="00864678"/>
    <w:rsid w:val="00864C1A"/>
    <w:rsid w:val="00865217"/>
    <w:rsid w:val="008658AA"/>
    <w:rsid w:val="00865CBD"/>
    <w:rsid w:val="00866E37"/>
    <w:rsid w:val="00866F9E"/>
    <w:rsid w:val="008672E2"/>
    <w:rsid w:val="0086793D"/>
    <w:rsid w:val="00867B1C"/>
    <w:rsid w:val="008713D6"/>
    <w:rsid w:val="00871643"/>
    <w:rsid w:val="0087281D"/>
    <w:rsid w:val="008732D8"/>
    <w:rsid w:val="00873377"/>
    <w:rsid w:val="00873577"/>
    <w:rsid w:val="0087409F"/>
    <w:rsid w:val="00874D58"/>
    <w:rsid w:val="008750D2"/>
    <w:rsid w:val="00875AB5"/>
    <w:rsid w:val="00875C91"/>
    <w:rsid w:val="00875F85"/>
    <w:rsid w:val="00876C6B"/>
    <w:rsid w:val="00876DC9"/>
    <w:rsid w:val="00877125"/>
    <w:rsid w:val="008777C2"/>
    <w:rsid w:val="00881511"/>
    <w:rsid w:val="00882448"/>
    <w:rsid w:val="00882F1D"/>
    <w:rsid w:val="00883A4D"/>
    <w:rsid w:val="00883B21"/>
    <w:rsid w:val="00883F8F"/>
    <w:rsid w:val="00884235"/>
    <w:rsid w:val="00885285"/>
    <w:rsid w:val="00885985"/>
    <w:rsid w:val="00886699"/>
    <w:rsid w:val="0088709A"/>
    <w:rsid w:val="0089199F"/>
    <w:rsid w:val="00891C32"/>
    <w:rsid w:val="00891D7F"/>
    <w:rsid w:val="00892265"/>
    <w:rsid w:val="0089233E"/>
    <w:rsid w:val="0089330E"/>
    <w:rsid w:val="00893A8E"/>
    <w:rsid w:val="00893E27"/>
    <w:rsid w:val="008945F7"/>
    <w:rsid w:val="0089463D"/>
    <w:rsid w:val="0089554F"/>
    <w:rsid w:val="008955E6"/>
    <w:rsid w:val="00895B5F"/>
    <w:rsid w:val="0089637C"/>
    <w:rsid w:val="00896712"/>
    <w:rsid w:val="00896870"/>
    <w:rsid w:val="008969BD"/>
    <w:rsid w:val="008A13BD"/>
    <w:rsid w:val="008A1596"/>
    <w:rsid w:val="008A1EDF"/>
    <w:rsid w:val="008A2695"/>
    <w:rsid w:val="008A2DC9"/>
    <w:rsid w:val="008A2FF1"/>
    <w:rsid w:val="008A32D4"/>
    <w:rsid w:val="008A367F"/>
    <w:rsid w:val="008A37AF"/>
    <w:rsid w:val="008A3D62"/>
    <w:rsid w:val="008A448D"/>
    <w:rsid w:val="008A4A55"/>
    <w:rsid w:val="008A506F"/>
    <w:rsid w:val="008A528A"/>
    <w:rsid w:val="008A5298"/>
    <w:rsid w:val="008A535A"/>
    <w:rsid w:val="008A720F"/>
    <w:rsid w:val="008A7C72"/>
    <w:rsid w:val="008B04F2"/>
    <w:rsid w:val="008B0D0E"/>
    <w:rsid w:val="008B12BB"/>
    <w:rsid w:val="008B1411"/>
    <w:rsid w:val="008B17A2"/>
    <w:rsid w:val="008B25F2"/>
    <w:rsid w:val="008B2643"/>
    <w:rsid w:val="008B2FAE"/>
    <w:rsid w:val="008B3317"/>
    <w:rsid w:val="008B414B"/>
    <w:rsid w:val="008B4E0E"/>
    <w:rsid w:val="008B4FB9"/>
    <w:rsid w:val="008B5715"/>
    <w:rsid w:val="008B5A2D"/>
    <w:rsid w:val="008B5BC2"/>
    <w:rsid w:val="008B60BB"/>
    <w:rsid w:val="008B6732"/>
    <w:rsid w:val="008B68EC"/>
    <w:rsid w:val="008B711E"/>
    <w:rsid w:val="008C042F"/>
    <w:rsid w:val="008C057B"/>
    <w:rsid w:val="008C0CAC"/>
    <w:rsid w:val="008C13B4"/>
    <w:rsid w:val="008C1557"/>
    <w:rsid w:val="008C1B8C"/>
    <w:rsid w:val="008C2306"/>
    <w:rsid w:val="008C26D1"/>
    <w:rsid w:val="008C2B7F"/>
    <w:rsid w:val="008C36AC"/>
    <w:rsid w:val="008C4953"/>
    <w:rsid w:val="008C4E44"/>
    <w:rsid w:val="008C6255"/>
    <w:rsid w:val="008C684B"/>
    <w:rsid w:val="008C6ABD"/>
    <w:rsid w:val="008C6F18"/>
    <w:rsid w:val="008C7685"/>
    <w:rsid w:val="008D007A"/>
    <w:rsid w:val="008D07DE"/>
    <w:rsid w:val="008D0831"/>
    <w:rsid w:val="008D0E40"/>
    <w:rsid w:val="008D1E7F"/>
    <w:rsid w:val="008D2367"/>
    <w:rsid w:val="008D427A"/>
    <w:rsid w:val="008D4DD5"/>
    <w:rsid w:val="008D5657"/>
    <w:rsid w:val="008D6752"/>
    <w:rsid w:val="008D69E7"/>
    <w:rsid w:val="008D6FC1"/>
    <w:rsid w:val="008E0140"/>
    <w:rsid w:val="008E0688"/>
    <w:rsid w:val="008E0BEF"/>
    <w:rsid w:val="008E266D"/>
    <w:rsid w:val="008E2F0C"/>
    <w:rsid w:val="008E3E23"/>
    <w:rsid w:val="008E547B"/>
    <w:rsid w:val="008E5DF8"/>
    <w:rsid w:val="008F0250"/>
    <w:rsid w:val="008F11F4"/>
    <w:rsid w:val="008F1952"/>
    <w:rsid w:val="008F254D"/>
    <w:rsid w:val="008F310B"/>
    <w:rsid w:val="008F322B"/>
    <w:rsid w:val="008F34CB"/>
    <w:rsid w:val="008F3519"/>
    <w:rsid w:val="008F3AD3"/>
    <w:rsid w:val="008F3CA7"/>
    <w:rsid w:val="008F443F"/>
    <w:rsid w:val="008F5DE5"/>
    <w:rsid w:val="008F5E42"/>
    <w:rsid w:val="008F63B1"/>
    <w:rsid w:val="008F6973"/>
    <w:rsid w:val="008F6E6A"/>
    <w:rsid w:val="008F7AA7"/>
    <w:rsid w:val="00900947"/>
    <w:rsid w:val="00900EB8"/>
    <w:rsid w:val="00900FBA"/>
    <w:rsid w:val="00902E5B"/>
    <w:rsid w:val="00903FD9"/>
    <w:rsid w:val="00904CF5"/>
    <w:rsid w:val="00905259"/>
    <w:rsid w:val="0090556C"/>
    <w:rsid w:val="00905633"/>
    <w:rsid w:val="00905EAE"/>
    <w:rsid w:val="009060C4"/>
    <w:rsid w:val="00906C91"/>
    <w:rsid w:val="00906C95"/>
    <w:rsid w:val="00907656"/>
    <w:rsid w:val="00907E47"/>
    <w:rsid w:val="009115EF"/>
    <w:rsid w:val="009116DD"/>
    <w:rsid w:val="00912D1C"/>
    <w:rsid w:val="00913019"/>
    <w:rsid w:val="00913938"/>
    <w:rsid w:val="00913F1E"/>
    <w:rsid w:val="00913FB2"/>
    <w:rsid w:val="009140C4"/>
    <w:rsid w:val="009144A9"/>
    <w:rsid w:val="0091468B"/>
    <w:rsid w:val="0091526F"/>
    <w:rsid w:val="009153D2"/>
    <w:rsid w:val="00916286"/>
    <w:rsid w:val="00916595"/>
    <w:rsid w:val="00916C47"/>
    <w:rsid w:val="009171AD"/>
    <w:rsid w:val="00917569"/>
    <w:rsid w:val="00920174"/>
    <w:rsid w:val="009219D2"/>
    <w:rsid w:val="00921A4E"/>
    <w:rsid w:val="00921E37"/>
    <w:rsid w:val="00922511"/>
    <w:rsid w:val="00922F07"/>
    <w:rsid w:val="00923463"/>
    <w:rsid w:val="00925238"/>
    <w:rsid w:val="00925ACF"/>
    <w:rsid w:val="0092615D"/>
    <w:rsid w:val="00926546"/>
    <w:rsid w:val="009265A1"/>
    <w:rsid w:val="00927700"/>
    <w:rsid w:val="0093036E"/>
    <w:rsid w:val="00931224"/>
    <w:rsid w:val="009333D3"/>
    <w:rsid w:val="009339B6"/>
    <w:rsid w:val="00933B4C"/>
    <w:rsid w:val="00933DC4"/>
    <w:rsid w:val="0093431B"/>
    <w:rsid w:val="009346D6"/>
    <w:rsid w:val="00934743"/>
    <w:rsid w:val="0093487E"/>
    <w:rsid w:val="00934FFE"/>
    <w:rsid w:val="00936405"/>
    <w:rsid w:val="00936B64"/>
    <w:rsid w:val="009379C4"/>
    <w:rsid w:val="0094041A"/>
    <w:rsid w:val="00940D32"/>
    <w:rsid w:val="0094190D"/>
    <w:rsid w:val="00942354"/>
    <w:rsid w:val="00942681"/>
    <w:rsid w:val="00943A7E"/>
    <w:rsid w:val="00943E42"/>
    <w:rsid w:val="00943E5D"/>
    <w:rsid w:val="00944728"/>
    <w:rsid w:val="009453E8"/>
    <w:rsid w:val="00945664"/>
    <w:rsid w:val="00945AD1"/>
    <w:rsid w:val="00946ECB"/>
    <w:rsid w:val="00947268"/>
    <w:rsid w:val="0094750E"/>
    <w:rsid w:val="00947C94"/>
    <w:rsid w:val="009507C8"/>
    <w:rsid w:val="0095115E"/>
    <w:rsid w:val="0095118A"/>
    <w:rsid w:val="00952468"/>
    <w:rsid w:val="00954767"/>
    <w:rsid w:val="0095487A"/>
    <w:rsid w:val="009548FB"/>
    <w:rsid w:val="0095538B"/>
    <w:rsid w:val="00957AF7"/>
    <w:rsid w:val="00960ACA"/>
    <w:rsid w:val="00960C4F"/>
    <w:rsid w:val="0096217C"/>
    <w:rsid w:val="00962441"/>
    <w:rsid w:val="00963277"/>
    <w:rsid w:val="00964B53"/>
    <w:rsid w:val="00964C3F"/>
    <w:rsid w:val="00964C6C"/>
    <w:rsid w:val="00965176"/>
    <w:rsid w:val="00965240"/>
    <w:rsid w:val="00965847"/>
    <w:rsid w:val="00965A3E"/>
    <w:rsid w:val="00965C48"/>
    <w:rsid w:val="00966D9D"/>
    <w:rsid w:val="00966E4A"/>
    <w:rsid w:val="00967041"/>
    <w:rsid w:val="00970918"/>
    <w:rsid w:val="0097099E"/>
    <w:rsid w:val="00971761"/>
    <w:rsid w:val="0097216F"/>
    <w:rsid w:val="00972C3B"/>
    <w:rsid w:val="00973057"/>
    <w:rsid w:val="00974D50"/>
    <w:rsid w:val="009751AF"/>
    <w:rsid w:val="00975326"/>
    <w:rsid w:val="00975DEA"/>
    <w:rsid w:val="00977CDF"/>
    <w:rsid w:val="0098043F"/>
    <w:rsid w:val="00981038"/>
    <w:rsid w:val="0098106E"/>
    <w:rsid w:val="00981511"/>
    <w:rsid w:val="00981D1C"/>
    <w:rsid w:val="00981E1C"/>
    <w:rsid w:val="00982118"/>
    <w:rsid w:val="00982C62"/>
    <w:rsid w:val="00982C91"/>
    <w:rsid w:val="00982F76"/>
    <w:rsid w:val="00982FA3"/>
    <w:rsid w:val="009840FD"/>
    <w:rsid w:val="00984701"/>
    <w:rsid w:val="00984847"/>
    <w:rsid w:val="00984BEC"/>
    <w:rsid w:val="00985EB8"/>
    <w:rsid w:val="00985FB3"/>
    <w:rsid w:val="00986566"/>
    <w:rsid w:val="00986CC1"/>
    <w:rsid w:val="00986F4E"/>
    <w:rsid w:val="00987191"/>
    <w:rsid w:val="00987A5A"/>
    <w:rsid w:val="00987CB4"/>
    <w:rsid w:val="0099097E"/>
    <w:rsid w:val="009921FC"/>
    <w:rsid w:val="0099272B"/>
    <w:rsid w:val="00992A0E"/>
    <w:rsid w:val="00992FBD"/>
    <w:rsid w:val="0099399E"/>
    <w:rsid w:val="0099413C"/>
    <w:rsid w:val="00994230"/>
    <w:rsid w:val="0099479E"/>
    <w:rsid w:val="009951D8"/>
    <w:rsid w:val="00995355"/>
    <w:rsid w:val="0099586F"/>
    <w:rsid w:val="0099719E"/>
    <w:rsid w:val="009A0169"/>
    <w:rsid w:val="009A1B56"/>
    <w:rsid w:val="009A3C93"/>
    <w:rsid w:val="009A3FD0"/>
    <w:rsid w:val="009A51C7"/>
    <w:rsid w:val="009A59EC"/>
    <w:rsid w:val="009A5C56"/>
    <w:rsid w:val="009A5CA8"/>
    <w:rsid w:val="009A6C21"/>
    <w:rsid w:val="009A6ED0"/>
    <w:rsid w:val="009A706A"/>
    <w:rsid w:val="009A71AB"/>
    <w:rsid w:val="009A7745"/>
    <w:rsid w:val="009A7C3D"/>
    <w:rsid w:val="009B0156"/>
    <w:rsid w:val="009B0295"/>
    <w:rsid w:val="009B05BA"/>
    <w:rsid w:val="009B1B0E"/>
    <w:rsid w:val="009B2596"/>
    <w:rsid w:val="009B42B6"/>
    <w:rsid w:val="009B42CC"/>
    <w:rsid w:val="009B43D6"/>
    <w:rsid w:val="009B5081"/>
    <w:rsid w:val="009B6985"/>
    <w:rsid w:val="009B69B3"/>
    <w:rsid w:val="009B7011"/>
    <w:rsid w:val="009B71E4"/>
    <w:rsid w:val="009C04EE"/>
    <w:rsid w:val="009C0CD4"/>
    <w:rsid w:val="009C15E7"/>
    <w:rsid w:val="009C17C8"/>
    <w:rsid w:val="009C385B"/>
    <w:rsid w:val="009C3E3C"/>
    <w:rsid w:val="009C4353"/>
    <w:rsid w:val="009C49C2"/>
    <w:rsid w:val="009C4E2D"/>
    <w:rsid w:val="009C62C0"/>
    <w:rsid w:val="009C6A88"/>
    <w:rsid w:val="009C765D"/>
    <w:rsid w:val="009C7ADA"/>
    <w:rsid w:val="009D000A"/>
    <w:rsid w:val="009D1A86"/>
    <w:rsid w:val="009D1E12"/>
    <w:rsid w:val="009D2DA9"/>
    <w:rsid w:val="009D2E93"/>
    <w:rsid w:val="009D2EA9"/>
    <w:rsid w:val="009D3038"/>
    <w:rsid w:val="009D34C0"/>
    <w:rsid w:val="009D35FB"/>
    <w:rsid w:val="009D4BBE"/>
    <w:rsid w:val="009D4E16"/>
    <w:rsid w:val="009D5893"/>
    <w:rsid w:val="009D6620"/>
    <w:rsid w:val="009D6C54"/>
    <w:rsid w:val="009D72B0"/>
    <w:rsid w:val="009D77CE"/>
    <w:rsid w:val="009D7DE3"/>
    <w:rsid w:val="009E004A"/>
    <w:rsid w:val="009E066B"/>
    <w:rsid w:val="009E1515"/>
    <w:rsid w:val="009E1CFF"/>
    <w:rsid w:val="009E1FEE"/>
    <w:rsid w:val="009E23EA"/>
    <w:rsid w:val="009E2D24"/>
    <w:rsid w:val="009E2EA0"/>
    <w:rsid w:val="009E305F"/>
    <w:rsid w:val="009E36FF"/>
    <w:rsid w:val="009E37D3"/>
    <w:rsid w:val="009E3DE9"/>
    <w:rsid w:val="009E5028"/>
    <w:rsid w:val="009E50FB"/>
    <w:rsid w:val="009E5280"/>
    <w:rsid w:val="009E532E"/>
    <w:rsid w:val="009E5386"/>
    <w:rsid w:val="009E5DD1"/>
    <w:rsid w:val="009E60AD"/>
    <w:rsid w:val="009E68C8"/>
    <w:rsid w:val="009E6AB5"/>
    <w:rsid w:val="009E6DAB"/>
    <w:rsid w:val="009E6F4B"/>
    <w:rsid w:val="009E703C"/>
    <w:rsid w:val="009E7E4C"/>
    <w:rsid w:val="009F08F5"/>
    <w:rsid w:val="009F0956"/>
    <w:rsid w:val="009F0EE5"/>
    <w:rsid w:val="009F1264"/>
    <w:rsid w:val="009F245B"/>
    <w:rsid w:val="009F25E6"/>
    <w:rsid w:val="009F2BE8"/>
    <w:rsid w:val="009F2F09"/>
    <w:rsid w:val="009F39A7"/>
    <w:rsid w:val="009F40B7"/>
    <w:rsid w:val="009F4188"/>
    <w:rsid w:val="009F4302"/>
    <w:rsid w:val="009F4393"/>
    <w:rsid w:val="009F4BE9"/>
    <w:rsid w:val="009F62D3"/>
    <w:rsid w:val="00A00112"/>
    <w:rsid w:val="00A008B5"/>
    <w:rsid w:val="00A017B4"/>
    <w:rsid w:val="00A01C53"/>
    <w:rsid w:val="00A01D38"/>
    <w:rsid w:val="00A02414"/>
    <w:rsid w:val="00A025B9"/>
    <w:rsid w:val="00A0355C"/>
    <w:rsid w:val="00A03A13"/>
    <w:rsid w:val="00A040CD"/>
    <w:rsid w:val="00A04429"/>
    <w:rsid w:val="00A06446"/>
    <w:rsid w:val="00A06697"/>
    <w:rsid w:val="00A06C40"/>
    <w:rsid w:val="00A10586"/>
    <w:rsid w:val="00A10A48"/>
    <w:rsid w:val="00A110DA"/>
    <w:rsid w:val="00A1132B"/>
    <w:rsid w:val="00A11930"/>
    <w:rsid w:val="00A11B54"/>
    <w:rsid w:val="00A11CDC"/>
    <w:rsid w:val="00A1238C"/>
    <w:rsid w:val="00A1263D"/>
    <w:rsid w:val="00A12AF2"/>
    <w:rsid w:val="00A12D8A"/>
    <w:rsid w:val="00A12E6C"/>
    <w:rsid w:val="00A136D0"/>
    <w:rsid w:val="00A13D1A"/>
    <w:rsid w:val="00A14DC2"/>
    <w:rsid w:val="00A14DD6"/>
    <w:rsid w:val="00A15D5E"/>
    <w:rsid w:val="00A161F8"/>
    <w:rsid w:val="00A169FA"/>
    <w:rsid w:val="00A1766A"/>
    <w:rsid w:val="00A200F4"/>
    <w:rsid w:val="00A206C9"/>
    <w:rsid w:val="00A20C27"/>
    <w:rsid w:val="00A20E7D"/>
    <w:rsid w:val="00A216BC"/>
    <w:rsid w:val="00A23931"/>
    <w:rsid w:val="00A23FD6"/>
    <w:rsid w:val="00A25317"/>
    <w:rsid w:val="00A25706"/>
    <w:rsid w:val="00A25D84"/>
    <w:rsid w:val="00A26029"/>
    <w:rsid w:val="00A262E4"/>
    <w:rsid w:val="00A268EA"/>
    <w:rsid w:val="00A31CE0"/>
    <w:rsid w:val="00A31FA9"/>
    <w:rsid w:val="00A333BF"/>
    <w:rsid w:val="00A33825"/>
    <w:rsid w:val="00A3398F"/>
    <w:rsid w:val="00A35583"/>
    <w:rsid w:val="00A363EF"/>
    <w:rsid w:val="00A36DFE"/>
    <w:rsid w:val="00A370FD"/>
    <w:rsid w:val="00A3798C"/>
    <w:rsid w:val="00A37DD9"/>
    <w:rsid w:val="00A40ED7"/>
    <w:rsid w:val="00A40F83"/>
    <w:rsid w:val="00A412BA"/>
    <w:rsid w:val="00A41416"/>
    <w:rsid w:val="00A4200D"/>
    <w:rsid w:val="00A424BF"/>
    <w:rsid w:val="00A4258E"/>
    <w:rsid w:val="00A432D1"/>
    <w:rsid w:val="00A43716"/>
    <w:rsid w:val="00A442C5"/>
    <w:rsid w:val="00A44712"/>
    <w:rsid w:val="00A44AF5"/>
    <w:rsid w:val="00A44B8B"/>
    <w:rsid w:val="00A4562A"/>
    <w:rsid w:val="00A45EC4"/>
    <w:rsid w:val="00A47212"/>
    <w:rsid w:val="00A474EA"/>
    <w:rsid w:val="00A501B2"/>
    <w:rsid w:val="00A5034A"/>
    <w:rsid w:val="00A50FFA"/>
    <w:rsid w:val="00A539D1"/>
    <w:rsid w:val="00A54DAE"/>
    <w:rsid w:val="00A56D3B"/>
    <w:rsid w:val="00A57450"/>
    <w:rsid w:val="00A57479"/>
    <w:rsid w:val="00A57C08"/>
    <w:rsid w:val="00A600D9"/>
    <w:rsid w:val="00A604CD"/>
    <w:rsid w:val="00A637A0"/>
    <w:rsid w:val="00A63ECD"/>
    <w:rsid w:val="00A64093"/>
    <w:rsid w:val="00A640EB"/>
    <w:rsid w:val="00A64815"/>
    <w:rsid w:val="00A65043"/>
    <w:rsid w:val="00A66DF9"/>
    <w:rsid w:val="00A704E4"/>
    <w:rsid w:val="00A7136A"/>
    <w:rsid w:val="00A71C44"/>
    <w:rsid w:val="00A72296"/>
    <w:rsid w:val="00A7388E"/>
    <w:rsid w:val="00A74544"/>
    <w:rsid w:val="00A74548"/>
    <w:rsid w:val="00A74DF2"/>
    <w:rsid w:val="00A74E4D"/>
    <w:rsid w:val="00A7592E"/>
    <w:rsid w:val="00A76C1F"/>
    <w:rsid w:val="00A803FC"/>
    <w:rsid w:val="00A8071A"/>
    <w:rsid w:val="00A80DD9"/>
    <w:rsid w:val="00A80FCA"/>
    <w:rsid w:val="00A81CBC"/>
    <w:rsid w:val="00A82506"/>
    <w:rsid w:val="00A837CE"/>
    <w:rsid w:val="00A83DB5"/>
    <w:rsid w:val="00A83FBA"/>
    <w:rsid w:val="00A84636"/>
    <w:rsid w:val="00A84FE1"/>
    <w:rsid w:val="00A85080"/>
    <w:rsid w:val="00A86406"/>
    <w:rsid w:val="00A86853"/>
    <w:rsid w:val="00A86B75"/>
    <w:rsid w:val="00A86E75"/>
    <w:rsid w:val="00A86F33"/>
    <w:rsid w:val="00A9065F"/>
    <w:rsid w:val="00A90B0E"/>
    <w:rsid w:val="00A91AA1"/>
    <w:rsid w:val="00A91C8C"/>
    <w:rsid w:val="00A91F0D"/>
    <w:rsid w:val="00A9235A"/>
    <w:rsid w:val="00A92FF7"/>
    <w:rsid w:val="00A93069"/>
    <w:rsid w:val="00A9468F"/>
    <w:rsid w:val="00A9498D"/>
    <w:rsid w:val="00A95335"/>
    <w:rsid w:val="00A9566B"/>
    <w:rsid w:val="00A9657F"/>
    <w:rsid w:val="00A9797D"/>
    <w:rsid w:val="00AA015F"/>
    <w:rsid w:val="00AA0C3A"/>
    <w:rsid w:val="00AA1723"/>
    <w:rsid w:val="00AA190D"/>
    <w:rsid w:val="00AA1FDD"/>
    <w:rsid w:val="00AA22C3"/>
    <w:rsid w:val="00AA230D"/>
    <w:rsid w:val="00AA4941"/>
    <w:rsid w:val="00AA49E9"/>
    <w:rsid w:val="00AA5475"/>
    <w:rsid w:val="00AA5876"/>
    <w:rsid w:val="00AA6A8A"/>
    <w:rsid w:val="00AA6DD8"/>
    <w:rsid w:val="00AA6FA3"/>
    <w:rsid w:val="00AA70BB"/>
    <w:rsid w:val="00AA757C"/>
    <w:rsid w:val="00AA7F10"/>
    <w:rsid w:val="00AB0391"/>
    <w:rsid w:val="00AB2151"/>
    <w:rsid w:val="00AB2C59"/>
    <w:rsid w:val="00AB2C8A"/>
    <w:rsid w:val="00AB42B6"/>
    <w:rsid w:val="00AB4D67"/>
    <w:rsid w:val="00AB545D"/>
    <w:rsid w:val="00AB54D7"/>
    <w:rsid w:val="00AB57D3"/>
    <w:rsid w:val="00AB6886"/>
    <w:rsid w:val="00AB6AE4"/>
    <w:rsid w:val="00AB6E00"/>
    <w:rsid w:val="00AB6F37"/>
    <w:rsid w:val="00AB769E"/>
    <w:rsid w:val="00AB7D55"/>
    <w:rsid w:val="00AC0681"/>
    <w:rsid w:val="00AC154B"/>
    <w:rsid w:val="00AC1B72"/>
    <w:rsid w:val="00AC26FE"/>
    <w:rsid w:val="00AC350D"/>
    <w:rsid w:val="00AC3568"/>
    <w:rsid w:val="00AC3CF2"/>
    <w:rsid w:val="00AC47EC"/>
    <w:rsid w:val="00AC4E5D"/>
    <w:rsid w:val="00AC6C53"/>
    <w:rsid w:val="00AC6E85"/>
    <w:rsid w:val="00AC7284"/>
    <w:rsid w:val="00AC7CE6"/>
    <w:rsid w:val="00AD0828"/>
    <w:rsid w:val="00AD08AE"/>
    <w:rsid w:val="00AD0B13"/>
    <w:rsid w:val="00AD0E69"/>
    <w:rsid w:val="00AD103D"/>
    <w:rsid w:val="00AD159C"/>
    <w:rsid w:val="00AD17FA"/>
    <w:rsid w:val="00AD19EC"/>
    <w:rsid w:val="00AD2717"/>
    <w:rsid w:val="00AD3DC4"/>
    <w:rsid w:val="00AD4FF4"/>
    <w:rsid w:val="00AD531D"/>
    <w:rsid w:val="00AD600C"/>
    <w:rsid w:val="00AD63D6"/>
    <w:rsid w:val="00AD6CD5"/>
    <w:rsid w:val="00AD7274"/>
    <w:rsid w:val="00AD733B"/>
    <w:rsid w:val="00AD7CA7"/>
    <w:rsid w:val="00AE0040"/>
    <w:rsid w:val="00AE184D"/>
    <w:rsid w:val="00AE1C03"/>
    <w:rsid w:val="00AE23E3"/>
    <w:rsid w:val="00AE2F65"/>
    <w:rsid w:val="00AE317E"/>
    <w:rsid w:val="00AE35A5"/>
    <w:rsid w:val="00AE4E2A"/>
    <w:rsid w:val="00AE5CF9"/>
    <w:rsid w:val="00AE5DB6"/>
    <w:rsid w:val="00AE6C3C"/>
    <w:rsid w:val="00AE702E"/>
    <w:rsid w:val="00AE73E0"/>
    <w:rsid w:val="00AF03C0"/>
    <w:rsid w:val="00AF166F"/>
    <w:rsid w:val="00AF1C03"/>
    <w:rsid w:val="00AF39AF"/>
    <w:rsid w:val="00AF3E3B"/>
    <w:rsid w:val="00AF3E5A"/>
    <w:rsid w:val="00AF46FE"/>
    <w:rsid w:val="00AF486F"/>
    <w:rsid w:val="00AF548B"/>
    <w:rsid w:val="00AF55E0"/>
    <w:rsid w:val="00AF5666"/>
    <w:rsid w:val="00AF5870"/>
    <w:rsid w:val="00AF6619"/>
    <w:rsid w:val="00AF6CFD"/>
    <w:rsid w:val="00AF7DC1"/>
    <w:rsid w:val="00B000AE"/>
    <w:rsid w:val="00B0040B"/>
    <w:rsid w:val="00B00830"/>
    <w:rsid w:val="00B00AB5"/>
    <w:rsid w:val="00B00CC0"/>
    <w:rsid w:val="00B00F5C"/>
    <w:rsid w:val="00B019C1"/>
    <w:rsid w:val="00B0236E"/>
    <w:rsid w:val="00B02506"/>
    <w:rsid w:val="00B02ACE"/>
    <w:rsid w:val="00B03913"/>
    <w:rsid w:val="00B04CEA"/>
    <w:rsid w:val="00B05607"/>
    <w:rsid w:val="00B05A08"/>
    <w:rsid w:val="00B05F14"/>
    <w:rsid w:val="00B06737"/>
    <w:rsid w:val="00B0784C"/>
    <w:rsid w:val="00B07CE9"/>
    <w:rsid w:val="00B101D5"/>
    <w:rsid w:val="00B10633"/>
    <w:rsid w:val="00B10B08"/>
    <w:rsid w:val="00B11A78"/>
    <w:rsid w:val="00B11CFB"/>
    <w:rsid w:val="00B12111"/>
    <w:rsid w:val="00B13E18"/>
    <w:rsid w:val="00B14109"/>
    <w:rsid w:val="00B14410"/>
    <w:rsid w:val="00B1486D"/>
    <w:rsid w:val="00B150D6"/>
    <w:rsid w:val="00B15373"/>
    <w:rsid w:val="00B15639"/>
    <w:rsid w:val="00B15D15"/>
    <w:rsid w:val="00B15E42"/>
    <w:rsid w:val="00B15EEE"/>
    <w:rsid w:val="00B16198"/>
    <w:rsid w:val="00B16A2C"/>
    <w:rsid w:val="00B16FB6"/>
    <w:rsid w:val="00B17022"/>
    <w:rsid w:val="00B21736"/>
    <w:rsid w:val="00B218B1"/>
    <w:rsid w:val="00B21A33"/>
    <w:rsid w:val="00B224AA"/>
    <w:rsid w:val="00B22998"/>
    <w:rsid w:val="00B229FE"/>
    <w:rsid w:val="00B2302B"/>
    <w:rsid w:val="00B24363"/>
    <w:rsid w:val="00B2456E"/>
    <w:rsid w:val="00B24979"/>
    <w:rsid w:val="00B250A5"/>
    <w:rsid w:val="00B25651"/>
    <w:rsid w:val="00B26937"/>
    <w:rsid w:val="00B300BF"/>
    <w:rsid w:val="00B30243"/>
    <w:rsid w:val="00B30421"/>
    <w:rsid w:val="00B30DC8"/>
    <w:rsid w:val="00B315BB"/>
    <w:rsid w:val="00B31977"/>
    <w:rsid w:val="00B3235A"/>
    <w:rsid w:val="00B333FE"/>
    <w:rsid w:val="00B3382B"/>
    <w:rsid w:val="00B35094"/>
    <w:rsid w:val="00B350F0"/>
    <w:rsid w:val="00B357AC"/>
    <w:rsid w:val="00B35992"/>
    <w:rsid w:val="00B35E4B"/>
    <w:rsid w:val="00B35FCC"/>
    <w:rsid w:val="00B36518"/>
    <w:rsid w:val="00B378CC"/>
    <w:rsid w:val="00B41615"/>
    <w:rsid w:val="00B41FD8"/>
    <w:rsid w:val="00B420DF"/>
    <w:rsid w:val="00B428E2"/>
    <w:rsid w:val="00B42A2C"/>
    <w:rsid w:val="00B42A5C"/>
    <w:rsid w:val="00B42A98"/>
    <w:rsid w:val="00B42C64"/>
    <w:rsid w:val="00B448EF"/>
    <w:rsid w:val="00B47493"/>
    <w:rsid w:val="00B474C8"/>
    <w:rsid w:val="00B474DF"/>
    <w:rsid w:val="00B47915"/>
    <w:rsid w:val="00B50E18"/>
    <w:rsid w:val="00B513A9"/>
    <w:rsid w:val="00B51568"/>
    <w:rsid w:val="00B51610"/>
    <w:rsid w:val="00B5167B"/>
    <w:rsid w:val="00B520E3"/>
    <w:rsid w:val="00B52336"/>
    <w:rsid w:val="00B5388C"/>
    <w:rsid w:val="00B55CED"/>
    <w:rsid w:val="00B55D57"/>
    <w:rsid w:val="00B55F80"/>
    <w:rsid w:val="00B56480"/>
    <w:rsid w:val="00B565D6"/>
    <w:rsid w:val="00B576A4"/>
    <w:rsid w:val="00B57998"/>
    <w:rsid w:val="00B57CD0"/>
    <w:rsid w:val="00B57DA9"/>
    <w:rsid w:val="00B60177"/>
    <w:rsid w:val="00B60639"/>
    <w:rsid w:val="00B6308E"/>
    <w:rsid w:val="00B63D58"/>
    <w:rsid w:val="00B64E8A"/>
    <w:rsid w:val="00B65588"/>
    <w:rsid w:val="00B658D1"/>
    <w:rsid w:val="00B66064"/>
    <w:rsid w:val="00B66995"/>
    <w:rsid w:val="00B671A1"/>
    <w:rsid w:val="00B675A6"/>
    <w:rsid w:val="00B6794D"/>
    <w:rsid w:val="00B67B55"/>
    <w:rsid w:val="00B67C6C"/>
    <w:rsid w:val="00B70C61"/>
    <w:rsid w:val="00B70E5A"/>
    <w:rsid w:val="00B7220D"/>
    <w:rsid w:val="00B749B6"/>
    <w:rsid w:val="00B7509A"/>
    <w:rsid w:val="00B7613E"/>
    <w:rsid w:val="00B766C1"/>
    <w:rsid w:val="00B76966"/>
    <w:rsid w:val="00B76B96"/>
    <w:rsid w:val="00B76EFB"/>
    <w:rsid w:val="00B77129"/>
    <w:rsid w:val="00B77C37"/>
    <w:rsid w:val="00B807BF"/>
    <w:rsid w:val="00B809B1"/>
    <w:rsid w:val="00B82543"/>
    <w:rsid w:val="00B82998"/>
    <w:rsid w:val="00B834B0"/>
    <w:rsid w:val="00B837F6"/>
    <w:rsid w:val="00B83DAE"/>
    <w:rsid w:val="00B84FB4"/>
    <w:rsid w:val="00B8756E"/>
    <w:rsid w:val="00B87DF9"/>
    <w:rsid w:val="00B91951"/>
    <w:rsid w:val="00B91A58"/>
    <w:rsid w:val="00B91EAD"/>
    <w:rsid w:val="00B920B9"/>
    <w:rsid w:val="00B930D2"/>
    <w:rsid w:val="00B937CD"/>
    <w:rsid w:val="00B938BC"/>
    <w:rsid w:val="00B93997"/>
    <w:rsid w:val="00B93C98"/>
    <w:rsid w:val="00B976BB"/>
    <w:rsid w:val="00BA01A7"/>
    <w:rsid w:val="00BA0224"/>
    <w:rsid w:val="00BA05C8"/>
    <w:rsid w:val="00BA09AA"/>
    <w:rsid w:val="00BA0AD5"/>
    <w:rsid w:val="00BA0CA0"/>
    <w:rsid w:val="00BA0E3C"/>
    <w:rsid w:val="00BA1F74"/>
    <w:rsid w:val="00BA1FE7"/>
    <w:rsid w:val="00BA2B1D"/>
    <w:rsid w:val="00BA3D14"/>
    <w:rsid w:val="00BA435A"/>
    <w:rsid w:val="00BA54BA"/>
    <w:rsid w:val="00BA5603"/>
    <w:rsid w:val="00BA56D9"/>
    <w:rsid w:val="00BA6194"/>
    <w:rsid w:val="00BA7EEE"/>
    <w:rsid w:val="00BB2008"/>
    <w:rsid w:val="00BB29DF"/>
    <w:rsid w:val="00BB2CFC"/>
    <w:rsid w:val="00BB34DC"/>
    <w:rsid w:val="00BB35D0"/>
    <w:rsid w:val="00BB3AC4"/>
    <w:rsid w:val="00BB4999"/>
    <w:rsid w:val="00BB4BCD"/>
    <w:rsid w:val="00BB56C7"/>
    <w:rsid w:val="00BB5B62"/>
    <w:rsid w:val="00BB6502"/>
    <w:rsid w:val="00BB6BCD"/>
    <w:rsid w:val="00BB70F9"/>
    <w:rsid w:val="00BB7C9B"/>
    <w:rsid w:val="00BC1527"/>
    <w:rsid w:val="00BC2306"/>
    <w:rsid w:val="00BC2F31"/>
    <w:rsid w:val="00BC4036"/>
    <w:rsid w:val="00BC4F0A"/>
    <w:rsid w:val="00BC509F"/>
    <w:rsid w:val="00BC51D2"/>
    <w:rsid w:val="00BC64BE"/>
    <w:rsid w:val="00BC7155"/>
    <w:rsid w:val="00BC7550"/>
    <w:rsid w:val="00BD0B72"/>
    <w:rsid w:val="00BD2668"/>
    <w:rsid w:val="00BD3924"/>
    <w:rsid w:val="00BD450F"/>
    <w:rsid w:val="00BD4512"/>
    <w:rsid w:val="00BD52AA"/>
    <w:rsid w:val="00BE1061"/>
    <w:rsid w:val="00BE1321"/>
    <w:rsid w:val="00BE2893"/>
    <w:rsid w:val="00BE2EB4"/>
    <w:rsid w:val="00BE2F5A"/>
    <w:rsid w:val="00BE37D3"/>
    <w:rsid w:val="00BE4157"/>
    <w:rsid w:val="00BE522A"/>
    <w:rsid w:val="00BE57B5"/>
    <w:rsid w:val="00BE7A7C"/>
    <w:rsid w:val="00BF0A44"/>
    <w:rsid w:val="00BF0CEC"/>
    <w:rsid w:val="00BF1A44"/>
    <w:rsid w:val="00BF1EDF"/>
    <w:rsid w:val="00BF4D3D"/>
    <w:rsid w:val="00BF5B8C"/>
    <w:rsid w:val="00BF66B7"/>
    <w:rsid w:val="00BF6A68"/>
    <w:rsid w:val="00BF7152"/>
    <w:rsid w:val="00BF73F0"/>
    <w:rsid w:val="00BF75B1"/>
    <w:rsid w:val="00BF75C9"/>
    <w:rsid w:val="00BF7BD3"/>
    <w:rsid w:val="00C00352"/>
    <w:rsid w:val="00C007CE"/>
    <w:rsid w:val="00C00A22"/>
    <w:rsid w:val="00C00F18"/>
    <w:rsid w:val="00C01D39"/>
    <w:rsid w:val="00C0200C"/>
    <w:rsid w:val="00C020A8"/>
    <w:rsid w:val="00C034A4"/>
    <w:rsid w:val="00C03DD0"/>
    <w:rsid w:val="00C04445"/>
    <w:rsid w:val="00C04705"/>
    <w:rsid w:val="00C04A7F"/>
    <w:rsid w:val="00C04E2B"/>
    <w:rsid w:val="00C051AA"/>
    <w:rsid w:val="00C05B19"/>
    <w:rsid w:val="00C060A0"/>
    <w:rsid w:val="00C07187"/>
    <w:rsid w:val="00C075C9"/>
    <w:rsid w:val="00C07FAD"/>
    <w:rsid w:val="00C106C4"/>
    <w:rsid w:val="00C111EA"/>
    <w:rsid w:val="00C119AD"/>
    <w:rsid w:val="00C1228D"/>
    <w:rsid w:val="00C13FED"/>
    <w:rsid w:val="00C14E7D"/>
    <w:rsid w:val="00C15722"/>
    <w:rsid w:val="00C16897"/>
    <w:rsid w:val="00C200C9"/>
    <w:rsid w:val="00C21D8E"/>
    <w:rsid w:val="00C22525"/>
    <w:rsid w:val="00C23DBB"/>
    <w:rsid w:val="00C23FE1"/>
    <w:rsid w:val="00C2410D"/>
    <w:rsid w:val="00C24BAF"/>
    <w:rsid w:val="00C25F8B"/>
    <w:rsid w:val="00C265C0"/>
    <w:rsid w:val="00C26B9E"/>
    <w:rsid w:val="00C272EF"/>
    <w:rsid w:val="00C2732B"/>
    <w:rsid w:val="00C2753F"/>
    <w:rsid w:val="00C276A8"/>
    <w:rsid w:val="00C27975"/>
    <w:rsid w:val="00C300BC"/>
    <w:rsid w:val="00C318F7"/>
    <w:rsid w:val="00C319D2"/>
    <w:rsid w:val="00C31F85"/>
    <w:rsid w:val="00C32534"/>
    <w:rsid w:val="00C326EE"/>
    <w:rsid w:val="00C32951"/>
    <w:rsid w:val="00C32C02"/>
    <w:rsid w:val="00C33235"/>
    <w:rsid w:val="00C33677"/>
    <w:rsid w:val="00C34137"/>
    <w:rsid w:val="00C3476B"/>
    <w:rsid w:val="00C35240"/>
    <w:rsid w:val="00C368B3"/>
    <w:rsid w:val="00C36F07"/>
    <w:rsid w:val="00C37214"/>
    <w:rsid w:val="00C372E8"/>
    <w:rsid w:val="00C409DC"/>
    <w:rsid w:val="00C40B1B"/>
    <w:rsid w:val="00C40E88"/>
    <w:rsid w:val="00C416A3"/>
    <w:rsid w:val="00C41785"/>
    <w:rsid w:val="00C41FC1"/>
    <w:rsid w:val="00C434C2"/>
    <w:rsid w:val="00C43940"/>
    <w:rsid w:val="00C44342"/>
    <w:rsid w:val="00C44694"/>
    <w:rsid w:val="00C44744"/>
    <w:rsid w:val="00C457C1"/>
    <w:rsid w:val="00C46625"/>
    <w:rsid w:val="00C46870"/>
    <w:rsid w:val="00C47545"/>
    <w:rsid w:val="00C47593"/>
    <w:rsid w:val="00C5044B"/>
    <w:rsid w:val="00C506BD"/>
    <w:rsid w:val="00C50E55"/>
    <w:rsid w:val="00C51426"/>
    <w:rsid w:val="00C51622"/>
    <w:rsid w:val="00C51FB3"/>
    <w:rsid w:val="00C5223C"/>
    <w:rsid w:val="00C52A35"/>
    <w:rsid w:val="00C53213"/>
    <w:rsid w:val="00C53917"/>
    <w:rsid w:val="00C541DE"/>
    <w:rsid w:val="00C54C11"/>
    <w:rsid w:val="00C54C67"/>
    <w:rsid w:val="00C54E65"/>
    <w:rsid w:val="00C56324"/>
    <w:rsid w:val="00C5653B"/>
    <w:rsid w:val="00C565A3"/>
    <w:rsid w:val="00C577F7"/>
    <w:rsid w:val="00C60667"/>
    <w:rsid w:val="00C61AB9"/>
    <w:rsid w:val="00C61F84"/>
    <w:rsid w:val="00C62FF7"/>
    <w:rsid w:val="00C63135"/>
    <w:rsid w:val="00C637DC"/>
    <w:rsid w:val="00C63EE8"/>
    <w:rsid w:val="00C6432E"/>
    <w:rsid w:val="00C65718"/>
    <w:rsid w:val="00C65C81"/>
    <w:rsid w:val="00C66772"/>
    <w:rsid w:val="00C66D2B"/>
    <w:rsid w:val="00C67580"/>
    <w:rsid w:val="00C6781C"/>
    <w:rsid w:val="00C67EA1"/>
    <w:rsid w:val="00C70AEE"/>
    <w:rsid w:val="00C71D15"/>
    <w:rsid w:val="00C7234D"/>
    <w:rsid w:val="00C7244E"/>
    <w:rsid w:val="00C726C9"/>
    <w:rsid w:val="00C72801"/>
    <w:rsid w:val="00C72C0A"/>
    <w:rsid w:val="00C73E67"/>
    <w:rsid w:val="00C73FAD"/>
    <w:rsid w:val="00C74AE1"/>
    <w:rsid w:val="00C757B8"/>
    <w:rsid w:val="00C76906"/>
    <w:rsid w:val="00C76B7C"/>
    <w:rsid w:val="00C76CC7"/>
    <w:rsid w:val="00C76F81"/>
    <w:rsid w:val="00C776A4"/>
    <w:rsid w:val="00C800DD"/>
    <w:rsid w:val="00C80920"/>
    <w:rsid w:val="00C80B03"/>
    <w:rsid w:val="00C8243F"/>
    <w:rsid w:val="00C8289B"/>
    <w:rsid w:val="00C82D54"/>
    <w:rsid w:val="00C82F3B"/>
    <w:rsid w:val="00C837C4"/>
    <w:rsid w:val="00C83829"/>
    <w:rsid w:val="00C83EDD"/>
    <w:rsid w:val="00C84BF1"/>
    <w:rsid w:val="00C84CA2"/>
    <w:rsid w:val="00C85A36"/>
    <w:rsid w:val="00C85CD1"/>
    <w:rsid w:val="00C86C56"/>
    <w:rsid w:val="00C8773E"/>
    <w:rsid w:val="00C90601"/>
    <w:rsid w:val="00C90D16"/>
    <w:rsid w:val="00C9116A"/>
    <w:rsid w:val="00C9265D"/>
    <w:rsid w:val="00C92824"/>
    <w:rsid w:val="00C937BA"/>
    <w:rsid w:val="00C949FC"/>
    <w:rsid w:val="00C960CF"/>
    <w:rsid w:val="00C96672"/>
    <w:rsid w:val="00C96678"/>
    <w:rsid w:val="00C96772"/>
    <w:rsid w:val="00C96CFA"/>
    <w:rsid w:val="00C96E5A"/>
    <w:rsid w:val="00C96EB5"/>
    <w:rsid w:val="00CA0257"/>
    <w:rsid w:val="00CA0917"/>
    <w:rsid w:val="00CA102B"/>
    <w:rsid w:val="00CA283D"/>
    <w:rsid w:val="00CA29D1"/>
    <w:rsid w:val="00CA2DD6"/>
    <w:rsid w:val="00CA3247"/>
    <w:rsid w:val="00CA3752"/>
    <w:rsid w:val="00CA3999"/>
    <w:rsid w:val="00CA39C0"/>
    <w:rsid w:val="00CA5AD3"/>
    <w:rsid w:val="00CA62DD"/>
    <w:rsid w:val="00CA69BA"/>
    <w:rsid w:val="00CA7DE6"/>
    <w:rsid w:val="00CB0339"/>
    <w:rsid w:val="00CB110E"/>
    <w:rsid w:val="00CB11F8"/>
    <w:rsid w:val="00CB225B"/>
    <w:rsid w:val="00CB2EF5"/>
    <w:rsid w:val="00CB33E4"/>
    <w:rsid w:val="00CB4230"/>
    <w:rsid w:val="00CB431B"/>
    <w:rsid w:val="00CB4A77"/>
    <w:rsid w:val="00CB4EA5"/>
    <w:rsid w:val="00CB557F"/>
    <w:rsid w:val="00CB592B"/>
    <w:rsid w:val="00CB5C5F"/>
    <w:rsid w:val="00CB600E"/>
    <w:rsid w:val="00CB65B8"/>
    <w:rsid w:val="00CB6CDF"/>
    <w:rsid w:val="00CB7264"/>
    <w:rsid w:val="00CB730F"/>
    <w:rsid w:val="00CB761C"/>
    <w:rsid w:val="00CB76B5"/>
    <w:rsid w:val="00CB7AD6"/>
    <w:rsid w:val="00CC0495"/>
    <w:rsid w:val="00CC110F"/>
    <w:rsid w:val="00CC11B8"/>
    <w:rsid w:val="00CC1AF9"/>
    <w:rsid w:val="00CC20E0"/>
    <w:rsid w:val="00CC2818"/>
    <w:rsid w:val="00CC2F7A"/>
    <w:rsid w:val="00CC3A70"/>
    <w:rsid w:val="00CC4033"/>
    <w:rsid w:val="00CC40B8"/>
    <w:rsid w:val="00CC5444"/>
    <w:rsid w:val="00CC5631"/>
    <w:rsid w:val="00CC62A6"/>
    <w:rsid w:val="00CC676C"/>
    <w:rsid w:val="00CC7A11"/>
    <w:rsid w:val="00CD02FD"/>
    <w:rsid w:val="00CD04A8"/>
    <w:rsid w:val="00CD051B"/>
    <w:rsid w:val="00CD1DB1"/>
    <w:rsid w:val="00CD22B5"/>
    <w:rsid w:val="00CD22F4"/>
    <w:rsid w:val="00CD25E1"/>
    <w:rsid w:val="00CD367C"/>
    <w:rsid w:val="00CD454A"/>
    <w:rsid w:val="00CD4F54"/>
    <w:rsid w:val="00CD4FFE"/>
    <w:rsid w:val="00CD57FA"/>
    <w:rsid w:val="00CD5A6E"/>
    <w:rsid w:val="00CD711F"/>
    <w:rsid w:val="00CD74A7"/>
    <w:rsid w:val="00CD79B2"/>
    <w:rsid w:val="00CE157C"/>
    <w:rsid w:val="00CE1AF6"/>
    <w:rsid w:val="00CE2298"/>
    <w:rsid w:val="00CE3064"/>
    <w:rsid w:val="00CE39E4"/>
    <w:rsid w:val="00CE4282"/>
    <w:rsid w:val="00CE54E1"/>
    <w:rsid w:val="00CE55B6"/>
    <w:rsid w:val="00CE5856"/>
    <w:rsid w:val="00CE5BDE"/>
    <w:rsid w:val="00CE66E0"/>
    <w:rsid w:val="00CE6A6D"/>
    <w:rsid w:val="00CE774C"/>
    <w:rsid w:val="00CF012E"/>
    <w:rsid w:val="00CF04D4"/>
    <w:rsid w:val="00CF0B4C"/>
    <w:rsid w:val="00CF1680"/>
    <w:rsid w:val="00CF1BD7"/>
    <w:rsid w:val="00CF21A5"/>
    <w:rsid w:val="00CF2518"/>
    <w:rsid w:val="00CF2DDE"/>
    <w:rsid w:val="00CF344A"/>
    <w:rsid w:val="00CF39A0"/>
    <w:rsid w:val="00CF3D1C"/>
    <w:rsid w:val="00CF4713"/>
    <w:rsid w:val="00CF4B12"/>
    <w:rsid w:val="00CF58FE"/>
    <w:rsid w:val="00CF5EBE"/>
    <w:rsid w:val="00CF783B"/>
    <w:rsid w:val="00CF7D97"/>
    <w:rsid w:val="00CF7EEC"/>
    <w:rsid w:val="00D001C2"/>
    <w:rsid w:val="00D00779"/>
    <w:rsid w:val="00D009D8"/>
    <w:rsid w:val="00D012E1"/>
    <w:rsid w:val="00D01318"/>
    <w:rsid w:val="00D01665"/>
    <w:rsid w:val="00D01D1E"/>
    <w:rsid w:val="00D02580"/>
    <w:rsid w:val="00D03BF7"/>
    <w:rsid w:val="00D03F1E"/>
    <w:rsid w:val="00D0428E"/>
    <w:rsid w:val="00D04426"/>
    <w:rsid w:val="00D0482F"/>
    <w:rsid w:val="00D04A33"/>
    <w:rsid w:val="00D05892"/>
    <w:rsid w:val="00D06824"/>
    <w:rsid w:val="00D06C03"/>
    <w:rsid w:val="00D1037A"/>
    <w:rsid w:val="00D10D09"/>
    <w:rsid w:val="00D1163E"/>
    <w:rsid w:val="00D12362"/>
    <w:rsid w:val="00D12A4F"/>
    <w:rsid w:val="00D14C15"/>
    <w:rsid w:val="00D15CB3"/>
    <w:rsid w:val="00D15F51"/>
    <w:rsid w:val="00D16ED5"/>
    <w:rsid w:val="00D202B1"/>
    <w:rsid w:val="00D20662"/>
    <w:rsid w:val="00D21291"/>
    <w:rsid w:val="00D21C8A"/>
    <w:rsid w:val="00D2297E"/>
    <w:rsid w:val="00D22DE5"/>
    <w:rsid w:val="00D233BD"/>
    <w:rsid w:val="00D233D7"/>
    <w:rsid w:val="00D23CBB"/>
    <w:rsid w:val="00D25806"/>
    <w:rsid w:val="00D25E9D"/>
    <w:rsid w:val="00D25F1C"/>
    <w:rsid w:val="00D26DE6"/>
    <w:rsid w:val="00D26EE7"/>
    <w:rsid w:val="00D30718"/>
    <w:rsid w:val="00D322FB"/>
    <w:rsid w:val="00D32475"/>
    <w:rsid w:val="00D32EF4"/>
    <w:rsid w:val="00D33F81"/>
    <w:rsid w:val="00D34850"/>
    <w:rsid w:val="00D35060"/>
    <w:rsid w:val="00D369D4"/>
    <w:rsid w:val="00D36AD7"/>
    <w:rsid w:val="00D373E9"/>
    <w:rsid w:val="00D37C61"/>
    <w:rsid w:val="00D403FF"/>
    <w:rsid w:val="00D404C4"/>
    <w:rsid w:val="00D40CE9"/>
    <w:rsid w:val="00D42115"/>
    <w:rsid w:val="00D42EFD"/>
    <w:rsid w:val="00D457D1"/>
    <w:rsid w:val="00D458AA"/>
    <w:rsid w:val="00D46338"/>
    <w:rsid w:val="00D46BA2"/>
    <w:rsid w:val="00D47234"/>
    <w:rsid w:val="00D47281"/>
    <w:rsid w:val="00D47581"/>
    <w:rsid w:val="00D50295"/>
    <w:rsid w:val="00D5069A"/>
    <w:rsid w:val="00D50E43"/>
    <w:rsid w:val="00D51469"/>
    <w:rsid w:val="00D52B45"/>
    <w:rsid w:val="00D530EB"/>
    <w:rsid w:val="00D53393"/>
    <w:rsid w:val="00D535B6"/>
    <w:rsid w:val="00D55235"/>
    <w:rsid w:val="00D55D78"/>
    <w:rsid w:val="00D572B2"/>
    <w:rsid w:val="00D57D39"/>
    <w:rsid w:val="00D57F53"/>
    <w:rsid w:val="00D60CAB"/>
    <w:rsid w:val="00D610FD"/>
    <w:rsid w:val="00D612AF"/>
    <w:rsid w:val="00D619F3"/>
    <w:rsid w:val="00D62A5B"/>
    <w:rsid w:val="00D62B43"/>
    <w:rsid w:val="00D62ECD"/>
    <w:rsid w:val="00D63748"/>
    <w:rsid w:val="00D639F0"/>
    <w:rsid w:val="00D63C1B"/>
    <w:rsid w:val="00D63D76"/>
    <w:rsid w:val="00D64BFF"/>
    <w:rsid w:val="00D64DE1"/>
    <w:rsid w:val="00D64E3F"/>
    <w:rsid w:val="00D653D0"/>
    <w:rsid w:val="00D6692A"/>
    <w:rsid w:val="00D66E55"/>
    <w:rsid w:val="00D674E9"/>
    <w:rsid w:val="00D6799A"/>
    <w:rsid w:val="00D7009C"/>
    <w:rsid w:val="00D70F17"/>
    <w:rsid w:val="00D712DA"/>
    <w:rsid w:val="00D719EF"/>
    <w:rsid w:val="00D72327"/>
    <w:rsid w:val="00D727E0"/>
    <w:rsid w:val="00D72B87"/>
    <w:rsid w:val="00D72C72"/>
    <w:rsid w:val="00D74160"/>
    <w:rsid w:val="00D75D22"/>
    <w:rsid w:val="00D75DA5"/>
    <w:rsid w:val="00D76C58"/>
    <w:rsid w:val="00D76CF2"/>
    <w:rsid w:val="00D76E7C"/>
    <w:rsid w:val="00D80B40"/>
    <w:rsid w:val="00D8155B"/>
    <w:rsid w:val="00D81E79"/>
    <w:rsid w:val="00D825A5"/>
    <w:rsid w:val="00D825B7"/>
    <w:rsid w:val="00D8290E"/>
    <w:rsid w:val="00D82AD1"/>
    <w:rsid w:val="00D82E6E"/>
    <w:rsid w:val="00D83040"/>
    <w:rsid w:val="00D8323B"/>
    <w:rsid w:val="00D83489"/>
    <w:rsid w:val="00D83D13"/>
    <w:rsid w:val="00D841AC"/>
    <w:rsid w:val="00D8589D"/>
    <w:rsid w:val="00D85A81"/>
    <w:rsid w:val="00D86466"/>
    <w:rsid w:val="00D870E8"/>
    <w:rsid w:val="00D87423"/>
    <w:rsid w:val="00D87452"/>
    <w:rsid w:val="00D87485"/>
    <w:rsid w:val="00D907CB"/>
    <w:rsid w:val="00D91BF2"/>
    <w:rsid w:val="00D93C1C"/>
    <w:rsid w:val="00D94026"/>
    <w:rsid w:val="00D94120"/>
    <w:rsid w:val="00D951DD"/>
    <w:rsid w:val="00D952ED"/>
    <w:rsid w:val="00D957FA"/>
    <w:rsid w:val="00D9664C"/>
    <w:rsid w:val="00D97404"/>
    <w:rsid w:val="00D975A3"/>
    <w:rsid w:val="00D979D0"/>
    <w:rsid w:val="00DA08CA"/>
    <w:rsid w:val="00DA0F37"/>
    <w:rsid w:val="00DA101A"/>
    <w:rsid w:val="00DA122C"/>
    <w:rsid w:val="00DA2FD5"/>
    <w:rsid w:val="00DA4838"/>
    <w:rsid w:val="00DA4989"/>
    <w:rsid w:val="00DA5721"/>
    <w:rsid w:val="00DA6173"/>
    <w:rsid w:val="00DA7477"/>
    <w:rsid w:val="00DA7573"/>
    <w:rsid w:val="00DA7BD4"/>
    <w:rsid w:val="00DB0191"/>
    <w:rsid w:val="00DB0359"/>
    <w:rsid w:val="00DB0EF6"/>
    <w:rsid w:val="00DB0F8A"/>
    <w:rsid w:val="00DB26A8"/>
    <w:rsid w:val="00DB27CF"/>
    <w:rsid w:val="00DB324C"/>
    <w:rsid w:val="00DB3FD3"/>
    <w:rsid w:val="00DB5F2A"/>
    <w:rsid w:val="00DB6F45"/>
    <w:rsid w:val="00DB72B7"/>
    <w:rsid w:val="00DB7546"/>
    <w:rsid w:val="00DC0624"/>
    <w:rsid w:val="00DC0FC3"/>
    <w:rsid w:val="00DC1A58"/>
    <w:rsid w:val="00DC1AC0"/>
    <w:rsid w:val="00DC1CDD"/>
    <w:rsid w:val="00DC1D8E"/>
    <w:rsid w:val="00DC20C3"/>
    <w:rsid w:val="00DC227A"/>
    <w:rsid w:val="00DC2360"/>
    <w:rsid w:val="00DC26E4"/>
    <w:rsid w:val="00DC2BAE"/>
    <w:rsid w:val="00DC2CEE"/>
    <w:rsid w:val="00DC3257"/>
    <w:rsid w:val="00DC3279"/>
    <w:rsid w:val="00DC3BF1"/>
    <w:rsid w:val="00DC4D1D"/>
    <w:rsid w:val="00DC4D87"/>
    <w:rsid w:val="00DC54EB"/>
    <w:rsid w:val="00DC580A"/>
    <w:rsid w:val="00DC5B50"/>
    <w:rsid w:val="00DC66BC"/>
    <w:rsid w:val="00DC727F"/>
    <w:rsid w:val="00DC7E78"/>
    <w:rsid w:val="00DD0493"/>
    <w:rsid w:val="00DD0924"/>
    <w:rsid w:val="00DD0CBF"/>
    <w:rsid w:val="00DD1071"/>
    <w:rsid w:val="00DD12FD"/>
    <w:rsid w:val="00DD1576"/>
    <w:rsid w:val="00DD2893"/>
    <w:rsid w:val="00DD4717"/>
    <w:rsid w:val="00DD4F74"/>
    <w:rsid w:val="00DD531F"/>
    <w:rsid w:val="00DD556C"/>
    <w:rsid w:val="00DD5737"/>
    <w:rsid w:val="00DD5E81"/>
    <w:rsid w:val="00DD6C46"/>
    <w:rsid w:val="00DD6C7A"/>
    <w:rsid w:val="00DD6F44"/>
    <w:rsid w:val="00DD7CCA"/>
    <w:rsid w:val="00DE0BDE"/>
    <w:rsid w:val="00DE10CF"/>
    <w:rsid w:val="00DE1270"/>
    <w:rsid w:val="00DE1E1E"/>
    <w:rsid w:val="00DE223E"/>
    <w:rsid w:val="00DE2D33"/>
    <w:rsid w:val="00DE34EB"/>
    <w:rsid w:val="00DE3592"/>
    <w:rsid w:val="00DE3E78"/>
    <w:rsid w:val="00DE41F8"/>
    <w:rsid w:val="00DE4B9D"/>
    <w:rsid w:val="00DE50EA"/>
    <w:rsid w:val="00DE545C"/>
    <w:rsid w:val="00DE5C9F"/>
    <w:rsid w:val="00DE734E"/>
    <w:rsid w:val="00DE7887"/>
    <w:rsid w:val="00DE7BF8"/>
    <w:rsid w:val="00DF0DC3"/>
    <w:rsid w:val="00DF14F9"/>
    <w:rsid w:val="00DF1C2D"/>
    <w:rsid w:val="00DF1FAE"/>
    <w:rsid w:val="00DF2AD9"/>
    <w:rsid w:val="00DF54D0"/>
    <w:rsid w:val="00DF580C"/>
    <w:rsid w:val="00DF5C1A"/>
    <w:rsid w:val="00DF6BCB"/>
    <w:rsid w:val="00DF6D45"/>
    <w:rsid w:val="00DF7042"/>
    <w:rsid w:val="00DF78FD"/>
    <w:rsid w:val="00DF7EFE"/>
    <w:rsid w:val="00E00E15"/>
    <w:rsid w:val="00E00F63"/>
    <w:rsid w:val="00E01210"/>
    <w:rsid w:val="00E01D50"/>
    <w:rsid w:val="00E02664"/>
    <w:rsid w:val="00E02C4D"/>
    <w:rsid w:val="00E031A5"/>
    <w:rsid w:val="00E0341B"/>
    <w:rsid w:val="00E0348F"/>
    <w:rsid w:val="00E035A6"/>
    <w:rsid w:val="00E038F5"/>
    <w:rsid w:val="00E03D67"/>
    <w:rsid w:val="00E04510"/>
    <w:rsid w:val="00E04784"/>
    <w:rsid w:val="00E05569"/>
    <w:rsid w:val="00E05A6C"/>
    <w:rsid w:val="00E05F59"/>
    <w:rsid w:val="00E0655D"/>
    <w:rsid w:val="00E1024A"/>
    <w:rsid w:val="00E10B17"/>
    <w:rsid w:val="00E10B67"/>
    <w:rsid w:val="00E12742"/>
    <w:rsid w:val="00E12AB9"/>
    <w:rsid w:val="00E12B67"/>
    <w:rsid w:val="00E141D3"/>
    <w:rsid w:val="00E14941"/>
    <w:rsid w:val="00E1526B"/>
    <w:rsid w:val="00E1534B"/>
    <w:rsid w:val="00E15408"/>
    <w:rsid w:val="00E15743"/>
    <w:rsid w:val="00E15C52"/>
    <w:rsid w:val="00E15EDA"/>
    <w:rsid w:val="00E15F0B"/>
    <w:rsid w:val="00E160E8"/>
    <w:rsid w:val="00E16199"/>
    <w:rsid w:val="00E16311"/>
    <w:rsid w:val="00E1702C"/>
    <w:rsid w:val="00E20CC5"/>
    <w:rsid w:val="00E21ACA"/>
    <w:rsid w:val="00E22B80"/>
    <w:rsid w:val="00E22C0E"/>
    <w:rsid w:val="00E22CFF"/>
    <w:rsid w:val="00E231CD"/>
    <w:rsid w:val="00E231E1"/>
    <w:rsid w:val="00E23888"/>
    <w:rsid w:val="00E23B9C"/>
    <w:rsid w:val="00E23CE3"/>
    <w:rsid w:val="00E23CF7"/>
    <w:rsid w:val="00E23E76"/>
    <w:rsid w:val="00E249DB"/>
    <w:rsid w:val="00E253A3"/>
    <w:rsid w:val="00E25402"/>
    <w:rsid w:val="00E259B0"/>
    <w:rsid w:val="00E25AF8"/>
    <w:rsid w:val="00E26AEC"/>
    <w:rsid w:val="00E2757B"/>
    <w:rsid w:val="00E2792D"/>
    <w:rsid w:val="00E30828"/>
    <w:rsid w:val="00E30B37"/>
    <w:rsid w:val="00E3109C"/>
    <w:rsid w:val="00E311D1"/>
    <w:rsid w:val="00E31C2D"/>
    <w:rsid w:val="00E32432"/>
    <w:rsid w:val="00E33B1E"/>
    <w:rsid w:val="00E34277"/>
    <w:rsid w:val="00E3621B"/>
    <w:rsid w:val="00E36F43"/>
    <w:rsid w:val="00E37F0C"/>
    <w:rsid w:val="00E40ADF"/>
    <w:rsid w:val="00E418E3"/>
    <w:rsid w:val="00E423DE"/>
    <w:rsid w:val="00E42F07"/>
    <w:rsid w:val="00E4370F"/>
    <w:rsid w:val="00E4441D"/>
    <w:rsid w:val="00E453AB"/>
    <w:rsid w:val="00E462E6"/>
    <w:rsid w:val="00E463A0"/>
    <w:rsid w:val="00E47839"/>
    <w:rsid w:val="00E51CDE"/>
    <w:rsid w:val="00E5210B"/>
    <w:rsid w:val="00E53631"/>
    <w:rsid w:val="00E5388F"/>
    <w:rsid w:val="00E54239"/>
    <w:rsid w:val="00E54272"/>
    <w:rsid w:val="00E542BC"/>
    <w:rsid w:val="00E54521"/>
    <w:rsid w:val="00E54617"/>
    <w:rsid w:val="00E5484B"/>
    <w:rsid w:val="00E54FB3"/>
    <w:rsid w:val="00E56023"/>
    <w:rsid w:val="00E56228"/>
    <w:rsid w:val="00E56D6E"/>
    <w:rsid w:val="00E56FEF"/>
    <w:rsid w:val="00E577F9"/>
    <w:rsid w:val="00E57FB5"/>
    <w:rsid w:val="00E60F14"/>
    <w:rsid w:val="00E61B23"/>
    <w:rsid w:val="00E625BE"/>
    <w:rsid w:val="00E6284B"/>
    <w:rsid w:val="00E62D07"/>
    <w:rsid w:val="00E62DF6"/>
    <w:rsid w:val="00E63A22"/>
    <w:rsid w:val="00E63B8F"/>
    <w:rsid w:val="00E646B5"/>
    <w:rsid w:val="00E65427"/>
    <w:rsid w:val="00E6543F"/>
    <w:rsid w:val="00E661C0"/>
    <w:rsid w:val="00E663F5"/>
    <w:rsid w:val="00E66E97"/>
    <w:rsid w:val="00E70BD6"/>
    <w:rsid w:val="00E71305"/>
    <w:rsid w:val="00E72383"/>
    <w:rsid w:val="00E724D2"/>
    <w:rsid w:val="00E72D9F"/>
    <w:rsid w:val="00E73C41"/>
    <w:rsid w:val="00E74933"/>
    <w:rsid w:val="00E74EDC"/>
    <w:rsid w:val="00E75737"/>
    <w:rsid w:val="00E75875"/>
    <w:rsid w:val="00E75886"/>
    <w:rsid w:val="00E75D6E"/>
    <w:rsid w:val="00E76007"/>
    <w:rsid w:val="00E76181"/>
    <w:rsid w:val="00E770F2"/>
    <w:rsid w:val="00E77EAC"/>
    <w:rsid w:val="00E81069"/>
    <w:rsid w:val="00E817AD"/>
    <w:rsid w:val="00E817EF"/>
    <w:rsid w:val="00E8184F"/>
    <w:rsid w:val="00E828D5"/>
    <w:rsid w:val="00E82D81"/>
    <w:rsid w:val="00E83259"/>
    <w:rsid w:val="00E839BE"/>
    <w:rsid w:val="00E83CAC"/>
    <w:rsid w:val="00E84C89"/>
    <w:rsid w:val="00E85E56"/>
    <w:rsid w:val="00E860DD"/>
    <w:rsid w:val="00E8713D"/>
    <w:rsid w:val="00E90329"/>
    <w:rsid w:val="00E910D5"/>
    <w:rsid w:val="00E922C4"/>
    <w:rsid w:val="00E943AE"/>
    <w:rsid w:val="00E947B0"/>
    <w:rsid w:val="00E95D82"/>
    <w:rsid w:val="00E95F21"/>
    <w:rsid w:val="00E96273"/>
    <w:rsid w:val="00E96E97"/>
    <w:rsid w:val="00E97D49"/>
    <w:rsid w:val="00EA0251"/>
    <w:rsid w:val="00EA1065"/>
    <w:rsid w:val="00EA1434"/>
    <w:rsid w:val="00EA3C3E"/>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5DA"/>
    <w:rsid w:val="00EB190F"/>
    <w:rsid w:val="00EB235B"/>
    <w:rsid w:val="00EB31A3"/>
    <w:rsid w:val="00EB325B"/>
    <w:rsid w:val="00EB3E22"/>
    <w:rsid w:val="00EB693B"/>
    <w:rsid w:val="00EB7BA9"/>
    <w:rsid w:val="00EB7D75"/>
    <w:rsid w:val="00EC0B20"/>
    <w:rsid w:val="00EC0EE7"/>
    <w:rsid w:val="00EC1C3A"/>
    <w:rsid w:val="00EC1F51"/>
    <w:rsid w:val="00EC2B1D"/>
    <w:rsid w:val="00EC4233"/>
    <w:rsid w:val="00EC4544"/>
    <w:rsid w:val="00EC4A85"/>
    <w:rsid w:val="00EC57B2"/>
    <w:rsid w:val="00EC58F4"/>
    <w:rsid w:val="00EC650B"/>
    <w:rsid w:val="00EC7808"/>
    <w:rsid w:val="00EC7BFA"/>
    <w:rsid w:val="00ED042E"/>
    <w:rsid w:val="00ED1295"/>
    <w:rsid w:val="00ED2725"/>
    <w:rsid w:val="00ED34D1"/>
    <w:rsid w:val="00ED367F"/>
    <w:rsid w:val="00ED4206"/>
    <w:rsid w:val="00ED58A2"/>
    <w:rsid w:val="00ED58C3"/>
    <w:rsid w:val="00ED5C71"/>
    <w:rsid w:val="00ED5EEE"/>
    <w:rsid w:val="00ED667C"/>
    <w:rsid w:val="00ED7966"/>
    <w:rsid w:val="00EE01CC"/>
    <w:rsid w:val="00EE04EE"/>
    <w:rsid w:val="00EE1760"/>
    <w:rsid w:val="00EE287D"/>
    <w:rsid w:val="00EE3B32"/>
    <w:rsid w:val="00EE3CFF"/>
    <w:rsid w:val="00EE3F39"/>
    <w:rsid w:val="00EE414C"/>
    <w:rsid w:val="00EE44FE"/>
    <w:rsid w:val="00EE5406"/>
    <w:rsid w:val="00EE5EF8"/>
    <w:rsid w:val="00EE6964"/>
    <w:rsid w:val="00EE6A1D"/>
    <w:rsid w:val="00EE6D18"/>
    <w:rsid w:val="00EE7E7A"/>
    <w:rsid w:val="00EF1230"/>
    <w:rsid w:val="00EF223B"/>
    <w:rsid w:val="00EF29DE"/>
    <w:rsid w:val="00EF3978"/>
    <w:rsid w:val="00EF3AAC"/>
    <w:rsid w:val="00EF4D42"/>
    <w:rsid w:val="00EF4FD1"/>
    <w:rsid w:val="00EF5318"/>
    <w:rsid w:val="00EF708A"/>
    <w:rsid w:val="00EF72C3"/>
    <w:rsid w:val="00EF79CE"/>
    <w:rsid w:val="00F00152"/>
    <w:rsid w:val="00F00352"/>
    <w:rsid w:val="00F00B1B"/>
    <w:rsid w:val="00F00E37"/>
    <w:rsid w:val="00F010EE"/>
    <w:rsid w:val="00F01383"/>
    <w:rsid w:val="00F0167D"/>
    <w:rsid w:val="00F0177A"/>
    <w:rsid w:val="00F019D5"/>
    <w:rsid w:val="00F02500"/>
    <w:rsid w:val="00F032E2"/>
    <w:rsid w:val="00F037E3"/>
    <w:rsid w:val="00F03FF2"/>
    <w:rsid w:val="00F04F9E"/>
    <w:rsid w:val="00F06A47"/>
    <w:rsid w:val="00F0717F"/>
    <w:rsid w:val="00F0747A"/>
    <w:rsid w:val="00F07849"/>
    <w:rsid w:val="00F07882"/>
    <w:rsid w:val="00F07883"/>
    <w:rsid w:val="00F10177"/>
    <w:rsid w:val="00F10D83"/>
    <w:rsid w:val="00F1196B"/>
    <w:rsid w:val="00F11A6A"/>
    <w:rsid w:val="00F126BD"/>
    <w:rsid w:val="00F13433"/>
    <w:rsid w:val="00F134FC"/>
    <w:rsid w:val="00F1350E"/>
    <w:rsid w:val="00F14419"/>
    <w:rsid w:val="00F1470E"/>
    <w:rsid w:val="00F147A5"/>
    <w:rsid w:val="00F14AA7"/>
    <w:rsid w:val="00F15884"/>
    <w:rsid w:val="00F15B8E"/>
    <w:rsid w:val="00F16665"/>
    <w:rsid w:val="00F16FB0"/>
    <w:rsid w:val="00F1733B"/>
    <w:rsid w:val="00F17474"/>
    <w:rsid w:val="00F201CC"/>
    <w:rsid w:val="00F20487"/>
    <w:rsid w:val="00F20F65"/>
    <w:rsid w:val="00F2106D"/>
    <w:rsid w:val="00F22337"/>
    <w:rsid w:val="00F22D65"/>
    <w:rsid w:val="00F23175"/>
    <w:rsid w:val="00F23FB0"/>
    <w:rsid w:val="00F2480A"/>
    <w:rsid w:val="00F24891"/>
    <w:rsid w:val="00F24B9F"/>
    <w:rsid w:val="00F24CA6"/>
    <w:rsid w:val="00F256AE"/>
    <w:rsid w:val="00F25773"/>
    <w:rsid w:val="00F257FA"/>
    <w:rsid w:val="00F26004"/>
    <w:rsid w:val="00F270E8"/>
    <w:rsid w:val="00F27EF5"/>
    <w:rsid w:val="00F27FDB"/>
    <w:rsid w:val="00F30251"/>
    <w:rsid w:val="00F305CC"/>
    <w:rsid w:val="00F3179A"/>
    <w:rsid w:val="00F31D54"/>
    <w:rsid w:val="00F32357"/>
    <w:rsid w:val="00F32C70"/>
    <w:rsid w:val="00F34E02"/>
    <w:rsid w:val="00F3549E"/>
    <w:rsid w:val="00F365A7"/>
    <w:rsid w:val="00F3681C"/>
    <w:rsid w:val="00F3769D"/>
    <w:rsid w:val="00F404F4"/>
    <w:rsid w:val="00F4143E"/>
    <w:rsid w:val="00F41CC5"/>
    <w:rsid w:val="00F41D25"/>
    <w:rsid w:val="00F423C2"/>
    <w:rsid w:val="00F433F8"/>
    <w:rsid w:val="00F433FE"/>
    <w:rsid w:val="00F43627"/>
    <w:rsid w:val="00F43781"/>
    <w:rsid w:val="00F4463C"/>
    <w:rsid w:val="00F473A5"/>
    <w:rsid w:val="00F473F3"/>
    <w:rsid w:val="00F474B8"/>
    <w:rsid w:val="00F478CA"/>
    <w:rsid w:val="00F47CE2"/>
    <w:rsid w:val="00F501F3"/>
    <w:rsid w:val="00F50A98"/>
    <w:rsid w:val="00F50E5F"/>
    <w:rsid w:val="00F51460"/>
    <w:rsid w:val="00F51667"/>
    <w:rsid w:val="00F521DC"/>
    <w:rsid w:val="00F53199"/>
    <w:rsid w:val="00F541A1"/>
    <w:rsid w:val="00F54B09"/>
    <w:rsid w:val="00F54B94"/>
    <w:rsid w:val="00F54BEA"/>
    <w:rsid w:val="00F54E8A"/>
    <w:rsid w:val="00F559A8"/>
    <w:rsid w:val="00F55C21"/>
    <w:rsid w:val="00F55E5F"/>
    <w:rsid w:val="00F55F6D"/>
    <w:rsid w:val="00F569B9"/>
    <w:rsid w:val="00F5736B"/>
    <w:rsid w:val="00F57880"/>
    <w:rsid w:val="00F608AB"/>
    <w:rsid w:val="00F60BE7"/>
    <w:rsid w:val="00F6159C"/>
    <w:rsid w:val="00F61714"/>
    <w:rsid w:val="00F6238F"/>
    <w:rsid w:val="00F63E59"/>
    <w:rsid w:val="00F64BE0"/>
    <w:rsid w:val="00F65B68"/>
    <w:rsid w:val="00F67846"/>
    <w:rsid w:val="00F67B42"/>
    <w:rsid w:val="00F70B72"/>
    <w:rsid w:val="00F70DEF"/>
    <w:rsid w:val="00F70EA3"/>
    <w:rsid w:val="00F71398"/>
    <w:rsid w:val="00F7294C"/>
    <w:rsid w:val="00F72C5F"/>
    <w:rsid w:val="00F73549"/>
    <w:rsid w:val="00F74C50"/>
    <w:rsid w:val="00F75782"/>
    <w:rsid w:val="00F80C1D"/>
    <w:rsid w:val="00F81130"/>
    <w:rsid w:val="00F818F7"/>
    <w:rsid w:val="00F8325D"/>
    <w:rsid w:val="00F832A9"/>
    <w:rsid w:val="00F832B0"/>
    <w:rsid w:val="00F83307"/>
    <w:rsid w:val="00F833A5"/>
    <w:rsid w:val="00F844D3"/>
    <w:rsid w:val="00F84629"/>
    <w:rsid w:val="00F84B71"/>
    <w:rsid w:val="00F84F0E"/>
    <w:rsid w:val="00F8519E"/>
    <w:rsid w:val="00F85FF5"/>
    <w:rsid w:val="00F86BB4"/>
    <w:rsid w:val="00F870F5"/>
    <w:rsid w:val="00F902D2"/>
    <w:rsid w:val="00F90B12"/>
    <w:rsid w:val="00F90CBD"/>
    <w:rsid w:val="00F9109E"/>
    <w:rsid w:val="00F9177E"/>
    <w:rsid w:val="00F91E4F"/>
    <w:rsid w:val="00F91FDF"/>
    <w:rsid w:val="00F92AA1"/>
    <w:rsid w:val="00F92FDC"/>
    <w:rsid w:val="00F931D2"/>
    <w:rsid w:val="00F93431"/>
    <w:rsid w:val="00F93A4A"/>
    <w:rsid w:val="00F93D27"/>
    <w:rsid w:val="00F95DD6"/>
    <w:rsid w:val="00F96370"/>
    <w:rsid w:val="00F97940"/>
    <w:rsid w:val="00F97BA3"/>
    <w:rsid w:val="00F97EA2"/>
    <w:rsid w:val="00F97F0D"/>
    <w:rsid w:val="00FA0B0A"/>
    <w:rsid w:val="00FA121C"/>
    <w:rsid w:val="00FA1407"/>
    <w:rsid w:val="00FA1A68"/>
    <w:rsid w:val="00FA1B1A"/>
    <w:rsid w:val="00FA2747"/>
    <w:rsid w:val="00FA2A33"/>
    <w:rsid w:val="00FA2C8F"/>
    <w:rsid w:val="00FA2CF7"/>
    <w:rsid w:val="00FA3410"/>
    <w:rsid w:val="00FA360B"/>
    <w:rsid w:val="00FA3860"/>
    <w:rsid w:val="00FA3A50"/>
    <w:rsid w:val="00FA4763"/>
    <w:rsid w:val="00FA4830"/>
    <w:rsid w:val="00FA5032"/>
    <w:rsid w:val="00FA65D8"/>
    <w:rsid w:val="00FA6980"/>
    <w:rsid w:val="00FA6CDF"/>
    <w:rsid w:val="00FA7BB5"/>
    <w:rsid w:val="00FA7C85"/>
    <w:rsid w:val="00FB0BB3"/>
    <w:rsid w:val="00FB12D8"/>
    <w:rsid w:val="00FB176A"/>
    <w:rsid w:val="00FB1CDC"/>
    <w:rsid w:val="00FB238A"/>
    <w:rsid w:val="00FB2446"/>
    <w:rsid w:val="00FB2C81"/>
    <w:rsid w:val="00FB3BC4"/>
    <w:rsid w:val="00FB3F9C"/>
    <w:rsid w:val="00FB3FDE"/>
    <w:rsid w:val="00FB4676"/>
    <w:rsid w:val="00FB5552"/>
    <w:rsid w:val="00FB5789"/>
    <w:rsid w:val="00FB5F3A"/>
    <w:rsid w:val="00FB6AA9"/>
    <w:rsid w:val="00FB6AD4"/>
    <w:rsid w:val="00FB7F22"/>
    <w:rsid w:val="00FC00F3"/>
    <w:rsid w:val="00FC0A33"/>
    <w:rsid w:val="00FC1416"/>
    <w:rsid w:val="00FC14B2"/>
    <w:rsid w:val="00FC1823"/>
    <w:rsid w:val="00FC2198"/>
    <w:rsid w:val="00FC26A4"/>
    <w:rsid w:val="00FC2C93"/>
    <w:rsid w:val="00FC325A"/>
    <w:rsid w:val="00FC33ED"/>
    <w:rsid w:val="00FC43AD"/>
    <w:rsid w:val="00FC5876"/>
    <w:rsid w:val="00FC62F5"/>
    <w:rsid w:val="00FC731E"/>
    <w:rsid w:val="00FD035A"/>
    <w:rsid w:val="00FD19F1"/>
    <w:rsid w:val="00FD1A7E"/>
    <w:rsid w:val="00FD2CC3"/>
    <w:rsid w:val="00FD31BF"/>
    <w:rsid w:val="00FD3CC7"/>
    <w:rsid w:val="00FD4148"/>
    <w:rsid w:val="00FD4D5B"/>
    <w:rsid w:val="00FD6453"/>
    <w:rsid w:val="00FD67FD"/>
    <w:rsid w:val="00FD7CB2"/>
    <w:rsid w:val="00FD7D46"/>
    <w:rsid w:val="00FD7D8B"/>
    <w:rsid w:val="00FE0AF2"/>
    <w:rsid w:val="00FE1C47"/>
    <w:rsid w:val="00FE22DD"/>
    <w:rsid w:val="00FE2CFB"/>
    <w:rsid w:val="00FE4A60"/>
    <w:rsid w:val="00FE54E0"/>
    <w:rsid w:val="00FE55F0"/>
    <w:rsid w:val="00FE6331"/>
    <w:rsid w:val="00FE685B"/>
    <w:rsid w:val="00FE6C12"/>
    <w:rsid w:val="00FE7766"/>
    <w:rsid w:val="00FE7894"/>
    <w:rsid w:val="00FF01FA"/>
    <w:rsid w:val="00FF21B5"/>
    <w:rsid w:val="00FF21C3"/>
    <w:rsid w:val="00FF2A11"/>
    <w:rsid w:val="00FF2AA0"/>
    <w:rsid w:val="00FF3F6C"/>
    <w:rsid w:val="00FF4603"/>
    <w:rsid w:val="00FF4B07"/>
    <w:rsid w:val="00FF4BFC"/>
    <w:rsid w:val="00FF4C11"/>
    <w:rsid w:val="00FF56B9"/>
    <w:rsid w:val="00FF57E8"/>
    <w:rsid w:val="00FF58C0"/>
    <w:rsid w:val="00FF5948"/>
    <w:rsid w:val="00FF6B71"/>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A11A476"/>
  <w15:docId w15:val="{43CFD7DC-AE0C-417D-8C4B-F1866C5CB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51754D"/>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8B68EC"/>
    <w:pPr>
      <w:keepNext/>
      <w:tabs>
        <w:tab w:val="left" w:pos="851"/>
      </w:tabs>
      <w:spacing w:before="0" w:after="360" w:line="240" w:lineRule="auto"/>
      <w:jc w:val="left"/>
      <w:outlineLvl w:val="0"/>
    </w:pPr>
    <w:rPr>
      <w:rFonts w:eastAsiaTheme="majorEastAsia" w:cstheme="majorBidi"/>
      <w:b/>
      <w:bCs/>
      <w:color w:val="1C556C"/>
      <w:sz w:val="48"/>
      <w:szCs w:val="28"/>
    </w:rPr>
  </w:style>
  <w:style w:type="paragraph" w:styleId="Heading2">
    <w:name w:val="heading 2"/>
    <w:basedOn w:val="Normal"/>
    <w:next w:val="BodyText"/>
    <w:link w:val="Heading2Char"/>
    <w:qFormat/>
    <w:rsid w:val="00B51610"/>
    <w:pPr>
      <w:keepNext/>
      <w:tabs>
        <w:tab w:val="left" w:pos="851"/>
      </w:tabs>
      <w:spacing w:before="360" w:after="0" w:line="240" w:lineRule="auto"/>
      <w:jc w:val="left"/>
      <w:outlineLvl w:val="1"/>
    </w:pPr>
    <w:rPr>
      <w:rFonts w:eastAsiaTheme="majorEastAsia" w:cstheme="majorBidi"/>
      <w:b/>
      <w:bCs/>
      <w:color w:val="0F7B7D"/>
      <w:sz w:val="36"/>
      <w:szCs w:val="26"/>
    </w:rPr>
  </w:style>
  <w:style w:type="paragraph" w:styleId="Heading3">
    <w:name w:val="heading 3"/>
    <w:basedOn w:val="Normal"/>
    <w:next w:val="BodyText"/>
    <w:link w:val="Heading3Char"/>
    <w:qFormat/>
    <w:rsid w:val="008B68EC"/>
    <w:pPr>
      <w:keepNext/>
      <w:tabs>
        <w:tab w:val="left" w:pos="851"/>
      </w:tabs>
      <w:spacing w:before="360" w:after="0" w:line="240" w:lineRule="auto"/>
      <w:jc w:val="left"/>
      <w:outlineLvl w:val="2"/>
    </w:pPr>
    <w:rPr>
      <w:rFonts w:eastAsiaTheme="majorEastAsia" w:cstheme="majorBidi"/>
      <w:b/>
      <w:bCs/>
      <w:sz w:val="28"/>
    </w:rPr>
  </w:style>
  <w:style w:type="paragraph" w:styleId="Heading4">
    <w:name w:val="heading 4"/>
    <w:basedOn w:val="Heading3"/>
    <w:next w:val="BodyText"/>
    <w:link w:val="Heading4Char"/>
    <w:qFormat/>
    <w:rsid w:val="00B51610"/>
    <w:pPr>
      <w:outlineLvl w:val="3"/>
    </w:pPr>
    <w:rPr>
      <w:color w:val="0F7B7D"/>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68EC"/>
    <w:rPr>
      <w:rFonts w:ascii="Calibri" w:eastAsiaTheme="majorEastAsia" w:hAnsi="Calibri" w:cstheme="majorBidi"/>
      <w:b/>
      <w:bCs/>
      <w:color w:val="1C556C"/>
      <w:sz w:val="48"/>
      <w:szCs w:val="28"/>
      <w:lang w:eastAsia="en-NZ"/>
    </w:rPr>
  </w:style>
  <w:style w:type="character" w:customStyle="1" w:styleId="Heading2Char">
    <w:name w:val="Heading 2 Char"/>
    <w:basedOn w:val="DefaultParagraphFont"/>
    <w:link w:val="Heading2"/>
    <w:rsid w:val="00B51610"/>
    <w:rPr>
      <w:rFonts w:ascii="Calibri" w:eastAsiaTheme="majorEastAsia" w:hAnsi="Calibri" w:cstheme="majorBidi"/>
      <w:b/>
      <w:bCs/>
      <w:color w:val="0F7B7D"/>
      <w:sz w:val="36"/>
      <w:szCs w:val="26"/>
      <w:lang w:eastAsia="en-NZ"/>
    </w:rPr>
  </w:style>
  <w:style w:type="character" w:customStyle="1" w:styleId="Heading3Char">
    <w:name w:val="Heading 3 Char"/>
    <w:basedOn w:val="DefaultParagraphFont"/>
    <w:link w:val="Heading3"/>
    <w:rsid w:val="008B68EC"/>
    <w:rPr>
      <w:rFonts w:ascii="Calibri" w:eastAsiaTheme="majorEastAsia" w:hAnsi="Calibri" w:cstheme="majorBidi"/>
      <w:b/>
      <w:bCs/>
      <w:sz w:val="28"/>
      <w:lang w:eastAsia="en-NZ"/>
    </w:rPr>
  </w:style>
  <w:style w:type="character" w:customStyle="1" w:styleId="Heading4Char">
    <w:name w:val="Heading 4 Char"/>
    <w:basedOn w:val="DefaultParagraphFont"/>
    <w:link w:val="Heading4"/>
    <w:rsid w:val="00B51610"/>
    <w:rPr>
      <w:rFonts w:ascii="Calibri" w:eastAsiaTheme="majorEastAsia" w:hAnsi="Calibri" w:cstheme="majorBidi"/>
      <w:b/>
      <w:bCs/>
      <w:color w:val="0F7B7D"/>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ox">
    <w:name w:val="Box"/>
    <w:basedOn w:val="Normal"/>
    <w:uiPriority w:val="1"/>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qFormat/>
    <w:rsid w:val="00A56D3B"/>
    <w:pPr>
      <w:tabs>
        <w:tab w:val="left" w:pos="680"/>
      </w:tabs>
      <w:spacing w:before="0"/>
      <w:ind w:left="681" w:hanging="397"/>
    </w:pPr>
  </w:style>
  <w:style w:type="paragraph" w:customStyle="1" w:styleId="Boxheading">
    <w:name w:val="Box heading"/>
    <w:basedOn w:val="Box"/>
    <w:next w:val="Box"/>
    <w:uiPriority w:val="1"/>
    <w:qFormat/>
    <w:rsid w:val="001820A3"/>
    <w:pPr>
      <w:keepNext/>
      <w:spacing w:after="0"/>
    </w:pPr>
    <w:rPr>
      <w:b/>
    </w:rPr>
  </w:style>
  <w:style w:type="paragraph" w:customStyle="1" w:styleId="Bullet">
    <w:name w:val="Bullet"/>
    <w:basedOn w:val="Normal"/>
    <w:link w:val="BulletChar"/>
    <w:qFormat/>
    <w:rsid w:val="008B5A2D"/>
    <w:pPr>
      <w:numPr>
        <w:numId w:val="14"/>
      </w:numPr>
      <w:tabs>
        <w:tab w:val="left" w:pos="397"/>
      </w:tabs>
      <w:spacing w:before="0" w:line="280" w:lineRule="exact"/>
      <w:jc w:val="left"/>
    </w:pPr>
    <w:rPr>
      <w:rFonts w:eastAsia="Times New Roman" w:cs="Times New Roman"/>
      <w:szCs w:val="20"/>
    </w:rPr>
  </w:style>
  <w:style w:type="paragraph" w:customStyle="1" w:styleId="Heading">
    <w:name w:val="Heading"/>
    <w:basedOn w:val="Heading1"/>
    <w:next w:val="Normal"/>
    <w:uiPriority w:val="3"/>
    <w:rsid w:val="008B68EC"/>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3"/>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uiPriority w:val="99"/>
    <w:rsid w:val="00EA64B4"/>
    <w:rPr>
      <w:rFonts w:ascii="Calibri" w:hAnsi="Calibri"/>
      <w:color w:val="183C47"/>
      <w:sz w:val="22"/>
      <w:vertAlign w:val="superscript"/>
    </w:rPr>
  </w:style>
  <w:style w:type="paragraph" w:styleId="FootnoteText">
    <w:name w:val="footnote text"/>
    <w:aliases w:val="Footnote,Char,ALTS FOOTNOTE"/>
    <w:basedOn w:val="Normal"/>
    <w:link w:val="FootnoteTextChar"/>
    <w:uiPriority w:val="99"/>
    <w:qFormat/>
    <w:rsid w:val="00EA64B4"/>
    <w:pPr>
      <w:spacing w:before="0" w:after="60" w:line="240" w:lineRule="atLeast"/>
      <w:ind w:left="284" w:hanging="284"/>
      <w:jc w:val="left"/>
    </w:pPr>
    <w:rPr>
      <w:sz w:val="19"/>
    </w:rPr>
  </w:style>
  <w:style w:type="character" w:customStyle="1" w:styleId="FootnoteTextChar">
    <w:name w:val="Footnote Text Char"/>
    <w:aliases w:val="Footnote Char,Char Char,ALTS FOOTNOTE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624018"/>
    <w:pPr>
      <w:spacing w:line="360" w:lineRule="auto"/>
      <w:jc w:val="center"/>
    </w:pPr>
    <w:rPr>
      <w:b/>
      <w:color w:val="17556C"/>
      <w:sz w:val="52"/>
    </w:rPr>
  </w:style>
  <w:style w:type="character" w:customStyle="1" w:styleId="TitleChar">
    <w:name w:val="Title Char"/>
    <w:basedOn w:val="DefaultParagraphFont"/>
    <w:link w:val="Title"/>
    <w:uiPriority w:val="2"/>
    <w:rsid w:val="00684D9B"/>
    <w:rPr>
      <w:rFonts w:ascii="Calibri" w:eastAsiaTheme="minorEastAsia" w:hAnsi="Calibri"/>
      <w:b/>
      <w:color w:val="17556C"/>
      <w:sz w:val="52"/>
      <w:lang w:eastAsia="en-NZ"/>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basedOn w:val="DefaultParagraphFont"/>
    <w:link w:val="Subtitle"/>
    <w:uiPriority w:val="2"/>
    <w:rsid w:val="00D94120"/>
    <w:rPr>
      <w:rFonts w:ascii="Calibri" w:eastAsiaTheme="minorEastAsia" w:hAnsi="Calibri"/>
      <w:b/>
      <w:color w:val="17556C"/>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5B6698"/>
    <w:pPr>
      <w:numPr>
        <w:numId w:val="4"/>
      </w:numPr>
      <w:spacing w:before="0"/>
      <w:ind w:left="397" w:hanging="397"/>
      <w:jc w:val="left"/>
    </w:pPr>
  </w:style>
  <w:style w:type="paragraph" w:customStyle="1" w:styleId="Sub-lista">
    <w:name w:val="Sub-list a"/>
    <w:aliases w:val="b"/>
    <w:basedOn w:val="Normal"/>
    <w:uiPriority w:val="2"/>
    <w:rsid w:val="00E21ACA"/>
    <w:pPr>
      <w:numPr>
        <w:numId w:val="5"/>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uiPriority w:val="39"/>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6"/>
      </w:numPr>
      <w:spacing w:before="60" w:after="60"/>
    </w:pPr>
  </w:style>
  <w:style w:type="paragraph" w:customStyle="1" w:styleId="TableBullet">
    <w:name w:val="TableBullet"/>
    <w:basedOn w:val="Normal"/>
    <w:qFormat/>
    <w:rsid w:val="00523DFA"/>
    <w:pPr>
      <w:numPr>
        <w:numId w:val="7"/>
      </w:numPr>
      <w:spacing w:before="0" w:after="60" w:line="240" w:lineRule="atLeast"/>
      <w:jc w:val="left"/>
    </w:pPr>
    <w:rPr>
      <w:rFonts w:cs="Arial"/>
      <w:sz w:val="18"/>
      <w:szCs w:val="16"/>
    </w:rPr>
  </w:style>
  <w:style w:type="paragraph" w:customStyle="1" w:styleId="TableDash">
    <w:name w:val="TableDash"/>
    <w:basedOn w:val="Normal"/>
    <w:qFormat/>
    <w:rsid w:val="00A4562A"/>
    <w:pPr>
      <w:spacing w:before="0" w:after="200" w:line="276" w:lineRule="auto"/>
      <w:jc w:val="left"/>
    </w:pPr>
    <w:rPr>
      <w:sz w:val="18"/>
    </w:rPr>
  </w:style>
  <w:style w:type="paragraph" w:styleId="ListParagraph">
    <w:name w:val="List Paragraph"/>
    <w:aliases w:val="List Paragraph bullets,Rec para,List Paragraph1,Recommendation,List Paragraph11,Dot pt,F5 List Paragraph,No Spacing1,List Paragraph Char Char Char,Indicator Text,Numbered Para 1,Colorful List - Accent 11,Bullet 1,MAIN CONTENT,L,l"/>
    <w:basedOn w:val="Normal"/>
    <w:link w:val="ListParagraphChar"/>
    <w:uiPriority w:val="34"/>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single" w:sz="8" w:space="0" w:color="19CCCF" w:themeColor="accent2" w:themeTint="BF"/>
      </w:tblBorders>
    </w:tblPr>
    <w:tblStylePr w:type="firstRow">
      <w:pPr>
        <w:spacing w:before="0" w:after="0" w:line="240" w:lineRule="auto"/>
      </w:pPr>
      <w:rPr>
        <w:b/>
        <w:bCs/>
        <w:color w:val="FFFFFF" w:themeColor="background1"/>
      </w:rPr>
      <w:tblPr/>
      <w:tcPr>
        <w:tc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shd w:val="clear" w:color="auto" w:fill="0F7B7D" w:themeFill="accent2"/>
      </w:tcPr>
    </w:tblStylePr>
    <w:tblStylePr w:type="lastRow">
      <w:pPr>
        <w:spacing w:before="0" w:after="0" w:line="240" w:lineRule="auto"/>
      </w:pPr>
      <w:rPr>
        <w:b/>
        <w:bCs/>
      </w:rPr>
      <w:tblPr/>
      <w:tcPr>
        <w:tcBorders>
          <w:top w:val="double" w:sz="6"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F3F5" w:themeFill="accent2" w:themeFillTint="3F"/>
      </w:tcPr>
    </w:tblStylePr>
    <w:tblStylePr w:type="band1Horz">
      <w:tblPr/>
      <w:tcPr>
        <w:tcBorders>
          <w:insideH w:val="nil"/>
          <w:insideV w:val="nil"/>
        </w:tcBorders>
        <w:shd w:val="clear" w:color="auto" w:fill="ADF3F5"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9"/>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eastAsia="Times New Roman" w:hAnsi="Arial" w:cs="Times New Roman"/>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eastAsia="Times New Roman" w:hAnsi="Arial" w:cs="Times New Roman"/>
      <w:b/>
      <w:color w:val="auto"/>
      <w:sz w:val="22"/>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8B5A2D"/>
    <w:rPr>
      <w:rFonts w:ascii="Calibri" w:eastAsia="Times New Roman" w:hAnsi="Calibri" w:cs="Times New Roman"/>
      <w:szCs w:val="20"/>
      <w:lang w:eastAsia="en-NZ"/>
    </w:rPr>
  </w:style>
  <w:style w:type="paragraph" w:customStyle="1" w:styleId="Casestudyheading">
    <w:name w:val="Case study heading"/>
    <w:basedOn w:val="BodyText"/>
    <w:uiPriority w:val="1"/>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2DDE2" w:themeColor="accent3"/>
        <w:left w:val="single" w:sz="8" w:space="0" w:color="D2DDE2" w:themeColor="accent3"/>
        <w:bottom w:val="single" w:sz="8" w:space="0" w:color="D2DDE2" w:themeColor="accent3"/>
        <w:right w:val="single" w:sz="8" w:space="0" w:color="D2DDE2" w:themeColor="accent3"/>
      </w:tblBorders>
    </w:tblPr>
    <w:tblStylePr w:type="firstRow">
      <w:pPr>
        <w:spacing w:before="0" w:after="0" w:line="240" w:lineRule="auto"/>
      </w:pPr>
      <w:rPr>
        <w:b/>
        <w:bCs/>
        <w:color w:val="FFFFFF" w:themeColor="background1"/>
      </w:rPr>
      <w:tblPr/>
      <w:tcPr>
        <w:shd w:val="clear" w:color="auto" w:fill="D2DDE2" w:themeFill="accent3"/>
      </w:tcPr>
    </w:tblStylePr>
    <w:tblStylePr w:type="lastRow">
      <w:pPr>
        <w:spacing w:before="0" w:after="0" w:line="240" w:lineRule="auto"/>
      </w:pPr>
      <w:rPr>
        <w:b/>
        <w:bCs/>
      </w:rPr>
      <w:tblPr/>
      <w:tcPr>
        <w:tcBorders>
          <w:top w:val="double" w:sz="6" w:space="0" w:color="D2DDE2" w:themeColor="accent3"/>
          <w:left w:val="single" w:sz="8" w:space="0" w:color="D2DDE2" w:themeColor="accent3"/>
          <w:bottom w:val="single" w:sz="8" w:space="0" w:color="D2DDE2" w:themeColor="accent3"/>
          <w:right w:val="single" w:sz="8" w:space="0" w:color="D2DDE2" w:themeColor="accent3"/>
        </w:tcBorders>
      </w:tcPr>
    </w:tblStylePr>
    <w:tblStylePr w:type="firstCol">
      <w:rPr>
        <w:b/>
        <w:bCs/>
      </w:rPr>
    </w:tblStylePr>
    <w:tblStylePr w:type="lastCol">
      <w:rPr>
        <w:b/>
        <w:bCs/>
      </w:rPr>
    </w:tblStylePr>
    <w:tblStylePr w:type="band1Vert">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tblStylePr w:type="band1Horz">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style>
  <w:style w:type="numbering" w:customStyle="1" w:styleId="Style1">
    <w:name w:val="Style1"/>
    <w:uiPriority w:val="99"/>
    <w:rsid w:val="00B07CE9"/>
    <w:pPr>
      <w:numPr>
        <w:numId w:val="10"/>
      </w:numPr>
    </w:pPr>
  </w:style>
  <w:style w:type="numbering" w:customStyle="1" w:styleId="Style2">
    <w:name w:val="Style2"/>
    <w:uiPriority w:val="99"/>
    <w:rsid w:val="008E0688"/>
    <w:pPr>
      <w:numPr>
        <w:numId w:val="11"/>
      </w:numPr>
    </w:pPr>
  </w:style>
  <w:style w:type="paragraph" w:customStyle="1" w:styleId="Greenbullet-casestudytables">
    <w:name w:val="Green bullet - case study tables"/>
    <w:basedOn w:val="Greentext-casestudytables"/>
    <w:uiPriority w:val="1"/>
    <w:rsid w:val="00C15722"/>
    <w:pPr>
      <w:numPr>
        <w:numId w:val="12"/>
      </w:numPr>
      <w:spacing w:before="0"/>
      <w:ind w:left="681" w:hanging="397"/>
    </w:pPr>
  </w:style>
  <w:style w:type="paragraph" w:customStyle="1" w:styleId="Greentext-casestudytables">
    <w:name w:val="Green text - case study tables"/>
    <w:basedOn w:val="BodyText"/>
    <w:uiPriority w:val="1"/>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51754D"/>
    <w:pPr>
      <w:keepNext/>
      <w:spacing w:before="240" w:after="0"/>
    </w:pPr>
    <w:rPr>
      <w:rFonts w:eastAsia="Times New Roman"/>
      <w:b/>
    </w:rPr>
  </w:style>
  <w:style w:type="numbering" w:customStyle="1" w:styleId="Style3">
    <w:name w:val="Style3"/>
    <w:uiPriority w:val="99"/>
    <w:rsid w:val="008B5A2D"/>
    <w:pPr>
      <w:numPr>
        <w:numId w:val="13"/>
      </w:numPr>
    </w:pPr>
  </w:style>
  <w:style w:type="paragraph" w:customStyle="1" w:styleId="Blueboxtext">
    <w:name w:val="Blue box text"/>
    <w:basedOn w:val="Normal"/>
    <w:uiPriority w:val="1"/>
    <w:qFormat/>
    <w:rsid w:val="007823D6"/>
    <w:pPr>
      <w:spacing w:line="260" w:lineRule="atLeast"/>
      <w:ind w:left="284" w:right="284"/>
      <w:jc w:val="left"/>
    </w:pPr>
    <w:rPr>
      <w:color w:val="1C556C"/>
      <w:sz w:val="20"/>
    </w:rPr>
  </w:style>
  <w:style w:type="paragraph" w:customStyle="1" w:styleId="Blue-boxbullet">
    <w:name w:val="Blue-box bullet"/>
    <w:basedOn w:val="Blueboxtext"/>
    <w:uiPriority w:val="1"/>
    <w:qFormat/>
    <w:rsid w:val="005D3242"/>
    <w:pPr>
      <w:numPr>
        <w:numId w:val="2"/>
      </w:numPr>
      <w:tabs>
        <w:tab w:val="left" w:pos="680"/>
      </w:tabs>
      <w:spacing w:before="0"/>
      <w:ind w:left="681" w:hanging="397"/>
    </w:pPr>
    <w:rPr>
      <w:rFonts w:cs="Times New Roman"/>
      <w:szCs w:val="20"/>
    </w:rPr>
  </w:style>
  <w:style w:type="paragraph" w:customStyle="1" w:styleId="Blueboxheading">
    <w:name w:val="Blue box heading"/>
    <w:basedOn w:val="Blueboxtext"/>
    <w:next w:val="Blueboxtext"/>
    <w:uiPriority w:val="1"/>
    <w:qFormat/>
    <w:rsid w:val="007823D6"/>
    <w:pPr>
      <w:keepNext/>
      <w:spacing w:before="240" w:after="0"/>
    </w:pPr>
    <w:rPr>
      <w:rFonts w:cs="Times New Roman"/>
      <w:b/>
      <w:szCs w:val="20"/>
    </w:rPr>
  </w:style>
  <w:style w:type="paragraph" w:customStyle="1" w:styleId="Blue-boxsub-bullet">
    <w:name w:val="Blue-box sub-bullet"/>
    <w:basedOn w:val="Blueboxtext"/>
    <w:uiPriority w:val="1"/>
    <w:qFormat/>
    <w:rsid w:val="007823D6"/>
    <w:pPr>
      <w:numPr>
        <w:numId w:val="15"/>
      </w:numPr>
      <w:spacing w:before="0"/>
    </w:pPr>
    <w:rPr>
      <w:rFonts w:cs="Times New Roman"/>
      <w:szCs w:val="20"/>
    </w:rPr>
  </w:style>
  <w:style w:type="paragraph" w:customStyle="1" w:styleId="Greensub-bullet-casestudytables">
    <w:name w:val="Green sub-bullet - case study tables"/>
    <w:basedOn w:val="Greentext-casestudytables"/>
    <w:uiPriority w:val="1"/>
    <w:qFormat/>
    <w:rsid w:val="00C15722"/>
    <w:pPr>
      <w:numPr>
        <w:numId w:val="16"/>
      </w:numPr>
      <w:spacing w:before="0"/>
      <w:ind w:left="1077" w:hanging="397"/>
    </w:pPr>
  </w:style>
  <w:style w:type="paragraph" w:styleId="CommentText">
    <w:name w:val="annotation text"/>
    <w:basedOn w:val="Normal"/>
    <w:link w:val="CommentTextChar"/>
    <w:uiPriority w:val="99"/>
    <w:semiHidden/>
    <w:rsid w:val="00F569B9"/>
    <w:pPr>
      <w:spacing w:line="240" w:lineRule="auto"/>
    </w:pPr>
    <w:rPr>
      <w:sz w:val="20"/>
      <w:szCs w:val="20"/>
    </w:rPr>
  </w:style>
  <w:style w:type="character" w:customStyle="1" w:styleId="CommentTextChar">
    <w:name w:val="Comment Text Char"/>
    <w:basedOn w:val="DefaultParagraphFont"/>
    <w:link w:val="CommentText"/>
    <w:uiPriority w:val="99"/>
    <w:semiHidden/>
    <w:rsid w:val="00F569B9"/>
    <w:rPr>
      <w:rFonts w:ascii="Calibri" w:eastAsiaTheme="minorEastAsia" w:hAnsi="Calibri"/>
      <w:sz w:val="20"/>
      <w:szCs w:val="20"/>
      <w:lang w:eastAsia="en-NZ"/>
    </w:rPr>
  </w:style>
  <w:style w:type="character" w:customStyle="1" w:styleId="ListParagraphChar">
    <w:name w:val="List Paragraph Char"/>
    <w:aliases w:val="List Paragraph bullets Char,Rec para Char,List Paragraph1 Char,Recommendation Char,List Paragraph11 Char,Dot pt Char,F5 List Paragraph Char,No Spacing1 Char,List Paragraph Char Char Char Char,Indicator Text Char,Numbered Para 1 Char"/>
    <w:link w:val="ListParagraph"/>
    <w:uiPriority w:val="34"/>
    <w:qFormat/>
    <w:locked/>
    <w:rsid w:val="00F74C50"/>
    <w:rPr>
      <w:rFonts w:ascii="Times New Roman" w:eastAsiaTheme="minorEastAsia" w:hAnsi="Times New Roman"/>
      <w:szCs w:val="20"/>
      <w:lang w:eastAsia="en-GB"/>
    </w:rPr>
  </w:style>
  <w:style w:type="paragraph" w:customStyle="1" w:styleId="CM54">
    <w:name w:val="CM54"/>
    <w:basedOn w:val="Normal"/>
    <w:next w:val="Normal"/>
    <w:uiPriority w:val="99"/>
    <w:rsid w:val="00F54B94"/>
    <w:pPr>
      <w:autoSpaceDE w:val="0"/>
      <w:autoSpaceDN w:val="0"/>
      <w:adjustRightInd w:val="0"/>
      <w:spacing w:before="0" w:after="0" w:line="240" w:lineRule="auto"/>
      <w:jc w:val="left"/>
    </w:pPr>
    <w:rPr>
      <w:rFonts w:eastAsiaTheme="minorHAnsi" w:cs="Calibri"/>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hyperlink" Target="https://www.beehive.govt.nz/release/new-zealanders-asked-help-shape-future-climate-and-energy-policy"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mfe.govt.nz/publications/climate-change/reforming-new-zealand-emissions-trading-scheme-proposed-settinghttps:/www.mfe.govt.nz/consultations/nzets-proposed-settings"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tepuna.mfe.govt.nz/otcsdav/nodes/12826295/etsconsultation%40mfe.govt.n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fe.govt.nz"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www.mfe.govt.nz/more/iwi-m%C4%81ori/te-manat%C5%AB-m%C5%8D-te-taiao-hui-%C4%81-roh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footer" Target="footer5.xml"/></Relationships>
</file>

<file path=word/theme/theme1.xml><?xml version="1.0" encoding="utf-8"?>
<a:theme xmlns:a="http://schemas.openxmlformats.org/drawingml/2006/main" name="MFE">
  <a:themeElements>
    <a:clrScheme name="MFE colours">
      <a:dk1>
        <a:sysClr val="windowText" lastClr="000000"/>
      </a:dk1>
      <a:lt1>
        <a:sysClr val="window" lastClr="FFFFFF"/>
      </a:lt1>
      <a:dk2>
        <a:srgbClr val="1F497D"/>
      </a:dk2>
      <a:lt2>
        <a:srgbClr val="EEECE1"/>
      </a:lt2>
      <a:accent1>
        <a:srgbClr val="1C556C"/>
      </a:accent1>
      <a:accent2>
        <a:srgbClr val="0F7B7D"/>
      </a:accent2>
      <a:accent3>
        <a:srgbClr val="D2DDE2"/>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B45B31-531F-4439-9771-641376F7D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31</Pages>
  <Words>10028</Words>
  <Characters>53151</Characters>
  <Application>Microsoft Office Word</Application>
  <DocSecurity>0</DocSecurity>
  <Lines>1063</Lines>
  <Paragraphs>590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Bhadraz</dc:creator>
  <cp:lastModifiedBy>Dee Warring</cp:lastModifiedBy>
  <cp:revision>7</cp:revision>
  <dcterms:created xsi:type="dcterms:W3CDTF">2020-05-19T03:47:00Z</dcterms:created>
  <dcterms:modified xsi:type="dcterms:W3CDTF">2020-05-29T02:20:00Z</dcterms:modified>
</cp:coreProperties>
</file>