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0"/>
        <w:rPr>
          <w:rFonts w:ascii="Times New Roman"/>
        </w:rPr>
      </w:pPr>
      <w:r>
        <w:rPr>
          <w:rFonts w:ascii="Times New Roman"/>
        </w:rPr>
        <w:drawing>
          <wp:inline distT="0" distB="0" distL="0" distR="0">
            <wp:extent cx="4113834" cy="73152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113834" cy="731520"/>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1"/>
        </w:rPr>
      </w:pPr>
    </w:p>
    <w:p>
      <w:pPr>
        <w:spacing w:line="834" w:lineRule="exact" w:before="0"/>
        <w:ind w:left="940" w:right="0" w:firstLine="0"/>
        <w:jc w:val="left"/>
        <w:rPr>
          <w:sz w:val="72"/>
        </w:rPr>
      </w:pPr>
      <w:r>
        <w:rPr>
          <w:sz w:val="72"/>
        </w:rPr>
        <w:t>Recommendations for</w:t>
      </w:r>
    </w:p>
    <w:p>
      <w:pPr>
        <w:spacing w:line="256" w:lineRule="auto" w:before="57"/>
        <w:ind w:left="940" w:right="92" w:firstLine="0"/>
        <w:jc w:val="left"/>
        <w:rPr>
          <w:sz w:val="72"/>
        </w:rPr>
      </w:pPr>
      <w:r>
        <w:rPr>
          <w:sz w:val="72"/>
        </w:rPr>
        <w:t>standardisation of kerbside collections in Aotearoa</w:t>
      </w:r>
    </w:p>
    <w:p>
      <w:pPr>
        <w:pStyle w:val="BodyText"/>
        <w:rPr>
          <w:sz w:val="72"/>
        </w:rPr>
      </w:pPr>
    </w:p>
    <w:p>
      <w:pPr>
        <w:pStyle w:val="BodyText"/>
        <w:spacing w:before="1"/>
        <w:rPr>
          <w:sz w:val="78"/>
        </w:rPr>
      </w:pPr>
    </w:p>
    <w:p>
      <w:pPr>
        <w:spacing w:line="256" w:lineRule="auto" w:before="0"/>
        <w:ind w:left="940" w:right="1970" w:firstLine="0"/>
        <w:jc w:val="left"/>
        <w:rPr>
          <w:sz w:val="52"/>
        </w:rPr>
      </w:pPr>
      <w:r>
        <w:rPr>
          <w:sz w:val="52"/>
        </w:rPr>
        <w:t>Prepared for Ministry for the Environment</w:t>
      </w:r>
    </w:p>
    <w:p>
      <w:pPr>
        <w:pStyle w:val="BodyText"/>
        <w:rPr>
          <w:sz w:val="52"/>
        </w:rPr>
      </w:pPr>
    </w:p>
    <w:p>
      <w:pPr>
        <w:pStyle w:val="BodyText"/>
        <w:rPr>
          <w:sz w:val="52"/>
        </w:rPr>
      </w:pPr>
    </w:p>
    <w:p>
      <w:pPr>
        <w:pStyle w:val="BodyText"/>
        <w:spacing w:before="4"/>
        <w:rPr>
          <w:sz w:val="46"/>
        </w:rPr>
      </w:pPr>
    </w:p>
    <w:p>
      <w:pPr>
        <w:spacing w:before="0"/>
        <w:ind w:left="940" w:right="0" w:firstLine="0"/>
        <w:jc w:val="left"/>
        <w:rPr>
          <w:sz w:val="52"/>
        </w:rPr>
      </w:pPr>
      <w:r>
        <w:rPr>
          <w:sz w:val="52"/>
        </w:rPr>
        <w:t>May 2020</w:t>
      </w:r>
    </w:p>
    <w:p>
      <w:pPr>
        <w:spacing w:after="0"/>
        <w:jc w:val="left"/>
        <w:rPr>
          <w:sz w:val="52"/>
        </w:rPr>
        <w:sectPr>
          <w:type w:val="continuous"/>
          <w:pgSz w:w="11910" w:h="16840"/>
          <w:pgMar w:top="1540" w:bottom="280" w:left="1220" w:right="1660"/>
        </w:sectPr>
      </w:pPr>
    </w:p>
    <w:p>
      <w:pPr>
        <w:pStyle w:val="BodyText"/>
        <w:spacing w:before="4"/>
        <w:rPr>
          <w:rFonts w:ascii="Times New Roman"/>
          <w:sz w:val="17"/>
        </w:rPr>
      </w:pPr>
    </w:p>
    <w:p>
      <w:pPr>
        <w:spacing w:after="0"/>
        <w:rPr>
          <w:rFonts w:ascii="Times New Roman"/>
          <w:sz w:val="17"/>
        </w:rPr>
        <w:sectPr>
          <w:pgSz w:w="11910" w:h="16840"/>
          <w:pgMar w:top="1580" w:bottom="280" w:left="1680" w:right="1680"/>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3"/>
        </w:rPr>
      </w:pPr>
    </w:p>
    <w:p>
      <w:pPr>
        <w:pStyle w:val="Heading1"/>
        <w:spacing w:before="27"/>
        <w:rPr>
          <w:rFonts w:ascii="Calibri"/>
        </w:rPr>
      </w:pPr>
      <w:r>
        <w:rPr/>
        <w:pict>
          <v:line style="position:absolute;mso-position-horizontal-relative:page;mso-position-vertical-relative:paragraph;z-index:0" from="57.852001pt,1.328665pt" to="57.852001pt,23.288665pt" stroked="true" strokeweight="1.464pt" strokecolor="#ed7d31">
            <v:stroke dashstyle="solid"/>
            <w10:wrap type="none"/>
          </v:line>
        </w:pict>
      </w:r>
      <w:r>
        <w:rPr>
          <w:rFonts w:ascii="Calibri"/>
        </w:rPr>
        <w:t>DOCUMENT QUALITY CONTROL</w:t>
      </w:r>
    </w:p>
    <w:p>
      <w:pPr>
        <w:pStyle w:val="BodyText"/>
        <w:spacing w:before="4" w:after="1"/>
        <w:rPr>
          <w:sz w:val="29"/>
        </w:rPr>
      </w:pPr>
    </w:p>
    <w:tbl>
      <w:tblPr>
        <w:tblW w:w="0" w:type="auto"/>
        <w:jc w:val="left"/>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7"/>
        <w:gridCol w:w="1673"/>
        <w:gridCol w:w="2297"/>
        <w:gridCol w:w="2127"/>
      </w:tblGrid>
      <w:tr>
        <w:trPr>
          <w:trHeight w:val="550" w:hRule="exact"/>
        </w:trPr>
        <w:tc>
          <w:tcPr>
            <w:tcW w:w="1447" w:type="dxa"/>
          </w:tcPr>
          <w:p>
            <w:pPr>
              <w:pStyle w:val="TableParagraph"/>
              <w:spacing w:before="121"/>
              <w:ind w:left="340" w:right="341"/>
              <w:jc w:val="center"/>
              <w:rPr>
                <w:b/>
                <w:sz w:val="20"/>
              </w:rPr>
            </w:pPr>
            <w:r>
              <w:rPr>
                <w:b/>
                <w:sz w:val="20"/>
              </w:rPr>
              <w:t>Version</w:t>
            </w:r>
          </w:p>
        </w:tc>
        <w:tc>
          <w:tcPr>
            <w:tcW w:w="1673" w:type="dxa"/>
          </w:tcPr>
          <w:p>
            <w:pPr>
              <w:pStyle w:val="TableParagraph"/>
              <w:spacing w:before="121"/>
              <w:ind w:left="275" w:right="275"/>
              <w:jc w:val="center"/>
              <w:rPr>
                <w:b/>
                <w:sz w:val="20"/>
              </w:rPr>
            </w:pPr>
            <w:r>
              <w:rPr>
                <w:b/>
                <w:sz w:val="20"/>
              </w:rPr>
              <w:t>Date</w:t>
            </w:r>
          </w:p>
        </w:tc>
        <w:tc>
          <w:tcPr>
            <w:tcW w:w="2297" w:type="dxa"/>
          </w:tcPr>
          <w:p>
            <w:pPr>
              <w:pStyle w:val="TableParagraph"/>
              <w:spacing w:before="121"/>
              <w:ind w:left="695"/>
              <w:rPr>
                <w:b/>
                <w:sz w:val="20"/>
              </w:rPr>
            </w:pPr>
            <w:r>
              <w:rPr>
                <w:b/>
                <w:sz w:val="20"/>
              </w:rPr>
              <w:t>Written by</w:t>
            </w:r>
          </w:p>
        </w:tc>
        <w:tc>
          <w:tcPr>
            <w:tcW w:w="2127" w:type="dxa"/>
          </w:tcPr>
          <w:p>
            <w:pPr>
              <w:pStyle w:val="TableParagraph"/>
              <w:spacing w:before="121"/>
              <w:ind w:left="275" w:right="278"/>
              <w:jc w:val="center"/>
              <w:rPr>
                <w:b/>
                <w:sz w:val="20"/>
              </w:rPr>
            </w:pPr>
            <w:r>
              <w:rPr>
                <w:b/>
                <w:sz w:val="20"/>
              </w:rPr>
              <w:t>Distributed to</w:t>
            </w:r>
          </w:p>
        </w:tc>
      </w:tr>
      <w:tr>
        <w:trPr>
          <w:trHeight w:val="1594" w:hRule="exact"/>
        </w:trPr>
        <w:tc>
          <w:tcPr>
            <w:tcW w:w="1447" w:type="dxa"/>
          </w:tcPr>
          <w:p>
            <w:pPr>
              <w:pStyle w:val="TableParagraph"/>
              <w:rPr>
                <w:sz w:val="20"/>
              </w:rPr>
            </w:pPr>
          </w:p>
          <w:p>
            <w:pPr>
              <w:pStyle w:val="TableParagraph"/>
              <w:rPr>
                <w:sz w:val="20"/>
              </w:rPr>
            </w:pPr>
          </w:p>
          <w:p>
            <w:pPr>
              <w:pStyle w:val="TableParagraph"/>
              <w:spacing w:before="156"/>
              <w:ind w:left="340" w:right="342"/>
              <w:jc w:val="center"/>
              <w:rPr>
                <w:sz w:val="20"/>
              </w:rPr>
            </w:pPr>
            <w:r>
              <w:rPr>
                <w:sz w:val="20"/>
              </w:rPr>
              <w:t>Draft 0.1</w:t>
            </w:r>
          </w:p>
        </w:tc>
        <w:tc>
          <w:tcPr>
            <w:tcW w:w="1673" w:type="dxa"/>
          </w:tcPr>
          <w:p>
            <w:pPr>
              <w:pStyle w:val="TableParagraph"/>
              <w:rPr>
                <w:sz w:val="20"/>
              </w:rPr>
            </w:pPr>
          </w:p>
          <w:p>
            <w:pPr>
              <w:pStyle w:val="TableParagraph"/>
              <w:rPr>
                <w:sz w:val="20"/>
              </w:rPr>
            </w:pPr>
          </w:p>
          <w:p>
            <w:pPr>
              <w:pStyle w:val="TableParagraph"/>
              <w:spacing w:before="156"/>
              <w:ind w:left="273" w:right="275"/>
              <w:jc w:val="center"/>
              <w:rPr>
                <w:sz w:val="20"/>
              </w:rPr>
            </w:pPr>
            <w:r>
              <w:rPr>
                <w:sz w:val="20"/>
              </w:rPr>
              <w:t>29 May 2020</w:t>
            </w:r>
          </w:p>
        </w:tc>
        <w:tc>
          <w:tcPr>
            <w:tcW w:w="2297" w:type="dxa"/>
          </w:tcPr>
          <w:p>
            <w:pPr>
              <w:pStyle w:val="TableParagraph"/>
              <w:spacing w:line="256" w:lineRule="auto" w:before="124"/>
              <w:ind w:left="112" w:right="110" w:hanging="3"/>
              <w:jc w:val="center"/>
              <w:rPr>
                <w:sz w:val="20"/>
              </w:rPr>
            </w:pPr>
            <w:r>
              <w:rPr>
                <w:sz w:val="20"/>
              </w:rPr>
              <w:t>Sarah Pritchett (WasteMINZ) and Sunshine Yates (Sunshine Yates Consulting) on behalf of WasteMINZ</w:t>
            </w:r>
          </w:p>
        </w:tc>
        <w:tc>
          <w:tcPr>
            <w:tcW w:w="2127" w:type="dxa"/>
          </w:tcPr>
          <w:p>
            <w:pPr>
              <w:pStyle w:val="TableParagraph"/>
              <w:rPr>
                <w:sz w:val="20"/>
              </w:rPr>
            </w:pPr>
          </w:p>
          <w:p>
            <w:pPr>
              <w:pStyle w:val="TableParagraph"/>
              <w:rPr>
                <w:sz w:val="20"/>
              </w:rPr>
            </w:pPr>
          </w:p>
          <w:p>
            <w:pPr>
              <w:pStyle w:val="TableParagraph"/>
              <w:spacing w:before="156"/>
              <w:ind w:left="276" w:right="277"/>
              <w:jc w:val="center"/>
              <w:rPr>
                <w:sz w:val="20"/>
              </w:rPr>
            </w:pPr>
            <w:r>
              <w:rPr>
                <w:sz w:val="20"/>
              </w:rPr>
              <w:t>Stephen Goodman</w:t>
            </w:r>
          </w:p>
        </w:tc>
      </w:tr>
      <w:tr>
        <w:trPr>
          <w:trHeight w:val="811" w:hRule="exact"/>
        </w:trPr>
        <w:tc>
          <w:tcPr>
            <w:tcW w:w="1447" w:type="dxa"/>
          </w:tcPr>
          <w:p>
            <w:pPr>
              <w:pStyle w:val="TableParagraph"/>
              <w:spacing w:before="7"/>
              <w:rPr>
                <w:sz w:val="20"/>
              </w:rPr>
            </w:pPr>
          </w:p>
          <w:p>
            <w:pPr>
              <w:pStyle w:val="TableParagraph"/>
              <w:ind w:left="340" w:right="342"/>
              <w:jc w:val="center"/>
              <w:rPr>
                <w:sz w:val="20"/>
              </w:rPr>
            </w:pPr>
            <w:r>
              <w:rPr>
                <w:sz w:val="20"/>
              </w:rPr>
              <w:t>Draft 0.2</w:t>
            </w:r>
          </w:p>
        </w:tc>
        <w:tc>
          <w:tcPr>
            <w:tcW w:w="1673" w:type="dxa"/>
          </w:tcPr>
          <w:p>
            <w:pPr>
              <w:pStyle w:val="TableParagraph"/>
              <w:spacing w:before="7"/>
              <w:rPr>
                <w:sz w:val="20"/>
              </w:rPr>
            </w:pPr>
          </w:p>
          <w:p>
            <w:pPr>
              <w:pStyle w:val="TableParagraph"/>
              <w:ind w:left="274" w:right="275"/>
              <w:jc w:val="center"/>
              <w:rPr>
                <w:sz w:val="20"/>
              </w:rPr>
            </w:pPr>
            <w:r>
              <w:rPr>
                <w:sz w:val="20"/>
              </w:rPr>
              <w:t>10 June 2020</w:t>
            </w:r>
          </w:p>
        </w:tc>
        <w:tc>
          <w:tcPr>
            <w:tcW w:w="2297" w:type="dxa"/>
          </w:tcPr>
          <w:p>
            <w:pPr>
              <w:pStyle w:val="TableParagraph"/>
              <w:spacing w:line="254" w:lineRule="auto" w:before="121"/>
              <w:ind w:left="532" w:right="344" w:hanging="173"/>
              <w:rPr>
                <w:sz w:val="20"/>
              </w:rPr>
            </w:pPr>
            <w:r>
              <w:rPr>
                <w:sz w:val="20"/>
              </w:rPr>
              <w:t>Sarah Pritchett and Sunshine Yates</w:t>
            </w:r>
          </w:p>
        </w:tc>
        <w:tc>
          <w:tcPr>
            <w:tcW w:w="2127" w:type="dxa"/>
          </w:tcPr>
          <w:p>
            <w:pPr>
              <w:pStyle w:val="TableParagraph"/>
              <w:spacing w:before="7"/>
              <w:rPr>
                <w:sz w:val="20"/>
              </w:rPr>
            </w:pPr>
          </w:p>
          <w:p>
            <w:pPr>
              <w:pStyle w:val="TableParagraph"/>
              <w:ind w:left="275" w:right="278"/>
              <w:jc w:val="center"/>
              <w:rPr>
                <w:sz w:val="20"/>
              </w:rPr>
            </w:pPr>
            <w:r>
              <w:rPr>
                <w:sz w:val="20"/>
              </w:rPr>
              <w:t>Stephen Goodman</w:t>
            </w:r>
          </w:p>
        </w:tc>
      </w:tr>
      <w:tr>
        <w:trPr>
          <w:trHeight w:val="811" w:hRule="exact"/>
        </w:trPr>
        <w:tc>
          <w:tcPr>
            <w:tcW w:w="1447" w:type="dxa"/>
          </w:tcPr>
          <w:p>
            <w:pPr>
              <w:pStyle w:val="TableParagraph"/>
              <w:spacing w:before="7"/>
              <w:rPr>
                <w:sz w:val="20"/>
              </w:rPr>
            </w:pPr>
          </w:p>
          <w:p>
            <w:pPr>
              <w:pStyle w:val="TableParagraph"/>
              <w:ind w:left="340" w:right="340"/>
              <w:jc w:val="center"/>
              <w:rPr>
                <w:sz w:val="20"/>
              </w:rPr>
            </w:pPr>
            <w:r>
              <w:rPr>
                <w:sz w:val="20"/>
              </w:rPr>
              <w:t>Final 1.0</w:t>
            </w:r>
          </w:p>
        </w:tc>
        <w:tc>
          <w:tcPr>
            <w:tcW w:w="1673" w:type="dxa"/>
          </w:tcPr>
          <w:p>
            <w:pPr>
              <w:pStyle w:val="TableParagraph"/>
              <w:spacing w:before="7"/>
              <w:rPr>
                <w:sz w:val="20"/>
              </w:rPr>
            </w:pPr>
          </w:p>
          <w:p>
            <w:pPr>
              <w:pStyle w:val="TableParagraph"/>
              <w:ind w:left="275" w:right="275"/>
              <w:jc w:val="center"/>
              <w:rPr>
                <w:sz w:val="20"/>
              </w:rPr>
            </w:pPr>
            <w:r>
              <w:rPr>
                <w:sz w:val="20"/>
              </w:rPr>
              <w:t>26 June 2020</w:t>
            </w:r>
          </w:p>
        </w:tc>
        <w:tc>
          <w:tcPr>
            <w:tcW w:w="2297" w:type="dxa"/>
          </w:tcPr>
          <w:p>
            <w:pPr>
              <w:pStyle w:val="TableParagraph"/>
              <w:spacing w:line="254" w:lineRule="auto" w:before="121"/>
              <w:ind w:left="532" w:right="344" w:hanging="173"/>
              <w:rPr>
                <w:sz w:val="20"/>
              </w:rPr>
            </w:pPr>
            <w:r>
              <w:rPr>
                <w:sz w:val="20"/>
              </w:rPr>
              <w:t>Sarah Pritchett and Sunshine Yates</w:t>
            </w:r>
          </w:p>
        </w:tc>
        <w:tc>
          <w:tcPr>
            <w:tcW w:w="2127" w:type="dxa"/>
          </w:tcPr>
          <w:p>
            <w:pPr>
              <w:pStyle w:val="TableParagraph"/>
              <w:spacing w:before="7"/>
              <w:rPr>
                <w:sz w:val="20"/>
              </w:rPr>
            </w:pPr>
          </w:p>
          <w:p>
            <w:pPr>
              <w:pStyle w:val="TableParagraph"/>
              <w:ind w:left="275" w:right="278"/>
              <w:jc w:val="center"/>
              <w:rPr>
                <w:sz w:val="20"/>
              </w:rPr>
            </w:pPr>
            <w:r>
              <w:rPr>
                <w:sz w:val="20"/>
              </w:rPr>
              <w:t>Stephen Goodman</w:t>
            </w:r>
          </w:p>
        </w:tc>
      </w:tr>
    </w:tbl>
    <w:p>
      <w:pPr>
        <w:pStyle w:val="BodyText"/>
        <w:spacing w:before="9"/>
        <w:rPr>
          <w:sz w:val="36"/>
        </w:rPr>
      </w:pPr>
    </w:p>
    <w:p>
      <w:pPr>
        <w:spacing w:before="0"/>
        <w:ind w:left="560" w:right="0" w:firstLine="0"/>
        <w:jc w:val="left"/>
        <w:rPr>
          <w:sz w:val="36"/>
        </w:rPr>
      </w:pPr>
      <w:r>
        <w:rPr/>
        <w:pict>
          <v:line style="position:absolute;mso-position-horizontal-relative:page;mso-position-vertical-relative:paragraph;z-index:1048" from="57.852001pt,-.021338pt" to="57.852001pt,21.938662pt" stroked="true" strokeweight="1.464pt" strokecolor="#ed7d31">
            <v:stroke dashstyle="solid"/>
            <w10:wrap type="none"/>
          </v:line>
        </w:pict>
      </w:r>
      <w:r>
        <w:rPr>
          <w:sz w:val="36"/>
        </w:rPr>
        <w:t>CONTACT DETAILS</w:t>
      </w:r>
    </w:p>
    <w:p>
      <w:pPr>
        <w:pStyle w:val="BodyText"/>
        <w:spacing w:before="8"/>
        <w:rPr>
          <w:sz w:val="24"/>
        </w:rPr>
      </w:pPr>
    </w:p>
    <w:p>
      <w:pPr>
        <w:spacing w:after="0"/>
        <w:rPr>
          <w:sz w:val="24"/>
        </w:rPr>
        <w:sectPr>
          <w:headerReference w:type="default" r:id="rId6"/>
          <w:pgSz w:w="11910" w:h="16840"/>
          <w:pgMar w:header="576" w:footer="0" w:top="1140" w:bottom="280" w:left="880" w:right="1220"/>
        </w:sectPr>
      </w:pPr>
    </w:p>
    <w:p>
      <w:pPr>
        <w:pStyle w:val="Heading5"/>
        <w:spacing w:before="78"/>
        <w:ind w:left="956"/>
      </w:pPr>
      <w:r>
        <w:rPr/>
        <w:t>Ministry for the</w:t>
      </w:r>
      <w:r>
        <w:rPr>
          <w:spacing w:val="-15"/>
        </w:rPr>
        <w:t> </w:t>
      </w:r>
      <w:r>
        <w:rPr/>
        <w:t>Environment</w:t>
      </w:r>
    </w:p>
    <w:p>
      <w:pPr>
        <w:pStyle w:val="BodyText"/>
        <w:spacing w:before="19"/>
        <w:ind w:left="956" w:right="446"/>
      </w:pPr>
      <w:r>
        <w:rPr/>
        <w:t>Stephen Goodman Policy Manager</w:t>
      </w:r>
    </w:p>
    <w:p>
      <w:pPr>
        <w:pStyle w:val="BodyText"/>
        <w:spacing w:line="256" w:lineRule="auto" w:before="175"/>
        <w:ind w:left="956"/>
      </w:pPr>
      <w:r>
        <w:rPr/>
        <w:t>23 Kate Sheppard Place Thorndon</w:t>
      </w:r>
    </w:p>
    <w:p>
      <w:pPr>
        <w:pStyle w:val="BodyText"/>
        <w:spacing w:line="242" w:lineRule="exact"/>
        <w:ind w:left="956"/>
      </w:pPr>
      <w:r>
        <w:rPr/>
        <w:t>Wellington 6143</w:t>
      </w:r>
    </w:p>
    <w:p>
      <w:pPr>
        <w:pStyle w:val="Heading5"/>
        <w:spacing w:before="59"/>
        <w:ind w:left="956"/>
      </w:pPr>
      <w:r>
        <w:rPr>
          <w:b w:val="0"/>
        </w:rPr>
        <w:br w:type="column"/>
      </w:r>
      <w:r>
        <w:rPr/>
        <w:t>WasteMINZ</w:t>
      </w:r>
    </w:p>
    <w:p>
      <w:pPr>
        <w:pStyle w:val="BodyText"/>
        <w:spacing w:line="259" w:lineRule="auto" w:before="19"/>
        <w:ind w:left="956" w:right="2225"/>
      </w:pPr>
      <w:r>
        <w:rPr/>
        <w:t>Sarah Pritchett Sustainability Advisor</w:t>
      </w:r>
    </w:p>
    <w:p>
      <w:pPr>
        <w:pStyle w:val="BodyText"/>
        <w:spacing w:before="7"/>
        <w:rPr>
          <w:sz w:val="21"/>
        </w:rPr>
      </w:pPr>
    </w:p>
    <w:p>
      <w:pPr>
        <w:pStyle w:val="BodyText"/>
        <w:ind w:left="956"/>
      </w:pPr>
      <w:r>
        <w:rPr/>
        <w:t>PO Box 305426</w:t>
      </w:r>
    </w:p>
    <w:p>
      <w:pPr>
        <w:pStyle w:val="BodyText"/>
        <w:spacing w:line="259" w:lineRule="auto" w:before="19"/>
        <w:ind w:left="956" w:right="2767"/>
      </w:pPr>
      <w:r>
        <w:rPr/>
        <w:t>Triton Plaza Auckland 0757</w:t>
      </w:r>
    </w:p>
    <w:p>
      <w:pPr>
        <w:spacing w:after="0" w:line="259" w:lineRule="auto"/>
        <w:sectPr>
          <w:type w:val="continuous"/>
          <w:pgSz w:w="11910" w:h="16840"/>
          <w:pgMar w:top="1540" w:bottom="280" w:left="880" w:right="1220"/>
          <w:cols w:num="2" w:equalWidth="0">
            <w:col w:w="3379" w:space="1489"/>
            <w:col w:w="4942"/>
          </w:cols>
        </w:sectPr>
      </w:pPr>
    </w:p>
    <w:p>
      <w:pPr>
        <w:pStyle w:val="BodyText"/>
      </w:pPr>
    </w:p>
    <w:p>
      <w:pPr>
        <w:pStyle w:val="BodyText"/>
        <w:spacing w:before="4"/>
        <w:rPr>
          <w:sz w:val="19"/>
        </w:rPr>
      </w:pPr>
    </w:p>
    <w:p>
      <w:pPr>
        <w:pStyle w:val="Heading1"/>
        <w:spacing w:before="27"/>
        <w:rPr>
          <w:rFonts w:ascii="Calibri"/>
        </w:rPr>
      </w:pPr>
      <w:r>
        <w:rPr/>
        <w:pict>
          <v:line style="position:absolute;mso-position-horizontal-relative:page;mso-position-vertical-relative:paragraph;z-index:1072" from="57.852001pt,1.328685pt" to="57.852001pt,23.288685pt" stroked="true" strokeweight="1.464pt" strokecolor="#ed7d31">
            <v:stroke dashstyle="solid"/>
            <w10:wrap type="none"/>
          </v:line>
        </w:pict>
      </w:r>
      <w:r>
        <w:rPr>
          <w:rFonts w:ascii="Calibri"/>
        </w:rPr>
        <w:t>ACKNOWLEDGEMENT</w:t>
      </w:r>
    </w:p>
    <w:p>
      <w:pPr>
        <w:pStyle w:val="BodyText"/>
        <w:spacing w:before="8"/>
        <w:rPr>
          <w:sz w:val="24"/>
        </w:rPr>
      </w:pPr>
    </w:p>
    <w:p>
      <w:pPr>
        <w:pStyle w:val="BodyText"/>
        <w:spacing w:line="256" w:lineRule="auto" w:before="60"/>
        <w:ind w:left="560" w:right="218"/>
        <w:jc w:val="both"/>
      </w:pPr>
      <w:r>
        <w:rPr/>
        <w:t>The</w:t>
      </w:r>
      <w:r>
        <w:rPr>
          <w:spacing w:val="-6"/>
        </w:rPr>
        <w:t> </w:t>
      </w:r>
      <w:r>
        <w:rPr/>
        <w:t>Project</w:t>
      </w:r>
      <w:r>
        <w:rPr>
          <w:spacing w:val="-5"/>
        </w:rPr>
        <w:t> </w:t>
      </w:r>
      <w:r>
        <w:rPr/>
        <w:t>Managers</w:t>
      </w:r>
      <w:r>
        <w:rPr>
          <w:spacing w:val="-5"/>
        </w:rPr>
        <w:t> </w:t>
      </w:r>
      <w:r>
        <w:rPr/>
        <w:t>acknowledges</w:t>
      </w:r>
      <w:r>
        <w:rPr>
          <w:spacing w:val="-5"/>
        </w:rPr>
        <w:t> </w:t>
      </w:r>
      <w:r>
        <w:rPr/>
        <w:t>the</w:t>
      </w:r>
      <w:r>
        <w:rPr>
          <w:spacing w:val="-6"/>
        </w:rPr>
        <w:t> </w:t>
      </w:r>
      <w:r>
        <w:rPr/>
        <w:t>time,</w:t>
      </w:r>
      <w:r>
        <w:rPr>
          <w:spacing w:val="-5"/>
        </w:rPr>
        <w:t> </w:t>
      </w:r>
      <w:r>
        <w:rPr/>
        <w:t>expertise</w:t>
      </w:r>
      <w:r>
        <w:rPr>
          <w:spacing w:val="-6"/>
        </w:rPr>
        <w:t> </w:t>
      </w:r>
      <w:r>
        <w:rPr/>
        <w:t>and</w:t>
      </w:r>
      <w:r>
        <w:rPr>
          <w:spacing w:val="-5"/>
        </w:rPr>
        <w:t> </w:t>
      </w:r>
      <w:r>
        <w:rPr/>
        <w:t>guidance</w:t>
      </w:r>
      <w:r>
        <w:rPr>
          <w:spacing w:val="-6"/>
        </w:rPr>
        <w:t> </w:t>
      </w:r>
      <w:r>
        <w:rPr/>
        <w:t>provided</w:t>
      </w:r>
      <w:r>
        <w:rPr>
          <w:spacing w:val="-7"/>
        </w:rPr>
        <w:t> </w:t>
      </w:r>
      <w:r>
        <w:rPr/>
        <w:t>by</w:t>
      </w:r>
      <w:r>
        <w:rPr>
          <w:spacing w:val="-7"/>
        </w:rPr>
        <w:t> </w:t>
      </w:r>
      <w:r>
        <w:rPr/>
        <w:t>the</w:t>
      </w:r>
      <w:r>
        <w:rPr>
          <w:spacing w:val="-3"/>
        </w:rPr>
        <w:t> </w:t>
      </w:r>
      <w:r>
        <w:rPr/>
        <w:t>members</w:t>
      </w:r>
      <w:r>
        <w:rPr>
          <w:spacing w:val="-5"/>
        </w:rPr>
        <w:t> </w:t>
      </w:r>
      <w:r>
        <w:rPr/>
        <w:t>of</w:t>
      </w:r>
      <w:r>
        <w:rPr>
          <w:spacing w:val="-6"/>
        </w:rPr>
        <w:t> </w:t>
      </w:r>
      <w:r>
        <w:rPr/>
        <w:t>the</w:t>
      </w:r>
      <w:r>
        <w:rPr>
          <w:spacing w:val="-5"/>
        </w:rPr>
        <w:t> </w:t>
      </w:r>
      <w:r>
        <w:rPr/>
        <w:t>Steering Group and Oversight Group in preparing this</w:t>
      </w:r>
      <w:r>
        <w:rPr>
          <w:spacing w:val="-11"/>
        </w:rPr>
        <w:t> </w:t>
      </w:r>
      <w:r>
        <w:rPr/>
        <w:t>report.</w:t>
      </w:r>
    </w:p>
    <w:p>
      <w:pPr>
        <w:pStyle w:val="BodyText"/>
        <w:spacing w:before="4"/>
        <w:rPr>
          <w:sz w:val="16"/>
        </w:rPr>
      </w:pPr>
    </w:p>
    <w:tbl>
      <w:tblPr>
        <w:tblW w:w="0" w:type="auto"/>
        <w:jc w:val="left"/>
        <w:tblInd w:w="6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4045"/>
      </w:tblGrid>
      <w:tr>
        <w:trPr>
          <w:trHeight w:val="230" w:hRule="exact"/>
        </w:trPr>
        <w:tc>
          <w:tcPr>
            <w:tcW w:w="5039" w:type="dxa"/>
          </w:tcPr>
          <w:p>
            <w:pPr>
              <w:pStyle w:val="TableParagraph"/>
              <w:spacing w:line="203" w:lineRule="exact"/>
              <w:ind w:left="200"/>
              <w:rPr>
                <w:b/>
                <w:sz w:val="20"/>
              </w:rPr>
            </w:pPr>
            <w:r>
              <w:rPr>
                <w:b/>
                <w:sz w:val="20"/>
              </w:rPr>
              <w:t>Steering Group</w:t>
            </w:r>
          </w:p>
        </w:tc>
        <w:tc>
          <w:tcPr>
            <w:tcW w:w="4045" w:type="dxa"/>
          </w:tcPr>
          <w:p>
            <w:pPr>
              <w:pStyle w:val="TableParagraph"/>
              <w:spacing w:line="203" w:lineRule="exact"/>
              <w:ind w:left="122"/>
              <w:rPr>
                <w:b/>
                <w:sz w:val="20"/>
              </w:rPr>
            </w:pPr>
            <w:r>
              <w:rPr>
                <w:b/>
                <w:sz w:val="20"/>
              </w:rPr>
              <w:t>Oversight Group</w:t>
            </w:r>
          </w:p>
        </w:tc>
      </w:tr>
      <w:tr>
        <w:trPr>
          <w:trHeight w:val="260" w:hRule="exact"/>
        </w:trPr>
        <w:tc>
          <w:tcPr>
            <w:tcW w:w="5039" w:type="dxa"/>
          </w:tcPr>
          <w:p>
            <w:pPr>
              <w:pStyle w:val="TableParagraph"/>
              <w:spacing w:line="234" w:lineRule="exact"/>
              <w:ind w:left="200"/>
              <w:rPr>
                <w:sz w:val="20"/>
              </w:rPr>
            </w:pPr>
            <w:r>
              <w:rPr>
                <w:sz w:val="20"/>
              </w:rPr>
              <w:t>Duncan Wilson (Chair) - Eunomia Research and Consulting</w:t>
            </w:r>
          </w:p>
        </w:tc>
        <w:tc>
          <w:tcPr>
            <w:tcW w:w="4045" w:type="dxa"/>
          </w:tcPr>
          <w:p>
            <w:pPr>
              <w:pStyle w:val="TableParagraph"/>
              <w:spacing w:line="234" w:lineRule="exact"/>
              <w:ind w:left="122"/>
              <w:rPr>
                <w:sz w:val="20"/>
              </w:rPr>
            </w:pPr>
            <w:r>
              <w:rPr>
                <w:sz w:val="20"/>
              </w:rPr>
              <w:t>Stephen Goodman (Chair) - MfE</w:t>
            </w:r>
          </w:p>
        </w:tc>
      </w:tr>
      <w:tr>
        <w:trPr>
          <w:trHeight w:val="260" w:hRule="exact"/>
        </w:trPr>
        <w:tc>
          <w:tcPr>
            <w:tcW w:w="5039" w:type="dxa"/>
          </w:tcPr>
          <w:p>
            <w:pPr>
              <w:pStyle w:val="TableParagraph"/>
              <w:spacing w:line="233" w:lineRule="exact"/>
              <w:ind w:left="200"/>
              <w:rPr>
                <w:sz w:val="20"/>
              </w:rPr>
            </w:pPr>
            <w:r>
              <w:rPr>
                <w:sz w:val="20"/>
              </w:rPr>
              <w:t>Mike Jones - Earthcare Environmental</w:t>
            </w:r>
          </w:p>
        </w:tc>
        <w:tc>
          <w:tcPr>
            <w:tcW w:w="4045" w:type="dxa"/>
          </w:tcPr>
          <w:p>
            <w:pPr>
              <w:pStyle w:val="TableParagraph"/>
              <w:spacing w:line="233" w:lineRule="exact"/>
              <w:ind w:left="122"/>
              <w:rPr>
                <w:sz w:val="20"/>
              </w:rPr>
            </w:pPr>
            <w:r>
              <w:rPr>
                <w:sz w:val="20"/>
              </w:rPr>
              <w:t>Shaun Lewis - MfE</w:t>
            </w:r>
          </w:p>
        </w:tc>
      </w:tr>
      <w:tr>
        <w:trPr>
          <w:trHeight w:val="260" w:hRule="exact"/>
        </w:trPr>
        <w:tc>
          <w:tcPr>
            <w:tcW w:w="5039" w:type="dxa"/>
          </w:tcPr>
          <w:p>
            <w:pPr>
              <w:pStyle w:val="TableParagraph"/>
              <w:spacing w:line="234" w:lineRule="exact"/>
              <w:ind w:left="200"/>
              <w:rPr>
                <w:sz w:val="20"/>
              </w:rPr>
            </w:pPr>
            <w:r>
              <w:rPr>
                <w:sz w:val="20"/>
              </w:rPr>
              <w:t>Rick Thorpe - Xtreme Zero Waste/Zero Waste Network</w:t>
            </w:r>
          </w:p>
        </w:tc>
        <w:tc>
          <w:tcPr>
            <w:tcW w:w="4045" w:type="dxa"/>
          </w:tcPr>
          <w:p>
            <w:pPr>
              <w:pStyle w:val="TableParagraph"/>
              <w:spacing w:line="234" w:lineRule="exact"/>
              <w:ind w:left="122"/>
              <w:rPr>
                <w:sz w:val="20"/>
              </w:rPr>
            </w:pPr>
            <w:r>
              <w:rPr>
                <w:sz w:val="20"/>
              </w:rPr>
              <w:t>Parul Sood - Auckland Council</w:t>
            </w:r>
          </w:p>
        </w:tc>
      </w:tr>
      <w:tr>
        <w:trPr>
          <w:trHeight w:val="260" w:hRule="exact"/>
        </w:trPr>
        <w:tc>
          <w:tcPr>
            <w:tcW w:w="5039" w:type="dxa"/>
          </w:tcPr>
          <w:p>
            <w:pPr>
              <w:pStyle w:val="TableParagraph"/>
              <w:spacing w:line="233" w:lineRule="exact"/>
              <w:ind w:left="200"/>
              <w:rPr>
                <w:sz w:val="20"/>
              </w:rPr>
            </w:pPr>
            <w:r>
              <w:rPr>
                <w:sz w:val="20"/>
              </w:rPr>
              <w:t>Rob Wilson - Eco Central</w:t>
            </w:r>
          </w:p>
        </w:tc>
        <w:tc>
          <w:tcPr>
            <w:tcW w:w="4045" w:type="dxa"/>
          </w:tcPr>
          <w:p>
            <w:pPr>
              <w:pStyle w:val="TableParagraph"/>
              <w:spacing w:line="233" w:lineRule="exact"/>
              <w:ind w:left="122"/>
              <w:rPr>
                <w:sz w:val="20"/>
              </w:rPr>
            </w:pPr>
            <w:r>
              <w:rPr>
                <w:sz w:val="20"/>
              </w:rPr>
              <w:t>Jason Krupp - Local Government New Zealand</w:t>
            </w:r>
          </w:p>
        </w:tc>
      </w:tr>
      <w:tr>
        <w:trPr>
          <w:trHeight w:val="260" w:hRule="exact"/>
        </w:trPr>
        <w:tc>
          <w:tcPr>
            <w:tcW w:w="5039" w:type="dxa"/>
          </w:tcPr>
          <w:p>
            <w:pPr>
              <w:pStyle w:val="TableParagraph"/>
              <w:spacing w:line="234" w:lineRule="exact"/>
              <w:ind w:left="200"/>
              <w:rPr>
                <w:sz w:val="20"/>
              </w:rPr>
            </w:pPr>
            <w:r>
              <w:rPr>
                <w:sz w:val="20"/>
              </w:rPr>
              <w:t>Angela Atkins - Hastings District Council</w:t>
            </w:r>
          </w:p>
        </w:tc>
        <w:tc>
          <w:tcPr>
            <w:tcW w:w="4045" w:type="dxa"/>
          </w:tcPr>
          <w:p>
            <w:pPr>
              <w:pStyle w:val="TableParagraph"/>
              <w:spacing w:line="234" w:lineRule="exact"/>
              <w:ind w:left="122"/>
              <w:rPr>
                <w:sz w:val="20"/>
              </w:rPr>
            </w:pPr>
            <w:r>
              <w:rPr>
                <w:sz w:val="20"/>
              </w:rPr>
              <w:t>Pamela Ritchie - MfE</w:t>
            </w:r>
          </w:p>
        </w:tc>
      </w:tr>
      <w:tr>
        <w:trPr>
          <w:trHeight w:val="260" w:hRule="exact"/>
        </w:trPr>
        <w:tc>
          <w:tcPr>
            <w:tcW w:w="5039" w:type="dxa"/>
          </w:tcPr>
          <w:p>
            <w:pPr>
              <w:pStyle w:val="TableParagraph"/>
              <w:spacing w:line="233" w:lineRule="exact"/>
              <w:ind w:left="200"/>
              <w:rPr>
                <w:sz w:val="20"/>
              </w:rPr>
            </w:pPr>
            <w:r>
              <w:rPr>
                <w:sz w:val="20"/>
              </w:rPr>
              <w:t>Janine Brinsdon - WasteMINZ</w:t>
            </w:r>
          </w:p>
        </w:tc>
        <w:tc>
          <w:tcPr>
            <w:tcW w:w="4045" w:type="dxa"/>
          </w:tcPr>
          <w:p>
            <w:pPr/>
          </w:p>
        </w:tc>
      </w:tr>
      <w:tr>
        <w:trPr>
          <w:trHeight w:val="260" w:hRule="exact"/>
        </w:trPr>
        <w:tc>
          <w:tcPr>
            <w:tcW w:w="5039" w:type="dxa"/>
          </w:tcPr>
          <w:p>
            <w:pPr>
              <w:pStyle w:val="TableParagraph"/>
              <w:spacing w:line="234" w:lineRule="exact"/>
              <w:ind w:left="200"/>
              <w:rPr>
                <w:sz w:val="20"/>
              </w:rPr>
            </w:pPr>
            <w:r>
              <w:rPr>
                <w:sz w:val="20"/>
              </w:rPr>
              <w:t>Rodrick Boys - MfE</w:t>
            </w:r>
          </w:p>
        </w:tc>
        <w:tc>
          <w:tcPr>
            <w:tcW w:w="4045" w:type="dxa"/>
          </w:tcPr>
          <w:p>
            <w:pPr/>
          </w:p>
        </w:tc>
      </w:tr>
      <w:tr>
        <w:trPr>
          <w:trHeight w:val="229" w:hRule="exact"/>
        </w:trPr>
        <w:tc>
          <w:tcPr>
            <w:tcW w:w="5039" w:type="dxa"/>
          </w:tcPr>
          <w:p>
            <w:pPr>
              <w:pStyle w:val="TableParagraph"/>
              <w:spacing w:line="233" w:lineRule="exact"/>
              <w:ind w:left="200"/>
              <w:rPr>
                <w:sz w:val="20"/>
              </w:rPr>
            </w:pPr>
            <w:r>
              <w:rPr>
                <w:sz w:val="20"/>
              </w:rPr>
              <w:t>Stephen Goodman - MfE</w:t>
            </w:r>
          </w:p>
        </w:tc>
        <w:tc>
          <w:tcPr>
            <w:tcW w:w="4045" w:type="dxa"/>
          </w:tcPr>
          <w:p>
            <w:pPr/>
          </w:p>
        </w:tc>
      </w:tr>
    </w:tbl>
    <w:p>
      <w:pPr>
        <w:pStyle w:val="BodyText"/>
        <w:spacing w:line="256" w:lineRule="auto" w:before="141"/>
        <w:ind w:left="560" w:right="224"/>
        <w:jc w:val="both"/>
      </w:pPr>
      <w:r>
        <w:rPr/>
        <w:t>The</w:t>
      </w:r>
      <w:r>
        <w:rPr>
          <w:spacing w:val="-11"/>
        </w:rPr>
        <w:t> </w:t>
      </w:r>
      <w:r>
        <w:rPr/>
        <w:t>Project</w:t>
      </w:r>
      <w:r>
        <w:rPr>
          <w:spacing w:val="-10"/>
        </w:rPr>
        <w:t> </w:t>
      </w:r>
      <w:r>
        <w:rPr/>
        <w:t>Managers</w:t>
      </w:r>
      <w:r>
        <w:rPr>
          <w:spacing w:val="-8"/>
        </w:rPr>
        <w:t> </w:t>
      </w:r>
      <w:r>
        <w:rPr/>
        <w:t>also</w:t>
      </w:r>
      <w:r>
        <w:rPr>
          <w:spacing w:val="-10"/>
        </w:rPr>
        <w:t> </w:t>
      </w:r>
      <w:r>
        <w:rPr/>
        <w:t>thank</w:t>
      </w:r>
      <w:r>
        <w:rPr>
          <w:spacing w:val="-10"/>
        </w:rPr>
        <w:t> </w:t>
      </w:r>
      <w:r>
        <w:rPr/>
        <w:t>each</w:t>
      </w:r>
      <w:r>
        <w:rPr>
          <w:spacing w:val="-9"/>
        </w:rPr>
        <w:t> </w:t>
      </w:r>
      <w:r>
        <w:rPr/>
        <w:t>and</w:t>
      </w:r>
      <w:r>
        <w:rPr>
          <w:spacing w:val="-10"/>
        </w:rPr>
        <w:t> </w:t>
      </w:r>
      <w:r>
        <w:rPr/>
        <w:t>every</w:t>
      </w:r>
      <w:r>
        <w:rPr>
          <w:spacing w:val="-9"/>
        </w:rPr>
        <w:t> </w:t>
      </w:r>
      <w:r>
        <w:rPr/>
        <w:t>local</w:t>
      </w:r>
      <w:r>
        <w:rPr>
          <w:spacing w:val="-10"/>
        </w:rPr>
        <w:t> </w:t>
      </w:r>
      <w:r>
        <w:rPr/>
        <w:t>authority</w:t>
      </w:r>
      <w:r>
        <w:rPr>
          <w:spacing w:val="-9"/>
        </w:rPr>
        <w:t> </w:t>
      </w:r>
      <w:r>
        <w:rPr/>
        <w:t>representative</w:t>
      </w:r>
      <w:r>
        <w:rPr>
          <w:spacing w:val="-11"/>
        </w:rPr>
        <w:t> </w:t>
      </w:r>
      <w:r>
        <w:rPr/>
        <w:t>and</w:t>
      </w:r>
      <w:r>
        <w:rPr>
          <w:spacing w:val="-10"/>
        </w:rPr>
        <w:t> </w:t>
      </w:r>
      <w:r>
        <w:rPr/>
        <w:t>waste</w:t>
      </w:r>
      <w:r>
        <w:rPr>
          <w:spacing w:val="-11"/>
        </w:rPr>
        <w:t> </w:t>
      </w:r>
      <w:r>
        <w:rPr/>
        <w:t>and</w:t>
      </w:r>
      <w:r>
        <w:rPr>
          <w:spacing w:val="-10"/>
        </w:rPr>
        <w:t> </w:t>
      </w:r>
      <w:r>
        <w:rPr/>
        <w:t>resource</w:t>
      </w:r>
      <w:r>
        <w:rPr>
          <w:spacing w:val="-11"/>
        </w:rPr>
        <w:t> </w:t>
      </w:r>
      <w:r>
        <w:rPr/>
        <w:t>recovery industry representative that generously gave of their time and expertise as part of the engagement process for this</w:t>
      </w:r>
      <w:r>
        <w:rPr>
          <w:spacing w:val="-5"/>
        </w:rPr>
        <w:t> </w:t>
      </w:r>
      <w:r>
        <w:rPr/>
        <w:t>project.</w:t>
      </w:r>
    </w:p>
    <w:p>
      <w:pPr>
        <w:spacing w:after="0" w:line="256" w:lineRule="auto"/>
        <w:jc w:val="both"/>
        <w:sectPr>
          <w:type w:val="continuous"/>
          <w:pgSz w:w="11910" w:h="16840"/>
          <w:pgMar w:top="1540" w:bottom="280" w:left="880" w:right="1220"/>
        </w:sectPr>
      </w:pPr>
    </w:p>
    <w:p>
      <w:pPr>
        <w:pStyle w:val="BodyText"/>
      </w:pPr>
    </w:p>
    <w:p>
      <w:pPr>
        <w:pStyle w:val="BodyText"/>
        <w:spacing w:before="2"/>
        <w:rPr>
          <w:sz w:val="27"/>
        </w:rPr>
      </w:pPr>
    </w:p>
    <w:p>
      <w:pPr>
        <w:pStyle w:val="Heading1"/>
      </w:pPr>
      <w:r>
        <w:rPr/>
        <w:pict>
          <v:line style="position:absolute;mso-position-horizontal-relative:page;mso-position-vertical-relative:paragraph;z-index:1096" from="57.852001pt,4.363784pt" to="57.852001pt,25.123784pt" stroked="true" strokeweight="1.464pt" strokecolor="#ed7d31">
            <v:stroke dashstyle="solid"/>
            <w10:wrap type="none"/>
          </v:line>
        </w:pict>
      </w:r>
      <w:bookmarkStart w:name="TABLE OF CONTENTS " w:id="1"/>
      <w:bookmarkEnd w:id="1"/>
      <w:r>
        <w:rPr/>
      </w:r>
      <w:r>
        <w:rPr/>
        <w:t>TABLE OF CONTENTS</w:t>
      </w:r>
    </w:p>
    <w:p>
      <w:pPr>
        <w:pStyle w:val="BodyText"/>
        <w:spacing w:before="1"/>
        <w:rPr>
          <w:rFonts w:ascii="Arial"/>
          <w:sz w:val="26"/>
        </w:rPr>
      </w:pPr>
    </w:p>
    <w:p>
      <w:pPr>
        <w:spacing w:after="0"/>
        <w:rPr>
          <w:rFonts w:ascii="Arial"/>
          <w:sz w:val="26"/>
        </w:rPr>
        <w:sectPr>
          <w:pgSz w:w="11910" w:h="16840"/>
          <w:pgMar w:header="576" w:footer="0" w:top="1140" w:bottom="1471" w:left="880" w:right="1320"/>
        </w:sectPr>
      </w:pPr>
    </w:p>
    <w:sdt>
      <w:sdtPr>
        <w:docPartObj>
          <w:docPartGallery w:val="Table of Contents"/>
          <w:docPartUnique/>
        </w:docPartObj>
      </w:sdtPr>
      <w:sdtEndPr/>
      <w:sdtContent>
        <w:p>
          <w:pPr>
            <w:pStyle w:val="TOC1"/>
            <w:tabs>
              <w:tab w:pos="9579" w:val="right" w:leader="dot"/>
            </w:tabs>
            <w:spacing w:before="59"/>
          </w:pPr>
          <w:hyperlink w:history="true" w:anchor="_bookmark0">
            <w:r>
              <w:rPr/>
              <w:t>EXECUTIVE</w:t>
            </w:r>
            <w:r>
              <w:rPr>
                <w:spacing w:val="-1"/>
              </w:rPr>
              <w:t> </w:t>
            </w:r>
            <w:r>
              <w:rPr/>
              <w:t>SUMMARY</w:t>
              <w:tab/>
              <w:t>6</w:t>
            </w:r>
          </w:hyperlink>
        </w:p>
        <w:p>
          <w:pPr>
            <w:pStyle w:val="TOC1"/>
            <w:numPr>
              <w:ilvl w:val="0"/>
              <w:numId w:val="1"/>
            </w:numPr>
            <w:tabs>
              <w:tab w:pos="999" w:val="left" w:leader="none"/>
              <w:tab w:pos="1000" w:val="left" w:leader="none"/>
              <w:tab w:pos="9579" w:val="right" w:leader="dot"/>
            </w:tabs>
            <w:spacing w:line="240" w:lineRule="auto" w:before="137" w:after="0"/>
            <w:ind w:left="999" w:right="0" w:hanging="439"/>
            <w:jc w:val="left"/>
          </w:pPr>
          <w:hyperlink w:history="true" w:anchor="_bookmark1">
            <w:r>
              <w:rPr/>
              <w:t>INTRODUCTION</w:t>
              <w:tab/>
              <w:t>8</w:t>
            </w:r>
          </w:hyperlink>
        </w:p>
        <w:p>
          <w:pPr>
            <w:pStyle w:val="TOC1"/>
            <w:numPr>
              <w:ilvl w:val="0"/>
              <w:numId w:val="1"/>
            </w:numPr>
            <w:tabs>
              <w:tab w:pos="999" w:val="left" w:leader="none"/>
              <w:tab w:pos="1000" w:val="left" w:leader="none"/>
              <w:tab w:pos="9579" w:val="right" w:leader="dot"/>
            </w:tabs>
            <w:spacing w:line="240" w:lineRule="auto" w:before="135" w:after="0"/>
            <w:ind w:left="999" w:right="0" w:hanging="439"/>
            <w:jc w:val="left"/>
          </w:pPr>
          <w:hyperlink w:history="true" w:anchor="_bookmark2">
            <w:r>
              <w:rPr/>
              <w:t>CONTEXT</w:t>
              <w:tab/>
              <w:t>9</w:t>
            </w:r>
          </w:hyperlink>
        </w:p>
        <w:p>
          <w:pPr>
            <w:pStyle w:val="TOC4"/>
            <w:numPr>
              <w:ilvl w:val="1"/>
              <w:numId w:val="1"/>
            </w:numPr>
            <w:tabs>
              <w:tab w:pos="1441" w:val="left" w:leader="none"/>
              <w:tab w:pos="1442" w:val="left" w:leader="none"/>
              <w:tab w:pos="9579" w:val="right" w:leader="dot"/>
            </w:tabs>
            <w:spacing w:line="240" w:lineRule="auto" w:before="137" w:after="0"/>
            <w:ind w:left="1441" w:right="0" w:hanging="660"/>
            <w:jc w:val="left"/>
            <w:rPr>
              <w:b w:val="0"/>
              <w:i w:val="0"/>
              <w:sz w:val="20"/>
            </w:rPr>
          </w:pPr>
          <w:hyperlink w:history="true" w:anchor="_bookmark3">
            <w:r>
              <w:rPr>
                <w:b w:val="0"/>
                <w:i w:val="0"/>
                <w:sz w:val="20"/>
              </w:rPr>
              <w:t>T</w:t>
            </w:r>
            <w:r>
              <w:rPr>
                <w:b w:val="0"/>
                <w:i w:val="0"/>
                <w:sz w:val="16"/>
              </w:rPr>
              <w:t>HE </w:t>
            </w:r>
            <w:r>
              <w:rPr>
                <w:b w:val="0"/>
                <w:i w:val="0"/>
                <w:sz w:val="20"/>
              </w:rPr>
              <w:t>W</w:t>
            </w:r>
            <w:r>
              <w:rPr>
                <w:b w:val="0"/>
                <w:i w:val="0"/>
                <w:sz w:val="16"/>
              </w:rPr>
              <w:t>ASTE </w:t>
            </w:r>
            <w:r>
              <w:rPr>
                <w:b w:val="0"/>
                <w:i w:val="0"/>
                <w:sz w:val="20"/>
              </w:rPr>
              <w:t>M</w:t>
            </w:r>
            <w:r>
              <w:rPr>
                <w:b w:val="0"/>
                <w:i w:val="0"/>
                <w:sz w:val="16"/>
              </w:rPr>
              <w:t>INIMISATION</w:t>
            </w:r>
            <w:r>
              <w:rPr>
                <w:b w:val="0"/>
                <w:i w:val="0"/>
                <w:spacing w:val="-1"/>
                <w:sz w:val="16"/>
              </w:rPr>
              <w:t> </w:t>
            </w:r>
            <w:r>
              <w:rPr>
                <w:b w:val="0"/>
                <w:i w:val="0"/>
                <w:sz w:val="20"/>
              </w:rPr>
              <w:t>A</w:t>
            </w:r>
            <w:r>
              <w:rPr>
                <w:b w:val="0"/>
                <w:i w:val="0"/>
                <w:sz w:val="16"/>
              </w:rPr>
              <w:t>CT</w:t>
            </w:r>
            <w:r>
              <w:rPr>
                <w:b w:val="0"/>
                <w:i w:val="0"/>
                <w:spacing w:val="-1"/>
                <w:sz w:val="16"/>
              </w:rPr>
              <w:t> </w:t>
            </w:r>
            <w:r>
              <w:rPr>
                <w:b w:val="0"/>
                <w:i w:val="0"/>
                <w:sz w:val="20"/>
              </w:rPr>
              <w:t>2008</w:t>
              <w:tab/>
              <w:t>9</w:t>
            </w:r>
          </w:hyperlink>
        </w:p>
        <w:p>
          <w:pPr>
            <w:pStyle w:val="TOC3"/>
            <w:numPr>
              <w:ilvl w:val="1"/>
              <w:numId w:val="1"/>
            </w:numPr>
            <w:tabs>
              <w:tab w:pos="1441" w:val="left" w:leader="none"/>
              <w:tab w:pos="1442" w:val="left" w:leader="none"/>
              <w:tab w:pos="9579" w:val="right" w:leader="dot"/>
            </w:tabs>
            <w:spacing w:line="240" w:lineRule="auto" w:before="14" w:after="0"/>
            <w:ind w:left="1441" w:right="0" w:hanging="660"/>
            <w:jc w:val="left"/>
            <w:rPr>
              <w:sz w:val="20"/>
            </w:rPr>
          </w:pPr>
          <w:hyperlink w:history="true" w:anchor="_bookmark4">
            <w:r>
              <w:rPr>
                <w:sz w:val="20"/>
              </w:rPr>
              <w:t>H</w:t>
            </w:r>
            <w:r>
              <w:rPr/>
              <w:t>E TIROHANGA </w:t>
            </w:r>
            <w:r>
              <w:rPr>
                <w:sz w:val="20"/>
              </w:rPr>
              <w:t>M</w:t>
            </w:r>
            <w:r>
              <w:rPr/>
              <w:t>AORI I TE PARA</w:t>
            </w:r>
            <w:r>
              <w:rPr>
                <w:spacing w:val="-4"/>
              </w:rPr>
              <w:t> </w:t>
            </w:r>
            <w:r>
              <w:rPr/>
              <w:t>ME</w:t>
            </w:r>
            <w:r>
              <w:rPr>
                <w:spacing w:val="-1"/>
              </w:rPr>
              <w:t> </w:t>
            </w:r>
            <w:r>
              <w:rPr/>
              <w:t>HANGARUA</w:t>
            </w:r>
            <w:r>
              <w:rPr>
                <w:sz w:val="20"/>
              </w:rPr>
              <w:tab/>
              <w:t>9</w:t>
            </w:r>
          </w:hyperlink>
        </w:p>
        <w:p>
          <w:pPr>
            <w:pStyle w:val="TOC3"/>
            <w:numPr>
              <w:ilvl w:val="1"/>
              <w:numId w:val="1"/>
            </w:numPr>
            <w:tabs>
              <w:tab w:pos="1441" w:val="left" w:leader="none"/>
              <w:tab w:pos="1442" w:val="left" w:leader="none"/>
              <w:tab w:pos="9578" w:val="right" w:leader="dot"/>
            </w:tabs>
            <w:spacing w:line="240" w:lineRule="auto" w:before="17" w:after="0"/>
            <w:ind w:left="1441" w:right="0" w:hanging="660"/>
            <w:jc w:val="left"/>
            <w:rPr>
              <w:sz w:val="20"/>
            </w:rPr>
          </w:pPr>
          <w:hyperlink w:history="true" w:anchor="_bookmark5">
            <w:r>
              <w:rPr>
                <w:sz w:val="20"/>
              </w:rPr>
              <w:t>C</w:t>
            </w:r>
            <w:r>
              <w:rPr/>
              <w:t>IRCULAR ECONOMY AND</w:t>
            </w:r>
            <w:r>
              <w:rPr>
                <w:spacing w:val="-5"/>
              </w:rPr>
              <w:t> </w:t>
            </w:r>
            <w:r>
              <w:rPr/>
              <w:t>ZERO</w:t>
            </w:r>
            <w:r>
              <w:rPr>
                <w:spacing w:val="-2"/>
              </w:rPr>
              <w:t> </w:t>
            </w:r>
            <w:r>
              <w:rPr/>
              <w:t>WASTE</w:t>
            </w:r>
            <w:r>
              <w:rPr>
                <w:sz w:val="20"/>
              </w:rPr>
              <w:tab/>
              <w:t>10</w:t>
            </w:r>
          </w:hyperlink>
        </w:p>
        <w:p>
          <w:pPr>
            <w:pStyle w:val="TOC4"/>
            <w:numPr>
              <w:ilvl w:val="1"/>
              <w:numId w:val="1"/>
            </w:numPr>
            <w:tabs>
              <w:tab w:pos="1441" w:val="left" w:leader="none"/>
              <w:tab w:pos="1442" w:val="left" w:leader="none"/>
              <w:tab w:pos="9578" w:val="right" w:leader="dot"/>
            </w:tabs>
            <w:spacing w:line="240" w:lineRule="auto" w:before="15" w:after="0"/>
            <w:ind w:left="1441" w:right="0" w:hanging="660"/>
            <w:jc w:val="left"/>
            <w:rPr>
              <w:b w:val="0"/>
              <w:i w:val="0"/>
              <w:sz w:val="20"/>
            </w:rPr>
          </w:pPr>
          <w:hyperlink w:history="true" w:anchor="_bookmark6">
            <w:r>
              <w:rPr>
                <w:b w:val="0"/>
                <w:i w:val="0"/>
                <w:sz w:val="20"/>
              </w:rPr>
              <w:t>W</w:t>
            </w:r>
            <w:r>
              <w:rPr>
                <w:b w:val="0"/>
                <w:i w:val="0"/>
                <w:sz w:val="16"/>
              </w:rPr>
              <w:t>ASTE</w:t>
            </w:r>
            <w:r>
              <w:rPr>
                <w:b w:val="0"/>
                <w:i w:val="0"/>
                <w:spacing w:val="-1"/>
                <w:sz w:val="16"/>
              </w:rPr>
              <w:t> </w:t>
            </w:r>
            <w:r>
              <w:rPr>
                <w:b w:val="0"/>
                <w:i w:val="0"/>
                <w:sz w:val="16"/>
              </w:rPr>
              <w:t>HIERARCHY</w:t>
            </w:r>
            <w:r>
              <w:rPr>
                <w:b w:val="0"/>
                <w:i w:val="0"/>
                <w:sz w:val="20"/>
              </w:rPr>
              <w:tab/>
              <w:t>10</w:t>
            </w:r>
          </w:hyperlink>
        </w:p>
        <w:p>
          <w:pPr>
            <w:pStyle w:val="TOC3"/>
            <w:numPr>
              <w:ilvl w:val="1"/>
              <w:numId w:val="1"/>
            </w:numPr>
            <w:tabs>
              <w:tab w:pos="1441" w:val="left" w:leader="none"/>
              <w:tab w:pos="1442" w:val="left" w:leader="none"/>
              <w:tab w:pos="9578" w:val="right" w:leader="dot"/>
            </w:tabs>
            <w:spacing w:line="240" w:lineRule="auto" w:before="18" w:after="0"/>
            <w:ind w:left="1441" w:right="0" w:hanging="660"/>
            <w:jc w:val="left"/>
            <w:rPr>
              <w:sz w:val="20"/>
            </w:rPr>
          </w:pPr>
          <w:hyperlink w:history="true" w:anchor="_bookmark7">
            <w:r>
              <w:rPr>
                <w:sz w:val="20"/>
              </w:rPr>
              <w:t>W</w:t>
            </w:r>
            <w:r>
              <w:rPr/>
              <w:t>ASTE LEVY AND A </w:t>
            </w:r>
            <w:r>
              <w:rPr>
                <w:sz w:val="20"/>
              </w:rPr>
              <w:t>C</w:t>
            </w:r>
            <w:r>
              <w:rPr/>
              <w:t>ONTAINER</w:t>
            </w:r>
            <w:r>
              <w:rPr>
                <w:spacing w:val="-2"/>
              </w:rPr>
              <w:t> </w:t>
            </w:r>
            <w:r>
              <w:rPr>
                <w:sz w:val="20"/>
              </w:rPr>
              <w:t>R</w:t>
            </w:r>
            <w:r>
              <w:rPr/>
              <w:t>ETURN</w:t>
            </w:r>
            <w:r>
              <w:rPr>
                <w:spacing w:val="-2"/>
              </w:rPr>
              <w:t> </w:t>
            </w:r>
            <w:r>
              <w:rPr>
                <w:sz w:val="20"/>
              </w:rPr>
              <w:t>S</w:t>
            </w:r>
            <w:r>
              <w:rPr/>
              <w:t>CHEME</w:t>
            </w:r>
            <w:r>
              <w:rPr>
                <w:sz w:val="20"/>
              </w:rPr>
              <w:tab/>
              <w:t>11</w:t>
            </w:r>
          </w:hyperlink>
        </w:p>
        <w:p>
          <w:pPr>
            <w:pStyle w:val="TOC3"/>
            <w:numPr>
              <w:ilvl w:val="1"/>
              <w:numId w:val="1"/>
            </w:numPr>
            <w:tabs>
              <w:tab w:pos="1441" w:val="left" w:leader="none"/>
              <w:tab w:pos="1442" w:val="left" w:leader="none"/>
              <w:tab w:pos="9578" w:val="right" w:leader="dot"/>
            </w:tabs>
            <w:spacing w:line="240" w:lineRule="auto" w:before="15" w:after="0"/>
            <w:ind w:left="1441" w:right="0" w:hanging="660"/>
            <w:jc w:val="left"/>
            <w:rPr>
              <w:sz w:val="20"/>
            </w:rPr>
          </w:pPr>
          <w:hyperlink w:history="true" w:anchor="_bookmark8">
            <w:r>
              <w:rPr>
                <w:sz w:val="20"/>
              </w:rPr>
              <w:t>E</w:t>
            </w:r>
            <w:r>
              <w:rPr/>
              <w:t>XPORT</w:t>
            </w:r>
            <w:r>
              <w:rPr>
                <w:spacing w:val="-1"/>
              </w:rPr>
              <w:t> </w:t>
            </w:r>
            <w:r>
              <w:rPr/>
              <w:t>RESTRICTIONS</w:t>
            </w:r>
            <w:r>
              <w:rPr>
                <w:sz w:val="20"/>
              </w:rPr>
              <w:tab/>
              <w:t>11</w:t>
            </w:r>
          </w:hyperlink>
        </w:p>
        <w:p>
          <w:pPr>
            <w:pStyle w:val="TOC3"/>
            <w:numPr>
              <w:ilvl w:val="1"/>
              <w:numId w:val="1"/>
            </w:numPr>
            <w:tabs>
              <w:tab w:pos="1441" w:val="left" w:leader="none"/>
              <w:tab w:pos="1442" w:val="left" w:leader="none"/>
              <w:tab w:pos="9578" w:val="right" w:leader="dot"/>
            </w:tabs>
            <w:spacing w:line="240" w:lineRule="auto" w:before="17" w:after="0"/>
            <w:ind w:left="1441" w:right="0" w:hanging="660"/>
            <w:jc w:val="left"/>
            <w:rPr>
              <w:sz w:val="20"/>
            </w:rPr>
          </w:pPr>
          <w:hyperlink w:history="true" w:anchor="_bookmark9">
            <w:r>
              <w:rPr>
                <w:sz w:val="20"/>
              </w:rPr>
              <w:t>P</w:t>
            </w:r>
            <w:r>
              <w:rPr/>
              <w:t>RIVATISATION OF</w:t>
            </w:r>
            <w:r>
              <w:rPr>
                <w:spacing w:val="-2"/>
              </w:rPr>
              <w:t> </w:t>
            </w:r>
            <w:r>
              <w:rPr/>
              <w:t>WASTE</w:t>
            </w:r>
            <w:r>
              <w:rPr>
                <w:spacing w:val="-1"/>
              </w:rPr>
              <w:t> </w:t>
            </w:r>
            <w:r>
              <w:rPr/>
              <w:t>SECTOR</w:t>
            </w:r>
            <w:r>
              <w:rPr>
                <w:sz w:val="20"/>
              </w:rPr>
              <w:tab/>
              <w:t>12</w:t>
            </w:r>
          </w:hyperlink>
        </w:p>
        <w:p>
          <w:pPr>
            <w:pStyle w:val="TOC3"/>
            <w:numPr>
              <w:ilvl w:val="1"/>
              <w:numId w:val="1"/>
            </w:numPr>
            <w:tabs>
              <w:tab w:pos="1441" w:val="left" w:leader="none"/>
              <w:tab w:pos="1442" w:val="left" w:leader="none"/>
              <w:tab w:pos="9578" w:val="right" w:leader="dot"/>
            </w:tabs>
            <w:spacing w:line="240" w:lineRule="auto" w:before="14" w:after="0"/>
            <w:ind w:left="1441" w:right="0" w:hanging="660"/>
            <w:jc w:val="left"/>
            <w:rPr>
              <w:sz w:val="20"/>
            </w:rPr>
          </w:pPr>
          <w:hyperlink w:history="true" w:anchor="_bookmark10">
            <w:r>
              <w:rPr>
                <w:sz w:val="20"/>
              </w:rPr>
              <w:t>O</w:t>
            </w:r>
            <w:r>
              <w:rPr/>
              <w:t>UR RECORD ON</w:t>
            </w:r>
            <w:r>
              <w:rPr>
                <w:spacing w:val="-4"/>
              </w:rPr>
              <w:t> </w:t>
            </w:r>
            <w:r>
              <w:rPr/>
              <w:t>WASTE</w:t>
            </w:r>
            <w:r>
              <w:rPr>
                <w:spacing w:val="-1"/>
              </w:rPr>
              <w:t> </w:t>
            </w:r>
            <w:r>
              <w:rPr/>
              <w:t>MINIMISATION</w:t>
            </w:r>
            <w:r>
              <w:rPr>
                <w:sz w:val="20"/>
              </w:rPr>
              <w:tab/>
              <w:t>12</w:t>
            </w:r>
          </w:hyperlink>
        </w:p>
        <w:p>
          <w:pPr>
            <w:pStyle w:val="TOC3"/>
            <w:numPr>
              <w:ilvl w:val="1"/>
              <w:numId w:val="1"/>
            </w:numPr>
            <w:tabs>
              <w:tab w:pos="1441" w:val="left" w:leader="none"/>
              <w:tab w:pos="1442" w:val="left" w:leader="none"/>
              <w:tab w:pos="9578" w:val="right" w:leader="dot"/>
            </w:tabs>
            <w:spacing w:line="240" w:lineRule="auto" w:before="16" w:after="0"/>
            <w:ind w:left="1441" w:right="0" w:hanging="660"/>
            <w:jc w:val="left"/>
            <w:rPr>
              <w:sz w:val="20"/>
            </w:rPr>
          </w:pPr>
          <w:hyperlink w:history="true" w:anchor="_bookmark11">
            <w:r>
              <w:rPr>
                <w:sz w:val="20"/>
              </w:rPr>
              <w:t>C</w:t>
            </w:r>
            <w:r>
              <w:rPr/>
              <w:t>URRENT</w:t>
            </w:r>
            <w:r>
              <w:rPr>
                <w:spacing w:val="-1"/>
              </w:rPr>
              <w:t> </w:t>
            </w:r>
            <w:r>
              <w:rPr/>
              <w:t>KERBSIDE</w:t>
            </w:r>
            <w:r>
              <w:rPr>
                <w:spacing w:val="-1"/>
              </w:rPr>
              <w:t> </w:t>
            </w:r>
            <w:r>
              <w:rPr/>
              <w:t>COLLECTIONS</w:t>
            </w:r>
            <w:r>
              <w:rPr>
                <w:sz w:val="20"/>
              </w:rPr>
              <w:tab/>
              <w:t>13</w:t>
            </w:r>
          </w:hyperlink>
        </w:p>
        <w:p>
          <w:pPr>
            <w:pStyle w:val="TOC3"/>
            <w:numPr>
              <w:ilvl w:val="1"/>
              <w:numId w:val="1"/>
            </w:numPr>
            <w:tabs>
              <w:tab w:pos="1441" w:val="left" w:leader="none"/>
              <w:tab w:pos="1442" w:val="left" w:leader="none"/>
              <w:tab w:pos="9578" w:val="right" w:leader="dot"/>
            </w:tabs>
            <w:spacing w:line="240" w:lineRule="auto" w:before="14" w:after="0"/>
            <w:ind w:left="1441" w:right="0" w:hanging="660"/>
            <w:jc w:val="left"/>
            <w:rPr>
              <w:sz w:val="20"/>
            </w:rPr>
          </w:pPr>
          <w:hyperlink w:history="true" w:anchor="_bookmark12">
            <w:r>
              <w:rPr>
                <w:sz w:val="20"/>
              </w:rPr>
              <w:t>G</w:t>
            </w:r>
            <w:r>
              <w:rPr/>
              <w:t>EOGRAPHIC</w:t>
            </w:r>
            <w:r>
              <w:rPr>
                <w:spacing w:val="-1"/>
              </w:rPr>
              <w:t> </w:t>
            </w:r>
            <w:r>
              <w:rPr/>
              <w:t>CONSTRAINTS</w:t>
            </w:r>
            <w:r>
              <w:rPr>
                <w:sz w:val="20"/>
              </w:rPr>
              <w:tab/>
              <w:t>14</w:t>
            </w:r>
          </w:hyperlink>
        </w:p>
        <w:p>
          <w:pPr>
            <w:pStyle w:val="TOC4"/>
            <w:tabs>
              <w:tab w:pos="1441" w:val="left" w:leader="none"/>
              <w:tab w:pos="9578" w:val="right" w:leader="dot"/>
            </w:tabs>
            <w:spacing w:before="17"/>
            <w:ind w:left="781" w:firstLine="0"/>
            <w:rPr>
              <w:b w:val="0"/>
              <w:i w:val="0"/>
              <w:sz w:val="20"/>
            </w:rPr>
          </w:pPr>
          <w:hyperlink w:history="true" w:anchor="_bookmark13">
            <w:r>
              <w:rPr>
                <w:b w:val="0"/>
                <w:i w:val="0"/>
                <w:sz w:val="20"/>
              </w:rPr>
              <w:t>2.11.</w:t>
              <w:tab/>
              <w:t>C</w:t>
            </w:r>
            <w:r>
              <w:rPr>
                <w:b w:val="0"/>
                <w:i w:val="0"/>
                <w:sz w:val="16"/>
              </w:rPr>
              <w:t>OVID</w:t>
            </w:r>
            <w:r>
              <w:rPr>
                <w:b w:val="0"/>
                <w:i w:val="0"/>
                <w:sz w:val="20"/>
              </w:rPr>
              <w:t>-19</w:t>
              <w:tab/>
              <w:t>15</w:t>
            </w:r>
          </w:hyperlink>
        </w:p>
        <w:p>
          <w:pPr>
            <w:pStyle w:val="TOC1"/>
            <w:numPr>
              <w:ilvl w:val="0"/>
              <w:numId w:val="1"/>
            </w:numPr>
            <w:tabs>
              <w:tab w:pos="999" w:val="left" w:leader="none"/>
              <w:tab w:pos="1000" w:val="left" w:leader="none"/>
              <w:tab w:pos="9578" w:val="right" w:leader="dot"/>
            </w:tabs>
            <w:spacing w:line="240" w:lineRule="auto" w:before="135" w:after="0"/>
            <w:ind w:left="999" w:right="0" w:hanging="439"/>
            <w:jc w:val="left"/>
          </w:pPr>
          <w:hyperlink w:history="true" w:anchor="_bookmark14">
            <w:r>
              <w:rPr/>
              <w:t>LITERATURE</w:t>
            </w:r>
            <w:r>
              <w:rPr>
                <w:spacing w:val="-1"/>
              </w:rPr>
              <w:t> </w:t>
            </w:r>
            <w:r>
              <w:rPr/>
              <w:t>REVIEW</w:t>
              <w:tab/>
              <w:t>16</w:t>
            </w:r>
          </w:hyperlink>
        </w:p>
        <w:p>
          <w:pPr>
            <w:pStyle w:val="TOC3"/>
            <w:numPr>
              <w:ilvl w:val="1"/>
              <w:numId w:val="1"/>
            </w:numPr>
            <w:tabs>
              <w:tab w:pos="1441" w:val="left" w:leader="none"/>
              <w:tab w:pos="1442" w:val="left" w:leader="none"/>
              <w:tab w:pos="9578" w:val="right" w:leader="dot"/>
            </w:tabs>
            <w:spacing w:line="240" w:lineRule="auto" w:before="137" w:after="0"/>
            <w:ind w:left="1441" w:right="0" w:hanging="660"/>
            <w:jc w:val="left"/>
            <w:rPr>
              <w:sz w:val="20"/>
            </w:rPr>
          </w:pPr>
          <w:hyperlink w:history="true" w:anchor="_bookmark15">
            <w:r>
              <w:rPr>
                <w:sz w:val="20"/>
              </w:rPr>
              <w:t>L</w:t>
            </w:r>
            <w:r>
              <w:rPr/>
              <w:t>ITERATURE REVIEW ON CONSISTENCY OF MATERIALS ACCEPTED IN</w:t>
            </w:r>
            <w:r>
              <w:rPr>
                <w:spacing w:val="-12"/>
              </w:rPr>
              <w:t> </w:t>
            </w:r>
            <w:r>
              <w:rPr/>
              <w:t>KERBSIDE</w:t>
            </w:r>
            <w:r>
              <w:rPr>
                <w:spacing w:val="-1"/>
              </w:rPr>
              <w:t> </w:t>
            </w:r>
            <w:r>
              <w:rPr/>
              <w:t>RECYCLING</w:t>
            </w:r>
            <w:r>
              <w:rPr>
                <w:sz w:val="20"/>
              </w:rPr>
              <w:tab/>
              <w:t>16</w:t>
            </w:r>
          </w:hyperlink>
        </w:p>
        <w:p>
          <w:pPr>
            <w:pStyle w:val="TOC3"/>
            <w:numPr>
              <w:ilvl w:val="1"/>
              <w:numId w:val="1"/>
            </w:numPr>
            <w:tabs>
              <w:tab w:pos="1441" w:val="left" w:leader="none"/>
              <w:tab w:pos="1442" w:val="left" w:leader="none"/>
              <w:tab w:pos="9578" w:val="right" w:leader="dot"/>
            </w:tabs>
            <w:spacing w:line="240" w:lineRule="auto" w:before="14" w:after="0"/>
            <w:ind w:left="1441" w:right="0" w:hanging="660"/>
            <w:jc w:val="left"/>
            <w:rPr>
              <w:sz w:val="20"/>
            </w:rPr>
          </w:pPr>
          <w:hyperlink w:history="true" w:anchor="_bookmark16">
            <w:r>
              <w:rPr>
                <w:sz w:val="20"/>
              </w:rPr>
              <w:t>K</w:t>
            </w:r>
            <w:r>
              <w:rPr/>
              <w:t>ERBSIDE ORGANIC</w:t>
            </w:r>
            <w:r>
              <w:rPr>
                <w:spacing w:val="-3"/>
              </w:rPr>
              <w:t> </w:t>
            </w:r>
            <w:r>
              <w:rPr/>
              <w:t>COLLECTION</w:t>
            </w:r>
            <w:r>
              <w:rPr>
                <w:spacing w:val="-2"/>
              </w:rPr>
              <w:t> </w:t>
            </w:r>
            <w:r>
              <w:rPr/>
              <w:t>SYSTEMS</w:t>
            </w:r>
            <w:r>
              <w:rPr>
                <w:sz w:val="20"/>
              </w:rPr>
              <w:tab/>
              <w:t>17</w:t>
            </w:r>
          </w:hyperlink>
        </w:p>
        <w:p>
          <w:pPr>
            <w:pStyle w:val="TOC3"/>
            <w:numPr>
              <w:ilvl w:val="1"/>
              <w:numId w:val="1"/>
            </w:numPr>
            <w:tabs>
              <w:tab w:pos="1441" w:val="left" w:leader="none"/>
              <w:tab w:pos="1442" w:val="left" w:leader="none"/>
              <w:tab w:pos="9578" w:val="right" w:leader="dot"/>
            </w:tabs>
            <w:spacing w:line="240" w:lineRule="auto" w:before="17" w:after="0"/>
            <w:ind w:left="1441" w:right="0" w:hanging="660"/>
            <w:jc w:val="left"/>
            <w:rPr>
              <w:sz w:val="20"/>
            </w:rPr>
          </w:pPr>
          <w:hyperlink w:history="true" w:anchor="_bookmark17">
            <w:r>
              <w:rPr>
                <w:sz w:val="20"/>
              </w:rPr>
              <w:t>K</w:t>
            </w:r>
            <w:r>
              <w:rPr/>
              <w:t>ERBSIDE RECYCLING</w:t>
            </w:r>
            <w:r>
              <w:rPr>
                <w:spacing w:val="-3"/>
              </w:rPr>
              <w:t> </w:t>
            </w:r>
            <w:r>
              <w:rPr/>
              <w:t>COLLECTION</w:t>
            </w:r>
            <w:r>
              <w:rPr>
                <w:spacing w:val="-2"/>
              </w:rPr>
              <w:t> </w:t>
            </w:r>
            <w:r>
              <w:rPr/>
              <w:t>SYSTEMS</w:t>
            </w:r>
            <w:r>
              <w:rPr>
                <w:sz w:val="20"/>
              </w:rPr>
              <w:tab/>
              <w:t>18</w:t>
            </w:r>
          </w:hyperlink>
        </w:p>
        <w:p>
          <w:pPr>
            <w:pStyle w:val="TOC3"/>
            <w:numPr>
              <w:ilvl w:val="1"/>
              <w:numId w:val="1"/>
            </w:numPr>
            <w:tabs>
              <w:tab w:pos="1441" w:val="left" w:leader="none"/>
              <w:tab w:pos="1442" w:val="left" w:leader="none"/>
              <w:tab w:pos="9578" w:val="right" w:leader="dot"/>
            </w:tabs>
            <w:spacing w:line="240" w:lineRule="auto" w:before="15" w:after="0"/>
            <w:ind w:left="1441" w:right="0" w:hanging="660"/>
            <w:jc w:val="left"/>
            <w:rPr>
              <w:sz w:val="20"/>
            </w:rPr>
          </w:pPr>
          <w:hyperlink w:history="true" w:anchor="_bookmark18">
            <w:r>
              <w:rPr>
                <w:sz w:val="20"/>
              </w:rPr>
              <w:t>K</w:t>
            </w:r>
            <w:r>
              <w:rPr/>
              <w:t>ERBSIDE RESIDUAL RUBBISH</w:t>
            </w:r>
            <w:r>
              <w:rPr>
                <w:spacing w:val="-5"/>
              </w:rPr>
              <w:t> </w:t>
            </w:r>
            <w:r>
              <w:rPr/>
              <w:t>COLLECTION</w:t>
            </w:r>
            <w:r>
              <w:rPr>
                <w:spacing w:val="-2"/>
              </w:rPr>
              <w:t> </w:t>
            </w:r>
            <w:r>
              <w:rPr/>
              <w:t>SYSTEMS</w:t>
            </w:r>
            <w:r>
              <w:rPr>
                <w:sz w:val="20"/>
              </w:rPr>
              <w:tab/>
              <w:t>19</w:t>
            </w:r>
          </w:hyperlink>
        </w:p>
        <w:p>
          <w:pPr>
            <w:pStyle w:val="TOC1"/>
            <w:numPr>
              <w:ilvl w:val="0"/>
              <w:numId w:val="1"/>
            </w:numPr>
            <w:tabs>
              <w:tab w:pos="999" w:val="left" w:leader="none"/>
              <w:tab w:pos="1000" w:val="left" w:leader="none"/>
              <w:tab w:pos="9578" w:val="right" w:leader="dot"/>
            </w:tabs>
            <w:spacing w:line="240" w:lineRule="auto" w:before="137" w:after="0"/>
            <w:ind w:left="999" w:right="0" w:hanging="439"/>
            <w:jc w:val="left"/>
          </w:pPr>
          <w:hyperlink w:history="true" w:anchor="_bookmark19">
            <w:r>
              <w:rPr/>
              <w:t>ENGAGEMENT</w:t>
            </w:r>
            <w:r>
              <w:rPr>
                <w:spacing w:val="-2"/>
              </w:rPr>
              <w:t> </w:t>
            </w:r>
            <w:r>
              <w:rPr/>
              <w:t>PROCESS</w:t>
              <w:tab/>
              <w:t>20</w:t>
            </w:r>
          </w:hyperlink>
        </w:p>
        <w:p>
          <w:pPr>
            <w:pStyle w:val="TOC1"/>
            <w:numPr>
              <w:ilvl w:val="0"/>
              <w:numId w:val="1"/>
            </w:numPr>
            <w:tabs>
              <w:tab w:pos="999" w:val="left" w:leader="none"/>
              <w:tab w:pos="1000" w:val="left" w:leader="none"/>
              <w:tab w:pos="9578" w:val="right" w:leader="dot"/>
            </w:tabs>
            <w:spacing w:line="240" w:lineRule="auto" w:before="135" w:after="0"/>
            <w:ind w:left="999" w:right="0" w:hanging="439"/>
            <w:jc w:val="left"/>
          </w:pPr>
          <w:hyperlink w:history="true" w:anchor="_bookmark20">
            <w:r>
              <w:rPr/>
              <w:t>WHAT</w:t>
            </w:r>
            <w:r>
              <w:rPr>
                <w:spacing w:val="-2"/>
              </w:rPr>
              <w:t> </w:t>
            </w:r>
            <w:r>
              <w:rPr/>
              <w:t>PEOPLE</w:t>
            </w:r>
            <w:r>
              <w:rPr>
                <w:spacing w:val="-1"/>
              </w:rPr>
              <w:t> </w:t>
            </w:r>
            <w:r>
              <w:rPr/>
              <w:t>THINK</w:t>
              <w:tab/>
              <w:t>21</w:t>
            </w:r>
          </w:hyperlink>
        </w:p>
        <w:p>
          <w:pPr>
            <w:pStyle w:val="TOC3"/>
            <w:numPr>
              <w:ilvl w:val="1"/>
              <w:numId w:val="1"/>
            </w:numPr>
            <w:tabs>
              <w:tab w:pos="1441" w:val="left" w:leader="none"/>
              <w:tab w:pos="1442" w:val="left" w:leader="none"/>
              <w:tab w:pos="9578" w:val="right" w:leader="dot"/>
            </w:tabs>
            <w:spacing w:line="240" w:lineRule="auto" w:before="137" w:after="0"/>
            <w:ind w:left="1441" w:right="0" w:hanging="660"/>
            <w:jc w:val="left"/>
            <w:rPr>
              <w:sz w:val="20"/>
            </w:rPr>
          </w:pPr>
          <w:hyperlink w:history="true" w:anchor="_bookmark21">
            <w:r>
              <w:rPr>
                <w:sz w:val="20"/>
              </w:rPr>
              <w:t>S</w:t>
            </w:r>
            <w:r>
              <w:rPr/>
              <w:t>TANDARDISATION OF COLOURS USED FOR BINS</w:t>
            </w:r>
            <w:r>
              <w:rPr>
                <w:sz w:val="20"/>
              </w:rPr>
              <w:t>, </w:t>
            </w:r>
            <w:r>
              <w:rPr/>
              <w:t>LIDS</w:t>
            </w:r>
            <w:r>
              <w:rPr>
                <w:spacing w:val="-16"/>
              </w:rPr>
              <w:t> </w:t>
            </w:r>
            <w:r>
              <w:rPr/>
              <w:t>AND</w:t>
            </w:r>
            <w:r>
              <w:rPr>
                <w:spacing w:val="-2"/>
              </w:rPr>
              <w:t> </w:t>
            </w:r>
            <w:r>
              <w:rPr/>
              <w:t>SIGNAGE</w:t>
            </w:r>
            <w:r>
              <w:rPr>
                <w:sz w:val="20"/>
              </w:rPr>
              <w:tab/>
              <w:t>21</w:t>
            </w:r>
          </w:hyperlink>
        </w:p>
        <w:p>
          <w:pPr>
            <w:pStyle w:val="TOC3"/>
            <w:numPr>
              <w:ilvl w:val="1"/>
              <w:numId w:val="1"/>
            </w:numPr>
            <w:tabs>
              <w:tab w:pos="1441" w:val="left" w:leader="none"/>
              <w:tab w:pos="1442" w:val="left" w:leader="none"/>
              <w:tab w:pos="9578" w:val="right" w:leader="dot"/>
            </w:tabs>
            <w:spacing w:line="240" w:lineRule="auto" w:before="14" w:after="0"/>
            <w:ind w:left="1441" w:right="0" w:hanging="660"/>
            <w:jc w:val="left"/>
            <w:rPr>
              <w:sz w:val="20"/>
            </w:rPr>
          </w:pPr>
          <w:hyperlink w:history="true" w:anchor="_bookmark22">
            <w:r>
              <w:rPr>
                <w:sz w:val="20"/>
              </w:rPr>
              <w:t>S</w:t>
            </w:r>
            <w:r>
              <w:rPr/>
              <w:t>TANDARDISING MATERIALS COLLECTED IN</w:t>
            </w:r>
            <w:r>
              <w:rPr>
                <w:spacing w:val="-4"/>
              </w:rPr>
              <w:t> </w:t>
            </w:r>
            <w:r>
              <w:rPr/>
              <w:t>KERBSIDE</w:t>
            </w:r>
            <w:r>
              <w:rPr>
                <w:spacing w:val="-1"/>
              </w:rPr>
              <w:t> </w:t>
            </w:r>
            <w:r>
              <w:rPr/>
              <w:t>RECYCLING</w:t>
            </w:r>
            <w:r>
              <w:rPr>
                <w:sz w:val="20"/>
              </w:rPr>
              <w:tab/>
              <w:t>21</w:t>
            </w:r>
          </w:hyperlink>
        </w:p>
        <w:p>
          <w:pPr>
            <w:pStyle w:val="TOC4"/>
            <w:numPr>
              <w:ilvl w:val="2"/>
              <w:numId w:val="1"/>
            </w:numPr>
            <w:tabs>
              <w:tab w:pos="1659" w:val="left" w:leader="none"/>
              <w:tab w:pos="1660" w:val="left" w:leader="none"/>
              <w:tab w:pos="9578" w:val="right" w:leader="dot"/>
            </w:tabs>
            <w:spacing w:line="240" w:lineRule="auto" w:before="16" w:after="0"/>
            <w:ind w:left="1659" w:right="0" w:hanging="878"/>
            <w:jc w:val="left"/>
            <w:rPr>
              <w:b w:val="0"/>
              <w:i w:val="0"/>
              <w:sz w:val="20"/>
            </w:rPr>
          </w:pPr>
          <w:hyperlink w:history="true" w:anchor="_bookmark23">
            <w:r>
              <w:rPr>
                <w:i w:val="0"/>
                <w:sz w:val="20"/>
              </w:rPr>
              <w:t>P</w:t>
            </w:r>
            <w:r>
              <w:rPr>
                <w:i w:val="0"/>
                <w:sz w:val="16"/>
              </w:rPr>
              <w:t>LASTIC </w:t>
            </w:r>
            <w:r>
              <w:rPr>
                <w:i w:val="0"/>
                <w:sz w:val="20"/>
              </w:rPr>
              <w:t>-</w:t>
            </w:r>
            <w:r>
              <w:rPr>
                <w:i w:val="0"/>
                <w:spacing w:val="-12"/>
                <w:sz w:val="20"/>
              </w:rPr>
              <w:t> </w:t>
            </w:r>
            <w:r>
              <w:rPr>
                <w:i w:val="0"/>
                <w:sz w:val="16"/>
              </w:rPr>
              <w:t>KIRIHOU</w:t>
            </w:r>
            <w:r>
              <w:rPr>
                <w:b w:val="0"/>
                <w:i w:val="0"/>
                <w:sz w:val="20"/>
              </w:rPr>
              <w:tab/>
              <w:t>22</w:t>
            </w:r>
          </w:hyperlink>
        </w:p>
        <w:p>
          <w:pPr>
            <w:pStyle w:val="TOC4"/>
            <w:numPr>
              <w:ilvl w:val="2"/>
              <w:numId w:val="1"/>
            </w:numPr>
            <w:tabs>
              <w:tab w:pos="1659" w:val="left" w:leader="none"/>
              <w:tab w:pos="1660" w:val="left" w:leader="none"/>
              <w:tab w:pos="9578" w:val="right" w:leader="dot"/>
            </w:tabs>
            <w:spacing w:line="240" w:lineRule="auto" w:before="14" w:after="0"/>
            <w:ind w:left="1659" w:right="0" w:hanging="878"/>
            <w:jc w:val="left"/>
            <w:rPr>
              <w:b w:val="0"/>
              <w:i w:val="0"/>
              <w:sz w:val="20"/>
            </w:rPr>
          </w:pPr>
          <w:hyperlink w:history="true" w:anchor="_bookmark24">
            <w:r>
              <w:rPr>
                <w:i w:val="0"/>
                <w:sz w:val="20"/>
              </w:rPr>
              <w:t>M</w:t>
            </w:r>
            <w:r>
              <w:rPr>
                <w:i w:val="0"/>
                <w:sz w:val="16"/>
              </w:rPr>
              <w:t>ETAL</w:t>
            </w:r>
            <w:r>
              <w:rPr>
                <w:i w:val="0"/>
                <w:spacing w:val="-2"/>
                <w:sz w:val="16"/>
              </w:rPr>
              <w:t> </w:t>
            </w:r>
            <w:r>
              <w:rPr>
                <w:i w:val="0"/>
                <w:sz w:val="20"/>
              </w:rPr>
              <w:t>-</w:t>
            </w:r>
            <w:r>
              <w:rPr>
                <w:i w:val="0"/>
                <w:spacing w:val="-12"/>
                <w:sz w:val="20"/>
              </w:rPr>
              <w:t> </w:t>
            </w:r>
            <w:r>
              <w:rPr>
                <w:i w:val="0"/>
                <w:sz w:val="16"/>
              </w:rPr>
              <w:t>KONGANUKU</w:t>
            </w:r>
            <w:r>
              <w:rPr>
                <w:b w:val="0"/>
                <w:i w:val="0"/>
                <w:sz w:val="20"/>
              </w:rPr>
              <w:tab/>
              <w:t>22</w:t>
            </w:r>
          </w:hyperlink>
        </w:p>
        <w:p>
          <w:pPr>
            <w:pStyle w:val="TOC4"/>
            <w:numPr>
              <w:ilvl w:val="2"/>
              <w:numId w:val="1"/>
            </w:numPr>
            <w:tabs>
              <w:tab w:pos="1659" w:val="left" w:leader="none"/>
              <w:tab w:pos="1660" w:val="left" w:leader="none"/>
              <w:tab w:pos="9578" w:val="right" w:leader="dot"/>
            </w:tabs>
            <w:spacing w:line="240" w:lineRule="auto" w:before="17" w:after="0"/>
            <w:ind w:left="1659" w:right="0" w:hanging="878"/>
            <w:jc w:val="left"/>
            <w:rPr>
              <w:b w:val="0"/>
              <w:i w:val="0"/>
              <w:sz w:val="20"/>
            </w:rPr>
          </w:pPr>
          <w:hyperlink w:history="true" w:anchor="_bookmark25">
            <w:r>
              <w:rPr>
                <w:i w:val="0"/>
                <w:sz w:val="20"/>
              </w:rPr>
              <w:t>G</w:t>
            </w:r>
            <w:r>
              <w:rPr>
                <w:i w:val="0"/>
                <w:sz w:val="16"/>
              </w:rPr>
              <w:t>LASS</w:t>
            </w:r>
            <w:r>
              <w:rPr>
                <w:i w:val="0"/>
                <w:spacing w:val="-1"/>
                <w:sz w:val="16"/>
              </w:rPr>
              <w:t> </w:t>
            </w:r>
            <w:r>
              <w:rPr>
                <w:i w:val="0"/>
                <w:sz w:val="20"/>
              </w:rPr>
              <w:t>-</w:t>
            </w:r>
            <w:r>
              <w:rPr>
                <w:i w:val="0"/>
                <w:spacing w:val="-12"/>
                <w:sz w:val="20"/>
              </w:rPr>
              <w:t> </w:t>
            </w:r>
            <w:r>
              <w:rPr>
                <w:i w:val="0"/>
                <w:sz w:val="16"/>
              </w:rPr>
              <w:t>KARAEHE</w:t>
            </w:r>
            <w:r>
              <w:rPr>
                <w:b w:val="0"/>
                <w:i w:val="0"/>
                <w:sz w:val="20"/>
              </w:rPr>
              <w:tab/>
              <w:t>22</w:t>
            </w:r>
          </w:hyperlink>
        </w:p>
        <w:p>
          <w:pPr>
            <w:pStyle w:val="TOC4"/>
            <w:numPr>
              <w:ilvl w:val="2"/>
              <w:numId w:val="1"/>
            </w:numPr>
            <w:tabs>
              <w:tab w:pos="1659" w:val="left" w:leader="none"/>
              <w:tab w:pos="1660" w:val="left" w:leader="none"/>
              <w:tab w:pos="9578" w:val="right" w:leader="dot"/>
            </w:tabs>
            <w:spacing w:line="240" w:lineRule="auto" w:before="15" w:after="0"/>
            <w:ind w:left="1659" w:right="0" w:hanging="878"/>
            <w:jc w:val="left"/>
            <w:rPr>
              <w:b w:val="0"/>
              <w:i w:val="0"/>
              <w:sz w:val="20"/>
            </w:rPr>
          </w:pPr>
          <w:hyperlink w:history="true" w:anchor="_bookmark26">
            <w:r>
              <w:rPr>
                <w:i w:val="0"/>
                <w:sz w:val="20"/>
              </w:rPr>
              <w:t>F</w:t>
            </w:r>
            <w:r>
              <w:rPr>
                <w:i w:val="0"/>
                <w:sz w:val="16"/>
              </w:rPr>
              <w:t>IBRE </w:t>
            </w:r>
            <w:r>
              <w:rPr>
                <w:i w:val="0"/>
                <w:sz w:val="20"/>
              </w:rPr>
              <w:t>- </w:t>
            </w:r>
            <w:r>
              <w:rPr>
                <w:i w:val="0"/>
                <w:sz w:val="16"/>
              </w:rPr>
              <w:t>PEPA ME</w:t>
            </w:r>
            <w:r>
              <w:rPr>
                <w:i w:val="0"/>
                <w:spacing w:val="-16"/>
                <w:sz w:val="16"/>
              </w:rPr>
              <w:t> </w:t>
            </w:r>
            <w:r>
              <w:rPr>
                <w:i w:val="0"/>
                <w:sz w:val="16"/>
              </w:rPr>
              <w:t>KARI</w:t>
            </w:r>
            <w:r>
              <w:rPr>
                <w:i w:val="0"/>
                <w:spacing w:val="-3"/>
                <w:sz w:val="16"/>
              </w:rPr>
              <w:t> </w:t>
            </w:r>
            <w:r>
              <w:rPr>
                <w:i w:val="0"/>
                <w:sz w:val="16"/>
              </w:rPr>
              <w:t>MARO</w:t>
            </w:r>
            <w:r>
              <w:rPr>
                <w:b w:val="0"/>
                <w:i w:val="0"/>
                <w:sz w:val="20"/>
              </w:rPr>
              <w:tab/>
              <w:t>23</w:t>
            </w:r>
          </w:hyperlink>
        </w:p>
        <w:p>
          <w:pPr>
            <w:pStyle w:val="TOC3"/>
            <w:numPr>
              <w:ilvl w:val="1"/>
              <w:numId w:val="2"/>
            </w:numPr>
            <w:tabs>
              <w:tab w:pos="1441" w:val="left" w:leader="none"/>
              <w:tab w:pos="1442" w:val="left" w:leader="none"/>
              <w:tab w:pos="9578" w:val="right" w:leader="dot"/>
            </w:tabs>
            <w:spacing w:line="240" w:lineRule="auto" w:before="17" w:after="0"/>
            <w:ind w:left="1441" w:right="0" w:hanging="660"/>
            <w:jc w:val="left"/>
            <w:rPr>
              <w:sz w:val="20"/>
            </w:rPr>
          </w:pPr>
          <w:hyperlink w:history="true" w:anchor="_bookmark27">
            <w:r>
              <w:rPr>
                <w:sz w:val="20"/>
              </w:rPr>
              <w:t>P</w:t>
            </w:r>
            <w:r>
              <w:rPr/>
              <w:t>RESENTATION OF MATERIALS AT</w:t>
            </w:r>
            <w:r>
              <w:rPr>
                <w:spacing w:val="-2"/>
              </w:rPr>
              <w:t> </w:t>
            </w:r>
            <w:r>
              <w:rPr/>
              <w:t>KERBSIDE</w:t>
            </w:r>
            <w:r>
              <w:rPr>
                <w:spacing w:val="-1"/>
              </w:rPr>
              <w:t> </w:t>
            </w:r>
            <w:r>
              <w:rPr/>
              <w:t>RECYCLING</w:t>
            </w:r>
            <w:r>
              <w:rPr>
                <w:sz w:val="20"/>
              </w:rPr>
              <w:tab/>
              <w:t>23</w:t>
            </w:r>
          </w:hyperlink>
        </w:p>
        <w:p>
          <w:pPr>
            <w:pStyle w:val="TOC3"/>
            <w:numPr>
              <w:ilvl w:val="1"/>
              <w:numId w:val="2"/>
            </w:numPr>
            <w:tabs>
              <w:tab w:pos="1441" w:val="left" w:leader="none"/>
              <w:tab w:pos="1442" w:val="left" w:leader="none"/>
              <w:tab w:pos="9578" w:val="right" w:leader="dot"/>
            </w:tabs>
            <w:spacing w:line="240" w:lineRule="auto" w:before="14" w:after="0"/>
            <w:ind w:left="1441" w:right="0" w:hanging="660"/>
            <w:jc w:val="left"/>
            <w:rPr>
              <w:sz w:val="20"/>
            </w:rPr>
          </w:pPr>
          <w:hyperlink w:history="true" w:anchor="_bookmark28">
            <w:r>
              <w:rPr>
                <w:sz w:val="20"/>
              </w:rPr>
              <w:t>S</w:t>
            </w:r>
            <w:r>
              <w:rPr/>
              <w:t>TANDARDISING KERBSIDE</w:t>
            </w:r>
            <w:r>
              <w:rPr>
                <w:spacing w:val="-2"/>
              </w:rPr>
              <w:t> </w:t>
            </w:r>
            <w:r>
              <w:rPr/>
              <w:t>COLLECTION</w:t>
            </w:r>
            <w:r>
              <w:rPr>
                <w:spacing w:val="-2"/>
              </w:rPr>
              <w:t> </w:t>
            </w:r>
            <w:r>
              <w:rPr/>
              <w:t>SYSTEMS</w:t>
            </w:r>
            <w:r>
              <w:rPr>
                <w:sz w:val="20"/>
              </w:rPr>
              <w:tab/>
              <w:t>24</w:t>
            </w:r>
          </w:hyperlink>
        </w:p>
        <w:p>
          <w:pPr>
            <w:pStyle w:val="TOC2"/>
            <w:numPr>
              <w:ilvl w:val="2"/>
              <w:numId w:val="2"/>
            </w:numPr>
            <w:tabs>
              <w:tab w:pos="1659" w:val="left" w:leader="none"/>
              <w:tab w:pos="1660" w:val="left" w:leader="none"/>
              <w:tab w:pos="9578" w:val="right" w:leader="dot"/>
            </w:tabs>
            <w:spacing w:line="240" w:lineRule="auto" w:before="17" w:after="0"/>
            <w:ind w:left="1659" w:right="0" w:hanging="878"/>
            <w:jc w:val="left"/>
            <w:rPr>
              <w:b w:val="0"/>
              <w:sz w:val="20"/>
            </w:rPr>
          </w:pPr>
          <w:hyperlink w:history="true" w:anchor="_bookmark29">
            <w:r>
              <w:rPr>
                <w:sz w:val="20"/>
              </w:rPr>
              <w:t>O</w:t>
            </w:r>
            <w:r>
              <w:rPr/>
              <w:t>RGANICS</w:t>
            </w:r>
            <w:r>
              <w:rPr>
                <w:spacing w:val="-1"/>
              </w:rPr>
              <w:t> </w:t>
            </w:r>
            <w:r>
              <w:rPr/>
              <w:t>COLLECTIONS</w:t>
            </w:r>
            <w:r>
              <w:rPr>
                <w:b w:val="0"/>
                <w:sz w:val="20"/>
              </w:rPr>
              <w:tab/>
              <w:t>24</w:t>
            </w:r>
          </w:hyperlink>
        </w:p>
        <w:p>
          <w:pPr>
            <w:pStyle w:val="TOC2"/>
            <w:numPr>
              <w:ilvl w:val="2"/>
              <w:numId w:val="2"/>
            </w:numPr>
            <w:tabs>
              <w:tab w:pos="1659" w:val="left" w:leader="none"/>
              <w:tab w:pos="1660" w:val="left" w:leader="none"/>
              <w:tab w:pos="9578" w:val="right" w:leader="dot"/>
            </w:tabs>
            <w:spacing w:line="240" w:lineRule="auto" w:before="14" w:after="0"/>
            <w:ind w:left="1659" w:right="0" w:hanging="878"/>
            <w:jc w:val="left"/>
            <w:rPr>
              <w:b w:val="0"/>
              <w:sz w:val="20"/>
            </w:rPr>
          </w:pPr>
          <w:hyperlink w:history="true" w:anchor="_bookmark30">
            <w:r>
              <w:rPr>
                <w:sz w:val="20"/>
              </w:rPr>
              <w:t>R</w:t>
            </w:r>
            <w:r>
              <w:rPr/>
              <w:t>ECYCLING</w:t>
            </w:r>
            <w:r>
              <w:rPr>
                <w:spacing w:val="-3"/>
              </w:rPr>
              <w:t> </w:t>
            </w:r>
            <w:r>
              <w:rPr/>
              <w:t>COLLECTIONS</w:t>
            </w:r>
            <w:r>
              <w:rPr>
                <w:b w:val="0"/>
                <w:sz w:val="20"/>
              </w:rPr>
              <w:tab/>
              <w:t>25</w:t>
            </w:r>
          </w:hyperlink>
        </w:p>
        <w:p>
          <w:pPr>
            <w:pStyle w:val="TOC2"/>
            <w:numPr>
              <w:ilvl w:val="3"/>
              <w:numId w:val="2"/>
            </w:numPr>
            <w:tabs>
              <w:tab w:pos="1659" w:val="left" w:leader="none"/>
              <w:tab w:pos="1660" w:val="left" w:leader="none"/>
              <w:tab w:pos="9578" w:val="right" w:leader="dot"/>
            </w:tabs>
            <w:spacing w:line="240" w:lineRule="auto" w:before="17" w:after="0"/>
            <w:ind w:left="1659" w:right="0" w:hanging="878"/>
            <w:jc w:val="left"/>
            <w:rPr>
              <w:b w:val="0"/>
              <w:sz w:val="20"/>
            </w:rPr>
          </w:pPr>
          <w:hyperlink w:history="true" w:anchor="_bookmark31">
            <w:r>
              <w:rPr>
                <w:sz w:val="20"/>
              </w:rPr>
              <w:t>S</w:t>
            </w:r>
            <w:r>
              <w:rPr/>
              <w:t>OURCE SEPARATED</w:t>
            </w:r>
            <w:r>
              <w:rPr>
                <w:sz w:val="20"/>
              </w:rPr>
              <w:t>/</w:t>
            </w:r>
            <w:r>
              <w:rPr>
                <w:spacing w:val="-12"/>
                <w:sz w:val="20"/>
              </w:rPr>
              <w:t> </w:t>
            </w:r>
            <w:r>
              <w:rPr/>
              <w:t>KERBSIDE</w:t>
            </w:r>
            <w:r>
              <w:rPr>
                <w:spacing w:val="-1"/>
              </w:rPr>
              <w:t> </w:t>
            </w:r>
            <w:r>
              <w:rPr/>
              <w:t>SORT</w:t>
            </w:r>
            <w:r>
              <w:rPr>
                <w:b w:val="0"/>
                <w:sz w:val="20"/>
              </w:rPr>
              <w:tab/>
              <w:t>26</w:t>
            </w:r>
          </w:hyperlink>
        </w:p>
        <w:p>
          <w:pPr>
            <w:pStyle w:val="TOC2"/>
            <w:numPr>
              <w:ilvl w:val="3"/>
              <w:numId w:val="2"/>
            </w:numPr>
            <w:tabs>
              <w:tab w:pos="1659" w:val="left" w:leader="none"/>
              <w:tab w:pos="1660" w:val="left" w:leader="none"/>
              <w:tab w:pos="9578" w:val="right" w:leader="dot"/>
            </w:tabs>
            <w:spacing w:line="240" w:lineRule="auto" w:before="15" w:after="0"/>
            <w:ind w:left="1659" w:right="0" w:hanging="878"/>
            <w:jc w:val="left"/>
            <w:rPr>
              <w:b w:val="0"/>
              <w:sz w:val="20"/>
            </w:rPr>
          </w:pPr>
          <w:hyperlink w:history="true" w:anchor="_bookmark32">
            <w:r>
              <w:rPr>
                <w:sz w:val="20"/>
              </w:rPr>
              <w:t>C</w:t>
            </w:r>
            <w:r>
              <w:rPr/>
              <w:t>OMINGLED SYSTEMS </w:t>
            </w:r>
            <w:r>
              <w:rPr>
                <w:sz w:val="20"/>
              </w:rPr>
              <w:t>(</w:t>
            </w:r>
            <w:r>
              <w:rPr/>
              <w:t>WITH</w:t>
            </w:r>
            <w:r>
              <w:rPr>
                <w:spacing w:val="-5"/>
              </w:rPr>
              <w:t> </w:t>
            </w:r>
            <w:r>
              <w:rPr/>
              <w:t>GLASS</w:t>
            </w:r>
            <w:r>
              <w:rPr>
                <w:spacing w:val="-3"/>
              </w:rPr>
              <w:t> </w:t>
            </w:r>
            <w:r>
              <w:rPr/>
              <w:t>IN</w:t>
            </w:r>
            <w:r>
              <w:rPr>
                <w:sz w:val="20"/>
              </w:rPr>
              <w:t>)</w:t>
            </w:r>
            <w:r>
              <w:rPr>
                <w:b w:val="0"/>
                <w:sz w:val="20"/>
              </w:rPr>
              <w:tab/>
              <w:t>27</w:t>
            </w:r>
          </w:hyperlink>
        </w:p>
        <w:p>
          <w:pPr>
            <w:pStyle w:val="TOC2"/>
            <w:numPr>
              <w:ilvl w:val="2"/>
              <w:numId w:val="2"/>
            </w:numPr>
            <w:tabs>
              <w:tab w:pos="1659" w:val="left" w:leader="none"/>
              <w:tab w:pos="1660" w:val="left" w:leader="none"/>
              <w:tab w:pos="9578" w:val="right" w:leader="dot"/>
            </w:tabs>
            <w:spacing w:line="240" w:lineRule="auto" w:before="17" w:after="0"/>
            <w:ind w:left="1659" w:right="0" w:hanging="878"/>
            <w:jc w:val="left"/>
            <w:rPr>
              <w:b w:val="0"/>
              <w:sz w:val="20"/>
            </w:rPr>
          </w:pPr>
          <w:hyperlink w:history="true" w:anchor="_bookmark33">
            <w:r>
              <w:rPr>
                <w:sz w:val="20"/>
              </w:rPr>
              <w:t>R</w:t>
            </w:r>
            <w:r>
              <w:rPr/>
              <w:t>ESIDUAL</w:t>
            </w:r>
            <w:r>
              <w:rPr>
                <w:spacing w:val="-4"/>
              </w:rPr>
              <w:t> </w:t>
            </w:r>
            <w:r>
              <w:rPr/>
              <w:t>RUBBISH</w:t>
            </w:r>
            <w:r>
              <w:rPr>
                <w:spacing w:val="-4"/>
              </w:rPr>
              <w:t> </w:t>
            </w:r>
            <w:r>
              <w:rPr/>
              <w:t>COLLECTIONS</w:t>
            </w:r>
            <w:r>
              <w:rPr>
                <w:b w:val="0"/>
                <w:sz w:val="20"/>
              </w:rPr>
              <w:tab/>
              <w:t>27</w:t>
            </w:r>
          </w:hyperlink>
        </w:p>
        <w:p>
          <w:pPr>
            <w:pStyle w:val="TOC3"/>
            <w:numPr>
              <w:ilvl w:val="1"/>
              <w:numId w:val="3"/>
            </w:numPr>
            <w:tabs>
              <w:tab w:pos="1441" w:val="left" w:leader="none"/>
              <w:tab w:pos="1442" w:val="left" w:leader="none"/>
              <w:tab w:pos="9578" w:val="right" w:leader="dot"/>
            </w:tabs>
            <w:spacing w:line="240" w:lineRule="auto" w:before="14" w:after="0"/>
            <w:ind w:left="1441" w:right="0" w:hanging="660"/>
            <w:jc w:val="left"/>
            <w:rPr>
              <w:sz w:val="20"/>
            </w:rPr>
          </w:pPr>
          <w:hyperlink w:history="true" w:anchor="_bookmark34">
            <w:r>
              <w:rPr>
                <w:sz w:val="20"/>
              </w:rPr>
              <w:t>F</w:t>
            </w:r>
            <w:r>
              <w:rPr/>
              <w:t>INDINGS FROM</w:t>
            </w:r>
            <w:r>
              <w:rPr>
                <w:spacing w:val="-2"/>
              </w:rPr>
              <w:t> </w:t>
            </w:r>
            <w:r>
              <w:rPr/>
              <w:t>INDUSTRY</w:t>
            </w:r>
            <w:r>
              <w:rPr>
                <w:spacing w:val="-1"/>
              </w:rPr>
              <w:t> </w:t>
            </w:r>
            <w:r>
              <w:rPr/>
              <w:t>CONVERSATIONS</w:t>
            </w:r>
            <w:r>
              <w:rPr>
                <w:sz w:val="20"/>
              </w:rPr>
              <w:tab/>
              <w:t>28</w:t>
            </w:r>
          </w:hyperlink>
        </w:p>
        <w:p>
          <w:pPr>
            <w:pStyle w:val="TOC3"/>
            <w:numPr>
              <w:ilvl w:val="1"/>
              <w:numId w:val="3"/>
            </w:numPr>
            <w:tabs>
              <w:tab w:pos="1441" w:val="left" w:leader="none"/>
              <w:tab w:pos="1442" w:val="left" w:leader="none"/>
              <w:tab w:pos="9578" w:val="right" w:leader="dot"/>
            </w:tabs>
            <w:spacing w:line="240" w:lineRule="auto" w:before="16" w:after="0"/>
            <w:ind w:left="1441" w:right="0" w:hanging="660"/>
            <w:jc w:val="left"/>
            <w:rPr>
              <w:sz w:val="20"/>
            </w:rPr>
          </w:pPr>
          <w:hyperlink w:history="true" w:anchor="_bookmark35">
            <w:r>
              <w:rPr>
                <w:sz w:val="20"/>
              </w:rPr>
              <w:t>F</w:t>
            </w:r>
            <w:r>
              <w:rPr/>
              <w:t>URTHER DISCUSSION</w:t>
            </w:r>
            <w:r>
              <w:rPr>
                <w:spacing w:val="-3"/>
              </w:rPr>
              <w:t> </w:t>
            </w:r>
            <w:r>
              <w:rPr/>
              <w:t>ON</w:t>
            </w:r>
            <w:r>
              <w:rPr>
                <w:spacing w:val="-2"/>
              </w:rPr>
              <w:t> </w:t>
            </w:r>
            <w:r>
              <w:rPr/>
              <w:t>GLASS</w:t>
            </w:r>
            <w:r>
              <w:rPr>
                <w:sz w:val="20"/>
              </w:rPr>
              <w:tab/>
              <w:t>29</w:t>
            </w:r>
          </w:hyperlink>
        </w:p>
        <w:p>
          <w:pPr>
            <w:pStyle w:val="TOC1"/>
            <w:numPr>
              <w:ilvl w:val="0"/>
              <w:numId w:val="1"/>
            </w:numPr>
            <w:tabs>
              <w:tab w:pos="999" w:val="left" w:leader="none"/>
              <w:tab w:pos="1000" w:val="left" w:leader="none"/>
              <w:tab w:pos="9578" w:val="right" w:leader="dot"/>
            </w:tabs>
            <w:spacing w:line="240" w:lineRule="auto" w:before="134" w:after="0"/>
            <w:ind w:left="999" w:right="0" w:hanging="439"/>
            <w:jc w:val="left"/>
          </w:pPr>
          <w:hyperlink w:history="true" w:anchor="_bookmark36">
            <w:r>
              <w:rPr/>
              <w:t>DISCUSSION</w:t>
              <w:tab/>
              <w:t>31</w:t>
            </w:r>
          </w:hyperlink>
        </w:p>
        <w:p>
          <w:pPr>
            <w:pStyle w:val="TOC1"/>
            <w:numPr>
              <w:ilvl w:val="0"/>
              <w:numId w:val="1"/>
            </w:numPr>
            <w:tabs>
              <w:tab w:pos="999" w:val="left" w:leader="none"/>
              <w:tab w:pos="1000" w:val="left" w:leader="none"/>
              <w:tab w:pos="9578" w:val="right" w:leader="dot"/>
            </w:tabs>
            <w:spacing w:line="240" w:lineRule="auto" w:before="137" w:after="0"/>
            <w:ind w:left="999" w:right="0" w:hanging="439"/>
            <w:jc w:val="left"/>
          </w:pPr>
          <w:hyperlink w:history="true" w:anchor="_bookmark37">
            <w:r>
              <w:rPr/>
              <w:t>RECOMMENDATIONS</w:t>
              <w:tab/>
              <w:t>33</w:t>
            </w:r>
          </w:hyperlink>
        </w:p>
        <w:p>
          <w:pPr>
            <w:pStyle w:val="TOC3"/>
            <w:numPr>
              <w:ilvl w:val="1"/>
              <w:numId w:val="1"/>
            </w:numPr>
            <w:tabs>
              <w:tab w:pos="1441" w:val="left" w:leader="none"/>
              <w:tab w:pos="1442" w:val="left" w:leader="none"/>
              <w:tab w:pos="9578" w:val="right" w:leader="dot"/>
            </w:tabs>
            <w:spacing w:line="240" w:lineRule="auto" w:before="135" w:after="0"/>
            <w:ind w:left="1441" w:right="0" w:hanging="660"/>
            <w:jc w:val="left"/>
            <w:rPr>
              <w:sz w:val="20"/>
            </w:rPr>
          </w:pPr>
          <w:hyperlink w:history="true" w:anchor="_bookmark38">
            <w:r>
              <w:rPr>
                <w:sz w:val="20"/>
              </w:rPr>
              <w:t>S</w:t>
            </w:r>
            <w:r>
              <w:rPr/>
              <w:t>TANDARDISATION OF MATERIALS COLLECTED</w:t>
            </w:r>
            <w:r>
              <w:rPr>
                <w:spacing w:val="-3"/>
              </w:rPr>
              <w:t> </w:t>
            </w:r>
            <w:r>
              <w:rPr/>
              <w:t>FOR</w:t>
            </w:r>
            <w:r>
              <w:rPr>
                <w:spacing w:val="-2"/>
              </w:rPr>
              <w:t> </w:t>
            </w:r>
            <w:r>
              <w:rPr/>
              <w:t>RECYCLING</w:t>
            </w:r>
            <w:r>
              <w:rPr>
                <w:sz w:val="20"/>
              </w:rPr>
              <w:tab/>
              <w:t>33</w:t>
            </w:r>
          </w:hyperlink>
        </w:p>
        <w:p>
          <w:pPr>
            <w:pStyle w:val="TOC3"/>
            <w:numPr>
              <w:ilvl w:val="1"/>
              <w:numId w:val="1"/>
            </w:numPr>
            <w:tabs>
              <w:tab w:pos="1441" w:val="left" w:leader="none"/>
              <w:tab w:pos="1442" w:val="left" w:leader="none"/>
              <w:tab w:pos="9578" w:val="right" w:leader="dot"/>
            </w:tabs>
            <w:spacing w:line="240" w:lineRule="auto" w:before="17" w:after="0"/>
            <w:ind w:left="1441" w:right="0" w:hanging="660"/>
            <w:jc w:val="left"/>
            <w:rPr>
              <w:sz w:val="20"/>
            </w:rPr>
          </w:pPr>
          <w:hyperlink w:history="true" w:anchor="_bookmark39">
            <w:r>
              <w:rPr>
                <w:sz w:val="20"/>
              </w:rPr>
              <w:t>B</w:t>
            </w:r>
            <w:r>
              <w:rPr/>
              <w:t>EST PRACTICE</w:t>
            </w:r>
            <w:r>
              <w:rPr>
                <w:spacing w:val="-1"/>
              </w:rPr>
              <w:t> </w:t>
            </w:r>
            <w:r>
              <w:rPr/>
              <w:t>COLLECTION</w:t>
            </w:r>
            <w:r>
              <w:rPr>
                <w:spacing w:val="-2"/>
              </w:rPr>
              <w:t> </w:t>
            </w:r>
            <w:r>
              <w:rPr/>
              <w:t>SYSTEMS</w:t>
            </w:r>
            <w:r>
              <w:rPr>
                <w:sz w:val="20"/>
              </w:rPr>
              <w:tab/>
              <w:t>34</w:t>
            </w:r>
          </w:hyperlink>
        </w:p>
        <w:p>
          <w:pPr>
            <w:pStyle w:val="TOC2"/>
            <w:numPr>
              <w:ilvl w:val="2"/>
              <w:numId w:val="1"/>
            </w:numPr>
            <w:tabs>
              <w:tab w:pos="1659" w:val="left" w:leader="none"/>
              <w:tab w:pos="1660" w:val="left" w:leader="none"/>
              <w:tab w:pos="9578" w:val="right" w:leader="dot"/>
            </w:tabs>
            <w:spacing w:line="240" w:lineRule="auto" w:before="15" w:after="0"/>
            <w:ind w:left="1659" w:right="0" w:hanging="878"/>
            <w:jc w:val="left"/>
            <w:rPr>
              <w:b w:val="0"/>
              <w:sz w:val="20"/>
            </w:rPr>
          </w:pPr>
          <w:hyperlink w:history="true" w:anchor="_bookmark40">
            <w:r>
              <w:rPr>
                <w:sz w:val="20"/>
              </w:rPr>
              <w:t>O</w:t>
            </w:r>
            <w:r>
              <w:rPr/>
              <w:t>RGANICS</w:t>
            </w:r>
            <w:r>
              <w:rPr>
                <w:spacing w:val="-1"/>
              </w:rPr>
              <w:t> </w:t>
            </w:r>
            <w:r>
              <w:rPr/>
              <w:t>COLLECTIONS</w:t>
            </w:r>
            <w:r>
              <w:rPr>
                <w:b w:val="0"/>
                <w:sz w:val="20"/>
              </w:rPr>
              <w:tab/>
              <w:t>35</w:t>
            </w:r>
          </w:hyperlink>
        </w:p>
        <w:p>
          <w:pPr>
            <w:pStyle w:val="TOC2"/>
            <w:numPr>
              <w:ilvl w:val="2"/>
              <w:numId w:val="1"/>
            </w:numPr>
            <w:tabs>
              <w:tab w:pos="1659" w:val="left" w:leader="none"/>
              <w:tab w:pos="1660" w:val="left" w:leader="none"/>
              <w:tab w:pos="9578" w:val="right" w:leader="dot"/>
            </w:tabs>
            <w:spacing w:line="240" w:lineRule="auto" w:before="17" w:after="0"/>
            <w:ind w:left="1659" w:right="0" w:hanging="878"/>
            <w:jc w:val="left"/>
            <w:rPr>
              <w:b w:val="0"/>
              <w:sz w:val="20"/>
            </w:rPr>
          </w:pPr>
          <w:hyperlink w:history="true" w:anchor="_bookmark41">
            <w:r>
              <w:rPr>
                <w:sz w:val="20"/>
              </w:rPr>
              <w:t>R</w:t>
            </w:r>
            <w:r>
              <w:rPr/>
              <w:t>ECYCLING</w:t>
            </w:r>
            <w:r>
              <w:rPr>
                <w:spacing w:val="-3"/>
              </w:rPr>
              <w:t> </w:t>
            </w:r>
            <w:r>
              <w:rPr/>
              <w:t>COLLECTIONS</w:t>
            </w:r>
            <w:r>
              <w:rPr>
                <w:b w:val="0"/>
                <w:sz w:val="20"/>
              </w:rPr>
              <w:tab/>
              <w:t>36</w:t>
            </w:r>
          </w:hyperlink>
        </w:p>
        <w:p>
          <w:pPr>
            <w:pStyle w:val="TOC2"/>
            <w:numPr>
              <w:ilvl w:val="2"/>
              <w:numId w:val="1"/>
            </w:numPr>
            <w:tabs>
              <w:tab w:pos="1659" w:val="left" w:leader="none"/>
              <w:tab w:pos="1660" w:val="left" w:leader="none"/>
              <w:tab w:pos="9578" w:val="right" w:leader="dot"/>
            </w:tabs>
            <w:spacing w:line="240" w:lineRule="auto" w:before="17" w:after="0"/>
            <w:ind w:left="1659" w:right="0" w:hanging="878"/>
            <w:jc w:val="left"/>
            <w:rPr>
              <w:b w:val="0"/>
              <w:sz w:val="20"/>
            </w:rPr>
          </w:pPr>
          <w:hyperlink w:history="true" w:anchor="_bookmark42">
            <w:r>
              <w:rPr>
                <w:sz w:val="20"/>
              </w:rPr>
              <w:t>R</w:t>
            </w:r>
            <w:r>
              <w:rPr/>
              <w:t>ESIDUAL</w:t>
            </w:r>
            <w:r>
              <w:rPr>
                <w:spacing w:val="-4"/>
              </w:rPr>
              <w:t> </w:t>
            </w:r>
            <w:r>
              <w:rPr/>
              <w:t>RUBBISH</w:t>
            </w:r>
            <w:r>
              <w:rPr>
                <w:spacing w:val="-4"/>
              </w:rPr>
              <w:t> </w:t>
            </w:r>
            <w:r>
              <w:rPr/>
              <w:t>COLLECTIONS</w:t>
            </w:r>
            <w:r>
              <w:rPr>
                <w:b w:val="0"/>
                <w:sz w:val="20"/>
              </w:rPr>
              <w:tab/>
              <w:t>37</w:t>
            </w:r>
          </w:hyperlink>
        </w:p>
        <w:p>
          <w:pPr>
            <w:pStyle w:val="TOC4"/>
            <w:tabs>
              <w:tab w:pos="1441" w:val="left" w:leader="none"/>
              <w:tab w:pos="9578" w:val="right" w:leader="dot"/>
            </w:tabs>
            <w:ind w:left="781" w:firstLine="0"/>
            <w:rPr>
              <w:b w:val="0"/>
              <w:i w:val="0"/>
              <w:sz w:val="20"/>
            </w:rPr>
          </w:pPr>
          <w:hyperlink w:history="true" w:anchor="_bookmark43">
            <w:r>
              <w:rPr>
                <w:b w:val="0"/>
                <w:i w:val="0"/>
                <w:sz w:val="20"/>
              </w:rPr>
              <w:t>7.3.</w:t>
              <w:tab/>
              <w:t>F</w:t>
            </w:r>
            <w:r>
              <w:rPr>
                <w:b w:val="0"/>
                <w:i w:val="0"/>
                <w:sz w:val="16"/>
              </w:rPr>
              <w:t>URTHER</w:t>
            </w:r>
            <w:r>
              <w:rPr>
                <w:b w:val="0"/>
                <w:i w:val="0"/>
                <w:spacing w:val="-2"/>
                <w:sz w:val="16"/>
              </w:rPr>
              <w:t> </w:t>
            </w:r>
            <w:r>
              <w:rPr>
                <w:b w:val="0"/>
                <w:i w:val="0"/>
                <w:sz w:val="16"/>
              </w:rPr>
              <w:t>RECOMMENDATIONS</w:t>
            </w:r>
            <w:r>
              <w:rPr>
                <w:b w:val="0"/>
                <w:i w:val="0"/>
                <w:sz w:val="20"/>
              </w:rPr>
              <w:tab/>
              <w:t>38</w:t>
            </w:r>
          </w:hyperlink>
        </w:p>
        <w:p>
          <w:pPr>
            <w:pStyle w:val="TOC1"/>
            <w:numPr>
              <w:ilvl w:val="0"/>
              <w:numId w:val="1"/>
            </w:numPr>
            <w:tabs>
              <w:tab w:pos="999" w:val="left" w:leader="none"/>
              <w:tab w:pos="1000" w:val="left" w:leader="none"/>
              <w:tab w:pos="9578" w:val="right" w:leader="dot"/>
            </w:tabs>
            <w:spacing w:line="240" w:lineRule="auto" w:before="665" w:after="0"/>
            <w:ind w:left="999" w:right="0" w:hanging="439"/>
            <w:jc w:val="left"/>
          </w:pPr>
          <w:hyperlink w:history="true" w:anchor="_bookmark44">
            <w:r>
              <w:rPr/>
              <w:t>HIGH LEVEL</w:t>
            </w:r>
            <w:r>
              <w:rPr>
                <w:spacing w:val="-2"/>
              </w:rPr>
              <w:t> </w:t>
            </w:r>
            <w:r>
              <w:rPr/>
              <w:t>COSTS</w:t>
              <w:tab/>
              <w:t>40</w:t>
            </w:r>
          </w:hyperlink>
        </w:p>
        <w:p>
          <w:pPr>
            <w:pStyle w:val="TOC1"/>
            <w:tabs>
              <w:tab w:pos="9578" w:val="right" w:leader="dot"/>
            </w:tabs>
          </w:pPr>
          <w:hyperlink w:history="true" w:anchor="_bookmark45">
            <w:r>
              <w:rPr/>
              <w:t>BIBLIOGRAPHY</w:t>
              <w:tab/>
              <w:t>41</w:t>
            </w:r>
          </w:hyperlink>
        </w:p>
        <w:p>
          <w:pPr>
            <w:pStyle w:val="TOC1"/>
            <w:tabs>
              <w:tab w:pos="9578" w:val="right" w:leader="dot"/>
            </w:tabs>
            <w:spacing w:before="137"/>
          </w:pPr>
          <w:hyperlink w:history="true" w:anchor="_bookmark46">
            <w:r>
              <w:rPr/>
              <w:t>APPENDIX A – GLASS PACKAGING</w:t>
            </w:r>
            <w:r>
              <w:rPr>
                <w:spacing w:val="-3"/>
              </w:rPr>
              <w:t> </w:t>
            </w:r>
            <w:r>
              <w:rPr/>
              <w:t>FORUM</w:t>
            </w:r>
            <w:r>
              <w:rPr>
                <w:spacing w:val="-1"/>
              </w:rPr>
              <w:t> </w:t>
            </w:r>
            <w:r>
              <w:rPr/>
              <w:t>MAP</w:t>
              <w:tab/>
              <w:t>44</w:t>
            </w:r>
          </w:hyperlink>
        </w:p>
        <w:p>
          <w:pPr>
            <w:pStyle w:val="TOC1"/>
            <w:tabs>
              <w:tab w:pos="9578" w:val="right" w:leader="dot"/>
            </w:tabs>
            <w:spacing w:before="134"/>
          </w:pPr>
          <w:hyperlink w:history="true" w:anchor="_bookmark47">
            <w:r>
              <w:rPr/>
              <w:t>APPENDIX B – LITERATURE REVIEW -</w:t>
            </w:r>
            <w:r>
              <w:rPr>
                <w:spacing w:val="1"/>
              </w:rPr>
              <w:t> </w:t>
            </w:r>
            <w:r>
              <w:rPr/>
              <w:t>RECYCLING SYSTEMS</w:t>
              <w:tab/>
              <w:t>45</w:t>
            </w:r>
          </w:hyperlink>
        </w:p>
        <w:p>
          <w:pPr>
            <w:pStyle w:val="TOC1"/>
            <w:tabs>
              <w:tab w:pos="9578" w:val="right" w:leader="dot"/>
            </w:tabs>
            <w:spacing w:before="136"/>
          </w:pPr>
          <w:hyperlink w:history="true" w:anchor="_bookmark48">
            <w:r>
              <w:rPr/>
              <w:t>APPENDIX C – CONSULTATION</w:t>
            </w:r>
            <w:r>
              <w:rPr>
                <w:spacing w:val="-1"/>
              </w:rPr>
              <w:t> </w:t>
            </w:r>
            <w:r>
              <w:rPr/>
              <w:t>WITH</w:t>
            </w:r>
            <w:r>
              <w:rPr>
                <w:spacing w:val="-3"/>
              </w:rPr>
              <w:t> </w:t>
            </w:r>
            <w:r>
              <w:rPr/>
              <w:t>INDUSTRY</w:t>
              <w:tab/>
              <w:t>51</w:t>
            </w:r>
          </w:hyperlink>
        </w:p>
        <w:p>
          <w:pPr>
            <w:pStyle w:val="TOC1"/>
            <w:tabs>
              <w:tab w:pos="9578" w:val="right" w:leader="dot"/>
            </w:tabs>
            <w:spacing w:before="134"/>
          </w:pPr>
          <w:hyperlink w:history="true" w:anchor="_bookmark49">
            <w:r>
              <w:rPr/>
              <w:t>APPENDIX D – LOCAL AUTHORITY ATTENDENCE</w:t>
            </w:r>
            <w:r>
              <w:rPr>
                <w:spacing w:val="-2"/>
              </w:rPr>
              <w:t> </w:t>
            </w:r>
            <w:r>
              <w:rPr/>
              <w:t>AT</w:t>
            </w:r>
            <w:r>
              <w:rPr>
                <w:spacing w:val="-2"/>
              </w:rPr>
              <w:t> </w:t>
            </w:r>
            <w:r>
              <w:rPr/>
              <w:t>HUI</w:t>
              <w:tab/>
              <w:t>52</w:t>
            </w:r>
          </w:hyperlink>
        </w:p>
        <w:p>
          <w:pPr>
            <w:pStyle w:val="TOC1"/>
            <w:tabs>
              <w:tab w:pos="9578" w:val="right" w:leader="dot"/>
            </w:tabs>
            <w:spacing w:before="137"/>
          </w:pPr>
          <w:hyperlink w:history="true" w:anchor="_bookmark50">
            <w:r>
              <w:rPr/>
              <w:t>APPENDIX E – SUMMARY OF</w:t>
            </w:r>
            <w:r>
              <w:rPr>
                <w:spacing w:val="1"/>
              </w:rPr>
              <w:t> </w:t>
            </w:r>
            <w:r>
              <w:rPr/>
              <w:t>SURVEY</w:t>
            </w:r>
            <w:r>
              <w:rPr>
                <w:spacing w:val="-2"/>
              </w:rPr>
              <w:t> </w:t>
            </w:r>
            <w:r>
              <w:rPr/>
              <w:t>RESPONSES</w:t>
              <w:tab/>
              <w:t>53</w:t>
            </w:r>
          </w:hyperlink>
        </w:p>
        <w:p>
          <w:pPr>
            <w:pStyle w:val="TOC1"/>
            <w:tabs>
              <w:tab w:pos="9578" w:val="right" w:leader="dot"/>
            </w:tabs>
          </w:pPr>
          <w:hyperlink w:history="true" w:anchor="_bookmark51">
            <w:r>
              <w:rPr/>
              <w:t>APPENDIX F – MATERIALS TO BE ACCEPTED IN KERBSIDE AS PRESENTED</w:t>
            </w:r>
            <w:r>
              <w:rPr>
                <w:spacing w:val="-10"/>
              </w:rPr>
              <w:t> </w:t>
            </w:r>
            <w:r>
              <w:rPr/>
              <w:t>AT</w:t>
            </w:r>
            <w:r>
              <w:rPr>
                <w:spacing w:val="1"/>
              </w:rPr>
              <w:t> </w:t>
            </w:r>
            <w:r>
              <w:rPr/>
              <w:t>HUI</w:t>
              <w:tab/>
              <w:t>59</w:t>
            </w:r>
          </w:hyperlink>
        </w:p>
        <w:p>
          <w:pPr>
            <w:pStyle w:val="TOC1"/>
            <w:tabs>
              <w:tab w:pos="9578" w:val="right" w:leader="dot"/>
            </w:tabs>
            <w:spacing w:before="138"/>
          </w:pPr>
          <w:hyperlink w:history="true" w:anchor="_bookmark52">
            <w:r>
              <w:rPr/>
              <w:t>APPENDIX G –</w:t>
            </w:r>
            <w:r>
              <w:rPr>
                <w:spacing w:val="-1"/>
              </w:rPr>
              <w:t> </w:t>
            </w:r>
            <w:r>
              <w:rPr/>
              <w:t>WRAP</w:t>
            </w:r>
            <w:r>
              <w:rPr>
                <w:spacing w:val="-2"/>
              </w:rPr>
              <w:t> </w:t>
            </w:r>
            <w:r>
              <w:rPr/>
              <w:t>CYMRU</w:t>
              <w:tab/>
              <w:t>62</w:t>
            </w:r>
          </w:hyperlink>
        </w:p>
      </w:sdtContent>
    </w:sdt>
    <w:p>
      <w:pPr>
        <w:spacing w:after="0"/>
        <w:sectPr>
          <w:type w:val="continuous"/>
          <w:pgSz w:w="11910" w:h="16840"/>
          <w:pgMar w:top="1145" w:bottom="1471" w:left="880" w:right="1320"/>
        </w:sectPr>
      </w:pPr>
    </w:p>
    <w:p>
      <w:pPr>
        <w:pStyle w:val="Heading1"/>
        <w:spacing w:before="664"/>
      </w:pPr>
      <w:r>
        <w:rPr/>
        <w:pict>
          <v:line style="position:absolute;mso-position-horizontal-relative:page;mso-position-vertical-relative:paragraph;z-index:1120" from="57.852001pt,33.163784pt" to="57.852001pt,53.923784pt" stroked="true" strokeweight="1.464pt" strokecolor="#ed7d31">
            <v:stroke dashstyle="solid"/>
            <w10:wrap type="none"/>
          </v:line>
        </w:pict>
      </w:r>
      <w:bookmarkStart w:name="EXECUTIVE SUMMARY " w:id="2"/>
      <w:bookmarkEnd w:id="2"/>
      <w:r>
        <w:rPr/>
      </w:r>
      <w:bookmarkStart w:name="_bookmark0" w:id="3"/>
      <w:bookmarkEnd w:id="3"/>
      <w:r>
        <w:rPr/>
      </w:r>
      <w:r>
        <w:rPr/>
        <w:t>EXECUTIVE SUMMARY</w:t>
      </w:r>
    </w:p>
    <w:p>
      <w:pPr>
        <w:pStyle w:val="BodyText"/>
        <w:rPr>
          <w:rFonts w:ascii="Arial"/>
        </w:rPr>
      </w:pPr>
    </w:p>
    <w:p>
      <w:pPr>
        <w:pStyle w:val="BodyText"/>
        <w:spacing w:line="256" w:lineRule="auto" w:before="129"/>
        <w:ind w:left="560" w:right="117"/>
        <w:jc w:val="both"/>
      </w:pPr>
      <w:r>
        <w:rPr/>
        <w:t>Domestic kerbside collections in Aotearoa New Zealand vary significantly across the country. Adjacent local authorities often collect different materials in kerbside recycling collections, use different types of collection bins, and provide different types of residual rubbish collections, using different funding mechanisms (rates  funded, user pays).  Some local authorities provide organic waste collections, others don’t.</w:t>
      </w:r>
    </w:p>
    <w:p>
      <w:pPr>
        <w:pStyle w:val="BodyText"/>
        <w:spacing w:line="254" w:lineRule="auto" w:before="158"/>
        <w:ind w:left="560" w:right="115"/>
        <w:jc w:val="both"/>
      </w:pPr>
      <w:r>
        <w:rPr/>
        <w:t>These many inconsistencies lead to confusion among the public, incentivise waste to landfill, and can increase contamination in recycling.</w:t>
      </w:r>
    </w:p>
    <w:p>
      <w:pPr>
        <w:pStyle w:val="BodyText"/>
        <w:spacing w:line="254" w:lineRule="auto" w:before="163"/>
        <w:ind w:left="560" w:right="127"/>
        <w:jc w:val="both"/>
      </w:pPr>
      <w:r>
        <w:rPr/>
        <w:t>The</w:t>
      </w:r>
      <w:r>
        <w:rPr>
          <w:spacing w:val="-11"/>
        </w:rPr>
        <w:t> </w:t>
      </w:r>
      <w:r>
        <w:rPr/>
        <w:t>tolerance</w:t>
      </w:r>
      <w:r>
        <w:rPr>
          <w:spacing w:val="-9"/>
        </w:rPr>
        <w:t> </w:t>
      </w:r>
      <w:r>
        <w:rPr/>
        <w:t>for</w:t>
      </w:r>
      <w:r>
        <w:rPr>
          <w:spacing w:val="-10"/>
        </w:rPr>
        <w:t> </w:t>
      </w:r>
      <w:r>
        <w:rPr/>
        <w:t>contamination</w:t>
      </w:r>
      <w:r>
        <w:rPr>
          <w:spacing w:val="-9"/>
        </w:rPr>
        <w:t> </w:t>
      </w:r>
      <w:r>
        <w:rPr/>
        <w:t>in</w:t>
      </w:r>
      <w:r>
        <w:rPr>
          <w:spacing w:val="-10"/>
        </w:rPr>
        <w:t> </w:t>
      </w:r>
      <w:r>
        <w:rPr/>
        <w:t>recycled</w:t>
      </w:r>
      <w:r>
        <w:rPr>
          <w:spacing w:val="-10"/>
        </w:rPr>
        <w:t> </w:t>
      </w:r>
      <w:r>
        <w:rPr/>
        <w:t>materials</w:t>
      </w:r>
      <w:r>
        <w:rPr>
          <w:spacing w:val="-9"/>
        </w:rPr>
        <w:t> </w:t>
      </w:r>
      <w:r>
        <w:rPr/>
        <w:t>has</w:t>
      </w:r>
      <w:r>
        <w:rPr>
          <w:spacing w:val="-8"/>
        </w:rPr>
        <w:t> </w:t>
      </w:r>
      <w:r>
        <w:rPr/>
        <w:t>dropped</w:t>
      </w:r>
      <w:r>
        <w:rPr>
          <w:spacing w:val="-10"/>
        </w:rPr>
        <w:t> </w:t>
      </w:r>
      <w:r>
        <w:rPr/>
        <w:t>significantly</w:t>
      </w:r>
      <w:r>
        <w:rPr>
          <w:spacing w:val="-9"/>
        </w:rPr>
        <w:t> </w:t>
      </w:r>
      <w:r>
        <w:rPr/>
        <w:t>with</w:t>
      </w:r>
      <w:r>
        <w:rPr>
          <w:spacing w:val="-9"/>
        </w:rPr>
        <w:t> </w:t>
      </w:r>
      <w:r>
        <w:rPr/>
        <w:t>the</w:t>
      </w:r>
      <w:r>
        <w:rPr>
          <w:spacing w:val="-9"/>
        </w:rPr>
        <w:t> </w:t>
      </w:r>
      <w:r>
        <w:rPr/>
        <w:t>enactment</w:t>
      </w:r>
      <w:r>
        <w:rPr>
          <w:spacing w:val="-10"/>
        </w:rPr>
        <w:t> </w:t>
      </w:r>
      <w:r>
        <w:rPr/>
        <w:t>of</w:t>
      </w:r>
      <w:r>
        <w:rPr>
          <w:spacing w:val="-9"/>
        </w:rPr>
        <w:t> </w:t>
      </w:r>
      <w:r>
        <w:rPr/>
        <w:t>the</w:t>
      </w:r>
      <w:r>
        <w:rPr>
          <w:spacing w:val="-9"/>
        </w:rPr>
        <w:t> </w:t>
      </w:r>
      <w:r>
        <w:rPr/>
        <w:t>China National Sword Policy in 2018, and the upcoming Basel Convention Amendments in</w:t>
      </w:r>
      <w:r>
        <w:rPr>
          <w:spacing w:val="-28"/>
        </w:rPr>
        <w:t> </w:t>
      </w:r>
      <w:r>
        <w:rPr/>
        <w:t>2021.</w:t>
      </w:r>
    </w:p>
    <w:p>
      <w:pPr>
        <w:pStyle w:val="BodyText"/>
        <w:spacing w:line="256" w:lineRule="auto" w:before="160"/>
        <w:ind w:left="560" w:right="114"/>
        <w:jc w:val="both"/>
      </w:pPr>
      <w:r>
        <w:rPr/>
        <w:t>There are limited onshore markets to recycle some materials, such as fibre and glass, and much of Aotearoa New Zealand’s reprocessing infrastructure is aging. While there are onshore markets for plastic recycling, most of these are limited to “downcycling”.</w:t>
      </w:r>
    </w:p>
    <w:p>
      <w:pPr>
        <w:spacing w:line="256" w:lineRule="auto" w:before="158"/>
        <w:ind w:left="560" w:right="116" w:firstLine="0"/>
        <w:jc w:val="both"/>
        <w:rPr>
          <w:sz w:val="19"/>
        </w:rPr>
      </w:pPr>
      <w:r>
        <w:rPr>
          <w:sz w:val="20"/>
        </w:rPr>
        <w:t>In addition, geographic distances make it uneconomical for some local authorities to ship (by land or sea) materials to local markets, whereas some local authorities are fortunate to have reprocessors in their region, leading to </w:t>
      </w:r>
      <w:r>
        <w:rPr>
          <w:sz w:val="19"/>
        </w:rPr>
        <w:t>an unfair “postcode lottery” where some local authorities have to heavily subsidise recycling services to their householders.</w:t>
      </w:r>
    </w:p>
    <w:p>
      <w:pPr>
        <w:pStyle w:val="BodyText"/>
        <w:spacing w:line="256" w:lineRule="auto" w:before="160"/>
        <w:ind w:left="560" w:right="117"/>
        <w:jc w:val="both"/>
      </w:pPr>
      <w:r>
        <w:rPr/>
        <w:t>This report was commission by the Ministry for the Environment (MfE) to provide recommendations to the Minister on opportunities to standardise domestic kerbside collections to increase consistency, reduce confusion for householders, improve material quality and reduce residual rubbish to landfill.</w:t>
      </w:r>
    </w:p>
    <w:p>
      <w:pPr>
        <w:pStyle w:val="BodyText"/>
        <w:spacing w:line="256" w:lineRule="auto" w:before="159"/>
        <w:ind w:left="560" w:right="113"/>
        <w:jc w:val="both"/>
      </w:pPr>
      <w:r>
        <w:rPr/>
        <w:t>The recommendations provided in this report can be broadly divided into two: recommendations for the standardisation of materials collected through domestic kerbside recycling, and recommendations for best practice collection systems to reduce residual waste to landfill and improve recyclable material quality.</w:t>
      </w:r>
    </w:p>
    <w:p>
      <w:pPr>
        <w:pStyle w:val="BodyText"/>
        <w:spacing w:line="256" w:lineRule="auto" w:before="159"/>
        <w:ind w:left="560" w:right="123"/>
        <w:jc w:val="both"/>
      </w:pPr>
      <w:r>
        <w:rPr/>
        <w:t>The recommendations for the standardisation of materials to be collected through domestic kerbside recycling are based on a significant piece of work undertaken by WasteMINZ and the resource recovery sector in 2019, and these recommendations have been finalised as part of this project.</w:t>
      </w:r>
    </w:p>
    <w:p>
      <w:pPr>
        <w:pStyle w:val="BodyText"/>
        <w:spacing w:line="256" w:lineRule="auto" w:before="159"/>
        <w:ind w:left="560" w:right="121"/>
        <w:jc w:val="both"/>
      </w:pPr>
      <w:r>
        <w:rPr/>
        <w:t>The recommendations on standardising collection systems and improving material quality have been informed by the engagement programme undertaken as part of this project with local authorities and the waste and resource recovery sector, as well as an international literature review.</w:t>
      </w:r>
    </w:p>
    <w:p>
      <w:pPr>
        <w:pStyle w:val="BodyText"/>
        <w:spacing w:line="256" w:lineRule="auto" w:before="159"/>
        <w:ind w:left="560" w:right="122"/>
        <w:jc w:val="both"/>
      </w:pPr>
      <w:r>
        <w:rPr/>
        <w:t>While the standardisation of materials collected through domestic kerbside recycling collections has received broad approval from across the country, there are many different factors to be considered when attempting to standardise collection systems, including geography, distance to markets, and local infrastructure.</w:t>
      </w:r>
    </w:p>
    <w:p>
      <w:pPr>
        <w:pStyle w:val="BodyText"/>
        <w:spacing w:line="256" w:lineRule="auto" w:before="158"/>
        <w:ind w:left="560" w:right="124"/>
        <w:jc w:val="both"/>
      </w:pPr>
      <w:r>
        <w:rPr/>
        <w:t>The</w:t>
      </w:r>
      <w:r>
        <w:rPr>
          <w:spacing w:val="-5"/>
        </w:rPr>
        <w:t> </w:t>
      </w:r>
      <w:r>
        <w:rPr/>
        <w:t>recommendations</w:t>
      </w:r>
      <w:r>
        <w:rPr>
          <w:spacing w:val="-3"/>
        </w:rPr>
        <w:t> </w:t>
      </w:r>
      <w:r>
        <w:rPr/>
        <w:t>provided</w:t>
      </w:r>
      <w:r>
        <w:rPr>
          <w:spacing w:val="-4"/>
        </w:rPr>
        <w:t> </w:t>
      </w:r>
      <w:r>
        <w:rPr/>
        <w:t>in</w:t>
      </w:r>
      <w:r>
        <w:rPr>
          <w:spacing w:val="-4"/>
        </w:rPr>
        <w:t> </w:t>
      </w:r>
      <w:r>
        <w:rPr/>
        <w:t>this</w:t>
      </w:r>
      <w:r>
        <w:rPr>
          <w:spacing w:val="-3"/>
        </w:rPr>
        <w:t> </w:t>
      </w:r>
      <w:r>
        <w:rPr/>
        <w:t>report</w:t>
      </w:r>
      <w:r>
        <w:rPr>
          <w:spacing w:val="-4"/>
        </w:rPr>
        <w:t> </w:t>
      </w:r>
      <w:r>
        <w:rPr/>
        <w:t>recognise</w:t>
      </w:r>
      <w:r>
        <w:rPr>
          <w:spacing w:val="-5"/>
        </w:rPr>
        <w:t> </w:t>
      </w:r>
      <w:r>
        <w:rPr/>
        <w:t>these</w:t>
      </w:r>
      <w:r>
        <w:rPr>
          <w:spacing w:val="-5"/>
        </w:rPr>
        <w:t> </w:t>
      </w:r>
      <w:r>
        <w:rPr/>
        <w:t>differences,</w:t>
      </w:r>
      <w:r>
        <w:rPr>
          <w:spacing w:val="-4"/>
        </w:rPr>
        <w:t> </w:t>
      </w:r>
      <w:r>
        <w:rPr/>
        <w:t>and</w:t>
      </w:r>
      <w:r>
        <w:rPr>
          <w:spacing w:val="-4"/>
        </w:rPr>
        <w:t> </w:t>
      </w:r>
      <w:r>
        <w:rPr/>
        <w:t>do</w:t>
      </w:r>
      <w:r>
        <w:rPr>
          <w:spacing w:val="-4"/>
        </w:rPr>
        <w:t> </w:t>
      </w:r>
      <w:r>
        <w:rPr/>
        <w:t>not</w:t>
      </w:r>
      <w:r>
        <w:rPr>
          <w:spacing w:val="-4"/>
        </w:rPr>
        <w:t> </w:t>
      </w:r>
      <w:r>
        <w:rPr/>
        <w:t>attempt</w:t>
      </w:r>
      <w:r>
        <w:rPr>
          <w:spacing w:val="-4"/>
        </w:rPr>
        <w:t> </w:t>
      </w:r>
      <w:r>
        <w:rPr/>
        <w:t>to</w:t>
      </w:r>
      <w:r>
        <w:rPr>
          <w:spacing w:val="-4"/>
        </w:rPr>
        <w:t> </w:t>
      </w:r>
      <w:r>
        <w:rPr/>
        <w:t>provide</w:t>
      </w:r>
      <w:r>
        <w:rPr>
          <w:spacing w:val="-5"/>
        </w:rPr>
        <w:t> </w:t>
      </w:r>
      <w:r>
        <w:rPr/>
        <w:t>a</w:t>
      </w:r>
      <w:r>
        <w:rPr>
          <w:spacing w:val="-2"/>
        </w:rPr>
        <w:t> </w:t>
      </w:r>
      <w:r>
        <w:rPr/>
        <w:t>one size fits all solution. Rather, recommendations for standardising kerbside collections provide best practice recommendations,</w:t>
      </w:r>
      <w:r>
        <w:rPr>
          <w:spacing w:val="-4"/>
        </w:rPr>
        <w:t> </w:t>
      </w:r>
      <w:r>
        <w:rPr/>
        <w:t>based</w:t>
      </w:r>
      <w:r>
        <w:rPr>
          <w:spacing w:val="-4"/>
        </w:rPr>
        <w:t> </w:t>
      </w:r>
      <w:r>
        <w:rPr/>
        <w:t>on</w:t>
      </w:r>
      <w:r>
        <w:rPr>
          <w:spacing w:val="-4"/>
        </w:rPr>
        <w:t> </w:t>
      </w:r>
      <w:r>
        <w:rPr/>
        <w:t>improving</w:t>
      </w:r>
      <w:r>
        <w:rPr>
          <w:spacing w:val="-1"/>
        </w:rPr>
        <w:t> </w:t>
      </w:r>
      <w:r>
        <w:rPr/>
        <w:t>the</w:t>
      </w:r>
      <w:r>
        <w:rPr>
          <w:spacing w:val="-4"/>
        </w:rPr>
        <w:t> </w:t>
      </w:r>
      <w:r>
        <w:rPr/>
        <w:t>quality</w:t>
      </w:r>
      <w:r>
        <w:rPr>
          <w:spacing w:val="-4"/>
        </w:rPr>
        <w:t> </w:t>
      </w:r>
      <w:r>
        <w:rPr/>
        <w:t>of</w:t>
      </w:r>
      <w:r>
        <w:rPr>
          <w:spacing w:val="-5"/>
        </w:rPr>
        <w:t> </w:t>
      </w:r>
      <w:r>
        <w:rPr/>
        <w:t>recyclate</w:t>
      </w:r>
      <w:r>
        <w:rPr>
          <w:spacing w:val="-4"/>
        </w:rPr>
        <w:t> </w:t>
      </w:r>
      <w:r>
        <w:rPr/>
        <w:t>and</w:t>
      </w:r>
      <w:r>
        <w:rPr>
          <w:spacing w:val="-4"/>
        </w:rPr>
        <w:t> </w:t>
      </w:r>
      <w:r>
        <w:rPr/>
        <w:t>reducing</w:t>
      </w:r>
      <w:r>
        <w:rPr>
          <w:spacing w:val="-4"/>
        </w:rPr>
        <w:t> </w:t>
      </w:r>
      <w:r>
        <w:rPr/>
        <w:t>residual</w:t>
      </w:r>
      <w:r>
        <w:rPr>
          <w:spacing w:val="-4"/>
        </w:rPr>
        <w:t> </w:t>
      </w:r>
      <w:r>
        <w:rPr/>
        <w:t>rubbish</w:t>
      </w:r>
      <w:r>
        <w:rPr>
          <w:spacing w:val="-4"/>
        </w:rPr>
        <w:t> </w:t>
      </w:r>
      <w:r>
        <w:rPr/>
        <w:t>to</w:t>
      </w:r>
      <w:r>
        <w:rPr>
          <w:spacing w:val="-4"/>
        </w:rPr>
        <w:t> </w:t>
      </w:r>
      <w:r>
        <w:rPr/>
        <w:t>landfill.</w:t>
      </w:r>
    </w:p>
    <w:p>
      <w:pPr>
        <w:pStyle w:val="BodyText"/>
        <w:spacing w:before="158"/>
        <w:ind w:left="560"/>
        <w:jc w:val="both"/>
      </w:pPr>
      <w:r>
        <w:rPr/>
        <w:t>The four key recommendations provided by this report are:</w:t>
      </w:r>
    </w:p>
    <w:p>
      <w:pPr>
        <w:pStyle w:val="ListParagraph"/>
        <w:numPr>
          <w:ilvl w:val="0"/>
          <w:numId w:val="4"/>
        </w:numPr>
        <w:tabs>
          <w:tab w:pos="1281" w:val="left" w:leader="none"/>
        </w:tabs>
        <w:spacing w:line="256" w:lineRule="auto" w:before="175" w:after="0"/>
        <w:ind w:left="1280" w:right="121" w:hanging="360"/>
        <w:jc w:val="both"/>
        <w:rPr>
          <w:sz w:val="20"/>
        </w:rPr>
      </w:pPr>
      <w:r>
        <w:rPr>
          <w:sz w:val="20"/>
        </w:rPr>
        <w:t>Standardise</w:t>
      </w:r>
      <w:r>
        <w:rPr>
          <w:spacing w:val="-9"/>
          <w:sz w:val="20"/>
        </w:rPr>
        <w:t> </w:t>
      </w:r>
      <w:r>
        <w:rPr>
          <w:sz w:val="20"/>
        </w:rPr>
        <w:t>materials</w:t>
      </w:r>
      <w:r>
        <w:rPr>
          <w:spacing w:val="-7"/>
          <w:sz w:val="20"/>
        </w:rPr>
        <w:t> </w:t>
      </w:r>
      <w:r>
        <w:rPr>
          <w:sz w:val="20"/>
        </w:rPr>
        <w:t>to</w:t>
      </w:r>
      <w:r>
        <w:rPr>
          <w:spacing w:val="-7"/>
          <w:sz w:val="20"/>
        </w:rPr>
        <w:t> </w:t>
      </w:r>
      <w:r>
        <w:rPr>
          <w:sz w:val="20"/>
        </w:rPr>
        <w:t>be</w:t>
      </w:r>
      <w:r>
        <w:rPr>
          <w:spacing w:val="-9"/>
          <w:sz w:val="20"/>
        </w:rPr>
        <w:t> </w:t>
      </w:r>
      <w:r>
        <w:rPr>
          <w:sz w:val="20"/>
        </w:rPr>
        <w:t>collected</w:t>
      </w:r>
      <w:r>
        <w:rPr>
          <w:spacing w:val="-8"/>
          <w:sz w:val="20"/>
        </w:rPr>
        <w:t> </w:t>
      </w:r>
      <w:r>
        <w:rPr>
          <w:sz w:val="20"/>
        </w:rPr>
        <w:t>in</w:t>
      </w:r>
      <w:r>
        <w:rPr>
          <w:spacing w:val="-7"/>
          <w:sz w:val="20"/>
        </w:rPr>
        <w:t> </w:t>
      </w:r>
      <w:r>
        <w:rPr>
          <w:sz w:val="20"/>
        </w:rPr>
        <w:t>domestic</w:t>
      </w:r>
      <w:r>
        <w:rPr>
          <w:spacing w:val="-8"/>
          <w:sz w:val="20"/>
        </w:rPr>
        <w:t> </w:t>
      </w:r>
      <w:r>
        <w:rPr>
          <w:sz w:val="20"/>
        </w:rPr>
        <w:t>kerbside</w:t>
      </w:r>
      <w:r>
        <w:rPr>
          <w:spacing w:val="-9"/>
          <w:sz w:val="20"/>
        </w:rPr>
        <w:t> </w:t>
      </w:r>
      <w:r>
        <w:rPr>
          <w:sz w:val="20"/>
        </w:rPr>
        <w:t>recycling</w:t>
      </w:r>
      <w:r>
        <w:rPr>
          <w:spacing w:val="-8"/>
          <w:sz w:val="20"/>
        </w:rPr>
        <w:t> </w:t>
      </w:r>
      <w:r>
        <w:rPr>
          <w:sz w:val="20"/>
        </w:rPr>
        <w:t>collections</w:t>
      </w:r>
      <w:r>
        <w:rPr>
          <w:spacing w:val="-7"/>
          <w:sz w:val="20"/>
        </w:rPr>
        <w:t> </w:t>
      </w:r>
      <w:r>
        <w:rPr>
          <w:sz w:val="20"/>
        </w:rPr>
        <w:t>across</w:t>
      </w:r>
      <w:r>
        <w:rPr>
          <w:spacing w:val="-7"/>
          <w:sz w:val="20"/>
        </w:rPr>
        <w:t> </w:t>
      </w:r>
      <w:r>
        <w:rPr>
          <w:sz w:val="20"/>
        </w:rPr>
        <w:t>the</w:t>
      </w:r>
      <w:r>
        <w:rPr>
          <w:spacing w:val="-9"/>
          <w:sz w:val="20"/>
        </w:rPr>
        <w:t> </w:t>
      </w:r>
      <w:r>
        <w:rPr>
          <w:sz w:val="20"/>
        </w:rPr>
        <w:t>country,</w:t>
      </w:r>
      <w:r>
        <w:rPr>
          <w:spacing w:val="-7"/>
          <w:sz w:val="20"/>
        </w:rPr>
        <w:t> </w:t>
      </w:r>
      <w:r>
        <w:rPr>
          <w:sz w:val="20"/>
        </w:rPr>
        <w:t>and how</w:t>
      </w:r>
      <w:r>
        <w:rPr>
          <w:spacing w:val="-6"/>
          <w:sz w:val="20"/>
        </w:rPr>
        <w:t> </w:t>
      </w:r>
      <w:r>
        <w:rPr>
          <w:sz w:val="20"/>
        </w:rPr>
        <w:t>they</w:t>
      </w:r>
      <w:r>
        <w:rPr>
          <w:spacing w:val="-5"/>
          <w:sz w:val="20"/>
        </w:rPr>
        <w:t> </w:t>
      </w:r>
      <w:r>
        <w:rPr>
          <w:sz w:val="20"/>
        </w:rPr>
        <w:t>should</w:t>
      </w:r>
      <w:r>
        <w:rPr>
          <w:spacing w:val="-5"/>
          <w:sz w:val="20"/>
        </w:rPr>
        <w:t> </w:t>
      </w:r>
      <w:r>
        <w:rPr>
          <w:sz w:val="20"/>
        </w:rPr>
        <w:t>be</w:t>
      </w:r>
      <w:r>
        <w:rPr>
          <w:spacing w:val="-6"/>
          <w:sz w:val="20"/>
        </w:rPr>
        <w:t> </w:t>
      </w:r>
      <w:r>
        <w:rPr>
          <w:sz w:val="20"/>
        </w:rPr>
        <w:t>presented,</w:t>
      </w:r>
      <w:r>
        <w:rPr>
          <w:spacing w:val="-5"/>
          <w:sz w:val="20"/>
        </w:rPr>
        <w:t> </w:t>
      </w:r>
      <w:r>
        <w:rPr>
          <w:sz w:val="20"/>
        </w:rPr>
        <w:t>to</w:t>
      </w:r>
      <w:r>
        <w:rPr>
          <w:spacing w:val="-5"/>
          <w:sz w:val="20"/>
        </w:rPr>
        <w:t> </w:t>
      </w:r>
      <w:r>
        <w:rPr>
          <w:sz w:val="20"/>
        </w:rPr>
        <w:t>increase</w:t>
      </w:r>
      <w:r>
        <w:rPr>
          <w:spacing w:val="-6"/>
          <w:sz w:val="20"/>
        </w:rPr>
        <w:t> </w:t>
      </w:r>
      <w:r>
        <w:rPr>
          <w:sz w:val="20"/>
        </w:rPr>
        <w:t>consistency,</w:t>
      </w:r>
      <w:r>
        <w:rPr>
          <w:spacing w:val="-5"/>
          <w:sz w:val="20"/>
        </w:rPr>
        <w:t> </w:t>
      </w:r>
      <w:r>
        <w:rPr>
          <w:sz w:val="20"/>
        </w:rPr>
        <w:t>reduce</w:t>
      </w:r>
      <w:r>
        <w:rPr>
          <w:spacing w:val="-6"/>
          <w:sz w:val="20"/>
        </w:rPr>
        <w:t> </w:t>
      </w:r>
      <w:r>
        <w:rPr>
          <w:sz w:val="20"/>
        </w:rPr>
        <w:t>confusion</w:t>
      </w:r>
      <w:r>
        <w:rPr>
          <w:spacing w:val="-5"/>
          <w:sz w:val="20"/>
        </w:rPr>
        <w:t> </w:t>
      </w:r>
      <w:r>
        <w:rPr>
          <w:sz w:val="20"/>
        </w:rPr>
        <w:t>for</w:t>
      </w:r>
      <w:r>
        <w:rPr>
          <w:spacing w:val="-5"/>
          <w:sz w:val="20"/>
        </w:rPr>
        <w:t> </w:t>
      </w:r>
      <w:r>
        <w:rPr>
          <w:sz w:val="20"/>
        </w:rPr>
        <w:t>householders</w:t>
      </w:r>
      <w:r>
        <w:rPr>
          <w:spacing w:val="-4"/>
          <w:sz w:val="20"/>
        </w:rPr>
        <w:t> </w:t>
      </w:r>
      <w:r>
        <w:rPr>
          <w:sz w:val="20"/>
        </w:rPr>
        <w:t>and</w:t>
      </w:r>
      <w:r>
        <w:rPr>
          <w:spacing w:val="-7"/>
          <w:sz w:val="20"/>
        </w:rPr>
        <w:t> </w:t>
      </w:r>
      <w:r>
        <w:rPr>
          <w:sz w:val="20"/>
        </w:rPr>
        <w:t>reduce contamination</w:t>
      </w:r>
    </w:p>
    <w:p>
      <w:pPr>
        <w:pStyle w:val="ListParagraph"/>
        <w:numPr>
          <w:ilvl w:val="0"/>
          <w:numId w:val="4"/>
        </w:numPr>
        <w:tabs>
          <w:tab w:pos="1281" w:val="left" w:leader="none"/>
        </w:tabs>
        <w:spacing w:line="254" w:lineRule="auto" w:before="0" w:after="0"/>
        <w:ind w:left="1280" w:right="126" w:hanging="360"/>
        <w:jc w:val="both"/>
        <w:rPr>
          <w:sz w:val="20"/>
        </w:rPr>
      </w:pPr>
      <w:r>
        <w:rPr>
          <w:sz w:val="20"/>
        </w:rPr>
        <w:t>Incentivise local authorities to collect food waste for composting or AD to reduce kerbside residual rubbish to</w:t>
      </w:r>
      <w:r>
        <w:rPr>
          <w:spacing w:val="-10"/>
          <w:sz w:val="20"/>
        </w:rPr>
        <w:t> </w:t>
      </w:r>
      <w:r>
        <w:rPr>
          <w:sz w:val="20"/>
        </w:rPr>
        <w:t>landfill</w:t>
      </w:r>
    </w:p>
    <w:p>
      <w:pPr>
        <w:pStyle w:val="ListParagraph"/>
        <w:numPr>
          <w:ilvl w:val="0"/>
          <w:numId w:val="4"/>
        </w:numPr>
        <w:tabs>
          <w:tab w:pos="1281" w:val="left" w:leader="none"/>
        </w:tabs>
        <w:spacing w:line="254" w:lineRule="auto" w:before="2" w:after="0"/>
        <w:ind w:left="1280" w:right="123" w:hanging="360"/>
        <w:jc w:val="both"/>
        <w:rPr>
          <w:sz w:val="20"/>
        </w:rPr>
      </w:pPr>
      <w:r>
        <w:rPr>
          <w:sz w:val="20"/>
        </w:rPr>
        <w:t>Incentivise local authorities to collect glass separately to other recyclable materials to improve the quality of all materials accepted in kerbside</w:t>
      </w:r>
      <w:r>
        <w:rPr>
          <w:spacing w:val="-21"/>
          <w:sz w:val="20"/>
        </w:rPr>
        <w:t> </w:t>
      </w:r>
      <w:r>
        <w:rPr>
          <w:sz w:val="20"/>
        </w:rPr>
        <w:t>recycling</w:t>
      </w:r>
    </w:p>
    <w:p>
      <w:pPr>
        <w:spacing w:after="0" w:line="254" w:lineRule="auto"/>
        <w:jc w:val="both"/>
        <w:rPr>
          <w:sz w:val="20"/>
        </w:rPr>
        <w:sectPr>
          <w:footerReference w:type="default" r:id="rId7"/>
          <w:pgSz w:w="11910" w:h="16840"/>
          <w:pgMar w:footer="698" w:header="576" w:top="1140" w:bottom="880" w:left="880" w:right="1320"/>
          <w:pgNumType w:start="6"/>
        </w:sectPr>
      </w:pPr>
    </w:p>
    <w:p>
      <w:pPr>
        <w:pStyle w:val="BodyText"/>
      </w:pPr>
    </w:p>
    <w:p>
      <w:pPr>
        <w:pStyle w:val="BodyText"/>
        <w:spacing w:before="7"/>
        <w:rPr>
          <w:sz w:val="29"/>
        </w:rPr>
      </w:pPr>
    </w:p>
    <w:p>
      <w:pPr>
        <w:pStyle w:val="ListParagraph"/>
        <w:numPr>
          <w:ilvl w:val="0"/>
          <w:numId w:val="4"/>
        </w:numPr>
        <w:tabs>
          <w:tab w:pos="1280" w:val="left" w:leader="none"/>
          <w:tab w:pos="1281" w:val="left" w:leader="none"/>
        </w:tabs>
        <w:spacing w:line="254" w:lineRule="auto" w:before="60" w:after="0"/>
        <w:ind w:left="1280" w:right="124" w:hanging="360"/>
        <w:jc w:val="left"/>
        <w:rPr>
          <w:sz w:val="20"/>
        </w:rPr>
      </w:pPr>
      <w:r>
        <w:rPr>
          <w:sz w:val="20"/>
        </w:rPr>
        <w:t>Provide best practice recommendations for food waste, recycling, and residual rubbish collections to increase consistency across the</w:t>
      </w:r>
      <w:r>
        <w:rPr>
          <w:spacing w:val="-14"/>
          <w:sz w:val="20"/>
        </w:rPr>
        <w:t> </w:t>
      </w:r>
      <w:r>
        <w:rPr>
          <w:sz w:val="20"/>
        </w:rPr>
        <w:t>country</w:t>
      </w:r>
    </w:p>
    <w:p>
      <w:pPr>
        <w:pStyle w:val="BodyText"/>
        <w:spacing w:line="256" w:lineRule="auto" w:before="161"/>
        <w:ind w:left="560" w:right="39"/>
      </w:pPr>
      <w:r>
        <w:rPr/>
        <w:t>The report also provides a series of further recommendations that, while outside of the immediate scope of this project, would assist in achieving more effective domestic kerbside collections.</w:t>
      </w:r>
    </w:p>
    <w:p>
      <w:pPr>
        <w:spacing w:after="0" w:line="256" w:lineRule="auto"/>
        <w:sectPr>
          <w:pgSz w:w="11910" w:h="16840"/>
          <w:pgMar w:header="576" w:footer="698" w:top="1140" w:bottom="880" w:left="880" w:right="1320"/>
        </w:sectPr>
      </w:pPr>
    </w:p>
    <w:p>
      <w:pPr>
        <w:pStyle w:val="BodyText"/>
      </w:pPr>
    </w:p>
    <w:p>
      <w:pPr>
        <w:pStyle w:val="BodyText"/>
        <w:spacing w:before="2"/>
        <w:rPr>
          <w:sz w:val="27"/>
        </w:rPr>
      </w:pPr>
    </w:p>
    <w:p>
      <w:pPr>
        <w:pStyle w:val="Heading1"/>
        <w:numPr>
          <w:ilvl w:val="0"/>
          <w:numId w:val="5"/>
        </w:numPr>
        <w:tabs>
          <w:tab w:pos="921" w:val="left" w:leader="none"/>
        </w:tabs>
        <w:spacing w:line="240" w:lineRule="auto" w:before="88" w:after="0"/>
        <w:ind w:left="920" w:right="0" w:hanging="360"/>
        <w:jc w:val="left"/>
      </w:pPr>
      <w:r>
        <w:rPr/>
        <w:pict>
          <v:line style="position:absolute;mso-position-horizontal-relative:page;mso-position-vertical-relative:paragraph;z-index:1144" from="57.852001pt,4.363784pt" to="57.852001pt,25.123784pt" stroked="true" strokeweight="1.464pt" strokecolor="#ed7d31">
            <v:stroke dashstyle="solid"/>
            <w10:wrap type="none"/>
          </v:line>
        </w:pict>
      </w:r>
      <w:bookmarkStart w:name="1. INTRODUCTION " w:id="4"/>
      <w:bookmarkEnd w:id="4"/>
      <w:r>
        <w:rPr/>
      </w:r>
      <w:bookmarkStart w:name="_bookmark1" w:id="5"/>
      <w:bookmarkEnd w:id="5"/>
      <w:r>
        <w:rPr/>
      </w:r>
      <w:bookmarkStart w:name="_bookmark1" w:id="6"/>
      <w:bookmarkEnd w:id="6"/>
      <w:r>
        <w:rPr>
          <w:spacing w:val="8"/>
        </w:rPr>
        <w:t>I</w:t>
      </w:r>
      <w:r>
        <w:rPr>
          <w:spacing w:val="8"/>
        </w:rPr>
        <w:t>NTRODUCTION</w:t>
      </w:r>
    </w:p>
    <w:p>
      <w:pPr>
        <w:pStyle w:val="BodyText"/>
        <w:spacing w:before="1"/>
        <w:rPr>
          <w:rFonts w:ascii="Arial"/>
          <w:sz w:val="26"/>
        </w:rPr>
      </w:pPr>
    </w:p>
    <w:p>
      <w:pPr>
        <w:pStyle w:val="BodyText"/>
        <w:spacing w:line="256" w:lineRule="auto" w:before="59"/>
        <w:ind w:left="560" w:right="118"/>
        <w:jc w:val="both"/>
      </w:pPr>
      <w:r>
        <w:rPr/>
        <w:t>In February 2020, the Ministry for the Environment (MfE) commissioned WasteMINZ to undertake a national research and engagement programme and make recommendations for the standardisation of kerbside collections in Aotearoa New Zealand.</w:t>
      </w:r>
    </w:p>
    <w:p>
      <w:pPr>
        <w:pStyle w:val="BodyText"/>
        <w:spacing w:line="256" w:lineRule="auto" w:before="158"/>
        <w:ind w:left="560" w:right="113"/>
        <w:jc w:val="both"/>
      </w:pPr>
      <w:r>
        <w:rPr/>
        <w:t>The</w:t>
      </w:r>
      <w:r>
        <w:rPr>
          <w:spacing w:val="-9"/>
        </w:rPr>
        <w:t> </w:t>
      </w:r>
      <w:r>
        <w:rPr/>
        <w:t>final</w:t>
      </w:r>
      <w:r>
        <w:rPr>
          <w:spacing w:val="-7"/>
        </w:rPr>
        <w:t> </w:t>
      </w:r>
      <w:r>
        <w:rPr/>
        <w:t>recommendations</w:t>
      </w:r>
      <w:r>
        <w:rPr>
          <w:spacing w:val="-7"/>
        </w:rPr>
        <w:t> </w:t>
      </w:r>
      <w:r>
        <w:rPr/>
        <w:t>include</w:t>
      </w:r>
      <w:r>
        <w:rPr>
          <w:spacing w:val="-9"/>
        </w:rPr>
        <w:t> </w:t>
      </w:r>
      <w:r>
        <w:rPr/>
        <w:t>the</w:t>
      </w:r>
      <w:r>
        <w:rPr>
          <w:spacing w:val="-6"/>
        </w:rPr>
        <w:t> </w:t>
      </w:r>
      <w:r>
        <w:rPr/>
        <w:t>materials</w:t>
      </w:r>
      <w:r>
        <w:rPr>
          <w:spacing w:val="-7"/>
        </w:rPr>
        <w:t> </w:t>
      </w:r>
      <w:r>
        <w:rPr/>
        <w:t>to</w:t>
      </w:r>
      <w:r>
        <w:rPr>
          <w:spacing w:val="-7"/>
        </w:rPr>
        <w:t> </w:t>
      </w:r>
      <w:r>
        <w:rPr/>
        <w:t>be</w:t>
      </w:r>
      <w:r>
        <w:rPr>
          <w:spacing w:val="-9"/>
        </w:rPr>
        <w:t> </w:t>
      </w:r>
      <w:r>
        <w:rPr/>
        <w:t>collected</w:t>
      </w:r>
      <w:r>
        <w:rPr>
          <w:spacing w:val="-8"/>
        </w:rPr>
        <w:t> </w:t>
      </w:r>
      <w:r>
        <w:rPr/>
        <w:t>in</w:t>
      </w:r>
      <w:r>
        <w:rPr>
          <w:spacing w:val="-7"/>
        </w:rPr>
        <w:t> </w:t>
      </w:r>
      <w:r>
        <w:rPr/>
        <w:t>kerbside</w:t>
      </w:r>
      <w:r>
        <w:rPr>
          <w:spacing w:val="-9"/>
        </w:rPr>
        <w:t> </w:t>
      </w:r>
      <w:r>
        <w:rPr/>
        <w:t>recycling,</w:t>
      </w:r>
      <w:r>
        <w:rPr>
          <w:spacing w:val="-7"/>
        </w:rPr>
        <w:t> </w:t>
      </w:r>
      <w:r>
        <w:rPr/>
        <w:t>the</w:t>
      </w:r>
      <w:r>
        <w:rPr>
          <w:spacing w:val="-9"/>
        </w:rPr>
        <w:t> </w:t>
      </w:r>
      <w:r>
        <w:rPr/>
        <w:t>presentation</w:t>
      </w:r>
      <w:r>
        <w:rPr>
          <w:spacing w:val="-7"/>
        </w:rPr>
        <w:t> </w:t>
      </w:r>
      <w:r>
        <w:rPr/>
        <w:t>of</w:t>
      </w:r>
      <w:r>
        <w:rPr>
          <w:spacing w:val="-9"/>
        </w:rPr>
        <w:t> </w:t>
      </w:r>
      <w:r>
        <w:rPr/>
        <w:t>these materials, and a way forward for the standardisation of kerbside collections for rubbish, recycling and organic waste, and aim</w:t>
      </w:r>
      <w:r>
        <w:rPr>
          <w:spacing w:val="-6"/>
        </w:rPr>
        <w:t> </w:t>
      </w:r>
      <w:r>
        <w:rPr/>
        <w:t>to:</w:t>
      </w:r>
    </w:p>
    <w:p>
      <w:pPr>
        <w:pStyle w:val="ListParagraph"/>
        <w:numPr>
          <w:ilvl w:val="1"/>
          <w:numId w:val="5"/>
        </w:numPr>
        <w:tabs>
          <w:tab w:pos="1039" w:val="left" w:leader="none"/>
        </w:tabs>
        <w:spacing w:line="240" w:lineRule="auto" w:before="161" w:after="0"/>
        <w:ind w:left="1038" w:right="0" w:hanging="195"/>
        <w:jc w:val="left"/>
        <w:rPr>
          <w:sz w:val="20"/>
        </w:rPr>
      </w:pPr>
      <w:r>
        <w:rPr>
          <w:sz w:val="20"/>
        </w:rPr>
        <w:t>Increase consistency in household rubbish and recycling collections across the</w:t>
      </w:r>
      <w:r>
        <w:rPr>
          <w:spacing w:val="-24"/>
          <w:sz w:val="20"/>
        </w:rPr>
        <w:t> </w:t>
      </w:r>
      <w:r>
        <w:rPr>
          <w:sz w:val="20"/>
        </w:rPr>
        <w:t>nation</w:t>
      </w:r>
    </w:p>
    <w:p>
      <w:pPr>
        <w:pStyle w:val="ListParagraph"/>
        <w:numPr>
          <w:ilvl w:val="1"/>
          <w:numId w:val="5"/>
        </w:numPr>
        <w:tabs>
          <w:tab w:pos="1039" w:val="left" w:leader="none"/>
        </w:tabs>
        <w:spacing w:line="240" w:lineRule="auto" w:before="16" w:after="0"/>
        <w:ind w:left="1038" w:right="0" w:hanging="195"/>
        <w:jc w:val="left"/>
        <w:rPr>
          <w:sz w:val="20"/>
        </w:rPr>
      </w:pPr>
      <w:r>
        <w:rPr>
          <w:sz w:val="20"/>
        </w:rPr>
        <w:t>Reduce</w:t>
      </w:r>
      <w:r>
        <w:rPr>
          <w:spacing w:val="-5"/>
          <w:sz w:val="20"/>
        </w:rPr>
        <w:t> </w:t>
      </w:r>
      <w:r>
        <w:rPr>
          <w:sz w:val="20"/>
        </w:rPr>
        <w:t>confusion</w:t>
      </w:r>
      <w:r>
        <w:rPr>
          <w:spacing w:val="-3"/>
          <w:sz w:val="20"/>
        </w:rPr>
        <w:t> </w:t>
      </w:r>
      <w:r>
        <w:rPr>
          <w:sz w:val="20"/>
        </w:rPr>
        <w:t>for</w:t>
      </w:r>
      <w:r>
        <w:rPr>
          <w:spacing w:val="-3"/>
          <w:sz w:val="20"/>
        </w:rPr>
        <w:t> </w:t>
      </w:r>
      <w:r>
        <w:rPr>
          <w:sz w:val="20"/>
        </w:rPr>
        <w:t>householders</w:t>
      </w:r>
      <w:r>
        <w:rPr>
          <w:spacing w:val="-3"/>
          <w:sz w:val="20"/>
        </w:rPr>
        <w:t> </w:t>
      </w:r>
      <w:r>
        <w:rPr>
          <w:sz w:val="20"/>
        </w:rPr>
        <w:t>and</w:t>
      </w:r>
      <w:r>
        <w:rPr>
          <w:spacing w:val="-3"/>
          <w:sz w:val="20"/>
        </w:rPr>
        <w:t> </w:t>
      </w:r>
      <w:r>
        <w:rPr>
          <w:sz w:val="20"/>
        </w:rPr>
        <w:t>provide</w:t>
      </w:r>
      <w:r>
        <w:rPr>
          <w:spacing w:val="-4"/>
          <w:sz w:val="20"/>
        </w:rPr>
        <w:t> </w:t>
      </w:r>
      <w:r>
        <w:rPr>
          <w:sz w:val="20"/>
        </w:rPr>
        <w:t>the</w:t>
      </w:r>
      <w:r>
        <w:rPr>
          <w:spacing w:val="-4"/>
          <w:sz w:val="20"/>
        </w:rPr>
        <w:t> </w:t>
      </w:r>
      <w:r>
        <w:rPr>
          <w:sz w:val="20"/>
        </w:rPr>
        <w:t>basis</w:t>
      </w:r>
      <w:r>
        <w:rPr>
          <w:spacing w:val="-3"/>
          <w:sz w:val="20"/>
        </w:rPr>
        <w:t> </w:t>
      </w:r>
      <w:r>
        <w:rPr>
          <w:sz w:val="20"/>
        </w:rPr>
        <w:t>for</w:t>
      </w:r>
      <w:r>
        <w:rPr>
          <w:spacing w:val="-3"/>
          <w:sz w:val="20"/>
        </w:rPr>
        <w:t> </w:t>
      </w:r>
      <w:r>
        <w:rPr>
          <w:sz w:val="20"/>
        </w:rPr>
        <w:t>national</w:t>
      </w:r>
      <w:r>
        <w:rPr>
          <w:spacing w:val="-3"/>
          <w:sz w:val="20"/>
        </w:rPr>
        <w:t> </w:t>
      </w:r>
      <w:r>
        <w:rPr>
          <w:sz w:val="20"/>
        </w:rPr>
        <w:t>messaging</w:t>
      </w:r>
    </w:p>
    <w:p>
      <w:pPr>
        <w:pStyle w:val="ListParagraph"/>
        <w:numPr>
          <w:ilvl w:val="1"/>
          <w:numId w:val="5"/>
        </w:numPr>
        <w:tabs>
          <w:tab w:pos="1039" w:val="left" w:leader="none"/>
        </w:tabs>
        <w:spacing w:line="240" w:lineRule="auto" w:before="18" w:after="0"/>
        <w:ind w:left="1038" w:right="0" w:hanging="195"/>
        <w:jc w:val="left"/>
        <w:rPr>
          <w:sz w:val="20"/>
        </w:rPr>
      </w:pPr>
      <w:r>
        <w:rPr>
          <w:sz w:val="20"/>
        </w:rPr>
        <w:t>Improve recyclable material quality through the reduction of</w:t>
      </w:r>
      <w:r>
        <w:rPr>
          <w:spacing w:val="-27"/>
          <w:sz w:val="20"/>
        </w:rPr>
        <w:t> </w:t>
      </w:r>
      <w:r>
        <w:rPr>
          <w:sz w:val="20"/>
        </w:rPr>
        <w:t>contamination</w:t>
      </w:r>
    </w:p>
    <w:p>
      <w:pPr>
        <w:pStyle w:val="ListParagraph"/>
        <w:numPr>
          <w:ilvl w:val="1"/>
          <w:numId w:val="5"/>
        </w:numPr>
        <w:tabs>
          <w:tab w:pos="1039" w:val="left" w:leader="none"/>
        </w:tabs>
        <w:spacing w:line="240" w:lineRule="auto" w:before="15" w:after="0"/>
        <w:ind w:left="1038" w:right="0" w:hanging="195"/>
        <w:jc w:val="left"/>
        <w:rPr>
          <w:sz w:val="20"/>
        </w:rPr>
      </w:pPr>
      <w:r>
        <w:rPr>
          <w:sz w:val="20"/>
        </w:rPr>
        <w:t>Decrease residual rubbish to</w:t>
      </w:r>
      <w:r>
        <w:rPr>
          <w:spacing w:val="-11"/>
          <w:sz w:val="20"/>
        </w:rPr>
        <w:t> </w:t>
      </w:r>
      <w:r>
        <w:rPr>
          <w:sz w:val="20"/>
        </w:rPr>
        <w:t>landfill</w:t>
      </w:r>
    </w:p>
    <w:p>
      <w:pPr>
        <w:pStyle w:val="BodyText"/>
        <w:spacing w:line="256" w:lineRule="auto" w:before="177"/>
        <w:ind w:left="560" w:right="117"/>
        <w:jc w:val="both"/>
      </w:pPr>
      <w:r>
        <w:rPr/>
        <w:t>The views and opinions of local government, industry, and resource recovery service providers were sought during the engagement phase of this project and the circumstances and context of different local authorities, including their size, location, geography and population base, inform the final recommendations.</w:t>
      </w:r>
    </w:p>
    <w:p>
      <w:pPr>
        <w:pStyle w:val="BodyText"/>
        <w:spacing w:line="256" w:lineRule="auto" w:before="158"/>
        <w:ind w:left="560" w:right="116"/>
        <w:jc w:val="both"/>
      </w:pPr>
      <w:r>
        <w:rPr/>
        <w:t>This report also highlights other areas that need to be addressed for Aotearoa New Zealand to transition to a more circular economy, where residual rubbish, recycling and the composting of organics are managed effectively, and all waste streams are being reduced.</w:t>
      </w:r>
    </w:p>
    <w:p>
      <w:pPr>
        <w:spacing w:after="0" w:line="256" w:lineRule="auto"/>
        <w:jc w:val="both"/>
        <w:sectPr>
          <w:pgSz w:w="11910" w:h="16840"/>
          <w:pgMar w:header="576" w:footer="698" w:top="1140" w:bottom="880" w:left="880" w:right="1320"/>
        </w:sectPr>
      </w:pPr>
    </w:p>
    <w:p>
      <w:pPr>
        <w:pStyle w:val="BodyText"/>
      </w:pPr>
    </w:p>
    <w:p>
      <w:pPr>
        <w:pStyle w:val="BodyText"/>
        <w:spacing w:before="2"/>
        <w:rPr>
          <w:sz w:val="27"/>
        </w:rPr>
      </w:pPr>
    </w:p>
    <w:p>
      <w:pPr>
        <w:pStyle w:val="Heading1"/>
        <w:numPr>
          <w:ilvl w:val="0"/>
          <w:numId w:val="5"/>
        </w:numPr>
        <w:tabs>
          <w:tab w:pos="921" w:val="left" w:leader="none"/>
        </w:tabs>
        <w:spacing w:line="240" w:lineRule="auto" w:before="88" w:after="0"/>
        <w:ind w:left="920" w:right="0" w:hanging="360"/>
        <w:jc w:val="left"/>
      </w:pPr>
      <w:r>
        <w:rPr/>
        <w:pict>
          <v:line style="position:absolute;mso-position-horizontal-relative:page;mso-position-vertical-relative:paragraph;z-index:1168" from="57.852001pt,4.363784pt" to="57.852001pt,25.123784pt" stroked="true" strokeweight="1.464pt" strokecolor="#ed7d31">
            <v:stroke dashstyle="solid"/>
            <w10:wrap type="none"/>
          </v:line>
        </w:pict>
      </w:r>
      <w:bookmarkStart w:name="2. CONTEXT " w:id="7"/>
      <w:bookmarkEnd w:id="7"/>
      <w:r>
        <w:rPr/>
      </w:r>
      <w:bookmarkStart w:name="_bookmark2" w:id="8"/>
      <w:bookmarkEnd w:id="8"/>
      <w:r>
        <w:rPr/>
      </w:r>
      <w:bookmarkStart w:name="_bookmark2" w:id="9"/>
      <w:bookmarkEnd w:id="9"/>
      <w:r>
        <w:rPr>
          <w:spacing w:val="7"/>
        </w:rPr>
        <w:t>C</w:t>
      </w:r>
      <w:r>
        <w:rPr>
          <w:spacing w:val="7"/>
        </w:rPr>
        <w:t>ONTEXT</w:t>
      </w:r>
    </w:p>
    <w:p>
      <w:pPr>
        <w:pStyle w:val="BodyText"/>
        <w:spacing w:before="1"/>
        <w:rPr>
          <w:rFonts w:ascii="Arial"/>
          <w:sz w:val="26"/>
        </w:rPr>
      </w:pPr>
    </w:p>
    <w:p>
      <w:pPr>
        <w:pStyle w:val="BodyText"/>
        <w:spacing w:line="256" w:lineRule="auto" w:before="59"/>
        <w:ind w:left="560" w:right="117"/>
        <w:jc w:val="both"/>
      </w:pPr>
      <w:r>
        <w:rPr/>
        <w:t>In June 2018, the Associate Minister for the Environment directed the establishment of an internal Ministry National Resource Recovery Taskforce to examine Aotearoa New Zealand’s resource recovery sector and potential responses to the impact of the China National Sword Policy. Work was commissioned to undertake a situational analysis and make recommendations. Eighteen recommendations were then tested with two working groups consisting of territorial authorities and experts from the resource recovery sector. The recommendations were narrowed down to nine that align with a circular economy model.</w:t>
      </w:r>
    </w:p>
    <w:p>
      <w:pPr>
        <w:pStyle w:val="ListParagraph"/>
        <w:numPr>
          <w:ilvl w:val="0"/>
          <w:numId w:val="6"/>
        </w:numPr>
        <w:tabs>
          <w:tab w:pos="1280" w:val="left" w:leader="none"/>
          <w:tab w:pos="1281" w:val="left" w:leader="none"/>
        </w:tabs>
        <w:spacing w:line="254" w:lineRule="auto" w:before="158" w:after="0"/>
        <w:ind w:left="1280" w:right="123" w:hanging="360"/>
        <w:jc w:val="left"/>
        <w:rPr>
          <w:sz w:val="20"/>
        </w:rPr>
      </w:pPr>
      <w:r>
        <w:rPr>
          <w:sz w:val="20"/>
        </w:rPr>
        <w:t>Completing</w:t>
      </w:r>
      <w:r>
        <w:rPr>
          <w:spacing w:val="-4"/>
          <w:sz w:val="20"/>
        </w:rPr>
        <w:t> </w:t>
      </w:r>
      <w:r>
        <w:rPr>
          <w:sz w:val="20"/>
        </w:rPr>
        <w:t>an</w:t>
      </w:r>
      <w:r>
        <w:rPr>
          <w:spacing w:val="-3"/>
          <w:sz w:val="20"/>
        </w:rPr>
        <w:t> </w:t>
      </w:r>
      <w:r>
        <w:rPr>
          <w:sz w:val="20"/>
        </w:rPr>
        <w:t>infrastructure</w:t>
      </w:r>
      <w:r>
        <w:rPr>
          <w:spacing w:val="-4"/>
          <w:sz w:val="20"/>
        </w:rPr>
        <w:t> </w:t>
      </w:r>
      <w:r>
        <w:rPr>
          <w:sz w:val="20"/>
        </w:rPr>
        <w:t>and</w:t>
      </w:r>
      <w:r>
        <w:rPr>
          <w:spacing w:val="-3"/>
          <w:sz w:val="20"/>
        </w:rPr>
        <w:t> </w:t>
      </w:r>
      <w:r>
        <w:rPr>
          <w:sz w:val="20"/>
        </w:rPr>
        <w:t>services</w:t>
      </w:r>
      <w:r>
        <w:rPr>
          <w:spacing w:val="-4"/>
          <w:sz w:val="20"/>
        </w:rPr>
        <w:t> </w:t>
      </w:r>
      <w:r>
        <w:rPr>
          <w:sz w:val="20"/>
        </w:rPr>
        <w:t>stocktake</w:t>
      </w:r>
      <w:r>
        <w:rPr>
          <w:spacing w:val="-4"/>
          <w:sz w:val="20"/>
        </w:rPr>
        <w:t> </w:t>
      </w:r>
      <w:r>
        <w:rPr>
          <w:sz w:val="20"/>
        </w:rPr>
        <w:t>and</w:t>
      </w:r>
      <w:r>
        <w:rPr>
          <w:spacing w:val="-3"/>
          <w:sz w:val="20"/>
        </w:rPr>
        <w:t> </w:t>
      </w:r>
      <w:r>
        <w:rPr>
          <w:sz w:val="20"/>
        </w:rPr>
        <w:t>identifying</w:t>
      </w:r>
      <w:r>
        <w:rPr>
          <w:spacing w:val="-4"/>
          <w:sz w:val="20"/>
        </w:rPr>
        <w:t> </w:t>
      </w:r>
      <w:r>
        <w:rPr>
          <w:sz w:val="20"/>
        </w:rPr>
        <w:t>the</w:t>
      </w:r>
      <w:r>
        <w:rPr>
          <w:spacing w:val="-4"/>
          <w:sz w:val="20"/>
        </w:rPr>
        <w:t> </w:t>
      </w:r>
      <w:r>
        <w:rPr>
          <w:sz w:val="20"/>
        </w:rPr>
        <w:t>gaps</w:t>
      </w:r>
      <w:r>
        <w:rPr>
          <w:spacing w:val="-3"/>
          <w:sz w:val="20"/>
        </w:rPr>
        <w:t> </w:t>
      </w:r>
      <w:r>
        <w:rPr>
          <w:sz w:val="20"/>
        </w:rPr>
        <w:t>in</w:t>
      </w:r>
      <w:r>
        <w:rPr>
          <w:spacing w:val="-5"/>
          <w:sz w:val="20"/>
        </w:rPr>
        <w:t> </w:t>
      </w:r>
      <w:r>
        <w:rPr>
          <w:sz w:val="20"/>
        </w:rPr>
        <w:t>materials</w:t>
      </w:r>
      <w:r>
        <w:rPr>
          <w:spacing w:val="-2"/>
          <w:sz w:val="20"/>
        </w:rPr>
        <w:t> </w:t>
      </w:r>
      <w:r>
        <w:rPr>
          <w:sz w:val="20"/>
        </w:rPr>
        <w:t>recovery</w:t>
      </w:r>
      <w:r>
        <w:rPr>
          <w:spacing w:val="-3"/>
          <w:sz w:val="20"/>
        </w:rPr>
        <w:t> </w:t>
      </w:r>
      <w:r>
        <w:rPr>
          <w:sz w:val="20"/>
        </w:rPr>
        <w:t>and waste infrastructure where investment is</w:t>
      </w:r>
      <w:r>
        <w:rPr>
          <w:spacing w:val="-18"/>
          <w:sz w:val="20"/>
        </w:rPr>
        <w:t> </w:t>
      </w:r>
      <w:r>
        <w:rPr>
          <w:sz w:val="20"/>
        </w:rPr>
        <w:t>needed</w:t>
      </w:r>
    </w:p>
    <w:p>
      <w:pPr>
        <w:pStyle w:val="ListParagraph"/>
        <w:numPr>
          <w:ilvl w:val="0"/>
          <w:numId w:val="6"/>
        </w:numPr>
        <w:tabs>
          <w:tab w:pos="1280" w:val="left" w:leader="none"/>
          <w:tab w:pos="1281" w:val="left" w:leader="none"/>
        </w:tabs>
        <w:spacing w:line="240" w:lineRule="auto" w:before="3" w:after="0"/>
        <w:ind w:left="1280" w:right="0" w:hanging="360"/>
        <w:jc w:val="left"/>
        <w:rPr>
          <w:sz w:val="20"/>
        </w:rPr>
      </w:pPr>
      <w:r>
        <w:rPr>
          <w:sz w:val="20"/>
        </w:rPr>
        <w:t>Reviewing kerbside collection and processing</w:t>
      </w:r>
      <w:r>
        <w:rPr>
          <w:spacing w:val="-16"/>
          <w:sz w:val="20"/>
        </w:rPr>
        <w:t> </w:t>
      </w:r>
      <w:r>
        <w:rPr>
          <w:sz w:val="20"/>
        </w:rPr>
        <w:t>systems</w:t>
      </w:r>
    </w:p>
    <w:p>
      <w:pPr>
        <w:pStyle w:val="ListParagraph"/>
        <w:numPr>
          <w:ilvl w:val="0"/>
          <w:numId w:val="6"/>
        </w:numPr>
        <w:tabs>
          <w:tab w:pos="1280" w:val="left" w:leader="none"/>
          <w:tab w:pos="1281" w:val="left" w:leader="none"/>
        </w:tabs>
        <w:spacing w:line="240" w:lineRule="auto" w:before="15" w:after="0"/>
        <w:ind w:left="1280" w:right="0" w:hanging="360"/>
        <w:jc w:val="left"/>
        <w:rPr>
          <w:sz w:val="20"/>
        </w:rPr>
      </w:pPr>
      <w:r>
        <w:rPr>
          <w:sz w:val="20"/>
        </w:rPr>
        <w:t>Undertaking feasibility studies and/or investigations around how to increase Aotearoa New Zealand</w:t>
      </w:r>
      <w:r>
        <w:rPr>
          <w:spacing w:val="-3"/>
          <w:sz w:val="20"/>
        </w:rPr>
        <w:t> </w:t>
      </w:r>
      <w:r>
        <w:rPr>
          <w:sz w:val="20"/>
        </w:rPr>
        <w:t>’s</w:t>
      </w:r>
    </w:p>
    <w:p>
      <w:pPr>
        <w:pStyle w:val="BodyText"/>
        <w:spacing w:before="17"/>
        <w:ind w:left="1280"/>
      </w:pPr>
      <w:r>
        <w:rPr/>
        <w:t>processing and reprocessing capacity for:</w:t>
      </w:r>
    </w:p>
    <w:p>
      <w:pPr>
        <w:pStyle w:val="ListParagraph"/>
        <w:numPr>
          <w:ilvl w:val="1"/>
          <w:numId w:val="6"/>
        </w:numPr>
        <w:tabs>
          <w:tab w:pos="2000" w:val="left" w:leader="none"/>
          <w:tab w:pos="2001" w:val="left" w:leader="none"/>
        </w:tabs>
        <w:spacing w:line="240" w:lineRule="auto" w:before="14" w:after="0"/>
        <w:ind w:left="2000" w:right="0" w:hanging="360"/>
        <w:jc w:val="left"/>
        <w:rPr>
          <w:sz w:val="20"/>
        </w:rPr>
      </w:pPr>
      <w:r>
        <w:rPr>
          <w:sz w:val="20"/>
        </w:rPr>
        <w:t>fibre (paper and</w:t>
      </w:r>
      <w:r>
        <w:rPr>
          <w:spacing w:val="-13"/>
          <w:sz w:val="20"/>
        </w:rPr>
        <w:t> </w:t>
      </w:r>
      <w:r>
        <w:rPr>
          <w:sz w:val="20"/>
        </w:rPr>
        <w:t>cardboard),</w:t>
      </w:r>
    </w:p>
    <w:p>
      <w:pPr>
        <w:pStyle w:val="ListParagraph"/>
        <w:numPr>
          <w:ilvl w:val="1"/>
          <w:numId w:val="6"/>
        </w:numPr>
        <w:tabs>
          <w:tab w:pos="2000" w:val="left" w:leader="none"/>
          <w:tab w:pos="2001" w:val="left" w:leader="none"/>
        </w:tabs>
        <w:spacing w:line="240" w:lineRule="auto" w:before="16" w:after="0"/>
        <w:ind w:left="2000" w:right="0" w:hanging="360"/>
        <w:jc w:val="left"/>
        <w:rPr>
          <w:sz w:val="20"/>
        </w:rPr>
      </w:pPr>
      <w:r>
        <w:rPr>
          <w:sz w:val="20"/>
        </w:rPr>
        <w:t>plastics,</w:t>
      </w:r>
      <w:r>
        <w:rPr>
          <w:spacing w:val="-3"/>
          <w:sz w:val="20"/>
        </w:rPr>
        <w:t> </w:t>
      </w:r>
      <w:r>
        <w:rPr>
          <w:sz w:val="20"/>
        </w:rPr>
        <w:t>and</w:t>
      </w:r>
    </w:p>
    <w:p>
      <w:pPr>
        <w:pStyle w:val="ListParagraph"/>
        <w:numPr>
          <w:ilvl w:val="1"/>
          <w:numId w:val="6"/>
        </w:numPr>
        <w:tabs>
          <w:tab w:pos="2000" w:val="left" w:leader="none"/>
          <w:tab w:pos="2001" w:val="left" w:leader="none"/>
        </w:tabs>
        <w:spacing w:line="240" w:lineRule="auto" w:before="14" w:after="0"/>
        <w:ind w:left="2000" w:right="0" w:hanging="360"/>
        <w:jc w:val="left"/>
        <w:rPr>
          <w:sz w:val="20"/>
        </w:rPr>
      </w:pPr>
      <w:r>
        <w:rPr>
          <w:sz w:val="20"/>
        </w:rPr>
        <w:t>construction and demolition</w:t>
      </w:r>
      <w:r>
        <w:rPr>
          <w:spacing w:val="-7"/>
          <w:sz w:val="20"/>
        </w:rPr>
        <w:t> </w:t>
      </w:r>
      <w:r>
        <w:rPr>
          <w:sz w:val="20"/>
        </w:rPr>
        <w:t>waste</w:t>
      </w:r>
    </w:p>
    <w:p>
      <w:pPr>
        <w:pStyle w:val="ListParagraph"/>
        <w:numPr>
          <w:ilvl w:val="0"/>
          <w:numId w:val="6"/>
        </w:numPr>
        <w:tabs>
          <w:tab w:pos="1280" w:val="left" w:leader="none"/>
          <w:tab w:pos="1281" w:val="left" w:leader="none"/>
        </w:tabs>
        <w:spacing w:line="240" w:lineRule="auto" w:before="17" w:after="0"/>
        <w:ind w:left="1280" w:right="0" w:hanging="360"/>
        <w:jc w:val="left"/>
        <w:rPr>
          <w:sz w:val="20"/>
        </w:rPr>
      </w:pPr>
      <w:r>
        <w:rPr>
          <w:sz w:val="20"/>
        </w:rPr>
        <w:t>Investigate and design a container deposit scheme for New</w:t>
      </w:r>
      <w:r>
        <w:rPr>
          <w:spacing w:val="-24"/>
          <w:sz w:val="20"/>
        </w:rPr>
        <w:t> </w:t>
      </w:r>
      <w:r>
        <w:rPr>
          <w:sz w:val="20"/>
        </w:rPr>
        <w:t>Zealand</w:t>
      </w:r>
    </w:p>
    <w:p>
      <w:pPr>
        <w:pStyle w:val="ListParagraph"/>
        <w:numPr>
          <w:ilvl w:val="0"/>
          <w:numId w:val="6"/>
        </w:numPr>
        <w:tabs>
          <w:tab w:pos="1280" w:val="left" w:leader="none"/>
          <w:tab w:pos="1281" w:val="left" w:leader="none"/>
        </w:tabs>
        <w:spacing w:line="240" w:lineRule="auto" w:before="17" w:after="0"/>
        <w:ind w:left="1280" w:right="0" w:hanging="360"/>
        <w:jc w:val="left"/>
        <w:rPr>
          <w:sz w:val="20"/>
        </w:rPr>
      </w:pPr>
      <w:r>
        <w:rPr>
          <w:sz w:val="20"/>
        </w:rPr>
        <w:t>Examining product stewardship options for other</w:t>
      </w:r>
      <w:r>
        <w:rPr>
          <w:spacing w:val="-18"/>
          <w:sz w:val="20"/>
        </w:rPr>
        <w:t> </w:t>
      </w:r>
      <w:r>
        <w:rPr>
          <w:sz w:val="20"/>
        </w:rPr>
        <w:t>packaging</w:t>
      </w:r>
    </w:p>
    <w:p>
      <w:pPr>
        <w:pStyle w:val="ListParagraph"/>
        <w:numPr>
          <w:ilvl w:val="0"/>
          <w:numId w:val="6"/>
        </w:numPr>
        <w:tabs>
          <w:tab w:pos="1280" w:val="left" w:leader="none"/>
          <w:tab w:pos="1281" w:val="left" w:leader="none"/>
        </w:tabs>
        <w:spacing w:line="240" w:lineRule="auto" w:before="14" w:after="0"/>
        <w:ind w:left="1280" w:right="0" w:hanging="360"/>
        <w:jc w:val="left"/>
        <w:rPr>
          <w:sz w:val="20"/>
        </w:rPr>
      </w:pPr>
      <w:r>
        <w:rPr>
          <w:sz w:val="20"/>
        </w:rPr>
        <w:t>Assessing the options for shifting away from low-value and difficult-to-recycle</w:t>
      </w:r>
      <w:r>
        <w:rPr>
          <w:spacing w:val="-31"/>
          <w:sz w:val="20"/>
        </w:rPr>
        <w:t> </w:t>
      </w:r>
      <w:r>
        <w:rPr>
          <w:sz w:val="20"/>
        </w:rPr>
        <w:t>plastics</w:t>
      </w:r>
    </w:p>
    <w:p>
      <w:pPr>
        <w:pStyle w:val="ListParagraph"/>
        <w:numPr>
          <w:ilvl w:val="0"/>
          <w:numId w:val="6"/>
        </w:numPr>
        <w:tabs>
          <w:tab w:pos="1280" w:val="left" w:leader="none"/>
          <w:tab w:pos="1281" w:val="left" w:leader="none"/>
        </w:tabs>
        <w:spacing w:line="240" w:lineRule="auto" w:before="16" w:after="0"/>
        <w:ind w:left="1280" w:right="0" w:hanging="360"/>
        <w:jc w:val="left"/>
        <w:rPr>
          <w:sz w:val="20"/>
        </w:rPr>
      </w:pPr>
      <w:r>
        <w:rPr>
          <w:sz w:val="20"/>
        </w:rPr>
        <w:t>Running an education campaign to help New Zealanders 'recycle</w:t>
      </w:r>
      <w:r>
        <w:rPr>
          <w:spacing w:val="-27"/>
          <w:sz w:val="20"/>
        </w:rPr>
        <w:t> </w:t>
      </w:r>
      <w:r>
        <w:rPr>
          <w:sz w:val="20"/>
        </w:rPr>
        <w:t>right'</w:t>
      </w:r>
    </w:p>
    <w:p>
      <w:pPr>
        <w:pStyle w:val="ListParagraph"/>
        <w:numPr>
          <w:ilvl w:val="0"/>
          <w:numId w:val="6"/>
        </w:numPr>
        <w:tabs>
          <w:tab w:pos="1280" w:val="left" w:leader="none"/>
          <w:tab w:pos="1281" w:val="left" w:leader="none"/>
        </w:tabs>
        <w:spacing w:line="240" w:lineRule="auto" w:before="14" w:after="0"/>
        <w:ind w:left="1280" w:right="0" w:hanging="360"/>
        <w:jc w:val="left"/>
        <w:rPr>
          <w:sz w:val="20"/>
        </w:rPr>
      </w:pPr>
      <w:r>
        <w:rPr>
          <w:sz w:val="20"/>
        </w:rPr>
        <w:t>Developing model Material Recovery Facilities (MRF)/ local authority contracts for the</w:t>
      </w:r>
      <w:r>
        <w:rPr>
          <w:spacing w:val="-30"/>
          <w:sz w:val="20"/>
        </w:rPr>
        <w:t> </w:t>
      </w:r>
      <w:r>
        <w:rPr>
          <w:sz w:val="20"/>
        </w:rPr>
        <w:t>sector</w:t>
      </w:r>
    </w:p>
    <w:p>
      <w:pPr>
        <w:pStyle w:val="ListParagraph"/>
        <w:numPr>
          <w:ilvl w:val="0"/>
          <w:numId w:val="6"/>
        </w:numPr>
        <w:tabs>
          <w:tab w:pos="1280" w:val="left" w:leader="none"/>
          <w:tab w:pos="1281" w:val="left" w:leader="none"/>
        </w:tabs>
        <w:spacing w:line="240" w:lineRule="auto" w:before="17" w:after="0"/>
        <w:ind w:left="1280" w:right="0" w:hanging="360"/>
        <w:jc w:val="left"/>
        <w:rPr>
          <w:sz w:val="20"/>
        </w:rPr>
      </w:pPr>
      <w:r>
        <w:rPr>
          <w:sz w:val="20"/>
        </w:rPr>
        <w:t>Developing a sustainable procurement plan and</w:t>
      </w:r>
      <w:r>
        <w:rPr>
          <w:spacing w:val="-25"/>
          <w:sz w:val="20"/>
        </w:rPr>
        <w:t> </w:t>
      </w:r>
      <w:r>
        <w:rPr>
          <w:sz w:val="20"/>
        </w:rPr>
        <w:t>guidelines.</w:t>
      </w:r>
    </w:p>
    <w:p>
      <w:pPr>
        <w:pStyle w:val="BodyText"/>
        <w:spacing w:line="254" w:lineRule="auto" w:before="176"/>
        <w:ind w:left="560" w:right="119"/>
        <w:jc w:val="both"/>
      </w:pPr>
      <w:r>
        <w:rPr/>
        <w:t>This project, to make recommendations for the standardising of kerbside collections, is part of the second recommendation.</w:t>
      </w:r>
    </w:p>
    <w:p>
      <w:pPr>
        <w:pStyle w:val="BodyText"/>
        <w:spacing w:line="256" w:lineRule="auto" w:before="161"/>
        <w:ind w:left="560" w:right="117"/>
        <w:jc w:val="both"/>
      </w:pPr>
      <w:r>
        <w:rPr/>
        <w:t>The</w:t>
      </w:r>
      <w:r>
        <w:rPr>
          <w:spacing w:val="-10"/>
        </w:rPr>
        <w:t> </w:t>
      </w:r>
      <w:r>
        <w:rPr/>
        <w:t>role</w:t>
      </w:r>
      <w:r>
        <w:rPr>
          <w:spacing w:val="-10"/>
        </w:rPr>
        <w:t> </w:t>
      </w:r>
      <w:r>
        <w:rPr/>
        <w:t>of</w:t>
      </w:r>
      <w:r>
        <w:rPr>
          <w:spacing w:val="-8"/>
        </w:rPr>
        <w:t> </w:t>
      </w:r>
      <w:r>
        <w:rPr/>
        <w:t>a</w:t>
      </w:r>
      <w:r>
        <w:rPr>
          <w:spacing w:val="-9"/>
        </w:rPr>
        <w:t> </w:t>
      </w:r>
      <w:r>
        <w:rPr/>
        <w:t>standardised</w:t>
      </w:r>
      <w:r>
        <w:rPr>
          <w:spacing w:val="-9"/>
        </w:rPr>
        <w:t> </w:t>
      </w:r>
      <w:r>
        <w:rPr/>
        <w:t>approach</w:t>
      </w:r>
      <w:r>
        <w:rPr>
          <w:spacing w:val="-8"/>
        </w:rPr>
        <w:t> </w:t>
      </w:r>
      <w:r>
        <w:rPr/>
        <w:t>to</w:t>
      </w:r>
      <w:r>
        <w:rPr>
          <w:spacing w:val="-9"/>
        </w:rPr>
        <w:t> </w:t>
      </w:r>
      <w:r>
        <w:rPr/>
        <w:t>kerbside</w:t>
      </w:r>
      <w:r>
        <w:rPr>
          <w:spacing w:val="-10"/>
        </w:rPr>
        <w:t> </w:t>
      </w:r>
      <w:r>
        <w:rPr/>
        <w:t>collections</w:t>
      </w:r>
      <w:r>
        <w:rPr>
          <w:spacing w:val="-8"/>
        </w:rPr>
        <w:t> </w:t>
      </w:r>
      <w:r>
        <w:rPr/>
        <w:t>in</w:t>
      </w:r>
      <w:r>
        <w:rPr>
          <w:spacing w:val="-9"/>
        </w:rPr>
        <w:t> </w:t>
      </w:r>
      <w:r>
        <w:rPr/>
        <w:t>reducing</w:t>
      </w:r>
      <w:r>
        <w:rPr>
          <w:spacing w:val="-9"/>
        </w:rPr>
        <w:t> </w:t>
      </w:r>
      <w:r>
        <w:rPr/>
        <w:t>contamination</w:t>
      </w:r>
      <w:r>
        <w:rPr>
          <w:spacing w:val="-8"/>
        </w:rPr>
        <w:t> </w:t>
      </w:r>
      <w:r>
        <w:rPr/>
        <w:t>and</w:t>
      </w:r>
      <w:r>
        <w:rPr>
          <w:spacing w:val="-6"/>
        </w:rPr>
        <w:t> </w:t>
      </w:r>
      <w:r>
        <w:rPr/>
        <w:t>increasing</w:t>
      </w:r>
      <w:r>
        <w:rPr>
          <w:spacing w:val="-9"/>
        </w:rPr>
        <w:t> </w:t>
      </w:r>
      <w:r>
        <w:rPr/>
        <w:t>the</w:t>
      </w:r>
      <w:r>
        <w:rPr>
          <w:spacing w:val="-10"/>
        </w:rPr>
        <w:t> </w:t>
      </w:r>
      <w:r>
        <w:rPr/>
        <w:t>quality of the material recovered via kerbside collections was also emphasised in the 2019 </w:t>
      </w:r>
      <w:r>
        <w:rPr>
          <w:i/>
        </w:rPr>
        <w:t>Rethinking Plastics in </w:t>
      </w:r>
      <w:r>
        <w:rPr>
          <w:i/>
        </w:rPr>
        <w:t>Aotearoa</w:t>
      </w:r>
      <w:r>
        <w:rPr>
          <w:i/>
          <w:spacing w:val="-10"/>
        </w:rPr>
        <w:t> </w:t>
      </w:r>
      <w:r>
        <w:rPr>
          <w:i/>
        </w:rPr>
        <w:t>New</w:t>
      </w:r>
      <w:r>
        <w:rPr>
          <w:i/>
          <w:spacing w:val="-11"/>
        </w:rPr>
        <w:t> </w:t>
      </w:r>
      <w:r>
        <w:rPr>
          <w:i/>
        </w:rPr>
        <w:t>Zealand</w:t>
      </w:r>
      <w:r>
        <w:rPr>
          <w:i/>
          <w:spacing w:val="-8"/>
        </w:rPr>
        <w:t> </w:t>
      </w:r>
      <w:r>
        <w:rPr/>
        <w:t>by</w:t>
      </w:r>
      <w:r>
        <w:rPr>
          <w:spacing w:val="-12"/>
        </w:rPr>
        <w:t> </w:t>
      </w:r>
      <w:r>
        <w:rPr/>
        <w:t>the</w:t>
      </w:r>
      <w:r>
        <w:rPr>
          <w:spacing w:val="-11"/>
        </w:rPr>
        <w:t> </w:t>
      </w:r>
      <w:r>
        <w:rPr/>
        <w:t>Prime</w:t>
      </w:r>
      <w:r>
        <w:rPr>
          <w:spacing w:val="-11"/>
        </w:rPr>
        <w:t> </w:t>
      </w:r>
      <w:r>
        <w:rPr/>
        <w:t>Minister's</w:t>
      </w:r>
      <w:r>
        <w:rPr>
          <w:spacing w:val="-9"/>
        </w:rPr>
        <w:t> </w:t>
      </w:r>
      <w:r>
        <w:rPr/>
        <w:t>Chief</w:t>
      </w:r>
      <w:r>
        <w:rPr>
          <w:spacing w:val="-11"/>
        </w:rPr>
        <w:t> </w:t>
      </w:r>
      <w:r>
        <w:rPr/>
        <w:t>Science</w:t>
      </w:r>
      <w:r>
        <w:rPr>
          <w:spacing w:val="-9"/>
        </w:rPr>
        <w:t> </w:t>
      </w:r>
      <w:r>
        <w:rPr/>
        <w:t>Advisor.</w:t>
      </w:r>
      <w:r>
        <w:rPr>
          <w:spacing w:val="26"/>
        </w:rPr>
        <w:t> </w:t>
      </w:r>
      <w:r>
        <w:rPr/>
        <w:t>This</w:t>
      </w:r>
      <w:r>
        <w:rPr>
          <w:spacing w:val="-9"/>
        </w:rPr>
        <w:t> </w:t>
      </w:r>
      <w:r>
        <w:rPr/>
        <w:t>report</w:t>
      </w:r>
      <w:r>
        <w:rPr>
          <w:spacing w:val="-9"/>
        </w:rPr>
        <w:t> </w:t>
      </w:r>
      <w:r>
        <w:rPr/>
        <w:t>recommended:</w:t>
      </w:r>
      <w:r>
        <w:rPr>
          <w:spacing w:val="-11"/>
        </w:rPr>
        <w:t> </w:t>
      </w:r>
      <w:r>
        <w:rPr/>
        <w:t>“Standardising national recycling practice and ensuring equitable</w:t>
      </w:r>
      <w:r>
        <w:rPr>
          <w:spacing w:val="-16"/>
        </w:rPr>
        <w:t> </w:t>
      </w:r>
      <w:r>
        <w:rPr/>
        <w:t>access.”</w:t>
      </w:r>
    </w:p>
    <w:p>
      <w:pPr>
        <w:pStyle w:val="BodyText"/>
        <w:spacing w:before="158"/>
        <w:ind w:left="560"/>
        <w:jc w:val="both"/>
      </w:pPr>
      <w:r>
        <w:rPr/>
        <w:t>The following sections provide the context for standardising kerbside collections.</w:t>
      </w:r>
    </w:p>
    <w:p>
      <w:pPr>
        <w:pStyle w:val="Heading2"/>
        <w:numPr>
          <w:ilvl w:val="1"/>
          <w:numId w:val="7"/>
        </w:numPr>
        <w:tabs>
          <w:tab w:pos="2000" w:val="left" w:leader="none"/>
          <w:tab w:pos="2001" w:val="left" w:leader="none"/>
        </w:tabs>
        <w:spacing w:line="240" w:lineRule="auto" w:before="173" w:after="0"/>
        <w:ind w:left="2000" w:right="0" w:hanging="1080"/>
        <w:jc w:val="left"/>
        <w:rPr>
          <w:b w:val="0"/>
        </w:rPr>
      </w:pPr>
      <w:bookmarkStart w:name="2.1. The Waste Minimisation Act 2008 " w:id="10"/>
      <w:bookmarkEnd w:id="10"/>
      <w:r>
        <w:rPr/>
      </w:r>
      <w:bookmarkStart w:name="_bookmark3" w:id="11"/>
      <w:bookmarkEnd w:id="11"/>
      <w:r>
        <w:rPr/>
      </w:r>
      <w:bookmarkStart w:name="_bookmark3" w:id="12"/>
      <w:bookmarkEnd w:id="12"/>
      <w:r>
        <w:rPr>
          <w:b w:val="0"/>
        </w:rPr>
        <w:t>Th</w:t>
      </w:r>
      <w:r>
        <w:rPr>
          <w:b w:val="0"/>
        </w:rPr>
        <w:t>e Waste Minimisation Act</w:t>
      </w:r>
      <w:r>
        <w:rPr>
          <w:b w:val="0"/>
          <w:spacing w:val="-16"/>
        </w:rPr>
        <w:t> </w:t>
      </w:r>
      <w:r>
        <w:rPr>
          <w:b w:val="0"/>
        </w:rPr>
        <w:t>2008</w:t>
      </w:r>
    </w:p>
    <w:p>
      <w:pPr>
        <w:pStyle w:val="BodyText"/>
        <w:spacing w:line="256" w:lineRule="auto" w:before="242"/>
        <w:ind w:left="560" w:right="119"/>
        <w:jc w:val="both"/>
      </w:pPr>
      <w:r>
        <w:rPr/>
        <w:t>The Waste Minimisation Act (WMA), enacted in 2008, requires local authorities to promote effective and efficient waste management and minimisation through six yearly Waste Management and Minimisation Plans (WMMP). Section 43 of the WMA outlines the requirements for a WMMP including the objectives, policies and methods for achieving “effective and efficient waste management and minimisation”.</w:t>
      </w:r>
    </w:p>
    <w:p>
      <w:pPr>
        <w:pStyle w:val="BodyText"/>
        <w:spacing w:line="256" w:lineRule="auto" w:before="159"/>
        <w:ind w:left="560" w:right="114"/>
        <w:jc w:val="both"/>
      </w:pPr>
      <w:r>
        <w:rPr/>
        <w:t>To provide for effective and efficient waste management and minimisation, 85% of local authorities provide for kerbside collections of domestic rubbish and recycling through collection contractors, 12% have private sector collections only, and the remaining 3% have free recycling drop-offs only.</w:t>
      </w:r>
    </w:p>
    <w:p>
      <w:pPr>
        <w:pStyle w:val="Heading2"/>
        <w:numPr>
          <w:ilvl w:val="1"/>
          <w:numId w:val="7"/>
        </w:numPr>
        <w:tabs>
          <w:tab w:pos="2000" w:val="left" w:leader="none"/>
          <w:tab w:pos="2001" w:val="left" w:leader="none"/>
        </w:tabs>
        <w:spacing w:line="240" w:lineRule="auto" w:before="157" w:after="0"/>
        <w:ind w:left="2000" w:right="0" w:hanging="1080"/>
        <w:jc w:val="left"/>
        <w:rPr>
          <w:b w:val="0"/>
        </w:rPr>
      </w:pPr>
      <w:bookmarkStart w:name="2.2. He tirohanga Māori i te para me han" w:id="13"/>
      <w:bookmarkEnd w:id="13"/>
      <w:r>
        <w:rPr/>
      </w:r>
      <w:bookmarkStart w:name="_bookmark4" w:id="14"/>
      <w:bookmarkEnd w:id="14"/>
      <w:r>
        <w:rPr/>
      </w:r>
      <w:bookmarkStart w:name="_bookmark4" w:id="15"/>
      <w:bookmarkEnd w:id="15"/>
      <w:r>
        <w:rPr>
          <w:b w:val="0"/>
        </w:rPr>
        <w:t>He</w:t>
      </w:r>
      <w:r>
        <w:rPr>
          <w:b w:val="0"/>
        </w:rPr>
        <w:t> tirohanga Māori i te para me</w:t>
      </w:r>
      <w:r>
        <w:rPr>
          <w:b w:val="0"/>
          <w:spacing w:val="-10"/>
        </w:rPr>
        <w:t> </w:t>
      </w:r>
      <w:r>
        <w:rPr>
          <w:b w:val="0"/>
        </w:rPr>
        <w:t>hangarua</w:t>
      </w:r>
    </w:p>
    <w:p>
      <w:pPr>
        <w:pStyle w:val="BodyText"/>
        <w:spacing w:line="254" w:lineRule="auto" w:before="241"/>
        <w:ind w:left="560" w:right="114"/>
        <w:jc w:val="both"/>
      </w:pPr>
      <w:r>
        <w:rPr/>
        <w:t>He tirohanga Māori i te para me te mahi hangarua (Māori views on waste and recycling) emphasise whakapapa (genealogical) connections between humans and the natural world.</w:t>
      </w:r>
    </w:p>
    <w:p>
      <w:pPr>
        <w:pStyle w:val="BodyText"/>
        <w:spacing w:line="256" w:lineRule="auto" w:before="161"/>
        <w:ind w:left="560" w:right="118"/>
        <w:jc w:val="both"/>
      </w:pPr>
      <w:r>
        <w:rPr/>
        <w:t>The</w:t>
      </w:r>
      <w:r>
        <w:rPr>
          <w:spacing w:val="-10"/>
        </w:rPr>
        <w:t> </w:t>
      </w:r>
      <w:r>
        <w:rPr/>
        <w:t>respect</w:t>
      </w:r>
      <w:r>
        <w:rPr>
          <w:spacing w:val="-9"/>
        </w:rPr>
        <w:t> </w:t>
      </w:r>
      <w:r>
        <w:rPr/>
        <w:t>for</w:t>
      </w:r>
      <w:r>
        <w:rPr>
          <w:spacing w:val="-9"/>
        </w:rPr>
        <w:t> </w:t>
      </w:r>
      <w:r>
        <w:rPr/>
        <w:t>natural</w:t>
      </w:r>
      <w:r>
        <w:rPr>
          <w:spacing w:val="-9"/>
        </w:rPr>
        <w:t> </w:t>
      </w:r>
      <w:r>
        <w:rPr/>
        <w:t>resources</w:t>
      </w:r>
      <w:r>
        <w:rPr>
          <w:spacing w:val="-8"/>
        </w:rPr>
        <w:t> </w:t>
      </w:r>
      <w:r>
        <w:rPr/>
        <w:t>and</w:t>
      </w:r>
      <w:r>
        <w:rPr>
          <w:spacing w:val="-9"/>
        </w:rPr>
        <w:t> </w:t>
      </w:r>
      <w:r>
        <w:rPr/>
        <w:t>the</w:t>
      </w:r>
      <w:r>
        <w:rPr>
          <w:spacing w:val="-10"/>
        </w:rPr>
        <w:t> </w:t>
      </w:r>
      <w:r>
        <w:rPr/>
        <w:t>materials</w:t>
      </w:r>
      <w:r>
        <w:rPr>
          <w:spacing w:val="-8"/>
        </w:rPr>
        <w:t> </w:t>
      </w:r>
      <w:r>
        <w:rPr/>
        <w:t>made</w:t>
      </w:r>
      <w:r>
        <w:rPr>
          <w:spacing w:val="-8"/>
        </w:rPr>
        <w:t> </w:t>
      </w:r>
      <w:r>
        <w:rPr/>
        <w:t>from</w:t>
      </w:r>
      <w:r>
        <w:rPr>
          <w:spacing w:val="-10"/>
        </w:rPr>
        <w:t> </w:t>
      </w:r>
      <w:r>
        <w:rPr/>
        <w:t>them</w:t>
      </w:r>
      <w:r>
        <w:rPr>
          <w:spacing w:val="-8"/>
        </w:rPr>
        <w:t> </w:t>
      </w:r>
      <w:r>
        <w:rPr/>
        <w:t>is</w:t>
      </w:r>
      <w:r>
        <w:rPr>
          <w:spacing w:val="-8"/>
        </w:rPr>
        <w:t> </w:t>
      </w:r>
      <w:r>
        <w:rPr/>
        <w:t>demonstrated</w:t>
      </w:r>
      <w:r>
        <w:rPr>
          <w:spacing w:val="-9"/>
        </w:rPr>
        <w:t> </w:t>
      </w:r>
      <w:r>
        <w:rPr/>
        <w:t>by</w:t>
      </w:r>
      <w:r>
        <w:rPr>
          <w:spacing w:val="-6"/>
        </w:rPr>
        <w:t> </w:t>
      </w:r>
      <w:r>
        <w:rPr/>
        <w:t>maintaining</w:t>
      </w:r>
      <w:r>
        <w:rPr>
          <w:spacing w:val="-9"/>
        </w:rPr>
        <w:t> </w:t>
      </w:r>
      <w:r>
        <w:rPr/>
        <w:t>their</w:t>
      </w:r>
      <w:r>
        <w:rPr>
          <w:spacing w:val="-9"/>
        </w:rPr>
        <w:t> </w:t>
      </w:r>
      <w:r>
        <w:rPr/>
        <w:t>value for as long as possible before they reach the end of their life, at which point </w:t>
      </w:r>
      <w:r>
        <w:rPr>
          <w:spacing w:val="2"/>
        </w:rPr>
        <w:t>they </w:t>
      </w:r>
      <w:r>
        <w:rPr/>
        <w:t>are disposed of in a way </w:t>
      </w:r>
      <w:r>
        <w:rPr>
          <w:spacing w:val="9"/>
        </w:rPr>
        <w:t> </w:t>
      </w:r>
      <w:r>
        <w:rPr/>
        <w:t>that</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4" w:lineRule="auto" w:before="60"/>
        <w:ind w:left="560" w:right="129"/>
        <w:jc w:val="both"/>
      </w:pPr>
      <w:r>
        <w:rPr/>
        <w:t>causes the least harm to Papatūānuku. In this way, he tirohanga Māori i te para precedes the concept of a circular economy (ōhanga āmiomio) but similarly acknowledges the mauri (life force) of natural resources.</w:t>
      </w:r>
    </w:p>
    <w:p>
      <w:pPr>
        <w:pStyle w:val="Heading2"/>
        <w:numPr>
          <w:ilvl w:val="1"/>
          <w:numId w:val="7"/>
        </w:numPr>
        <w:tabs>
          <w:tab w:pos="2000" w:val="left" w:leader="none"/>
          <w:tab w:pos="2001" w:val="left" w:leader="none"/>
        </w:tabs>
        <w:spacing w:line="240" w:lineRule="auto" w:before="160" w:after="0"/>
        <w:ind w:left="2000" w:right="0" w:hanging="1080"/>
        <w:jc w:val="left"/>
        <w:rPr>
          <w:b w:val="0"/>
        </w:rPr>
      </w:pPr>
      <w:bookmarkStart w:name="2.3. Circular economy and zero waste " w:id="16"/>
      <w:bookmarkEnd w:id="16"/>
      <w:r>
        <w:rPr/>
      </w:r>
      <w:bookmarkStart w:name="_bookmark5" w:id="17"/>
      <w:bookmarkEnd w:id="17"/>
      <w:r>
        <w:rPr/>
      </w:r>
      <w:bookmarkStart w:name="_bookmark5" w:id="18"/>
      <w:bookmarkEnd w:id="18"/>
      <w:r>
        <w:rPr>
          <w:b w:val="0"/>
        </w:rPr>
        <w:t>C</w:t>
      </w:r>
      <w:r>
        <w:rPr>
          <w:b w:val="0"/>
        </w:rPr>
        <w:t>ircular economy and zero</w:t>
      </w:r>
      <w:r>
        <w:rPr>
          <w:b w:val="0"/>
          <w:spacing w:val="-17"/>
        </w:rPr>
        <w:t> </w:t>
      </w:r>
      <w:r>
        <w:rPr>
          <w:b w:val="0"/>
        </w:rPr>
        <w:t>waste</w:t>
      </w:r>
    </w:p>
    <w:p>
      <w:pPr>
        <w:pStyle w:val="BodyText"/>
        <w:spacing w:line="256" w:lineRule="auto" w:before="242"/>
        <w:ind w:left="560" w:right="113"/>
        <w:jc w:val="both"/>
      </w:pPr>
      <w:r>
        <w:rPr/>
        <w:t>In 2020, few disagree with the need for us to move towards a more Circular Economy and better outcomes for material use. The Ellen MacArthur Foundation describes a circular economy as “based on the principles of designing out waste and pollution, keeping products and materials in use, and regenerating natural systems”. In</w:t>
      </w:r>
      <w:r>
        <w:rPr>
          <w:spacing w:val="-4"/>
        </w:rPr>
        <w:t> </w:t>
      </w:r>
      <w:r>
        <w:rPr/>
        <w:t>Aotearoa</w:t>
      </w:r>
      <w:r>
        <w:rPr>
          <w:spacing w:val="-5"/>
        </w:rPr>
        <w:t> </w:t>
      </w:r>
      <w:r>
        <w:rPr/>
        <w:t>New</w:t>
      </w:r>
      <w:r>
        <w:rPr>
          <w:spacing w:val="-6"/>
        </w:rPr>
        <w:t> </w:t>
      </w:r>
      <w:r>
        <w:rPr/>
        <w:t>Zealand,</w:t>
      </w:r>
      <w:r>
        <w:rPr>
          <w:spacing w:val="-7"/>
        </w:rPr>
        <w:t> </w:t>
      </w:r>
      <w:r>
        <w:rPr/>
        <w:t>the</w:t>
      </w:r>
      <w:r>
        <w:rPr>
          <w:spacing w:val="-9"/>
        </w:rPr>
        <w:t> </w:t>
      </w:r>
      <w:r>
        <w:rPr/>
        <w:t>Ministry</w:t>
      </w:r>
      <w:r>
        <w:rPr>
          <w:spacing w:val="-4"/>
        </w:rPr>
        <w:t> </w:t>
      </w:r>
      <w:r>
        <w:rPr/>
        <w:t>for</w:t>
      </w:r>
      <w:r>
        <w:rPr>
          <w:spacing w:val="-5"/>
        </w:rPr>
        <w:t> </w:t>
      </w:r>
      <w:r>
        <w:rPr/>
        <w:t>the</w:t>
      </w:r>
      <w:r>
        <w:rPr>
          <w:spacing w:val="-9"/>
        </w:rPr>
        <w:t> </w:t>
      </w:r>
      <w:r>
        <w:rPr/>
        <w:t>Environment</w:t>
      </w:r>
      <w:r>
        <w:rPr>
          <w:spacing w:val="-7"/>
        </w:rPr>
        <w:t> </w:t>
      </w:r>
      <w:r>
        <w:rPr/>
        <w:t>has</w:t>
      </w:r>
      <w:r>
        <w:rPr>
          <w:spacing w:val="-4"/>
        </w:rPr>
        <w:t> </w:t>
      </w:r>
      <w:r>
        <w:rPr/>
        <w:t>adopted</w:t>
      </w:r>
      <w:r>
        <w:rPr>
          <w:spacing w:val="-5"/>
        </w:rPr>
        <w:t> </w:t>
      </w:r>
      <w:r>
        <w:rPr/>
        <w:t>the</w:t>
      </w:r>
      <w:r>
        <w:rPr>
          <w:spacing w:val="-2"/>
        </w:rPr>
        <w:t> </w:t>
      </w:r>
      <w:r>
        <w:rPr/>
        <w:t>circular</w:t>
      </w:r>
      <w:r>
        <w:rPr>
          <w:spacing w:val="-4"/>
        </w:rPr>
        <w:t> </w:t>
      </w:r>
      <w:r>
        <w:rPr/>
        <w:t>economy</w:t>
      </w:r>
      <w:r>
        <w:rPr>
          <w:spacing w:val="-5"/>
        </w:rPr>
        <w:t> </w:t>
      </w:r>
      <w:r>
        <w:rPr/>
        <w:t>as</w:t>
      </w:r>
      <w:r>
        <w:rPr>
          <w:spacing w:val="-4"/>
        </w:rPr>
        <w:t> </w:t>
      </w:r>
      <w:r>
        <w:rPr/>
        <w:t>a</w:t>
      </w:r>
      <w:r>
        <w:rPr>
          <w:spacing w:val="-7"/>
        </w:rPr>
        <w:t> </w:t>
      </w:r>
      <w:r>
        <w:rPr/>
        <w:t>key</w:t>
      </w:r>
      <w:r>
        <w:rPr>
          <w:spacing w:val="-7"/>
        </w:rPr>
        <w:t> </w:t>
      </w:r>
      <w:r>
        <w:rPr/>
        <w:t>principal in its approach to</w:t>
      </w:r>
      <w:r>
        <w:rPr>
          <w:spacing w:val="-7"/>
        </w:rPr>
        <w:t> </w:t>
      </w:r>
      <w:r>
        <w:rPr/>
        <w:t>waste.</w:t>
      </w:r>
    </w:p>
    <w:p>
      <w:pPr>
        <w:pStyle w:val="BodyText"/>
        <w:spacing w:line="256" w:lineRule="auto" w:before="159"/>
        <w:ind w:left="560" w:right="120"/>
        <w:jc w:val="both"/>
      </w:pPr>
      <w:r>
        <w:rPr/>
        <w:t>In</w:t>
      </w:r>
      <w:r>
        <w:rPr>
          <w:spacing w:val="-9"/>
        </w:rPr>
        <w:t> </w:t>
      </w:r>
      <w:r>
        <w:rPr/>
        <w:t>Europe,</w:t>
      </w:r>
      <w:r>
        <w:rPr>
          <w:spacing w:val="-10"/>
        </w:rPr>
        <w:t> </w:t>
      </w:r>
      <w:r>
        <w:rPr/>
        <w:t>the</w:t>
      </w:r>
      <w:r>
        <w:rPr>
          <w:spacing w:val="-10"/>
        </w:rPr>
        <w:t> </w:t>
      </w:r>
      <w:r>
        <w:rPr/>
        <w:t>European</w:t>
      </w:r>
      <w:r>
        <w:rPr>
          <w:spacing w:val="-9"/>
        </w:rPr>
        <w:t> </w:t>
      </w:r>
      <w:r>
        <w:rPr/>
        <w:t>Commission</w:t>
      </w:r>
      <w:r>
        <w:rPr>
          <w:spacing w:val="-9"/>
        </w:rPr>
        <w:t> </w:t>
      </w:r>
      <w:r>
        <w:rPr/>
        <w:t>adopted</w:t>
      </w:r>
      <w:r>
        <w:rPr>
          <w:spacing w:val="-10"/>
        </w:rPr>
        <w:t> </w:t>
      </w:r>
      <w:r>
        <w:rPr/>
        <w:t>a</w:t>
      </w:r>
      <w:r>
        <w:rPr>
          <w:spacing w:val="-12"/>
        </w:rPr>
        <w:t> </w:t>
      </w:r>
      <w:r>
        <w:rPr/>
        <w:t>Circular</w:t>
      </w:r>
      <w:r>
        <w:rPr>
          <w:spacing w:val="-10"/>
        </w:rPr>
        <w:t> </w:t>
      </w:r>
      <w:r>
        <w:rPr/>
        <w:t>Economic</w:t>
      </w:r>
      <w:r>
        <w:rPr>
          <w:spacing w:val="-11"/>
        </w:rPr>
        <w:t> </w:t>
      </w:r>
      <w:r>
        <w:rPr/>
        <w:t>Action</w:t>
      </w:r>
      <w:r>
        <w:rPr>
          <w:spacing w:val="-9"/>
        </w:rPr>
        <w:t> </w:t>
      </w:r>
      <w:r>
        <w:rPr/>
        <w:t>Plan</w:t>
      </w:r>
      <w:r>
        <w:rPr>
          <w:spacing w:val="-9"/>
        </w:rPr>
        <w:t> </w:t>
      </w:r>
      <w:r>
        <w:rPr/>
        <w:t>in</w:t>
      </w:r>
      <w:r>
        <w:rPr>
          <w:spacing w:val="-10"/>
        </w:rPr>
        <w:t> </w:t>
      </w:r>
      <w:r>
        <w:rPr/>
        <w:t>2015,</w:t>
      </w:r>
      <w:r>
        <w:rPr>
          <w:spacing w:val="-10"/>
        </w:rPr>
        <w:t> </w:t>
      </w:r>
      <w:r>
        <w:rPr/>
        <w:t>that</w:t>
      </w:r>
      <w:r>
        <w:rPr>
          <w:spacing w:val="-9"/>
        </w:rPr>
        <w:t> </w:t>
      </w:r>
      <w:r>
        <w:rPr/>
        <w:t>has</w:t>
      </w:r>
      <w:r>
        <w:rPr>
          <w:spacing w:val="-11"/>
        </w:rPr>
        <w:t> </w:t>
      </w:r>
      <w:r>
        <w:rPr/>
        <w:t>driven</w:t>
      </w:r>
      <w:r>
        <w:rPr>
          <w:spacing w:val="-10"/>
        </w:rPr>
        <w:t> </w:t>
      </w:r>
      <w:r>
        <w:rPr/>
        <w:t>economic development, the creation of new jobs, and an increase in</w:t>
      </w:r>
      <w:r>
        <w:rPr>
          <w:spacing w:val="-27"/>
        </w:rPr>
        <w:t> </w:t>
      </w:r>
      <w:r>
        <w:rPr/>
        <w:t>recycling.</w:t>
      </w:r>
    </w:p>
    <w:p>
      <w:pPr>
        <w:pStyle w:val="BodyText"/>
        <w:spacing w:line="256" w:lineRule="auto" w:before="158"/>
        <w:ind w:left="560" w:right="115"/>
        <w:jc w:val="both"/>
      </w:pPr>
      <w:r>
        <w:rPr/>
        <w:t>Before the circular economy was widely known as a concept in Aotearoa New Zealand, many local authorities had adopted a goal of zero waste to landfill. Popularised by the Zero Waste New Zealand Trust in the early 2000’s, by 2002 over half of the country’s local authorities had adopted a zero waste goal and the 2002 New Zealand</w:t>
      </w:r>
      <w:r>
        <w:rPr>
          <w:spacing w:val="-10"/>
        </w:rPr>
        <w:t> </w:t>
      </w:r>
      <w:r>
        <w:rPr/>
        <w:t>Waste</w:t>
      </w:r>
      <w:r>
        <w:rPr>
          <w:spacing w:val="-11"/>
        </w:rPr>
        <w:t> </w:t>
      </w:r>
      <w:r>
        <w:rPr/>
        <w:t>Strategy</w:t>
      </w:r>
      <w:r>
        <w:rPr>
          <w:spacing w:val="-10"/>
        </w:rPr>
        <w:t> </w:t>
      </w:r>
      <w:r>
        <w:rPr/>
        <w:t>set</w:t>
      </w:r>
      <w:r>
        <w:rPr>
          <w:spacing w:val="-8"/>
        </w:rPr>
        <w:t> </w:t>
      </w:r>
      <w:r>
        <w:rPr/>
        <w:t>targets</w:t>
      </w:r>
      <w:r>
        <w:rPr>
          <w:spacing w:val="-9"/>
        </w:rPr>
        <w:t> </w:t>
      </w:r>
      <w:r>
        <w:rPr/>
        <w:t>to</w:t>
      </w:r>
      <w:r>
        <w:rPr>
          <w:spacing w:val="-10"/>
        </w:rPr>
        <w:t> </w:t>
      </w:r>
      <w:r>
        <w:rPr/>
        <w:t>move</w:t>
      </w:r>
      <w:r>
        <w:rPr>
          <w:spacing w:val="-10"/>
        </w:rPr>
        <w:t> </w:t>
      </w:r>
      <w:r>
        <w:rPr/>
        <w:t>Aotearoa</w:t>
      </w:r>
      <w:r>
        <w:rPr>
          <w:spacing w:val="-10"/>
        </w:rPr>
        <w:t> </w:t>
      </w:r>
      <w:r>
        <w:rPr/>
        <w:t>New</w:t>
      </w:r>
      <w:r>
        <w:rPr>
          <w:spacing w:val="-11"/>
        </w:rPr>
        <w:t> </w:t>
      </w:r>
      <w:r>
        <w:rPr/>
        <w:t>Zealand</w:t>
      </w:r>
      <w:r>
        <w:rPr>
          <w:spacing w:val="-8"/>
        </w:rPr>
        <w:t> </w:t>
      </w:r>
      <w:r>
        <w:rPr/>
        <w:t>towards</w:t>
      </w:r>
      <w:r>
        <w:rPr>
          <w:spacing w:val="-9"/>
        </w:rPr>
        <w:t> </w:t>
      </w:r>
      <w:r>
        <w:rPr/>
        <w:t>‘zero</w:t>
      </w:r>
      <w:r>
        <w:rPr>
          <w:spacing w:val="-10"/>
        </w:rPr>
        <w:t> </w:t>
      </w:r>
      <w:r>
        <w:rPr/>
        <w:t>waste’.</w:t>
      </w:r>
      <w:r>
        <w:rPr>
          <w:spacing w:val="26"/>
        </w:rPr>
        <w:t> </w:t>
      </w:r>
      <w:r>
        <w:rPr/>
        <w:t>Many</w:t>
      </w:r>
      <w:r>
        <w:rPr>
          <w:spacing w:val="-9"/>
        </w:rPr>
        <w:t> </w:t>
      </w:r>
      <w:r>
        <w:rPr/>
        <w:t>local</w:t>
      </w:r>
      <w:r>
        <w:rPr>
          <w:spacing w:val="-10"/>
        </w:rPr>
        <w:t> </w:t>
      </w:r>
      <w:r>
        <w:rPr/>
        <w:t>authorities still retain a zero waste goal in their</w:t>
      </w:r>
      <w:r>
        <w:rPr>
          <w:spacing w:val="-12"/>
        </w:rPr>
        <w:t> </w:t>
      </w:r>
      <w:r>
        <w:rPr/>
        <w:t>WMMPs.</w:t>
      </w:r>
    </w:p>
    <w:p>
      <w:pPr>
        <w:pStyle w:val="BodyText"/>
        <w:spacing w:line="256" w:lineRule="auto" w:before="158"/>
        <w:ind w:left="560" w:right="122"/>
        <w:jc w:val="both"/>
      </w:pPr>
      <w:r>
        <w:rPr/>
        <w:t>The Zero Waste Network, an organisation representing community enterprises across Aotearoa New Zealand working towards zero waste, defines a zero waste world as: “one where resources are valued and nothing is wasted. The goal of zero waste is to minimise and ultimately eliminate waste.”</w:t>
      </w:r>
    </w:p>
    <w:p>
      <w:pPr>
        <w:pStyle w:val="BodyText"/>
        <w:spacing w:line="256" w:lineRule="auto" w:before="158"/>
        <w:ind w:left="560" w:right="117"/>
        <w:jc w:val="both"/>
      </w:pPr>
      <w:r>
        <w:rPr/>
        <w:t>It is important that the standardisation of kerbside collections assist in moving us towards a circular economy and a zero waste world.</w:t>
      </w:r>
    </w:p>
    <w:p>
      <w:pPr>
        <w:pStyle w:val="BodyText"/>
        <w:spacing w:line="256" w:lineRule="auto" w:before="158"/>
        <w:ind w:left="560" w:right="115"/>
        <w:jc w:val="both"/>
      </w:pPr>
      <w:r>
        <w:rPr/>
        <w:t>At the same time, we must remember that while kerbside organics and recycling collections provide an opportunity to recover materials that may otherwise be landfilled, composting and recycling are low on the waste hierarchy, and both a circular economy and zero waste require us to identify ways to reduce the generation of organic waste and the packaging waste that are currently recycled. While we want the best possible organics collections, recycling collections and residual rubbish collections, a reduction in waste materials must be our greater goal.</w:t>
      </w:r>
    </w:p>
    <w:p>
      <w:pPr>
        <w:pStyle w:val="Heading2"/>
        <w:numPr>
          <w:ilvl w:val="1"/>
          <w:numId w:val="7"/>
        </w:numPr>
        <w:tabs>
          <w:tab w:pos="2000" w:val="left" w:leader="none"/>
          <w:tab w:pos="2001" w:val="left" w:leader="none"/>
        </w:tabs>
        <w:spacing w:line="240" w:lineRule="auto" w:before="157" w:after="0"/>
        <w:ind w:left="2000" w:right="0" w:hanging="1080"/>
        <w:jc w:val="left"/>
        <w:rPr>
          <w:b w:val="0"/>
        </w:rPr>
      </w:pPr>
      <w:bookmarkStart w:name="2.4. Waste hierarchy " w:id="19"/>
      <w:bookmarkEnd w:id="19"/>
      <w:r>
        <w:rPr/>
      </w:r>
      <w:bookmarkStart w:name="_bookmark6" w:id="20"/>
      <w:bookmarkEnd w:id="20"/>
      <w:r>
        <w:rPr/>
      </w:r>
      <w:bookmarkStart w:name="_bookmark6" w:id="21"/>
      <w:bookmarkEnd w:id="21"/>
      <w:r>
        <w:rPr>
          <w:b w:val="0"/>
        </w:rPr>
        <w:t>Waste</w:t>
      </w:r>
      <w:r>
        <w:rPr>
          <w:b w:val="0"/>
          <w:spacing w:val="-7"/>
        </w:rPr>
        <w:t> </w:t>
      </w:r>
      <w:r>
        <w:rPr>
          <w:b w:val="0"/>
        </w:rPr>
        <w:t>hierarchy</w:t>
      </w:r>
    </w:p>
    <w:p>
      <w:pPr>
        <w:pStyle w:val="BodyText"/>
        <w:spacing w:line="254" w:lineRule="auto" w:before="242"/>
        <w:ind w:left="560" w:right="114"/>
        <w:jc w:val="both"/>
      </w:pPr>
      <w:r>
        <w:rPr/>
        <w:t>Within the scope of this project, waste management includes three waste streams from households: organics, recycling and residual rubbish.</w:t>
      </w:r>
    </w:p>
    <w:p>
      <w:pPr>
        <w:pStyle w:val="BodyText"/>
        <w:spacing w:line="256" w:lineRule="auto" w:before="161"/>
        <w:ind w:left="560" w:right="118"/>
        <w:jc w:val="both"/>
      </w:pPr>
      <w:r>
        <w:rPr/>
        <w:t>The waste hierarchy is central to the management of these waste streams. Significantly, composting, recycling and landfilling are the three least desirable methods for managing materials based on the waste hierarchy.</w:t>
      </w:r>
    </w:p>
    <w:p>
      <w:pPr>
        <w:pStyle w:val="BodyText"/>
        <w:spacing w:line="254" w:lineRule="auto" w:before="158"/>
        <w:ind w:left="560" w:right="128"/>
        <w:jc w:val="both"/>
      </w:pPr>
      <w:r>
        <w:rPr/>
        <w:t>Reducing (or refusing) the use of materials, reusing, repairing, and repurposing are better outcomes, resulting in a lower resource use and a lower environmental impact.</w:t>
      </w:r>
    </w:p>
    <w:p>
      <w:pPr>
        <w:pStyle w:val="BodyText"/>
        <w:spacing w:line="254" w:lineRule="auto" w:before="163"/>
        <w:ind w:left="560" w:right="128"/>
        <w:jc w:val="both"/>
      </w:pPr>
      <w:r>
        <w:rPr/>
        <w:t>However,</w:t>
      </w:r>
      <w:r>
        <w:rPr>
          <w:spacing w:val="-10"/>
        </w:rPr>
        <w:t> </w:t>
      </w:r>
      <w:r>
        <w:rPr/>
        <w:t>for</w:t>
      </w:r>
      <w:r>
        <w:rPr>
          <w:spacing w:val="-12"/>
        </w:rPr>
        <w:t> </w:t>
      </w:r>
      <w:r>
        <w:rPr/>
        <w:t>the</w:t>
      </w:r>
      <w:r>
        <w:rPr>
          <w:spacing w:val="-11"/>
        </w:rPr>
        <w:t> </w:t>
      </w:r>
      <w:r>
        <w:rPr/>
        <w:t>forseeable</w:t>
      </w:r>
      <w:r>
        <w:rPr>
          <w:spacing w:val="-11"/>
        </w:rPr>
        <w:t> </w:t>
      </w:r>
      <w:r>
        <w:rPr/>
        <w:t>future,</w:t>
      </w:r>
      <w:r>
        <w:rPr>
          <w:spacing w:val="-11"/>
        </w:rPr>
        <w:t> </w:t>
      </w:r>
      <w:r>
        <w:rPr/>
        <w:t>local</w:t>
      </w:r>
      <w:r>
        <w:rPr>
          <w:spacing w:val="-12"/>
        </w:rPr>
        <w:t> </w:t>
      </w:r>
      <w:r>
        <w:rPr/>
        <w:t>authorities</w:t>
      </w:r>
      <w:r>
        <w:rPr>
          <w:spacing w:val="-11"/>
        </w:rPr>
        <w:t> </w:t>
      </w:r>
      <w:r>
        <w:rPr/>
        <w:t>will</w:t>
      </w:r>
      <w:r>
        <w:rPr>
          <w:spacing w:val="-12"/>
        </w:rPr>
        <w:t> </w:t>
      </w:r>
      <w:r>
        <w:rPr/>
        <w:t>be</w:t>
      </w:r>
      <w:r>
        <w:rPr>
          <w:spacing w:val="-11"/>
        </w:rPr>
        <w:t> </w:t>
      </w:r>
      <w:r>
        <w:rPr/>
        <w:t>required</w:t>
      </w:r>
      <w:r>
        <w:rPr>
          <w:spacing w:val="-11"/>
        </w:rPr>
        <w:t> </w:t>
      </w:r>
      <w:r>
        <w:rPr/>
        <w:t>to</w:t>
      </w:r>
      <w:r>
        <w:rPr>
          <w:spacing w:val="-11"/>
        </w:rPr>
        <w:t> </w:t>
      </w:r>
      <w:r>
        <w:rPr/>
        <w:t>manage</w:t>
      </w:r>
      <w:r>
        <w:rPr>
          <w:spacing w:val="-12"/>
        </w:rPr>
        <w:t> </w:t>
      </w:r>
      <w:r>
        <w:rPr/>
        <w:t>significant</w:t>
      </w:r>
      <w:r>
        <w:rPr>
          <w:spacing w:val="-11"/>
        </w:rPr>
        <w:t> </w:t>
      </w:r>
      <w:r>
        <w:rPr/>
        <w:t>quanities</w:t>
      </w:r>
      <w:r>
        <w:rPr>
          <w:spacing w:val="-11"/>
        </w:rPr>
        <w:t> </w:t>
      </w:r>
      <w:r>
        <w:rPr/>
        <w:t>of</w:t>
      </w:r>
      <w:r>
        <w:rPr>
          <w:spacing w:val="-12"/>
        </w:rPr>
        <w:t> </w:t>
      </w:r>
      <w:r>
        <w:rPr/>
        <w:t>materials that are being processed through composting or recycling or disposed of to</w:t>
      </w:r>
      <w:r>
        <w:rPr>
          <w:spacing w:val="-24"/>
        </w:rPr>
        <w:t> </w:t>
      </w:r>
      <w:r>
        <w:rPr/>
        <w:t>landfill.</w:t>
      </w:r>
    </w:p>
    <w:p>
      <w:pPr>
        <w:pStyle w:val="BodyText"/>
        <w:spacing w:line="256" w:lineRule="auto" w:before="161"/>
        <w:ind w:left="560" w:right="117"/>
        <w:jc w:val="both"/>
      </w:pPr>
      <w:r>
        <w:rPr/>
        <w:t>Therefore, we must ensure that composting, recycling and landfilling are undertaken in the most effective and environmentally sound manner, and that composting (or anaerobic digestion) and recycling are providing a quality resource that can be reused and ‘close the loop’ of materials use.</w:t>
      </w:r>
    </w:p>
    <w:p>
      <w:pPr>
        <w:spacing w:after="0" w:line="256" w:lineRule="auto"/>
        <w:jc w:val="both"/>
        <w:sectPr>
          <w:footerReference w:type="default" r:id="rId8"/>
          <w:pgSz w:w="11910" w:h="16840"/>
          <w:pgMar w:footer="698" w:header="576" w:top="1140" w:bottom="880" w:left="880" w:right="1320"/>
        </w:sectPr>
      </w:pPr>
    </w:p>
    <w:p>
      <w:pPr>
        <w:pStyle w:val="BodyText"/>
      </w:pPr>
    </w:p>
    <w:p>
      <w:pPr>
        <w:pStyle w:val="BodyText"/>
      </w:pPr>
    </w:p>
    <w:p>
      <w:pPr>
        <w:pStyle w:val="BodyText"/>
        <w:spacing w:before="3" w:after="1"/>
        <w:rPr>
          <w:sz w:val="14"/>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62"/>
        <w:gridCol w:w="5392"/>
      </w:tblGrid>
      <w:tr>
        <w:trPr>
          <w:trHeight w:val="3639" w:hRule="exact"/>
        </w:trPr>
        <w:tc>
          <w:tcPr>
            <w:tcW w:w="5462" w:type="dxa"/>
          </w:tcPr>
          <w:p>
            <w:pPr>
              <w:pStyle w:val="TableParagraph"/>
              <w:ind w:left="200"/>
              <w:rPr>
                <w:sz w:val="20"/>
              </w:rPr>
            </w:pPr>
            <w:r>
              <w:rPr>
                <w:sz w:val="20"/>
              </w:rPr>
              <w:drawing>
                <wp:inline distT="0" distB="0" distL="0" distR="0">
                  <wp:extent cx="3243017" cy="2292286"/>
                  <wp:effectExtent l="0" t="0" r="0" b="0"/>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0" cstate="print"/>
                          <a:stretch>
                            <a:fillRect/>
                          </a:stretch>
                        </pic:blipFill>
                        <pic:spPr>
                          <a:xfrm>
                            <a:off x="0" y="0"/>
                            <a:ext cx="3243017" cy="2292286"/>
                          </a:xfrm>
                          <a:prstGeom prst="rect">
                            <a:avLst/>
                          </a:prstGeom>
                        </pic:spPr>
                      </pic:pic>
                    </a:graphicData>
                  </a:graphic>
                </wp:inline>
              </w:drawing>
            </w:r>
            <w:r>
              <w:rPr>
                <w:sz w:val="20"/>
              </w:rPr>
            </w:r>
          </w:p>
        </w:tc>
        <w:tc>
          <w:tcPr>
            <w:tcW w:w="5392" w:type="dxa"/>
          </w:tcPr>
          <w:p>
            <w:pPr>
              <w:pStyle w:val="TableParagraph"/>
              <w:ind w:left="114"/>
              <w:rPr>
                <w:sz w:val="20"/>
              </w:rPr>
            </w:pPr>
            <w:r>
              <w:rPr>
                <w:sz w:val="20"/>
              </w:rPr>
              <w:drawing>
                <wp:inline distT="0" distB="0" distL="0" distR="0">
                  <wp:extent cx="3192009" cy="2256281"/>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1" cstate="print"/>
                          <a:stretch>
                            <a:fillRect/>
                          </a:stretch>
                        </pic:blipFill>
                        <pic:spPr>
                          <a:xfrm>
                            <a:off x="0" y="0"/>
                            <a:ext cx="3192009" cy="2256281"/>
                          </a:xfrm>
                          <a:prstGeom prst="rect">
                            <a:avLst/>
                          </a:prstGeom>
                        </pic:spPr>
                      </pic:pic>
                    </a:graphicData>
                  </a:graphic>
                </wp:inline>
              </w:drawing>
            </w:r>
            <w:r>
              <w:rPr>
                <w:sz w:val="20"/>
              </w:rPr>
            </w:r>
          </w:p>
        </w:tc>
      </w:tr>
    </w:tbl>
    <w:p>
      <w:pPr>
        <w:pStyle w:val="BodyText"/>
        <w:spacing w:before="7"/>
        <w:rPr>
          <w:sz w:val="8"/>
        </w:rPr>
      </w:pPr>
    </w:p>
    <w:p>
      <w:pPr>
        <w:pStyle w:val="Heading2"/>
        <w:numPr>
          <w:ilvl w:val="1"/>
          <w:numId w:val="7"/>
        </w:numPr>
        <w:tabs>
          <w:tab w:pos="2220" w:val="left" w:leader="none"/>
          <w:tab w:pos="2221" w:val="left" w:leader="none"/>
        </w:tabs>
        <w:spacing w:line="240" w:lineRule="auto" w:before="35" w:after="0"/>
        <w:ind w:left="2220" w:right="0" w:hanging="1080"/>
        <w:jc w:val="left"/>
        <w:rPr>
          <w:b w:val="0"/>
        </w:rPr>
      </w:pPr>
      <w:bookmarkStart w:name="2.5. Waste levy and a Container Return S" w:id="22"/>
      <w:bookmarkEnd w:id="22"/>
      <w:r>
        <w:rPr/>
      </w:r>
      <w:bookmarkStart w:name="_bookmark7" w:id="23"/>
      <w:bookmarkEnd w:id="23"/>
      <w:r>
        <w:rPr/>
      </w:r>
      <w:bookmarkStart w:name="_bookmark7" w:id="24"/>
      <w:bookmarkEnd w:id="24"/>
      <w:r>
        <w:rPr>
          <w:b w:val="0"/>
        </w:rPr>
        <w:t>Waste</w:t>
      </w:r>
      <w:r>
        <w:rPr>
          <w:b w:val="0"/>
        </w:rPr>
        <w:t> levy and a Container Return</w:t>
      </w:r>
      <w:r>
        <w:rPr>
          <w:b w:val="0"/>
          <w:spacing w:val="-14"/>
        </w:rPr>
        <w:t> </w:t>
      </w:r>
      <w:r>
        <w:rPr>
          <w:b w:val="0"/>
        </w:rPr>
        <w:t>Scheme</w:t>
      </w:r>
    </w:p>
    <w:p>
      <w:pPr>
        <w:pStyle w:val="BodyText"/>
        <w:spacing w:before="241"/>
        <w:ind w:left="780"/>
        <w:jc w:val="both"/>
      </w:pPr>
      <w:r>
        <w:rPr/>
        <w:t>Two important pieces of work are currently underway that could impact on kerbside recycling.</w:t>
      </w:r>
    </w:p>
    <w:p>
      <w:pPr>
        <w:pStyle w:val="BodyText"/>
        <w:spacing w:line="256" w:lineRule="auto" w:before="175"/>
        <w:ind w:left="780" w:right="1273"/>
        <w:jc w:val="both"/>
      </w:pPr>
      <w:r>
        <w:rPr/>
        <w:t>The first is the expansion and increase of the waste levy. The waste levy is a key incentive for diverting waste away</w:t>
      </w:r>
      <w:r>
        <w:rPr>
          <w:spacing w:val="-6"/>
        </w:rPr>
        <w:t> </w:t>
      </w:r>
      <w:r>
        <w:rPr/>
        <w:t>from</w:t>
      </w:r>
      <w:r>
        <w:rPr>
          <w:spacing w:val="-9"/>
        </w:rPr>
        <w:t> </w:t>
      </w:r>
      <w:r>
        <w:rPr/>
        <w:t>landfill</w:t>
      </w:r>
      <w:r>
        <w:rPr>
          <w:spacing w:val="-8"/>
        </w:rPr>
        <w:t> </w:t>
      </w:r>
      <w:r>
        <w:rPr/>
        <w:t>to</w:t>
      </w:r>
      <w:r>
        <w:rPr>
          <w:spacing w:val="-7"/>
        </w:rPr>
        <w:t> </w:t>
      </w:r>
      <w:r>
        <w:rPr/>
        <w:t>recycling</w:t>
      </w:r>
      <w:r>
        <w:rPr>
          <w:spacing w:val="-8"/>
        </w:rPr>
        <w:t> </w:t>
      </w:r>
      <w:r>
        <w:rPr/>
        <w:t>and</w:t>
      </w:r>
      <w:r>
        <w:rPr>
          <w:spacing w:val="-9"/>
        </w:rPr>
        <w:t> </w:t>
      </w:r>
      <w:r>
        <w:rPr/>
        <w:t>composting</w:t>
      </w:r>
      <w:r>
        <w:rPr>
          <w:spacing w:val="-6"/>
        </w:rPr>
        <w:t> </w:t>
      </w:r>
      <w:r>
        <w:rPr/>
        <w:t>and</w:t>
      </w:r>
      <w:r>
        <w:rPr>
          <w:spacing w:val="-10"/>
        </w:rPr>
        <w:t> </w:t>
      </w:r>
      <w:r>
        <w:rPr/>
        <w:t>provides</w:t>
      </w:r>
      <w:r>
        <w:rPr>
          <w:spacing w:val="-9"/>
        </w:rPr>
        <w:t> </w:t>
      </w:r>
      <w:r>
        <w:rPr/>
        <w:t>valuable</w:t>
      </w:r>
      <w:r>
        <w:rPr>
          <w:spacing w:val="-9"/>
        </w:rPr>
        <w:t> </w:t>
      </w:r>
      <w:r>
        <w:rPr/>
        <w:t>revenue</w:t>
      </w:r>
      <w:r>
        <w:rPr>
          <w:spacing w:val="-9"/>
        </w:rPr>
        <w:t> </w:t>
      </w:r>
      <w:r>
        <w:rPr/>
        <w:t>for</w:t>
      </w:r>
      <w:r>
        <w:rPr>
          <w:spacing w:val="-10"/>
        </w:rPr>
        <w:t> </w:t>
      </w:r>
      <w:r>
        <w:rPr/>
        <w:t>local</w:t>
      </w:r>
      <w:r>
        <w:rPr>
          <w:spacing w:val="-8"/>
        </w:rPr>
        <w:t> </w:t>
      </w:r>
      <w:r>
        <w:rPr/>
        <w:t>authorities</w:t>
      </w:r>
      <w:r>
        <w:rPr>
          <w:spacing w:val="-7"/>
        </w:rPr>
        <w:t> </w:t>
      </w:r>
      <w:r>
        <w:rPr/>
        <w:t>to</w:t>
      </w:r>
      <w:r>
        <w:rPr>
          <w:spacing w:val="-7"/>
        </w:rPr>
        <w:t> </w:t>
      </w:r>
      <w:r>
        <w:rPr/>
        <w:t>implement their WMMPs. A cabinet decision on the consultation carried out on this piece of work is expected in 2020. If the</w:t>
      </w:r>
      <w:r>
        <w:rPr>
          <w:spacing w:val="-10"/>
        </w:rPr>
        <w:t> </w:t>
      </w:r>
      <w:r>
        <w:rPr/>
        <w:t>recommendations</w:t>
      </w:r>
      <w:r>
        <w:rPr>
          <w:spacing w:val="-8"/>
        </w:rPr>
        <w:t> </w:t>
      </w:r>
      <w:r>
        <w:rPr/>
        <w:t>for</w:t>
      </w:r>
      <w:r>
        <w:rPr>
          <w:spacing w:val="-9"/>
        </w:rPr>
        <w:t> </w:t>
      </w:r>
      <w:r>
        <w:rPr/>
        <w:t>increasing</w:t>
      </w:r>
      <w:r>
        <w:rPr>
          <w:spacing w:val="-9"/>
        </w:rPr>
        <w:t> </w:t>
      </w:r>
      <w:r>
        <w:rPr/>
        <w:t>and</w:t>
      </w:r>
      <w:r>
        <w:rPr>
          <w:spacing w:val="-9"/>
        </w:rPr>
        <w:t> </w:t>
      </w:r>
      <w:r>
        <w:rPr/>
        <w:t>expanding</w:t>
      </w:r>
      <w:r>
        <w:rPr>
          <w:spacing w:val="-9"/>
        </w:rPr>
        <w:t> </w:t>
      </w:r>
      <w:r>
        <w:rPr/>
        <w:t>the</w:t>
      </w:r>
      <w:r>
        <w:rPr>
          <w:spacing w:val="-10"/>
        </w:rPr>
        <w:t> </w:t>
      </w:r>
      <w:r>
        <w:rPr/>
        <w:t>levy</w:t>
      </w:r>
      <w:r>
        <w:rPr>
          <w:spacing w:val="-11"/>
        </w:rPr>
        <w:t> </w:t>
      </w:r>
      <w:r>
        <w:rPr/>
        <w:t>are</w:t>
      </w:r>
      <w:r>
        <w:rPr>
          <w:spacing w:val="-10"/>
        </w:rPr>
        <w:t> </w:t>
      </w:r>
      <w:r>
        <w:rPr/>
        <w:t>implemented,</w:t>
      </w:r>
      <w:r>
        <w:rPr>
          <w:spacing w:val="-9"/>
        </w:rPr>
        <w:t> </w:t>
      </w:r>
      <w:r>
        <w:rPr/>
        <w:t>local</w:t>
      </w:r>
      <w:r>
        <w:rPr>
          <w:spacing w:val="-9"/>
        </w:rPr>
        <w:t> </w:t>
      </w:r>
      <w:r>
        <w:rPr/>
        <w:t>authorities</w:t>
      </w:r>
      <w:r>
        <w:rPr>
          <w:spacing w:val="-7"/>
        </w:rPr>
        <w:t> </w:t>
      </w:r>
      <w:r>
        <w:rPr/>
        <w:t>may</w:t>
      </w:r>
      <w:r>
        <w:rPr>
          <w:spacing w:val="-8"/>
        </w:rPr>
        <w:t> </w:t>
      </w:r>
      <w:r>
        <w:rPr/>
        <w:t>have</w:t>
      </w:r>
      <w:r>
        <w:rPr>
          <w:spacing w:val="-10"/>
        </w:rPr>
        <w:t> </w:t>
      </w:r>
      <w:r>
        <w:rPr/>
        <w:t>access to increased funding from the waste levy in order to achieve waste minimisation. This could include upgrading or improving kerbside recycling</w:t>
      </w:r>
      <w:r>
        <w:rPr>
          <w:spacing w:val="-11"/>
        </w:rPr>
        <w:t> </w:t>
      </w:r>
      <w:r>
        <w:rPr/>
        <w:t>systems.</w:t>
      </w:r>
    </w:p>
    <w:p>
      <w:pPr>
        <w:pStyle w:val="BodyText"/>
        <w:spacing w:line="256" w:lineRule="auto" w:before="161"/>
        <w:ind w:left="780" w:right="1274"/>
        <w:jc w:val="both"/>
      </w:pPr>
      <w:r>
        <w:rPr/>
        <w:t>The co-design of a Container Return Scheme (CRS) is also well underway and the final report on recommendations for the design of this scheme is due in September 2020. If implemented, a CRS is expected  to have some impact on the amount and composition of beverage container recyclate collected at kerbside but also to improve the overall quality of recyclate. Any changes to kerbside collection systems need to consider some flexibility in order to incorporate changes in quantities of recyclate set out at kerbside that could result from the implementation of a</w:t>
      </w:r>
      <w:r>
        <w:rPr>
          <w:spacing w:val="-15"/>
        </w:rPr>
        <w:t> </w:t>
      </w:r>
      <w:r>
        <w:rPr/>
        <w:t>CRS.</w:t>
      </w:r>
    </w:p>
    <w:p>
      <w:pPr>
        <w:pStyle w:val="Heading2"/>
        <w:numPr>
          <w:ilvl w:val="1"/>
          <w:numId w:val="7"/>
        </w:numPr>
        <w:tabs>
          <w:tab w:pos="2220" w:val="left" w:leader="none"/>
          <w:tab w:pos="2221" w:val="left" w:leader="none"/>
        </w:tabs>
        <w:spacing w:line="240" w:lineRule="auto" w:before="157" w:after="0"/>
        <w:ind w:left="2220" w:right="0" w:hanging="1080"/>
        <w:jc w:val="left"/>
        <w:rPr>
          <w:b w:val="0"/>
        </w:rPr>
      </w:pPr>
      <w:bookmarkStart w:name="2.6. Export restrictions " w:id="25"/>
      <w:bookmarkEnd w:id="25"/>
      <w:r>
        <w:rPr/>
      </w:r>
      <w:bookmarkStart w:name="_bookmark8" w:id="26"/>
      <w:bookmarkEnd w:id="26"/>
      <w:r>
        <w:rPr/>
      </w:r>
      <w:bookmarkStart w:name="_bookmark8" w:id="27"/>
      <w:bookmarkEnd w:id="27"/>
      <w:r>
        <w:rPr>
          <w:b w:val="0"/>
        </w:rPr>
        <w:t>Export</w:t>
      </w:r>
      <w:r>
        <w:rPr>
          <w:b w:val="0"/>
          <w:spacing w:val="-7"/>
        </w:rPr>
        <w:t> </w:t>
      </w:r>
      <w:r>
        <w:rPr>
          <w:b w:val="0"/>
        </w:rPr>
        <w:t>restrictions</w:t>
      </w:r>
    </w:p>
    <w:p>
      <w:pPr>
        <w:pStyle w:val="BodyText"/>
        <w:spacing w:line="254" w:lineRule="auto" w:before="242"/>
        <w:ind w:left="780" w:right="1277"/>
        <w:jc w:val="both"/>
      </w:pPr>
      <w:r>
        <w:rPr/>
        <w:t>It has become increasingly difficult to find export markets for recyclate, due to restrictions from importing countries and changes to international agreements.</w:t>
      </w:r>
    </w:p>
    <w:p>
      <w:pPr>
        <w:pStyle w:val="BodyText"/>
        <w:spacing w:line="256" w:lineRule="auto" w:before="164"/>
        <w:ind w:left="780" w:right="1274"/>
        <w:jc w:val="both"/>
      </w:pPr>
      <w:r>
        <w:rPr/>
        <w:t>In</w:t>
      </w:r>
      <w:r>
        <w:rPr>
          <w:spacing w:val="-12"/>
        </w:rPr>
        <w:t> </w:t>
      </w:r>
      <w:r>
        <w:rPr/>
        <w:t>2018,</w:t>
      </w:r>
      <w:r>
        <w:rPr>
          <w:spacing w:val="-12"/>
        </w:rPr>
        <w:t> </w:t>
      </w:r>
      <w:r>
        <w:rPr/>
        <w:t>the</w:t>
      </w:r>
      <w:r>
        <w:rPr>
          <w:spacing w:val="-13"/>
        </w:rPr>
        <w:t> </w:t>
      </w:r>
      <w:r>
        <w:rPr/>
        <w:t>China</w:t>
      </w:r>
      <w:r>
        <w:rPr>
          <w:spacing w:val="-12"/>
        </w:rPr>
        <w:t> </w:t>
      </w:r>
      <w:r>
        <w:rPr/>
        <w:t>National</w:t>
      </w:r>
      <w:r>
        <w:rPr>
          <w:spacing w:val="-12"/>
        </w:rPr>
        <w:t> </w:t>
      </w:r>
      <w:r>
        <w:rPr/>
        <w:t>Sword</w:t>
      </w:r>
      <w:r>
        <w:rPr>
          <w:spacing w:val="-10"/>
        </w:rPr>
        <w:t> </w:t>
      </w:r>
      <w:r>
        <w:rPr/>
        <w:t>dramatically</w:t>
      </w:r>
      <w:r>
        <w:rPr>
          <w:spacing w:val="-12"/>
        </w:rPr>
        <w:t> </w:t>
      </w:r>
      <w:r>
        <w:rPr/>
        <w:t>decreased</w:t>
      </w:r>
      <w:r>
        <w:rPr>
          <w:spacing w:val="-12"/>
        </w:rPr>
        <w:t> </w:t>
      </w:r>
      <w:r>
        <w:rPr/>
        <w:t>the</w:t>
      </w:r>
      <w:r>
        <w:rPr>
          <w:spacing w:val="-13"/>
        </w:rPr>
        <w:t> </w:t>
      </w:r>
      <w:r>
        <w:rPr/>
        <w:t>tolerance</w:t>
      </w:r>
      <w:r>
        <w:rPr>
          <w:spacing w:val="-11"/>
        </w:rPr>
        <w:t> </w:t>
      </w:r>
      <w:r>
        <w:rPr/>
        <w:t>for</w:t>
      </w:r>
      <w:r>
        <w:rPr>
          <w:spacing w:val="-13"/>
        </w:rPr>
        <w:t> </w:t>
      </w:r>
      <w:r>
        <w:rPr/>
        <w:t>contamination</w:t>
      </w:r>
      <w:r>
        <w:rPr>
          <w:spacing w:val="-11"/>
        </w:rPr>
        <w:t> </w:t>
      </w:r>
      <w:r>
        <w:rPr/>
        <w:t>in</w:t>
      </w:r>
      <w:r>
        <w:rPr>
          <w:spacing w:val="-12"/>
        </w:rPr>
        <w:t> </w:t>
      </w:r>
      <w:r>
        <w:rPr/>
        <w:t>materials</w:t>
      </w:r>
      <w:r>
        <w:rPr>
          <w:spacing w:val="-11"/>
        </w:rPr>
        <w:t> </w:t>
      </w:r>
      <w:r>
        <w:rPr/>
        <w:t>imported into China for recycling. As the low quality materials were redirected towards other markets, other importing countries have since implemented their own importation restrictions, making it increasingly difficult for local authorities and contractors to find markets for some materials, particularly low quality, low value plastic packaging such as packaging made from plastics 3, 4, 6 and</w:t>
      </w:r>
      <w:r>
        <w:rPr>
          <w:spacing w:val="-16"/>
        </w:rPr>
        <w:t> </w:t>
      </w:r>
      <w:r>
        <w:rPr>
          <w:spacing w:val="2"/>
        </w:rPr>
        <w:t>7.</w:t>
      </w:r>
    </w:p>
    <w:p>
      <w:pPr>
        <w:pStyle w:val="BodyText"/>
        <w:spacing w:line="256" w:lineRule="auto" w:before="159"/>
        <w:ind w:left="780" w:right="1277"/>
        <w:jc w:val="both"/>
      </w:pPr>
      <w:r>
        <w:rPr/>
        <w:t>On 1 January 2021, new international requirements under the Basel Convention for the trade in plastic waste will come into effect. The Basel Convention is a United Nations Environment Programme (UNEP) initiated agreement that came into force in 1992. It aims to “protect human health and the environment against the adverse effects resulting from the generation, transboundary movements and management of hazardous wastes and other wastes” (Basel Convention. 2020).</w:t>
      </w:r>
    </w:p>
    <w:p>
      <w:pPr>
        <w:pStyle w:val="BodyText"/>
        <w:spacing w:line="256" w:lineRule="auto" w:before="159"/>
        <w:ind w:left="780" w:right="1283"/>
        <w:jc w:val="both"/>
      </w:pPr>
      <w:r>
        <w:rPr/>
        <w:t>Under</w:t>
      </w:r>
      <w:r>
        <w:rPr>
          <w:spacing w:val="-10"/>
        </w:rPr>
        <w:t> </w:t>
      </w:r>
      <w:r>
        <w:rPr/>
        <w:t>the</w:t>
      </w:r>
      <w:r>
        <w:rPr>
          <w:spacing w:val="-9"/>
        </w:rPr>
        <w:t> </w:t>
      </w:r>
      <w:r>
        <w:rPr/>
        <w:t>Basel</w:t>
      </w:r>
      <w:r>
        <w:rPr>
          <w:spacing w:val="-10"/>
        </w:rPr>
        <w:t> </w:t>
      </w:r>
      <w:r>
        <w:rPr/>
        <w:t>Convention</w:t>
      </w:r>
      <w:r>
        <w:rPr>
          <w:spacing w:val="-10"/>
        </w:rPr>
        <w:t> </w:t>
      </w:r>
      <w:r>
        <w:rPr/>
        <w:t>any</w:t>
      </w:r>
      <w:r>
        <w:rPr>
          <w:spacing w:val="-9"/>
        </w:rPr>
        <w:t> </w:t>
      </w:r>
      <w:r>
        <w:rPr/>
        <w:t>waste</w:t>
      </w:r>
      <w:r>
        <w:rPr>
          <w:spacing w:val="-10"/>
        </w:rPr>
        <w:t> </w:t>
      </w:r>
      <w:r>
        <w:rPr/>
        <w:t>defined</w:t>
      </w:r>
      <w:r>
        <w:rPr>
          <w:spacing w:val="-10"/>
        </w:rPr>
        <w:t> </w:t>
      </w:r>
      <w:r>
        <w:rPr/>
        <w:t>as</w:t>
      </w:r>
      <w:r>
        <w:rPr>
          <w:spacing w:val="-8"/>
        </w:rPr>
        <w:t> </w:t>
      </w:r>
      <w:r>
        <w:rPr/>
        <w:t>hazardous</w:t>
      </w:r>
      <w:r>
        <w:rPr>
          <w:spacing w:val="-9"/>
        </w:rPr>
        <w:t> </w:t>
      </w:r>
      <w:r>
        <w:rPr/>
        <w:t>requires</w:t>
      </w:r>
      <w:r>
        <w:rPr>
          <w:spacing w:val="-9"/>
        </w:rPr>
        <w:t> </w:t>
      </w:r>
      <w:r>
        <w:rPr/>
        <w:t>a</w:t>
      </w:r>
      <w:r>
        <w:rPr>
          <w:spacing w:val="-10"/>
        </w:rPr>
        <w:t> </w:t>
      </w:r>
      <w:r>
        <w:rPr/>
        <w:t>permit</w:t>
      </w:r>
      <w:r>
        <w:rPr>
          <w:spacing w:val="-10"/>
        </w:rPr>
        <w:t> </w:t>
      </w:r>
      <w:r>
        <w:rPr/>
        <w:t>for</w:t>
      </w:r>
      <w:r>
        <w:rPr>
          <w:spacing w:val="-8"/>
        </w:rPr>
        <w:t> </w:t>
      </w:r>
      <w:r>
        <w:rPr/>
        <w:t>export</w:t>
      </w:r>
      <w:r>
        <w:rPr>
          <w:spacing w:val="-7"/>
        </w:rPr>
        <w:t> </w:t>
      </w:r>
      <w:r>
        <w:rPr/>
        <w:t>and</w:t>
      </w:r>
      <w:r>
        <w:rPr>
          <w:spacing w:val="-10"/>
        </w:rPr>
        <w:t> </w:t>
      </w:r>
      <w:r>
        <w:rPr/>
        <w:t>any</w:t>
      </w:r>
      <w:r>
        <w:rPr>
          <w:spacing w:val="-9"/>
        </w:rPr>
        <w:t> </w:t>
      </w:r>
      <w:r>
        <w:rPr/>
        <w:t>exports</w:t>
      </w:r>
      <w:r>
        <w:rPr>
          <w:spacing w:val="-9"/>
        </w:rPr>
        <w:t> </w:t>
      </w:r>
      <w:r>
        <w:rPr/>
        <w:t>to</w:t>
      </w:r>
      <w:r>
        <w:rPr>
          <w:spacing w:val="-10"/>
        </w:rPr>
        <w:t> </w:t>
      </w:r>
      <w:r>
        <w:rPr/>
        <w:t>and from</w:t>
      </w:r>
      <w:r>
        <w:rPr>
          <w:spacing w:val="-3"/>
        </w:rPr>
        <w:t> </w:t>
      </w:r>
      <w:r>
        <w:rPr/>
        <w:t>nations</w:t>
      </w:r>
      <w:r>
        <w:rPr>
          <w:spacing w:val="-2"/>
        </w:rPr>
        <w:t> </w:t>
      </w:r>
      <w:r>
        <w:rPr/>
        <w:t>not</w:t>
      </w:r>
      <w:r>
        <w:rPr>
          <w:spacing w:val="-2"/>
        </w:rPr>
        <w:t> </w:t>
      </w:r>
      <w:r>
        <w:rPr/>
        <w:t>signed</w:t>
      </w:r>
      <w:r>
        <w:rPr>
          <w:spacing w:val="-2"/>
        </w:rPr>
        <w:t> </w:t>
      </w:r>
      <w:r>
        <w:rPr/>
        <w:t>up</w:t>
      </w:r>
      <w:r>
        <w:rPr>
          <w:spacing w:val="-4"/>
        </w:rPr>
        <w:t> </w:t>
      </w:r>
      <w:r>
        <w:rPr/>
        <w:t>to</w:t>
      </w:r>
      <w:r>
        <w:rPr>
          <w:spacing w:val="-4"/>
        </w:rPr>
        <w:t> </w:t>
      </w:r>
      <w:r>
        <w:rPr/>
        <w:t>the</w:t>
      </w:r>
      <w:r>
        <w:rPr>
          <w:spacing w:val="-3"/>
        </w:rPr>
        <w:t> </w:t>
      </w:r>
      <w:r>
        <w:rPr/>
        <w:t>convention</w:t>
      </w:r>
      <w:r>
        <w:rPr>
          <w:spacing w:val="-2"/>
        </w:rPr>
        <w:t> </w:t>
      </w:r>
      <w:r>
        <w:rPr/>
        <w:t>are</w:t>
      </w:r>
      <w:r>
        <w:rPr>
          <w:spacing w:val="-3"/>
        </w:rPr>
        <w:t> </w:t>
      </w:r>
      <w:r>
        <w:rPr/>
        <w:t>illegal</w:t>
      </w:r>
      <w:r>
        <w:rPr>
          <w:spacing w:val="-2"/>
        </w:rPr>
        <w:t> </w:t>
      </w:r>
      <w:r>
        <w:rPr/>
        <w:t>unless</w:t>
      </w:r>
      <w:r>
        <w:rPr>
          <w:spacing w:val="-2"/>
        </w:rPr>
        <w:t> </w:t>
      </w:r>
      <w:r>
        <w:rPr/>
        <w:t>there</w:t>
      </w:r>
      <w:r>
        <w:rPr>
          <w:spacing w:val="-3"/>
        </w:rPr>
        <w:t> </w:t>
      </w:r>
      <w:r>
        <w:rPr/>
        <w:t>is</w:t>
      </w:r>
      <w:r>
        <w:rPr>
          <w:spacing w:val="-1"/>
        </w:rPr>
        <w:t> </w:t>
      </w:r>
      <w:r>
        <w:rPr/>
        <w:t>a</w:t>
      </w:r>
      <w:r>
        <w:rPr>
          <w:spacing w:val="-2"/>
        </w:rPr>
        <w:t> </w:t>
      </w:r>
      <w:r>
        <w:rPr/>
        <w:t>special</w:t>
      </w:r>
      <w:r>
        <w:rPr>
          <w:spacing w:val="-3"/>
        </w:rPr>
        <w:t> </w:t>
      </w:r>
      <w:r>
        <w:rPr/>
        <w:t>agreement.</w:t>
      </w:r>
    </w:p>
    <w:p>
      <w:pPr>
        <w:spacing w:after="0" w:line="256" w:lineRule="auto"/>
        <w:jc w:val="both"/>
        <w:sectPr>
          <w:footerReference w:type="default" r:id="rId9"/>
          <w:pgSz w:w="11910" w:h="16840"/>
          <w:pgMar w:footer="698" w:header="576" w:top="1140" w:bottom="880" w:left="660" w:right="160"/>
          <w:pgNumType w:start="11"/>
        </w:sectPr>
      </w:pPr>
    </w:p>
    <w:p>
      <w:pPr>
        <w:pStyle w:val="BodyText"/>
      </w:pPr>
    </w:p>
    <w:p>
      <w:pPr>
        <w:pStyle w:val="BodyText"/>
        <w:spacing w:before="7"/>
        <w:rPr>
          <w:sz w:val="29"/>
        </w:rPr>
      </w:pPr>
    </w:p>
    <w:p>
      <w:pPr>
        <w:pStyle w:val="BodyText"/>
        <w:spacing w:line="256" w:lineRule="auto" w:before="60"/>
        <w:ind w:left="560" w:right="118"/>
        <w:jc w:val="both"/>
      </w:pPr>
      <w:r>
        <w:rPr/>
        <w:t>The Ministry for the Environment is proposing amendments to the Imports and Exports (Restrictions) Prohibitions Order (No 2) 2004 (Imports and Exports Order) to meet the proposed Basel Convention amendments. Under these amendments, imports and exports of most mixed plastic waste will require a permit but imports and exports of separated plastic waste suitable for recycling, and mixtures of PET, PE and PP, will not require a permit as long as all materials are destined for separate recycling. This will increase the difficulty of exporting mixed plastic bales.</w:t>
      </w:r>
    </w:p>
    <w:p>
      <w:pPr>
        <w:pStyle w:val="Heading2"/>
        <w:numPr>
          <w:ilvl w:val="1"/>
          <w:numId w:val="7"/>
        </w:numPr>
        <w:tabs>
          <w:tab w:pos="2000" w:val="left" w:leader="none"/>
          <w:tab w:pos="2001" w:val="left" w:leader="none"/>
        </w:tabs>
        <w:spacing w:line="240" w:lineRule="auto" w:before="157" w:after="0"/>
        <w:ind w:left="2000" w:right="0" w:hanging="1080"/>
        <w:jc w:val="left"/>
        <w:rPr>
          <w:b w:val="0"/>
        </w:rPr>
      </w:pPr>
      <w:bookmarkStart w:name="2.7. Privatisation of waste sector " w:id="28"/>
      <w:bookmarkEnd w:id="28"/>
      <w:r>
        <w:rPr/>
      </w:r>
      <w:bookmarkStart w:name="_bookmark9" w:id="29"/>
      <w:bookmarkEnd w:id="29"/>
      <w:r>
        <w:rPr/>
      </w:r>
      <w:bookmarkStart w:name="_bookmark9" w:id="30"/>
      <w:bookmarkEnd w:id="30"/>
      <w:r>
        <w:rPr>
          <w:b w:val="0"/>
        </w:rPr>
        <w:t>Priv</w:t>
      </w:r>
      <w:r>
        <w:rPr>
          <w:b w:val="0"/>
        </w:rPr>
        <w:t>atisation of waste</w:t>
      </w:r>
      <w:r>
        <w:rPr>
          <w:b w:val="0"/>
          <w:spacing w:val="-13"/>
        </w:rPr>
        <w:t> </w:t>
      </w:r>
      <w:r>
        <w:rPr>
          <w:b w:val="0"/>
        </w:rPr>
        <w:t>sector</w:t>
      </w:r>
    </w:p>
    <w:p>
      <w:pPr>
        <w:pStyle w:val="BodyText"/>
        <w:spacing w:line="256" w:lineRule="auto" w:before="241"/>
        <w:ind w:left="560" w:right="120"/>
        <w:jc w:val="both"/>
      </w:pPr>
      <w:r>
        <w:rPr/>
        <w:t>In</w:t>
      </w:r>
      <w:r>
        <w:rPr>
          <w:spacing w:val="-5"/>
        </w:rPr>
        <w:t> </w:t>
      </w:r>
      <w:r>
        <w:rPr/>
        <w:t>1984,</w:t>
      </w:r>
      <w:r>
        <w:rPr>
          <w:spacing w:val="-5"/>
        </w:rPr>
        <w:t> </w:t>
      </w:r>
      <w:r>
        <w:rPr/>
        <w:t>the</w:t>
      </w:r>
      <w:r>
        <w:rPr>
          <w:spacing w:val="-6"/>
        </w:rPr>
        <w:t> </w:t>
      </w:r>
      <w:r>
        <w:rPr/>
        <w:t>then</w:t>
      </w:r>
      <w:r>
        <w:rPr>
          <w:spacing w:val="-5"/>
        </w:rPr>
        <w:t> </w:t>
      </w:r>
      <w:r>
        <w:rPr/>
        <w:t>New</w:t>
      </w:r>
      <w:r>
        <w:rPr>
          <w:spacing w:val="-6"/>
        </w:rPr>
        <w:t> </w:t>
      </w:r>
      <w:r>
        <w:rPr/>
        <w:t>Zealand</w:t>
      </w:r>
      <w:r>
        <w:rPr>
          <w:spacing w:val="-5"/>
        </w:rPr>
        <w:t> </w:t>
      </w:r>
      <w:r>
        <w:rPr/>
        <w:t>Government</w:t>
      </w:r>
      <w:r>
        <w:rPr>
          <w:spacing w:val="-2"/>
        </w:rPr>
        <w:t> </w:t>
      </w:r>
      <w:r>
        <w:rPr/>
        <w:t>began</w:t>
      </w:r>
      <w:r>
        <w:rPr>
          <w:spacing w:val="-4"/>
        </w:rPr>
        <w:t> </w:t>
      </w:r>
      <w:r>
        <w:rPr/>
        <w:t>adopting</w:t>
      </w:r>
      <w:r>
        <w:rPr>
          <w:spacing w:val="-5"/>
        </w:rPr>
        <w:t> </w:t>
      </w:r>
      <w:r>
        <w:rPr/>
        <w:t>policies</w:t>
      </w:r>
      <w:r>
        <w:rPr>
          <w:spacing w:val="-4"/>
        </w:rPr>
        <w:t> </w:t>
      </w:r>
      <w:r>
        <w:rPr/>
        <w:t>that</w:t>
      </w:r>
      <w:r>
        <w:rPr>
          <w:spacing w:val="-4"/>
        </w:rPr>
        <w:t> </w:t>
      </w:r>
      <w:r>
        <w:rPr/>
        <w:t>favoured</w:t>
      </w:r>
      <w:r>
        <w:rPr>
          <w:spacing w:val="-4"/>
        </w:rPr>
        <w:t> </w:t>
      </w:r>
      <w:r>
        <w:rPr/>
        <w:t>a</w:t>
      </w:r>
      <w:r>
        <w:rPr>
          <w:spacing w:val="-5"/>
        </w:rPr>
        <w:t> </w:t>
      </w:r>
      <w:r>
        <w:rPr/>
        <w:t>free</w:t>
      </w:r>
      <w:r>
        <w:rPr>
          <w:spacing w:val="-4"/>
        </w:rPr>
        <w:t> </w:t>
      </w:r>
      <w:r>
        <w:rPr/>
        <w:t>market</w:t>
      </w:r>
      <w:r>
        <w:rPr>
          <w:spacing w:val="-5"/>
        </w:rPr>
        <w:t> </w:t>
      </w:r>
      <w:r>
        <w:rPr/>
        <w:t>economy.</w:t>
      </w:r>
      <w:r>
        <w:rPr>
          <w:spacing w:val="-5"/>
        </w:rPr>
        <w:t> </w:t>
      </w:r>
      <w:r>
        <w:rPr/>
        <w:t>This led</w:t>
      </w:r>
      <w:r>
        <w:rPr>
          <w:spacing w:val="-4"/>
        </w:rPr>
        <w:t> </w:t>
      </w:r>
      <w:r>
        <w:rPr/>
        <w:t>to</w:t>
      </w:r>
      <w:r>
        <w:rPr>
          <w:spacing w:val="-4"/>
        </w:rPr>
        <w:t> </w:t>
      </w:r>
      <w:r>
        <w:rPr/>
        <w:t>the</w:t>
      </w:r>
      <w:r>
        <w:rPr>
          <w:spacing w:val="-5"/>
        </w:rPr>
        <w:t> </w:t>
      </w:r>
      <w:r>
        <w:rPr/>
        <w:t>privatisation</w:t>
      </w:r>
      <w:r>
        <w:rPr>
          <w:spacing w:val="-4"/>
        </w:rPr>
        <w:t> </w:t>
      </w:r>
      <w:r>
        <w:rPr/>
        <w:t>of</w:t>
      </w:r>
      <w:r>
        <w:rPr>
          <w:spacing w:val="-5"/>
        </w:rPr>
        <w:t> </w:t>
      </w:r>
      <w:r>
        <w:rPr/>
        <w:t>many</w:t>
      </w:r>
      <w:r>
        <w:rPr>
          <w:spacing w:val="-4"/>
        </w:rPr>
        <w:t> </w:t>
      </w:r>
      <w:r>
        <w:rPr/>
        <w:t>sectors</w:t>
      </w:r>
      <w:r>
        <w:rPr>
          <w:spacing w:val="-3"/>
        </w:rPr>
        <w:t> </w:t>
      </w:r>
      <w:r>
        <w:rPr/>
        <w:t>including</w:t>
      </w:r>
      <w:r>
        <w:rPr>
          <w:spacing w:val="-5"/>
        </w:rPr>
        <w:t> </w:t>
      </w:r>
      <w:r>
        <w:rPr/>
        <w:t>the</w:t>
      </w:r>
      <w:r>
        <w:rPr>
          <w:spacing w:val="-5"/>
        </w:rPr>
        <w:t> </w:t>
      </w:r>
      <w:r>
        <w:rPr/>
        <w:t>waste</w:t>
      </w:r>
      <w:r>
        <w:rPr>
          <w:spacing w:val="-5"/>
        </w:rPr>
        <w:t> </w:t>
      </w:r>
      <w:r>
        <w:rPr/>
        <w:t>and</w:t>
      </w:r>
      <w:r>
        <w:rPr>
          <w:spacing w:val="-4"/>
        </w:rPr>
        <w:t> </w:t>
      </w:r>
      <w:r>
        <w:rPr/>
        <w:t>resource</w:t>
      </w:r>
      <w:r>
        <w:rPr>
          <w:spacing w:val="-5"/>
        </w:rPr>
        <w:t> </w:t>
      </w:r>
      <w:r>
        <w:rPr/>
        <w:t>recovery</w:t>
      </w:r>
      <w:r>
        <w:rPr>
          <w:spacing w:val="-4"/>
        </w:rPr>
        <w:t> </w:t>
      </w:r>
      <w:r>
        <w:rPr/>
        <w:t>sector,</w:t>
      </w:r>
      <w:r>
        <w:rPr>
          <w:spacing w:val="-4"/>
        </w:rPr>
        <w:t> </w:t>
      </w:r>
      <w:r>
        <w:rPr/>
        <w:t>which</w:t>
      </w:r>
      <w:r>
        <w:rPr>
          <w:spacing w:val="-4"/>
        </w:rPr>
        <w:t> </w:t>
      </w:r>
      <w:r>
        <w:rPr/>
        <w:t>would</w:t>
      </w:r>
      <w:r>
        <w:rPr>
          <w:spacing w:val="-4"/>
        </w:rPr>
        <w:t> </w:t>
      </w:r>
      <w:r>
        <w:rPr/>
        <w:t>come</w:t>
      </w:r>
      <w:r>
        <w:rPr>
          <w:spacing w:val="-5"/>
        </w:rPr>
        <w:t> </w:t>
      </w:r>
      <w:r>
        <w:rPr/>
        <w:t>to include the collection of kerbside recycling. The private sector has invested significantly in the waste and resource recovery sector and most local authorities contract these services from the private sector, which has benefited both local government and the private</w:t>
      </w:r>
      <w:r>
        <w:rPr>
          <w:spacing w:val="-20"/>
        </w:rPr>
        <w:t> </w:t>
      </w:r>
      <w:r>
        <w:rPr/>
        <w:t>sector.</w:t>
      </w:r>
    </w:p>
    <w:p>
      <w:pPr>
        <w:pStyle w:val="BodyText"/>
        <w:spacing w:line="256" w:lineRule="auto" w:before="158"/>
        <w:ind w:left="560" w:right="114"/>
        <w:jc w:val="both"/>
      </w:pPr>
      <w:r>
        <w:rPr/>
        <w:t>Some local authorities do not provide recycling or waste services and leave it entirely up to private contractors to have individual contracts with households for these services. A majority of greenwaste collections are also provided by the private sector. Other local authorities fully or partially own their own recycling facilities. For example, Palmerston North City Council fully owns their collection and sorting facilities. Christchurch City Councils owns Eco Central who operate the Materials Recovery Facility (MRF) used by many local authorities in the Canterbury region but contract out collection services. A few local authorities only offer drop-off services for recycling (e.g. Whanganui, Rangitikei and Chatham Islands).</w:t>
      </w:r>
    </w:p>
    <w:p>
      <w:pPr>
        <w:pStyle w:val="BodyText"/>
        <w:spacing w:line="256" w:lineRule="auto" w:before="161"/>
        <w:ind w:left="560" w:right="118"/>
        <w:jc w:val="both"/>
      </w:pPr>
      <w:r>
        <w:rPr/>
        <w:t>The funding models used for domestic kerbside collections differs across the country. While some local authorities have a fully rates-based collection system, many have a rates-funded recycling service combined with user-pays residual rubbish collections.</w:t>
      </w:r>
    </w:p>
    <w:p>
      <w:pPr>
        <w:pStyle w:val="Heading2"/>
        <w:numPr>
          <w:ilvl w:val="1"/>
          <w:numId w:val="7"/>
        </w:numPr>
        <w:tabs>
          <w:tab w:pos="2000" w:val="left" w:leader="none"/>
          <w:tab w:pos="2001" w:val="left" w:leader="none"/>
        </w:tabs>
        <w:spacing w:line="240" w:lineRule="auto" w:before="157" w:after="0"/>
        <w:ind w:left="2000" w:right="0" w:hanging="1080"/>
        <w:jc w:val="left"/>
        <w:rPr>
          <w:b w:val="0"/>
        </w:rPr>
      </w:pPr>
      <w:bookmarkStart w:name="2.8. Our record on waste minimisation " w:id="31"/>
      <w:bookmarkEnd w:id="31"/>
      <w:r>
        <w:rPr/>
      </w:r>
      <w:bookmarkStart w:name="_bookmark10" w:id="32"/>
      <w:bookmarkEnd w:id="32"/>
      <w:r>
        <w:rPr/>
      </w:r>
      <w:bookmarkStart w:name="_bookmark10" w:id="33"/>
      <w:bookmarkEnd w:id="33"/>
      <w:r>
        <w:rPr>
          <w:b w:val="0"/>
        </w:rPr>
        <w:t>Ou</w:t>
      </w:r>
      <w:r>
        <w:rPr>
          <w:b w:val="0"/>
        </w:rPr>
        <w:t>r record on waste</w:t>
      </w:r>
      <w:r>
        <w:rPr>
          <w:b w:val="0"/>
          <w:spacing w:val="-15"/>
        </w:rPr>
        <w:t> </w:t>
      </w:r>
      <w:r>
        <w:rPr>
          <w:b w:val="0"/>
        </w:rPr>
        <w:t>minimisation</w:t>
      </w:r>
    </w:p>
    <w:p>
      <w:pPr>
        <w:pStyle w:val="BodyText"/>
        <w:spacing w:line="254" w:lineRule="auto" w:before="241"/>
        <w:ind w:left="560" w:right="118"/>
        <w:jc w:val="both"/>
      </w:pPr>
      <w:r>
        <w:rPr/>
        <w:t>According to World Bank data, Aotearoa New Zealand is one of the highest waste per capita countries in the OECD and the 10</w:t>
      </w:r>
      <w:r>
        <w:rPr>
          <w:position w:val="7"/>
          <w:sz w:val="13"/>
        </w:rPr>
        <w:t>th </w:t>
      </w:r>
      <w:r>
        <w:rPr/>
        <w:t>most wasteful country in the world (Kaza, 2018). Waste to levied landfills has increased by 48% between 2009 and 2019 (MfE, 2019). According to research by Eunomia Research and Consulting, the rate of</w:t>
      </w:r>
      <w:r>
        <w:rPr>
          <w:spacing w:val="-6"/>
        </w:rPr>
        <w:t> </w:t>
      </w:r>
      <w:r>
        <w:rPr/>
        <w:t>resource</w:t>
      </w:r>
      <w:r>
        <w:rPr>
          <w:spacing w:val="-6"/>
        </w:rPr>
        <w:t> </w:t>
      </w:r>
      <w:r>
        <w:rPr/>
        <w:t>recovery</w:t>
      </w:r>
      <w:r>
        <w:rPr>
          <w:spacing w:val="-5"/>
        </w:rPr>
        <w:t> </w:t>
      </w:r>
      <w:r>
        <w:rPr/>
        <w:t>in</w:t>
      </w:r>
      <w:r>
        <w:rPr>
          <w:spacing w:val="-4"/>
        </w:rPr>
        <w:t> </w:t>
      </w:r>
      <w:r>
        <w:rPr/>
        <w:t>Aotearoa</w:t>
      </w:r>
      <w:r>
        <w:rPr>
          <w:spacing w:val="-5"/>
        </w:rPr>
        <w:t> </w:t>
      </w:r>
      <w:r>
        <w:rPr/>
        <w:t>New</w:t>
      </w:r>
      <w:r>
        <w:rPr>
          <w:spacing w:val="-6"/>
        </w:rPr>
        <w:t> </w:t>
      </w:r>
      <w:r>
        <w:rPr/>
        <w:t>Zealand</w:t>
      </w:r>
      <w:r>
        <w:rPr>
          <w:spacing w:val="-4"/>
        </w:rPr>
        <w:t> </w:t>
      </w:r>
      <w:r>
        <w:rPr/>
        <w:t>is</w:t>
      </w:r>
      <w:r>
        <w:rPr>
          <w:spacing w:val="-7"/>
        </w:rPr>
        <w:t> </w:t>
      </w:r>
      <w:r>
        <w:rPr/>
        <w:t>only</w:t>
      </w:r>
      <w:r>
        <w:rPr>
          <w:spacing w:val="-5"/>
        </w:rPr>
        <w:t> </w:t>
      </w:r>
      <w:r>
        <w:rPr/>
        <w:t>28%</w:t>
      </w:r>
      <w:r>
        <w:rPr>
          <w:spacing w:val="-7"/>
        </w:rPr>
        <w:t> </w:t>
      </w:r>
      <w:r>
        <w:rPr/>
        <w:t>(Wilson</w:t>
      </w:r>
      <w:r>
        <w:rPr>
          <w:spacing w:val="-5"/>
        </w:rPr>
        <w:t> </w:t>
      </w:r>
      <w:r>
        <w:rPr/>
        <w:t>et</w:t>
      </w:r>
      <w:r>
        <w:rPr>
          <w:spacing w:val="-5"/>
        </w:rPr>
        <w:t> </w:t>
      </w:r>
      <w:r>
        <w:rPr/>
        <w:t>al,</w:t>
      </w:r>
      <w:r>
        <w:rPr>
          <w:spacing w:val="-7"/>
        </w:rPr>
        <w:t> </w:t>
      </w:r>
      <w:r>
        <w:rPr/>
        <w:t>2017).</w:t>
      </w:r>
      <w:r>
        <w:rPr>
          <w:spacing w:val="35"/>
        </w:rPr>
        <w:t> </w:t>
      </w:r>
      <w:r>
        <w:rPr/>
        <w:t>This</w:t>
      </w:r>
      <w:r>
        <w:rPr>
          <w:spacing w:val="-4"/>
        </w:rPr>
        <w:t> </w:t>
      </w:r>
      <w:r>
        <w:rPr/>
        <w:t>lack</w:t>
      </w:r>
      <w:r>
        <w:rPr>
          <w:spacing w:val="-8"/>
        </w:rPr>
        <w:t> </w:t>
      </w:r>
      <w:r>
        <w:rPr/>
        <w:t>of</w:t>
      </w:r>
      <w:r>
        <w:rPr>
          <w:spacing w:val="-6"/>
        </w:rPr>
        <w:t> </w:t>
      </w:r>
      <w:r>
        <w:rPr/>
        <w:t>progress</w:t>
      </w:r>
      <w:r>
        <w:rPr>
          <w:spacing w:val="-4"/>
        </w:rPr>
        <w:t> </w:t>
      </w:r>
      <w:r>
        <w:rPr/>
        <w:t>in</w:t>
      </w:r>
      <w:r>
        <w:rPr>
          <w:spacing w:val="-7"/>
        </w:rPr>
        <w:t> </w:t>
      </w:r>
      <w:r>
        <w:rPr/>
        <w:t>reducing waste to landfill has been attributed to a lack of reliable data and a preference for voluntary agreements over the use of economic instruments (PCE,</w:t>
      </w:r>
      <w:r>
        <w:rPr>
          <w:spacing w:val="-15"/>
        </w:rPr>
        <w:t> </w:t>
      </w:r>
      <w:r>
        <w:rPr/>
        <w:t>2006).</w:t>
      </w:r>
    </w:p>
    <w:p>
      <w:pPr>
        <w:pStyle w:val="BodyText"/>
        <w:spacing w:line="256" w:lineRule="auto" w:before="160"/>
        <w:ind w:left="560" w:right="113"/>
        <w:jc w:val="both"/>
      </w:pPr>
      <w:r>
        <w:rPr/>
        <w:t>The 2006 report from the Parliamentary Commissioner for the Environment (PCE, 2006) noted that without reliable</w:t>
      </w:r>
      <w:r>
        <w:rPr>
          <w:spacing w:val="-5"/>
        </w:rPr>
        <w:t> </w:t>
      </w:r>
      <w:r>
        <w:rPr/>
        <w:t>data</w:t>
      </w:r>
      <w:r>
        <w:rPr>
          <w:spacing w:val="-4"/>
        </w:rPr>
        <w:t> </w:t>
      </w:r>
      <w:r>
        <w:rPr/>
        <w:t>economic</w:t>
      </w:r>
      <w:r>
        <w:rPr>
          <w:spacing w:val="-5"/>
        </w:rPr>
        <w:t> </w:t>
      </w:r>
      <w:r>
        <w:rPr/>
        <w:t>instruments</w:t>
      </w:r>
      <w:r>
        <w:rPr>
          <w:spacing w:val="-3"/>
        </w:rPr>
        <w:t> </w:t>
      </w:r>
      <w:r>
        <w:rPr/>
        <w:t>have</w:t>
      </w:r>
      <w:r>
        <w:rPr>
          <w:spacing w:val="-5"/>
        </w:rPr>
        <w:t> </w:t>
      </w:r>
      <w:r>
        <w:rPr/>
        <w:t>not</w:t>
      </w:r>
      <w:r>
        <w:rPr>
          <w:spacing w:val="-4"/>
        </w:rPr>
        <w:t> </w:t>
      </w:r>
      <w:r>
        <w:rPr/>
        <w:t>been</w:t>
      </w:r>
      <w:r>
        <w:rPr>
          <w:spacing w:val="-4"/>
        </w:rPr>
        <w:t> </w:t>
      </w:r>
      <w:r>
        <w:rPr/>
        <w:t>used</w:t>
      </w:r>
      <w:r>
        <w:rPr>
          <w:spacing w:val="-4"/>
        </w:rPr>
        <w:t> </w:t>
      </w:r>
      <w:r>
        <w:rPr/>
        <w:t>to</w:t>
      </w:r>
      <w:r>
        <w:rPr>
          <w:spacing w:val="-2"/>
        </w:rPr>
        <w:t> </w:t>
      </w:r>
      <w:r>
        <w:rPr/>
        <w:t>their</w:t>
      </w:r>
      <w:r>
        <w:rPr>
          <w:spacing w:val="-5"/>
        </w:rPr>
        <w:t> </w:t>
      </w:r>
      <w:r>
        <w:rPr/>
        <w:t>full</w:t>
      </w:r>
      <w:r>
        <w:rPr>
          <w:spacing w:val="-5"/>
        </w:rPr>
        <w:t> </w:t>
      </w:r>
      <w:r>
        <w:rPr/>
        <w:t>potential</w:t>
      </w:r>
      <w:r>
        <w:rPr>
          <w:spacing w:val="-5"/>
        </w:rPr>
        <w:t> </w:t>
      </w:r>
      <w:r>
        <w:rPr/>
        <w:t>in</w:t>
      </w:r>
      <w:r>
        <w:rPr>
          <w:spacing w:val="3"/>
        </w:rPr>
        <w:t> </w:t>
      </w:r>
      <w:r>
        <w:rPr/>
        <w:t>Aotearoa</w:t>
      </w:r>
      <w:r>
        <w:rPr>
          <w:spacing w:val="-4"/>
        </w:rPr>
        <w:t> </w:t>
      </w:r>
      <w:r>
        <w:rPr/>
        <w:t>New</w:t>
      </w:r>
      <w:r>
        <w:rPr>
          <w:spacing w:val="-5"/>
        </w:rPr>
        <w:t> </w:t>
      </w:r>
      <w:r>
        <w:rPr/>
        <w:t>Zealand,</w:t>
      </w:r>
      <w:r>
        <w:rPr>
          <w:spacing w:val="-4"/>
        </w:rPr>
        <w:t> </w:t>
      </w:r>
      <w:r>
        <w:rPr/>
        <w:t>despite the recognition that they are an effective way of incentivising </w:t>
      </w:r>
      <w:r>
        <w:rPr>
          <w:spacing w:val="2"/>
        </w:rPr>
        <w:t>the </w:t>
      </w:r>
      <w:r>
        <w:rPr/>
        <w:t>reduction of waste. The continued lack of meaningful</w:t>
      </w:r>
      <w:r>
        <w:rPr>
          <w:spacing w:val="-8"/>
        </w:rPr>
        <w:t> </w:t>
      </w:r>
      <w:r>
        <w:rPr/>
        <w:t>data</w:t>
      </w:r>
      <w:r>
        <w:rPr>
          <w:spacing w:val="-7"/>
        </w:rPr>
        <w:t> </w:t>
      </w:r>
      <w:r>
        <w:rPr/>
        <w:t>regarding</w:t>
      </w:r>
      <w:r>
        <w:rPr>
          <w:spacing w:val="-8"/>
        </w:rPr>
        <w:t> </w:t>
      </w:r>
      <w:r>
        <w:rPr/>
        <w:t>the</w:t>
      </w:r>
      <w:r>
        <w:rPr>
          <w:spacing w:val="-9"/>
        </w:rPr>
        <w:t> </w:t>
      </w:r>
      <w:r>
        <w:rPr/>
        <w:t>composition</w:t>
      </w:r>
      <w:r>
        <w:rPr>
          <w:spacing w:val="-7"/>
        </w:rPr>
        <w:t> </w:t>
      </w:r>
      <w:r>
        <w:rPr/>
        <w:t>of</w:t>
      </w:r>
      <w:r>
        <w:rPr>
          <w:spacing w:val="-9"/>
        </w:rPr>
        <w:t> </w:t>
      </w:r>
      <w:r>
        <w:rPr/>
        <w:t>waste</w:t>
      </w:r>
      <w:r>
        <w:rPr>
          <w:spacing w:val="-8"/>
        </w:rPr>
        <w:t> </w:t>
      </w:r>
      <w:r>
        <w:rPr/>
        <w:t>to</w:t>
      </w:r>
      <w:r>
        <w:rPr>
          <w:spacing w:val="-7"/>
        </w:rPr>
        <w:t> </w:t>
      </w:r>
      <w:r>
        <w:rPr/>
        <w:t>landfill,</w:t>
      </w:r>
      <w:r>
        <w:rPr>
          <w:spacing w:val="-7"/>
        </w:rPr>
        <w:t> </w:t>
      </w:r>
      <w:r>
        <w:rPr/>
        <w:t>as</w:t>
      </w:r>
      <w:r>
        <w:rPr>
          <w:spacing w:val="-6"/>
        </w:rPr>
        <w:t> </w:t>
      </w:r>
      <w:r>
        <w:rPr/>
        <w:t>well</w:t>
      </w:r>
      <w:r>
        <w:rPr>
          <w:spacing w:val="-8"/>
        </w:rPr>
        <w:t> </w:t>
      </w:r>
      <w:r>
        <w:rPr/>
        <w:t>as</w:t>
      </w:r>
      <w:r>
        <w:rPr>
          <w:spacing w:val="-6"/>
        </w:rPr>
        <w:t> </w:t>
      </w:r>
      <w:r>
        <w:rPr/>
        <w:t>diversion</w:t>
      </w:r>
      <w:r>
        <w:rPr>
          <w:spacing w:val="-7"/>
        </w:rPr>
        <w:t> </w:t>
      </w:r>
      <w:r>
        <w:rPr/>
        <w:t>from</w:t>
      </w:r>
      <w:r>
        <w:rPr>
          <w:spacing w:val="-9"/>
        </w:rPr>
        <w:t> </w:t>
      </w:r>
      <w:r>
        <w:rPr/>
        <w:t>it,</w:t>
      </w:r>
      <w:r>
        <w:rPr>
          <w:spacing w:val="-10"/>
        </w:rPr>
        <w:t> </w:t>
      </w:r>
      <w:r>
        <w:rPr/>
        <w:t>has</w:t>
      </w:r>
      <w:r>
        <w:rPr>
          <w:spacing w:val="-6"/>
        </w:rPr>
        <w:t> </w:t>
      </w:r>
      <w:r>
        <w:rPr/>
        <w:t>been</w:t>
      </w:r>
      <w:r>
        <w:rPr>
          <w:spacing w:val="-7"/>
        </w:rPr>
        <w:t> </w:t>
      </w:r>
      <w:r>
        <w:rPr/>
        <w:t>highlighted many times since (MfE, 1997; Middleton and Wilson, 2015; Blumhardt, 2018; OPMCSA, 2019) and this has hindered</w:t>
      </w:r>
      <w:r>
        <w:rPr>
          <w:spacing w:val="-12"/>
        </w:rPr>
        <w:t> </w:t>
      </w:r>
      <w:r>
        <w:rPr/>
        <w:t>the</w:t>
      </w:r>
      <w:r>
        <w:rPr>
          <w:spacing w:val="-13"/>
        </w:rPr>
        <w:t> </w:t>
      </w:r>
      <w:r>
        <w:rPr/>
        <w:t>MfE's</w:t>
      </w:r>
      <w:r>
        <w:rPr>
          <w:spacing w:val="-11"/>
        </w:rPr>
        <w:t> </w:t>
      </w:r>
      <w:r>
        <w:rPr/>
        <w:t>ability</w:t>
      </w:r>
      <w:r>
        <w:rPr>
          <w:spacing w:val="-11"/>
        </w:rPr>
        <w:t> </w:t>
      </w:r>
      <w:r>
        <w:rPr/>
        <w:t>to</w:t>
      </w:r>
      <w:r>
        <w:rPr>
          <w:spacing w:val="-10"/>
        </w:rPr>
        <w:t> </w:t>
      </w:r>
      <w:r>
        <w:rPr/>
        <w:t>make</w:t>
      </w:r>
      <w:r>
        <w:rPr>
          <w:spacing w:val="-11"/>
        </w:rPr>
        <w:t> </w:t>
      </w:r>
      <w:r>
        <w:rPr/>
        <w:t>evidence</w:t>
      </w:r>
      <w:r>
        <w:rPr>
          <w:spacing w:val="-14"/>
        </w:rPr>
        <w:t> </w:t>
      </w:r>
      <w:r>
        <w:rPr/>
        <w:t>based,</w:t>
      </w:r>
      <w:r>
        <w:rPr>
          <w:spacing w:val="-12"/>
        </w:rPr>
        <w:t> </w:t>
      </w:r>
      <w:r>
        <w:rPr/>
        <w:t>informed</w:t>
      </w:r>
      <w:r>
        <w:rPr>
          <w:spacing w:val="-12"/>
        </w:rPr>
        <w:t> </w:t>
      </w:r>
      <w:r>
        <w:rPr/>
        <w:t>policy</w:t>
      </w:r>
      <w:r>
        <w:rPr>
          <w:spacing w:val="-12"/>
        </w:rPr>
        <w:t> </w:t>
      </w:r>
      <w:r>
        <w:rPr/>
        <w:t>decisions</w:t>
      </w:r>
      <w:r>
        <w:rPr>
          <w:spacing w:val="-11"/>
        </w:rPr>
        <w:t> </w:t>
      </w:r>
      <w:r>
        <w:rPr/>
        <w:t>(WasteMINZ,</w:t>
      </w:r>
      <w:r>
        <w:rPr>
          <w:spacing w:val="-12"/>
        </w:rPr>
        <w:t> </w:t>
      </w:r>
      <w:r>
        <w:rPr/>
        <w:t>2015).</w:t>
      </w:r>
      <w:r>
        <w:rPr>
          <w:spacing w:val="31"/>
        </w:rPr>
        <w:t> </w:t>
      </w:r>
      <w:r>
        <w:rPr/>
        <w:t>The</w:t>
      </w:r>
      <w:r>
        <w:rPr>
          <w:spacing w:val="-13"/>
        </w:rPr>
        <w:t> </w:t>
      </w:r>
      <w:r>
        <w:rPr/>
        <w:t>Associate Minister</w:t>
      </w:r>
      <w:r>
        <w:rPr>
          <w:spacing w:val="-4"/>
        </w:rPr>
        <w:t> </w:t>
      </w:r>
      <w:r>
        <w:rPr/>
        <w:t>for</w:t>
      </w:r>
      <w:r>
        <w:rPr>
          <w:spacing w:val="-4"/>
        </w:rPr>
        <w:t> </w:t>
      </w:r>
      <w:r>
        <w:rPr/>
        <w:t>the</w:t>
      </w:r>
      <w:r>
        <w:rPr>
          <w:spacing w:val="-5"/>
        </w:rPr>
        <w:t> </w:t>
      </w:r>
      <w:r>
        <w:rPr/>
        <w:t>Environment,</w:t>
      </w:r>
      <w:r>
        <w:rPr>
          <w:spacing w:val="-2"/>
        </w:rPr>
        <w:t> </w:t>
      </w:r>
      <w:r>
        <w:rPr/>
        <w:t>the</w:t>
      </w:r>
      <w:r>
        <w:rPr>
          <w:spacing w:val="-5"/>
        </w:rPr>
        <w:t> </w:t>
      </w:r>
      <w:r>
        <w:rPr/>
        <w:t>Honourable</w:t>
      </w:r>
      <w:r>
        <w:rPr>
          <w:spacing w:val="-5"/>
        </w:rPr>
        <w:t> </w:t>
      </w:r>
      <w:r>
        <w:rPr/>
        <w:t>Eugenie</w:t>
      </w:r>
      <w:r>
        <w:rPr>
          <w:spacing w:val="-1"/>
        </w:rPr>
        <w:t> </w:t>
      </w:r>
      <w:r>
        <w:rPr/>
        <w:t>Sage,</w:t>
      </w:r>
      <w:r>
        <w:rPr>
          <w:spacing w:val="-4"/>
        </w:rPr>
        <w:t> </w:t>
      </w:r>
      <w:r>
        <w:rPr/>
        <w:t>stated</w:t>
      </w:r>
      <w:r>
        <w:rPr>
          <w:spacing w:val="-4"/>
        </w:rPr>
        <w:t> </w:t>
      </w:r>
      <w:r>
        <w:rPr/>
        <w:t>at</w:t>
      </w:r>
      <w:r>
        <w:rPr>
          <w:spacing w:val="-4"/>
        </w:rPr>
        <w:t> </w:t>
      </w:r>
      <w:r>
        <w:rPr/>
        <w:t>a</w:t>
      </w:r>
      <w:r>
        <w:rPr>
          <w:spacing w:val="-4"/>
        </w:rPr>
        <w:t> </w:t>
      </w:r>
      <w:r>
        <w:rPr/>
        <w:t>Green</w:t>
      </w:r>
      <w:r>
        <w:rPr>
          <w:spacing w:val="-4"/>
        </w:rPr>
        <w:t> </w:t>
      </w:r>
      <w:r>
        <w:rPr/>
        <w:t>Party</w:t>
      </w:r>
      <w:r>
        <w:rPr>
          <w:spacing w:val="-3"/>
        </w:rPr>
        <w:t> </w:t>
      </w:r>
      <w:r>
        <w:rPr/>
        <w:t>AGM</w:t>
      </w:r>
      <w:r>
        <w:rPr>
          <w:spacing w:val="-2"/>
        </w:rPr>
        <w:t> </w:t>
      </w:r>
      <w:r>
        <w:rPr/>
        <w:t>in</w:t>
      </w:r>
      <w:r>
        <w:rPr>
          <w:spacing w:val="-4"/>
        </w:rPr>
        <w:t> </w:t>
      </w:r>
      <w:r>
        <w:rPr/>
        <w:t>2018</w:t>
      </w:r>
      <w:r>
        <w:rPr>
          <w:spacing w:val="-5"/>
        </w:rPr>
        <w:t> </w:t>
      </w:r>
      <w:r>
        <w:rPr/>
        <w:t>that</w:t>
      </w:r>
      <w:r>
        <w:rPr>
          <w:spacing w:val="-4"/>
        </w:rPr>
        <w:t> </w:t>
      </w:r>
      <w:r>
        <w:rPr/>
        <w:t>“we</w:t>
      </w:r>
      <w:r>
        <w:rPr>
          <w:spacing w:val="-3"/>
        </w:rPr>
        <w:t> </w:t>
      </w:r>
      <w:r>
        <w:rPr/>
        <w:t>lack a</w:t>
      </w:r>
      <w:r>
        <w:rPr>
          <w:spacing w:val="-5"/>
        </w:rPr>
        <w:t> </w:t>
      </w:r>
      <w:r>
        <w:rPr/>
        <w:t>full</w:t>
      </w:r>
      <w:r>
        <w:rPr>
          <w:spacing w:val="-6"/>
        </w:rPr>
        <w:t> </w:t>
      </w:r>
      <w:r>
        <w:rPr/>
        <w:t>national</w:t>
      </w:r>
      <w:r>
        <w:rPr>
          <w:spacing w:val="-6"/>
        </w:rPr>
        <w:t> </w:t>
      </w:r>
      <w:r>
        <w:rPr/>
        <w:t>picture</w:t>
      </w:r>
      <w:r>
        <w:rPr>
          <w:spacing w:val="-6"/>
        </w:rPr>
        <w:t> </w:t>
      </w:r>
      <w:r>
        <w:rPr/>
        <w:t>of</w:t>
      </w:r>
      <w:r>
        <w:rPr>
          <w:spacing w:val="-5"/>
        </w:rPr>
        <w:t> </w:t>
      </w:r>
      <w:r>
        <w:rPr/>
        <w:t>what</w:t>
      </w:r>
      <w:r>
        <w:rPr>
          <w:spacing w:val="-6"/>
        </w:rPr>
        <w:t> </w:t>
      </w:r>
      <w:r>
        <w:rPr/>
        <w:t>is</w:t>
      </w:r>
      <w:r>
        <w:rPr>
          <w:spacing w:val="-4"/>
        </w:rPr>
        <w:t> </w:t>
      </w:r>
      <w:r>
        <w:rPr/>
        <w:t>going</w:t>
      </w:r>
      <w:r>
        <w:rPr>
          <w:spacing w:val="-6"/>
        </w:rPr>
        <w:t> </w:t>
      </w:r>
      <w:r>
        <w:rPr/>
        <w:t>to</w:t>
      </w:r>
      <w:r>
        <w:rPr>
          <w:spacing w:val="-5"/>
        </w:rPr>
        <w:t> </w:t>
      </w:r>
      <w:r>
        <w:rPr/>
        <w:t>landfill,</w:t>
      </w:r>
      <w:r>
        <w:rPr>
          <w:spacing w:val="-5"/>
        </w:rPr>
        <w:t> </w:t>
      </w:r>
      <w:r>
        <w:rPr/>
        <w:t>and</w:t>
      </w:r>
      <w:r>
        <w:rPr>
          <w:spacing w:val="-6"/>
        </w:rPr>
        <w:t> </w:t>
      </w:r>
      <w:r>
        <w:rPr/>
        <w:t>what</w:t>
      </w:r>
      <w:r>
        <w:rPr>
          <w:spacing w:val="-5"/>
        </w:rPr>
        <w:t> </w:t>
      </w:r>
      <w:r>
        <w:rPr/>
        <w:t>is</w:t>
      </w:r>
      <w:r>
        <w:rPr>
          <w:spacing w:val="-6"/>
        </w:rPr>
        <w:t> </w:t>
      </w:r>
      <w:r>
        <w:rPr/>
        <w:t>being</w:t>
      </w:r>
      <w:r>
        <w:rPr>
          <w:spacing w:val="-6"/>
        </w:rPr>
        <w:t> </w:t>
      </w:r>
      <w:r>
        <w:rPr/>
        <w:t>recovered</w:t>
      </w:r>
      <w:r>
        <w:rPr>
          <w:spacing w:val="-5"/>
        </w:rPr>
        <w:t> </w:t>
      </w:r>
      <w:r>
        <w:rPr/>
        <w:t>or</w:t>
      </w:r>
      <w:r>
        <w:rPr>
          <w:spacing w:val="-5"/>
        </w:rPr>
        <w:t> </w:t>
      </w:r>
      <w:r>
        <w:rPr/>
        <w:t>recycled,</w:t>
      </w:r>
      <w:r>
        <w:rPr>
          <w:spacing w:val="-5"/>
        </w:rPr>
        <w:t> </w:t>
      </w:r>
      <w:r>
        <w:rPr/>
        <w:t>knowing</w:t>
      </w:r>
      <w:r>
        <w:rPr>
          <w:spacing w:val="-6"/>
        </w:rPr>
        <w:t> </w:t>
      </w:r>
      <w:r>
        <w:rPr/>
        <w:t>this</w:t>
      </w:r>
      <w:r>
        <w:rPr>
          <w:spacing w:val="-4"/>
        </w:rPr>
        <w:t> </w:t>
      </w:r>
      <w:r>
        <w:rPr/>
        <w:t>is</w:t>
      </w:r>
      <w:r>
        <w:rPr>
          <w:spacing w:val="-6"/>
        </w:rPr>
        <w:t> </w:t>
      </w:r>
      <w:r>
        <w:rPr/>
        <w:t>critical if we are to make informed decisions” (as cited in OPMCSA, 2019, p 201). A National Waste Data Strategy developed by WasteMINZ and funded by MfE has not been mandated and in the four years since its voluntary implementation</w:t>
      </w:r>
      <w:r>
        <w:rPr>
          <w:spacing w:val="-3"/>
        </w:rPr>
        <w:t> </w:t>
      </w:r>
      <w:r>
        <w:rPr/>
        <w:t>only</w:t>
      </w:r>
      <w:r>
        <w:rPr>
          <w:spacing w:val="-1"/>
        </w:rPr>
        <w:t> </w:t>
      </w:r>
      <w:r>
        <w:rPr/>
        <w:t>about</w:t>
      </w:r>
      <w:r>
        <w:rPr>
          <w:spacing w:val="-1"/>
        </w:rPr>
        <w:t> </w:t>
      </w:r>
      <w:r>
        <w:rPr/>
        <w:t>one</w:t>
      </w:r>
      <w:r>
        <w:rPr>
          <w:spacing w:val="-4"/>
        </w:rPr>
        <w:t> </w:t>
      </w:r>
      <w:r>
        <w:rPr/>
        <w:t>third</w:t>
      </w:r>
      <w:r>
        <w:rPr>
          <w:spacing w:val="-3"/>
        </w:rPr>
        <w:t> </w:t>
      </w:r>
      <w:r>
        <w:rPr/>
        <w:t>of</w:t>
      </w:r>
      <w:r>
        <w:rPr>
          <w:spacing w:val="-5"/>
        </w:rPr>
        <w:t> </w:t>
      </w:r>
      <w:r>
        <w:rPr/>
        <w:t>local</w:t>
      </w:r>
      <w:r>
        <w:rPr>
          <w:spacing w:val="-3"/>
        </w:rPr>
        <w:t> </w:t>
      </w:r>
      <w:r>
        <w:rPr/>
        <w:t>authorities</w:t>
      </w:r>
      <w:r>
        <w:rPr>
          <w:spacing w:val="-3"/>
        </w:rPr>
        <w:t> </w:t>
      </w:r>
      <w:r>
        <w:rPr/>
        <w:t>are</w:t>
      </w:r>
      <w:r>
        <w:rPr>
          <w:spacing w:val="-4"/>
        </w:rPr>
        <w:t> </w:t>
      </w:r>
      <w:r>
        <w:rPr/>
        <w:t>working</w:t>
      </w:r>
      <w:r>
        <w:rPr>
          <w:spacing w:val="-1"/>
        </w:rPr>
        <w:t> </w:t>
      </w:r>
      <w:r>
        <w:rPr/>
        <w:t>on</w:t>
      </w:r>
      <w:r>
        <w:rPr>
          <w:spacing w:val="-3"/>
        </w:rPr>
        <w:t> </w:t>
      </w:r>
      <w:r>
        <w:rPr/>
        <w:t>fully</w:t>
      </w:r>
      <w:r>
        <w:rPr>
          <w:spacing w:val="-2"/>
        </w:rPr>
        <w:t> </w:t>
      </w:r>
      <w:r>
        <w:rPr/>
        <w:t>implementing</w:t>
      </w:r>
      <w:r>
        <w:rPr>
          <w:spacing w:val="-3"/>
        </w:rPr>
        <w:t> </w:t>
      </w:r>
      <w:r>
        <w:rPr/>
        <w:t>it</w:t>
      </w:r>
      <w:r>
        <w:rPr>
          <w:spacing w:val="-3"/>
        </w:rPr>
        <w:t> </w:t>
      </w:r>
      <w:r>
        <w:rPr/>
        <w:t>(OPMCSA,</w:t>
      </w:r>
      <w:r>
        <w:rPr>
          <w:spacing w:val="-3"/>
        </w:rPr>
        <w:t> </w:t>
      </w:r>
      <w:r>
        <w:rPr/>
        <w:t>2019).</w:t>
      </w:r>
    </w:p>
    <w:p>
      <w:pPr>
        <w:pStyle w:val="BodyText"/>
        <w:spacing w:line="256" w:lineRule="auto" w:before="160"/>
        <w:ind w:left="560" w:right="113"/>
        <w:jc w:val="both"/>
      </w:pPr>
      <w:r>
        <w:rPr/>
        <w:t>The</w:t>
      </w:r>
      <w:r>
        <w:rPr>
          <w:spacing w:val="-11"/>
        </w:rPr>
        <w:t> </w:t>
      </w:r>
      <w:r>
        <w:rPr/>
        <w:t>Waste</w:t>
      </w:r>
      <w:r>
        <w:rPr>
          <w:spacing w:val="-11"/>
        </w:rPr>
        <w:t> </w:t>
      </w:r>
      <w:r>
        <w:rPr/>
        <w:t>Minimisation</w:t>
      </w:r>
      <w:r>
        <w:rPr>
          <w:spacing w:val="-9"/>
        </w:rPr>
        <w:t> </w:t>
      </w:r>
      <w:r>
        <w:rPr/>
        <w:t>Act</w:t>
      </w:r>
      <w:r>
        <w:rPr>
          <w:spacing w:val="-10"/>
        </w:rPr>
        <w:t> </w:t>
      </w:r>
      <w:r>
        <w:rPr/>
        <w:t>2008</w:t>
      </w:r>
      <w:r>
        <w:rPr>
          <w:spacing w:val="-11"/>
        </w:rPr>
        <w:t> </w:t>
      </w:r>
      <w:r>
        <w:rPr/>
        <w:t>provides</w:t>
      </w:r>
      <w:r>
        <w:rPr>
          <w:spacing w:val="-9"/>
        </w:rPr>
        <w:t> </w:t>
      </w:r>
      <w:r>
        <w:rPr/>
        <w:t>many</w:t>
      </w:r>
      <w:r>
        <w:rPr>
          <w:spacing w:val="-9"/>
        </w:rPr>
        <w:t> </w:t>
      </w:r>
      <w:r>
        <w:rPr/>
        <w:t>opportunities</w:t>
      </w:r>
      <w:r>
        <w:rPr>
          <w:spacing w:val="-9"/>
        </w:rPr>
        <w:t> </w:t>
      </w:r>
      <w:r>
        <w:rPr/>
        <w:t>for</w:t>
      </w:r>
      <w:r>
        <w:rPr>
          <w:spacing w:val="-10"/>
        </w:rPr>
        <w:t> </w:t>
      </w:r>
      <w:r>
        <w:rPr/>
        <w:t>economic</w:t>
      </w:r>
      <w:r>
        <w:rPr>
          <w:spacing w:val="-11"/>
        </w:rPr>
        <w:t> </w:t>
      </w:r>
      <w:r>
        <w:rPr/>
        <w:t>instruments</w:t>
      </w:r>
      <w:r>
        <w:rPr>
          <w:spacing w:val="-9"/>
        </w:rPr>
        <w:t> </w:t>
      </w:r>
      <w:r>
        <w:rPr/>
        <w:t>that</w:t>
      </w:r>
      <w:r>
        <w:rPr>
          <w:spacing w:val="-9"/>
        </w:rPr>
        <w:t> </w:t>
      </w:r>
      <w:r>
        <w:rPr/>
        <w:t>would</w:t>
      </w:r>
      <w:r>
        <w:rPr>
          <w:spacing w:val="-10"/>
        </w:rPr>
        <w:t> </w:t>
      </w:r>
      <w:r>
        <w:rPr/>
        <w:t>incentivise meaningful</w:t>
      </w:r>
      <w:r>
        <w:rPr>
          <w:spacing w:val="-3"/>
        </w:rPr>
        <w:t> </w:t>
      </w:r>
      <w:r>
        <w:rPr/>
        <w:t>resource</w:t>
      </w:r>
      <w:r>
        <w:rPr>
          <w:spacing w:val="-6"/>
        </w:rPr>
        <w:t> </w:t>
      </w:r>
      <w:r>
        <w:rPr/>
        <w:t>recovery</w:t>
      </w:r>
      <w:r>
        <w:rPr>
          <w:spacing w:val="-2"/>
        </w:rPr>
        <w:t> </w:t>
      </w:r>
      <w:r>
        <w:rPr/>
        <w:t>and</w:t>
      </w:r>
      <w:r>
        <w:rPr>
          <w:spacing w:val="-5"/>
        </w:rPr>
        <w:t> </w:t>
      </w:r>
      <w:r>
        <w:rPr/>
        <w:t>diversion</w:t>
      </w:r>
      <w:r>
        <w:rPr>
          <w:spacing w:val="-5"/>
        </w:rPr>
        <w:t> </w:t>
      </w:r>
      <w:r>
        <w:rPr/>
        <w:t>from</w:t>
      </w:r>
      <w:r>
        <w:rPr>
          <w:spacing w:val="-6"/>
        </w:rPr>
        <w:t> </w:t>
      </w:r>
      <w:r>
        <w:rPr/>
        <w:t>landfill</w:t>
      </w:r>
      <w:r>
        <w:rPr>
          <w:spacing w:val="-6"/>
        </w:rPr>
        <w:t> </w:t>
      </w:r>
      <w:r>
        <w:rPr/>
        <w:t>(Blumhardt,</w:t>
      </w:r>
      <w:r>
        <w:rPr>
          <w:spacing w:val="-5"/>
        </w:rPr>
        <w:t> </w:t>
      </w:r>
      <w:r>
        <w:rPr/>
        <w:t>2018),</w:t>
      </w:r>
      <w:r>
        <w:rPr>
          <w:spacing w:val="-5"/>
        </w:rPr>
        <w:t> </w:t>
      </w:r>
      <w:r>
        <w:rPr/>
        <w:t>yet</w:t>
      </w:r>
      <w:r>
        <w:rPr>
          <w:spacing w:val="-3"/>
        </w:rPr>
        <w:t> </w:t>
      </w:r>
      <w:r>
        <w:rPr/>
        <w:t>few</w:t>
      </w:r>
      <w:r>
        <w:rPr>
          <w:spacing w:val="-6"/>
        </w:rPr>
        <w:t> </w:t>
      </w:r>
      <w:r>
        <w:rPr/>
        <w:t>have</w:t>
      </w:r>
      <w:r>
        <w:rPr>
          <w:spacing w:val="-4"/>
        </w:rPr>
        <w:t> </w:t>
      </w:r>
      <w:r>
        <w:rPr/>
        <w:t>been</w:t>
      </w:r>
      <w:r>
        <w:rPr>
          <w:spacing w:val="-5"/>
        </w:rPr>
        <w:t> </w:t>
      </w:r>
      <w:r>
        <w:rPr/>
        <w:t>utilised</w:t>
      </w:r>
      <w:r>
        <w:rPr>
          <w:spacing w:val="-5"/>
        </w:rPr>
        <w:t> </w:t>
      </w:r>
      <w:r>
        <w:rPr/>
        <w:t>to</w:t>
      </w:r>
      <w:r>
        <w:rPr>
          <w:spacing w:val="-5"/>
        </w:rPr>
        <w:t> </w:t>
      </w:r>
      <w:r>
        <w:rPr/>
        <w:t>date. The three countries with the best municipal waste recycling rates are listed in a 2017 Eunomia report as Germany,</w:t>
      </w:r>
      <w:r>
        <w:rPr>
          <w:spacing w:val="26"/>
        </w:rPr>
        <w:t> </w:t>
      </w:r>
      <w:r>
        <w:rPr/>
        <w:t>Taiwan</w:t>
      </w:r>
      <w:r>
        <w:rPr>
          <w:spacing w:val="26"/>
        </w:rPr>
        <w:t> </w:t>
      </w:r>
      <w:r>
        <w:rPr/>
        <w:t>and</w:t>
      </w:r>
      <w:r>
        <w:rPr>
          <w:spacing w:val="26"/>
        </w:rPr>
        <w:t> </w:t>
      </w:r>
      <w:r>
        <w:rPr/>
        <w:t>Wales.</w:t>
      </w:r>
      <w:r>
        <w:rPr>
          <w:spacing w:val="33"/>
        </w:rPr>
        <w:t> </w:t>
      </w:r>
      <w:r>
        <w:rPr/>
        <w:t>The</w:t>
      </w:r>
      <w:r>
        <w:rPr>
          <w:spacing w:val="25"/>
        </w:rPr>
        <w:t> </w:t>
      </w:r>
      <w:r>
        <w:rPr/>
        <w:t>report</w:t>
      </w:r>
      <w:r>
        <w:rPr>
          <w:spacing w:val="26"/>
        </w:rPr>
        <w:t> </w:t>
      </w:r>
      <w:r>
        <w:rPr/>
        <w:t>notes</w:t>
      </w:r>
      <w:r>
        <w:rPr>
          <w:spacing w:val="26"/>
        </w:rPr>
        <w:t> </w:t>
      </w:r>
      <w:r>
        <w:rPr/>
        <w:t>that</w:t>
      </w:r>
      <w:r>
        <w:rPr>
          <w:spacing w:val="26"/>
        </w:rPr>
        <w:t> </w:t>
      </w:r>
      <w:r>
        <w:rPr/>
        <w:t>Wales</w:t>
      </w:r>
      <w:r>
        <w:rPr>
          <w:spacing w:val="26"/>
        </w:rPr>
        <w:t> </w:t>
      </w:r>
      <w:r>
        <w:rPr/>
        <w:t>uses</w:t>
      </w:r>
      <w:r>
        <w:rPr>
          <w:spacing w:val="24"/>
        </w:rPr>
        <w:t> </w:t>
      </w:r>
      <w:r>
        <w:rPr/>
        <w:t>binding</w:t>
      </w:r>
      <w:r>
        <w:rPr>
          <w:spacing w:val="25"/>
        </w:rPr>
        <w:t> </w:t>
      </w:r>
      <w:r>
        <w:rPr/>
        <w:t>resource</w:t>
      </w:r>
      <w:r>
        <w:rPr>
          <w:spacing w:val="24"/>
        </w:rPr>
        <w:t> </w:t>
      </w:r>
      <w:r>
        <w:rPr/>
        <w:t>recovery</w:t>
      </w:r>
      <w:r>
        <w:rPr>
          <w:spacing w:val="26"/>
        </w:rPr>
        <w:t> </w:t>
      </w:r>
      <w:r>
        <w:rPr/>
        <w:t>targets</w:t>
      </w:r>
      <w:r>
        <w:rPr>
          <w:spacing w:val="27"/>
        </w:rPr>
        <w:t> </w:t>
      </w:r>
      <w:r>
        <w:rPr/>
        <w:t>for</w:t>
      </w:r>
      <w:r>
        <w:rPr>
          <w:spacing w:val="34"/>
        </w:rPr>
        <w:t> </w:t>
      </w:r>
      <w:r>
        <w:rPr/>
        <w:t>local</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before="60"/>
        <w:ind w:left="560"/>
        <w:jc w:val="both"/>
      </w:pPr>
      <w:r>
        <w:rPr/>
        <w:t>authorities and its performance in reducing and diverting municipal waste is increasing and could overtake</w:t>
      </w:r>
    </w:p>
    <w:p>
      <w:pPr>
        <w:pStyle w:val="BodyText"/>
        <w:spacing w:before="15"/>
        <w:ind w:left="560"/>
        <w:jc w:val="both"/>
      </w:pPr>
      <w:r>
        <w:rPr/>
        <w:t>Germany’s performance (</w:t>
      </w:r>
      <w:hyperlink r:id="rId12">
        <w:r>
          <w:rPr/>
          <w:t>Papineschi,</w:t>
        </w:r>
      </w:hyperlink>
      <w:r>
        <w:rPr/>
        <w:t> 2017).</w:t>
      </w:r>
    </w:p>
    <w:p>
      <w:pPr>
        <w:pStyle w:val="Heading2"/>
        <w:numPr>
          <w:ilvl w:val="1"/>
          <w:numId w:val="7"/>
        </w:numPr>
        <w:tabs>
          <w:tab w:pos="2000" w:val="left" w:leader="none"/>
          <w:tab w:pos="2001" w:val="left" w:leader="none"/>
        </w:tabs>
        <w:spacing w:line="240" w:lineRule="auto" w:before="174" w:after="0"/>
        <w:ind w:left="2000" w:right="0" w:hanging="1080"/>
        <w:jc w:val="left"/>
        <w:rPr>
          <w:b w:val="0"/>
        </w:rPr>
      </w:pPr>
      <w:bookmarkStart w:name="2.9. Current kerbside collections " w:id="34"/>
      <w:bookmarkEnd w:id="34"/>
      <w:r>
        <w:rPr/>
      </w:r>
      <w:bookmarkStart w:name="_bookmark11" w:id="35"/>
      <w:bookmarkEnd w:id="35"/>
      <w:r>
        <w:rPr/>
      </w:r>
      <w:bookmarkStart w:name="_bookmark11" w:id="36"/>
      <w:bookmarkEnd w:id="36"/>
      <w:r>
        <w:rPr>
          <w:b w:val="0"/>
        </w:rPr>
        <w:t>Curren</w:t>
      </w:r>
      <w:r>
        <w:rPr>
          <w:b w:val="0"/>
        </w:rPr>
        <w:t>t kerbside</w:t>
      </w:r>
      <w:r>
        <w:rPr>
          <w:b w:val="0"/>
          <w:spacing w:val="-14"/>
        </w:rPr>
        <w:t> </w:t>
      </w:r>
      <w:r>
        <w:rPr>
          <w:b w:val="0"/>
        </w:rPr>
        <w:t>collections</w:t>
      </w:r>
    </w:p>
    <w:p>
      <w:pPr>
        <w:pStyle w:val="BodyText"/>
        <w:spacing w:line="256" w:lineRule="auto" w:before="242"/>
        <w:ind w:left="560"/>
      </w:pPr>
      <w:r>
        <w:rPr/>
        <w:t>Currently in Aotearoa New Zealand there are a range of collection methodologies used by local authorities and their contractors to collect residual rubbish, recycling and organics.</w:t>
      </w:r>
    </w:p>
    <w:p>
      <w:pPr>
        <w:pStyle w:val="BodyText"/>
        <w:spacing w:line="244" w:lineRule="exact" w:before="159"/>
        <w:ind w:left="560"/>
        <w:jc w:val="both"/>
      </w:pPr>
      <w:r>
        <w:rPr/>
        <w:t>The main types of kerbside collection services offered for the collection of organic materials are:</w:t>
      </w:r>
    </w:p>
    <w:p>
      <w:pPr>
        <w:pStyle w:val="ListParagraph"/>
        <w:numPr>
          <w:ilvl w:val="0"/>
          <w:numId w:val="8"/>
        </w:numPr>
        <w:tabs>
          <w:tab w:pos="1280" w:val="left" w:leader="none"/>
          <w:tab w:pos="1281" w:val="left" w:leader="none"/>
        </w:tabs>
        <w:spacing w:line="240" w:lineRule="auto" w:before="0" w:after="0"/>
        <w:ind w:left="1280" w:right="122" w:hanging="360"/>
        <w:jc w:val="left"/>
        <w:rPr>
          <w:sz w:val="20"/>
        </w:rPr>
      </w:pPr>
      <w:r>
        <w:rPr>
          <w:sz w:val="20"/>
        </w:rPr>
        <w:t>Food only collected in 23-litre bins, sometimes with a food caddy provided (and sometimes free or council approved corn starch</w:t>
      </w:r>
      <w:r>
        <w:rPr>
          <w:spacing w:val="-6"/>
          <w:sz w:val="20"/>
        </w:rPr>
        <w:t> </w:t>
      </w:r>
      <w:r>
        <w:rPr>
          <w:sz w:val="20"/>
        </w:rPr>
        <w:t>bags)</w:t>
      </w:r>
    </w:p>
    <w:p>
      <w:pPr>
        <w:pStyle w:val="ListParagraph"/>
        <w:numPr>
          <w:ilvl w:val="0"/>
          <w:numId w:val="8"/>
        </w:numPr>
        <w:tabs>
          <w:tab w:pos="1280" w:val="left" w:leader="none"/>
          <w:tab w:pos="1281" w:val="left" w:leader="none"/>
        </w:tabs>
        <w:spacing w:line="254" w:lineRule="exact" w:before="0" w:after="0"/>
        <w:ind w:left="1280" w:right="0" w:hanging="360"/>
        <w:jc w:val="left"/>
        <w:rPr>
          <w:sz w:val="20"/>
        </w:rPr>
      </w:pPr>
      <w:r>
        <w:rPr>
          <w:sz w:val="20"/>
        </w:rPr>
        <w:t>Food and greenwaste collected together in 80-litre bins with options for larger (up to 240-litre</w:t>
      </w:r>
      <w:r>
        <w:rPr>
          <w:spacing w:val="-29"/>
          <w:sz w:val="20"/>
        </w:rPr>
        <w:t> </w:t>
      </w:r>
      <w:r>
        <w:rPr>
          <w:sz w:val="20"/>
        </w:rPr>
        <w:t>bins)</w:t>
      </w:r>
    </w:p>
    <w:p>
      <w:pPr>
        <w:pStyle w:val="ListParagraph"/>
        <w:numPr>
          <w:ilvl w:val="0"/>
          <w:numId w:val="8"/>
        </w:numPr>
        <w:tabs>
          <w:tab w:pos="1280" w:val="left" w:leader="none"/>
          <w:tab w:pos="1281" w:val="left" w:leader="none"/>
        </w:tabs>
        <w:spacing w:line="240" w:lineRule="auto" w:before="2" w:after="0"/>
        <w:ind w:left="1280" w:right="0" w:hanging="360"/>
        <w:jc w:val="left"/>
        <w:rPr>
          <w:sz w:val="20"/>
        </w:rPr>
      </w:pPr>
      <w:r>
        <w:rPr>
          <w:sz w:val="20"/>
        </w:rPr>
        <w:t>Greenwaste only collected in 240-litre</w:t>
      </w:r>
      <w:r>
        <w:rPr>
          <w:spacing w:val="-13"/>
          <w:sz w:val="20"/>
        </w:rPr>
        <w:t> </w:t>
      </w:r>
      <w:r>
        <w:rPr>
          <w:sz w:val="20"/>
        </w:rPr>
        <w:t>bins</w:t>
      </w:r>
    </w:p>
    <w:p>
      <w:pPr>
        <w:pStyle w:val="BodyText"/>
        <w:spacing w:before="158"/>
        <w:ind w:left="560"/>
        <w:jc w:val="both"/>
      </w:pPr>
      <w:r>
        <w:rPr/>
        <w:t>The main types of kerbside collection services offered for the collection of recyclable materials are:</w:t>
      </w:r>
    </w:p>
    <w:p>
      <w:pPr>
        <w:pStyle w:val="ListParagraph"/>
        <w:numPr>
          <w:ilvl w:val="0"/>
          <w:numId w:val="8"/>
        </w:numPr>
        <w:tabs>
          <w:tab w:pos="1280" w:val="left" w:leader="none"/>
          <w:tab w:pos="1281" w:val="left" w:leader="none"/>
        </w:tabs>
        <w:spacing w:line="256" w:lineRule="auto" w:before="176" w:after="0"/>
        <w:ind w:left="1280" w:right="126" w:hanging="360"/>
        <w:jc w:val="left"/>
        <w:rPr>
          <w:sz w:val="20"/>
        </w:rPr>
      </w:pPr>
      <w:r>
        <w:rPr>
          <w:sz w:val="20"/>
        </w:rPr>
        <w:t>Comingled</w:t>
      </w:r>
      <w:r>
        <w:rPr>
          <w:spacing w:val="-3"/>
          <w:sz w:val="20"/>
        </w:rPr>
        <w:t> </w:t>
      </w:r>
      <w:r>
        <w:rPr>
          <w:sz w:val="20"/>
        </w:rPr>
        <w:t>(using</w:t>
      </w:r>
      <w:r>
        <w:rPr>
          <w:spacing w:val="-4"/>
          <w:sz w:val="20"/>
        </w:rPr>
        <w:t> </w:t>
      </w:r>
      <w:r>
        <w:rPr>
          <w:sz w:val="20"/>
        </w:rPr>
        <w:t>wheelie</w:t>
      </w:r>
      <w:r>
        <w:rPr>
          <w:spacing w:val="-5"/>
          <w:sz w:val="20"/>
        </w:rPr>
        <w:t> </w:t>
      </w:r>
      <w:r>
        <w:rPr>
          <w:sz w:val="20"/>
        </w:rPr>
        <w:t>bins</w:t>
      </w:r>
      <w:r>
        <w:rPr>
          <w:spacing w:val="-3"/>
          <w:sz w:val="20"/>
        </w:rPr>
        <w:t> </w:t>
      </w:r>
      <w:r>
        <w:rPr>
          <w:sz w:val="20"/>
        </w:rPr>
        <w:t>or</w:t>
      </w:r>
      <w:r>
        <w:rPr>
          <w:spacing w:val="-3"/>
          <w:sz w:val="20"/>
        </w:rPr>
        <w:t> </w:t>
      </w:r>
      <w:r>
        <w:rPr>
          <w:sz w:val="20"/>
        </w:rPr>
        <w:t>crates)</w:t>
      </w:r>
      <w:r>
        <w:rPr>
          <w:spacing w:val="-4"/>
          <w:sz w:val="20"/>
        </w:rPr>
        <w:t> </w:t>
      </w:r>
      <w:r>
        <w:rPr>
          <w:sz w:val="20"/>
        </w:rPr>
        <w:t>to</w:t>
      </w:r>
      <w:r>
        <w:rPr>
          <w:spacing w:val="-3"/>
          <w:sz w:val="20"/>
        </w:rPr>
        <w:t> </w:t>
      </w:r>
      <w:r>
        <w:rPr>
          <w:sz w:val="20"/>
        </w:rPr>
        <w:t>collect</w:t>
      </w:r>
      <w:r>
        <w:rPr>
          <w:spacing w:val="-3"/>
          <w:sz w:val="20"/>
        </w:rPr>
        <w:t> </w:t>
      </w:r>
      <w:r>
        <w:rPr>
          <w:sz w:val="20"/>
        </w:rPr>
        <w:t>paper,</w:t>
      </w:r>
      <w:r>
        <w:rPr>
          <w:spacing w:val="-3"/>
          <w:sz w:val="20"/>
        </w:rPr>
        <w:t> </w:t>
      </w:r>
      <w:r>
        <w:rPr>
          <w:sz w:val="20"/>
        </w:rPr>
        <w:t>cardboard,</w:t>
      </w:r>
      <w:r>
        <w:rPr>
          <w:spacing w:val="-3"/>
          <w:sz w:val="20"/>
        </w:rPr>
        <w:t> </w:t>
      </w:r>
      <w:r>
        <w:rPr>
          <w:sz w:val="20"/>
        </w:rPr>
        <w:t>glass,</w:t>
      </w:r>
      <w:r>
        <w:rPr>
          <w:spacing w:val="-3"/>
          <w:sz w:val="20"/>
        </w:rPr>
        <w:t> </w:t>
      </w:r>
      <w:r>
        <w:rPr>
          <w:sz w:val="20"/>
        </w:rPr>
        <w:t>plastic,</w:t>
      </w:r>
      <w:r>
        <w:rPr>
          <w:spacing w:val="-2"/>
          <w:sz w:val="20"/>
        </w:rPr>
        <w:t> </w:t>
      </w:r>
      <w:r>
        <w:rPr>
          <w:sz w:val="20"/>
        </w:rPr>
        <w:t>and</w:t>
      </w:r>
      <w:r>
        <w:rPr>
          <w:spacing w:val="-3"/>
          <w:sz w:val="20"/>
        </w:rPr>
        <w:t> </w:t>
      </w:r>
      <w:r>
        <w:rPr>
          <w:sz w:val="20"/>
        </w:rPr>
        <w:t>aluminium</w:t>
      </w:r>
      <w:r>
        <w:rPr>
          <w:spacing w:val="-4"/>
          <w:sz w:val="20"/>
        </w:rPr>
        <w:t> </w:t>
      </w:r>
      <w:r>
        <w:rPr>
          <w:sz w:val="20"/>
        </w:rPr>
        <w:t>and steel</w:t>
      </w:r>
      <w:r>
        <w:rPr>
          <w:spacing w:val="-5"/>
          <w:sz w:val="20"/>
        </w:rPr>
        <w:t> </w:t>
      </w:r>
      <w:r>
        <w:rPr>
          <w:sz w:val="20"/>
        </w:rPr>
        <w:t>cans.</w:t>
      </w:r>
    </w:p>
    <w:p>
      <w:pPr>
        <w:pStyle w:val="ListParagraph"/>
        <w:numPr>
          <w:ilvl w:val="0"/>
          <w:numId w:val="8"/>
        </w:numPr>
        <w:tabs>
          <w:tab w:pos="1280" w:val="left" w:leader="none"/>
          <w:tab w:pos="1281" w:val="left" w:leader="none"/>
        </w:tabs>
        <w:spacing w:line="256" w:lineRule="auto" w:before="0" w:after="0"/>
        <w:ind w:left="1280" w:right="121" w:hanging="360"/>
        <w:jc w:val="left"/>
        <w:rPr>
          <w:sz w:val="20"/>
        </w:rPr>
      </w:pPr>
      <w:r>
        <w:rPr>
          <w:sz w:val="20"/>
        </w:rPr>
        <w:t>Source separated (using crates) to collect paper/cardboard in one crate, plastic and metal in another crate, and glass in another</w:t>
      </w:r>
      <w:r>
        <w:rPr>
          <w:spacing w:val="-12"/>
          <w:sz w:val="20"/>
        </w:rPr>
        <w:t> </w:t>
      </w:r>
      <w:r>
        <w:rPr>
          <w:sz w:val="20"/>
        </w:rPr>
        <w:t>crate.</w:t>
      </w:r>
    </w:p>
    <w:p>
      <w:pPr>
        <w:pStyle w:val="ListParagraph"/>
        <w:numPr>
          <w:ilvl w:val="0"/>
          <w:numId w:val="8"/>
        </w:numPr>
        <w:tabs>
          <w:tab w:pos="1280" w:val="left" w:leader="none"/>
          <w:tab w:pos="1281" w:val="left" w:leader="none"/>
        </w:tabs>
        <w:spacing w:line="254" w:lineRule="auto" w:before="3" w:after="0"/>
        <w:ind w:left="1280" w:right="122" w:hanging="360"/>
        <w:jc w:val="left"/>
        <w:rPr>
          <w:sz w:val="20"/>
        </w:rPr>
      </w:pPr>
      <w:r>
        <w:rPr>
          <w:sz w:val="20"/>
        </w:rPr>
        <w:t>Two</w:t>
      </w:r>
      <w:r>
        <w:rPr>
          <w:spacing w:val="-5"/>
          <w:sz w:val="20"/>
        </w:rPr>
        <w:t> </w:t>
      </w:r>
      <w:r>
        <w:rPr>
          <w:sz w:val="20"/>
        </w:rPr>
        <w:t>stream</w:t>
      </w:r>
      <w:r>
        <w:rPr>
          <w:spacing w:val="-6"/>
          <w:sz w:val="20"/>
        </w:rPr>
        <w:t> </w:t>
      </w:r>
      <w:r>
        <w:rPr>
          <w:sz w:val="20"/>
        </w:rPr>
        <w:t>(using</w:t>
      </w:r>
      <w:r>
        <w:rPr>
          <w:spacing w:val="-6"/>
          <w:sz w:val="20"/>
        </w:rPr>
        <w:t> </w:t>
      </w:r>
      <w:r>
        <w:rPr>
          <w:sz w:val="20"/>
        </w:rPr>
        <w:t>wheelie</w:t>
      </w:r>
      <w:r>
        <w:rPr>
          <w:spacing w:val="-7"/>
          <w:sz w:val="20"/>
        </w:rPr>
        <w:t> </w:t>
      </w:r>
      <w:r>
        <w:rPr>
          <w:sz w:val="20"/>
        </w:rPr>
        <w:t>bins</w:t>
      </w:r>
      <w:r>
        <w:rPr>
          <w:spacing w:val="-4"/>
          <w:sz w:val="20"/>
        </w:rPr>
        <w:t> </w:t>
      </w:r>
      <w:r>
        <w:rPr>
          <w:sz w:val="20"/>
        </w:rPr>
        <w:t>or</w:t>
      </w:r>
      <w:r>
        <w:rPr>
          <w:spacing w:val="-5"/>
          <w:sz w:val="20"/>
        </w:rPr>
        <w:t> </w:t>
      </w:r>
      <w:r>
        <w:rPr>
          <w:sz w:val="20"/>
        </w:rPr>
        <w:t>crates</w:t>
      </w:r>
      <w:r>
        <w:rPr>
          <w:spacing w:val="-4"/>
          <w:sz w:val="20"/>
        </w:rPr>
        <w:t> </w:t>
      </w:r>
      <w:r>
        <w:rPr>
          <w:sz w:val="20"/>
        </w:rPr>
        <w:t>or</w:t>
      </w:r>
      <w:r>
        <w:rPr>
          <w:spacing w:val="-7"/>
          <w:sz w:val="20"/>
        </w:rPr>
        <w:t> </w:t>
      </w:r>
      <w:r>
        <w:rPr>
          <w:sz w:val="20"/>
        </w:rPr>
        <w:t>a</w:t>
      </w:r>
      <w:r>
        <w:rPr>
          <w:spacing w:val="-5"/>
          <w:sz w:val="20"/>
        </w:rPr>
        <w:t> </w:t>
      </w:r>
      <w:r>
        <w:rPr>
          <w:sz w:val="20"/>
        </w:rPr>
        <w:t>combination</w:t>
      </w:r>
      <w:r>
        <w:rPr>
          <w:spacing w:val="-7"/>
          <w:sz w:val="20"/>
        </w:rPr>
        <w:t> </w:t>
      </w:r>
      <w:r>
        <w:rPr>
          <w:sz w:val="20"/>
        </w:rPr>
        <w:t>of</w:t>
      </w:r>
      <w:r>
        <w:rPr>
          <w:spacing w:val="-6"/>
          <w:sz w:val="20"/>
        </w:rPr>
        <w:t> </w:t>
      </w:r>
      <w:r>
        <w:rPr>
          <w:sz w:val="20"/>
        </w:rPr>
        <w:t>both)</w:t>
      </w:r>
      <w:r>
        <w:rPr>
          <w:spacing w:val="-6"/>
          <w:sz w:val="20"/>
        </w:rPr>
        <w:t> </w:t>
      </w:r>
      <w:r>
        <w:rPr>
          <w:sz w:val="20"/>
        </w:rPr>
        <w:t>to</w:t>
      </w:r>
      <w:r>
        <w:rPr>
          <w:spacing w:val="-5"/>
          <w:sz w:val="20"/>
        </w:rPr>
        <w:t> </w:t>
      </w:r>
      <w:r>
        <w:rPr>
          <w:sz w:val="20"/>
        </w:rPr>
        <w:t>collect</w:t>
      </w:r>
      <w:r>
        <w:rPr>
          <w:spacing w:val="-5"/>
          <w:sz w:val="20"/>
        </w:rPr>
        <w:t> </w:t>
      </w:r>
      <w:r>
        <w:rPr>
          <w:sz w:val="20"/>
        </w:rPr>
        <w:t>paper/cardboard,</w:t>
      </w:r>
      <w:r>
        <w:rPr>
          <w:spacing w:val="-5"/>
          <w:sz w:val="20"/>
        </w:rPr>
        <w:t> </w:t>
      </w:r>
      <w:r>
        <w:rPr>
          <w:sz w:val="20"/>
        </w:rPr>
        <w:t>plastic, metal in one bin or crate and glass collected in a separate bin or</w:t>
      </w:r>
      <w:r>
        <w:rPr>
          <w:spacing w:val="-21"/>
          <w:sz w:val="20"/>
        </w:rPr>
        <w:t> </w:t>
      </w:r>
      <w:r>
        <w:rPr>
          <w:sz w:val="20"/>
        </w:rPr>
        <w:t>crate.</w:t>
      </w:r>
    </w:p>
    <w:p>
      <w:pPr>
        <w:pStyle w:val="BodyText"/>
        <w:spacing w:before="163"/>
        <w:ind w:left="560"/>
        <w:jc w:val="both"/>
      </w:pPr>
      <w:r>
        <w:rPr/>
        <w:t>There are also a range of variations on these systems.</w:t>
      </w:r>
    </w:p>
    <w:p>
      <w:pPr>
        <w:pStyle w:val="BodyText"/>
        <w:spacing w:line="256" w:lineRule="auto" w:before="175"/>
        <w:ind w:left="560" w:right="113"/>
        <w:jc w:val="both"/>
      </w:pPr>
      <w:r>
        <w:rPr/>
        <w:t>The following figures provides an overview of the recycling systems used by the 67 local authorities. Some local authorities use more than one recycling collection system, however only the predominant system per local authority is listed.</w:t>
      </w:r>
    </w:p>
    <w:p>
      <w:pPr>
        <w:pStyle w:val="BodyText"/>
        <w:spacing w:before="6"/>
        <w:rPr>
          <w:sz w:val="9"/>
        </w:rPr>
      </w:pPr>
      <w:r>
        <w:rPr/>
        <w:drawing>
          <wp:anchor distT="0" distB="0" distL="0" distR="0" allowOverlap="1" layoutInCell="1" locked="0" behindDoc="0" simplePos="0" relativeHeight="1192">
            <wp:simplePos x="0" y="0"/>
            <wp:positionH relativeFrom="page">
              <wp:posOffset>1463675</wp:posOffset>
            </wp:positionH>
            <wp:positionV relativeFrom="paragraph">
              <wp:posOffset>98599</wp:posOffset>
            </wp:positionV>
            <wp:extent cx="4652438" cy="3253263"/>
            <wp:effectExtent l="0" t="0" r="0" b="0"/>
            <wp:wrapTopAndBottom/>
            <wp:docPr id="9" name="image4.png" descr=""/>
            <wp:cNvGraphicFramePr>
              <a:graphicFrameLocks noChangeAspect="1"/>
            </wp:cNvGraphicFramePr>
            <a:graphic>
              <a:graphicData uri="http://schemas.openxmlformats.org/drawingml/2006/picture">
                <pic:pic>
                  <pic:nvPicPr>
                    <pic:cNvPr id="10" name="image4.png"/>
                    <pic:cNvPicPr/>
                  </pic:nvPicPr>
                  <pic:blipFill>
                    <a:blip r:embed="rId13" cstate="print"/>
                    <a:stretch>
                      <a:fillRect/>
                    </a:stretch>
                  </pic:blipFill>
                  <pic:spPr>
                    <a:xfrm>
                      <a:off x="0" y="0"/>
                      <a:ext cx="4652438" cy="3253263"/>
                    </a:xfrm>
                    <a:prstGeom prst="rect">
                      <a:avLst/>
                    </a:prstGeom>
                  </pic:spPr>
                </pic:pic>
              </a:graphicData>
            </a:graphic>
          </wp:anchor>
        </w:drawing>
      </w:r>
    </w:p>
    <w:p>
      <w:pPr>
        <w:pStyle w:val="Heading5"/>
        <w:spacing w:before="128"/>
        <w:ind w:left="1814" w:right="1380"/>
        <w:jc w:val="center"/>
      </w:pPr>
      <w:r>
        <w:rPr/>
        <w:t>Figure 2.1 – Number of local authorities using each recycling collection system</w:t>
      </w:r>
    </w:p>
    <w:p>
      <w:pPr>
        <w:spacing w:after="0"/>
        <w:jc w:val="center"/>
        <w:sectPr>
          <w:pgSz w:w="11910" w:h="16840"/>
          <w:pgMar w:header="576" w:footer="698" w:top="1140" w:bottom="880" w:left="880" w:right="1320"/>
        </w:sectPr>
      </w:pPr>
    </w:p>
    <w:p>
      <w:pPr>
        <w:pStyle w:val="BodyText"/>
        <w:rPr>
          <w:b/>
        </w:rPr>
      </w:pPr>
    </w:p>
    <w:p>
      <w:pPr>
        <w:pStyle w:val="BodyText"/>
        <w:rPr>
          <w:b/>
        </w:rPr>
      </w:pPr>
    </w:p>
    <w:p>
      <w:pPr>
        <w:pStyle w:val="BodyText"/>
        <w:spacing w:before="3" w:after="1"/>
        <w:rPr>
          <w:b/>
          <w:sz w:val="14"/>
        </w:rPr>
      </w:pPr>
    </w:p>
    <w:p>
      <w:pPr>
        <w:pStyle w:val="BodyText"/>
        <w:ind w:left="1425"/>
      </w:pPr>
      <w:r>
        <w:rPr/>
        <w:drawing>
          <wp:inline distT="0" distB="0" distL="0" distR="0">
            <wp:extent cx="4652803" cy="3253263"/>
            <wp:effectExtent l="0" t="0" r="0" b="0"/>
            <wp:docPr id="11" name="image5.png" descr=""/>
            <wp:cNvGraphicFramePr>
              <a:graphicFrameLocks noChangeAspect="1"/>
            </wp:cNvGraphicFramePr>
            <a:graphic>
              <a:graphicData uri="http://schemas.openxmlformats.org/drawingml/2006/picture">
                <pic:pic>
                  <pic:nvPicPr>
                    <pic:cNvPr id="12" name="image5.png"/>
                    <pic:cNvPicPr/>
                  </pic:nvPicPr>
                  <pic:blipFill>
                    <a:blip r:embed="rId14" cstate="print"/>
                    <a:stretch>
                      <a:fillRect/>
                    </a:stretch>
                  </pic:blipFill>
                  <pic:spPr>
                    <a:xfrm>
                      <a:off x="0" y="0"/>
                      <a:ext cx="4652803" cy="3253263"/>
                    </a:xfrm>
                    <a:prstGeom prst="rect">
                      <a:avLst/>
                    </a:prstGeom>
                  </pic:spPr>
                </pic:pic>
              </a:graphicData>
            </a:graphic>
          </wp:inline>
        </w:drawing>
      </w:r>
      <w:r>
        <w:rPr/>
      </w:r>
    </w:p>
    <w:p>
      <w:pPr>
        <w:pStyle w:val="BodyText"/>
        <w:spacing w:before="11"/>
        <w:rPr>
          <w:b/>
          <w:sz w:val="7"/>
        </w:rPr>
      </w:pPr>
    </w:p>
    <w:p>
      <w:pPr>
        <w:spacing w:before="59"/>
        <w:ind w:left="1558" w:right="0" w:firstLine="0"/>
        <w:jc w:val="left"/>
        <w:rPr>
          <w:b/>
          <w:sz w:val="20"/>
        </w:rPr>
      </w:pPr>
      <w:r>
        <w:rPr>
          <w:b/>
          <w:sz w:val="20"/>
        </w:rPr>
        <w:t>Figure 2.2 – Percentage of population with access to each recycling collection system</w:t>
      </w:r>
    </w:p>
    <w:p>
      <w:pPr>
        <w:pStyle w:val="BodyText"/>
        <w:spacing w:line="256" w:lineRule="auto" w:before="175"/>
        <w:ind w:left="560" w:right="116"/>
        <w:jc w:val="both"/>
      </w:pPr>
      <w:r>
        <w:rPr/>
        <w:t>Eleven local authorities (16%) have comingled recycling wheelie bin collections that include glass, though these local authorities represent 47% of the population. In contrast, 44 local authorities (66%) have a separate glass collection or a kerbside glass sort and represent 43% of the population.</w:t>
      </w:r>
    </w:p>
    <w:p>
      <w:pPr>
        <w:pStyle w:val="BodyText"/>
        <w:spacing w:line="256" w:lineRule="auto" w:before="158"/>
        <w:ind w:left="560" w:right="117"/>
        <w:jc w:val="both"/>
      </w:pPr>
      <w:r>
        <w:rPr/>
        <w:t>Materials set out in wheelie bins are predominantly collected by side loader trucks and transported to MRF to be sorted into their individual material components, and to remove any materials that are not recyclable (contamination).</w:t>
      </w:r>
    </w:p>
    <w:p>
      <w:pPr>
        <w:pStyle w:val="BodyText"/>
        <w:spacing w:line="256" w:lineRule="auto" w:before="160"/>
        <w:ind w:left="560" w:right="116"/>
        <w:jc w:val="both"/>
      </w:pPr>
      <w:r>
        <w:rPr/>
        <w:t>Crates are sorted at the kerbside or on the back of the truck into their different material components. When sorted</w:t>
      </w:r>
      <w:r>
        <w:rPr>
          <w:spacing w:val="-5"/>
        </w:rPr>
        <w:t> </w:t>
      </w:r>
      <w:r>
        <w:rPr/>
        <w:t>at</w:t>
      </w:r>
      <w:r>
        <w:rPr>
          <w:spacing w:val="-5"/>
        </w:rPr>
        <w:t> </w:t>
      </w:r>
      <w:r>
        <w:rPr/>
        <w:t>the</w:t>
      </w:r>
      <w:r>
        <w:rPr>
          <w:spacing w:val="-6"/>
        </w:rPr>
        <w:t> </w:t>
      </w:r>
      <w:r>
        <w:rPr/>
        <w:t>kerbside,</w:t>
      </w:r>
      <w:r>
        <w:rPr>
          <w:spacing w:val="-6"/>
        </w:rPr>
        <w:t> </w:t>
      </w:r>
      <w:r>
        <w:rPr/>
        <w:t>non-recyclable</w:t>
      </w:r>
      <w:r>
        <w:rPr>
          <w:spacing w:val="-6"/>
        </w:rPr>
        <w:t> </w:t>
      </w:r>
      <w:r>
        <w:rPr/>
        <w:t>or</w:t>
      </w:r>
      <w:r>
        <w:rPr>
          <w:spacing w:val="-5"/>
        </w:rPr>
        <w:t> </w:t>
      </w:r>
      <w:r>
        <w:rPr/>
        <w:t>heavily</w:t>
      </w:r>
      <w:r>
        <w:rPr>
          <w:spacing w:val="-5"/>
        </w:rPr>
        <w:t> </w:t>
      </w:r>
      <w:r>
        <w:rPr/>
        <w:t>contaminated</w:t>
      </w:r>
      <w:r>
        <w:rPr>
          <w:spacing w:val="-5"/>
        </w:rPr>
        <w:t> </w:t>
      </w:r>
      <w:r>
        <w:rPr/>
        <w:t>(i.e.</w:t>
      </w:r>
      <w:r>
        <w:rPr>
          <w:spacing w:val="-5"/>
        </w:rPr>
        <w:t> </w:t>
      </w:r>
      <w:r>
        <w:rPr/>
        <w:t>with</w:t>
      </w:r>
      <w:r>
        <w:rPr>
          <w:spacing w:val="-5"/>
        </w:rPr>
        <w:t> </w:t>
      </w:r>
      <w:r>
        <w:rPr/>
        <w:t>food)</w:t>
      </w:r>
      <w:r>
        <w:rPr>
          <w:spacing w:val="-6"/>
        </w:rPr>
        <w:t> </w:t>
      </w:r>
      <w:r>
        <w:rPr/>
        <w:t>items</w:t>
      </w:r>
      <w:r>
        <w:rPr>
          <w:spacing w:val="-4"/>
        </w:rPr>
        <w:t> </w:t>
      </w:r>
      <w:r>
        <w:rPr/>
        <w:t>are</w:t>
      </w:r>
      <w:r>
        <w:rPr>
          <w:spacing w:val="-4"/>
        </w:rPr>
        <w:t> </w:t>
      </w:r>
      <w:r>
        <w:rPr/>
        <w:t>generally</w:t>
      </w:r>
      <w:r>
        <w:rPr>
          <w:spacing w:val="-5"/>
        </w:rPr>
        <w:t> </w:t>
      </w:r>
      <w:r>
        <w:rPr/>
        <w:t>removed</w:t>
      </w:r>
      <w:r>
        <w:rPr>
          <w:spacing w:val="-5"/>
        </w:rPr>
        <w:t> </w:t>
      </w:r>
      <w:r>
        <w:rPr/>
        <w:t>and left</w:t>
      </w:r>
      <w:r>
        <w:rPr>
          <w:spacing w:val="-11"/>
        </w:rPr>
        <w:t> </w:t>
      </w:r>
      <w:r>
        <w:rPr/>
        <w:t>in</w:t>
      </w:r>
      <w:r>
        <w:rPr>
          <w:spacing w:val="-11"/>
        </w:rPr>
        <w:t> </w:t>
      </w:r>
      <w:r>
        <w:rPr/>
        <w:t>the</w:t>
      </w:r>
      <w:r>
        <w:rPr>
          <w:spacing w:val="-12"/>
        </w:rPr>
        <w:t> </w:t>
      </w:r>
      <w:r>
        <w:rPr/>
        <w:t>bin</w:t>
      </w:r>
      <w:r>
        <w:rPr>
          <w:spacing w:val="-9"/>
        </w:rPr>
        <w:t> </w:t>
      </w:r>
      <w:r>
        <w:rPr/>
        <w:t>for</w:t>
      </w:r>
      <w:r>
        <w:rPr>
          <w:spacing w:val="-12"/>
        </w:rPr>
        <w:t> </w:t>
      </w:r>
      <w:r>
        <w:rPr/>
        <w:t>the</w:t>
      </w:r>
      <w:r>
        <w:rPr>
          <w:spacing w:val="-12"/>
        </w:rPr>
        <w:t> </w:t>
      </w:r>
      <w:r>
        <w:rPr/>
        <w:t>householder</w:t>
      </w:r>
      <w:r>
        <w:rPr>
          <w:spacing w:val="-12"/>
        </w:rPr>
        <w:t> </w:t>
      </w:r>
      <w:r>
        <w:rPr/>
        <w:t>to</w:t>
      </w:r>
      <w:r>
        <w:rPr>
          <w:spacing w:val="-11"/>
        </w:rPr>
        <w:t> </w:t>
      </w:r>
      <w:r>
        <w:rPr/>
        <w:t>dispose</w:t>
      </w:r>
      <w:r>
        <w:rPr>
          <w:spacing w:val="-12"/>
        </w:rPr>
        <w:t> </w:t>
      </w:r>
      <w:r>
        <w:rPr/>
        <w:t>of.</w:t>
      </w:r>
      <w:r>
        <w:rPr>
          <w:spacing w:val="23"/>
        </w:rPr>
        <w:t> </w:t>
      </w:r>
      <w:r>
        <w:rPr/>
        <w:t>Glass</w:t>
      </w:r>
      <w:r>
        <w:rPr>
          <w:spacing w:val="-10"/>
        </w:rPr>
        <w:t> </w:t>
      </w:r>
      <w:r>
        <w:rPr/>
        <w:t>collected</w:t>
      </w:r>
      <w:r>
        <w:rPr>
          <w:spacing w:val="-11"/>
        </w:rPr>
        <w:t> </w:t>
      </w:r>
      <w:r>
        <w:rPr/>
        <w:t>in</w:t>
      </w:r>
      <w:r>
        <w:rPr>
          <w:spacing w:val="-11"/>
        </w:rPr>
        <w:t> </w:t>
      </w:r>
      <w:r>
        <w:rPr/>
        <w:t>a</w:t>
      </w:r>
      <w:r>
        <w:rPr>
          <w:spacing w:val="-11"/>
        </w:rPr>
        <w:t> </w:t>
      </w:r>
      <w:r>
        <w:rPr/>
        <w:t>crate</w:t>
      </w:r>
      <w:r>
        <w:rPr>
          <w:spacing w:val="-12"/>
        </w:rPr>
        <w:t> </w:t>
      </w:r>
      <w:r>
        <w:rPr/>
        <w:t>is</w:t>
      </w:r>
      <w:r>
        <w:rPr>
          <w:spacing w:val="-11"/>
        </w:rPr>
        <w:t> </w:t>
      </w:r>
      <w:r>
        <w:rPr/>
        <w:t>usually</w:t>
      </w:r>
      <w:r>
        <w:rPr>
          <w:spacing w:val="-10"/>
        </w:rPr>
        <w:t> </w:t>
      </w:r>
      <w:r>
        <w:rPr/>
        <w:t>colour</w:t>
      </w:r>
      <w:r>
        <w:rPr>
          <w:spacing w:val="-12"/>
        </w:rPr>
        <w:t> </w:t>
      </w:r>
      <w:r>
        <w:rPr/>
        <w:t>sorted</w:t>
      </w:r>
      <w:r>
        <w:rPr>
          <w:spacing w:val="-11"/>
        </w:rPr>
        <w:t> </w:t>
      </w:r>
      <w:r>
        <w:rPr/>
        <w:t>at</w:t>
      </w:r>
      <w:r>
        <w:rPr>
          <w:spacing w:val="-11"/>
        </w:rPr>
        <w:t> </w:t>
      </w:r>
      <w:r>
        <w:rPr/>
        <w:t>the</w:t>
      </w:r>
      <w:r>
        <w:rPr>
          <w:spacing w:val="-12"/>
        </w:rPr>
        <w:t> </w:t>
      </w:r>
      <w:r>
        <w:rPr/>
        <w:t>kerbside.</w:t>
      </w:r>
    </w:p>
    <w:p>
      <w:pPr>
        <w:pStyle w:val="BodyText"/>
        <w:spacing w:line="256" w:lineRule="auto" w:before="158"/>
        <w:ind w:left="560" w:right="116"/>
        <w:jc w:val="both"/>
      </w:pPr>
      <w:r>
        <w:rPr/>
        <w:t>While two of Aotearoa New Zealand’s large local authorities (Auckland and Christchurch) still collect glass comingled in wheelie bins, many local authorities have moved away from collecting glass comingled with other materials</w:t>
      </w:r>
      <w:r>
        <w:rPr>
          <w:spacing w:val="-6"/>
        </w:rPr>
        <w:t> </w:t>
      </w:r>
      <w:r>
        <w:rPr/>
        <w:t>in</w:t>
      </w:r>
      <w:r>
        <w:rPr>
          <w:spacing w:val="-7"/>
        </w:rPr>
        <w:t> </w:t>
      </w:r>
      <w:r>
        <w:rPr/>
        <w:t>recent</w:t>
      </w:r>
      <w:r>
        <w:rPr>
          <w:spacing w:val="-7"/>
        </w:rPr>
        <w:t> </w:t>
      </w:r>
      <w:r>
        <w:rPr/>
        <w:t>years.</w:t>
      </w:r>
      <w:r>
        <w:rPr>
          <w:spacing w:val="32"/>
        </w:rPr>
        <w:t> </w:t>
      </w:r>
      <w:r>
        <w:rPr/>
        <w:t>Appendix</w:t>
      </w:r>
      <w:r>
        <w:rPr>
          <w:spacing w:val="-7"/>
        </w:rPr>
        <w:t> </w:t>
      </w:r>
      <w:r>
        <w:rPr/>
        <w:t>A</w:t>
      </w:r>
      <w:r>
        <w:rPr>
          <w:spacing w:val="-8"/>
        </w:rPr>
        <w:t> </w:t>
      </w:r>
      <w:r>
        <w:rPr/>
        <w:t>provides</w:t>
      </w:r>
      <w:r>
        <w:rPr>
          <w:spacing w:val="-7"/>
        </w:rPr>
        <w:t> </w:t>
      </w:r>
      <w:r>
        <w:rPr/>
        <w:t>a</w:t>
      </w:r>
      <w:r>
        <w:rPr>
          <w:spacing w:val="-7"/>
        </w:rPr>
        <w:t> </w:t>
      </w:r>
      <w:r>
        <w:rPr/>
        <w:t>map</w:t>
      </w:r>
      <w:r>
        <w:rPr>
          <w:spacing w:val="-7"/>
        </w:rPr>
        <w:t> </w:t>
      </w:r>
      <w:r>
        <w:rPr/>
        <w:t>produced</w:t>
      </w:r>
      <w:r>
        <w:rPr>
          <w:spacing w:val="-7"/>
        </w:rPr>
        <w:t> </w:t>
      </w:r>
      <w:r>
        <w:rPr/>
        <w:t>by</w:t>
      </w:r>
      <w:r>
        <w:rPr>
          <w:spacing w:val="-7"/>
        </w:rPr>
        <w:t> </w:t>
      </w:r>
      <w:r>
        <w:rPr/>
        <w:t>the</w:t>
      </w:r>
      <w:r>
        <w:rPr>
          <w:spacing w:val="-8"/>
        </w:rPr>
        <w:t> </w:t>
      </w:r>
      <w:r>
        <w:rPr/>
        <w:t>Glass</w:t>
      </w:r>
      <w:r>
        <w:rPr>
          <w:spacing w:val="-7"/>
        </w:rPr>
        <w:t> </w:t>
      </w:r>
      <w:r>
        <w:rPr/>
        <w:t>Packaging</w:t>
      </w:r>
      <w:r>
        <w:rPr>
          <w:spacing w:val="-8"/>
        </w:rPr>
        <w:t> </w:t>
      </w:r>
      <w:r>
        <w:rPr/>
        <w:t>Forum</w:t>
      </w:r>
      <w:r>
        <w:rPr>
          <w:spacing w:val="-8"/>
        </w:rPr>
        <w:t> </w:t>
      </w:r>
      <w:r>
        <w:rPr/>
        <w:t>showing</w:t>
      </w:r>
      <w:r>
        <w:rPr>
          <w:spacing w:val="-3"/>
        </w:rPr>
        <w:t> </w:t>
      </w:r>
      <w:r>
        <w:rPr/>
        <w:t>the</w:t>
      </w:r>
      <w:r>
        <w:rPr>
          <w:spacing w:val="-8"/>
        </w:rPr>
        <w:t> </w:t>
      </w:r>
      <w:r>
        <w:rPr/>
        <w:t>local authorities that have separate glass collections as of May</w:t>
      </w:r>
      <w:r>
        <w:rPr>
          <w:spacing w:val="-20"/>
        </w:rPr>
        <w:t> </w:t>
      </w:r>
      <w:r>
        <w:rPr/>
        <w:t>2020.</w:t>
      </w:r>
    </w:p>
    <w:p>
      <w:pPr>
        <w:pStyle w:val="BodyText"/>
        <w:spacing w:before="156"/>
        <w:ind w:left="560"/>
        <w:jc w:val="both"/>
      </w:pPr>
      <w:r>
        <w:rPr/>
        <w:t>The main types of kerbside collection services offered for the collection of residual household rubbish are:</w:t>
      </w:r>
    </w:p>
    <w:p>
      <w:pPr>
        <w:pStyle w:val="ListParagraph"/>
        <w:numPr>
          <w:ilvl w:val="0"/>
          <w:numId w:val="8"/>
        </w:numPr>
        <w:tabs>
          <w:tab w:pos="1281" w:val="left" w:leader="none"/>
        </w:tabs>
        <w:spacing w:line="240" w:lineRule="auto" w:before="162" w:after="0"/>
        <w:ind w:left="1280" w:right="115" w:hanging="360"/>
        <w:jc w:val="both"/>
        <w:rPr>
          <w:sz w:val="20"/>
        </w:rPr>
      </w:pPr>
      <w:r>
        <w:rPr>
          <w:sz w:val="20"/>
        </w:rPr>
        <w:t>Wheelie bins - these can range in size from 45-240 litres in size and can be collected weekly or fortnightly. They are provided as a rates funded service or user-pays service by local authorities or as  a subscription based service from private</w:t>
      </w:r>
      <w:r>
        <w:rPr>
          <w:spacing w:val="-13"/>
          <w:sz w:val="20"/>
        </w:rPr>
        <w:t> </w:t>
      </w:r>
      <w:r>
        <w:rPr>
          <w:sz w:val="20"/>
        </w:rPr>
        <w:t>contractors.</w:t>
      </w:r>
    </w:p>
    <w:p>
      <w:pPr>
        <w:pStyle w:val="ListParagraph"/>
        <w:numPr>
          <w:ilvl w:val="0"/>
          <w:numId w:val="8"/>
        </w:numPr>
        <w:tabs>
          <w:tab w:pos="1281" w:val="left" w:leader="none"/>
        </w:tabs>
        <w:spacing w:line="240" w:lineRule="auto" w:before="0" w:after="0"/>
        <w:ind w:left="1280" w:right="121" w:hanging="360"/>
        <w:jc w:val="both"/>
        <w:rPr>
          <w:sz w:val="20"/>
        </w:rPr>
      </w:pPr>
      <w:r>
        <w:rPr>
          <w:sz w:val="20"/>
        </w:rPr>
        <w:t>Bags</w:t>
      </w:r>
      <w:r>
        <w:rPr>
          <w:spacing w:val="-8"/>
          <w:sz w:val="20"/>
        </w:rPr>
        <w:t> </w:t>
      </w:r>
      <w:r>
        <w:rPr>
          <w:sz w:val="20"/>
        </w:rPr>
        <w:t>-</w:t>
      </w:r>
      <w:r>
        <w:rPr>
          <w:spacing w:val="-10"/>
          <w:sz w:val="20"/>
        </w:rPr>
        <w:t> </w:t>
      </w:r>
      <w:r>
        <w:rPr>
          <w:sz w:val="20"/>
        </w:rPr>
        <w:t>these</w:t>
      </w:r>
      <w:r>
        <w:rPr>
          <w:spacing w:val="-10"/>
          <w:sz w:val="20"/>
        </w:rPr>
        <w:t> </w:t>
      </w:r>
      <w:r>
        <w:rPr>
          <w:sz w:val="20"/>
        </w:rPr>
        <w:t>are</w:t>
      </w:r>
      <w:r>
        <w:rPr>
          <w:spacing w:val="-7"/>
          <w:sz w:val="20"/>
        </w:rPr>
        <w:t> </w:t>
      </w:r>
      <w:r>
        <w:rPr>
          <w:sz w:val="20"/>
        </w:rPr>
        <w:t>either</w:t>
      </w:r>
      <w:r>
        <w:rPr>
          <w:spacing w:val="-9"/>
          <w:sz w:val="20"/>
        </w:rPr>
        <w:t> </w:t>
      </w:r>
      <w:r>
        <w:rPr>
          <w:sz w:val="20"/>
        </w:rPr>
        <w:t>local</w:t>
      </w:r>
      <w:r>
        <w:rPr>
          <w:spacing w:val="-9"/>
          <w:sz w:val="20"/>
        </w:rPr>
        <w:t> </w:t>
      </w:r>
      <w:r>
        <w:rPr>
          <w:sz w:val="20"/>
        </w:rPr>
        <w:t>authority</w:t>
      </w:r>
      <w:r>
        <w:rPr>
          <w:spacing w:val="-8"/>
          <w:sz w:val="20"/>
        </w:rPr>
        <w:t> </w:t>
      </w:r>
      <w:r>
        <w:rPr>
          <w:sz w:val="20"/>
        </w:rPr>
        <w:t>or</w:t>
      </w:r>
      <w:r>
        <w:rPr>
          <w:spacing w:val="-9"/>
          <w:sz w:val="20"/>
        </w:rPr>
        <w:t> </w:t>
      </w:r>
      <w:r>
        <w:rPr>
          <w:sz w:val="20"/>
        </w:rPr>
        <w:t>private</w:t>
      </w:r>
      <w:r>
        <w:rPr>
          <w:spacing w:val="-10"/>
          <w:sz w:val="20"/>
        </w:rPr>
        <w:t> </w:t>
      </w:r>
      <w:r>
        <w:rPr>
          <w:sz w:val="20"/>
        </w:rPr>
        <w:t>contractor</w:t>
      </w:r>
      <w:r>
        <w:rPr>
          <w:spacing w:val="-6"/>
          <w:sz w:val="20"/>
        </w:rPr>
        <w:t> </w:t>
      </w:r>
      <w:r>
        <w:rPr>
          <w:sz w:val="20"/>
        </w:rPr>
        <w:t>branded</w:t>
      </w:r>
      <w:r>
        <w:rPr>
          <w:spacing w:val="-9"/>
          <w:sz w:val="20"/>
        </w:rPr>
        <w:t> </w:t>
      </w:r>
      <w:r>
        <w:rPr>
          <w:sz w:val="20"/>
        </w:rPr>
        <w:t>prepay</w:t>
      </w:r>
      <w:r>
        <w:rPr>
          <w:spacing w:val="-8"/>
          <w:sz w:val="20"/>
        </w:rPr>
        <w:t> </w:t>
      </w:r>
      <w:r>
        <w:rPr>
          <w:sz w:val="20"/>
        </w:rPr>
        <w:t>bags</w:t>
      </w:r>
      <w:r>
        <w:rPr>
          <w:spacing w:val="-8"/>
          <w:sz w:val="20"/>
        </w:rPr>
        <w:t> </w:t>
      </w:r>
      <w:r>
        <w:rPr>
          <w:sz w:val="20"/>
        </w:rPr>
        <w:t>that</w:t>
      </w:r>
      <w:r>
        <w:rPr>
          <w:spacing w:val="-8"/>
          <w:sz w:val="20"/>
        </w:rPr>
        <w:t> </w:t>
      </w:r>
      <w:r>
        <w:rPr>
          <w:sz w:val="20"/>
        </w:rPr>
        <w:t>range</w:t>
      </w:r>
      <w:r>
        <w:rPr>
          <w:spacing w:val="-10"/>
          <w:sz w:val="20"/>
        </w:rPr>
        <w:t> </w:t>
      </w:r>
      <w:r>
        <w:rPr>
          <w:sz w:val="20"/>
        </w:rPr>
        <w:t>in</w:t>
      </w:r>
      <w:r>
        <w:rPr>
          <w:spacing w:val="-9"/>
          <w:sz w:val="20"/>
        </w:rPr>
        <w:t> </w:t>
      </w:r>
      <w:r>
        <w:rPr>
          <w:sz w:val="20"/>
        </w:rPr>
        <w:t>size</w:t>
      </w:r>
      <w:r>
        <w:rPr>
          <w:spacing w:val="-8"/>
          <w:sz w:val="20"/>
        </w:rPr>
        <w:t> </w:t>
      </w:r>
      <w:r>
        <w:rPr>
          <w:sz w:val="20"/>
        </w:rPr>
        <w:t>from 30-65 litres, or householder provided bags that require a prepay</w:t>
      </w:r>
      <w:r>
        <w:rPr>
          <w:spacing w:val="-21"/>
          <w:sz w:val="20"/>
        </w:rPr>
        <w:t> </w:t>
      </w:r>
      <w:r>
        <w:rPr>
          <w:sz w:val="20"/>
        </w:rPr>
        <w:t>sticker.</w:t>
      </w:r>
    </w:p>
    <w:p>
      <w:pPr>
        <w:pStyle w:val="Heading2"/>
        <w:numPr>
          <w:ilvl w:val="1"/>
          <w:numId w:val="7"/>
        </w:numPr>
        <w:tabs>
          <w:tab w:pos="2000" w:val="left" w:leader="none"/>
          <w:tab w:pos="2001" w:val="left" w:leader="none"/>
        </w:tabs>
        <w:spacing w:line="240" w:lineRule="auto" w:before="161" w:after="0"/>
        <w:ind w:left="2000" w:right="0" w:hanging="1080"/>
        <w:jc w:val="left"/>
        <w:rPr>
          <w:b w:val="0"/>
        </w:rPr>
      </w:pPr>
      <w:bookmarkStart w:name="2.10. Geographic constraints " w:id="37"/>
      <w:bookmarkEnd w:id="37"/>
      <w:r>
        <w:rPr/>
      </w:r>
      <w:bookmarkStart w:name="_bookmark12" w:id="38"/>
      <w:bookmarkEnd w:id="38"/>
      <w:r>
        <w:rPr/>
      </w:r>
      <w:bookmarkStart w:name="_bookmark12" w:id="39"/>
      <w:bookmarkEnd w:id="39"/>
      <w:r>
        <w:rPr>
          <w:b w:val="0"/>
        </w:rPr>
        <w:t>Ge</w:t>
      </w:r>
      <w:r>
        <w:rPr>
          <w:b w:val="0"/>
        </w:rPr>
        <w:t>ographic</w:t>
      </w:r>
      <w:r>
        <w:rPr>
          <w:b w:val="0"/>
          <w:spacing w:val="-10"/>
        </w:rPr>
        <w:t> </w:t>
      </w:r>
      <w:r>
        <w:rPr>
          <w:b w:val="0"/>
        </w:rPr>
        <w:t>constraints</w:t>
      </w:r>
    </w:p>
    <w:p>
      <w:pPr>
        <w:pStyle w:val="BodyText"/>
        <w:spacing w:line="256" w:lineRule="auto" w:before="242"/>
        <w:ind w:left="560" w:right="117"/>
        <w:jc w:val="both"/>
      </w:pPr>
      <w:r>
        <w:rPr/>
        <w:t>Aotearoa New Zealand is a long slender island nation with what is often called ‘the most expensive stretch of water in the world’ between the two main islands. This unique geography, coupled with its relatively small population, leads to challenges in freighting recyclate across the country. While plastic can generally be affordably freighted to the North Island from the South Island (and vice versa), shipping glass from some  parts</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4" w:lineRule="auto" w:before="60"/>
        <w:ind w:left="560" w:right="118"/>
        <w:jc w:val="both"/>
      </w:pPr>
      <w:r>
        <w:rPr/>
        <w:t>of the South Island to Auckland is currently cost prohibitive and a lack of competition for glass recyclate compounds the issue.</w:t>
      </w:r>
    </w:p>
    <w:p>
      <w:pPr>
        <w:pStyle w:val="BodyText"/>
        <w:spacing w:line="256" w:lineRule="auto" w:before="161"/>
        <w:ind w:left="560" w:right="117"/>
        <w:jc w:val="both"/>
      </w:pPr>
      <w:r>
        <w:rPr/>
        <w:t>Some</w:t>
      </w:r>
      <w:r>
        <w:rPr>
          <w:spacing w:val="-10"/>
        </w:rPr>
        <w:t> </w:t>
      </w:r>
      <w:r>
        <w:rPr/>
        <w:t>regions</w:t>
      </w:r>
      <w:r>
        <w:rPr>
          <w:spacing w:val="-10"/>
        </w:rPr>
        <w:t> </w:t>
      </w:r>
      <w:r>
        <w:rPr/>
        <w:t>are</w:t>
      </w:r>
      <w:r>
        <w:rPr>
          <w:spacing w:val="-10"/>
        </w:rPr>
        <w:t> </w:t>
      </w:r>
      <w:r>
        <w:rPr/>
        <w:t>fortunate</w:t>
      </w:r>
      <w:r>
        <w:rPr>
          <w:spacing w:val="-12"/>
        </w:rPr>
        <w:t> </w:t>
      </w:r>
      <w:r>
        <w:rPr/>
        <w:t>to</w:t>
      </w:r>
      <w:r>
        <w:rPr>
          <w:spacing w:val="-8"/>
        </w:rPr>
        <w:t> </w:t>
      </w:r>
      <w:r>
        <w:rPr/>
        <w:t>have</w:t>
      </w:r>
      <w:r>
        <w:rPr>
          <w:spacing w:val="-12"/>
        </w:rPr>
        <w:t> </w:t>
      </w:r>
      <w:r>
        <w:rPr/>
        <w:t>local</w:t>
      </w:r>
      <w:r>
        <w:rPr>
          <w:spacing w:val="-12"/>
        </w:rPr>
        <w:t> </w:t>
      </w:r>
      <w:r>
        <w:rPr/>
        <w:t>reprocessors</w:t>
      </w:r>
      <w:r>
        <w:rPr>
          <w:spacing w:val="-10"/>
        </w:rPr>
        <w:t> </w:t>
      </w:r>
      <w:r>
        <w:rPr/>
        <w:t>for</w:t>
      </w:r>
      <w:r>
        <w:rPr>
          <w:spacing w:val="-12"/>
        </w:rPr>
        <w:t> </w:t>
      </w:r>
      <w:r>
        <w:rPr/>
        <w:t>fibre</w:t>
      </w:r>
      <w:r>
        <w:rPr>
          <w:spacing w:val="-12"/>
        </w:rPr>
        <w:t> </w:t>
      </w:r>
      <w:r>
        <w:rPr/>
        <w:t>(such</w:t>
      </w:r>
      <w:r>
        <w:rPr>
          <w:spacing w:val="-11"/>
        </w:rPr>
        <w:t> </w:t>
      </w:r>
      <w:r>
        <w:rPr/>
        <w:t>as</w:t>
      </w:r>
      <w:r>
        <w:rPr>
          <w:spacing w:val="-10"/>
        </w:rPr>
        <w:t> </w:t>
      </w:r>
      <w:r>
        <w:rPr/>
        <w:t>the</w:t>
      </w:r>
      <w:r>
        <w:rPr>
          <w:spacing w:val="-12"/>
        </w:rPr>
        <w:t> </w:t>
      </w:r>
      <w:r>
        <w:rPr/>
        <w:t>Hawke’s</w:t>
      </w:r>
      <w:r>
        <w:rPr>
          <w:spacing w:val="-10"/>
        </w:rPr>
        <w:t> </w:t>
      </w:r>
      <w:r>
        <w:rPr/>
        <w:t>Bay),</w:t>
      </w:r>
      <w:r>
        <w:rPr>
          <w:spacing w:val="-9"/>
        </w:rPr>
        <w:t> </w:t>
      </w:r>
      <w:r>
        <w:rPr/>
        <w:t>whereas</w:t>
      </w:r>
      <w:r>
        <w:rPr>
          <w:spacing w:val="-1"/>
        </w:rPr>
        <w:t> </w:t>
      </w:r>
      <w:r>
        <w:rPr/>
        <w:t>many</w:t>
      </w:r>
      <w:r>
        <w:rPr>
          <w:spacing w:val="-10"/>
        </w:rPr>
        <w:t> </w:t>
      </w:r>
      <w:r>
        <w:rPr/>
        <w:t>regions must find overseas markets, such as India. Disparity between regions is exacerbated for areas with large geographic areas but smaller and more rural</w:t>
      </w:r>
      <w:r>
        <w:rPr>
          <w:spacing w:val="-15"/>
        </w:rPr>
        <w:t> </w:t>
      </w:r>
      <w:r>
        <w:rPr/>
        <w:t>populations.</w:t>
      </w:r>
    </w:p>
    <w:p>
      <w:pPr>
        <w:pStyle w:val="BodyText"/>
        <w:spacing w:line="256" w:lineRule="auto" w:before="160"/>
        <w:ind w:left="560" w:right="121"/>
        <w:jc w:val="both"/>
      </w:pPr>
      <w:r>
        <w:rPr/>
        <w:t>Many local authorities only provide kerbside collections to urban and semi-urban residents, with more rural residents relying on drop-off points and transfer stations, due to the economic unviability of collecting from individual households in large but sparsely populated areas.</w:t>
      </w:r>
    </w:p>
    <w:p>
      <w:pPr>
        <w:spacing w:line="256" w:lineRule="auto" w:before="158"/>
        <w:ind w:left="560" w:right="114" w:firstLine="0"/>
        <w:jc w:val="both"/>
        <w:rPr>
          <w:sz w:val="19"/>
        </w:rPr>
      </w:pPr>
      <w:r>
        <w:rPr>
          <w:sz w:val="20"/>
        </w:rPr>
        <w:t>These</w:t>
      </w:r>
      <w:r>
        <w:rPr>
          <w:spacing w:val="-6"/>
          <w:sz w:val="20"/>
        </w:rPr>
        <w:t> </w:t>
      </w:r>
      <w:r>
        <w:rPr>
          <w:sz w:val="20"/>
        </w:rPr>
        <w:t>differences</w:t>
      </w:r>
      <w:r>
        <w:rPr>
          <w:spacing w:val="-4"/>
          <w:sz w:val="20"/>
        </w:rPr>
        <w:t> </w:t>
      </w:r>
      <w:r>
        <w:rPr>
          <w:sz w:val="20"/>
        </w:rPr>
        <w:t>in</w:t>
      </w:r>
      <w:r>
        <w:rPr>
          <w:spacing w:val="-5"/>
          <w:sz w:val="20"/>
        </w:rPr>
        <w:t> </w:t>
      </w:r>
      <w:r>
        <w:rPr>
          <w:sz w:val="20"/>
        </w:rPr>
        <w:t>distances</w:t>
      </w:r>
      <w:r>
        <w:rPr>
          <w:spacing w:val="-4"/>
          <w:sz w:val="20"/>
        </w:rPr>
        <w:t> </w:t>
      </w:r>
      <w:r>
        <w:rPr>
          <w:sz w:val="20"/>
        </w:rPr>
        <w:t>to</w:t>
      </w:r>
      <w:r>
        <w:rPr>
          <w:spacing w:val="-5"/>
          <w:sz w:val="20"/>
        </w:rPr>
        <w:t> </w:t>
      </w:r>
      <w:r>
        <w:rPr>
          <w:sz w:val="20"/>
        </w:rPr>
        <w:t>market</w:t>
      </w:r>
      <w:r>
        <w:rPr>
          <w:spacing w:val="-5"/>
          <w:sz w:val="20"/>
        </w:rPr>
        <w:t> </w:t>
      </w:r>
      <w:r>
        <w:rPr>
          <w:sz w:val="20"/>
        </w:rPr>
        <w:t>and</w:t>
      </w:r>
      <w:r>
        <w:rPr>
          <w:spacing w:val="-5"/>
          <w:sz w:val="20"/>
        </w:rPr>
        <w:t> </w:t>
      </w:r>
      <w:r>
        <w:rPr>
          <w:sz w:val="20"/>
        </w:rPr>
        <w:t>in</w:t>
      </w:r>
      <w:r>
        <w:rPr>
          <w:spacing w:val="-5"/>
          <w:sz w:val="20"/>
        </w:rPr>
        <w:t> </w:t>
      </w:r>
      <w:r>
        <w:rPr>
          <w:sz w:val="20"/>
        </w:rPr>
        <w:t>geography,</w:t>
      </w:r>
      <w:r>
        <w:rPr>
          <w:spacing w:val="-5"/>
          <w:sz w:val="20"/>
        </w:rPr>
        <w:t> </w:t>
      </w:r>
      <w:r>
        <w:rPr>
          <w:sz w:val="20"/>
        </w:rPr>
        <w:t>coupled</w:t>
      </w:r>
      <w:r>
        <w:rPr>
          <w:spacing w:val="-5"/>
          <w:sz w:val="20"/>
        </w:rPr>
        <w:t> </w:t>
      </w:r>
      <w:r>
        <w:rPr>
          <w:sz w:val="20"/>
        </w:rPr>
        <w:t>with</w:t>
      </w:r>
      <w:r>
        <w:rPr>
          <w:spacing w:val="-5"/>
          <w:sz w:val="20"/>
        </w:rPr>
        <w:t> </w:t>
      </w:r>
      <w:r>
        <w:rPr>
          <w:sz w:val="20"/>
        </w:rPr>
        <w:t>differences</w:t>
      </w:r>
      <w:r>
        <w:rPr>
          <w:spacing w:val="-4"/>
          <w:sz w:val="20"/>
        </w:rPr>
        <w:t> </w:t>
      </w:r>
      <w:r>
        <w:rPr>
          <w:sz w:val="20"/>
        </w:rPr>
        <w:t>in</w:t>
      </w:r>
      <w:r>
        <w:rPr>
          <w:spacing w:val="-5"/>
          <w:sz w:val="20"/>
        </w:rPr>
        <w:t> </w:t>
      </w:r>
      <w:r>
        <w:rPr>
          <w:sz w:val="20"/>
        </w:rPr>
        <w:t>population</w:t>
      </w:r>
      <w:r>
        <w:rPr>
          <w:spacing w:val="-5"/>
          <w:sz w:val="20"/>
        </w:rPr>
        <w:t> </w:t>
      </w:r>
      <w:r>
        <w:rPr>
          <w:sz w:val="20"/>
        </w:rPr>
        <w:t>base</w:t>
      </w:r>
      <w:r>
        <w:rPr>
          <w:spacing w:val="-6"/>
          <w:sz w:val="20"/>
        </w:rPr>
        <w:t> </w:t>
      </w:r>
      <w:r>
        <w:rPr>
          <w:sz w:val="20"/>
        </w:rPr>
        <w:t>and</w:t>
      </w:r>
      <w:r>
        <w:rPr>
          <w:spacing w:val="-5"/>
          <w:sz w:val="20"/>
        </w:rPr>
        <w:t> </w:t>
      </w:r>
      <w:r>
        <w:rPr>
          <w:sz w:val="20"/>
        </w:rPr>
        <w:t>the urban and rural split of these populations can significantly change the economics and logistics of collection systems</w:t>
      </w:r>
      <w:r>
        <w:rPr>
          <w:spacing w:val="-10"/>
          <w:sz w:val="20"/>
        </w:rPr>
        <w:t> </w:t>
      </w:r>
      <w:r>
        <w:rPr>
          <w:sz w:val="20"/>
        </w:rPr>
        <w:t>and</w:t>
      </w:r>
      <w:r>
        <w:rPr>
          <w:spacing w:val="-11"/>
          <w:sz w:val="20"/>
        </w:rPr>
        <w:t> </w:t>
      </w:r>
      <w:r>
        <w:rPr>
          <w:sz w:val="20"/>
        </w:rPr>
        <w:t>markets.</w:t>
      </w:r>
      <w:r>
        <w:rPr>
          <w:spacing w:val="23"/>
          <w:sz w:val="20"/>
        </w:rPr>
        <w:t> </w:t>
      </w:r>
      <w:r>
        <w:rPr>
          <w:sz w:val="20"/>
        </w:rPr>
        <w:t>Geography</w:t>
      </w:r>
      <w:r>
        <w:rPr>
          <w:spacing w:val="-11"/>
          <w:sz w:val="20"/>
        </w:rPr>
        <w:t> </w:t>
      </w:r>
      <w:r>
        <w:rPr>
          <w:sz w:val="20"/>
        </w:rPr>
        <w:t>and</w:t>
      </w:r>
      <w:r>
        <w:rPr>
          <w:spacing w:val="-11"/>
          <w:sz w:val="20"/>
        </w:rPr>
        <w:t> </w:t>
      </w:r>
      <w:r>
        <w:rPr>
          <w:sz w:val="20"/>
        </w:rPr>
        <w:t>the</w:t>
      </w:r>
      <w:r>
        <w:rPr>
          <w:spacing w:val="-12"/>
          <w:sz w:val="20"/>
        </w:rPr>
        <w:t> </w:t>
      </w:r>
      <w:r>
        <w:rPr>
          <w:sz w:val="20"/>
        </w:rPr>
        <w:t>location</w:t>
      </w:r>
      <w:r>
        <w:rPr>
          <w:spacing w:val="-11"/>
          <w:sz w:val="20"/>
        </w:rPr>
        <w:t> </w:t>
      </w:r>
      <w:r>
        <w:rPr>
          <w:sz w:val="20"/>
        </w:rPr>
        <w:t>of</w:t>
      </w:r>
      <w:r>
        <w:rPr>
          <w:spacing w:val="-12"/>
          <w:sz w:val="20"/>
        </w:rPr>
        <w:t> </w:t>
      </w:r>
      <w:r>
        <w:rPr>
          <w:sz w:val="20"/>
        </w:rPr>
        <w:t>markets</w:t>
      </w:r>
      <w:r>
        <w:rPr>
          <w:spacing w:val="-10"/>
          <w:sz w:val="20"/>
        </w:rPr>
        <w:t> </w:t>
      </w:r>
      <w:r>
        <w:rPr>
          <w:sz w:val="20"/>
        </w:rPr>
        <w:t>can</w:t>
      </w:r>
      <w:r>
        <w:rPr>
          <w:spacing w:val="-11"/>
          <w:sz w:val="20"/>
        </w:rPr>
        <w:t> </w:t>
      </w:r>
      <w:r>
        <w:rPr>
          <w:sz w:val="20"/>
        </w:rPr>
        <w:t>lead</w:t>
      </w:r>
      <w:r>
        <w:rPr>
          <w:spacing w:val="-10"/>
          <w:sz w:val="20"/>
        </w:rPr>
        <w:t> </w:t>
      </w:r>
      <w:r>
        <w:rPr>
          <w:sz w:val="20"/>
        </w:rPr>
        <w:t>to</w:t>
      </w:r>
      <w:r>
        <w:rPr>
          <w:spacing w:val="-5"/>
          <w:sz w:val="20"/>
        </w:rPr>
        <w:t> </w:t>
      </w:r>
      <w:r>
        <w:rPr>
          <w:sz w:val="19"/>
        </w:rPr>
        <w:t>an</w:t>
      </w:r>
      <w:r>
        <w:rPr>
          <w:spacing w:val="-8"/>
          <w:sz w:val="19"/>
        </w:rPr>
        <w:t> </w:t>
      </w:r>
      <w:r>
        <w:rPr>
          <w:sz w:val="19"/>
        </w:rPr>
        <w:t>unfair</w:t>
      </w:r>
      <w:r>
        <w:rPr>
          <w:spacing w:val="-11"/>
          <w:sz w:val="19"/>
        </w:rPr>
        <w:t> </w:t>
      </w:r>
      <w:r>
        <w:rPr>
          <w:sz w:val="19"/>
        </w:rPr>
        <w:t>“postcode</w:t>
      </w:r>
      <w:r>
        <w:rPr>
          <w:spacing w:val="-10"/>
          <w:sz w:val="19"/>
        </w:rPr>
        <w:t> </w:t>
      </w:r>
      <w:r>
        <w:rPr>
          <w:sz w:val="19"/>
        </w:rPr>
        <w:t>lottery”</w:t>
      </w:r>
      <w:r>
        <w:rPr>
          <w:spacing w:val="-9"/>
          <w:sz w:val="19"/>
        </w:rPr>
        <w:t> </w:t>
      </w:r>
      <w:r>
        <w:rPr>
          <w:sz w:val="19"/>
        </w:rPr>
        <w:t>where</w:t>
      </w:r>
      <w:r>
        <w:rPr>
          <w:spacing w:val="-10"/>
          <w:sz w:val="19"/>
        </w:rPr>
        <w:t> </w:t>
      </w:r>
      <w:r>
        <w:rPr>
          <w:sz w:val="19"/>
        </w:rPr>
        <w:t>some local</w:t>
      </w:r>
      <w:r>
        <w:rPr>
          <w:spacing w:val="-4"/>
          <w:sz w:val="19"/>
        </w:rPr>
        <w:t> </w:t>
      </w:r>
      <w:r>
        <w:rPr>
          <w:sz w:val="19"/>
        </w:rPr>
        <w:t>authorities</w:t>
      </w:r>
      <w:r>
        <w:rPr>
          <w:spacing w:val="-3"/>
          <w:sz w:val="19"/>
        </w:rPr>
        <w:t> </w:t>
      </w:r>
      <w:r>
        <w:rPr>
          <w:sz w:val="19"/>
        </w:rPr>
        <w:t>have</w:t>
      </w:r>
      <w:r>
        <w:rPr>
          <w:spacing w:val="-4"/>
          <w:sz w:val="19"/>
        </w:rPr>
        <w:t> </w:t>
      </w:r>
      <w:r>
        <w:rPr>
          <w:sz w:val="19"/>
        </w:rPr>
        <w:t>to</w:t>
      </w:r>
      <w:r>
        <w:rPr>
          <w:spacing w:val="-3"/>
          <w:sz w:val="19"/>
        </w:rPr>
        <w:t> </w:t>
      </w:r>
      <w:r>
        <w:rPr>
          <w:sz w:val="19"/>
        </w:rPr>
        <w:t>heavily</w:t>
      </w:r>
      <w:r>
        <w:rPr>
          <w:spacing w:val="-5"/>
          <w:sz w:val="19"/>
        </w:rPr>
        <w:t> </w:t>
      </w:r>
      <w:r>
        <w:rPr>
          <w:sz w:val="19"/>
        </w:rPr>
        <w:t>subsidise</w:t>
      </w:r>
      <w:r>
        <w:rPr>
          <w:spacing w:val="-5"/>
          <w:sz w:val="19"/>
        </w:rPr>
        <w:t> </w:t>
      </w:r>
      <w:r>
        <w:rPr>
          <w:sz w:val="19"/>
        </w:rPr>
        <w:t>recycling</w:t>
      </w:r>
      <w:r>
        <w:rPr>
          <w:spacing w:val="-4"/>
          <w:sz w:val="19"/>
        </w:rPr>
        <w:t> </w:t>
      </w:r>
      <w:r>
        <w:rPr>
          <w:sz w:val="19"/>
        </w:rPr>
        <w:t>services</w:t>
      </w:r>
      <w:r>
        <w:rPr>
          <w:spacing w:val="-3"/>
          <w:sz w:val="19"/>
        </w:rPr>
        <w:t> </w:t>
      </w:r>
      <w:r>
        <w:rPr>
          <w:sz w:val="19"/>
        </w:rPr>
        <w:t>to</w:t>
      </w:r>
      <w:r>
        <w:rPr>
          <w:spacing w:val="-3"/>
          <w:sz w:val="19"/>
        </w:rPr>
        <w:t> </w:t>
      </w:r>
      <w:r>
        <w:rPr>
          <w:sz w:val="19"/>
        </w:rPr>
        <w:t>their</w:t>
      </w:r>
      <w:r>
        <w:rPr>
          <w:spacing w:val="-3"/>
          <w:sz w:val="19"/>
        </w:rPr>
        <w:t> </w:t>
      </w:r>
      <w:r>
        <w:rPr>
          <w:sz w:val="19"/>
        </w:rPr>
        <w:t>householders.</w:t>
      </w:r>
    </w:p>
    <w:p>
      <w:pPr>
        <w:pStyle w:val="Heading2"/>
        <w:numPr>
          <w:ilvl w:val="1"/>
          <w:numId w:val="7"/>
        </w:numPr>
        <w:tabs>
          <w:tab w:pos="2000" w:val="left" w:leader="none"/>
          <w:tab w:pos="2001" w:val="left" w:leader="none"/>
        </w:tabs>
        <w:spacing w:line="240" w:lineRule="auto" w:before="158" w:after="0"/>
        <w:ind w:left="2000" w:right="0" w:hanging="1080"/>
        <w:jc w:val="left"/>
        <w:rPr>
          <w:b w:val="0"/>
        </w:rPr>
      </w:pPr>
      <w:bookmarkStart w:name="2.11. Covid-19 " w:id="40"/>
      <w:bookmarkEnd w:id="40"/>
      <w:r>
        <w:rPr/>
      </w:r>
      <w:bookmarkStart w:name="_bookmark13" w:id="41"/>
      <w:bookmarkEnd w:id="41"/>
      <w:r>
        <w:rPr/>
      </w:r>
      <w:bookmarkStart w:name="_bookmark13" w:id="42"/>
      <w:bookmarkEnd w:id="42"/>
      <w:r>
        <w:rPr>
          <w:b w:val="0"/>
        </w:rPr>
        <w:t>C</w:t>
      </w:r>
      <w:r>
        <w:rPr>
          <w:b w:val="0"/>
        </w:rPr>
        <w:t>ovid-19</w:t>
      </w:r>
    </w:p>
    <w:p>
      <w:pPr>
        <w:pStyle w:val="BodyText"/>
        <w:spacing w:line="254" w:lineRule="auto" w:before="241"/>
        <w:ind w:left="560" w:right="125"/>
        <w:jc w:val="both"/>
      </w:pPr>
      <w:r>
        <w:rPr/>
        <w:t>The impact of COVID-19 on kerbside collections is yet to be fully determined. However, there were immediate impacts including:</w:t>
      </w:r>
    </w:p>
    <w:p>
      <w:pPr>
        <w:pStyle w:val="ListParagraph"/>
        <w:numPr>
          <w:ilvl w:val="0"/>
          <w:numId w:val="8"/>
        </w:numPr>
        <w:tabs>
          <w:tab w:pos="1281" w:val="left" w:leader="none"/>
        </w:tabs>
        <w:spacing w:line="256" w:lineRule="auto" w:before="162" w:after="0"/>
        <w:ind w:left="1280" w:right="113" w:hanging="360"/>
        <w:jc w:val="both"/>
        <w:rPr>
          <w:sz w:val="20"/>
        </w:rPr>
      </w:pPr>
      <w:r>
        <w:rPr>
          <w:sz w:val="20"/>
        </w:rPr>
        <w:t>An inability for some local authorities to continue kerbside recycling due to concerns about exposure to</w:t>
      </w:r>
      <w:r>
        <w:rPr>
          <w:spacing w:val="-9"/>
          <w:sz w:val="20"/>
        </w:rPr>
        <w:t> </w:t>
      </w:r>
      <w:r>
        <w:rPr>
          <w:sz w:val="20"/>
        </w:rPr>
        <w:t>the</w:t>
      </w:r>
      <w:r>
        <w:rPr>
          <w:spacing w:val="-10"/>
          <w:sz w:val="20"/>
        </w:rPr>
        <w:t> </w:t>
      </w:r>
      <w:r>
        <w:rPr>
          <w:sz w:val="20"/>
        </w:rPr>
        <w:t>virus.</w:t>
      </w:r>
      <w:r>
        <w:rPr>
          <w:spacing w:val="-9"/>
          <w:sz w:val="20"/>
        </w:rPr>
        <w:t> </w:t>
      </w:r>
      <w:r>
        <w:rPr>
          <w:sz w:val="20"/>
        </w:rPr>
        <w:t>This</w:t>
      </w:r>
      <w:r>
        <w:rPr>
          <w:spacing w:val="-8"/>
          <w:sz w:val="20"/>
        </w:rPr>
        <w:t> </w:t>
      </w:r>
      <w:r>
        <w:rPr>
          <w:sz w:val="20"/>
        </w:rPr>
        <w:t>was</w:t>
      </w:r>
      <w:r>
        <w:rPr>
          <w:spacing w:val="-7"/>
          <w:sz w:val="20"/>
        </w:rPr>
        <w:t> </w:t>
      </w:r>
      <w:r>
        <w:rPr>
          <w:sz w:val="20"/>
        </w:rPr>
        <w:t>exacerbated</w:t>
      </w:r>
      <w:r>
        <w:rPr>
          <w:spacing w:val="-6"/>
          <w:sz w:val="20"/>
        </w:rPr>
        <w:t> </w:t>
      </w:r>
      <w:r>
        <w:rPr>
          <w:sz w:val="20"/>
        </w:rPr>
        <w:t>by</w:t>
      </w:r>
      <w:r>
        <w:rPr>
          <w:spacing w:val="-8"/>
          <w:sz w:val="20"/>
        </w:rPr>
        <w:t> </w:t>
      </w:r>
      <w:r>
        <w:rPr>
          <w:sz w:val="20"/>
        </w:rPr>
        <w:t>a</w:t>
      </w:r>
      <w:r>
        <w:rPr>
          <w:spacing w:val="-9"/>
          <w:sz w:val="20"/>
        </w:rPr>
        <w:t> </w:t>
      </w:r>
      <w:r>
        <w:rPr>
          <w:sz w:val="20"/>
        </w:rPr>
        <w:t>shortage</w:t>
      </w:r>
      <w:r>
        <w:rPr>
          <w:spacing w:val="-10"/>
          <w:sz w:val="20"/>
        </w:rPr>
        <w:t> </w:t>
      </w:r>
      <w:r>
        <w:rPr>
          <w:sz w:val="20"/>
        </w:rPr>
        <w:t>of</w:t>
      </w:r>
      <w:r>
        <w:rPr>
          <w:spacing w:val="-9"/>
          <w:sz w:val="20"/>
        </w:rPr>
        <w:t> </w:t>
      </w:r>
      <w:r>
        <w:rPr>
          <w:sz w:val="20"/>
        </w:rPr>
        <w:t>PPE</w:t>
      </w:r>
      <w:r>
        <w:rPr>
          <w:spacing w:val="-8"/>
          <w:sz w:val="20"/>
        </w:rPr>
        <w:t> </w:t>
      </w:r>
      <w:r>
        <w:rPr>
          <w:sz w:val="20"/>
        </w:rPr>
        <w:t>for</w:t>
      </w:r>
      <w:r>
        <w:rPr>
          <w:spacing w:val="-9"/>
          <w:sz w:val="20"/>
        </w:rPr>
        <w:t> </w:t>
      </w:r>
      <w:r>
        <w:rPr>
          <w:sz w:val="20"/>
        </w:rPr>
        <w:t>frontline</w:t>
      </w:r>
      <w:r>
        <w:rPr>
          <w:spacing w:val="-10"/>
          <w:sz w:val="20"/>
        </w:rPr>
        <w:t> </w:t>
      </w:r>
      <w:r>
        <w:rPr>
          <w:sz w:val="20"/>
        </w:rPr>
        <w:t>workers,</w:t>
      </w:r>
      <w:r>
        <w:rPr>
          <w:spacing w:val="-9"/>
          <w:sz w:val="20"/>
        </w:rPr>
        <w:t> </w:t>
      </w:r>
      <w:r>
        <w:rPr>
          <w:sz w:val="20"/>
        </w:rPr>
        <w:t>and</w:t>
      </w:r>
      <w:r>
        <w:rPr>
          <w:spacing w:val="-8"/>
          <w:sz w:val="20"/>
        </w:rPr>
        <w:t> </w:t>
      </w:r>
      <w:r>
        <w:rPr>
          <w:sz w:val="20"/>
        </w:rPr>
        <w:t>the</w:t>
      </w:r>
      <w:r>
        <w:rPr>
          <w:spacing w:val="-10"/>
          <w:sz w:val="20"/>
        </w:rPr>
        <w:t> </w:t>
      </w:r>
      <w:r>
        <w:rPr>
          <w:sz w:val="20"/>
        </w:rPr>
        <w:t>Ministry</w:t>
      </w:r>
      <w:r>
        <w:rPr>
          <w:spacing w:val="-8"/>
          <w:sz w:val="20"/>
        </w:rPr>
        <w:t> </w:t>
      </w:r>
      <w:r>
        <w:rPr>
          <w:sz w:val="20"/>
        </w:rPr>
        <w:t>of</w:t>
      </w:r>
      <w:r>
        <w:rPr>
          <w:spacing w:val="-10"/>
          <w:sz w:val="20"/>
        </w:rPr>
        <w:t> </w:t>
      </w:r>
      <w:r>
        <w:rPr>
          <w:sz w:val="20"/>
        </w:rPr>
        <w:t>Health guidelines</w:t>
      </w:r>
      <w:r>
        <w:rPr>
          <w:spacing w:val="-12"/>
          <w:sz w:val="20"/>
        </w:rPr>
        <w:t> </w:t>
      </w:r>
      <w:r>
        <w:rPr>
          <w:sz w:val="20"/>
        </w:rPr>
        <w:t>for</w:t>
      </w:r>
      <w:r>
        <w:rPr>
          <w:spacing w:val="-12"/>
          <w:sz w:val="20"/>
        </w:rPr>
        <w:t> </w:t>
      </w:r>
      <w:r>
        <w:rPr>
          <w:sz w:val="20"/>
        </w:rPr>
        <w:t>Alert</w:t>
      </w:r>
      <w:r>
        <w:rPr>
          <w:spacing w:val="-12"/>
          <w:sz w:val="20"/>
        </w:rPr>
        <w:t> </w:t>
      </w:r>
      <w:r>
        <w:rPr>
          <w:sz w:val="20"/>
        </w:rPr>
        <w:t>Level</w:t>
      </w:r>
      <w:r>
        <w:rPr>
          <w:spacing w:val="-12"/>
          <w:sz w:val="20"/>
        </w:rPr>
        <w:t> </w:t>
      </w:r>
      <w:r>
        <w:rPr>
          <w:sz w:val="20"/>
        </w:rPr>
        <w:t>4</w:t>
      </w:r>
      <w:r>
        <w:rPr>
          <w:spacing w:val="-12"/>
          <w:sz w:val="20"/>
        </w:rPr>
        <w:t> </w:t>
      </w:r>
      <w:r>
        <w:rPr>
          <w:sz w:val="20"/>
        </w:rPr>
        <w:t>and</w:t>
      </w:r>
      <w:r>
        <w:rPr>
          <w:spacing w:val="-12"/>
          <w:sz w:val="20"/>
        </w:rPr>
        <w:t> </w:t>
      </w:r>
      <w:r>
        <w:rPr>
          <w:sz w:val="20"/>
        </w:rPr>
        <w:t>3</w:t>
      </w:r>
      <w:r>
        <w:rPr>
          <w:spacing w:val="-12"/>
          <w:sz w:val="20"/>
        </w:rPr>
        <w:t> </w:t>
      </w:r>
      <w:r>
        <w:rPr>
          <w:sz w:val="20"/>
        </w:rPr>
        <w:t>not</w:t>
      </w:r>
      <w:r>
        <w:rPr>
          <w:spacing w:val="-14"/>
          <w:sz w:val="20"/>
        </w:rPr>
        <w:t> </w:t>
      </w:r>
      <w:r>
        <w:rPr>
          <w:sz w:val="20"/>
        </w:rPr>
        <w:t>supporting</w:t>
      </w:r>
      <w:r>
        <w:rPr>
          <w:spacing w:val="-14"/>
          <w:sz w:val="20"/>
        </w:rPr>
        <w:t> </w:t>
      </w:r>
      <w:r>
        <w:rPr>
          <w:sz w:val="20"/>
        </w:rPr>
        <w:t>the</w:t>
      </w:r>
      <w:r>
        <w:rPr>
          <w:spacing w:val="-12"/>
          <w:sz w:val="20"/>
        </w:rPr>
        <w:t> </w:t>
      </w:r>
      <w:r>
        <w:rPr>
          <w:sz w:val="20"/>
        </w:rPr>
        <w:t>use</w:t>
      </w:r>
      <w:r>
        <w:rPr>
          <w:spacing w:val="-12"/>
          <w:sz w:val="20"/>
        </w:rPr>
        <w:t> </w:t>
      </w:r>
      <w:r>
        <w:rPr>
          <w:sz w:val="20"/>
        </w:rPr>
        <w:t>of</w:t>
      </w:r>
      <w:r>
        <w:rPr>
          <w:spacing w:val="-12"/>
          <w:sz w:val="20"/>
        </w:rPr>
        <w:t> </w:t>
      </w:r>
      <w:r>
        <w:rPr>
          <w:sz w:val="20"/>
        </w:rPr>
        <w:t>additional</w:t>
      </w:r>
      <w:r>
        <w:rPr>
          <w:spacing w:val="-12"/>
          <w:sz w:val="20"/>
        </w:rPr>
        <w:t> </w:t>
      </w:r>
      <w:r>
        <w:rPr>
          <w:sz w:val="20"/>
        </w:rPr>
        <w:t>PPE,</w:t>
      </w:r>
      <w:r>
        <w:rPr>
          <w:spacing w:val="-12"/>
          <w:sz w:val="20"/>
        </w:rPr>
        <w:t> </w:t>
      </w:r>
      <w:r>
        <w:rPr>
          <w:sz w:val="20"/>
        </w:rPr>
        <w:t>contrary</w:t>
      </w:r>
      <w:r>
        <w:rPr>
          <w:spacing w:val="-12"/>
          <w:sz w:val="20"/>
        </w:rPr>
        <w:t> </w:t>
      </w:r>
      <w:r>
        <w:rPr>
          <w:sz w:val="20"/>
        </w:rPr>
        <w:t>to</w:t>
      </w:r>
      <w:r>
        <w:rPr>
          <w:spacing w:val="-13"/>
          <w:sz w:val="20"/>
        </w:rPr>
        <w:t> </w:t>
      </w:r>
      <w:r>
        <w:rPr>
          <w:sz w:val="20"/>
        </w:rPr>
        <w:t>workers</w:t>
      </w:r>
      <w:r>
        <w:rPr>
          <w:spacing w:val="-4"/>
          <w:sz w:val="20"/>
        </w:rPr>
        <w:t> </w:t>
      </w:r>
      <w:r>
        <w:rPr>
          <w:sz w:val="20"/>
        </w:rPr>
        <w:t>requests.</w:t>
      </w:r>
    </w:p>
    <w:p>
      <w:pPr>
        <w:pStyle w:val="ListParagraph"/>
        <w:numPr>
          <w:ilvl w:val="0"/>
          <w:numId w:val="8"/>
        </w:numPr>
        <w:tabs>
          <w:tab w:pos="1281" w:val="left" w:leader="none"/>
        </w:tabs>
        <w:spacing w:line="256" w:lineRule="auto" w:before="0" w:after="0"/>
        <w:ind w:left="1280" w:right="119" w:hanging="360"/>
        <w:jc w:val="both"/>
        <w:rPr>
          <w:sz w:val="20"/>
        </w:rPr>
      </w:pPr>
      <w:r>
        <w:rPr>
          <w:sz w:val="20"/>
        </w:rPr>
        <w:t>Increased contamination in comingled wheelie bins in some local authority areas leading to the discontinuation of sorting during the lockdown</w:t>
      </w:r>
      <w:r>
        <w:rPr>
          <w:spacing w:val="-21"/>
          <w:sz w:val="20"/>
        </w:rPr>
        <w:t> </w:t>
      </w:r>
      <w:r>
        <w:rPr>
          <w:sz w:val="20"/>
        </w:rPr>
        <w:t>period.</w:t>
      </w:r>
    </w:p>
    <w:p>
      <w:pPr>
        <w:pStyle w:val="ListParagraph"/>
        <w:numPr>
          <w:ilvl w:val="0"/>
          <w:numId w:val="8"/>
        </w:numPr>
        <w:tabs>
          <w:tab w:pos="1281" w:val="left" w:leader="none"/>
        </w:tabs>
        <w:spacing w:line="256" w:lineRule="auto" w:before="2" w:after="0"/>
        <w:ind w:left="1280" w:right="126" w:hanging="360"/>
        <w:jc w:val="both"/>
        <w:rPr>
          <w:sz w:val="20"/>
        </w:rPr>
      </w:pPr>
      <w:r>
        <w:rPr>
          <w:sz w:val="20"/>
        </w:rPr>
        <w:t>Initially a lack of overseas markets for fibre due to overseas mills closing. This was followed by an increase in overseas markets due to mills that continued operating becoming short of</w:t>
      </w:r>
      <w:r>
        <w:rPr>
          <w:spacing w:val="-23"/>
          <w:sz w:val="20"/>
        </w:rPr>
        <w:t> </w:t>
      </w:r>
      <w:r>
        <w:rPr>
          <w:sz w:val="20"/>
        </w:rPr>
        <w:t>material.</w:t>
      </w:r>
    </w:p>
    <w:p>
      <w:pPr>
        <w:pStyle w:val="ListParagraph"/>
        <w:numPr>
          <w:ilvl w:val="0"/>
          <w:numId w:val="8"/>
        </w:numPr>
        <w:tabs>
          <w:tab w:pos="1280" w:val="left" w:leader="none"/>
          <w:tab w:pos="1281" w:val="left" w:leader="none"/>
        </w:tabs>
        <w:spacing w:line="252" w:lineRule="exact" w:before="0" w:after="0"/>
        <w:ind w:left="1280" w:right="0" w:hanging="360"/>
        <w:jc w:val="left"/>
        <w:rPr>
          <w:sz w:val="20"/>
        </w:rPr>
      </w:pPr>
      <w:r>
        <w:rPr>
          <w:sz w:val="20"/>
        </w:rPr>
        <w:t>A shortage of glass at Visy’s beneficiation plant and provided to the glass reprocessor</w:t>
      </w:r>
      <w:r>
        <w:rPr>
          <w:spacing w:val="-24"/>
          <w:sz w:val="20"/>
        </w:rPr>
        <w:t> </w:t>
      </w:r>
      <w:r>
        <w:rPr>
          <w:sz w:val="20"/>
        </w:rPr>
        <w:t>OI.</w:t>
      </w:r>
    </w:p>
    <w:p>
      <w:pPr>
        <w:pStyle w:val="ListParagraph"/>
        <w:numPr>
          <w:ilvl w:val="0"/>
          <w:numId w:val="8"/>
        </w:numPr>
        <w:tabs>
          <w:tab w:pos="1281" w:val="left" w:leader="none"/>
        </w:tabs>
        <w:spacing w:line="256" w:lineRule="auto" w:before="17" w:after="0"/>
        <w:ind w:left="1280" w:right="126" w:hanging="360"/>
        <w:jc w:val="both"/>
        <w:rPr>
          <w:sz w:val="20"/>
        </w:rPr>
      </w:pPr>
      <w:r>
        <w:rPr>
          <w:sz w:val="20"/>
        </w:rPr>
        <w:t>Increased volume in both kerbside recycling, organics and rubbish collected during the lockdown period.</w:t>
      </w:r>
    </w:p>
    <w:p>
      <w:pPr>
        <w:pStyle w:val="BodyText"/>
        <w:spacing w:line="256" w:lineRule="auto" w:before="159"/>
        <w:ind w:left="560" w:right="117"/>
        <w:jc w:val="both"/>
      </w:pPr>
      <w:r>
        <w:rPr/>
        <w:t>A</w:t>
      </w:r>
      <w:r>
        <w:rPr>
          <w:spacing w:val="-12"/>
        </w:rPr>
        <w:t> </w:t>
      </w:r>
      <w:r>
        <w:rPr/>
        <w:t>report</w:t>
      </w:r>
      <w:r>
        <w:rPr>
          <w:spacing w:val="-11"/>
        </w:rPr>
        <w:t> </w:t>
      </w:r>
      <w:r>
        <w:rPr/>
        <w:t>prepared</w:t>
      </w:r>
      <w:r>
        <w:rPr>
          <w:spacing w:val="-11"/>
        </w:rPr>
        <w:t> </w:t>
      </w:r>
      <w:r>
        <w:rPr/>
        <w:t>for</w:t>
      </w:r>
      <w:r>
        <w:rPr>
          <w:spacing w:val="-10"/>
        </w:rPr>
        <w:t> </w:t>
      </w:r>
      <w:r>
        <w:rPr/>
        <w:t>WasteMINZ</w:t>
      </w:r>
      <w:r>
        <w:rPr>
          <w:spacing w:val="-11"/>
        </w:rPr>
        <w:t> </w:t>
      </w:r>
      <w:r>
        <w:rPr/>
        <w:t>in</w:t>
      </w:r>
      <w:r>
        <w:rPr>
          <w:spacing w:val="-11"/>
        </w:rPr>
        <w:t> </w:t>
      </w:r>
      <w:r>
        <w:rPr/>
        <w:t>April</w:t>
      </w:r>
      <w:r>
        <w:rPr>
          <w:spacing w:val="-12"/>
        </w:rPr>
        <w:t> </w:t>
      </w:r>
      <w:r>
        <w:rPr/>
        <w:t>2020</w:t>
      </w:r>
      <w:r>
        <w:rPr>
          <w:spacing w:val="-12"/>
        </w:rPr>
        <w:t> </w:t>
      </w:r>
      <w:r>
        <w:rPr/>
        <w:t>by</w:t>
      </w:r>
      <w:r>
        <w:rPr>
          <w:spacing w:val="-11"/>
        </w:rPr>
        <w:t> </w:t>
      </w:r>
      <w:r>
        <w:rPr/>
        <w:t>First</w:t>
      </w:r>
      <w:r>
        <w:rPr>
          <w:spacing w:val="-11"/>
        </w:rPr>
        <w:t> </w:t>
      </w:r>
      <w:r>
        <w:rPr/>
        <w:t>4</w:t>
      </w:r>
      <w:r>
        <w:rPr>
          <w:spacing w:val="-10"/>
        </w:rPr>
        <w:t> </w:t>
      </w:r>
      <w:r>
        <w:rPr/>
        <w:t>Safety</w:t>
      </w:r>
      <w:r>
        <w:rPr>
          <w:spacing w:val="-11"/>
        </w:rPr>
        <w:t> </w:t>
      </w:r>
      <w:r>
        <w:rPr/>
        <w:t>notes</w:t>
      </w:r>
      <w:r>
        <w:rPr>
          <w:spacing w:val="-11"/>
        </w:rPr>
        <w:t> </w:t>
      </w:r>
      <w:r>
        <w:rPr/>
        <w:t>a</w:t>
      </w:r>
      <w:r>
        <w:rPr>
          <w:spacing w:val="-11"/>
        </w:rPr>
        <w:t> </w:t>
      </w:r>
      <w:r>
        <w:rPr/>
        <w:t>number</w:t>
      </w:r>
      <w:r>
        <w:rPr>
          <w:spacing w:val="-12"/>
        </w:rPr>
        <w:t> </w:t>
      </w:r>
      <w:r>
        <w:rPr/>
        <w:t>of</w:t>
      </w:r>
      <w:r>
        <w:rPr>
          <w:spacing w:val="-12"/>
        </w:rPr>
        <w:t> </w:t>
      </w:r>
      <w:r>
        <w:rPr/>
        <w:t>health</w:t>
      </w:r>
      <w:r>
        <w:rPr>
          <w:spacing w:val="-11"/>
        </w:rPr>
        <w:t> </w:t>
      </w:r>
      <w:r>
        <w:rPr/>
        <w:t>and</w:t>
      </w:r>
      <w:r>
        <w:rPr>
          <w:spacing w:val="-11"/>
        </w:rPr>
        <w:t> </w:t>
      </w:r>
      <w:r>
        <w:rPr/>
        <w:t>safety</w:t>
      </w:r>
      <w:r>
        <w:rPr>
          <w:spacing w:val="-11"/>
        </w:rPr>
        <w:t> </w:t>
      </w:r>
      <w:r>
        <w:rPr/>
        <w:t>implications to the collection of recycling and residual rubbish during COVID-19 and suggested measures to address these. This report is included in the literature</w:t>
      </w:r>
      <w:r>
        <w:rPr>
          <w:spacing w:val="-15"/>
        </w:rPr>
        <w:t> </w:t>
      </w:r>
      <w:r>
        <w:rPr/>
        <w:t>review.</w:t>
      </w:r>
    </w:p>
    <w:p>
      <w:pPr>
        <w:pStyle w:val="BodyText"/>
        <w:spacing w:line="256" w:lineRule="auto" w:before="161"/>
        <w:ind w:left="560" w:right="126"/>
        <w:jc w:val="both"/>
      </w:pPr>
      <w:r>
        <w:rPr/>
        <w:t>During COVID-19 some councils made decisions to discontinue the collection of plastics 3, 4, 6 and 7. However, this was due to existing difficulties in finding markets for these plastics and the impact the Basel Convention amendments will have on these markets, and not related to COVID-19.</w:t>
      </w:r>
    </w:p>
    <w:p>
      <w:pPr>
        <w:spacing w:after="0" w:line="256" w:lineRule="auto"/>
        <w:jc w:val="both"/>
        <w:sectPr>
          <w:pgSz w:w="11910" w:h="16840"/>
          <w:pgMar w:header="576" w:footer="698" w:top="1140" w:bottom="880" w:left="880" w:right="1320"/>
        </w:sectPr>
      </w:pPr>
    </w:p>
    <w:p>
      <w:pPr>
        <w:pStyle w:val="BodyText"/>
      </w:pPr>
    </w:p>
    <w:p>
      <w:pPr>
        <w:pStyle w:val="BodyText"/>
        <w:spacing w:before="2"/>
        <w:rPr>
          <w:sz w:val="27"/>
        </w:rPr>
      </w:pPr>
    </w:p>
    <w:p>
      <w:pPr>
        <w:pStyle w:val="Heading1"/>
        <w:numPr>
          <w:ilvl w:val="0"/>
          <w:numId w:val="9"/>
        </w:numPr>
        <w:tabs>
          <w:tab w:pos="921" w:val="left" w:leader="none"/>
        </w:tabs>
        <w:spacing w:line="240" w:lineRule="auto" w:before="88" w:after="0"/>
        <w:ind w:left="920" w:right="0" w:hanging="360"/>
        <w:jc w:val="left"/>
      </w:pPr>
      <w:r>
        <w:rPr/>
        <w:pict>
          <v:line style="position:absolute;mso-position-horizontal-relative:page;mso-position-vertical-relative:paragraph;z-index:1216" from="57.852001pt,4.363784pt" to="57.852001pt,25.123784pt" stroked="true" strokeweight="1.464pt" strokecolor="#ed7d31">
            <v:stroke dashstyle="solid"/>
            <w10:wrap type="none"/>
          </v:line>
        </w:pict>
      </w:r>
      <w:bookmarkStart w:name="3. LITERATURE REVIEW " w:id="43"/>
      <w:bookmarkEnd w:id="43"/>
      <w:r>
        <w:rPr/>
      </w:r>
      <w:bookmarkStart w:name="_bookmark14" w:id="44"/>
      <w:bookmarkEnd w:id="44"/>
      <w:r>
        <w:rPr/>
      </w:r>
      <w:bookmarkStart w:name="_bookmark14" w:id="45"/>
      <w:bookmarkEnd w:id="45"/>
      <w:r>
        <w:rPr>
          <w:spacing w:val="8"/>
        </w:rPr>
        <w:t>L</w:t>
      </w:r>
      <w:r>
        <w:rPr>
          <w:spacing w:val="8"/>
        </w:rPr>
        <w:t>ITERATURE</w:t>
      </w:r>
      <w:r>
        <w:rPr>
          <w:spacing w:val="25"/>
        </w:rPr>
        <w:t> </w:t>
      </w:r>
      <w:r>
        <w:rPr>
          <w:spacing w:val="7"/>
        </w:rPr>
        <w:t>REVIEW</w:t>
      </w:r>
    </w:p>
    <w:p>
      <w:pPr>
        <w:pStyle w:val="BodyText"/>
        <w:spacing w:before="1"/>
        <w:rPr>
          <w:rFonts w:ascii="Arial"/>
          <w:sz w:val="26"/>
        </w:rPr>
      </w:pPr>
    </w:p>
    <w:p>
      <w:pPr>
        <w:pStyle w:val="BodyText"/>
        <w:spacing w:line="256" w:lineRule="auto" w:before="59"/>
        <w:ind w:left="560" w:right="113"/>
        <w:jc w:val="both"/>
      </w:pPr>
      <w:r>
        <w:rPr/>
        <w:t>A literature review was conducted to determine if a standardised list of materials to be accepted in kerbside recycling and consistent presentation rules for these materials would assist in decreasing contamination in recycling by reducing confusion for householders and allowing for national messaging.</w:t>
      </w:r>
    </w:p>
    <w:p>
      <w:pPr>
        <w:pStyle w:val="BodyText"/>
        <w:spacing w:line="256" w:lineRule="auto" w:before="158"/>
        <w:ind w:left="560" w:right="113"/>
        <w:jc w:val="both"/>
      </w:pPr>
      <w:r>
        <w:rPr/>
        <w:t>The literature review also aimed to determine the best kerbside collection systems for organics, recycling and residual rubbish, to improve recyclable material quality, reduce contamination, and decrease residual rubbish to landfill.</w:t>
      </w:r>
    </w:p>
    <w:p>
      <w:pPr>
        <w:pStyle w:val="BodyText"/>
        <w:spacing w:line="256" w:lineRule="auto" w:before="160"/>
        <w:ind w:left="560" w:right="113"/>
        <w:jc w:val="both"/>
      </w:pPr>
      <w:r>
        <w:rPr/>
        <w:t>The literature reviewed below starts with an examination of the benefits of having a consistent set of materials accepted in kerbside recycling. This is followed by a review of literature on residual rubbish collections, organic collections and concludes with kerbside recycling collections.</w:t>
      </w:r>
    </w:p>
    <w:p>
      <w:pPr>
        <w:pStyle w:val="Heading2"/>
        <w:numPr>
          <w:ilvl w:val="1"/>
          <w:numId w:val="9"/>
        </w:numPr>
        <w:tabs>
          <w:tab w:pos="2000" w:val="left" w:leader="none"/>
          <w:tab w:pos="2001" w:val="left" w:leader="none"/>
        </w:tabs>
        <w:spacing w:line="240" w:lineRule="auto" w:before="156" w:after="0"/>
        <w:ind w:left="1352" w:right="126" w:hanging="432"/>
        <w:jc w:val="left"/>
        <w:rPr>
          <w:b w:val="0"/>
        </w:rPr>
      </w:pPr>
      <w:bookmarkStart w:name="3.1. Literature review on consistency of" w:id="46"/>
      <w:bookmarkEnd w:id="46"/>
      <w:r>
        <w:rPr/>
      </w:r>
      <w:bookmarkStart w:name="_bookmark15" w:id="47"/>
      <w:bookmarkEnd w:id="47"/>
      <w:r>
        <w:rPr/>
      </w:r>
      <w:bookmarkStart w:name="_bookmark15" w:id="48"/>
      <w:bookmarkEnd w:id="48"/>
      <w:r>
        <w:rPr>
          <w:b w:val="0"/>
        </w:rPr>
        <w:t>Liter</w:t>
      </w:r>
      <w:r>
        <w:rPr>
          <w:b w:val="0"/>
        </w:rPr>
        <w:t>ature review on consistency of materials accepted in kerbside</w:t>
      </w:r>
      <w:r>
        <w:rPr>
          <w:b w:val="0"/>
          <w:spacing w:val="-9"/>
        </w:rPr>
        <w:t> </w:t>
      </w:r>
      <w:r>
        <w:rPr>
          <w:b w:val="0"/>
        </w:rPr>
        <w:t>recycling</w:t>
      </w:r>
    </w:p>
    <w:p>
      <w:pPr>
        <w:pStyle w:val="BodyText"/>
        <w:spacing w:line="256" w:lineRule="auto" w:before="239"/>
        <w:ind w:left="560" w:right="120"/>
        <w:jc w:val="both"/>
      </w:pPr>
      <w:r>
        <w:rPr/>
        <w:t>A key finding of the Office of the Prime Minister’s Chief Science Advisor’s Report </w:t>
      </w:r>
      <w:r>
        <w:rPr>
          <w:i/>
        </w:rPr>
        <w:t>Rethinking Plastics </w:t>
      </w:r>
      <w:r>
        <w:rPr/>
        <w:t>(2019) was that Aotearoa New Zealand’s recycling rates are hindered by inconsistent approaches to kerbside recycling across the country which raises multiple problems including:</w:t>
      </w:r>
    </w:p>
    <w:p>
      <w:pPr>
        <w:pStyle w:val="ListParagraph"/>
        <w:numPr>
          <w:ilvl w:val="0"/>
          <w:numId w:val="10"/>
        </w:numPr>
        <w:tabs>
          <w:tab w:pos="1280" w:val="left" w:leader="none"/>
          <w:tab w:pos="1281" w:val="left" w:leader="none"/>
        </w:tabs>
        <w:spacing w:line="254" w:lineRule="auto" w:before="160" w:after="0"/>
        <w:ind w:left="1280" w:right="126" w:hanging="360"/>
        <w:jc w:val="left"/>
        <w:rPr>
          <w:sz w:val="20"/>
        </w:rPr>
      </w:pPr>
      <w:r>
        <w:rPr>
          <w:sz w:val="20"/>
        </w:rPr>
        <w:t>Contamination</w:t>
      </w:r>
      <w:r>
        <w:rPr>
          <w:spacing w:val="-3"/>
          <w:sz w:val="20"/>
        </w:rPr>
        <w:t> </w:t>
      </w:r>
      <w:r>
        <w:rPr>
          <w:sz w:val="20"/>
        </w:rPr>
        <w:t>of</w:t>
      </w:r>
      <w:r>
        <w:rPr>
          <w:spacing w:val="-5"/>
          <w:sz w:val="20"/>
        </w:rPr>
        <w:t> </w:t>
      </w:r>
      <w:r>
        <w:rPr>
          <w:sz w:val="20"/>
        </w:rPr>
        <w:t>the</w:t>
      </w:r>
      <w:r>
        <w:rPr>
          <w:spacing w:val="-4"/>
          <w:sz w:val="20"/>
        </w:rPr>
        <w:t> </w:t>
      </w:r>
      <w:r>
        <w:rPr>
          <w:sz w:val="20"/>
        </w:rPr>
        <w:t>recycling</w:t>
      </w:r>
      <w:r>
        <w:rPr>
          <w:spacing w:val="-4"/>
          <w:sz w:val="20"/>
        </w:rPr>
        <w:t> </w:t>
      </w:r>
      <w:r>
        <w:rPr>
          <w:sz w:val="20"/>
        </w:rPr>
        <w:t>stream</w:t>
      </w:r>
      <w:r>
        <w:rPr>
          <w:spacing w:val="-4"/>
          <w:sz w:val="20"/>
        </w:rPr>
        <w:t> </w:t>
      </w:r>
      <w:r>
        <w:rPr>
          <w:sz w:val="20"/>
        </w:rPr>
        <w:t>with</w:t>
      </w:r>
      <w:r>
        <w:rPr>
          <w:spacing w:val="-3"/>
          <w:sz w:val="20"/>
        </w:rPr>
        <w:t> </w:t>
      </w:r>
      <w:r>
        <w:rPr>
          <w:sz w:val="20"/>
        </w:rPr>
        <w:t>items</w:t>
      </w:r>
      <w:r>
        <w:rPr>
          <w:spacing w:val="-3"/>
          <w:sz w:val="20"/>
        </w:rPr>
        <w:t> </w:t>
      </w:r>
      <w:r>
        <w:rPr>
          <w:sz w:val="20"/>
        </w:rPr>
        <w:t>that</w:t>
      </w:r>
      <w:r>
        <w:rPr>
          <w:spacing w:val="-3"/>
          <w:sz w:val="20"/>
        </w:rPr>
        <w:t> </w:t>
      </w:r>
      <w:r>
        <w:rPr>
          <w:sz w:val="20"/>
        </w:rPr>
        <w:t>cannot</w:t>
      </w:r>
      <w:r>
        <w:rPr>
          <w:spacing w:val="-3"/>
          <w:sz w:val="20"/>
        </w:rPr>
        <w:t> </w:t>
      </w:r>
      <w:r>
        <w:rPr>
          <w:sz w:val="20"/>
        </w:rPr>
        <w:t>be</w:t>
      </w:r>
      <w:r>
        <w:rPr>
          <w:spacing w:val="-4"/>
          <w:sz w:val="20"/>
        </w:rPr>
        <w:t> </w:t>
      </w:r>
      <w:r>
        <w:rPr>
          <w:sz w:val="20"/>
        </w:rPr>
        <w:t>recycled</w:t>
      </w:r>
      <w:r>
        <w:rPr>
          <w:spacing w:val="-3"/>
          <w:sz w:val="20"/>
        </w:rPr>
        <w:t> </w:t>
      </w:r>
      <w:r>
        <w:rPr>
          <w:sz w:val="20"/>
        </w:rPr>
        <w:t>in</w:t>
      </w:r>
      <w:r>
        <w:rPr>
          <w:spacing w:val="-3"/>
          <w:sz w:val="20"/>
        </w:rPr>
        <w:t> </w:t>
      </w:r>
      <w:r>
        <w:rPr>
          <w:sz w:val="20"/>
        </w:rPr>
        <w:t>kerbside</w:t>
      </w:r>
      <w:r>
        <w:rPr>
          <w:spacing w:val="-4"/>
          <w:sz w:val="20"/>
        </w:rPr>
        <w:t> </w:t>
      </w:r>
      <w:r>
        <w:rPr>
          <w:sz w:val="20"/>
        </w:rPr>
        <w:t>systems</w:t>
      </w:r>
      <w:r>
        <w:rPr>
          <w:spacing w:val="-3"/>
          <w:sz w:val="20"/>
        </w:rPr>
        <w:t> </w:t>
      </w:r>
      <w:r>
        <w:rPr>
          <w:sz w:val="20"/>
        </w:rPr>
        <w:t>(such</w:t>
      </w:r>
      <w:r>
        <w:rPr>
          <w:spacing w:val="-3"/>
          <w:sz w:val="20"/>
        </w:rPr>
        <w:t> </w:t>
      </w:r>
      <w:r>
        <w:rPr>
          <w:sz w:val="20"/>
        </w:rPr>
        <w:t>as soft plastics, polystyrene, composite packaging,</w:t>
      </w:r>
      <w:r>
        <w:rPr>
          <w:spacing w:val="-19"/>
          <w:sz w:val="20"/>
        </w:rPr>
        <w:t> </w:t>
      </w:r>
      <w:r>
        <w:rPr>
          <w:sz w:val="20"/>
        </w:rPr>
        <w:t>food)</w:t>
      </w:r>
    </w:p>
    <w:p>
      <w:pPr>
        <w:pStyle w:val="ListParagraph"/>
        <w:numPr>
          <w:ilvl w:val="0"/>
          <w:numId w:val="10"/>
        </w:numPr>
        <w:tabs>
          <w:tab w:pos="1280" w:val="left" w:leader="none"/>
          <w:tab w:pos="1281" w:val="left" w:leader="none"/>
        </w:tabs>
        <w:spacing w:line="240" w:lineRule="auto" w:before="2" w:after="0"/>
        <w:ind w:left="1280" w:right="0" w:hanging="360"/>
        <w:jc w:val="left"/>
        <w:rPr>
          <w:sz w:val="20"/>
        </w:rPr>
      </w:pPr>
      <w:r>
        <w:rPr>
          <w:sz w:val="20"/>
        </w:rPr>
        <w:t>Items that could be recycled through kerbside systems being put in household rubbish bins</w:t>
      </w:r>
      <w:r>
        <w:rPr>
          <w:spacing w:val="-30"/>
          <w:sz w:val="20"/>
        </w:rPr>
        <w:t> </w:t>
      </w:r>
      <w:r>
        <w:rPr>
          <w:sz w:val="20"/>
        </w:rPr>
        <w:t>instead</w:t>
      </w:r>
    </w:p>
    <w:p>
      <w:pPr>
        <w:pStyle w:val="ListParagraph"/>
        <w:numPr>
          <w:ilvl w:val="0"/>
          <w:numId w:val="10"/>
        </w:numPr>
        <w:tabs>
          <w:tab w:pos="1280" w:val="left" w:leader="none"/>
          <w:tab w:pos="1281" w:val="left" w:leader="none"/>
        </w:tabs>
        <w:spacing w:line="256" w:lineRule="auto" w:before="16" w:after="0"/>
        <w:ind w:left="1280" w:right="124" w:hanging="360"/>
        <w:jc w:val="left"/>
        <w:rPr>
          <w:sz w:val="20"/>
        </w:rPr>
      </w:pPr>
      <w:r>
        <w:rPr>
          <w:sz w:val="20"/>
        </w:rPr>
        <w:t>Territorial authorities and the resource recovery sector missing out on clean streams of resources that do have market</w:t>
      </w:r>
      <w:r>
        <w:rPr>
          <w:spacing w:val="-6"/>
          <w:sz w:val="20"/>
        </w:rPr>
        <w:t> </w:t>
      </w:r>
      <w:r>
        <w:rPr>
          <w:sz w:val="20"/>
        </w:rPr>
        <w:t>value.</w:t>
      </w:r>
    </w:p>
    <w:p>
      <w:pPr>
        <w:pStyle w:val="BodyText"/>
        <w:spacing w:line="256" w:lineRule="auto" w:before="158"/>
        <w:ind w:left="560" w:right="117"/>
        <w:jc w:val="both"/>
      </w:pPr>
      <w:r>
        <w:rPr/>
        <w:t>The literature reviewed supports the hypothesis that a consistent national approach to recycling reduces contamination.</w:t>
      </w:r>
      <w:r>
        <w:rPr>
          <w:spacing w:val="28"/>
        </w:rPr>
        <w:t> </w:t>
      </w:r>
      <w:r>
        <w:rPr/>
        <w:t>In</w:t>
      </w:r>
      <w:r>
        <w:rPr>
          <w:spacing w:val="-9"/>
        </w:rPr>
        <w:t> </w:t>
      </w:r>
      <w:r>
        <w:rPr/>
        <w:t>the</w:t>
      </w:r>
      <w:r>
        <w:rPr>
          <w:spacing w:val="-9"/>
        </w:rPr>
        <w:t> </w:t>
      </w:r>
      <w:r>
        <w:rPr/>
        <w:t>UK,</w:t>
      </w:r>
      <w:r>
        <w:rPr>
          <w:spacing w:val="-10"/>
        </w:rPr>
        <w:t> </w:t>
      </w:r>
      <w:r>
        <w:rPr/>
        <w:t>WRAP’s</w:t>
      </w:r>
      <w:r>
        <w:rPr>
          <w:spacing w:val="-8"/>
        </w:rPr>
        <w:t> </w:t>
      </w:r>
      <w:r>
        <w:rPr>
          <w:i/>
        </w:rPr>
        <w:t>A</w:t>
      </w:r>
      <w:r>
        <w:rPr>
          <w:i/>
          <w:spacing w:val="-10"/>
        </w:rPr>
        <w:t> </w:t>
      </w:r>
      <w:r>
        <w:rPr>
          <w:i/>
        </w:rPr>
        <w:t>framework</w:t>
      </w:r>
      <w:r>
        <w:rPr>
          <w:i/>
          <w:spacing w:val="-7"/>
        </w:rPr>
        <w:t> </w:t>
      </w:r>
      <w:r>
        <w:rPr>
          <w:i/>
        </w:rPr>
        <w:t>for</w:t>
      </w:r>
      <w:r>
        <w:rPr>
          <w:i/>
          <w:spacing w:val="-10"/>
        </w:rPr>
        <w:t> </w:t>
      </w:r>
      <w:r>
        <w:rPr>
          <w:i/>
        </w:rPr>
        <w:t>greater</w:t>
      </w:r>
      <w:r>
        <w:rPr>
          <w:i/>
          <w:spacing w:val="-9"/>
        </w:rPr>
        <w:t> </w:t>
      </w:r>
      <w:r>
        <w:rPr>
          <w:i/>
        </w:rPr>
        <w:t>consistency</w:t>
      </w:r>
      <w:r>
        <w:rPr>
          <w:i/>
          <w:spacing w:val="-10"/>
        </w:rPr>
        <w:t> </w:t>
      </w:r>
      <w:r>
        <w:rPr>
          <w:i/>
        </w:rPr>
        <w:t>in</w:t>
      </w:r>
      <w:r>
        <w:rPr>
          <w:i/>
          <w:spacing w:val="-10"/>
        </w:rPr>
        <w:t> </w:t>
      </w:r>
      <w:r>
        <w:rPr>
          <w:i/>
        </w:rPr>
        <w:t>household</w:t>
      </w:r>
      <w:r>
        <w:rPr>
          <w:i/>
          <w:spacing w:val="-10"/>
        </w:rPr>
        <w:t> </w:t>
      </w:r>
      <w:r>
        <w:rPr>
          <w:i/>
        </w:rPr>
        <w:t>recycling</w:t>
      </w:r>
      <w:r>
        <w:rPr>
          <w:i/>
          <w:spacing w:val="-3"/>
        </w:rPr>
        <w:t> </w:t>
      </w:r>
      <w:r>
        <w:rPr/>
        <w:t>(2017)</w:t>
      </w:r>
      <w:r>
        <w:rPr>
          <w:spacing w:val="-10"/>
        </w:rPr>
        <w:t> </w:t>
      </w:r>
      <w:r>
        <w:rPr/>
        <w:t>states</w:t>
      </w:r>
      <w:r>
        <w:rPr>
          <w:spacing w:val="-9"/>
        </w:rPr>
        <w:t> </w:t>
      </w:r>
      <w:r>
        <w:rPr/>
        <w:t>that “enabling all households to recycle a core set of materials will help address confusion, meaning that householders recycle more of the right materials on every occasion; and contamination is reduced”. The framework states that calculated over an eight-year period (2018 to 2025) the benefits are cumulative and include:</w:t>
      </w:r>
    </w:p>
    <w:p>
      <w:pPr>
        <w:pStyle w:val="ListParagraph"/>
        <w:numPr>
          <w:ilvl w:val="0"/>
          <w:numId w:val="10"/>
        </w:numPr>
        <w:tabs>
          <w:tab w:pos="1280" w:val="left" w:leader="none"/>
          <w:tab w:pos="1281" w:val="left" w:leader="none"/>
        </w:tabs>
        <w:spacing w:line="256" w:lineRule="auto" w:before="157" w:after="0"/>
        <w:ind w:left="1280" w:right="117" w:hanging="360"/>
        <w:jc w:val="left"/>
        <w:rPr>
          <w:sz w:val="20"/>
        </w:rPr>
      </w:pPr>
      <w:r>
        <w:rPr>
          <w:sz w:val="20"/>
        </w:rPr>
        <w:t>The potential for an additional 11.6 million tonnes of materials and food waste to be collected for recycling</w:t>
      </w:r>
    </w:p>
    <w:p>
      <w:pPr>
        <w:pStyle w:val="ListParagraph"/>
        <w:numPr>
          <w:ilvl w:val="0"/>
          <w:numId w:val="10"/>
        </w:numPr>
        <w:tabs>
          <w:tab w:pos="1280" w:val="left" w:leader="none"/>
          <w:tab w:pos="1281" w:val="left" w:leader="none"/>
        </w:tabs>
        <w:spacing w:line="252" w:lineRule="exact" w:before="0" w:after="0"/>
        <w:ind w:left="1280" w:right="0" w:hanging="360"/>
        <w:jc w:val="left"/>
        <w:rPr>
          <w:sz w:val="20"/>
        </w:rPr>
      </w:pPr>
      <w:r>
        <w:rPr>
          <w:sz w:val="20"/>
        </w:rPr>
        <w:t>The potential to yield up to £478 million more from the sale of recovered</w:t>
      </w:r>
      <w:r>
        <w:rPr>
          <w:spacing w:val="-30"/>
          <w:sz w:val="20"/>
        </w:rPr>
        <w:t> </w:t>
      </w:r>
      <w:r>
        <w:rPr>
          <w:sz w:val="20"/>
        </w:rPr>
        <w:t>materials</w:t>
      </w:r>
    </w:p>
    <w:p>
      <w:pPr>
        <w:pStyle w:val="ListParagraph"/>
        <w:numPr>
          <w:ilvl w:val="0"/>
          <w:numId w:val="10"/>
        </w:numPr>
        <w:tabs>
          <w:tab w:pos="1280" w:val="left" w:leader="none"/>
          <w:tab w:pos="1281" w:val="left" w:leader="none"/>
        </w:tabs>
        <w:spacing w:line="256" w:lineRule="auto" w:before="16" w:after="0"/>
        <w:ind w:left="1280" w:right="116" w:hanging="360"/>
        <w:jc w:val="left"/>
        <w:rPr>
          <w:sz w:val="20"/>
        </w:rPr>
      </w:pPr>
      <w:r>
        <w:rPr>
          <w:sz w:val="20"/>
        </w:rPr>
        <w:t>The</w:t>
      </w:r>
      <w:r>
        <w:rPr>
          <w:spacing w:val="-3"/>
          <w:sz w:val="20"/>
        </w:rPr>
        <w:t> </w:t>
      </w:r>
      <w:r>
        <w:rPr>
          <w:sz w:val="20"/>
        </w:rPr>
        <w:t>potential</w:t>
      </w:r>
      <w:r>
        <w:rPr>
          <w:spacing w:val="-3"/>
          <w:sz w:val="20"/>
        </w:rPr>
        <w:t> </w:t>
      </w:r>
      <w:r>
        <w:rPr>
          <w:sz w:val="20"/>
        </w:rPr>
        <w:t>to</w:t>
      </w:r>
      <w:r>
        <w:rPr>
          <w:spacing w:val="-2"/>
          <w:sz w:val="20"/>
        </w:rPr>
        <w:t> </w:t>
      </w:r>
      <w:r>
        <w:rPr>
          <w:sz w:val="20"/>
        </w:rPr>
        <w:t>yield</w:t>
      </w:r>
      <w:r>
        <w:rPr>
          <w:spacing w:val="-2"/>
          <w:sz w:val="20"/>
        </w:rPr>
        <w:t> </w:t>
      </w:r>
      <w:r>
        <w:rPr>
          <w:sz w:val="20"/>
        </w:rPr>
        <w:t>up</w:t>
      </w:r>
      <w:r>
        <w:rPr>
          <w:spacing w:val="-2"/>
          <w:sz w:val="20"/>
        </w:rPr>
        <w:t> </w:t>
      </w:r>
      <w:r>
        <w:rPr>
          <w:sz w:val="20"/>
        </w:rPr>
        <w:t>to</w:t>
      </w:r>
      <w:r>
        <w:rPr>
          <w:spacing w:val="-5"/>
          <w:sz w:val="20"/>
        </w:rPr>
        <w:t> </w:t>
      </w:r>
      <w:r>
        <w:rPr>
          <w:sz w:val="20"/>
        </w:rPr>
        <w:t>8</w:t>
      </w:r>
      <w:r>
        <w:rPr>
          <w:spacing w:val="-4"/>
          <w:sz w:val="20"/>
        </w:rPr>
        <w:t> </w:t>
      </w:r>
      <w:r>
        <w:rPr>
          <w:sz w:val="20"/>
        </w:rPr>
        <w:t>million</w:t>
      </w:r>
      <w:r>
        <w:rPr>
          <w:spacing w:val="-2"/>
          <w:sz w:val="20"/>
        </w:rPr>
        <w:t> </w:t>
      </w:r>
      <w:r>
        <w:rPr>
          <w:sz w:val="20"/>
        </w:rPr>
        <w:t>tonnes</w:t>
      </w:r>
      <w:r>
        <w:rPr>
          <w:spacing w:val="-2"/>
          <w:sz w:val="20"/>
        </w:rPr>
        <w:t> </w:t>
      </w:r>
      <w:r>
        <w:rPr>
          <w:sz w:val="20"/>
        </w:rPr>
        <w:t>of</w:t>
      </w:r>
      <w:r>
        <w:rPr>
          <w:spacing w:val="-4"/>
          <w:sz w:val="20"/>
        </w:rPr>
        <w:t> </w:t>
      </w:r>
      <w:r>
        <w:rPr>
          <w:sz w:val="20"/>
        </w:rPr>
        <w:t>organic</w:t>
      </w:r>
      <w:r>
        <w:rPr>
          <w:spacing w:val="-3"/>
          <w:sz w:val="20"/>
        </w:rPr>
        <w:t> </w:t>
      </w:r>
      <w:r>
        <w:rPr>
          <w:sz w:val="20"/>
        </w:rPr>
        <w:t>fertiliser</w:t>
      </w:r>
      <w:r>
        <w:rPr>
          <w:spacing w:val="-2"/>
          <w:sz w:val="20"/>
        </w:rPr>
        <w:t> </w:t>
      </w:r>
      <w:r>
        <w:rPr>
          <w:sz w:val="20"/>
        </w:rPr>
        <w:t>to</w:t>
      </w:r>
      <w:r>
        <w:rPr>
          <w:spacing w:val="-2"/>
          <w:sz w:val="20"/>
        </w:rPr>
        <w:t> </w:t>
      </w:r>
      <w:r>
        <w:rPr>
          <w:sz w:val="20"/>
        </w:rPr>
        <w:t>the</w:t>
      </w:r>
      <w:r>
        <w:rPr>
          <w:spacing w:val="-3"/>
          <w:sz w:val="20"/>
        </w:rPr>
        <w:t> </w:t>
      </w:r>
      <w:r>
        <w:rPr>
          <w:sz w:val="20"/>
        </w:rPr>
        <w:t>agri-food</w:t>
      </w:r>
      <w:r>
        <w:rPr>
          <w:spacing w:val="-2"/>
          <w:sz w:val="20"/>
        </w:rPr>
        <w:t> </w:t>
      </w:r>
      <w:r>
        <w:rPr>
          <w:sz w:val="20"/>
        </w:rPr>
        <w:t>sector,</w:t>
      </w:r>
      <w:r>
        <w:rPr>
          <w:spacing w:val="-4"/>
          <w:sz w:val="20"/>
        </w:rPr>
        <w:t> </w:t>
      </w:r>
      <w:r>
        <w:rPr>
          <w:sz w:val="20"/>
        </w:rPr>
        <w:t>with</w:t>
      </w:r>
      <w:r>
        <w:rPr>
          <w:spacing w:val="-2"/>
          <w:sz w:val="20"/>
        </w:rPr>
        <w:t> </w:t>
      </w:r>
      <w:r>
        <w:rPr>
          <w:sz w:val="20"/>
        </w:rPr>
        <w:t>a</w:t>
      </w:r>
      <w:r>
        <w:rPr>
          <w:spacing w:val="-3"/>
          <w:sz w:val="20"/>
        </w:rPr>
        <w:t> </w:t>
      </w:r>
      <w:r>
        <w:rPr>
          <w:sz w:val="20"/>
        </w:rPr>
        <w:t>nutrient value of £30</w:t>
      </w:r>
      <w:r>
        <w:rPr>
          <w:spacing w:val="-8"/>
          <w:sz w:val="20"/>
        </w:rPr>
        <w:t> </w:t>
      </w:r>
      <w:r>
        <w:rPr>
          <w:sz w:val="20"/>
        </w:rPr>
        <w:t>million.</w:t>
      </w:r>
    </w:p>
    <w:p>
      <w:pPr>
        <w:spacing w:line="256" w:lineRule="auto" w:before="158"/>
        <w:ind w:left="560" w:right="118" w:firstLine="0"/>
        <w:jc w:val="both"/>
        <w:rPr>
          <w:sz w:val="20"/>
        </w:rPr>
      </w:pPr>
      <w:r>
        <w:rPr>
          <w:sz w:val="20"/>
        </w:rPr>
        <w:t>The </w:t>
      </w:r>
      <w:r>
        <w:rPr>
          <w:i/>
          <w:sz w:val="20"/>
        </w:rPr>
        <w:t>Consultation on consistency in household and business recycling collections in England </w:t>
      </w:r>
      <w:r>
        <w:rPr>
          <w:sz w:val="20"/>
        </w:rPr>
        <w:t>(DEFRA, 2019) recommends that it be legislated that all local authorities in England “be required to collect a minimum or core set of ‘dry’ recyclable materials from kerbside households and flats. This will ensure that every householder is able to recycle a consistent set of materials”.</w:t>
      </w:r>
    </w:p>
    <w:p>
      <w:pPr>
        <w:pStyle w:val="BodyText"/>
        <w:spacing w:line="256" w:lineRule="auto" w:before="158"/>
        <w:ind w:left="560" w:right="118"/>
        <w:jc w:val="both"/>
      </w:pPr>
      <w:r>
        <w:rPr/>
        <w:t>The</w:t>
      </w:r>
      <w:r>
        <w:rPr>
          <w:spacing w:val="-8"/>
        </w:rPr>
        <w:t> </w:t>
      </w:r>
      <w:r>
        <w:rPr/>
        <w:t>importance</w:t>
      </w:r>
      <w:r>
        <w:rPr>
          <w:spacing w:val="-8"/>
        </w:rPr>
        <w:t> </w:t>
      </w:r>
      <w:r>
        <w:rPr/>
        <w:t>of</w:t>
      </w:r>
      <w:r>
        <w:rPr>
          <w:spacing w:val="-6"/>
        </w:rPr>
        <w:t> </w:t>
      </w:r>
      <w:r>
        <w:rPr/>
        <w:t>having</w:t>
      </w:r>
      <w:r>
        <w:rPr>
          <w:spacing w:val="-7"/>
        </w:rPr>
        <w:t> </w:t>
      </w:r>
      <w:r>
        <w:rPr/>
        <w:t>a</w:t>
      </w:r>
      <w:r>
        <w:rPr>
          <w:spacing w:val="-6"/>
        </w:rPr>
        <w:t> </w:t>
      </w:r>
      <w:r>
        <w:rPr/>
        <w:t>consistent</w:t>
      </w:r>
      <w:r>
        <w:rPr>
          <w:spacing w:val="-6"/>
        </w:rPr>
        <w:t> </w:t>
      </w:r>
      <w:r>
        <w:rPr/>
        <w:t>set</w:t>
      </w:r>
      <w:r>
        <w:rPr>
          <w:spacing w:val="-6"/>
        </w:rPr>
        <w:t> </w:t>
      </w:r>
      <w:r>
        <w:rPr/>
        <w:t>of</w:t>
      </w:r>
      <w:r>
        <w:rPr>
          <w:spacing w:val="-8"/>
        </w:rPr>
        <w:t> </w:t>
      </w:r>
      <w:r>
        <w:rPr/>
        <w:t>materials</w:t>
      </w:r>
      <w:r>
        <w:rPr>
          <w:spacing w:val="-6"/>
        </w:rPr>
        <w:t> </w:t>
      </w:r>
      <w:r>
        <w:rPr/>
        <w:t>across</w:t>
      </w:r>
      <w:r>
        <w:rPr>
          <w:spacing w:val="-6"/>
        </w:rPr>
        <w:t> </w:t>
      </w:r>
      <w:r>
        <w:rPr/>
        <w:t>a</w:t>
      </w:r>
      <w:r>
        <w:rPr>
          <w:spacing w:val="-6"/>
        </w:rPr>
        <w:t> </w:t>
      </w:r>
      <w:r>
        <w:rPr/>
        <w:t>nation</w:t>
      </w:r>
      <w:r>
        <w:rPr>
          <w:spacing w:val="-6"/>
        </w:rPr>
        <w:t> </w:t>
      </w:r>
      <w:r>
        <w:rPr/>
        <w:t>is</w:t>
      </w:r>
      <w:r>
        <w:rPr>
          <w:spacing w:val="-6"/>
        </w:rPr>
        <w:t> </w:t>
      </w:r>
      <w:r>
        <w:rPr/>
        <w:t>backed</w:t>
      </w:r>
      <w:r>
        <w:rPr>
          <w:spacing w:val="-1"/>
        </w:rPr>
        <w:t> </w:t>
      </w:r>
      <w:r>
        <w:rPr/>
        <w:t>up</w:t>
      </w:r>
      <w:r>
        <w:rPr>
          <w:spacing w:val="-6"/>
        </w:rPr>
        <w:t> </w:t>
      </w:r>
      <w:r>
        <w:rPr/>
        <w:t>by</w:t>
      </w:r>
      <w:r>
        <w:rPr>
          <w:spacing w:val="-6"/>
        </w:rPr>
        <w:t> </w:t>
      </w:r>
      <w:r>
        <w:rPr/>
        <w:t>WRAP’s</w:t>
      </w:r>
      <w:r>
        <w:rPr>
          <w:spacing w:val="-4"/>
        </w:rPr>
        <w:t> </w:t>
      </w:r>
      <w:r>
        <w:rPr>
          <w:i/>
        </w:rPr>
        <w:t>Recycling</w:t>
      </w:r>
      <w:r>
        <w:rPr>
          <w:i/>
          <w:spacing w:val="-6"/>
        </w:rPr>
        <w:t> </w:t>
      </w:r>
      <w:r>
        <w:rPr>
          <w:i/>
        </w:rPr>
        <w:t>Tracker </w:t>
      </w:r>
      <w:r>
        <w:rPr>
          <w:i/>
        </w:rPr>
        <w:t>Survey </w:t>
      </w:r>
      <w:r>
        <w:rPr/>
        <w:t>(2018) which includes an analysis of the reasons for householder contamination of recycling. It found that almost half (46%) of UK households surveyed presume that on-pack labels/guidance applies to their local collection. The survey also determined that contamination was caused by other factors that would be reduced if there was consistency in materials accepted, such</w:t>
      </w:r>
      <w:r>
        <w:rPr>
          <w:spacing w:val="-17"/>
        </w:rPr>
        <w:t> </w:t>
      </w:r>
      <w:r>
        <w:rPr/>
        <w:t>as:</w:t>
      </w:r>
    </w:p>
    <w:p>
      <w:pPr>
        <w:pStyle w:val="ListParagraph"/>
        <w:numPr>
          <w:ilvl w:val="0"/>
          <w:numId w:val="10"/>
        </w:numPr>
        <w:tabs>
          <w:tab w:pos="1280" w:val="left" w:leader="none"/>
          <w:tab w:pos="1281" w:val="left" w:leader="none"/>
        </w:tabs>
        <w:spacing w:line="256" w:lineRule="auto" w:before="157" w:after="0"/>
        <w:ind w:left="1280" w:right="128" w:hanging="360"/>
        <w:jc w:val="left"/>
        <w:rPr>
          <w:sz w:val="20"/>
        </w:rPr>
      </w:pPr>
      <w:r>
        <w:rPr>
          <w:sz w:val="20"/>
        </w:rPr>
        <w:t>Householders putting something in the recycling in the hope that it can be recycled (22% of respondents) (i.e.</w:t>
      </w:r>
      <w:r>
        <w:rPr>
          <w:spacing w:val="-13"/>
          <w:sz w:val="20"/>
        </w:rPr>
        <w:t> </w:t>
      </w:r>
      <w:r>
        <w:rPr>
          <w:sz w:val="20"/>
        </w:rPr>
        <w:t>wishcycling)</w:t>
      </w:r>
    </w:p>
    <w:p>
      <w:pPr>
        <w:spacing w:after="0" w:line="256" w:lineRule="auto"/>
        <w:jc w:val="left"/>
        <w:rPr>
          <w:sz w:val="20"/>
        </w:rPr>
        <w:sectPr>
          <w:pgSz w:w="11910" w:h="16840"/>
          <w:pgMar w:header="576" w:footer="698" w:top="1140" w:bottom="880" w:left="880" w:right="1320"/>
        </w:sectPr>
      </w:pPr>
    </w:p>
    <w:p>
      <w:pPr>
        <w:pStyle w:val="BodyText"/>
      </w:pPr>
    </w:p>
    <w:p>
      <w:pPr>
        <w:pStyle w:val="BodyText"/>
        <w:spacing w:before="3"/>
        <w:rPr>
          <w:sz w:val="26"/>
        </w:rPr>
      </w:pPr>
    </w:p>
    <w:p>
      <w:pPr>
        <w:pStyle w:val="ListParagraph"/>
        <w:numPr>
          <w:ilvl w:val="0"/>
          <w:numId w:val="10"/>
        </w:numPr>
        <w:tabs>
          <w:tab w:pos="1280" w:val="left" w:leader="none"/>
          <w:tab w:pos="1281" w:val="left" w:leader="none"/>
        </w:tabs>
        <w:spacing w:line="256" w:lineRule="auto" w:before="99" w:after="0"/>
        <w:ind w:left="1280" w:right="122" w:hanging="360"/>
        <w:jc w:val="left"/>
        <w:rPr>
          <w:sz w:val="20"/>
        </w:rPr>
      </w:pPr>
      <w:r>
        <w:rPr>
          <w:sz w:val="20"/>
        </w:rPr>
        <w:t>Number</w:t>
      </w:r>
      <w:r>
        <w:rPr>
          <w:spacing w:val="-9"/>
          <w:sz w:val="20"/>
        </w:rPr>
        <w:t> </w:t>
      </w:r>
      <w:r>
        <w:rPr>
          <w:sz w:val="20"/>
        </w:rPr>
        <w:t>of</w:t>
      </w:r>
      <w:r>
        <w:rPr>
          <w:spacing w:val="-10"/>
          <w:sz w:val="20"/>
        </w:rPr>
        <w:t> </w:t>
      </w:r>
      <w:r>
        <w:rPr>
          <w:sz w:val="20"/>
        </w:rPr>
        <w:t>items</w:t>
      </w:r>
      <w:r>
        <w:rPr>
          <w:spacing w:val="-8"/>
          <w:sz w:val="20"/>
        </w:rPr>
        <w:t> </w:t>
      </w:r>
      <w:r>
        <w:rPr>
          <w:sz w:val="20"/>
        </w:rPr>
        <w:t>collected</w:t>
      </w:r>
      <w:r>
        <w:rPr>
          <w:spacing w:val="-9"/>
          <w:sz w:val="20"/>
        </w:rPr>
        <w:t> </w:t>
      </w:r>
      <w:r>
        <w:rPr>
          <w:sz w:val="20"/>
        </w:rPr>
        <w:t>by</w:t>
      </w:r>
      <w:r>
        <w:rPr>
          <w:spacing w:val="-7"/>
          <w:sz w:val="20"/>
        </w:rPr>
        <w:t> </w:t>
      </w:r>
      <w:r>
        <w:rPr>
          <w:sz w:val="20"/>
        </w:rPr>
        <w:t>the</w:t>
      </w:r>
      <w:r>
        <w:rPr>
          <w:spacing w:val="-10"/>
          <w:sz w:val="20"/>
        </w:rPr>
        <w:t> </w:t>
      </w:r>
      <w:r>
        <w:rPr>
          <w:sz w:val="20"/>
        </w:rPr>
        <w:t>council:</w:t>
      </w:r>
      <w:r>
        <w:rPr>
          <w:spacing w:val="-10"/>
          <w:sz w:val="20"/>
        </w:rPr>
        <w:t> </w:t>
      </w:r>
      <w:r>
        <w:rPr>
          <w:sz w:val="20"/>
        </w:rPr>
        <w:t>contamination</w:t>
      </w:r>
      <w:r>
        <w:rPr>
          <w:spacing w:val="-8"/>
          <w:sz w:val="20"/>
        </w:rPr>
        <w:t> </w:t>
      </w:r>
      <w:r>
        <w:rPr>
          <w:sz w:val="20"/>
        </w:rPr>
        <w:t>is</w:t>
      </w:r>
      <w:r>
        <w:rPr>
          <w:spacing w:val="-8"/>
          <w:sz w:val="20"/>
        </w:rPr>
        <w:t> </w:t>
      </w:r>
      <w:r>
        <w:rPr>
          <w:sz w:val="20"/>
        </w:rPr>
        <w:t>highest</w:t>
      </w:r>
      <w:r>
        <w:rPr>
          <w:spacing w:val="-9"/>
          <w:sz w:val="20"/>
        </w:rPr>
        <w:t> </w:t>
      </w:r>
      <w:r>
        <w:rPr>
          <w:sz w:val="20"/>
        </w:rPr>
        <w:t>in</w:t>
      </w:r>
      <w:r>
        <w:rPr>
          <w:spacing w:val="-9"/>
          <w:sz w:val="20"/>
        </w:rPr>
        <w:t> </w:t>
      </w:r>
      <w:r>
        <w:rPr>
          <w:sz w:val="20"/>
        </w:rPr>
        <w:t>areas</w:t>
      </w:r>
      <w:r>
        <w:rPr>
          <w:spacing w:val="-8"/>
          <w:sz w:val="20"/>
        </w:rPr>
        <w:t> </w:t>
      </w:r>
      <w:r>
        <w:rPr>
          <w:sz w:val="20"/>
        </w:rPr>
        <w:t>collecting</w:t>
      </w:r>
      <w:r>
        <w:rPr>
          <w:spacing w:val="-8"/>
          <w:sz w:val="20"/>
        </w:rPr>
        <w:t> </w:t>
      </w:r>
      <w:r>
        <w:rPr>
          <w:sz w:val="20"/>
        </w:rPr>
        <w:t>fewer</w:t>
      </w:r>
      <w:r>
        <w:rPr>
          <w:spacing w:val="-9"/>
          <w:sz w:val="20"/>
        </w:rPr>
        <w:t> </w:t>
      </w:r>
      <w:r>
        <w:rPr>
          <w:sz w:val="20"/>
        </w:rPr>
        <w:t>items</w:t>
      </w:r>
      <w:r>
        <w:rPr>
          <w:spacing w:val="-8"/>
          <w:sz w:val="20"/>
        </w:rPr>
        <w:t> </w:t>
      </w:r>
      <w:r>
        <w:rPr>
          <w:sz w:val="20"/>
        </w:rPr>
        <w:t>(83% vs. 68%) (i.e.</w:t>
      </w:r>
      <w:r>
        <w:rPr>
          <w:spacing w:val="-12"/>
          <w:sz w:val="20"/>
        </w:rPr>
        <w:t> </w:t>
      </w:r>
      <w:r>
        <w:rPr>
          <w:sz w:val="20"/>
        </w:rPr>
        <w:t>wishcycling)</w:t>
      </w:r>
    </w:p>
    <w:p>
      <w:pPr>
        <w:pStyle w:val="ListParagraph"/>
        <w:numPr>
          <w:ilvl w:val="0"/>
          <w:numId w:val="10"/>
        </w:numPr>
        <w:tabs>
          <w:tab w:pos="1280" w:val="left" w:leader="none"/>
          <w:tab w:pos="1281" w:val="left" w:leader="none"/>
        </w:tabs>
        <w:spacing w:line="256" w:lineRule="auto" w:before="0" w:after="0"/>
        <w:ind w:left="1280" w:right="126" w:hanging="360"/>
        <w:jc w:val="left"/>
        <w:rPr>
          <w:i/>
          <w:sz w:val="20"/>
        </w:rPr>
      </w:pPr>
      <w:r>
        <w:rPr>
          <w:sz w:val="20"/>
        </w:rPr>
        <w:t>Confidence:</w:t>
      </w:r>
      <w:r>
        <w:rPr>
          <w:spacing w:val="-6"/>
          <w:sz w:val="20"/>
        </w:rPr>
        <w:t> </w:t>
      </w:r>
      <w:r>
        <w:rPr>
          <w:sz w:val="20"/>
        </w:rPr>
        <w:t>Levels</w:t>
      </w:r>
      <w:r>
        <w:rPr>
          <w:spacing w:val="-4"/>
          <w:sz w:val="20"/>
        </w:rPr>
        <w:t> </w:t>
      </w:r>
      <w:r>
        <w:rPr>
          <w:sz w:val="20"/>
        </w:rPr>
        <w:t>of</w:t>
      </w:r>
      <w:r>
        <w:rPr>
          <w:spacing w:val="-6"/>
          <w:sz w:val="20"/>
        </w:rPr>
        <w:t> </w:t>
      </w:r>
      <w:r>
        <w:rPr>
          <w:sz w:val="20"/>
        </w:rPr>
        <w:t>contamination</w:t>
      </w:r>
      <w:r>
        <w:rPr>
          <w:spacing w:val="-5"/>
          <w:sz w:val="20"/>
        </w:rPr>
        <w:t> </w:t>
      </w:r>
      <w:r>
        <w:rPr>
          <w:sz w:val="20"/>
        </w:rPr>
        <w:t>are</w:t>
      </w:r>
      <w:r>
        <w:rPr>
          <w:spacing w:val="-6"/>
          <w:sz w:val="20"/>
        </w:rPr>
        <w:t> </w:t>
      </w:r>
      <w:r>
        <w:rPr>
          <w:sz w:val="20"/>
        </w:rPr>
        <w:t>as</w:t>
      </w:r>
      <w:r>
        <w:rPr>
          <w:spacing w:val="-4"/>
          <w:sz w:val="20"/>
        </w:rPr>
        <w:t> </w:t>
      </w:r>
      <w:r>
        <w:rPr>
          <w:sz w:val="20"/>
        </w:rPr>
        <w:t>high</w:t>
      </w:r>
      <w:r>
        <w:rPr>
          <w:spacing w:val="-7"/>
          <w:sz w:val="20"/>
        </w:rPr>
        <w:t> </w:t>
      </w:r>
      <w:r>
        <w:rPr>
          <w:sz w:val="20"/>
        </w:rPr>
        <w:t>among</w:t>
      </w:r>
      <w:r>
        <w:rPr>
          <w:spacing w:val="-6"/>
          <w:sz w:val="20"/>
        </w:rPr>
        <w:t> </w:t>
      </w:r>
      <w:r>
        <w:rPr>
          <w:sz w:val="20"/>
        </w:rPr>
        <w:t>those</w:t>
      </w:r>
      <w:r>
        <w:rPr>
          <w:spacing w:val="-6"/>
          <w:sz w:val="20"/>
        </w:rPr>
        <w:t> </w:t>
      </w:r>
      <w:r>
        <w:rPr>
          <w:sz w:val="20"/>
        </w:rPr>
        <w:t>who</w:t>
      </w:r>
      <w:r>
        <w:rPr>
          <w:spacing w:val="-5"/>
          <w:sz w:val="20"/>
        </w:rPr>
        <w:t> </w:t>
      </w:r>
      <w:r>
        <w:rPr>
          <w:sz w:val="20"/>
        </w:rPr>
        <w:t>are</w:t>
      </w:r>
      <w:r>
        <w:rPr>
          <w:spacing w:val="-6"/>
          <w:sz w:val="20"/>
        </w:rPr>
        <w:t> </w:t>
      </w:r>
      <w:r>
        <w:rPr>
          <w:sz w:val="20"/>
        </w:rPr>
        <w:t>very</w:t>
      </w:r>
      <w:r>
        <w:rPr>
          <w:spacing w:val="-5"/>
          <w:sz w:val="20"/>
        </w:rPr>
        <w:t> </w:t>
      </w:r>
      <w:r>
        <w:rPr>
          <w:sz w:val="20"/>
        </w:rPr>
        <w:t>confident</w:t>
      </w:r>
      <w:r>
        <w:rPr>
          <w:spacing w:val="-5"/>
          <w:sz w:val="20"/>
        </w:rPr>
        <w:t> </w:t>
      </w:r>
      <w:r>
        <w:rPr>
          <w:sz w:val="20"/>
        </w:rPr>
        <w:t>as</w:t>
      </w:r>
      <w:r>
        <w:rPr>
          <w:spacing w:val="-4"/>
          <w:sz w:val="20"/>
        </w:rPr>
        <w:t> </w:t>
      </w:r>
      <w:r>
        <w:rPr>
          <w:sz w:val="20"/>
        </w:rPr>
        <w:t>those</w:t>
      </w:r>
      <w:r>
        <w:rPr>
          <w:spacing w:val="-6"/>
          <w:sz w:val="20"/>
        </w:rPr>
        <w:t> </w:t>
      </w:r>
      <w:r>
        <w:rPr>
          <w:sz w:val="20"/>
        </w:rPr>
        <w:t>who</w:t>
      </w:r>
      <w:r>
        <w:rPr>
          <w:spacing w:val="-5"/>
          <w:sz w:val="20"/>
        </w:rPr>
        <w:t> </w:t>
      </w:r>
      <w:r>
        <w:rPr>
          <w:sz w:val="20"/>
        </w:rPr>
        <w:t>are less confident (indicating over-confidence among some</w:t>
      </w:r>
      <w:r>
        <w:rPr>
          <w:spacing w:val="-24"/>
          <w:sz w:val="20"/>
        </w:rPr>
        <w:t> </w:t>
      </w:r>
      <w:r>
        <w:rPr>
          <w:sz w:val="20"/>
        </w:rPr>
        <w:t>householders</w:t>
      </w:r>
      <w:r>
        <w:rPr>
          <w:i/>
          <w:sz w:val="20"/>
        </w:rPr>
        <w:t>).</w:t>
      </w:r>
    </w:p>
    <w:p>
      <w:pPr>
        <w:pStyle w:val="BodyText"/>
        <w:spacing w:line="256" w:lineRule="auto" w:before="162"/>
        <w:ind w:left="560" w:right="117"/>
        <w:jc w:val="both"/>
      </w:pPr>
      <w:r>
        <w:rPr/>
        <w:t>Recent</w:t>
      </w:r>
      <w:r>
        <w:rPr>
          <w:spacing w:val="-10"/>
        </w:rPr>
        <w:t> </w:t>
      </w:r>
      <w:r>
        <w:rPr/>
        <w:t>research</w:t>
      </w:r>
      <w:r>
        <w:rPr>
          <w:spacing w:val="-10"/>
        </w:rPr>
        <w:t> </w:t>
      </w:r>
      <w:r>
        <w:rPr/>
        <w:t>from</w:t>
      </w:r>
      <w:r>
        <w:rPr>
          <w:spacing w:val="-10"/>
        </w:rPr>
        <w:t> </w:t>
      </w:r>
      <w:r>
        <w:rPr/>
        <w:t>a</w:t>
      </w:r>
      <w:r>
        <w:rPr>
          <w:spacing w:val="-10"/>
        </w:rPr>
        <w:t> </w:t>
      </w:r>
      <w:r>
        <w:rPr/>
        <w:t>WasteMINZ</w:t>
      </w:r>
      <w:r>
        <w:rPr>
          <w:spacing w:val="-10"/>
        </w:rPr>
        <w:t> </w:t>
      </w:r>
      <w:r>
        <w:rPr/>
        <w:t>commissioned</w:t>
      </w:r>
      <w:r>
        <w:rPr>
          <w:spacing w:val="-10"/>
        </w:rPr>
        <w:t> </w:t>
      </w:r>
      <w:r>
        <w:rPr/>
        <w:t>report</w:t>
      </w:r>
      <w:r>
        <w:rPr>
          <w:spacing w:val="-7"/>
        </w:rPr>
        <w:t> </w:t>
      </w:r>
      <w:r>
        <w:rPr/>
        <w:t>demonstrates</w:t>
      </w:r>
      <w:r>
        <w:rPr>
          <w:spacing w:val="-8"/>
        </w:rPr>
        <w:t> </w:t>
      </w:r>
      <w:r>
        <w:rPr/>
        <w:t>there</w:t>
      </w:r>
      <w:r>
        <w:rPr>
          <w:spacing w:val="-10"/>
        </w:rPr>
        <w:t> </w:t>
      </w:r>
      <w:r>
        <w:rPr/>
        <w:t>is</w:t>
      </w:r>
      <w:r>
        <w:rPr>
          <w:spacing w:val="-9"/>
        </w:rPr>
        <w:t> </w:t>
      </w:r>
      <w:r>
        <w:rPr/>
        <w:t>a</w:t>
      </w:r>
      <w:r>
        <w:rPr>
          <w:spacing w:val="-10"/>
        </w:rPr>
        <w:t> </w:t>
      </w:r>
      <w:r>
        <w:rPr/>
        <w:t>high</w:t>
      </w:r>
      <w:r>
        <w:rPr>
          <w:spacing w:val="-10"/>
        </w:rPr>
        <w:t> </w:t>
      </w:r>
      <w:r>
        <w:rPr/>
        <w:t>level</w:t>
      </w:r>
      <w:r>
        <w:rPr>
          <w:spacing w:val="-10"/>
        </w:rPr>
        <w:t> </w:t>
      </w:r>
      <w:r>
        <w:rPr/>
        <w:t>of</w:t>
      </w:r>
      <w:r>
        <w:rPr>
          <w:spacing w:val="-10"/>
        </w:rPr>
        <w:t> </w:t>
      </w:r>
      <w:r>
        <w:rPr/>
        <w:t>confusion</w:t>
      </w:r>
      <w:r>
        <w:rPr>
          <w:spacing w:val="-9"/>
        </w:rPr>
        <w:t> </w:t>
      </w:r>
      <w:r>
        <w:rPr/>
        <w:t>among New Zealand householders. An online survey was undertaken of 1741 adults over the age of 18, who were representative</w:t>
      </w:r>
      <w:r>
        <w:rPr>
          <w:spacing w:val="-8"/>
        </w:rPr>
        <w:t> </w:t>
      </w:r>
      <w:r>
        <w:rPr/>
        <w:t>of</w:t>
      </w:r>
      <w:r>
        <w:rPr>
          <w:spacing w:val="-5"/>
        </w:rPr>
        <w:t> </w:t>
      </w:r>
      <w:r>
        <w:rPr/>
        <w:t>the</w:t>
      </w:r>
      <w:r>
        <w:rPr>
          <w:spacing w:val="-8"/>
        </w:rPr>
        <w:t> </w:t>
      </w:r>
      <w:r>
        <w:rPr/>
        <w:t>national</w:t>
      </w:r>
      <w:r>
        <w:rPr>
          <w:spacing w:val="-4"/>
        </w:rPr>
        <w:t> </w:t>
      </w:r>
      <w:r>
        <w:rPr/>
        <w:t>population</w:t>
      </w:r>
      <w:r>
        <w:rPr>
          <w:spacing w:val="-6"/>
        </w:rPr>
        <w:t> </w:t>
      </w:r>
      <w:r>
        <w:rPr/>
        <w:t>by</w:t>
      </w:r>
      <w:r>
        <w:rPr>
          <w:spacing w:val="-6"/>
        </w:rPr>
        <w:t> </w:t>
      </w:r>
      <w:r>
        <w:rPr/>
        <w:t>age,</w:t>
      </w:r>
      <w:r>
        <w:rPr>
          <w:spacing w:val="-6"/>
        </w:rPr>
        <w:t> </w:t>
      </w:r>
      <w:r>
        <w:rPr/>
        <w:t>gender,</w:t>
      </w:r>
      <w:r>
        <w:rPr>
          <w:spacing w:val="-6"/>
        </w:rPr>
        <w:t> </w:t>
      </w:r>
      <w:r>
        <w:rPr/>
        <w:t>ethnicity,</w:t>
      </w:r>
      <w:r>
        <w:rPr>
          <w:spacing w:val="-6"/>
        </w:rPr>
        <w:t> </w:t>
      </w:r>
      <w:r>
        <w:rPr/>
        <w:t>and</w:t>
      </w:r>
      <w:r>
        <w:rPr>
          <w:spacing w:val="-6"/>
        </w:rPr>
        <w:t> </w:t>
      </w:r>
      <w:r>
        <w:rPr/>
        <w:t>region and</w:t>
      </w:r>
      <w:r>
        <w:rPr>
          <w:spacing w:val="-6"/>
        </w:rPr>
        <w:t> </w:t>
      </w:r>
      <w:r>
        <w:rPr/>
        <w:t>who</w:t>
      </w:r>
      <w:r>
        <w:rPr>
          <w:spacing w:val="-5"/>
        </w:rPr>
        <w:t> </w:t>
      </w:r>
      <w:r>
        <w:rPr/>
        <w:t>have</w:t>
      </w:r>
      <w:r>
        <w:rPr>
          <w:spacing w:val="-8"/>
        </w:rPr>
        <w:t> </w:t>
      </w:r>
      <w:r>
        <w:rPr/>
        <w:t>access</w:t>
      </w:r>
      <w:r>
        <w:rPr>
          <w:spacing w:val="-6"/>
        </w:rPr>
        <w:t> </w:t>
      </w:r>
      <w:r>
        <w:rPr/>
        <w:t>to</w:t>
      </w:r>
      <w:r>
        <w:rPr>
          <w:spacing w:val="-6"/>
        </w:rPr>
        <w:t> </w:t>
      </w:r>
      <w:r>
        <w:rPr/>
        <w:t>kerbside recycling.  The research states</w:t>
      </w:r>
      <w:r>
        <w:rPr>
          <w:spacing w:val="-10"/>
        </w:rPr>
        <w:t> </w:t>
      </w:r>
      <w:r>
        <w:rPr/>
        <w:t>that:</w:t>
      </w:r>
    </w:p>
    <w:p>
      <w:pPr>
        <w:spacing w:line="256" w:lineRule="auto" w:before="158"/>
        <w:ind w:left="1280" w:right="124" w:firstLine="0"/>
        <w:jc w:val="both"/>
        <w:rPr>
          <w:i/>
          <w:sz w:val="20"/>
        </w:rPr>
      </w:pPr>
      <w:r>
        <w:rPr>
          <w:i/>
          <w:sz w:val="20"/>
        </w:rPr>
        <w:t>Respondents were tested on their knowledge of the recyclability of 30 different items. The average </w:t>
      </w:r>
      <w:r>
        <w:rPr>
          <w:i/>
          <w:sz w:val="20"/>
        </w:rPr>
        <w:t>number correct was 20.8 (out of 30). This lack of knowledge could result in higher chances of contamination. Mostly when respondents get items incorrect they are ‘wish-cycling’.</w:t>
      </w:r>
    </w:p>
    <w:p>
      <w:pPr>
        <w:pStyle w:val="BodyText"/>
        <w:spacing w:line="256" w:lineRule="auto" w:before="158"/>
        <w:ind w:left="560" w:right="118"/>
        <w:jc w:val="both"/>
      </w:pPr>
      <w:r>
        <w:rPr/>
        <w:t>The report notes that a key motivational barrier to correctly recycling is a sense of confusion around what can and cannot be recycled and that half of the respondents (51%) feel confused about what they can and cannot recycle at home (Langley, 2020).</w:t>
      </w:r>
    </w:p>
    <w:p>
      <w:pPr>
        <w:pStyle w:val="BodyText"/>
        <w:spacing w:before="158"/>
        <w:ind w:left="560" w:right="113"/>
        <w:jc w:val="both"/>
      </w:pPr>
      <w:r>
        <w:rPr>
          <w:i/>
        </w:rPr>
        <w:t>Rebooting</w:t>
      </w:r>
      <w:r>
        <w:rPr>
          <w:i/>
          <w:spacing w:val="-11"/>
        </w:rPr>
        <w:t> </w:t>
      </w:r>
      <w:r>
        <w:rPr>
          <w:i/>
        </w:rPr>
        <w:t>Recycling</w:t>
      </w:r>
      <w:r>
        <w:rPr>
          <w:i/>
          <w:spacing w:val="-9"/>
        </w:rPr>
        <w:t> </w:t>
      </w:r>
      <w:r>
        <w:rPr/>
        <w:t>(WasteMINZ,</w:t>
      </w:r>
      <w:r>
        <w:rPr>
          <w:spacing w:val="-10"/>
        </w:rPr>
        <w:t> </w:t>
      </w:r>
      <w:r>
        <w:rPr/>
        <w:t>2018)</w:t>
      </w:r>
      <w:r>
        <w:rPr>
          <w:spacing w:val="-11"/>
        </w:rPr>
        <w:t> </w:t>
      </w:r>
      <w:r>
        <w:rPr/>
        <w:t>noted</w:t>
      </w:r>
      <w:r>
        <w:rPr>
          <w:spacing w:val="-11"/>
        </w:rPr>
        <w:t> </w:t>
      </w:r>
      <w:r>
        <w:rPr/>
        <w:t>that</w:t>
      </w:r>
      <w:r>
        <w:rPr>
          <w:spacing w:val="-13"/>
        </w:rPr>
        <w:t> </w:t>
      </w:r>
      <w:r>
        <w:rPr/>
        <w:t>in</w:t>
      </w:r>
      <w:r>
        <w:rPr>
          <w:spacing w:val="-9"/>
        </w:rPr>
        <w:t> </w:t>
      </w:r>
      <w:r>
        <w:rPr/>
        <w:t>Aotearoa</w:t>
      </w:r>
      <w:r>
        <w:rPr>
          <w:spacing w:val="-11"/>
        </w:rPr>
        <w:t> </w:t>
      </w:r>
      <w:r>
        <w:rPr/>
        <w:t>New</w:t>
      </w:r>
      <w:r>
        <w:rPr>
          <w:spacing w:val="-12"/>
        </w:rPr>
        <w:t> </w:t>
      </w:r>
      <w:r>
        <w:rPr/>
        <w:t>Zealand</w:t>
      </w:r>
      <w:r>
        <w:rPr>
          <w:spacing w:val="-10"/>
        </w:rPr>
        <w:t> </w:t>
      </w:r>
      <w:r>
        <w:rPr/>
        <w:t>local</w:t>
      </w:r>
      <w:r>
        <w:rPr>
          <w:spacing w:val="-11"/>
        </w:rPr>
        <w:t> </w:t>
      </w:r>
      <w:r>
        <w:rPr/>
        <w:t>authorities</w:t>
      </w:r>
      <w:r>
        <w:rPr>
          <w:spacing w:val="-10"/>
        </w:rPr>
        <w:t> </w:t>
      </w:r>
      <w:r>
        <w:rPr/>
        <w:t>choosing</w:t>
      </w:r>
      <w:r>
        <w:rPr>
          <w:spacing w:val="-11"/>
        </w:rPr>
        <w:t> </w:t>
      </w:r>
      <w:r>
        <w:rPr/>
        <w:t>kerbside recycling systems are presented with many choices and may not have the technical knowledge to understand the longer-term impacts of their choices. This can result in lowest cost and more convenient services being chosen over ones that deliver the best long-term value. The report advocates for best practice guidance and specifications for local authority procurement of kerbside systems to increase standardisation and to enable clearer</w:t>
      </w:r>
      <w:r>
        <w:rPr>
          <w:spacing w:val="-3"/>
        </w:rPr>
        <w:t> </w:t>
      </w:r>
      <w:r>
        <w:rPr/>
        <w:t>education</w:t>
      </w:r>
      <w:r>
        <w:rPr>
          <w:spacing w:val="-5"/>
        </w:rPr>
        <w:t> </w:t>
      </w:r>
      <w:r>
        <w:rPr/>
        <w:t>messages,</w:t>
      </w:r>
      <w:r>
        <w:rPr>
          <w:spacing w:val="-5"/>
        </w:rPr>
        <w:t> </w:t>
      </w:r>
      <w:r>
        <w:rPr/>
        <w:t>cheaper</w:t>
      </w:r>
      <w:r>
        <w:rPr>
          <w:spacing w:val="-5"/>
        </w:rPr>
        <w:t> </w:t>
      </w:r>
      <w:r>
        <w:rPr/>
        <w:t>service</w:t>
      </w:r>
      <w:r>
        <w:rPr>
          <w:spacing w:val="-7"/>
        </w:rPr>
        <w:t> </w:t>
      </w:r>
      <w:r>
        <w:rPr/>
        <w:t>delivery,</w:t>
      </w:r>
      <w:r>
        <w:rPr>
          <w:spacing w:val="-5"/>
        </w:rPr>
        <w:t> </w:t>
      </w:r>
      <w:r>
        <w:rPr/>
        <w:t>higher</w:t>
      </w:r>
      <w:r>
        <w:rPr>
          <w:spacing w:val="-5"/>
        </w:rPr>
        <w:t> </w:t>
      </w:r>
      <w:r>
        <w:rPr/>
        <w:t>quality</w:t>
      </w:r>
      <w:r>
        <w:rPr>
          <w:spacing w:val="-5"/>
        </w:rPr>
        <w:t> </w:t>
      </w:r>
      <w:r>
        <w:rPr/>
        <w:t>of</w:t>
      </w:r>
      <w:r>
        <w:rPr>
          <w:spacing w:val="-6"/>
        </w:rPr>
        <w:t> </w:t>
      </w:r>
      <w:r>
        <w:rPr/>
        <w:t>service</w:t>
      </w:r>
      <w:r>
        <w:rPr>
          <w:spacing w:val="-7"/>
        </w:rPr>
        <w:t> </w:t>
      </w:r>
      <w:r>
        <w:rPr/>
        <w:t>and</w:t>
      </w:r>
      <w:r>
        <w:rPr>
          <w:spacing w:val="-5"/>
        </w:rPr>
        <w:t> </w:t>
      </w:r>
      <w:r>
        <w:rPr/>
        <w:t>materials</w:t>
      </w:r>
      <w:r>
        <w:rPr>
          <w:spacing w:val="-4"/>
        </w:rPr>
        <w:t> </w:t>
      </w:r>
      <w:r>
        <w:rPr/>
        <w:t>collected,</w:t>
      </w:r>
      <w:r>
        <w:rPr>
          <w:spacing w:val="-5"/>
        </w:rPr>
        <w:t> </w:t>
      </w:r>
      <w:r>
        <w:rPr/>
        <w:t>reduced procurement and contract management costs, and reduced risks in the</w:t>
      </w:r>
      <w:r>
        <w:rPr>
          <w:spacing w:val="-25"/>
        </w:rPr>
        <w:t> </w:t>
      </w:r>
      <w:r>
        <w:rPr/>
        <w:t>industry.</w:t>
      </w:r>
    </w:p>
    <w:p>
      <w:pPr>
        <w:pStyle w:val="Heading2"/>
        <w:numPr>
          <w:ilvl w:val="1"/>
          <w:numId w:val="9"/>
        </w:numPr>
        <w:tabs>
          <w:tab w:pos="2000" w:val="left" w:leader="none"/>
          <w:tab w:pos="2001" w:val="left" w:leader="none"/>
        </w:tabs>
        <w:spacing w:line="240" w:lineRule="auto" w:before="116" w:after="0"/>
        <w:ind w:left="2000" w:right="0" w:hanging="1080"/>
        <w:jc w:val="left"/>
        <w:rPr>
          <w:b w:val="0"/>
        </w:rPr>
      </w:pPr>
      <w:bookmarkStart w:name="3.2. Kerbside organic collection systems" w:id="49"/>
      <w:bookmarkEnd w:id="49"/>
      <w:r>
        <w:rPr/>
      </w:r>
      <w:bookmarkStart w:name="_bookmark16" w:id="50"/>
      <w:bookmarkEnd w:id="50"/>
      <w:r>
        <w:rPr/>
      </w:r>
      <w:bookmarkStart w:name="_bookmark16" w:id="51"/>
      <w:bookmarkEnd w:id="51"/>
      <w:r>
        <w:rPr>
          <w:b w:val="0"/>
        </w:rPr>
        <w:t>Kerbsid</w:t>
      </w:r>
      <w:r>
        <w:rPr>
          <w:b w:val="0"/>
        </w:rPr>
        <w:t>e organic collection</w:t>
      </w:r>
      <w:r>
        <w:rPr>
          <w:b w:val="0"/>
          <w:spacing w:val="-18"/>
        </w:rPr>
        <w:t> </w:t>
      </w:r>
      <w:r>
        <w:rPr>
          <w:b w:val="0"/>
        </w:rPr>
        <w:t>systems</w:t>
      </w:r>
    </w:p>
    <w:p>
      <w:pPr>
        <w:pStyle w:val="BodyText"/>
        <w:spacing w:line="256" w:lineRule="auto" w:before="241"/>
        <w:ind w:left="560" w:right="115"/>
        <w:jc w:val="both"/>
      </w:pPr>
      <w:r>
        <w:rPr/>
        <w:t>Composting organic waste can generate fewer carbon emissions than disposing of it to landfill (depending on the</w:t>
      </w:r>
      <w:r>
        <w:rPr>
          <w:spacing w:val="-12"/>
        </w:rPr>
        <w:t> </w:t>
      </w:r>
      <w:r>
        <w:rPr/>
        <w:t>type</w:t>
      </w:r>
      <w:r>
        <w:rPr>
          <w:spacing w:val="-12"/>
        </w:rPr>
        <w:t> </w:t>
      </w:r>
      <w:r>
        <w:rPr/>
        <w:t>and</w:t>
      </w:r>
      <w:r>
        <w:rPr>
          <w:spacing w:val="-11"/>
        </w:rPr>
        <w:t> </w:t>
      </w:r>
      <w:r>
        <w:rPr/>
        <w:t>standard</w:t>
      </w:r>
      <w:r>
        <w:rPr>
          <w:spacing w:val="-11"/>
        </w:rPr>
        <w:t> </w:t>
      </w:r>
      <w:r>
        <w:rPr/>
        <w:t>of</w:t>
      </w:r>
      <w:r>
        <w:rPr>
          <w:spacing w:val="-12"/>
        </w:rPr>
        <w:t> </w:t>
      </w:r>
      <w:r>
        <w:rPr/>
        <w:t>landfill</w:t>
      </w:r>
      <w:r>
        <w:rPr>
          <w:spacing w:val="-12"/>
        </w:rPr>
        <w:t> </w:t>
      </w:r>
      <w:r>
        <w:rPr/>
        <w:t>facility)</w:t>
      </w:r>
      <w:r>
        <w:rPr>
          <w:spacing w:val="-12"/>
        </w:rPr>
        <w:t> </w:t>
      </w:r>
      <w:r>
        <w:rPr/>
        <w:t>and</w:t>
      </w:r>
      <w:r>
        <w:rPr>
          <w:spacing w:val="-11"/>
        </w:rPr>
        <w:t> </w:t>
      </w:r>
      <w:r>
        <w:rPr/>
        <w:t>can</w:t>
      </w:r>
      <w:r>
        <w:rPr>
          <w:spacing w:val="-11"/>
        </w:rPr>
        <w:t> </w:t>
      </w:r>
      <w:r>
        <w:rPr/>
        <w:t>also</w:t>
      </w:r>
      <w:r>
        <w:rPr>
          <w:spacing w:val="-11"/>
        </w:rPr>
        <w:t> </w:t>
      </w:r>
      <w:r>
        <w:rPr/>
        <w:t>provide</w:t>
      </w:r>
      <w:r>
        <w:rPr>
          <w:spacing w:val="-12"/>
        </w:rPr>
        <w:t> </w:t>
      </w:r>
      <w:r>
        <w:rPr/>
        <w:t>other</w:t>
      </w:r>
      <w:r>
        <w:rPr>
          <w:spacing w:val="-12"/>
        </w:rPr>
        <w:t> </w:t>
      </w:r>
      <w:r>
        <w:rPr/>
        <w:t>environmental</w:t>
      </w:r>
      <w:r>
        <w:rPr>
          <w:spacing w:val="-12"/>
        </w:rPr>
        <w:t> </w:t>
      </w:r>
      <w:r>
        <w:rPr/>
        <w:t>and</w:t>
      </w:r>
      <w:r>
        <w:rPr>
          <w:spacing w:val="-9"/>
        </w:rPr>
        <w:t> </w:t>
      </w:r>
      <w:r>
        <w:rPr/>
        <w:t>economic</w:t>
      </w:r>
      <w:r>
        <w:rPr>
          <w:spacing w:val="-12"/>
        </w:rPr>
        <w:t> </w:t>
      </w:r>
      <w:r>
        <w:rPr/>
        <w:t>benefits.</w:t>
      </w:r>
      <w:r>
        <w:rPr>
          <w:spacing w:val="-12"/>
        </w:rPr>
        <w:t> </w:t>
      </w:r>
      <w:r>
        <w:rPr/>
        <w:t>These can include higher productivity (Hogg, 2010), reduced requirement for manufactured fertiliser (Hogg, 2010, Hogg</w:t>
      </w:r>
      <w:r>
        <w:rPr>
          <w:spacing w:val="-5"/>
        </w:rPr>
        <w:t> </w:t>
      </w:r>
      <w:r>
        <w:rPr/>
        <w:t>and</w:t>
      </w:r>
      <w:r>
        <w:rPr>
          <w:spacing w:val="-3"/>
        </w:rPr>
        <w:t> </w:t>
      </w:r>
      <w:r>
        <w:rPr/>
        <w:t>Ballinger,</w:t>
      </w:r>
      <w:r>
        <w:rPr>
          <w:spacing w:val="-4"/>
        </w:rPr>
        <w:t> </w:t>
      </w:r>
      <w:r>
        <w:rPr/>
        <w:t>2015),</w:t>
      </w:r>
      <w:r>
        <w:rPr>
          <w:spacing w:val="-4"/>
        </w:rPr>
        <w:t> </w:t>
      </w:r>
      <w:r>
        <w:rPr/>
        <w:t>and</w:t>
      </w:r>
      <w:r>
        <w:rPr>
          <w:spacing w:val="-4"/>
        </w:rPr>
        <w:t> </w:t>
      </w:r>
      <w:r>
        <w:rPr/>
        <w:t>an</w:t>
      </w:r>
      <w:r>
        <w:rPr>
          <w:spacing w:val="-3"/>
        </w:rPr>
        <w:t> </w:t>
      </w:r>
      <w:r>
        <w:rPr/>
        <w:t>increase</w:t>
      </w:r>
      <w:r>
        <w:rPr>
          <w:spacing w:val="-5"/>
        </w:rPr>
        <w:t> </w:t>
      </w:r>
      <w:r>
        <w:rPr/>
        <w:t>in</w:t>
      </w:r>
      <w:r>
        <w:rPr>
          <w:spacing w:val="-4"/>
        </w:rPr>
        <w:t> </w:t>
      </w:r>
      <w:r>
        <w:rPr/>
        <w:t>soil</w:t>
      </w:r>
      <w:r>
        <w:rPr>
          <w:spacing w:val="-5"/>
        </w:rPr>
        <w:t> </w:t>
      </w:r>
      <w:r>
        <w:rPr/>
        <w:t>carbon</w:t>
      </w:r>
      <w:r>
        <w:rPr>
          <w:spacing w:val="-6"/>
        </w:rPr>
        <w:t> </w:t>
      </w:r>
      <w:r>
        <w:rPr/>
        <w:t>resulting</w:t>
      </w:r>
      <w:r>
        <w:rPr>
          <w:spacing w:val="-5"/>
        </w:rPr>
        <w:t> </w:t>
      </w:r>
      <w:r>
        <w:rPr/>
        <w:t>from</w:t>
      </w:r>
      <w:r>
        <w:rPr>
          <w:spacing w:val="-5"/>
        </w:rPr>
        <w:t> </w:t>
      </w:r>
      <w:r>
        <w:rPr/>
        <w:t>the</w:t>
      </w:r>
      <w:r>
        <w:rPr>
          <w:spacing w:val="-5"/>
        </w:rPr>
        <w:t> </w:t>
      </w:r>
      <w:r>
        <w:rPr/>
        <w:t>application</w:t>
      </w:r>
      <w:r>
        <w:rPr>
          <w:spacing w:val="-4"/>
        </w:rPr>
        <w:t> </w:t>
      </w:r>
      <w:r>
        <w:rPr/>
        <w:t>of</w:t>
      </w:r>
      <w:r>
        <w:rPr>
          <w:spacing w:val="-5"/>
        </w:rPr>
        <w:t> </w:t>
      </w:r>
      <w:r>
        <w:rPr/>
        <w:t>compost</w:t>
      </w:r>
      <w:r>
        <w:rPr>
          <w:spacing w:val="-4"/>
        </w:rPr>
        <w:t> </w:t>
      </w:r>
      <w:r>
        <w:rPr/>
        <w:t>to</w:t>
      </w:r>
      <w:r>
        <w:rPr>
          <w:spacing w:val="-4"/>
        </w:rPr>
        <w:t> </w:t>
      </w:r>
      <w:r>
        <w:rPr/>
        <w:t>soil</w:t>
      </w:r>
      <w:r>
        <w:rPr>
          <w:spacing w:val="-5"/>
        </w:rPr>
        <w:t> </w:t>
      </w:r>
      <w:r>
        <w:rPr/>
        <w:t>(Hogg and Ballinger, 2015). WRAP’s </w:t>
      </w:r>
      <w:r>
        <w:rPr>
          <w:i/>
        </w:rPr>
        <w:t>A framework for greater consistency in household recycling </w:t>
      </w:r>
      <w:r>
        <w:rPr/>
        <w:t>(2017) notes that in the</w:t>
      </w:r>
      <w:r>
        <w:rPr>
          <w:spacing w:val="-5"/>
        </w:rPr>
        <w:t> </w:t>
      </w:r>
      <w:r>
        <w:rPr/>
        <w:t>UK,</w:t>
      </w:r>
      <w:r>
        <w:rPr>
          <w:spacing w:val="-4"/>
        </w:rPr>
        <w:t> </w:t>
      </w:r>
      <w:r>
        <w:rPr/>
        <w:t>if</w:t>
      </w:r>
      <w:r>
        <w:rPr>
          <w:spacing w:val="-5"/>
        </w:rPr>
        <w:t> </w:t>
      </w:r>
      <w:r>
        <w:rPr/>
        <w:t>a</w:t>
      </w:r>
      <w:r>
        <w:rPr>
          <w:spacing w:val="-4"/>
        </w:rPr>
        <w:t> </w:t>
      </w:r>
      <w:r>
        <w:rPr/>
        <w:t>food</w:t>
      </w:r>
      <w:r>
        <w:rPr>
          <w:spacing w:val="-4"/>
        </w:rPr>
        <w:t> </w:t>
      </w:r>
      <w:r>
        <w:rPr/>
        <w:t>waste</w:t>
      </w:r>
      <w:r>
        <w:rPr>
          <w:spacing w:val="-5"/>
        </w:rPr>
        <w:t> </w:t>
      </w:r>
      <w:r>
        <w:rPr/>
        <w:t>collection</w:t>
      </w:r>
      <w:r>
        <w:rPr>
          <w:spacing w:val="-4"/>
        </w:rPr>
        <w:t> </w:t>
      </w:r>
      <w:r>
        <w:rPr/>
        <w:t>system</w:t>
      </w:r>
      <w:r>
        <w:rPr>
          <w:spacing w:val="-5"/>
        </w:rPr>
        <w:t> </w:t>
      </w:r>
      <w:r>
        <w:rPr/>
        <w:t>was</w:t>
      </w:r>
      <w:r>
        <w:rPr>
          <w:spacing w:val="-3"/>
        </w:rPr>
        <w:t> </w:t>
      </w:r>
      <w:r>
        <w:rPr/>
        <w:t>implemented</w:t>
      </w:r>
      <w:r>
        <w:rPr>
          <w:spacing w:val="-4"/>
        </w:rPr>
        <w:t> </w:t>
      </w:r>
      <w:r>
        <w:rPr/>
        <w:t>for</w:t>
      </w:r>
      <w:r>
        <w:rPr>
          <w:spacing w:val="-4"/>
        </w:rPr>
        <w:t> </w:t>
      </w:r>
      <w:r>
        <w:rPr/>
        <w:t>every</w:t>
      </w:r>
      <w:r>
        <w:rPr>
          <w:spacing w:val="-4"/>
        </w:rPr>
        <w:t> </w:t>
      </w:r>
      <w:r>
        <w:rPr/>
        <w:t>local</w:t>
      </w:r>
      <w:r>
        <w:rPr>
          <w:spacing w:val="-5"/>
        </w:rPr>
        <w:t> </w:t>
      </w:r>
      <w:r>
        <w:rPr/>
        <w:t>authority</w:t>
      </w:r>
      <w:r>
        <w:rPr>
          <w:spacing w:val="-6"/>
        </w:rPr>
        <w:t> </w:t>
      </w:r>
      <w:r>
        <w:rPr/>
        <w:t>there</w:t>
      </w:r>
      <w:r>
        <w:rPr>
          <w:spacing w:val="-5"/>
        </w:rPr>
        <w:t> </w:t>
      </w:r>
      <w:r>
        <w:rPr/>
        <w:t>would</w:t>
      </w:r>
      <w:r>
        <w:rPr>
          <w:spacing w:val="-4"/>
        </w:rPr>
        <w:t> </w:t>
      </w:r>
      <w:r>
        <w:rPr/>
        <w:t>be</w:t>
      </w:r>
      <w:r>
        <w:rPr>
          <w:spacing w:val="-5"/>
        </w:rPr>
        <w:t> </w:t>
      </w:r>
      <w:r>
        <w:rPr/>
        <w:t>potential</w:t>
      </w:r>
      <w:r>
        <w:rPr>
          <w:spacing w:val="-5"/>
        </w:rPr>
        <w:t> </w:t>
      </w:r>
      <w:r>
        <w:rPr/>
        <w:t>to yield up to 8 million tonnes of organic fertiliser to the agri-food sector, with a nutrient value of £30 million. In addition, the benefits of removing organic waste from landfill may include an increase to the effective life of a facility because of a reduction in total materials disposed to it and improved air quality (landfill produces ammonia, composting and AD does not) emissions  (Hogg and Ballinger,</w:t>
      </w:r>
      <w:r>
        <w:rPr>
          <w:spacing w:val="-27"/>
        </w:rPr>
        <w:t> </w:t>
      </w:r>
      <w:r>
        <w:rPr/>
        <w:t>2015).</w:t>
      </w:r>
    </w:p>
    <w:p>
      <w:pPr>
        <w:pStyle w:val="BodyText"/>
        <w:spacing w:line="256" w:lineRule="auto" w:before="158"/>
        <w:ind w:left="560" w:right="123"/>
        <w:jc w:val="both"/>
      </w:pPr>
      <w:r>
        <w:rPr/>
        <w:t>It is estimated that in Aotearoa New Zealand in areas where an organic waste collection service is not offered, approximately 40%, by weight, of household residual rubbish is food waste, and a further 10% is green waste (Yates, 2013).</w:t>
      </w:r>
    </w:p>
    <w:p>
      <w:pPr>
        <w:pStyle w:val="BodyText"/>
        <w:spacing w:line="256" w:lineRule="auto" w:before="158"/>
        <w:ind w:left="560" w:right="116"/>
        <w:jc w:val="both"/>
      </w:pPr>
      <w:r>
        <w:rPr/>
        <w:t>The Welsh Blueprint Collections notes that collecting food waste only (compared with collecting a combination of</w:t>
      </w:r>
      <w:r>
        <w:rPr>
          <w:spacing w:val="-5"/>
        </w:rPr>
        <w:t> </w:t>
      </w:r>
      <w:r>
        <w:rPr/>
        <w:t>food</w:t>
      </w:r>
      <w:r>
        <w:rPr>
          <w:spacing w:val="-4"/>
        </w:rPr>
        <w:t> </w:t>
      </w:r>
      <w:r>
        <w:rPr/>
        <w:t>and</w:t>
      </w:r>
      <w:r>
        <w:rPr>
          <w:spacing w:val="-4"/>
        </w:rPr>
        <w:t> </w:t>
      </w:r>
      <w:r>
        <w:rPr/>
        <w:t>green</w:t>
      </w:r>
      <w:r>
        <w:rPr>
          <w:spacing w:val="-4"/>
        </w:rPr>
        <w:t> </w:t>
      </w:r>
      <w:r>
        <w:rPr/>
        <w:t>waste)</w:t>
      </w:r>
      <w:r>
        <w:rPr>
          <w:spacing w:val="-5"/>
        </w:rPr>
        <w:t> </w:t>
      </w:r>
      <w:r>
        <w:rPr/>
        <w:t>increases</w:t>
      </w:r>
      <w:r>
        <w:rPr>
          <w:spacing w:val="-3"/>
        </w:rPr>
        <w:t> </w:t>
      </w:r>
      <w:r>
        <w:rPr/>
        <w:t>householder</w:t>
      </w:r>
      <w:r>
        <w:rPr>
          <w:spacing w:val="-4"/>
        </w:rPr>
        <w:t> </w:t>
      </w:r>
      <w:r>
        <w:rPr/>
        <w:t>awareness</w:t>
      </w:r>
      <w:r>
        <w:rPr>
          <w:spacing w:val="-3"/>
        </w:rPr>
        <w:t> </w:t>
      </w:r>
      <w:r>
        <w:rPr/>
        <w:t>of</w:t>
      </w:r>
      <w:r>
        <w:rPr>
          <w:spacing w:val="-5"/>
        </w:rPr>
        <w:t> </w:t>
      </w:r>
      <w:r>
        <w:rPr/>
        <w:t>food</w:t>
      </w:r>
      <w:r>
        <w:rPr>
          <w:spacing w:val="-4"/>
        </w:rPr>
        <w:t> </w:t>
      </w:r>
      <w:r>
        <w:rPr/>
        <w:t>waste</w:t>
      </w:r>
      <w:r>
        <w:rPr>
          <w:spacing w:val="-5"/>
        </w:rPr>
        <w:t> </w:t>
      </w:r>
      <w:r>
        <w:rPr/>
        <w:t>thus</w:t>
      </w:r>
      <w:r>
        <w:rPr>
          <w:spacing w:val="-3"/>
        </w:rPr>
        <w:t> </w:t>
      </w:r>
      <w:r>
        <w:rPr/>
        <w:t>helping</w:t>
      </w:r>
      <w:r>
        <w:rPr>
          <w:spacing w:val="-5"/>
        </w:rPr>
        <w:t> </w:t>
      </w:r>
      <w:r>
        <w:rPr/>
        <w:t>to</w:t>
      </w:r>
      <w:r>
        <w:rPr>
          <w:spacing w:val="-8"/>
        </w:rPr>
        <w:t> </w:t>
      </w:r>
      <w:r>
        <w:rPr/>
        <w:t>reduce</w:t>
      </w:r>
      <w:r>
        <w:rPr>
          <w:spacing w:val="-5"/>
        </w:rPr>
        <w:t> </w:t>
      </w:r>
      <w:r>
        <w:rPr/>
        <w:t>the</w:t>
      </w:r>
      <w:r>
        <w:rPr>
          <w:spacing w:val="-5"/>
        </w:rPr>
        <w:t> </w:t>
      </w:r>
      <w:r>
        <w:rPr/>
        <w:t>amount</w:t>
      </w:r>
      <w:r>
        <w:rPr>
          <w:spacing w:val="-4"/>
        </w:rPr>
        <w:t> </w:t>
      </w:r>
      <w:r>
        <w:rPr/>
        <w:t>of edible</w:t>
      </w:r>
      <w:r>
        <w:rPr>
          <w:spacing w:val="-14"/>
        </w:rPr>
        <w:t> </w:t>
      </w:r>
      <w:r>
        <w:rPr/>
        <w:t>food</w:t>
      </w:r>
      <w:r>
        <w:rPr>
          <w:spacing w:val="-12"/>
        </w:rPr>
        <w:t> </w:t>
      </w:r>
      <w:r>
        <w:rPr/>
        <w:t>wasted.</w:t>
      </w:r>
      <w:r>
        <w:rPr>
          <w:spacing w:val="21"/>
        </w:rPr>
        <w:t> </w:t>
      </w:r>
      <w:r>
        <w:rPr/>
        <w:t>A</w:t>
      </w:r>
      <w:r>
        <w:rPr>
          <w:spacing w:val="-13"/>
        </w:rPr>
        <w:t> </w:t>
      </w:r>
      <w:r>
        <w:rPr/>
        <w:t>reduction</w:t>
      </w:r>
      <w:r>
        <w:rPr>
          <w:spacing w:val="-12"/>
        </w:rPr>
        <w:t> </w:t>
      </w:r>
      <w:r>
        <w:rPr/>
        <w:t>in</w:t>
      </w:r>
      <w:r>
        <w:rPr>
          <w:spacing w:val="-12"/>
        </w:rPr>
        <w:t> </w:t>
      </w:r>
      <w:r>
        <w:rPr/>
        <w:t>food</w:t>
      </w:r>
      <w:r>
        <w:rPr>
          <w:spacing w:val="-12"/>
        </w:rPr>
        <w:t> </w:t>
      </w:r>
      <w:r>
        <w:rPr/>
        <w:t>waste</w:t>
      </w:r>
      <w:r>
        <w:rPr>
          <w:spacing w:val="-13"/>
        </w:rPr>
        <w:t> </w:t>
      </w:r>
      <w:r>
        <w:rPr/>
        <w:t>significantly</w:t>
      </w:r>
      <w:r>
        <w:rPr>
          <w:spacing w:val="-11"/>
        </w:rPr>
        <w:t> </w:t>
      </w:r>
      <w:r>
        <w:rPr/>
        <w:t>reduces</w:t>
      </w:r>
      <w:r>
        <w:rPr>
          <w:spacing w:val="-11"/>
        </w:rPr>
        <w:t> </w:t>
      </w:r>
      <w:r>
        <w:rPr/>
        <w:t>carbon</w:t>
      </w:r>
      <w:r>
        <w:rPr>
          <w:spacing w:val="-12"/>
        </w:rPr>
        <w:t> </w:t>
      </w:r>
      <w:r>
        <w:rPr/>
        <w:t>emissions</w:t>
      </w:r>
      <w:r>
        <w:rPr>
          <w:spacing w:val="-11"/>
        </w:rPr>
        <w:t> </w:t>
      </w:r>
      <w:r>
        <w:rPr/>
        <w:t>(Hogg</w:t>
      </w:r>
      <w:r>
        <w:rPr>
          <w:spacing w:val="-8"/>
        </w:rPr>
        <w:t> </w:t>
      </w:r>
      <w:r>
        <w:rPr/>
        <w:t>and</w:t>
      </w:r>
      <w:r>
        <w:rPr>
          <w:spacing w:val="-12"/>
        </w:rPr>
        <w:t> </w:t>
      </w:r>
      <w:r>
        <w:rPr/>
        <w:t>Ballinger,</w:t>
      </w:r>
      <w:r>
        <w:rPr>
          <w:spacing w:val="-12"/>
        </w:rPr>
        <w:t> </w:t>
      </w:r>
      <w:r>
        <w:rPr/>
        <w:t>2015). In addition, the Welsh Blueprint Collections (Welsh Assembly Government, 2011) notes that collecting food waste weekly enables residual waste to be collected fortnightly (or even monthly), which incentivises households to reduce the overall amount of waste put out for collection, along with an increase in the amount separated out for recycling. A report by WRAP (2016a) notes that separate weekly collections of food waste result</w:t>
      </w:r>
      <w:r>
        <w:rPr>
          <w:spacing w:val="-3"/>
        </w:rPr>
        <w:t> </w:t>
      </w:r>
      <w:r>
        <w:rPr/>
        <w:t>in</w:t>
      </w:r>
      <w:r>
        <w:rPr>
          <w:spacing w:val="-3"/>
        </w:rPr>
        <w:t> </w:t>
      </w:r>
      <w:r>
        <w:rPr/>
        <w:t>higher</w:t>
      </w:r>
      <w:r>
        <w:rPr>
          <w:spacing w:val="-4"/>
        </w:rPr>
        <w:t> </w:t>
      </w:r>
      <w:r>
        <w:rPr/>
        <w:t>levels</w:t>
      </w:r>
      <w:r>
        <w:rPr>
          <w:spacing w:val="-3"/>
        </w:rPr>
        <w:t> </w:t>
      </w:r>
      <w:r>
        <w:rPr/>
        <w:t>of</w:t>
      </w:r>
      <w:r>
        <w:rPr>
          <w:spacing w:val="-5"/>
        </w:rPr>
        <w:t> </w:t>
      </w:r>
      <w:r>
        <w:rPr/>
        <w:t>participation</w:t>
      </w:r>
      <w:r>
        <w:rPr>
          <w:spacing w:val="-3"/>
        </w:rPr>
        <w:t> </w:t>
      </w:r>
      <w:r>
        <w:rPr/>
        <w:t>and</w:t>
      </w:r>
      <w:r>
        <w:rPr>
          <w:spacing w:val="-3"/>
        </w:rPr>
        <w:t> </w:t>
      </w:r>
      <w:r>
        <w:rPr/>
        <w:t>capture</w:t>
      </w:r>
      <w:r>
        <w:rPr>
          <w:spacing w:val="-4"/>
        </w:rPr>
        <w:t> </w:t>
      </w:r>
      <w:r>
        <w:rPr/>
        <w:t>of</w:t>
      </w:r>
      <w:r>
        <w:rPr>
          <w:spacing w:val="-5"/>
        </w:rPr>
        <w:t> </w:t>
      </w:r>
      <w:r>
        <w:rPr/>
        <w:t>food</w:t>
      </w:r>
      <w:r>
        <w:rPr>
          <w:spacing w:val="-3"/>
        </w:rPr>
        <w:t> </w:t>
      </w:r>
      <w:r>
        <w:rPr/>
        <w:t>than</w:t>
      </w:r>
      <w:r>
        <w:rPr>
          <w:spacing w:val="-2"/>
        </w:rPr>
        <w:t> </w:t>
      </w:r>
      <w:r>
        <w:rPr/>
        <w:t>for</w:t>
      </w:r>
      <w:r>
        <w:rPr>
          <w:spacing w:val="-3"/>
        </w:rPr>
        <w:t> </w:t>
      </w:r>
      <w:r>
        <w:rPr/>
        <w:t>mixed</w:t>
      </w:r>
      <w:r>
        <w:rPr>
          <w:spacing w:val="-3"/>
        </w:rPr>
        <w:t> </w:t>
      </w:r>
      <w:r>
        <w:rPr/>
        <w:t>garden</w:t>
      </w:r>
      <w:r>
        <w:rPr>
          <w:spacing w:val="-3"/>
        </w:rPr>
        <w:t> </w:t>
      </w:r>
      <w:r>
        <w:rPr/>
        <w:t>and</w:t>
      </w:r>
      <w:r>
        <w:rPr>
          <w:spacing w:val="-3"/>
        </w:rPr>
        <w:t> </w:t>
      </w:r>
      <w:r>
        <w:rPr/>
        <w:t>food</w:t>
      </w:r>
      <w:r>
        <w:rPr>
          <w:spacing w:val="-3"/>
        </w:rPr>
        <w:t> </w:t>
      </w:r>
      <w:r>
        <w:rPr/>
        <w:t>collections.</w:t>
      </w:r>
    </w:p>
    <w:p>
      <w:pPr>
        <w:pStyle w:val="BodyText"/>
        <w:spacing w:line="256" w:lineRule="auto" w:before="158"/>
        <w:ind w:left="560" w:right="114"/>
        <w:jc w:val="both"/>
      </w:pPr>
      <w:r>
        <w:rPr/>
        <w:t>A New Zealand cost benefit analysis of household organic waste collections by Eunomia (Hogg et al, 2010) monetised the environmental costs of food waste only and food waste and greenwaste collections and combined</w:t>
      </w:r>
      <w:r>
        <w:rPr>
          <w:spacing w:val="-5"/>
        </w:rPr>
        <w:t> </w:t>
      </w:r>
      <w:r>
        <w:rPr/>
        <w:t>this</w:t>
      </w:r>
      <w:r>
        <w:rPr>
          <w:spacing w:val="-4"/>
        </w:rPr>
        <w:t> </w:t>
      </w:r>
      <w:r>
        <w:rPr/>
        <w:t>with</w:t>
      </w:r>
      <w:r>
        <w:rPr>
          <w:spacing w:val="-4"/>
        </w:rPr>
        <w:t> </w:t>
      </w:r>
      <w:r>
        <w:rPr/>
        <w:t>the</w:t>
      </w:r>
      <w:r>
        <w:rPr>
          <w:spacing w:val="-6"/>
        </w:rPr>
        <w:t> </w:t>
      </w:r>
      <w:r>
        <w:rPr/>
        <w:t>financial</w:t>
      </w:r>
      <w:r>
        <w:rPr>
          <w:spacing w:val="-6"/>
        </w:rPr>
        <w:t> </w:t>
      </w:r>
      <w:r>
        <w:rPr/>
        <w:t>costs</w:t>
      </w:r>
      <w:r>
        <w:rPr>
          <w:spacing w:val="-5"/>
        </w:rPr>
        <w:t> </w:t>
      </w:r>
      <w:r>
        <w:rPr/>
        <w:t>of</w:t>
      </w:r>
      <w:r>
        <w:rPr>
          <w:spacing w:val="-6"/>
        </w:rPr>
        <w:t> </w:t>
      </w:r>
      <w:r>
        <w:rPr/>
        <w:t>collections</w:t>
      </w:r>
      <w:r>
        <w:rPr>
          <w:spacing w:val="-4"/>
        </w:rPr>
        <w:t> </w:t>
      </w:r>
      <w:r>
        <w:rPr/>
        <w:t>and</w:t>
      </w:r>
      <w:r>
        <w:rPr>
          <w:spacing w:val="-7"/>
        </w:rPr>
        <w:t> </w:t>
      </w:r>
      <w:r>
        <w:rPr/>
        <w:t>processing.</w:t>
      </w:r>
      <w:r>
        <w:rPr>
          <w:spacing w:val="35"/>
        </w:rPr>
        <w:t> </w:t>
      </w:r>
      <w:r>
        <w:rPr/>
        <w:t>The</w:t>
      </w:r>
      <w:r>
        <w:rPr>
          <w:spacing w:val="-6"/>
        </w:rPr>
        <w:t> </w:t>
      </w:r>
      <w:r>
        <w:rPr/>
        <w:t>report</w:t>
      </w:r>
      <w:r>
        <w:rPr>
          <w:spacing w:val="-7"/>
        </w:rPr>
        <w:t> </w:t>
      </w:r>
      <w:r>
        <w:rPr/>
        <w:t>determined</w:t>
      </w:r>
      <w:r>
        <w:rPr>
          <w:spacing w:val="-5"/>
        </w:rPr>
        <w:t> </w:t>
      </w:r>
      <w:r>
        <w:rPr/>
        <w:t>that</w:t>
      </w:r>
      <w:r>
        <w:rPr>
          <w:spacing w:val="-5"/>
        </w:rPr>
        <w:t> </w:t>
      </w:r>
      <w:r>
        <w:rPr/>
        <w:t>collecting</w:t>
      </w:r>
      <w:r>
        <w:rPr>
          <w:spacing w:val="-6"/>
        </w:rPr>
        <w:t> </w:t>
      </w:r>
      <w:r>
        <w:rPr/>
        <w:t>food</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6" w:lineRule="auto" w:before="60"/>
        <w:ind w:left="560" w:right="117"/>
        <w:jc w:val="both"/>
      </w:pPr>
      <w:r>
        <w:rPr/>
        <w:t>waste only provided more overall benefits. It noted that collecting green waste along with food waste adds a financial burden to local authorities to collect a material that would have previously been collected by private contractors</w:t>
      </w:r>
      <w:r>
        <w:rPr>
          <w:spacing w:val="-4"/>
        </w:rPr>
        <w:t> </w:t>
      </w:r>
      <w:r>
        <w:rPr/>
        <w:t>or</w:t>
      </w:r>
      <w:r>
        <w:rPr>
          <w:spacing w:val="-5"/>
        </w:rPr>
        <w:t> </w:t>
      </w:r>
      <w:r>
        <w:rPr/>
        <w:t>delivered</w:t>
      </w:r>
      <w:r>
        <w:rPr>
          <w:spacing w:val="-4"/>
        </w:rPr>
        <w:t> </w:t>
      </w:r>
      <w:r>
        <w:rPr/>
        <w:t>directly</w:t>
      </w:r>
      <w:r>
        <w:rPr>
          <w:spacing w:val="-4"/>
        </w:rPr>
        <w:t> </w:t>
      </w:r>
      <w:r>
        <w:rPr/>
        <w:t>to</w:t>
      </w:r>
      <w:r>
        <w:rPr>
          <w:spacing w:val="-5"/>
        </w:rPr>
        <w:t> </w:t>
      </w:r>
      <w:r>
        <w:rPr/>
        <w:t>transfer</w:t>
      </w:r>
      <w:r>
        <w:rPr>
          <w:spacing w:val="-5"/>
        </w:rPr>
        <w:t> </w:t>
      </w:r>
      <w:r>
        <w:rPr/>
        <w:t>stations</w:t>
      </w:r>
      <w:r>
        <w:rPr>
          <w:spacing w:val="-4"/>
        </w:rPr>
        <w:t> </w:t>
      </w:r>
      <w:r>
        <w:rPr/>
        <w:t>by</w:t>
      </w:r>
      <w:r>
        <w:rPr>
          <w:spacing w:val="-2"/>
        </w:rPr>
        <w:t> </w:t>
      </w:r>
      <w:r>
        <w:rPr/>
        <w:t>householders.</w:t>
      </w:r>
      <w:r>
        <w:rPr>
          <w:spacing w:val="-5"/>
        </w:rPr>
        <w:t> </w:t>
      </w:r>
      <w:r>
        <w:rPr/>
        <w:t>The</w:t>
      </w:r>
      <w:r>
        <w:rPr>
          <w:spacing w:val="-6"/>
        </w:rPr>
        <w:t> </w:t>
      </w:r>
      <w:r>
        <w:rPr/>
        <w:t>report</w:t>
      </w:r>
      <w:r>
        <w:rPr>
          <w:spacing w:val="-5"/>
        </w:rPr>
        <w:t> </w:t>
      </w:r>
      <w:r>
        <w:rPr/>
        <w:t>also</w:t>
      </w:r>
      <w:r>
        <w:rPr>
          <w:spacing w:val="-5"/>
        </w:rPr>
        <w:t> </w:t>
      </w:r>
      <w:r>
        <w:rPr/>
        <w:t>notes</w:t>
      </w:r>
      <w:r>
        <w:rPr>
          <w:spacing w:val="-5"/>
        </w:rPr>
        <w:t> </w:t>
      </w:r>
      <w:r>
        <w:rPr/>
        <w:t>that</w:t>
      </w:r>
      <w:r>
        <w:rPr>
          <w:spacing w:val="-5"/>
        </w:rPr>
        <w:t> </w:t>
      </w:r>
      <w:r>
        <w:rPr/>
        <w:t>collecting</w:t>
      </w:r>
      <w:r>
        <w:rPr>
          <w:spacing w:val="-6"/>
        </w:rPr>
        <w:t> </w:t>
      </w:r>
      <w:r>
        <w:rPr/>
        <w:t>food separately opens up more processing options and allows processors to control inputs into their process and to cater to seasonal fluctuations in green waste</w:t>
      </w:r>
      <w:r>
        <w:rPr>
          <w:spacing w:val="-19"/>
        </w:rPr>
        <w:t> </w:t>
      </w:r>
      <w:r>
        <w:rPr/>
        <w:t>yields.</w:t>
      </w:r>
    </w:p>
    <w:p>
      <w:pPr>
        <w:pStyle w:val="BodyText"/>
        <w:spacing w:line="254" w:lineRule="auto" w:before="159"/>
        <w:ind w:left="560" w:right="129"/>
        <w:jc w:val="both"/>
      </w:pPr>
      <w:r>
        <w:rPr/>
        <w:t>Guidelines from WRAP on best practice receptacles for food waste also suggest that providing a food caddy to householders encourages participation in a food collection system (WRAP, 2016b).</w:t>
      </w:r>
    </w:p>
    <w:p>
      <w:pPr>
        <w:pStyle w:val="Heading2"/>
        <w:numPr>
          <w:ilvl w:val="1"/>
          <w:numId w:val="9"/>
        </w:numPr>
        <w:tabs>
          <w:tab w:pos="2000" w:val="left" w:leader="none"/>
          <w:tab w:pos="2001" w:val="left" w:leader="none"/>
        </w:tabs>
        <w:spacing w:line="240" w:lineRule="auto" w:before="162" w:after="0"/>
        <w:ind w:left="2000" w:right="0" w:hanging="1080"/>
        <w:jc w:val="left"/>
        <w:rPr>
          <w:b w:val="0"/>
        </w:rPr>
      </w:pPr>
      <w:bookmarkStart w:name="3.3. Kerbside recycling collection syste" w:id="52"/>
      <w:bookmarkEnd w:id="52"/>
      <w:r>
        <w:rPr/>
      </w:r>
      <w:bookmarkStart w:name="_bookmark17" w:id="53"/>
      <w:bookmarkEnd w:id="53"/>
      <w:r>
        <w:rPr/>
      </w:r>
      <w:bookmarkStart w:name="_bookmark17" w:id="54"/>
      <w:bookmarkEnd w:id="54"/>
      <w:r>
        <w:rPr>
          <w:b w:val="0"/>
        </w:rPr>
        <w:t>Kerbsid</w:t>
      </w:r>
      <w:r>
        <w:rPr>
          <w:b w:val="0"/>
        </w:rPr>
        <w:t>e recycling collection</w:t>
      </w:r>
      <w:r>
        <w:rPr>
          <w:b w:val="0"/>
          <w:spacing w:val="-18"/>
        </w:rPr>
        <w:t> </w:t>
      </w:r>
      <w:r>
        <w:rPr>
          <w:b w:val="0"/>
        </w:rPr>
        <w:t>systems</w:t>
      </w:r>
    </w:p>
    <w:p>
      <w:pPr>
        <w:pStyle w:val="BodyText"/>
        <w:spacing w:line="256" w:lineRule="auto" w:before="240"/>
        <w:ind w:left="560" w:right="119"/>
        <w:jc w:val="both"/>
      </w:pPr>
      <w:r>
        <w:rPr/>
        <w:t>There are three main domestic kerbside collection systems described in the literature, though there are a number of configurations within those three systems. These three systems and their different configurations are described below.</w:t>
      </w:r>
    </w:p>
    <w:p>
      <w:pPr>
        <w:spacing w:line="254" w:lineRule="auto" w:before="161"/>
        <w:ind w:left="560" w:right="121" w:firstLine="0"/>
        <w:jc w:val="both"/>
        <w:rPr>
          <w:sz w:val="20"/>
        </w:rPr>
      </w:pPr>
      <w:r>
        <w:rPr>
          <w:b/>
          <w:sz w:val="20"/>
        </w:rPr>
        <w:t>Source separated/kerbside sort </w:t>
      </w:r>
      <w:r>
        <w:rPr>
          <w:sz w:val="20"/>
        </w:rPr>
        <w:t>refers to systems where materials are collected in crates from the kerbside. This system includes:</w:t>
      </w:r>
    </w:p>
    <w:p>
      <w:pPr>
        <w:pStyle w:val="ListParagraph"/>
        <w:numPr>
          <w:ilvl w:val="0"/>
          <w:numId w:val="10"/>
        </w:numPr>
        <w:tabs>
          <w:tab w:pos="1280" w:val="left" w:leader="none"/>
          <w:tab w:pos="1281" w:val="left" w:leader="none"/>
        </w:tabs>
        <w:spacing w:line="256" w:lineRule="auto" w:before="160" w:after="0"/>
        <w:ind w:left="1280" w:right="119" w:hanging="360"/>
        <w:jc w:val="left"/>
        <w:rPr>
          <w:sz w:val="20"/>
        </w:rPr>
      </w:pPr>
      <w:r>
        <w:rPr>
          <w:sz w:val="20"/>
        </w:rPr>
        <w:t>Pre-sorted materials in different crates that are emptied as they are into different bins on a collection truck (e.g. glass, fibre, plastics and metals</w:t>
      </w:r>
      <w:r>
        <w:rPr>
          <w:spacing w:val="-20"/>
          <w:sz w:val="20"/>
        </w:rPr>
        <w:t> </w:t>
      </w:r>
      <w:r>
        <w:rPr>
          <w:sz w:val="20"/>
        </w:rPr>
        <w:t>combined)</w:t>
      </w:r>
    </w:p>
    <w:p>
      <w:pPr>
        <w:pStyle w:val="ListParagraph"/>
        <w:numPr>
          <w:ilvl w:val="0"/>
          <w:numId w:val="10"/>
        </w:numPr>
        <w:tabs>
          <w:tab w:pos="1280" w:val="left" w:leader="none"/>
          <w:tab w:pos="1281" w:val="left" w:leader="none"/>
        </w:tabs>
        <w:spacing w:line="256" w:lineRule="auto" w:before="0" w:after="0"/>
        <w:ind w:left="1280" w:right="119" w:hanging="360"/>
        <w:jc w:val="left"/>
        <w:rPr>
          <w:sz w:val="20"/>
        </w:rPr>
      </w:pPr>
      <w:r>
        <w:rPr>
          <w:sz w:val="20"/>
        </w:rPr>
        <w:t>Pre-sorted materials in different crates that are emptied as they are into different bins on a collection truck, with some sorting (e.g. glass colour sorted into three</w:t>
      </w:r>
      <w:r>
        <w:rPr>
          <w:spacing w:val="-19"/>
          <w:sz w:val="20"/>
        </w:rPr>
        <w:t> </w:t>
      </w:r>
      <w:r>
        <w:rPr>
          <w:sz w:val="20"/>
        </w:rPr>
        <w:t>bins)</w:t>
      </w:r>
    </w:p>
    <w:p>
      <w:pPr>
        <w:pStyle w:val="ListParagraph"/>
        <w:numPr>
          <w:ilvl w:val="0"/>
          <w:numId w:val="10"/>
        </w:numPr>
        <w:tabs>
          <w:tab w:pos="1280" w:val="left" w:leader="none"/>
          <w:tab w:pos="1281" w:val="left" w:leader="none"/>
        </w:tabs>
        <w:spacing w:line="256" w:lineRule="auto" w:before="0" w:after="0"/>
        <w:ind w:left="1280" w:right="112" w:hanging="360"/>
        <w:jc w:val="left"/>
        <w:rPr>
          <w:sz w:val="20"/>
        </w:rPr>
      </w:pPr>
      <w:r>
        <w:rPr>
          <w:sz w:val="20"/>
        </w:rPr>
        <w:t>Pre-sorted</w:t>
      </w:r>
      <w:r>
        <w:rPr>
          <w:spacing w:val="-4"/>
          <w:sz w:val="20"/>
        </w:rPr>
        <w:t> </w:t>
      </w:r>
      <w:r>
        <w:rPr>
          <w:sz w:val="20"/>
        </w:rPr>
        <w:t>materials</w:t>
      </w:r>
      <w:r>
        <w:rPr>
          <w:spacing w:val="-3"/>
          <w:sz w:val="20"/>
        </w:rPr>
        <w:t> </w:t>
      </w:r>
      <w:r>
        <w:rPr>
          <w:sz w:val="20"/>
        </w:rPr>
        <w:t>in</w:t>
      </w:r>
      <w:r>
        <w:rPr>
          <w:spacing w:val="-4"/>
          <w:sz w:val="20"/>
        </w:rPr>
        <w:t> </w:t>
      </w:r>
      <w:r>
        <w:rPr>
          <w:sz w:val="20"/>
        </w:rPr>
        <w:t>different</w:t>
      </w:r>
      <w:r>
        <w:rPr>
          <w:spacing w:val="-4"/>
          <w:sz w:val="20"/>
        </w:rPr>
        <w:t> </w:t>
      </w:r>
      <w:r>
        <w:rPr>
          <w:sz w:val="20"/>
        </w:rPr>
        <w:t>crates</w:t>
      </w:r>
      <w:r>
        <w:rPr>
          <w:spacing w:val="-3"/>
          <w:sz w:val="20"/>
        </w:rPr>
        <w:t> </w:t>
      </w:r>
      <w:r>
        <w:rPr>
          <w:sz w:val="20"/>
        </w:rPr>
        <w:t>and</w:t>
      </w:r>
      <w:r>
        <w:rPr>
          <w:spacing w:val="-4"/>
          <w:sz w:val="20"/>
        </w:rPr>
        <w:t> </w:t>
      </w:r>
      <w:r>
        <w:rPr>
          <w:sz w:val="20"/>
        </w:rPr>
        <w:t>fibre</w:t>
      </w:r>
      <w:r>
        <w:rPr>
          <w:spacing w:val="-5"/>
          <w:sz w:val="20"/>
        </w:rPr>
        <w:t> </w:t>
      </w:r>
      <w:r>
        <w:rPr>
          <w:sz w:val="20"/>
        </w:rPr>
        <w:t>stacked</w:t>
      </w:r>
      <w:r>
        <w:rPr>
          <w:spacing w:val="-4"/>
          <w:sz w:val="20"/>
        </w:rPr>
        <w:t> </w:t>
      </w:r>
      <w:r>
        <w:rPr>
          <w:sz w:val="20"/>
        </w:rPr>
        <w:t>beside</w:t>
      </w:r>
      <w:r>
        <w:rPr>
          <w:spacing w:val="-5"/>
          <w:sz w:val="20"/>
        </w:rPr>
        <w:t> </w:t>
      </w:r>
      <w:r>
        <w:rPr>
          <w:sz w:val="20"/>
        </w:rPr>
        <w:t>the</w:t>
      </w:r>
      <w:r>
        <w:rPr>
          <w:spacing w:val="-5"/>
          <w:sz w:val="20"/>
        </w:rPr>
        <w:t> </w:t>
      </w:r>
      <w:r>
        <w:rPr>
          <w:sz w:val="20"/>
        </w:rPr>
        <w:t>crates,</w:t>
      </w:r>
      <w:r>
        <w:rPr>
          <w:spacing w:val="-4"/>
          <w:sz w:val="20"/>
        </w:rPr>
        <w:t> </w:t>
      </w:r>
      <w:r>
        <w:rPr>
          <w:sz w:val="20"/>
        </w:rPr>
        <w:t>either</w:t>
      </w:r>
      <w:r>
        <w:rPr>
          <w:spacing w:val="-4"/>
          <w:sz w:val="20"/>
        </w:rPr>
        <w:t> </w:t>
      </w:r>
      <w:r>
        <w:rPr>
          <w:sz w:val="20"/>
        </w:rPr>
        <w:t>emptied</w:t>
      </w:r>
      <w:r>
        <w:rPr>
          <w:spacing w:val="-4"/>
          <w:sz w:val="20"/>
        </w:rPr>
        <w:t> </w:t>
      </w:r>
      <w:r>
        <w:rPr>
          <w:sz w:val="20"/>
        </w:rPr>
        <w:t>as</w:t>
      </w:r>
      <w:r>
        <w:rPr>
          <w:spacing w:val="-3"/>
          <w:sz w:val="20"/>
        </w:rPr>
        <w:t> </w:t>
      </w:r>
      <w:r>
        <w:rPr>
          <w:sz w:val="20"/>
        </w:rPr>
        <w:t>they</w:t>
      </w:r>
      <w:r>
        <w:rPr>
          <w:spacing w:val="-2"/>
          <w:sz w:val="20"/>
        </w:rPr>
        <w:t> </w:t>
      </w:r>
      <w:r>
        <w:rPr>
          <w:sz w:val="20"/>
        </w:rPr>
        <w:t>into bins on a truck or glass colour</w:t>
      </w:r>
      <w:r>
        <w:rPr>
          <w:spacing w:val="-16"/>
          <w:sz w:val="20"/>
        </w:rPr>
        <w:t> </w:t>
      </w:r>
      <w:r>
        <w:rPr>
          <w:sz w:val="20"/>
        </w:rPr>
        <w:t>sorted</w:t>
      </w:r>
    </w:p>
    <w:p>
      <w:pPr>
        <w:pStyle w:val="ListParagraph"/>
        <w:numPr>
          <w:ilvl w:val="0"/>
          <w:numId w:val="10"/>
        </w:numPr>
        <w:tabs>
          <w:tab w:pos="1280" w:val="left" w:leader="none"/>
          <w:tab w:pos="1281" w:val="left" w:leader="none"/>
        </w:tabs>
        <w:spacing w:line="256" w:lineRule="auto" w:before="2" w:after="0"/>
        <w:ind w:left="1280" w:right="118" w:hanging="360"/>
        <w:jc w:val="left"/>
        <w:rPr>
          <w:sz w:val="20"/>
        </w:rPr>
      </w:pPr>
      <w:r>
        <w:rPr>
          <w:sz w:val="20"/>
        </w:rPr>
        <w:t>Comingled</w:t>
      </w:r>
      <w:r>
        <w:rPr>
          <w:spacing w:val="-11"/>
          <w:sz w:val="20"/>
        </w:rPr>
        <w:t> </w:t>
      </w:r>
      <w:r>
        <w:rPr>
          <w:sz w:val="20"/>
        </w:rPr>
        <w:t>materials</w:t>
      </w:r>
      <w:r>
        <w:rPr>
          <w:spacing w:val="-9"/>
          <w:sz w:val="20"/>
        </w:rPr>
        <w:t> </w:t>
      </w:r>
      <w:r>
        <w:rPr>
          <w:sz w:val="20"/>
        </w:rPr>
        <w:t>collected</w:t>
      </w:r>
      <w:r>
        <w:rPr>
          <w:spacing w:val="-9"/>
          <w:sz w:val="20"/>
        </w:rPr>
        <w:t> </w:t>
      </w:r>
      <w:r>
        <w:rPr>
          <w:sz w:val="20"/>
        </w:rPr>
        <w:t>in</w:t>
      </w:r>
      <w:r>
        <w:rPr>
          <w:spacing w:val="-11"/>
          <w:sz w:val="20"/>
        </w:rPr>
        <w:t> </w:t>
      </w:r>
      <w:r>
        <w:rPr>
          <w:sz w:val="20"/>
        </w:rPr>
        <w:t>one</w:t>
      </w:r>
      <w:r>
        <w:rPr>
          <w:spacing w:val="-12"/>
          <w:sz w:val="20"/>
        </w:rPr>
        <w:t> </w:t>
      </w:r>
      <w:r>
        <w:rPr>
          <w:sz w:val="20"/>
        </w:rPr>
        <w:t>or</w:t>
      </w:r>
      <w:r>
        <w:rPr>
          <w:spacing w:val="-12"/>
          <w:sz w:val="20"/>
        </w:rPr>
        <w:t> </w:t>
      </w:r>
      <w:r>
        <w:rPr>
          <w:sz w:val="20"/>
        </w:rPr>
        <w:t>two</w:t>
      </w:r>
      <w:r>
        <w:rPr>
          <w:spacing w:val="-9"/>
          <w:sz w:val="20"/>
        </w:rPr>
        <w:t> </w:t>
      </w:r>
      <w:r>
        <w:rPr>
          <w:sz w:val="20"/>
        </w:rPr>
        <w:t>crates</w:t>
      </w:r>
      <w:r>
        <w:rPr>
          <w:spacing w:val="-10"/>
          <w:sz w:val="20"/>
        </w:rPr>
        <w:t> </w:t>
      </w:r>
      <w:r>
        <w:rPr>
          <w:sz w:val="20"/>
        </w:rPr>
        <w:t>and</w:t>
      </w:r>
      <w:r>
        <w:rPr>
          <w:spacing w:val="-11"/>
          <w:sz w:val="20"/>
        </w:rPr>
        <w:t> </w:t>
      </w:r>
      <w:r>
        <w:rPr>
          <w:sz w:val="20"/>
        </w:rPr>
        <w:t>hand</w:t>
      </w:r>
      <w:r>
        <w:rPr>
          <w:spacing w:val="-13"/>
          <w:sz w:val="20"/>
        </w:rPr>
        <w:t> </w:t>
      </w:r>
      <w:r>
        <w:rPr>
          <w:sz w:val="20"/>
        </w:rPr>
        <w:t>sorted</w:t>
      </w:r>
      <w:r>
        <w:rPr>
          <w:spacing w:val="-11"/>
          <w:sz w:val="20"/>
        </w:rPr>
        <w:t> </w:t>
      </w:r>
      <w:r>
        <w:rPr>
          <w:sz w:val="20"/>
        </w:rPr>
        <w:t>into</w:t>
      </w:r>
      <w:r>
        <w:rPr>
          <w:spacing w:val="-11"/>
          <w:sz w:val="20"/>
        </w:rPr>
        <w:t> </w:t>
      </w:r>
      <w:r>
        <w:rPr>
          <w:sz w:val="20"/>
        </w:rPr>
        <w:t>different</w:t>
      </w:r>
      <w:r>
        <w:rPr>
          <w:spacing w:val="-11"/>
          <w:sz w:val="20"/>
        </w:rPr>
        <w:t> </w:t>
      </w:r>
      <w:r>
        <w:rPr>
          <w:sz w:val="20"/>
        </w:rPr>
        <w:t>bins</w:t>
      </w:r>
      <w:r>
        <w:rPr>
          <w:spacing w:val="-10"/>
          <w:sz w:val="20"/>
        </w:rPr>
        <w:t> </w:t>
      </w:r>
      <w:r>
        <w:rPr>
          <w:sz w:val="20"/>
        </w:rPr>
        <w:t>on</w:t>
      </w:r>
      <w:r>
        <w:rPr>
          <w:spacing w:val="-11"/>
          <w:sz w:val="20"/>
        </w:rPr>
        <w:t> </w:t>
      </w:r>
      <w:r>
        <w:rPr>
          <w:sz w:val="20"/>
        </w:rPr>
        <w:t>a</w:t>
      </w:r>
      <w:r>
        <w:rPr>
          <w:spacing w:val="-9"/>
          <w:sz w:val="20"/>
        </w:rPr>
        <w:t> </w:t>
      </w:r>
      <w:r>
        <w:rPr>
          <w:sz w:val="20"/>
        </w:rPr>
        <w:t>truck,</w:t>
      </w:r>
      <w:r>
        <w:rPr>
          <w:spacing w:val="-11"/>
          <w:sz w:val="20"/>
        </w:rPr>
        <w:t> </w:t>
      </w:r>
      <w:r>
        <w:rPr>
          <w:sz w:val="20"/>
        </w:rPr>
        <w:t>either at kerbside or on the back of the</w:t>
      </w:r>
      <w:r>
        <w:rPr>
          <w:spacing w:val="-16"/>
          <w:sz w:val="20"/>
        </w:rPr>
        <w:t> </w:t>
      </w:r>
      <w:r>
        <w:rPr>
          <w:sz w:val="20"/>
        </w:rPr>
        <w:t>truck</w:t>
      </w:r>
    </w:p>
    <w:p>
      <w:pPr>
        <w:pStyle w:val="BodyText"/>
        <w:spacing w:line="256" w:lineRule="auto" w:before="158"/>
        <w:ind w:left="560" w:right="116"/>
        <w:jc w:val="both"/>
      </w:pPr>
      <w:r>
        <w:rPr>
          <w:b/>
        </w:rPr>
        <w:t>Two</w:t>
      </w:r>
      <w:r>
        <w:rPr>
          <w:b/>
          <w:spacing w:val="-8"/>
        </w:rPr>
        <w:t> </w:t>
      </w:r>
      <w:r>
        <w:rPr>
          <w:b/>
        </w:rPr>
        <w:t>stream</w:t>
      </w:r>
      <w:r>
        <w:rPr>
          <w:b/>
          <w:spacing w:val="-8"/>
        </w:rPr>
        <w:t> </w:t>
      </w:r>
      <w:r>
        <w:rPr>
          <w:b/>
        </w:rPr>
        <w:t>with</w:t>
      </w:r>
      <w:r>
        <w:rPr>
          <w:b/>
          <w:spacing w:val="-8"/>
        </w:rPr>
        <w:t> </w:t>
      </w:r>
      <w:r>
        <w:rPr>
          <w:b/>
        </w:rPr>
        <w:t>glass</w:t>
      </w:r>
      <w:r>
        <w:rPr>
          <w:b/>
          <w:spacing w:val="-10"/>
        </w:rPr>
        <w:t> </w:t>
      </w:r>
      <w:r>
        <w:rPr>
          <w:b/>
        </w:rPr>
        <w:t>separate</w:t>
      </w:r>
      <w:r>
        <w:rPr>
          <w:b/>
          <w:spacing w:val="-6"/>
        </w:rPr>
        <w:t> </w:t>
      </w:r>
      <w:r>
        <w:rPr/>
        <w:t>refers</w:t>
      </w:r>
      <w:r>
        <w:rPr>
          <w:spacing w:val="-8"/>
        </w:rPr>
        <w:t> </w:t>
      </w:r>
      <w:r>
        <w:rPr/>
        <w:t>to</w:t>
      </w:r>
      <w:r>
        <w:rPr>
          <w:spacing w:val="-9"/>
        </w:rPr>
        <w:t> </w:t>
      </w:r>
      <w:r>
        <w:rPr/>
        <w:t>a</w:t>
      </w:r>
      <w:r>
        <w:rPr>
          <w:spacing w:val="-9"/>
        </w:rPr>
        <w:t> </w:t>
      </w:r>
      <w:r>
        <w:rPr/>
        <w:t>system</w:t>
      </w:r>
      <w:r>
        <w:rPr>
          <w:spacing w:val="-8"/>
        </w:rPr>
        <w:t> </w:t>
      </w:r>
      <w:r>
        <w:rPr/>
        <w:t>where</w:t>
      </w:r>
      <w:r>
        <w:rPr>
          <w:spacing w:val="-8"/>
        </w:rPr>
        <w:t> </w:t>
      </w:r>
      <w:r>
        <w:rPr/>
        <w:t>materials</w:t>
      </w:r>
      <w:r>
        <w:rPr>
          <w:spacing w:val="-6"/>
        </w:rPr>
        <w:t> </w:t>
      </w:r>
      <w:r>
        <w:rPr/>
        <w:t>are</w:t>
      </w:r>
      <w:r>
        <w:rPr>
          <w:spacing w:val="-10"/>
        </w:rPr>
        <w:t> </w:t>
      </w:r>
      <w:r>
        <w:rPr/>
        <w:t>collected</w:t>
      </w:r>
      <w:r>
        <w:rPr>
          <w:spacing w:val="-9"/>
        </w:rPr>
        <w:t> </w:t>
      </w:r>
      <w:r>
        <w:rPr/>
        <w:t>comingled</w:t>
      </w:r>
      <w:r>
        <w:rPr>
          <w:spacing w:val="-9"/>
        </w:rPr>
        <w:t> </w:t>
      </w:r>
      <w:r>
        <w:rPr/>
        <w:t>in</w:t>
      </w:r>
      <w:r>
        <w:rPr>
          <w:spacing w:val="-9"/>
        </w:rPr>
        <w:t> </w:t>
      </w:r>
      <w:r>
        <w:rPr/>
        <w:t>a</w:t>
      </w:r>
      <w:r>
        <w:rPr>
          <w:spacing w:val="-9"/>
        </w:rPr>
        <w:t> </w:t>
      </w:r>
      <w:r>
        <w:rPr/>
        <w:t>wheelie</w:t>
      </w:r>
      <w:r>
        <w:rPr>
          <w:spacing w:val="-8"/>
        </w:rPr>
        <w:t> </w:t>
      </w:r>
      <w:r>
        <w:rPr/>
        <w:t>bin</w:t>
      </w:r>
      <w:r>
        <w:rPr>
          <w:spacing w:val="-9"/>
        </w:rPr>
        <w:t> </w:t>
      </w:r>
      <w:r>
        <w:rPr/>
        <w:t>and glass is collected separately, either in a crate (which is then colour sorted into a collection truck) or in a second wheelie</w:t>
      </w:r>
      <w:r>
        <w:rPr>
          <w:spacing w:val="-5"/>
        </w:rPr>
        <w:t> </w:t>
      </w:r>
      <w:r>
        <w:rPr/>
        <w:t>bin.</w:t>
      </w:r>
    </w:p>
    <w:p>
      <w:pPr>
        <w:pStyle w:val="BodyText"/>
        <w:spacing w:line="254" w:lineRule="auto" w:before="158"/>
        <w:ind w:left="560" w:right="113"/>
        <w:jc w:val="both"/>
      </w:pPr>
      <w:r>
        <w:rPr>
          <w:b/>
        </w:rPr>
        <w:t>Comingled </w:t>
      </w:r>
      <w:r>
        <w:rPr/>
        <w:t>refers to the use of a single wheelie bin used to collect all materials and is emptied directly into a collection truck.</w:t>
      </w:r>
    </w:p>
    <w:p>
      <w:pPr>
        <w:pStyle w:val="BodyText"/>
        <w:spacing w:line="256" w:lineRule="auto" w:before="163"/>
        <w:ind w:left="560" w:right="113"/>
        <w:jc w:val="both"/>
      </w:pPr>
      <w:r>
        <w:rPr/>
        <w:t>The full literature review of the performance of different kerbside recycling systems is provided in Appendix B. The literature review drew on 26 reports. Nine of these were from Aotearoa New Zealand, twelve from the United Kingdom, three from Australia, one from Europe and one from Canada.</w:t>
      </w:r>
    </w:p>
    <w:p>
      <w:pPr>
        <w:pStyle w:val="BodyText"/>
        <w:spacing w:line="254" w:lineRule="auto" w:before="159"/>
        <w:ind w:left="560" w:right="114"/>
        <w:jc w:val="both"/>
      </w:pPr>
      <w:r>
        <w:rPr/>
        <w:t>A summary of the literature reviewed for kerbside recycling collection systems is presented below, addressing contamination, yield and missed capture, employment, health and safety, cost and environment.</w:t>
      </w:r>
    </w:p>
    <w:p>
      <w:pPr>
        <w:pStyle w:val="BodyText"/>
        <w:spacing w:line="256" w:lineRule="auto" w:before="161"/>
        <w:ind w:left="560" w:right="117"/>
        <w:jc w:val="both"/>
      </w:pPr>
      <w:r>
        <w:rPr>
          <w:b/>
        </w:rPr>
        <w:t>Contamination</w:t>
      </w:r>
      <w:r>
        <w:rPr/>
        <w:t>: Eight reports addressed this and all found that source separated and/or kerbside sort recycling systems</w:t>
      </w:r>
      <w:r>
        <w:rPr>
          <w:spacing w:val="-13"/>
        </w:rPr>
        <w:t> </w:t>
      </w:r>
      <w:r>
        <w:rPr/>
        <w:t>result</w:t>
      </w:r>
      <w:r>
        <w:rPr>
          <w:spacing w:val="-14"/>
        </w:rPr>
        <w:t> </w:t>
      </w:r>
      <w:r>
        <w:rPr/>
        <w:t>in</w:t>
      </w:r>
      <w:r>
        <w:rPr>
          <w:spacing w:val="-14"/>
        </w:rPr>
        <w:t> </w:t>
      </w:r>
      <w:r>
        <w:rPr/>
        <w:t>the</w:t>
      </w:r>
      <w:r>
        <w:rPr>
          <w:spacing w:val="-15"/>
        </w:rPr>
        <w:t> </w:t>
      </w:r>
      <w:r>
        <w:rPr/>
        <w:t>lowest</w:t>
      </w:r>
      <w:r>
        <w:rPr>
          <w:spacing w:val="-14"/>
        </w:rPr>
        <w:t> </w:t>
      </w:r>
      <w:r>
        <w:rPr/>
        <w:t>rates</w:t>
      </w:r>
      <w:r>
        <w:rPr>
          <w:spacing w:val="-13"/>
        </w:rPr>
        <w:t> </w:t>
      </w:r>
      <w:r>
        <w:rPr/>
        <w:t>of</w:t>
      </w:r>
      <w:r>
        <w:rPr>
          <w:spacing w:val="-15"/>
        </w:rPr>
        <w:t> </w:t>
      </w:r>
      <w:r>
        <w:rPr/>
        <w:t>contamination</w:t>
      </w:r>
      <w:r>
        <w:rPr>
          <w:spacing w:val="-13"/>
        </w:rPr>
        <w:t> </w:t>
      </w:r>
      <w:r>
        <w:rPr/>
        <w:t>and</w:t>
      </w:r>
      <w:r>
        <w:rPr>
          <w:spacing w:val="-13"/>
        </w:rPr>
        <w:t> </w:t>
      </w:r>
      <w:r>
        <w:rPr/>
        <w:t>comingled</w:t>
      </w:r>
      <w:r>
        <w:rPr>
          <w:spacing w:val="-13"/>
        </w:rPr>
        <w:t> </w:t>
      </w:r>
      <w:r>
        <w:rPr/>
        <w:t>systems</w:t>
      </w:r>
      <w:r>
        <w:rPr>
          <w:spacing w:val="-13"/>
        </w:rPr>
        <w:t> </w:t>
      </w:r>
      <w:r>
        <w:rPr/>
        <w:t>in</w:t>
      </w:r>
      <w:r>
        <w:rPr>
          <w:spacing w:val="-14"/>
        </w:rPr>
        <w:t> </w:t>
      </w:r>
      <w:r>
        <w:rPr/>
        <w:t>the</w:t>
      </w:r>
      <w:r>
        <w:rPr>
          <w:spacing w:val="-15"/>
        </w:rPr>
        <w:t> </w:t>
      </w:r>
      <w:r>
        <w:rPr/>
        <w:t>highest</w:t>
      </w:r>
      <w:r>
        <w:rPr>
          <w:spacing w:val="-7"/>
        </w:rPr>
        <w:t> </w:t>
      </w:r>
      <w:r>
        <w:rPr/>
        <w:t>rates</w:t>
      </w:r>
      <w:r>
        <w:rPr>
          <w:spacing w:val="-13"/>
        </w:rPr>
        <w:t> </w:t>
      </w:r>
      <w:r>
        <w:rPr/>
        <w:t>of</w:t>
      </w:r>
      <w:r>
        <w:rPr>
          <w:spacing w:val="-14"/>
        </w:rPr>
        <w:t> </w:t>
      </w:r>
      <w:r>
        <w:rPr/>
        <w:t>contamination.</w:t>
      </w:r>
    </w:p>
    <w:p>
      <w:pPr>
        <w:pStyle w:val="BodyText"/>
        <w:spacing w:line="256" w:lineRule="auto" w:before="158"/>
        <w:ind w:left="560" w:right="114"/>
        <w:jc w:val="both"/>
      </w:pPr>
      <w:r>
        <w:rPr>
          <w:b/>
        </w:rPr>
        <w:t>Yield</w:t>
      </w:r>
      <w:r>
        <w:rPr>
          <w:b/>
          <w:spacing w:val="-13"/>
        </w:rPr>
        <w:t> </w:t>
      </w:r>
      <w:r>
        <w:rPr>
          <w:b/>
        </w:rPr>
        <w:t>and</w:t>
      </w:r>
      <w:r>
        <w:rPr>
          <w:b/>
          <w:spacing w:val="-13"/>
        </w:rPr>
        <w:t> </w:t>
      </w:r>
      <w:r>
        <w:rPr>
          <w:b/>
        </w:rPr>
        <w:t>missed</w:t>
      </w:r>
      <w:r>
        <w:rPr>
          <w:b/>
          <w:spacing w:val="-13"/>
        </w:rPr>
        <w:t> </w:t>
      </w:r>
      <w:r>
        <w:rPr>
          <w:b/>
        </w:rPr>
        <w:t>capture</w:t>
      </w:r>
      <w:r>
        <w:rPr/>
        <w:t>:</w:t>
      </w:r>
      <w:r>
        <w:rPr>
          <w:spacing w:val="-14"/>
        </w:rPr>
        <w:t> </w:t>
      </w:r>
      <w:r>
        <w:rPr/>
        <w:t>Twelve</w:t>
      </w:r>
      <w:r>
        <w:rPr>
          <w:spacing w:val="-14"/>
        </w:rPr>
        <w:t> </w:t>
      </w:r>
      <w:r>
        <w:rPr/>
        <w:t>reports</w:t>
      </w:r>
      <w:r>
        <w:rPr>
          <w:spacing w:val="-12"/>
        </w:rPr>
        <w:t> </w:t>
      </w:r>
      <w:r>
        <w:rPr/>
        <w:t>addressed</w:t>
      </w:r>
      <w:r>
        <w:rPr>
          <w:spacing w:val="-13"/>
        </w:rPr>
        <w:t> </w:t>
      </w:r>
      <w:r>
        <w:rPr/>
        <w:t>this</w:t>
      </w:r>
      <w:r>
        <w:rPr>
          <w:spacing w:val="-12"/>
        </w:rPr>
        <w:t> </w:t>
      </w:r>
      <w:r>
        <w:rPr/>
        <w:t>and</w:t>
      </w:r>
      <w:r>
        <w:rPr>
          <w:spacing w:val="-13"/>
        </w:rPr>
        <w:t> </w:t>
      </w:r>
      <w:r>
        <w:rPr/>
        <w:t>five</w:t>
      </w:r>
      <w:r>
        <w:rPr>
          <w:spacing w:val="-14"/>
        </w:rPr>
        <w:t> </w:t>
      </w:r>
      <w:r>
        <w:rPr/>
        <w:t>determined</w:t>
      </w:r>
      <w:r>
        <w:rPr>
          <w:spacing w:val="-13"/>
        </w:rPr>
        <w:t> </w:t>
      </w:r>
      <w:r>
        <w:rPr/>
        <w:t>that</w:t>
      </w:r>
      <w:r>
        <w:rPr>
          <w:spacing w:val="-13"/>
        </w:rPr>
        <w:t> </w:t>
      </w:r>
      <w:r>
        <w:rPr/>
        <w:t>comingled</w:t>
      </w:r>
      <w:r>
        <w:rPr>
          <w:spacing w:val="-13"/>
        </w:rPr>
        <w:t> </w:t>
      </w:r>
      <w:r>
        <w:rPr/>
        <w:t>systems</w:t>
      </w:r>
      <w:r>
        <w:rPr>
          <w:spacing w:val="-15"/>
        </w:rPr>
        <w:t> </w:t>
      </w:r>
      <w:r>
        <w:rPr/>
        <w:t>yield</w:t>
      </w:r>
      <w:r>
        <w:rPr>
          <w:spacing w:val="-13"/>
        </w:rPr>
        <w:t> </w:t>
      </w:r>
      <w:r>
        <w:rPr/>
        <w:t>more material. However, three of the reports qualified this with one stating “marginally more” and two </w:t>
      </w:r>
      <w:r>
        <w:rPr>
          <w:spacing w:val="2"/>
        </w:rPr>
        <w:t>noted </w:t>
      </w:r>
      <w:r>
        <w:rPr/>
        <w:t>that comingled systems had higher contamination.  One report found that if householders using a source</w:t>
      </w:r>
      <w:r>
        <w:rPr>
          <w:spacing w:val="-15"/>
        </w:rPr>
        <w:t> </w:t>
      </w:r>
      <w:r>
        <w:rPr/>
        <w:t>separated</w:t>
      </w:r>
    </w:p>
    <w:p>
      <w:pPr>
        <w:pStyle w:val="BodyText"/>
        <w:spacing w:line="256" w:lineRule="auto"/>
        <w:ind w:left="560" w:right="115"/>
        <w:jc w:val="both"/>
      </w:pPr>
      <w:r>
        <w:rPr/>
        <w:t>/ kerbside sort system were give the same capacity as a comingled system (through additional crates or increased collections) yield was the same or even higher than for a comingled system. Four reports found that source separated and or kerbside sort systems produced higher yield than comingled systems (with one qualifying</w:t>
      </w:r>
      <w:r>
        <w:rPr>
          <w:spacing w:val="-7"/>
        </w:rPr>
        <w:t> </w:t>
      </w:r>
      <w:r>
        <w:rPr/>
        <w:t>that</w:t>
      </w:r>
      <w:r>
        <w:rPr>
          <w:spacing w:val="-7"/>
        </w:rPr>
        <w:t> </w:t>
      </w:r>
      <w:r>
        <w:rPr/>
        <w:t>this</w:t>
      </w:r>
      <w:r>
        <w:rPr>
          <w:spacing w:val="-7"/>
        </w:rPr>
        <w:t> </w:t>
      </w:r>
      <w:r>
        <w:rPr/>
        <w:t>was</w:t>
      </w:r>
      <w:r>
        <w:rPr>
          <w:spacing w:val="-6"/>
        </w:rPr>
        <w:t> </w:t>
      </w:r>
      <w:r>
        <w:rPr/>
        <w:t>when</w:t>
      </w:r>
      <w:r>
        <w:rPr>
          <w:spacing w:val="-7"/>
        </w:rPr>
        <w:t> </w:t>
      </w:r>
      <w:r>
        <w:rPr/>
        <w:t>contamination</w:t>
      </w:r>
      <w:r>
        <w:rPr>
          <w:spacing w:val="-7"/>
        </w:rPr>
        <w:t> </w:t>
      </w:r>
      <w:r>
        <w:rPr/>
        <w:t>in</w:t>
      </w:r>
      <w:r>
        <w:rPr>
          <w:spacing w:val="-7"/>
        </w:rPr>
        <w:t> </w:t>
      </w:r>
      <w:r>
        <w:rPr/>
        <w:t>a</w:t>
      </w:r>
      <w:r>
        <w:rPr>
          <w:spacing w:val="-7"/>
        </w:rPr>
        <w:t> </w:t>
      </w:r>
      <w:r>
        <w:rPr/>
        <w:t>comingled</w:t>
      </w:r>
      <w:r>
        <w:rPr>
          <w:spacing w:val="-5"/>
        </w:rPr>
        <w:t> </w:t>
      </w:r>
      <w:r>
        <w:rPr/>
        <w:t>system</w:t>
      </w:r>
      <w:r>
        <w:rPr>
          <w:spacing w:val="-8"/>
        </w:rPr>
        <w:t> </w:t>
      </w:r>
      <w:r>
        <w:rPr/>
        <w:t>was</w:t>
      </w:r>
      <w:r>
        <w:rPr>
          <w:spacing w:val="-6"/>
        </w:rPr>
        <w:t> </w:t>
      </w:r>
      <w:r>
        <w:rPr/>
        <w:t>taken</w:t>
      </w:r>
      <w:r>
        <w:rPr>
          <w:spacing w:val="-7"/>
        </w:rPr>
        <w:t> </w:t>
      </w:r>
      <w:r>
        <w:rPr/>
        <w:t>into</w:t>
      </w:r>
      <w:r>
        <w:rPr>
          <w:spacing w:val="-7"/>
        </w:rPr>
        <w:t> </w:t>
      </w:r>
      <w:r>
        <w:rPr/>
        <w:t>account).</w:t>
      </w:r>
      <w:r>
        <w:rPr>
          <w:spacing w:val="38"/>
        </w:rPr>
        <w:t> </w:t>
      </w:r>
      <w:r>
        <w:rPr/>
        <w:t>Two</w:t>
      </w:r>
      <w:r>
        <w:rPr>
          <w:spacing w:val="-7"/>
        </w:rPr>
        <w:t> </w:t>
      </w:r>
      <w:r>
        <w:rPr/>
        <w:t>reports</w:t>
      </w:r>
      <w:r>
        <w:rPr>
          <w:spacing w:val="-6"/>
        </w:rPr>
        <w:t> </w:t>
      </w:r>
      <w:r>
        <w:rPr/>
        <w:t>found that the collection system had little impact on missed</w:t>
      </w:r>
      <w:r>
        <w:rPr>
          <w:spacing w:val="-25"/>
        </w:rPr>
        <w:t> </w:t>
      </w:r>
      <w:r>
        <w:rPr/>
        <w:t>capture.</w:t>
      </w:r>
    </w:p>
    <w:p>
      <w:pPr>
        <w:pStyle w:val="BodyText"/>
        <w:spacing w:line="254" w:lineRule="auto" w:before="159"/>
        <w:ind w:left="560" w:right="119"/>
        <w:jc w:val="both"/>
      </w:pPr>
      <w:r>
        <w:rPr>
          <w:b/>
        </w:rPr>
        <w:t>Employment</w:t>
      </w:r>
      <w:r>
        <w:rPr/>
        <w:t>:</w:t>
      </w:r>
      <w:r>
        <w:rPr>
          <w:spacing w:val="-4"/>
        </w:rPr>
        <w:t> </w:t>
      </w:r>
      <w:r>
        <w:rPr/>
        <w:t>Only</w:t>
      </w:r>
      <w:r>
        <w:rPr>
          <w:spacing w:val="-5"/>
        </w:rPr>
        <w:t> </w:t>
      </w:r>
      <w:r>
        <w:rPr/>
        <w:t>one</w:t>
      </w:r>
      <w:r>
        <w:rPr>
          <w:spacing w:val="-4"/>
        </w:rPr>
        <w:t> </w:t>
      </w:r>
      <w:r>
        <w:rPr/>
        <w:t>report</w:t>
      </w:r>
      <w:r>
        <w:rPr>
          <w:spacing w:val="-5"/>
        </w:rPr>
        <w:t> </w:t>
      </w:r>
      <w:r>
        <w:rPr/>
        <w:t>addressed</w:t>
      </w:r>
      <w:r>
        <w:rPr>
          <w:spacing w:val="-2"/>
        </w:rPr>
        <w:t> </w:t>
      </w:r>
      <w:r>
        <w:rPr/>
        <w:t>employment</w:t>
      </w:r>
      <w:r>
        <w:rPr>
          <w:spacing w:val="-2"/>
        </w:rPr>
        <w:t> </w:t>
      </w:r>
      <w:r>
        <w:rPr/>
        <w:t>and</w:t>
      </w:r>
      <w:r>
        <w:rPr>
          <w:spacing w:val="-3"/>
        </w:rPr>
        <w:t> </w:t>
      </w:r>
      <w:r>
        <w:rPr/>
        <w:t>it</w:t>
      </w:r>
      <w:r>
        <w:rPr>
          <w:spacing w:val="-3"/>
        </w:rPr>
        <w:t> </w:t>
      </w:r>
      <w:r>
        <w:rPr/>
        <w:t>determined</w:t>
      </w:r>
      <w:r>
        <w:rPr>
          <w:spacing w:val="-3"/>
        </w:rPr>
        <w:t> </w:t>
      </w:r>
      <w:r>
        <w:rPr/>
        <w:t>that</w:t>
      </w:r>
      <w:r>
        <w:rPr>
          <w:spacing w:val="-3"/>
        </w:rPr>
        <w:t> </w:t>
      </w:r>
      <w:r>
        <w:rPr/>
        <w:t>when</w:t>
      </w:r>
      <w:r>
        <w:rPr>
          <w:spacing w:val="-3"/>
        </w:rPr>
        <w:t> </w:t>
      </w:r>
      <w:r>
        <w:rPr/>
        <w:t>capture</w:t>
      </w:r>
      <w:r>
        <w:rPr>
          <w:spacing w:val="-4"/>
        </w:rPr>
        <w:t> </w:t>
      </w:r>
      <w:r>
        <w:rPr/>
        <w:t>rates</w:t>
      </w:r>
      <w:r>
        <w:rPr>
          <w:spacing w:val="-3"/>
        </w:rPr>
        <w:t> </w:t>
      </w:r>
      <w:r>
        <w:rPr/>
        <w:t>are</w:t>
      </w:r>
      <w:r>
        <w:rPr>
          <w:spacing w:val="-4"/>
        </w:rPr>
        <w:t> </w:t>
      </w:r>
      <w:r>
        <w:rPr/>
        <w:t>over</w:t>
      </w:r>
      <w:r>
        <w:rPr>
          <w:spacing w:val="-3"/>
        </w:rPr>
        <w:t> </w:t>
      </w:r>
      <w:r>
        <w:rPr/>
        <w:t>70% (which is not achieved by any nations as of yet) a two stream with glass out created higher employment </w:t>
      </w:r>
      <w:r>
        <w:rPr>
          <w:spacing w:val="20"/>
        </w:rPr>
        <w:t> </w:t>
      </w:r>
      <w:r>
        <w:rPr/>
        <w:t>rates,</w:t>
      </w:r>
    </w:p>
    <w:p>
      <w:pPr>
        <w:spacing w:after="0" w:line="254"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6" w:lineRule="auto" w:before="60"/>
        <w:ind w:left="560" w:right="116"/>
        <w:jc w:val="both"/>
      </w:pPr>
      <w:r>
        <w:rPr/>
        <w:t>whereas</w:t>
      </w:r>
      <w:r>
        <w:rPr>
          <w:spacing w:val="-6"/>
        </w:rPr>
        <w:t> </w:t>
      </w:r>
      <w:r>
        <w:rPr/>
        <w:t>when</w:t>
      </w:r>
      <w:r>
        <w:rPr>
          <w:spacing w:val="-7"/>
        </w:rPr>
        <w:t> </w:t>
      </w:r>
      <w:r>
        <w:rPr/>
        <w:t>capture</w:t>
      </w:r>
      <w:r>
        <w:rPr>
          <w:spacing w:val="-9"/>
        </w:rPr>
        <w:t> </w:t>
      </w:r>
      <w:r>
        <w:rPr/>
        <w:t>rates</w:t>
      </w:r>
      <w:r>
        <w:rPr>
          <w:spacing w:val="-7"/>
        </w:rPr>
        <w:t> </w:t>
      </w:r>
      <w:r>
        <w:rPr/>
        <w:t>are</w:t>
      </w:r>
      <w:r>
        <w:rPr>
          <w:spacing w:val="-9"/>
        </w:rPr>
        <w:t> </w:t>
      </w:r>
      <w:r>
        <w:rPr/>
        <w:t>below</w:t>
      </w:r>
      <w:r>
        <w:rPr>
          <w:spacing w:val="-9"/>
        </w:rPr>
        <w:t> </w:t>
      </w:r>
      <w:r>
        <w:rPr/>
        <w:t>70%</w:t>
      </w:r>
      <w:r>
        <w:rPr>
          <w:spacing w:val="-9"/>
        </w:rPr>
        <w:t> </w:t>
      </w:r>
      <w:r>
        <w:rPr/>
        <w:t>(as</w:t>
      </w:r>
      <w:r>
        <w:rPr>
          <w:spacing w:val="-6"/>
        </w:rPr>
        <w:t> </w:t>
      </w:r>
      <w:r>
        <w:rPr/>
        <w:t>is</w:t>
      </w:r>
      <w:r>
        <w:rPr>
          <w:spacing w:val="-7"/>
        </w:rPr>
        <w:t> </w:t>
      </w:r>
      <w:r>
        <w:rPr/>
        <w:t>the</w:t>
      </w:r>
      <w:r>
        <w:rPr>
          <w:spacing w:val="-9"/>
        </w:rPr>
        <w:t> </w:t>
      </w:r>
      <w:r>
        <w:rPr/>
        <w:t>case</w:t>
      </w:r>
      <w:r>
        <w:rPr>
          <w:spacing w:val="-9"/>
        </w:rPr>
        <w:t> </w:t>
      </w:r>
      <w:r>
        <w:rPr/>
        <w:t>in</w:t>
      </w:r>
      <w:r>
        <w:rPr>
          <w:spacing w:val="-10"/>
        </w:rPr>
        <w:t> </w:t>
      </w:r>
      <w:r>
        <w:rPr/>
        <w:t>Aotearoa</w:t>
      </w:r>
      <w:r>
        <w:rPr>
          <w:spacing w:val="-7"/>
        </w:rPr>
        <w:t> </w:t>
      </w:r>
      <w:r>
        <w:rPr/>
        <w:t>New</w:t>
      </w:r>
      <w:r>
        <w:rPr>
          <w:spacing w:val="-9"/>
        </w:rPr>
        <w:t> </w:t>
      </w:r>
      <w:r>
        <w:rPr/>
        <w:t>Zealand)</w:t>
      </w:r>
      <w:r>
        <w:rPr>
          <w:spacing w:val="-8"/>
        </w:rPr>
        <w:t> </w:t>
      </w:r>
      <w:r>
        <w:rPr/>
        <w:t>source</w:t>
      </w:r>
      <w:r>
        <w:rPr>
          <w:spacing w:val="-3"/>
        </w:rPr>
        <w:t> </w:t>
      </w:r>
      <w:r>
        <w:rPr/>
        <w:t>separated/kerbside sort</w:t>
      </w:r>
      <w:r>
        <w:rPr>
          <w:spacing w:val="-5"/>
        </w:rPr>
        <w:t> </w:t>
      </w:r>
      <w:r>
        <w:rPr/>
        <w:t>created</w:t>
      </w:r>
      <w:r>
        <w:rPr>
          <w:spacing w:val="-5"/>
        </w:rPr>
        <w:t> </w:t>
      </w:r>
      <w:r>
        <w:rPr/>
        <w:t>the</w:t>
      </w:r>
      <w:r>
        <w:rPr>
          <w:spacing w:val="-6"/>
        </w:rPr>
        <w:t> </w:t>
      </w:r>
      <w:r>
        <w:rPr/>
        <w:t>most</w:t>
      </w:r>
      <w:r>
        <w:rPr>
          <w:spacing w:val="-5"/>
        </w:rPr>
        <w:t> </w:t>
      </w:r>
      <w:r>
        <w:rPr/>
        <w:t>employment.</w:t>
      </w:r>
      <w:r>
        <w:rPr>
          <w:spacing w:val="-5"/>
        </w:rPr>
        <w:t> </w:t>
      </w:r>
      <w:r>
        <w:rPr/>
        <w:t>For</w:t>
      </w:r>
      <w:r>
        <w:rPr>
          <w:spacing w:val="-5"/>
        </w:rPr>
        <w:t> </w:t>
      </w:r>
      <w:r>
        <w:rPr/>
        <w:t>both</w:t>
      </w:r>
      <w:r>
        <w:rPr>
          <w:spacing w:val="-4"/>
        </w:rPr>
        <w:t> </w:t>
      </w:r>
      <w:r>
        <w:rPr/>
        <w:t>scenarios</w:t>
      </w:r>
      <w:r>
        <w:rPr>
          <w:spacing w:val="-4"/>
        </w:rPr>
        <w:t> </w:t>
      </w:r>
      <w:r>
        <w:rPr/>
        <w:t>a</w:t>
      </w:r>
      <w:r>
        <w:rPr>
          <w:spacing w:val="-5"/>
        </w:rPr>
        <w:t> </w:t>
      </w:r>
      <w:r>
        <w:rPr/>
        <w:t>comingled</w:t>
      </w:r>
      <w:r>
        <w:rPr>
          <w:spacing w:val="-5"/>
        </w:rPr>
        <w:t> </w:t>
      </w:r>
      <w:r>
        <w:rPr/>
        <w:t>system</w:t>
      </w:r>
      <w:r>
        <w:rPr>
          <w:spacing w:val="-6"/>
        </w:rPr>
        <w:t> </w:t>
      </w:r>
      <w:r>
        <w:rPr/>
        <w:t>was</w:t>
      </w:r>
      <w:r>
        <w:rPr>
          <w:spacing w:val="-4"/>
        </w:rPr>
        <w:t> </w:t>
      </w:r>
      <w:r>
        <w:rPr/>
        <w:t>found</w:t>
      </w:r>
      <w:r>
        <w:rPr>
          <w:spacing w:val="-5"/>
        </w:rPr>
        <w:t> </w:t>
      </w:r>
      <w:r>
        <w:rPr/>
        <w:t>to</w:t>
      </w:r>
      <w:r>
        <w:rPr>
          <w:spacing w:val="-7"/>
        </w:rPr>
        <w:t> </w:t>
      </w:r>
      <w:r>
        <w:rPr/>
        <w:t>create</w:t>
      </w:r>
      <w:r>
        <w:rPr>
          <w:spacing w:val="-6"/>
        </w:rPr>
        <w:t> </w:t>
      </w:r>
      <w:r>
        <w:rPr/>
        <w:t>the</w:t>
      </w:r>
      <w:r>
        <w:rPr>
          <w:spacing w:val="-6"/>
        </w:rPr>
        <w:t> </w:t>
      </w:r>
      <w:r>
        <w:rPr/>
        <w:t>2nd</w:t>
      </w:r>
      <w:r>
        <w:rPr>
          <w:spacing w:val="-5"/>
        </w:rPr>
        <w:t> </w:t>
      </w:r>
      <w:r>
        <w:rPr/>
        <w:t>highest employment</w:t>
      </w:r>
      <w:r>
        <w:rPr>
          <w:spacing w:val="-7"/>
        </w:rPr>
        <w:t> </w:t>
      </w:r>
      <w:r>
        <w:rPr/>
        <w:t>rate.</w:t>
      </w:r>
    </w:p>
    <w:p>
      <w:pPr>
        <w:pStyle w:val="BodyText"/>
        <w:spacing w:line="256" w:lineRule="auto" w:before="159"/>
        <w:ind w:left="560" w:right="117"/>
        <w:jc w:val="both"/>
      </w:pPr>
      <w:r>
        <w:rPr>
          <w:b/>
        </w:rPr>
        <w:t>Health and safety</w:t>
      </w:r>
      <w:r>
        <w:rPr/>
        <w:t>: Three reports included this aspect. One of these thoroughly reviewed 12 other reports, including one of the other reports reviewed here, and concluded there was no clear higher health and safety risk for any one system in respect of both employees and the public when looking at fatal and major accident rates,</w:t>
      </w:r>
      <w:r>
        <w:rPr>
          <w:spacing w:val="-4"/>
        </w:rPr>
        <w:t> </w:t>
      </w:r>
      <w:r>
        <w:rPr/>
        <w:t>musculoskeletal</w:t>
      </w:r>
      <w:r>
        <w:rPr>
          <w:spacing w:val="-5"/>
        </w:rPr>
        <w:t> </w:t>
      </w:r>
      <w:r>
        <w:rPr/>
        <w:t>disorders,</w:t>
      </w:r>
      <w:r>
        <w:rPr>
          <w:spacing w:val="-4"/>
        </w:rPr>
        <w:t> </w:t>
      </w:r>
      <w:r>
        <w:rPr/>
        <w:t>noise</w:t>
      </w:r>
      <w:r>
        <w:rPr>
          <w:spacing w:val="-5"/>
        </w:rPr>
        <w:t> </w:t>
      </w:r>
      <w:r>
        <w:rPr/>
        <w:t>exposure</w:t>
      </w:r>
      <w:r>
        <w:rPr>
          <w:spacing w:val="-5"/>
        </w:rPr>
        <w:t> </w:t>
      </w:r>
      <w:r>
        <w:rPr/>
        <w:t>and</w:t>
      </w:r>
      <w:r>
        <w:rPr>
          <w:spacing w:val="-6"/>
        </w:rPr>
        <w:t> </w:t>
      </w:r>
      <w:r>
        <w:rPr/>
        <w:t>sprain</w:t>
      </w:r>
      <w:r>
        <w:rPr>
          <w:spacing w:val="-4"/>
        </w:rPr>
        <w:t> </w:t>
      </w:r>
      <w:r>
        <w:rPr/>
        <w:t>injuries,</w:t>
      </w:r>
      <w:r>
        <w:rPr>
          <w:spacing w:val="-4"/>
        </w:rPr>
        <w:t> </w:t>
      </w:r>
      <w:r>
        <w:rPr/>
        <w:t>trips</w:t>
      </w:r>
      <w:r>
        <w:rPr>
          <w:spacing w:val="-3"/>
        </w:rPr>
        <w:t> </w:t>
      </w:r>
      <w:r>
        <w:rPr/>
        <w:t>and</w:t>
      </w:r>
      <w:r>
        <w:rPr>
          <w:spacing w:val="-6"/>
        </w:rPr>
        <w:t> </w:t>
      </w:r>
      <w:r>
        <w:rPr/>
        <w:t>“struck-by”</w:t>
      </w:r>
      <w:r>
        <w:rPr>
          <w:spacing w:val="-4"/>
        </w:rPr>
        <w:t> </w:t>
      </w:r>
      <w:r>
        <w:rPr/>
        <w:t>accidents.</w:t>
      </w:r>
      <w:r>
        <w:rPr>
          <w:spacing w:val="-4"/>
        </w:rPr>
        <w:t> </w:t>
      </w:r>
      <w:r>
        <w:rPr/>
        <w:t>One</w:t>
      </w:r>
      <w:r>
        <w:rPr>
          <w:spacing w:val="-5"/>
        </w:rPr>
        <w:t> </w:t>
      </w:r>
      <w:r>
        <w:rPr/>
        <w:t>report addressed</w:t>
      </w:r>
      <w:r>
        <w:rPr>
          <w:spacing w:val="-11"/>
        </w:rPr>
        <w:t> </w:t>
      </w:r>
      <w:r>
        <w:rPr/>
        <w:t>the</w:t>
      </w:r>
      <w:r>
        <w:rPr>
          <w:spacing w:val="-12"/>
        </w:rPr>
        <w:t> </w:t>
      </w:r>
      <w:r>
        <w:rPr/>
        <w:t>health</w:t>
      </w:r>
      <w:r>
        <w:rPr>
          <w:spacing w:val="-11"/>
        </w:rPr>
        <w:t> </w:t>
      </w:r>
      <w:r>
        <w:rPr/>
        <w:t>risks</w:t>
      </w:r>
      <w:r>
        <w:rPr>
          <w:spacing w:val="-10"/>
        </w:rPr>
        <w:t> </w:t>
      </w:r>
      <w:r>
        <w:rPr/>
        <w:t>of</w:t>
      </w:r>
      <w:r>
        <w:rPr>
          <w:spacing w:val="-12"/>
        </w:rPr>
        <w:t> </w:t>
      </w:r>
      <w:r>
        <w:rPr/>
        <w:t>COVID-19</w:t>
      </w:r>
      <w:r>
        <w:rPr>
          <w:spacing w:val="-12"/>
        </w:rPr>
        <w:t> </w:t>
      </w:r>
      <w:r>
        <w:rPr/>
        <w:t>and</w:t>
      </w:r>
      <w:r>
        <w:rPr>
          <w:spacing w:val="-11"/>
        </w:rPr>
        <w:t> </w:t>
      </w:r>
      <w:r>
        <w:rPr/>
        <w:t>determined</w:t>
      </w:r>
      <w:r>
        <w:rPr>
          <w:spacing w:val="-11"/>
        </w:rPr>
        <w:t> </w:t>
      </w:r>
      <w:r>
        <w:rPr/>
        <w:t>that</w:t>
      </w:r>
      <w:r>
        <w:rPr>
          <w:spacing w:val="-8"/>
        </w:rPr>
        <w:t> </w:t>
      </w:r>
      <w:r>
        <w:rPr/>
        <w:t>manual</w:t>
      </w:r>
      <w:r>
        <w:rPr>
          <w:spacing w:val="-11"/>
        </w:rPr>
        <w:t> </w:t>
      </w:r>
      <w:r>
        <w:rPr/>
        <w:t>handling</w:t>
      </w:r>
      <w:r>
        <w:rPr>
          <w:spacing w:val="-12"/>
        </w:rPr>
        <w:t> </w:t>
      </w:r>
      <w:r>
        <w:rPr/>
        <w:t>exposes</w:t>
      </w:r>
      <w:r>
        <w:rPr>
          <w:spacing w:val="-10"/>
        </w:rPr>
        <w:t> </w:t>
      </w:r>
      <w:r>
        <w:rPr/>
        <w:t>workers</w:t>
      </w:r>
      <w:r>
        <w:rPr>
          <w:spacing w:val="-11"/>
        </w:rPr>
        <w:t> </w:t>
      </w:r>
      <w:r>
        <w:rPr/>
        <w:t>to</w:t>
      </w:r>
      <w:r>
        <w:rPr>
          <w:spacing w:val="-11"/>
        </w:rPr>
        <w:t> </w:t>
      </w:r>
      <w:r>
        <w:rPr/>
        <w:t>increased</w:t>
      </w:r>
      <w:r>
        <w:rPr>
          <w:spacing w:val="-11"/>
        </w:rPr>
        <w:t> </w:t>
      </w:r>
      <w:r>
        <w:rPr/>
        <w:t>risks of contracting a virus such as</w:t>
      </w:r>
      <w:r>
        <w:rPr>
          <w:spacing w:val="-20"/>
        </w:rPr>
        <w:t> </w:t>
      </w:r>
      <w:r>
        <w:rPr/>
        <w:t>COVID-19.</w:t>
      </w:r>
    </w:p>
    <w:p>
      <w:pPr>
        <w:pStyle w:val="BodyText"/>
        <w:spacing w:line="256" w:lineRule="auto" w:before="161"/>
        <w:ind w:left="560" w:right="115"/>
        <w:jc w:val="both"/>
      </w:pPr>
      <w:r>
        <w:rPr>
          <w:b/>
        </w:rPr>
        <w:t>Cost</w:t>
      </w:r>
      <w:r>
        <w:rPr/>
        <w:t>: Ten reports addressed the issue of collection and sorting costs. Six of the reports found that when sorting costs are combined with collection costs a source separated and/or kerbside sort system is cheaper overall, though one of these found that when adjusted for household density comingled systems cost less. One report noted that if a local authority does not have access to a modern MRF, a source separated and/or kerbside sort system</w:t>
      </w:r>
      <w:r>
        <w:rPr>
          <w:spacing w:val="-13"/>
        </w:rPr>
        <w:t> </w:t>
      </w:r>
      <w:r>
        <w:rPr/>
        <w:t>is</w:t>
      </w:r>
      <w:r>
        <w:rPr>
          <w:spacing w:val="-12"/>
        </w:rPr>
        <w:t> </w:t>
      </w:r>
      <w:r>
        <w:rPr/>
        <w:t>often</w:t>
      </w:r>
      <w:r>
        <w:rPr>
          <w:spacing w:val="-12"/>
        </w:rPr>
        <w:t> </w:t>
      </w:r>
      <w:r>
        <w:rPr/>
        <w:t>cheaper.</w:t>
      </w:r>
      <w:r>
        <w:rPr>
          <w:spacing w:val="24"/>
        </w:rPr>
        <w:t> </w:t>
      </w:r>
      <w:r>
        <w:rPr/>
        <w:t>Two</w:t>
      </w:r>
      <w:r>
        <w:rPr>
          <w:spacing w:val="-10"/>
        </w:rPr>
        <w:t> </w:t>
      </w:r>
      <w:r>
        <w:rPr/>
        <w:t>found</w:t>
      </w:r>
      <w:r>
        <w:rPr>
          <w:spacing w:val="-12"/>
        </w:rPr>
        <w:t> </w:t>
      </w:r>
      <w:r>
        <w:rPr/>
        <w:t>that</w:t>
      </w:r>
      <w:r>
        <w:rPr>
          <w:spacing w:val="-12"/>
        </w:rPr>
        <w:t> </w:t>
      </w:r>
      <w:r>
        <w:rPr/>
        <w:t>the</w:t>
      </w:r>
      <w:r>
        <w:rPr>
          <w:spacing w:val="-12"/>
        </w:rPr>
        <w:t> </w:t>
      </w:r>
      <w:r>
        <w:rPr/>
        <w:t>costs</w:t>
      </w:r>
      <w:r>
        <w:rPr>
          <w:spacing w:val="-11"/>
        </w:rPr>
        <w:t> </w:t>
      </w:r>
      <w:r>
        <w:rPr/>
        <w:t>of</w:t>
      </w:r>
      <w:r>
        <w:rPr>
          <w:spacing w:val="-12"/>
        </w:rPr>
        <w:t> </w:t>
      </w:r>
      <w:r>
        <w:rPr/>
        <w:t>a</w:t>
      </w:r>
      <w:r>
        <w:rPr>
          <w:spacing w:val="-13"/>
        </w:rPr>
        <w:t> </w:t>
      </w:r>
      <w:r>
        <w:rPr/>
        <w:t>source</w:t>
      </w:r>
      <w:r>
        <w:rPr>
          <w:spacing w:val="-12"/>
        </w:rPr>
        <w:t> </w:t>
      </w:r>
      <w:r>
        <w:rPr/>
        <w:t>separated</w:t>
      </w:r>
      <w:r>
        <w:rPr>
          <w:spacing w:val="-12"/>
        </w:rPr>
        <w:t> </w:t>
      </w:r>
      <w:r>
        <w:rPr/>
        <w:t>versus</w:t>
      </w:r>
      <w:r>
        <w:rPr>
          <w:spacing w:val="-11"/>
        </w:rPr>
        <w:t> </w:t>
      </w:r>
      <w:r>
        <w:rPr/>
        <w:t>a</w:t>
      </w:r>
      <w:r>
        <w:rPr>
          <w:spacing w:val="-12"/>
        </w:rPr>
        <w:t> </w:t>
      </w:r>
      <w:r>
        <w:rPr/>
        <w:t>comingled</w:t>
      </w:r>
      <w:r>
        <w:rPr>
          <w:spacing w:val="-12"/>
        </w:rPr>
        <w:t> </w:t>
      </w:r>
      <w:r>
        <w:rPr/>
        <w:t>system</w:t>
      </w:r>
      <w:r>
        <w:rPr>
          <w:spacing w:val="-13"/>
        </w:rPr>
        <w:t> </w:t>
      </w:r>
      <w:r>
        <w:rPr/>
        <w:t>were</w:t>
      </w:r>
      <w:r>
        <w:rPr>
          <w:spacing w:val="-12"/>
        </w:rPr>
        <w:t> </w:t>
      </w:r>
      <w:r>
        <w:rPr/>
        <w:t>similar, and one report included evidence from a waste management association that separation at source costs </w:t>
      </w:r>
      <w:r>
        <w:rPr>
          <w:spacing w:val="2"/>
        </w:rPr>
        <w:t>more </w:t>
      </w:r>
      <w:r>
        <w:rPr/>
        <w:t>than a comingled</w:t>
      </w:r>
      <w:r>
        <w:rPr>
          <w:spacing w:val="-8"/>
        </w:rPr>
        <w:t> </w:t>
      </w:r>
      <w:r>
        <w:rPr/>
        <w:t>system.</w:t>
      </w:r>
    </w:p>
    <w:p>
      <w:pPr>
        <w:pStyle w:val="BodyText"/>
        <w:spacing w:line="256" w:lineRule="auto" w:before="158"/>
        <w:ind w:left="560" w:right="117"/>
        <w:jc w:val="both"/>
      </w:pPr>
      <w:r>
        <w:rPr>
          <w:b/>
        </w:rPr>
        <w:t>Environment</w:t>
      </w:r>
      <w:r>
        <w:rPr/>
        <w:t>: Two reports addressed environmental impacts. One looked at carbon emissions and air quality and concluded that with capture rates above or below 70% source separated and/or kerbside sort systems had the</w:t>
      </w:r>
      <w:r>
        <w:rPr>
          <w:spacing w:val="-10"/>
        </w:rPr>
        <w:t> </w:t>
      </w:r>
      <w:r>
        <w:rPr/>
        <w:t>lowest</w:t>
      </w:r>
      <w:r>
        <w:rPr>
          <w:spacing w:val="-9"/>
        </w:rPr>
        <w:t> </w:t>
      </w:r>
      <w:r>
        <w:rPr/>
        <w:t>environmental</w:t>
      </w:r>
      <w:r>
        <w:rPr>
          <w:spacing w:val="-9"/>
        </w:rPr>
        <w:t> </w:t>
      </w:r>
      <w:r>
        <w:rPr/>
        <w:t>impacts.</w:t>
      </w:r>
      <w:r>
        <w:rPr>
          <w:spacing w:val="27"/>
        </w:rPr>
        <w:t> </w:t>
      </w:r>
      <w:r>
        <w:rPr/>
        <w:t>The</w:t>
      </w:r>
      <w:r>
        <w:rPr>
          <w:spacing w:val="-10"/>
        </w:rPr>
        <w:t> </w:t>
      </w:r>
      <w:r>
        <w:rPr/>
        <w:t>other</w:t>
      </w:r>
      <w:r>
        <w:rPr>
          <w:spacing w:val="-9"/>
        </w:rPr>
        <w:t> </w:t>
      </w:r>
      <w:r>
        <w:rPr/>
        <w:t>report</w:t>
      </w:r>
      <w:r>
        <w:rPr>
          <w:spacing w:val="-9"/>
        </w:rPr>
        <w:t> </w:t>
      </w:r>
      <w:r>
        <w:rPr/>
        <w:t>determined</w:t>
      </w:r>
      <w:r>
        <w:rPr>
          <w:spacing w:val="-9"/>
        </w:rPr>
        <w:t> </w:t>
      </w:r>
      <w:r>
        <w:rPr/>
        <w:t>that</w:t>
      </w:r>
      <w:r>
        <w:rPr>
          <w:spacing w:val="-8"/>
        </w:rPr>
        <w:t> </w:t>
      </w:r>
      <w:r>
        <w:rPr/>
        <w:t>because</w:t>
      </w:r>
      <w:r>
        <w:rPr>
          <w:spacing w:val="-10"/>
        </w:rPr>
        <w:t> </w:t>
      </w:r>
      <w:r>
        <w:rPr/>
        <w:t>source</w:t>
      </w:r>
      <w:r>
        <w:rPr>
          <w:spacing w:val="-10"/>
        </w:rPr>
        <w:t> </w:t>
      </w:r>
      <w:r>
        <w:rPr/>
        <w:t>separated</w:t>
      </w:r>
      <w:r>
        <w:rPr>
          <w:spacing w:val="-9"/>
        </w:rPr>
        <w:t> </w:t>
      </w:r>
      <w:r>
        <w:rPr/>
        <w:t>and</w:t>
      </w:r>
      <w:r>
        <w:rPr>
          <w:spacing w:val="-9"/>
        </w:rPr>
        <w:t> </w:t>
      </w:r>
      <w:r>
        <w:rPr/>
        <w:t>or</w:t>
      </w:r>
      <w:r>
        <w:rPr>
          <w:spacing w:val="-9"/>
        </w:rPr>
        <w:t> </w:t>
      </w:r>
      <w:r>
        <w:rPr/>
        <w:t>kerbside sort systems produce higher quality recyclate this has a higher environmental benefit as it is more likely to be recycled into like-for-like products and be recycled many times instead of being “down cycled” and only being recycled</w:t>
      </w:r>
      <w:r>
        <w:rPr>
          <w:spacing w:val="-9"/>
        </w:rPr>
        <w:t> </w:t>
      </w:r>
      <w:r>
        <w:rPr/>
        <w:t>once.</w:t>
      </w:r>
    </w:p>
    <w:p>
      <w:pPr>
        <w:pStyle w:val="Heading2"/>
        <w:numPr>
          <w:ilvl w:val="1"/>
          <w:numId w:val="9"/>
        </w:numPr>
        <w:tabs>
          <w:tab w:pos="2000" w:val="left" w:leader="none"/>
          <w:tab w:pos="2001" w:val="left" w:leader="none"/>
        </w:tabs>
        <w:spacing w:line="240" w:lineRule="auto" w:before="159" w:after="0"/>
        <w:ind w:left="2000" w:right="0" w:hanging="1080"/>
        <w:jc w:val="left"/>
        <w:rPr>
          <w:b w:val="0"/>
        </w:rPr>
      </w:pPr>
      <w:bookmarkStart w:name="3.4. Kerbside residual rubbish collectio" w:id="55"/>
      <w:bookmarkEnd w:id="55"/>
      <w:r>
        <w:rPr/>
      </w:r>
      <w:bookmarkStart w:name="_bookmark18" w:id="56"/>
      <w:bookmarkEnd w:id="56"/>
      <w:r>
        <w:rPr/>
      </w:r>
      <w:bookmarkStart w:name="_bookmark18" w:id="57"/>
      <w:bookmarkEnd w:id="57"/>
      <w:r>
        <w:rPr>
          <w:b w:val="0"/>
        </w:rPr>
        <w:t>Kerbsid</w:t>
      </w:r>
      <w:r>
        <w:rPr>
          <w:b w:val="0"/>
        </w:rPr>
        <w:t>e residual rubbish collection</w:t>
      </w:r>
      <w:r>
        <w:rPr>
          <w:b w:val="0"/>
          <w:spacing w:val="-25"/>
        </w:rPr>
        <w:t> </w:t>
      </w:r>
      <w:r>
        <w:rPr>
          <w:b w:val="0"/>
        </w:rPr>
        <w:t>systems</w:t>
      </w:r>
    </w:p>
    <w:p>
      <w:pPr>
        <w:pStyle w:val="BodyText"/>
        <w:spacing w:line="256" w:lineRule="auto" w:before="160"/>
        <w:ind w:left="560" w:right="114"/>
        <w:jc w:val="both"/>
      </w:pPr>
      <w:r>
        <w:rPr/>
        <w:t>The</w:t>
      </w:r>
      <w:r>
        <w:rPr>
          <w:spacing w:val="-9"/>
        </w:rPr>
        <w:t> </w:t>
      </w:r>
      <w:r>
        <w:rPr/>
        <w:t>literature</w:t>
      </w:r>
      <w:r>
        <w:rPr>
          <w:spacing w:val="-9"/>
        </w:rPr>
        <w:t> </w:t>
      </w:r>
      <w:r>
        <w:rPr/>
        <w:t>on</w:t>
      </w:r>
      <w:r>
        <w:rPr>
          <w:spacing w:val="-7"/>
        </w:rPr>
        <w:t> </w:t>
      </w:r>
      <w:r>
        <w:rPr/>
        <w:t>residual</w:t>
      </w:r>
      <w:r>
        <w:rPr>
          <w:spacing w:val="-7"/>
        </w:rPr>
        <w:t> </w:t>
      </w:r>
      <w:r>
        <w:rPr/>
        <w:t>rubbish</w:t>
      </w:r>
      <w:r>
        <w:rPr>
          <w:spacing w:val="-10"/>
        </w:rPr>
        <w:t> </w:t>
      </w:r>
      <w:r>
        <w:rPr/>
        <w:t>systems</w:t>
      </w:r>
      <w:r>
        <w:rPr>
          <w:spacing w:val="-7"/>
        </w:rPr>
        <w:t> </w:t>
      </w:r>
      <w:r>
        <w:rPr/>
        <w:t>is</w:t>
      </w:r>
      <w:r>
        <w:rPr>
          <w:spacing w:val="-7"/>
        </w:rPr>
        <w:t> </w:t>
      </w:r>
      <w:r>
        <w:rPr/>
        <w:t>limited.</w:t>
      </w:r>
      <w:r>
        <w:rPr>
          <w:spacing w:val="-8"/>
        </w:rPr>
        <w:t> </w:t>
      </w:r>
      <w:r>
        <w:rPr/>
        <w:t>A</w:t>
      </w:r>
      <w:r>
        <w:rPr>
          <w:spacing w:val="-8"/>
        </w:rPr>
        <w:t> </w:t>
      </w:r>
      <w:r>
        <w:rPr/>
        <w:t>summary</w:t>
      </w:r>
      <w:r>
        <w:rPr>
          <w:spacing w:val="-7"/>
        </w:rPr>
        <w:t> </w:t>
      </w:r>
      <w:r>
        <w:rPr/>
        <w:t>of</w:t>
      </w:r>
      <w:r>
        <w:rPr>
          <w:spacing w:val="-9"/>
        </w:rPr>
        <w:t> </w:t>
      </w:r>
      <w:r>
        <w:rPr/>
        <w:t>the</w:t>
      </w:r>
      <w:r>
        <w:rPr>
          <w:spacing w:val="-9"/>
        </w:rPr>
        <w:t> </w:t>
      </w:r>
      <w:r>
        <w:rPr/>
        <w:t>literature</w:t>
      </w:r>
      <w:r>
        <w:rPr>
          <w:spacing w:val="-9"/>
        </w:rPr>
        <w:t> </w:t>
      </w:r>
      <w:r>
        <w:rPr/>
        <w:t>reviewed</w:t>
      </w:r>
      <w:r>
        <w:rPr>
          <w:spacing w:val="-7"/>
        </w:rPr>
        <w:t> </w:t>
      </w:r>
      <w:r>
        <w:rPr/>
        <w:t>as</w:t>
      </w:r>
      <w:r>
        <w:rPr>
          <w:spacing w:val="-8"/>
        </w:rPr>
        <w:t> </w:t>
      </w:r>
      <w:r>
        <w:rPr/>
        <w:t>part</w:t>
      </w:r>
      <w:r>
        <w:rPr>
          <w:spacing w:val="-10"/>
        </w:rPr>
        <w:t> </w:t>
      </w:r>
      <w:r>
        <w:rPr/>
        <w:t>of</w:t>
      </w:r>
      <w:r>
        <w:rPr>
          <w:spacing w:val="-9"/>
        </w:rPr>
        <w:t> </w:t>
      </w:r>
      <w:r>
        <w:rPr/>
        <w:t>this</w:t>
      </w:r>
      <w:r>
        <w:rPr>
          <w:spacing w:val="-9"/>
        </w:rPr>
        <w:t> </w:t>
      </w:r>
      <w:r>
        <w:rPr/>
        <w:t>project is provided here. The WRAP 2012/13 </w:t>
      </w:r>
      <w:r>
        <w:rPr>
          <w:i/>
        </w:rPr>
        <w:t>Analysis of recycling performance and waste arisings </w:t>
      </w:r>
      <w:r>
        <w:rPr/>
        <w:t>took into account geographical and socio-economic factors and determined that the size of residual rubbish receptacles has a highly significant effect on yield. More capacity for rubbish leads to lower recycling rates (i.e. each additional litre in residual capacity leads to a reduction of mean recycling rates of 0.05±0.02%). WRAP’s 2009 report </w:t>
      </w:r>
      <w:r>
        <w:rPr>
          <w:i/>
        </w:rPr>
        <w:t>Choosing the right recycling collection system </w:t>
      </w:r>
      <w:r>
        <w:rPr/>
        <w:t>suggests that the amount of space provided for recycling and the frequency of collection of both recycling and residual rubbish is what determines the amount of material collected</w:t>
      </w:r>
      <w:r>
        <w:rPr>
          <w:spacing w:val="-5"/>
        </w:rPr>
        <w:t> </w:t>
      </w:r>
      <w:r>
        <w:rPr/>
        <w:t>in</w:t>
      </w:r>
      <w:r>
        <w:rPr>
          <w:spacing w:val="-5"/>
        </w:rPr>
        <w:t> </w:t>
      </w:r>
      <w:r>
        <w:rPr/>
        <w:t>each.</w:t>
      </w:r>
      <w:r>
        <w:rPr>
          <w:spacing w:val="-5"/>
        </w:rPr>
        <w:t> </w:t>
      </w:r>
      <w:r>
        <w:rPr>
          <w:color w:val="3D3D3D"/>
        </w:rPr>
        <w:t>Another</w:t>
      </w:r>
      <w:r>
        <w:rPr>
          <w:color w:val="3D3D3D"/>
          <w:spacing w:val="-5"/>
        </w:rPr>
        <w:t> </w:t>
      </w:r>
      <w:r>
        <w:rPr>
          <w:color w:val="3D3D3D"/>
        </w:rPr>
        <w:t>WRAP</w:t>
      </w:r>
      <w:r>
        <w:rPr>
          <w:color w:val="3D3D3D"/>
          <w:spacing w:val="-5"/>
        </w:rPr>
        <w:t> </w:t>
      </w:r>
      <w:r>
        <w:rPr>
          <w:color w:val="3D3D3D"/>
        </w:rPr>
        <w:t>document </w:t>
      </w:r>
      <w:r>
        <w:rPr>
          <w:i/>
          <w:color w:val="3D3D3D"/>
        </w:rPr>
        <w:t>A</w:t>
      </w:r>
      <w:r>
        <w:rPr>
          <w:i/>
          <w:color w:val="3D3D3D"/>
          <w:spacing w:val="-6"/>
        </w:rPr>
        <w:t> </w:t>
      </w:r>
      <w:r>
        <w:rPr>
          <w:i/>
          <w:color w:val="3D3D3D"/>
        </w:rPr>
        <w:t>framework</w:t>
      </w:r>
      <w:r>
        <w:rPr>
          <w:i/>
          <w:color w:val="3D3D3D"/>
          <w:spacing w:val="-3"/>
        </w:rPr>
        <w:t> </w:t>
      </w:r>
      <w:r>
        <w:rPr>
          <w:i/>
          <w:color w:val="3D3D3D"/>
        </w:rPr>
        <w:t>for</w:t>
      </w:r>
      <w:r>
        <w:rPr>
          <w:i/>
          <w:color w:val="3D3D3D"/>
          <w:spacing w:val="-7"/>
        </w:rPr>
        <w:t> </w:t>
      </w:r>
      <w:r>
        <w:rPr>
          <w:i/>
          <w:color w:val="3D3D3D"/>
        </w:rPr>
        <w:t>greater</w:t>
      </w:r>
      <w:r>
        <w:rPr>
          <w:i/>
          <w:color w:val="3D3D3D"/>
          <w:spacing w:val="-7"/>
        </w:rPr>
        <w:t> </w:t>
      </w:r>
      <w:r>
        <w:rPr>
          <w:i/>
          <w:color w:val="3D3D3D"/>
        </w:rPr>
        <w:t>consistency</w:t>
      </w:r>
      <w:r>
        <w:rPr>
          <w:i/>
          <w:color w:val="3D3D3D"/>
          <w:spacing w:val="-6"/>
        </w:rPr>
        <w:t> </w:t>
      </w:r>
      <w:r>
        <w:rPr>
          <w:i/>
          <w:color w:val="3D3D3D"/>
        </w:rPr>
        <w:t>in</w:t>
      </w:r>
      <w:r>
        <w:rPr>
          <w:i/>
          <w:color w:val="3D3D3D"/>
          <w:spacing w:val="-5"/>
        </w:rPr>
        <w:t> </w:t>
      </w:r>
      <w:r>
        <w:rPr>
          <w:i/>
          <w:color w:val="3D3D3D"/>
        </w:rPr>
        <w:t>household</w:t>
      </w:r>
      <w:r>
        <w:rPr>
          <w:i/>
          <w:color w:val="3D3D3D"/>
          <w:spacing w:val="-5"/>
        </w:rPr>
        <w:t> </w:t>
      </w:r>
      <w:r>
        <w:rPr>
          <w:i/>
          <w:color w:val="3D3D3D"/>
        </w:rPr>
        <w:t>recycling</w:t>
      </w:r>
      <w:r>
        <w:rPr>
          <w:i/>
          <w:color w:val="3D3D3D"/>
          <w:spacing w:val="4"/>
        </w:rPr>
        <w:t> </w:t>
      </w:r>
      <w:r>
        <w:rPr>
          <w:color w:val="3D3D3D"/>
        </w:rPr>
        <w:t>(WRAP, 2017) states that dry recycling capacity should be equivalent to a minimum of 120-litres per week and that recycling services perform better and are more cost effective when residual rubbish capacity is restricted to a maximum equivalent of 120-litres per week. It does not make a differentiation between household density or household type. It also notes that fortnightly residual rubbish collections are more cost effective than weekly collections.</w:t>
      </w:r>
    </w:p>
    <w:p>
      <w:pPr>
        <w:pStyle w:val="BodyText"/>
        <w:spacing w:line="256" w:lineRule="auto" w:before="158"/>
        <w:ind w:left="560" w:right="114"/>
        <w:jc w:val="both"/>
      </w:pPr>
      <w:r>
        <w:rPr>
          <w:color w:val="3D3D3D"/>
        </w:rPr>
        <w:t>Another issue regarding residual rubbish collections is raised in a 2017 article </w:t>
      </w:r>
      <w:r>
        <w:rPr>
          <w:color w:val="3D3D3D"/>
          <w:spacing w:val="4"/>
        </w:rPr>
        <w:t>by </w:t>
      </w:r>
      <w:r>
        <w:rPr>
          <w:color w:val="3D3D3D"/>
        </w:rPr>
        <w:t>Eunomia Research and Consulting. A study by Waste Not Consulting cited in the article demonstrates that when local authorities offer a user-pays rubbish bag service, the market share for private services grows and, in some instances, can be as high as 90%. This can lead to a local authority service becoming unviable (Wilson, 2017). Other issues identified in the article include: the private sector offering 240-litre residual rubbish bins, which acts as a disincentive to separate</w:t>
      </w:r>
      <w:r>
        <w:rPr>
          <w:color w:val="3D3D3D"/>
          <w:spacing w:val="-10"/>
        </w:rPr>
        <w:t> </w:t>
      </w:r>
      <w:r>
        <w:rPr>
          <w:color w:val="3D3D3D"/>
        </w:rPr>
        <w:t>organics</w:t>
      </w:r>
      <w:r>
        <w:rPr>
          <w:color w:val="3D3D3D"/>
          <w:spacing w:val="-9"/>
        </w:rPr>
        <w:t> </w:t>
      </w:r>
      <w:r>
        <w:rPr>
          <w:color w:val="3D3D3D"/>
        </w:rPr>
        <w:t>and</w:t>
      </w:r>
      <w:r>
        <w:rPr>
          <w:color w:val="3D3D3D"/>
          <w:spacing w:val="-9"/>
        </w:rPr>
        <w:t> </w:t>
      </w:r>
      <w:r>
        <w:rPr>
          <w:color w:val="3D3D3D"/>
        </w:rPr>
        <w:t>recycling;</w:t>
      </w:r>
      <w:r>
        <w:rPr>
          <w:color w:val="3D3D3D"/>
          <w:spacing w:val="-10"/>
        </w:rPr>
        <w:t> </w:t>
      </w:r>
      <w:r>
        <w:rPr>
          <w:color w:val="3D3D3D"/>
        </w:rPr>
        <w:t>an</w:t>
      </w:r>
      <w:r>
        <w:rPr>
          <w:color w:val="3D3D3D"/>
          <w:spacing w:val="-8"/>
        </w:rPr>
        <w:t> </w:t>
      </w:r>
      <w:r>
        <w:rPr>
          <w:color w:val="3D3D3D"/>
        </w:rPr>
        <w:t>increased</w:t>
      </w:r>
      <w:r>
        <w:rPr>
          <w:color w:val="3D3D3D"/>
          <w:spacing w:val="-9"/>
        </w:rPr>
        <w:t> </w:t>
      </w:r>
      <w:r>
        <w:rPr>
          <w:color w:val="3D3D3D"/>
        </w:rPr>
        <w:t>number</w:t>
      </w:r>
      <w:r>
        <w:rPr>
          <w:color w:val="3D3D3D"/>
          <w:spacing w:val="-9"/>
        </w:rPr>
        <w:t> </w:t>
      </w:r>
      <w:r>
        <w:rPr>
          <w:color w:val="3D3D3D"/>
        </w:rPr>
        <w:t>of</w:t>
      </w:r>
      <w:r>
        <w:rPr>
          <w:color w:val="3D3D3D"/>
          <w:spacing w:val="-8"/>
        </w:rPr>
        <w:t> </w:t>
      </w:r>
      <w:r>
        <w:rPr>
          <w:color w:val="3D3D3D"/>
        </w:rPr>
        <w:t>rubbish</w:t>
      </w:r>
      <w:r>
        <w:rPr>
          <w:color w:val="3D3D3D"/>
          <w:spacing w:val="-9"/>
        </w:rPr>
        <w:t> </w:t>
      </w:r>
      <w:r>
        <w:rPr>
          <w:color w:val="3D3D3D"/>
        </w:rPr>
        <w:t>and</w:t>
      </w:r>
      <w:r>
        <w:rPr>
          <w:color w:val="3D3D3D"/>
          <w:spacing w:val="-9"/>
        </w:rPr>
        <w:t> </w:t>
      </w:r>
      <w:r>
        <w:rPr>
          <w:color w:val="3D3D3D"/>
        </w:rPr>
        <w:t>recycling</w:t>
      </w:r>
      <w:r>
        <w:rPr>
          <w:color w:val="3D3D3D"/>
          <w:spacing w:val="-9"/>
        </w:rPr>
        <w:t> </w:t>
      </w:r>
      <w:r>
        <w:rPr>
          <w:color w:val="3D3D3D"/>
        </w:rPr>
        <w:t>trucks</w:t>
      </w:r>
      <w:r>
        <w:rPr>
          <w:color w:val="3D3D3D"/>
          <w:spacing w:val="-8"/>
        </w:rPr>
        <w:t> </w:t>
      </w:r>
      <w:r>
        <w:rPr>
          <w:color w:val="3D3D3D"/>
        </w:rPr>
        <w:t>on</w:t>
      </w:r>
      <w:r>
        <w:rPr>
          <w:color w:val="3D3D3D"/>
          <w:spacing w:val="-9"/>
        </w:rPr>
        <w:t> </w:t>
      </w:r>
      <w:r>
        <w:rPr>
          <w:color w:val="3D3D3D"/>
        </w:rPr>
        <w:t>the</w:t>
      </w:r>
      <w:r>
        <w:rPr>
          <w:color w:val="3D3D3D"/>
          <w:spacing w:val="-10"/>
        </w:rPr>
        <w:t> </w:t>
      </w:r>
      <w:r>
        <w:rPr>
          <w:color w:val="3D3D3D"/>
        </w:rPr>
        <w:t>road</w:t>
      </w:r>
      <w:r>
        <w:rPr>
          <w:color w:val="3D3D3D"/>
          <w:spacing w:val="-8"/>
        </w:rPr>
        <w:t> </w:t>
      </w:r>
      <w:r>
        <w:rPr>
          <w:color w:val="3D3D3D"/>
        </w:rPr>
        <w:t>in</w:t>
      </w:r>
      <w:r>
        <w:rPr>
          <w:color w:val="3D3D3D"/>
          <w:spacing w:val="-9"/>
        </w:rPr>
        <w:t> </w:t>
      </w:r>
      <w:r>
        <w:rPr>
          <w:color w:val="3D3D3D"/>
        </w:rPr>
        <w:t>areas</w:t>
      </w:r>
      <w:r>
        <w:rPr>
          <w:color w:val="3D3D3D"/>
          <w:spacing w:val="-7"/>
        </w:rPr>
        <w:t> </w:t>
      </w:r>
      <w:r>
        <w:rPr>
          <w:color w:val="3D3D3D"/>
        </w:rPr>
        <w:t>where a large number of private services operate; and reduced opportunities for </w:t>
      </w:r>
      <w:r>
        <w:rPr/>
        <w:t>local authorities </w:t>
      </w:r>
      <w:r>
        <w:rPr>
          <w:color w:val="3D3D3D"/>
        </w:rPr>
        <w:t>to educate householders (Wilson,</w:t>
      </w:r>
      <w:r>
        <w:rPr>
          <w:color w:val="3D3D3D"/>
          <w:spacing w:val="-14"/>
        </w:rPr>
        <w:t> </w:t>
      </w:r>
      <w:r>
        <w:rPr>
          <w:color w:val="3D3D3D"/>
        </w:rPr>
        <w:t>2017).</w:t>
      </w:r>
    </w:p>
    <w:p>
      <w:pPr>
        <w:spacing w:after="0" w:line="256" w:lineRule="auto"/>
        <w:jc w:val="both"/>
        <w:sectPr>
          <w:pgSz w:w="11910" w:h="16840"/>
          <w:pgMar w:header="576" w:footer="698" w:top="1140" w:bottom="880" w:left="880" w:right="1320"/>
        </w:sectPr>
      </w:pPr>
    </w:p>
    <w:p>
      <w:pPr>
        <w:pStyle w:val="BodyText"/>
      </w:pPr>
    </w:p>
    <w:p>
      <w:pPr>
        <w:pStyle w:val="BodyText"/>
        <w:spacing w:before="2"/>
        <w:rPr>
          <w:sz w:val="27"/>
        </w:rPr>
      </w:pPr>
    </w:p>
    <w:p>
      <w:pPr>
        <w:pStyle w:val="Heading1"/>
        <w:numPr>
          <w:ilvl w:val="0"/>
          <w:numId w:val="9"/>
        </w:numPr>
        <w:tabs>
          <w:tab w:pos="921" w:val="left" w:leader="none"/>
        </w:tabs>
        <w:spacing w:line="240" w:lineRule="auto" w:before="88" w:after="0"/>
        <w:ind w:left="920" w:right="0" w:hanging="360"/>
        <w:jc w:val="left"/>
      </w:pPr>
      <w:r>
        <w:rPr/>
        <w:pict>
          <v:line style="position:absolute;mso-position-horizontal-relative:page;mso-position-vertical-relative:paragraph;z-index:1240" from="57.852001pt,4.363784pt" to="57.852001pt,25.123784pt" stroked="true" strokeweight="1.464pt" strokecolor="#ed7d31">
            <v:stroke dashstyle="solid"/>
            <w10:wrap type="none"/>
          </v:line>
        </w:pict>
      </w:r>
      <w:bookmarkStart w:name="4. ENGAGEMENT PROCESS " w:id="58"/>
      <w:bookmarkEnd w:id="58"/>
      <w:r>
        <w:rPr/>
      </w:r>
      <w:bookmarkStart w:name="_bookmark19" w:id="59"/>
      <w:bookmarkEnd w:id="59"/>
      <w:r>
        <w:rPr/>
      </w:r>
      <w:bookmarkStart w:name="_bookmark19" w:id="60"/>
      <w:bookmarkEnd w:id="60"/>
      <w:r>
        <w:rPr>
          <w:spacing w:val="8"/>
        </w:rPr>
        <w:t>E</w:t>
      </w:r>
      <w:r>
        <w:rPr>
          <w:spacing w:val="8"/>
        </w:rPr>
        <w:t>NGAGEMENT</w:t>
      </w:r>
      <w:r>
        <w:rPr>
          <w:spacing w:val="26"/>
        </w:rPr>
        <w:t> </w:t>
      </w:r>
      <w:r>
        <w:rPr>
          <w:spacing w:val="8"/>
        </w:rPr>
        <w:t>PROCESS</w:t>
      </w:r>
    </w:p>
    <w:p>
      <w:pPr>
        <w:pStyle w:val="BodyText"/>
        <w:spacing w:before="1"/>
        <w:rPr>
          <w:rFonts w:ascii="Arial"/>
          <w:sz w:val="26"/>
        </w:rPr>
      </w:pPr>
    </w:p>
    <w:p>
      <w:pPr>
        <w:pStyle w:val="BodyText"/>
        <w:spacing w:line="256" w:lineRule="auto" w:before="59"/>
        <w:ind w:left="560" w:right="119"/>
        <w:jc w:val="both"/>
      </w:pPr>
      <w:r>
        <w:rPr/>
        <w:t>The project brief requested that engagement be undertaken with key stakeholders (local government, industry and resource recovery service providers) to:</w:t>
      </w:r>
    </w:p>
    <w:p>
      <w:pPr>
        <w:pStyle w:val="ListParagraph"/>
        <w:numPr>
          <w:ilvl w:val="0"/>
          <w:numId w:val="11"/>
        </w:numPr>
        <w:tabs>
          <w:tab w:pos="1280" w:val="left" w:leader="none"/>
          <w:tab w:pos="1281" w:val="left" w:leader="none"/>
        </w:tabs>
        <w:spacing w:line="240" w:lineRule="auto" w:before="157" w:after="0"/>
        <w:ind w:left="1280" w:right="0" w:hanging="360"/>
        <w:jc w:val="left"/>
        <w:rPr>
          <w:sz w:val="20"/>
        </w:rPr>
      </w:pPr>
      <w:r>
        <w:rPr>
          <w:sz w:val="20"/>
        </w:rPr>
        <w:t>Generate support for the</w:t>
      </w:r>
      <w:r>
        <w:rPr>
          <w:spacing w:val="-15"/>
          <w:sz w:val="20"/>
        </w:rPr>
        <w:t> </w:t>
      </w:r>
      <w:r>
        <w:rPr>
          <w:sz w:val="20"/>
        </w:rPr>
        <w:t>project</w:t>
      </w:r>
    </w:p>
    <w:p>
      <w:pPr>
        <w:pStyle w:val="ListParagraph"/>
        <w:numPr>
          <w:ilvl w:val="0"/>
          <w:numId w:val="11"/>
        </w:numPr>
        <w:tabs>
          <w:tab w:pos="1280" w:val="left" w:leader="none"/>
          <w:tab w:pos="1281" w:val="left" w:leader="none"/>
        </w:tabs>
        <w:spacing w:line="240" w:lineRule="auto" w:before="16" w:after="0"/>
        <w:ind w:left="1280" w:right="0" w:hanging="360"/>
        <w:jc w:val="left"/>
        <w:rPr>
          <w:sz w:val="20"/>
        </w:rPr>
      </w:pPr>
      <w:r>
        <w:rPr>
          <w:sz w:val="20"/>
        </w:rPr>
        <w:t>Share information with</w:t>
      </w:r>
      <w:r>
        <w:rPr>
          <w:spacing w:val="-13"/>
          <w:sz w:val="20"/>
        </w:rPr>
        <w:t> </w:t>
      </w:r>
      <w:r>
        <w:rPr>
          <w:sz w:val="20"/>
        </w:rPr>
        <w:t>stakeholders</w:t>
      </w:r>
    </w:p>
    <w:p>
      <w:pPr>
        <w:pStyle w:val="ListParagraph"/>
        <w:numPr>
          <w:ilvl w:val="0"/>
          <w:numId w:val="11"/>
        </w:numPr>
        <w:tabs>
          <w:tab w:pos="1280" w:val="left" w:leader="none"/>
          <w:tab w:pos="1281" w:val="left" w:leader="none"/>
        </w:tabs>
        <w:spacing w:line="240" w:lineRule="auto" w:before="16" w:after="0"/>
        <w:ind w:left="1280" w:right="0" w:hanging="360"/>
        <w:jc w:val="left"/>
        <w:rPr>
          <w:sz w:val="20"/>
        </w:rPr>
      </w:pPr>
      <w:r>
        <w:rPr>
          <w:sz w:val="20"/>
        </w:rPr>
        <w:t>Improve proposals put</w:t>
      </w:r>
      <w:r>
        <w:rPr>
          <w:spacing w:val="-7"/>
          <w:sz w:val="20"/>
        </w:rPr>
        <w:t> </w:t>
      </w:r>
      <w:r>
        <w:rPr>
          <w:sz w:val="20"/>
        </w:rPr>
        <w:t>forward</w:t>
      </w:r>
    </w:p>
    <w:p>
      <w:pPr>
        <w:pStyle w:val="ListParagraph"/>
        <w:numPr>
          <w:ilvl w:val="0"/>
          <w:numId w:val="11"/>
        </w:numPr>
        <w:tabs>
          <w:tab w:pos="1280" w:val="left" w:leader="none"/>
          <w:tab w:pos="1281" w:val="left" w:leader="none"/>
        </w:tabs>
        <w:spacing w:line="240" w:lineRule="auto" w:before="16" w:after="0"/>
        <w:ind w:left="1280" w:right="0" w:hanging="360"/>
        <w:jc w:val="left"/>
        <w:rPr>
          <w:sz w:val="20"/>
        </w:rPr>
      </w:pPr>
      <w:r>
        <w:rPr>
          <w:sz w:val="20"/>
        </w:rPr>
        <w:t>Make decisions for project</w:t>
      </w:r>
      <w:r>
        <w:rPr>
          <w:spacing w:val="-20"/>
          <w:sz w:val="20"/>
        </w:rPr>
        <w:t> </w:t>
      </w:r>
      <w:r>
        <w:rPr>
          <w:sz w:val="20"/>
        </w:rPr>
        <w:t>recommendations</w:t>
      </w:r>
    </w:p>
    <w:p>
      <w:pPr>
        <w:pStyle w:val="ListParagraph"/>
        <w:numPr>
          <w:ilvl w:val="0"/>
          <w:numId w:val="11"/>
        </w:numPr>
        <w:tabs>
          <w:tab w:pos="1280" w:val="left" w:leader="none"/>
          <w:tab w:pos="1281" w:val="left" w:leader="none"/>
        </w:tabs>
        <w:spacing w:line="240" w:lineRule="auto" w:before="19" w:after="0"/>
        <w:ind w:left="1280" w:right="0" w:hanging="360"/>
        <w:jc w:val="left"/>
        <w:rPr>
          <w:sz w:val="20"/>
        </w:rPr>
      </w:pPr>
      <w:r>
        <w:rPr>
          <w:sz w:val="20"/>
        </w:rPr>
        <w:t>Identify problems and</w:t>
      </w:r>
      <w:r>
        <w:rPr>
          <w:spacing w:val="-17"/>
          <w:sz w:val="20"/>
        </w:rPr>
        <w:t> </w:t>
      </w:r>
      <w:r>
        <w:rPr>
          <w:sz w:val="20"/>
        </w:rPr>
        <w:t>opportunities</w:t>
      </w:r>
    </w:p>
    <w:p>
      <w:pPr>
        <w:pStyle w:val="BodyText"/>
        <w:spacing w:line="256" w:lineRule="auto" w:before="174"/>
        <w:ind w:left="560" w:right="114"/>
        <w:jc w:val="both"/>
      </w:pPr>
      <w:r>
        <w:rPr/>
        <w:t>The project brief was developed before the Covid-19 epidemic began to impact on Aotearoa New Zealand, and the engagement programme had to be adapted after the project had been launched to be completed during level 4 and level 3 lockdown.  The new engagement plan was undertaken in three key ways:</w:t>
      </w:r>
    </w:p>
    <w:p>
      <w:pPr>
        <w:pStyle w:val="ListParagraph"/>
        <w:numPr>
          <w:ilvl w:val="0"/>
          <w:numId w:val="11"/>
        </w:numPr>
        <w:tabs>
          <w:tab w:pos="1280" w:val="left" w:leader="none"/>
          <w:tab w:pos="1281" w:val="left" w:leader="none"/>
        </w:tabs>
        <w:spacing w:line="256" w:lineRule="auto" w:before="157" w:after="0"/>
        <w:ind w:left="1280" w:right="117" w:hanging="360"/>
        <w:jc w:val="left"/>
        <w:rPr>
          <w:sz w:val="20"/>
        </w:rPr>
      </w:pPr>
      <w:r>
        <w:rPr>
          <w:sz w:val="20"/>
        </w:rPr>
        <w:t>Phone interviews were held with key resource recovery service providers (material reprocessors, material industry bodies, collection</w:t>
      </w:r>
      <w:r>
        <w:rPr>
          <w:spacing w:val="-11"/>
          <w:sz w:val="20"/>
        </w:rPr>
        <w:t> </w:t>
      </w:r>
      <w:r>
        <w:rPr>
          <w:sz w:val="20"/>
        </w:rPr>
        <w:t>contractors).</w:t>
      </w:r>
    </w:p>
    <w:p>
      <w:pPr>
        <w:pStyle w:val="ListParagraph"/>
        <w:numPr>
          <w:ilvl w:val="0"/>
          <w:numId w:val="11"/>
        </w:numPr>
        <w:tabs>
          <w:tab w:pos="1280" w:val="left" w:leader="none"/>
          <w:tab w:pos="1281" w:val="left" w:leader="none"/>
        </w:tabs>
        <w:spacing w:line="256" w:lineRule="auto" w:before="0" w:after="0"/>
        <w:ind w:left="1280" w:right="127" w:hanging="360"/>
        <w:jc w:val="left"/>
        <w:rPr>
          <w:sz w:val="20"/>
        </w:rPr>
      </w:pPr>
      <w:r>
        <w:rPr>
          <w:sz w:val="20"/>
        </w:rPr>
        <w:t>Eleven regional online hui were undertaken with local authority representatives and their collection contractors.</w:t>
      </w:r>
    </w:p>
    <w:p>
      <w:pPr>
        <w:pStyle w:val="ListParagraph"/>
        <w:numPr>
          <w:ilvl w:val="0"/>
          <w:numId w:val="11"/>
        </w:numPr>
        <w:tabs>
          <w:tab w:pos="1281" w:val="left" w:leader="none"/>
        </w:tabs>
        <w:spacing w:line="256" w:lineRule="auto" w:before="0" w:after="0"/>
        <w:ind w:left="1280" w:right="119" w:hanging="360"/>
        <w:jc w:val="both"/>
        <w:rPr>
          <w:sz w:val="20"/>
        </w:rPr>
      </w:pPr>
      <w:r>
        <w:rPr>
          <w:sz w:val="20"/>
        </w:rPr>
        <w:t>An online resource “Have Your Say” was developed and made available to all hui attendees to contribute to the project over the duration of the hui and for three weeks afterwards. A survey was created on the Have Your say page after the hui were</w:t>
      </w:r>
      <w:r>
        <w:rPr>
          <w:spacing w:val="-24"/>
          <w:sz w:val="20"/>
        </w:rPr>
        <w:t> </w:t>
      </w:r>
      <w:r>
        <w:rPr>
          <w:sz w:val="20"/>
        </w:rPr>
        <w:t>completed.</w:t>
      </w:r>
    </w:p>
    <w:p>
      <w:pPr>
        <w:pStyle w:val="BodyText"/>
        <w:spacing w:line="256" w:lineRule="auto" w:before="160"/>
        <w:ind w:left="560" w:right="117"/>
        <w:jc w:val="both"/>
      </w:pPr>
      <w:r>
        <w:rPr/>
        <w:t>Twenty-seven one-on-one telephone interviews were conducted with resource recovery service providers and experts from the plastic, fibre, glass and metal recycling industries, the organics processing industry, collection contractors,</w:t>
      </w:r>
      <w:r>
        <w:rPr>
          <w:spacing w:val="-2"/>
        </w:rPr>
        <w:t> </w:t>
      </w:r>
      <w:r>
        <w:rPr/>
        <w:t>MRF</w:t>
      </w:r>
      <w:r>
        <w:rPr>
          <w:spacing w:val="-4"/>
        </w:rPr>
        <w:t> </w:t>
      </w:r>
      <w:r>
        <w:rPr/>
        <w:t>operators</w:t>
      </w:r>
      <w:r>
        <w:rPr>
          <w:spacing w:val="-3"/>
        </w:rPr>
        <w:t> </w:t>
      </w:r>
      <w:r>
        <w:rPr/>
        <w:t>and</w:t>
      </w:r>
      <w:r>
        <w:rPr>
          <w:spacing w:val="-3"/>
        </w:rPr>
        <w:t> </w:t>
      </w:r>
      <w:r>
        <w:rPr/>
        <w:t>other</w:t>
      </w:r>
      <w:r>
        <w:rPr>
          <w:spacing w:val="-3"/>
        </w:rPr>
        <w:t> </w:t>
      </w:r>
      <w:r>
        <w:rPr/>
        <w:t>industry</w:t>
      </w:r>
      <w:r>
        <w:rPr>
          <w:spacing w:val="-4"/>
        </w:rPr>
        <w:t> </w:t>
      </w:r>
      <w:r>
        <w:rPr/>
        <w:t>experts.</w:t>
      </w:r>
      <w:r>
        <w:rPr>
          <w:spacing w:val="-3"/>
        </w:rPr>
        <w:t> </w:t>
      </w:r>
      <w:r>
        <w:rPr/>
        <w:t>A</w:t>
      </w:r>
      <w:r>
        <w:rPr>
          <w:spacing w:val="-4"/>
        </w:rPr>
        <w:t> </w:t>
      </w:r>
      <w:r>
        <w:rPr/>
        <w:t>full</w:t>
      </w:r>
      <w:r>
        <w:rPr>
          <w:spacing w:val="-4"/>
        </w:rPr>
        <w:t> </w:t>
      </w:r>
      <w:r>
        <w:rPr/>
        <w:t>list</w:t>
      </w:r>
      <w:r>
        <w:rPr>
          <w:spacing w:val="-3"/>
        </w:rPr>
        <w:t> </w:t>
      </w:r>
      <w:r>
        <w:rPr/>
        <w:t>of</w:t>
      </w:r>
      <w:r>
        <w:rPr>
          <w:spacing w:val="2"/>
        </w:rPr>
        <w:t> </w:t>
      </w:r>
      <w:r>
        <w:rPr/>
        <w:t>these</w:t>
      </w:r>
      <w:r>
        <w:rPr>
          <w:spacing w:val="-4"/>
        </w:rPr>
        <w:t> </w:t>
      </w:r>
      <w:r>
        <w:rPr/>
        <w:t>organisations</w:t>
      </w:r>
      <w:r>
        <w:rPr>
          <w:spacing w:val="-5"/>
        </w:rPr>
        <w:t> </w:t>
      </w:r>
      <w:r>
        <w:rPr/>
        <w:t>is</w:t>
      </w:r>
      <w:r>
        <w:rPr>
          <w:spacing w:val="-3"/>
        </w:rPr>
        <w:t> </w:t>
      </w:r>
      <w:r>
        <w:rPr/>
        <w:t>provided</w:t>
      </w:r>
      <w:r>
        <w:rPr>
          <w:spacing w:val="-5"/>
        </w:rPr>
        <w:t> </w:t>
      </w:r>
      <w:r>
        <w:rPr/>
        <w:t>in</w:t>
      </w:r>
      <w:r>
        <w:rPr>
          <w:spacing w:val="-3"/>
        </w:rPr>
        <w:t> </w:t>
      </w:r>
      <w:r>
        <w:rPr/>
        <w:t>Appendix C.</w:t>
      </w:r>
    </w:p>
    <w:p>
      <w:pPr>
        <w:pStyle w:val="BodyText"/>
        <w:spacing w:line="256" w:lineRule="auto" w:before="158"/>
        <w:ind w:left="560" w:right="115"/>
        <w:jc w:val="both"/>
      </w:pPr>
      <w:r>
        <w:rPr/>
        <w:t>All 67 local authorities were invited to attend one of eleven regional hui. An invitation to elected members was issued</w:t>
      </w:r>
      <w:r>
        <w:rPr>
          <w:spacing w:val="-7"/>
        </w:rPr>
        <w:t> </w:t>
      </w:r>
      <w:r>
        <w:rPr/>
        <w:t>from</w:t>
      </w:r>
      <w:r>
        <w:rPr>
          <w:spacing w:val="-9"/>
        </w:rPr>
        <w:t> </w:t>
      </w:r>
      <w:r>
        <w:rPr/>
        <w:t>LGNZ.</w:t>
      </w:r>
      <w:r>
        <w:rPr>
          <w:spacing w:val="28"/>
        </w:rPr>
        <w:t> </w:t>
      </w:r>
      <w:r>
        <w:rPr/>
        <w:t>Each</w:t>
      </w:r>
      <w:r>
        <w:rPr>
          <w:spacing w:val="-7"/>
        </w:rPr>
        <w:t> </w:t>
      </w:r>
      <w:r>
        <w:rPr/>
        <w:t>local</w:t>
      </w:r>
      <w:r>
        <w:rPr>
          <w:spacing w:val="-11"/>
        </w:rPr>
        <w:t> </w:t>
      </w:r>
      <w:r>
        <w:rPr/>
        <w:t>authority</w:t>
      </w:r>
      <w:r>
        <w:rPr>
          <w:spacing w:val="-6"/>
        </w:rPr>
        <w:t> </w:t>
      </w:r>
      <w:r>
        <w:rPr/>
        <w:t>was</w:t>
      </w:r>
      <w:r>
        <w:rPr>
          <w:spacing w:val="-8"/>
        </w:rPr>
        <w:t> </w:t>
      </w:r>
      <w:r>
        <w:rPr/>
        <w:t>asked</w:t>
      </w:r>
      <w:r>
        <w:rPr>
          <w:spacing w:val="-10"/>
        </w:rPr>
        <w:t> </w:t>
      </w:r>
      <w:r>
        <w:rPr/>
        <w:t>to</w:t>
      </w:r>
      <w:r>
        <w:rPr>
          <w:spacing w:val="-7"/>
        </w:rPr>
        <w:t> </w:t>
      </w:r>
      <w:r>
        <w:rPr/>
        <w:t>invite</w:t>
      </w:r>
      <w:r>
        <w:rPr>
          <w:spacing w:val="-9"/>
        </w:rPr>
        <w:t> </w:t>
      </w:r>
      <w:r>
        <w:rPr/>
        <w:t>their</w:t>
      </w:r>
      <w:r>
        <w:rPr>
          <w:spacing w:val="-8"/>
        </w:rPr>
        <w:t> </w:t>
      </w:r>
      <w:r>
        <w:rPr/>
        <w:t>waste</w:t>
      </w:r>
      <w:r>
        <w:rPr>
          <w:spacing w:val="-8"/>
        </w:rPr>
        <w:t> </w:t>
      </w:r>
      <w:r>
        <w:rPr/>
        <w:t>and</w:t>
      </w:r>
      <w:r>
        <w:rPr>
          <w:spacing w:val="-7"/>
        </w:rPr>
        <w:t> </w:t>
      </w:r>
      <w:r>
        <w:rPr/>
        <w:t>recycling</w:t>
      </w:r>
      <w:r>
        <w:rPr>
          <w:spacing w:val="-8"/>
        </w:rPr>
        <w:t> </w:t>
      </w:r>
      <w:r>
        <w:rPr/>
        <w:t>contractors,</w:t>
      </w:r>
      <w:r>
        <w:rPr>
          <w:spacing w:val="-7"/>
        </w:rPr>
        <w:t> </w:t>
      </w:r>
      <w:r>
        <w:rPr/>
        <w:t>mana</w:t>
      </w:r>
      <w:r>
        <w:rPr>
          <w:spacing w:val="-7"/>
        </w:rPr>
        <w:t> </w:t>
      </w:r>
      <w:r>
        <w:rPr/>
        <w:t>whenua, and other interested</w:t>
      </w:r>
      <w:r>
        <w:rPr>
          <w:spacing w:val="-9"/>
        </w:rPr>
        <w:t> </w:t>
      </w:r>
      <w:r>
        <w:rPr/>
        <w:t>partners.</w:t>
      </w:r>
    </w:p>
    <w:p>
      <w:pPr>
        <w:pStyle w:val="BodyText"/>
        <w:spacing w:line="254" w:lineRule="auto" w:before="158"/>
        <w:ind w:left="560" w:right="126"/>
        <w:jc w:val="both"/>
      </w:pPr>
      <w:r>
        <w:rPr/>
        <w:t>A total of 139 people attended the hui, some people (mainly contractors and MfE staff) attending more than one hui.</w:t>
      </w:r>
    </w:p>
    <w:p>
      <w:pPr>
        <w:pStyle w:val="BodyText"/>
        <w:spacing w:line="256" w:lineRule="auto" w:before="163"/>
        <w:ind w:left="560" w:right="115"/>
        <w:jc w:val="both"/>
      </w:pPr>
      <w:r>
        <w:rPr/>
        <w:t>Fifty-four</w:t>
      </w:r>
      <w:r>
        <w:rPr>
          <w:spacing w:val="-10"/>
        </w:rPr>
        <w:t> </w:t>
      </w:r>
      <w:r>
        <w:rPr/>
        <w:t>local</w:t>
      </w:r>
      <w:r>
        <w:rPr>
          <w:spacing w:val="-10"/>
        </w:rPr>
        <w:t> </w:t>
      </w:r>
      <w:r>
        <w:rPr/>
        <w:t>authorities</w:t>
      </w:r>
      <w:r>
        <w:rPr>
          <w:spacing w:val="-8"/>
        </w:rPr>
        <w:t> </w:t>
      </w:r>
      <w:r>
        <w:rPr/>
        <w:t>(80%</w:t>
      </w:r>
      <w:r>
        <w:rPr>
          <w:spacing w:val="-11"/>
        </w:rPr>
        <w:t> </w:t>
      </w:r>
      <w:r>
        <w:rPr/>
        <w:t>of</w:t>
      </w:r>
      <w:r>
        <w:rPr>
          <w:spacing w:val="-11"/>
        </w:rPr>
        <w:t> </w:t>
      </w:r>
      <w:r>
        <w:rPr/>
        <w:t>local</w:t>
      </w:r>
      <w:r>
        <w:rPr>
          <w:spacing w:val="-10"/>
        </w:rPr>
        <w:t> </w:t>
      </w:r>
      <w:r>
        <w:rPr/>
        <w:t>authorities)</w:t>
      </w:r>
      <w:r>
        <w:rPr>
          <w:spacing w:val="-11"/>
        </w:rPr>
        <w:t> </w:t>
      </w:r>
      <w:r>
        <w:rPr/>
        <w:t>and</w:t>
      </w:r>
      <w:r>
        <w:rPr>
          <w:spacing w:val="-10"/>
        </w:rPr>
        <w:t> </w:t>
      </w:r>
      <w:r>
        <w:rPr/>
        <w:t>two</w:t>
      </w:r>
      <w:r>
        <w:rPr>
          <w:spacing w:val="-8"/>
        </w:rPr>
        <w:t> </w:t>
      </w:r>
      <w:r>
        <w:rPr/>
        <w:t>regional</w:t>
      </w:r>
      <w:r>
        <w:rPr>
          <w:spacing w:val="-9"/>
        </w:rPr>
        <w:t> </w:t>
      </w:r>
      <w:r>
        <w:rPr/>
        <w:t>authorities</w:t>
      </w:r>
      <w:r>
        <w:rPr>
          <w:spacing w:val="-8"/>
        </w:rPr>
        <w:t> </w:t>
      </w:r>
      <w:r>
        <w:rPr/>
        <w:t>sent</w:t>
      </w:r>
      <w:r>
        <w:rPr>
          <w:spacing w:val="-9"/>
        </w:rPr>
        <w:t> </w:t>
      </w:r>
      <w:r>
        <w:rPr/>
        <w:t>representatives</w:t>
      </w:r>
      <w:r>
        <w:rPr>
          <w:spacing w:val="-9"/>
        </w:rPr>
        <w:t> </w:t>
      </w:r>
      <w:r>
        <w:rPr/>
        <w:t>to</w:t>
      </w:r>
      <w:r>
        <w:rPr>
          <w:spacing w:val="-10"/>
        </w:rPr>
        <w:t> </w:t>
      </w:r>
      <w:r>
        <w:rPr/>
        <w:t>the</w:t>
      </w:r>
      <w:r>
        <w:rPr>
          <w:spacing w:val="-11"/>
        </w:rPr>
        <w:t> </w:t>
      </w:r>
      <w:r>
        <w:rPr/>
        <w:t>hui, including a total of 16 councillors and one mayor. Many local authorities sent more than one representative. A list of the local authorities that attended is provided in Appendix</w:t>
      </w:r>
      <w:r>
        <w:rPr>
          <w:spacing w:val="-22"/>
        </w:rPr>
        <w:t> </w:t>
      </w:r>
      <w:r>
        <w:rPr/>
        <w:t>D.</w:t>
      </w:r>
    </w:p>
    <w:p>
      <w:pPr>
        <w:pStyle w:val="BodyText"/>
        <w:spacing w:line="254" w:lineRule="auto" w:before="159"/>
        <w:ind w:left="560" w:right="121"/>
        <w:jc w:val="both"/>
      </w:pPr>
      <w:r>
        <w:rPr/>
        <w:t>During the hui attendees were also introduced to the online Have Your Say resource. This tool allowed the Project Team to share key information with participants, such as a document library, a newsfeed that was updated regularly throughout the hui, and a forum that allowed attendees to discuss different topics relevant to standardisation amongst themselves. Key information from this forum is provided in Section 5.</w:t>
      </w:r>
    </w:p>
    <w:p>
      <w:pPr>
        <w:pStyle w:val="BodyText"/>
        <w:spacing w:line="256" w:lineRule="auto" w:before="161"/>
        <w:ind w:left="560" w:right="116"/>
        <w:jc w:val="both"/>
      </w:pPr>
      <w:r>
        <w:rPr/>
        <w:t>The Have Your Say tool was used by a total of 120 participants with 110 (92%) of these engaging in articles and discussions on the page and 58% actively participating in discussions or contributing ideas.</w:t>
      </w:r>
    </w:p>
    <w:p>
      <w:pPr>
        <w:pStyle w:val="BodyText"/>
        <w:spacing w:line="256" w:lineRule="auto" w:before="158"/>
        <w:ind w:left="560" w:right="113"/>
        <w:jc w:val="both"/>
      </w:pPr>
      <w:r>
        <w:rPr/>
        <w:t>On completion of the hui a survey was sent to all local authorities to gain further information. The survey was completed by 37 local authorities (55% of local authorities), representing 76% of the population. Results of the survey are provided in Appendix E.</w:t>
      </w:r>
    </w:p>
    <w:p>
      <w:pPr>
        <w:spacing w:after="0" w:line="256" w:lineRule="auto"/>
        <w:jc w:val="both"/>
        <w:sectPr>
          <w:footerReference w:type="default" r:id="rId15"/>
          <w:pgSz w:w="11910" w:h="16840"/>
          <w:pgMar w:footer="698" w:header="576" w:top="1140" w:bottom="880" w:left="880" w:right="1320"/>
        </w:sectPr>
      </w:pPr>
    </w:p>
    <w:p>
      <w:pPr>
        <w:pStyle w:val="BodyText"/>
      </w:pPr>
    </w:p>
    <w:p>
      <w:pPr>
        <w:pStyle w:val="BodyText"/>
        <w:spacing w:before="2"/>
        <w:rPr>
          <w:sz w:val="27"/>
        </w:rPr>
      </w:pPr>
    </w:p>
    <w:p>
      <w:pPr>
        <w:pStyle w:val="Heading1"/>
        <w:numPr>
          <w:ilvl w:val="0"/>
          <w:numId w:val="9"/>
        </w:numPr>
        <w:tabs>
          <w:tab w:pos="921" w:val="left" w:leader="none"/>
        </w:tabs>
        <w:spacing w:line="240" w:lineRule="auto" w:before="88" w:after="0"/>
        <w:ind w:left="920" w:right="0" w:hanging="360"/>
        <w:jc w:val="left"/>
      </w:pPr>
      <w:r>
        <w:rPr/>
        <w:pict>
          <v:line style="position:absolute;mso-position-horizontal-relative:page;mso-position-vertical-relative:paragraph;z-index:1288" from="57.852001pt,4.363784pt" to="57.852001pt,25.123784pt" stroked="true" strokeweight="1.464pt" strokecolor="#ed7d31">
            <v:stroke dashstyle="solid"/>
            <w10:wrap type="none"/>
          </v:line>
        </w:pict>
      </w:r>
      <w:bookmarkStart w:name="5. WHAT PEOPLE THINK " w:id="61"/>
      <w:bookmarkEnd w:id="61"/>
      <w:r>
        <w:rPr/>
      </w:r>
      <w:bookmarkStart w:name="_bookmark20" w:id="62"/>
      <w:bookmarkEnd w:id="62"/>
      <w:r>
        <w:rPr/>
      </w:r>
      <w:bookmarkStart w:name="_bookmark20" w:id="63"/>
      <w:bookmarkEnd w:id="63"/>
      <w:r>
        <w:rPr>
          <w:spacing w:val="6"/>
        </w:rPr>
        <w:t>W</w:t>
      </w:r>
      <w:r>
        <w:rPr>
          <w:spacing w:val="6"/>
        </w:rPr>
        <w:t>HAT </w:t>
      </w:r>
      <w:r>
        <w:rPr>
          <w:spacing w:val="7"/>
        </w:rPr>
        <w:t>PEOPLE</w:t>
      </w:r>
      <w:r>
        <w:rPr>
          <w:spacing w:val="43"/>
        </w:rPr>
        <w:t> </w:t>
      </w:r>
      <w:r>
        <w:rPr>
          <w:spacing w:val="7"/>
        </w:rPr>
        <w:t>THINK</w:t>
      </w:r>
    </w:p>
    <w:p>
      <w:pPr>
        <w:pStyle w:val="BodyText"/>
        <w:spacing w:before="1"/>
        <w:rPr>
          <w:rFonts w:ascii="Arial"/>
          <w:sz w:val="26"/>
        </w:rPr>
      </w:pPr>
    </w:p>
    <w:p>
      <w:pPr>
        <w:pStyle w:val="BodyText"/>
        <w:spacing w:line="256" w:lineRule="auto" w:before="59"/>
        <w:ind w:left="560" w:right="113"/>
        <w:jc w:val="both"/>
      </w:pPr>
      <w:r>
        <w:rPr/>
        <w:t>This section outlines the information presented to stakeholders, mainly via the hui, as well as the feedback received from stakeholders at the hui, through the Have Your Say tool, and from the survey posted on completion</w:t>
      </w:r>
      <w:r>
        <w:rPr>
          <w:spacing w:val="-10"/>
        </w:rPr>
        <w:t> </w:t>
      </w:r>
      <w:r>
        <w:rPr/>
        <w:t>of</w:t>
      </w:r>
      <w:r>
        <w:rPr>
          <w:spacing w:val="-10"/>
        </w:rPr>
        <w:t> </w:t>
      </w:r>
      <w:r>
        <w:rPr/>
        <w:t>the</w:t>
      </w:r>
      <w:r>
        <w:rPr>
          <w:spacing w:val="-10"/>
        </w:rPr>
        <w:t> </w:t>
      </w:r>
      <w:r>
        <w:rPr/>
        <w:t>hui.</w:t>
      </w:r>
      <w:r>
        <w:rPr>
          <w:spacing w:val="25"/>
        </w:rPr>
        <w:t> </w:t>
      </w:r>
      <w:r>
        <w:rPr/>
        <w:t>It</w:t>
      </w:r>
      <w:r>
        <w:rPr>
          <w:spacing w:val="-10"/>
        </w:rPr>
        <w:t> </w:t>
      </w:r>
      <w:r>
        <w:rPr/>
        <w:t>includes</w:t>
      </w:r>
      <w:r>
        <w:rPr>
          <w:spacing w:val="-9"/>
        </w:rPr>
        <w:t> </w:t>
      </w:r>
      <w:r>
        <w:rPr/>
        <w:t>information</w:t>
      </w:r>
      <w:r>
        <w:rPr>
          <w:spacing w:val="-10"/>
        </w:rPr>
        <w:t> </w:t>
      </w:r>
      <w:r>
        <w:rPr/>
        <w:t>on</w:t>
      </w:r>
      <w:r>
        <w:rPr>
          <w:spacing w:val="-11"/>
        </w:rPr>
        <w:t> </w:t>
      </w:r>
      <w:r>
        <w:rPr/>
        <w:t>the</w:t>
      </w:r>
      <w:r>
        <w:rPr>
          <w:spacing w:val="-10"/>
        </w:rPr>
        <w:t> </w:t>
      </w:r>
      <w:r>
        <w:rPr/>
        <w:t>positives</w:t>
      </w:r>
      <w:r>
        <w:rPr>
          <w:spacing w:val="-9"/>
        </w:rPr>
        <w:t> </w:t>
      </w:r>
      <w:r>
        <w:rPr/>
        <w:t>and</w:t>
      </w:r>
      <w:r>
        <w:rPr>
          <w:spacing w:val="-11"/>
        </w:rPr>
        <w:t> </w:t>
      </w:r>
      <w:r>
        <w:rPr/>
        <w:t>negatives</w:t>
      </w:r>
      <w:r>
        <w:rPr>
          <w:spacing w:val="-9"/>
        </w:rPr>
        <w:t> </w:t>
      </w:r>
      <w:r>
        <w:rPr/>
        <w:t>raised</w:t>
      </w:r>
      <w:r>
        <w:rPr>
          <w:spacing w:val="-11"/>
        </w:rPr>
        <w:t> </w:t>
      </w:r>
      <w:r>
        <w:rPr/>
        <w:t>about</w:t>
      </w:r>
      <w:r>
        <w:rPr>
          <w:spacing w:val="-14"/>
        </w:rPr>
        <w:t> </w:t>
      </w:r>
      <w:r>
        <w:rPr/>
        <w:t>the</w:t>
      </w:r>
      <w:r>
        <w:rPr>
          <w:spacing w:val="-10"/>
        </w:rPr>
        <w:t> </w:t>
      </w:r>
      <w:r>
        <w:rPr/>
        <w:t>two</w:t>
      </w:r>
      <w:r>
        <w:rPr>
          <w:spacing w:val="-10"/>
        </w:rPr>
        <w:t> </w:t>
      </w:r>
      <w:r>
        <w:rPr/>
        <w:t>main</w:t>
      </w:r>
      <w:r>
        <w:rPr>
          <w:spacing w:val="-5"/>
        </w:rPr>
        <w:t> </w:t>
      </w:r>
      <w:r>
        <w:rPr/>
        <w:t>kerbside collection systems used for recycling, as well as a summary of the main points raised during the one-on-one conversations with</w:t>
      </w:r>
      <w:r>
        <w:rPr>
          <w:spacing w:val="-6"/>
        </w:rPr>
        <w:t> </w:t>
      </w:r>
      <w:r>
        <w:rPr/>
        <w:t>industry.</w:t>
      </w:r>
    </w:p>
    <w:p>
      <w:pPr>
        <w:pStyle w:val="Heading2"/>
        <w:numPr>
          <w:ilvl w:val="1"/>
          <w:numId w:val="9"/>
        </w:numPr>
        <w:tabs>
          <w:tab w:pos="2000" w:val="left" w:leader="none"/>
          <w:tab w:pos="2001" w:val="left" w:leader="none"/>
        </w:tabs>
        <w:spacing w:line="240" w:lineRule="auto" w:before="157" w:after="0"/>
        <w:ind w:left="2000" w:right="0" w:hanging="1080"/>
        <w:jc w:val="left"/>
        <w:rPr>
          <w:b w:val="0"/>
        </w:rPr>
      </w:pPr>
      <w:bookmarkStart w:name="5.1. Standardisation of colours used for" w:id="64"/>
      <w:bookmarkEnd w:id="64"/>
      <w:r>
        <w:rPr/>
      </w:r>
      <w:bookmarkStart w:name="_bookmark21" w:id="65"/>
      <w:bookmarkEnd w:id="65"/>
      <w:r>
        <w:rPr/>
      </w:r>
      <w:bookmarkStart w:name="_bookmark21" w:id="66"/>
      <w:bookmarkEnd w:id="66"/>
      <w:r>
        <w:rPr>
          <w:b w:val="0"/>
        </w:rPr>
        <w:t>Standa</w:t>
      </w:r>
      <w:r>
        <w:rPr>
          <w:b w:val="0"/>
        </w:rPr>
        <w:t>rdisation of colours used for bins, lids and</w:t>
      </w:r>
      <w:r>
        <w:rPr>
          <w:b w:val="0"/>
          <w:spacing w:val="-18"/>
        </w:rPr>
        <w:t> </w:t>
      </w:r>
      <w:r>
        <w:rPr>
          <w:b w:val="0"/>
        </w:rPr>
        <w:t>signage</w:t>
      </w:r>
    </w:p>
    <w:p>
      <w:pPr>
        <w:pStyle w:val="BodyText"/>
        <w:spacing w:line="256" w:lineRule="auto" w:before="242"/>
        <w:ind w:left="560" w:right="123"/>
        <w:jc w:val="both"/>
      </w:pPr>
      <w:r>
        <w:rPr/>
        <w:t>Prior to October 2014, local authorities and businesses used a variety of colours for recycling and rubbish bins and signage. Following WasteMINZ-led consultation, an agreement was made between WasteMINZ, territorial authorities and the Glass Packaging Forum in 2015 on the colours to be used for collecting different materials. The New Zealand Recycling Symbols (formerly known as the RONZ symbols) were updated to reflect this agreement.</w:t>
      </w:r>
    </w:p>
    <w:p>
      <w:pPr>
        <w:pStyle w:val="BodyText"/>
        <w:spacing w:before="7"/>
        <w:rPr>
          <w:sz w:val="9"/>
        </w:rPr>
      </w:pPr>
      <w:r>
        <w:rPr/>
        <w:drawing>
          <wp:anchor distT="0" distB="0" distL="0" distR="0" allowOverlap="1" layoutInCell="1" locked="0" behindDoc="0" simplePos="0" relativeHeight="1264">
            <wp:simplePos x="0" y="0"/>
            <wp:positionH relativeFrom="page">
              <wp:posOffset>1875154</wp:posOffset>
            </wp:positionH>
            <wp:positionV relativeFrom="paragraph">
              <wp:posOffset>99418</wp:posOffset>
            </wp:positionV>
            <wp:extent cx="3786223" cy="1593056"/>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7" cstate="print"/>
                    <a:stretch>
                      <a:fillRect/>
                    </a:stretch>
                  </pic:blipFill>
                  <pic:spPr>
                    <a:xfrm>
                      <a:off x="0" y="0"/>
                      <a:ext cx="3786223" cy="1593056"/>
                    </a:xfrm>
                    <a:prstGeom prst="rect">
                      <a:avLst/>
                    </a:prstGeom>
                  </pic:spPr>
                </pic:pic>
              </a:graphicData>
            </a:graphic>
          </wp:anchor>
        </w:drawing>
      </w:r>
    </w:p>
    <w:p>
      <w:pPr>
        <w:pStyle w:val="Heading5"/>
        <w:spacing w:before="8"/>
        <w:ind w:left="1814" w:right="1378"/>
        <w:jc w:val="center"/>
      </w:pPr>
      <w:r>
        <w:rPr/>
        <w:t>New Zealand Recycling Symbols</w:t>
      </w:r>
    </w:p>
    <w:p>
      <w:pPr>
        <w:pStyle w:val="BodyText"/>
        <w:spacing w:before="175"/>
        <w:ind w:left="560"/>
        <w:jc w:val="both"/>
      </w:pPr>
      <w:r>
        <w:rPr/>
        <w:t>No feedback was sought on this issue during the current project as a decision had previously been reached.</w:t>
      </w:r>
    </w:p>
    <w:p>
      <w:pPr>
        <w:pStyle w:val="Heading2"/>
        <w:numPr>
          <w:ilvl w:val="1"/>
          <w:numId w:val="9"/>
        </w:numPr>
        <w:tabs>
          <w:tab w:pos="2000" w:val="left" w:leader="none"/>
          <w:tab w:pos="2001" w:val="left" w:leader="none"/>
        </w:tabs>
        <w:spacing w:line="240" w:lineRule="auto" w:before="173" w:after="0"/>
        <w:ind w:left="2000" w:right="0" w:hanging="1080"/>
        <w:jc w:val="left"/>
        <w:rPr>
          <w:b w:val="0"/>
        </w:rPr>
      </w:pPr>
      <w:bookmarkStart w:name="5.2. Standardising materials collected i" w:id="67"/>
      <w:bookmarkEnd w:id="67"/>
      <w:r>
        <w:rPr/>
      </w:r>
      <w:bookmarkStart w:name="_bookmark22" w:id="68"/>
      <w:bookmarkEnd w:id="68"/>
      <w:r>
        <w:rPr/>
      </w:r>
      <w:bookmarkStart w:name="_bookmark22" w:id="69"/>
      <w:bookmarkEnd w:id="69"/>
      <w:r>
        <w:rPr>
          <w:b w:val="0"/>
        </w:rPr>
        <w:t>Standa</w:t>
      </w:r>
      <w:r>
        <w:rPr>
          <w:b w:val="0"/>
        </w:rPr>
        <w:t>rdising materials collected in kerbside</w:t>
      </w:r>
      <w:r>
        <w:rPr>
          <w:b w:val="0"/>
          <w:spacing w:val="-19"/>
        </w:rPr>
        <w:t> </w:t>
      </w:r>
      <w:r>
        <w:rPr>
          <w:b w:val="0"/>
        </w:rPr>
        <w:t>recycling</w:t>
      </w:r>
    </w:p>
    <w:p>
      <w:pPr>
        <w:pStyle w:val="BodyText"/>
        <w:spacing w:line="256" w:lineRule="auto" w:before="241"/>
        <w:ind w:left="560" w:right="122"/>
        <w:jc w:val="both"/>
      </w:pPr>
      <w:r>
        <w:rPr/>
        <w:t>At the WasteMINZ conference in 2018, it was suggested that work should begin on the standardisation of materials collected in kerbside recycling. In February 2019, a working group was formed with representatives from:</w:t>
      </w:r>
    </w:p>
    <w:p>
      <w:pPr>
        <w:pStyle w:val="ListParagraph"/>
        <w:numPr>
          <w:ilvl w:val="0"/>
          <w:numId w:val="12"/>
        </w:numPr>
        <w:tabs>
          <w:tab w:pos="1280" w:val="left" w:leader="none"/>
          <w:tab w:pos="1281" w:val="left" w:leader="none"/>
        </w:tabs>
        <w:spacing w:line="240" w:lineRule="auto" w:before="158" w:after="0"/>
        <w:ind w:left="1280" w:right="0" w:hanging="360"/>
        <w:jc w:val="left"/>
        <w:rPr>
          <w:sz w:val="20"/>
        </w:rPr>
      </w:pPr>
      <w:r>
        <w:rPr>
          <w:sz w:val="20"/>
        </w:rPr>
        <w:t>Visy (MRF operator and glass beneficiation</w:t>
      </w:r>
      <w:r>
        <w:rPr>
          <w:spacing w:val="-23"/>
          <w:sz w:val="20"/>
        </w:rPr>
        <w:t> </w:t>
      </w:r>
      <w:r>
        <w:rPr>
          <w:sz w:val="20"/>
        </w:rPr>
        <w:t>plant)</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EnviroWaste (Recycling collector and</w:t>
      </w:r>
      <w:r>
        <w:rPr>
          <w:spacing w:val="-16"/>
          <w:sz w:val="20"/>
        </w:rPr>
        <w:t> </w:t>
      </w:r>
      <w:r>
        <w:rPr>
          <w:sz w:val="20"/>
        </w:rPr>
        <w:t>reprocessor)</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Waste Management (Recycling collector and MRF</w:t>
      </w:r>
      <w:r>
        <w:rPr>
          <w:spacing w:val="-23"/>
          <w:sz w:val="20"/>
        </w:rPr>
        <w:t> </w:t>
      </w:r>
      <w:r>
        <w:rPr>
          <w:sz w:val="20"/>
        </w:rPr>
        <w:t>operator)</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Smart Environmental (Recycling collector and MRF</w:t>
      </w:r>
      <w:r>
        <w:rPr>
          <w:spacing w:val="-23"/>
          <w:sz w:val="20"/>
        </w:rPr>
        <w:t> </w:t>
      </w:r>
      <w:r>
        <w:rPr>
          <w:sz w:val="20"/>
        </w:rPr>
        <w:t>operator)</w:t>
      </w:r>
    </w:p>
    <w:p>
      <w:pPr>
        <w:pStyle w:val="ListParagraph"/>
        <w:numPr>
          <w:ilvl w:val="0"/>
          <w:numId w:val="12"/>
        </w:numPr>
        <w:tabs>
          <w:tab w:pos="1280" w:val="left" w:leader="none"/>
          <w:tab w:pos="1281" w:val="left" w:leader="none"/>
        </w:tabs>
        <w:spacing w:line="240" w:lineRule="auto" w:before="18" w:after="0"/>
        <w:ind w:left="1280" w:right="0" w:hanging="360"/>
        <w:jc w:val="left"/>
        <w:rPr>
          <w:sz w:val="20"/>
        </w:rPr>
      </w:pPr>
      <w:r>
        <w:rPr>
          <w:sz w:val="20"/>
        </w:rPr>
        <w:t>Eco Central (MRF</w:t>
      </w:r>
      <w:r>
        <w:rPr>
          <w:spacing w:val="-15"/>
          <w:sz w:val="20"/>
        </w:rPr>
        <w:t> </w:t>
      </w:r>
      <w:r>
        <w:rPr>
          <w:sz w:val="20"/>
        </w:rPr>
        <w:t>operator)</w:t>
      </w:r>
    </w:p>
    <w:p>
      <w:pPr>
        <w:pStyle w:val="BodyText"/>
        <w:spacing w:line="256" w:lineRule="auto" w:before="173"/>
        <w:ind w:left="560" w:right="118"/>
        <w:jc w:val="both"/>
      </w:pPr>
      <w:r>
        <w:rPr/>
        <w:t>This group met on a three-weekly basis until July 2019, working through a list of materials to be accepted in kerbside recycling and the presentation of these materials (that had been adapted from WRAP guidelines). The recommendations of this group were then worked through at a hui of other contractors, MRF operators and community recyclers.</w:t>
      </w:r>
    </w:p>
    <w:p>
      <w:pPr>
        <w:pStyle w:val="BodyText"/>
        <w:spacing w:line="256" w:lineRule="auto" w:before="158"/>
        <w:ind w:left="560" w:right="114"/>
        <w:jc w:val="both"/>
      </w:pPr>
      <w:r>
        <w:rPr/>
        <w:t>A face to face hui was held in Auckland with the original working group (along with a new working group member, Earthcare Environmental) and one or two local authority representatives and the contractors they work with.</w:t>
      </w:r>
    </w:p>
    <w:p>
      <w:pPr>
        <w:spacing w:after="0" w:line="256" w:lineRule="auto"/>
        <w:jc w:val="both"/>
        <w:sectPr>
          <w:footerReference w:type="default" r:id="rId16"/>
          <w:pgSz w:w="11910" w:h="16840"/>
          <w:pgMar w:footer="698" w:header="576" w:top="1140" w:bottom="880" w:left="880" w:right="1320"/>
          <w:pgNumType w:start="21"/>
        </w:sectPr>
      </w:pPr>
    </w:p>
    <w:p>
      <w:pPr>
        <w:pStyle w:val="BodyText"/>
      </w:pPr>
    </w:p>
    <w:p>
      <w:pPr>
        <w:pStyle w:val="BodyText"/>
        <w:spacing w:before="7"/>
        <w:rPr>
          <w:sz w:val="29"/>
        </w:rPr>
      </w:pPr>
    </w:p>
    <w:p>
      <w:pPr>
        <w:pStyle w:val="BodyText"/>
        <w:spacing w:line="256" w:lineRule="auto" w:before="60"/>
        <w:ind w:left="560" w:right="118"/>
        <w:jc w:val="both"/>
      </w:pPr>
      <w:r>
        <w:rPr/>
        <w:t>The</w:t>
      </w:r>
      <w:r>
        <w:rPr>
          <w:spacing w:val="-13"/>
        </w:rPr>
        <w:t> </w:t>
      </w:r>
      <w:r>
        <w:rPr/>
        <w:t>recommendations</w:t>
      </w:r>
      <w:r>
        <w:rPr>
          <w:spacing w:val="-11"/>
        </w:rPr>
        <w:t> </w:t>
      </w:r>
      <w:r>
        <w:rPr/>
        <w:t>from</w:t>
      </w:r>
      <w:r>
        <w:rPr>
          <w:spacing w:val="-13"/>
        </w:rPr>
        <w:t> </w:t>
      </w:r>
      <w:r>
        <w:rPr/>
        <w:t>this</w:t>
      </w:r>
      <w:r>
        <w:rPr>
          <w:spacing w:val="-12"/>
        </w:rPr>
        <w:t> </w:t>
      </w:r>
      <w:r>
        <w:rPr/>
        <w:t>hui</w:t>
      </w:r>
      <w:r>
        <w:rPr>
          <w:spacing w:val="-13"/>
        </w:rPr>
        <w:t> </w:t>
      </w:r>
      <w:r>
        <w:rPr/>
        <w:t>were</w:t>
      </w:r>
      <w:r>
        <w:rPr>
          <w:spacing w:val="-13"/>
        </w:rPr>
        <w:t> </w:t>
      </w:r>
      <w:r>
        <w:rPr/>
        <w:t>then</w:t>
      </w:r>
      <w:r>
        <w:rPr>
          <w:spacing w:val="-12"/>
        </w:rPr>
        <w:t> </w:t>
      </w:r>
      <w:r>
        <w:rPr/>
        <w:t>presented</w:t>
      </w:r>
      <w:r>
        <w:rPr>
          <w:spacing w:val="-12"/>
        </w:rPr>
        <w:t> </w:t>
      </w:r>
      <w:r>
        <w:rPr/>
        <w:t>at</w:t>
      </w:r>
      <w:r>
        <w:rPr>
          <w:spacing w:val="-12"/>
        </w:rPr>
        <w:t> </w:t>
      </w:r>
      <w:r>
        <w:rPr/>
        <w:t>the</w:t>
      </w:r>
      <w:r>
        <w:rPr>
          <w:spacing w:val="-13"/>
        </w:rPr>
        <w:t> </w:t>
      </w:r>
      <w:r>
        <w:rPr/>
        <w:t>TAO</w:t>
      </w:r>
      <w:r>
        <w:rPr>
          <w:spacing w:val="-7"/>
        </w:rPr>
        <w:t> </w:t>
      </w:r>
      <w:r>
        <w:rPr/>
        <w:t>Forum</w:t>
      </w:r>
      <w:r>
        <w:rPr>
          <w:spacing w:val="-13"/>
        </w:rPr>
        <w:t> </w:t>
      </w:r>
      <w:r>
        <w:rPr/>
        <w:t>at</w:t>
      </w:r>
      <w:r>
        <w:rPr>
          <w:spacing w:val="-12"/>
        </w:rPr>
        <w:t> </w:t>
      </w:r>
      <w:r>
        <w:rPr/>
        <w:t>the</w:t>
      </w:r>
      <w:r>
        <w:rPr>
          <w:spacing w:val="-13"/>
        </w:rPr>
        <w:t> </w:t>
      </w:r>
      <w:r>
        <w:rPr/>
        <w:t>WasteMINZ</w:t>
      </w:r>
      <w:r>
        <w:rPr>
          <w:spacing w:val="-12"/>
        </w:rPr>
        <w:t> </w:t>
      </w:r>
      <w:r>
        <w:rPr/>
        <w:t>Conference</w:t>
      </w:r>
      <w:r>
        <w:rPr>
          <w:spacing w:val="-14"/>
        </w:rPr>
        <w:t> </w:t>
      </w:r>
      <w:r>
        <w:rPr/>
        <w:t>2019. It was hoped that agreement on recommendations could be reached, but the TAO forum requested the opportunity to undertake further discussions with their contractors</w:t>
      </w:r>
      <w:r>
        <w:rPr>
          <w:spacing w:val="-23"/>
        </w:rPr>
        <w:t> </w:t>
      </w:r>
      <w:r>
        <w:rPr/>
        <w:t>first.</w:t>
      </w:r>
    </w:p>
    <w:p>
      <w:pPr>
        <w:pStyle w:val="BodyText"/>
        <w:spacing w:line="254" w:lineRule="auto" w:before="159"/>
        <w:ind w:left="560" w:right="114"/>
        <w:jc w:val="both"/>
      </w:pPr>
      <w:r>
        <w:rPr/>
        <w:t>The</w:t>
      </w:r>
      <w:r>
        <w:rPr>
          <w:spacing w:val="-8"/>
        </w:rPr>
        <w:t> </w:t>
      </w:r>
      <w:r>
        <w:rPr/>
        <w:t>project</w:t>
      </w:r>
      <w:r>
        <w:rPr>
          <w:spacing w:val="-7"/>
        </w:rPr>
        <w:t> </w:t>
      </w:r>
      <w:r>
        <w:rPr/>
        <w:t>was</w:t>
      </w:r>
      <w:r>
        <w:rPr>
          <w:spacing w:val="-5"/>
        </w:rPr>
        <w:t> </w:t>
      </w:r>
      <w:r>
        <w:rPr/>
        <w:t>due</w:t>
      </w:r>
      <w:r>
        <w:rPr>
          <w:spacing w:val="-8"/>
        </w:rPr>
        <w:t> </w:t>
      </w:r>
      <w:r>
        <w:rPr/>
        <w:t>to</w:t>
      </w:r>
      <w:r>
        <w:rPr>
          <w:spacing w:val="-6"/>
        </w:rPr>
        <w:t> </w:t>
      </w:r>
      <w:r>
        <w:rPr/>
        <w:t>be</w:t>
      </w:r>
      <w:r>
        <w:rPr>
          <w:spacing w:val="-8"/>
        </w:rPr>
        <w:t> </w:t>
      </w:r>
      <w:r>
        <w:rPr/>
        <w:t>picked</w:t>
      </w:r>
      <w:r>
        <w:rPr>
          <w:spacing w:val="-6"/>
        </w:rPr>
        <w:t> </w:t>
      </w:r>
      <w:r>
        <w:rPr/>
        <w:t>up</w:t>
      </w:r>
      <w:r>
        <w:rPr>
          <w:spacing w:val="-6"/>
        </w:rPr>
        <w:t> </w:t>
      </w:r>
      <w:r>
        <w:rPr/>
        <w:t>again</w:t>
      </w:r>
      <w:r>
        <w:rPr>
          <w:spacing w:val="-6"/>
        </w:rPr>
        <w:t> </w:t>
      </w:r>
      <w:r>
        <w:rPr/>
        <w:t>in</w:t>
      </w:r>
      <w:r>
        <w:rPr>
          <w:spacing w:val="-6"/>
        </w:rPr>
        <w:t> </w:t>
      </w:r>
      <w:r>
        <w:rPr/>
        <w:t>2020</w:t>
      </w:r>
      <w:r>
        <w:rPr>
          <w:spacing w:val="-5"/>
        </w:rPr>
        <w:t> </w:t>
      </w:r>
      <w:r>
        <w:rPr/>
        <w:t>and</w:t>
      </w:r>
      <w:r>
        <w:rPr>
          <w:spacing w:val="-2"/>
        </w:rPr>
        <w:t> </w:t>
      </w:r>
      <w:r>
        <w:rPr/>
        <w:t>was</w:t>
      </w:r>
      <w:r>
        <w:rPr>
          <w:spacing w:val="-3"/>
        </w:rPr>
        <w:t> </w:t>
      </w:r>
      <w:r>
        <w:rPr/>
        <w:t>eventually</w:t>
      </w:r>
      <w:r>
        <w:rPr>
          <w:spacing w:val="-6"/>
        </w:rPr>
        <w:t> </w:t>
      </w:r>
      <w:r>
        <w:rPr/>
        <w:t>absorbed</w:t>
      </w:r>
      <w:r>
        <w:rPr>
          <w:spacing w:val="-6"/>
        </w:rPr>
        <w:t> </w:t>
      </w:r>
      <w:r>
        <w:rPr/>
        <w:t>into</w:t>
      </w:r>
      <w:r>
        <w:rPr>
          <w:spacing w:val="-6"/>
        </w:rPr>
        <w:t> </w:t>
      </w:r>
      <w:r>
        <w:rPr/>
        <w:t>this</w:t>
      </w:r>
      <w:r>
        <w:rPr>
          <w:spacing w:val="-5"/>
        </w:rPr>
        <w:t> </w:t>
      </w:r>
      <w:r>
        <w:rPr/>
        <w:t>Standardising</w:t>
      </w:r>
      <w:r>
        <w:rPr>
          <w:spacing w:val="-7"/>
        </w:rPr>
        <w:t> </w:t>
      </w:r>
      <w:r>
        <w:rPr/>
        <w:t>Kerbside Collections project. Prior to this current project being launched, the original working group reconvened once to ensure the earlier recommendations had not changed since August 2019, and also to make recommendations on</w:t>
      </w:r>
      <w:r>
        <w:rPr>
          <w:spacing w:val="-3"/>
        </w:rPr>
        <w:t> </w:t>
      </w:r>
      <w:r>
        <w:rPr/>
        <w:t>the</w:t>
      </w:r>
      <w:r>
        <w:rPr>
          <w:spacing w:val="-4"/>
        </w:rPr>
        <w:t> </w:t>
      </w:r>
      <w:r>
        <w:rPr/>
        <w:t>types</w:t>
      </w:r>
      <w:r>
        <w:rPr>
          <w:spacing w:val="-3"/>
        </w:rPr>
        <w:t> </w:t>
      </w:r>
      <w:r>
        <w:rPr/>
        <w:t>of</w:t>
      </w:r>
      <w:r>
        <w:rPr>
          <w:spacing w:val="-4"/>
        </w:rPr>
        <w:t> </w:t>
      </w:r>
      <w:r>
        <w:rPr/>
        <w:t>plastic</w:t>
      </w:r>
      <w:r>
        <w:rPr>
          <w:spacing w:val="-4"/>
        </w:rPr>
        <w:t> </w:t>
      </w:r>
      <w:r>
        <w:rPr/>
        <w:t>that</w:t>
      </w:r>
      <w:r>
        <w:rPr>
          <w:spacing w:val="-3"/>
        </w:rPr>
        <w:t> </w:t>
      </w:r>
      <w:r>
        <w:rPr/>
        <w:t>should</w:t>
      </w:r>
      <w:r>
        <w:rPr>
          <w:spacing w:val="-3"/>
        </w:rPr>
        <w:t> </w:t>
      </w:r>
      <w:r>
        <w:rPr/>
        <w:t>be</w:t>
      </w:r>
      <w:r>
        <w:rPr>
          <w:spacing w:val="-4"/>
        </w:rPr>
        <w:t> </w:t>
      </w:r>
      <w:r>
        <w:rPr/>
        <w:t>accepted</w:t>
      </w:r>
      <w:r>
        <w:rPr>
          <w:spacing w:val="-3"/>
        </w:rPr>
        <w:t> </w:t>
      </w:r>
      <w:r>
        <w:rPr/>
        <w:t>in</w:t>
      </w:r>
      <w:r>
        <w:rPr>
          <w:spacing w:val="-3"/>
        </w:rPr>
        <w:t> </w:t>
      </w:r>
      <w:r>
        <w:rPr/>
        <w:t>kerbside</w:t>
      </w:r>
      <w:r>
        <w:rPr>
          <w:spacing w:val="-4"/>
        </w:rPr>
        <w:t> </w:t>
      </w:r>
      <w:r>
        <w:rPr/>
        <w:t>recycling</w:t>
      </w:r>
      <w:r>
        <w:rPr>
          <w:spacing w:val="-4"/>
        </w:rPr>
        <w:t> </w:t>
      </w:r>
      <w:r>
        <w:rPr/>
        <w:t>collections.</w:t>
      </w:r>
    </w:p>
    <w:p>
      <w:pPr>
        <w:pStyle w:val="BodyText"/>
        <w:spacing w:line="256" w:lineRule="auto" w:before="163"/>
        <w:ind w:left="560" w:right="116"/>
        <w:jc w:val="both"/>
      </w:pPr>
      <w:r>
        <w:rPr/>
        <w:t>During the engagement process of this project, feedback was sought, based on this earlier work, from local authorities and their contractors on a list of materials to be accepted in kerbside recycling, as well as the presentation of these items.</w:t>
      </w:r>
    </w:p>
    <w:p>
      <w:pPr>
        <w:pStyle w:val="BodyText"/>
        <w:spacing w:line="254" w:lineRule="auto" w:before="158"/>
        <w:ind w:left="560" w:right="122"/>
        <w:jc w:val="both"/>
      </w:pPr>
      <w:r>
        <w:rPr/>
        <w:t>The full list of recommendations presented at the hui are in Appendix F. A summary is presented here along with key feedback from the hui attendees.</w:t>
      </w:r>
    </w:p>
    <w:p>
      <w:pPr>
        <w:pStyle w:val="BodyText"/>
        <w:spacing w:line="254" w:lineRule="auto" w:before="163"/>
        <w:ind w:left="560" w:right="117"/>
        <w:jc w:val="both"/>
      </w:pPr>
      <w:r>
        <w:rPr/>
        <w:t>Where additional information was required to clarify a concern raised at a hui, this information is also included below.</w:t>
      </w:r>
    </w:p>
    <w:p>
      <w:pPr>
        <w:pStyle w:val="BodyText"/>
        <w:spacing w:before="10"/>
        <w:rPr>
          <w:sz w:val="8"/>
        </w:rPr>
      </w:pPr>
    </w:p>
    <w:p>
      <w:pPr>
        <w:pStyle w:val="Heading4"/>
        <w:numPr>
          <w:ilvl w:val="2"/>
          <w:numId w:val="9"/>
        </w:numPr>
        <w:tabs>
          <w:tab w:pos="2001" w:val="left" w:leader="none"/>
        </w:tabs>
        <w:spacing w:line="240" w:lineRule="auto" w:before="51" w:after="0"/>
        <w:ind w:left="2000" w:right="0" w:hanging="720"/>
        <w:jc w:val="left"/>
        <w:rPr>
          <w:b w:val="0"/>
        </w:rPr>
      </w:pPr>
      <w:bookmarkStart w:name="5.2.1. Plastic - kirihou " w:id="70"/>
      <w:bookmarkEnd w:id="70"/>
      <w:r>
        <w:rPr/>
      </w:r>
      <w:bookmarkStart w:name="_bookmark23" w:id="71"/>
      <w:bookmarkEnd w:id="71"/>
      <w:r>
        <w:rPr/>
      </w:r>
      <w:bookmarkStart w:name="_bookmark23" w:id="72"/>
      <w:bookmarkEnd w:id="72"/>
      <w:r>
        <w:rPr>
          <w:b w:val="0"/>
        </w:rPr>
        <w:t>Plastic</w:t>
      </w:r>
      <w:r>
        <w:rPr>
          <w:b w:val="0"/>
        </w:rPr>
        <w:t> -</w:t>
      </w:r>
      <w:r>
        <w:rPr>
          <w:b w:val="0"/>
          <w:spacing w:val="1"/>
        </w:rPr>
        <w:t> </w:t>
      </w:r>
      <w:r>
        <w:rPr>
          <w:b w:val="0"/>
        </w:rPr>
        <w:t>kirihou</w:t>
      </w:r>
    </w:p>
    <w:p>
      <w:pPr>
        <w:pStyle w:val="BodyText"/>
        <w:spacing w:before="9"/>
        <w:rPr>
          <w:rFonts w:ascii="Calibri Light"/>
          <w:b w:val="0"/>
          <w:sz w:val="19"/>
        </w:rPr>
      </w:pPr>
    </w:p>
    <w:p>
      <w:pPr>
        <w:pStyle w:val="BodyText"/>
        <w:spacing w:line="256" w:lineRule="auto"/>
        <w:ind w:left="560" w:right="29"/>
      </w:pPr>
      <w:r>
        <w:rPr/>
        <w:t>It was recommended that only plastic containers 1 (PET), 2 (HDPE), and 5 (PP) are accepted in kerbside recycling collections.</w:t>
      </w:r>
    </w:p>
    <w:p>
      <w:pPr>
        <w:pStyle w:val="BodyText"/>
        <w:spacing w:line="254" w:lineRule="auto" w:before="158"/>
        <w:ind w:left="560"/>
      </w:pPr>
      <w:r>
        <w:rPr/>
        <w:t>It was recommended that plastics 3 (PVC), 4 (LDPE), 6 (PS) and 7 (Other) are not accepted in kerbside recycling collections, as well as any items listed in Appendix F made from plastics 1 (PET), 2 (HDPE) and 5 (PP).</w:t>
      </w:r>
    </w:p>
    <w:p>
      <w:pPr>
        <w:pStyle w:val="Heading5"/>
        <w:spacing w:before="163"/>
      </w:pPr>
      <w:r>
        <w:rPr>
          <w:u w:val="single"/>
        </w:rPr>
        <w:t>Feedback</w:t>
      </w:r>
    </w:p>
    <w:p>
      <w:pPr>
        <w:pStyle w:val="BodyText"/>
        <w:spacing w:before="6"/>
        <w:rPr>
          <w:b/>
          <w:sz w:val="9"/>
        </w:rPr>
      </w:pPr>
    </w:p>
    <w:p>
      <w:pPr>
        <w:pStyle w:val="BodyText"/>
        <w:spacing w:line="256" w:lineRule="auto" w:before="59"/>
        <w:ind w:left="560" w:right="118"/>
        <w:jc w:val="both"/>
      </w:pPr>
      <w:r>
        <w:rPr/>
        <w:t>At</w:t>
      </w:r>
      <w:r>
        <w:rPr>
          <w:spacing w:val="-7"/>
        </w:rPr>
        <w:t> </w:t>
      </w:r>
      <w:r>
        <w:rPr/>
        <w:t>the</w:t>
      </w:r>
      <w:r>
        <w:rPr>
          <w:spacing w:val="-8"/>
        </w:rPr>
        <w:t> </w:t>
      </w:r>
      <w:r>
        <w:rPr/>
        <w:t>hui</w:t>
      </w:r>
      <w:r>
        <w:rPr>
          <w:spacing w:val="-7"/>
        </w:rPr>
        <w:t> </w:t>
      </w:r>
      <w:r>
        <w:rPr/>
        <w:t>there</w:t>
      </w:r>
      <w:r>
        <w:rPr>
          <w:spacing w:val="-5"/>
        </w:rPr>
        <w:t> </w:t>
      </w:r>
      <w:r>
        <w:rPr/>
        <w:t>was</w:t>
      </w:r>
      <w:r>
        <w:rPr>
          <w:spacing w:val="-5"/>
        </w:rPr>
        <w:t> </w:t>
      </w:r>
      <w:r>
        <w:rPr/>
        <w:t>overall</w:t>
      </w:r>
      <w:r>
        <w:rPr>
          <w:spacing w:val="-7"/>
        </w:rPr>
        <w:t> </w:t>
      </w:r>
      <w:r>
        <w:rPr/>
        <w:t>agreement</w:t>
      </w:r>
      <w:r>
        <w:rPr>
          <w:spacing w:val="-6"/>
        </w:rPr>
        <w:t> </w:t>
      </w:r>
      <w:r>
        <w:rPr/>
        <w:t>that</w:t>
      </w:r>
      <w:r>
        <w:rPr>
          <w:spacing w:val="-6"/>
        </w:rPr>
        <w:t> </w:t>
      </w:r>
      <w:r>
        <w:rPr/>
        <w:t>plastics</w:t>
      </w:r>
      <w:r>
        <w:rPr>
          <w:spacing w:val="-2"/>
        </w:rPr>
        <w:t> </w:t>
      </w:r>
      <w:r>
        <w:rPr/>
        <w:t>1</w:t>
      </w:r>
      <w:r>
        <w:rPr>
          <w:spacing w:val="-7"/>
        </w:rPr>
        <w:t> </w:t>
      </w:r>
      <w:r>
        <w:rPr/>
        <w:t>(PET),</w:t>
      </w:r>
      <w:r>
        <w:rPr>
          <w:spacing w:val="-6"/>
        </w:rPr>
        <w:t> </w:t>
      </w:r>
      <w:r>
        <w:rPr/>
        <w:t>2</w:t>
      </w:r>
      <w:r>
        <w:rPr>
          <w:spacing w:val="-7"/>
        </w:rPr>
        <w:t> </w:t>
      </w:r>
      <w:r>
        <w:rPr/>
        <w:t>(HDPE),</w:t>
      </w:r>
      <w:r>
        <w:rPr>
          <w:spacing w:val="-7"/>
        </w:rPr>
        <w:t> </w:t>
      </w:r>
      <w:r>
        <w:rPr/>
        <w:t>and</w:t>
      </w:r>
      <w:r>
        <w:rPr>
          <w:spacing w:val="-6"/>
        </w:rPr>
        <w:t> </w:t>
      </w:r>
      <w:r>
        <w:rPr/>
        <w:t>5</w:t>
      </w:r>
      <w:r>
        <w:rPr>
          <w:spacing w:val="-7"/>
        </w:rPr>
        <w:t> </w:t>
      </w:r>
      <w:r>
        <w:rPr/>
        <w:t>(PP)</w:t>
      </w:r>
      <w:r>
        <w:rPr>
          <w:spacing w:val="-5"/>
        </w:rPr>
        <w:t> </w:t>
      </w:r>
      <w:r>
        <w:rPr/>
        <w:t>should</w:t>
      </w:r>
      <w:r>
        <w:rPr>
          <w:spacing w:val="-6"/>
        </w:rPr>
        <w:t> </w:t>
      </w:r>
      <w:r>
        <w:rPr/>
        <w:t>be</w:t>
      </w:r>
      <w:r>
        <w:rPr>
          <w:spacing w:val="-8"/>
        </w:rPr>
        <w:t> </w:t>
      </w:r>
      <w:r>
        <w:rPr/>
        <w:t>collected</w:t>
      </w:r>
      <w:r>
        <w:rPr>
          <w:spacing w:val="-5"/>
        </w:rPr>
        <w:t> </w:t>
      </w:r>
      <w:r>
        <w:rPr/>
        <w:t>in</w:t>
      </w:r>
      <w:r>
        <w:rPr>
          <w:spacing w:val="-6"/>
        </w:rPr>
        <w:t> </w:t>
      </w:r>
      <w:r>
        <w:rPr/>
        <w:t>kerbside recycling. There was some discussion about householders requiring assistance to identify plastics 5 (PP) and a need to identify the markets for plastic 5</w:t>
      </w:r>
      <w:r>
        <w:rPr>
          <w:spacing w:val="-14"/>
        </w:rPr>
        <w:t> </w:t>
      </w:r>
      <w:r>
        <w:rPr/>
        <w:t>(PP).</w:t>
      </w:r>
    </w:p>
    <w:p>
      <w:pPr>
        <w:pStyle w:val="BodyText"/>
        <w:spacing w:line="254" w:lineRule="auto" w:before="158"/>
        <w:ind w:left="560" w:right="112"/>
        <w:jc w:val="both"/>
      </w:pPr>
      <w:r>
        <w:rPr/>
        <w:t>There was also discussion about the need to remove the other plastics (3 (PVC), 4 (LDPE), 6 (PS) and 7 (Other)) from the consumer packaging market.</w:t>
      </w:r>
    </w:p>
    <w:p>
      <w:pPr>
        <w:pStyle w:val="Heading4"/>
        <w:numPr>
          <w:ilvl w:val="2"/>
          <w:numId w:val="9"/>
        </w:numPr>
        <w:tabs>
          <w:tab w:pos="2001" w:val="left" w:leader="none"/>
        </w:tabs>
        <w:spacing w:line="240" w:lineRule="auto" w:before="161" w:after="0"/>
        <w:ind w:left="2000" w:right="0" w:hanging="720"/>
        <w:jc w:val="left"/>
        <w:rPr>
          <w:b w:val="0"/>
        </w:rPr>
      </w:pPr>
      <w:bookmarkStart w:name="5.2.2. Metal - konganuku " w:id="73"/>
      <w:bookmarkEnd w:id="73"/>
      <w:r>
        <w:rPr/>
      </w:r>
      <w:bookmarkStart w:name="_bookmark24" w:id="74"/>
      <w:bookmarkEnd w:id="74"/>
      <w:r>
        <w:rPr/>
      </w:r>
      <w:bookmarkStart w:name="_bookmark24" w:id="75"/>
      <w:bookmarkEnd w:id="75"/>
      <w:r>
        <w:rPr>
          <w:b w:val="0"/>
        </w:rPr>
        <w:t>M</w:t>
      </w:r>
      <w:r>
        <w:rPr>
          <w:b w:val="0"/>
        </w:rPr>
        <w:t>etal -</w:t>
      </w:r>
      <w:r>
        <w:rPr>
          <w:b w:val="0"/>
          <w:spacing w:val="1"/>
        </w:rPr>
        <w:t> </w:t>
      </w:r>
      <w:r>
        <w:rPr>
          <w:b w:val="0"/>
        </w:rPr>
        <w:t>konganuku</w:t>
      </w:r>
    </w:p>
    <w:p>
      <w:pPr>
        <w:pStyle w:val="BodyText"/>
        <w:spacing w:before="9"/>
        <w:rPr>
          <w:rFonts w:ascii="Calibri Light"/>
          <w:b w:val="0"/>
          <w:sz w:val="19"/>
        </w:rPr>
      </w:pPr>
    </w:p>
    <w:p>
      <w:pPr>
        <w:pStyle w:val="BodyText"/>
        <w:spacing w:before="1"/>
        <w:ind w:left="560"/>
        <w:jc w:val="both"/>
      </w:pPr>
      <w:r>
        <w:rPr/>
        <w:t>It was recommended that only drink cans, food cans and aerosol cans are accepted.</w:t>
      </w:r>
    </w:p>
    <w:p>
      <w:pPr>
        <w:pStyle w:val="Heading5"/>
        <w:spacing w:before="176"/>
        <w:jc w:val="both"/>
      </w:pPr>
      <w:r>
        <w:rPr>
          <w:u w:val="single"/>
        </w:rPr>
        <w:t>Feedback</w:t>
      </w:r>
    </w:p>
    <w:p>
      <w:pPr>
        <w:pStyle w:val="BodyText"/>
        <w:spacing w:before="6"/>
        <w:rPr>
          <w:b/>
          <w:sz w:val="9"/>
        </w:rPr>
      </w:pPr>
    </w:p>
    <w:p>
      <w:pPr>
        <w:pStyle w:val="BodyText"/>
        <w:spacing w:line="256" w:lineRule="auto" w:before="59"/>
        <w:ind w:left="560" w:right="116"/>
        <w:jc w:val="both"/>
      </w:pPr>
      <w:r>
        <w:rPr/>
        <w:t>There</w:t>
      </w:r>
      <w:r>
        <w:rPr>
          <w:spacing w:val="-5"/>
        </w:rPr>
        <w:t> </w:t>
      </w:r>
      <w:r>
        <w:rPr/>
        <w:t>was</w:t>
      </w:r>
      <w:r>
        <w:rPr>
          <w:spacing w:val="-5"/>
        </w:rPr>
        <w:t> </w:t>
      </w:r>
      <w:r>
        <w:rPr/>
        <w:t>some</w:t>
      </w:r>
      <w:r>
        <w:rPr>
          <w:spacing w:val="-5"/>
        </w:rPr>
        <w:t> </w:t>
      </w:r>
      <w:r>
        <w:rPr/>
        <w:t>concern</w:t>
      </w:r>
      <w:r>
        <w:rPr>
          <w:spacing w:val="-6"/>
        </w:rPr>
        <w:t> </w:t>
      </w:r>
      <w:r>
        <w:rPr/>
        <w:t>raised</w:t>
      </w:r>
      <w:r>
        <w:rPr>
          <w:spacing w:val="-6"/>
        </w:rPr>
        <w:t> </w:t>
      </w:r>
      <w:r>
        <w:rPr/>
        <w:t>at</w:t>
      </w:r>
      <w:r>
        <w:rPr>
          <w:spacing w:val="-6"/>
        </w:rPr>
        <w:t> </w:t>
      </w:r>
      <w:r>
        <w:rPr/>
        <w:t>early</w:t>
      </w:r>
      <w:r>
        <w:rPr>
          <w:spacing w:val="-6"/>
        </w:rPr>
        <w:t> </w:t>
      </w:r>
      <w:r>
        <w:rPr/>
        <w:t>hui</w:t>
      </w:r>
      <w:r>
        <w:rPr>
          <w:spacing w:val="-7"/>
        </w:rPr>
        <w:t> </w:t>
      </w:r>
      <w:r>
        <w:rPr/>
        <w:t>about</w:t>
      </w:r>
      <w:r>
        <w:rPr>
          <w:spacing w:val="-6"/>
        </w:rPr>
        <w:t> </w:t>
      </w:r>
      <w:r>
        <w:rPr/>
        <w:t>aerosols</w:t>
      </w:r>
      <w:r>
        <w:rPr>
          <w:spacing w:val="-6"/>
        </w:rPr>
        <w:t> </w:t>
      </w:r>
      <w:r>
        <w:rPr/>
        <w:t>being</w:t>
      </w:r>
      <w:r>
        <w:rPr>
          <w:spacing w:val="-7"/>
        </w:rPr>
        <w:t> </w:t>
      </w:r>
      <w:r>
        <w:rPr/>
        <w:t>included</w:t>
      </w:r>
      <w:r>
        <w:rPr>
          <w:spacing w:val="-6"/>
        </w:rPr>
        <w:t> </w:t>
      </w:r>
      <w:r>
        <w:rPr/>
        <w:t>in</w:t>
      </w:r>
      <w:r>
        <w:rPr>
          <w:spacing w:val="-6"/>
        </w:rPr>
        <w:t> </w:t>
      </w:r>
      <w:r>
        <w:rPr/>
        <w:t>kerbside</w:t>
      </w:r>
      <w:r>
        <w:rPr>
          <w:spacing w:val="-8"/>
        </w:rPr>
        <w:t> </w:t>
      </w:r>
      <w:r>
        <w:rPr/>
        <w:t>recycling</w:t>
      </w:r>
      <w:r>
        <w:rPr>
          <w:spacing w:val="-7"/>
        </w:rPr>
        <w:t> </w:t>
      </w:r>
      <w:r>
        <w:rPr/>
        <w:t>and</w:t>
      </w:r>
      <w:r>
        <w:rPr>
          <w:spacing w:val="-6"/>
        </w:rPr>
        <w:t> </w:t>
      </w:r>
      <w:r>
        <w:rPr/>
        <w:t>a</w:t>
      </w:r>
      <w:r>
        <w:rPr>
          <w:spacing w:val="-6"/>
        </w:rPr>
        <w:t> </w:t>
      </w:r>
      <w:r>
        <w:rPr/>
        <w:t>forum</w:t>
      </w:r>
      <w:r>
        <w:rPr>
          <w:spacing w:val="-5"/>
        </w:rPr>
        <w:t> </w:t>
      </w:r>
      <w:r>
        <w:rPr/>
        <w:t>was created on Have Your Say to enable discussion about this. The views of the New Zealand Association of Metal Recyclers were also sought. They stated that aluminium aerosol cans included in bales of used beverage containers</w:t>
      </w:r>
      <w:r>
        <w:rPr>
          <w:spacing w:val="-3"/>
        </w:rPr>
        <w:t> </w:t>
      </w:r>
      <w:r>
        <w:rPr/>
        <w:t>(aluminium</w:t>
      </w:r>
      <w:r>
        <w:rPr>
          <w:spacing w:val="-4"/>
        </w:rPr>
        <w:t> </w:t>
      </w:r>
      <w:r>
        <w:rPr/>
        <w:t>cans)</w:t>
      </w:r>
      <w:r>
        <w:rPr>
          <w:spacing w:val="-1"/>
        </w:rPr>
        <w:t> </w:t>
      </w:r>
      <w:r>
        <w:rPr/>
        <w:t>are</w:t>
      </w:r>
      <w:r>
        <w:rPr>
          <w:spacing w:val="-4"/>
        </w:rPr>
        <w:t> </w:t>
      </w:r>
      <w:r>
        <w:rPr/>
        <w:t>considered</w:t>
      </w:r>
      <w:r>
        <w:rPr>
          <w:spacing w:val="-3"/>
        </w:rPr>
        <w:t> </w:t>
      </w:r>
      <w:r>
        <w:rPr/>
        <w:t>to</w:t>
      </w:r>
      <w:r>
        <w:rPr>
          <w:spacing w:val="-3"/>
        </w:rPr>
        <w:t> </w:t>
      </w:r>
      <w:r>
        <w:rPr/>
        <w:t>be</w:t>
      </w:r>
      <w:r>
        <w:rPr>
          <w:spacing w:val="-4"/>
        </w:rPr>
        <w:t> </w:t>
      </w:r>
      <w:r>
        <w:rPr/>
        <w:t>contamination,</w:t>
      </w:r>
      <w:r>
        <w:rPr>
          <w:spacing w:val="-3"/>
        </w:rPr>
        <w:t> </w:t>
      </w:r>
      <w:r>
        <w:rPr/>
        <w:t>and</w:t>
      </w:r>
      <w:r>
        <w:rPr>
          <w:spacing w:val="-3"/>
        </w:rPr>
        <w:t> </w:t>
      </w:r>
      <w:r>
        <w:rPr/>
        <w:t>reduce</w:t>
      </w:r>
      <w:r>
        <w:rPr>
          <w:spacing w:val="-5"/>
        </w:rPr>
        <w:t> </w:t>
      </w:r>
      <w:r>
        <w:rPr/>
        <w:t>the</w:t>
      </w:r>
      <w:r>
        <w:rPr>
          <w:spacing w:val="2"/>
        </w:rPr>
        <w:t> </w:t>
      </w:r>
      <w:r>
        <w:rPr/>
        <w:t>price</w:t>
      </w:r>
      <w:r>
        <w:rPr>
          <w:spacing w:val="-5"/>
        </w:rPr>
        <w:t> </w:t>
      </w:r>
      <w:r>
        <w:rPr/>
        <w:t>paid</w:t>
      </w:r>
      <w:r>
        <w:rPr>
          <w:spacing w:val="-2"/>
        </w:rPr>
        <w:t> </w:t>
      </w:r>
      <w:r>
        <w:rPr/>
        <w:t>for</w:t>
      </w:r>
      <w:r>
        <w:rPr>
          <w:spacing w:val="-3"/>
        </w:rPr>
        <w:t> </w:t>
      </w:r>
      <w:r>
        <w:rPr/>
        <w:t>the</w:t>
      </w:r>
      <w:r>
        <w:rPr>
          <w:spacing w:val="-4"/>
        </w:rPr>
        <w:t> </w:t>
      </w:r>
      <w:r>
        <w:rPr/>
        <w:t>material.</w:t>
      </w:r>
    </w:p>
    <w:p>
      <w:pPr>
        <w:pStyle w:val="BodyText"/>
        <w:spacing w:line="254" w:lineRule="auto" w:before="158"/>
        <w:ind w:left="560" w:right="115"/>
        <w:jc w:val="both"/>
      </w:pPr>
      <w:r>
        <w:rPr/>
        <w:t>Concerns were also raised at hui about pressurised aerosols being included in kerbside collections, when pressurised</w:t>
      </w:r>
      <w:r>
        <w:rPr>
          <w:spacing w:val="-9"/>
        </w:rPr>
        <w:t> </w:t>
      </w:r>
      <w:r>
        <w:rPr/>
        <w:t>gas</w:t>
      </w:r>
      <w:r>
        <w:rPr>
          <w:spacing w:val="-8"/>
        </w:rPr>
        <w:t> </w:t>
      </w:r>
      <w:r>
        <w:rPr/>
        <w:t>canisters</w:t>
      </w:r>
      <w:r>
        <w:rPr>
          <w:spacing w:val="-8"/>
        </w:rPr>
        <w:t> </w:t>
      </w:r>
      <w:r>
        <w:rPr/>
        <w:t>are</w:t>
      </w:r>
      <w:r>
        <w:rPr>
          <w:spacing w:val="-10"/>
        </w:rPr>
        <w:t> </w:t>
      </w:r>
      <w:r>
        <w:rPr/>
        <w:t>not.</w:t>
      </w:r>
      <w:r>
        <w:rPr>
          <w:spacing w:val="27"/>
        </w:rPr>
        <w:t> </w:t>
      </w:r>
      <w:r>
        <w:rPr/>
        <w:t>It</w:t>
      </w:r>
      <w:r>
        <w:rPr>
          <w:spacing w:val="-9"/>
        </w:rPr>
        <w:t> </w:t>
      </w:r>
      <w:r>
        <w:rPr/>
        <w:t>was</w:t>
      </w:r>
      <w:r>
        <w:rPr>
          <w:spacing w:val="-7"/>
        </w:rPr>
        <w:t> </w:t>
      </w:r>
      <w:r>
        <w:rPr/>
        <w:t>suggested</w:t>
      </w:r>
      <w:r>
        <w:rPr>
          <w:spacing w:val="-8"/>
        </w:rPr>
        <w:t> </w:t>
      </w:r>
      <w:r>
        <w:rPr/>
        <w:t>that</w:t>
      </w:r>
      <w:r>
        <w:rPr>
          <w:spacing w:val="-8"/>
        </w:rPr>
        <w:t> </w:t>
      </w:r>
      <w:r>
        <w:rPr/>
        <w:t>aerosols</w:t>
      </w:r>
      <w:r>
        <w:rPr>
          <w:spacing w:val="-8"/>
        </w:rPr>
        <w:t> </w:t>
      </w:r>
      <w:r>
        <w:rPr/>
        <w:t>should</w:t>
      </w:r>
      <w:r>
        <w:rPr>
          <w:spacing w:val="-9"/>
        </w:rPr>
        <w:t> </w:t>
      </w:r>
      <w:r>
        <w:rPr/>
        <w:t>instead</w:t>
      </w:r>
      <w:r>
        <w:rPr>
          <w:spacing w:val="-8"/>
        </w:rPr>
        <w:t> </w:t>
      </w:r>
      <w:r>
        <w:rPr/>
        <w:t>be</w:t>
      </w:r>
      <w:r>
        <w:rPr>
          <w:spacing w:val="-10"/>
        </w:rPr>
        <w:t> </w:t>
      </w:r>
      <w:r>
        <w:rPr/>
        <w:t>collected</w:t>
      </w:r>
      <w:r>
        <w:rPr>
          <w:spacing w:val="-9"/>
        </w:rPr>
        <w:t> </w:t>
      </w:r>
      <w:r>
        <w:rPr/>
        <w:t>at</w:t>
      </w:r>
      <w:r>
        <w:rPr>
          <w:spacing w:val="-8"/>
        </w:rPr>
        <w:t> </w:t>
      </w:r>
      <w:r>
        <w:rPr/>
        <w:t>transfer</w:t>
      </w:r>
      <w:r>
        <w:rPr>
          <w:spacing w:val="-9"/>
        </w:rPr>
        <w:t> </w:t>
      </w:r>
      <w:r>
        <w:rPr/>
        <w:t>stations.</w:t>
      </w:r>
    </w:p>
    <w:p>
      <w:pPr>
        <w:pStyle w:val="Heading4"/>
        <w:numPr>
          <w:ilvl w:val="2"/>
          <w:numId w:val="9"/>
        </w:numPr>
        <w:tabs>
          <w:tab w:pos="2001" w:val="left" w:leader="none"/>
        </w:tabs>
        <w:spacing w:line="240" w:lineRule="auto" w:before="158" w:after="0"/>
        <w:ind w:left="2000" w:right="0" w:hanging="720"/>
        <w:jc w:val="left"/>
        <w:rPr>
          <w:b w:val="0"/>
        </w:rPr>
      </w:pPr>
      <w:bookmarkStart w:name="5.2.3. Glass - karaehe " w:id="76"/>
      <w:bookmarkEnd w:id="76"/>
      <w:r>
        <w:rPr/>
      </w:r>
      <w:bookmarkStart w:name="_bookmark25" w:id="77"/>
      <w:bookmarkEnd w:id="77"/>
      <w:r>
        <w:rPr/>
      </w:r>
      <w:bookmarkStart w:name="_bookmark25" w:id="78"/>
      <w:bookmarkEnd w:id="78"/>
      <w:r>
        <w:rPr>
          <w:b w:val="0"/>
        </w:rPr>
        <w:t>Glass</w:t>
      </w:r>
      <w:r>
        <w:rPr>
          <w:b w:val="0"/>
        </w:rPr>
        <w:t> -</w:t>
      </w:r>
      <w:r>
        <w:rPr>
          <w:b w:val="0"/>
          <w:spacing w:val="-2"/>
        </w:rPr>
        <w:t> </w:t>
      </w:r>
      <w:r>
        <w:rPr>
          <w:b w:val="0"/>
        </w:rPr>
        <w:t>karaehe</w:t>
      </w:r>
    </w:p>
    <w:p>
      <w:pPr>
        <w:pStyle w:val="BodyText"/>
        <w:spacing w:before="11"/>
        <w:rPr>
          <w:rFonts w:ascii="Calibri Light"/>
          <w:b w:val="0"/>
          <w:sz w:val="19"/>
        </w:rPr>
      </w:pPr>
    </w:p>
    <w:p>
      <w:pPr>
        <w:pStyle w:val="BodyText"/>
        <w:spacing w:line="254" w:lineRule="auto"/>
        <w:ind w:left="560" w:right="125"/>
        <w:jc w:val="both"/>
      </w:pPr>
      <w:r>
        <w:rPr/>
        <w:t>It was recommended that only glass food and beverage packaging (i.e container glass) from around the home, such as bottles and jars are accepted.</w:t>
      </w:r>
    </w:p>
    <w:p>
      <w:pPr>
        <w:pStyle w:val="BodyText"/>
        <w:spacing w:before="160"/>
        <w:ind w:left="560"/>
        <w:jc w:val="both"/>
      </w:pPr>
      <w:r>
        <w:rPr/>
        <w:t>It was recommended that non-container glass not be accepted (i.e. drinking glasses and cosmetics packaging).</w:t>
      </w:r>
    </w:p>
    <w:p>
      <w:pPr>
        <w:spacing w:after="0"/>
        <w:jc w:val="both"/>
        <w:sectPr>
          <w:pgSz w:w="11910" w:h="16840"/>
          <w:pgMar w:header="576" w:footer="698" w:top="1140" w:bottom="880" w:left="880" w:right="1320"/>
        </w:sectPr>
      </w:pPr>
    </w:p>
    <w:p>
      <w:pPr>
        <w:pStyle w:val="BodyText"/>
      </w:pPr>
    </w:p>
    <w:p>
      <w:pPr>
        <w:pStyle w:val="BodyText"/>
        <w:spacing w:before="7"/>
        <w:rPr>
          <w:sz w:val="29"/>
        </w:rPr>
      </w:pPr>
    </w:p>
    <w:p>
      <w:pPr>
        <w:pStyle w:val="Heading5"/>
        <w:spacing w:before="60"/>
      </w:pPr>
      <w:r>
        <w:rPr>
          <w:u w:val="single"/>
        </w:rPr>
        <w:t>Feedback</w:t>
      </w:r>
    </w:p>
    <w:p>
      <w:pPr>
        <w:pStyle w:val="BodyText"/>
        <w:spacing w:before="7"/>
        <w:rPr>
          <w:b/>
          <w:sz w:val="9"/>
        </w:rPr>
      </w:pPr>
    </w:p>
    <w:p>
      <w:pPr>
        <w:pStyle w:val="BodyText"/>
        <w:spacing w:line="254" w:lineRule="auto" w:before="59"/>
        <w:ind w:left="560"/>
      </w:pPr>
      <w:r>
        <w:rPr/>
        <w:t>There was general agreement that glass bottles and jars should be collected at kerbside. There was also general agreement that best practice is for glass to be collected separately from other materials.</w:t>
      </w:r>
    </w:p>
    <w:p>
      <w:pPr>
        <w:pStyle w:val="Heading4"/>
        <w:numPr>
          <w:ilvl w:val="2"/>
          <w:numId w:val="9"/>
        </w:numPr>
        <w:tabs>
          <w:tab w:pos="2001" w:val="left" w:leader="none"/>
        </w:tabs>
        <w:spacing w:line="240" w:lineRule="auto" w:before="161" w:after="0"/>
        <w:ind w:left="2000" w:right="0" w:hanging="720"/>
        <w:jc w:val="left"/>
        <w:rPr>
          <w:b w:val="0"/>
        </w:rPr>
      </w:pPr>
      <w:bookmarkStart w:name="5.2.4. Fibre - pepa me kāri mārō " w:id="79"/>
      <w:bookmarkEnd w:id="79"/>
      <w:r>
        <w:rPr/>
      </w:r>
      <w:bookmarkStart w:name="_bookmark26" w:id="80"/>
      <w:bookmarkEnd w:id="80"/>
      <w:r>
        <w:rPr/>
      </w:r>
      <w:bookmarkStart w:name="_bookmark26" w:id="81"/>
      <w:bookmarkEnd w:id="81"/>
      <w:r>
        <w:rPr>
          <w:b w:val="0"/>
        </w:rPr>
        <w:t>Fibre</w:t>
      </w:r>
      <w:r>
        <w:rPr>
          <w:b w:val="0"/>
        </w:rPr>
        <w:t> - pepa me kāri</w:t>
      </w:r>
      <w:r>
        <w:rPr>
          <w:b w:val="0"/>
          <w:spacing w:val="-1"/>
        </w:rPr>
        <w:t> </w:t>
      </w:r>
      <w:r>
        <w:rPr>
          <w:b w:val="0"/>
        </w:rPr>
        <w:t>mārō</w:t>
      </w:r>
    </w:p>
    <w:p>
      <w:pPr>
        <w:pStyle w:val="BodyText"/>
        <w:spacing w:before="9"/>
        <w:rPr>
          <w:rFonts w:ascii="Calibri Light"/>
          <w:b w:val="0"/>
          <w:sz w:val="19"/>
        </w:rPr>
      </w:pPr>
    </w:p>
    <w:p>
      <w:pPr>
        <w:pStyle w:val="BodyText"/>
        <w:ind w:left="560"/>
      </w:pPr>
      <w:r>
        <w:rPr/>
        <w:t>It was recommended that only clean paper and cardboard be accepted at kerbside.</w:t>
      </w:r>
    </w:p>
    <w:p>
      <w:pPr>
        <w:pStyle w:val="BodyText"/>
        <w:spacing w:line="254" w:lineRule="auto" w:before="175"/>
        <w:ind w:left="560"/>
      </w:pPr>
      <w:r>
        <w:rPr/>
        <w:t>It was recommended that composite fibre packaging such as disposable coffee cups and liquid paperboard (Tetrapak® or gable top) containers not be accepted.</w:t>
      </w:r>
    </w:p>
    <w:p>
      <w:pPr>
        <w:pStyle w:val="BodyText"/>
        <w:spacing w:before="163"/>
        <w:ind w:left="560"/>
      </w:pPr>
      <w:r>
        <w:rPr/>
        <w:t>A full list can be found at Appendix F.</w:t>
      </w:r>
    </w:p>
    <w:p>
      <w:pPr>
        <w:pStyle w:val="Heading5"/>
        <w:spacing w:before="176"/>
      </w:pPr>
      <w:r>
        <w:rPr>
          <w:u w:val="single"/>
        </w:rPr>
        <w:t>Feedback</w:t>
      </w:r>
    </w:p>
    <w:p>
      <w:pPr>
        <w:pStyle w:val="BodyText"/>
        <w:spacing w:before="6"/>
        <w:rPr>
          <w:b/>
          <w:sz w:val="9"/>
        </w:rPr>
      </w:pPr>
    </w:p>
    <w:p>
      <w:pPr>
        <w:pStyle w:val="BodyText"/>
        <w:spacing w:line="256" w:lineRule="auto" w:before="60"/>
        <w:ind w:left="560" w:right="121"/>
        <w:jc w:val="both"/>
      </w:pPr>
      <w:r>
        <w:rPr/>
        <w:t>At one hui it was noted that till receipts were not included in the not accepted list. At several hui the issue of whether circulars should be collected at kerbside was raised. Advice was sought from two fibre reprocessors who noted that the circulars themselves are not an issue and can be dealt with in paper recycling.</w:t>
      </w:r>
    </w:p>
    <w:p>
      <w:pPr>
        <w:pStyle w:val="BodyText"/>
        <w:spacing w:line="256" w:lineRule="auto" w:before="159"/>
        <w:ind w:left="560" w:right="114"/>
        <w:jc w:val="both"/>
      </w:pPr>
      <w:r>
        <w:rPr/>
        <w:t>It</w:t>
      </w:r>
      <w:r>
        <w:rPr>
          <w:spacing w:val="-5"/>
        </w:rPr>
        <w:t> </w:t>
      </w:r>
      <w:r>
        <w:rPr/>
        <w:t>was</w:t>
      </w:r>
      <w:r>
        <w:rPr>
          <w:spacing w:val="-4"/>
        </w:rPr>
        <w:t> </w:t>
      </w:r>
      <w:r>
        <w:rPr/>
        <w:t>suggested</w:t>
      </w:r>
      <w:r>
        <w:rPr>
          <w:spacing w:val="-5"/>
        </w:rPr>
        <w:t> </w:t>
      </w:r>
      <w:r>
        <w:rPr/>
        <w:t>that</w:t>
      </w:r>
      <w:r>
        <w:rPr>
          <w:spacing w:val="-3"/>
        </w:rPr>
        <w:t> </w:t>
      </w:r>
      <w:r>
        <w:rPr/>
        <w:t>fibre</w:t>
      </w:r>
      <w:r>
        <w:rPr>
          <w:spacing w:val="-6"/>
        </w:rPr>
        <w:t> </w:t>
      </w:r>
      <w:r>
        <w:rPr/>
        <w:t>quantities</w:t>
      </w:r>
      <w:r>
        <w:rPr>
          <w:spacing w:val="-4"/>
        </w:rPr>
        <w:t> </w:t>
      </w:r>
      <w:r>
        <w:rPr/>
        <w:t>could</w:t>
      </w:r>
      <w:r>
        <w:rPr>
          <w:spacing w:val="-5"/>
        </w:rPr>
        <w:t> </w:t>
      </w:r>
      <w:r>
        <w:rPr/>
        <w:t>be</w:t>
      </w:r>
      <w:r>
        <w:rPr>
          <w:spacing w:val="-6"/>
        </w:rPr>
        <w:t> </w:t>
      </w:r>
      <w:r>
        <w:rPr/>
        <w:t>reduced</w:t>
      </w:r>
      <w:r>
        <w:rPr>
          <w:spacing w:val="-5"/>
        </w:rPr>
        <w:t> </w:t>
      </w:r>
      <w:r>
        <w:rPr/>
        <w:t>by</w:t>
      </w:r>
      <w:r>
        <w:rPr>
          <w:spacing w:val="-5"/>
        </w:rPr>
        <w:t> </w:t>
      </w:r>
      <w:r>
        <w:rPr/>
        <w:t>providing</w:t>
      </w:r>
      <w:r>
        <w:rPr>
          <w:spacing w:val="-2"/>
        </w:rPr>
        <w:t> </w:t>
      </w:r>
      <w:r>
        <w:rPr/>
        <w:t>an</w:t>
      </w:r>
      <w:r>
        <w:rPr>
          <w:spacing w:val="-7"/>
        </w:rPr>
        <w:t> </w:t>
      </w:r>
      <w:r>
        <w:rPr/>
        <w:t>option</w:t>
      </w:r>
      <w:r>
        <w:rPr>
          <w:spacing w:val="-4"/>
        </w:rPr>
        <w:t> </w:t>
      </w:r>
      <w:r>
        <w:rPr/>
        <w:t>for</w:t>
      </w:r>
      <w:r>
        <w:rPr>
          <w:spacing w:val="-8"/>
        </w:rPr>
        <w:t> </w:t>
      </w:r>
      <w:r>
        <w:rPr/>
        <w:t>householders</w:t>
      </w:r>
      <w:r>
        <w:rPr>
          <w:spacing w:val="-2"/>
        </w:rPr>
        <w:t> </w:t>
      </w:r>
      <w:r>
        <w:rPr/>
        <w:t>to</w:t>
      </w:r>
      <w:r>
        <w:rPr>
          <w:spacing w:val="-5"/>
        </w:rPr>
        <w:t> </w:t>
      </w:r>
      <w:r>
        <w:rPr/>
        <w:t>opt-in</w:t>
      </w:r>
      <w:r>
        <w:rPr>
          <w:spacing w:val="-5"/>
        </w:rPr>
        <w:t> </w:t>
      </w:r>
      <w:r>
        <w:rPr/>
        <w:t>rather than opt-out of circular deliveries. Opportunities to work with retailers to reduce circulars was also</w:t>
      </w:r>
      <w:r>
        <w:rPr>
          <w:spacing w:val="14"/>
        </w:rPr>
        <w:t> </w:t>
      </w:r>
      <w:r>
        <w:rPr/>
        <w:t>discussed.</w:t>
      </w:r>
    </w:p>
    <w:p>
      <w:pPr>
        <w:pStyle w:val="BodyText"/>
        <w:spacing w:before="159"/>
        <w:ind w:left="560"/>
        <w:jc w:val="both"/>
      </w:pPr>
      <w:r>
        <w:rPr/>
        <w:t>It was also suggested that a separate fibre collection would improve fibre quality.</w:t>
      </w:r>
    </w:p>
    <w:p>
      <w:pPr>
        <w:pStyle w:val="Heading2"/>
        <w:numPr>
          <w:ilvl w:val="1"/>
          <w:numId w:val="9"/>
        </w:numPr>
        <w:tabs>
          <w:tab w:pos="2000" w:val="left" w:leader="none"/>
          <w:tab w:pos="2001" w:val="left" w:leader="none"/>
        </w:tabs>
        <w:spacing w:line="240" w:lineRule="auto" w:before="174" w:after="0"/>
        <w:ind w:left="2000" w:right="0" w:hanging="1080"/>
        <w:jc w:val="left"/>
        <w:rPr>
          <w:b w:val="0"/>
        </w:rPr>
      </w:pPr>
      <w:bookmarkStart w:name="5.3. Presentation of materials at kerbsi" w:id="82"/>
      <w:bookmarkEnd w:id="82"/>
      <w:r>
        <w:rPr/>
      </w:r>
      <w:bookmarkStart w:name="_bookmark27" w:id="83"/>
      <w:bookmarkEnd w:id="83"/>
      <w:r>
        <w:rPr/>
      </w:r>
      <w:bookmarkStart w:name="_bookmark27" w:id="84"/>
      <w:bookmarkEnd w:id="84"/>
      <w:r>
        <w:rPr>
          <w:b w:val="0"/>
        </w:rPr>
        <w:t>Pre</w:t>
      </w:r>
      <w:r>
        <w:rPr>
          <w:b w:val="0"/>
        </w:rPr>
        <w:t>sentation of materials at kerbside</w:t>
      </w:r>
      <w:r>
        <w:rPr>
          <w:b w:val="0"/>
          <w:spacing w:val="-19"/>
        </w:rPr>
        <w:t> </w:t>
      </w:r>
      <w:r>
        <w:rPr>
          <w:b w:val="0"/>
        </w:rPr>
        <w:t>recycling</w:t>
      </w:r>
    </w:p>
    <w:p>
      <w:pPr>
        <w:pStyle w:val="BodyText"/>
        <w:spacing w:before="242"/>
        <w:ind w:left="560"/>
        <w:jc w:val="both"/>
      </w:pPr>
      <w:r>
        <w:rPr/>
        <w:t>At the hui the following recommendations were presented:</w:t>
      </w:r>
    </w:p>
    <w:p>
      <w:pPr>
        <w:pStyle w:val="ListParagraph"/>
        <w:numPr>
          <w:ilvl w:val="0"/>
          <w:numId w:val="12"/>
        </w:numPr>
        <w:tabs>
          <w:tab w:pos="1280" w:val="left" w:leader="none"/>
          <w:tab w:pos="1281" w:val="left" w:leader="none"/>
        </w:tabs>
        <w:spacing w:line="240" w:lineRule="auto" w:before="175" w:after="0"/>
        <w:ind w:left="1280" w:right="0" w:hanging="360"/>
        <w:jc w:val="left"/>
        <w:rPr>
          <w:sz w:val="20"/>
        </w:rPr>
      </w:pPr>
      <w:r>
        <w:rPr>
          <w:sz w:val="20"/>
        </w:rPr>
        <w:t>All items to be free of food and rinsed</w:t>
      </w:r>
      <w:r>
        <w:rPr>
          <w:spacing w:val="-17"/>
          <w:sz w:val="20"/>
        </w:rPr>
        <w:t> </w:t>
      </w:r>
      <w:r>
        <w:rPr>
          <w:sz w:val="20"/>
        </w:rPr>
        <w:t>clean</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No items smaller than 55mm in diameter (i.e. a small yoghurt</w:t>
      </w:r>
      <w:r>
        <w:rPr>
          <w:spacing w:val="-24"/>
          <w:sz w:val="20"/>
        </w:rPr>
        <w:t> </w:t>
      </w:r>
      <w:r>
        <w:rPr>
          <w:sz w:val="20"/>
        </w:rPr>
        <w:t>container)</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No lids</w:t>
      </w:r>
      <w:r>
        <w:rPr>
          <w:spacing w:val="-6"/>
          <w:sz w:val="20"/>
        </w:rPr>
        <w:t> </w:t>
      </w:r>
      <w:r>
        <w:rPr>
          <w:sz w:val="20"/>
        </w:rPr>
        <w:t>accepted</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No triggers and pumps</w:t>
      </w:r>
      <w:r>
        <w:rPr>
          <w:spacing w:val="-15"/>
          <w:sz w:val="20"/>
        </w:rPr>
        <w:t> </w:t>
      </w:r>
      <w:r>
        <w:rPr>
          <w:sz w:val="20"/>
        </w:rPr>
        <w:t>accepted</w:t>
      </w:r>
    </w:p>
    <w:p>
      <w:pPr>
        <w:pStyle w:val="ListParagraph"/>
        <w:numPr>
          <w:ilvl w:val="0"/>
          <w:numId w:val="12"/>
        </w:numPr>
        <w:tabs>
          <w:tab w:pos="1280" w:val="left" w:leader="none"/>
          <w:tab w:pos="1281" w:val="left" w:leader="none"/>
        </w:tabs>
        <w:spacing w:line="240" w:lineRule="auto" w:before="18" w:after="0"/>
        <w:ind w:left="1280" w:right="0" w:hanging="360"/>
        <w:jc w:val="left"/>
        <w:rPr>
          <w:sz w:val="20"/>
        </w:rPr>
      </w:pPr>
      <w:r>
        <w:rPr>
          <w:sz w:val="20"/>
        </w:rPr>
        <w:t>Items are not to be squashed by</w:t>
      </w:r>
      <w:r>
        <w:rPr>
          <w:spacing w:val="-10"/>
          <w:sz w:val="20"/>
        </w:rPr>
        <w:t> </w:t>
      </w:r>
      <w:r>
        <w:rPr>
          <w:sz w:val="20"/>
        </w:rPr>
        <w:t>householders.</w:t>
      </w:r>
    </w:p>
    <w:p>
      <w:pPr>
        <w:pStyle w:val="Heading5"/>
        <w:spacing w:before="173"/>
        <w:jc w:val="both"/>
      </w:pPr>
      <w:r>
        <w:rPr>
          <w:u w:val="single"/>
        </w:rPr>
        <w:t>Feedback</w:t>
      </w:r>
    </w:p>
    <w:p>
      <w:pPr>
        <w:pStyle w:val="BodyText"/>
        <w:spacing w:before="6"/>
        <w:rPr>
          <w:b/>
          <w:sz w:val="9"/>
        </w:rPr>
      </w:pPr>
    </w:p>
    <w:p>
      <w:pPr>
        <w:pStyle w:val="BodyText"/>
        <w:spacing w:line="256" w:lineRule="auto" w:before="60"/>
        <w:ind w:left="560" w:right="115"/>
        <w:jc w:val="both"/>
      </w:pPr>
      <w:r>
        <w:rPr/>
        <w:t>There was general agreement on the exclusion of items of less than 55mm diameter. The way this message could be conveyed was raised (for example, nothing smaller than the size of a small yoghurt container). There was some discussion about whether there needs to be a clear message about minimum sizes for all materials, including fibre (i.e. small pieces of paper).</w:t>
      </w:r>
    </w:p>
    <w:p>
      <w:pPr>
        <w:pStyle w:val="BodyText"/>
        <w:spacing w:line="256" w:lineRule="auto" w:before="159"/>
        <w:ind w:left="560" w:right="130"/>
        <w:jc w:val="both"/>
      </w:pPr>
      <w:r>
        <w:rPr/>
        <w:t>It was generally accepted that a no lids message was acceptable, however, it was noted that some lids can be recycled so alternative ways of capturing them should be investigated.</w:t>
      </w:r>
    </w:p>
    <w:p>
      <w:pPr>
        <w:pStyle w:val="BodyText"/>
        <w:spacing w:before="159"/>
        <w:ind w:left="560"/>
        <w:jc w:val="both"/>
      </w:pPr>
      <w:r>
        <w:rPr/>
        <w:t>There was no disagreement with triggers and pumps being excluded from kerbside recycling.</w:t>
      </w:r>
    </w:p>
    <w:p>
      <w:pPr>
        <w:pStyle w:val="BodyText"/>
        <w:spacing w:line="256" w:lineRule="auto" w:before="176"/>
        <w:ind w:left="560" w:right="117"/>
        <w:jc w:val="both"/>
      </w:pPr>
      <w:r>
        <w:rPr/>
        <w:t>At hui attended by representatives of local authorities using crate-based systems the message of not squashing was raised as a concern because allowing the householder to lightly squash items increase capacity in crates, in trucks, and at drop-off centres. It also takes some of the air out of containers meaning they are less likely to become windblown. Because crate-based systems are generally hand sorted and do not use automated MRFs, the issues raised above are not seen as relevant to a crate-based, hand sort methodology.</w:t>
      </w:r>
    </w:p>
    <w:p>
      <w:pPr>
        <w:pStyle w:val="Heading5"/>
        <w:spacing w:before="159"/>
        <w:jc w:val="both"/>
      </w:pPr>
      <w:r>
        <w:rPr>
          <w:u w:val="single"/>
        </w:rPr>
        <w:t>Feedback from local authority survey</w:t>
      </w:r>
    </w:p>
    <w:p>
      <w:pPr>
        <w:pStyle w:val="BodyText"/>
        <w:spacing w:before="6"/>
        <w:rPr>
          <w:b/>
          <w:sz w:val="9"/>
        </w:rPr>
      </w:pPr>
    </w:p>
    <w:p>
      <w:pPr>
        <w:pStyle w:val="BodyText"/>
        <w:spacing w:line="256" w:lineRule="auto" w:before="60"/>
        <w:ind w:left="560" w:right="115"/>
        <w:jc w:val="both"/>
      </w:pPr>
      <w:r>
        <w:rPr/>
        <w:t>Thirty-one respondents (84%) agree with the recommendations for materials to be accepted in kerbside recycling. Three respondents (8%) did not agree. Of these three respondents two preferred an approach where all</w:t>
      </w:r>
      <w:r>
        <w:rPr>
          <w:spacing w:val="-4"/>
        </w:rPr>
        <w:t> </w:t>
      </w:r>
      <w:r>
        <w:rPr/>
        <w:t>plastics</w:t>
      </w:r>
      <w:r>
        <w:rPr>
          <w:spacing w:val="-3"/>
        </w:rPr>
        <w:t> </w:t>
      </w:r>
      <w:r>
        <w:rPr/>
        <w:t>continue</w:t>
      </w:r>
      <w:r>
        <w:rPr>
          <w:spacing w:val="-5"/>
        </w:rPr>
        <w:t> </w:t>
      </w:r>
      <w:r>
        <w:rPr/>
        <w:t>to</w:t>
      </w:r>
      <w:r>
        <w:rPr>
          <w:spacing w:val="-4"/>
        </w:rPr>
        <w:t> </w:t>
      </w:r>
      <w:r>
        <w:rPr/>
        <w:t>be</w:t>
      </w:r>
      <w:r>
        <w:rPr>
          <w:spacing w:val="-5"/>
        </w:rPr>
        <w:t> </w:t>
      </w:r>
      <w:r>
        <w:rPr/>
        <w:t>collected</w:t>
      </w:r>
      <w:r>
        <w:rPr>
          <w:spacing w:val="-4"/>
        </w:rPr>
        <w:t> </w:t>
      </w:r>
      <w:r>
        <w:rPr/>
        <w:t>but</w:t>
      </w:r>
      <w:r>
        <w:rPr>
          <w:spacing w:val="-4"/>
        </w:rPr>
        <w:t> </w:t>
      </w:r>
      <w:r>
        <w:rPr/>
        <w:t>solutions are</w:t>
      </w:r>
      <w:r>
        <w:rPr>
          <w:spacing w:val="-5"/>
        </w:rPr>
        <w:t> </w:t>
      </w:r>
      <w:r>
        <w:rPr/>
        <w:t>found</w:t>
      </w:r>
      <w:r>
        <w:rPr>
          <w:spacing w:val="-6"/>
        </w:rPr>
        <w:t> </w:t>
      </w:r>
      <w:r>
        <w:rPr/>
        <w:t>for</w:t>
      </w:r>
      <w:r>
        <w:rPr>
          <w:spacing w:val="-4"/>
        </w:rPr>
        <w:t> </w:t>
      </w:r>
      <w:r>
        <w:rPr/>
        <w:t>those</w:t>
      </w:r>
      <w:r>
        <w:rPr>
          <w:spacing w:val="-5"/>
        </w:rPr>
        <w:t> </w:t>
      </w:r>
      <w:r>
        <w:rPr/>
        <w:t>hard</w:t>
      </w:r>
      <w:r>
        <w:rPr>
          <w:spacing w:val="-4"/>
        </w:rPr>
        <w:t> </w:t>
      </w:r>
      <w:r>
        <w:rPr/>
        <w:t>to</w:t>
      </w:r>
      <w:r>
        <w:rPr>
          <w:spacing w:val="-4"/>
        </w:rPr>
        <w:t> </w:t>
      </w:r>
      <w:r>
        <w:rPr/>
        <w:t>recycle</w:t>
      </w:r>
      <w:r>
        <w:rPr>
          <w:spacing w:val="-2"/>
        </w:rPr>
        <w:t> </w:t>
      </w:r>
      <w:r>
        <w:rPr/>
        <w:t>plastics</w:t>
      </w:r>
      <w:r>
        <w:rPr>
          <w:spacing w:val="-3"/>
        </w:rPr>
        <w:t> </w:t>
      </w:r>
      <w:r>
        <w:rPr/>
        <w:t>(i.e.</w:t>
      </w:r>
      <w:r>
        <w:rPr>
          <w:spacing w:val="-4"/>
        </w:rPr>
        <w:t> </w:t>
      </w:r>
      <w:r>
        <w:rPr/>
        <w:t>either</w:t>
      </w:r>
      <w:r>
        <w:rPr>
          <w:spacing w:val="-4"/>
        </w:rPr>
        <w:t> </w:t>
      </w:r>
      <w:r>
        <w:rPr/>
        <w:t>markets</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6" w:lineRule="auto" w:before="60"/>
        <w:ind w:left="560" w:right="114"/>
        <w:jc w:val="both"/>
      </w:pPr>
      <w:r>
        <w:rPr/>
        <w:t>found, or manufacturers persuaded to use other plastics). Another three respondents (8%) were unsure about the recommendations. Of these respondents, one is currently only collecting glass at kerbside, and one noted that there needs to be certainty around markets for plastic 5 (PP).</w:t>
      </w:r>
    </w:p>
    <w:p>
      <w:pPr>
        <w:pStyle w:val="Heading2"/>
        <w:numPr>
          <w:ilvl w:val="1"/>
          <w:numId w:val="9"/>
        </w:numPr>
        <w:tabs>
          <w:tab w:pos="2000" w:val="left" w:leader="none"/>
          <w:tab w:pos="2001" w:val="left" w:leader="none"/>
        </w:tabs>
        <w:spacing w:line="240" w:lineRule="auto" w:before="157" w:after="0"/>
        <w:ind w:left="2000" w:right="0" w:hanging="1080"/>
        <w:jc w:val="left"/>
        <w:rPr>
          <w:b w:val="0"/>
        </w:rPr>
      </w:pPr>
      <w:bookmarkStart w:name="5.4. Standardising kerbside collection s" w:id="85"/>
      <w:bookmarkEnd w:id="85"/>
      <w:r>
        <w:rPr/>
      </w:r>
      <w:bookmarkStart w:name="_bookmark28" w:id="86"/>
      <w:bookmarkEnd w:id="86"/>
      <w:r>
        <w:rPr/>
      </w:r>
      <w:bookmarkStart w:name="_bookmark28" w:id="87"/>
      <w:bookmarkEnd w:id="87"/>
      <w:r>
        <w:rPr>
          <w:b w:val="0"/>
        </w:rPr>
        <w:t>Standa</w:t>
      </w:r>
      <w:r>
        <w:rPr>
          <w:b w:val="0"/>
        </w:rPr>
        <w:t>rdising kerbside collection</w:t>
      </w:r>
      <w:r>
        <w:rPr>
          <w:b w:val="0"/>
          <w:spacing w:val="-16"/>
        </w:rPr>
        <w:t> </w:t>
      </w:r>
      <w:r>
        <w:rPr>
          <w:b w:val="0"/>
        </w:rPr>
        <w:t>systems</w:t>
      </w:r>
    </w:p>
    <w:p>
      <w:pPr>
        <w:pStyle w:val="BodyText"/>
        <w:spacing w:line="256" w:lineRule="auto" w:before="241"/>
        <w:ind w:left="560" w:right="116"/>
        <w:jc w:val="both"/>
      </w:pPr>
      <w:r>
        <w:rPr/>
        <w:t>During the engagement process, the project team sought feedback from local authorities and their contractors on a selection of kerbside collection systems. The systems presented were ‘strawmen’ options, aimed at generating discussion, and providing the project team with feedback on local authorities and their contractors preferences, and possible concerns regarding different systems. The ‘strawmen’ options, while not aimed to represent the project managers’ recommendations, were based on ‘best practice’ from the literature review and discussions with reprocessors.</w:t>
      </w:r>
    </w:p>
    <w:p>
      <w:pPr>
        <w:pStyle w:val="BodyText"/>
        <w:spacing w:line="256" w:lineRule="auto" w:before="158"/>
        <w:ind w:left="560" w:right="117"/>
        <w:jc w:val="both"/>
      </w:pPr>
      <w:r>
        <w:rPr/>
        <w:t>The feedback from the hui, the industry conversations, the Have Your Say page and the local authority survey are provided below for organics collections, recycling collections and residual rubbish collections.</w:t>
      </w:r>
    </w:p>
    <w:p>
      <w:pPr>
        <w:pStyle w:val="BodyText"/>
        <w:spacing w:line="256" w:lineRule="auto" w:before="158"/>
        <w:ind w:left="560" w:right="121"/>
        <w:jc w:val="both"/>
      </w:pPr>
      <w:r>
        <w:rPr/>
        <w:t>It is recognised that some local authorities who do not currently provide kerbside collections, or only provide them to their more urban populations. Some provide rural drop-off centres or transfer stations, and other rely on the private sector to provide services. These recommendations are aimed at local authority and private collections, but are not aimed at replacing drop-off centres and transfer stations in rural areas.</w:t>
      </w:r>
    </w:p>
    <w:p>
      <w:pPr>
        <w:pStyle w:val="Heading4"/>
        <w:numPr>
          <w:ilvl w:val="2"/>
          <w:numId w:val="9"/>
        </w:numPr>
        <w:tabs>
          <w:tab w:pos="2001" w:val="left" w:leader="none"/>
        </w:tabs>
        <w:spacing w:line="240" w:lineRule="auto" w:before="156" w:after="0"/>
        <w:ind w:left="2000" w:right="0" w:hanging="720"/>
        <w:jc w:val="left"/>
        <w:rPr>
          <w:b w:val="0"/>
        </w:rPr>
      </w:pPr>
      <w:bookmarkStart w:name="5.4.1. Organics collections " w:id="88"/>
      <w:bookmarkEnd w:id="88"/>
      <w:r>
        <w:rPr/>
      </w:r>
      <w:bookmarkStart w:name="_bookmark29" w:id="89"/>
      <w:bookmarkEnd w:id="89"/>
      <w:r>
        <w:rPr/>
      </w:r>
      <w:bookmarkStart w:name="_bookmark29" w:id="90"/>
      <w:bookmarkEnd w:id="90"/>
      <w:r>
        <w:rPr>
          <w:b w:val="0"/>
        </w:rPr>
        <w:t>O</w:t>
      </w:r>
      <w:r>
        <w:rPr>
          <w:b w:val="0"/>
        </w:rPr>
        <w:t>rganics</w:t>
      </w:r>
      <w:r>
        <w:rPr>
          <w:b w:val="0"/>
          <w:spacing w:val="-3"/>
        </w:rPr>
        <w:t> </w:t>
      </w:r>
      <w:r>
        <w:rPr>
          <w:b w:val="0"/>
        </w:rPr>
        <w:t>collections</w:t>
      </w:r>
    </w:p>
    <w:p>
      <w:pPr>
        <w:pStyle w:val="BodyText"/>
        <w:spacing w:before="9"/>
        <w:rPr>
          <w:rFonts w:ascii="Calibri Light"/>
          <w:b w:val="0"/>
          <w:sz w:val="19"/>
        </w:rPr>
      </w:pPr>
    </w:p>
    <w:p>
      <w:pPr>
        <w:pStyle w:val="BodyText"/>
        <w:spacing w:line="254" w:lineRule="auto" w:before="1"/>
        <w:ind w:left="560" w:right="117"/>
        <w:jc w:val="both"/>
      </w:pPr>
      <w:r>
        <w:rPr/>
        <w:t>One option was presented for organics collections based on the findings of the literature review. This was a 23- litre food waste bin with a small bench top caddy and corn starch bags.</w:t>
      </w:r>
    </w:p>
    <w:p>
      <w:pPr>
        <w:pStyle w:val="BodyText"/>
        <w:spacing w:line="254" w:lineRule="auto" w:before="163"/>
        <w:ind w:left="560" w:right="118"/>
        <w:jc w:val="both"/>
      </w:pPr>
      <w:r>
        <w:rPr/>
        <w:t>It was also recognised that some local authorities may choose to also collect food waste with greenwaste (e.g. FOGO – Food Organics and Garden Organics) if they need the greenwaste for their composting facility.</w:t>
      </w:r>
    </w:p>
    <w:p>
      <w:pPr>
        <w:pStyle w:val="BodyText"/>
        <w:spacing w:before="9"/>
        <w:rPr>
          <w:sz w:val="9"/>
        </w:rPr>
      </w:pPr>
      <w:r>
        <w:rPr/>
        <w:drawing>
          <wp:anchor distT="0" distB="0" distL="0" distR="0" allowOverlap="1" layoutInCell="1" locked="0" behindDoc="0" simplePos="0" relativeHeight="1312">
            <wp:simplePos x="0" y="0"/>
            <wp:positionH relativeFrom="page">
              <wp:posOffset>2780029</wp:posOffset>
            </wp:positionH>
            <wp:positionV relativeFrom="paragraph">
              <wp:posOffset>100377</wp:posOffset>
            </wp:positionV>
            <wp:extent cx="1971339" cy="1789842"/>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8" cstate="print"/>
                    <a:stretch>
                      <a:fillRect/>
                    </a:stretch>
                  </pic:blipFill>
                  <pic:spPr>
                    <a:xfrm>
                      <a:off x="0" y="0"/>
                      <a:ext cx="1971339" cy="1789842"/>
                    </a:xfrm>
                    <a:prstGeom prst="rect">
                      <a:avLst/>
                    </a:prstGeom>
                  </pic:spPr>
                </pic:pic>
              </a:graphicData>
            </a:graphic>
          </wp:anchor>
        </w:drawing>
      </w:r>
    </w:p>
    <w:p>
      <w:pPr>
        <w:pStyle w:val="Heading5"/>
        <w:spacing w:before="21"/>
        <w:ind w:left="1814" w:right="1374"/>
        <w:jc w:val="center"/>
      </w:pPr>
      <w:r>
        <w:rPr/>
        <w:t>Food waste bin and caddy</w:t>
      </w:r>
    </w:p>
    <w:p>
      <w:pPr>
        <w:spacing w:before="178"/>
        <w:ind w:left="560" w:right="0" w:firstLine="0"/>
        <w:jc w:val="both"/>
        <w:rPr>
          <w:b/>
          <w:sz w:val="20"/>
        </w:rPr>
      </w:pPr>
      <w:r>
        <w:rPr>
          <w:b/>
          <w:sz w:val="20"/>
          <w:u w:val="single"/>
        </w:rPr>
        <w:t>Feedback</w:t>
      </w:r>
    </w:p>
    <w:p>
      <w:pPr>
        <w:pStyle w:val="BodyText"/>
        <w:spacing w:before="6"/>
        <w:rPr>
          <w:b/>
          <w:sz w:val="9"/>
        </w:rPr>
      </w:pPr>
    </w:p>
    <w:p>
      <w:pPr>
        <w:pStyle w:val="BodyText"/>
        <w:spacing w:before="59"/>
        <w:ind w:left="560"/>
        <w:jc w:val="both"/>
      </w:pPr>
      <w:r>
        <w:rPr/>
        <w:t>During the hui was little opposition to the idea of collecting food waste in a 23-litre bin.</w:t>
      </w:r>
    </w:p>
    <w:p>
      <w:pPr>
        <w:pStyle w:val="BodyText"/>
        <w:spacing w:line="256" w:lineRule="auto" w:before="175"/>
        <w:ind w:left="560" w:right="117"/>
        <w:jc w:val="both"/>
      </w:pPr>
      <w:r>
        <w:rPr/>
        <w:t>Local authorities with FOGO collections preferred their current systems. Some rural local authorities were concerned at the potential cost of collecting food waste, and their current lack of infrastructure to process it. One</w:t>
      </w:r>
      <w:r>
        <w:rPr>
          <w:spacing w:val="-5"/>
        </w:rPr>
        <w:t> </w:t>
      </w:r>
      <w:r>
        <w:rPr/>
        <w:t>local</w:t>
      </w:r>
      <w:r>
        <w:rPr>
          <w:spacing w:val="-5"/>
        </w:rPr>
        <w:t> </w:t>
      </w:r>
      <w:r>
        <w:rPr/>
        <w:t>authority</w:t>
      </w:r>
      <w:r>
        <w:rPr>
          <w:spacing w:val="-3"/>
        </w:rPr>
        <w:t> </w:t>
      </w:r>
      <w:r>
        <w:rPr/>
        <w:t>representative</w:t>
      </w:r>
      <w:r>
        <w:rPr>
          <w:spacing w:val="-5"/>
        </w:rPr>
        <w:t> </w:t>
      </w:r>
      <w:r>
        <w:rPr/>
        <w:t>stated</w:t>
      </w:r>
      <w:r>
        <w:rPr>
          <w:spacing w:val="-4"/>
        </w:rPr>
        <w:t> </w:t>
      </w:r>
      <w:r>
        <w:rPr/>
        <w:t>that</w:t>
      </w:r>
      <w:r>
        <w:rPr>
          <w:spacing w:val="-4"/>
        </w:rPr>
        <w:t> </w:t>
      </w:r>
      <w:r>
        <w:rPr/>
        <w:t>their</w:t>
      </w:r>
      <w:r>
        <w:rPr>
          <w:spacing w:val="-5"/>
        </w:rPr>
        <w:t> </w:t>
      </w:r>
      <w:r>
        <w:rPr/>
        <w:t>residents</w:t>
      </w:r>
      <w:r>
        <w:rPr>
          <w:spacing w:val="-4"/>
        </w:rPr>
        <w:t> </w:t>
      </w:r>
      <w:r>
        <w:rPr/>
        <w:t>already</w:t>
      </w:r>
      <w:r>
        <w:rPr>
          <w:spacing w:val="-4"/>
        </w:rPr>
        <w:t> </w:t>
      </w:r>
      <w:r>
        <w:rPr/>
        <w:t>compost</w:t>
      </w:r>
      <w:r>
        <w:rPr>
          <w:spacing w:val="-6"/>
        </w:rPr>
        <w:t> </w:t>
      </w:r>
      <w:r>
        <w:rPr/>
        <w:t>all</w:t>
      </w:r>
      <w:r>
        <w:rPr>
          <w:spacing w:val="-4"/>
        </w:rPr>
        <w:t> </w:t>
      </w:r>
      <w:r>
        <w:rPr/>
        <w:t>of</w:t>
      </w:r>
      <w:r>
        <w:rPr>
          <w:spacing w:val="-5"/>
        </w:rPr>
        <w:t> </w:t>
      </w:r>
      <w:r>
        <w:rPr/>
        <w:t>their</w:t>
      </w:r>
      <w:r>
        <w:rPr>
          <w:spacing w:val="-7"/>
        </w:rPr>
        <w:t> </w:t>
      </w:r>
      <w:r>
        <w:rPr/>
        <w:t>food</w:t>
      </w:r>
      <w:r>
        <w:rPr>
          <w:spacing w:val="-4"/>
        </w:rPr>
        <w:t> </w:t>
      </w:r>
      <w:r>
        <w:rPr/>
        <w:t>waste</w:t>
      </w:r>
      <w:r>
        <w:rPr>
          <w:spacing w:val="-5"/>
        </w:rPr>
        <w:t> </w:t>
      </w:r>
      <w:r>
        <w:rPr/>
        <w:t>so</w:t>
      </w:r>
      <w:r>
        <w:rPr>
          <w:spacing w:val="-4"/>
        </w:rPr>
        <w:t> </w:t>
      </w:r>
      <w:r>
        <w:rPr/>
        <w:t>they</w:t>
      </w:r>
      <w:r>
        <w:rPr>
          <w:spacing w:val="-6"/>
        </w:rPr>
        <w:t> </w:t>
      </w:r>
      <w:r>
        <w:rPr/>
        <w:t>do not have a need for a separate</w:t>
      </w:r>
      <w:r>
        <w:rPr>
          <w:spacing w:val="-21"/>
        </w:rPr>
        <w:t> </w:t>
      </w:r>
      <w:r>
        <w:rPr/>
        <w:t>collection.</w:t>
      </w:r>
    </w:p>
    <w:p>
      <w:pPr>
        <w:pStyle w:val="BodyText"/>
        <w:spacing w:line="256" w:lineRule="auto" w:before="159"/>
        <w:ind w:left="560" w:right="117"/>
        <w:jc w:val="both"/>
      </w:pPr>
      <w:r>
        <w:rPr/>
        <w:t>There was much debate around the need for corn starch bags. Some people argued that there is higher set out of</w:t>
      </w:r>
      <w:r>
        <w:rPr>
          <w:spacing w:val="-4"/>
        </w:rPr>
        <w:t> </w:t>
      </w:r>
      <w:r>
        <w:rPr/>
        <w:t>food</w:t>
      </w:r>
      <w:r>
        <w:rPr>
          <w:spacing w:val="-2"/>
        </w:rPr>
        <w:t> </w:t>
      </w:r>
      <w:r>
        <w:rPr/>
        <w:t>waste</w:t>
      </w:r>
      <w:r>
        <w:rPr>
          <w:spacing w:val="-3"/>
        </w:rPr>
        <w:t> </w:t>
      </w:r>
      <w:r>
        <w:rPr/>
        <w:t>if</w:t>
      </w:r>
      <w:r>
        <w:rPr>
          <w:spacing w:val="-4"/>
        </w:rPr>
        <w:t> </w:t>
      </w:r>
      <w:r>
        <w:rPr/>
        <w:t>bags</w:t>
      </w:r>
      <w:r>
        <w:rPr>
          <w:spacing w:val="-1"/>
        </w:rPr>
        <w:t> </w:t>
      </w:r>
      <w:r>
        <w:rPr/>
        <w:t>are</w:t>
      </w:r>
      <w:r>
        <w:rPr>
          <w:spacing w:val="-3"/>
        </w:rPr>
        <w:t> </w:t>
      </w:r>
      <w:r>
        <w:rPr/>
        <w:t>used,</w:t>
      </w:r>
      <w:r>
        <w:rPr>
          <w:spacing w:val="-2"/>
        </w:rPr>
        <w:t> </w:t>
      </w:r>
      <w:r>
        <w:rPr/>
        <w:t>and</w:t>
      </w:r>
      <w:r>
        <w:rPr>
          <w:spacing w:val="-4"/>
        </w:rPr>
        <w:t> </w:t>
      </w:r>
      <w:r>
        <w:rPr/>
        <w:t>others</w:t>
      </w:r>
      <w:r>
        <w:rPr>
          <w:spacing w:val="-1"/>
        </w:rPr>
        <w:t> </w:t>
      </w:r>
      <w:r>
        <w:rPr/>
        <w:t>argued</w:t>
      </w:r>
      <w:r>
        <w:rPr>
          <w:spacing w:val="-2"/>
        </w:rPr>
        <w:t> </w:t>
      </w:r>
      <w:r>
        <w:rPr/>
        <w:t>that local</w:t>
      </w:r>
      <w:r>
        <w:rPr>
          <w:spacing w:val="-5"/>
        </w:rPr>
        <w:t> </w:t>
      </w:r>
      <w:r>
        <w:rPr/>
        <w:t>authorities should</w:t>
      </w:r>
      <w:r>
        <w:rPr>
          <w:spacing w:val="-2"/>
        </w:rPr>
        <w:t> </w:t>
      </w:r>
      <w:r>
        <w:rPr/>
        <w:t>not</w:t>
      </w:r>
      <w:r>
        <w:rPr>
          <w:spacing w:val="-5"/>
        </w:rPr>
        <w:t> </w:t>
      </w:r>
      <w:r>
        <w:rPr/>
        <w:t>be</w:t>
      </w:r>
      <w:r>
        <w:rPr>
          <w:spacing w:val="-3"/>
        </w:rPr>
        <w:t> </w:t>
      </w:r>
      <w:r>
        <w:rPr/>
        <w:t>providing</w:t>
      </w:r>
      <w:r>
        <w:rPr>
          <w:spacing w:val="-3"/>
        </w:rPr>
        <w:t> </w:t>
      </w:r>
      <w:r>
        <w:rPr/>
        <w:t>single</w:t>
      </w:r>
      <w:r>
        <w:rPr>
          <w:spacing w:val="-4"/>
        </w:rPr>
        <w:t> </w:t>
      </w:r>
      <w:r>
        <w:rPr/>
        <w:t>use</w:t>
      </w:r>
      <w:r>
        <w:rPr>
          <w:spacing w:val="-3"/>
        </w:rPr>
        <w:t> </w:t>
      </w:r>
      <w:r>
        <w:rPr/>
        <w:t>bags. Some organic processing plants can not accept corn starch</w:t>
      </w:r>
      <w:r>
        <w:rPr>
          <w:spacing w:val="-24"/>
        </w:rPr>
        <w:t> </w:t>
      </w:r>
      <w:r>
        <w:rPr/>
        <w:t>bags.</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4" w:lineRule="auto" w:before="60"/>
        <w:ind w:left="560" w:right="297"/>
        <w:jc w:val="both"/>
      </w:pPr>
      <w:r>
        <w:rPr/>
        <w:t>One local authority described their experience implementing a food waste collection with 23-litre bins and no caddy or bags, saying that while there was initial push back from residents, it was now working well. Another observation</w:t>
      </w:r>
      <w:r>
        <w:rPr>
          <w:spacing w:val="-4"/>
        </w:rPr>
        <w:t> </w:t>
      </w:r>
      <w:r>
        <w:rPr/>
        <w:t>was</w:t>
      </w:r>
      <w:r>
        <w:rPr>
          <w:spacing w:val="-3"/>
        </w:rPr>
        <w:t> </w:t>
      </w:r>
      <w:r>
        <w:rPr/>
        <w:t>that</w:t>
      </w:r>
      <w:r>
        <w:rPr>
          <w:spacing w:val="-4"/>
        </w:rPr>
        <w:t> </w:t>
      </w:r>
      <w:r>
        <w:rPr/>
        <w:t>if</w:t>
      </w:r>
      <w:r>
        <w:rPr>
          <w:spacing w:val="-6"/>
        </w:rPr>
        <w:t> </w:t>
      </w:r>
      <w:r>
        <w:rPr/>
        <w:t>a</w:t>
      </w:r>
      <w:r>
        <w:rPr>
          <w:spacing w:val="-2"/>
        </w:rPr>
        <w:t> </w:t>
      </w:r>
      <w:r>
        <w:rPr/>
        <w:t>local</w:t>
      </w:r>
      <w:r>
        <w:rPr>
          <w:spacing w:val="-2"/>
        </w:rPr>
        <w:t> </w:t>
      </w:r>
      <w:r>
        <w:rPr/>
        <w:t>authority</w:t>
      </w:r>
      <w:r>
        <w:rPr>
          <w:spacing w:val="-2"/>
        </w:rPr>
        <w:t> </w:t>
      </w:r>
      <w:r>
        <w:rPr/>
        <w:t>supplies</w:t>
      </w:r>
      <w:r>
        <w:rPr>
          <w:spacing w:val="-3"/>
        </w:rPr>
        <w:t> </w:t>
      </w:r>
      <w:r>
        <w:rPr/>
        <w:t>cornstarch</w:t>
      </w:r>
      <w:r>
        <w:rPr>
          <w:spacing w:val="-6"/>
        </w:rPr>
        <w:t> </w:t>
      </w:r>
      <w:r>
        <w:rPr/>
        <w:t>bags</w:t>
      </w:r>
      <w:r>
        <w:rPr>
          <w:spacing w:val="-3"/>
        </w:rPr>
        <w:t> </w:t>
      </w:r>
      <w:r>
        <w:rPr/>
        <w:t>and</w:t>
      </w:r>
      <w:r>
        <w:rPr>
          <w:spacing w:val="-4"/>
        </w:rPr>
        <w:t> </w:t>
      </w:r>
      <w:r>
        <w:rPr/>
        <w:t>a</w:t>
      </w:r>
      <w:r>
        <w:rPr>
          <w:spacing w:val="-4"/>
        </w:rPr>
        <w:t> </w:t>
      </w:r>
      <w:r>
        <w:rPr/>
        <w:t>householder</w:t>
      </w:r>
      <w:r>
        <w:rPr>
          <w:spacing w:val="-4"/>
        </w:rPr>
        <w:t> </w:t>
      </w:r>
      <w:r>
        <w:rPr/>
        <w:t>runs</w:t>
      </w:r>
      <w:r>
        <w:rPr>
          <w:spacing w:val="-6"/>
        </w:rPr>
        <w:t> </w:t>
      </w:r>
      <w:r>
        <w:rPr/>
        <w:t>out</w:t>
      </w:r>
      <w:r>
        <w:rPr>
          <w:spacing w:val="-4"/>
        </w:rPr>
        <w:t> </w:t>
      </w:r>
      <w:r>
        <w:rPr/>
        <w:t>of</w:t>
      </w:r>
      <w:r>
        <w:rPr>
          <w:spacing w:val="-5"/>
        </w:rPr>
        <w:t> </w:t>
      </w:r>
      <w:r>
        <w:rPr/>
        <w:t>them</w:t>
      </w:r>
      <w:r>
        <w:rPr>
          <w:spacing w:val="-5"/>
        </w:rPr>
        <w:t> </w:t>
      </w:r>
      <w:r>
        <w:rPr/>
        <w:t>there</w:t>
      </w:r>
      <w:r>
        <w:rPr>
          <w:spacing w:val="-3"/>
        </w:rPr>
        <w:t> </w:t>
      </w:r>
      <w:r>
        <w:rPr/>
        <w:t>can be the  mistaken belief that they can use a traditional plastic bag</w:t>
      </w:r>
      <w:r>
        <w:rPr>
          <w:spacing w:val="-30"/>
        </w:rPr>
        <w:t> </w:t>
      </w:r>
      <w:r>
        <w:rPr/>
        <w:t>instead.</w:t>
      </w:r>
    </w:p>
    <w:p>
      <w:pPr>
        <w:pStyle w:val="Heading5"/>
        <w:spacing w:before="161"/>
        <w:jc w:val="both"/>
      </w:pPr>
      <w:r>
        <w:rPr>
          <w:u w:val="single"/>
        </w:rPr>
        <w:t>Feedback from local authority survey</w:t>
      </w:r>
    </w:p>
    <w:p>
      <w:pPr>
        <w:pStyle w:val="BodyText"/>
        <w:spacing w:before="9"/>
        <w:rPr>
          <w:b/>
          <w:sz w:val="9"/>
        </w:rPr>
      </w:pPr>
    </w:p>
    <w:p>
      <w:pPr>
        <w:pStyle w:val="BodyText"/>
        <w:spacing w:line="256" w:lineRule="auto" w:before="59"/>
        <w:ind w:left="560" w:right="295"/>
        <w:jc w:val="both"/>
      </w:pPr>
      <w:r>
        <w:rPr/>
        <w:t>Of</w:t>
      </w:r>
      <w:r>
        <w:rPr>
          <w:spacing w:val="-8"/>
        </w:rPr>
        <w:t> </w:t>
      </w:r>
      <w:r>
        <w:rPr/>
        <w:t>the</w:t>
      </w:r>
      <w:r>
        <w:rPr>
          <w:spacing w:val="-8"/>
        </w:rPr>
        <w:t> </w:t>
      </w:r>
      <w:r>
        <w:rPr/>
        <w:t>37</w:t>
      </w:r>
      <w:r>
        <w:rPr>
          <w:spacing w:val="-8"/>
        </w:rPr>
        <w:t> </w:t>
      </w:r>
      <w:r>
        <w:rPr/>
        <w:t>local</w:t>
      </w:r>
      <w:r>
        <w:rPr>
          <w:spacing w:val="-8"/>
        </w:rPr>
        <w:t> </w:t>
      </w:r>
      <w:r>
        <w:rPr/>
        <w:t>authorities</w:t>
      </w:r>
      <w:r>
        <w:rPr>
          <w:spacing w:val="-7"/>
        </w:rPr>
        <w:t> </w:t>
      </w:r>
      <w:r>
        <w:rPr/>
        <w:t>that</w:t>
      </w:r>
      <w:r>
        <w:rPr>
          <w:spacing w:val="-7"/>
        </w:rPr>
        <w:t> </w:t>
      </w:r>
      <w:r>
        <w:rPr/>
        <w:t>completed</w:t>
      </w:r>
      <w:r>
        <w:rPr>
          <w:spacing w:val="-7"/>
        </w:rPr>
        <w:t> </w:t>
      </w:r>
      <w:r>
        <w:rPr/>
        <w:t>the</w:t>
      </w:r>
      <w:r>
        <w:rPr>
          <w:spacing w:val="-8"/>
        </w:rPr>
        <w:t> </w:t>
      </w:r>
      <w:r>
        <w:rPr/>
        <w:t>survey,</w:t>
      </w:r>
      <w:r>
        <w:rPr>
          <w:spacing w:val="-3"/>
        </w:rPr>
        <w:t> </w:t>
      </w:r>
      <w:r>
        <w:rPr/>
        <w:t>17</w:t>
      </w:r>
      <w:r>
        <w:rPr>
          <w:spacing w:val="-8"/>
        </w:rPr>
        <w:t> </w:t>
      </w:r>
      <w:r>
        <w:rPr/>
        <w:t>agreed</w:t>
      </w:r>
      <w:r>
        <w:rPr>
          <w:spacing w:val="-7"/>
        </w:rPr>
        <w:t> </w:t>
      </w:r>
      <w:r>
        <w:rPr/>
        <w:t>with</w:t>
      </w:r>
      <w:r>
        <w:rPr>
          <w:spacing w:val="-7"/>
        </w:rPr>
        <w:t> </w:t>
      </w:r>
      <w:r>
        <w:rPr/>
        <w:t>the</w:t>
      </w:r>
      <w:r>
        <w:rPr>
          <w:spacing w:val="-8"/>
        </w:rPr>
        <w:t> </w:t>
      </w:r>
      <w:r>
        <w:rPr/>
        <w:t>organic</w:t>
      </w:r>
      <w:r>
        <w:rPr>
          <w:spacing w:val="-8"/>
        </w:rPr>
        <w:t> </w:t>
      </w:r>
      <w:r>
        <w:rPr/>
        <w:t>collection</w:t>
      </w:r>
      <w:r>
        <w:rPr>
          <w:spacing w:val="-7"/>
        </w:rPr>
        <w:t> </w:t>
      </w:r>
      <w:r>
        <w:rPr/>
        <w:t>methodology</w:t>
      </w:r>
      <w:r>
        <w:rPr>
          <w:spacing w:val="-4"/>
        </w:rPr>
        <w:t> </w:t>
      </w:r>
      <w:r>
        <w:rPr/>
        <w:t>(46%). Forteen respondents (38%) were unsure and expressed concerns about the cost to local authorities of implementing</w:t>
      </w:r>
      <w:r>
        <w:rPr>
          <w:spacing w:val="-4"/>
        </w:rPr>
        <w:t> </w:t>
      </w:r>
      <w:r>
        <w:rPr/>
        <w:t>such</w:t>
      </w:r>
      <w:r>
        <w:rPr>
          <w:spacing w:val="-4"/>
        </w:rPr>
        <w:t> </w:t>
      </w:r>
      <w:r>
        <w:rPr/>
        <w:t>a</w:t>
      </w:r>
      <w:r>
        <w:rPr>
          <w:spacing w:val="-4"/>
        </w:rPr>
        <w:t> </w:t>
      </w:r>
      <w:r>
        <w:rPr/>
        <w:t>system,</w:t>
      </w:r>
      <w:r>
        <w:rPr>
          <w:spacing w:val="-2"/>
        </w:rPr>
        <w:t> </w:t>
      </w:r>
      <w:r>
        <w:rPr/>
        <w:t>especially</w:t>
      </w:r>
      <w:r>
        <w:rPr>
          <w:spacing w:val="-4"/>
        </w:rPr>
        <w:t> </w:t>
      </w:r>
      <w:r>
        <w:rPr/>
        <w:t>in</w:t>
      </w:r>
      <w:r>
        <w:rPr>
          <w:spacing w:val="-4"/>
        </w:rPr>
        <w:t> </w:t>
      </w:r>
      <w:r>
        <w:rPr/>
        <w:t>those</w:t>
      </w:r>
      <w:r>
        <w:rPr>
          <w:spacing w:val="-5"/>
        </w:rPr>
        <w:t> </w:t>
      </w:r>
      <w:r>
        <w:rPr/>
        <w:t>areas</w:t>
      </w:r>
      <w:r>
        <w:rPr>
          <w:spacing w:val="-1"/>
        </w:rPr>
        <w:t> </w:t>
      </w:r>
      <w:r>
        <w:rPr/>
        <w:t>without</w:t>
      </w:r>
      <w:r>
        <w:rPr>
          <w:spacing w:val="-4"/>
        </w:rPr>
        <w:t> </w:t>
      </w:r>
      <w:r>
        <w:rPr/>
        <w:t>a</w:t>
      </w:r>
      <w:r>
        <w:rPr>
          <w:spacing w:val="-4"/>
        </w:rPr>
        <w:t> </w:t>
      </w:r>
      <w:r>
        <w:rPr/>
        <w:t>composting</w:t>
      </w:r>
      <w:r>
        <w:rPr>
          <w:spacing w:val="-5"/>
        </w:rPr>
        <w:t> </w:t>
      </w:r>
      <w:r>
        <w:rPr/>
        <w:t>or</w:t>
      </w:r>
      <w:r>
        <w:rPr>
          <w:spacing w:val="-4"/>
        </w:rPr>
        <w:t> </w:t>
      </w:r>
      <w:r>
        <w:rPr/>
        <w:t>AD</w:t>
      </w:r>
      <w:r>
        <w:rPr>
          <w:spacing w:val="1"/>
        </w:rPr>
        <w:t> </w:t>
      </w:r>
      <w:r>
        <w:rPr/>
        <w:t>(anaerobic</w:t>
      </w:r>
      <w:r>
        <w:rPr>
          <w:spacing w:val="-4"/>
        </w:rPr>
        <w:t> </w:t>
      </w:r>
      <w:r>
        <w:rPr/>
        <w:t>digestion)</w:t>
      </w:r>
      <w:r>
        <w:rPr>
          <w:spacing w:val="-4"/>
        </w:rPr>
        <w:t> </w:t>
      </w:r>
      <w:r>
        <w:rPr/>
        <w:t>facility in their region. One was unsure because they already have an opt-in system that includes greenwaste. Of the 6 respondents</w:t>
      </w:r>
      <w:r>
        <w:rPr>
          <w:spacing w:val="-5"/>
        </w:rPr>
        <w:t> </w:t>
      </w:r>
      <w:r>
        <w:rPr/>
        <w:t>(16%)</w:t>
      </w:r>
      <w:r>
        <w:rPr>
          <w:spacing w:val="-6"/>
        </w:rPr>
        <w:t> </w:t>
      </w:r>
      <w:r>
        <w:rPr/>
        <w:t>who</w:t>
      </w:r>
      <w:r>
        <w:rPr>
          <w:spacing w:val="-7"/>
        </w:rPr>
        <w:t> </w:t>
      </w:r>
      <w:r>
        <w:rPr/>
        <w:t>disagreed,</w:t>
      </w:r>
      <w:r>
        <w:rPr>
          <w:spacing w:val="-7"/>
        </w:rPr>
        <w:t> </w:t>
      </w:r>
      <w:r>
        <w:rPr/>
        <w:t>comments</w:t>
      </w:r>
      <w:r>
        <w:rPr>
          <w:spacing w:val="-5"/>
        </w:rPr>
        <w:t> </w:t>
      </w:r>
      <w:r>
        <w:rPr/>
        <w:t>included</w:t>
      </w:r>
      <w:r>
        <w:rPr>
          <w:spacing w:val="-6"/>
        </w:rPr>
        <w:t> </w:t>
      </w:r>
      <w:r>
        <w:rPr/>
        <w:t>that</w:t>
      </w:r>
      <w:r>
        <w:rPr>
          <w:spacing w:val="-7"/>
        </w:rPr>
        <w:t> </w:t>
      </w:r>
      <w:r>
        <w:rPr/>
        <w:t>it</w:t>
      </w:r>
      <w:r>
        <w:rPr>
          <w:spacing w:val="-7"/>
        </w:rPr>
        <w:t> </w:t>
      </w:r>
      <w:r>
        <w:rPr/>
        <w:t>is</w:t>
      </w:r>
      <w:r>
        <w:rPr>
          <w:spacing w:val="-7"/>
        </w:rPr>
        <w:t> </w:t>
      </w:r>
      <w:r>
        <w:rPr/>
        <w:t>too</w:t>
      </w:r>
      <w:r>
        <w:rPr>
          <w:spacing w:val="-7"/>
        </w:rPr>
        <w:t> </w:t>
      </w:r>
      <w:r>
        <w:rPr/>
        <w:t>complex</w:t>
      </w:r>
      <w:r>
        <w:rPr>
          <w:spacing w:val="-5"/>
        </w:rPr>
        <w:t> </w:t>
      </w:r>
      <w:r>
        <w:rPr/>
        <w:t>an</w:t>
      </w:r>
      <w:r>
        <w:rPr>
          <w:spacing w:val="-7"/>
        </w:rPr>
        <w:t> </w:t>
      </w:r>
      <w:r>
        <w:rPr/>
        <w:t>issue,</w:t>
      </w:r>
      <w:r>
        <w:rPr>
          <w:spacing w:val="-7"/>
        </w:rPr>
        <w:t> </w:t>
      </w:r>
      <w:r>
        <w:rPr/>
        <w:t>or</w:t>
      </w:r>
      <w:r>
        <w:rPr>
          <w:spacing w:val="-7"/>
        </w:rPr>
        <w:t> </w:t>
      </w:r>
      <w:r>
        <w:rPr/>
        <w:t>they</w:t>
      </w:r>
      <w:r>
        <w:rPr>
          <w:spacing w:val="-7"/>
        </w:rPr>
        <w:t> </w:t>
      </w:r>
      <w:r>
        <w:rPr/>
        <w:t>felt</w:t>
      </w:r>
      <w:r>
        <w:rPr>
          <w:spacing w:val="-5"/>
        </w:rPr>
        <w:t> </w:t>
      </w:r>
      <w:r>
        <w:rPr/>
        <w:t>that</w:t>
      </w:r>
      <w:r>
        <w:rPr>
          <w:spacing w:val="-7"/>
        </w:rPr>
        <w:t> </w:t>
      </w:r>
      <w:r>
        <w:rPr/>
        <w:t>diversion could be achieved by other</w:t>
      </w:r>
      <w:r>
        <w:rPr>
          <w:spacing w:val="-8"/>
        </w:rPr>
        <w:t> </w:t>
      </w:r>
      <w:r>
        <w:rPr/>
        <w:t>means.</w:t>
      </w:r>
    </w:p>
    <w:p>
      <w:pPr>
        <w:pStyle w:val="Heading4"/>
        <w:numPr>
          <w:ilvl w:val="2"/>
          <w:numId w:val="9"/>
        </w:numPr>
        <w:tabs>
          <w:tab w:pos="2001" w:val="left" w:leader="none"/>
        </w:tabs>
        <w:spacing w:line="240" w:lineRule="auto" w:before="156" w:after="0"/>
        <w:ind w:left="2000" w:right="0" w:hanging="720"/>
        <w:jc w:val="left"/>
        <w:rPr>
          <w:b w:val="0"/>
        </w:rPr>
      </w:pPr>
      <w:bookmarkStart w:name="5.4.2. Recycling collections " w:id="91"/>
      <w:bookmarkEnd w:id="91"/>
      <w:r>
        <w:rPr/>
      </w:r>
      <w:bookmarkStart w:name="_bookmark30" w:id="92"/>
      <w:bookmarkEnd w:id="92"/>
      <w:r>
        <w:rPr/>
      </w:r>
      <w:bookmarkStart w:name="_bookmark30" w:id="93"/>
      <w:bookmarkEnd w:id="93"/>
      <w:r>
        <w:rPr>
          <w:b w:val="0"/>
        </w:rPr>
        <w:t>R</w:t>
      </w:r>
      <w:r>
        <w:rPr>
          <w:b w:val="0"/>
        </w:rPr>
        <w:t>ecycling</w:t>
      </w:r>
      <w:r>
        <w:rPr>
          <w:b w:val="0"/>
          <w:spacing w:val="-6"/>
        </w:rPr>
        <w:t> </w:t>
      </w:r>
      <w:r>
        <w:rPr>
          <w:b w:val="0"/>
        </w:rPr>
        <w:t>collections</w:t>
      </w:r>
    </w:p>
    <w:p>
      <w:pPr>
        <w:pStyle w:val="BodyText"/>
        <w:spacing w:before="9"/>
        <w:rPr>
          <w:rFonts w:ascii="Calibri Light"/>
          <w:b w:val="0"/>
          <w:sz w:val="19"/>
        </w:rPr>
      </w:pPr>
    </w:p>
    <w:p>
      <w:pPr>
        <w:pStyle w:val="BodyText"/>
        <w:ind w:left="560"/>
        <w:jc w:val="both"/>
      </w:pPr>
      <w:r>
        <w:rPr/>
        <w:t>Three ‘strawman’ options were presented for recycling.  These were:</w:t>
      </w:r>
    </w:p>
    <w:p>
      <w:pPr>
        <w:pStyle w:val="ListParagraph"/>
        <w:numPr>
          <w:ilvl w:val="0"/>
          <w:numId w:val="13"/>
        </w:numPr>
        <w:tabs>
          <w:tab w:pos="1280" w:val="left" w:leader="none"/>
          <w:tab w:pos="1281" w:val="left" w:leader="none"/>
        </w:tabs>
        <w:spacing w:line="240" w:lineRule="auto" w:before="178" w:after="0"/>
        <w:ind w:left="1280" w:right="0" w:hanging="360"/>
        <w:jc w:val="left"/>
        <w:rPr>
          <w:sz w:val="20"/>
        </w:rPr>
      </w:pPr>
      <w:r>
        <w:rPr>
          <w:sz w:val="20"/>
        </w:rPr>
        <w:t>A</w:t>
      </w:r>
      <w:r>
        <w:rPr>
          <w:spacing w:val="-3"/>
          <w:sz w:val="20"/>
        </w:rPr>
        <w:t> </w:t>
      </w:r>
      <w:r>
        <w:rPr>
          <w:sz w:val="20"/>
        </w:rPr>
        <w:t>three</w:t>
      </w:r>
      <w:r>
        <w:rPr>
          <w:spacing w:val="-3"/>
          <w:sz w:val="20"/>
        </w:rPr>
        <w:t> </w:t>
      </w:r>
      <w:r>
        <w:rPr>
          <w:sz w:val="20"/>
        </w:rPr>
        <w:t>crate</w:t>
      </w:r>
      <w:r>
        <w:rPr>
          <w:spacing w:val="-3"/>
          <w:sz w:val="20"/>
        </w:rPr>
        <w:t> </w:t>
      </w:r>
      <w:r>
        <w:rPr>
          <w:sz w:val="20"/>
        </w:rPr>
        <w:t>option,</w:t>
      </w:r>
      <w:r>
        <w:rPr>
          <w:spacing w:val="-2"/>
          <w:sz w:val="20"/>
        </w:rPr>
        <w:t> </w:t>
      </w:r>
      <w:r>
        <w:rPr>
          <w:sz w:val="20"/>
        </w:rPr>
        <w:t>with</w:t>
      </w:r>
      <w:r>
        <w:rPr>
          <w:spacing w:val="-2"/>
          <w:sz w:val="20"/>
        </w:rPr>
        <w:t> </w:t>
      </w:r>
      <w:r>
        <w:rPr>
          <w:sz w:val="20"/>
        </w:rPr>
        <w:t>glass</w:t>
      </w:r>
      <w:r>
        <w:rPr>
          <w:spacing w:val="-2"/>
          <w:sz w:val="20"/>
        </w:rPr>
        <w:t> </w:t>
      </w:r>
      <w:r>
        <w:rPr>
          <w:sz w:val="20"/>
        </w:rPr>
        <w:t>collected</w:t>
      </w:r>
      <w:r>
        <w:rPr>
          <w:spacing w:val="-2"/>
          <w:sz w:val="20"/>
        </w:rPr>
        <w:t> </w:t>
      </w:r>
      <w:r>
        <w:rPr>
          <w:sz w:val="20"/>
        </w:rPr>
        <w:t>in</w:t>
      </w:r>
      <w:r>
        <w:rPr>
          <w:spacing w:val="-2"/>
          <w:sz w:val="20"/>
        </w:rPr>
        <w:t> </w:t>
      </w:r>
      <w:r>
        <w:rPr>
          <w:sz w:val="20"/>
        </w:rPr>
        <w:t>one</w:t>
      </w:r>
      <w:r>
        <w:rPr>
          <w:spacing w:val="-3"/>
          <w:sz w:val="20"/>
        </w:rPr>
        <w:t> </w:t>
      </w:r>
      <w:r>
        <w:rPr>
          <w:sz w:val="20"/>
        </w:rPr>
        <w:t>bin,</w:t>
      </w:r>
      <w:r>
        <w:rPr>
          <w:spacing w:val="-2"/>
          <w:sz w:val="20"/>
        </w:rPr>
        <w:t> </w:t>
      </w:r>
      <w:r>
        <w:rPr>
          <w:sz w:val="20"/>
        </w:rPr>
        <w:t>fibre</w:t>
      </w:r>
      <w:r>
        <w:rPr>
          <w:spacing w:val="-3"/>
          <w:sz w:val="20"/>
        </w:rPr>
        <w:t> </w:t>
      </w:r>
      <w:r>
        <w:rPr>
          <w:sz w:val="20"/>
        </w:rPr>
        <w:t>in</w:t>
      </w:r>
      <w:r>
        <w:rPr>
          <w:spacing w:val="-2"/>
          <w:sz w:val="20"/>
        </w:rPr>
        <w:t> </w:t>
      </w:r>
      <w:r>
        <w:rPr>
          <w:sz w:val="20"/>
        </w:rPr>
        <w:t>another,</w:t>
      </w:r>
      <w:r>
        <w:rPr>
          <w:spacing w:val="-2"/>
          <w:sz w:val="20"/>
        </w:rPr>
        <w:t> </w:t>
      </w:r>
      <w:r>
        <w:rPr>
          <w:sz w:val="20"/>
        </w:rPr>
        <w:t>and</w:t>
      </w:r>
      <w:r>
        <w:rPr>
          <w:spacing w:val="-4"/>
          <w:sz w:val="20"/>
        </w:rPr>
        <w:t> </w:t>
      </w:r>
      <w:r>
        <w:rPr>
          <w:sz w:val="20"/>
        </w:rPr>
        <w:t>cans</w:t>
      </w:r>
      <w:r>
        <w:rPr>
          <w:spacing w:val="-2"/>
          <w:sz w:val="20"/>
        </w:rPr>
        <w:t> </w:t>
      </w:r>
      <w:r>
        <w:rPr>
          <w:sz w:val="20"/>
        </w:rPr>
        <w:t>and</w:t>
      </w:r>
      <w:r>
        <w:rPr>
          <w:spacing w:val="-2"/>
          <w:sz w:val="20"/>
        </w:rPr>
        <w:t> </w:t>
      </w:r>
      <w:r>
        <w:rPr>
          <w:sz w:val="20"/>
        </w:rPr>
        <w:t>plastic</w:t>
      </w:r>
      <w:r>
        <w:rPr>
          <w:spacing w:val="-3"/>
          <w:sz w:val="20"/>
        </w:rPr>
        <w:t> </w:t>
      </w:r>
      <w:r>
        <w:rPr>
          <w:sz w:val="20"/>
        </w:rPr>
        <w:t>in</w:t>
      </w:r>
      <w:r>
        <w:rPr>
          <w:spacing w:val="-2"/>
          <w:sz w:val="20"/>
        </w:rPr>
        <w:t> </w:t>
      </w:r>
      <w:r>
        <w:rPr>
          <w:sz w:val="20"/>
        </w:rPr>
        <w:t>the</w:t>
      </w:r>
      <w:r>
        <w:rPr>
          <w:spacing w:val="-3"/>
          <w:sz w:val="20"/>
        </w:rPr>
        <w:t> </w:t>
      </w:r>
      <w:r>
        <w:rPr>
          <w:sz w:val="20"/>
        </w:rPr>
        <w:t>third</w:t>
      </w:r>
    </w:p>
    <w:p>
      <w:pPr>
        <w:pStyle w:val="ListParagraph"/>
        <w:numPr>
          <w:ilvl w:val="0"/>
          <w:numId w:val="13"/>
        </w:numPr>
        <w:tabs>
          <w:tab w:pos="1280" w:val="left" w:leader="none"/>
          <w:tab w:pos="1281" w:val="left" w:leader="none"/>
        </w:tabs>
        <w:spacing w:line="256" w:lineRule="auto" w:before="15" w:after="0"/>
        <w:ind w:left="1280" w:right="301" w:hanging="360"/>
        <w:jc w:val="left"/>
        <w:rPr>
          <w:sz w:val="20"/>
        </w:rPr>
      </w:pPr>
      <w:r>
        <w:rPr>
          <w:sz w:val="20"/>
        </w:rPr>
        <w:t>A commingled wheelie bin for cans and plastic, with glass collected separately in a crate, and fibre in a second</w:t>
      </w:r>
      <w:r>
        <w:rPr>
          <w:spacing w:val="-3"/>
          <w:sz w:val="20"/>
        </w:rPr>
        <w:t> </w:t>
      </w:r>
      <w:r>
        <w:rPr>
          <w:sz w:val="20"/>
        </w:rPr>
        <w:t>crate</w:t>
      </w:r>
    </w:p>
    <w:p>
      <w:pPr>
        <w:pStyle w:val="ListParagraph"/>
        <w:numPr>
          <w:ilvl w:val="0"/>
          <w:numId w:val="13"/>
        </w:numPr>
        <w:tabs>
          <w:tab w:pos="1280" w:val="left" w:leader="none"/>
          <w:tab w:pos="1281" w:val="left" w:leader="none"/>
        </w:tabs>
        <w:spacing w:line="256" w:lineRule="auto" w:before="0" w:after="0"/>
        <w:ind w:left="1280" w:right="293" w:hanging="360"/>
        <w:jc w:val="left"/>
        <w:rPr>
          <w:sz w:val="20"/>
        </w:rPr>
      </w:pPr>
      <w:r>
        <w:rPr>
          <w:sz w:val="20"/>
        </w:rPr>
        <w:t>A</w:t>
      </w:r>
      <w:r>
        <w:rPr>
          <w:spacing w:val="-6"/>
          <w:sz w:val="20"/>
        </w:rPr>
        <w:t> </w:t>
      </w:r>
      <w:r>
        <w:rPr>
          <w:sz w:val="20"/>
        </w:rPr>
        <w:t>three</w:t>
      </w:r>
      <w:r>
        <w:rPr>
          <w:spacing w:val="-6"/>
          <w:sz w:val="20"/>
        </w:rPr>
        <w:t> </w:t>
      </w:r>
      <w:r>
        <w:rPr>
          <w:sz w:val="20"/>
        </w:rPr>
        <w:t>bin</w:t>
      </w:r>
      <w:r>
        <w:rPr>
          <w:spacing w:val="-5"/>
          <w:sz w:val="20"/>
        </w:rPr>
        <w:t> </w:t>
      </w:r>
      <w:r>
        <w:rPr>
          <w:sz w:val="20"/>
        </w:rPr>
        <w:t>stakable</w:t>
      </w:r>
      <w:r>
        <w:rPr>
          <w:spacing w:val="-6"/>
          <w:sz w:val="20"/>
        </w:rPr>
        <w:t> </w:t>
      </w:r>
      <w:r>
        <w:rPr>
          <w:sz w:val="20"/>
        </w:rPr>
        <w:t>crate</w:t>
      </w:r>
      <w:r>
        <w:rPr>
          <w:spacing w:val="-6"/>
          <w:sz w:val="20"/>
        </w:rPr>
        <w:t> </w:t>
      </w:r>
      <w:r>
        <w:rPr>
          <w:sz w:val="20"/>
        </w:rPr>
        <w:t>option</w:t>
      </w:r>
      <w:r>
        <w:rPr>
          <w:spacing w:val="-5"/>
          <w:sz w:val="20"/>
        </w:rPr>
        <w:t> </w:t>
      </w:r>
      <w:r>
        <w:rPr>
          <w:sz w:val="20"/>
        </w:rPr>
        <w:t>(Trollibocs),</w:t>
      </w:r>
      <w:r>
        <w:rPr>
          <w:spacing w:val="-5"/>
          <w:sz w:val="20"/>
        </w:rPr>
        <w:t> </w:t>
      </w:r>
      <w:r>
        <w:rPr>
          <w:sz w:val="20"/>
        </w:rPr>
        <w:t>with</w:t>
      </w:r>
      <w:r>
        <w:rPr>
          <w:spacing w:val="-5"/>
          <w:sz w:val="20"/>
        </w:rPr>
        <w:t> </w:t>
      </w:r>
      <w:r>
        <w:rPr>
          <w:sz w:val="20"/>
        </w:rPr>
        <w:t>a</w:t>
      </w:r>
      <w:r>
        <w:rPr>
          <w:spacing w:val="-5"/>
          <w:sz w:val="20"/>
        </w:rPr>
        <w:t> </w:t>
      </w:r>
      <w:r>
        <w:rPr>
          <w:sz w:val="20"/>
        </w:rPr>
        <w:t>lid</w:t>
      </w:r>
      <w:r>
        <w:rPr>
          <w:spacing w:val="-5"/>
          <w:sz w:val="20"/>
        </w:rPr>
        <w:t> </w:t>
      </w:r>
      <w:r>
        <w:rPr>
          <w:sz w:val="20"/>
        </w:rPr>
        <w:t>and</w:t>
      </w:r>
      <w:r>
        <w:rPr>
          <w:spacing w:val="-7"/>
          <w:sz w:val="20"/>
        </w:rPr>
        <w:t> </w:t>
      </w:r>
      <w:r>
        <w:rPr>
          <w:sz w:val="20"/>
        </w:rPr>
        <w:t>wheels,</w:t>
      </w:r>
      <w:r>
        <w:rPr>
          <w:spacing w:val="-5"/>
          <w:sz w:val="20"/>
        </w:rPr>
        <w:t> </w:t>
      </w:r>
      <w:r>
        <w:rPr>
          <w:sz w:val="20"/>
        </w:rPr>
        <w:t>as</w:t>
      </w:r>
      <w:r>
        <w:rPr>
          <w:spacing w:val="-4"/>
          <w:sz w:val="20"/>
        </w:rPr>
        <w:t> </w:t>
      </w:r>
      <w:r>
        <w:rPr>
          <w:sz w:val="20"/>
        </w:rPr>
        <w:t>used</w:t>
      </w:r>
      <w:r>
        <w:rPr>
          <w:spacing w:val="-5"/>
          <w:sz w:val="20"/>
        </w:rPr>
        <w:t> </w:t>
      </w:r>
      <w:r>
        <w:rPr>
          <w:sz w:val="20"/>
        </w:rPr>
        <w:t>in</w:t>
      </w:r>
      <w:r>
        <w:rPr>
          <w:spacing w:val="-7"/>
          <w:sz w:val="20"/>
        </w:rPr>
        <w:t> </w:t>
      </w:r>
      <w:r>
        <w:rPr>
          <w:sz w:val="20"/>
        </w:rPr>
        <w:t>some local</w:t>
      </w:r>
      <w:r>
        <w:rPr>
          <w:spacing w:val="-7"/>
          <w:sz w:val="20"/>
        </w:rPr>
        <w:t> </w:t>
      </w:r>
      <w:r>
        <w:rPr>
          <w:sz w:val="20"/>
        </w:rPr>
        <w:t>authorities</w:t>
      </w:r>
      <w:r>
        <w:rPr>
          <w:spacing w:val="-3"/>
          <w:sz w:val="20"/>
        </w:rPr>
        <w:t> </w:t>
      </w:r>
      <w:r>
        <w:rPr>
          <w:sz w:val="20"/>
        </w:rPr>
        <w:t>in Wales.  The collection truck used by these local authorities collects food waste at the same</w:t>
      </w:r>
      <w:r>
        <w:rPr>
          <w:spacing w:val="-31"/>
          <w:sz w:val="20"/>
        </w:rPr>
        <w:t> </w:t>
      </w:r>
      <w:r>
        <w:rPr>
          <w:sz w:val="20"/>
        </w:rPr>
        <w:t>time.</w:t>
      </w:r>
    </w:p>
    <w:p>
      <w:pPr>
        <w:pStyle w:val="BodyText"/>
        <w:spacing w:before="11" w:after="1"/>
        <w:rPr>
          <w:sz w:val="12"/>
        </w:rPr>
      </w:pPr>
    </w:p>
    <w:tbl>
      <w:tblPr>
        <w:tblW w:w="0" w:type="auto"/>
        <w:jc w:val="left"/>
        <w:tblInd w:w="8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4"/>
        <w:gridCol w:w="3106"/>
        <w:gridCol w:w="2848"/>
      </w:tblGrid>
      <w:tr>
        <w:trPr>
          <w:trHeight w:val="2894" w:hRule="exact"/>
        </w:trPr>
        <w:tc>
          <w:tcPr>
            <w:tcW w:w="3004" w:type="dxa"/>
          </w:tcPr>
          <w:p>
            <w:pPr>
              <w:pStyle w:val="TableParagraph"/>
              <w:ind w:left="200" w:right="-5"/>
              <w:rPr>
                <w:sz w:val="20"/>
              </w:rPr>
            </w:pPr>
            <w:r>
              <w:rPr>
                <w:sz w:val="20"/>
              </w:rPr>
              <w:drawing>
                <wp:inline distT="0" distB="0" distL="0" distR="0">
                  <wp:extent cx="1757821" cy="1814702"/>
                  <wp:effectExtent l="0" t="0" r="0" b="0"/>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9" cstate="print"/>
                          <a:stretch>
                            <a:fillRect/>
                          </a:stretch>
                        </pic:blipFill>
                        <pic:spPr>
                          <a:xfrm>
                            <a:off x="0" y="0"/>
                            <a:ext cx="1757821" cy="1814702"/>
                          </a:xfrm>
                          <a:prstGeom prst="rect">
                            <a:avLst/>
                          </a:prstGeom>
                        </pic:spPr>
                      </pic:pic>
                    </a:graphicData>
                  </a:graphic>
                </wp:inline>
              </w:drawing>
            </w:r>
            <w:r>
              <w:rPr>
                <w:sz w:val="20"/>
              </w:rPr>
            </w:r>
          </w:p>
        </w:tc>
        <w:tc>
          <w:tcPr>
            <w:tcW w:w="3106" w:type="dxa"/>
          </w:tcPr>
          <w:p>
            <w:pPr>
              <w:pStyle w:val="TableParagraph"/>
              <w:rPr>
                <w:sz w:val="20"/>
              </w:rPr>
            </w:pPr>
          </w:p>
          <w:p>
            <w:pPr>
              <w:pStyle w:val="TableParagraph"/>
              <w:spacing w:before="10"/>
              <w:rPr>
                <w:sz w:val="14"/>
              </w:rPr>
            </w:pPr>
          </w:p>
          <w:p>
            <w:pPr>
              <w:pStyle w:val="TableParagraph"/>
              <w:ind w:left="53" w:right="-8"/>
              <w:rPr>
                <w:sz w:val="20"/>
              </w:rPr>
            </w:pPr>
            <w:r>
              <w:rPr>
                <w:sz w:val="20"/>
              </w:rPr>
              <w:drawing>
                <wp:inline distT="0" distB="0" distL="0" distR="0">
                  <wp:extent cx="1917592" cy="1282446"/>
                  <wp:effectExtent l="0" t="0" r="0" b="0"/>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20" cstate="print"/>
                          <a:stretch>
                            <a:fillRect/>
                          </a:stretch>
                        </pic:blipFill>
                        <pic:spPr>
                          <a:xfrm>
                            <a:off x="0" y="0"/>
                            <a:ext cx="1917592" cy="1282446"/>
                          </a:xfrm>
                          <a:prstGeom prst="rect">
                            <a:avLst/>
                          </a:prstGeom>
                        </pic:spPr>
                      </pic:pic>
                    </a:graphicData>
                  </a:graphic>
                </wp:inline>
              </w:drawing>
            </w:r>
            <w:r>
              <w:rPr>
                <w:sz w:val="20"/>
              </w:rPr>
            </w:r>
          </w:p>
          <w:p>
            <w:pPr>
              <w:pStyle w:val="TableParagraph"/>
              <w:rPr>
                <w:sz w:val="20"/>
              </w:rPr>
            </w:pPr>
          </w:p>
          <w:p>
            <w:pPr>
              <w:pStyle w:val="TableParagraph"/>
              <w:spacing w:before="8"/>
              <w:rPr>
                <w:sz w:val="16"/>
              </w:rPr>
            </w:pPr>
          </w:p>
        </w:tc>
        <w:tc>
          <w:tcPr>
            <w:tcW w:w="2848" w:type="dxa"/>
          </w:tcPr>
          <w:p>
            <w:pPr>
              <w:pStyle w:val="TableParagraph"/>
              <w:ind w:left="54"/>
              <w:rPr>
                <w:sz w:val="20"/>
              </w:rPr>
            </w:pPr>
            <w:r>
              <w:rPr>
                <w:sz w:val="20"/>
              </w:rPr>
              <w:drawing>
                <wp:inline distT="0" distB="0" distL="0" distR="0">
                  <wp:extent cx="1663208" cy="1835657"/>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21" cstate="print"/>
                          <a:stretch>
                            <a:fillRect/>
                          </a:stretch>
                        </pic:blipFill>
                        <pic:spPr>
                          <a:xfrm>
                            <a:off x="0" y="0"/>
                            <a:ext cx="1663208" cy="1835657"/>
                          </a:xfrm>
                          <a:prstGeom prst="rect">
                            <a:avLst/>
                          </a:prstGeom>
                        </pic:spPr>
                      </pic:pic>
                    </a:graphicData>
                  </a:graphic>
                </wp:inline>
              </w:drawing>
            </w:r>
            <w:r>
              <w:rPr>
                <w:sz w:val="20"/>
              </w:rPr>
            </w:r>
          </w:p>
        </w:tc>
      </w:tr>
      <w:tr>
        <w:trPr>
          <w:trHeight w:val="230" w:hRule="exact"/>
        </w:trPr>
        <w:tc>
          <w:tcPr>
            <w:tcW w:w="3004" w:type="dxa"/>
          </w:tcPr>
          <w:p>
            <w:pPr>
              <w:pStyle w:val="TableParagraph"/>
              <w:spacing w:line="233" w:lineRule="exact"/>
              <w:ind w:left="1006"/>
              <w:rPr>
                <w:b/>
                <w:sz w:val="20"/>
              </w:rPr>
            </w:pPr>
            <w:r>
              <w:rPr>
                <w:b/>
                <w:sz w:val="20"/>
              </w:rPr>
              <w:t>Three crates</w:t>
            </w:r>
          </w:p>
        </w:tc>
        <w:tc>
          <w:tcPr>
            <w:tcW w:w="3106" w:type="dxa"/>
          </w:tcPr>
          <w:p>
            <w:pPr>
              <w:pStyle w:val="TableParagraph"/>
              <w:spacing w:line="233" w:lineRule="exact"/>
              <w:ind w:left="547"/>
              <w:rPr>
                <w:b/>
                <w:sz w:val="20"/>
              </w:rPr>
            </w:pPr>
            <w:r>
              <w:rPr>
                <w:b/>
                <w:sz w:val="20"/>
              </w:rPr>
              <w:t>Wheelie bin and crates</w:t>
            </w:r>
          </w:p>
        </w:tc>
        <w:tc>
          <w:tcPr>
            <w:tcW w:w="2848" w:type="dxa"/>
          </w:tcPr>
          <w:p>
            <w:pPr>
              <w:pStyle w:val="TableParagraph"/>
              <w:spacing w:line="233" w:lineRule="exact"/>
              <w:ind w:left="895"/>
              <w:rPr>
                <w:b/>
                <w:sz w:val="20"/>
              </w:rPr>
            </w:pPr>
            <w:r>
              <w:rPr>
                <w:b/>
                <w:sz w:val="20"/>
              </w:rPr>
              <w:t>Trollibocs</w:t>
            </w:r>
          </w:p>
        </w:tc>
      </w:tr>
    </w:tbl>
    <w:p>
      <w:pPr>
        <w:pStyle w:val="BodyText"/>
        <w:rPr>
          <w:sz w:val="23"/>
        </w:rPr>
      </w:pPr>
    </w:p>
    <w:p>
      <w:pPr>
        <w:pStyle w:val="BodyText"/>
        <w:spacing w:line="254" w:lineRule="auto"/>
        <w:ind w:left="560" w:right="305"/>
        <w:jc w:val="both"/>
      </w:pPr>
      <w:r>
        <w:rPr/>
        <w:t>In</w:t>
      </w:r>
      <w:r>
        <w:rPr>
          <w:spacing w:val="-2"/>
        </w:rPr>
        <w:t> </w:t>
      </w:r>
      <w:r>
        <w:rPr/>
        <w:t>some</w:t>
      </w:r>
      <w:r>
        <w:rPr>
          <w:spacing w:val="-3"/>
        </w:rPr>
        <w:t> </w:t>
      </w:r>
      <w:r>
        <w:rPr/>
        <w:t>of</w:t>
      </w:r>
      <w:r>
        <w:rPr>
          <w:spacing w:val="-4"/>
        </w:rPr>
        <w:t> </w:t>
      </w:r>
      <w:r>
        <w:rPr/>
        <w:t>the</w:t>
      </w:r>
      <w:r>
        <w:rPr>
          <w:spacing w:val="-3"/>
        </w:rPr>
        <w:t> </w:t>
      </w:r>
      <w:r>
        <w:rPr/>
        <w:t>later</w:t>
      </w:r>
      <w:r>
        <w:rPr>
          <w:spacing w:val="-3"/>
        </w:rPr>
        <w:t> </w:t>
      </w:r>
      <w:r>
        <w:rPr/>
        <w:t>hui</w:t>
      </w:r>
      <w:r>
        <w:rPr>
          <w:spacing w:val="-3"/>
        </w:rPr>
        <w:t> </w:t>
      </w:r>
      <w:r>
        <w:rPr/>
        <w:t>another</w:t>
      </w:r>
      <w:r>
        <w:rPr>
          <w:spacing w:val="-2"/>
        </w:rPr>
        <w:t> </w:t>
      </w:r>
      <w:r>
        <w:rPr/>
        <w:t>collection</w:t>
      </w:r>
      <w:r>
        <w:rPr>
          <w:spacing w:val="-2"/>
        </w:rPr>
        <w:t> </w:t>
      </w:r>
      <w:r>
        <w:rPr/>
        <w:t>option</w:t>
      </w:r>
      <w:r>
        <w:rPr>
          <w:spacing w:val="-2"/>
        </w:rPr>
        <w:t> </w:t>
      </w:r>
      <w:r>
        <w:rPr/>
        <w:t>was</w:t>
      </w:r>
      <w:r>
        <w:rPr>
          <w:spacing w:val="-1"/>
        </w:rPr>
        <w:t> </w:t>
      </w:r>
      <w:r>
        <w:rPr/>
        <w:t>presented,</w:t>
      </w:r>
      <w:r>
        <w:rPr>
          <w:spacing w:val="-2"/>
        </w:rPr>
        <w:t> </w:t>
      </w:r>
      <w:r>
        <w:rPr/>
        <w:t>in</w:t>
      </w:r>
      <w:r>
        <w:rPr>
          <w:spacing w:val="-2"/>
        </w:rPr>
        <w:t> </w:t>
      </w:r>
      <w:r>
        <w:rPr/>
        <w:t>the</w:t>
      </w:r>
      <w:r>
        <w:rPr>
          <w:spacing w:val="-3"/>
        </w:rPr>
        <w:t> </w:t>
      </w:r>
      <w:r>
        <w:rPr/>
        <w:t>form</w:t>
      </w:r>
      <w:r>
        <w:rPr>
          <w:spacing w:val="-2"/>
        </w:rPr>
        <w:t> </w:t>
      </w:r>
      <w:r>
        <w:rPr/>
        <w:t>of</w:t>
      </w:r>
      <w:r>
        <w:rPr>
          <w:spacing w:val="-4"/>
        </w:rPr>
        <w:t> </w:t>
      </w:r>
      <w:r>
        <w:rPr/>
        <w:t>a</w:t>
      </w:r>
      <w:r>
        <w:rPr>
          <w:spacing w:val="-2"/>
        </w:rPr>
        <w:t> </w:t>
      </w:r>
      <w:r>
        <w:rPr/>
        <w:t>woven</w:t>
      </w:r>
      <w:r>
        <w:rPr>
          <w:spacing w:val="-2"/>
        </w:rPr>
        <w:t> </w:t>
      </w:r>
      <w:r>
        <w:rPr/>
        <w:t>polyprop</w:t>
      </w:r>
      <w:r>
        <w:rPr>
          <w:spacing w:val="-2"/>
        </w:rPr>
        <w:t> </w:t>
      </w:r>
      <w:r>
        <w:rPr/>
        <w:t>bag,</w:t>
      </w:r>
      <w:r>
        <w:rPr>
          <w:spacing w:val="-4"/>
        </w:rPr>
        <w:t> </w:t>
      </w:r>
      <w:r>
        <w:rPr/>
        <w:t>used</w:t>
      </w:r>
      <w:r>
        <w:rPr>
          <w:spacing w:val="-2"/>
        </w:rPr>
        <w:t> </w:t>
      </w:r>
      <w:r>
        <w:rPr/>
        <w:t>by some local local authorities in the UK to collect fibre or plastic and metal</w:t>
      </w:r>
      <w:r>
        <w:rPr>
          <w:spacing w:val="-23"/>
        </w:rPr>
        <w:t> </w:t>
      </w:r>
      <w:r>
        <w:rPr/>
        <w:t>containers.</w:t>
      </w:r>
    </w:p>
    <w:p>
      <w:pPr>
        <w:pStyle w:val="BodyText"/>
        <w:spacing w:before="10"/>
        <w:rPr>
          <w:sz w:val="9"/>
        </w:rPr>
      </w:pPr>
      <w:r>
        <w:rPr/>
        <w:drawing>
          <wp:anchor distT="0" distB="0" distL="0" distR="0" allowOverlap="1" layoutInCell="1" locked="0" behindDoc="0" simplePos="0" relativeHeight="1336">
            <wp:simplePos x="0" y="0"/>
            <wp:positionH relativeFrom="page">
              <wp:posOffset>2574925</wp:posOffset>
            </wp:positionH>
            <wp:positionV relativeFrom="paragraph">
              <wp:posOffset>101366</wp:posOffset>
            </wp:positionV>
            <wp:extent cx="2427813" cy="1584198"/>
            <wp:effectExtent l="0" t="0" r="0" b="0"/>
            <wp:wrapTopAndBottom/>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22" cstate="print"/>
                    <a:stretch>
                      <a:fillRect/>
                    </a:stretch>
                  </pic:blipFill>
                  <pic:spPr>
                    <a:xfrm>
                      <a:off x="0" y="0"/>
                      <a:ext cx="2427813" cy="1584198"/>
                    </a:xfrm>
                    <a:prstGeom prst="rect">
                      <a:avLst/>
                    </a:prstGeom>
                  </pic:spPr>
                </pic:pic>
              </a:graphicData>
            </a:graphic>
          </wp:anchor>
        </w:drawing>
      </w:r>
    </w:p>
    <w:p>
      <w:pPr>
        <w:pStyle w:val="Heading5"/>
        <w:ind w:left="4506" w:right="4245"/>
        <w:jc w:val="center"/>
      </w:pPr>
      <w:r>
        <w:rPr/>
        <w:t>Polyprop bag</w:t>
      </w:r>
    </w:p>
    <w:p>
      <w:pPr>
        <w:spacing w:after="0"/>
        <w:jc w:val="center"/>
        <w:sectPr>
          <w:pgSz w:w="11910" w:h="16840"/>
          <w:pgMar w:header="576" w:footer="698" w:top="1140" w:bottom="880" w:left="880" w:right="1140"/>
        </w:sectPr>
      </w:pPr>
    </w:p>
    <w:p>
      <w:pPr>
        <w:pStyle w:val="BodyText"/>
        <w:rPr>
          <w:b/>
        </w:rPr>
      </w:pPr>
    </w:p>
    <w:p>
      <w:pPr>
        <w:pStyle w:val="BodyText"/>
        <w:spacing w:before="7"/>
        <w:rPr>
          <w:b/>
          <w:sz w:val="29"/>
        </w:rPr>
      </w:pPr>
    </w:p>
    <w:p>
      <w:pPr>
        <w:spacing w:before="60"/>
        <w:ind w:left="560" w:right="0" w:firstLine="0"/>
        <w:jc w:val="left"/>
        <w:rPr>
          <w:b/>
          <w:sz w:val="20"/>
        </w:rPr>
      </w:pPr>
      <w:r>
        <w:rPr>
          <w:b/>
          <w:sz w:val="20"/>
          <w:u w:val="single"/>
        </w:rPr>
        <w:t>Feedback</w:t>
      </w:r>
    </w:p>
    <w:p>
      <w:pPr>
        <w:pStyle w:val="BodyText"/>
        <w:spacing w:before="7"/>
        <w:rPr>
          <w:b/>
          <w:sz w:val="9"/>
        </w:rPr>
      </w:pPr>
    </w:p>
    <w:p>
      <w:pPr>
        <w:pStyle w:val="BodyText"/>
        <w:spacing w:line="256" w:lineRule="auto" w:before="59"/>
        <w:ind w:left="560" w:right="115"/>
        <w:jc w:val="both"/>
      </w:pPr>
      <w:r>
        <w:rPr/>
        <w:t>The feedback appeared to be influenced mostly by the current collection system used by each local authority and their contractors. Local authorities currently using a crate system had a preference for crate systems. Local authorities with comingled wheelie bins had a preference for wheelie bin systems. It should also be noted that at some hui the main consideration for local authorities when choosing a collection system was whichever system their contractor prefered.</w:t>
      </w:r>
    </w:p>
    <w:p>
      <w:pPr>
        <w:pStyle w:val="BodyText"/>
        <w:spacing w:line="256" w:lineRule="auto" w:before="158"/>
        <w:ind w:left="560" w:right="114"/>
        <w:jc w:val="both"/>
      </w:pPr>
      <w:r>
        <w:rPr/>
        <w:t>There was very little support for a comingled wheelie bin with fibre collected in a separate crate and much discussion about the need to keep fibre dry and avoid it being windblown. Apart from those local authorities currently using crates, it was generally believed that fibre should be collected in a closed bin.</w:t>
      </w:r>
    </w:p>
    <w:p>
      <w:pPr>
        <w:pStyle w:val="BodyText"/>
        <w:spacing w:before="158"/>
        <w:ind w:left="560"/>
        <w:jc w:val="both"/>
      </w:pPr>
      <w:r>
        <w:rPr/>
        <w:t>While there were questions around the use of the Trollibocs, there was not wide support for the idea.</w:t>
      </w:r>
    </w:p>
    <w:p>
      <w:pPr>
        <w:pStyle w:val="BodyText"/>
        <w:spacing w:line="256" w:lineRule="auto" w:before="175"/>
        <w:ind w:left="560" w:right="117"/>
        <w:jc w:val="both"/>
      </w:pPr>
      <w:r>
        <w:rPr/>
        <w:t>The woven polyprop bag led to questions, and concerns, about how difficult they would be to empty and whether they would slow down collection times.</w:t>
      </w:r>
    </w:p>
    <w:p>
      <w:pPr>
        <w:pStyle w:val="BodyText"/>
        <w:spacing w:line="256" w:lineRule="auto" w:before="158"/>
        <w:ind w:left="560" w:right="119"/>
        <w:jc w:val="both"/>
      </w:pPr>
      <w:r>
        <w:rPr/>
        <w:t>The following sections 5.4.2.1 and 5.4.2.2 outline the positive and negative aspects of source separated / kerbside sort systems and comingled systems raised by stakeholders during industry interviews, hui and on the Have Your Say forum. These comments are the opinions of individual stakeholders and are provided without commentary or analysis.</w:t>
      </w:r>
    </w:p>
    <w:p>
      <w:pPr>
        <w:pStyle w:val="Heading4"/>
        <w:numPr>
          <w:ilvl w:val="3"/>
          <w:numId w:val="14"/>
        </w:numPr>
        <w:tabs>
          <w:tab w:pos="2720" w:val="left" w:leader="none"/>
          <w:tab w:pos="2721" w:val="left" w:leader="none"/>
        </w:tabs>
        <w:spacing w:line="240" w:lineRule="auto" w:before="156" w:after="0"/>
        <w:ind w:left="2721" w:right="0" w:hanging="1081"/>
        <w:jc w:val="left"/>
        <w:rPr>
          <w:b w:val="0"/>
        </w:rPr>
      </w:pPr>
      <w:bookmarkStart w:name="5.4.2.1. Source separated/ kerbside sort" w:id="94"/>
      <w:bookmarkEnd w:id="94"/>
      <w:r>
        <w:rPr/>
      </w:r>
      <w:bookmarkStart w:name="_bookmark31" w:id="95"/>
      <w:bookmarkEnd w:id="95"/>
      <w:r>
        <w:rPr/>
      </w:r>
      <w:bookmarkStart w:name="_bookmark31" w:id="96"/>
      <w:bookmarkEnd w:id="96"/>
      <w:r>
        <w:rPr>
          <w:b w:val="0"/>
        </w:rPr>
        <w:t>S</w:t>
      </w:r>
      <w:r>
        <w:rPr>
          <w:b w:val="0"/>
        </w:rPr>
        <w:t>ource separated/ kerbside</w:t>
      </w:r>
      <w:r>
        <w:rPr>
          <w:b w:val="0"/>
          <w:spacing w:val="-6"/>
        </w:rPr>
        <w:t> </w:t>
      </w:r>
      <w:r>
        <w:rPr>
          <w:b w:val="0"/>
        </w:rPr>
        <w:t>sort</w:t>
      </w:r>
    </w:p>
    <w:p>
      <w:pPr>
        <w:pStyle w:val="BodyText"/>
        <w:spacing w:before="10"/>
        <w:rPr>
          <w:rFonts w:ascii="Calibri Light"/>
          <w:b w:val="0"/>
          <w:sz w:val="19"/>
        </w:rPr>
      </w:pPr>
    </w:p>
    <w:p>
      <w:pPr>
        <w:pStyle w:val="Heading5"/>
        <w:jc w:val="both"/>
      </w:pPr>
      <w:r>
        <w:rPr>
          <w:u w:val="single"/>
        </w:rPr>
        <w:t>Positives of a source separated / kerbside sort system</w:t>
      </w:r>
    </w:p>
    <w:p>
      <w:pPr>
        <w:pStyle w:val="ListParagraph"/>
        <w:numPr>
          <w:ilvl w:val="0"/>
          <w:numId w:val="12"/>
        </w:numPr>
        <w:tabs>
          <w:tab w:pos="1280" w:val="left" w:leader="none"/>
          <w:tab w:pos="1281" w:val="left" w:leader="none"/>
        </w:tabs>
        <w:spacing w:line="240" w:lineRule="auto" w:before="175" w:after="0"/>
        <w:ind w:left="1280" w:right="0" w:hanging="360"/>
        <w:jc w:val="left"/>
        <w:rPr>
          <w:sz w:val="20"/>
        </w:rPr>
      </w:pPr>
      <w:r>
        <w:rPr>
          <w:sz w:val="20"/>
        </w:rPr>
        <w:t>Produces clean easily sale-able</w:t>
      </w:r>
      <w:r>
        <w:rPr>
          <w:spacing w:val="-14"/>
          <w:sz w:val="20"/>
        </w:rPr>
        <w:t> </w:t>
      </w:r>
      <w:r>
        <w:rPr>
          <w:sz w:val="20"/>
        </w:rPr>
        <w:t>material</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Produces higher financial return for more remote / small local</w:t>
      </w:r>
      <w:r>
        <w:rPr>
          <w:spacing w:val="-23"/>
          <w:sz w:val="20"/>
        </w:rPr>
        <w:t> </w:t>
      </w:r>
      <w:r>
        <w:rPr>
          <w:sz w:val="20"/>
        </w:rPr>
        <w:t>authorities</w:t>
      </w:r>
    </w:p>
    <w:p>
      <w:pPr>
        <w:pStyle w:val="ListParagraph"/>
        <w:numPr>
          <w:ilvl w:val="0"/>
          <w:numId w:val="12"/>
        </w:numPr>
        <w:tabs>
          <w:tab w:pos="1280" w:val="left" w:leader="none"/>
          <w:tab w:pos="1281" w:val="left" w:leader="none"/>
        </w:tabs>
        <w:spacing w:line="256" w:lineRule="auto" w:before="16" w:after="0"/>
        <w:ind w:left="1280" w:right="388" w:hanging="360"/>
        <w:jc w:val="left"/>
        <w:rPr>
          <w:sz w:val="20"/>
        </w:rPr>
      </w:pPr>
      <w:r>
        <w:rPr>
          <w:sz w:val="20"/>
        </w:rPr>
        <w:t>Easy</w:t>
      </w:r>
      <w:r>
        <w:rPr>
          <w:spacing w:val="-2"/>
          <w:sz w:val="20"/>
        </w:rPr>
        <w:t> </w:t>
      </w:r>
      <w:r>
        <w:rPr>
          <w:sz w:val="20"/>
        </w:rPr>
        <w:t>to</w:t>
      </w:r>
      <w:r>
        <w:rPr>
          <w:spacing w:val="-5"/>
          <w:sz w:val="20"/>
        </w:rPr>
        <w:t> </w:t>
      </w:r>
      <w:r>
        <w:rPr>
          <w:sz w:val="20"/>
        </w:rPr>
        <w:t>educate</w:t>
      </w:r>
      <w:r>
        <w:rPr>
          <w:spacing w:val="-3"/>
          <w:sz w:val="20"/>
        </w:rPr>
        <w:t> </w:t>
      </w:r>
      <w:r>
        <w:rPr>
          <w:sz w:val="20"/>
        </w:rPr>
        <w:t>householder</w:t>
      </w:r>
      <w:r>
        <w:rPr>
          <w:spacing w:val="-4"/>
          <w:sz w:val="20"/>
        </w:rPr>
        <w:t> </w:t>
      </w:r>
      <w:r>
        <w:rPr>
          <w:sz w:val="20"/>
        </w:rPr>
        <w:t>about</w:t>
      </w:r>
      <w:r>
        <w:rPr>
          <w:spacing w:val="-2"/>
          <w:sz w:val="20"/>
        </w:rPr>
        <w:t> </w:t>
      </w:r>
      <w:r>
        <w:rPr>
          <w:sz w:val="20"/>
        </w:rPr>
        <w:t>what</w:t>
      </w:r>
      <w:r>
        <w:rPr>
          <w:spacing w:val="-2"/>
          <w:sz w:val="20"/>
        </w:rPr>
        <w:t> </w:t>
      </w:r>
      <w:r>
        <w:rPr>
          <w:sz w:val="20"/>
        </w:rPr>
        <w:t>is</w:t>
      </w:r>
      <w:r>
        <w:rPr>
          <w:spacing w:val="-1"/>
          <w:sz w:val="20"/>
        </w:rPr>
        <w:t> </w:t>
      </w:r>
      <w:r>
        <w:rPr>
          <w:sz w:val="20"/>
        </w:rPr>
        <w:t>recyclable</w:t>
      </w:r>
      <w:r>
        <w:rPr>
          <w:spacing w:val="-4"/>
          <w:sz w:val="20"/>
        </w:rPr>
        <w:t> </w:t>
      </w:r>
      <w:r>
        <w:rPr>
          <w:sz w:val="20"/>
        </w:rPr>
        <w:t>and</w:t>
      </w:r>
      <w:r>
        <w:rPr>
          <w:spacing w:val="-4"/>
          <w:sz w:val="20"/>
        </w:rPr>
        <w:t> </w:t>
      </w:r>
      <w:r>
        <w:rPr>
          <w:sz w:val="20"/>
        </w:rPr>
        <w:t>what</w:t>
      </w:r>
      <w:r>
        <w:rPr>
          <w:spacing w:val="-2"/>
          <w:sz w:val="20"/>
        </w:rPr>
        <w:t> </w:t>
      </w:r>
      <w:r>
        <w:rPr>
          <w:sz w:val="20"/>
        </w:rPr>
        <w:t>is</w:t>
      </w:r>
      <w:r>
        <w:rPr>
          <w:spacing w:val="-1"/>
          <w:sz w:val="20"/>
        </w:rPr>
        <w:t> </w:t>
      </w:r>
      <w:r>
        <w:rPr>
          <w:sz w:val="20"/>
        </w:rPr>
        <w:t>not</w:t>
      </w:r>
      <w:r>
        <w:rPr>
          <w:spacing w:val="-2"/>
          <w:sz w:val="20"/>
        </w:rPr>
        <w:t> </w:t>
      </w:r>
      <w:r>
        <w:rPr>
          <w:sz w:val="20"/>
        </w:rPr>
        <w:t>(by</w:t>
      </w:r>
      <w:r>
        <w:rPr>
          <w:spacing w:val="-2"/>
          <w:sz w:val="20"/>
        </w:rPr>
        <w:t> </w:t>
      </w:r>
      <w:r>
        <w:rPr>
          <w:sz w:val="20"/>
        </w:rPr>
        <w:t>leaving</w:t>
      </w:r>
      <w:r>
        <w:rPr>
          <w:spacing w:val="-3"/>
          <w:sz w:val="20"/>
        </w:rPr>
        <w:t> </w:t>
      </w:r>
      <w:r>
        <w:rPr>
          <w:sz w:val="20"/>
        </w:rPr>
        <w:t>items</w:t>
      </w:r>
      <w:r>
        <w:rPr>
          <w:spacing w:val="-3"/>
          <w:sz w:val="20"/>
        </w:rPr>
        <w:t> </w:t>
      </w:r>
      <w:r>
        <w:rPr>
          <w:sz w:val="20"/>
        </w:rPr>
        <w:t>behind</w:t>
      </w:r>
      <w:r>
        <w:rPr>
          <w:spacing w:val="-2"/>
          <w:sz w:val="20"/>
        </w:rPr>
        <w:t> </w:t>
      </w:r>
      <w:r>
        <w:rPr>
          <w:sz w:val="20"/>
        </w:rPr>
        <w:t>and stickering</w:t>
      </w:r>
      <w:r>
        <w:rPr>
          <w:spacing w:val="-8"/>
          <w:sz w:val="20"/>
        </w:rPr>
        <w:t> </w:t>
      </w:r>
      <w:r>
        <w:rPr>
          <w:sz w:val="20"/>
        </w:rPr>
        <w:t>them)</w:t>
      </w:r>
    </w:p>
    <w:p>
      <w:pPr>
        <w:pStyle w:val="ListParagraph"/>
        <w:numPr>
          <w:ilvl w:val="0"/>
          <w:numId w:val="12"/>
        </w:numPr>
        <w:tabs>
          <w:tab w:pos="1280" w:val="left" w:leader="none"/>
          <w:tab w:pos="1281" w:val="left" w:leader="none"/>
        </w:tabs>
        <w:spacing w:line="256" w:lineRule="auto" w:before="0" w:after="0"/>
        <w:ind w:left="1280" w:right="540" w:hanging="360"/>
        <w:jc w:val="left"/>
        <w:rPr>
          <w:sz w:val="20"/>
        </w:rPr>
      </w:pPr>
      <w:r>
        <w:rPr>
          <w:sz w:val="20"/>
        </w:rPr>
        <w:t>Able to respond quickly to changes in market and what is acceptable by leaving items behind and stickering</w:t>
      </w:r>
      <w:r>
        <w:rPr>
          <w:spacing w:val="-7"/>
          <w:sz w:val="20"/>
        </w:rPr>
        <w:t> </w:t>
      </w:r>
      <w:r>
        <w:rPr>
          <w:sz w:val="20"/>
        </w:rPr>
        <w:t>items</w:t>
      </w:r>
    </w:p>
    <w:p>
      <w:pPr>
        <w:pStyle w:val="ListParagraph"/>
        <w:numPr>
          <w:ilvl w:val="0"/>
          <w:numId w:val="12"/>
        </w:numPr>
        <w:tabs>
          <w:tab w:pos="1280" w:val="left" w:leader="none"/>
          <w:tab w:pos="1281" w:val="left" w:leader="none"/>
        </w:tabs>
        <w:spacing w:line="256" w:lineRule="auto" w:before="2" w:after="0"/>
        <w:ind w:left="1280" w:right="238" w:hanging="360"/>
        <w:jc w:val="left"/>
        <w:rPr>
          <w:sz w:val="20"/>
        </w:rPr>
      </w:pPr>
      <w:r>
        <w:rPr>
          <w:sz w:val="20"/>
        </w:rPr>
        <w:t>Good</w:t>
      </w:r>
      <w:r>
        <w:rPr>
          <w:spacing w:val="-2"/>
          <w:sz w:val="20"/>
        </w:rPr>
        <w:t> </w:t>
      </w:r>
      <w:r>
        <w:rPr>
          <w:sz w:val="20"/>
        </w:rPr>
        <w:t>for</w:t>
      </w:r>
      <w:r>
        <w:rPr>
          <w:spacing w:val="-2"/>
          <w:sz w:val="20"/>
        </w:rPr>
        <w:t> </w:t>
      </w:r>
      <w:r>
        <w:rPr>
          <w:sz w:val="20"/>
        </w:rPr>
        <w:t>rural</w:t>
      </w:r>
      <w:r>
        <w:rPr>
          <w:spacing w:val="-3"/>
          <w:sz w:val="20"/>
        </w:rPr>
        <w:t> </w:t>
      </w:r>
      <w:r>
        <w:rPr>
          <w:sz w:val="20"/>
        </w:rPr>
        <w:t>areas</w:t>
      </w:r>
      <w:r>
        <w:rPr>
          <w:spacing w:val="-1"/>
          <w:sz w:val="20"/>
        </w:rPr>
        <w:t> </w:t>
      </w:r>
      <w:r>
        <w:rPr>
          <w:sz w:val="20"/>
        </w:rPr>
        <w:t>where</w:t>
      </w:r>
      <w:r>
        <w:rPr>
          <w:spacing w:val="-3"/>
          <w:sz w:val="20"/>
        </w:rPr>
        <w:t> </w:t>
      </w:r>
      <w:r>
        <w:rPr>
          <w:sz w:val="20"/>
        </w:rPr>
        <w:t>people</w:t>
      </w:r>
      <w:r>
        <w:rPr>
          <w:spacing w:val="-4"/>
          <w:sz w:val="20"/>
        </w:rPr>
        <w:t> </w:t>
      </w:r>
      <w:r>
        <w:rPr>
          <w:sz w:val="20"/>
        </w:rPr>
        <w:t>have</w:t>
      </w:r>
      <w:r>
        <w:rPr>
          <w:spacing w:val="-3"/>
          <w:sz w:val="20"/>
        </w:rPr>
        <w:t> </w:t>
      </w:r>
      <w:r>
        <w:rPr>
          <w:sz w:val="20"/>
        </w:rPr>
        <w:t>long</w:t>
      </w:r>
      <w:r>
        <w:rPr>
          <w:spacing w:val="-3"/>
          <w:sz w:val="20"/>
        </w:rPr>
        <w:t> </w:t>
      </w:r>
      <w:r>
        <w:rPr>
          <w:sz w:val="20"/>
        </w:rPr>
        <w:t>driveways</w:t>
      </w:r>
      <w:r>
        <w:rPr>
          <w:spacing w:val="-2"/>
          <w:sz w:val="20"/>
        </w:rPr>
        <w:t> </w:t>
      </w:r>
      <w:r>
        <w:rPr>
          <w:sz w:val="20"/>
        </w:rPr>
        <w:t>and</w:t>
      </w:r>
      <w:r>
        <w:rPr>
          <w:spacing w:val="-4"/>
          <w:sz w:val="20"/>
        </w:rPr>
        <w:t> </w:t>
      </w:r>
      <w:r>
        <w:rPr>
          <w:sz w:val="20"/>
        </w:rPr>
        <w:t>tend</w:t>
      </w:r>
      <w:r>
        <w:rPr>
          <w:spacing w:val="-2"/>
          <w:sz w:val="20"/>
        </w:rPr>
        <w:t> </w:t>
      </w:r>
      <w:r>
        <w:rPr>
          <w:sz w:val="20"/>
        </w:rPr>
        <w:t>to</w:t>
      </w:r>
      <w:r>
        <w:rPr>
          <w:spacing w:val="-2"/>
          <w:sz w:val="20"/>
        </w:rPr>
        <w:t> </w:t>
      </w:r>
      <w:r>
        <w:rPr>
          <w:sz w:val="20"/>
        </w:rPr>
        <w:t>pop</w:t>
      </w:r>
      <w:r>
        <w:rPr>
          <w:spacing w:val="-2"/>
          <w:sz w:val="20"/>
        </w:rPr>
        <w:t> </w:t>
      </w:r>
      <w:r>
        <w:rPr>
          <w:sz w:val="20"/>
        </w:rPr>
        <w:t>them</w:t>
      </w:r>
      <w:r>
        <w:rPr>
          <w:spacing w:val="-3"/>
          <w:sz w:val="20"/>
        </w:rPr>
        <w:t> </w:t>
      </w:r>
      <w:r>
        <w:rPr>
          <w:sz w:val="20"/>
        </w:rPr>
        <w:t>in</w:t>
      </w:r>
      <w:r>
        <w:rPr>
          <w:spacing w:val="-2"/>
          <w:sz w:val="20"/>
        </w:rPr>
        <w:t> </w:t>
      </w:r>
      <w:r>
        <w:rPr>
          <w:sz w:val="20"/>
        </w:rPr>
        <w:t>the</w:t>
      </w:r>
      <w:r>
        <w:rPr>
          <w:spacing w:val="-3"/>
          <w:sz w:val="20"/>
        </w:rPr>
        <w:t> </w:t>
      </w:r>
      <w:r>
        <w:rPr>
          <w:sz w:val="20"/>
        </w:rPr>
        <w:t>boot</w:t>
      </w:r>
      <w:r>
        <w:rPr>
          <w:spacing w:val="-4"/>
          <w:sz w:val="20"/>
        </w:rPr>
        <w:t> </w:t>
      </w:r>
      <w:r>
        <w:rPr>
          <w:sz w:val="20"/>
        </w:rPr>
        <w:t>to</w:t>
      </w:r>
      <w:r>
        <w:rPr>
          <w:spacing w:val="-2"/>
          <w:sz w:val="20"/>
        </w:rPr>
        <w:t> </w:t>
      </w:r>
      <w:r>
        <w:rPr>
          <w:sz w:val="20"/>
        </w:rPr>
        <w:t>drop</w:t>
      </w:r>
      <w:r>
        <w:rPr>
          <w:spacing w:val="-2"/>
          <w:sz w:val="20"/>
        </w:rPr>
        <w:t> </w:t>
      </w:r>
      <w:r>
        <w:rPr>
          <w:sz w:val="20"/>
        </w:rPr>
        <w:t>off point or end of</w:t>
      </w:r>
      <w:r>
        <w:rPr>
          <w:spacing w:val="-8"/>
          <w:sz w:val="20"/>
        </w:rPr>
        <w:t> </w:t>
      </w:r>
      <w:r>
        <w:rPr>
          <w:sz w:val="20"/>
        </w:rPr>
        <w:t>drive</w:t>
      </w:r>
    </w:p>
    <w:p>
      <w:pPr>
        <w:pStyle w:val="ListParagraph"/>
        <w:numPr>
          <w:ilvl w:val="0"/>
          <w:numId w:val="12"/>
        </w:numPr>
        <w:tabs>
          <w:tab w:pos="1280" w:val="left" w:leader="none"/>
          <w:tab w:pos="1281" w:val="left" w:leader="none"/>
        </w:tabs>
        <w:spacing w:line="256" w:lineRule="auto" w:before="0" w:after="0"/>
        <w:ind w:left="1280" w:right="374" w:hanging="360"/>
        <w:jc w:val="left"/>
        <w:rPr>
          <w:sz w:val="20"/>
        </w:rPr>
      </w:pPr>
      <w:r>
        <w:rPr>
          <w:sz w:val="20"/>
        </w:rPr>
        <w:t>More buy in from householder (i.e. they are an important part of the goal of producing high quality recyclate)</w:t>
      </w:r>
    </w:p>
    <w:p>
      <w:pPr>
        <w:pStyle w:val="ListParagraph"/>
        <w:numPr>
          <w:ilvl w:val="0"/>
          <w:numId w:val="12"/>
        </w:numPr>
        <w:tabs>
          <w:tab w:pos="1280" w:val="left" w:leader="none"/>
          <w:tab w:pos="1281" w:val="left" w:leader="none"/>
        </w:tabs>
        <w:spacing w:line="254" w:lineRule="exact" w:before="3" w:after="0"/>
        <w:ind w:left="1280" w:right="0" w:hanging="360"/>
        <w:jc w:val="left"/>
        <w:rPr>
          <w:sz w:val="20"/>
        </w:rPr>
      </w:pPr>
      <w:r>
        <w:rPr>
          <w:sz w:val="20"/>
        </w:rPr>
        <w:t>No need for an expensive MRF or truck</w:t>
      </w:r>
      <w:r>
        <w:rPr>
          <w:spacing w:val="-16"/>
          <w:sz w:val="20"/>
        </w:rPr>
        <w:t> </w:t>
      </w:r>
      <w:r>
        <w:rPr>
          <w:sz w:val="20"/>
        </w:rPr>
        <w:t>technology</w:t>
      </w:r>
    </w:p>
    <w:p>
      <w:pPr>
        <w:pStyle w:val="ListParagraph"/>
        <w:numPr>
          <w:ilvl w:val="0"/>
          <w:numId w:val="12"/>
        </w:numPr>
        <w:tabs>
          <w:tab w:pos="1280" w:val="left" w:leader="none"/>
          <w:tab w:pos="1281" w:val="left" w:leader="none"/>
        </w:tabs>
        <w:spacing w:line="240" w:lineRule="auto" w:before="15" w:after="0"/>
        <w:ind w:left="1280" w:right="0" w:hanging="360"/>
        <w:jc w:val="left"/>
        <w:rPr>
          <w:sz w:val="20"/>
        </w:rPr>
      </w:pPr>
      <w:r>
        <w:rPr>
          <w:sz w:val="20"/>
        </w:rPr>
        <w:t>Can provide more employment in areas where unemployment is</w:t>
      </w:r>
      <w:r>
        <w:rPr>
          <w:spacing w:val="-22"/>
          <w:sz w:val="20"/>
        </w:rPr>
        <w:t> </w:t>
      </w:r>
      <w:r>
        <w:rPr>
          <w:sz w:val="20"/>
        </w:rPr>
        <w:t>high</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Kerbside sort workers tend to stay in jobs longer than those employed in MRF</w:t>
      </w:r>
      <w:r>
        <w:rPr>
          <w:spacing w:val="-28"/>
          <w:sz w:val="20"/>
        </w:rPr>
        <w:t> </w:t>
      </w:r>
      <w:r>
        <w:rPr>
          <w:sz w:val="20"/>
        </w:rPr>
        <w:t>sorting</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Active jobs versus risks of sedentary desk</w:t>
      </w:r>
      <w:r>
        <w:rPr>
          <w:spacing w:val="-19"/>
          <w:sz w:val="20"/>
        </w:rPr>
        <w:t> </w:t>
      </w:r>
      <w:r>
        <w:rPr>
          <w:sz w:val="20"/>
        </w:rPr>
        <w:t>jobs</w:t>
      </w:r>
    </w:p>
    <w:p>
      <w:pPr>
        <w:pStyle w:val="ListParagraph"/>
        <w:numPr>
          <w:ilvl w:val="0"/>
          <w:numId w:val="12"/>
        </w:numPr>
        <w:tabs>
          <w:tab w:pos="1280" w:val="left" w:leader="none"/>
          <w:tab w:pos="1281" w:val="left" w:leader="none"/>
        </w:tabs>
        <w:spacing w:line="254" w:lineRule="auto" w:before="16" w:after="0"/>
        <w:ind w:left="1280" w:right="453" w:hanging="360"/>
        <w:jc w:val="left"/>
        <w:rPr>
          <w:sz w:val="20"/>
        </w:rPr>
      </w:pPr>
      <w:r>
        <w:rPr>
          <w:sz w:val="20"/>
        </w:rPr>
        <w:t>A bonus of source separated is it puts the burden onto householders and reduces need for further sorting</w:t>
      </w:r>
    </w:p>
    <w:p>
      <w:pPr>
        <w:pStyle w:val="Heading5"/>
        <w:spacing w:before="163"/>
        <w:jc w:val="both"/>
      </w:pPr>
      <w:r>
        <w:rPr>
          <w:u w:val="single"/>
        </w:rPr>
        <w:t>Negatives of a source separated / kerbside sort system</w:t>
      </w:r>
    </w:p>
    <w:p>
      <w:pPr>
        <w:pStyle w:val="ListParagraph"/>
        <w:numPr>
          <w:ilvl w:val="0"/>
          <w:numId w:val="12"/>
        </w:numPr>
        <w:tabs>
          <w:tab w:pos="1280" w:val="left" w:leader="none"/>
          <w:tab w:pos="1281" w:val="left" w:leader="none"/>
        </w:tabs>
        <w:spacing w:line="240" w:lineRule="auto" w:before="174" w:after="0"/>
        <w:ind w:left="1280" w:right="0" w:hanging="360"/>
        <w:jc w:val="left"/>
        <w:rPr>
          <w:sz w:val="20"/>
        </w:rPr>
      </w:pPr>
      <w:r>
        <w:rPr>
          <w:sz w:val="20"/>
        </w:rPr>
        <w:t>Crates can be too small and lead to overflowing</w:t>
      </w:r>
      <w:r>
        <w:rPr>
          <w:spacing w:val="-18"/>
          <w:sz w:val="20"/>
        </w:rPr>
        <w:t> </w:t>
      </w:r>
      <w:r>
        <w:rPr>
          <w:sz w:val="20"/>
        </w:rPr>
        <w:t>bins</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Wind can blow items around the</w:t>
      </w:r>
      <w:r>
        <w:rPr>
          <w:spacing w:val="-16"/>
          <w:sz w:val="20"/>
        </w:rPr>
        <w:t> </w:t>
      </w:r>
      <w:r>
        <w:rPr>
          <w:sz w:val="20"/>
        </w:rPr>
        <w:t>streets</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Crates can be blown away by the wind when</w:t>
      </w:r>
      <w:r>
        <w:rPr>
          <w:spacing w:val="-18"/>
          <w:sz w:val="20"/>
        </w:rPr>
        <w:t> </w:t>
      </w:r>
      <w:r>
        <w:rPr>
          <w:sz w:val="20"/>
        </w:rPr>
        <w:t>empty</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Fibre can get</w:t>
      </w:r>
      <w:r>
        <w:rPr>
          <w:spacing w:val="-10"/>
          <w:sz w:val="20"/>
        </w:rPr>
        <w:t> </w:t>
      </w:r>
      <w:r>
        <w:rPr>
          <w:sz w:val="20"/>
        </w:rPr>
        <w:t>wet</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Glass crates can be difficult for elderly or people with disabilities to</w:t>
      </w:r>
      <w:r>
        <w:rPr>
          <w:spacing w:val="-27"/>
          <w:sz w:val="20"/>
        </w:rPr>
        <w:t> </w:t>
      </w:r>
      <w:r>
        <w:rPr>
          <w:sz w:val="20"/>
        </w:rPr>
        <w:t>carry</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Can be difficult to find workers to do kerbside sort</w:t>
      </w:r>
      <w:r>
        <w:rPr>
          <w:spacing w:val="-19"/>
          <w:sz w:val="20"/>
        </w:rPr>
        <w:t> </w:t>
      </w:r>
      <w:r>
        <w:rPr>
          <w:sz w:val="20"/>
        </w:rPr>
        <w:t>jobs</w:t>
      </w:r>
    </w:p>
    <w:p>
      <w:pPr>
        <w:pStyle w:val="ListParagraph"/>
        <w:numPr>
          <w:ilvl w:val="0"/>
          <w:numId w:val="12"/>
        </w:numPr>
        <w:tabs>
          <w:tab w:pos="1280" w:val="left" w:leader="none"/>
          <w:tab w:pos="1281" w:val="left" w:leader="none"/>
        </w:tabs>
        <w:spacing w:line="256" w:lineRule="auto" w:before="13" w:after="0"/>
        <w:ind w:left="1280" w:right="554" w:hanging="360"/>
        <w:jc w:val="left"/>
        <w:rPr>
          <w:sz w:val="20"/>
        </w:rPr>
      </w:pPr>
      <w:r>
        <w:rPr>
          <w:sz w:val="20"/>
        </w:rPr>
        <w:t>Health</w:t>
      </w:r>
      <w:r>
        <w:rPr>
          <w:spacing w:val="-3"/>
          <w:sz w:val="20"/>
        </w:rPr>
        <w:t> </w:t>
      </w:r>
      <w:r>
        <w:rPr>
          <w:sz w:val="20"/>
        </w:rPr>
        <w:t>and</w:t>
      </w:r>
      <w:r>
        <w:rPr>
          <w:spacing w:val="-3"/>
          <w:sz w:val="20"/>
        </w:rPr>
        <w:t> </w:t>
      </w:r>
      <w:r>
        <w:rPr>
          <w:sz w:val="20"/>
        </w:rPr>
        <w:t>safety</w:t>
      </w:r>
      <w:r>
        <w:rPr>
          <w:spacing w:val="-2"/>
          <w:sz w:val="20"/>
        </w:rPr>
        <w:t> </w:t>
      </w:r>
      <w:r>
        <w:rPr>
          <w:sz w:val="20"/>
        </w:rPr>
        <w:t>concerns</w:t>
      </w:r>
      <w:r>
        <w:rPr>
          <w:spacing w:val="-3"/>
          <w:sz w:val="20"/>
        </w:rPr>
        <w:t> </w:t>
      </w:r>
      <w:r>
        <w:rPr>
          <w:sz w:val="20"/>
        </w:rPr>
        <w:t>with</w:t>
      </w:r>
      <w:r>
        <w:rPr>
          <w:spacing w:val="-3"/>
          <w:sz w:val="20"/>
        </w:rPr>
        <w:t> </w:t>
      </w:r>
      <w:r>
        <w:rPr>
          <w:sz w:val="20"/>
        </w:rPr>
        <w:t>manual</w:t>
      </w:r>
      <w:r>
        <w:rPr>
          <w:spacing w:val="-3"/>
          <w:sz w:val="20"/>
        </w:rPr>
        <w:t> </w:t>
      </w:r>
      <w:r>
        <w:rPr>
          <w:sz w:val="20"/>
        </w:rPr>
        <w:t>handling</w:t>
      </w:r>
      <w:r>
        <w:rPr>
          <w:spacing w:val="-3"/>
          <w:sz w:val="20"/>
        </w:rPr>
        <w:t> </w:t>
      </w:r>
      <w:r>
        <w:rPr>
          <w:sz w:val="20"/>
        </w:rPr>
        <w:t>and</w:t>
      </w:r>
      <w:r>
        <w:rPr>
          <w:spacing w:val="-3"/>
          <w:sz w:val="20"/>
        </w:rPr>
        <w:t> </w:t>
      </w:r>
      <w:r>
        <w:rPr>
          <w:sz w:val="20"/>
        </w:rPr>
        <w:t>injuries</w:t>
      </w:r>
      <w:r>
        <w:rPr>
          <w:spacing w:val="-3"/>
          <w:sz w:val="20"/>
        </w:rPr>
        <w:t> </w:t>
      </w:r>
      <w:r>
        <w:rPr>
          <w:sz w:val="20"/>
        </w:rPr>
        <w:t>(repetitive</w:t>
      </w:r>
      <w:r>
        <w:rPr>
          <w:spacing w:val="-4"/>
          <w:sz w:val="20"/>
        </w:rPr>
        <w:t> </w:t>
      </w:r>
      <w:r>
        <w:rPr>
          <w:sz w:val="20"/>
        </w:rPr>
        <w:t>strain),</w:t>
      </w:r>
      <w:r>
        <w:rPr>
          <w:spacing w:val="-3"/>
          <w:sz w:val="20"/>
        </w:rPr>
        <w:t> </w:t>
      </w:r>
      <w:r>
        <w:rPr>
          <w:sz w:val="20"/>
        </w:rPr>
        <w:t>high</w:t>
      </w:r>
      <w:r>
        <w:rPr>
          <w:spacing w:val="-3"/>
          <w:sz w:val="20"/>
        </w:rPr>
        <w:t> </w:t>
      </w:r>
      <w:r>
        <w:rPr>
          <w:sz w:val="20"/>
        </w:rPr>
        <w:t>speed</w:t>
      </w:r>
      <w:r>
        <w:rPr>
          <w:spacing w:val="-3"/>
          <w:sz w:val="20"/>
        </w:rPr>
        <w:t> </w:t>
      </w:r>
      <w:r>
        <w:rPr>
          <w:sz w:val="20"/>
        </w:rPr>
        <w:t>rural roads and belief that Worksafe will make it more difficult to use LEV</w:t>
      </w:r>
      <w:r>
        <w:rPr>
          <w:spacing w:val="-26"/>
          <w:sz w:val="20"/>
        </w:rPr>
        <w:t> </w:t>
      </w:r>
      <w:r>
        <w:rPr>
          <w:sz w:val="20"/>
        </w:rPr>
        <w:t>trucks</w:t>
      </w:r>
    </w:p>
    <w:p>
      <w:pPr>
        <w:spacing w:after="0" w:line="256" w:lineRule="auto"/>
        <w:jc w:val="left"/>
        <w:rPr>
          <w:sz w:val="20"/>
        </w:rPr>
        <w:sectPr>
          <w:pgSz w:w="11910" w:h="16840"/>
          <w:pgMar w:header="576" w:footer="698" w:top="1140" w:bottom="880" w:left="880" w:right="1320"/>
        </w:sectPr>
      </w:pPr>
    </w:p>
    <w:p>
      <w:pPr>
        <w:pStyle w:val="BodyText"/>
      </w:pPr>
    </w:p>
    <w:p>
      <w:pPr>
        <w:pStyle w:val="BodyText"/>
      </w:pPr>
    </w:p>
    <w:p>
      <w:pPr>
        <w:pStyle w:val="Heading4"/>
        <w:numPr>
          <w:ilvl w:val="3"/>
          <w:numId w:val="14"/>
        </w:numPr>
        <w:tabs>
          <w:tab w:pos="2720" w:val="left" w:leader="none"/>
          <w:tab w:pos="2721" w:val="left" w:leader="none"/>
        </w:tabs>
        <w:spacing w:line="240" w:lineRule="auto" w:before="174" w:after="0"/>
        <w:ind w:left="2721" w:right="0" w:hanging="1081"/>
        <w:jc w:val="left"/>
        <w:rPr>
          <w:b w:val="0"/>
        </w:rPr>
      </w:pPr>
      <w:bookmarkStart w:name="5.4.2.2. Comingled systems (with glass i" w:id="97"/>
      <w:bookmarkEnd w:id="97"/>
      <w:r>
        <w:rPr/>
      </w:r>
      <w:bookmarkStart w:name="_bookmark32" w:id="98"/>
      <w:bookmarkEnd w:id="98"/>
      <w:r>
        <w:rPr/>
      </w:r>
      <w:bookmarkStart w:name="_bookmark32" w:id="99"/>
      <w:bookmarkEnd w:id="99"/>
      <w:r>
        <w:rPr>
          <w:b w:val="0"/>
        </w:rPr>
        <w:t>C</w:t>
      </w:r>
      <w:r>
        <w:rPr>
          <w:b w:val="0"/>
        </w:rPr>
        <w:t>omingled systems (with glass</w:t>
      </w:r>
      <w:r>
        <w:rPr>
          <w:b w:val="0"/>
          <w:spacing w:val="-3"/>
        </w:rPr>
        <w:t> </w:t>
      </w:r>
      <w:r>
        <w:rPr>
          <w:b w:val="0"/>
        </w:rPr>
        <w:t>in)</w:t>
      </w:r>
    </w:p>
    <w:p>
      <w:pPr>
        <w:pStyle w:val="BodyText"/>
        <w:spacing w:before="9"/>
        <w:rPr>
          <w:rFonts w:ascii="Calibri Light"/>
          <w:b w:val="0"/>
          <w:sz w:val="19"/>
        </w:rPr>
      </w:pPr>
    </w:p>
    <w:p>
      <w:pPr>
        <w:pStyle w:val="Heading5"/>
      </w:pPr>
      <w:r>
        <w:rPr>
          <w:u w:val="single"/>
        </w:rPr>
        <w:t>Positives of a comingled system (with glass in)</w:t>
      </w:r>
    </w:p>
    <w:p>
      <w:pPr>
        <w:pStyle w:val="ListParagraph"/>
        <w:numPr>
          <w:ilvl w:val="0"/>
          <w:numId w:val="12"/>
        </w:numPr>
        <w:tabs>
          <w:tab w:pos="1280" w:val="left" w:leader="none"/>
          <w:tab w:pos="1281" w:val="left" w:leader="none"/>
        </w:tabs>
        <w:spacing w:line="240" w:lineRule="auto" w:before="174" w:after="0"/>
        <w:ind w:left="1280" w:right="0" w:hanging="360"/>
        <w:jc w:val="left"/>
        <w:rPr>
          <w:sz w:val="20"/>
        </w:rPr>
      </w:pPr>
      <w:r>
        <w:rPr>
          <w:sz w:val="20"/>
        </w:rPr>
        <w:t>Less manual handling</w:t>
      </w:r>
      <w:r>
        <w:rPr>
          <w:spacing w:val="-9"/>
          <w:sz w:val="20"/>
        </w:rPr>
        <w:t> </w:t>
      </w:r>
      <w:r>
        <w:rPr>
          <w:sz w:val="20"/>
        </w:rPr>
        <w:t>(safer)</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Lids keep water</w:t>
      </w:r>
      <w:r>
        <w:rPr>
          <w:spacing w:val="-9"/>
          <w:sz w:val="20"/>
        </w:rPr>
        <w:t> </w:t>
      </w:r>
      <w:r>
        <w:rPr>
          <w:sz w:val="20"/>
        </w:rPr>
        <w:t>out</w:t>
      </w:r>
    </w:p>
    <w:p>
      <w:pPr>
        <w:pStyle w:val="ListParagraph"/>
        <w:numPr>
          <w:ilvl w:val="0"/>
          <w:numId w:val="12"/>
        </w:numPr>
        <w:tabs>
          <w:tab w:pos="1280" w:val="left" w:leader="none"/>
          <w:tab w:pos="1281" w:val="left" w:leader="none"/>
        </w:tabs>
        <w:spacing w:line="256" w:lineRule="auto" w:before="16" w:after="0"/>
        <w:ind w:left="1280" w:right="165" w:hanging="360"/>
        <w:jc w:val="left"/>
        <w:rPr>
          <w:sz w:val="20"/>
        </w:rPr>
      </w:pPr>
      <w:r>
        <w:rPr>
          <w:sz w:val="20"/>
        </w:rPr>
        <w:t>Can have more capacity than crate system which can lead to reduced collection (i.e. fortnightly rather than</w:t>
      </w:r>
      <w:r>
        <w:rPr>
          <w:spacing w:val="-3"/>
          <w:sz w:val="20"/>
        </w:rPr>
        <w:t> </w:t>
      </w:r>
      <w:r>
        <w:rPr>
          <w:sz w:val="20"/>
        </w:rPr>
        <w:t>weekly)</w:t>
      </w:r>
    </w:p>
    <w:p>
      <w:pPr>
        <w:pStyle w:val="ListParagraph"/>
        <w:numPr>
          <w:ilvl w:val="0"/>
          <w:numId w:val="12"/>
        </w:numPr>
        <w:tabs>
          <w:tab w:pos="1280" w:val="left" w:leader="none"/>
          <w:tab w:pos="1281" w:val="left" w:leader="none"/>
        </w:tabs>
        <w:spacing w:line="252" w:lineRule="exact" w:before="0" w:after="0"/>
        <w:ind w:left="1280" w:right="0" w:hanging="360"/>
        <w:jc w:val="left"/>
        <w:rPr>
          <w:sz w:val="20"/>
        </w:rPr>
      </w:pPr>
      <w:r>
        <w:rPr>
          <w:sz w:val="20"/>
        </w:rPr>
        <w:t>Easier for householders to</w:t>
      </w:r>
      <w:r>
        <w:rPr>
          <w:spacing w:val="-14"/>
          <w:sz w:val="20"/>
        </w:rPr>
        <w:t> </w:t>
      </w:r>
      <w:r>
        <w:rPr>
          <w:sz w:val="20"/>
        </w:rPr>
        <w:t>handle</w:t>
      </w:r>
    </w:p>
    <w:p>
      <w:pPr>
        <w:pStyle w:val="ListParagraph"/>
        <w:numPr>
          <w:ilvl w:val="0"/>
          <w:numId w:val="12"/>
        </w:numPr>
        <w:tabs>
          <w:tab w:pos="1280" w:val="left" w:leader="none"/>
          <w:tab w:pos="1281" w:val="left" w:leader="none"/>
        </w:tabs>
        <w:spacing w:line="240" w:lineRule="auto" w:before="17" w:after="0"/>
        <w:ind w:left="1280" w:right="0" w:hanging="360"/>
        <w:jc w:val="left"/>
        <w:rPr>
          <w:sz w:val="20"/>
        </w:rPr>
      </w:pPr>
      <w:r>
        <w:rPr>
          <w:sz w:val="20"/>
        </w:rPr>
        <w:t>No windblown</w:t>
      </w:r>
      <w:r>
        <w:rPr>
          <w:spacing w:val="-5"/>
          <w:sz w:val="20"/>
        </w:rPr>
        <w:t> </w:t>
      </w:r>
      <w:r>
        <w:rPr>
          <w:sz w:val="20"/>
        </w:rPr>
        <w:t>litter</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Fewer customer complaints and dissatisfaction with</w:t>
      </w:r>
      <w:r>
        <w:rPr>
          <w:spacing w:val="-16"/>
          <w:sz w:val="20"/>
        </w:rPr>
        <w:t> </w:t>
      </w:r>
      <w:r>
        <w:rPr>
          <w:sz w:val="20"/>
        </w:rPr>
        <w:t>service</w:t>
      </w:r>
    </w:p>
    <w:p>
      <w:pPr>
        <w:pStyle w:val="ListParagraph"/>
        <w:numPr>
          <w:ilvl w:val="0"/>
          <w:numId w:val="12"/>
        </w:numPr>
        <w:tabs>
          <w:tab w:pos="1280" w:val="left" w:leader="none"/>
          <w:tab w:pos="1281" w:val="left" w:leader="none"/>
        </w:tabs>
        <w:spacing w:line="240" w:lineRule="auto" w:before="19" w:after="0"/>
        <w:ind w:left="1280" w:right="0" w:hanging="360"/>
        <w:jc w:val="left"/>
        <w:rPr>
          <w:sz w:val="20"/>
        </w:rPr>
      </w:pPr>
      <w:r>
        <w:rPr>
          <w:sz w:val="20"/>
        </w:rPr>
        <w:t>Faster to</w:t>
      </w:r>
      <w:r>
        <w:rPr>
          <w:spacing w:val="-6"/>
          <w:sz w:val="20"/>
        </w:rPr>
        <w:t> </w:t>
      </w:r>
      <w:r>
        <w:rPr>
          <w:sz w:val="20"/>
        </w:rPr>
        <w:t>service</w:t>
      </w:r>
    </w:p>
    <w:p>
      <w:pPr>
        <w:pStyle w:val="Heading5"/>
        <w:spacing w:before="176"/>
      </w:pPr>
      <w:r>
        <w:rPr>
          <w:u w:val="single"/>
        </w:rPr>
        <w:t>Negatives of a comingled system (with glass in)</w:t>
      </w:r>
    </w:p>
    <w:p>
      <w:pPr>
        <w:pStyle w:val="ListParagraph"/>
        <w:numPr>
          <w:ilvl w:val="0"/>
          <w:numId w:val="12"/>
        </w:numPr>
        <w:tabs>
          <w:tab w:pos="1280" w:val="left" w:leader="none"/>
          <w:tab w:pos="1281" w:val="left" w:leader="none"/>
        </w:tabs>
        <w:spacing w:line="240" w:lineRule="auto" w:before="175" w:after="0"/>
        <w:ind w:left="1280" w:right="0" w:hanging="360"/>
        <w:jc w:val="left"/>
        <w:rPr>
          <w:sz w:val="20"/>
        </w:rPr>
      </w:pPr>
      <w:r>
        <w:rPr>
          <w:sz w:val="20"/>
        </w:rPr>
        <w:t>High contamination</w:t>
      </w:r>
      <w:r>
        <w:rPr>
          <w:spacing w:val="-5"/>
          <w:sz w:val="20"/>
        </w:rPr>
        <w:t> </w:t>
      </w:r>
      <w:r>
        <w:rPr>
          <w:sz w:val="20"/>
        </w:rPr>
        <w:t>rates</w:t>
      </w:r>
    </w:p>
    <w:p>
      <w:pPr>
        <w:pStyle w:val="ListParagraph"/>
        <w:numPr>
          <w:ilvl w:val="0"/>
          <w:numId w:val="12"/>
        </w:numPr>
        <w:tabs>
          <w:tab w:pos="1280" w:val="left" w:leader="none"/>
          <w:tab w:pos="1281" w:val="left" w:leader="none"/>
        </w:tabs>
        <w:spacing w:line="256" w:lineRule="auto" w:before="16" w:after="0"/>
        <w:ind w:left="1280" w:right="149" w:hanging="360"/>
        <w:jc w:val="left"/>
        <w:rPr>
          <w:sz w:val="20"/>
        </w:rPr>
      </w:pPr>
      <w:r>
        <w:rPr>
          <w:sz w:val="20"/>
        </w:rPr>
        <w:t>While system can be put in place to manage contamination (i.e. auditors, warning stickers, letters etc) however still difficult to</w:t>
      </w:r>
      <w:r>
        <w:rPr>
          <w:spacing w:val="-7"/>
          <w:sz w:val="20"/>
        </w:rPr>
        <w:t> </w:t>
      </w:r>
      <w:r>
        <w:rPr>
          <w:sz w:val="20"/>
        </w:rPr>
        <w:t>manage</w:t>
      </w:r>
    </w:p>
    <w:p>
      <w:pPr>
        <w:pStyle w:val="ListParagraph"/>
        <w:numPr>
          <w:ilvl w:val="0"/>
          <w:numId w:val="12"/>
        </w:numPr>
        <w:tabs>
          <w:tab w:pos="1280" w:val="left" w:leader="none"/>
          <w:tab w:pos="1281" w:val="left" w:leader="none"/>
        </w:tabs>
        <w:spacing w:line="252" w:lineRule="exact" w:before="0" w:after="0"/>
        <w:ind w:left="1280" w:right="0" w:hanging="360"/>
        <w:jc w:val="left"/>
        <w:rPr>
          <w:sz w:val="20"/>
        </w:rPr>
      </w:pPr>
      <w:r>
        <w:rPr>
          <w:sz w:val="20"/>
        </w:rPr>
        <w:t>Lid means people hide items</w:t>
      </w:r>
      <w:r>
        <w:rPr>
          <w:spacing w:val="-14"/>
          <w:sz w:val="20"/>
        </w:rPr>
        <w:t> </w:t>
      </w:r>
      <w:r>
        <w:rPr>
          <w:sz w:val="20"/>
        </w:rPr>
        <w:t>inside</w:t>
      </w:r>
    </w:p>
    <w:p>
      <w:pPr>
        <w:pStyle w:val="ListParagraph"/>
        <w:numPr>
          <w:ilvl w:val="0"/>
          <w:numId w:val="12"/>
        </w:numPr>
        <w:tabs>
          <w:tab w:pos="1280" w:val="left" w:leader="none"/>
          <w:tab w:pos="1281" w:val="left" w:leader="none"/>
        </w:tabs>
        <w:spacing w:line="240" w:lineRule="auto" w:before="17" w:after="0"/>
        <w:ind w:left="1280" w:right="0" w:hanging="360"/>
        <w:jc w:val="left"/>
        <w:rPr>
          <w:sz w:val="20"/>
        </w:rPr>
      </w:pPr>
      <w:r>
        <w:rPr>
          <w:sz w:val="20"/>
        </w:rPr>
        <w:t>Larger capacity leads to people using it as an overflow for</w:t>
      </w:r>
      <w:r>
        <w:rPr>
          <w:spacing w:val="-22"/>
          <w:sz w:val="20"/>
        </w:rPr>
        <w:t> </w:t>
      </w:r>
      <w:r>
        <w:rPr>
          <w:sz w:val="20"/>
        </w:rPr>
        <w:t>rubbish</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Higher investment needed in technology for trucks and</w:t>
      </w:r>
      <w:r>
        <w:rPr>
          <w:spacing w:val="-19"/>
          <w:sz w:val="20"/>
        </w:rPr>
        <w:t> </w:t>
      </w:r>
      <w:r>
        <w:rPr>
          <w:sz w:val="20"/>
        </w:rPr>
        <w:t>MRFs</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Take up more</w:t>
      </w:r>
      <w:r>
        <w:rPr>
          <w:spacing w:val="-6"/>
          <w:sz w:val="20"/>
        </w:rPr>
        <w:t> </w:t>
      </w:r>
      <w:r>
        <w:rPr>
          <w:sz w:val="20"/>
        </w:rPr>
        <w:t>room</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Not great for rural areas with long</w:t>
      </w:r>
      <w:r>
        <w:rPr>
          <w:spacing w:val="-19"/>
          <w:sz w:val="20"/>
        </w:rPr>
        <w:t> </w:t>
      </w:r>
      <w:r>
        <w:rPr>
          <w:sz w:val="20"/>
        </w:rPr>
        <w:t>driveways</w:t>
      </w:r>
    </w:p>
    <w:p>
      <w:pPr>
        <w:pStyle w:val="ListParagraph"/>
        <w:numPr>
          <w:ilvl w:val="0"/>
          <w:numId w:val="12"/>
        </w:numPr>
        <w:tabs>
          <w:tab w:pos="1280" w:val="left" w:leader="none"/>
          <w:tab w:pos="1281" w:val="left" w:leader="none"/>
        </w:tabs>
        <w:spacing w:line="256" w:lineRule="auto" w:before="16" w:after="0"/>
        <w:ind w:left="1280" w:right="280" w:hanging="360"/>
        <w:jc w:val="left"/>
        <w:rPr>
          <w:sz w:val="20"/>
        </w:rPr>
      </w:pPr>
      <w:r>
        <w:rPr>
          <w:sz w:val="20"/>
        </w:rPr>
        <w:t>Some</w:t>
      </w:r>
      <w:r>
        <w:rPr>
          <w:spacing w:val="-2"/>
          <w:sz w:val="20"/>
        </w:rPr>
        <w:t> </w:t>
      </w:r>
      <w:r>
        <w:rPr>
          <w:sz w:val="20"/>
        </w:rPr>
        <w:t>mobility</w:t>
      </w:r>
      <w:r>
        <w:rPr>
          <w:spacing w:val="-1"/>
          <w:sz w:val="20"/>
        </w:rPr>
        <w:t> </w:t>
      </w:r>
      <w:r>
        <w:rPr>
          <w:sz w:val="20"/>
        </w:rPr>
        <w:t>impaired</w:t>
      </w:r>
      <w:r>
        <w:rPr>
          <w:spacing w:val="-3"/>
          <w:sz w:val="20"/>
        </w:rPr>
        <w:t> </w:t>
      </w:r>
      <w:r>
        <w:rPr>
          <w:sz w:val="20"/>
        </w:rPr>
        <w:t>or</w:t>
      </w:r>
      <w:r>
        <w:rPr>
          <w:spacing w:val="-3"/>
          <w:sz w:val="20"/>
        </w:rPr>
        <w:t> </w:t>
      </w:r>
      <w:r>
        <w:rPr>
          <w:sz w:val="20"/>
        </w:rPr>
        <w:t>unwell</w:t>
      </w:r>
      <w:r>
        <w:rPr>
          <w:spacing w:val="-4"/>
          <w:sz w:val="20"/>
        </w:rPr>
        <w:t> </w:t>
      </w:r>
      <w:r>
        <w:rPr>
          <w:sz w:val="20"/>
        </w:rPr>
        <w:t>people</w:t>
      </w:r>
      <w:r>
        <w:rPr>
          <w:spacing w:val="-4"/>
          <w:sz w:val="20"/>
        </w:rPr>
        <w:t> </w:t>
      </w:r>
      <w:r>
        <w:rPr>
          <w:sz w:val="20"/>
        </w:rPr>
        <w:t>cannot</w:t>
      </w:r>
      <w:r>
        <w:rPr>
          <w:spacing w:val="-3"/>
          <w:sz w:val="20"/>
        </w:rPr>
        <w:t> </w:t>
      </w:r>
      <w:r>
        <w:rPr>
          <w:sz w:val="20"/>
        </w:rPr>
        <w:t>move</w:t>
      </w:r>
      <w:r>
        <w:rPr>
          <w:spacing w:val="-4"/>
          <w:sz w:val="20"/>
        </w:rPr>
        <w:t> </w:t>
      </w:r>
      <w:r>
        <w:rPr>
          <w:sz w:val="20"/>
        </w:rPr>
        <w:t>them,</w:t>
      </w:r>
      <w:r>
        <w:rPr>
          <w:spacing w:val="-3"/>
          <w:sz w:val="20"/>
        </w:rPr>
        <w:t> </w:t>
      </w:r>
      <w:r>
        <w:rPr>
          <w:sz w:val="20"/>
        </w:rPr>
        <w:t>and</w:t>
      </w:r>
      <w:r>
        <w:rPr>
          <w:spacing w:val="-3"/>
          <w:sz w:val="20"/>
        </w:rPr>
        <w:t> </w:t>
      </w:r>
      <w:r>
        <w:rPr>
          <w:sz w:val="20"/>
        </w:rPr>
        <w:t>an</w:t>
      </w:r>
      <w:r>
        <w:rPr>
          <w:spacing w:val="-3"/>
          <w:sz w:val="20"/>
        </w:rPr>
        <w:t> </w:t>
      </w:r>
      <w:r>
        <w:rPr>
          <w:sz w:val="20"/>
        </w:rPr>
        <w:t>assisted</w:t>
      </w:r>
      <w:r>
        <w:rPr>
          <w:spacing w:val="-3"/>
          <w:sz w:val="20"/>
        </w:rPr>
        <w:t> </w:t>
      </w:r>
      <w:r>
        <w:rPr>
          <w:sz w:val="20"/>
        </w:rPr>
        <w:t>service</w:t>
      </w:r>
      <w:r>
        <w:rPr>
          <w:spacing w:val="-5"/>
          <w:sz w:val="20"/>
        </w:rPr>
        <w:t> </w:t>
      </w:r>
      <w:r>
        <w:rPr>
          <w:sz w:val="20"/>
        </w:rPr>
        <w:t>costs</w:t>
      </w:r>
      <w:r>
        <w:rPr>
          <w:spacing w:val="-2"/>
          <w:sz w:val="20"/>
        </w:rPr>
        <w:t> </w:t>
      </w:r>
      <w:r>
        <w:rPr>
          <w:sz w:val="20"/>
        </w:rPr>
        <w:t>more</w:t>
      </w:r>
      <w:r>
        <w:rPr>
          <w:spacing w:val="-4"/>
          <w:sz w:val="20"/>
        </w:rPr>
        <w:t> </w:t>
      </w:r>
      <w:r>
        <w:rPr>
          <w:sz w:val="20"/>
        </w:rPr>
        <w:t>per house and in staff time to</w:t>
      </w:r>
      <w:r>
        <w:rPr>
          <w:spacing w:val="-15"/>
          <w:sz w:val="20"/>
        </w:rPr>
        <w:t> </w:t>
      </w:r>
      <w:r>
        <w:rPr>
          <w:sz w:val="20"/>
        </w:rPr>
        <w:t>administer</w:t>
      </w:r>
    </w:p>
    <w:p>
      <w:pPr>
        <w:pStyle w:val="ListParagraph"/>
        <w:numPr>
          <w:ilvl w:val="0"/>
          <w:numId w:val="12"/>
        </w:numPr>
        <w:tabs>
          <w:tab w:pos="1280" w:val="left" w:leader="none"/>
          <w:tab w:pos="1281" w:val="left" w:leader="none"/>
        </w:tabs>
        <w:spacing w:line="252" w:lineRule="exact" w:before="0" w:after="0"/>
        <w:ind w:left="1280" w:right="0" w:hanging="360"/>
        <w:jc w:val="left"/>
        <w:rPr>
          <w:sz w:val="20"/>
        </w:rPr>
      </w:pPr>
      <w:r>
        <w:rPr>
          <w:sz w:val="20"/>
        </w:rPr>
        <w:t>Bins can tip over on windy days and result in windblown</w:t>
      </w:r>
      <w:r>
        <w:rPr>
          <w:spacing w:val="-24"/>
          <w:sz w:val="20"/>
        </w:rPr>
        <w:t> </w:t>
      </w:r>
      <w:r>
        <w:rPr>
          <w:sz w:val="20"/>
        </w:rPr>
        <w:t>litter</w:t>
      </w:r>
    </w:p>
    <w:p>
      <w:pPr>
        <w:pStyle w:val="ListParagraph"/>
        <w:numPr>
          <w:ilvl w:val="0"/>
          <w:numId w:val="12"/>
        </w:numPr>
        <w:tabs>
          <w:tab w:pos="1280" w:val="left" w:leader="none"/>
          <w:tab w:pos="1281" w:val="left" w:leader="none"/>
        </w:tabs>
        <w:spacing w:line="256" w:lineRule="auto" w:before="16" w:after="0"/>
        <w:ind w:left="1280" w:right="812" w:hanging="360"/>
        <w:jc w:val="left"/>
        <w:rPr>
          <w:sz w:val="20"/>
        </w:rPr>
      </w:pPr>
      <w:r>
        <w:rPr>
          <w:sz w:val="20"/>
        </w:rPr>
        <w:t>Costs more to get high quality recyclate because you need to have more resources to pick out contamination and slow sort lines down, need extra sorters and</w:t>
      </w:r>
      <w:r>
        <w:rPr>
          <w:spacing w:val="-26"/>
          <w:sz w:val="20"/>
        </w:rPr>
        <w:t> </w:t>
      </w:r>
      <w:r>
        <w:rPr>
          <w:sz w:val="20"/>
        </w:rPr>
        <w:t>equipment</w:t>
      </w:r>
    </w:p>
    <w:p>
      <w:pPr>
        <w:pStyle w:val="ListParagraph"/>
        <w:numPr>
          <w:ilvl w:val="0"/>
          <w:numId w:val="12"/>
        </w:numPr>
        <w:tabs>
          <w:tab w:pos="1280" w:val="left" w:leader="none"/>
          <w:tab w:pos="1281" w:val="left" w:leader="none"/>
        </w:tabs>
        <w:spacing w:line="254" w:lineRule="exact" w:before="0" w:after="0"/>
        <w:ind w:left="1280" w:right="0" w:hanging="360"/>
        <w:jc w:val="left"/>
        <w:rPr>
          <w:sz w:val="20"/>
        </w:rPr>
      </w:pPr>
      <w:r>
        <w:rPr>
          <w:sz w:val="20"/>
        </w:rPr>
        <w:t>Collection system designed to suit the collector rather than the</w:t>
      </w:r>
      <w:r>
        <w:rPr>
          <w:spacing w:val="-26"/>
          <w:sz w:val="20"/>
        </w:rPr>
        <w:t> </w:t>
      </w:r>
      <w:r>
        <w:rPr>
          <w:sz w:val="20"/>
        </w:rPr>
        <w:t>reprocessor</w:t>
      </w:r>
    </w:p>
    <w:p>
      <w:pPr>
        <w:pStyle w:val="ListParagraph"/>
        <w:numPr>
          <w:ilvl w:val="0"/>
          <w:numId w:val="12"/>
        </w:numPr>
        <w:tabs>
          <w:tab w:pos="1280" w:val="left" w:leader="none"/>
          <w:tab w:pos="1281" w:val="left" w:leader="none"/>
        </w:tabs>
        <w:spacing w:line="240" w:lineRule="auto" w:before="19" w:after="0"/>
        <w:ind w:left="1280" w:right="0" w:hanging="360"/>
        <w:jc w:val="left"/>
        <w:rPr>
          <w:sz w:val="20"/>
        </w:rPr>
      </w:pPr>
      <w:r>
        <w:rPr>
          <w:sz w:val="20"/>
        </w:rPr>
        <w:t>Doesn’t incentivise householders to reduce the recycling and rubbish they</w:t>
      </w:r>
      <w:r>
        <w:rPr>
          <w:spacing w:val="-23"/>
          <w:sz w:val="20"/>
        </w:rPr>
        <w:t> </w:t>
      </w:r>
      <w:r>
        <w:rPr>
          <w:sz w:val="20"/>
        </w:rPr>
        <w:t>create.</w:t>
      </w:r>
    </w:p>
    <w:p>
      <w:pPr>
        <w:pStyle w:val="Heading5"/>
        <w:spacing w:before="173"/>
      </w:pPr>
      <w:r>
        <w:rPr>
          <w:u w:val="single"/>
        </w:rPr>
        <w:t>Feedback from local authority survey</w:t>
      </w:r>
    </w:p>
    <w:p>
      <w:pPr>
        <w:pStyle w:val="BodyText"/>
        <w:spacing w:before="9"/>
        <w:rPr>
          <w:b/>
          <w:sz w:val="9"/>
        </w:rPr>
      </w:pPr>
    </w:p>
    <w:p>
      <w:pPr>
        <w:pStyle w:val="BodyText"/>
        <w:spacing w:line="254" w:lineRule="auto" w:before="59"/>
        <w:ind w:left="560" w:right="116"/>
        <w:jc w:val="both"/>
      </w:pPr>
      <w:r>
        <w:rPr/>
        <w:t>Eighty-four per cent of respondents (31 respondents) agreed with the recommendations for the recycling collections methodology. Of the three respondents that disagreed (8%), one was concerned about expanding recycling services due to having a small and rural population. Of the three respondents (8%) who were unsure, one was not convinced glass needed to be collected separately.</w:t>
      </w:r>
    </w:p>
    <w:p>
      <w:pPr>
        <w:pStyle w:val="Heading4"/>
        <w:numPr>
          <w:ilvl w:val="2"/>
          <w:numId w:val="9"/>
        </w:numPr>
        <w:tabs>
          <w:tab w:pos="2001" w:val="left" w:leader="none"/>
        </w:tabs>
        <w:spacing w:line="240" w:lineRule="auto" w:before="159" w:after="0"/>
        <w:ind w:left="2000" w:right="0" w:hanging="720"/>
        <w:jc w:val="left"/>
        <w:rPr>
          <w:b w:val="0"/>
        </w:rPr>
      </w:pPr>
      <w:r>
        <w:rPr/>
        <w:drawing>
          <wp:anchor distT="0" distB="0" distL="0" distR="0" allowOverlap="1" layoutInCell="1" locked="0" behindDoc="0" simplePos="0" relativeHeight="1360">
            <wp:simplePos x="0" y="0"/>
            <wp:positionH relativeFrom="page">
              <wp:posOffset>4464050</wp:posOffset>
            </wp:positionH>
            <wp:positionV relativeFrom="paragraph">
              <wp:posOffset>254073</wp:posOffset>
            </wp:positionV>
            <wp:extent cx="2019300" cy="1316989"/>
            <wp:effectExtent l="0" t="0" r="0" b="0"/>
            <wp:wrapNone/>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23" cstate="print"/>
                    <a:stretch>
                      <a:fillRect/>
                    </a:stretch>
                  </pic:blipFill>
                  <pic:spPr>
                    <a:xfrm>
                      <a:off x="0" y="0"/>
                      <a:ext cx="2019300" cy="1316989"/>
                    </a:xfrm>
                    <a:prstGeom prst="rect">
                      <a:avLst/>
                    </a:prstGeom>
                  </pic:spPr>
                </pic:pic>
              </a:graphicData>
            </a:graphic>
          </wp:anchor>
        </w:drawing>
      </w:r>
      <w:bookmarkStart w:name="5.4.3. Residual rubbish collections " w:id="100"/>
      <w:bookmarkEnd w:id="100"/>
      <w:r>
        <w:rPr/>
      </w:r>
      <w:bookmarkStart w:name="_bookmark33" w:id="101"/>
      <w:bookmarkEnd w:id="101"/>
      <w:r>
        <w:rPr/>
      </w:r>
      <w:bookmarkStart w:name="_bookmark33" w:id="102"/>
      <w:bookmarkEnd w:id="102"/>
      <w:r>
        <w:rPr>
          <w:b w:val="0"/>
        </w:rPr>
        <w:t>R</w:t>
      </w:r>
      <w:r>
        <w:rPr>
          <w:b w:val="0"/>
        </w:rPr>
        <w:t>esidual rubbish</w:t>
      </w:r>
      <w:r>
        <w:rPr>
          <w:b w:val="0"/>
          <w:spacing w:val="-3"/>
        </w:rPr>
        <w:t> </w:t>
      </w:r>
      <w:r>
        <w:rPr>
          <w:b w:val="0"/>
        </w:rPr>
        <w:t>collections</w:t>
      </w:r>
    </w:p>
    <w:p>
      <w:pPr>
        <w:pStyle w:val="BodyText"/>
        <w:spacing w:before="9"/>
        <w:rPr>
          <w:rFonts w:ascii="Calibri Light"/>
          <w:b w:val="0"/>
          <w:sz w:val="19"/>
        </w:rPr>
      </w:pPr>
    </w:p>
    <w:p>
      <w:pPr>
        <w:pStyle w:val="BodyText"/>
        <w:ind w:left="560"/>
        <w:jc w:val="both"/>
      </w:pPr>
      <w:r>
        <w:rPr/>
        <w:t>Two options were presented during the hui for discussion:</w:t>
      </w:r>
    </w:p>
    <w:p>
      <w:pPr>
        <w:pStyle w:val="ListParagraph"/>
        <w:numPr>
          <w:ilvl w:val="0"/>
          <w:numId w:val="15"/>
        </w:numPr>
        <w:tabs>
          <w:tab w:pos="1280" w:val="left" w:leader="none"/>
          <w:tab w:pos="1281" w:val="left" w:leader="none"/>
        </w:tabs>
        <w:spacing w:line="256" w:lineRule="auto" w:before="178" w:after="0"/>
        <w:ind w:left="1280" w:right="4163" w:hanging="360"/>
        <w:jc w:val="left"/>
        <w:rPr>
          <w:sz w:val="20"/>
        </w:rPr>
      </w:pPr>
      <w:r>
        <w:rPr>
          <w:sz w:val="20"/>
        </w:rPr>
        <w:t>A 120-litre wheelie bin, collected weekly until a food waste collection is available, and then collected fortnightly,</w:t>
      </w:r>
      <w:r>
        <w:rPr>
          <w:spacing w:val="-3"/>
          <w:sz w:val="20"/>
        </w:rPr>
        <w:t> </w:t>
      </w:r>
      <w:r>
        <w:rPr>
          <w:sz w:val="20"/>
        </w:rPr>
        <w:t>or</w:t>
      </w:r>
    </w:p>
    <w:p>
      <w:pPr>
        <w:pStyle w:val="ListParagraph"/>
        <w:numPr>
          <w:ilvl w:val="0"/>
          <w:numId w:val="15"/>
        </w:numPr>
        <w:tabs>
          <w:tab w:pos="1280" w:val="left" w:leader="none"/>
          <w:tab w:pos="1281" w:val="left" w:leader="none"/>
        </w:tabs>
        <w:spacing w:line="242" w:lineRule="exact" w:before="0" w:after="0"/>
        <w:ind w:left="1280" w:right="0" w:hanging="360"/>
        <w:jc w:val="left"/>
        <w:rPr>
          <w:sz w:val="20"/>
        </w:rPr>
      </w:pPr>
      <w:r>
        <w:rPr>
          <w:sz w:val="20"/>
        </w:rPr>
        <w:t>60-litre refuse</w:t>
      </w:r>
      <w:r>
        <w:rPr>
          <w:spacing w:val="-9"/>
          <w:sz w:val="20"/>
        </w:rPr>
        <w:t> </w:t>
      </w:r>
      <w:r>
        <w:rPr>
          <w:sz w:val="20"/>
        </w:rPr>
        <w:t>bags.</w:t>
      </w:r>
    </w:p>
    <w:p>
      <w:pPr>
        <w:pStyle w:val="Heading5"/>
        <w:spacing w:before="175"/>
        <w:jc w:val="both"/>
      </w:pPr>
      <w:r>
        <w:rPr>
          <w:u w:val="single"/>
        </w:rPr>
        <w:t>Feedback</w:t>
      </w:r>
    </w:p>
    <w:p>
      <w:pPr>
        <w:pStyle w:val="BodyText"/>
        <w:spacing w:before="6"/>
        <w:rPr>
          <w:b/>
          <w:sz w:val="9"/>
        </w:rPr>
      </w:pPr>
    </w:p>
    <w:p>
      <w:pPr>
        <w:pStyle w:val="BodyText"/>
        <w:spacing w:line="256" w:lineRule="auto" w:before="59"/>
        <w:ind w:left="560" w:right="39"/>
      </w:pPr>
      <w:r>
        <w:rPr/>
        <w:t>There was general agreement that these two systems are appropriate options, and that the two options allow for regional differences.</w:t>
      </w:r>
    </w:p>
    <w:p>
      <w:pPr>
        <w:pStyle w:val="BodyText"/>
        <w:spacing w:line="256" w:lineRule="auto" w:before="158"/>
        <w:ind w:left="560"/>
      </w:pPr>
      <w:r>
        <w:rPr/>
        <w:t>There was some feedback that 140-litre wheelie bins are less likely to blow over in areas of high winds. There were also some queries around the Health and Safety of collecting refuse bags.</w:t>
      </w:r>
    </w:p>
    <w:p>
      <w:pPr>
        <w:spacing w:after="0" w:line="256" w:lineRule="auto"/>
        <w:sectPr>
          <w:pgSz w:w="11910" w:h="16840"/>
          <w:pgMar w:header="576" w:footer="698" w:top="1140" w:bottom="880" w:left="880" w:right="1320"/>
        </w:sectPr>
      </w:pPr>
    </w:p>
    <w:p>
      <w:pPr>
        <w:pStyle w:val="BodyText"/>
      </w:pPr>
    </w:p>
    <w:p>
      <w:pPr>
        <w:pStyle w:val="BodyText"/>
        <w:spacing w:before="7"/>
        <w:rPr>
          <w:sz w:val="29"/>
        </w:rPr>
      </w:pPr>
    </w:p>
    <w:p>
      <w:pPr>
        <w:pStyle w:val="BodyText"/>
        <w:spacing w:line="254" w:lineRule="auto" w:before="60"/>
        <w:ind w:left="560" w:right="343"/>
        <w:jc w:val="both"/>
      </w:pPr>
      <w:r>
        <w:rPr/>
        <w:t>It was also recommended that 30-litre refuse bags be provided as an option as these are useful for households occupied by one person.</w:t>
      </w:r>
    </w:p>
    <w:p>
      <w:pPr>
        <w:pStyle w:val="BodyText"/>
        <w:spacing w:line="256" w:lineRule="auto" w:before="161"/>
        <w:ind w:left="560" w:right="335"/>
        <w:jc w:val="both"/>
      </w:pPr>
      <w:r>
        <w:rPr/>
        <w:t>There was discussion about the effect of user-pays rubbish collections combined with rates-funded comingled recycling wheelie bin collections and the increase in contamination of recycling bins this can lead to. It was noted</w:t>
      </w:r>
      <w:r>
        <w:rPr>
          <w:spacing w:val="-10"/>
        </w:rPr>
        <w:t> </w:t>
      </w:r>
      <w:r>
        <w:rPr/>
        <w:t>that</w:t>
      </w:r>
      <w:r>
        <w:rPr>
          <w:spacing w:val="-9"/>
        </w:rPr>
        <w:t> </w:t>
      </w:r>
      <w:r>
        <w:rPr/>
        <w:t>this</w:t>
      </w:r>
      <w:r>
        <w:rPr>
          <w:spacing w:val="-9"/>
        </w:rPr>
        <w:t> </w:t>
      </w:r>
      <w:r>
        <w:rPr/>
        <w:t>combination</w:t>
      </w:r>
      <w:r>
        <w:rPr>
          <w:spacing w:val="-11"/>
        </w:rPr>
        <w:t> </w:t>
      </w:r>
      <w:r>
        <w:rPr/>
        <w:t>can</w:t>
      </w:r>
      <w:r>
        <w:rPr>
          <w:spacing w:val="-6"/>
        </w:rPr>
        <w:t> </w:t>
      </w:r>
      <w:r>
        <w:rPr/>
        <w:t>result</w:t>
      </w:r>
      <w:r>
        <w:rPr>
          <w:spacing w:val="-10"/>
        </w:rPr>
        <w:t> </w:t>
      </w:r>
      <w:r>
        <w:rPr/>
        <w:t>in</w:t>
      </w:r>
      <w:r>
        <w:rPr>
          <w:spacing w:val="-12"/>
        </w:rPr>
        <w:t> </w:t>
      </w:r>
      <w:r>
        <w:rPr/>
        <w:t>householders</w:t>
      </w:r>
      <w:r>
        <w:rPr>
          <w:spacing w:val="-7"/>
        </w:rPr>
        <w:t> </w:t>
      </w:r>
      <w:r>
        <w:rPr/>
        <w:t>avoiding</w:t>
      </w:r>
      <w:r>
        <w:rPr>
          <w:spacing w:val="-10"/>
        </w:rPr>
        <w:t> </w:t>
      </w:r>
      <w:r>
        <w:rPr/>
        <w:t>residual</w:t>
      </w:r>
      <w:r>
        <w:rPr>
          <w:spacing w:val="-10"/>
        </w:rPr>
        <w:t> </w:t>
      </w:r>
      <w:r>
        <w:rPr/>
        <w:t>rubbish</w:t>
      </w:r>
      <w:r>
        <w:rPr>
          <w:spacing w:val="-12"/>
        </w:rPr>
        <w:t> </w:t>
      </w:r>
      <w:r>
        <w:rPr/>
        <w:t>costs</w:t>
      </w:r>
      <w:r>
        <w:rPr>
          <w:spacing w:val="-11"/>
        </w:rPr>
        <w:t> </w:t>
      </w:r>
      <w:r>
        <w:rPr/>
        <w:t>by</w:t>
      </w:r>
      <w:r>
        <w:rPr>
          <w:spacing w:val="-14"/>
        </w:rPr>
        <w:t> </w:t>
      </w:r>
      <w:r>
        <w:rPr/>
        <w:t>placing</w:t>
      </w:r>
      <w:r>
        <w:rPr>
          <w:spacing w:val="-10"/>
        </w:rPr>
        <w:t> </w:t>
      </w:r>
      <w:r>
        <w:rPr/>
        <w:t>rubbish</w:t>
      </w:r>
      <w:r>
        <w:rPr>
          <w:spacing w:val="-12"/>
        </w:rPr>
        <w:t> </w:t>
      </w:r>
      <w:r>
        <w:rPr/>
        <w:t>in</w:t>
      </w:r>
      <w:r>
        <w:rPr>
          <w:spacing w:val="-10"/>
        </w:rPr>
        <w:t> </w:t>
      </w:r>
      <w:r>
        <w:rPr/>
        <w:t>their recycling wheelie bin. This was not an issue when a user-pays rubbish collection was combined with a rates funded crate recycling system, as contamination was usually left in the crate by the collection</w:t>
      </w:r>
      <w:r>
        <w:rPr>
          <w:spacing w:val="-30"/>
        </w:rPr>
        <w:t> </w:t>
      </w:r>
      <w:r>
        <w:rPr/>
        <w:t>crew.</w:t>
      </w:r>
    </w:p>
    <w:p>
      <w:pPr>
        <w:pStyle w:val="Heading5"/>
        <w:spacing w:before="160"/>
        <w:jc w:val="both"/>
      </w:pPr>
      <w:r>
        <w:rPr>
          <w:u w:val="single"/>
        </w:rPr>
        <w:t>Feedback from local authority survey</w:t>
      </w:r>
    </w:p>
    <w:p>
      <w:pPr>
        <w:pStyle w:val="BodyText"/>
        <w:spacing w:before="6"/>
        <w:rPr>
          <w:b/>
          <w:sz w:val="9"/>
        </w:rPr>
      </w:pPr>
    </w:p>
    <w:p>
      <w:pPr>
        <w:pStyle w:val="BodyText"/>
        <w:spacing w:line="256" w:lineRule="auto" w:before="59"/>
        <w:ind w:left="560" w:right="339"/>
        <w:jc w:val="both"/>
      </w:pPr>
      <w:r>
        <w:rPr/>
        <w:t>Thirty-one respondents (84%) agreed with the recommendations for the residual rubbish collections methodology.</w:t>
      </w:r>
      <w:r>
        <w:rPr>
          <w:spacing w:val="-8"/>
        </w:rPr>
        <w:t> </w:t>
      </w:r>
      <w:r>
        <w:rPr/>
        <w:t>Of</w:t>
      </w:r>
      <w:r>
        <w:rPr>
          <w:spacing w:val="-8"/>
        </w:rPr>
        <w:t> </w:t>
      </w:r>
      <w:r>
        <w:rPr/>
        <w:t>the</w:t>
      </w:r>
      <w:r>
        <w:rPr>
          <w:spacing w:val="-9"/>
        </w:rPr>
        <w:t> </w:t>
      </w:r>
      <w:r>
        <w:rPr/>
        <w:t>five</w:t>
      </w:r>
      <w:r>
        <w:rPr>
          <w:spacing w:val="-7"/>
        </w:rPr>
        <w:t> </w:t>
      </w:r>
      <w:r>
        <w:rPr/>
        <w:t>(14%)</w:t>
      </w:r>
      <w:r>
        <w:rPr>
          <w:spacing w:val="-8"/>
        </w:rPr>
        <w:t> </w:t>
      </w:r>
      <w:r>
        <w:rPr/>
        <w:t>who</w:t>
      </w:r>
      <w:r>
        <w:rPr>
          <w:spacing w:val="-8"/>
        </w:rPr>
        <w:t> </w:t>
      </w:r>
      <w:r>
        <w:rPr/>
        <w:t>were</w:t>
      </w:r>
      <w:r>
        <w:rPr>
          <w:spacing w:val="-9"/>
        </w:rPr>
        <w:t> </w:t>
      </w:r>
      <w:r>
        <w:rPr/>
        <w:t>unsure,</w:t>
      </w:r>
      <w:r>
        <w:rPr>
          <w:spacing w:val="-7"/>
        </w:rPr>
        <w:t> </w:t>
      </w:r>
      <w:r>
        <w:rPr/>
        <w:t>one</w:t>
      </w:r>
      <w:r>
        <w:rPr>
          <w:spacing w:val="-9"/>
        </w:rPr>
        <w:t> </w:t>
      </w:r>
      <w:r>
        <w:rPr/>
        <w:t>was</w:t>
      </w:r>
      <w:r>
        <w:rPr>
          <w:spacing w:val="-8"/>
        </w:rPr>
        <w:t> </w:t>
      </w:r>
      <w:r>
        <w:rPr/>
        <w:t>unconvinced</w:t>
      </w:r>
      <w:r>
        <w:rPr>
          <w:spacing w:val="-7"/>
        </w:rPr>
        <w:t> </w:t>
      </w:r>
      <w:r>
        <w:rPr/>
        <w:t>of</w:t>
      </w:r>
      <w:r>
        <w:rPr>
          <w:spacing w:val="-9"/>
        </w:rPr>
        <w:t> </w:t>
      </w:r>
      <w:r>
        <w:rPr/>
        <w:t>the</w:t>
      </w:r>
      <w:r>
        <w:rPr>
          <w:spacing w:val="-9"/>
        </w:rPr>
        <w:t> </w:t>
      </w:r>
      <w:r>
        <w:rPr/>
        <w:t>benefits</w:t>
      </w:r>
      <w:r>
        <w:rPr>
          <w:spacing w:val="-7"/>
        </w:rPr>
        <w:t> </w:t>
      </w:r>
      <w:r>
        <w:rPr/>
        <w:t>of</w:t>
      </w:r>
      <w:r>
        <w:rPr>
          <w:spacing w:val="-3"/>
        </w:rPr>
        <w:t> </w:t>
      </w:r>
      <w:r>
        <w:rPr/>
        <w:t>using</w:t>
      </w:r>
      <w:r>
        <w:rPr>
          <w:spacing w:val="-8"/>
        </w:rPr>
        <w:t> </w:t>
      </w:r>
      <w:r>
        <w:rPr/>
        <w:t>wheelie</w:t>
      </w:r>
      <w:r>
        <w:rPr>
          <w:spacing w:val="-9"/>
        </w:rPr>
        <w:t> </w:t>
      </w:r>
      <w:r>
        <w:rPr/>
        <w:t>bins</w:t>
      </w:r>
      <w:r>
        <w:rPr>
          <w:spacing w:val="-7"/>
        </w:rPr>
        <w:t> </w:t>
      </w:r>
      <w:r>
        <w:rPr/>
        <w:t>for rubbish</w:t>
      </w:r>
      <w:r>
        <w:rPr>
          <w:spacing w:val="-6"/>
        </w:rPr>
        <w:t> </w:t>
      </w:r>
      <w:r>
        <w:rPr/>
        <w:t>collections.</w:t>
      </w:r>
    </w:p>
    <w:p>
      <w:pPr>
        <w:pStyle w:val="Heading2"/>
        <w:numPr>
          <w:ilvl w:val="1"/>
          <w:numId w:val="9"/>
        </w:numPr>
        <w:tabs>
          <w:tab w:pos="2000" w:val="left" w:leader="none"/>
          <w:tab w:pos="2001" w:val="left" w:leader="none"/>
        </w:tabs>
        <w:spacing w:line="240" w:lineRule="auto" w:before="157" w:after="0"/>
        <w:ind w:left="2000" w:right="0" w:hanging="1080"/>
        <w:jc w:val="left"/>
        <w:rPr>
          <w:b w:val="0"/>
        </w:rPr>
      </w:pPr>
      <w:bookmarkStart w:name="5.5. Findings from industry conversation" w:id="103"/>
      <w:bookmarkEnd w:id="103"/>
      <w:r>
        <w:rPr/>
      </w:r>
      <w:bookmarkStart w:name="_bookmark34" w:id="104"/>
      <w:bookmarkEnd w:id="104"/>
      <w:r>
        <w:rPr/>
      </w:r>
      <w:bookmarkStart w:name="_bookmark34" w:id="105"/>
      <w:bookmarkEnd w:id="105"/>
      <w:r>
        <w:rPr>
          <w:b w:val="0"/>
        </w:rPr>
        <w:t>F</w:t>
      </w:r>
      <w:r>
        <w:rPr>
          <w:b w:val="0"/>
        </w:rPr>
        <w:t>indings from industry</w:t>
      </w:r>
      <w:r>
        <w:rPr>
          <w:b w:val="0"/>
          <w:spacing w:val="-21"/>
        </w:rPr>
        <w:t> </w:t>
      </w:r>
      <w:r>
        <w:rPr>
          <w:b w:val="0"/>
        </w:rPr>
        <w:t>conversations</w:t>
      </w:r>
    </w:p>
    <w:p>
      <w:pPr>
        <w:pStyle w:val="BodyText"/>
        <w:spacing w:before="242"/>
        <w:ind w:left="560"/>
        <w:jc w:val="both"/>
      </w:pPr>
      <w:r>
        <w:rPr/>
        <w:t>Prior to the hui, semi-structured phone conversations were conducted with:</w:t>
      </w:r>
    </w:p>
    <w:p>
      <w:pPr>
        <w:pStyle w:val="ListParagraph"/>
        <w:numPr>
          <w:ilvl w:val="0"/>
          <w:numId w:val="12"/>
        </w:numPr>
        <w:tabs>
          <w:tab w:pos="1280" w:val="left" w:leader="none"/>
          <w:tab w:pos="1281" w:val="left" w:leader="none"/>
        </w:tabs>
        <w:spacing w:line="240" w:lineRule="auto" w:before="175" w:after="0"/>
        <w:ind w:left="1280" w:right="0" w:hanging="360"/>
        <w:jc w:val="left"/>
        <w:rPr>
          <w:sz w:val="20"/>
        </w:rPr>
      </w:pPr>
      <w:r>
        <w:rPr>
          <w:sz w:val="20"/>
        </w:rPr>
        <w:t>Reprocessors and associated</w:t>
      </w:r>
      <w:r>
        <w:rPr>
          <w:spacing w:val="-11"/>
          <w:sz w:val="20"/>
        </w:rPr>
        <w:t> </w:t>
      </w:r>
      <w:r>
        <w:rPr>
          <w:sz w:val="20"/>
        </w:rPr>
        <w:t>experts</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Collection and MRF</w:t>
      </w:r>
      <w:r>
        <w:rPr>
          <w:spacing w:val="-11"/>
          <w:sz w:val="20"/>
        </w:rPr>
        <w:t> </w:t>
      </w:r>
      <w:r>
        <w:rPr>
          <w:sz w:val="20"/>
        </w:rPr>
        <w:t>contractors</w:t>
      </w:r>
    </w:p>
    <w:p>
      <w:pPr>
        <w:pStyle w:val="ListParagraph"/>
        <w:numPr>
          <w:ilvl w:val="0"/>
          <w:numId w:val="12"/>
        </w:numPr>
        <w:tabs>
          <w:tab w:pos="1280" w:val="left" w:leader="none"/>
          <w:tab w:pos="1281" w:val="left" w:leader="none"/>
        </w:tabs>
        <w:spacing w:line="240" w:lineRule="auto" w:before="18" w:after="0"/>
        <w:ind w:left="1280" w:right="0" w:hanging="360"/>
        <w:jc w:val="left"/>
        <w:rPr>
          <w:sz w:val="20"/>
        </w:rPr>
      </w:pPr>
      <w:r>
        <w:rPr>
          <w:sz w:val="20"/>
        </w:rPr>
        <w:t>Organic</w:t>
      </w:r>
      <w:r>
        <w:rPr>
          <w:spacing w:val="-11"/>
          <w:sz w:val="20"/>
        </w:rPr>
        <w:t> </w:t>
      </w:r>
      <w:r>
        <w:rPr>
          <w:sz w:val="20"/>
        </w:rPr>
        <w:t>reprocessors</w:t>
      </w:r>
    </w:p>
    <w:p>
      <w:pPr>
        <w:pStyle w:val="BodyText"/>
        <w:spacing w:line="256" w:lineRule="auto" w:before="173"/>
        <w:ind w:left="560" w:right="342"/>
        <w:jc w:val="both"/>
      </w:pPr>
      <w:r>
        <w:rPr/>
        <w:t>The</w:t>
      </w:r>
      <w:r>
        <w:rPr>
          <w:spacing w:val="-4"/>
        </w:rPr>
        <w:t> </w:t>
      </w:r>
      <w:r>
        <w:rPr/>
        <w:t>purpose</w:t>
      </w:r>
      <w:r>
        <w:rPr>
          <w:spacing w:val="-4"/>
        </w:rPr>
        <w:t> </w:t>
      </w:r>
      <w:r>
        <w:rPr/>
        <w:t>of</w:t>
      </w:r>
      <w:r>
        <w:rPr>
          <w:spacing w:val="-5"/>
        </w:rPr>
        <w:t> </w:t>
      </w:r>
      <w:r>
        <w:rPr/>
        <w:t>these</w:t>
      </w:r>
      <w:r>
        <w:rPr>
          <w:spacing w:val="-4"/>
        </w:rPr>
        <w:t> </w:t>
      </w:r>
      <w:r>
        <w:rPr/>
        <w:t>conversations</w:t>
      </w:r>
      <w:r>
        <w:rPr>
          <w:spacing w:val="-3"/>
        </w:rPr>
        <w:t> </w:t>
      </w:r>
      <w:r>
        <w:rPr/>
        <w:t>were</w:t>
      </w:r>
      <w:r>
        <w:rPr>
          <w:spacing w:val="-4"/>
        </w:rPr>
        <w:t> </w:t>
      </w:r>
      <w:r>
        <w:rPr/>
        <w:t>to gather</w:t>
      </w:r>
      <w:r>
        <w:rPr>
          <w:spacing w:val="-3"/>
        </w:rPr>
        <w:t> </w:t>
      </w:r>
      <w:r>
        <w:rPr/>
        <w:t>qualitative</w:t>
      </w:r>
      <w:r>
        <w:rPr>
          <w:spacing w:val="-4"/>
        </w:rPr>
        <w:t> </w:t>
      </w:r>
      <w:r>
        <w:rPr/>
        <w:t>information</w:t>
      </w:r>
      <w:r>
        <w:rPr>
          <w:spacing w:val="-3"/>
        </w:rPr>
        <w:t> </w:t>
      </w:r>
      <w:r>
        <w:rPr/>
        <w:t>to identify</w:t>
      </w:r>
      <w:r>
        <w:rPr>
          <w:spacing w:val="-3"/>
        </w:rPr>
        <w:t> </w:t>
      </w:r>
      <w:r>
        <w:rPr/>
        <w:t>any</w:t>
      </w:r>
      <w:r>
        <w:rPr>
          <w:spacing w:val="-3"/>
        </w:rPr>
        <w:t> </w:t>
      </w:r>
      <w:r>
        <w:rPr/>
        <w:t>common</w:t>
      </w:r>
      <w:r>
        <w:rPr>
          <w:spacing w:val="-3"/>
        </w:rPr>
        <w:t> </w:t>
      </w:r>
      <w:r>
        <w:rPr/>
        <w:t>key</w:t>
      </w:r>
      <w:r>
        <w:rPr>
          <w:spacing w:val="-3"/>
        </w:rPr>
        <w:t> </w:t>
      </w:r>
      <w:r>
        <w:rPr/>
        <w:t>themes that could help inform the recommendations. The conversations followed this general format as</w:t>
      </w:r>
      <w:r>
        <w:rPr>
          <w:spacing w:val="6"/>
        </w:rPr>
        <w:t> </w:t>
      </w:r>
      <w:r>
        <w:rPr/>
        <w:t>follows:</w:t>
      </w:r>
    </w:p>
    <w:p>
      <w:pPr>
        <w:pStyle w:val="ListParagraph"/>
        <w:numPr>
          <w:ilvl w:val="0"/>
          <w:numId w:val="12"/>
        </w:numPr>
        <w:tabs>
          <w:tab w:pos="1280" w:val="left" w:leader="none"/>
          <w:tab w:pos="1281" w:val="left" w:leader="none"/>
        </w:tabs>
        <w:spacing w:line="240" w:lineRule="auto" w:before="158" w:after="0"/>
        <w:ind w:left="1280" w:right="0" w:hanging="360"/>
        <w:jc w:val="left"/>
        <w:rPr>
          <w:sz w:val="20"/>
        </w:rPr>
      </w:pPr>
      <w:r>
        <w:rPr>
          <w:sz w:val="20"/>
        </w:rPr>
        <w:t>The project was</w:t>
      </w:r>
      <w:r>
        <w:rPr>
          <w:spacing w:val="-13"/>
          <w:sz w:val="20"/>
        </w:rPr>
        <w:t> </w:t>
      </w:r>
      <w:r>
        <w:rPr>
          <w:sz w:val="20"/>
        </w:rPr>
        <w:t>introduced</w:t>
      </w:r>
    </w:p>
    <w:p>
      <w:pPr>
        <w:pStyle w:val="ListParagraph"/>
        <w:numPr>
          <w:ilvl w:val="0"/>
          <w:numId w:val="12"/>
        </w:numPr>
        <w:tabs>
          <w:tab w:pos="1280" w:val="left" w:leader="none"/>
          <w:tab w:pos="1281" w:val="left" w:leader="none"/>
        </w:tabs>
        <w:spacing w:line="240" w:lineRule="auto" w:before="16" w:after="0"/>
        <w:ind w:left="1280" w:right="0" w:hanging="360"/>
        <w:jc w:val="left"/>
        <w:rPr>
          <w:sz w:val="20"/>
        </w:rPr>
      </w:pPr>
      <w:r>
        <w:rPr>
          <w:sz w:val="20"/>
        </w:rPr>
        <w:t>Participants were asked to describe what their organisation</w:t>
      </w:r>
      <w:r>
        <w:rPr>
          <w:spacing w:val="-19"/>
          <w:sz w:val="20"/>
        </w:rPr>
        <w:t> </w:t>
      </w:r>
      <w:r>
        <w:rPr>
          <w:sz w:val="20"/>
        </w:rPr>
        <w:t>does</w:t>
      </w:r>
    </w:p>
    <w:p>
      <w:pPr>
        <w:pStyle w:val="ListParagraph"/>
        <w:numPr>
          <w:ilvl w:val="0"/>
          <w:numId w:val="12"/>
        </w:numPr>
        <w:tabs>
          <w:tab w:pos="1280" w:val="left" w:leader="none"/>
          <w:tab w:pos="1281" w:val="left" w:leader="none"/>
        </w:tabs>
        <w:spacing w:line="405" w:lineRule="auto" w:before="18" w:after="0"/>
        <w:ind w:left="560" w:right="336" w:firstLine="360"/>
        <w:jc w:val="left"/>
        <w:rPr>
          <w:sz w:val="20"/>
        </w:rPr>
      </w:pPr>
      <w:r>
        <w:rPr>
          <w:sz w:val="20"/>
        </w:rPr>
        <w:t>Participants</w:t>
      </w:r>
      <w:r>
        <w:rPr>
          <w:spacing w:val="-5"/>
          <w:sz w:val="20"/>
        </w:rPr>
        <w:t> </w:t>
      </w:r>
      <w:r>
        <w:rPr>
          <w:sz w:val="20"/>
        </w:rPr>
        <w:t>were</w:t>
      </w:r>
      <w:r>
        <w:rPr>
          <w:spacing w:val="-8"/>
          <w:sz w:val="20"/>
        </w:rPr>
        <w:t> </w:t>
      </w:r>
      <w:r>
        <w:rPr>
          <w:sz w:val="20"/>
        </w:rPr>
        <w:t>asked</w:t>
      </w:r>
      <w:r>
        <w:rPr>
          <w:spacing w:val="-6"/>
          <w:sz w:val="20"/>
        </w:rPr>
        <w:t> </w:t>
      </w:r>
      <w:r>
        <w:rPr>
          <w:sz w:val="20"/>
        </w:rPr>
        <w:t>to</w:t>
      </w:r>
      <w:r>
        <w:rPr>
          <w:spacing w:val="-6"/>
          <w:sz w:val="20"/>
        </w:rPr>
        <w:t> </w:t>
      </w:r>
      <w:r>
        <w:rPr>
          <w:sz w:val="20"/>
        </w:rPr>
        <w:t>describe</w:t>
      </w:r>
      <w:r>
        <w:rPr>
          <w:spacing w:val="-8"/>
          <w:sz w:val="20"/>
        </w:rPr>
        <w:t> </w:t>
      </w:r>
      <w:r>
        <w:rPr>
          <w:sz w:val="20"/>
        </w:rPr>
        <w:t>what</w:t>
      </w:r>
      <w:r>
        <w:rPr>
          <w:spacing w:val="-6"/>
          <w:sz w:val="20"/>
        </w:rPr>
        <w:t> </w:t>
      </w:r>
      <w:r>
        <w:rPr>
          <w:sz w:val="20"/>
        </w:rPr>
        <w:t>they</w:t>
      </w:r>
      <w:r>
        <w:rPr>
          <w:spacing w:val="-6"/>
          <w:sz w:val="20"/>
        </w:rPr>
        <w:t> </w:t>
      </w:r>
      <w:r>
        <w:rPr>
          <w:sz w:val="20"/>
        </w:rPr>
        <w:t>thought</w:t>
      </w:r>
      <w:r>
        <w:rPr>
          <w:spacing w:val="-9"/>
          <w:sz w:val="20"/>
        </w:rPr>
        <w:t> </w:t>
      </w:r>
      <w:r>
        <w:rPr>
          <w:sz w:val="20"/>
        </w:rPr>
        <w:t>best</w:t>
      </w:r>
      <w:r>
        <w:rPr>
          <w:spacing w:val="-9"/>
          <w:sz w:val="20"/>
        </w:rPr>
        <w:t> </w:t>
      </w:r>
      <w:r>
        <w:rPr>
          <w:sz w:val="20"/>
        </w:rPr>
        <w:t>practice</w:t>
      </w:r>
      <w:r>
        <w:rPr>
          <w:spacing w:val="-8"/>
          <w:sz w:val="20"/>
        </w:rPr>
        <w:t> </w:t>
      </w:r>
      <w:r>
        <w:rPr>
          <w:sz w:val="20"/>
        </w:rPr>
        <w:t>kerbside</w:t>
      </w:r>
      <w:r>
        <w:rPr>
          <w:spacing w:val="-8"/>
          <w:sz w:val="20"/>
        </w:rPr>
        <w:t> </w:t>
      </w:r>
      <w:r>
        <w:rPr>
          <w:sz w:val="20"/>
        </w:rPr>
        <w:t>collections</w:t>
      </w:r>
      <w:r>
        <w:rPr>
          <w:spacing w:val="-6"/>
          <w:sz w:val="20"/>
        </w:rPr>
        <w:t> </w:t>
      </w:r>
      <w:r>
        <w:rPr>
          <w:sz w:val="20"/>
        </w:rPr>
        <w:t>would</w:t>
      </w:r>
      <w:r>
        <w:rPr>
          <w:spacing w:val="-6"/>
          <w:sz w:val="20"/>
        </w:rPr>
        <w:t> </w:t>
      </w:r>
      <w:r>
        <w:rPr>
          <w:sz w:val="20"/>
        </w:rPr>
        <w:t>include The key themes that arose are summarised here for each group spoken with in Table 6.1 and</w:t>
      </w:r>
      <w:r>
        <w:rPr>
          <w:spacing w:val="-30"/>
          <w:sz w:val="20"/>
        </w:rPr>
        <w:t> </w:t>
      </w:r>
      <w:r>
        <w:rPr>
          <w:sz w:val="20"/>
        </w:rPr>
        <w:t>6.2.</w:t>
      </w:r>
    </w:p>
    <w:p>
      <w:pPr>
        <w:pStyle w:val="Heading5"/>
        <w:spacing w:before="7"/>
        <w:ind w:left="1700"/>
      </w:pPr>
      <w:r>
        <w:rPr/>
        <w:t>Table 5.1 - Key themes from conversations with reprocessors and industry bodies</w:t>
      </w:r>
    </w:p>
    <w:p>
      <w:pPr>
        <w:pStyle w:val="BodyText"/>
        <w:spacing w:before="3"/>
        <w:rPr>
          <w:b/>
          <w:sz w:val="14"/>
        </w:rPr>
      </w:pPr>
    </w:p>
    <w:tbl>
      <w:tblPr>
        <w:tblW w:w="0" w:type="auto"/>
        <w:jc w:val="left"/>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4"/>
        <w:gridCol w:w="1489"/>
        <w:gridCol w:w="1486"/>
        <w:gridCol w:w="1488"/>
        <w:gridCol w:w="1489"/>
        <w:gridCol w:w="1486"/>
      </w:tblGrid>
      <w:tr>
        <w:trPr>
          <w:trHeight w:val="833" w:hRule="exact"/>
        </w:trPr>
        <w:tc>
          <w:tcPr>
            <w:tcW w:w="2014" w:type="dxa"/>
          </w:tcPr>
          <w:p>
            <w:pPr>
              <w:pStyle w:val="TableParagraph"/>
              <w:spacing w:before="8"/>
              <w:rPr>
                <w:b/>
                <w:sz w:val="14"/>
              </w:rPr>
            </w:pPr>
          </w:p>
          <w:p>
            <w:pPr>
              <w:pStyle w:val="TableParagraph"/>
              <w:ind w:left="103" w:right="650"/>
              <w:rPr>
                <w:b/>
                <w:sz w:val="19"/>
              </w:rPr>
            </w:pPr>
            <w:r>
              <w:rPr>
                <w:b/>
                <w:color w:val="3D3D3D"/>
                <w:sz w:val="19"/>
              </w:rPr>
              <w:t>Interviews with industry</w:t>
            </w:r>
          </w:p>
        </w:tc>
        <w:tc>
          <w:tcPr>
            <w:tcW w:w="1489" w:type="dxa"/>
          </w:tcPr>
          <w:p>
            <w:pPr>
              <w:pStyle w:val="TableParagraph"/>
              <w:spacing w:before="64"/>
              <w:ind w:left="283" w:right="282"/>
              <w:jc w:val="center"/>
              <w:rPr>
                <w:b/>
                <w:sz w:val="19"/>
              </w:rPr>
            </w:pPr>
            <w:r>
              <w:rPr>
                <w:b/>
                <w:color w:val="3D3D3D"/>
                <w:sz w:val="19"/>
              </w:rPr>
              <w:t>Prefer glass collected separately</w:t>
            </w:r>
          </w:p>
        </w:tc>
        <w:tc>
          <w:tcPr>
            <w:tcW w:w="1486" w:type="dxa"/>
          </w:tcPr>
          <w:p>
            <w:pPr>
              <w:pStyle w:val="TableParagraph"/>
              <w:spacing w:before="64"/>
              <w:ind w:left="161" w:right="160"/>
              <w:jc w:val="center"/>
              <w:rPr>
                <w:b/>
                <w:sz w:val="19"/>
              </w:rPr>
            </w:pPr>
            <w:r>
              <w:rPr>
                <w:b/>
                <w:color w:val="3D3D3D"/>
                <w:sz w:val="19"/>
              </w:rPr>
              <w:t>Prefer fibre collected separately</w:t>
            </w:r>
          </w:p>
        </w:tc>
        <w:tc>
          <w:tcPr>
            <w:tcW w:w="1488" w:type="dxa"/>
          </w:tcPr>
          <w:p>
            <w:pPr>
              <w:pStyle w:val="TableParagraph"/>
              <w:spacing w:before="64"/>
              <w:ind w:left="133" w:right="136"/>
              <w:jc w:val="center"/>
              <w:rPr>
                <w:b/>
                <w:sz w:val="19"/>
              </w:rPr>
            </w:pPr>
            <w:r>
              <w:rPr>
                <w:b/>
                <w:color w:val="3D3D3D"/>
                <w:sz w:val="19"/>
              </w:rPr>
              <w:t>Prefer source </w:t>
            </w:r>
            <w:r>
              <w:rPr>
                <w:b/>
                <w:color w:val="3D3D3D"/>
                <w:w w:val="95"/>
                <w:sz w:val="19"/>
              </w:rPr>
              <w:t>separated/kerb </w:t>
            </w:r>
            <w:r>
              <w:rPr>
                <w:b/>
                <w:color w:val="3D3D3D"/>
                <w:sz w:val="19"/>
              </w:rPr>
              <w:t>side sort</w:t>
            </w:r>
          </w:p>
        </w:tc>
        <w:tc>
          <w:tcPr>
            <w:tcW w:w="1489" w:type="dxa"/>
          </w:tcPr>
          <w:p>
            <w:pPr>
              <w:pStyle w:val="TableParagraph"/>
              <w:spacing w:before="8"/>
              <w:rPr>
                <w:b/>
                <w:sz w:val="14"/>
              </w:rPr>
            </w:pPr>
          </w:p>
          <w:p>
            <w:pPr>
              <w:pStyle w:val="TableParagraph"/>
              <w:ind w:left="627" w:right="89" w:hanging="519"/>
              <w:rPr>
                <w:b/>
                <w:sz w:val="19"/>
              </w:rPr>
            </w:pPr>
            <w:r>
              <w:rPr>
                <w:b/>
                <w:color w:val="3D3D3D"/>
                <w:sz w:val="19"/>
              </w:rPr>
              <w:t>Prefer lids on or off</w:t>
            </w:r>
          </w:p>
        </w:tc>
        <w:tc>
          <w:tcPr>
            <w:tcW w:w="1486" w:type="dxa"/>
          </w:tcPr>
          <w:p>
            <w:pPr>
              <w:pStyle w:val="TableParagraph"/>
              <w:spacing w:line="256" w:lineRule="auto" w:before="42"/>
              <w:ind w:left="134" w:right="139" w:firstLine="1"/>
              <w:jc w:val="center"/>
              <w:rPr>
                <w:b/>
                <w:sz w:val="19"/>
              </w:rPr>
            </w:pPr>
            <w:r>
              <w:rPr>
                <w:b/>
                <w:color w:val="3D3D3D"/>
                <w:sz w:val="19"/>
              </w:rPr>
              <w:t>Recommend collecting PP at kerbside</w:t>
            </w:r>
          </w:p>
        </w:tc>
      </w:tr>
      <w:tr>
        <w:trPr>
          <w:trHeight w:val="322" w:hRule="exact"/>
        </w:trPr>
        <w:tc>
          <w:tcPr>
            <w:tcW w:w="2014" w:type="dxa"/>
          </w:tcPr>
          <w:p>
            <w:pPr>
              <w:pStyle w:val="TableParagraph"/>
              <w:spacing w:before="40"/>
              <w:ind w:left="103"/>
              <w:rPr>
                <w:b/>
                <w:sz w:val="19"/>
              </w:rPr>
            </w:pPr>
            <w:r>
              <w:rPr>
                <w:b/>
                <w:color w:val="3D3D3D"/>
                <w:sz w:val="19"/>
              </w:rPr>
              <w:t>Plastic reprocessor 1</w:t>
            </w:r>
          </w:p>
        </w:tc>
        <w:tc>
          <w:tcPr>
            <w:tcW w:w="1489" w:type="dxa"/>
            <w:shd w:val="clear" w:color="auto" w:fill="C5E0B3"/>
          </w:tcPr>
          <w:p>
            <w:pPr>
              <w:pStyle w:val="TableParagraph"/>
              <w:spacing w:before="40"/>
              <w:ind w:left="607"/>
              <w:rPr>
                <w:sz w:val="19"/>
              </w:rPr>
            </w:pPr>
            <w:r>
              <w:rPr>
                <w:sz w:val="19"/>
              </w:rPr>
              <w:t>Yes</w:t>
            </w:r>
          </w:p>
        </w:tc>
        <w:tc>
          <w:tcPr>
            <w:tcW w:w="1486" w:type="dxa"/>
          </w:tcPr>
          <w:p>
            <w:pPr>
              <w:pStyle w:val="TableParagraph"/>
              <w:spacing w:before="40"/>
              <w:ind w:left="2"/>
              <w:jc w:val="center"/>
              <w:rPr>
                <w:sz w:val="19"/>
              </w:rPr>
            </w:pPr>
            <w:r>
              <w:rPr>
                <w:color w:val="3D3D3D"/>
                <w:w w:val="99"/>
                <w:sz w:val="19"/>
              </w:rPr>
              <w:t>-</w:t>
            </w:r>
          </w:p>
        </w:tc>
        <w:tc>
          <w:tcPr>
            <w:tcW w:w="1488" w:type="dxa"/>
            <w:shd w:val="clear" w:color="auto" w:fill="C5E0B3"/>
          </w:tcPr>
          <w:p>
            <w:pPr>
              <w:pStyle w:val="TableParagraph"/>
              <w:spacing w:before="40"/>
              <w:ind w:left="133" w:right="133"/>
              <w:jc w:val="center"/>
              <w:rPr>
                <w:sz w:val="19"/>
              </w:rPr>
            </w:pPr>
            <w:r>
              <w:rPr>
                <w:sz w:val="19"/>
              </w:rPr>
              <w:t>Yes</w:t>
            </w:r>
          </w:p>
        </w:tc>
        <w:tc>
          <w:tcPr>
            <w:tcW w:w="1489" w:type="dxa"/>
            <w:shd w:val="clear" w:color="auto" w:fill="FFE599"/>
          </w:tcPr>
          <w:p>
            <w:pPr>
              <w:pStyle w:val="TableParagraph"/>
              <w:spacing w:before="40"/>
              <w:ind w:left="283" w:right="282"/>
              <w:jc w:val="center"/>
              <w:rPr>
                <w:sz w:val="19"/>
              </w:rPr>
            </w:pPr>
            <w:r>
              <w:rPr>
                <w:sz w:val="19"/>
              </w:rPr>
              <w:t>Either</w:t>
            </w:r>
          </w:p>
        </w:tc>
        <w:tc>
          <w:tcPr>
            <w:tcW w:w="1486" w:type="dxa"/>
            <w:shd w:val="clear" w:color="auto" w:fill="C5E0B3"/>
          </w:tcPr>
          <w:p>
            <w:pPr>
              <w:pStyle w:val="TableParagraph"/>
              <w:spacing w:before="40"/>
              <w:ind w:left="157" w:right="160"/>
              <w:jc w:val="center"/>
              <w:rPr>
                <w:sz w:val="19"/>
              </w:rPr>
            </w:pPr>
            <w:r>
              <w:rPr>
                <w:sz w:val="19"/>
              </w:rPr>
              <w:t>Yes</w:t>
            </w:r>
          </w:p>
        </w:tc>
      </w:tr>
      <w:tr>
        <w:trPr>
          <w:trHeight w:val="322" w:hRule="exact"/>
        </w:trPr>
        <w:tc>
          <w:tcPr>
            <w:tcW w:w="2014" w:type="dxa"/>
          </w:tcPr>
          <w:p>
            <w:pPr>
              <w:pStyle w:val="TableParagraph"/>
              <w:spacing w:before="40"/>
              <w:ind w:left="103"/>
              <w:rPr>
                <w:b/>
                <w:sz w:val="19"/>
              </w:rPr>
            </w:pPr>
            <w:r>
              <w:rPr>
                <w:b/>
                <w:color w:val="3D3D3D"/>
                <w:sz w:val="19"/>
              </w:rPr>
              <w:t>Plastic reprocessor 2</w:t>
            </w:r>
          </w:p>
        </w:tc>
        <w:tc>
          <w:tcPr>
            <w:tcW w:w="1489" w:type="dxa"/>
            <w:shd w:val="clear" w:color="auto" w:fill="C5E0B3"/>
          </w:tcPr>
          <w:p>
            <w:pPr>
              <w:pStyle w:val="TableParagraph"/>
              <w:spacing w:before="40"/>
              <w:ind w:left="607"/>
              <w:rPr>
                <w:sz w:val="19"/>
              </w:rPr>
            </w:pPr>
            <w:r>
              <w:rPr>
                <w:sz w:val="19"/>
              </w:rPr>
              <w:t>Yes</w:t>
            </w:r>
          </w:p>
        </w:tc>
        <w:tc>
          <w:tcPr>
            <w:tcW w:w="1486" w:type="dxa"/>
          </w:tcPr>
          <w:p>
            <w:pPr>
              <w:pStyle w:val="TableParagraph"/>
              <w:spacing w:before="40"/>
              <w:ind w:left="2"/>
              <w:jc w:val="center"/>
              <w:rPr>
                <w:sz w:val="19"/>
              </w:rPr>
            </w:pPr>
            <w:r>
              <w:rPr>
                <w:color w:val="3D3D3D"/>
                <w:w w:val="99"/>
                <w:sz w:val="19"/>
              </w:rPr>
              <w:t>-</w:t>
            </w:r>
          </w:p>
        </w:tc>
        <w:tc>
          <w:tcPr>
            <w:tcW w:w="1488" w:type="dxa"/>
            <w:shd w:val="clear" w:color="auto" w:fill="C5E0B3"/>
          </w:tcPr>
          <w:p>
            <w:pPr>
              <w:pStyle w:val="TableParagraph"/>
              <w:spacing w:before="40"/>
              <w:ind w:left="133" w:right="133"/>
              <w:jc w:val="center"/>
              <w:rPr>
                <w:sz w:val="19"/>
              </w:rPr>
            </w:pPr>
            <w:r>
              <w:rPr>
                <w:sz w:val="19"/>
              </w:rPr>
              <w:t>Yes</w:t>
            </w:r>
          </w:p>
        </w:tc>
        <w:tc>
          <w:tcPr>
            <w:tcW w:w="1489" w:type="dxa"/>
            <w:shd w:val="clear" w:color="auto" w:fill="C5E0B3"/>
          </w:tcPr>
          <w:p>
            <w:pPr>
              <w:pStyle w:val="TableParagraph"/>
              <w:spacing w:before="40"/>
              <w:ind w:left="281" w:right="282"/>
              <w:jc w:val="center"/>
              <w:rPr>
                <w:sz w:val="19"/>
              </w:rPr>
            </w:pPr>
            <w:r>
              <w:rPr>
                <w:sz w:val="19"/>
              </w:rPr>
              <w:t>Off</w:t>
            </w:r>
          </w:p>
        </w:tc>
        <w:tc>
          <w:tcPr>
            <w:tcW w:w="1486" w:type="dxa"/>
            <w:shd w:val="clear" w:color="auto" w:fill="C5E0B3"/>
          </w:tcPr>
          <w:p>
            <w:pPr>
              <w:pStyle w:val="TableParagraph"/>
              <w:spacing w:before="40"/>
              <w:ind w:left="157" w:right="160"/>
              <w:jc w:val="center"/>
              <w:rPr>
                <w:sz w:val="19"/>
              </w:rPr>
            </w:pPr>
            <w:r>
              <w:rPr>
                <w:sz w:val="19"/>
              </w:rPr>
              <w:t>Yes</w:t>
            </w:r>
          </w:p>
        </w:tc>
      </w:tr>
      <w:tr>
        <w:trPr>
          <w:trHeight w:val="322" w:hRule="exact"/>
        </w:trPr>
        <w:tc>
          <w:tcPr>
            <w:tcW w:w="2014" w:type="dxa"/>
          </w:tcPr>
          <w:p>
            <w:pPr>
              <w:pStyle w:val="TableParagraph"/>
              <w:spacing w:before="40"/>
              <w:ind w:left="103"/>
              <w:rPr>
                <w:b/>
                <w:sz w:val="19"/>
              </w:rPr>
            </w:pPr>
            <w:r>
              <w:rPr>
                <w:b/>
                <w:color w:val="3D3D3D"/>
                <w:sz w:val="19"/>
              </w:rPr>
              <w:t>Plastic reprocessor 3</w:t>
            </w:r>
          </w:p>
        </w:tc>
        <w:tc>
          <w:tcPr>
            <w:tcW w:w="1489" w:type="dxa"/>
            <w:shd w:val="clear" w:color="auto" w:fill="C5E0B3"/>
          </w:tcPr>
          <w:p>
            <w:pPr>
              <w:pStyle w:val="TableParagraph"/>
              <w:spacing w:before="40"/>
              <w:ind w:left="607"/>
              <w:rPr>
                <w:sz w:val="19"/>
              </w:rPr>
            </w:pPr>
            <w:r>
              <w:rPr>
                <w:sz w:val="19"/>
              </w:rPr>
              <w:t>Yes</w:t>
            </w:r>
          </w:p>
        </w:tc>
        <w:tc>
          <w:tcPr>
            <w:tcW w:w="1486" w:type="dxa"/>
          </w:tcPr>
          <w:p>
            <w:pPr>
              <w:pStyle w:val="TableParagraph"/>
              <w:spacing w:before="40"/>
              <w:ind w:left="2"/>
              <w:jc w:val="center"/>
              <w:rPr>
                <w:sz w:val="19"/>
              </w:rPr>
            </w:pPr>
            <w:r>
              <w:rPr>
                <w:color w:val="3D3D3D"/>
                <w:w w:val="99"/>
                <w:sz w:val="19"/>
              </w:rPr>
              <w:t>-</w:t>
            </w:r>
          </w:p>
        </w:tc>
        <w:tc>
          <w:tcPr>
            <w:tcW w:w="1488" w:type="dxa"/>
            <w:shd w:val="clear" w:color="auto" w:fill="C5E0B3"/>
          </w:tcPr>
          <w:p>
            <w:pPr>
              <w:pStyle w:val="TableParagraph"/>
              <w:spacing w:before="40"/>
              <w:ind w:left="133" w:right="133"/>
              <w:jc w:val="center"/>
              <w:rPr>
                <w:sz w:val="19"/>
              </w:rPr>
            </w:pPr>
            <w:r>
              <w:rPr>
                <w:sz w:val="19"/>
              </w:rPr>
              <w:t>Yes</w:t>
            </w:r>
          </w:p>
        </w:tc>
        <w:tc>
          <w:tcPr>
            <w:tcW w:w="1489" w:type="dxa"/>
            <w:shd w:val="clear" w:color="auto" w:fill="C5E0B3"/>
          </w:tcPr>
          <w:p>
            <w:pPr>
              <w:pStyle w:val="TableParagraph"/>
              <w:spacing w:before="40"/>
              <w:ind w:left="281" w:right="282"/>
              <w:jc w:val="center"/>
              <w:rPr>
                <w:sz w:val="19"/>
              </w:rPr>
            </w:pPr>
            <w:r>
              <w:rPr>
                <w:sz w:val="19"/>
              </w:rPr>
              <w:t>Off</w:t>
            </w:r>
          </w:p>
        </w:tc>
        <w:tc>
          <w:tcPr>
            <w:tcW w:w="1486" w:type="dxa"/>
          </w:tcPr>
          <w:p>
            <w:pPr>
              <w:pStyle w:val="TableParagraph"/>
              <w:spacing w:before="40"/>
              <w:jc w:val="center"/>
              <w:rPr>
                <w:sz w:val="19"/>
              </w:rPr>
            </w:pPr>
            <w:r>
              <w:rPr>
                <w:color w:val="3D3D3D"/>
                <w:w w:val="99"/>
                <w:sz w:val="19"/>
              </w:rPr>
              <w:t>-</w:t>
            </w:r>
          </w:p>
        </w:tc>
      </w:tr>
      <w:tr>
        <w:trPr>
          <w:trHeight w:val="322" w:hRule="exact"/>
        </w:trPr>
        <w:tc>
          <w:tcPr>
            <w:tcW w:w="2014" w:type="dxa"/>
          </w:tcPr>
          <w:p>
            <w:pPr>
              <w:pStyle w:val="TableParagraph"/>
              <w:spacing w:before="40"/>
              <w:ind w:left="103"/>
              <w:rPr>
                <w:b/>
                <w:sz w:val="19"/>
              </w:rPr>
            </w:pPr>
            <w:r>
              <w:rPr>
                <w:b/>
                <w:color w:val="3D3D3D"/>
                <w:sz w:val="19"/>
              </w:rPr>
              <w:t>Plastic reprocessor 4</w:t>
            </w:r>
          </w:p>
        </w:tc>
        <w:tc>
          <w:tcPr>
            <w:tcW w:w="1489" w:type="dxa"/>
            <w:shd w:val="clear" w:color="auto" w:fill="C5E0B3"/>
          </w:tcPr>
          <w:p>
            <w:pPr>
              <w:pStyle w:val="TableParagraph"/>
              <w:spacing w:before="40"/>
              <w:ind w:left="607"/>
              <w:rPr>
                <w:sz w:val="19"/>
              </w:rPr>
            </w:pPr>
            <w:r>
              <w:rPr>
                <w:sz w:val="19"/>
              </w:rPr>
              <w:t>Yes</w:t>
            </w:r>
          </w:p>
        </w:tc>
        <w:tc>
          <w:tcPr>
            <w:tcW w:w="1486" w:type="dxa"/>
            <w:shd w:val="clear" w:color="auto" w:fill="C5E0B3"/>
          </w:tcPr>
          <w:p>
            <w:pPr>
              <w:pStyle w:val="TableParagraph"/>
              <w:spacing w:before="40"/>
              <w:ind w:left="160" w:right="160"/>
              <w:jc w:val="center"/>
              <w:rPr>
                <w:sz w:val="19"/>
              </w:rPr>
            </w:pPr>
            <w:r>
              <w:rPr>
                <w:sz w:val="19"/>
              </w:rPr>
              <w:t>Yes</w:t>
            </w:r>
          </w:p>
        </w:tc>
        <w:tc>
          <w:tcPr>
            <w:tcW w:w="1488" w:type="dxa"/>
            <w:shd w:val="clear" w:color="auto" w:fill="C5E0B3"/>
          </w:tcPr>
          <w:p>
            <w:pPr>
              <w:pStyle w:val="TableParagraph"/>
              <w:spacing w:before="40"/>
              <w:ind w:left="133" w:right="133"/>
              <w:jc w:val="center"/>
              <w:rPr>
                <w:sz w:val="19"/>
              </w:rPr>
            </w:pPr>
            <w:r>
              <w:rPr>
                <w:sz w:val="19"/>
              </w:rPr>
              <w:t>Yes</w:t>
            </w:r>
          </w:p>
        </w:tc>
        <w:tc>
          <w:tcPr>
            <w:tcW w:w="1489" w:type="dxa"/>
            <w:shd w:val="clear" w:color="auto" w:fill="FFE599"/>
          </w:tcPr>
          <w:p>
            <w:pPr>
              <w:pStyle w:val="TableParagraph"/>
              <w:spacing w:before="40"/>
              <w:ind w:left="283" w:right="282"/>
              <w:jc w:val="center"/>
              <w:rPr>
                <w:sz w:val="19"/>
              </w:rPr>
            </w:pPr>
            <w:r>
              <w:rPr>
                <w:sz w:val="19"/>
              </w:rPr>
              <w:t>Either</w:t>
            </w:r>
          </w:p>
        </w:tc>
        <w:tc>
          <w:tcPr>
            <w:tcW w:w="1486" w:type="dxa"/>
          </w:tcPr>
          <w:p>
            <w:pPr>
              <w:pStyle w:val="TableParagraph"/>
              <w:spacing w:before="40"/>
              <w:jc w:val="center"/>
              <w:rPr>
                <w:sz w:val="19"/>
              </w:rPr>
            </w:pPr>
            <w:r>
              <w:rPr>
                <w:color w:val="3D3D3D"/>
                <w:w w:val="99"/>
                <w:sz w:val="19"/>
              </w:rPr>
              <w:t>-</w:t>
            </w:r>
          </w:p>
        </w:tc>
      </w:tr>
      <w:tr>
        <w:trPr>
          <w:trHeight w:val="554" w:hRule="exact"/>
        </w:trPr>
        <w:tc>
          <w:tcPr>
            <w:tcW w:w="2014" w:type="dxa"/>
          </w:tcPr>
          <w:p>
            <w:pPr>
              <w:pStyle w:val="TableParagraph"/>
              <w:spacing w:before="40"/>
              <w:ind w:left="103" w:right="133"/>
              <w:rPr>
                <w:b/>
                <w:sz w:val="19"/>
              </w:rPr>
            </w:pPr>
            <w:r>
              <w:rPr>
                <w:b/>
                <w:color w:val="3D3D3D"/>
                <w:sz w:val="19"/>
              </w:rPr>
              <w:t>Plastic reprocessor 5 / collection contractor</w:t>
            </w:r>
          </w:p>
        </w:tc>
        <w:tc>
          <w:tcPr>
            <w:tcW w:w="1489" w:type="dxa"/>
            <w:shd w:val="clear" w:color="auto" w:fill="C5E0B3"/>
          </w:tcPr>
          <w:p>
            <w:pPr>
              <w:pStyle w:val="TableParagraph"/>
              <w:spacing w:before="157"/>
              <w:ind w:left="607"/>
              <w:rPr>
                <w:sz w:val="19"/>
              </w:rPr>
            </w:pPr>
            <w:r>
              <w:rPr>
                <w:sz w:val="19"/>
              </w:rPr>
              <w:t>Yes</w:t>
            </w:r>
          </w:p>
        </w:tc>
        <w:tc>
          <w:tcPr>
            <w:tcW w:w="1486" w:type="dxa"/>
            <w:shd w:val="clear" w:color="auto" w:fill="C5E0B3"/>
          </w:tcPr>
          <w:p>
            <w:pPr>
              <w:pStyle w:val="TableParagraph"/>
              <w:spacing w:before="157"/>
              <w:ind w:left="160" w:right="160"/>
              <w:jc w:val="center"/>
              <w:rPr>
                <w:sz w:val="19"/>
              </w:rPr>
            </w:pPr>
            <w:r>
              <w:rPr>
                <w:sz w:val="19"/>
              </w:rPr>
              <w:t>Yes</w:t>
            </w:r>
          </w:p>
        </w:tc>
        <w:tc>
          <w:tcPr>
            <w:tcW w:w="1488" w:type="dxa"/>
            <w:shd w:val="clear" w:color="auto" w:fill="FFE599"/>
          </w:tcPr>
          <w:p>
            <w:pPr>
              <w:pStyle w:val="TableParagraph"/>
              <w:spacing w:before="157"/>
              <w:ind w:left="133" w:right="134"/>
              <w:jc w:val="center"/>
              <w:rPr>
                <w:sz w:val="19"/>
              </w:rPr>
            </w:pPr>
            <w:r>
              <w:rPr>
                <w:color w:val="3D3D3D"/>
                <w:sz w:val="19"/>
              </w:rPr>
              <w:t>H&amp;S concerns</w:t>
            </w:r>
          </w:p>
        </w:tc>
        <w:tc>
          <w:tcPr>
            <w:tcW w:w="1489" w:type="dxa"/>
            <w:shd w:val="clear" w:color="auto" w:fill="C5E0B3"/>
          </w:tcPr>
          <w:p>
            <w:pPr>
              <w:pStyle w:val="TableParagraph"/>
              <w:spacing w:before="157"/>
              <w:ind w:left="281" w:right="282"/>
              <w:jc w:val="center"/>
              <w:rPr>
                <w:sz w:val="19"/>
              </w:rPr>
            </w:pPr>
            <w:r>
              <w:rPr>
                <w:sz w:val="19"/>
              </w:rPr>
              <w:t>Off</w:t>
            </w:r>
          </w:p>
        </w:tc>
        <w:tc>
          <w:tcPr>
            <w:tcW w:w="1486" w:type="dxa"/>
            <w:shd w:val="clear" w:color="auto" w:fill="C5E0B3"/>
          </w:tcPr>
          <w:p>
            <w:pPr>
              <w:pStyle w:val="TableParagraph"/>
              <w:spacing w:before="157"/>
              <w:ind w:left="157" w:right="160"/>
              <w:jc w:val="center"/>
              <w:rPr>
                <w:sz w:val="19"/>
              </w:rPr>
            </w:pPr>
            <w:r>
              <w:rPr>
                <w:sz w:val="19"/>
              </w:rPr>
              <w:t>Yes</w:t>
            </w:r>
          </w:p>
        </w:tc>
      </w:tr>
      <w:tr>
        <w:trPr>
          <w:trHeight w:val="554" w:hRule="exact"/>
        </w:trPr>
        <w:tc>
          <w:tcPr>
            <w:tcW w:w="2014" w:type="dxa"/>
          </w:tcPr>
          <w:p>
            <w:pPr>
              <w:pStyle w:val="TableParagraph"/>
              <w:spacing w:before="40"/>
              <w:ind w:left="103"/>
              <w:rPr>
                <w:b/>
                <w:sz w:val="19"/>
              </w:rPr>
            </w:pPr>
            <w:r>
              <w:rPr>
                <w:b/>
                <w:color w:val="3D3D3D"/>
                <w:sz w:val="19"/>
              </w:rPr>
              <w:t>Metal industry body/metal collector</w:t>
            </w:r>
          </w:p>
        </w:tc>
        <w:tc>
          <w:tcPr>
            <w:tcW w:w="1489" w:type="dxa"/>
            <w:shd w:val="clear" w:color="auto" w:fill="C5E0B3"/>
          </w:tcPr>
          <w:p>
            <w:pPr>
              <w:pStyle w:val="TableParagraph"/>
              <w:spacing w:before="157"/>
              <w:ind w:left="607"/>
              <w:rPr>
                <w:sz w:val="19"/>
              </w:rPr>
            </w:pPr>
            <w:r>
              <w:rPr>
                <w:sz w:val="19"/>
              </w:rPr>
              <w:t>Yes</w:t>
            </w:r>
          </w:p>
        </w:tc>
        <w:tc>
          <w:tcPr>
            <w:tcW w:w="1486" w:type="dxa"/>
          </w:tcPr>
          <w:p>
            <w:pPr>
              <w:pStyle w:val="TableParagraph"/>
              <w:spacing w:before="157"/>
              <w:ind w:left="2"/>
              <w:jc w:val="center"/>
              <w:rPr>
                <w:sz w:val="19"/>
              </w:rPr>
            </w:pPr>
            <w:r>
              <w:rPr>
                <w:color w:val="3D3D3D"/>
                <w:w w:val="99"/>
                <w:sz w:val="19"/>
              </w:rPr>
              <w:t>-</w:t>
            </w:r>
          </w:p>
        </w:tc>
        <w:tc>
          <w:tcPr>
            <w:tcW w:w="1488" w:type="dxa"/>
            <w:shd w:val="clear" w:color="auto" w:fill="C5E0B3"/>
          </w:tcPr>
          <w:p>
            <w:pPr>
              <w:pStyle w:val="TableParagraph"/>
              <w:spacing w:before="157"/>
              <w:ind w:left="133" w:right="133"/>
              <w:jc w:val="center"/>
              <w:rPr>
                <w:sz w:val="19"/>
              </w:rPr>
            </w:pPr>
            <w:r>
              <w:rPr>
                <w:sz w:val="19"/>
              </w:rPr>
              <w:t>Yes</w:t>
            </w:r>
          </w:p>
        </w:tc>
        <w:tc>
          <w:tcPr>
            <w:tcW w:w="1489" w:type="dxa"/>
            <w:shd w:val="clear" w:color="auto" w:fill="C5E0B3"/>
          </w:tcPr>
          <w:p>
            <w:pPr>
              <w:pStyle w:val="TableParagraph"/>
              <w:spacing w:before="157"/>
              <w:ind w:left="281" w:right="282"/>
              <w:jc w:val="center"/>
              <w:rPr>
                <w:sz w:val="19"/>
              </w:rPr>
            </w:pPr>
            <w:r>
              <w:rPr>
                <w:sz w:val="19"/>
              </w:rPr>
              <w:t>Off</w:t>
            </w:r>
          </w:p>
        </w:tc>
        <w:tc>
          <w:tcPr>
            <w:tcW w:w="1486" w:type="dxa"/>
          </w:tcPr>
          <w:p>
            <w:pPr>
              <w:pStyle w:val="TableParagraph"/>
              <w:spacing w:before="157"/>
              <w:jc w:val="center"/>
              <w:rPr>
                <w:sz w:val="19"/>
              </w:rPr>
            </w:pPr>
            <w:r>
              <w:rPr>
                <w:color w:val="3D3D3D"/>
                <w:w w:val="99"/>
                <w:sz w:val="19"/>
              </w:rPr>
              <w:t>-</w:t>
            </w:r>
          </w:p>
        </w:tc>
      </w:tr>
      <w:tr>
        <w:trPr>
          <w:trHeight w:val="326" w:hRule="exact"/>
        </w:trPr>
        <w:tc>
          <w:tcPr>
            <w:tcW w:w="2014" w:type="dxa"/>
          </w:tcPr>
          <w:p>
            <w:pPr>
              <w:pStyle w:val="TableParagraph"/>
              <w:spacing w:before="40"/>
              <w:ind w:left="103"/>
              <w:rPr>
                <w:b/>
                <w:sz w:val="19"/>
              </w:rPr>
            </w:pPr>
            <w:r>
              <w:rPr>
                <w:b/>
                <w:color w:val="3D3D3D"/>
                <w:sz w:val="19"/>
              </w:rPr>
              <w:t>Glass reprocessor</w:t>
            </w:r>
          </w:p>
        </w:tc>
        <w:tc>
          <w:tcPr>
            <w:tcW w:w="1489" w:type="dxa"/>
            <w:shd w:val="clear" w:color="auto" w:fill="C5E0B3"/>
          </w:tcPr>
          <w:p>
            <w:pPr>
              <w:pStyle w:val="TableParagraph"/>
              <w:spacing w:before="40"/>
              <w:ind w:left="607"/>
              <w:rPr>
                <w:sz w:val="19"/>
              </w:rPr>
            </w:pPr>
            <w:r>
              <w:rPr>
                <w:sz w:val="19"/>
              </w:rPr>
              <w:t>Yes</w:t>
            </w:r>
          </w:p>
        </w:tc>
        <w:tc>
          <w:tcPr>
            <w:tcW w:w="1486" w:type="dxa"/>
            <w:shd w:val="clear" w:color="auto" w:fill="FFE599"/>
          </w:tcPr>
          <w:p>
            <w:pPr>
              <w:pStyle w:val="TableParagraph"/>
              <w:spacing w:before="40"/>
              <w:ind w:left="161" w:right="160"/>
              <w:jc w:val="center"/>
              <w:rPr>
                <w:sz w:val="19"/>
              </w:rPr>
            </w:pPr>
            <w:r>
              <w:rPr>
                <w:sz w:val="19"/>
              </w:rPr>
              <w:t>No preference</w:t>
            </w:r>
          </w:p>
        </w:tc>
        <w:tc>
          <w:tcPr>
            <w:tcW w:w="1488" w:type="dxa"/>
            <w:shd w:val="clear" w:color="auto" w:fill="C5E0B3"/>
          </w:tcPr>
          <w:p>
            <w:pPr>
              <w:pStyle w:val="TableParagraph"/>
              <w:spacing w:before="40"/>
              <w:ind w:left="133" w:right="133"/>
              <w:jc w:val="center"/>
              <w:rPr>
                <w:sz w:val="19"/>
              </w:rPr>
            </w:pPr>
            <w:r>
              <w:rPr>
                <w:sz w:val="19"/>
              </w:rPr>
              <w:t>Yes</w:t>
            </w:r>
          </w:p>
        </w:tc>
        <w:tc>
          <w:tcPr>
            <w:tcW w:w="1489" w:type="dxa"/>
            <w:shd w:val="clear" w:color="auto" w:fill="C5E0B3"/>
          </w:tcPr>
          <w:p>
            <w:pPr>
              <w:pStyle w:val="TableParagraph"/>
              <w:spacing w:before="40"/>
              <w:ind w:left="281" w:right="282"/>
              <w:jc w:val="center"/>
              <w:rPr>
                <w:sz w:val="19"/>
              </w:rPr>
            </w:pPr>
            <w:r>
              <w:rPr>
                <w:sz w:val="19"/>
              </w:rPr>
              <w:t>Off</w:t>
            </w:r>
          </w:p>
        </w:tc>
        <w:tc>
          <w:tcPr>
            <w:tcW w:w="1486" w:type="dxa"/>
          </w:tcPr>
          <w:p>
            <w:pPr>
              <w:pStyle w:val="TableParagraph"/>
              <w:spacing w:before="40"/>
              <w:jc w:val="center"/>
              <w:rPr>
                <w:sz w:val="19"/>
              </w:rPr>
            </w:pPr>
            <w:r>
              <w:rPr>
                <w:color w:val="3D3D3D"/>
                <w:w w:val="99"/>
                <w:sz w:val="19"/>
              </w:rPr>
              <w:t>-</w:t>
            </w:r>
          </w:p>
        </w:tc>
      </w:tr>
      <w:tr>
        <w:trPr>
          <w:trHeight w:val="317" w:hRule="exact"/>
        </w:trPr>
        <w:tc>
          <w:tcPr>
            <w:tcW w:w="2014" w:type="dxa"/>
          </w:tcPr>
          <w:p>
            <w:pPr>
              <w:pStyle w:val="TableParagraph"/>
              <w:spacing w:before="35"/>
              <w:ind w:left="103"/>
              <w:rPr>
                <w:b/>
                <w:sz w:val="19"/>
              </w:rPr>
            </w:pPr>
            <w:r>
              <w:rPr>
                <w:b/>
                <w:color w:val="3D3D3D"/>
                <w:sz w:val="19"/>
              </w:rPr>
              <w:t>MRF/Glass sorter</w:t>
            </w:r>
          </w:p>
        </w:tc>
        <w:tc>
          <w:tcPr>
            <w:tcW w:w="1489" w:type="dxa"/>
            <w:shd w:val="clear" w:color="auto" w:fill="C5E0B3"/>
          </w:tcPr>
          <w:p>
            <w:pPr>
              <w:pStyle w:val="TableParagraph"/>
              <w:spacing w:before="35"/>
              <w:ind w:left="607"/>
              <w:rPr>
                <w:sz w:val="19"/>
              </w:rPr>
            </w:pPr>
            <w:r>
              <w:rPr>
                <w:sz w:val="19"/>
              </w:rPr>
              <w:t>Yes</w:t>
            </w:r>
          </w:p>
        </w:tc>
        <w:tc>
          <w:tcPr>
            <w:tcW w:w="1486" w:type="dxa"/>
            <w:shd w:val="clear" w:color="auto" w:fill="C5E0B3"/>
          </w:tcPr>
          <w:p>
            <w:pPr>
              <w:pStyle w:val="TableParagraph"/>
              <w:spacing w:before="35"/>
              <w:ind w:left="160" w:right="160"/>
              <w:jc w:val="center"/>
              <w:rPr>
                <w:sz w:val="19"/>
              </w:rPr>
            </w:pPr>
            <w:r>
              <w:rPr>
                <w:sz w:val="19"/>
              </w:rPr>
              <w:t>Yes</w:t>
            </w:r>
          </w:p>
        </w:tc>
        <w:tc>
          <w:tcPr>
            <w:tcW w:w="1488" w:type="dxa"/>
            <w:shd w:val="clear" w:color="auto" w:fill="C5E0B3"/>
          </w:tcPr>
          <w:p>
            <w:pPr>
              <w:pStyle w:val="TableParagraph"/>
              <w:spacing w:before="35"/>
              <w:ind w:left="133" w:right="133"/>
              <w:jc w:val="center"/>
              <w:rPr>
                <w:sz w:val="19"/>
              </w:rPr>
            </w:pPr>
            <w:r>
              <w:rPr>
                <w:sz w:val="19"/>
              </w:rPr>
              <w:t>Yes</w:t>
            </w:r>
          </w:p>
        </w:tc>
        <w:tc>
          <w:tcPr>
            <w:tcW w:w="1489" w:type="dxa"/>
            <w:shd w:val="clear" w:color="auto" w:fill="C5E0B3"/>
          </w:tcPr>
          <w:p>
            <w:pPr>
              <w:pStyle w:val="TableParagraph"/>
              <w:spacing w:before="35"/>
              <w:ind w:left="281" w:right="282"/>
              <w:jc w:val="center"/>
              <w:rPr>
                <w:sz w:val="19"/>
              </w:rPr>
            </w:pPr>
            <w:r>
              <w:rPr>
                <w:sz w:val="19"/>
              </w:rPr>
              <w:t>Off</w:t>
            </w:r>
          </w:p>
        </w:tc>
        <w:tc>
          <w:tcPr>
            <w:tcW w:w="1486" w:type="dxa"/>
            <w:shd w:val="clear" w:color="auto" w:fill="C5E0B3"/>
          </w:tcPr>
          <w:p>
            <w:pPr>
              <w:pStyle w:val="TableParagraph"/>
              <w:spacing w:before="35"/>
              <w:ind w:left="157" w:right="160"/>
              <w:jc w:val="center"/>
              <w:rPr>
                <w:sz w:val="19"/>
              </w:rPr>
            </w:pPr>
            <w:r>
              <w:rPr>
                <w:sz w:val="19"/>
              </w:rPr>
              <w:t>Yes</w:t>
            </w:r>
          </w:p>
        </w:tc>
      </w:tr>
      <w:tr>
        <w:trPr>
          <w:trHeight w:val="317" w:hRule="exact"/>
        </w:trPr>
        <w:tc>
          <w:tcPr>
            <w:tcW w:w="2014" w:type="dxa"/>
          </w:tcPr>
          <w:p>
            <w:pPr>
              <w:pStyle w:val="TableParagraph"/>
              <w:spacing w:before="40"/>
              <w:ind w:left="103"/>
              <w:rPr>
                <w:b/>
                <w:sz w:val="19"/>
              </w:rPr>
            </w:pPr>
            <w:r>
              <w:rPr>
                <w:b/>
                <w:color w:val="3D3D3D"/>
                <w:sz w:val="19"/>
              </w:rPr>
              <w:t>Glass industry body</w:t>
            </w:r>
          </w:p>
        </w:tc>
        <w:tc>
          <w:tcPr>
            <w:tcW w:w="1489" w:type="dxa"/>
            <w:shd w:val="clear" w:color="auto" w:fill="C5E0B3"/>
          </w:tcPr>
          <w:p>
            <w:pPr>
              <w:pStyle w:val="TableParagraph"/>
              <w:spacing w:before="40"/>
              <w:ind w:left="607"/>
              <w:rPr>
                <w:sz w:val="19"/>
              </w:rPr>
            </w:pPr>
            <w:r>
              <w:rPr>
                <w:sz w:val="19"/>
              </w:rPr>
              <w:t>Yes</w:t>
            </w:r>
          </w:p>
        </w:tc>
        <w:tc>
          <w:tcPr>
            <w:tcW w:w="1486" w:type="dxa"/>
            <w:shd w:val="clear" w:color="auto" w:fill="C5E0B3"/>
          </w:tcPr>
          <w:p>
            <w:pPr>
              <w:pStyle w:val="TableParagraph"/>
              <w:spacing w:before="40"/>
              <w:ind w:left="160" w:right="160"/>
              <w:jc w:val="center"/>
              <w:rPr>
                <w:sz w:val="19"/>
              </w:rPr>
            </w:pPr>
            <w:r>
              <w:rPr>
                <w:sz w:val="19"/>
              </w:rPr>
              <w:t>Yes</w:t>
            </w:r>
          </w:p>
        </w:tc>
        <w:tc>
          <w:tcPr>
            <w:tcW w:w="1488" w:type="dxa"/>
            <w:shd w:val="clear" w:color="auto" w:fill="C5E0B3"/>
          </w:tcPr>
          <w:p>
            <w:pPr>
              <w:pStyle w:val="TableParagraph"/>
              <w:spacing w:before="40"/>
              <w:ind w:left="133" w:right="133"/>
              <w:jc w:val="center"/>
              <w:rPr>
                <w:sz w:val="19"/>
              </w:rPr>
            </w:pPr>
            <w:r>
              <w:rPr>
                <w:sz w:val="19"/>
              </w:rPr>
              <w:t>Yes</w:t>
            </w:r>
          </w:p>
        </w:tc>
        <w:tc>
          <w:tcPr>
            <w:tcW w:w="1489" w:type="dxa"/>
            <w:shd w:val="clear" w:color="auto" w:fill="C5E0B3"/>
          </w:tcPr>
          <w:p>
            <w:pPr>
              <w:pStyle w:val="TableParagraph"/>
              <w:spacing w:before="40"/>
              <w:ind w:left="281" w:right="282"/>
              <w:jc w:val="center"/>
              <w:rPr>
                <w:sz w:val="19"/>
              </w:rPr>
            </w:pPr>
            <w:r>
              <w:rPr>
                <w:sz w:val="19"/>
              </w:rPr>
              <w:t>Off</w:t>
            </w:r>
          </w:p>
        </w:tc>
        <w:tc>
          <w:tcPr>
            <w:tcW w:w="1486" w:type="dxa"/>
          </w:tcPr>
          <w:p>
            <w:pPr>
              <w:pStyle w:val="TableParagraph"/>
              <w:spacing w:before="40"/>
              <w:jc w:val="center"/>
              <w:rPr>
                <w:sz w:val="19"/>
              </w:rPr>
            </w:pPr>
            <w:r>
              <w:rPr>
                <w:color w:val="3D3D3D"/>
                <w:w w:val="99"/>
                <w:sz w:val="19"/>
              </w:rPr>
              <w:t>-</w:t>
            </w:r>
          </w:p>
        </w:tc>
      </w:tr>
      <w:tr>
        <w:trPr>
          <w:trHeight w:val="328" w:hRule="exact"/>
        </w:trPr>
        <w:tc>
          <w:tcPr>
            <w:tcW w:w="2014" w:type="dxa"/>
          </w:tcPr>
          <w:p>
            <w:pPr>
              <w:pStyle w:val="TableParagraph"/>
              <w:spacing w:before="44"/>
              <w:ind w:left="103"/>
              <w:rPr>
                <w:b/>
                <w:sz w:val="19"/>
              </w:rPr>
            </w:pPr>
            <w:r>
              <w:rPr>
                <w:b/>
                <w:color w:val="3D3D3D"/>
                <w:sz w:val="19"/>
              </w:rPr>
              <w:t>Fibre reprocessor 1</w:t>
            </w:r>
          </w:p>
        </w:tc>
        <w:tc>
          <w:tcPr>
            <w:tcW w:w="1489" w:type="dxa"/>
            <w:shd w:val="clear" w:color="auto" w:fill="C5E0B3"/>
          </w:tcPr>
          <w:p>
            <w:pPr>
              <w:pStyle w:val="TableParagraph"/>
              <w:spacing w:before="44"/>
              <w:ind w:left="607"/>
              <w:rPr>
                <w:sz w:val="19"/>
              </w:rPr>
            </w:pPr>
            <w:r>
              <w:rPr>
                <w:sz w:val="19"/>
              </w:rPr>
              <w:t>Yes</w:t>
            </w:r>
          </w:p>
        </w:tc>
        <w:tc>
          <w:tcPr>
            <w:tcW w:w="1486" w:type="dxa"/>
            <w:shd w:val="clear" w:color="auto" w:fill="FFE599"/>
          </w:tcPr>
          <w:p>
            <w:pPr>
              <w:pStyle w:val="TableParagraph"/>
              <w:spacing w:before="44"/>
              <w:ind w:left="161" w:right="160"/>
              <w:jc w:val="center"/>
              <w:rPr>
                <w:sz w:val="19"/>
              </w:rPr>
            </w:pPr>
            <w:r>
              <w:rPr>
                <w:sz w:val="19"/>
              </w:rPr>
              <w:t>No preference</w:t>
            </w:r>
          </w:p>
        </w:tc>
        <w:tc>
          <w:tcPr>
            <w:tcW w:w="1488" w:type="dxa"/>
            <w:shd w:val="clear" w:color="auto" w:fill="C5E0B3"/>
          </w:tcPr>
          <w:p>
            <w:pPr>
              <w:pStyle w:val="TableParagraph"/>
              <w:spacing w:before="44"/>
              <w:ind w:left="133" w:right="133"/>
              <w:jc w:val="center"/>
              <w:rPr>
                <w:sz w:val="19"/>
              </w:rPr>
            </w:pPr>
            <w:r>
              <w:rPr>
                <w:sz w:val="19"/>
              </w:rPr>
              <w:t>Yes</w:t>
            </w:r>
          </w:p>
        </w:tc>
        <w:tc>
          <w:tcPr>
            <w:tcW w:w="1489" w:type="dxa"/>
          </w:tcPr>
          <w:p>
            <w:pPr>
              <w:pStyle w:val="TableParagraph"/>
              <w:spacing w:before="44"/>
              <w:ind w:left="1"/>
              <w:jc w:val="center"/>
              <w:rPr>
                <w:sz w:val="19"/>
              </w:rPr>
            </w:pPr>
            <w:r>
              <w:rPr>
                <w:color w:val="3D3D3D"/>
                <w:w w:val="99"/>
                <w:sz w:val="19"/>
              </w:rPr>
              <w:t>-</w:t>
            </w:r>
          </w:p>
        </w:tc>
        <w:tc>
          <w:tcPr>
            <w:tcW w:w="1486" w:type="dxa"/>
          </w:tcPr>
          <w:p>
            <w:pPr>
              <w:pStyle w:val="TableParagraph"/>
              <w:spacing w:before="44"/>
              <w:jc w:val="center"/>
              <w:rPr>
                <w:sz w:val="19"/>
              </w:rPr>
            </w:pPr>
            <w:r>
              <w:rPr>
                <w:color w:val="3D3D3D"/>
                <w:w w:val="99"/>
                <w:sz w:val="19"/>
              </w:rPr>
              <w:t>-</w:t>
            </w:r>
          </w:p>
        </w:tc>
      </w:tr>
      <w:tr>
        <w:trPr>
          <w:trHeight w:val="322" w:hRule="exact"/>
        </w:trPr>
        <w:tc>
          <w:tcPr>
            <w:tcW w:w="2014" w:type="dxa"/>
          </w:tcPr>
          <w:p>
            <w:pPr>
              <w:pStyle w:val="TableParagraph"/>
              <w:spacing w:before="41"/>
              <w:ind w:left="103"/>
              <w:rPr>
                <w:b/>
                <w:sz w:val="19"/>
              </w:rPr>
            </w:pPr>
            <w:r>
              <w:rPr>
                <w:b/>
                <w:color w:val="3D3D3D"/>
                <w:sz w:val="19"/>
              </w:rPr>
              <w:t>Fibre reprocessor 2</w:t>
            </w:r>
          </w:p>
        </w:tc>
        <w:tc>
          <w:tcPr>
            <w:tcW w:w="1489" w:type="dxa"/>
            <w:shd w:val="clear" w:color="auto" w:fill="C5E0B3"/>
          </w:tcPr>
          <w:p>
            <w:pPr>
              <w:pStyle w:val="TableParagraph"/>
              <w:spacing w:before="41"/>
              <w:ind w:left="607"/>
              <w:rPr>
                <w:sz w:val="19"/>
              </w:rPr>
            </w:pPr>
            <w:r>
              <w:rPr>
                <w:sz w:val="19"/>
              </w:rPr>
              <w:t>Yes</w:t>
            </w:r>
          </w:p>
        </w:tc>
        <w:tc>
          <w:tcPr>
            <w:tcW w:w="1486" w:type="dxa"/>
            <w:shd w:val="clear" w:color="auto" w:fill="C5E0B3"/>
          </w:tcPr>
          <w:p>
            <w:pPr>
              <w:pStyle w:val="TableParagraph"/>
              <w:spacing w:before="41"/>
              <w:ind w:left="160" w:right="160"/>
              <w:jc w:val="center"/>
              <w:rPr>
                <w:sz w:val="19"/>
              </w:rPr>
            </w:pPr>
            <w:r>
              <w:rPr>
                <w:sz w:val="19"/>
              </w:rPr>
              <w:t>Yes</w:t>
            </w:r>
          </w:p>
        </w:tc>
        <w:tc>
          <w:tcPr>
            <w:tcW w:w="1488" w:type="dxa"/>
            <w:shd w:val="clear" w:color="auto" w:fill="C5E0B3"/>
          </w:tcPr>
          <w:p>
            <w:pPr>
              <w:pStyle w:val="TableParagraph"/>
              <w:spacing w:before="41"/>
              <w:ind w:left="133" w:right="133"/>
              <w:jc w:val="center"/>
              <w:rPr>
                <w:sz w:val="19"/>
              </w:rPr>
            </w:pPr>
            <w:r>
              <w:rPr>
                <w:sz w:val="19"/>
              </w:rPr>
              <w:t>Yes</w:t>
            </w:r>
          </w:p>
        </w:tc>
        <w:tc>
          <w:tcPr>
            <w:tcW w:w="1489" w:type="dxa"/>
          </w:tcPr>
          <w:p>
            <w:pPr>
              <w:pStyle w:val="TableParagraph"/>
              <w:spacing w:before="41"/>
              <w:ind w:left="1"/>
              <w:jc w:val="center"/>
              <w:rPr>
                <w:sz w:val="19"/>
              </w:rPr>
            </w:pPr>
            <w:r>
              <w:rPr>
                <w:color w:val="3D3D3D"/>
                <w:w w:val="99"/>
                <w:sz w:val="19"/>
              </w:rPr>
              <w:t>-</w:t>
            </w:r>
          </w:p>
        </w:tc>
        <w:tc>
          <w:tcPr>
            <w:tcW w:w="1486" w:type="dxa"/>
          </w:tcPr>
          <w:p>
            <w:pPr>
              <w:pStyle w:val="TableParagraph"/>
              <w:spacing w:before="41"/>
              <w:jc w:val="center"/>
              <w:rPr>
                <w:sz w:val="19"/>
              </w:rPr>
            </w:pPr>
            <w:r>
              <w:rPr>
                <w:color w:val="3D3D3D"/>
                <w:w w:val="99"/>
                <w:sz w:val="19"/>
              </w:rPr>
              <w:t>-</w:t>
            </w:r>
          </w:p>
        </w:tc>
      </w:tr>
      <w:tr>
        <w:trPr>
          <w:trHeight w:val="323" w:hRule="exact"/>
        </w:trPr>
        <w:tc>
          <w:tcPr>
            <w:tcW w:w="2014" w:type="dxa"/>
          </w:tcPr>
          <w:p>
            <w:pPr>
              <w:pStyle w:val="TableParagraph"/>
              <w:spacing w:before="41"/>
              <w:ind w:left="103"/>
              <w:rPr>
                <w:b/>
                <w:sz w:val="19"/>
              </w:rPr>
            </w:pPr>
            <w:r>
              <w:rPr>
                <w:b/>
                <w:color w:val="3D3D3D"/>
                <w:sz w:val="19"/>
              </w:rPr>
              <w:t>Fibre reprocessor 3</w:t>
            </w:r>
          </w:p>
        </w:tc>
        <w:tc>
          <w:tcPr>
            <w:tcW w:w="1489" w:type="dxa"/>
            <w:shd w:val="clear" w:color="auto" w:fill="C5E0B3"/>
          </w:tcPr>
          <w:p>
            <w:pPr>
              <w:pStyle w:val="TableParagraph"/>
              <w:spacing w:before="41"/>
              <w:ind w:left="607"/>
              <w:rPr>
                <w:sz w:val="19"/>
              </w:rPr>
            </w:pPr>
            <w:r>
              <w:rPr>
                <w:sz w:val="19"/>
              </w:rPr>
              <w:t>Yes</w:t>
            </w:r>
          </w:p>
        </w:tc>
        <w:tc>
          <w:tcPr>
            <w:tcW w:w="1486" w:type="dxa"/>
            <w:shd w:val="clear" w:color="auto" w:fill="C5E0B3"/>
          </w:tcPr>
          <w:p>
            <w:pPr>
              <w:pStyle w:val="TableParagraph"/>
              <w:spacing w:before="41"/>
              <w:ind w:left="160" w:right="160"/>
              <w:jc w:val="center"/>
              <w:rPr>
                <w:sz w:val="19"/>
              </w:rPr>
            </w:pPr>
            <w:r>
              <w:rPr>
                <w:sz w:val="19"/>
              </w:rPr>
              <w:t>Yes</w:t>
            </w:r>
          </w:p>
        </w:tc>
        <w:tc>
          <w:tcPr>
            <w:tcW w:w="1488" w:type="dxa"/>
            <w:shd w:val="clear" w:color="auto" w:fill="C5E0B3"/>
          </w:tcPr>
          <w:p>
            <w:pPr>
              <w:pStyle w:val="TableParagraph"/>
              <w:spacing w:before="41"/>
              <w:ind w:left="133" w:right="133"/>
              <w:jc w:val="center"/>
              <w:rPr>
                <w:sz w:val="19"/>
              </w:rPr>
            </w:pPr>
            <w:r>
              <w:rPr>
                <w:sz w:val="19"/>
              </w:rPr>
              <w:t>Yes</w:t>
            </w:r>
          </w:p>
        </w:tc>
        <w:tc>
          <w:tcPr>
            <w:tcW w:w="1489" w:type="dxa"/>
          </w:tcPr>
          <w:p>
            <w:pPr>
              <w:pStyle w:val="TableParagraph"/>
              <w:spacing w:before="41"/>
              <w:ind w:left="1"/>
              <w:jc w:val="center"/>
              <w:rPr>
                <w:sz w:val="19"/>
              </w:rPr>
            </w:pPr>
            <w:r>
              <w:rPr>
                <w:color w:val="3D3D3D"/>
                <w:w w:val="99"/>
                <w:sz w:val="19"/>
              </w:rPr>
              <w:t>-</w:t>
            </w:r>
          </w:p>
        </w:tc>
        <w:tc>
          <w:tcPr>
            <w:tcW w:w="1486" w:type="dxa"/>
          </w:tcPr>
          <w:p>
            <w:pPr>
              <w:pStyle w:val="TableParagraph"/>
              <w:spacing w:before="41"/>
              <w:jc w:val="center"/>
              <w:rPr>
                <w:sz w:val="19"/>
              </w:rPr>
            </w:pPr>
            <w:r>
              <w:rPr>
                <w:color w:val="3D3D3D"/>
                <w:w w:val="99"/>
                <w:sz w:val="19"/>
              </w:rPr>
              <w:t>-</w:t>
            </w:r>
          </w:p>
        </w:tc>
      </w:tr>
    </w:tbl>
    <w:p>
      <w:pPr>
        <w:pStyle w:val="BodyText"/>
        <w:spacing w:before="40"/>
        <w:ind w:left="560"/>
        <w:jc w:val="both"/>
      </w:pPr>
      <w:r>
        <w:rPr/>
        <w:t>(Key – blank cell mean it was not mentioned/discussed)</w:t>
      </w:r>
    </w:p>
    <w:p>
      <w:pPr>
        <w:spacing w:after="0"/>
        <w:jc w:val="both"/>
        <w:sectPr>
          <w:pgSz w:w="11910" w:h="16840"/>
          <w:pgMar w:header="576" w:footer="698" w:top="1140" w:bottom="880" w:left="880" w:right="1100"/>
        </w:sectPr>
      </w:pPr>
    </w:p>
    <w:p>
      <w:pPr>
        <w:pStyle w:val="BodyText"/>
      </w:pPr>
    </w:p>
    <w:p>
      <w:pPr>
        <w:pStyle w:val="BodyText"/>
        <w:spacing w:before="5"/>
        <w:rPr>
          <w:sz w:val="29"/>
        </w:rPr>
      </w:pPr>
    </w:p>
    <w:p>
      <w:pPr>
        <w:pStyle w:val="Heading5"/>
        <w:spacing w:before="59"/>
        <w:ind w:left="1853"/>
      </w:pPr>
      <w:r>
        <w:rPr/>
        <w:t>Table 5.2 - Key themes from conversations with collectors and MRF operators</w:t>
      </w:r>
    </w:p>
    <w:p>
      <w:pPr>
        <w:pStyle w:val="BodyText"/>
        <w:spacing w:before="7"/>
        <w:rPr>
          <w:b/>
          <w:sz w:val="14"/>
        </w:rPr>
      </w:pPr>
    </w:p>
    <w:tbl>
      <w:tblPr>
        <w:tblW w:w="0" w:type="auto"/>
        <w:jc w:val="left"/>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567"/>
        <w:gridCol w:w="1570"/>
        <w:gridCol w:w="1568"/>
        <w:gridCol w:w="1570"/>
      </w:tblGrid>
      <w:tr>
        <w:trPr>
          <w:trHeight w:val="1327" w:hRule="exact"/>
        </w:trPr>
        <w:tc>
          <w:tcPr>
            <w:tcW w:w="1496" w:type="dxa"/>
            <w:tcBorders>
              <w:top w:val="nil"/>
              <w:left w:val="nil"/>
            </w:tcBorders>
          </w:tcPr>
          <w:p>
            <w:pPr/>
          </w:p>
        </w:tc>
        <w:tc>
          <w:tcPr>
            <w:tcW w:w="1567" w:type="dxa"/>
          </w:tcPr>
          <w:p>
            <w:pPr>
              <w:pStyle w:val="TableParagraph"/>
              <w:rPr>
                <w:b/>
                <w:sz w:val="18"/>
              </w:rPr>
            </w:pPr>
          </w:p>
          <w:p>
            <w:pPr>
              <w:pStyle w:val="TableParagraph"/>
              <w:spacing w:before="11"/>
              <w:rPr>
                <w:b/>
                <w:sz w:val="15"/>
              </w:rPr>
            </w:pPr>
          </w:p>
          <w:p>
            <w:pPr>
              <w:pStyle w:val="TableParagraph"/>
              <w:spacing w:line="256" w:lineRule="auto"/>
              <w:ind w:left="640" w:right="235" w:hanging="394"/>
              <w:rPr>
                <w:b/>
                <w:sz w:val="19"/>
              </w:rPr>
            </w:pPr>
            <w:r>
              <w:rPr>
                <w:b/>
                <w:sz w:val="19"/>
              </w:rPr>
              <w:t>Support glass out</w:t>
            </w:r>
          </w:p>
        </w:tc>
        <w:tc>
          <w:tcPr>
            <w:tcW w:w="1570" w:type="dxa"/>
          </w:tcPr>
          <w:p>
            <w:pPr>
              <w:pStyle w:val="TableParagraph"/>
              <w:spacing w:before="8"/>
              <w:rPr>
                <w:b/>
                <w:sz w:val="23"/>
              </w:rPr>
            </w:pPr>
          </w:p>
          <w:p>
            <w:pPr>
              <w:pStyle w:val="TableParagraph"/>
              <w:spacing w:line="256" w:lineRule="auto"/>
              <w:ind w:left="127" w:right="109" w:firstLine="132"/>
              <w:rPr>
                <w:b/>
                <w:sz w:val="19"/>
              </w:rPr>
            </w:pPr>
            <w:r>
              <w:rPr>
                <w:b/>
                <w:sz w:val="19"/>
              </w:rPr>
              <w:t>Kerbside sort produces higher quality recyclate</w:t>
            </w:r>
          </w:p>
        </w:tc>
        <w:tc>
          <w:tcPr>
            <w:tcW w:w="1568" w:type="dxa"/>
          </w:tcPr>
          <w:p>
            <w:pPr>
              <w:pStyle w:val="TableParagraph"/>
              <w:spacing w:line="256" w:lineRule="auto" w:before="42"/>
              <w:ind w:left="105" w:right="106" w:hanging="2"/>
              <w:jc w:val="center"/>
              <w:rPr>
                <w:b/>
                <w:sz w:val="19"/>
              </w:rPr>
            </w:pPr>
            <w:r>
              <w:rPr>
                <w:b/>
                <w:sz w:val="19"/>
              </w:rPr>
              <w:t>H&amp;S concerns with manual sort (i.e. high-speed roads, repetitive strain injuries)</w:t>
            </w:r>
          </w:p>
        </w:tc>
        <w:tc>
          <w:tcPr>
            <w:tcW w:w="1570" w:type="dxa"/>
          </w:tcPr>
          <w:p>
            <w:pPr>
              <w:pStyle w:val="TableParagraph"/>
              <w:spacing w:line="256" w:lineRule="auto" w:before="42"/>
              <w:ind w:left="134" w:right="133"/>
              <w:jc w:val="center"/>
              <w:rPr>
                <w:b/>
                <w:sz w:val="19"/>
              </w:rPr>
            </w:pPr>
            <w:r>
              <w:rPr>
                <w:b/>
                <w:sz w:val="19"/>
              </w:rPr>
              <w:t>User pay system for rubbish increases recycling contamination</w:t>
            </w:r>
          </w:p>
        </w:tc>
      </w:tr>
      <w:tr>
        <w:trPr>
          <w:trHeight w:val="586" w:hRule="exact"/>
        </w:trPr>
        <w:tc>
          <w:tcPr>
            <w:tcW w:w="1496" w:type="dxa"/>
          </w:tcPr>
          <w:p>
            <w:pPr>
              <w:pStyle w:val="TableParagraph"/>
              <w:spacing w:before="6"/>
              <w:rPr>
                <w:b/>
                <w:sz w:val="13"/>
              </w:rPr>
            </w:pPr>
          </w:p>
          <w:p>
            <w:pPr>
              <w:pStyle w:val="TableParagraph"/>
              <w:ind w:left="103"/>
              <w:rPr>
                <w:b/>
                <w:sz w:val="19"/>
              </w:rPr>
            </w:pPr>
            <w:r>
              <w:rPr>
                <w:b/>
                <w:sz w:val="19"/>
              </w:rPr>
              <w:t>Collector 1</w:t>
            </w:r>
          </w:p>
        </w:tc>
        <w:tc>
          <w:tcPr>
            <w:tcW w:w="1567" w:type="dxa"/>
            <w:shd w:val="clear" w:color="auto" w:fill="C5E0B3"/>
          </w:tcPr>
          <w:p>
            <w:pPr>
              <w:pStyle w:val="TableParagraph"/>
              <w:spacing w:before="6"/>
              <w:rPr>
                <w:b/>
                <w:sz w:val="13"/>
              </w:rPr>
            </w:pPr>
          </w:p>
          <w:p>
            <w:pPr>
              <w:pStyle w:val="TableParagraph"/>
              <w:ind w:left="626" w:right="629"/>
              <w:jc w:val="center"/>
              <w:rPr>
                <w:sz w:val="19"/>
              </w:rPr>
            </w:pPr>
            <w:r>
              <w:rPr>
                <w:sz w:val="19"/>
              </w:rPr>
              <w:t>Yes</w:t>
            </w:r>
          </w:p>
        </w:tc>
        <w:tc>
          <w:tcPr>
            <w:tcW w:w="1570" w:type="dxa"/>
            <w:shd w:val="clear" w:color="auto" w:fill="C5E0B3"/>
          </w:tcPr>
          <w:p>
            <w:pPr>
              <w:pStyle w:val="TableParagraph"/>
              <w:spacing w:before="6"/>
              <w:rPr>
                <w:b/>
                <w:sz w:val="13"/>
              </w:rPr>
            </w:pPr>
          </w:p>
          <w:p>
            <w:pPr>
              <w:pStyle w:val="TableParagraph"/>
              <w:ind w:left="629" w:right="629"/>
              <w:jc w:val="center"/>
              <w:rPr>
                <w:sz w:val="19"/>
              </w:rPr>
            </w:pPr>
            <w:r>
              <w:rPr>
                <w:sz w:val="19"/>
              </w:rPr>
              <w:t>Yes</w:t>
            </w:r>
          </w:p>
        </w:tc>
        <w:tc>
          <w:tcPr>
            <w:tcW w:w="1568" w:type="dxa"/>
            <w:shd w:val="clear" w:color="auto" w:fill="C5E0B3"/>
          </w:tcPr>
          <w:p>
            <w:pPr>
              <w:pStyle w:val="TableParagraph"/>
              <w:spacing w:line="256" w:lineRule="auto" w:before="42"/>
              <w:ind w:left="417" w:right="113" w:hanging="291"/>
              <w:rPr>
                <w:sz w:val="19"/>
              </w:rPr>
            </w:pPr>
            <w:r>
              <w:rPr>
                <w:sz w:val="19"/>
              </w:rPr>
              <w:t>No – they can be managed</w:t>
            </w:r>
          </w:p>
        </w:tc>
        <w:tc>
          <w:tcPr>
            <w:tcW w:w="1570" w:type="dxa"/>
          </w:tcPr>
          <w:p>
            <w:pPr>
              <w:pStyle w:val="TableParagraph"/>
              <w:spacing w:before="6"/>
              <w:rPr>
                <w:b/>
                <w:sz w:val="13"/>
              </w:rPr>
            </w:pPr>
          </w:p>
          <w:p>
            <w:pPr>
              <w:pStyle w:val="TableParagraph"/>
              <w:jc w:val="center"/>
              <w:rPr>
                <w:sz w:val="19"/>
              </w:rPr>
            </w:pPr>
            <w:r>
              <w:rPr>
                <w:w w:val="99"/>
                <w:sz w:val="19"/>
              </w:rPr>
              <w:t>-</w:t>
            </w:r>
          </w:p>
        </w:tc>
      </w:tr>
      <w:tr>
        <w:trPr>
          <w:trHeight w:val="336" w:hRule="exact"/>
        </w:trPr>
        <w:tc>
          <w:tcPr>
            <w:tcW w:w="1496" w:type="dxa"/>
          </w:tcPr>
          <w:p>
            <w:pPr>
              <w:pStyle w:val="TableParagraph"/>
              <w:spacing w:before="40"/>
              <w:ind w:left="103"/>
              <w:rPr>
                <w:b/>
                <w:sz w:val="19"/>
              </w:rPr>
            </w:pPr>
            <w:r>
              <w:rPr>
                <w:b/>
                <w:sz w:val="19"/>
              </w:rPr>
              <w:t>Collector 2</w:t>
            </w:r>
          </w:p>
        </w:tc>
        <w:tc>
          <w:tcPr>
            <w:tcW w:w="1567" w:type="dxa"/>
            <w:shd w:val="clear" w:color="auto" w:fill="C5E0B3"/>
          </w:tcPr>
          <w:p>
            <w:pPr>
              <w:pStyle w:val="TableParagraph"/>
              <w:spacing w:before="40"/>
              <w:ind w:left="626" w:right="629"/>
              <w:jc w:val="center"/>
              <w:rPr>
                <w:sz w:val="19"/>
              </w:rPr>
            </w:pPr>
            <w:r>
              <w:rPr>
                <w:sz w:val="19"/>
              </w:rPr>
              <w:t>Yes</w:t>
            </w:r>
          </w:p>
        </w:tc>
        <w:tc>
          <w:tcPr>
            <w:tcW w:w="1570" w:type="dxa"/>
          </w:tcPr>
          <w:p>
            <w:pPr>
              <w:pStyle w:val="TableParagraph"/>
              <w:spacing w:before="40"/>
              <w:ind w:left="629" w:right="629"/>
              <w:jc w:val="center"/>
              <w:rPr>
                <w:sz w:val="19"/>
              </w:rPr>
            </w:pPr>
            <w:r>
              <w:rPr>
                <w:sz w:val="19"/>
              </w:rPr>
              <w:t>NA</w:t>
            </w:r>
          </w:p>
        </w:tc>
        <w:tc>
          <w:tcPr>
            <w:tcW w:w="1568" w:type="dxa"/>
            <w:shd w:val="clear" w:color="auto" w:fill="FFE599"/>
          </w:tcPr>
          <w:p>
            <w:pPr>
              <w:pStyle w:val="TableParagraph"/>
              <w:spacing w:before="40"/>
              <w:ind w:left="626" w:right="629"/>
              <w:jc w:val="center"/>
              <w:rPr>
                <w:sz w:val="19"/>
              </w:rPr>
            </w:pPr>
            <w:r>
              <w:rPr>
                <w:sz w:val="19"/>
              </w:rPr>
              <w:t>Yes</w:t>
            </w:r>
          </w:p>
        </w:tc>
        <w:tc>
          <w:tcPr>
            <w:tcW w:w="1570" w:type="dxa"/>
            <w:shd w:val="clear" w:color="auto" w:fill="C5E0B3"/>
          </w:tcPr>
          <w:p>
            <w:pPr>
              <w:pStyle w:val="TableParagraph"/>
              <w:spacing w:before="40"/>
              <w:ind w:left="133" w:right="133"/>
              <w:jc w:val="center"/>
              <w:rPr>
                <w:sz w:val="19"/>
              </w:rPr>
            </w:pPr>
            <w:r>
              <w:rPr>
                <w:sz w:val="19"/>
              </w:rPr>
              <w:t>Yes</w:t>
            </w:r>
          </w:p>
        </w:tc>
      </w:tr>
      <w:tr>
        <w:trPr>
          <w:trHeight w:val="339" w:hRule="exact"/>
        </w:trPr>
        <w:tc>
          <w:tcPr>
            <w:tcW w:w="1496" w:type="dxa"/>
          </w:tcPr>
          <w:p>
            <w:pPr>
              <w:pStyle w:val="TableParagraph"/>
              <w:spacing w:before="42"/>
              <w:ind w:left="103"/>
              <w:rPr>
                <w:b/>
                <w:sz w:val="19"/>
              </w:rPr>
            </w:pPr>
            <w:r>
              <w:rPr>
                <w:b/>
                <w:sz w:val="19"/>
              </w:rPr>
              <w:t>Collector 3</w:t>
            </w:r>
          </w:p>
        </w:tc>
        <w:tc>
          <w:tcPr>
            <w:tcW w:w="1567" w:type="dxa"/>
          </w:tcPr>
          <w:p>
            <w:pPr>
              <w:pStyle w:val="TableParagraph"/>
              <w:spacing w:before="42"/>
              <w:ind w:left="626" w:right="629"/>
              <w:jc w:val="center"/>
              <w:rPr>
                <w:sz w:val="19"/>
              </w:rPr>
            </w:pPr>
            <w:r>
              <w:rPr>
                <w:sz w:val="19"/>
              </w:rPr>
              <w:t>NA</w:t>
            </w:r>
          </w:p>
        </w:tc>
        <w:tc>
          <w:tcPr>
            <w:tcW w:w="1570" w:type="dxa"/>
            <w:shd w:val="clear" w:color="auto" w:fill="C5E0B3"/>
          </w:tcPr>
          <w:p>
            <w:pPr>
              <w:pStyle w:val="TableParagraph"/>
              <w:spacing w:before="42"/>
              <w:ind w:left="629" w:right="629"/>
              <w:jc w:val="center"/>
              <w:rPr>
                <w:sz w:val="19"/>
              </w:rPr>
            </w:pPr>
            <w:r>
              <w:rPr>
                <w:sz w:val="19"/>
              </w:rPr>
              <w:t>Yes</w:t>
            </w:r>
          </w:p>
        </w:tc>
        <w:tc>
          <w:tcPr>
            <w:tcW w:w="1568" w:type="dxa"/>
            <w:shd w:val="clear" w:color="auto" w:fill="FFE599"/>
          </w:tcPr>
          <w:p>
            <w:pPr>
              <w:pStyle w:val="TableParagraph"/>
              <w:spacing w:before="42"/>
              <w:ind w:left="626" w:right="629"/>
              <w:jc w:val="center"/>
              <w:rPr>
                <w:sz w:val="19"/>
              </w:rPr>
            </w:pPr>
            <w:r>
              <w:rPr>
                <w:sz w:val="19"/>
              </w:rPr>
              <w:t>Yes</w:t>
            </w:r>
          </w:p>
        </w:tc>
        <w:tc>
          <w:tcPr>
            <w:tcW w:w="1570" w:type="dxa"/>
            <w:shd w:val="clear" w:color="auto" w:fill="C5E0B3"/>
          </w:tcPr>
          <w:p>
            <w:pPr>
              <w:pStyle w:val="TableParagraph"/>
              <w:spacing w:before="42"/>
              <w:ind w:left="133" w:right="133"/>
              <w:jc w:val="center"/>
              <w:rPr>
                <w:sz w:val="19"/>
              </w:rPr>
            </w:pPr>
            <w:r>
              <w:rPr>
                <w:sz w:val="19"/>
              </w:rPr>
              <w:t>Yes</w:t>
            </w:r>
          </w:p>
        </w:tc>
      </w:tr>
      <w:tr>
        <w:trPr>
          <w:trHeight w:val="586" w:hRule="exact"/>
        </w:trPr>
        <w:tc>
          <w:tcPr>
            <w:tcW w:w="1496" w:type="dxa"/>
          </w:tcPr>
          <w:p>
            <w:pPr>
              <w:pStyle w:val="TableParagraph"/>
              <w:spacing w:before="6"/>
              <w:rPr>
                <w:b/>
                <w:sz w:val="13"/>
              </w:rPr>
            </w:pPr>
          </w:p>
          <w:p>
            <w:pPr>
              <w:pStyle w:val="TableParagraph"/>
              <w:ind w:left="103"/>
              <w:rPr>
                <w:b/>
                <w:sz w:val="19"/>
              </w:rPr>
            </w:pPr>
            <w:r>
              <w:rPr>
                <w:b/>
                <w:sz w:val="19"/>
              </w:rPr>
              <w:t>Collector 4</w:t>
            </w:r>
          </w:p>
        </w:tc>
        <w:tc>
          <w:tcPr>
            <w:tcW w:w="1567" w:type="dxa"/>
            <w:shd w:val="clear" w:color="auto" w:fill="C5E0B3"/>
          </w:tcPr>
          <w:p>
            <w:pPr>
              <w:pStyle w:val="TableParagraph"/>
              <w:spacing w:before="6"/>
              <w:rPr>
                <w:b/>
                <w:sz w:val="13"/>
              </w:rPr>
            </w:pPr>
          </w:p>
          <w:p>
            <w:pPr>
              <w:pStyle w:val="TableParagraph"/>
              <w:ind w:left="626" w:right="629"/>
              <w:jc w:val="center"/>
              <w:rPr>
                <w:sz w:val="19"/>
              </w:rPr>
            </w:pPr>
            <w:r>
              <w:rPr>
                <w:sz w:val="19"/>
              </w:rPr>
              <w:t>Yes</w:t>
            </w:r>
          </w:p>
        </w:tc>
        <w:tc>
          <w:tcPr>
            <w:tcW w:w="1570" w:type="dxa"/>
          </w:tcPr>
          <w:p>
            <w:pPr>
              <w:pStyle w:val="TableParagraph"/>
              <w:spacing w:before="6"/>
              <w:rPr>
                <w:b/>
                <w:sz w:val="13"/>
              </w:rPr>
            </w:pPr>
          </w:p>
          <w:p>
            <w:pPr>
              <w:pStyle w:val="TableParagraph"/>
              <w:jc w:val="center"/>
              <w:rPr>
                <w:sz w:val="19"/>
              </w:rPr>
            </w:pPr>
            <w:r>
              <w:rPr>
                <w:w w:val="99"/>
                <w:sz w:val="19"/>
              </w:rPr>
              <w:t>-</w:t>
            </w:r>
          </w:p>
        </w:tc>
        <w:tc>
          <w:tcPr>
            <w:tcW w:w="1568" w:type="dxa"/>
            <w:shd w:val="clear" w:color="auto" w:fill="C5E0B3"/>
          </w:tcPr>
          <w:p>
            <w:pPr>
              <w:pStyle w:val="TableParagraph"/>
              <w:spacing w:line="256" w:lineRule="auto" w:before="42"/>
              <w:ind w:left="417" w:right="113" w:hanging="291"/>
              <w:rPr>
                <w:sz w:val="19"/>
              </w:rPr>
            </w:pPr>
            <w:r>
              <w:rPr>
                <w:sz w:val="19"/>
              </w:rPr>
              <w:t>No – they can be managed</w:t>
            </w:r>
          </w:p>
        </w:tc>
        <w:tc>
          <w:tcPr>
            <w:tcW w:w="1570" w:type="dxa"/>
            <w:shd w:val="clear" w:color="auto" w:fill="C5E0B3"/>
          </w:tcPr>
          <w:p>
            <w:pPr>
              <w:pStyle w:val="TableParagraph"/>
              <w:spacing w:before="6"/>
              <w:rPr>
                <w:b/>
                <w:sz w:val="13"/>
              </w:rPr>
            </w:pPr>
          </w:p>
          <w:p>
            <w:pPr>
              <w:pStyle w:val="TableParagraph"/>
              <w:ind w:left="133" w:right="133"/>
              <w:jc w:val="center"/>
              <w:rPr>
                <w:sz w:val="19"/>
              </w:rPr>
            </w:pPr>
            <w:r>
              <w:rPr>
                <w:sz w:val="19"/>
              </w:rPr>
              <w:t>Yes</w:t>
            </w:r>
          </w:p>
        </w:tc>
      </w:tr>
      <w:tr>
        <w:trPr>
          <w:trHeight w:val="336" w:hRule="exact"/>
        </w:trPr>
        <w:tc>
          <w:tcPr>
            <w:tcW w:w="1496" w:type="dxa"/>
          </w:tcPr>
          <w:p>
            <w:pPr>
              <w:pStyle w:val="TableParagraph"/>
              <w:spacing w:before="40"/>
              <w:ind w:left="103"/>
              <w:rPr>
                <w:b/>
                <w:sz w:val="19"/>
              </w:rPr>
            </w:pPr>
            <w:r>
              <w:rPr>
                <w:b/>
                <w:sz w:val="19"/>
              </w:rPr>
              <w:t>Collector 5</w:t>
            </w:r>
          </w:p>
        </w:tc>
        <w:tc>
          <w:tcPr>
            <w:tcW w:w="1567" w:type="dxa"/>
            <w:shd w:val="clear" w:color="auto" w:fill="C5E0B3"/>
          </w:tcPr>
          <w:p>
            <w:pPr>
              <w:pStyle w:val="TableParagraph"/>
              <w:spacing w:before="40"/>
              <w:ind w:left="626" w:right="629"/>
              <w:jc w:val="center"/>
              <w:rPr>
                <w:sz w:val="19"/>
              </w:rPr>
            </w:pPr>
            <w:r>
              <w:rPr>
                <w:sz w:val="19"/>
              </w:rPr>
              <w:t>Yes</w:t>
            </w:r>
          </w:p>
        </w:tc>
        <w:tc>
          <w:tcPr>
            <w:tcW w:w="1570" w:type="dxa"/>
          </w:tcPr>
          <w:p>
            <w:pPr>
              <w:pStyle w:val="TableParagraph"/>
              <w:spacing w:before="40"/>
              <w:jc w:val="center"/>
              <w:rPr>
                <w:sz w:val="19"/>
              </w:rPr>
            </w:pPr>
            <w:r>
              <w:rPr>
                <w:w w:val="99"/>
                <w:sz w:val="19"/>
              </w:rPr>
              <w:t>-</w:t>
            </w:r>
          </w:p>
        </w:tc>
        <w:tc>
          <w:tcPr>
            <w:tcW w:w="1568" w:type="dxa"/>
            <w:shd w:val="clear" w:color="auto" w:fill="FFE599"/>
          </w:tcPr>
          <w:p>
            <w:pPr>
              <w:pStyle w:val="TableParagraph"/>
              <w:spacing w:before="40"/>
              <w:ind w:left="626" w:right="629"/>
              <w:jc w:val="center"/>
              <w:rPr>
                <w:sz w:val="19"/>
              </w:rPr>
            </w:pPr>
            <w:r>
              <w:rPr>
                <w:sz w:val="19"/>
              </w:rPr>
              <w:t>Yes</w:t>
            </w:r>
          </w:p>
        </w:tc>
        <w:tc>
          <w:tcPr>
            <w:tcW w:w="1570" w:type="dxa"/>
          </w:tcPr>
          <w:p>
            <w:pPr>
              <w:pStyle w:val="TableParagraph"/>
              <w:spacing w:before="40"/>
              <w:jc w:val="center"/>
              <w:rPr>
                <w:sz w:val="19"/>
              </w:rPr>
            </w:pPr>
            <w:r>
              <w:rPr>
                <w:w w:val="99"/>
                <w:sz w:val="19"/>
              </w:rPr>
              <w:t>-</w:t>
            </w:r>
          </w:p>
        </w:tc>
      </w:tr>
      <w:tr>
        <w:trPr>
          <w:trHeight w:val="338" w:hRule="exact"/>
        </w:trPr>
        <w:tc>
          <w:tcPr>
            <w:tcW w:w="1496" w:type="dxa"/>
          </w:tcPr>
          <w:p>
            <w:pPr>
              <w:pStyle w:val="TableParagraph"/>
              <w:spacing w:before="40"/>
              <w:ind w:left="103"/>
              <w:rPr>
                <w:b/>
                <w:sz w:val="19"/>
              </w:rPr>
            </w:pPr>
            <w:r>
              <w:rPr>
                <w:b/>
                <w:sz w:val="19"/>
              </w:rPr>
              <w:t>Consultant 1</w:t>
            </w:r>
          </w:p>
        </w:tc>
        <w:tc>
          <w:tcPr>
            <w:tcW w:w="1567" w:type="dxa"/>
          </w:tcPr>
          <w:p>
            <w:pPr>
              <w:pStyle w:val="TableParagraph"/>
              <w:spacing w:before="40"/>
              <w:ind w:left="626" w:right="629"/>
              <w:jc w:val="center"/>
              <w:rPr>
                <w:sz w:val="19"/>
              </w:rPr>
            </w:pPr>
            <w:r>
              <w:rPr>
                <w:sz w:val="19"/>
              </w:rPr>
              <w:t>NA</w:t>
            </w:r>
          </w:p>
        </w:tc>
        <w:tc>
          <w:tcPr>
            <w:tcW w:w="1570" w:type="dxa"/>
          </w:tcPr>
          <w:p>
            <w:pPr>
              <w:pStyle w:val="TableParagraph"/>
              <w:spacing w:before="40"/>
              <w:jc w:val="center"/>
              <w:rPr>
                <w:sz w:val="19"/>
              </w:rPr>
            </w:pPr>
            <w:r>
              <w:rPr>
                <w:w w:val="99"/>
                <w:sz w:val="19"/>
              </w:rPr>
              <w:t>-</w:t>
            </w:r>
          </w:p>
        </w:tc>
        <w:tc>
          <w:tcPr>
            <w:tcW w:w="1568" w:type="dxa"/>
          </w:tcPr>
          <w:p>
            <w:pPr>
              <w:pStyle w:val="TableParagraph"/>
              <w:spacing w:before="40"/>
              <w:jc w:val="center"/>
              <w:rPr>
                <w:sz w:val="19"/>
              </w:rPr>
            </w:pPr>
            <w:r>
              <w:rPr>
                <w:w w:val="99"/>
                <w:sz w:val="19"/>
              </w:rPr>
              <w:t>-</w:t>
            </w:r>
          </w:p>
        </w:tc>
        <w:tc>
          <w:tcPr>
            <w:tcW w:w="1570" w:type="dxa"/>
            <w:shd w:val="clear" w:color="auto" w:fill="C5E0B3"/>
          </w:tcPr>
          <w:p>
            <w:pPr>
              <w:pStyle w:val="TableParagraph"/>
              <w:spacing w:before="40"/>
              <w:ind w:left="133" w:right="133"/>
              <w:jc w:val="center"/>
              <w:rPr>
                <w:sz w:val="19"/>
              </w:rPr>
            </w:pPr>
            <w:r>
              <w:rPr>
                <w:sz w:val="19"/>
              </w:rPr>
              <w:t>Yes</w:t>
            </w:r>
          </w:p>
        </w:tc>
      </w:tr>
      <w:tr>
        <w:trPr>
          <w:trHeight w:val="337" w:hRule="exact"/>
        </w:trPr>
        <w:tc>
          <w:tcPr>
            <w:tcW w:w="1496" w:type="dxa"/>
          </w:tcPr>
          <w:p>
            <w:pPr>
              <w:pStyle w:val="TableParagraph"/>
              <w:spacing w:before="40"/>
              <w:ind w:left="103"/>
              <w:rPr>
                <w:b/>
                <w:sz w:val="19"/>
              </w:rPr>
            </w:pPr>
            <w:r>
              <w:rPr>
                <w:b/>
                <w:sz w:val="19"/>
              </w:rPr>
              <w:t>Consultant 2</w:t>
            </w:r>
          </w:p>
        </w:tc>
        <w:tc>
          <w:tcPr>
            <w:tcW w:w="1567" w:type="dxa"/>
            <w:shd w:val="clear" w:color="auto" w:fill="C5E0B3"/>
          </w:tcPr>
          <w:p>
            <w:pPr>
              <w:pStyle w:val="TableParagraph"/>
              <w:spacing w:before="40"/>
              <w:ind w:left="626" w:right="629"/>
              <w:jc w:val="center"/>
              <w:rPr>
                <w:sz w:val="19"/>
              </w:rPr>
            </w:pPr>
            <w:r>
              <w:rPr>
                <w:sz w:val="19"/>
              </w:rPr>
              <w:t>Yes</w:t>
            </w:r>
          </w:p>
        </w:tc>
        <w:tc>
          <w:tcPr>
            <w:tcW w:w="1570" w:type="dxa"/>
            <w:shd w:val="clear" w:color="auto" w:fill="C5E0B3"/>
          </w:tcPr>
          <w:p>
            <w:pPr>
              <w:pStyle w:val="TableParagraph"/>
              <w:spacing w:before="40"/>
              <w:ind w:left="629" w:right="629"/>
              <w:jc w:val="center"/>
              <w:rPr>
                <w:sz w:val="19"/>
              </w:rPr>
            </w:pPr>
            <w:r>
              <w:rPr>
                <w:sz w:val="19"/>
              </w:rPr>
              <w:t>Yes</w:t>
            </w:r>
          </w:p>
        </w:tc>
        <w:tc>
          <w:tcPr>
            <w:tcW w:w="1568" w:type="dxa"/>
          </w:tcPr>
          <w:p>
            <w:pPr>
              <w:pStyle w:val="TableParagraph"/>
              <w:spacing w:before="40"/>
              <w:jc w:val="center"/>
              <w:rPr>
                <w:sz w:val="19"/>
              </w:rPr>
            </w:pPr>
            <w:r>
              <w:rPr>
                <w:w w:val="99"/>
                <w:sz w:val="19"/>
              </w:rPr>
              <w:t>-</w:t>
            </w:r>
          </w:p>
        </w:tc>
        <w:tc>
          <w:tcPr>
            <w:tcW w:w="1570" w:type="dxa"/>
          </w:tcPr>
          <w:p>
            <w:pPr>
              <w:pStyle w:val="TableParagraph"/>
              <w:spacing w:before="40"/>
              <w:jc w:val="center"/>
              <w:rPr>
                <w:sz w:val="19"/>
              </w:rPr>
            </w:pPr>
            <w:r>
              <w:rPr>
                <w:w w:val="99"/>
                <w:sz w:val="19"/>
              </w:rPr>
              <w:t>-</w:t>
            </w:r>
          </w:p>
        </w:tc>
      </w:tr>
      <w:tr>
        <w:trPr>
          <w:trHeight w:val="337" w:hRule="exact"/>
        </w:trPr>
        <w:tc>
          <w:tcPr>
            <w:tcW w:w="1496" w:type="dxa"/>
          </w:tcPr>
          <w:p>
            <w:pPr>
              <w:pStyle w:val="TableParagraph"/>
              <w:spacing w:before="41"/>
              <w:ind w:left="103"/>
              <w:rPr>
                <w:b/>
                <w:sz w:val="19"/>
              </w:rPr>
            </w:pPr>
            <w:r>
              <w:rPr>
                <w:b/>
                <w:sz w:val="19"/>
              </w:rPr>
              <w:t>Consultant 3</w:t>
            </w:r>
          </w:p>
        </w:tc>
        <w:tc>
          <w:tcPr>
            <w:tcW w:w="1567" w:type="dxa"/>
            <w:shd w:val="clear" w:color="auto" w:fill="C5E0B3"/>
          </w:tcPr>
          <w:p>
            <w:pPr>
              <w:pStyle w:val="TableParagraph"/>
              <w:spacing w:before="41"/>
              <w:ind w:left="626" w:right="629"/>
              <w:jc w:val="center"/>
              <w:rPr>
                <w:sz w:val="19"/>
              </w:rPr>
            </w:pPr>
            <w:r>
              <w:rPr>
                <w:sz w:val="19"/>
              </w:rPr>
              <w:t>Yes</w:t>
            </w:r>
          </w:p>
        </w:tc>
        <w:tc>
          <w:tcPr>
            <w:tcW w:w="1570" w:type="dxa"/>
            <w:shd w:val="clear" w:color="auto" w:fill="C5E0B3"/>
          </w:tcPr>
          <w:p>
            <w:pPr>
              <w:pStyle w:val="TableParagraph"/>
              <w:spacing w:before="41"/>
              <w:ind w:left="629" w:right="629"/>
              <w:jc w:val="center"/>
              <w:rPr>
                <w:sz w:val="19"/>
              </w:rPr>
            </w:pPr>
            <w:r>
              <w:rPr>
                <w:sz w:val="19"/>
              </w:rPr>
              <w:t>Yes</w:t>
            </w:r>
          </w:p>
        </w:tc>
        <w:tc>
          <w:tcPr>
            <w:tcW w:w="1568" w:type="dxa"/>
          </w:tcPr>
          <w:p>
            <w:pPr>
              <w:pStyle w:val="TableParagraph"/>
              <w:spacing w:before="41"/>
              <w:jc w:val="center"/>
              <w:rPr>
                <w:sz w:val="19"/>
              </w:rPr>
            </w:pPr>
            <w:r>
              <w:rPr>
                <w:w w:val="99"/>
                <w:sz w:val="19"/>
              </w:rPr>
              <w:t>-</w:t>
            </w:r>
          </w:p>
        </w:tc>
        <w:tc>
          <w:tcPr>
            <w:tcW w:w="1570" w:type="dxa"/>
            <w:shd w:val="clear" w:color="auto" w:fill="C5E0B3"/>
          </w:tcPr>
          <w:p>
            <w:pPr>
              <w:pStyle w:val="TableParagraph"/>
              <w:spacing w:before="41"/>
              <w:ind w:left="133" w:right="133"/>
              <w:jc w:val="center"/>
              <w:rPr>
                <w:sz w:val="19"/>
              </w:rPr>
            </w:pPr>
            <w:r>
              <w:rPr>
                <w:sz w:val="19"/>
              </w:rPr>
              <w:t>Yes</w:t>
            </w:r>
          </w:p>
        </w:tc>
      </w:tr>
    </w:tbl>
    <w:p>
      <w:pPr>
        <w:pStyle w:val="BodyText"/>
        <w:spacing w:before="40"/>
        <w:ind w:left="560"/>
        <w:jc w:val="both"/>
      </w:pPr>
      <w:r>
        <w:rPr/>
        <w:t>(Key – blank cells mean it was not mentioned/discussed)</w:t>
      </w:r>
    </w:p>
    <w:p>
      <w:pPr>
        <w:pStyle w:val="Heading2"/>
        <w:numPr>
          <w:ilvl w:val="1"/>
          <w:numId w:val="9"/>
        </w:numPr>
        <w:tabs>
          <w:tab w:pos="2000" w:val="left" w:leader="none"/>
          <w:tab w:pos="2001" w:val="left" w:leader="none"/>
        </w:tabs>
        <w:spacing w:line="240" w:lineRule="auto" w:before="136" w:after="0"/>
        <w:ind w:left="2000" w:right="0" w:hanging="1080"/>
        <w:jc w:val="left"/>
        <w:rPr>
          <w:b w:val="0"/>
        </w:rPr>
      </w:pPr>
      <w:bookmarkStart w:name="5.6. Further discussion on glass " w:id="106"/>
      <w:bookmarkEnd w:id="106"/>
      <w:r>
        <w:rPr/>
      </w:r>
      <w:bookmarkStart w:name="_bookmark35" w:id="107"/>
      <w:bookmarkEnd w:id="107"/>
      <w:r>
        <w:rPr/>
      </w:r>
      <w:bookmarkStart w:name="_bookmark35" w:id="108"/>
      <w:bookmarkEnd w:id="108"/>
      <w:r>
        <w:rPr>
          <w:b w:val="0"/>
        </w:rPr>
        <w:t>Further</w:t>
      </w:r>
      <w:r>
        <w:rPr>
          <w:b w:val="0"/>
        </w:rPr>
        <w:t> discussion on</w:t>
      </w:r>
      <w:r>
        <w:rPr>
          <w:b w:val="0"/>
          <w:spacing w:val="-11"/>
        </w:rPr>
        <w:t> </w:t>
      </w:r>
      <w:r>
        <w:rPr>
          <w:b w:val="0"/>
        </w:rPr>
        <w:t>glass</w:t>
      </w:r>
    </w:p>
    <w:p>
      <w:pPr>
        <w:pStyle w:val="BodyText"/>
        <w:spacing w:line="256" w:lineRule="auto" w:before="242"/>
        <w:ind w:left="560" w:right="115"/>
        <w:jc w:val="both"/>
      </w:pPr>
      <w:r>
        <w:rPr/>
        <w:t>The</w:t>
      </w:r>
      <w:r>
        <w:rPr>
          <w:spacing w:val="-4"/>
        </w:rPr>
        <w:t> </w:t>
      </w:r>
      <w:r>
        <w:rPr/>
        <w:t>issue</w:t>
      </w:r>
      <w:r>
        <w:rPr>
          <w:spacing w:val="-4"/>
        </w:rPr>
        <w:t> </w:t>
      </w:r>
      <w:r>
        <w:rPr/>
        <w:t>of</w:t>
      </w:r>
      <w:r>
        <w:rPr>
          <w:spacing w:val="-4"/>
        </w:rPr>
        <w:t> </w:t>
      </w:r>
      <w:r>
        <w:rPr/>
        <w:t>glass</w:t>
      </w:r>
      <w:r>
        <w:rPr>
          <w:spacing w:val="-4"/>
        </w:rPr>
        <w:t> </w:t>
      </w:r>
      <w:r>
        <w:rPr/>
        <w:t>being</w:t>
      </w:r>
      <w:r>
        <w:rPr>
          <w:spacing w:val="-4"/>
        </w:rPr>
        <w:t> </w:t>
      </w:r>
      <w:r>
        <w:rPr/>
        <w:t>collected</w:t>
      </w:r>
      <w:r>
        <w:rPr>
          <w:spacing w:val="-1"/>
        </w:rPr>
        <w:t> </w:t>
      </w:r>
      <w:r>
        <w:rPr/>
        <w:t>comingled</w:t>
      </w:r>
      <w:r>
        <w:rPr>
          <w:spacing w:val="-2"/>
        </w:rPr>
        <w:t> </w:t>
      </w:r>
      <w:r>
        <w:rPr/>
        <w:t>with</w:t>
      </w:r>
      <w:r>
        <w:rPr>
          <w:spacing w:val="-3"/>
        </w:rPr>
        <w:t> </w:t>
      </w:r>
      <w:r>
        <w:rPr/>
        <w:t>other</w:t>
      </w:r>
      <w:r>
        <w:rPr>
          <w:spacing w:val="-3"/>
        </w:rPr>
        <w:t> </w:t>
      </w:r>
      <w:r>
        <w:rPr/>
        <w:t>recyclable</w:t>
      </w:r>
      <w:r>
        <w:rPr>
          <w:spacing w:val="-4"/>
        </w:rPr>
        <w:t> </w:t>
      </w:r>
      <w:r>
        <w:rPr/>
        <w:t>materials</w:t>
      </w:r>
      <w:r>
        <w:rPr>
          <w:spacing w:val="-2"/>
        </w:rPr>
        <w:t> </w:t>
      </w:r>
      <w:r>
        <w:rPr/>
        <w:t>was</w:t>
      </w:r>
      <w:r>
        <w:rPr>
          <w:spacing w:val="1"/>
        </w:rPr>
        <w:t> </w:t>
      </w:r>
      <w:r>
        <w:rPr/>
        <w:t>a</w:t>
      </w:r>
      <w:r>
        <w:rPr>
          <w:spacing w:val="-2"/>
        </w:rPr>
        <w:t> </w:t>
      </w:r>
      <w:r>
        <w:rPr/>
        <w:t>common</w:t>
      </w:r>
      <w:r>
        <w:rPr>
          <w:spacing w:val="-3"/>
        </w:rPr>
        <w:t> </w:t>
      </w:r>
      <w:r>
        <w:rPr/>
        <w:t>theme</w:t>
      </w:r>
      <w:r>
        <w:rPr>
          <w:spacing w:val="-4"/>
        </w:rPr>
        <w:t> </w:t>
      </w:r>
      <w:r>
        <w:rPr/>
        <w:t>raised</w:t>
      </w:r>
      <w:r>
        <w:rPr>
          <w:spacing w:val="-3"/>
        </w:rPr>
        <w:t> </w:t>
      </w:r>
      <w:r>
        <w:rPr/>
        <w:t>in</w:t>
      </w:r>
      <w:r>
        <w:rPr>
          <w:spacing w:val="-3"/>
        </w:rPr>
        <w:t> </w:t>
      </w:r>
      <w:r>
        <w:rPr/>
        <w:t>the industry discussions, with the main themes as</w:t>
      </w:r>
      <w:r>
        <w:rPr>
          <w:spacing w:val="-25"/>
        </w:rPr>
        <w:t> </w:t>
      </w:r>
      <w:r>
        <w:rPr/>
        <w:t>follows:</w:t>
      </w:r>
    </w:p>
    <w:p>
      <w:pPr>
        <w:pStyle w:val="ListParagraph"/>
        <w:numPr>
          <w:ilvl w:val="0"/>
          <w:numId w:val="12"/>
        </w:numPr>
        <w:tabs>
          <w:tab w:pos="1281" w:val="left" w:leader="none"/>
        </w:tabs>
        <w:spacing w:line="256" w:lineRule="auto" w:before="157" w:after="0"/>
        <w:ind w:left="1280" w:right="127" w:hanging="360"/>
        <w:jc w:val="both"/>
        <w:rPr>
          <w:sz w:val="20"/>
        </w:rPr>
      </w:pPr>
      <w:r>
        <w:rPr>
          <w:sz w:val="20"/>
        </w:rPr>
        <w:t>Glass collected in wheelie bins results in lower quality glass as glass broken during the collection and transport process can no longer be easily colour</w:t>
      </w:r>
      <w:r>
        <w:rPr>
          <w:spacing w:val="-16"/>
          <w:sz w:val="20"/>
        </w:rPr>
        <w:t> </w:t>
      </w:r>
      <w:r>
        <w:rPr>
          <w:sz w:val="20"/>
        </w:rPr>
        <w:t>sorted.</w:t>
      </w:r>
    </w:p>
    <w:p>
      <w:pPr>
        <w:pStyle w:val="ListParagraph"/>
        <w:numPr>
          <w:ilvl w:val="0"/>
          <w:numId w:val="12"/>
        </w:numPr>
        <w:tabs>
          <w:tab w:pos="1281" w:val="left" w:leader="none"/>
        </w:tabs>
        <w:spacing w:line="256" w:lineRule="auto" w:before="0" w:after="0"/>
        <w:ind w:left="1280" w:right="128" w:hanging="360"/>
        <w:jc w:val="both"/>
        <w:rPr>
          <w:sz w:val="20"/>
        </w:rPr>
      </w:pPr>
      <w:r>
        <w:rPr>
          <w:sz w:val="20"/>
        </w:rPr>
        <w:t>Removing glass from comingled collections ensures a better quality fibre, and to a lesser degree, also improves the quality of plastic and</w:t>
      </w:r>
      <w:r>
        <w:rPr>
          <w:spacing w:val="-17"/>
          <w:sz w:val="20"/>
        </w:rPr>
        <w:t> </w:t>
      </w:r>
      <w:r>
        <w:rPr>
          <w:sz w:val="20"/>
        </w:rPr>
        <w:t>metal.</w:t>
      </w:r>
    </w:p>
    <w:p>
      <w:pPr>
        <w:pStyle w:val="ListParagraph"/>
        <w:numPr>
          <w:ilvl w:val="0"/>
          <w:numId w:val="12"/>
        </w:numPr>
        <w:tabs>
          <w:tab w:pos="1281" w:val="left" w:leader="none"/>
        </w:tabs>
        <w:spacing w:line="256" w:lineRule="auto" w:before="2" w:after="0"/>
        <w:ind w:left="1280" w:right="114" w:hanging="360"/>
        <w:jc w:val="both"/>
        <w:rPr>
          <w:sz w:val="20"/>
        </w:rPr>
      </w:pPr>
      <w:r>
        <w:rPr>
          <w:sz w:val="20"/>
        </w:rPr>
        <w:t>Glass collected in crates and colour sorted at kerbside enables a maximum quantity of glass to be recovered.</w:t>
      </w:r>
    </w:p>
    <w:p>
      <w:pPr>
        <w:pStyle w:val="ListParagraph"/>
        <w:numPr>
          <w:ilvl w:val="0"/>
          <w:numId w:val="12"/>
        </w:numPr>
        <w:tabs>
          <w:tab w:pos="1281" w:val="left" w:leader="none"/>
        </w:tabs>
        <w:spacing w:line="256" w:lineRule="auto" w:before="0" w:after="0"/>
        <w:ind w:left="1280" w:right="113" w:hanging="360"/>
        <w:jc w:val="both"/>
        <w:rPr>
          <w:sz w:val="20"/>
        </w:rPr>
      </w:pPr>
      <w:r>
        <w:rPr>
          <w:sz w:val="20"/>
        </w:rPr>
        <w:t>While there is currently limited capacity for the beneficiation of non-colour sorted glass, it is recommended that glass be collected in a crate and colour sorted at kerbside. However, if infrastructure is expanded in the future to include further opportunities for colour sorting at a beneficiation</w:t>
      </w:r>
      <w:r>
        <w:rPr>
          <w:spacing w:val="-11"/>
          <w:sz w:val="20"/>
        </w:rPr>
        <w:t> </w:t>
      </w:r>
      <w:r>
        <w:rPr>
          <w:sz w:val="20"/>
        </w:rPr>
        <w:t>plant,</w:t>
      </w:r>
      <w:r>
        <w:rPr>
          <w:spacing w:val="-11"/>
          <w:sz w:val="20"/>
        </w:rPr>
        <w:t> </w:t>
      </w:r>
      <w:r>
        <w:rPr>
          <w:sz w:val="20"/>
        </w:rPr>
        <w:t>non-colour</w:t>
      </w:r>
      <w:r>
        <w:rPr>
          <w:spacing w:val="-12"/>
          <w:sz w:val="20"/>
        </w:rPr>
        <w:t> </w:t>
      </w:r>
      <w:r>
        <w:rPr>
          <w:sz w:val="20"/>
        </w:rPr>
        <w:t>sorted</w:t>
      </w:r>
      <w:r>
        <w:rPr>
          <w:spacing w:val="-11"/>
          <w:sz w:val="20"/>
        </w:rPr>
        <w:t> </w:t>
      </w:r>
      <w:r>
        <w:rPr>
          <w:sz w:val="20"/>
        </w:rPr>
        <w:t>collections</w:t>
      </w:r>
      <w:r>
        <w:rPr>
          <w:spacing w:val="-10"/>
          <w:sz w:val="20"/>
        </w:rPr>
        <w:t> </w:t>
      </w:r>
      <w:r>
        <w:rPr>
          <w:sz w:val="20"/>
        </w:rPr>
        <w:t>of</w:t>
      </w:r>
      <w:r>
        <w:rPr>
          <w:spacing w:val="-12"/>
          <w:sz w:val="20"/>
        </w:rPr>
        <w:t> </w:t>
      </w:r>
      <w:r>
        <w:rPr>
          <w:sz w:val="20"/>
        </w:rPr>
        <w:t>glass</w:t>
      </w:r>
      <w:r>
        <w:rPr>
          <w:spacing w:val="-10"/>
          <w:sz w:val="20"/>
        </w:rPr>
        <w:t> </w:t>
      </w:r>
      <w:r>
        <w:rPr>
          <w:sz w:val="20"/>
        </w:rPr>
        <w:t>may</w:t>
      </w:r>
      <w:r>
        <w:rPr>
          <w:spacing w:val="-10"/>
          <w:sz w:val="20"/>
        </w:rPr>
        <w:t> </w:t>
      </w:r>
      <w:r>
        <w:rPr>
          <w:sz w:val="20"/>
        </w:rPr>
        <w:t>become</w:t>
      </w:r>
      <w:r>
        <w:rPr>
          <w:spacing w:val="-13"/>
          <w:sz w:val="20"/>
        </w:rPr>
        <w:t> </w:t>
      </w:r>
      <w:r>
        <w:rPr>
          <w:sz w:val="20"/>
        </w:rPr>
        <w:t>a</w:t>
      </w:r>
      <w:r>
        <w:rPr>
          <w:spacing w:val="-11"/>
          <w:sz w:val="20"/>
        </w:rPr>
        <w:t> </w:t>
      </w:r>
      <w:r>
        <w:rPr>
          <w:sz w:val="20"/>
        </w:rPr>
        <w:t>possibility</w:t>
      </w:r>
      <w:r>
        <w:rPr>
          <w:spacing w:val="-10"/>
          <w:sz w:val="20"/>
        </w:rPr>
        <w:t> </w:t>
      </w:r>
      <w:r>
        <w:rPr>
          <w:sz w:val="20"/>
        </w:rPr>
        <w:t>for</w:t>
      </w:r>
      <w:r>
        <w:rPr>
          <w:spacing w:val="-7"/>
          <w:sz w:val="20"/>
        </w:rPr>
        <w:t> </w:t>
      </w:r>
      <w:r>
        <w:rPr>
          <w:sz w:val="20"/>
        </w:rPr>
        <w:t>local</w:t>
      </w:r>
      <w:r>
        <w:rPr>
          <w:spacing w:val="-11"/>
          <w:sz w:val="20"/>
        </w:rPr>
        <w:t> </w:t>
      </w:r>
      <w:r>
        <w:rPr>
          <w:sz w:val="20"/>
        </w:rPr>
        <w:t>authorities.</w:t>
      </w:r>
    </w:p>
    <w:p>
      <w:pPr>
        <w:pStyle w:val="ListParagraph"/>
        <w:numPr>
          <w:ilvl w:val="0"/>
          <w:numId w:val="12"/>
        </w:numPr>
        <w:tabs>
          <w:tab w:pos="1281" w:val="left" w:leader="none"/>
        </w:tabs>
        <w:spacing w:line="254" w:lineRule="auto" w:before="3" w:after="0"/>
        <w:ind w:left="1280" w:right="117" w:hanging="360"/>
        <w:jc w:val="both"/>
        <w:rPr>
          <w:sz w:val="20"/>
        </w:rPr>
      </w:pPr>
      <w:r>
        <w:rPr>
          <w:sz w:val="20"/>
        </w:rPr>
        <w:t>Overseas experience shows that when glass is collected separately, compaction rates for trucks collecting other materials can be increased, increasing capacity in the</w:t>
      </w:r>
      <w:r>
        <w:rPr>
          <w:spacing w:val="-18"/>
          <w:sz w:val="20"/>
        </w:rPr>
        <w:t> </w:t>
      </w:r>
      <w:r>
        <w:rPr>
          <w:sz w:val="20"/>
        </w:rPr>
        <w:t>trucks.</w:t>
      </w:r>
    </w:p>
    <w:p>
      <w:pPr>
        <w:pStyle w:val="BodyText"/>
        <w:spacing w:line="256" w:lineRule="auto" w:before="163"/>
        <w:ind w:left="560" w:right="112"/>
        <w:jc w:val="both"/>
      </w:pPr>
      <w:r>
        <w:rPr/>
        <w:t>It was also noted by stakeholders that having only one reprocessor in Aotearoa New Zealand leads to stagnant prices paid for glass, and transport from the South Island to OI in Auckland can be uneconomical. Therefore, there is no incentive to pay for a kerbside sort. Hui participants suggested a new beneficiation plant could be established in the South Island or alternatively an investigation should be undertaken into regional wash plants and</w:t>
      </w:r>
      <w:r>
        <w:rPr>
          <w:spacing w:val="-12"/>
        </w:rPr>
        <w:t> </w:t>
      </w:r>
      <w:r>
        <w:rPr/>
        <w:t>standardisation</w:t>
      </w:r>
      <w:r>
        <w:rPr>
          <w:spacing w:val="-12"/>
        </w:rPr>
        <w:t> </w:t>
      </w:r>
      <w:r>
        <w:rPr/>
        <w:t>of</w:t>
      </w:r>
      <w:r>
        <w:rPr>
          <w:spacing w:val="-13"/>
        </w:rPr>
        <w:t> </w:t>
      </w:r>
      <w:r>
        <w:rPr/>
        <w:t>bottle</w:t>
      </w:r>
      <w:r>
        <w:rPr>
          <w:spacing w:val="-10"/>
        </w:rPr>
        <w:t> </w:t>
      </w:r>
      <w:r>
        <w:rPr/>
        <w:t>shapes</w:t>
      </w:r>
      <w:r>
        <w:rPr>
          <w:spacing w:val="-11"/>
        </w:rPr>
        <w:t> </w:t>
      </w:r>
      <w:r>
        <w:rPr/>
        <w:t>to</w:t>
      </w:r>
      <w:r>
        <w:rPr>
          <w:spacing w:val="-12"/>
        </w:rPr>
        <w:t> </w:t>
      </w:r>
      <w:r>
        <w:rPr/>
        <w:t>enable</w:t>
      </w:r>
      <w:r>
        <w:rPr>
          <w:spacing w:val="-14"/>
        </w:rPr>
        <w:t> </w:t>
      </w:r>
      <w:r>
        <w:rPr/>
        <w:t>and</w:t>
      </w:r>
      <w:r>
        <w:rPr>
          <w:spacing w:val="-14"/>
        </w:rPr>
        <w:t> </w:t>
      </w:r>
      <w:r>
        <w:rPr/>
        <w:t>promote</w:t>
      </w:r>
      <w:r>
        <w:rPr>
          <w:spacing w:val="-13"/>
        </w:rPr>
        <w:t> </w:t>
      </w:r>
      <w:r>
        <w:rPr/>
        <w:t>refilling,</w:t>
      </w:r>
      <w:r>
        <w:rPr>
          <w:spacing w:val="-10"/>
        </w:rPr>
        <w:t> </w:t>
      </w:r>
      <w:r>
        <w:rPr/>
        <w:t>which</w:t>
      </w:r>
      <w:r>
        <w:rPr>
          <w:spacing w:val="-13"/>
        </w:rPr>
        <w:t> </w:t>
      </w:r>
      <w:r>
        <w:rPr/>
        <w:t>better</w:t>
      </w:r>
      <w:r>
        <w:rPr>
          <w:spacing w:val="-13"/>
        </w:rPr>
        <w:t> </w:t>
      </w:r>
      <w:r>
        <w:rPr/>
        <w:t>aligns</w:t>
      </w:r>
      <w:r>
        <w:rPr>
          <w:spacing w:val="-10"/>
        </w:rPr>
        <w:t> </w:t>
      </w:r>
      <w:r>
        <w:rPr/>
        <w:t>with</w:t>
      </w:r>
      <w:r>
        <w:rPr>
          <w:spacing w:val="-12"/>
        </w:rPr>
        <w:t> </w:t>
      </w:r>
      <w:r>
        <w:rPr/>
        <w:t>a</w:t>
      </w:r>
      <w:r>
        <w:rPr>
          <w:spacing w:val="-12"/>
        </w:rPr>
        <w:t> </w:t>
      </w:r>
      <w:r>
        <w:rPr/>
        <w:t>circular</w:t>
      </w:r>
      <w:r>
        <w:rPr>
          <w:spacing w:val="-12"/>
        </w:rPr>
        <w:t> </w:t>
      </w:r>
      <w:r>
        <w:rPr/>
        <w:t>economy model.</w:t>
      </w:r>
    </w:p>
    <w:p>
      <w:pPr>
        <w:pStyle w:val="BodyText"/>
        <w:spacing w:line="256" w:lineRule="auto" w:before="159"/>
        <w:ind w:left="560" w:right="115"/>
        <w:jc w:val="both"/>
      </w:pPr>
      <w:r>
        <w:rPr/>
        <w:t>Another issue raised with regards to the separate collection of glass is the unknown effect that CRS could have on glass collections. CRS is currently being investigated and a final report on recommendations for the design of a CRS scheme is due to MfE in September 2020. This design may or may not include glass bottles. Once the design has been released, Cabinet will decide whether to proceed with the scheme. If the scheme does get established, it is likely several years from</w:t>
      </w:r>
      <w:r>
        <w:rPr>
          <w:spacing w:val="-23"/>
        </w:rPr>
        <w:t> </w:t>
      </w:r>
      <w:r>
        <w:rPr/>
        <w:t>launch.</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6" w:lineRule="auto" w:before="60"/>
        <w:ind w:left="560" w:right="118"/>
        <w:jc w:val="both"/>
      </w:pPr>
      <w:r>
        <w:rPr/>
        <w:t>If</w:t>
      </w:r>
      <w:r>
        <w:rPr>
          <w:spacing w:val="-10"/>
        </w:rPr>
        <w:t> </w:t>
      </w:r>
      <w:r>
        <w:rPr/>
        <w:t>glass</w:t>
      </w:r>
      <w:r>
        <w:rPr>
          <w:spacing w:val="-8"/>
        </w:rPr>
        <w:t> </w:t>
      </w:r>
      <w:r>
        <w:rPr/>
        <w:t>is</w:t>
      </w:r>
      <w:r>
        <w:rPr>
          <w:spacing w:val="-8"/>
        </w:rPr>
        <w:t> </w:t>
      </w:r>
      <w:r>
        <w:rPr/>
        <w:t>included</w:t>
      </w:r>
      <w:r>
        <w:rPr>
          <w:spacing w:val="-9"/>
        </w:rPr>
        <w:t> </w:t>
      </w:r>
      <w:r>
        <w:rPr/>
        <w:t>in</w:t>
      </w:r>
      <w:r>
        <w:rPr>
          <w:spacing w:val="-9"/>
        </w:rPr>
        <w:t> </w:t>
      </w:r>
      <w:r>
        <w:rPr/>
        <w:t>CRS,</w:t>
      </w:r>
      <w:r>
        <w:rPr>
          <w:spacing w:val="-9"/>
        </w:rPr>
        <w:t> </w:t>
      </w:r>
      <w:r>
        <w:rPr/>
        <w:t>it</w:t>
      </w:r>
      <w:r>
        <w:rPr>
          <w:spacing w:val="-7"/>
        </w:rPr>
        <w:t> </w:t>
      </w:r>
      <w:r>
        <w:rPr/>
        <w:t>will</w:t>
      </w:r>
      <w:r>
        <w:rPr>
          <w:spacing w:val="-9"/>
        </w:rPr>
        <w:t> </w:t>
      </w:r>
      <w:r>
        <w:rPr/>
        <w:t>significantly</w:t>
      </w:r>
      <w:r>
        <w:rPr>
          <w:spacing w:val="-8"/>
        </w:rPr>
        <w:t> </w:t>
      </w:r>
      <w:r>
        <w:rPr/>
        <w:t>reduce</w:t>
      </w:r>
      <w:r>
        <w:rPr>
          <w:spacing w:val="-8"/>
        </w:rPr>
        <w:t> </w:t>
      </w:r>
      <w:r>
        <w:rPr/>
        <w:t>the</w:t>
      </w:r>
      <w:r>
        <w:rPr>
          <w:spacing w:val="-10"/>
        </w:rPr>
        <w:t> </w:t>
      </w:r>
      <w:r>
        <w:rPr/>
        <w:t>quantity</w:t>
      </w:r>
      <w:r>
        <w:rPr>
          <w:spacing w:val="-8"/>
        </w:rPr>
        <w:t> </w:t>
      </w:r>
      <w:r>
        <w:rPr/>
        <w:t>of</w:t>
      </w:r>
      <w:r>
        <w:rPr>
          <w:spacing w:val="-10"/>
        </w:rPr>
        <w:t> </w:t>
      </w:r>
      <w:r>
        <w:rPr/>
        <w:t>glass</w:t>
      </w:r>
      <w:r>
        <w:rPr>
          <w:spacing w:val="-8"/>
        </w:rPr>
        <w:t> </w:t>
      </w:r>
      <w:r>
        <w:rPr/>
        <w:t>set</w:t>
      </w:r>
      <w:r>
        <w:rPr>
          <w:spacing w:val="-9"/>
        </w:rPr>
        <w:t> </w:t>
      </w:r>
      <w:r>
        <w:rPr/>
        <w:t>out</w:t>
      </w:r>
      <w:r>
        <w:rPr>
          <w:spacing w:val="-9"/>
        </w:rPr>
        <w:t> </w:t>
      </w:r>
      <w:r>
        <w:rPr/>
        <w:t>in</w:t>
      </w:r>
      <w:r>
        <w:rPr>
          <w:spacing w:val="-9"/>
        </w:rPr>
        <w:t> </w:t>
      </w:r>
      <w:r>
        <w:rPr/>
        <w:t>kerbside</w:t>
      </w:r>
      <w:r>
        <w:rPr>
          <w:spacing w:val="-10"/>
        </w:rPr>
        <w:t> </w:t>
      </w:r>
      <w:r>
        <w:rPr/>
        <w:t>recycling.</w:t>
      </w:r>
      <w:r>
        <w:rPr>
          <w:spacing w:val="40"/>
        </w:rPr>
        <w:t> </w:t>
      </w:r>
      <w:r>
        <w:rPr/>
        <w:t>There</w:t>
      </w:r>
      <w:r>
        <w:rPr>
          <w:spacing w:val="-10"/>
        </w:rPr>
        <w:t> </w:t>
      </w:r>
      <w:r>
        <w:rPr/>
        <w:t>will, however, still be a percentage of glass beverage bottles set out, as well as all glass non-beverage bottles and jars.</w:t>
      </w:r>
    </w:p>
    <w:p>
      <w:pPr>
        <w:pStyle w:val="BodyText"/>
        <w:spacing w:line="256" w:lineRule="auto" w:before="159"/>
        <w:ind w:left="560" w:right="116"/>
        <w:jc w:val="both"/>
      </w:pPr>
      <w:r>
        <w:rPr/>
        <w:t>During</w:t>
      </w:r>
      <w:r>
        <w:rPr>
          <w:spacing w:val="-12"/>
        </w:rPr>
        <w:t> </w:t>
      </w:r>
      <w:r>
        <w:rPr/>
        <w:t>the</w:t>
      </w:r>
      <w:r>
        <w:rPr>
          <w:spacing w:val="-12"/>
        </w:rPr>
        <w:t> </w:t>
      </w:r>
      <w:r>
        <w:rPr/>
        <w:t>hui</w:t>
      </w:r>
      <w:r>
        <w:rPr>
          <w:spacing w:val="-14"/>
        </w:rPr>
        <w:t> </w:t>
      </w:r>
      <w:r>
        <w:rPr/>
        <w:t>some</w:t>
      </w:r>
      <w:r>
        <w:rPr>
          <w:spacing w:val="-12"/>
        </w:rPr>
        <w:t> </w:t>
      </w:r>
      <w:r>
        <w:rPr/>
        <w:t>stakeholders</w:t>
      </w:r>
      <w:r>
        <w:rPr>
          <w:spacing w:val="-10"/>
        </w:rPr>
        <w:t> </w:t>
      </w:r>
      <w:r>
        <w:rPr/>
        <w:t>suggested</w:t>
      </w:r>
      <w:r>
        <w:rPr>
          <w:spacing w:val="-11"/>
        </w:rPr>
        <w:t> </w:t>
      </w:r>
      <w:r>
        <w:rPr/>
        <w:t>that</w:t>
      </w:r>
      <w:r>
        <w:rPr>
          <w:spacing w:val="-13"/>
        </w:rPr>
        <w:t> </w:t>
      </w:r>
      <w:r>
        <w:rPr/>
        <w:t>if</w:t>
      </w:r>
      <w:r>
        <w:rPr>
          <w:spacing w:val="-13"/>
        </w:rPr>
        <w:t> </w:t>
      </w:r>
      <w:r>
        <w:rPr/>
        <w:t>glass</w:t>
      </w:r>
      <w:r>
        <w:rPr>
          <w:spacing w:val="-13"/>
        </w:rPr>
        <w:t> </w:t>
      </w:r>
      <w:r>
        <w:rPr/>
        <w:t>is</w:t>
      </w:r>
      <w:r>
        <w:rPr>
          <w:spacing w:val="-13"/>
        </w:rPr>
        <w:t> </w:t>
      </w:r>
      <w:r>
        <w:rPr/>
        <w:t>included</w:t>
      </w:r>
      <w:r>
        <w:rPr>
          <w:spacing w:val="-11"/>
        </w:rPr>
        <w:t> </w:t>
      </w:r>
      <w:r>
        <w:rPr/>
        <w:t>in</w:t>
      </w:r>
      <w:r>
        <w:rPr>
          <w:spacing w:val="-11"/>
        </w:rPr>
        <w:t> </w:t>
      </w:r>
      <w:r>
        <w:rPr/>
        <w:t>a</w:t>
      </w:r>
      <w:r>
        <w:rPr>
          <w:spacing w:val="-13"/>
        </w:rPr>
        <w:t> </w:t>
      </w:r>
      <w:r>
        <w:rPr/>
        <w:t>CRS</w:t>
      </w:r>
      <w:r>
        <w:rPr>
          <w:spacing w:val="-12"/>
        </w:rPr>
        <w:t> </w:t>
      </w:r>
      <w:r>
        <w:rPr/>
        <w:t>scheme,</w:t>
      </w:r>
      <w:r>
        <w:rPr>
          <w:spacing w:val="-11"/>
        </w:rPr>
        <w:t> </w:t>
      </w:r>
      <w:r>
        <w:rPr/>
        <w:t>then</w:t>
      </w:r>
      <w:r>
        <w:rPr>
          <w:spacing w:val="-11"/>
        </w:rPr>
        <w:t> </w:t>
      </w:r>
      <w:r>
        <w:rPr/>
        <w:t>glass</w:t>
      </w:r>
      <w:r>
        <w:rPr>
          <w:spacing w:val="-10"/>
        </w:rPr>
        <w:t> </w:t>
      </w:r>
      <w:r>
        <w:rPr/>
        <w:t>collections</w:t>
      </w:r>
      <w:r>
        <w:rPr>
          <w:spacing w:val="-10"/>
        </w:rPr>
        <w:t> </w:t>
      </w:r>
      <w:r>
        <w:rPr/>
        <w:t>would continue, but become monthly. One local authority suggested that it would be better to collect fibre in a separate</w:t>
      </w:r>
      <w:r>
        <w:rPr>
          <w:spacing w:val="-3"/>
        </w:rPr>
        <w:t> </w:t>
      </w:r>
      <w:r>
        <w:rPr/>
        <w:t>bin,</w:t>
      </w:r>
      <w:r>
        <w:rPr>
          <w:spacing w:val="-2"/>
        </w:rPr>
        <w:t> </w:t>
      </w:r>
      <w:r>
        <w:rPr/>
        <w:t>so</w:t>
      </w:r>
      <w:r>
        <w:rPr>
          <w:spacing w:val="-2"/>
        </w:rPr>
        <w:t> </w:t>
      </w:r>
      <w:r>
        <w:rPr/>
        <w:t>that</w:t>
      </w:r>
      <w:r>
        <w:rPr>
          <w:spacing w:val="-2"/>
        </w:rPr>
        <w:t> </w:t>
      </w:r>
      <w:r>
        <w:rPr/>
        <w:t>the</w:t>
      </w:r>
      <w:r>
        <w:rPr>
          <w:spacing w:val="-3"/>
        </w:rPr>
        <w:t> </w:t>
      </w:r>
      <w:r>
        <w:rPr/>
        <w:t>lower</w:t>
      </w:r>
      <w:r>
        <w:rPr>
          <w:spacing w:val="-2"/>
        </w:rPr>
        <w:t> </w:t>
      </w:r>
      <w:r>
        <w:rPr/>
        <w:t>quantities</w:t>
      </w:r>
      <w:r>
        <w:rPr>
          <w:spacing w:val="-2"/>
        </w:rPr>
        <w:t> </w:t>
      </w:r>
      <w:r>
        <w:rPr/>
        <w:t>of</w:t>
      </w:r>
      <w:r>
        <w:rPr>
          <w:spacing w:val="-4"/>
        </w:rPr>
        <w:t> </w:t>
      </w:r>
      <w:r>
        <w:rPr/>
        <w:t>glass</w:t>
      </w:r>
      <w:r>
        <w:rPr>
          <w:spacing w:val="-2"/>
        </w:rPr>
        <w:t> </w:t>
      </w:r>
      <w:r>
        <w:rPr/>
        <w:t>can</w:t>
      </w:r>
      <w:r>
        <w:rPr>
          <w:spacing w:val="-4"/>
        </w:rPr>
        <w:t> </w:t>
      </w:r>
      <w:r>
        <w:rPr/>
        <w:t>be</w:t>
      </w:r>
      <w:r>
        <w:rPr>
          <w:spacing w:val="-3"/>
        </w:rPr>
        <w:t> </w:t>
      </w:r>
      <w:r>
        <w:rPr/>
        <w:t>collected</w:t>
      </w:r>
      <w:r>
        <w:rPr>
          <w:spacing w:val="-2"/>
        </w:rPr>
        <w:t> </w:t>
      </w:r>
      <w:r>
        <w:rPr/>
        <w:t>with</w:t>
      </w:r>
      <w:r>
        <w:rPr>
          <w:spacing w:val="-2"/>
        </w:rPr>
        <w:t> </w:t>
      </w:r>
      <w:r>
        <w:rPr/>
        <w:t>plastic</w:t>
      </w:r>
      <w:r>
        <w:rPr>
          <w:spacing w:val="-3"/>
        </w:rPr>
        <w:t> </w:t>
      </w:r>
      <w:r>
        <w:rPr/>
        <w:t>and</w:t>
      </w:r>
      <w:r>
        <w:rPr>
          <w:spacing w:val="-2"/>
        </w:rPr>
        <w:t> </w:t>
      </w:r>
      <w:r>
        <w:rPr/>
        <w:t>metals.</w:t>
      </w:r>
    </w:p>
    <w:p>
      <w:pPr>
        <w:spacing w:after="0" w:line="256" w:lineRule="auto"/>
        <w:jc w:val="both"/>
        <w:sectPr>
          <w:footerReference w:type="default" r:id="rId24"/>
          <w:pgSz w:w="11910" w:h="16840"/>
          <w:pgMar w:footer="698" w:header="576" w:top="1140" w:bottom="880" w:left="880" w:right="1320"/>
        </w:sectPr>
      </w:pPr>
    </w:p>
    <w:p>
      <w:pPr>
        <w:pStyle w:val="BodyText"/>
      </w:pPr>
    </w:p>
    <w:p>
      <w:pPr>
        <w:pStyle w:val="BodyText"/>
        <w:spacing w:before="2"/>
        <w:rPr>
          <w:sz w:val="27"/>
        </w:rPr>
      </w:pPr>
    </w:p>
    <w:p>
      <w:pPr>
        <w:pStyle w:val="Heading1"/>
        <w:numPr>
          <w:ilvl w:val="0"/>
          <w:numId w:val="9"/>
        </w:numPr>
        <w:tabs>
          <w:tab w:pos="921" w:val="left" w:leader="none"/>
        </w:tabs>
        <w:spacing w:line="240" w:lineRule="auto" w:before="88" w:after="0"/>
        <w:ind w:left="920" w:right="0" w:hanging="360"/>
        <w:jc w:val="left"/>
      </w:pPr>
      <w:r>
        <w:rPr/>
        <w:pict>
          <v:line style="position:absolute;mso-position-horizontal-relative:page;mso-position-vertical-relative:paragraph;z-index:1408" from="57.852001pt,4.363784pt" to="57.852001pt,25.123784pt" stroked="true" strokeweight="1.464pt" strokecolor="#ed7d31">
            <v:stroke dashstyle="solid"/>
            <w10:wrap type="none"/>
          </v:line>
        </w:pict>
      </w:r>
      <w:bookmarkStart w:name="6. DISCUSSION " w:id="109"/>
      <w:bookmarkEnd w:id="109"/>
      <w:r>
        <w:rPr/>
      </w:r>
      <w:bookmarkStart w:name="_bookmark36" w:id="110"/>
      <w:bookmarkEnd w:id="110"/>
      <w:r>
        <w:rPr/>
      </w:r>
      <w:bookmarkStart w:name="_bookmark36" w:id="111"/>
      <w:bookmarkEnd w:id="111"/>
      <w:r>
        <w:rPr>
          <w:spacing w:val="8"/>
        </w:rPr>
        <w:t>D</w:t>
      </w:r>
      <w:r>
        <w:rPr>
          <w:spacing w:val="8"/>
        </w:rPr>
        <w:t>ISCUSSION</w:t>
      </w:r>
    </w:p>
    <w:p>
      <w:pPr>
        <w:pStyle w:val="BodyText"/>
        <w:spacing w:before="1"/>
        <w:rPr>
          <w:rFonts w:ascii="Arial"/>
          <w:sz w:val="26"/>
        </w:rPr>
      </w:pPr>
    </w:p>
    <w:p>
      <w:pPr>
        <w:pStyle w:val="BodyText"/>
        <w:spacing w:line="256" w:lineRule="auto" w:before="59"/>
        <w:ind w:left="560" w:right="118"/>
        <w:jc w:val="both"/>
      </w:pPr>
      <w:r>
        <w:rPr/>
        <w:t>Standardising the materials to be collected in kerbside recycling, the presentation of these materials, and providing best practice recommendations for the standardisation of kerbside collections for rubbish, recycling and organic waste has the potential to significantly reduce confusion for householders, reduce contamination in kerbside recycling, improve the quality of recyclable materials, and reduce residual rubbish to landfill.</w:t>
      </w:r>
    </w:p>
    <w:p>
      <w:pPr>
        <w:pStyle w:val="BodyText"/>
        <w:spacing w:line="254" w:lineRule="auto" w:before="158"/>
        <w:ind w:left="560" w:right="115"/>
        <w:jc w:val="both"/>
      </w:pPr>
      <w:r>
        <w:rPr/>
        <w:t>However, it became apparent during the engagement and research undertaken for this project, that the collection of materials at kerbside is one part of a much larger puzzle and cannot be considered alone. The following diagram attempts to outline where kerbside collections fits into a wider system, and some of the current barriers to the effective operation of this system.</w:t>
      </w:r>
    </w:p>
    <w:p>
      <w:pPr>
        <w:pStyle w:val="BodyText"/>
        <w:rPr>
          <w:sz w:val="10"/>
        </w:rPr>
      </w:pPr>
      <w:r>
        <w:rPr/>
        <w:drawing>
          <wp:anchor distT="0" distB="0" distL="0" distR="0" allowOverlap="1" layoutInCell="1" locked="0" behindDoc="0" simplePos="0" relativeHeight="1384">
            <wp:simplePos x="0" y="0"/>
            <wp:positionH relativeFrom="page">
              <wp:posOffset>1291589</wp:posOffset>
            </wp:positionH>
            <wp:positionV relativeFrom="paragraph">
              <wp:posOffset>102351</wp:posOffset>
            </wp:positionV>
            <wp:extent cx="5000105" cy="4588002"/>
            <wp:effectExtent l="0" t="0" r="0" b="0"/>
            <wp:wrapTopAndBottom/>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26" cstate="print"/>
                    <a:stretch>
                      <a:fillRect/>
                    </a:stretch>
                  </pic:blipFill>
                  <pic:spPr>
                    <a:xfrm>
                      <a:off x="0" y="0"/>
                      <a:ext cx="5000105" cy="4588002"/>
                    </a:xfrm>
                    <a:prstGeom prst="rect">
                      <a:avLst/>
                    </a:prstGeom>
                  </pic:spPr>
                </pic:pic>
              </a:graphicData>
            </a:graphic>
          </wp:anchor>
        </w:drawing>
      </w:r>
    </w:p>
    <w:p>
      <w:pPr>
        <w:pStyle w:val="Heading5"/>
        <w:ind w:left="2535"/>
      </w:pPr>
      <w:r>
        <w:rPr/>
        <w:t>Figure 6.1 – Wider resource recovery system and key barriers</w:t>
      </w:r>
    </w:p>
    <w:p>
      <w:pPr>
        <w:pStyle w:val="BodyText"/>
        <w:spacing w:line="256" w:lineRule="auto" w:before="176"/>
        <w:ind w:left="560" w:right="119"/>
        <w:jc w:val="both"/>
      </w:pPr>
      <w:r>
        <w:rPr/>
        <w:t>Only minimal improvements will be available without taking a more holistic approach to the system and providing incentives for change. The current system is fragmented, with each player operating within the boundaries of their own specific interests.  For example:</w:t>
      </w:r>
    </w:p>
    <w:p>
      <w:pPr>
        <w:pStyle w:val="ListParagraph"/>
        <w:numPr>
          <w:ilvl w:val="0"/>
          <w:numId w:val="16"/>
        </w:numPr>
        <w:tabs>
          <w:tab w:pos="1330" w:val="left" w:leader="none"/>
          <w:tab w:pos="1331" w:val="left" w:leader="none"/>
        </w:tabs>
        <w:spacing w:line="240" w:lineRule="auto" w:before="158" w:after="0"/>
        <w:ind w:left="1330" w:right="0" w:hanging="360"/>
        <w:jc w:val="left"/>
        <w:rPr>
          <w:sz w:val="20"/>
        </w:rPr>
      </w:pPr>
      <w:r>
        <w:rPr>
          <w:sz w:val="20"/>
        </w:rPr>
        <w:t>Local authorities are incentivised to select the cheapest collection contract</w:t>
      </w:r>
      <w:r>
        <w:rPr>
          <w:spacing w:val="-21"/>
          <w:sz w:val="20"/>
        </w:rPr>
        <w:t> </w:t>
      </w:r>
      <w:r>
        <w:rPr>
          <w:sz w:val="20"/>
        </w:rPr>
        <w:t>available</w:t>
      </w:r>
    </w:p>
    <w:p>
      <w:pPr>
        <w:pStyle w:val="ListParagraph"/>
        <w:numPr>
          <w:ilvl w:val="0"/>
          <w:numId w:val="16"/>
        </w:numPr>
        <w:tabs>
          <w:tab w:pos="1330" w:val="left" w:leader="none"/>
          <w:tab w:pos="1331" w:val="left" w:leader="none"/>
        </w:tabs>
        <w:spacing w:line="256" w:lineRule="auto" w:before="16" w:after="0"/>
        <w:ind w:left="1330" w:right="122" w:hanging="360"/>
        <w:jc w:val="left"/>
        <w:rPr>
          <w:sz w:val="20"/>
        </w:rPr>
      </w:pPr>
      <w:r>
        <w:rPr>
          <w:sz w:val="20"/>
        </w:rPr>
        <w:t>There are few incentives for local authorities to increase their diversion of waste from landfill, especially if there is a cost to achieving</w:t>
      </w:r>
      <w:r>
        <w:rPr>
          <w:spacing w:val="-15"/>
          <w:sz w:val="20"/>
        </w:rPr>
        <w:t> </w:t>
      </w:r>
      <w:r>
        <w:rPr>
          <w:sz w:val="20"/>
        </w:rPr>
        <w:t>this</w:t>
      </w:r>
    </w:p>
    <w:p>
      <w:pPr>
        <w:pStyle w:val="ListParagraph"/>
        <w:numPr>
          <w:ilvl w:val="0"/>
          <w:numId w:val="16"/>
        </w:numPr>
        <w:tabs>
          <w:tab w:pos="1330" w:val="left" w:leader="none"/>
          <w:tab w:pos="1331" w:val="left" w:leader="none"/>
        </w:tabs>
        <w:spacing w:line="256" w:lineRule="auto" w:before="0" w:after="0"/>
        <w:ind w:left="1330" w:right="123" w:hanging="360"/>
        <w:jc w:val="left"/>
        <w:rPr>
          <w:sz w:val="20"/>
        </w:rPr>
      </w:pPr>
      <w:r>
        <w:rPr>
          <w:sz w:val="20"/>
        </w:rPr>
        <w:t>There is little incentive for collection contractors to reduce contamination (unless a contract is specifically designed to avoid this).  Collection contractors are also unlikely to have access to</w:t>
      </w:r>
      <w:r>
        <w:rPr>
          <w:spacing w:val="-22"/>
          <w:sz w:val="20"/>
        </w:rPr>
        <w:t> </w:t>
      </w:r>
      <w:r>
        <w:rPr>
          <w:sz w:val="20"/>
        </w:rPr>
        <w:t>effective</w:t>
      </w:r>
    </w:p>
    <w:p>
      <w:pPr>
        <w:spacing w:after="0" w:line="256" w:lineRule="auto"/>
        <w:jc w:val="left"/>
        <w:rPr>
          <w:sz w:val="20"/>
        </w:rPr>
        <w:sectPr>
          <w:footerReference w:type="default" r:id="rId25"/>
          <w:pgSz w:w="11910" w:h="16840"/>
          <w:pgMar w:footer="698" w:header="576" w:top="1140" w:bottom="880" w:left="880" w:right="1320"/>
          <w:pgNumType w:start="31"/>
        </w:sectPr>
      </w:pPr>
    </w:p>
    <w:p>
      <w:pPr>
        <w:pStyle w:val="BodyText"/>
      </w:pPr>
    </w:p>
    <w:p>
      <w:pPr>
        <w:pStyle w:val="BodyText"/>
        <w:spacing w:before="7"/>
        <w:rPr>
          <w:sz w:val="29"/>
        </w:rPr>
      </w:pPr>
    </w:p>
    <w:p>
      <w:pPr>
        <w:pStyle w:val="BodyText"/>
        <w:spacing w:line="254" w:lineRule="auto" w:before="60"/>
        <w:ind w:left="1330"/>
      </w:pPr>
      <w:r>
        <w:rPr/>
        <w:t>levers to achieve this, even if they desired to (e.g. ability to influence local authority education, or penalise or reward householders for their recycling)</w:t>
      </w:r>
    </w:p>
    <w:p>
      <w:pPr>
        <w:pStyle w:val="ListParagraph"/>
        <w:numPr>
          <w:ilvl w:val="0"/>
          <w:numId w:val="16"/>
        </w:numPr>
        <w:tabs>
          <w:tab w:pos="1330" w:val="left" w:leader="none"/>
          <w:tab w:pos="1331" w:val="left" w:leader="none"/>
        </w:tabs>
        <w:spacing w:line="256" w:lineRule="auto" w:before="2" w:after="0"/>
        <w:ind w:left="1330" w:right="120" w:hanging="360"/>
        <w:jc w:val="left"/>
        <w:rPr>
          <w:sz w:val="20"/>
        </w:rPr>
      </w:pPr>
      <w:r>
        <w:rPr>
          <w:sz w:val="20"/>
        </w:rPr>
        <w:t>MRF operators are by default incentivised to include the maximum allowable quantity of contamination in a bale of material, as this reduces their sorting costs and waste disposal</w:t>
      </w:r>
      <w:r>
        <w:rPr>
          <w:spacing w:val="-29"/>
          <w:sz w:val="20"/>
        </w:rPr>
        <w:t> </w:t>
      </w:r>
      <w:r>
        <w:rPr>
          <w:sz w:val="20"/>
        </w:rPr>
        <w:t>costs</w:t>
      </w:r>
    </w:p>
    <w:p>
      <w:pPr>
        <w:pStyle w:val="ListParagraph"/>
        <w:numPr>
          <w:ilvl w:val="0"/>
          <w:numId w:val="16"/>
        </w:numPr>
        <w:tabs>
          <w:tab w:pos="1330" w:val="left" w:leader="none"/>
          <w:tab w:pos="1331" w:val="left" w:leader="none"/>
        </w:tabs>
        <w:spacing w:line="256" w:lineRule="auto" w:before="0" w:after="0"/>
        <w:ind w:left="1330" w:right="127" w:hanging="360"/>
        <w:jc w:val="left"/>
        <w:rPr>
          <w:sz w:val="20"/>
        </w:rPr>
      </w:pPr>
      <w:r>
        <w:rPr>
          <w:sz w:val="20"/>
        </w:rPr>
        <w:t>There are monopolies within the reprocessor sector, which results in stagnant prices being paid for materials</w:t>
      </w:r>
    </w:p>
    <w:p>
      <w:pPr>
        <w:pStyle w:val="ListParagraph"/>
        <w:numPr>
          <w:ilvl w:val="0"/>
          <w:numId w:val="16"/>
        </w:numPr>
        <w:tabs>
          <w:tab w:pos="1330" w:val="left" w:leader="none"/>
          <w:tab w:pos="1331" w:val="left" w:leader="none"/>
        </w:tabs>
        <w:spacing w:line="256" w:lineRule="auto" w:before="2" w:after="0"/>
        <w:ind w:left="1330" w:right="126" w:hanging="360"/>
        <w:jc w:val="left"/>
        <w:rPr>
          <w:sz w:val="20"/>
        </w:rPr>
      </w:pPr>
      <w:r>
        <w:rPr>
          <w:sz w:val="20"/>
        </w:rPr>
        <w:t>Product manufacturers have little incentive to use recycled materials, especially when virgin material is available for a similar or lower</w:t>
      </w:r>
      <w:r>
        <w:rPr>
          <w:spacing w:val="-15"/>
          <w:sz w:val="20"/>
        </w:rPr>
        <w:t> </w:t>
      </w:r>
      <w:r>
        <w:rPr>
          <w:sz w:val="20"/>
        </w:rPr>
        <w:t>price</w:t>
      </w:r>
    </w:p>
    <w:p>
      <w:pPr>
        <w:pStyle w:val="ListParagraph"/>
        <w:numPr>
          <w:ilvl w:val="0"/>
          <w:numId w:val="16"/>
        </w:numPr>
        <w:tabs>
          <w:tab w:pos="1330" w:val="left" w:leader="none"/>
          <w:tab w:pos="1331" w:val="left" w:leader="none"/>
        </w:tabs>
        <w:spacing w:line="256" w:lineRule="auto" w:before="0" w:after="0"/>
        <w:ind w:left="1330" w:right="128" w:hanging="360"/>
        <w:jc w:val="left"/>
        <w:rPr>
          <w:sz w:val="20"/>
        </w:rPr>
      </w:pPr>
      <w:r>
        <w:rPr>
          <w:sz w:val="20"/>
        </w:rPr>
        <w:t>There are few incentives for organisations or householders to purchase products containing recycled material</w:t>
      </w:r>
    </w:p>
    <w:p>
      <w:pPr>
        <w:pStyle w:val="ListParagraph"/>
        <w:numPr>
          <w:ilvl w:val="0"/>
          <w:numId w:val="16"/>
        </w:numPr>
        <w:tabs>
          <w:tab w:pos="1330" w:val="left" w:leader="none"/>
          <w:tab w:pos="1331" w:val="left" w:leader="none"/>
        </w:tabs>
        <w:spacing w:line="240" w:lineRule="auto" w:before="5" w:after="0"/>
        <w:ind w:left="1330" w:right="0" w:hanging="360"/>
        <w:jc w:val="left"/>
        <w:rPr>
          <w:sz w:val="20"/>
        </w:rPr>
      </w:pPr>
      <w:r>
        <w:rPr>
          <w:sz w:val="20"/>
        </w:rPr>
        <w:t>There</w:t>
      </w:r>
      <w:r>
        <w:rPr>
          <w:spacing w:val="-14"/>
          <w:sz w:val="20"/>
        </w:rPr>
        <w:t> </w:t>
      </w:r>
      <w:r>
        <w:rPr>
          <w:sz w:val="20"/>
        </w:rPr>
        <w:t>is</w:t>
      </w:r>
      <w:r>
        <w:rPr>
          <w:spacing w:val="-14"/>
          <w:sz w:val="20"/>
        </w:rPr>
        <w:t> </w:t>
      </w:r>
      <w:r>
        <w:rPr>
          <w:sz w:val="20"/>
        </w:rPr>
        <w:t>much</w:t>
      </w:r>
      <w:r>
        <w:rPr>
          <w:spacing w:val="-15"/>
          <w:sz w:val="20"/>
        </w:rPr>
        <w:t> </w:t>
      </w:r>
      <w:r>
        <w:rPr>
          <w:sz w:val="20"/>
        </w:rPr>
        <w:t>uncertainty</w:t>
      </w:r>
      <w:r>
        <w:rPr>
          <w:spacing w:val="-14"/>
          <w:sz w:val="20"/>
        </w:rPr>
        <w:t> </w:t>
      </w:r>
      <w:r>
        <w:rPr>
          <w:sz w:val="20"/>
        </w:rPr>
        <w:t>in</w:t>
      </w:r>
      <w:r>
        <w:rPr>
          <w:spacing w:val="-12"/>
          <w:sz w:val="20"/>
        </w:rPr>
        <w:t> </w:t>
      </w:r>
      <w:r>
        <w:rPr>
          <w:sz w:val="20"/>
        </w:rPr>
        <w:t>materials</w:t>
      </w:r>
      <w:r>
        <w:rPr>
          <w:spacing w:val="-14"/>
          <w:sz w:val="20"/>
        </w:rPr>
        <w:t> </w:t>
      </w:r>
      <w:r>
        <w:rPr>
          <w:sz w:val="20"/>
        </w:rPr>
        <w:t>commodity</w:t>
      </w:r>
      <w:r>
        <w:rPr>
          <w:spacing w:val="-14"/>
          <w:sz w:val="20"/>
        </w:rPr>
        <w:t> </w:t>
      </w:r>
      <w:r>
        <w:rPr>
          <w:sz w:val="20"/>
        </w:rPr>
        <w:t>markets,</w:t>
      </w:r>
      <w:r>
        <w:rPr>
          <w:spacing w:val="-15"/>
          <w:sz w:val="20"/>
        </w:rPr>
        <w:t> </w:t>
      </w:r>
      <w:r>
        <w:rPr>
          <w:sz w:val="20"/>
        </w:rPr>
        <w:t>resulting</w:t>
      </w:r>
      <w:r>
        <w:rPr>
          <w:spacing w:val="-15"/>
          <w:sz w:val="20"/>
        </w:rPr>
        <w:t> </w:t>
      </w:r>
      <w:r>
        <w:rPr>
          <w:sz w:val="20"/>
        </w:rPr>
        <w:t>in</w:t>
      </w:r>
      <w:r>
        <w:rPr>
          <w:spacing w:val="-15"/>
          <w:sz w:val="20"/>
        </w:rPr>
        <w:t> </w:t>
      </w:r>
      <w:r>
        <w:rPr>
          <w:sz w:val="20"/>
        </w:rPr>
        <w:t>hesitancy</w:t>
      </w:r>
      <w:r>
        <w:rPr>
          <w:spacing w:val="-14"/>
          <w:sz w:val="20"/>
        </w:rPr>
        <w:t> </w:t>
      </w:r>
      <w:r>
        <w:rPr>
          <w:sz w:val="20"/>
        </w:rPr>
        <w:t>to</w:t>
      </w:r>
      <w:r>
        <w:rPr>
          <w:spacing w:val="-14"/>
          <w:sz w:val="20"/>
        </w:rPr>
        <w:t> </w:t>
      </w:r>
      <w:r>
        <w:rPr>
          <w:sz w:val="20"/>
        </w:rPr>
        <w:t>invest</w:t>
      </w:r>
      <w:r>
        <w:rPr>
          <w:spacing w:val="-15"/>
          <w:sz w:val="20"/>
        </w:rPr>
        <w:t> </w:t>
      </w:r>
      <w:r>
        <w:rPr>
          <w:sz w:val="20"/>
        </w:rPr>
        <w:t>in</w:t>
      </w:r>
      <w:r>
        <w:rPr>
          <w:spacing w:val="-15"/>
          <w:sz w:val="20"/>
        </w:rPr>
        <w:t> </w:t>
      </w:r>
      <w:r>
        <w:rPr>
          <w:sz w:val="20"/>
        </w:rPr>
        <w:t>the</w:t>
      </w:r>
      <w:r>
        <w:rPr>
          <w:spacing w:val="-16"/>
          <w:sz w:val="20"/>
        </w:rPr>
        <w:t> </w:t>
      </w:r>
      <w:r>
        <w:rPr>
          <w:sz w:val="20"/>
        </w:rPr>
        <w:t>sector</w:t>
      </w:r>
    </w:p>
    <w:p>
      <w:pPr>
        <w:pStyle w:val="BodyText"/>
        <w:spacing w:line="256" w:lineRule="auto" w:before="174"/>
        <w:ind w:left="560"/>
      </w:pPr>
      <w:r>
        <w:rPr/>
        <w:t>These issues need to be addressed to maximise the benefits of the implementation of standardisation of kerbside collections.</w:t>
      </w:r>
    </w:p>
    <w:p>
      <w:pPr>
        <w:spacing w:after="0" w:line="256" w:lineRule="auto"/>
        <w:sectPr>
          <w:pgSz w:w="11910" w:h="16840"/>
          <w:pgMar w:header="576" w:footer="698" w:top="1140" w:bottom="880" w:left="880" w:right="1320"/>
        </w:sectPr>
      </w:pPr>
    </w:p>
    <w:p>
      <w:pPr>
        <w:pStyle w:val="BodyText"/>
      </w:pPr>
      <w:r>
        <w:rPr/>
        <w:pict>
          <v:group style="position:absolute;margin-left:121.900002pt;margin-top:605.911011pt;width:55.9pt;height:128.1pt;mso-position-horizontal-relative:page;mso-position-vertical-relative:page;z-index:-67120" coordorigin="2438,12118" coordsize="1118,2562">
            <v:shape style="position:absolute;left:2622;top:12118;width:743;height:1317" type="#_x0000_t75" stroked="false">
              <v:imagedata r:id="rId27" o:title=""/>
            </v:shape>
            <v:shape style="position:absolute;left:2438;top:13455;width:1118;height:1225" type="#_x0000_t75" stroked="false">
              <v:imagedata r:id="rId28" o:title=""/>
            </v:shape>
            <w10:wrap type="none"/>
          </v:group>
        </w:pict>
      </w:r>
    </w:p>
    <w:p>
      <w:pPr>
        <w:pStyle w:val="BodyText"/>
        <w:spacing w:before="2"/>
        <w:rPr>
          <w:sz w:val="27"/>
        </w:rPr>
      </w:pPr>
    </w:p>
    <w:p>
      <w:pPr>
        <w:pStyle w:val="Heading1"/>
        <w:numPr>
          <w:ilvl w:val="0"/>
          <w:numId w:val="9"/>
        </w:numPr>
        <w:tabs>
          <w:tab w:pos="921" w:val="left" w:leader="none"/>
        </w:tabs>
        <w:spacing w:line="240" w:lineRule="auto" w:before="88" w:after="0"/>
        <w:ind w:left="920" w:right="0" w:hanging="360"/>
        <w:jc w:val="left"/>
      </w:pPr>
      <w:r>
        <w:rPr/>
        <w:pict>
          <v:line style="position:absolute;mso-position-horizontal-relative:page;mso-position-vertical-relative:paragraph;z-index:1456" from="57.852001pt,4.363784pt" to="57.852001pt,25.123784pt" stroked="true" strokeweight="1.464pt" strokecolor="#ed7d31">
            <v:stroke dashstyle="solid"/>
            <w10:wrap type="none"/>
          </v:line>
        </w:pict>
      </w:r>
      <w:bookmarkStart w:name="7. RECOMMENDATIONS " w:id="112"/>
      <w:bookmarkEnd w:id="112"/>
      <w:r>
        <w:rPr/>
      </w:r>
      <w:bookmarkStart w:name="_bookmark37" w:id="113"/>
      <w:bookmarkEnd w:id="113"/>
      <w:r>
        <w:rPr/>
      </w:r>
      <w:bookmarkStart w:name="_bookmark37" w:id="114"/>
      <w:bookmarkEnd w:id="114"/>
      <w:r>
        <w:rPr>
          <w:spacing w:val="8"/>
        </w:rPr>
        <w:t>R</w:t>
      </w:r>
      <w:r>
        <w:rPr>
          <w:spacing w:val="8"/>
        </w:rPr>
        <w:t>ECOMMENDATIONS</w:t>
      </w:r>
    </w:p>
    <w:p>
      <w:pPr>
        <w:pStyle w:val="BodyText"/>
        <w:spacing w:before="1"/>
        <w:rPr>
          <w:rFonts w:ascii="Arial"/>
          <w:sz w:val="26"/>
        </w:rPr>
      </w:pPr>
    </w:p>
    <w:p>
      <w:pPr>
        <w:pStyle w:val="BodyText"/>
        <w:spacing w:line="256" w:lineRule="auto" w:before="59"/>
        <w:ind w:left="560" w:right="147"/>
        <w:jc w:val="both"/>
      </w:pPr>
      <w:r>
        <w:rPr/>
        <w:t>Based</w:t>
      </w:r>
      <w:r>
        <w:rPr>
          <w:spacing w:val="-6"/>
        </w:rPr>
        <w:t> </w:t>
      </w:r>
      <w:r>
        <w:rPr/>
        <w:t>on</w:t>
      </w:r>
      <w:r>
        <w:rPr>
          <w:spacing w:val="-6"/>
        </w:rPr>
        <w:t> </w:t>
      </w:r>
      <w:r>
        <w:rPr/>
        <w:t>the</w:t>
      </w:r>
      <w:r>
        <w:rPr>
          <w:spacing w:val="-8"/>
        </w:rPr>
        <w:t> </w:t>
      </w:r>
      <w:r>
        <w:rPr/>
        <w:t>objectives</w:t>
      </w:r>
      <w:r>
        <w:rPr>
          <w:spacing w:val="-6"/>
        </w:rPr>
        <w:t> </w:t>
      </w:r>
      <w:r>
        <w:rPr/>
        <w:t>of</w:t>
      </w:r>
      <w:r>
        <w:rPr>
          <w:spacing w:val="-8"/>
        </w:rPr>
        <w:t> </w:t>
      </w:r>
      <w:r>
        <w:rPr/>
        <w:t>this</w:t>
      </w:r>
      <w:r>
        <w:rPr>
          <w:spacing w:val="-6"/>
        </w:rPr>
        <w:t> </w:t>
      </w:r>
      <w:r>
        <w:rPr/>
        <w:t>project</w:t>
      </w:r>
      <w:r>
        <w:rPr>
          <w:spacing w:val="-6"/>
        </w:rPr>
        <w:t> </w:t>
      </w:r>
      <w:r>
        <w:rPr/>
        <w:t>and</w:t>
      </w:r>
      <w:r>
        <w:rPr>
          <w:spacing w:val="-6"/>
        </w:rPr>
        <w:t> </w:t>
      </w:r>
      <w:r>
        <w:rPr/>
        <w:t>the</w:t>
      </w:r>
      <w:r>
        <w:rPr>
          <w:spacing w:val="-8"/>
        </w:rPr>
        <w:t> </w:t>
      </w:r>
      <w:r>
        <w:rPr/>
        <w:t>research</w:t>
      </w:r>
      <w:r>
        <w:rPr>
          <w:spacing w:val="-6"/>
        </w:rPr>
        <w:t> </w:t>
      </w:r>
      <w:r>
        <w:rPr/>
        <w:t>and</w:t>
      </w:r>
      <w:r>
        <w:rPr>
          <w:spacing w:val="-8"/>
        </w:rPr>
        <w:t> </w:t>
      </w:r>
      <w:r>
        <w:rPr/>
        <w:t>engagement</w:t>
      </w:r>
      <w:r>
        <w:rPr>
          <w:spacing w:val="-6"/>
        </w:rPr>
        <w:t> </w:t>
      </w:r>
      <w:r>
        <w:rPr/>
        <w:t>undertaken,</w:t>
      </w:r>
      <w:r>
        <w:rPr>
          <w:spacing w:val="-6"/>
        </w:rPr>
        <w:t> </w:t>
      </w:r>
      <w:r>
        <w:rPr/>
        <w:t>the</w:t>
      </w:r>
      <w:r>
        <w:rPr>
          <w:spacing w:val="-8"/>
        </w:rPr>
        <w:t> </w:t>
      </w:r>
      <w:r>
        <w:rPr/>
        <w:t>following</w:t>
      </w:r>
      <w:r>
        <w:rPr>
          <w:spacing w:val="-7"/>
        </w:rPr>
        <w:t> </w:t>
      </w:r>
      <w:r>
        <w:rPr/>
        <w:t>are</w:t>
      </w:r>
      <w:r>
        <w:rPr>
          <w:spacing w:val="-8"/>
        </w:rPr>
        <w:t> </w:t>
      </w:r>
      <w:r>
        <w:rPr/>
        <w:t>the</w:t>
      </w:r>
      <w:r>
        <w:rPr>
          <w:spacing w:val="-8"/>
        </w:rPr>
        <w:t> </w:t>
      </w:r>
      <w:r>
        <w:rPr/>
        <w:t>four key</w:t>
      </w:r>
      <w:r>
        <w:rPr>
          <w:spacing w:val="-9"/>
        </w:rPr>
        <w:t> </w:t>
      </w:r>
      <w:r>
        <w:rPr/>
        <w:t>recommendations:</w:t>
      </w:r>
    </w:p>
    <w:p>
      <w:pPr>
        <w:pStyle w:val="ListParagraph"/>
        <w:numPr>
          <w:ilvl w:val="0"/>
          <w:numId w:val="17"/>
        </w:numPr>
        <w:tabs>
          <w:tab w:pos="1281" w:val="left" w:leader="none"/>
        </w:tabs>
        <w:spacing w:line="256" w:lineRule="auto" w:before="158" w:after="0"/>
        <w:ind w:left="1280" w:right="142" w:hanging="360"/>
        <w:jc w:val="both"/>
        <w:rPr>
          <w:sz w:val="20"/>
        </w:rPr>
      </w:pPr>
      <w:r>
        <w:rPr>
          <w:sz w:val="20"/>
        </w:rPr>
        <w:t>Standardise</w:t>
      </w:r>
      <w:r>
        <w:rPr>
          <w:spacing w:val="-9"/>
          <w:sz w:val="20"/>
        </w:rPr>
        <w:t> </w:t>
      </w:r>
      <w:r>
        <w:rPr>
          <w:sz w:val="20"/>
        </w:rPr>
        <w:t>materials</w:t>
      </w:r>
      <w:r>
        <w:rPr>
          <w:spacing w:val="-7"/>
          <w:sz w:val="20"/>
        </w:rPr>
        <w:t> </w:t>
      </w:r>
      <w:r>
        <w:rPr>
          <w:sz w:val="20"/>
        </w:rPr>
        <w:t>to</w:t>
      </w:r>
      <w:r>
        <w:rPr>
          <w:spacing w:val="-7"/>
          <w:sz w:val="20"/>
        </w:rPr>
        <w:t> </w:t>
      </w:r>
      <w:r>
        <w:rPr>
          <w:sz w:val="20"/>
        </w:rPr>
        <w:t>be</w:t>
      </w:r>
      <w:r>
        <w:rPr>
          <w:spacing w:val="-9"/>
          <w:sz w:val="20"/>
        </w:rPr>
        <w:t> </w:t>
      </w:r>
      <w:r>
        <w:rPr>
          <w:sz w:val="20"/>
        </w:rPr>
        <w:t>collected</w:t>
      </w:r>
      <w:r>
        <w:rPr>
          <w:spacing w:val="-8"/>
          <w:sz w:val="20"/>
        </w:rPr>
        <w:t> </w:t>
      </w:r>
      <w:r>
        <w:rPr>
          <w:sz w:val="20"/>
        </w:rPr>
        <w:t>in</w:t>
      </w:r>
      <w:r>
        <w:rPr>
          <w:spacing w:val="-7"/>
          <w:sz w:val="20"/>
        </w:rPr>
        <w:t> </w:t>
      </w:r>
      <w:r>
        <w:rPr>
          <w:sz w:val="20"/>
        </w:rPr>
        <w:t>domestic</w:t>
      </w:r>
      <w:r>
        <w:rPr>
          <w:spacing w:val="-8"/>
          <w:sz w:val="20"/>
        </w:rPr>
        <w:t> </w:t>
      </w:r>
      <w:r>
        <w:rPr>
          <w:sz w:val="20"/>
        </w:rPr>
        <w:t>kerbside</w:t>
      </w:r>
      <w:r>
        <w:rPr>
          <w:spacing w:val="-9"/>
          <w:sz w:val="20"/>
        </w:rPr>
        <w:t> </w:t>
      </w:r>
      <w:r>
        <w:rPr>
          <w:sz w:val="20"/>
        </w:rPr>
        <w:t>recycling</w:t>
      </w:r>
      <w:r>
        <w:rPr>
          <w:spacing w:val="-8"/>
          <w:sz w:val="20"/>
        </w:rPr>
        <w:t> </w:t>
      </w:r>
      <w:r>
        <w:rPr>
          <w:sz w:val="20"/>
        </w:rPr>
        <w:t>collections</w:t>
      </w:r>
      <w:r>
        <w:rPr>
          <w:spacing w:val="-7"/>
          <w:sz w:val="20"/>
        </w:rPr>
        <w:t> </w:t>
      </w:r>
      <w:r>
        <w:rPr>
          <w:sz w:val="20"/>
        </w:rPr>
        <w:t>across</w:t>
      </w:r>
      <w:r>
        <w:rPr>
          <w:spacing w:val="-7"/>
          <w:sz w:val="20"/>
        </w:rPr>
        <w:t> </w:t>
      </w:r>
      <w:r>
        <w:rPr>
          <w:sz w:val="20"/>
        </w:rPr>
        <w:t>the</w:t>
      </w:r>
      <w:r>
        <w:rPr>
          <w:spacing w:val="-9"/>
          <w:sz w:val="20"/>
        </w:rPr>
        <w:t> </w:t>
      </w:r>
      <w:r>
        <w:rPr>
          <w:sz w:val="20"/>
        </w:rPr>
        <w:t>country,</w:t>
      </w:r>
      <w:r>
        <w:rPr>
          <w:spacing w:val="-7"/>
          <w:sz w:val="20"/>
        </w:rPr>
        <w:t> </w:t>
      </w:r>
      <w:r>
        <w:rPr>
          <w:sz w:val="20"/>
        </w:rPr>
        <w:t>and how</w:t>
      </w:r>
      <w:r>
        <w:rPr>
          <w:spacing w:val="-6"/>
          <w:sz w:val="20"/>
        </w:rPr>
        <w:t> </w:t>
      </w:r>
      <w:r>
        <w:rPr>
          <w:sz w:val="20"/>
        </w:rPr>
        <w:t>they</w:t>
      </w:r>
      <w:r>
        <w:rPr>
          <w:spacing w:val="-5"/>
          <w:sz w:val="20"/>
        </w:rPr>
        <w:t> </w:t>
      </w:r>
      <w:r>
        <w:rPr>
          <w:sz w:val="20"/>
        </w:rPr>
        <w:t>should</w:t>
      </w:r>
      <w:r>
        <w:rPr>
          <w:spacing w:val="-5"/>
          <w:sz w:val="20"/>
        </w:rPr>
        <w:t> </w:t>
      </w:r>
      <w:r>
        <w:rPr>
          <w:sz w:val="20"/>
        </w:rPr>
        <w:t>be</w:t>
      </w:r>
      <w:r>
        <w:rPr>
          <w:spacing w:val="-5"/>
          <w:sz w:val="20"/>
        </w:rPr>
        <w:t> </w:t>
      </w:r>
      <w:r>
        <w:rPr>
          <w:sz w:val="20"/>
        </w:rPr>
        <w:t>presented,</w:t>
      </w:r>
      <w:r>
        <w:rPr>
          <w:spacing w:val="-5"/>
          <w:sz w:val="20"/>
        </w:rPr>
        <w:t> </w:t>
      </w:r>
      <w:r>
        <w:rPr>
          <w:sz w:val="20"/>
        </w:rPr>
        <w:t>to</w:t>
      </w:r>
      <w:r>
        <w:rPr>
          <w:spacing w:val="-5"/>
          <w:sz w:val="20"/>
        </w:rPr>
        <w:t> </w:t>
      </w:r>
      <w:r>
        <w:rPr>
          <w:sz w:val="20"/>
        </w:rPr>
        <w:t>increase</w:t>
      </w:r>
      <w:r>
        <w:rPr>
          <w:spacing w:val="-6"/>
          <w:sz w:val="20"/>
        </w:rPr>
        <w:t> </w:t>
      </w:r>
      <w:r>
        <w:rPr>
          <w:sz w:val="20"/>
        </w:rPr>
        <w:t>consistency,</w:t>
      </w:r>
      <w:r>
        <w:rPr>
          <w:spacing w:val="-5"/>
          <w:sz w:val="20"/>
        </w:rPr>
        <w:t> </w:t>
      </w:r>
      <w:r>
        <w:rPr>
          <w:sz w:val="20"/>
        </w:rPr>
        <w:t>reduce</w:t>
      </w:r>
      <w:r>
        <w:rPr>
          <w:spacing w:val="-6"/>
          <w:sz w:val="20"/>
        </w:rPr>
        <w:t> </w:t>
      </w:r>
      <w:r>
        <w:rPr>
          <w:sz w:val="20"/>
        </w:rPr>
        <w:t>confusion</w:t>
      </w:r>
      <w:r>
        <w:rPr>
          <w:spacing w:val="-5"/>
          <w:sz w:val="20"/>
        </w:rPr>
        <w:t> </w:t>
      </w:r>
      <w:r>
        <w:rPr>
          <w:sz w:val="20"/>
        </w:rPr>
        <w:t>for</w:t>
      </w:r>
      <w:r>
        <w:rPr>
          <w:spacing w:val="-5"/>
          <w:sz w:val="20"/>
        </w:rPr>
        <w:t> </w:t>
      </w:r>
      <w:r>
        <w:rPr>
          <w:sz w:val="20"/>
        </w:rPr>
        <w:t>householders</w:t>
      </w:r>
      <w:r>
        <w:rPr>
          <w:spacing w:val="-5"/>
          <w:sz w:val="20"/>
        </w:rPr>
        <w:t> </w:t>
      </w:r>
      <w:r>
        <w:rPr>
          <w:sz w:val="20"/>
        </w:rPr>
        <w:t>and</w:t>
      </w:r>
      <w:r>
        <w:rPr>
          <w:spacing w:val="-7"/>
          <w:sz w:val="20"/>
        </w:rPr>
        <w:t> </w:t>
      </w:r>
      <w:r>
        <w:rPr>
          <w:sz w:val="20"/>
        </w:rPr>
        <w:t>reduce contamination</w:t>
      </w:r>
    </w:p>
    <w:p>
      <w:pPr>
        <w:pStyle w:val="ListParagraph"/>
        <w:numPr>
          <w:ilvl w:val="0"/>
          <w:numId w:val="17"/>
        </w:numPr>
        <w:tabs>
          <w:tab w:pos="1281" w:val="left" w:leader="none"/>
        </w:tabs>
        <w:spacing w:line="256" w:lineRule="auto" w:before="0" w:after="0"/>
        <w:ind w:left="1280" w:right="146" w:hanging="360"/>
        <w:jc w:val="both"/>
        <w:rPr>
          <w:sz w:val="20"/>
        </w:rPr>
      </w:pPr>
      <w:r>
        <w:rPr>
          <w:sz w:val="20"/>
        </w:rPr>
        <w:t>Incentivise local authorities to collect food waste for composting or AD to reduce kerbside residual rubbish to</w:t>
      </w:r>
      <w:r>
        <w:rPr>
          <w:spacing w:val="-10"/>
          <w:sz w:val="20"/>
        </w:rPr>
        <w:t> </w:t>
      </w:r>
      <w:r>
        <w:rPr>
          <w:sz w:val="20"/>
        </w:rPr>
        <w:t>landfill</w:t>
      </w:r>
    </w:p>
    <w:p>
      <w:pPr>
        <w:pStyle w:val="ListParagraph"/>
        <w:numPr>
          <w:ilvl w:val="0"/>
          <w:numId w:val="17"/>
        </w:numPr>
        <w:tabs>
          <w:tab w:pos="1281" w:val="left" w:leader="none"/>
        </w:tabs>
        <w:spacing w:line="256" w:lineRule="auto" w:before="0" w:after="0"/>
        <w:ind w:left="1280" w:right="148" w:hanging="360"/>
        <w:jc w:val="both"/>
        <w:rPr>
          <w:sz w:val="20"/>
        </w:rPr>
      </w:pPr>
      <w:r>
        <w:rPr>
          <w:sz w:val="20"/>
        </w:rPr>
        <w:t>Incentivise local authorities to collect glass separately to other recyclable materials to improve the quality of all materials accepted in kerbside</w:t>
      </w:r>
      <w:r>
        <w:rPr>
          <w:spacing w:val="-18"/>
          <w:sz w:val="20"/>
        </w:rPr>
        <w:t> </w:t>
      </w:r>
      <w:r>
        <w:rPr>
          <w:sz w:val="20"/>
        </w:rPr>
        <w:t>recycling</w:t>
      </w:r>
    </w:p>
    <w:p>
      <w:pPr>
        <w:pStyle w:val="ListParagraph"/>
        <w:numPr>
          <w:ilvl w:val="0"/>
          <w:numId w:val="17"/>
        </w:numPr>
        <w:tabs>
          <w:tab w:pos="1281" w:val="left" w:leader="none"/>
        </w:tabs>
        <w:spacing w:line="256" w:lineRule="auto" w:before="0" w:after="0"/>
        <w:ind w:left="1280" w:right="144" w:hanging="360"/>
        <w:jc w:val="both"/>
        <w:rPr>
          <w:sz w:val="20"/>
        </w:rPr>
      </w:pPr>
      <w:r>
        <w:rPr>
          <w:sz w:val="20"/>
        </w:rPr>
        <w:t>Provide best practice recommendations for food waste, recycling, and residual rubbish collections to increase consistency across the</w:t>
      </w:r>
      <w:r>
        <w:rPr>
          <w:spacing w:val="-14"/>
          <w:sz w:val="20"/>
        </w:rPr>
        <w:t> </w:t>
      </w:r>
      <w:r>
        <w:rPr>
          <w:sz w:val="20"/>
        </w:rPr>
        <w:t>country</w:t>
      </w:r>
    </w:p>
    <w:p>
      <w:pPr>
        <w:pStyle w:val="BodyText"/>
        <w:spacing w:line="256" w:lineRule="auto" w:before="161"/>
        <w:ind w:left="560" w:right="136"/>
        <w:jc w:val="both"/>
      </w:pPr>
      <w:r>
        <w:rPr/>
        <w:t>Further detail on these recommendations, and other recommended initiatives, are provided in the following sections.</w:t>
      </w:r>
    </w:p>
    <w:p>
      <w:pPr>
        <w:pStyle w:val="Heading2"/>
        <w:numPr>
          <w:ilvl w:val="1"/>
          <w:numId w:val="18"/>
        </w:numPr>
        <w:tabs>
          <w:tab w:pos="2000" w:val="left" w:leader="none"/>
          <w:tab w:pos="2001" w:val="left" w:leader="none"/>
        </w:tabs>
        <w:spacing w:line="240" w:lineRule="auto" w:before="157" w:after="0"/>
        <w:ind w:left="2000" w:right="0" w:hanging="1080"/>
        <w:jc w:val="left"/>
        <w:rPr>
          <w:b w:val="0"/>
        </w:rPr>
      </w:pPr>
      <w:bookmarkStart w:name="7.1. Standardisation of materials collec" w:id="115"/>
      <w:bookmarkEnd w:id="115"/>
      <w:r>
        <w:rPr/>
      </w:r>
      <w:bookmarkStart w:name="_bookmark38" w:id="116"/>
      <w:bookmarkEnd w:id="116"/>
      <w:r>
        <w:rPr/>
      </w:r>
      <w:bookmarkStart w:name="_bookmark38" w:id="117"/>
      <w:bookmarkEnd w:id="117"/>
      <w:r>
        <w:rPr>
          <w:b w:val="0"/>
        </w:rPr>
        <w:t>Standa</w:t>
      </w:r>
      <w:r>
        <w:rPr>
          <w:b w:val="0"/>
        </w:rPr>
        <w:t>rdisation of materials collected for</w:t>
      </w:r>
      <w:r>
        <w:rPr>
          <w:b w:val="0"/>
          <w:spacing w:val="-18"/>
        </w:rPr>
        <w:t> </w:t>
      </w:r>
      <w:r>
        <w:rPr>
          <w:b w:val="0"/>
        </w:rPr>
        <w:t>recycling</w:t>
      </w:r>
    </w:p>
    <w:p>
      <w:pPr>
        <w:pStyle w:val="BodyText"/>
        <w:spacing w:line="256" w:lineRule="auto" w:before="242"/>
        <w:ind w:left="560" w:right="136"/>
        <w:jc w:val="both"/>
      </w:pPr>
      <w:r>
        <w:rPr/>
        <w:t>The</w:t>
      </w:r>
      <w:r>
        <w:rPr>
          <w:spacing w:val="-14"/>
        </w:rPr>
        <w:t> </w:t>
      </w:r>
      <w:r>
        <w:rPr/>
        <w:t>following</w:t>
      </w:r>
      <w:r>
        <w:rPr>
          <w:spacing w:val="-14"/>
        </w:rPr>
        <w:t> </w:t>
      </w:r>
      <w:r>
        <w:rPr/>
        <w:t>recommendations</w:t>
      </w:r>
      <w:r>
        <w:rPr>
          <w:spacing w:val="-10"/>
        </w:rPr>
        <w:t> </w:t>
      </w:r>
      <w:r>
        <w:rPr/>
        <w:t>for</w:t>
      </w:r>
      <w:r>
        <w:rPr>
          <w:spacing w:val="-14"/>
        </w:rPr>
        <w:t> </w:t>
      </w:r>
      <w:r>
        <w:rPr/>
        <w:t>standardisation</w:t>
      </w:r>
      <w:r>
        <w:rPr>
          <w:spacing w:val="-14"/>
        </w:rPr>
        <w:t> </w:t>
      </w:r>
      <w:r>
        <w:rPr/>
        <w:t>of</w:t>
      </w:r>
      <w:r>
        <w:rPr>
          <w:spacing w:val="-14"/>
        </w:rPr>
        <w:t> </w:t>
      </w:r>
      <w:r>
        <w:rPr/>
        <w:t>materials</w:t>
      </w:r>
      <w:r>
        <w:rPr>
          <w:spacing w:val="-12"/>
        </w:rPr>
        <w:t> </w:t>
      </w:r>
      <w:r>
        <w:rPr/>
        <w:t>collected</w:t>
      </w:r>
      <w:r>
        <w:rPr>
          <w:spacing w:val="-13"/>
        </w:rPr>
        <w:t> </w:t>
      </w:r>
      <w:r>
        <w:rPr/>
        <w:t>through</w:t>
      </w:r>
      <w:r>
        <w:rPr>
          <w:spacing w:val="-13"/>
        </w:rPr>
        <w:t> </w:t>
      </w:r>
      <w:r>
        <w:rPr/>
        <w:t>kerbside</w:t>
      </w:r>
      <w:r>
        <w:rPr>
          <w:spacing w:val="-10"/>
        </w:rPr>
        <w:t> </w:t>
      </w:r>
      <w:r>
        <w:rPr/>
        <w:t>recycling</w:t>
      </w:r>
      <w:r>
        <w:rPr>
          <w:spacing w:val="-14"/>
        </w:rPr>
        <w:t> </w:t>
      </w:r>
      <w:r>
        <w:rPr/>
        <w:t>collections and their presentation are based on previous research undertaken by WasteMINZ and the sector and validated through the consultation undertaken as part of this project. Some of the recommendations presented below are different to those presented during the hui, based on the feedback and research undertaken as part of this project.</w:t>
      </w:r>
    </w:p>
    <w:p>
      <w:pPr>
        <w:pStyle w:val="BodyText"/>
      </w:pPr>
    </w:p>
    <w:p>
      <w:pPr>
        <w:pStyle w:val="BodyText"/>
        <w:spacing w:before="11"/>
        <w:rPr>
          <w:sz w:val="22"/>
        </w:rPr>
      </w:pPr>
    </w:p>
    <w:tbl>
      <w:tblPr>
        <w:tblW w:w="0" w:type="auto"/>
        <w:jc w:val="left"/>
        <w:tblInd w:w="8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64"/>
        <w:gridCol w:w="5818"/>
      </w:tblGrid>
      <w:tr>
        <w:trPr>
          <w:trHeight w:val="1299" w:hRule="exact"/>
        </w:trPr>
        <w:tc>
          <w:tcPr>
            <w:tcW w:w="2964" w:type="dxa"/>
          </w:tcPr>
          <w:p>
            <w:pPr>
              <w:pStyle w:val="TableParagraph"/>
              <w:ind w:left="200"/>
              <w:rPr>
                <w:sz w:val="20"/>
              </w:rPr>
            </w:pPr>
            <w:r>
              <w:rPr>
                <w:position w:val="7"/>
                <w:sz w:val="20"/>
              </w:rPr>
              <w:drawing>
                <wp:inline distT="0" distB="0" distL="0" distR="0">
                  <wp:extent cx="431632" cy="573404"/>
                  <wp:effectExtent l="0" t="0" r="0" b="0"/>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29" cstate="print"/>
                          <a:stretch>
                            <a:fillRect/>
                          </a:stretch>
                        </pic:blipFill>
                        <pic:spPr>
                          <a:xfrm>
                            <a:off x="0" y="0"/>
                            <a:ext cx="431632" cy="573404"/>
                          </a:xfrm>
                          <a:prstGeom prst="rect">
                            <a:avLst/>
                          </a:prstGeom>
                        </pic:spPr>
                      </pic:pic>
                    </a:graphicData>
                  </a:graphic>
                </wp:inline>
              </w:drawing>
            </w:r>
            <w:r>
              <w:rPr>
                <w:position w:val="7"/>
                <w:sz w:val="20"/>
              </w:rPr>
            </w:r>
            <w:r>
              <w:rPr>
                <w:rFonts w:ascii="Times New Roman"/>
                <w:spacing w:val="124"/>
                <w:position w:val="7"/>
                <w:sz w:val="20"/>
              </w:rPr>
              <w:t> </w:t>
            </w:r>
            <w:r>
              <w:rPr>
                <w:spacing w:val="124"/>
                <w:position w:val="1"/>
                <w:sz w:val="20"/>
              </w:rPr>
              <w:drawing>
                <wp:inline distT="0" distB="0" distL="0" distR="0">
                  <wp:extent cx="452545" cy="616076"/>
                  <wp:effectExtent l="0" t="0" r="0" b="0"/>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30" cstate="print"/>
                          <a:stretch>
                            <a:fillRect/>
                          </a:stretch>
                        </pic:blipFill>
                        <pic:spPr>
                          <a:xfrm>
                            <a:off x="0" y="0"/>
                            <a:ext cx="452545" cy="616076"/>
                          </a:xfrm>
                          <a:prstGeom prst="rect">
                            <a:avLst/>
                          </a:prstGeom>
                        </pic:spPr>
                      </pic:pic>
                    </a:graphicData>
                  </a:graphic>
                </wp:inline>
              </w:drawing>
            </w:r>
            <w:r>
              <w:rPr>
                <w:spacing w:val="124"/>
                <w:position w:val="1"/>
                <w:sz w:val="20"/>
              </w:rPr>
            </w:r>
            <w:r>
              <w:rPr>
                <w:rFonts w:ascii="Times New Roman"/>
                <w:spacing w:val="76"/>
                <w:position w:val="1"/>
                <w:sz w:val="20"/>
              </w:rPr>
              <w:t> </w:t>
            </w:r>
            <w:r>
              <w:rPr>
                <w:spacing w:val="76"/>
                <w:sz w:val="20"/>
              </w:rPr>
              <w:drawing>
                <wp:inline distT="0" distB="0" distL="0" distR="0">
                  <wp:extent cx="460825" cy="620077"/>
                  <wp:effectExtent l="0" t="0" r="0" b="0"/>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31" cstate="print"/>
                          <a:stretch>
                            <a:fillRect/>
                          </a:stretch>
                        </pic:blipFill>
                        <pic:spPr>
                          <a:xfrm>
                            <a:off x="0" y="0"/>
                            <a:ext cx="460825" cy="620077"/>
                          </a:xfrm>
                          <a:prstGeom prst="rect">
                            <a:avLst/>
                          </a:prstGeom>
                        </pic:spPr>
                      </pic:pic>
                    </a:graphicData>
                  </a:graphic>
                </wp:inline>
              </w:drawing>
            </w:r>
            <w:r>
              <w:rPr>
                <w:spacing w:val="76"/>
                <w:sz w:val="20"/>
              </w:rPr>
            </w:r>
          </w:p>
          <w:p>
            <w:pPr>
              <w:pStyle w:val="TableParagraph"/>
              <w:spacing w:before="3"/>
              <w:rPr>
                <w:sz w:val="26"/>
              </w:rPr>
            </w:pPr>
          </w:p>
        </w:tc>
        <w:tc>
          <w:tcPr>
            <w:tcW w:w="5818" w:type="dxa"/>
          </w:tcPr>
          <w:p>
            <w:pPr>
              <w:pStyle w:val="TableParagraph"/>
              <w:rPr>
                <w:sz w:val="20"/>
              </w:rPr>
            </w:pPr>
          </w:p>
          <w:p>
            <w:pPr>
              <w:pStyle w:val="TableParagraph"/>
              <w:spacing w:before="1"/>
              <w:rPr>
                <w:sz w:val="16"/>
              </w:rPr>
            </w:pPr>
          </w:p>
          <w:p>
            <w:pPr>
              <w:pStyle w:val="TableParagraph"/>
              <w:numPr>
                <w:ilvl w:val="0"/>
                <w:numId w:val="19"/>
              </w:numPr>
              <w:tabs>
                <w:tab w:pos="700" w:val="left" w:leader="none"/>
                <w:tab w:pos="701" w:val="left" w:leader="none"/>
              </w:tabs>
              <w:spacing w:line="254" w:lineRule="auto" w:before="0" w:after="0"/>
              <w:ind w:left="700" w:right="267" w:hanging="360"/>
              <w:jc w:val="left"/>
              <w:rPr>
                <w:sz w:val="20"/>
              </w:rPr>
            </w:pPr>
            <w:r>
              <w:rPr>
                <w:sz w:val="20"/>
              </w:rPr>
              <w:t>Plastics 1 (PET), 2 (HDPE) and 5 (PP) grocery packaging</w:t>
            </w:r>
            <w:r>
              <w:rPr>
                <w:spacing w:val="-25"/>
                <w:sz w:val="20"/>
              </w:rPr>
              <w:t> </w:t>
            </w:r>
            <w:r>
              <w:rPr>
                <w:sz w:val="20"/>
              </w:rPr>
              <w:t>only, must be clean and presented without</w:t>
            </w:r>
            <w:r>
              <w:rPr>
                <w:spacing w:val="-13"/>
                <w:sz w:val="20"/>
              </w:rPr>
              <w:t> </w:t>
            </w:r>
            <w:r>
              <w:rPr>
                <w:sz w:val="20"/>
              </w:rPr>
              <w:t>lids</w:t>
            </w:r>
          </w:p>
        </w:tc>
      </w:tr>
      <w:tr>
        <w:trPr>
          <w:trHeight w:val="1774" w:hRule="exact"/>
        </w:trPr>
        <w:tc>
          <w:tcPr>
            <w:tcW w:w="2964" w:type="dxa"/>
          </w:tcPr>
          <w:p>
            <w:pPr>
              <w:pStyle w:val="TableParagraph"/>
              <w:spacing w:before="10"/>
              <w:rPr>
                <w:sz w:val="25"/>
              </w:rPr>
            </w:pPr>
          </w:p>
          <w:p>
            <w:pPr>
              <w:pStyle w:val="TableParagraph"/>
              <w:ind w:left="581"/>
              <w:rPr>
                <w:sz w:val="20"/>
              </w:rPr>
            </w:pPr>
            <w:r>
              <w:rPr>
                <w:sz w:val="20"/>
              </w:rPr>
              <w:pict>
                <v:group style="width:69.8pt;height:66pt;mso-position-horizontal-relative:char;mso-position-vertical-relative:line" coordorigin="0,0" coordsize="1396,1320">
                  <v:shape style="position:absolute;left:0;top:180;width:729;height:1140" type="#_x0000_t75" stroked="false">
                    <v:imagedata r:id="rId32" o:title=""/>
                  </v:shape>
                  <v:shape style="position:absolute;left:729;top:0;width:667;height:1307" type="#_x0000_t75" stroked="false">
                    <v:imagedata r:id="rId33" o:title=""/>
                  </v:shape>
                </v:group>
              </w:pict>
            </w:r>
            <w:r>
              <w:rPr>
                <w:sz w:val="20"/>
              </w:rPr>
            </w:r>
          </w:p>
        </w:tc>
        <w:tc>
          <w:tcPr>
            <w:tcW w:w="5818" w:type="dxa"/>
          </w:tcPr>
          <w:p>
            <w:pPr>
              <w:pStyle w:val="TableParagraph"/>
              <w:rPr>
                <w:sz w:val="24"/>
              </w:rPr>
            </w:pPr>
          </w:p>
          <w:p>
            <w:pPr>
              <w:pStyle w:val="TableParagraph"/>
              <w:rPr>
                <w:sz w:val="24"/>
              </w:rPr>
            </w:pPr>
          </w:p>
          <w:p>
            <w:pPr>
              <w:pStyle w:val="TableParagraph"/>
              <w:spacing w:before="3"/>
              <w:rPr>
                <w:sz w:val="21"/>
              </w:rPr>
            </w:pPr>
          </w:p>
          <w:p>
            <w:pPr>
              <w:pStyle w:val="TableParagraph"/>
              <w:numPr>
                <w:ilvl w:val="0"/>
                <w:numId w:val="20"/>
              </w:numPr>
              <w:tabs>
                <w:tab w:pos="700" w:val="left" w:leader="none"/>
                <w:tab w:pos="701" w:val="left" w:leader="none"/>
              </w:tabs>
              <w:spacing w:line="240" w:lineRule="auto" w:before="0" w:after="0"/>
              <w:ind w:left="700" w:right="0" w:hanging="360"/>
              <w:jc w:val="left"/>
              <w:rPr>
                <w:sz w:val="20"/>
              </w:rPr>
            </w:pPr>
            <w:r>
              <w:rPr>
                <w:sz w:val="20"/>
              </w:rPr>
              <w:t>Clean aluminium beverage cans and steel food</w:t>
            </w:r>
            <w:r>
              <w:rPr>
                <w:spacing w:val="-20"/>
                <w:sz w:val="20"/>
              </w:rPr>
              <w:t> </w:t>
            </w:r>
            <w:r>
              <w:rPr>
                <w:sz w:val="20"/>
              </w:rPr>
              <w:t>cans.</w:t>
            </w:r>
          </w:p>
          <w:p>
            <w:pPr>
              <w:pStyle w:val="TableParagraph"/>
              <w:numPr>
                <w:ilvl w:val="0"/>
                <w:numId w:val="20"/>
              </w:numPr>
              <w:tabs>
                <w:tab w:pos="700" w:val="left" w:leader="none"/>
                <w:tab w:pos="701" w:val="left" w:leader="none"/>
              </w:tabs>
              <w:spacing w:line="240" w:lineRule="auto" w:before="16" w:after="0"/>
              <w:ind w:left="700" w:right="0" w:hanging="360"/>
              <w:jc w:val="left"/>
              <w:rPr>
                <w:sz w:val="20"/>
              </w:rPr>
            </w:pPr>
            <w:r>
              <w:rPr>
                <w:sz w:val="20"/>
              </w:rPr>
              <w:t>Aerosol cans will not be accepted in kerbside</w:t>
            </w:r>
            <w:r>
              <w:rPr>
                <w:spacing w:val="-20"/>
                <w:sz w:val="20"/>
              </w:rPr>
              <w:t> </w:t>
            </w:r>
            <w:r>
              <w:rPr>
                <w:sz w:val="20"/>
              </w:rPr>
              <w:t>recycling.</w:t>
            </w:r>
          </w:p>
        </w:tc>
      </w:tr>
      <w:tr>
        <w:trPr>
          <w:trHeight w:val="1465" w:hRule="exact"/>
        </w:trPr>
        <w:tc>
          <w:tcPr>
            <w:tcW w:w="2964" w:type="dxa"/>
          </w:tcPr>
          <w:p>
            <w:pPr/>
          </w:p>
        </w:tc>
        <w:tc>
          <w:tcPr>
            <w:tcW w:w="5818" w:type="dxa"/>
          </w:tcPr>
          <w:p>
            <w:pPr>
              <w:pStyle w:val="TableParagraph"/>
              <w:rPr>
                <w:sz w:val="20"/>
              </w:rPr>
            </w:pPr>
          </w:p>
          <w:p>
            <w:pPr>
              <w:pStyle w:val="TableParagraph"/>
              <w:spacing w:before="6"/>
              <w:rPr>
                <w:sz w:val="24"/>
              </w:rPr>
            </w:pPr>
          </w:p>
          <w:p>
            <w:pPr>
              <w:pStyle w:val="TableParagraph"/>
              <w:numPr>
                <w:ilvl w:val="0"/>
                <w:numId w:val="21"/>
              </w:numPr>
              <w:tabs>
                <w:tab w:pos="700" w:val="left" w:leader="none"/>
                <w:tab w:pos="701" w:val="left" w:leader="none"/>
              </w:tabs>
              <w:spacing w:line="256" w:lineRule="auto" w:before="0" w:after="0"/>
              <w:ind w:left="700" w:right="198" w:hanging="360"/>
              <w:jc w:val="left"/>
              <w:rPr>
                <w:sz w:val="20"/>
              </w:rPr>
            </w:pPr>
            <w:r>
              <w:rPr>
                <w:sz w:val="20"/>
              </w:rPr>
              <w:t>Clean glass food and beverage bottles and jars only. Must</w:t>
            </w:r>
            <w:r>
              <w:rPr>
                <w:spacing w:val="-25"/>
                <w:sz w:val="20"/>
              </w:rPr>
              <w:t> </w:t>
            </w:r>
            <w:r>
              <w:rPr>
                <w:sz w:val="20"/>
              </w:rPr>
              <w:t>be presented without</w:t>
            </w:r>
            <w:r>
              <w:rPr>
                <w:spacing w:val="-8"/>
                <w:sz w:val="20"/>
              </w:rPr>
              <w:t> </w:t>
            </w:r>
            <w:r>
              <w:rPr>
                <w:sz w:val="20"/>
              </w:rPr>
              <w:t>lids.</w:t>
            </w:r>
          </w:p>
        </w:tc>
      </w:tr>
      <w:tr>
        <w:trPr>
          <w:trHeight w:val="1278" w:hRule="exact"/>
        </w:trPr>
        <w:tc>
          <w:tcPr>
            <w:tcW w:w="2964" w:type="dxa"/>
          </w:tcPr>
          <w:p>
            <w:pPr/>
          </w:p>
        </w:tc>
        <w:tc>
          <w:tcPr>
            <w:tcW w:w="5818" w:type="dxa"/>
          </w:tcPr>
          <w:p>
            <w:pPr>
              <w:pStyle w:val="TableParagraph"/>
              <w:spacing w:before="3"/>
              <w:rPr>
                <w:sz w:val="19"/>
              </w:rPr>
            </w:pPr>
          </w:p>
          <w:p>
            <w:pPr>
              <w:pStyle w:val="TableParagraph"/>
              <w:numPr>
                <w:ilvl w:val="0"/>
                <w:numId w:val="22"/>
              </w:numPr>
              <w:tabs>
                <w:tab w:pos="700" w:val="left" w:leader="none"/>
                <w:tab w:pos="701" w:val="left" w:leader="none"/>
              </w:tabs>
              <w:spacing w:line="240" w:lineRule="auto" w:before="0" w:after="0"/>
              <w:ind w:left="700" w:right="0" w:hanging="360"/>
              <w:jc w:val="left"/>
              <w:rPr>
                <w:sz w:val="20"/>
              </w:rPr>
            </w:pPr>
            <w:r>
              <w:rPr>
                <w:sz w:val="20"/>
              </w:rPr>
              <w:t>Clean paper, paperboard and</w:t>
            </w:r>
            <w:r>
              <w:rPr>
                <w:spacing w:val="-13"/>
                <w:sz w:val="20"/>
              </w:rPr>
              <w:t> </w:t>
            </w:r>
            <w:r>
              <w:rPr>
                <w:sz w:val="20"/>
              </w:rPr>
              <w:t>cardboard.</w:t>
            </w:r>
          </w:p>
          <w:p>
            <w:pPr>
              <w:pStyle w:val="TableParagraph"/>
              <w:numPr>
                <w:ilvl w:val="0"/>
                <w:numId w:val="22"/>
              </w:numPr>
              <w:tabs>
                <w:tab w:pos="700" w:val="left" w:leader="none"/>
                <w:tab w:pos="701" w:val="left" w:leader="none"/>
              </w:tabs>
              <w:spacing w:line="256" w:lineRule="auto" w:before="14" w:after="0"/>
              <w:ind w:left="700" w:right="220" w:hanging="360"/>
              <w:jc w:val="left"/>
              <w:rPr>
                <w:sz w:val="20"/>
              </w:rPr>
            </w:pPr>
            <w:r>
              <w:rPr>
                <w:sz w:val="20"/>
              </w:rPr>
              <w:t>No shredded paper, till receipts or composite materials</w:t>
            </w:r>
            <w:r>
              <w:rPr>
                <w:spacing w:val="-19"/>
                <w:sz w:val="20"/>
              </w:rPr>
              <w:t> </w:t>
            </w:r>
            <w:r>
              <w:rPr>
                <w:sz w:val="20"/>
              </w:rPr>
              <w:t>such as coffee cups or liquid paperboard (Tetrapak® and gable top) containers. See full list in Appendix</w:t>
            </w:r>
            <w:r>
              <w:rPr>
                <w:spacing w:val="-15"/>
                <w:sz w:val="20"/>
              </w:rPr>
              <w:t> </w:t>
            </w:r>
            <w:r>
              <w:rPr>
                <w:sz w:val="20"/>
              </w:rPr>
              <w:t>F.</w:t>
            </w:r>
          </w:p>
        </w:tc>
      </w:tr>
    </w:tbl>
    <w:p>
      <w:pPr>
        <w:spacing w:after="0" w:line="256" w:lineRule="auto"/>
        <w:jc w:val="left"/>
        <w:rPr>
          <w:sz w:val="20"/>
        </w:rPr>
        <w:sectPr>
          <w:pgSz w:w="11910" w:h="16840"/>
          <w:pgMar w:header="576" w:footer="698" w:top="1140" w:bottom="880" w:left="880" w:right="1300"/>
        </w:sectPr>
      </w:pPr>
    </w:p>
    <w:p>
      <w:pPr>
        <w:pStyle w:val="BodyText"/>
      </w:pPr>
    </w:p>
    <w:p>
      <w:pPr>
        <w:pStyle w:val="BodyText"/>
      </w:pPr>
    </w:p>
    <w:p>
      <w:pPr>
        <w:pStyle w:val="BodyText"/>
        <w:spacing w:before="3"/>
        <w:rPr>
          <w:sz w:val="14"/>
        </w:rPr>
      </w:pPr>
    </w:p>
    <w:tbl>
      <w:tblPr>
        <w:tblW w:w="0" w:type="auto"/>
        <w:jc w:val="left"/>
        <w:tblInd w:w="6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82"/>
        <w:gridCol w:w="5913"/>
      </w:tblGrid>
      <w:tr>
        <w:trPr>
          <w:trHeight w:val="1216" w:hRule="exact"/>
        </w:trPr>
        <w:tc>
          <w:tcPr>
            <w:tcW w:w="3082" w:type="dxa"/>
          </w:tcPr>
          <w:p>
            <w:pPr>
              <w:pStyle w:val="TableParagraph"/>
              <w:ind w:left="767"/>
              <w:rPr>
                <w:sz w:val="20"/>
              </w:rPr>
            </w:pPr>
            <w:r>
              <w:rPr>
                <w:sz w:val="20"/>
              </w:rPr>
              <w:drawing>
                <wp:inline distT="0" distB="0" distL="0" distR="0">
                  <wp:extent cx="852640" cy="683132"/>
                  <wp:effectExtent l="0" t="0" r="0" b="0"/>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34" cstate="print"/>
                          <a:stretch>
                            <a:fillRect/>
                          </a:stretch>
                        </pic:blipFill>
                        <pic:spPr>
                          <a:xfrm>
                            <a:off x="0" y="0"/>
                            <a:ext cx="852640" cy="683132"/>
                          </a:xfrm>
                          <a:prstGeom prst="rect">
                            <a:avLst/>
                          </a:prstGeom>
                        </pic:spPr>
                      </pic:pic>
                    </a:graphicData>
                  </a:graphic>
                </wp:inline>
              </w:drawing>
            </w:r>
            <w:r>
              <w:rPr>
                <w:sz w:val="20"/>
              </w:rPr>
            </w:r>
          </w:p>
        </w:tc>
        <w:tc>
          <w:tcPr>
            <w:tcW w:w="5913" w:type="dxa"/>
          </w:tcPr>
          <w:p>
            <w:pPr>
              <w:pStyle w:val="TableParagraph"/>
              <w:spacing w:before="8"/>
              <w:rPr>
                <w:sz w:val="22"/>
              </w:rPr>
            </w:pPr>
          </w:p>
          <w:p>
            <w:pPr>
              <w:pStyle w:val="TableParagraph"/>
              <w:numPr>
                <w:ilvl w:val="0"/>
                <w:numId w:val="23"/>
              </w:numPr>
              <w:tabs>
                <w:tab w:pos="749" w:val="left" w:leader="none"/>
                <w:tab w:pos="750" w:val="left" w:leader="none"/>
              </w:tabs>
              <w:spacing w:line="256" w:lineRule="auto" w:before="0" w:after="0"/>
              <w:ind w:left="749" w:right="348" w:hanging="360"/>
              <w:jc w:val="left"/>
              <w:rPr>
                <w:sz w:val="20"/>
              </w:rPr>
            </w:pPr>
            <w:r>
              <w:rPr>
                <w:sz w:val="20"/>
              </w:rPr>
              <w:t>No items smaller than 50mm in diameter (e.g. bottles caps, bread bag tags, small pill</w:t>
            </w:r>
            <w:r>
              <w:rPr>
                <w:spacing w:val="-11"/>
                <w:sz w:val="20"/>
              </w:rPr>
              <w:t> </w:t>
            </w:r>
            <w:r>
              <w:rPr>
                <w:sz w:val="20"/>
              </w:rPr>
              <w:t>bottles…)</w:t>
            </w:r>
          </w:p>
          <w:p>
            <w:pPr>
              <w:pStyle w:val="TableParagraph"/>
              <w:numPr>
                <w:ilvl w:val="0"/>
                <w:numId w:val="23"/>
              </w:numPr>
              <w:tabs>
                <w:tab w:pos="749" w:val="left" w:leader="none"/>
                <w:tab w:pos="750" w:val="left" w:leader="none"/>
              </w:tabs>
              <w:spacing w:line="254" w:lineRule="exact" w:before="0" w:after="0"/>
              <w:ind w:left="749" w:right="0" w:hanging="360"/>
              <w:jc w:val="left"/>
              <w:rPr>
                <w:sz w:val="20"/>
              </w:rPr>
            </w:pPr>
            <w:r>
              <w:rPr>
                <w:sz w:val="20"/>
              </w:rPr>
              <w:t>No containers larger than</w:t>
            </w:r>
            <w:r>
              <w:rPr>
                <w:spacing w:val="-10"/>
                <w:sz w:val="20"/>
              </w:rPr>
              <w:t> </w:t>
            </w:r>
            <w:r>
              <w:rPr>
                <w:sz w:val="20"/>
              </w:rPr>
              <w:t>3-litres</w:t>
            </w:r>
          </w:p>
        </w:tc>
      </w:tr>
      <w:tr>
        <w:trPr>
          <w:trHeight w:val="1455" w:hRule="exact"/>
        </w:trPr>
        <w:tc>
          <w:tcPr>
            <w:tcW w:w="3082" w:type="dxa"/>
          </w:tcPr>
          <w:p>
            <w:pPr>
              <w:pStyle w:val="TableParagraph"/>
              <w:spacing w:before="5"/>
              <w:rPr>
                <w:sz w:val="11"/>
              </w:rPr>
            </w:pPr>
          </w:p>
          <w:p>
            <w:pPr>
              <w:pStyle w:val="TableParagraph"/>
              <w:ind w:left="200"/>
              <w:rPr>
                <w:sz w:val="20"/>
              </w:rPr>
            </w:pPr>
            <w:r>
              <w:rPr>
                <w:sz w:val="20"/>
              </w:rPr>
              <w:pict>
                <v:group style="width:124.65pt;height:58.8pt;mso-position-horizontal-relative:char;mso-position-vertical-relative:line" coordorigin="0,0" coordsize="2493,1176">
                  <v:shape style="position:absolute;left:0;top:5;width:1262;height:1170" type="#_x0000_t75" stroked="false">
                    <v:imagedata r:id="rId35" o:title=""/>
                  </v:shape>
                  <v:shape style="position:absolute;left:1307;top:0;width:1185;height:1176" type="#_x0000_t75" stroked="false">
                    <v:imagedata r:id="rId36" o:title=""/>
                  </v:shape>
                </v:group>
              </w:pict>
            </w:r>
            <w:r>
              <w:rPr>
                <w:sz w:val="20"/>
              </w:rPr>
            </w:r>
          </w:p>
        </w:tc>
        <w:tc>
          <w:tcPr>
            <w:tcW w:w="5913" w:type="dxa"/>
          </w:tcPr>
          <w:p>
            <w:pPr>
              <w:pStyle w:val="TableParagraph"/>
              <w:rPr>
                <w:sz w:val="20"/>
              </w:rPr>
            </w:pPr>
          </w:p>
          <w:p>
            <w:pPr>
              <w:pStyle w:val="TableParagraph"/>
              <w:spacing w:before="7"/>
              <w:rPr>
                <w:sz w:val="18"/>
              </w:rPr>
            </w:pPr>
          </w:p>
          <w:p>
            <w:pPr>
              <w:pStyle w:val="TableParagraph"/>
              <w:numPr>
                <w:ilvl w:val="0"/>
                <w:numId w:val="24"/>
              </w:numPr>
              <w:tabs>
                <w:tab w:pos="749" w:val="left" w:leader="none"/>
                <w:tab w:pos="750" w:val="left" w:leader="none"/>
              </w:tabs>
              <w:spacing w:line="256" w:lineRule="auto" w:before="1" w:after="0"/>
              <w:ind w:left="749" w:right="293" w:hanging="360"/>
              <w:jc w:val="left"/>
              <w:rPr>
                <w:sz w:val="20"/>
              </w:rPr>
            </w:pPr>
            <w:r>
              <w:rPr>
                <w:sz w:val="20"/>
              </w:rPr>
              <w:t>No lids, triggers or pumps (including large lids e.g. ice</w:t>
            </w:r>
            <w:r>
              <w:rPr>
                <w:spacing w:val="-25"/>
                <w:sz w:val="20"/>
              </w:rPr>
              <w:t> </w:t>
            </w:r>
            <w:r>
              <w:rPr>
                <w:sz w:val="20"/>
              </w:rPr>
              <w:t>cream container</w:t>
            </w:r>
            <w:r>
              <w:rPr>
                <w:spacing w:val="-4"/>
                <w:sz w:val="20"/>
              </w:rPr>
              <w:t> </w:t>
            </w:r>
            <w:r>
              <w:rPr>
                <w:sz w:val="20"/>
              </w:rPr>
              <w:t>lids)</w:t>
            </w:r>
          </w:p>
        </w:tc>
      </w:tr>
      <w:tr>
        <w:trPr>
          <w:trHeight w:val="1692" w:hRule="exact"/>
        </w:trPr>
        <w:tc>
          <w:tcPr>
            <w:tcW w:w="3082" w:type="dxa"/>
          </w:tcPr>
          <w:p>
            <w:pPr>
              <w:pStyle w:val="TableParagraph"/>
              <w:spacing w:before="7"/>
              <w:rPr>
                <w:sz w:val="20"/>
              </w:rPr>
            </w:pPr>
          </w:p>
          <w:p>
            <w:pPr>
              <w:pStyle w:val="TableParagraph"/>
              <w:ind w:left="931"/>
              <w:rPr>
                <w:sz w:val="20"/>
              </w:rPr>
            </w:pPr>
            <w:r>
              <w:rPr>
                <w:sz w:val="20"/>
              </w:rPr>
              <w:drawing>
                <wp:inline distT="0" distB="0" distL="0" distR="0">
                  <wp:extent cx="656681" cy="847820"/>
                  <wp:effectExtent l="0" t="0" r="0" b="0"/>
                  <wp:docPr id="37" name="image24.jpeg" descr=""/>
                  <wp:cNvGraphicFramePr>
                    <a:graphicFrameLocks noChangeAspect="1"/>
                  </wp:cNvGraphicFramePr>
                  <a:graphic>
                    <a:graphicData uri="http://schemas.openxmlformats.org/drawingml/2006/picture">
                      <pic:pic>
                        <pic:nvPicPr>
                          <pic:cNvPr id="38" name="image24.jpeg"/>
                          <pic:cNvPicPr/>
                        </pic:nvPicPr>
                        <pic:blipFill>
                          <a:blip r:embed="rId37" cstate="print"/>
                          <a:stretch>
                            <a:fillRect/>
                          </a:stretch>
                        </pic:blipFill>
                        <pic:spPr>
                          <a:xfrm>
                            <a:off x="0" y="0"/>
                            <a:ext cx="656681" cy="847820"/>
                          </a:xfrm>
                          <a:prstGeom prst="rect">
                            <a:avLst/>
                          </a:prstGeom>
                        </pic:spPr>
                      </pic:pic>
                    </a:graphicData>
                  </a:graphic>
                </wp:inline>
              </w:drawing>
            </w:r>
            <w:r>
              <w:rPr>
                <w:sz w:val="20"/>
              </w:rPr>
            </w:r>
          </w:p>
        </w:tc>
        <w:tc>
          <w:tcPr>
            <w:tcW w:w="5913" w:type="dxa"/>
          </w:tcPr>
          <w:p>
            <w:pPr>
              <w:pStyle w:val="TableParagraph"/>
              <w:numPr>
                <w:ilvl w:val="0"/>
                <w:numId w:val="25"/>
              </w:numPr>
              <w:tabs>
                <w:tab w:pos="750" w:val="left" w:leader="none"/>
              </w:tabs>
              <w:spacing w:line="256" w:lineRule="auto" w:before="138" w:after="0"/>
              <w:ind w:left="749" w:right="198" w:hanging="360"/>
              <w:jc w:val="both"/>
              <w:rPr>
                <w:sz w:val="20"/>
              </w:rPr>
            </w:pPr>
            <w:r>
              <w:rPr>
                <w:sz w:val="20"/>
              </w:rPr>
              <w:t>It is recommended that there is system specific messaging about the squashing of containers. If a local authority has a crate system, they may want to ask their resident to lightly squash bottles and cans. If a local authority has a wheelie bin system and an automated MRF, they may want to ask their residents to not squash</w:t>
            </w:r>
            <w:r>
              <w:rPr>
                <w:spacing w:val="-11"/>
                <w:sz w:val="20"/>
              </w:rPr>
              <w:t> </w:t>
            </w:r>
            <w:r>
              <w:rPr>
                <w:sz w:val="20"/>
              </w:rPr>
              <w:t>items.</w:t>
            </w:r>
          </w:p>
        </w:tc>
      </w:tr>
    </w:tbl>
    <w:p>
      <w:pPr>
        <w:pStyle w:val="BodyText"/>
      </w:pPr>
    </w:p>
    <w:p>
      <w:pPr>
        <w:pStyle w:val="Heading2"/>
        <w:numPr>
          <w:ilvl w:val="1"/>
          <w:numId w:val="18"/>
        </w:numPr>
        <w:tabs>
          <w:tab w:pos="2000" w:val="left" w:leader="none"/>
          <w:tab w:pos="2001" w:val="left" w:leader="none"/>
        </w:tabs>
        <w:spacing w:line="240" w:lineRule="auto" w:before="195" w:after="0"/>
        <w:ind w:left="2000" w:right="0" w:hanging="1080"/>
        <w:jc w:val="left"/>
        <w:rPr>
          <w:b w:val="0"/>
        </w:rPr>
      </w:pPr>
      <w:bookmarkStart w:name="7.2. Best practice collection systems " w:id="118"/>
      <w:bookmarkEnd w:id="118"/>
      <w:r>
        <w:rPr/>
      </w:r>
      <w:bookmarkStart w:name="_bookmark39" w:id="119"/>
      <w:bookmarkEnd w:id="119"/>
      <w:r>
        <w:rPr/>
      </w:r>
      <w:bookmarkStart w:name="_bookmark39" w:id="120"/>
      <w:bookmarkEnd w:id="120"/>
      <w:r>
        <w:rPr>
          <w:b w:val="0"/>
        </w:rPr>
        <w:t>Bes</w:t>
      </w:r>
      <w:r>
        <w:rPr>
          <w:b w:val="0"/>
        </w:rPr>
        <w:t>t practice collection</w:t>
      </w:r>
      <w:r>
        <w:rPr>
          <w:b w:val="0"/>
          <w:spacing w:val="-18"/>
        </w:rPr>
        <w:t> </w:t>
      </w:r>
      <w:r>
        <w:rPr>
          <w:b w:val="0"/>
        </w:rPr>
        <w:t>systems</w:t>
      </w:r>
    </w:p>
    <w:p>
      <w:pPr>
        <w:pStyle w:val="BodyText"/>
        <w:spacing w:line="256" w:lineRule="auto" w:before="241"/>
        <w:ind w:left="560" w:right="176"/>
        <w:jc w:val="both"/>
      </w:pPr>
      <w:r>
        <w:rPr/>
        <w:t>As the quality of material collected from kerbside recycling collections is key to finding markets for these materials, and can affect their financial value, quality must be central to the adoption of any kerbside recycling collection system.</w:t>
      </w:r>
    </w:p>
    <w:p>
      <w:pPr>
        <w:pStyle w:val="BodyText"/>
        <w:spacing w:line="256" w:lineRule="auto" w:before="158"/>
        <w:ind w:left="560" w:right="175"/>
        <w:jc w:val="both"/>
      </w:pPr>
      <w:r>
        <w:rPr/>
        <w:t>With residual rubbish, the size of the receptacle is important in encouraging waste minimisation. With food waste collections, collecting food separately from green waste and providing particular receptacles has an impact on participation in a scheme.</w:t>
      </w:r>
    </w:p>
    <w:p>
      <w:pPr>
        <w:pStyle w:val="BodyText"/>
        <w:spacing w:line="256" w:lineRule="auto" w:before="158"/>
        <w:ind w:left="560" w:right="176"/>
        <w:jc w:val="both"/>
      </w:pPr>
      <w:r>
        <w:rPr/>
        <w:t>This section provides recommendations for best practice collection systems for food waste, recycling, and residual</w:t>
      </w:r>
      <w:r>
        <w:rPr>
          <w:spacing w:val="-12"/>
        </w:rPr>
        <w:t> </w:t>
      </w:r>
      <w:r>
        <w:rPr/>
        <w:t>rubbish.</w:t>
      </w:r>
      <w:r>
        <w:rPr>
          <w:spacing w:val="23"/>
        </w:rPr>
        <w:t> </w:t>
      </w:r>
      <w:r>
        <w:rPr/>
        <w:t>Instead</w:t>
      </w:r>
      <w:r>
        <w:rPr>
          <w:spacing w:val="-12"/>
        </w:rPr>
        <w:t> </w:t>
      </w:r>
      <w:r>
        <w:rPr/>
        <w:t>of</w:t>
      </w:r>
      <w:r>
        <w:rPr>
          <w:spacing w:val="-12"/>
        </w:rPr>
        <w:t> </w:t>
      </w:r>
      <w:r>
        <w:rPr/>
        <w:t>recommending</w:t>
      </w:r>
      <w:r>
        <w:rPr>
          <w:spacing w:val="-13"/>
        </w:rPr>
        <w:t> </w:t>
      </w:r>
      <w:r>
        <w:rPr/>
        <w:t>that</w:t>
      </w:r>
      <w:r>
        <w:rPr>
          <w:spacing w:val="-12"/>
        </w:rPr>
        <w:t> </w:t>
      </w:r>
      <w:r>
        <w:rPr/>
        <w:t>a</w:t>
      </w:r>
      <w:r>
        <w:rPr>
          <w:spacing w:val="-12"/>
        </w:rPr>
        <w:t> </w:t>
      </w:r>
      <w:r>
        <w:rPr/>
        <w:t>particular</w:t>
      </w:r>
      <w:r>
        <w:rPr>
          <w:spacing w:val="-12"/>
        </w:rPr>
        <w:t> </w:t>
      </w:r>
      <w:r>
        <w:rPr/>
        <w:t>collection</w:t>
      </w:r>
      <w:r>
        <w:rPr>
          <w:spacing w:val="-12"/>
        </w:rPr>
        <w:t> </w:t>
      </w:r>
      <w:r>
        <w:rPr/>
        <w:t>system</w:t>
      </w:r>
      <w:r>
        <w:rPr>
          <w:spacing w:val="-14"/>
        </w:rPr>
        <w:t> </w:t>
      </w:r>
      <w:r>
        <w:rPr/>
        <w:t>be</w:t>
      </w:r>
      <w:r>
        <w:rPr>
          <w:spacing w:val="-10"/>
        </w:rPr>
        <w:t> </w:t>
      </w:r>
      <w:r>
        <w:rPr/>
        <w:t>mandated,</w:t>
      </w:r>
      <w:r>
        <w:rPr>
          <w:spacing w:val="-12"/>
        </w:rPr>
        <w:t> </w:t>
      </w:r>
      <w:r>
        <w:rPr/>
        <w:t>this</w:t>
      </w:r>
      <w:r>
        <w:rPr>
          <w:spacing w:val="-12"/>
        </w:rPr>
        <w:t> </w:t>
      </w:r>
      <w:r>
        <w:rPr/>
        <w:t>report</w:t>
      </w:r>
      <w:r>
        <w:rPr>
          <w:spacing w:val="-12"/>
        </w:rPr>
        <w:t> </w:t>
      </w:r>
      <w:r>
        <w:rPr/>
        <w:t>provides recommendations</w:t>
      </w:r>
      <w:r>
        <w:rPr>
          <w:spacing w:val="-1"/>
        </w:rPr>
        <w:t> </w:t>
      </w:r>
      <w:r>
        <w:rPr/>
        <w:t>for</w:t>
      </w:r>
      <w:r>
        <w:rPr>
          <w:spacing w:val="-3"/>
        </w:rPr>
        <w:t> </w:t>
      </w:r>
      <w:r>
        <w:rPr/>
        <w:t>best</w:t>
      </w:r>
      <w:r>
        <w:rPr>
          <w:spacing w:val="-3"/>
        </w:rPr>
        <w:t> </w:t>
      </w:r>
      <w:r>
        <w:rPr/>
        <w:t>practice</w:t>
      </w:r>
      <w:r>
        <w:rPr>
          <w:spacing w:val="-2"/>
        </w:rPr>
        <w:t> </w:t>
      </w:r>
      <w:r>
        <w:rPr/>
        <w:t>based</w:t>
      </w:r>
      <w:r>
        <w:rPr>
          <w:spacing w:val="-3"/>
        </w:rPr>
        <w:t> </w:t>
      </w:r>
      <w:r>
        <w:rPr/>
        <w:t>on</w:t>
      </w:r>
      <w:r>
        <w:rPr>
          <w:spacing w:val="-3"/>
        </w:rPr>
        <w:t> </w:t>
      </w:r>
      <w:r>
        <w:rPr/>
        <w:t>the</w:t>
      </w:r>
      <w:r>
        <w:rPr>
          <w:spacing w:val="-4"/>
        </w:rPr>
        <w:t> </w:t>
      </w:r>
      <w:r>
        <w:rPr/>
        <w:t>systems</w:t>
      </w:r>
      <w:r>
        <w:rPr>
          <w:spacing w:val="-3"/>
        </w:rPr>
        <w:t> </w:t>
      </w:r>
      <w:r>
        <w:rPr/>
        <w:t>that</w:t>
      </w:r>
      <w:r>
        <w:rPr>
          <w:spacing w:val="-2"/>
        </w:rPr>
        <w:t> </w:t>
      </w:r>
      <w:r>
        <w:rPr/>
        <w:t>best</w:t>
      </w:r>
      <w:r>
        <w:rPr>
          <w:spacing w:val="-2"/>
        </w:rPr>
        <w:t> </w:t>
      </w:r>
      <w:r>
        <w:rPr/>
        <w:t>meet</w:t>
      </w:r>
      <w:r>
        <w:rPr>
          <w:spacing w:val="-3"/>
        </w:rPr>
        <w:t> </w:t>
      </w:r>
      <w:r>
        <w:rPr/>
        <w:t>the</w:t>
      </w:r>
      <w:r>
        <w:rPr>
          <w:spacing w:val="-4"/>
        </w:rPr>
        <w:t> </w:t>
      </w:r>
      <w:r>
        <w:rPr/>
        <w:t>objectives</w:t>
      </w:r>
      <w:r>
        <w:rPr>
          <w:spacing w:val="-3"/>
        </w:rPr>
        <w:t> </w:t>
      </w:r>
      <w:r>
        <w:rPr/>
        <w:t>of</w:t>
      </w:r>
      <w:r>
        <w:rPr>
          <w:spacing w:val="-5"/>
        </w:rPr>
        <w:t> </w:t>
      </w:r>
      <w:r>
        <w:rPr/>
        <w:t>this</w:t>
      </w:r>
      <w:r>
        <w:rPr>
          <w:spacing w:val="-3"/>
        </w:rPr>
        <w:t> </w:t>
      </w:r>
      <w:r>
        <w:rPr/>
        <w:t>project:</w:t>
      </w:r>
    </w:p>
    <w:p>
      <w:pPr>
        <w:pStyle w:val="ListParagraph"/>
        <w:numPr>
          <w:ilvl w:val="2"/>
          <w:numId w:val="18"/>
        </w:numPr>
        <w:tabs>
          <w:tab w:pos="1475" w:val="left" w:leader="none"/>
        </w:tabs>
        <w:spacing w:line="240" w:lineRule="auto" w:before="159" w:after="0"/>
        <w:ind w:left="1474" w:right="0" w:hanging="194"/>
        <w:jc w:val="left"/>
        <w:rPr>
          <w:sz w:val="20"/>
        </w:rPr>
      </w:pPr>
      <w:r>
        <w:rPr>
          <w:sz w:val="20"/>
        </w:rPr>
        <w:t>Increase consistency in household rubbish and recycling collections across the</w:t>
      </w:r>
      <w:r>
        <w:rPr>
          <w:spacing w:val="-31"/>
          <w:sz w:val="20"/>
        </w:rPr>
        <w:t> </w:t>
      </w:r>
      <w:r>
        <w:rPr>
          <w:sz w:val="20"/>
        </w:rPr>
        <w:t>nation</w:t>
      </w:r>
    </w:p>
    <w:p>
      <w:pPr>
        <w:pStyle w:val="ListParagraph"/>
        <w:numPr>
          <w:ilvl w:val="2"/>
          <w:numId w:val="18"/>
        </w:numPr>
        <w:tabs>
          <w:tab w:pos="1475" w:val="left" w:leader="none"/>
        </w:tabs>
        <w:spacing w:line="240" w:lineRule="auto" w:before="18" w:after="0"/>
        <w:ind w:left="1474" w:right="0" w:hanging="194"/>
        <w:jc w:val="left"/>
        <w:rPr>
          <w:sz w:val="20"/>
        </w:rPr>
      </w:pPr>
      <w:r>
        <w:rPr>
          <w:sz w:val="20"/>
        </w:rPr>
        <w:t>Reduce</w:t>
      </w:r>
      <w:r>
        <w:rPr>
          <w:spacing w:val="-5"/>
          <w:sz w:val="20"/>
        </w:rPr>
        <w:t> </w:t>
      </w:r>
      <w:r>
        <w:rPr>
          <w:sz w:val="20"/>
        </w:rPr>
        <w:t>confusion</w:t>
      </w:r>
      <w:r>
        <w:rPr>
          <w:spacing w:val="-3"/>
          <w:sz w:val="20"/>
        </w:rPr>
        <w:t> </w:t>
      </w:r>
      <w:r>
        <w:rPr>
          <w:sz w:val="20"/>
        </w:rPr>
        <w:t>for</w:t>
      </w:r>
      <w:r>
        <w:rPr>
          <w:spacing w:val="-3"/>
          <w:sz w:val="20"/>
        </w:rPr>
        <w:t> </w:t>
      </w:r>
      <w:r>
        <w:rPr>
          <w:sz w:val="20"/>
        </w:rPr>
        <w:t>householders</w:t>
      </w:r>
      <w:r>
        <w:rPr>
          <w:spacing w:val="-3"/>
          <w:sz w:val="20"/>
        </w:rPr>
        <w:t> </w:t>
      </w:r>
      <w:r>
        <w:rPr>
          <w:sz w:val="20"/>
        </w:rPr>
        <w:t>and</w:t>
      </w:r>
      <w:r>
        <w:rPr>
          <w:spacing w:val="-3"/>
          <w:sz w:val="20"/>
        </w:rPr>
        <w:t> </w:t>
      </w:r>
      <w:r>
        <w:rPr>
          <w:sz w:val="20"/>
        </w:rPr>
        <w:t>provide</w:t>
      </w:r>
      <w:r>
        <w:rPr>
          <w:spacing w:val="-4"/>
          <w:sz w:val="20"/>
        </w:rPr>
        <w:t> </w:t>
      </w:r>
      <w:r>
        <w:rPr>
          <w:sz w:val="20"/>
        </w:rPr>
        <w:t>the</w:t>
      </w:r>
      <w:r>
        <w:rPr>
          <w:spacing w:val="-4"/>
          <w:sz w:val="20"/>
        </w:rPr>
        <w:t> </w:t>
      </w:r>
      <w:r>
        <w:rPr>
          <w:sz w:val="20"/>
        </w:rPr>
        <w:t>basis</w:t>
      </w:r>
      <w:r>
        <w:rPr>
          <w:spacing w:val="-3"/>
          <w:sz w:val="20"/>
        </w:rPr>
        <w:t> </w:t>
      </w:r>
      <w:r>
        <w:rPr>
          <w:sz w:val="20"/>
        </w:rPr>
        <w:t>for</w:t>
      </w:r>
      <w:r>
        <w:rPr>
          <w:spacing w:val="-3"/>
          <w:sz w:val="20"/>
        </w:rPr>
        <w:t> </w:t>
      </w:r>
      <w:r>
        <w:rPr>
          <w:sz w:val="20"/>
        </w:rPr>
        <w:t>national</w:t>
      </w:r>
      <w:r>
        <w:rPr>
          <w:spacing w:val="-3"/>
          <w:sz w:val="20"/>
        </w:rPr>
        <w:t> </w:t>
      </w:r>
      <w:r>
        <w:rPr>
          <w:sz w:val="20"/>
        </w:rPr>
        <w:t>messaging</w:t>
      </w:r>
    </w:p>
    <w:p>
      <w:pPr>
        <w:pStyle w:val="ListParagraph"/>
        <w:numPr>
          <w:ilvl w:val="2"/>
          <w:numId w:val="18"/>
        </w:numPr>
        <w:tabs>
          <w:tab w:pos="1475" w:val="left" w:leader="none"/>
        </w:tabs>
        <w:spacing w:line="240" w:lineRule="auto" w:before="18" w:after="0"/>
        <w:ind w:left="1474" w:right="0" w:hanging="194"/>
        <w:jc w:val="left"/>
        <w:rPr>
          <w:sz w:val="20"/>
        </w:rPr>
      </w:pPr>
      <w:r>
        <w:rPr>
          <w:sz w:val="20"/>
        </w:rPr>
        <w:t>Improve recyclable material quality through the reduction of</w:t>
      </w:r>
      <w:r>
        <w:rPr>
          <w:spacing w:val="-24"/>
          <w:sz w:val="20"/>
        </w:rPr>
        <w:t> </w:t>
      </w:r>
      <w:r>
        <w:rPr>
          <w:sz w:val="20"/>
        </w:rPr>
        <w:t>contamination</w:t>
      </w:r>
    </w:p>
    <w:p>
      <w:pPr>
        <w:pStyle w:val="ListParagraph"/>
        <w:numPr>
          <w:ilvl w:val="2"/>
          <w:numId w:val="18"/>
        </w:numPr>
        <w:tabs>
          <w:tab w:pos="1475" w:val="left" w:leader="none"/>
        </w:tabs>
        <w:spacing w:line="240" w:lineRule="auto" w:before="13" w:after="0"/>
        <w:ind w:left="1474" w:right="0" w:hanging="194"/>
        <w:jc w:val="left"/>
        <w:rPr>
          <w:sz w:val="20"/>
        </w:rPr>
      </w:pPr>
      <w:r>
        <w:rPr>
          <w:sz w:val="20"/>
        </w:rPr>
        <w:t>Decrease residual rubbish to</w:t>
      </w:r>
      <w:r>
        <w:rPr>
          <w:spacing w:val="-11"/>
          <w:sz w:val="20"/>
        </w:rPr>
        <w:t> </w:t>
      </w:r>
      <w:r>
        <w:rPr>
          <w:sz w:val="20"/>
        </w:rPr>
        <w:t>landfill</w:t>
      </w:r>
    </w:p>
    <w:p>
      <w:pPr>
        <w:pStyle w:val="BodyText"/>
        <w:spacing w:line="254" w:lineRule="auto" w:before="180"/>
        <w:ind w:left="560" w:right="186"/>
        <w:jc w:val="both"/>
      </w:pPr>
      <w:r>
        <w:rPr/>
        <w:t>The following recommendations are for best practice kerbside collection systems, based on the research and consultation undertaken as part of this project.</w:t>
      </w:r>
    </w:p>
    <w:p>
      <w:pPr>
        <w:spacing w:after="0" w:line="254" w:lineRule="auto"/>
        <w:jc w:val="both"/>
        <w:sectPr>
          <w:pgSz w:w="11910" w:h="16840"/>
          <w:pgMar w:header="576" w:footer="698" w:top="1140" w:bottom="880" w:left="880" w:right="1260"/>
        </w:sectPr>
      </w:pPr>
    </w:p>
    <w:p>
      <w:pPr>
        <w:pStyle w:val="BodyText"/>
      </w:pPr>
    </w:p>
    <w:p>
      <w:pPr>
        <w:pStyle w:val="BodyText"/>
      </w:pPr>
    </w:p>
    <w:p>
      <w:pPr>
        <w:pStyle w:val="Heading4"/>
        <w:numPr>
          <w:ilvl w:val="2"/>
          <w:numId w:val="26"/>
        </w:numPr>
        <w:tabs>
          <w:tab w:pos="2001" w:val="left" w:leader="none"/>
        </w:tabs>
        <w:spacing w:line="240" w:lineRule="auto" w:before="174" w:after="0"/>
        <w:ind w:left="2000" w:right="0" w:hanging="720"/>
        <w:jc w:val="left"/>
        <w:rPr>
          <w:b w:val="0"/>
        </w:rPr>
      </w:pPr>
      <w:bookmarkStart w:name="7.2.1. Organics collections " w:id="121"/>
      <w:bookmarkEnd w:id="121"/>
      <w:r>
        <w:rPr/>
      </w:r>
      <w:bookmarkStart w:name="_bookmark40" w:id="122"/>
      <w:bookmarkEnd w:id="122"/>
      <w:r>
        <w:rPr/>
      </w:r>
      <w:bookmarkStart w:name="_bookmark40" w:id="123"/>
      <w:bookmarkEnd w:id="123"/>
      <w:r>
        <w:rPr>
          <w:b w:val="0"/>
        </w:rPr>
        <w:t>O</w:t>
      </w:r>
      <w:r>
        <w:rPr>
          <w:b w:val="0"/>
        </w:rPr>
        <w:t>rganics</w:t>
      </w:r>
      <w:r>
        <w:rPr>
          <w:b w:val="0"/>
          <w:spacing w:val="-3"/>
        </w:rPr>
        <w:t> </w:t>
      </w:r>
      <w:r>
        <w:rPr>
          <w:b w:val="0"/>
        </w:rPr>
        <w:t>collections</w:t>
      </w:r>
    </w:p>
    <w:p>
      <w:pPr>
        <w:pStyle w:val="BodyText"/>
        <w:spacing w:before="9"/>
        <w:rPr>
          <w:rFonts w:ascii="Calibri Light"/>
          <w:b w:val="0"/>
          <w:sz w:val="19"/>
        </w:rPr>
      </w:pPr>
    </w:p>
    <w:p>
      <w:pPr>
        <w:spacing w:line="254" w:lineRule="auto" w:before="0"/>
        <w:ind w:left="560" w:right="116" w:firstLine="0"/>
        <w:jc w:val="both"/>
        <w:rPr>
          <w:sz w:val="20"/>
        </w:rPr>
      </w:pPr>
      <w:r>
        <w:rPr>
          <w:sz w:val="20"/>
        </w:rPr>
        <w:t>It is recommended that a weekly food waste collection is adopted by local authorities, and that the </w:t>
      </w:r>
      <w:r>
        <w:rPr>
          <w:b/>
          <w:sz w:val="20"/>
        </w:rPr>
        <w:t>food is collected in 23-litre bins </w:t>
      </w:r>
      <w:r>
        <w:rPr>
          <w:sz w:val="20"/>
        </w:rPr>
        <w:t>from the kerbside.</w:t>
      </w:r>
    </w:p>
    <w:p>
      <w:pPr>
        <w:pStyle w:val="BodyText"/>
        <w:rPr>
          <w:sz w:val="10"/>
        </w:rPr>
      </w:pPr>
      <w:r>
        <w:rPr/>
        <w:drawing>
          <wp:anchor distT="0" distB="0" distL="0" distR="0" allowOverlap="1" layoutInCell="1" locked="0" behindDoc="0" simplePos="0" relativeHeight="1528">
            <wp:simplePos x="0" y="0"/>
            <wp:positionH relativeFrom="page">
              <wp:posOffset>2589529</wp:posOffset>
            </wp:positionH>
            <wp:positionV relativeFrom="paragraph">
              <wp:posOffset>102400</wp:posOffset>
            </wp:positionV>
            <wp:extent cx="2405728" cy="2183510"/>
            <wp:effectExtent l="0" t="0" r="0" b="0"/>
            <wp:wrapTopAndBottom/>
            <wp:docPr id="39" name="image25.jpeg" descr=""/>
            <wp:cNvGraphicFramePr>
              <a:graphicFrameLocks noChangeAspect="1"/>
            </wp:cNvGraphicFramePr>
            <a:graphic>
              <a:graphicData uri="http://schemas.openxmlformats.org/drawingml/2006/picture">
                <pic:pic>
                  <pic:nvPicPr>
                    <pic:cNvPr id="40" name="image25.jpeg"/>
                    <pic:cNvPicPr/>
                  </pic:nvPicPr>
                  <pic:blipFill>
                    <a:blip r:embed="rId38" cstate="print"/>
                    <a:stretch>
                      <a:fillRect/>
                    </a:stretch>
                  </pic:blipFill>
                  <pic:spPr>
                    <a:xfrm>
                      <a:off x="0" y="0"/>
                      <a:ext cx="2405728" cy="2183510"/>
                    </a:xfrm>
                    <a:prstGeom prst="rect">
                      <a:avLst/>
                    </a:prstGeom>
                  </pic:spPr>
                </pic:pic>
              </a:graphicData>
            </a:graphic>
          </wp:anchor>
        </w:drawing>
      </w:r>
    </w:p>
    <w:p>
      <w:pPr>
        <w:pStyle w:val="Heading5"/>
        <w:spacing w:before="70"/>
        <w:ind w:left="1878"/>
      </w:pPr>
      <w:r>
        <w:rPr/>
        <w:t>23-litre food waste bin and food waste caddy, as trialled by Auckland Council</w:t>
      </w:r>
    </w:p>
    <w:p>
      <w:pPr>
        <w:pStyle w:val="BodyText"/>
        <w:spacing w:line="254" w:lineRule="auto" w:before="178"/>
        <w:ind w:left="560" w:right="116"/>
        <w:jc w:val="both"/>
      </w:pPr>
      <w:r>
        <w:rPr/>
        <w:t>This system has the potential to significantly reduce the approximately 40%, by weight, of residual rubbish that is food waste.</w:t>
      </w:r>
    </w:p>
    <w:p>
      <w:pPr>
        <w:pStyle w:val="BodyText"/>
        <w:spacing w:line="256" w:lineRule="auto" w:before="161"/>
        <w:ind w:left="560" w:right="118"/>
        <w:jc w:val="both"/>
      </w:pPr>
      <w:r>
        <w:rPr/>
        <w:t>Some local authorities may choose to collect food waste along with greenwaste. Collecting greenwaste, a material that is generally not currently being collected by local authorities, and that in many areas is already being diverted through private collections or directly to drop-off areas at transfer stations, can place an additional burden on a local authority. Therefore, it is not recommended that greenwaste be collected, unless the local authority has a need for this material in their organics processing facility and cannot access it from elsewhere. Other tools are seen as more effective at removing greenwaste from residual rubbish, such as bans on greenwaste to landfill through local authority bylaws.</w:t>
      </w:r>
    </w:p>
    <w:p>
      <w:pPr>
        <w:pStyle w:val="BodyText"/>
        <w:spacing w:line="256" w:lineRule="auto" w:before="158"/>
        <w:ind w:left="560" w:right="126"/>
        <w:jc w:val="both"/>
      </w:pPr>
      <w:r>
        <w:rPr/>
        <w:t>Rural local authorities with low populations and large geographic areas may investigate alternative options to divert food waste, such as community composting or home composting, but should aim to achieve similar diversion rates to local authorities with food waste collections.</w:t>
      </w:r>
    </w:p>
    <w:p>
      <w:pPr>
        <w:pStyle w:val="BodyText"/>
        <w:spacing w:line="256" w:lineRule="auto" w:before="160"/>
        <w:ind w:left="560" w:right="119"/>
        <w:jc w:val="both"/>
      </w:pPr>
      <w:r>
        <w:rPr/>
        <w:t>It is recommended that food waste collections be limited to food, and that ‘compostable’ and ‘biodegradable’ packaging not be accepted, due to these items not being able to be accepted by all organic processing plants, and the confusion this causes householders when trying to determine what is compostable and what is not.</w:t>
      </w:r>
    </w:p>
    <w:p>
      <w:pPr>
        <w:pStyle w:val="BodyText"/>
        <w:spacing w:line="256" w:lineRule="auto" w:before="158"/>
        <w:ind w:left="560" w:right="116"/>
        <w:jc w:val="both"/>
      </w:pPr>
      <w:r>
        <w:rPr/>
        <w:t>There</w:t>
      </w:r>
      <w:r>
        <w:rPr>
          <w:spacing w:val="-5"/>
        </w:rPr>
        <w:t> </w:t>
      </w:r>
      <w:r>
        <w:rPr/>
        <w:t>are</w:t>
      </w:r>
      <w:r>
        <w:rPr>
          <w:spacing w:val="-5"/>
        </w:rPr>
        <w:t> </w:t>
      </w:r>
      <w:r>
        <w:rPr/>
        <w:t>also</w:t>
      </w:r>
      <w:r>
        <w:rPr>
          <w:spacing w:val="-4"/>
        </w:rPr>
        <w:t> </w:t>
      </w:r>
      <w:r>
        <w:rPr/>
        <w:t>certain</w:t>
      </w:r>
      <w:r>
        <w:rPr>
          <w:spacing w:val="-4"/>
        </w:rPr>
        <w:t> </w:t>
      </w:r>
      <w:r>
        <w:rPr/>
        <w:t>types</w:t>
      </w:r>
      <w:r>
        <w:rPr>
          <w:spacing w:val="-3"/>
        </w:rPr>
        <w:t> </w:t>
      </w:r>
      <w:r>
        <w:rPr/>
        <w:t>of</w:t>
      </w:r>
      <w:r>
        <w:rPr>
          <w:spacing w:val="-3"/>
        </w:rPr>
        <w:t> </w:t>
      </w:r>
      <w:r>
        <w:rPr/>
        <w:t>greenwaste</w:t>
      </w:r>
      <w:r>
        <w:rPr>
          <w:spacing w:val="-5"/>
        </w:rPr>
        <w:t> </w:t>
      </w:r>
      <w:r>
        <w:rPr/>
        <w:t>that are</w:t>
      </w:r>
      <w:r>
        <w:rPr>
          <w:spacing w:val="-5"/>
        </w:rPr>
        <w:t> </w:t>
      </w:r>
      <w:r>
        <w:rPr/>
        <w:t>not</w:t>
      </w:r>
      <w:r>
        <w:rPr>
          <w:spacing w:val="-4"/>
        </w:rPr>
        <w:t> </w:t>
      </w:r>
      <w:r>
        <w:rPr/>
        <w:t>accepted</w:t>
      </w:r>
      <w:r>
        <w:rPr>
          <w:spacing w:val="-4"/>
        </w:rPr>
        <w:t> </w:t>
      </w:r>
      <w:r>
        <w:rPr/>
        <w:t>in</w:t>
      </w:r>
      <w:r>
        <w:rPr>
          <w:spacing w:val="-4"/>
        </w:rPr>
        <w:t> </w:t>
      </w:r>
      <w:r>
        <w:rPr/>
        <w:t>an</w:t>
      </w:r>
      <w:r>
        <w:rPr>
          <w:spacing w:val="-4"/>
        </w:rPr>
        <w:t> </w:t>
      </w:r>
      <w:r>
        <w:rPr/>
        <w:t>organics</w:t>
      </w:r>
      <w:r>
        <w:rPr>
          <w:spacing w:val="-4"/>
        </w:rPr>
        <w:t> </w:t>
      </w:r>
      <w:r>
        <w:rPr/>
        <w:t>collection</w:t>
      </w:r>
      <w:r>
        <w:rPr>
          <w:spacing w:val="-2"/>
        </w:rPr>
        <w:t> </w:t>
      </w:r>
      <w:r>
        <w:rPr/>
        <w:t>(such</w:t>
      </w:r>
      <w:r>
        <w:rPr>
          <w:spacing w:val="-4"/>
        </w:rPr>
        <w:t> </w:t>
      </w:r>
      <w:r>
        <w:rPr/>
        <w:t>as</w:t>
      </w:r>
      <w:r>
        <w:rPr>
          <w:spacing w:val="-3"/>
        </w:rPr>
        <w:t> </w:t>
      </w:r>
      <w:r>
        <w:rPr/>
        <w:t>cabbage</w:t>
      </w:r>
      <w:r>
        <w:rPr>
          <w:spacing w:val="-5"/>
        </w:rPr>
        <w:t> </w:t>
      </w:r>
      <w:r>
        <w:rPr/>
        <w:t>tree and flax tree leaves which can cause problems for machinery), and if collecting greenwaste, it is recommended that local authorities consult their organics processors to ascertain their</w:t>
      </w:r>
      <w:r>
        <w:rPr>
          <w:spacing w:val="-25"/>
        </w:rPr>
        <w:t> </w:t>
      </w:r>
      <w:r>
        <w:rPr/>
        <w:t>requirements.</w:t>
      </w:r>
    </w:p>
    <w:p>
      <w:pPr>
        <w:spacing w:after="0" w:line="256" w:lineRule="auto"/>
        <w:jc w:val="both"/>
        <w:sectPr>
          <w:pgSz w:w="11910" w:h="16840"/>
          <w:pgMar w:header="576" w:footer="698" w:top="1140" w:bottom="880" w:left="880" w:right="1320"/>
        </w:sectPr>
      </w:pPr>
    </w:p>
    <w:p>
      <w:pPr>
        <w:pStyle w:val="BodyText"/>
      </w:pPr>
    </w:p>
    <w:p>
      <w:pPr>
        <w:pStyle w:val="BodyText"/>
      </w:pPr>
    </w:p>
    <w:p>
      <w:pPr>
        <w:pStyle w:val="Heading4"/>
        <w:numPr>
          <w:ilvl w:val="2"/>
          <w:numId w:val="26"/>
        </w:numPr>
        <w:tabs>
          <w:tab w:pos="2001" w:val="left" w:leader="none"/>
        </w:tabs>
        <w:spacing w:line="240" w:lineRule="auto" w:before="174" w:after="0"/>
        <w:ind w:left="2000" w:right="0" w:hanging="720"/>
        <w:jc w:val="left"/>
        <w:rPr>
          <w:b w:val="0"/>
        </w:rPr>
      </w:pPr>
      <w:bookmarkStart w:name="7.2.2. Recycling collections " w:id="124"/>
      <w:bookmarkEnd w:id="124"/>
      <w:r>
        <w:rPr/>
      </w:r>
      <w:bookmarkStart w:name="_bookmark41" w:id="125"/>
      <w:bookmarkEnd w:id="125"/>
      <w:r>
        <w:rPr/>
      </w:r>
      <w:bookmarkStart w:name="_bookmark41" w:id="126"/>
      <w:bookmarkEnd w:id="126"/>
      <w:r>
        <w:rPr>
          <w:b w:val="0"/>
        </w:rPr>
        <w:t>R</w:t>
      </w:r>
      <w:r>
        <w:rPr>
          <w:b w:val="0"/>
        </w:rPr>
        <w:t>ecycling</w:t>
      </w:r>
      <w:r>
        <w:rPr>
          <w:b w:val="0"/>
          <w:spacing w:val="-6"/>
        </w:rPr>
        <w:t> </w:t>
      </w:r>
      <w:r>
        <w:rPr>
          <w:b w:val="0"/>
        </w:rPr>
        <w:t>collections</w:t>
      </w:r>
    </w:p>
    <w:p>
      <w:pPr>
        <w:pStyle w:val="BodyText"/>
        <w:spacing w:before="9"/>
        <w:rPr>
          <w:rFonts w:ascii="Calibri Light"/>
          <w:b w:val="0"/>
          <w:sz w:val="19"/>
        </w:rPr>
      </w:pPr>
    </w:p>
    <w:p>
      <w:pPr>
        <w:pStyle w:val="BodyText"/>
        <w:spacing w:line="254" w:lineRule="auto"/>
        <w:ind w:left="560" w:right="121"/>
        <w:jc w:val="both"/>
      </w:pPr>
      <w:r>
        <w:rPr/>
        <w:t>It is recognised that there are two main systems used for collecting recyclable materials at the kerbside in Aotearoa New Zealand, crates and wheelie bins, and that both of these systems have their strengths and weaknesses.</w:t>
      </w:r>
      <w:r>
        <w:rPr>
          <w:spacing w:val="22"/>
        </w:rPr>
        <w:t> </w:t>
      </w:r>
      <w:r>
        <w:rPr/>
        <w:t>However,</w:t>
      </w:r>
      <w:r>
        <w:rPr>
          <w:spacing w:val="-11"/>
        </w:rPr>
        <w:t> </w:t>
      </w:r>
      <w:r>
        <w:rPr/>
        <w:t>international</w:t>
      </w:r>
      <w:r>
        <w:rPr>
          <w:spacing w:val="-12"/>
        </w:rPr>
        <w:t> </w:t>
      </w:r>
      <w:r>
        <w:rPr/>
        <w:t>literature</w:t>
      </w:r>
      <w:r>
        <w:rPr>
          <w:spacing w:val="-13"/>
        </w:rPr>
        <w:t> </w:t>
      </w:r>
      <w:r>
        <w:rPr/>
        <w:t>and</w:t>
      </w:r>
      <w:r>
        <w:rPr>
          <w:spacing w:val="-12"/>
        </w:rPr>
        <w:t> </w:t>
      </w:r>
      <w:r>
        <w:rPr/>
        <w:t>the</w:t>
      </w:r>
      <w:r>
        <w:rPr>
          <w:spacing w:val="-13"/>
        </w:rPr>
        <w:t> </w:t>
      </w:r>
      <w:r>
        <w:rPr/>
        <w:t>resource</w:t>
      </w:r>
      <w:r>
        <w:rPr>
          <w:spacing w:val="-14"/>
        </w:rPr>
        <w:t> </w:t>
      </w:r>
      <w:r>
        <w:rPr/>
        <w:t>recovery</w:t>
      </w:r>
      <w:r>
        <w:rPr>
          <w:spacing w:val="-12"/>
        </w:rPr>
        <w:t> </w:t>
      </w:r>
      <w:r>
        <w:rPr/>
        <w:t>industry</w:t>
      </w:r>
      <w:r>
        <w:rPr>
          <w:spacing w:val="-11"/>
        </w:rPr>
        <w:t> </w:t>
      </w:r>
      <w:r>
        <w:rPr/>
        <w:t>agree</w:t>
      </w:r>
      <w:r>
        <w:rPr>
          <w:spacing w:val="-14"/>
        </w:rPr>
        <w:t> </w:t>
      </w:r>
      <w:r>
        <w:rPr/>
        <w:t>that</w:t>
      </w:r>
      <w:r>
        <w:rPr>
          <w:spacing w:val="-12"/>
        </w:rPr>
        <w:t> </w:t>
      </w:r>
      <w:r>
        <w:rPr/>
        <w:t>a</w:t>
      </w:r>
      <w:r>
        <w:rPr>
          <w:spacing w:val="-12"/>
        </w:rPr>
        <w:t> </w:t>
      </w:r>
      <w:r>
        <w:rPr/>
        <w:t>source</w:t>
      </w:r>
      <w:r>
        <w:rPr>
          <w:spacing w:val="-14"/>
        </w:rPr>
        <w:t> </w:t>
      </w:r>
      <w:r>
        <w:rPr/>
        <w:t>separated crate collection produces better quality</w:t>
      </w:r>
      <w:r>
        <w:rPr>
          <w:spacing w:val="-18"/>
        </w:rPr>
        <w:t> </w:t>
      </w:r>
      <w:r>
        <w:rPr/>
        <w:t>recyclate.</w:t>
      </w:r>
    </w:p>
    <w:p>
      <w:pPr>
        <w:pStyle w:val="BodyText"/>
        <w:spacing w:line="256" w:lineRule="auto" w:before="163"/>
        <w:ind w:left="560" w:right="114"/>
        <w:jc w:val="both"/>
      </w:pPr>
      <w:r>
        <w:rPr/>
        <w:t>Therefore, this report recommends that best practice for the collection of recyclable materials at kerbside is to </w:t>
      </w:r>
      <w:r>
        <w:rPr>
          <w:b/>
        </w:rPr>
        <w:t>collect</w:t>
      </w:r>
      <w:r>
        <w:rPr>
          <w:b/>
          <w:spacing w:val="-10"/>
        </w:rPr>
        <w:t> </w:t>
      </w:r>
      <w:r>
        <w:rPr>
          <w:b/>
        </w:rPr>
        <w:t>materials</w:t>
      </w:r>
      <w:r>
        <w:rPr>
          <w:b/>
          <w:spacing w:val="-11"/>
        </w:rPr>
        <w:t> </w:t>
      </w:r>
      <w:r>
        <w:rPr>
          <w:b/>
        </w:rPr>
        <w:t>weekly</w:t>
      </w:r>
      <w:r>
        <w:rPr>
          <w:b/>
          <w:spacing w:val="-10"/>
        </w:rPr>
        <w:t> </w:t>
      </w:r>
      <w:r>
        <w:rPr>
          <w:b/>
        </w:rPr>
        <w:t>in</w:t>
      </w:r>
      <w:r>
        <w:rPr>
          <w:b/>
          <w:spacing w:val="-8"/>
        </w:rPr>
        <w:t> </w:t>
      </w:r>
      <w:r>
        <w:rPr>
          <w:b/>
        </w:rPr>
        <w:t>three</w:t>
      </w:r>
      <w:r>
        <w:rPr>
          <w:b/>
          <w:spacing w:val="-10"/>
        </w:rPr>
        <w:t> </w:t>
      </w:r>
      <w:r>
        <w:rPr>
          <w:b/>
        </w:rPr>
        <w:t>45-litre</w:t>
      </w:r>
      <w:r>
        <w:rPr>
          <w:b/>
          <w:spacing w:val="-10"/>
        </w:rPr>
        <w:t> </w:t>
      </w:r>
      <w:r>
        <w:rPr>
          <w:b/>
        </w:rPr>
        <w:t>crates</w:t>
      </w:r>
      <w:r>
        <w:rPr/>
        <w:t>.</w:t>
      </w:r>
      <w:r>
        <w:rPr>
          <w:spacing w:val="25"/>
        </w:rPr>
        <w:t> </w:t>
      </w:r>
      <w:r>
        <w:rPr/>
        <w:t>This</w:t>
      </w:r>
      <w:r>
        <w:rPr>
          <w:spacing w:val="-10"/>
        </w:rPr>
        <w:t> </w:t>
      </w:r>
      <w:r>
        <w:rPr/>
        <w:t>system</w:t>
      </w:r>
      <w:r>
        <w:rPr>
          <w:spacing w:val="-11"/>
        </w:rPr>
        <w:t> </w:t>
      </w:r>
      <w:r>
        <w:rPr/>
        <w:t>provides</w:t>
      </w:r>
      <w:r>
        <w:rPr>
          <w:spacing w:val="-10"/>
        </w:rPr>
        <w:t> </w:t>
      </w:r>
      <w:r>
        <w:rPr/>
        <w:t>the</w:t>
      </w:r>
      <w:r>
        <w:rPr>
          <w:spacing w:val="-11"/>
        </w:rPr>
        <w:t> </w:t>
      </w:r>
      <w:r>
        <w:rPr/>
        <w:t>highest</w:t>
      </w:r>
      <w:r>
        <w:rPr>
          <w:spacing w:val="-10"/>
        </w:rPr>
        <w:t> </w:t>
      </w:r>
      <w:r>
        <w:rPr/>
        <w:t>quality</w:t>
      </w:r>
      <w:r>
        <w:rPr>
          <w:spacing w:val="-12"/>
        </w:rPr>
        <w:t> </w:t>
      </w:r>
      <w:r>
        <w:rPr/>
        <w:t>material,</w:t>
      </w:r>
      <w:r>
        <w:rPr>
          <w:spacing w:val="-10"/>
        </w:rPr>
        <w:t> </w:t>
      </w:r>
      <w:r>
        <w:rPr/>
        <w:t>lowest</w:t>
      </w:r>
      <w:r>
        <w:rPr>
          <w:spacing w:val="-10"/>
        </w:rPr>
        <w:t> </w:t>
      </w:r>
      <w:r>
        <w:rPr/>
        <w:t>levels of contamination, and provides direct feedback to householders by leaving contamination in bins. The bins can be used to collect glass, fibre, and metal and plastic separately. However, households could use more than one bin for one material as required each</w:t>
      </w:r>
      <w:r>
        <w:rPr>
          <w:spacing w:val="-18"/>
        </w:rPr>
        <w:t> </w:t>
      </w:r>
      <w:r>
        <w:rPr/>
        <w:t>week.</w:t>
      </w:r>
    </w:p>
    <w:p>
      <w:pPr>
        <w:pStyle w:val="BodyText"/>
        <w:spacing w:before="7"/>
        <w:rPr>
          <w:sz w:val="9"/>
        </w:rPr>
      </w:pPr>
      <w:r>
        <w:rPr/>
        <w:drawing>
          <wp:anchor distT="0" distB="0" distL="0" distR="0" allowOverlap="1" layoutInCell="1" locked="0" behindDoc="0" simplePos="0" relativeHeight="1552">
            <wp:simplePos x="0" y="0"/>
            <wp:positionH relativeFrom="page">
              <wp:posOffset>2589529</wp:posOffset>
            </wp:positionH>
            <wp:positionV relativeFrom="paragraph">
              <wp:posOffset>99040</wp:posOffset>
            </wp:positionV>
            <wp:extent cx="2363753" cy="2145792"/>
            <wp:effectExtent l="0" t="0" r="0" b="0"/>
            <wp:wrapTopAndBottom/>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39" cstate="print"/>
                    <a:stretch>
                      <a:fillRect/>
                    </a:stretch>
                  </pic:blipFill>
                  <pic:spPr>
                    <a:xfrm>
                      <a:off x="0" y="0"/>
                      <a:ext cx="2363753" cy="2145792"/>
                    </a:xfrm>
                    <a:prstGeom prst="rect">
                      <a:avLst/>
                    </a:prstGeom>
                  </pic:spPr>
                </pic:pic>
              </a:graphicData>
            </a:graphic>
          </wp:anchor>
        </w:drawing>
      </w:r>
    </w:p>
    <w:p>
      <w:pPr>
        <w:pStyle w:val="Heading5"/>
        <w:spacing w:before="132"/>
        <w:ind w:left="1814" w:right="1379"/>
        <w:jc w:val="center"/>
      </w:pPr>
      <w:r>
        <w:rPr/>
        <w:t>Example of three crate system</w:t>
      </w:r>
    </w:p>
    <w:p>
      <w:pPr>
        <w:pStyle w:val="BodyText"/>
        <w:spacing w:before="175"/>
        <w:ind w:left="560"/>
        <w:jc w:val="both"/>
      </w:pPr>
      <w:r>
        <w:rPr/>
        <w:t>This system provides households with a weekly capacity of 135-litres for recyclable materials.</w:t>
      </w:r>
    </w:p>
    <w:p>
      <w:pPr>
        <w:pStyle w:val="BodyText"/>
        <w:spacing w:line="254" w:lineRule="auto" w:before="175"/>
        <w:ind w:left="560" w:right="118"/>
        <w:jc w:val="both"/>
      </w:pPr>
      <w:r>
        <w:rPr/>
        <w:t>It is also recommended that all local authorities, regardless of their current collection system, </w:t>
      </w:r>
      <w:r>
        <w:rPr>
          <w:b/>
        </w:rPr>
        <w:t>collect glass separately </w:t>
      </w:r>
      <w:r>
        <w:rPr/>
        <w:t>to other materials, preferably in a kerbside sorted crate.</w:t>
      </w:r>
    </w:p>
    <w:p>
      <w:pPr>
        <w:pStyle w:val="BodyText"/>
        <w:spacing w:line="254" w:lineRule="auto" w:before="163"/>
        <w:ind w:left="560" w:right="115"/>
        <w:jc w:val="both"/>
      </w:pPr>
      <w:r>
        <w:rPr/>
        <w:t>If CRS is implemented, collection frequencies could be reduced to fortnightly, or certain materials (particularly glass) could be collected less frequently, possibly even monthly depending on the effectiveness of the scheme.</w:t>
      </w:r>
    </w:p>
    <w:p>
      <w:pPr>
        <w:pStyle w:val="BodyText"/>
        <w:spacing w:line="256" w:lineRule="auto" w:before="161"/>
        <w:ind w:left="560" w:right="115"/>
        <w:jc w:val="both"/>
      </w:pPr>
      <w:r>
        <w:rPr/>
        <w:t>There will be local authorities that do not see a kerbside crate system as practical for their particular situation, and</w:t>
      </w:r>
      <w:r>
        <w:rPr>
          <w:spacing w:val="-5"/>
        </w:rPr>
        <w:t> </w:t>
      </w:r>
      <w:r>
        <w:rPr/>
        <w:t>that</w:t>
      </w:r>
      <w:r>
        <w:rPr>
          <w:spacing w:val="-4"/>
        </w:rPr>
        <w:t> </w:t>
      </w:r>
      <w:r>
        <w:rPr/>
        <w:t>already</w:t>
      </w:r>
      <w:r>
        <w:rPr>
          <w:spacing w:val="-7"/>
        </w:rPr>
        <w:t> </w:t>
      </w:r>
      <w:r>
        <w:rPr/>
        <w:t>have,</w:t>
      </w:r>
      <w:r>
        <w:rPr>
          <w:spacing w:val="-5"/>
        </w:rPr>
        <w:t> </w:t>
      </w:r>
      <w:r>
        <w:rPr/>
        <w:t>or</w:t>
      </w:r>
      <w:r>
        <w:rPr>
          <w:spacing w:val="-6"/>
        </w:rPr>
        <w:t> </w:t>
      </w:r>
      <w:r>
        <w:rPr/>
        <w:t>are</w:t>
      </w:r>
      <w:r>
        <w:rPr>
          <w:spacing w:val="-6"/>
        </w:rPr>
        <w:t> </w:t>
      </w:r>
      <w:r>
        <w:rPr/>
        <w:t>prepared</w:t>
      </w:r>
      <w:r>
        <w:rPr>
          <w:spacing w:val="-5"/>
        </w:rPr>
        <w:t> </w:t>
      </w:r>
      <w:r>
        <w:rPr/>
        <w:t>to</w:t>
      </w:r>
      <w:r>
        <w:rPr>
          <w:spacing w:val="-5"/>
        </w:rPr>
        <w:t> </w:t>
      </w:r>
      <w:r>
        <w:rPr/>
        <w:t>invest</w:t>
      </w:r>
      <w:r>
        <w:rPr>
          <w:spacing w:val="-5"/>
        </w:rPr>
        <w:t> </w:t>
      </w:r>
      <w:r>
        <w:rPr/>
        <w:t>in</w:t>
      </w:r>
      <w:r>
        <w:rPr>
          <w:spacing w:val="-5"/>
        </w:rPr>
        <w:t> </w:t>
      </w:r>
      <w:r>
        <w:rPr/>
        <w:t>additional</w:t>
      </w:r>
      <w:r>
        <w:rPr>
          <w:spacing w:val="-5"/>
        </w:rPr>
        <w:t> </w:t>
      </w:r>
      <w:r>
        <w:rPr/>
        <w:t>sorting</w:t>
      </w:r>
      <w:r>
        <w:rPr>
          <w:spacing w:val="-6"/>
        </w:rPr>
        <w:t> </w:t>
      </w:r>
      <w:r>
        <w:rPr/>
        <w:t>equipment</w:t>
      </w:r>
      <w:r>
        <w:rPr>
          <w:spacing w:val="-5"/>
        </w:rPr>
        <w:t> </w:t>
      </w:r>
      <w:r>
        <w:rPr/>
        <w:t>at</w:t>
      </w:r>
      <w:r>
        <w:rPr>
          <w:spacing w:val="-5"/>
        </w:rPr>
        <w:t> </w:t>
      </w:r>
      <w:r>
        <w:rPr/>
        <w:t>a</w:t>
      </w:r>
      <w:r>
        <w:rPr>
          <w:spacing w:val="-5"/>
        </w:rPr>
        <w:t> </w:t>
      </w:r>
      <w:r>
        <w:rPr/>
        <w:t>Materials</w:t>
      </w:r>
      <w:r>
        <w:rPr>
          <w:spacing w:val="-4"/>
        </w:rPr>
        <w:t> </w:t>
      </w:r>
      <w:r>
        <w:rPr/>
        <w:t>Recovery</w:t>
      </w:r>
      <w:r>
        <w:rPr>
          <w:spacing w:val="-5"/>
        </w:rPr>
        <w:t> </w:t>
      </w:r>
      <w:r>
        <w:rPr/>
        <w:t>Facility (MRF) instead. However, at a minimum, glass needs to be collected separately from other</w:t>
      </w:r>
      <w:r>
        <w:rPr>
          <w:spacing w:val="9"/>
        </w:rPr>
        <w:t> </w:t>
      </w:r>
      <w:r>
        <w:rPr/>
        <w:t>materials.</w:t>
      </w:r>
    </w:p>
    <w:p>
      <w:pPr>
        <w:pStyle w:val="BodyText"/>
        <w:spacing w:line="256" w:lineRule="auto" w:before="158"/>
        <w:ind w:left="560" w:right="125"/>
        <w:jc w:val="both"/>
      </w:pPr>
      <w:r>
        <w:rPr/>
        <w:t>Those that do adopt, or continue to use, a crate system will need to consider the effects of wind and rain, particularly on fibre, and may choose to use nets, or other solutions, to protect the contents of crates.</w:t>
      </w:r>
    </w:p>
    <w:p>
      <w:pPr>
        <w:pStyle w:val="BodyText"/>
        <w:spacing w:line="256" w:lineRule="auto" w:before="158"/>
        <w:ind w:left="560" w:right="122"/>
        <w:jc w:val="both"/>
      </w:pPr>
      <w:r>
        <w:rPr/>
        <w:t>It is also recommended that robust health and safety research be commissioned to understand the risks each system presents and how these can be minimised and managed. Based on the research undertaken for this report, it is suggested the following issues be included in future research:</w:t>
      </w:r>
    </w:p>
    <w:p>
      <w:pPr>
        <w:pStyle w:val="ListParagraph"/>
        <w:numPr>
          <w:ilvl w:val="0"/>
          <w:numId w:val="27"/>
        </w:numPr>
        <w:tabs>
          <w:tab w:pos="1280" w:val="left" w:leader="none"/>
          <w:tab w:pos="1281" w:val="left" w:leader="none"/>
        </w:tabs>
        <w:spacing w:line="256" w:lineRule="auto" w:before="157" w:after="0"/>
        <w:ind w:left="1280" w:right="124" w:hanging="360"/>
        <w:jc w:val="left"/>
        <w:rPr>
          <w:sz w:val="20"/>
        </w:rPr>
      </w:pPr>
      <w:r>
        <w:rPr>
          <w:sz w:val="20"/>
        </w:rPr>
        <w:t>Injury risks of different systems, including to households, pedestrians, collection crew, and MRF operators</w:t>
      </w:r>
    </w:p>
    <w:p>
      <w:pPr>
        <w:pStyle w:val="ListParagraph"/>
        <w:numPr>
          <w:ilvl w:val="0"/>
          <w:numId w:val="27"/>
        </w:numPr>
        <w:tabs>
          <w:tab w:pos="1280" w:val="left" w:leader="none"/>
          <w:tab w:pos="1281" w:val="left" w:leader="none"/>
        </w:tabs>
        <w:spacing w:line="254" w:lineRule="exact" w:before="0" w:after="0"/>
        <w:ind w:left="1280" w:right="0" w:hanging="360"/>
        <w:jc w:val="left"/>
        <w:rPr>
          <w:sz w:val="20"/>
        </w:rPr>
      </w:pPr>
      <w:r>
        <w:rPr>
          <w:sz w:val="20"/>
        </w:rPr>
        <w:t>Fire risks of different systems from e-waste being incorrectly included in recycling</w:t>
      </w:r>
      <w:r>
        <w:rPr>
          <w:spacing w:val="-31"/>
          <w:sz w:val="20"/>
        </w:rPr>
        <w:t> </w:t>
      </w:r>
      <w:r>
        <w:rPr>
          <w:sz w:val="20"/>
        </w:rPr>
        <w:t>bins</w:t>
      </w:r>
    </w:p>
    <w:p>
      <w:pPr>
        <w:pStyle w:val="ListParagraph"/>
        <w:numPr>
          <w:ilvl w:val="0"/>
          <w:numId w:val="27"/>
        </w:numPr>
        <w:tabs>
          <w:tab w:pos="1280" w:val="left" w:leader="none"/>
          <w:tab w:pos="1281" w:val="left" w:leader="none"/>
        </w:tabs>
        <w:spacing w:line="240" w:lineRule="auto" w:before="17" w:after="0"/>
        <w:ind w:left="1280" w:right="0" w:hanging="360"/>
        <w:jc w:val="left"/>
        <w:rPr>
          <w:sz w:val="20"/>
        </w:rPr>
      </w:pPr>
      <w:r>
        <w:rPr>
          <w:sz w:val="20"/>
        </w:rPr>
        <w:t>Risks to each system in the event of a</w:t>
      </w:r>
      <w:r>
        <w:rPr>
          <w:spacing w:val="-19"/>
          <w:sz w:val="20"/>
        </w:rPr>
        <w:t> </w:t>
      </w:r>
      <w:r>
        <w:rPr>
          <w:sz w:val="20"/>
        </w:rPr>
        <w:t>pandemic</w:t>
      </w:r>
    </w:p>
    <w:p>
      <w:pPr>
        <w:pStyle w:val="ListParagraph"/>
        <w:numPr>
          <w:ilvl w:val="0"/>
          <w:numId w:val="27"/>
        </w:numPr>
        <w:tabs>
          <w:tab w:pos="1280" w:val="left" w:leader="none"/>
          <w:tab w:pos="1281" w:val="left" w:leader="none"/>
        </w:tabs>
        <w:spacing w:line="240" w:lineRule="auto" w:before="18" w:after="0"/>
        <w:ind w:left="1280" w:right="0" w:hanging="360"/>
        <w:jc w:val="left"/>
        <w:rPr>
          <w:sz w:val="20"/>
        </w:rPr>
      </w:pPr>
      <w:r>
        <w:rPr>
          <w:sz w:val="20"/>
        </w:rPr>
        <w:t>Mental wellbeing of workers in different systems (including job</w:t>
      </w:r>
      <w:r>
        <w:rPr>
          <w:spacing w:val="-32"/>
          <w:sz w:val="20"/>
        </w:rPr>
        <w:t> </w:t>
      </w:r>
      <w:r>
        <w:rPr>
          <w:sz w:val="20"/>
        </w:rPr>
        <w:t>satisfaction).</w:t>
      </w:r>
    </w:p>
    <w:p>
      <w:pPr>
        <w:spacing w:after="0" w:line="240" w:lineRule="auto"/>
        <w:jc w:val="left"/>
        <w:rPr>
          <w:sz w:val="20"/>
        </w:rPr>
        <w:sectPr>
          <w:pgSz w:w="11910" w:h="16840"/>
          <w:pgMar w:header="576" w:footer="698" w:top="1140" w:bottom="880" w:left="880" w:right="1320"/>
        </w:sectPr>
      </w:pPr>
    </w:p>
    <w:p>
      <w:pPr>
        <w:pStyle w:val="BodyText"/>
      </w:pPr>
    </w:p>
    <w:p>
      <w:pPr>
        <w:pStyle w:val="BodyText"/>
      </w:pPr>
    </w:p>
    <w:p>
      <w:pPr>
        <w:pStyle w:val="Heading4"/>
        <w:numPr>
          <w:ilvl w:val="2"/>
          <w:numId w:val="26"/>
        </w:numPr>
        <w:tabs>
          <w:tab w:pos="2001" w:val="left" w:leader="none"/>
        </w:tabs>
        <w:spacing w:line="240" w:lineRule="auto" w:before="174" w:after="0"/>
        <w:ind w:left="2000" w:right="0" w:hanging="720"/>
        <w:jc w:val="left"/>
        <w:rPr>
          <w:b w:val="0"/>
        </w:rPr>
      </w:pPr>
      <w:bookmarkStart w:name="7.2.3. Residual rubbish collections " w:id="127"/>
      <w:bookmarkEnd w:id="127"/>
      <w:r>
        <w:rPr/>
      </w:r>
      <w:bookmarkStart w:name="_bookmark42" w:id="128"/>
      <w:bookmarkEnd w:id="128"/>
      <w:r>
        <w:rPr/>
      </w:r>
      <w:bookmarkStart w:name="_bookmark42" w:id="129"/>
      <w:bookmarkEnd w:id="129"/>
      <w:r>
        <w:rPr>
          <w:b w:val="0"/>
        </w:rPr>
        <w:t>R</w:t>
      </w:r>
      <w:r>
        <w:rPr>
          <w:b w:val="0"/>
        </w:rPr>
        <w:t>esidual rubbish</w:t>
      </w:r>
      <w:r>
        <w:rPr>
          <w:b w:val="0"/>
          <w:spacing w:val="-3"/>
        </w:rPr>
        <w:t> </w:t>
      </w:r>
      <w:r>
        <w:rPr>
          <w:b w:val="0"/>
        </w:rPr>
        <w:t>collections</w:t>
      </w:r>
    </w:p>
    <w:p>
      <w:pPr>
        <w:pStyle w:val="BodyText"/>
        <w:spacing w:before="9"/>
        <w:rPr>
          <w:rFonts w:ascii="Calibri Light"/>
          <w:b w:val="0"/>
          <w:sz w:val="19"/>
        </w:rPr>
      </w:pPr>
    </w:p>
    <w:p>
      <w:pPr>
        <w:pStyle w:val="BodyText"/>
        <w:spacing w:line="256" w:lineRule="auto"/>
        <w:ind w:left="560" w:right="118"/>
        <w:jc w:val="both"/>
      </w:pPr>
      <w:r>
        <w:rPr/>
        <w:t>It is recommended that residual rubbish is collected weekly, in either </w:t>
      </w:r>
      <w:r>
        <w:rPr>
          <w:b/>
        </w:rPr>
        <w:t>120-litre wheelie bins or 60-litre bags</w:t>
      </w:r>
      <w:r>
        <w:rPr/>
        <w:t>. After the implementation of a food waste collection, it is recommended that residual rubbish collections are undertaken fortnightly. This will reduce cost and carbon emissions from collection vehicles.</w:t>
      </w:r>
    </w:p>
    <w:p>
      <w:pPr>
        <w:pStyle w:val="BodyText"/>
        <w:spacing w:before="7"/>
        <w:rPr>
          <w:sz w:val="9"/>
        </w:rPr>
      </w:pPr>
      <w:r>
        <w:rPr/>
        <w:drawing>
          <wp:anchor distT="0" distB="0" distL="0" distR="0" allowOverlap="1" layoutInCell="1" locked="0" behindDoc="0" simplePos="0" relativeHeight="1576">
            <wp:simplePos x="0" y="0"/>
            <wp:positionH relativeFrom="page">
              <wp:posOffset>2513329</wp:posOffset>
            </wp:positionH>
            <wp:positionV relativeFrom="paragraph">
              <wp:posOffset>99325</wp:posOffset>
            </wp:positionV>
            <wp:extent cx="2513561" cy="1628298"/>
            <wp:effectExtent l="0" t="0" r="0" b="0"/>
            <wp:wrapTopAndBottom/>
            <wp:docPr id="43" name="image27.jpeg" descr=""/>
            <wp:cNvGraphicFramePr>
              <a:graphicFrameLocks noChangeAspect="1"/>
            </wp:cNvGraphicFramePr>
            <a:graphic>
              <a:graphicData uri="http://schemas.openxmlformats.org/drawingml/2006/picture">
                <pic:pic>
                  <pic:nvPicPr>
                    <pic:cNvPr id="44" name="image27.jpeg"/>
                    <pic:cNvPicPr/>
                  </pic:nvPicPr>
                  <pic:blipFill>
                    <a:blip r:embed="rId40" cstate="print"/>
                    <a:stretch>
                      <a:fillRect/>
                    </a:stretch>
                  </pic:blipFill>
                  <pic:spPr>
                    <a:xfrm>
                      <a:off x="0" y="0"/>
                      <a:ext cx="2513561" cy="1628298"/>
                    </a:xfrm>
                    <a:prstGeom prst="rect">
                      <a:avLst/>
                    </a:prstGeom>
                  </pic:spPr>
                </pic:pic>
              </a:graphicData>
            </a:graphic>
          </wp:anchor>
        </w:drawing>
      </w:r>
    </w:p>
    <w:p>
      <w:pPr>
        <w:pStyle w:val="Heading5"/>
        <w:spacing w:before="169"/>
        <w:ind w:left="3539"/>
      </w:pPr>
      <w:r>
        <w:rPr/>
        <w:t>120-litre wheelie bin and 60-litre bag</w:t>
      </w:r>
    </w:p>
    <w:p>
      <w:pPr>
        <w:pStyle w:val="BodyText"/>
        <w:spacing w:line="254" w:lineRule="auto" w:before="175"/>
        <w:ind w:left="560" w:right="116"/>
        <w:jc w:val="both"/>
      </w:pPr>
      <w:r>
        <w:rPr/>
        <w:t>It</w:t>
      </w:r>
      <w:r>
        <w:rPr>
          <w:spacing w:val="-4"/>
        </w:rPr>
        <w:t> </w:t>
      </w:r>
      <w:r>
        <w:rPr/>
        <w:t>is</w:t>
      </w:r>
      <w:r>
        <w:rPr>
          <w:spacing w:val="-3"/>
        </w:rPr>
        <w:t> </w:t>
      </w:r>
      <w:r>
        <w:rPr/>
        <w:t>recognised</w:t>
      </w:r>
      <w:r>
        <w:rPr>
          <w:spacing w:val="-4"/>
        </w:rPr>
        <w:t> </w:t>
      </w:r>
      <w:r>
        <w:rPr/>
        <w:t>that</w:t>
      </w:r>
      <w:r>
        <w:rPr>
          <w:spacing w:val="-6"/>
        </w:rPr>
        <w:t> </w:t>
      </w:r>
      <w:r>
        <w:rPr/>
        <w:t>due</w:t>
      </w:r>
      <w:r>
        <w:rPr>
          <w:spacing w:val="-5"/>
        </w:rPr>
        <w:t> </w:t>
      </w:r>
      <w:r>
        <w:rPr/>
        <w:t>to</w:t>
      </w:r>
      <w:r>
        <w:rPr>
          <w:spacing w:val="-6"/>
        </w:rPr>
        <w:t> </w:t>
      </w:r>
      <w:r>
        <w:rPr/>
        <w:t>the</w:t>
      </w:r>
      <w:r>
        <w:rPr>
          <w:spacing w:val="-5"/>
        </w:rPr>
        <w:t> </w:t>
      </w:r>
      <w:r>
        <w:rPr/>
        <w:t>current</w:t>
      </w:r>
      <w:r>
        <w:rPr>
          <w:spacing w:val="-4"/>
        </w:rPr>
        <w:t> </w:t>
      </w:r>
      <w:r>
        <w:rPr/>
        <w:t>design</w:t>
      </w:r>
      <w:r>
        <w:rPr>
          <w:spacing w:val="-4"/>
        </w:rPr>
        <w:t> </w:t>
      </w:r>
      <w:r>
        <w:rPr/>
        <w:t>of</w:t>
      </w:r>
      <w:r>
        <w:rPr>
          <w:spacing w:val="-5"/>
        </w:rPr>
        <w:t> </w:t>
      </w:r>
      <w:r>
        <w:rPr/>
        <w:t>120-litre</w:t>
      </w:r>
      <w:r>
        <w:rPr>
          <w:spacing w:val="-5"/>
        </w:rPr>
        <w:t> </w:t>
      </w:r>
      <w:r>
        <w:rPr/>
        <w:t>wheelie</w:t>
      </w:r>
      <w:r>
        <w:rPr>
          <w:spacing w:val="-6"/>
        </w:rPr>
        <w:t> </w:t>
      </w:r>
      <w:r>
        <w:rPr/>
        <w:t>bins,</w:t>
      </w:r>
      <w:r>
        <w:rPr>
          <w:spacing w:val="-4"/>
        </w:rPr>
        <w:t> </w:t>
      </w:r>
      <w:r>
        <w:rPr/>
        <w:t>a</w:t>
      </w:r>
      <w:r>
        <w:rPr>
          <w:spacing w:val="-4"/>
        </w:rPr>
        <w:t> </w:t>
      </w:r>
      <w:r>
        <w:rPr/>
        <w:t>140-litre</w:t>
      </w:r>
      <w:r>
        <w:rPr>
          <w:spacing w:val="-5"/>
        </w:rPr>
        <w:t> </w:t>
      </w:r>
      <w:r>
        <w:rPr/>
        <w:t>wheelie</w:t>
      </w:r>
      <w:r>
        <w:rPr>
          <w:spacing w:val="-5"/>
        </w:rPr>
        <w:t> </w:t>
      </w:r>
      <w:r>
        <w:rPr/>
        <w:t>bin</w:t>
      </w:r>
      <w:r>
        <w:rPr>
          <w:spacing w:val="-3"/>
        </w:rPr>
        <w:t> </w:t>
      </w:r>
      <w:r>
        <w:rPr/>
        <w:t>may</w:t>
      </w:r>
      <w:r>
        <w:rPr>
          <w:spacing w:val="-3"/>
        </w:rPr>
        <w:t> </w:t>
      </w:r>
      <w:r>
        <w:rPr/>
        <w:t>be</w:t>
      </w:r>
      <w:r>
        <w:rPr>
          <w:spacing w:val="-5"/>
        </w:rPr>
        <w:t> </w:t>
      </w:r>
      <w:r>
        <w:rPr/>
        <w:t>less</w:t>
      </w:r>
      <w:r>
        <w:rPr>
          <w:spacing w:val="-5"/>
        </w:rPr>
        <w:t> </w:t>
      </w:r>
      <w:r>
        <w:rPr/>
        <w:t>likely to fall over in some terrain and weather</w:t>
      </w:r>
      <w:r>
        <w:rPr>
          <w:spacing w:val="-19"/>
        </w:rPr>
        <w:t> </w:t>
      </w:r>
      <w:r>
        <w:rPr/>
        <w:t>conditions.</w:t>
      </w:r>
    </w:p>
    <w:p>
      <w:pPr>
        <w:pStyle w:val="BodyText"/>
        <w:spacing w:before="163"/>
        <w:ind w:left="560"/>
        <w:jc w:val="both"/>
      </w:pPr>
      <w:r>
        <w:rPr/>
        <w:t>If using bags, local authorities may want to also make 30-litre bags available on demand.</w:t>
      </w:r>
    </w:p>
    <w:p>
      <w:pPr>
        <w:pStyle w:val="BodyText"/>
        <w:spacing w:line="254" w:lineRule="auto" w:before="175"/>
        <w:ind w:left="560" w:right="115"/>
        <w:jc w:val="both"/>
      </w:pPr>
      <w:r>
        <w:rPr/>
        <w:t>Rates</w:t>
      </w:r>
      <w:r>
        <w:rPr>
          <w:spacing w:val="-10"/>
        </w:rPr>
        <w:t> </w:t>
      </w:r>
      <w:r>
        <w:rPr/>
        <w:t>funded</w:t>
      </w:r>
      <w:r>
        <w:rPr>
          <w:spacing w:val="-11"/>
        </w:rPr>
        <w:t> </w:t>
      </w:r>
      <w:r>
        <w:rPr/>
        <w:t>refuse</w:t>
      </w:r>
      <w:r>
        <w:rPr>
          <w:spacing w:val="-12"/>
        </w:rPr>
        <w:t> </w:t>
      </w:r>
      <w:r>
        <w:rPr/>
        <w:t>collections,</w:t>
      </w:r>
      <w:r>
        <w:rPr>
          <w:spacing w:val="-11"/>
        </w:rPr>
        <w:t> </w:t>
      </w:r>
      <w:r>
        <w:rPr/>
        <w:t>or</w:t>
      </w:r>
      <w:r>
        <w:rPr>
          <w:spacing w:val="-12"/>
        </w:rPr>
        <w:t> </w:t>
      </w:r>
      <w:r>
        <w:rPr/>
        <w:t>the</w:t>
      </w:r>
      <w:r>
        <w:rPr>
          <w:spacing w:val="-12"/>
        </w:rPr>
        <w:t> </w:t>
      </w:r>
      <w:r>
        <w:rPr/>
        <w:t>use</w:t>
      </w:r>
      <w:r>
        <w:rPr>
          <w:spacing w:val="-12"/>
        </w:rPr>
        <w:t> </w:t>
      </w:r>
      <w:r>
        <w:rPr/>
        <w:t>of</w:t>
      </w:r>
      <w:r>
        <w:rPr>
          <w:spacing w:val="-12"/>
        </w:rPr>
        <w:t> </w:t>
      </w:r>
      <w:r>
        <w:rPr/>
        <w:t>bylaws</w:t>
      </w:r>
      <w:r>
        <w:rPr>
          <w:spacing w:val="-11"/>
        </w:rPr>
        <w:t> </w:t>
      </w:r>
      <w:r>
        <w:rPr/>
        <w:t>to</w:t>
      </w:r>
      <w:r>
        <w:rPr>
          <w:spacing w:val="-13"/>
        </w:rPr>
        <w:t> </w:t>
      </w:r>
      <w:r>
        <w:rPr/>
        <w:t>limit</w:t>
      </w:r>
      <w:r>
        <w:rPr>
          <w:spacing w:val="-12"/>
        </w:rPr>
        <w:t> </w:t>
      </w:r>
      <w:r>
        <w:rPr/>
        <w:t>the</w:t>
      </w:r>
      <w:r>
        <w:rPr>
          <w:spacing w:val="-12"/>
        </w:rPr>
        <w:t> </w:t>
      </w:r>
      <w:r>
        <w:rPr/>
        <w:t>provision</w:t>
      </w:r>
      <w:r>
        <w:rPr>
          <w:spacing w:val="-11"/>
        </w:rPr>
        <w:t> </w:t>
      </w:r>
      <w:r>
        <w:rPr/>
        <w:t>of</w:t>
      </w:r>
      <w:r>
        <w:rPr>
          <w:spacing w:val="-12"/>
        </w:rPr>
        <w:t> </w:t>
      </w:r>
      <w:r>
        <w:rPr/>
        <w:t>240-litre</w:t>
      </w:r>
      <w:r>
        <w:rPr>
          <w:spacing w:val="-10"/>
        </w:rPr>
        <w:t> </w:t>
      </w:r>
      <w:r>
        <w:rPr/>
        <w:t>wheelie</w:t>
      </w:r>
      <w:r>
        <w:rPr>
          <w:spacing w:val="-13"/>
        </w:rPr>
        <w:t> </w:t>
      </w:r>
      <w:r>
        <w:rPr/>
        <w:t>bins</w:t>
      </w:r>
      <w:r>
        <w:rPr>
          <w:spacing w:val="-10"/>
        </w:rPr>
        <w:t> </w:t>
      </w:r>
      <w:r>
        <w:rPr/>
        <w:t>by</w:t>
      </w:r>
      <w:r>
        <w:rPr>
          <w:spacing w:val="-11"/>
        </w:rPr>
        <w:t> </w:t>
      </w:r>
      <w:r>
        <w:rPr/>
        <w:t>the</w:t>
      </w:r>
      <w:r>
        <w:rPr>
          <w:spacing w:val="-12"/>
        </w:rPr>
        <w:t> </w:t>
      </w:r>
      <w:r>
        <w:rPr/>
        <w:t>private sector, is shown to reduce residual rubbish and reduce contamination in</w:t>
      </w:r>
      <w:r>
        <w:rPr>
          <w:spacing w:val="-31"/>
        </w:rPr>
        <w:t> </w:t>
      </w:r>
      <w:r>
        <w:rPr/>
        <w:t>recycling.</w:t>
      </w:r>
    </w:p>
    <w:p>
      <w:pPr>
        <w:spacing w:after="0" w:line="254" w:lineRule="auto"/>
        <w:jc w:val="both"/>
        <w:sectPr>
          <w:pgSz w:w="11910" w:h="16840"/>
          <w:pgMar w:header="576" w:footer="698" w:top="1140" w:bottom="880" w:left="880" w:right="1320"/>
        </w:sectPr>
      </w:pPr>
    </w:p>
    <w:p>
      <w:pPr>
        <w:pStyle w:val="BodyText"/>
      </w:pPr>
    </w:p>
    <w:p>
      <w:pPr>
        <w:pStyle w:val="BodyText"/>
      </w:pPr>
    </w:p>
    <w:p>
      <w:pPr>
        <w:pStyle w:val="Heading2"/>
        <w:numPr>
          <w:ilvl w:val="1"/>
          <w:numId w:val="18"/>
        </w:numPr>
        <w:tabs>
          <w:tab w:pos="2000" w:val="left" w:leader="none"/>
          <w:tab w:pos="2001" w:val="left" w:leader="none"/>
        </w:tabs>
        <w:spacing w:line="240" w:lineRule="auto" w:before="175" w:after="0"/>
        <w:ind w:left="2000" w:right="0" w:hanging="1080"/>
        <w:jc w:val="left"/>
        <w:rPr>
          <w:b w:val="0"/>
        </w:rPr>
      </w:pPr>
      <w:bookmarkStart w:name="7.3. Further recommendations " w:id="130"/>
      <w:bookmarkEnd w:id="130"/>
      <w:r>
        <w:rPr/>
      </w:r>
      <w:bookmarkStart w:name="_bookmark43" w:id="131"/>
      <w:bookmarkEnd w:id="131"/>
      <w:r>
        <w:rPr/>
      </w:r>
      <w:bookmarkStart w:name="_bookmark43" w:id="132"/>
      <w:bookmarkEnd w:id="132"/>
      <w:r>
        <w:rPr>
          <w:b w:val="0"/>
        </w:rPr>
        <w:t>Further</w:t>
      </w:r>
      <w:r>
        <w:rPr>
          <w:b w:val="0"/>
          <w:spacing w:val="-8"/>
        </w:rPr>
        <w:t> </w:t>
      </w:r>
      <w:r>
        <w:rPr>
          <w:b w:val="0"/>
        </w:rPr>
        <w:t>recommendations</w:t>
      </w:r>
    </w:p>
    <w:p>
      <w:pPr>
        <w:pStyle w:val="BodyText"/>
        <w:spacing w:line="254" w:lineRule="auto" w:before="242"/>
        <w:ind w:left="560"/>
      </w:pPr>
      <w:r>
        <w:rPr/>
        <w:t>The engagement process and literature review highlighted a number of initiatives that would assist in achieving more effective domestic kerbside collections and a move towards a more circular economy.</w:t>
      </w:r>
    </w:p>
    <w:p>
      <w:pPr>
        <w:pStyle w:val="BodyText"/>
        <w:spacing w:before="161"/>
        <w:ind w:left="560"/>
        <w:jc w:val="both"/>
      </w:pPr>
      <w:r>
        <w:rPr/>
        <w:t>While these initiatives are outside the immediate scope of this project and may require further research, several</w:t>
      </w:r>
    </w:p>
    <w:p>
      <w:pPr>
        <w:pStyle w:val="BodyText"/>
        <w:spacing w:before="17"/>
        <w:ind w:left="560"/>
        <w:jc w:val="both"/>
      </w:pPr>
      <w:r>
        <w:rPr/>
        <w:t>are already being addressed through MfE’s work programme, as was outlined in Section 2.</w:t>
      </w:r>
    </w:p>
    <w:p>
      <w:pPr>
        <w:pStyle w:val="BodyText"/>
        <w:spacing w:line="256" w:lineRule="auto" w:before="176"/>
        <w:ind w:left="560" w:right="123"/>
        <w:jc w:val="both"/>
      </w:pPr>
      <w:r>
        <w:rPr/>
        <w:t>A comprehensive list of further recommended initiatives is provided below. They have been loosely grouped into initiatives that would provide centralised assistance to local authorities and their contractors; national strategy; national campaigns; and central government leadership.</w:t>
      </w:r>
    </w:p>
    <w:p>
      <w:pPr>
        <w:pStyle w:val="ListParagraph"/>
        <w:numPr>
          <w:ilvl w:val="0"/>
          <w:numId w:val="28"/>
        </w:numPr>
        <w:tabs>
          <w:tab w:pos="921" w:val="left" w:leader="none"/>
        </w:tabs>
        <w:spacing w:line="240" w:lineRule="auto" w:before="159" w:after="0"/>
        <w:ind w:left="920" w:right="0" w:hanging="360"/>
        <w:jc w:val="both"/>
        <w:rPr>
          <w:sz w:val="20"/>
        </w:rPr>
      </w:pPr>
      <w:r>
        <w:rPr>
          <w:sz w:val="20"/>
        </w:rPr>
        <w:t>Centralised assistance for local authorities and their</w:t>
      </w:r>
      <w:r>
        <w:rPr>
          <w:spacing w:val="-24"/>
          <w:sz w:val="20"/>
        </w:rPr>
        <w:t> </w:t>
      </w:r>
      <w:r>
        <w:rPr>
          <w:sz w:val="20"/>
        </w:rPr>
        <w:t>contractors:</w:t>
      </w:r>
    </w:p>
    <w:p>
      <w:pPr>
        <w:pStyle w:val="ListParagraph"/>
        <w:numPr>
          <w:ilvl w:val="1"/>
          <w:numId w:val="28"/>
        </w:numPr>
        <w:tabs>
          <w:tab w:pos="1640" w:val="left" w:leader="none"/>
          <w:tab w:pos="1641" w:val="left" w:leader="none"/>
        </w:tabs>
        <w:spacing w:line="240" w:lineRule="auto" w:before="17" w:after="0"/>
        <w:ind w:left="1640" w:right="0" w:hanging="360"/>
        <w:jc w:val="left"/>
        <w:rPr>
          <w:sz w:val="20"/>
        </w:rPr>
      </w:pPr>
      <w:r>
        <w:rPr>
          <w:sz w:val="20"/>
        </w:rPr>
        <w:t>to identify and model the most appropriate collection</w:t>
      </w:r>
      <w:r>
        <w:rPr>
          <w:spacing w:val="-20"/>
          <w:sz w:val="20"/>
        </w:rPr>
        <w:t> </w:t>
      </w:r>
      <w:r>
        <w:rPr>
          <w:sz w:val="20"/>
        </w:rPr>
        <w:t>systems</w:t>
      </w:r>
    </w:p>
    <w:p>
      <w:pPr>
        <w:pStyle w:val="ListParagraph"/>
        <w:numPr>
          <w:ilvl w:val="1"/>
          <w:numId w:val="28"/>
        </w:numPr>
        <w:tabs>
          <w:tab w:pos="1640" w:val="left" w:leader="none"/>
          <w:tab w:pos="1641" w:val="left" w:leader="none"/>
        </w:tabs>
        <w:spacing w:line="240" w:lineRule="auto" w:before="15" w:after="0"/>
        <w:ind w:left="1640" w:right="0" w:hanging="360"/>
        <w:jc w:val="left"/>
        <w:rPr>
          <w:sz w:val="20"/>
        </w:rPr>
      </w:pPr>
      <w:r>
        <w:rPr>
          <w:sz w:val="20"/>
        </w:rPr>
        <w:t>to standardise collection and processing</w:t>
      </w:r>
      <w:r>
        <w:rPr>
          <w:spacing w:val="-11"/>
          <w:sz w:val="20"/>
        </w:rPr>
        <w:t> </w:t>
      </w:r>
      <w:r>
        <w:rPr>
          <w:sz w:val="20"/>
        </w:rPr>
        <w:t>contracts</w:t>
      </w:r>
    </w:p>
    <w:p>
      <w:pPr>
        <w:pStyle w:val="ListParagraph"/>
        <w:numPr>
          <w:ilvl w:val="1"/>
          <w:numId w:val="28"/>
        </w:numPr>
        <w:tabs>
          <w:tab w:pos="1640" w:val="left" w:leader="none"/>
          <w:tab w:pos="1641" w:val="left" w:leader="none"/>
        </w:tabs>
        <w:spacing w:line="240" w:lineRule="auto" w:before="17" w:after="0"/>
        <w:ind w:left="1640" w:right="0" w:hanging="360"/>
        <w:jc w:val="left"/>
        <w:rPr>
          <w:sz w:val="20"/>
        </w:rPr>
      </w:pPr>
      <w:r>
        <w:rPr>
          <w:sz w:val="20"/>
        </w:rPr>
        <w:t>to develop waste</w:t>
      </w:r>
      <w:r>
        <w:rPr>
          <w:spacing w:val="-9"/>
          <w:sz w:val="20"/>
        </w:rPr>
        <w:t> </w:t>
      </w:r>
      <w:r>
        <w:rPr>
          <w:sz w:val="20"/>
        </w:rPr>
        <w:t>strategies</w:t>
      </w:r>
    </w:p>
    <w:p>
      <w:pPr>
        <w:pStyle w:val="ListParagraph"/>
        <w:numPr>
          <w:ilvl w:val="1"/>
          <w:numId w:val="28"/>
        </w:numPr>
        <w:tabs>
          <w:tab w:pos="1640" w:val="left" w:leader="none"/>
          <w:tab w:pos="1641" w:val="left" w:leader="none"/>
        </w:tabs>
        <w:spacing w:line="256" w:lineRule="auto" w:before="14" w:after="0"/>
        <w:ind w:left="1640" w:right="244" w:hanging="360"/>
        <w:jc w:val="left"/>
        <w:rPr>
          <w:sz w:val="20"/>
        </w:rPr>
      </w:pPr>
      <w:r>
        <w:rPr>
          <w:sz w:val="20"/>
        </w:rPr>
        <w:t>to prioritise climate in waste and recycling contracts (e.g. EV collection vehicles, prioritising local markets</w:t>
      </w:r>
      <w:r>
        <w:rPr>
          <w:spacing w:val="-4"/>
          <w:sz w:val="20"/>
        </w:rPr>
        <w:t> </w:t>
      </w:r>
      <w:r>
        <w:rPr>
          <w:sz w:val="20"/>
        </w:rPr>
        <w:t>etc)</w:t>
      </w:r>
    </w:p>
    <w:p>
      <w:pPr>
        <w:pStyle w:val="ListParagraph"/>
        <w:numPr>
          <w:ilvl w:val="1"/>
          <w:numId w:val="28"/>
        </w:numPr>
        <w:tabs>
          <w:tab w:pos="1640" w:val="left" w:leader="none"/>
          <w:tab w:pos="1641" w:val="left" w:leader="none"/>
        </w:tabs>
        <w:spacing w:line="242" w:lineRule="exact" w:before="0" w:after="0"/>
        <w:ind w:left="1640" w:right="0" w:hanging="360"/>
        <w:jc w:val="left"/>
        <w:rPr>
          <w:sz w:val="20"/>
        </w:rPr>
      </w:pPr>
      <w:r>
        <w:rPr>
          <w:sz w:val="20"/>
        </w:rPr>
        <w:t>to consolidate materials and markets across Aotearoa New</w:t>
      </w:r>
      <w:r>
        <w:rPr>
          <w:spacing w:val="-17"/>
          <w:sz w:val="20"/>
        </w:rPr>
        <w:t> </w:t>
      </w:r>
      <w:r>
        <w:rPr>
          <w:sz w:val="20"/>
        </w:rPr>
        <w:t>Zealand</w:t>
      </w:r>
    </w:p>
    <w:p>
      <w:pPr>
        <w:pStyle w:val="ListParagraph"/>
        <w:numPr>
          <w:ilvl w:val="1"/>
          <w:numId w:val="28"/>
        </w:numPr>
        <w:tabs>
          <w:tab w:pos="1640" w:val="left" w:leader="none"/>
          <w:tab w:pos="1641" w:val="left" w:leader="none"/>
        </w:tabs>
        <w:spacing w:line="240" w:lineRule="auto" w:before="18" w:after="0"/>
        <w:ind w:left="1640" w:right="0" w:hanging="360"/>
        <w:jc w:val="left"/>
        <w:rPr>
          <w:sz w:val="20"/>
        </w:rPr>
      </w:pPr>
      <w:r>
        <w:rPr>
          <w:sz w:val="20"/>
        </w:rPr>
        <w:t>to identify best markets for recyclate, prioritising onshore markets and high value</w:t>
      </w:r>
      <w:r>
        <w:rPr>
          <w:spacing w:val="-26"/>
          <w:sz w:val="20"/>
        </w:rPr>
        <w:t> </w:t>
      </w:r>
      <w:r>
        <w:rPr>
          <w:sz w:val="20"/>
        </w:rPr>
        <w:t>add</w:t>
      </w:r>
    </w:p>
    <w:p>
      <w:pPr>
        <w:pStyle w:val="ListParagraph"/>
        <w:numPr>
          <w:ilvl w:val="1"/>
          <w:numId w:val="28"/>
        </w:numPr>
        <w:tabs>
          <w:tab w:pos="1640" w:val="left" w:leader="none"/>
          <w:tab w:pos="1641" w:val="left" w:leader="none"/>
        </w:tabs>
        <w:spacing w:line="240" w:lineRule="auto" w:before="15" w:after="0"/>
        <w:ind w:left="1640" w:right="0" w:hanging="360"/>
        <w:jc w:val="left"/>
        <w:rPr>
          <w:sz w:val="20"/>
        </w:rPr>
      </w:pPr>
      <w:r>
        <w:rPr>
          <w:sz w:val="20"/>
        </w:rPr>
        <w:t>to</w:t>
      </w:r>
      <w:r>
        <w:rPr>
          <w:spacing w:val="-3"/>
          <w:sz w:val="20"/>
        </w:rPr>
        <w:t> </w:t>
      </w:r>
      <w:r>
        <w:rPr>
          <w:sz w:val="20"/>
        </w:rPr>
        <w:t>level</w:t>
      </w:r>
      <w:r>
        <w:rPr>
          <w:spacing w:val="-4"/>
          <w:sz w:val="20"/>
        </w:rPr>
        <w:t> </w:t>
      </w:r>
      <w:r>
        <w:rPr>
          <w:sz w:val="20"/>
        </w:rPr>
        <w:t>out</w:t>
      </w:r>
      <w:r>
        <w:rPr>
          <w:spacing w:val="-3"/>
          <w:sz w:val="20"/>
        </w:rPr>
        <w:t> </w:t>
      </w:r>
      <w:r>
        <w:rPr>
          <w:sz w:val="20"/>
        </w:rPr>
        <w:t>the</w:t>
      </w:r>
      <w:r>
        <w:rPr>
          <w:spacing w:val="-4"/>
          <w:sz w:val="20"/>
        </w:rPr>
        <w:t> </w:t>
      </w:r>
      <w:r>
        <w:rPr>
          <w:sz w:val="20"/>
        </w:rPr>
        <w:t>playing</w:t>
      </w:r>
      <w:r>
        <w:rPr>
          <w:spacing w:val="-4"/>
          <w:sz w:val="20"/>
        </w:rPr>
        <w:t> </w:t>
      </w:r>
      <w:r>
        <w:rPr>
          <w:sz w:val="20"/>
        </w:rPr>
        <w:t>field</w:t>
      </w:r>
      <w:r>
        <w:rPr>
          <w:spacing w:val="-3"/>
          <w:sz w:val="20"/>
        </w:rPr>
        <w:t> </w:t>
      </w:r>
      <w:r>
        <w:rPr>
          <w:sz w:val="20"/>
        </w:rPr>
        <w:t>with</w:t>
      </w:r>
      <w:r>
        <w:rPr>
          <w:spacing w:val="-3"/>
          <w:sz w:val="20"/>
        </w:rPr>
        <w:t> </w:t>
      </w:r>
      <w:r>
        <w:rPr>
          <w:sz w:val="20"/>
        </w:rPr>
        <w:t>regards</w:t>
      </w:r>
      <w:r>
        <w:rPr>
          <w:spacing w:val="-3"/>
          <w:sz w:val="20"/>
        </w:rPr>
        <w:t> </w:t>
      </w:r>
      <w:r>
        <w:rPr>
          <w:sz w:val="20"/>
        </w:rPr>
        <w:t>to</w:t>
      </w:r>
      <w:r>
        <w:rPr>
          <w:spacing w:val="-3"/>
          <w:sz w:val="20"/>
        </w:rPr>
        <w:t> </w:t>
      </w:r>
      <w:r>
        <w:rPr>
          <w:sz w:val="20"/>
        </w:rPr>
        <w:t>geographic</w:t>
      </w:r>
      <w:r>
        <w:rPr>
          <w:spacing w:val="-4"/>
          <w:sz w:val="20"/>
        </w:rPr>
        <w:t> </w:t>
      </w:r>
      <w:r>
        <w:rPr>
          <w:sz w:val="20"/>
        </w:rPr>
        <w:t>distances</w:t>
      </w:r>
      <w:r>
        <w:rPr>
          <w:spacing w:val="-3"/>
          <w:sz w:val="20"/>
        </w:rPr>
        <w:t> </w:t>
      </w:r>
      <w:r>
        <w:rPr>
          <w:sz w:val="20"/>
        </w:rPr>
        <w:t>to</w:t>
      </w:r>
      <w:r>
        <w:rPr>
          <w:spacing w:val="-3"/>
          <w:sz w:val="20"/>
        </w:rPr>
        <w:t> </w:t>
      </w:r>
      <w:r>
        <w:rPr>
          <w:sz w:val="20"/>
        </w:rPr>
        <w:t>markets</w:t>
      </w:r>
      <w:r>
        <w:rPr>
          <w:spacing w:val="-2"/>
          <w:sz w:val="20"/>
        </w:rPr>
        <w:t> </w:t>
      </w:r>
      <w:r>
        <w:rPr>
          <w:sz w:val="20"/>
        </w:rPr>
        <w:t>for</w:t>
      </w:r>
      <w:r>
        <w:rPr>
          <w:spacing w:val="-3"/>
          <w:sz w:val="20"/>
        </w:rPr>
        <w:t> </w:t>
      </w:r>
      <w:r>
        <w:rPr>
          <w:sz w:val="20"/>
        </w:rPr>
        <w:t>local</w:t>
      </w:r>
      <w:r>
        <w:rPr>
          <w:spacing w:val="-4"/>
          <w:sz w:val="20"/>
        </w:rPr>
        <w:t> </w:t>
      </w:r>
      <w:r>
        <w:rPr>
          <w:sz w:val="20"/>
        </w:rPr>
        <w:t>authorities</w:t>
      </w:r>
    </w:p>
    <w:p>
      <w:pPr>
        <w:pStyle w:val="ListParagraph"/>
        <w:numPr>
          <w:ilvl w:val="1"/>
          <w:numId w:val="28"/>
        </w:numPr>
        <w:tabs>
          <w:tab w:pos="1640" w:val="left" w:leader="none"/>
          <w:tab w:pos="1641" w:val="left" w:leader="none"/>
        </w:tabs>
        <w:spacing w:line="254" w:lineRule="auto" w:before="17" w:after="0"/>
        <w:ind w:left="1640" w:right="122" w:hanging="360"/>
        <w:jc w:val="left"/>
        <w:rPr>
          <w:sz w:val="20"/>
        </w:rPr>
      </w:pPr>
      <w:r>
        <w:rPr>
          <w:sz w:val="20"/>
        </w:rPr>
        <w:t>to promote transparency of recyclate markets, so consumers know where their materials are ending</w:t>
      </w:r>
      <w:r>
        <w:rPr>
          <w:spacing w:val="-5"/>
          <w:sz w:val="20"/>
        </w:rPr>
        <w:t> </w:t>
      </w:r>
      <w:r>
        <w:rPr>
          <w:sz w:val="20"/>
        </w:rPr>
        <w:t>up</w:t>
      </w:r>
    </w:p>
    <w:p>
      <w:pPr>
        <w:pStyle w:val="BodyText"/>
        <w:spacing w:before="5"/>
        <w:rPr>
          <w:sz w:val="21"/>
        </w:rPr>
      </w:pPr>
    </w:p>
    <w:p>
      <w:pPr>
        <w:pStyle w:val="ListParagraph"/>
        <w:numPr>
          <w:ilvl w:val="0"/>
          <w:numId w:val="28"/>
        </w:numPr>
        <w:tabs>
          <w:tab w:pos="921" w:val="left" w:leader="none"/>
        </w:tabs>
        <w:spacing w:line="240" w:lineRule="auto" w:before="0" w:after="0"/>
        <w:ind w:left="920" w:right="0" w:hanging="360"/>
        <w:jc w:val="both"/>
        <w:rPr>
          <w:sz w:val="20"/>
        </w:rPr>
      </w:pPr>
      <w:r>
        <w:rPr>
          <w:sz w:val="20"/>
        </w:rPr>
        <w:t>National</w:t>
      </w:r>
      <w:r>
        <w:rPr>
          <w:spacing w:val="-4"/>
          <w:sz w:val="20"/>
        </w:rPr>
        <w:t> </w:t>
      </w:r>
      <w:r>
        <w:rPr>
          <w:sz w:val="20"/>
        </w:rPr>
        <w:t>strategy:</w:t>
      </w:r>
    </w:p>
    <w:p>
      <w:pPr>
        <w:pStyle w:val="ListParagraph"/>
        <w:numPr>
          <w:ilvl w:val="1"/>
          <w:numId w:val="28"/>
        </w:numPr>
        <w:tabs>
          <w:tab w:pos="1640" w:val="left" w:leader="none"/>
          <w:tab w:pos="1641" w:val="left" w:leader="none"/>
        </w:tabs>
        <w:spacing w:line="254" w:lineRule="auto" w:before="17" w:after="0"/>
        <w:ind w:left="1640" w:right="114" w:hanging="360"/>
        <w:jc w:val="left"/>
        <w:rPr>
          <w:sz w:val="20"/>
        </w:rPr>
      </w:pPr>
      <w:r>
        <w:rPr>
          <w:sz w:val="20"/>
        </w:rPr>
        <w:t>to incentivise onshore recycling. Where it is not viable to recycle onshore, to raise the value of product being</w:t>
      </w:r>
      <w:r>
        <w:rPr>
          <w:spacing w:val="-10"/>
          <w:sz w:val="20"/>
        </w:rPr>
        <w:t> </w:t>
      </w:r>
      <w:r>
        <w:rPr>
          <w:sz w:val="20"/>
        </w:rPr>
        <w:t>exported</w:t>
      </w:r>
    </w:p>
    <w:p>
      <w:pPr>
        <w:pStyle w:val="ListParagraph"/>
        <w:numPr>
          <w:ilvl w:val="1"/>
          <w:numId w:val="28"/>
        </w:numPr>
        <w:tabs>
          <w:tab w:pos="1640" w:val="left" w:leader="none"/>
          <w:tab w:pos="1641" w:val="left" w:leader="none"/>
        </w:tabs>
        <w:spacing w:line="254" w:lineRule="auto" w:before="2" w:after="0"/>
        <w:ind w:left="1640" w:right="119" w:hanging="360"/>
        <w:jc w:val="left"/>
        <w:rPr>
          <w:sz w:val="20"/>
        </w:rPr>
      </w:pPr>
      <w:r>
        <w:rPr>
          <w:sz w:val="20"/>
        </w:rPr>
        <w:t>to reduce and divert food waste from landfill, including regional need gap analysis for organic processing</w:t>
      </w:r>
      <w:r>
        <w:rPr>
          <w:spacing w:val="-13"/>
          <w:sz w:val="20"/>
        </w:rPr>
        <w:t> </w:t>
      </w:r>
      <w:r>
        <w:rPr>
          <w:sz w:val="20"/>
        </w:rPr>
        <w:t>facilities</w:t>
      </w:r>
    </w:p>
    <w:p>
      <w:pPr>
        <w:pStyle w:val="ListParagraph"/>
        <w:numPr>
          <w:ilvl w:val="1"/>
          <w:numId w:val="28"/>
        </w:numPr>
        <w:tabs>
          <w:tab w:pos="1640" w:val="left" w:leader="none"/>
          <w:tab w:pos="1641" w:val="left" w:leader="none"/>
        </w:tabs>
        <w:spacing w:line="254" w:lineRule="auto" w:before="2" w:after="0"/>
        <w:ind w:left="1640" w:right="117" w:hanging="360"/>
        <w:jc w:val="left"/>
        <w:rPr>
          <w:sz w:val="20"/>
        </w:rPr>
      </w:pPr>
      <w:r>
        <w:rPr>
          <w:sz w:val="20"/>
        </w:rPr>
        <w:t>to ensure local infrastructure investment decisions by government and the private sector are aligned with a circular economy</w:t>
      </w:r>
      <w:r>
        <w:rPr>
          <w:spacing w:val="-10"/>
          <w:sz w:val="20"/>
        </w:rPr>
        <w:t> </w:t>
      </w:r>
      <w:r>
        <w:rPr>
          <w:sz w:val="20"/>
        </w:rPr>
        <w:t>model</w:t>
      </w:r>
    </w:p>
    <w:p>
      <w:pPr>
        <w:pStyle w:val="ListParagraph"/>
        <w:numPr>
          <w:ilvl w:val="1"/>
          <w:numId w:val="28"/>
        </w:numPr>
        <w:tabs>
          <w:tab w:pos="1640" w:val="left" w:leader="none"/>
          <w:tab w:pos="1641" w:val="left" w:leader="none"/>
        </w:tabs>
        <w:spacing w:line="254" w:lineRule="auto" w:before="2" w:after="0"/>
        <w:ind w:left="1640" w:right="119" w:hanging="360"/>
        <w:jc w:val="left"/>
        <w:rPr>
          <w:sz w:val="20"/>
        </w:rPr>
      </w:pPr>
      <w:r>
        <w:rPr>
          <w:sz w:val="20"/>
        </w:rPr>
        <w:t>to</w:t>
      </w:r>
      <w:r>
        <w:rPr>
          <w:spacing w:val="-10"/>
          <w:sz w:val="20"/>
        </w:rPr>
        <w:t> </w:t>
      </w:r>
      <w:r>
        <w:rPr>
          <w:sz w:val="20"/>
        </w:rPr>
        <w:t>ensure</w:t>
      </w:r>
      <w:r>
        <w:rPr>
          <w:spacing w:val="-11"/>
          <w:sz w:val="20"/>
        </w:rPr>
        <w:t> </w:t>
      </w:r>
      <w:r>
        <w:rPr>
          <w:sz w:val="20"/>
        </w:rPr>
        <w:t>investment</w:t>
      </w:r>
      <w:r>
        <w:rPr>
          <w:spacing w:val="-10"/>
          <w:sz w:val="20"/>
        </w:rPr>
        <w:t> </w:t>
      </w:r>
      <w:r>
        <w:rPr>
          <w:sz w:val="20"/>
        </w:rPr>
        <w:t>in</w:t>
      </w:r>
      <w:r>
        <w:rPr>
          <w:spacing w:val="-11"/>
          <w:sz w:val="20"/>
        </w:rPr>
        <w:t> </w:t>
      </w:r>
      <w:r>
        <w:rPr>
          <w:sz w:val="20"/>
        </w:rPr>
        <w:t>like-for-like</w:t>
      </w:r>
      <w:r>
        <w:rPr>
          <w:spacing w:val="-11"/>
          <w:sz w:val="20"/>
        </w:rPr>
        <w:t> </w:t>
      </w:r>
      <w:r>
        <w:rPr>
          <w:sz w:val="20"/>
        </w:rPr>
        <w:t>reprocessing</w:t>
      </w:r>
      <w:r>
        <w:rPr>
          <w:spacing w:val="-10"/>
          <w:sz w:val="20"/>
        </w:rPr>
        <w:t> </w:t>
      </w:r>
      <w:r>
        <w:rPr>
          <w:sz w:val="20"/>
        </w:rPr>
        <w:t>options</w:t>
      </w:r>
      <w:r>
        <w:rPr>
          <w:spacing w:val="-11"/>
          <w:sz w:val="20"/>
        </w:rPr>
        <w:t> </w:t>
      </w:r>
      <w:r>
        <w:rPr>
          <w:sz w:val="20"/>
        </w:rPr>
        <w:t>that</w:t>
      </w:r>
      <w:r>
        <w:rPr>
          <w:spacing w:val="-9"/>
          <w:sz w:val="20"/>
        </w:rPr>
        <w:t> </w:t>
      </w:r>
      <w:r>
        <w:rPr>
          <w:sz w:val="20"/>
        </w:rPr>
        <w:t>raise</w:t>
      </w:r>
      <w:r>
        <w:rPr>
          <w:spacing w:val="-11"/>
          <w:sz w:val="20"/>
        </w:rPr>
        <w:t> </w:t>
      </w:r>
      <w:r>
        <w:rPr>
          <w:sz w:val="20"/>
        </w:rPr>
        <w:t>the</w:t>
      </w:r>
      <w:r>
        <w:rPr>
          <w:spacing w:val="-12"/>
          <w:sz w:val="20"/>
        </w:rPr>
        <w:t> </w:t>
      </w:r>
      <w:r>
        <w:rPr>
          <w:sz w:val="20"/>
        </w:rPr>
        <w:t>value</w:t>
      </w:r>
      <w:r>
        <w:rPr>
          <w:spacing w:val="-11"/>
          <w:sz w:val="20"/>
        </w:rPr>
        <w:t> </w:t>
      </w:r>
      <w:r>
        <w:rPr>
          <w:sz w:val="20"/>
        </w:rPr>
        <w:t>of</w:t>
      </w:r>
      <w:r>
        <w:rPr>
          <w:spacing w:val="-11"/>
          <w:sz w:val="20"/>
        </w:rPr>
        <w:t> </w:t>
      </w:r>
      <w:r>
        <w:rPr>
          <w:sz w:val="20"/>
        </w:rPr>
        <w:t>materials</w:t>
      </w:r>
      <w:r>
        <w:rPr>
          <w:spacing w:val="-11"/>
          <w:sz w:val="20"/>
        </w:rPr>
        <w:t> </w:t>
      </w:r>
      <w:r>
        <w:rPr>
          <w:sz w:val="20"/>
        </w:rPr>
        <w:t>and</w:t>
      </w:r>
      <w:r>
        <w:rPr>
          <w:spacing w:val="-10"/>
          <w:sz w:val="20"/>
        </w:rPr>
        <w:t> </w:t>
      </w:r>
      <w:r>
        <w:rPr>
          <w:sz w:val="20"/>
        </w:rPr>
        <w:t>keep them in</w:t>
      </w:r>
      <w:r>
        <w:rPr>
          <w:spacing w:val="-7"/>
          <w:sz w:val="20"/>
        </w:rPr>
        <w:t> </w:t>
      </w:r>
      <w:r>
        <w:rPr>
          <w:sz w:val="20"/>
        </w:rPr>
        <w:t>circulation</w:t>
      </w:r>
    </w:p>
    <w:p>
      <w:pPr>
        <w:pStyle w:val="ListParagraph"/>
        <w:numPr>
          <w:ilvl w:val="1"/>
          <w:numId w:val="28"/>
        </w:numPr>
        <w:tabs>
          <w:tab w:pos="1640" w:val="left" w:leader="none"/>
          <w:tab w:pos="1641" w:val="left" w:leader="none"/>
        </w:tabs>
        <w:spacing w:line="254" w:lineRule="auto" w:before="2" w:after="0"/>
        <w:ind w:left="1640" w:right="122" w:hanging="360"/>
        <w:jc w:val="left"/>
        <w:rPr>
          <w:sz w:val="20"/>
        </w:rPr>
      </w:pPr>
      <w:r>
        <w:rPr>
          <w:sz w:val="20"/>
        </w:rPr>
        <w:t>to</w:t>
      </w:r>
      <w:r>
        <w:rPr>
          <w:spacing w:val="-12"/>
          <w:sz w:val="20"/>
        </w:rPr>
        <w:t> </w:t>
      </w:r>
      <w:r>
        <w:rPr>
          <w:sz w:val="20"/>
        </w:rPr>
        <w:t>acknowledge</w:t>
      </w:r>
      <w:r>
        <w:rPr>
          <w:spacing w:val="-14"/>
          <w:sz w:val="20"/>
        </w:rPr>
        <w:t> </w:t>
      </w:r>
      <w:r>
        <w:rPr>
          <w:sz w:val="20"/>
        </w:rPr>
        <w:t>mātauranga</w:t>
      </w:r>
      <w:r>
        <w:rPr>
          <w:spacing w:val="-10"/>
          <w:sz w:val="20"/>
        </w:rPr>
        <w:t> </w:t>
      </w:r>
      <w:r>
        <w:rPr>
          <w:sz w:val="20"/>
        </w:rPr>
        <w:t>Māori</w:t>
      </w:r>
      <w:r>
        <w:rPr>
          <w:spacing w:val="-13"/>
          <w:sz w:val="20"/>
        </w:rPr>
        <w:t> </w:t>
      </w:r>
      <w:r>
        <w:rPr>
          <w:sz w:val="20"/>
        </w:rPr>
        <w:t>perspective</w:t>
      </w:r>
      <w:r>
        <w:rPr>
          <w:spacing w:val="-13"/>
          <w:sz w:val="20"/>
        </w:rPr>
        <w:t> </w:t>
      </w:r>
      <w:r>
        <w:rPr>
          <w:sz w:val="20"/>
        </w:rPr>
        <w:t>on</w:t>
      </w:r>
      <w:r>
        <w:rPr>
          <w:spacing w:val="-12"/>
          <w:sz w:val="20"/>
        </w:rPr>
        <w:t> </w:t>
      </w:r>
      <w:r>
        <w:rPr>
          <w:sz w:val="20"/>
        </w:rPr>
        <w:t>waste</w:t>
      </w:r>
      <w:r>
        <w:rPr>
          <w:spacing w:val="-13"/>
          <w:sz w:val="20"/>
        </w:rPr>
        <w:t> </w:t>
      </w:r>
      <w:r>
        <w:rPr>
          <w:sz w:val="20"/>
        </w:rPr>
        <w:t>as</w:t>
      </w:r>
      <w:r>
        <w:rPr>
          <w:spacing w:val="-11"/>
          <w:sz w:val="20"/>
        </w:rPr>
        <w:t> </w:t>
      </w:r>
      <w:r>
        <w:rPr>
          <w:sz w:val="20"/>
        </w:rPr>
        <w:t>being</w:t>
      </w:r>
      <w:r>
        <w:rPr>
          <w:spacing w:val="-13"/>
          <w:sz w:val="20"/>
        </w:rPr>
        <w:t> </w:t>
      </w:r>
      <w:r>
        <w:rPr>
          <w:sz w:val="20"/>
        </w:rPr>
        <w:t>a</w:t>
      </w:r>
      <w:r>
        <w:rPr>
          <w:spacing w:val="-12"/>
          <w:sz w:val="20"/>
        </w:rPr>
        <w:t> </w:t>
      </w:r>
      <w:r>
        <w:rPr>
          <w:sz w:val="20"/>
        </w:rPr>
        <w:t>forerunner</w:t>
      </w:r>
      <w:r>
        <w:rPr>
          <w:spacing w:val="-13"/>
          <w:sz w:val="20"/>
        </w:rPr>
        <w:t> </w:t>
      </w:r>
      <w:r>
        <w:rPr>
          <w:sz w:val="20"/>
        </w:rPr>
        <w:t>to</w:t>
      </w:r>
      <w:r>
        <w:rPr>
          <w:spacing w:val="-12"/>
          <w:sz w:val="20"/>
        </w:rPr>
        <w:t> </w:t>
      </w:r>
      <w:r>
        <w:rPr>
          <w:sz w:val="20"/>
        </w:rPr>
        <w:t>circular</w:t>
      </w:r>
      <w:r>
        <w:rPr>
          <w:spacing w:val="-12"/>
          <w:sz w:val="20"/>
        </w:rPr>
        <w:t> </w:t>
      </w:r>
      <w:r>
        <w:rPr>
          <w:sz w:val="20"/>
        </w:rPr>
        <w:t>economy thinking, which can shape the kaupapa of waste strategies in Aotearoa New</w:t>
      </w:r>
      <w:r>
        <w:rPr>
          <w:spacing w:val="-24"/>
          <w:sz w:val="20"/>
        </w:rPr>
        <w:t> </w:t>
      </w:r>
      <w:r>
        <w:rPr>
          <w:sz w:val="20"/>
        </w:rPr>
        <w:t>Zealand</w:t>
      </w:r>
    </w:p>
    <w:p>
      <w:pPr>
        <w:pStyle w:val="BodyText"/>
        <w:spacing w:before="6"/>
        <w:rPr>
          <w:sz w:val="21"/>
        </w:rPr>
      </w:pPr>
    </w:p>
    <w:p>
      <w:pPr>
        <w:pStyle w:val="ListParagraph"/>
        <w:numPr>
          <w:ilvl w:val="0"/>
          <w:numId w:val="28"/>
        </w:numPr>
        <w:tabs>
          <w:tab w:pos="921" w:val="left" w:leader="none"/>
        </w:tabs>
        <w:spacing w:line="240" w:lineRule="auto" w:before="0" w:after="0"/>
        <w:ind w:left="920" w:right="0" w:hanging="360"/>
        <w:jc w:val="both"/>
        <w:rPr>
          <w:sz w:val="20"/>
        </w:rPr>
      </w:pPr>
      <w:r>
        <w:rPr>
          <w:sz w:val="20"/>
        </w:rPr>
        <w:t>National</w:t>
      </w:r>
      <w:r>
        <w:rPr>
          <w:spacing w:val="-6"/>
          <w:sz w:val="20"/>
        </w:rPr>
        <w:t> </w:t>
      </w:r>
      <w:r>
        <w:rPr>
          <w:sz w:val="20"/>
        </w:rPr>
        <w:t>campaigns:</w:t>
      </w:r>
    </w:p>
    <w:p>
      <w:pPr>
        <w:pStyle w:val="ListParagraph"/>
        <w:numPr>
          <w:ilvl w:val="1"/>
          <w:numId w:val="28"/>
        </w:numPr>
        <w:tabs>
          <w:tab w:pos="1640" w:val="left" w:leader="none"/>
          <w:tab w:pos="1641" w:val="left" w:leader="none"/>
        </w:tabs>
        <w:spacing w:line="254" w:lineRule="auto" w:before="17" w:after="0"/>
        <w:ind w:left="1640" w:right="123" w:hanging="360"/>
        <w:jc w:val="left"/>
        <w:rPr>
          <w:sz w:val="20"/>
        </w:rPr>
      </w:pPr>
      <w:r>
        <w:rPr>
          <w:sz w:val="20"/>
        </w:rPr>
        <w:t>to promote recycling and the standardised materials collected for recycling (ensuring these are targeted at different</w:t>
      </w:r>
      <w:r>
        <w:rPr>
          <w:spacing w:val="-12"/>
          <w:sz w:val="20"/>
        </w:rPr>
        <w:t> </w:t>
      </w:r>
      <w:r>
        <w:rPr>
          <w:sz w:val="20"/>
        </w:rPr>
        <w:t>ethnicities)</w:t>
      </w:r>
    </w:p>
    <w:p>
      <w:pPr>
        <w:pStyle w:val="ListParagraph"/>
        <w:numPr>
          <w:ilvl w:val="1"/>
          <w:numId w:val="28"/>
        </w:numPr>
        <w:tabs>
          <w:tab w:pos="1640" w:val="left" w:leader="none"/>
          <w:tab w:pos="1641" w:val="left" w:leader="none"/>
        </w:tabs>
        <w:spacing w:line="240" w:lineRule="auto" w:before="2" w:after="0"/>
        <w:ind w:left="1640" w:right="0" w:hanging="360"/>
        <w:jc w:val="left"/>
        <w:rPr>
          <w:sz w:val="20"/>
        </w:rPr>
      </w:pPr>
      <w:r>
        <w:rPr>
          <w:sz w:val="20"/>
        </w:rPr>
        <w:t>to brand recycled packaging to enhance consumer</w:t>
      </w:r>
      <w:r>
        <w:rPr>
          <w:spacing w:val="-22"/>
          <w:sz w:val="20"/>
        </w:rPr>
        <w:t> </w:t>
      </w:r>
      <w:r>
        <w:rPr>
          <w:sz w:val="20"/>
        </w:rPr>
        <w:t>demand</w:t>
      </w:r>
    </w:p>
    <w:p>
      <w:pPr>
        <w:pStyle w:val="ListParagraph"/>
        <w:numPr>
          <w:ilvl w:val="1"/>
          <w:numId w:val="28"/>
        </w:numPr>
        <w:tabs>
          <w:tab w:pos="1641" w:val="left" w:leader="none"/>
        </w:tabs>
        <w:spacing w:line="256" w:lineRule="auto" w:before="14" w:after="0"/>
        <w:ind w:left="1640" w:right="120" w:hanging="360"/>
        <w:jc w:val="both"/>
        <w:rPr>
          <w:sz w:val="20"/>
        </w:rPr>
      </w:pPr>
      <w:r>
        <w:rPr>
          <w:sz w:val="20"/>
        </w:rPr>
        <w:t>to bring the public on a journey – ensure they are informed about the importance of quality recyclate and of avoiding and diverting food waste so they start to request these services and are prepared to ‘do their bit’ to ensure quality materials are</w:t>
      </w:r>
      <w:r>
        <w:rPr>
          <w:spacing w:val="-25"/>
          <w:sz w:val="20"/>
        </w:rPr>
        <w:t> </w:t>
      </w:r>
      <w:r>
        <w:rPr>
          <w:sz w:val="20"/>
        </w:rPr>
        <w:t>collected</w:t>
      </w:r>
    </w:p>
    <w:p>
      <w:pPr>
        <w:pStyle w:val="ListParagraph"/>
        <w:numPr>
          <w:ilvl w:val="1"/>
          <w:numId w:val="28"/>
        </w:numPr>
        <w:tabs>
          <w:tab w:pos="1640" w:val="left" w:leader="none"/>
          <w:tab w:pos="1641" w:val="left" w:leader="none"/>
        </w:tabs>
        <w:spacing w:line="254" w:lineRule="auto" w:before="0" w:after="0"/>
        <w:ind w:left="1640" w:right="120" w:hanging="360"/>
        <w:jc w:val="left"/>
        <w:rPr>
          <w:sz w:val="20"/>
        </w:rPr>
      </w:pPr>
      <w:r>
        <w:rPr>
          <w:sz w:val="20"/>
        </w:rPr>
        <w:t>to focus on designing out single use packaging items, and promoting reduction and reuse of materials</w:t>
      </w:r>
    </w:p>
    <w:p>
      <w:pPr>
        <w:pStyle w:val="BodyText"/>
        <w:spacing w:before="5"/>
        <w:rPr>
          <w:sz w:val="21"/>
        </w:rPr>
      </w:pPr>
    </w:p>
    <w:p>
      <w:pPr>
        <w:pStyle w:val="ListParagraph"/>
        <w:numPr>
          <w:ilvl w:val="0"/>
          <w:numId w:val="28"/>
        </w:numPr>
        <w:tabs>
          <w:tab w:pos="921" w:val="left" w:leader="none"/>
        </w:tabs>
        <w:spacing w:line="240" w:lineRule="auto" w:before="0" w:after="0"/>
        <w:ind w:left="920" w:right="0" w:hanging="360"/>
        <w:jc w:val="both"/>
        <w:rPr>
          <w:sz w:val="20"/>
        </w:rPr>
      </w:pPr>
      <w:r>
        <w:rPr>
          <w:sz w:val="20"/>
        </w:rPr>
        <w:t>Central government</w:t>
      </w:r>
      <w:r>
        <w:rPr>
          <w:spacing w:val="-11"/>
          <w:sz w:val="20"/>
        </w:rPr>
        <w:t> </w:t>
      </w:r>
      <w:r>
        <w:rPr>
          <w:sz w:val="20"/>
        </w:rPr>
        <w:t>leadership:</w:t>
      </w:r>
    </w:p>
    <w:p>
      <w:pPr>
        <w:pStyle w:val="ListParagraph"/>
        <w:numPr>
          <w:ilvl w:val="1"/>
          <w:numId w:val="28"/>
        </w:numPr>
        <w:tabs>
          <w:tab w:pos="1640" w:val="left" w:leader="none"/>
          <w:tab w:pos="1641" w:val="left" w:leader="none"/>
        </w:tabs>
        <w:spacing w:line="240" w:lineRule="auto" w:before="16" w:after="0"/>
        <w:ind w:left="1640" w:right="0" w:hanging="360"/>
        <w:jc w:val="left"/>
        <w:rPr>
          <w:sz w:val="20"/>
        </w:rPr>
      </w:pPr>
      <w:r>
        <w:rPr>
          <w:sz w:val="20"/>
        </w:rPr>
        <w:t>to implement a waste data framework and collect standardised national waste</w:t>
      </w:r>
      <w:r>
        <w:rPr>
          <w:spacing w:val="-28"/>
          <w:sz w:val="20"/>
        </w:rPr>
        <w:t> </w:t>
      </w:r>
      <w:r>
        <w:rPr>
          <w:sz w:val="20"/>
        </w:rPr>
        <w:t>data</w:t>
      </w:r>
    </w:p>
    <w:p>
      <w:pPr>
        <w:pStyle w:val="ListParagraph"/>
        <w:numPr>
          <w:ilvl w:val="1"/>
          <w:numId w:val="28"/>
        </w:numPr>
        <w:tabs>
          <w:tab w:pos="1640" w:val="left" w:leader="none"/>
          <w:tab w:pos="1641" w:val="left" w:leader="none"/>
        </w:tabs>
        <w:spacing w:line="240" w:lineRule="auto" w:before="14" w:after="0"/>
        <w:ind w:left="1640" w:right="0" w:hanging="360"/>
        <w:jc w:val="left"/>
        <w:rPr>
          <w:sz w:val="20"/>
        </w:rPr>
      </w:pPr>
      <w:r>
        <w:rPr>
          <w:sz w:val="20"/>
        </w:rPr>
        <w:t>to implement waste minimisation targets for local</w:t>
      </w:r>
      <w:r>
        <w:rPr>
          <w:spacing w:val="-22"/>
          <w:sz w:val="20"/>
        </w:rPr>
        <w:t> </w:t>
      </w:r>
      <w:r>
        <w:rPr>
          <w:sz w:val="20"/>
        </w:rPr>
        <w:t>authorities</w:t>
      </w:r>
    </w:p>
    <w:p>
      <w:pPr>
        <w:pStyle w:val="ListParagraph"/>
        <w:numPr>
          <w:ilvl w:val="1"/>
          <w:numId w:val="28"/>
        </w:numPr>
        <w:tabs>
          <w:tab w:pos="1640" w:val="left" w:leader="none"/>
          <w:tab w:pos="1641" w:val="left" w:leader="none"/>
        </w:tabs>
        <w:spacing w:line="240" w:lineRule="auto" w:before="16" w:after="0"/>
        <w:ind w:left="1640" w:right="0" w:hanging="360"/>
        <w:jc w:val="left"/>
        <w:rPr>
          <w:sz w:val="20"/>
        </w:rPr>
      </w:pPr>
      <w:r>
        <w:rPr>
          <w:sz w:val="20"/>
        </w:rPr>
        <w:t>to phase out use of plastics 3, 4, 6, 7 in consumer</w:t>
      </w:r>
      <w:r>
        <w:rPr>
          <w:spacing w:val="-17"/>
          <w:sz w:val="20"/>
        </w:rPr>
        <w:t> </w:t>
      </w:r>
      <w:r>
        <w:rPr>
          <w:sz w:val="20"/>
        </w:rPr>
        <w:t>packaging</w:t>
      </w:r>
    </w:p>
    <w:p>
      <w:pPr>
        <w:pStyle w:val="ListParagraph"/>
        <w:numPr>
          <w:ilvl w:val="1"/>
          <w:numId w:val="28"/>
        </w:numPr>
        <w:tabs>
          <w:tab w:pos="1640" w:val="left" w:leader="none"/>
          <w:tab w:pos="1641" w:val="left" w:leader="none"/>
        </w:tabs>
        <w:spacing w:line="240" w:lineRule="auto" w:before="14" w:after="0"/>
        <w:ind w:left="1640" w:right="0" w:hanging="360"/>
        <w:jc w:val="left"/>
        <w:rPr>
          <w:sz w:val="20"/>
        </w:rPr>
      </w:pPr>
      <w:r>
        <w:rPr>
          <w:sz w:val="20"/>
        </w:rPr>
        <w:t>to implement a national labelling scheme for recyclable</w:t>
      </w:r>
      <w:r>
        <w:rPr>
          <w:spacing w:val="-24"/>
          <w:sz w:val="20"/>
        </w:rPr>
        <w:t> </w:t>
      </w:r>
      <w:r>
        <w:rPr>
          <w:sz w:val="20"/>
        </w:rPr>
        <w:t>materials</w:t>
      </w:r>
    </w:p>
    <w:p>
      <w:pPr>
        <w:spacing w:after="0" w:line="240" w:lineRule="auto"/>
        <w:jc w:val="left"/>
        <w:rPr>
          <w:sz w:val="20"/>
        </w:rPr>
        <w:sectPr>
          <w:pgSz w:w="11910" w:h="16840"/>
          <w:pgMar w:header="576" w:footer="698" w:top="1140" w:bottom="880" w:left="880" w:right="1320"/>
        </w:sectPr>
      </w:pPr>
    </w:p>
    <w:p>
      <w:pPr>
        <w:pStyle w:val="BodyText"/>
      </w:pPr>
    </w:p>
    <w:p>
      <w:pPr>
        <w:pStyle w:val="BodyText"/>
        <w:spacing w:before="7"/>
        <w:rPr>
          <w:sz w:val="29"/>
        </w:rPr>
      </w:pPr>
    </w:p>
    <w:p>
      <w:pPr>
        <w:pStyle w:val="ListParagraph"/>
        <w:numPr>
          <w:ilvl w:val="1"/>
          <w:numId w:val="28"/>
        </w:numPr>
        <w:tabs>
          <w:tab w:pos="1640" w:val="left" w:leader="none"/>
          <w:tab w:pos="1641" w:val="left" w:leader="none"/>
        </w:tabs>
        <w:spacing w:line="254" w:lineRule="auto" w:before="60" w:after="0"/>
        <w:ind w:left="1640" w:right="124" w:hanging="360"/>
        <w:jc w:val="left"/>
        <w:rPr>
          <w:sz w:val="20"/>
        </w:rPr>
      </w:pPr>
      <w:r>
        <w:rPr>
          <w:sz w:val="20"/>
        </w:rPr>
        <w:t>to</w:t>
      </w:r>
      <w:r>
        <w:rPr>
          <w:spacing w:val="-3"/>
          <w:sz w:val="20"/>
        </w:rPr>
        <w:t> </w:t>
      </w:r>
      <w:r>
        <w:rPr>
          <w:sz w:val="20"/>
        </w:rPr>
        <w:t>develop</w:t>
      </w:r>
      <w:r>
        <w:rPr>
          <w:spacing w:val="-3"/>
          <w:sz w:val="20"/>
        </w:rPr>
        <w:t> </w:t>
      </w:r>
      <w:r>
        <w:rPr>
          <w:sz w:val="20"/>
        </w:rPr>
        <w:t>national</w:t>
      </w:r>
      <w:r>
        <w:rPr>
          <w:spacing w:val="-5"/>
          <w:sz w:val="20"/>
        </w:rPr>
        <w:t> </w:t>
      </w:r>
      <w:r>
        <w:rPr>
          <w:sz w:val="20"/>
        </w:rPr>
        <w:t>procurement</w:t>
      </w:r>
      <w:r>
        <w:rPr>
          <w:spacing w:val="-3"/>
          <w:sz w:val="20"/>
        </w:rPr>
        <w:t> </w:t>
      </w:r>
      <w:r>
        <w:rPr>
          <w:sz w:val="20"/>
        </w:rPr>
        <w:t>standards</w:t>
      </w:r>
      <w:r>
        <w:rPr>
          <w:spacing w:val="-3"/>
          <w:sz w:val="20"/>
        </w:rPr>
        <w:t> </w:t>
      </w:r>
      <w:r>
        <w:rPr>
          <w:sz w:val="20"/>
        </w:rPr>
        <w:t>for</w:t>
      </w:r>
      <w:r>
        <w:rPr>
          <w:spacing w:val="-3"/>
          <w:sz w:val="20"/>
        </w:rPr>
        <w:t> </w:t>
      </w:r>
      <w:r>
        <w:rPr>
          <w:sz w:val="20"/>
        </w:rPr>
        <w:t>local</w:t>
      </w:r>
      <w:r>
        <w:rPr>
          <w:spacing w:val="-4"/>
          <w:sz w:val="20"/>
        </w:rPr>
        <w:t> </w:t>
      </w:r>
      <w:r>
        <w:rPr>
          <w:sz w:val="20"/>
        </w:rPr>
        <w:t>and</w:t>
      </w:r>
      <w:r>
        <w:rPr>
          <w:spacing w:val="-5"/>
          <w:sz w:val="20"/>
        </w:rPr>
        <w:t> </w:t>
      </w:r>
      <w:r>
        <w:rPr>
          <w:sz w:val="20"/>
        </w:rPr>
        <w:t>central</w:t>
      </w:r>
      <w:r>
        <w:rPr>
          <w:spacing w:val="-4"/>
          <w:sz w:val="20"/>
        </w:rPr>
        <w:t> </w:t>
      </w:r>
      <w:r>
        <w:rPr>
          <w:sz w:val="20"/>
        </w:rPr>
        <w:t>government</w:t>
      </w:r>
      <w:r>
        <w:rPr>
          <w:spacing w:val="-3"/>
          <w:sz w:val="20"/>
        </w:rPr>
        <w:t> </w:t>
      </w:r>
      <w:r>
        <w:rPr>
          <w:sz w:val="20"/>
        </w:rPr>
        <w:t>agencies,</w:t>
      </w:r>
      <w:r>
        <w:rPr>
          <w:spacing w:val="-3"/>
          <w:sz w:val="20"/>
        </w:rPr>
        <w:t> </w:t>
      </w:r>
      <w:r>
        <w:rPr>
          <w:sz w:val="20"/>
        </w:rPr>
        <w:t>promoting recycled</w:t>
      </w:r>
      <w:r>
        <w:rPr>
          <w:spacing w:val="-9"/>
          <w:sz w:val="20"/>
        </w:rPr>
        <w:t> </w:t>
      </w:r>
      <w:r>
        <w:rPr>
          <w:sz w:val="20"/>
        </w:rPr>
        <w:t>content</w:t>
      </w:r>
    </w:p>
    <w:p>
      <w:pPr>
        <w:pStyle w:val="ListParagraph"/>
        <w:numPr>
          <w:ilvl w:val="1"/>
          <w:numId w:val="28"/>
        </w:numPr>
        <w:tabs>
          <w:tab w:pos="1640" w:val="left" w:leader="none"/>
          <w:tab w:pos="1641" w:val="left" w:leader="none"/>
        </w:tabs>
        <w:spacing w:line="240" w:lineRule="auto" w:before="3" w:after="0"/>
        <w:ind w:left="1640" w:right="0" w:hanging="360"/>
        <w:jc w:val="left"/>
        <w:rPr>
          <w:sz w:val="20"/>
        </w:rPr>
      </w:pPr>
      <w:r>
        <w:rPr>
          <w:sz w:val="20"/>
        </w:rPr>
        <w:t>to implement opt-in rather than opt out framework for circular</w:t>
      </w:r>
      <w:r>
        <w:rPr>
          <w:spacing w:val="-22"/>
          <w:sz w:val="20"/>
        </w:rPr>
        <w:t> </w:t>
      </w:r>
      <w:r>
        <w:rPr>
          <w:sz w:val="20"/>
        </w:rPr>
        <w:t>deliveries</w:t>
      </w:r>
    </w:p>
    <w:p>
      <w:pPr>
        <w:pStyle w:val="BodyText"/>
        <w:spacing w:before="176"/>
        <w:ind w:left="560"/>
        <w:jc w:val="both"/>
      </w:pPr>
      <w:r>
        <w:rPr/>
        <w:t>It is the authors’ opinion that some of these recommended initiatives could provide a framework for substantial</w:t>
      </w:r>
    </w:p>
    <w:p>
      <w:pPr>
        <w:pStyle w:val="BodyText"/>
        <w:spacing w:before="15"/>
        <w:ind w:left="560"/>
        <w:jc w:val="both"/>
      </w:pPr>
      <w:r>
        <w:rPr/>
        <w:t>and continued improvement in domestic kerbside collections.</w:t>
      </w:r>
    </w:p>
    <w:p>
      <w:pPr>
        <w:pStyle w:val="BodyText"/>
        <w:spacing w:line="256" w:lineRule="auto" w:before="178"/>
        <w:ind w:left="560" w:right="120"/>
        <w:jc w:val="both"/>
      </w:pPr>
      <w:r>
        <w:rPr/>
        <w:t>Particularly,</w:t>
      </w:r>
      <w:r>
        <w:rPr>
          <w:spacing w:val="-5"/>
        </w:rPr>
        <w:t> </w:t>
      </w:r>
      <w:r>
        <w:rPr/>
        <w:t>the</w:t>
      </w:r>
      <w:r>
        <w:rPr>
          <w:spacing w:val="-6"/>
        </w:rPr>
        <w:t> </w:t>
      </w:r>
      <w:r>
        <w:rPr/>
        <w:t>introduction</w:t>
      </w:r>
      <w:r>
        <w:rPr>
          <w:spacing w:val="-7"/>
        </w:rPr>
        <w:t> </w:t>
      </w:r>
      <w:r>
        <w:rPr/>
        <w:t>of</w:t>
      </w:r>
      <w:r>
        <w:rPr>
          <w:spacing w:val="-6"/>
        </w:rPr>
        <w:t> </w:t>
      </w:r>
      <w:r>
        <w:rPr/>
        <w:t>a</w:t>
      </w:r>
      <w:r>
        <w:rPr>
          <w:spacing w:val="-5"/>
        </w:rPr>
        <w:t> </w:t>
      </w:r>
      <w:r>
        <w:rPr/>
        <w:t>mandatory</w:t>
      </w:r>
      <w:r>
        <w:rPr>
          <w:spacing w:val="-5"/>
        </w:rPr>
        <w:t> </w:t>
      </w:r>
      <w:r>
        <w:rPr/>
        <w:t>waste</w:t>
      </w:r>
      <w:r>
        <w:rPr>
          <w:spacing w:val="-6"/>
        </w:rPr>
        <w:t> </w:t>
      </w:r>
      <w:r>
        <w:rPr/>
        <w:t>data</w:t>
      </w:r>
      <w:r>
        <w:rPr>
          <w:spacing w:val="-7"/>
        </w:rPr>
        <w:t> </w:t>
      </w:r>
      <w:r>
        <w:rPr/>
        <w:t>framework,</w:t>
      </w:r>
      <w:r>
        <w:rPr>
          <w:spacing w:val="-5"/>
        </w:rPr>
        <w:t> </w:t>
      </w:r>
      <w:r>
        <w:rPr/>
        <w:t>waste</w:t>
      </w:r>
      <w:r>
        <w:rPr>
          <w:spacing w:val="-6"/>
        </w:rPr>
        <w:t> </w:t>
      </w:r>
      <w:r>
        <w:rPr/>
        <w:t>minimisation</w:t>
      </w:r>
      <w:r>
        <w:rPr>
          <w:spacing w:val="-5"/>
        </w:rPr>
        <w:t> </w:t>
      </w:r>
      <w:r>
        <w:rPr/>
        <w:t>targets,</w:t>
      </w:r>
      <w:r>
        <w:rPr>
          <w:spacing w:val="-5"/>
        </w:rPr>
        <w:t> </w:t>
      </w:r>
      <w:r>
        <w:rPr/>
        <w:t>and</w:t>
      </w:r>
      <w:r>
        <w:rPr>
          <w:spacing w:val="-5"/>
        </w:rPr>
        <w:t> </w:t>
      </w:r>
      <w:r>
        <w:rPr/>
        <w:t>a</w:t>
      </w:r>
      <w:r>
        <w:rPr>
          <w:spacing w:val="-7"/>
        </w:rPr>
        <w:t> </w:t>
      </w:r>
      <w:r>
        <w:rPr/>
        <w:t>national education</w:t>
      </w:r>
      <w:r>
        <w:rPr>
          <w:spacing w:val="-7"/>
        </w:rPr>
        <w:t> </w:t>
      </w:r>
      <w:r>
        <w:rPr/>
        <w:t>campaign</w:t>
      </w:r>
      <w:r>
        <w:rPr>
          <w:spacing w:val="-9"/>
        </w:rPr>
        <w:t> </w:t>
      </w:r>
      <w:r>
        <w:rPr/>
        <w:t>would</w:t>
      </w:r>
      <w:r>
        <w:rPr>
          <w:spacing w:val="-8"/>
        </w:rPr>
        <w:t> </w:t>
      </w:r>
      <w:r>
        <w:rPr/>
        <w:t>support</w:t>
      </w:r>
      <w:r>
        <w:rPr>
          <w:spacing w:val="-8"/>
        </w:rPr>
        <w:t> </w:t>
      </w:r>
      <w:r>
        <w:rPr/>
        <w:t>the</w:t>
      </w:r>
      <w:r>
        <w:rPr>
          <w:spacing w:val="-11"/>
        </w:rPr>
        <w:t> </w:t>
      </w:r>
      <w:r>
        <w:rPr/>
        <w:t>standardisation</w:t>
      </w:r>
      <w:r>
        <w:rPr>
          <w:spacing w:val="-9"/>
        </w:rPr>
        <w:t> </w:t>
      </w:r>
      <w:r>
        <w:rPr/>
        <w:t>of</w:t>
      </w:r>
      <w:r>
        <w:rPr>
          <w:spacing w:val="-9"/>
        </w:rPr>
        <w:t> </w:t>
      </w:r>
      <w:r>
        <w:rPr/>
        <w:t>domestic</w:t>
      </w:r>
      <w:r>
        <w:rPr>
          <w:spacing w:val="-9"/>
        </w:rPr>
        <w:t> </w:t>
      </w:r>
      <w:r>
        <w:rPr/>
        <w:t>kerbside</w:t>
      </w:r>
      <w:r>
        <w:rPr>
          <w:spacing w:val="-9"/>
        </w:rPr>
        <w:t> </w:t>
      </w:r>
      <w:r>
        <w:rPr/>
        <w:t>collections,</w:t>
      </w:r>
      <w:r>
        <w:rPr>
          <w:spacing w:val="-8"/>
        </w:rPr>
        <w:t> </w:t>
      </w:r>
      <w:r>
        <w:rPr/>
        <w:t>produce</w:t>
      </w:r>
      <w:r>
        <w:rPr>
          <w:spacing w:val="-9"/>
        </w:rPr>
        <w:t> </w:t>
      </w:r>
      <w:r>
        <w:rPr/>
        <w:t>higher</w:t>
      </w:r>
      <w:r>
        <w:rPr>
          <w:spacing w:val="-9"/>
        </w:rPr>
        <w:t> </w:t>
      </w:r>
      <w:r>
        <w:rPr/>
        <w:t>quality recyclate, and ongoing reduction of residual rubbish to</w:t>
      </w:r>
      <w:r>
        <w:rPr>
          <w:spacing w:val="-28"/>
        </w:rPr>
        <w:t> </w:t>
      </w:r>
      <w:r>
        <w:rPr/>
        <w:t>landfill.</w:t>
      </w:r>
    </w:p>
    <w:p>
      <w:pPr>
        <w:pStyle w:val="BodyText"/>
        <w:spacing w:line="256" w:lineRule="auto" w:before="158"/>
        <w:ind w:left="560" w:right="126"/>
        <w:jc w:val="both"/>
      </w:pPr>
      <w:r>
        <w:rPr/>
        <w:t>Collecting standardised waste data across local authorities would allow for the measuring and monitoring of kerbside</w:t>
      </w:r>
      <w:r>
        <w:rPr>
          <w:spacing w:val="-10"/>
        </w:rPr>
        <w:t> </w:t>
      </w:r>
      <w:r>
        <w:rPr/>
        <w:t>collection</w:t>
      </w:r>
      <w:r>
        <w:rPr>
          <w:spacing w:val="-9"/>
        </w:rPr>
        <w:t> </w:t>
      </w:r>
      <w:r>
        <w:rPr/>
        <w:t>systems.</w:t>
      </w:r>
      <w:r>
        <w:rPr>
          <w:spacing w:val="28"/>
        </w:rPr>
        <w:t> </w:t>
      </w:r>
      <w:r>
        <w:rPr/>
        <w:t>The</w:t>
      </w:r>
      <w:r>
        <w:rPr>
          <w:spacing w:val="-10"/>
        </w:rPr>
        <w:t> </w:t>
      </w:r>
      <w:r>
        <w:rPr/>
        <w:t>setting</w:t>
      </w:r>
      <w:r>
        <w:rPr>
          <w:spacing w:val="-9"/>
        </w:rPr>
        <w:t> </w:t>
      </w:r>
      <w:r>
        <w:rPr/>
        <w:t>of</w:t>
      </w:r>
      <w:r>
        <w:rPr>
          <w:spacing w:val="-8"/>
        </w:rPr>
        <w:t> </w:t>
      </w:r>
      <w:r>
        <w:rPr/>
        <w:t>waste</w:t>
      </w:r>
      <w:r>
        <w:rPr>
          <w:spacing w:val="-10"/>
        </w:rPr>
        <w:t> </w:t>
      </w:r>
      <w:r>
        <w:rPr/>
        <w:t>reduction</w:t>
      </w:r>
      <w:r>
        <w:rPr>
          <w:spacing w:val="-9"/>
        </w:rPr>
        <w:t> </w:t>
      </w:r>
      <w:r>
        <w:rPr/>
        <w:t>targets,</w:t>
      </w:r>
      <w:r>
        <w:rPr>
          <w:spacing w:val="-9"/>
        </w:rPr>
        <w:t> </w:t>
      </w:r>
      <w:r>
        <w:rPr/>
        <w:t>based</w:t>
      </w:r>
      <w:r>
        <w:rPr>
          <w:spacing w:val="-9"/>
        </w:rPr>
        <w:t> </w:t>
      </w:r>
      <w:r>
        <w:rPr/>
        <w:t>on</w:t>
      </w:r>
      <w:r>
        <w:rPr>
          <w:spacing w:val="-9"/>
        </w:rPr>
        <w:t> </w:t>
      </w:r>
      <w:r>
        <w:rPr/>
        <w:t>the</w:t>
      </w:r>
      <w:r>
        <w:rPr>
          <w:spacing w:val="-10"/>
        </w:rPr>
        <w:t> </w:t>
      </w:r>
      <w:r>
        <w:rPr/>
        <w:t>waste</w:t>
      </w:r>
      <w:r>
        <w:rPr>
          <w:spacing w:val="-10"/>
        </w:rPr>
        <w:t> </w:t>
      </w:r>
      <w:r>
        <w:rPr/>
        <w:t>data,</w:t>
      </w:r>
      <w:r>
        <w:rPr>
          <w:spacing w:val="-8"/>
        </w:rPr>
        <w:t> </w:t>
      </w:r>
      <w:r>
        <w:rPr/>
        <w:t>would</w:t>
      </w:r>
      <w:r>
        <w:rPr>
          <w:spacing w:val="-9"/>
        </w:rPr>
        <w:t> </w:t>
      </w:r>
      <w:r>
        <w:rPr/>
        <w:t>drive</w:t>
      </w:r>
      <w:r>
        <w:rPr>
          <w:spacing w:val="-10"/>
        </w:rPr>
        <w:t> </w:t>
      </w:r>
      <w:r>
        <w:rPr/>
        <w:t>waste minimisation in a manner that has not been possible in New Zealand to</w:t>
      </w:r>
      <w:r>
        <w:rPr>
          <w:spacing w:val="-26"/>
        </w:rPr>
        <w:t> </w:t>
      </w:r>
      <w:r>
        <w:rPr/>
        <w:t>date.</w:t>
      </w:r>
    </w:p>
    <w:p>
      <w:pPr>
        <w:pStyle w:val="BodyText"/>
        <w:spacing w:line="256" w:lineRule="auto" w:before="158"/>
        <w:ind w:left="560" w:right="114"/>
        <w:jc w:val="both"/>
      </w:pPr>
      <w:r>
        <w:rPr/>
        <w:t>Providing a national education campaign alongside these two initiatives would ensure that public support is gained</w:t>
      </w:r>
      <w:r>
        <w:rPr>
          <w:spacing w:val="-4"/>
        </w:rPr>
        <w:t> </w:t>
      </w:r>
      <w:r>
        <w:rPr/>
        <w:t>and</w:t>
      </w:r>
      <w:r>
        <w:rPr>
          <w:spacing w:val="-4"/>
        </w:rPr>
        <w:t> </w:t>
      </w:r>
      <w:r>
        <w:rPr/>
        <w:t>maintained,</w:t>
      </w:r>
      <w:r>
        <w:rPr>
          <w:spacing w:val="-6"/>
        </w:rPr>
        <w:t> </w:t>
      </w:r>
      <w:r>
        <w:rPr/>
        <w:t>and</w:t>
      </w:r>
      <w:r>
        <w:rPr>
          <w:spacing w:val="-6"/>
        </w:rPr>
        <w:t> </w:t>
      </w:r>
      <w:r>
        <w:rPr/>
        <w:t>that</w:t>
      </w:r>
      <w:r>
        <w:rPr>
          <w:spacing w:val="-4"/>
        </w:rPr>
        <w:t> </w:t>
      </w:r>
      <w:r>
        <w:rPr/>
        <w:t>issues</w:t>
      </w:r>
      <w:r>
        <w:rPr>
          <w:spacing w:val="-4"/>
        </w:rPr>
        <w:t> </w:t>
      </w:r>
      <w:r>
        <w:rPr/>
        <w:t>that</w:t>
      </w:r>
      <w:r>
        <w:rPr>
          <w:spacing w:val="-6"/>
        </w:rPr>
        <w:t> </w:t>
      </w:r>
      <w:r>
        <w:rPr/>
        <w:t>arise</w:t>
      </w:r>
      <w:r>
        <w:rPr>
          <w:spacing w:val="-5"/>
        </w:rPr>
        <w:t> </w:t>
      </w:r>
      <w:r>
        <w:rPr/>
        <w:t>in</w:t>
      </w:r>
      <w:r>
        <w:rPr>
          <w:spacing w:val="-6"/>
        </w:rPr>
        <w:t> </w:t>
      </w:r>
      <w:r>
        <w:rPr/>
        <w:t>the</w:t>
      </w:r>
      <w:r>
        <w:rPr>
          <w:spacing w:val="-5"/>
        </w:rPr>
        <w:t> </w:t>
      </w:r>
      <w:r>
        <w:rPr/>
        <w:t>waste</w:t>
      </w:r>
      <w:r>
        <w:rPr>
          <w:spacing w:val="-5"/>
        </w:rPr>
        <w:t> </w:t>
      </w:r>
      <w:r>
        <w:rPr/>
        <w:t>and</w:t>
      </w:r>
      <w:r>
        <w:rPr>
          <w:spacing w:val="-6"/>
        </w:rPr>
        <w:t> </w:t>
      </w:r>
      <w:r>
        <w:rPr/>
        <w:t>recycling</w:t>
      </w:r>
      <w:r>
        <w:rPr>
          <w:spacing w:val="-5"/>
        </w:rPr>
        <w:t> </w:t>
      </w:r>
      <w:r>
        <w:rPr/>
        <w:t>sector,</w:t>
      </w:r>
      <w:r>
        <w:rPr>
          <w:spacing w:val="-4"/>
        </w:rPr>
        <w:t> </w:t>
      </w:r>
      <w:r>
        <w:rPr/>
        <w:t>and</w:t>
      </w:r>
      <w:r>
        <w:rPr>
          <w:spacing w:val="-6"/>
        </w:rPr>
        <w:t> </w:t>
      </w:r>
      <w:r>
        <w:rPr/>
        <w:t>successes</w:t>
      </w:r>
      <w:r>
        <w:rPr>
          <w:spacing w:val="-4"/>
        </w:rPr>
        <w:t> </w:t>
      </w:r>
      <w:r>
        <w:rPr/>
        <w:t>achieved,</w:t>
      </w:r>
      <w:r>
        <w:rPr>
          <w:spacing w:val="-4"/>
        </w:rPr>
        <w:t> </w:t>
      </w:r>
      <w:r>
        <w:rPr/>
        <w:t>can be shared</w:t>
      </w:r>
      <w:r>
        <w:rPr>
          <w:spacing w:val="-6"/>
        </w:rPr>
        <w:t> </w:t>
      </w:r>
      <w:r>
        <w:rPr/>
        <w:t>nationally.</w:t>
      </w:r>
    </w:p>
    <w:p>
      <w:pPr>
        <w:pStyle w:val="BodyText"/>
        <w:spacing w:line="256" w:lineRule="auto" w:before="158"/>
        <w:ind w:left="560" w:right="118"/>
        <w:jc w:val="both"/>
      </w:pPr>
      <w:r>
        <w:rPr/>
        <w:t>Cohesive delivery of the initiatives recommended in this report may require appropriate delivery structures or agencies.</w:t>
      </w:r>
    </w:p>
    <w:p>
      <w:pPr>
        <w:pStyle w:val="BodyText"/>
        <w:spacing w:line="256" w:lineRule="auto" w:before="158"/>
        <w:ind w:left="560" w:right="115"/>
        <w:jc w:val="both"/>
      </w:pPr>
      <w:r>
        <w:rPr/>
        <w:t>Further investigation could be undertaken into the value of creating an entity to oversee the management and minimisation</w:t>
      </w:r>
      <w:r>
        <w:rPr>
          <w:spacing w:val="-7"/>
        </w:rPr>
        <w:t> </w:t>
      </w:r>
      <w:r>
        <w:rPr/>
        <w:t>of</w:t>
      </w:r>
      <w:r>
        <w:rPr>
          <w:spacing w:val="-9"/>
        </w:rPr>
        <w:t> </w:t>
      </w:r>
      <w:r>
        <w:rPr/>
        <w:t>waste</w:t>
      </w:r>
      <w:r>
        <w:rPr>
          <w:spacing w:val="-8"/>
        </w:rPr>
        <w:t> </w:t>
      </w:r>
      <w:r>
        <w:rPr/>
        <w:t>in</w:t>
      </w:r>
      <w:r>
        <w:rPr>
          <w:spacing w:val="-6"/>
        </w:rPr>
        <w:t> </w:t>
      </w:r>
      <w:r>
        <w:rPr/>
        <w:t>Aotearoa</w:t>
      </w:r>
      <w:r>
        <w:rPr>
          <w:spacing w:val="-7"/>
        </w:rPr>
        <w:t> </w:t>
      </w:r>
      <w:r>
        <w:rPr/>
        <w:t>New</w:t>
      </w:r>
      <w:r>
        <w:rPr>
          <w:spacing w:val="-9"/>
        </w:rPr>
        <w:t> </w:t>
      </w:r>
      <w:r>
        <w:rPr/>
        <w:t>Zealand.</w:t>
      </w:r>
      <w:r>
        <w:rPr>
          <w:spacing w:val="31"/>
        </w:rPr>
        <w:t> </w:t>
      </w:r>
      <w:r>
        <w:rPr/>
        <w:t>Similar</w:t>
      </w:r>
      <w:r>
        <w:rPr>
          <w:spacing w:val="-8"/>
        </w:rPr>
        <w:t> </w:t>
      </w:r>
      <w:r>
        <w:rPr/>
        <w:t>to</w:t>
      </w:r>
      <w:r>
        <w:rPr>
          <w:spacing w:val="-7"/>
        </w:rPr>
        <w:t> </w:t>
      </w:r>
      <w:r>
        <w:rPr/>
        <w:t>EECA,</w:t>
      </w:r>
      <w:r>
        <w:rPr>
          <w:spacing w:val="-7"/>
        </w:rPr>
        <w:t> </w:t>
      </w:r>
      <w:r>
        <w:rPr/>
        <w:t>whose</w:t>
      </w:r>
      <w:r>
        <w:rPr>
          <w:spacing w:val="-9"/>
        </w:rPr>
        <w:t> </w:t>
      </w:r>
      <w:r>
        <w:rPr/>
        <w:t>purpose</w:t>
      </w:r>
      <w:r>
        <w:rPr>
          <w:spacing w:val="-9"/>
        </w:rPr>
        <w:t> </w:t>
      </w:r>
      <w:r>
        <w:rPr/>
        <w:t>is</w:t>
      </w:r>
      <w:r>
        <w:rPr>
          <w:spacing w:val="-9"/>
        </w:rPr>
        <w:t> </w:t>
      </w:r>
      <w:r>
        <w:rPr/>
        <w:t>“Mobilising</w:t>
      </w:r>
      <w:r>
        <w:rPr>
          <w:spacing w:val="-8"/>
        </w:rPr>
        <w:t> </w:t>
      </w:r>
      <w:r>
        <w:rPr/>
        <w:t>New</w:t>
      </w:r>
      <w:r>
        <w:rPr>
          <w:spacing w:val="-9"/>
        </w:rPr>
        <w:t> </w:t>
      </w:r>
      <w:r>
        <w:rPr/>
        <w:t>Zealanders to be world leaders in clean and clever energy use”, the role of this new entity could be to mobilise New Zealanders to be world leaders in waste minimisation and a Circular Economy. This entity could work at the interface</w:t>
      </w:r>
      <w:r>
        <w:rPr>
          <w:spacing w:val="-8"/>
        </w:rPr>
        <w:t> </w:t>
      </w:r>
      <w:r>
        <w:rPr/>
        <w:t>between</w:t>
      </w:r>
      <w:r>
        <w:rPr>
          <w:spacing w:val="-7"/>
        </w:rPr>
        <w:t> </w:t>
      </w:r>
      <w:r>
        <w:rPr/>
        <w:t>local</w:t>
      </w:r>
      <w:r>
        <w:rPr>
          <w:spacing w:val="-8"/>
        </w:rPr>
        <w:t> </w:t>
      </w:r>
      <w:r>
        <w:rPr/>
        <w:t>government,</w:t>
      </w:r>
      <w:r>
        <w:rPr>
          <w:spacing w:val="-7"/>
        </w:rPr>
        <w:t> </w:t>
      </w:r>
      <w:r>
        <w:rPr/>
        <w:t>central</w:t>
      </w:r>
      <w:r>
        <w:rPr>
          <w:spacing w:val="-8"/>
        </w:rPr>
        <w:t> </w:t>
      </w:r>
      <w:r>
        <w:rPr/>
        <w:t>government,</w:t>
      </w:r>
      <w:r>
        <w:rPr>
          <w:spacing w:val="-7"/>
        </w:rPr>
        <w:t> </w:t>
      </w:r>
      <w:r>
        <w:rPr/>
        <w:t>industry</w:t>
      </w:r>
      <w:r>
        <w:rPr>
          <w:spacing w:val="-9"/>
        </w:rPr>
        <w:t> </w:t>
      </w:r>
      <w:r>
        <w:rPr/>
        <w:t>and</w:t>
      </w:r>
      <w:r>
        <w:rPr>
          <w:spacing w:val="-7"/>
        </w:rPr>
        <w:t> </w:t>
      </w:r>
      <w:r>
        <w:rPr/>
        <w:t>communities,</w:t>
      </w:r>
      <w:r>
        <w:rPr>
          <w:spacing w:val="-7"/>
        </w:rPr>
        <w:t> </w:t>
      </w:r>
      <w:r>
        <w:rPr/>
        <w:t>as</w:t>
      </w:r>
      <w:r>
        <w:rPr>
          <w:spacing w:val="-6"/>
        </w:rPr>
        <w:t> </w:t>
      </w:r>
      <w:r>
        <w:rPr/>
        <w:t>is</w:t>
      </w:r>
      <w:r>
        <w:rPr>
          <w:spacing w:val="-7"/>
        </w:rPr>
        <w:t> </w:t>
      </w:r>
      <w:r>
        <w:rPr/>
        <w:t>undertaken</w:t>
      </w:r>
      <w:r>
        <w:rPr>
          <w:spacing w:val="-7"/>
        </w:rPr>
        <w:t> </w:t>
      </w:r>
      <w:r>
        <w:rPr/>
        <w:t>by</w:t>
      </w:r>
      <w:r>
        <w:rPr>
          <w:spacing w:val="-7"/>
        </w:rPr>
        <w:t> </w:t>
      </w:r>
      <w:r>
        <w:rPr/>
        <w:t>WRAP in the United</w:t>
      </w:r>
      <w:r>
        <w:rPr>
          <w:spacing w:val="-9"/>
        </w:rPr>
        <w:t> </w:t>
      </w:r>
      <w:r>
        <w:rPr/>
        <w:t>Kingdom.</w:t>
      </w:r>
    </w:p>
    <w:p>
      <w:pPr>
        <w:pStyle w:val="BodyText"/>
        <w:spacing w:line="256" w:lineRule="auto" w:before="161"/>
        <w:ind w:left="560" w:right="119"/>
        <w:jc w:val="both"/>
      </w:pPr>
      <w:r>
        <w:rPr/>
        <w:t>This</w:t>
      </w:r>
      <w:r>
        <w:rPr>
          <w:spacing w:val="-8"/>
        </w:rPr>
        <w:t> </w:t>
      </w:r>
      <w:r>
        <w:rPr/>
        <w:t>entity</w:t>
      </w:r>
      <w:r>
        <w:rPr>
          <w:spacing w:val="-8"/>
        </w:rPr>
        <w:t> </w:t>
      </w:r>
      <w:r>
        <w:rPr/>
        <w:t>could</w:t>
      </w:r>
      <w:r>
        <w:rPr>
          <w:spacing w:val="-9"/>
        </w:rPr>
        <w:t> </w:t>
      </w:r>
      <w:r>
        <w:rPr/>
        <w:t>provide</w:t>
      </w:r>
      <w:r>
        <w:rPr>
          <w:spacing w:val="-8"/>
        </w:rPr>
        <w:t> </w:t>
      </w:r>
      <w:r>
        <w:rPr/>
        <w:t>much</w:t>
      </w:r>
      <w:r>
        <w:rPr>
          <w:spacing w:val="-9"/>
        </w:rPr>
        <w:t> </w:t>
      </w:r>
      <w:r>
        <w:rPr/>
        <w:t>of</w:t>
      </w:r>
      <w:r>
        <w:rPr>
          <w:spacing w:val="-10"/>
        </w:rPr>
        <w:t> </w:t>
      </w:r>
      <w:r>
        <w:rPr/>
        <w:t>the</w:t>
      </w:r>
      <w:r>
        <w:rPr>
          <w:spacing w:val="-8"/>
        </w:rPr>
        <w:t> </w:t>
      </w:r>
      <w:r>
        <w:rPr/>
        <w:t>centralised</w:t>
      </w:r>
      <w:r>
        <w:rPr>
          <w:spacing w:val="-9"/>
        </w:rPr>
        <w:t> </w:t>
      </w:r>
      <w:r>
        <w:rPr/>
        <w:t>assistance</w:t>
      </w:r>
      <w:r>
        <w:rPr>
          <w:spacing w:val="-10"/>
        </w:rPr>
        <w:t> </w:t>
      </w:r>
      <w:r>
        <w:rPr/>
        <w:t>to</w:t>
      </w:r>
      <w:r>
        <w:rPr>
          <w:spacing w:val="-9"/>
        </w:rPr>
        <w:t> </w:t>
      </w:r>
      <w:r>
        <w:rPr/>
        <w:t>local</w:t>
      </w:r>
      <w:r>
        <w:rPr>
          <w:spacing w:val="-9"/>
        </w:rPr>
        <w:t> </w:t>
      </w:r>
      <w:r>
        <w:rPr/>
        <w:t>authorities</w:t>
      </w:r>
      <w:r>
        <w:rPr>
          <w:spacing w:val="-8"/>
        </w:rPr>
        <w:t> </w:t>
      </w:r>
      <w:r>
        <w:rPr/>
        <w:t>and</w:t>
      </w:r>
      <w:r>
        <w:rPr>
          <w:spacing w:val="-9"/>
        </w:rPr>
        <w:t> </w:t>
      </w:r>
      <w:r>
        <w:rPr/>
        <w:t>their</w:t>
      </w:r>
      <w:r>
        <w:rPr>
          <w:spacing w:val="-7"/>
        </w:rPr>
        <w:t> </w:t>
      </w:r>
      <w:r>
        <w:rPr/>
        <w:t>contractors</w:t>
      </w:r>
      <w:r>
        <w:rPr>
          <w:spacing w:val="-8"/>
        </w:rPr>
        <w:t> </w:t>
      </w:r>
      <w:r>
        <w:rPr/>
        <w:t>as</w:t>
      </w:r>
      <w:r>
        <w:rPr>
          <w:spacing w:val="-7"/>
        </w:rPr>
        <w:t> </w:t>
      </w:r>
      <w:r>
        <w:rPr/>
        <w:t>outlined on the previous page, as well as leading national campaigns and assisting with strategy. They may even be able to lead some of the central government leadership</w:t>
      </w:r>
      <w:r>
        <w:rPr>
          <w:spacing w:val="-25"/>
        </w:rPr>
        <w:t> </w:t>
      </w:r>
      <w:r>
        <w:rPr/>
        <w:t>projects.</w:t>
      </w:r>
    </w:p>
    <w:p>
      <w:pPr>
        <w:pStyle w:val="BodyText"/>
        <w:spacing w:before="158"/>
        <w:ind w:left="560"/>
        <w:jc w:val="both"/>
      </w:pPr>
      <w:r>
        <w:rPr/>
        <w:t>An overview of the assistance provided to the sector by WRAP Cymru in Wales is provided in Appendix G.</w:t>
      </w:r>
    </w:p>
    <w:p>
      <w:pPr>
        <w:spacing w:after="0"/>
        <w:jc w:val="both"/>
        <w:sectPr>
          <w:pgSz w:w="11910" w:h="16840"/>
          <w:pgMar w:header="576" w:footer="698" w:top="1140" w:bottom="880" w:left="880" w:right="1320"/>
        </w:sectPr>
      </w:pPr>
    </w:p>
    <w:p>
      <w:pPr>
        <w:pStyle w:val="BodyText"/>
      </w:pPr>
    </w:p>
    <w:p>
      <w:pPr>
        <w:pStyle w:val="BodyText"/>
        <w:spacing w:before="2"/>
        <w:rPr>
          <w:sz w:val="27"/>
        </w:rPr>
      </w:pPr>
    </w:p>
    <w:p>
      <w:pPr>
        <w:pStyle w:val="Heading1"/>
        <w:numPr>
          <w:ilvl w:val="0"/>
          <w:numId w:val="29"/>
        </w:numPr>
        <w:tabs>
          <w:tab w:pos="921" w:val="left" w:leader="none"/>
        </w:tabs>
        <w:spacing w:line="240" w:lineRule="auto" w:before="88" w:after="0"/>
        <w:ind w:left="920" w:right="0" w:hanging="360"/>
        <w:jc w:val="left"/>
      </w:pPr>
      <w:r>
        <w:rPr/>
        <w:pict>
          <v:line style="position:absolute;mso-position-horizontal-relative:page;mso-position-vertical-relative:paragraph;z-index:1600" from="57.852001pt,4.363784pt" to="57.852001pt,25.123784pt" stroked="true" strokeweight="1.464pt" strokecolor="#ed7d31">
            <v:stroke dashstyle="solid"/>
            <w10:wrap type="none"/>
          </v:line>
        </w:pict>
      </w:r>
      <w:bookmarkStart w:name="8. HIGH LEVEL COSTS " w:id="133"/>
      <w:bookmarkEnd w:id="133"/>
      <w:r>
        <w:rPr/>
      </w:r>
      <w:bookmarkStart w:name="_bookmark44" w:id="134"/>
      <w:bookmarkEnd w:id="134"/>
      <w:r>
        <w:rPr/>
      </w:r>
      <w:bookmarkStart w:name="_bookmark44" w:id="135"/>
      <w:bookmarkEnd w:id="135"/>
      <w:r>
        <w:rPr>
          <w:spacing w:val="7"/>
        </w:rPr>
        <w:t>H</w:t>
      </w:r>
      <w:r>
        <w:rPr>
          <w:spacing w:val="7"/>
        </w:rPr>
        <w:t>IGH LEVEL</w:t>
      </w:r>
      <w:r>
        <w:rPr>
          <w:spacing w:val="34"/>
        </w:rPr>
        <w:t> </w:t>
      </w:r>
      <w:r>
        <w:rPr>
          <w:spacing w:val="8"/>
        </w:rPr>
        <w:t>COSTS</w:t>
      </w:r>
    </w:p>
    <w:p>
      <w:pPr>
        <w:pStyle w:val="BodyText"/>
        <w:spacing w:before="1"/>
        <w:rPr>
          <w:rFonts w:ascii="Arial"/>
          <w:sz w:val="26"/>
        </w:rPr>
      </w:pPr>
    </w:p>
    <w:p>
      <w:pPr>
        <w:pStyle w:val="BodyText"/>
        <w:spacing w:line="256" w:lineRule="auto" w:before="59"/>
        <w:ind w:left="560" w:right="119"/>
        <w:jc w:val="both"/>
      </w:pPr>
      <w:r>
        <w:rPr/>
        <w:t>Determining the cost to local authorities and industry of implementing the recommendations outlined in this report is beyond the scope of this research. This section provides some high level cost assumptions, based on discussions with local authorities and industry experts.</w:t>
      </w:r>
    </w:p>
    <w:p>
      <w:pPr>
        <w:pStyle w:val="BodyText"/>
        <w:spacing w:line="256" w:lineRule="auto" w:before="158"/>
        <w:ind w:left="560" w:right="113"/>
        <w:jc w:val="both"/>
      </w:pPr>
      <w:r>
        <w:rPr/>
        <w:t>The</w:t>
      </w:r>
      <w:r>
        <w:rPr>
          <w:spacing w:val="-5"/>
        </w:rPr>
        <w:t> </w:t>
      </w:r>
      <w:r>
        <w:rPr/>
        <w:t>main</w:t>
      </w:r>
      <w:r>
        <w:rPr>
          <w:spacing w:val="-3"/>
        </w:rPr>
        <w:t> </w:t>
      </w:r>
      <w:r>
        <w:rPr/>
        <w:t>costs</w:t>
      </w:r>
      <w:r>
        <w:rPr>
          <w:spacing w:val="-3"/>
        </w:rPr>
        <w:t> </w:t>
      </w:r>
      <w:r>
        <w:rPr/>
        <w:t>associated</w:t>
      </w:r>
      <w:r>
        <w:rPr>
          <w:spacing w:val="-4"/>
        </w:rPr>
        <w:t> </w:t>
      </w:r>
      <w:r>
        <w:rPr/>
        <w:t>with</w:t>
      </w:r>
      <w:r>
        <w:rPr>
          <w:spacing w:val="-4"/>
        </w:rPr>
        <w:t> </w:t>
      </w:r>
      <w:r>
        <w:rPr/>
        <w:t>a</w:t>
      </w:r>
      <w:r>
        <w:rPr>
          <w:spacing w:val="-4"/>
        </w:rPr>
        <w:t> </w:t>
      </w:r>
      <w:r>
        <w:rPr/>
        <w:t>change</w:t>
      </w:r>
      <w:r>
        <w:rPr>
          <w:spacing w:val="-5"/>
        </w:rPr>
        <w:t> </w:t>
      </w:r>
      <w:r>
        <w:rPr/>
        <w:t>to</w:t>
      </w:r>
      <w:r>
        <w:rPr>
          <w:spacing w:val="-4"/>
        </w:rPr>
        <w:t> </w:t>
      </w:r>
      <w:r>
        <w:rPr/>
        <w:t>materials</w:t>
      </w:r>
      <w:r>
        <w:rPr>
          <w:spacing w:val="-3"/>
        </w:rPr>
        <w:t> </w:t>
      </w:r>
      <w:r>
        <w:rPr/>
        <w:t>collected</w:t>
      </w:r>
      <w:r>
        <w:rPr>
          <w:spacing w:val="-4"/>
        </w:rPr>
        <w:t> </w:t>
      </w:r>
      <w:r>
        <w:rPr/>
        <w:t>in</w:t>
      </w:r>
      <w:r>
        <w:rPr>
          <w:spacing w:val="-4"/>
        </w:rPr>
        <w:t> </w:t>
      </w:r>
      <w:r>
        <w:rPr/>
        <w:t>kerbside</w:t>
      </w:r>
      <w:r>
        <w:rPr>
          <w:spacing w:val="-5"/>
        </w:rPr>
        <w:t> </w:t>
      </w:r>
      <w:r>
        <w:rPr/>
        <w:t>recycling</w:t>
      </w:r>
      <w:r>
        <w:rPr>
          <w:spacing w:val="-3"/>
        </w:rPr>
        <w:t> </w:t>
      </w:r>
      <w:r>
        <w:rPr/>
        <w:t>will</w:t>
      </w:r>
      <w:r>
        <w:rPr>
          <w:spacing w:val="-5"/>
        </w:rPr>
        <w:t> </w:t>
      </w:r>
      <w:r>
        <w:rPr/>
        <w:t>be</w:t>
      </w:r>
      <w:r>
        <w:rPr>
          <w:spacing w:val="-5"/>
        </w:rPr>
        <w:t> </w:t>
      </w:r>
      <w:r>
        <w:rPr/>
        <w:t>related</w:t>
      </w:r>
      <w:r>
        <w:rPr>
          <w:spacing w:val="-4"/>
        </w:rPr>
        <w:t> </w:t>
      </w:r>
      <w:r>
        <w:rPr/>
        <w:t>to</w:t>
      </w:r>
      <w:r>
        <w:rPr>
          <w:spacing w:val="-4"/>
        </w:rPr>
        <w:t> </w:t>
      </w:r>
      <w:r>
        <w:rPr/>
        <w:t>educating householders. However, if all local authorities are aligned, then this could be undertaken on a national level, thereby removing some of the burden from local authorities. Experience from local authorities who have recently moved from collecting plastics 1 through to 7 to just collecting plastics 1, 2 and 5 is that plastics 3, 4, 6 and 7 have been reducing in volume anyway, due to manufacturers reducing their use. As these plastics reduce further (either because of voluntary or legislative measures) local authorities will likely be able to reduce costs associated with sorting mixed plastics and landfilling plastics 3, </w:t>
      </w:r>
      <w:r>
        <w:rPr>
          <w:spacing w:val="2"/>
        </w:rPr>
        <w:t>4, </w:t>
      </w:r>
      <w:r>
        <w:rPr/>
        <w:t>6 and</w:t>
      </w:r>
      <w:r>
        <w:rPr>
          <w:spacing w:val="-25"/>
        </w:rPr>
        <w:t> </w:t>
      </w:r>
      <w:r>
        <w:rPr/>
        <w:t>7.</w:t>
      </w:r>
    </w:p>
    <w:p>
      <w:pPr>
        <w:pStyle w:val="BodyText"/>
        <w:spacing w:line="256" w:lineRule="auto" w:before="160"/>
        <w:ind w:left="560" w:right="118"/>
        <w:jc w:val="both"/>
      </w:pPr>
      <w:r>
        <w:rPr/>
        <w:t>There are unique geographical and market challenges in Aotearoa New Zealand that result in large cost differentials in collecting materials from region to region. Existing infrastructure, distance to markets, and local geography will need to be taken into consideration when selecting a collection system.</w:t>
      </w:r>
    </w:p>
    <w:p>
      <w:pPr>
        <w:pStyle w:val="BodyText"/>
        <w:spacing w:line="256" w:lineRule="auto" w:before="158"/>
        <w:ind w:left="560" w:right="117"/>
        <w:jc w:val="both"/>
      </w:pPr>
      <w:r>
        <w:rPr/>
        <w:t>Based on discussions with industry, and modelling data undertaken for local authorities, operating a separate food</w:t>
      </w:r>
      <w:r>
        <w:rPr>
          <w:spacing w:val="-5"/>
        </w:rPr>
        <w:t> </w:t>
      </w:r>
      <w:r>
        <w:rPr/>
        <w:t>waste</w:t>
      </w:r>
      <w:r>
        <w:rPr>
          <w:spacing w:val="-6"/>
        </w:rPr>
        <w:t> </w:t>
      </w:r>
      <w:r>
        <w:rPr/>
        <w:t>collection</w:t>
      </w:r>
      <w:r>
        <w:rPr>
          <w:spacing w:val="-5"/>
        </w:rPr>
        <w:t> </w:t>
      </w:r>
      <w:r>
        <w:rPr/>
        <w:t>is</w:t>
      </w:r>
      <w:r>
        <w:rPr>
          <w:spacing w:val="-4"/>
        </w:rPr>
        <w:t> </w:t>
      </w:r>
      <w:r>
        <w:rPr/>
        <w:t>likely</w:t>
      </w:r>
      <w:r>
        <w:rPr>
          <w:spacing w:val="-5"/>
        </w:rPr>
        <w:t> </w:t>
      </w:r>
      <w:r>
        <w:rPr/>
        <w:t>to</w:t>
      </w:r>
      <w:r>
        <w:rPr>
          <w:spacing w:val="-5"/>
        </w:rPr>
        <w:t> </w:t>
      </w:r>
      <w:r>
        <w:rPr/>
        <w:t>cost</w:t>
      </w:r>
      <w:r>
        <w:rPr>
          <w:spacing w:val="-5"/>
        </w:rPr>
        <w:t> </w:t>
      </w:r>
      <w:r>
        <w:rPr/>
        <w:t>local</w:t>
      </w:r>
      <w:r>
        <w:rPr>
          <w:spacing w:val="-6"/>
        </w:rPr>
        <w:t> </w:t>
      </w:r>
      <w:r>
        <w:rPr/>
        <w:t>authorities</w:t>
      </w:r>
      <w:r>
        <w:rPr>
          <w:spacing w:val="-1"/>
        </w:rPr>
        <w:t> </w:t>
      </w:r>
      <w:r>
        <w:rPr/>
        <w:t>in</w:t>
      </w:r>
      <w:r>
        <w:rPr>
          <w:spacing w:val="-5"/>
        </w:rPr>
        <w:t> </w:t>
      </w:r>
      <w:r>
        <w:rPr/>
        <w:t>the</w:t>
      </w:r>
      <w:r>
        <w:rPr>
          <w:spacing w:val="-8"/>
        </w:rPr>
        <w:t> </w:t>
      </w:r>
      <w:r>
        <w:rPr/>
        <w:t>order</w:t>
      </w:r>
      <w:r>
        <w:rPr>
          <w:spacing w:val="-5"/>
        </w:rPr>
        <w:t> </w:t>
      </w:r>
      <w:r>
        <w:rPr/>
        <w:t>of</w:t>
      </w:r>
      <w:r>
        <w:rPr>
          <w:spacing w:val="-5"/>
        </w:rPr>
        <w:t> </w:t>
      </w:r>
      <w:r>
        <w:rPr/>
        <w:t>$45</w:t>
      </w:r>
      <w:r>
        <w:rPr>
          <w:spacing w:val="-6"/>
        </w:rPr>
        <w:t> </w:t>
      </w:r>
      <w:r>
        <w:rPr/>
        <w:t>per</w:t>
      </w:r>
      <w:r>
        <w:rPr>
          <w:spacing w:val="-5"/>
        </w:rPr>
        <w:t> </w:t>
      </w:r>
      <w:r>
        <w:rPr/>
        <w:t>household</w:t>
      </w:r>
      <w:r>
        <w:rPr>
          <w:spacing w:val="-5"/>
        </w:rPr>
        <w:t> </w:t>
      </w:r>
      <w:r>
        <w:rPr/>
        <w:t>per</w:t>
      </w:r>
      <w:r>
        <w:rPr>
          <w:spacing w:val="-5"/>
        </w:rPr>
        <w:t> </w:t>
      </w:r>
      <w:r>
        <w:rPr/>
        <w:t>annum</w:t>
      </w:r>
      <w:r>
        <w:rPr>
          <w:spacing w:val="-6"/>
        </w:rPr>
        <w:t> </w:t>
      </w:r>
      <w:r>
        <w:rPr/>
        <w:t>(though</w:t>
      </w:r>
      <w:r>
        <w:rPr>
          <w:spacing w:val="-5"/>
        </w:rPr>
        <w:t> </w:t>
      </w:r>
      <w:r>
        <w:rPr/>
        <w:t>this can</w:t>
      </w:r>
      <w:r>
        <w:rPr>
          <w:spacing w:val="-9"/>
        </w:rPr>
        <w:t> </w:t>
      </w:r>
      <w:r>
        <w:rPr/>
        <w:t>range</w:t>
      </w:r>
      <w:r>
        <w:rPr>
          <w:spacing w:val="-11"/>
        </w:rPr>
        <w:t> </w:t>
      </w:r>
      <w:r>
        <w:rPr/>
        <w:t>between</w:t>
      </w:r>
      <w:r>
        <w:rPr>
          <w:spacing w:val="-9"/>
        </w:rPr>
        <w:t> </w:t>
      </w:r>
      <w:r>
        <w:rPr/>
        <w:t>$30</w:t>
      </w:r>
      <w:r>
        <w:rPr>
          <w:spacing w:val="-10"/>
        </w:rPr>
        <w:t> </w:t>
      </w:r>
      <w:r>
        <w:rPr/>
        <w:t>and</w:t>
      </w:r>
      <w:r>
        <w:rPr>
          <w:spacing w:val="-10"/>
        </w:rPr>
        <w:t> </w:t>
      </w:r>
      <w:r>
        <w:rPr/>
        <w:t>$80</w:t>
      </w:r>
      <w:r>
        <w:rPr>
          <w:spacing w:val="-11"/>
        </w:rPr>
        <w:t> </w:t>
      </w:r>
      <w:r>
        <w:rPr/>
        <w:t>per</w:t>
      </w:r>
      <w:r>
        <w:rPr>
          <w:spacing w:val="-10"/>
        </w:rPr>
        <w:t> </w:t>
      </w:r>
      <w:r>
        <w:rPr/>
        <w:t>household).</w:t>
      </w:r>
      <w:r>
        <w:rPr>
          <w:spacing w:val="27"/>
        </w:rPr>
        <w:t> </w:t>
      </w:r>
      <w:r>
        <w:rPr/>
        <w:t>This</w:t>
      </w:r>
      <w:r>
        <w:rPr>
          <w:spacing w:val="-9"/>
        </w:rPr>
        <w:t> </w:t>
      </w:r>
      <w:r>
        <w:rPr/>
        <w:t>includes</w:t>
      </w:r>
      <w:r>
        <w:rPr>
          <w:spacing w:val="-9"/>
        </w:rPr>
        <w:t> </w:t>
      </w:r>
      <w:r>
        <w:rPr/>
        <w:t>the</w:t>
      </w:r>
      <w:r>
        <w:rPr>
          <w:spacing w:val="-11"/>
        </w:rPr>
        <w:t> </w:t>
      </w:r>
      <w:r>
        <w:rPr/>
        <w:t>cost</w:t>
      </w:r>
      <w:r>
        <w:rPr>
          <w:spacing w:val="-10"/>
        </w:rPr>
        <w:t> </w:t>
      </w:r>
      <w:r>
        <w:rPr/>
        <w:t>of</w:t>
      </w:r>
      <w:r>
        <w:rPr>
          <w:spacing w:val="-11"/>
        </w:rPr>
        <w:t> </w:t>
      </w:r>
      <w:r>
        <w:rPr/>
        <w:t>containers,</w:t>
      </w:r>
      <w:r>
        <w:rPr>
          <w:spacing w:val="-11"/>
        </w:rPr>
        <w:t> </w:t>
      </w:r>
      <w:r>
        <w:rPr/>
        <w:t>collections,</w:t>
      </w:r>
      <w:r>
        <w:rPr>
          <w:spacing w:val="-10"/>
        </w:rPr>
        <w:t> </w:t>
      </w:r>
      <w:r>
        <w:rPr/>
        <w:t>and</w:t>
      </w:r>
      <w:r>
        <w:rPr>
          <w:spacing w:val="-11"/>
        </w:rPr>
        <w:t> </w:t>
      </w:r>
      <w:r>
        <w:rPr/>
        <w:t>processing infrastructure. This would be partially offset by reduced residual rubbish disposal costs, with less residual rubbish being collected, and local authorities also potentially being able to reduce residual rubbish collections to fortnightly to further offset</w:t>
      </w:r>
      <w:r>
        <w:rPr>
          <w:spacing w:val="-13"/>
        </w:rPr>
        <w:t> </w:t>
      </w:r>
      <w:r>
        <w:rPr/>
        <w:t>costs.</w:t>
      </w:r>
    </w:p>
    <w:p>
      <w:pPr>
        <w:pStyle w:val="BodyText"/>
        <w:spacing w:line="254" w:lineRule="auto" w:before="161"/>
        <w:ind w:left="560" w:right="114"/>
        <w:jc w:val="both"/>
      </w:pPr>
      <w:r>
        <w:rPr/>
        <w:t>The cost of separate fortnightly glass collections is likely to be between $31 and $36 per household per annum based on discussions with South Island and North Island local authorities providing separate colour sorted glass collections in crates. If CRS is adopted, then the cost of providing this collection is likely to be reduced by reducing collections to monthly.</w:t>
      </w:r>
    </w:p>
    <w:p>
      <w:pPr>
        <w:pStyle w:val="BodyText"/>
        <w:spacing w:line="256" w:lineRule="auto" w:before="161"/>
        <w:ind w:left="560" w:right="119"/>
        <w:jc w:val="both"/>
      </w:pPr>
      <w:r>
        <w:rPr/>
        <w:t>The</w:t>
      </w:r>
      <w:r>
        <w:rPr>
          <w:spacing w:val="-8"/>
        </w:rPr>
        <w:t> </w:t>
      </w:r>
      <w:r>
        <w:rPr/>
        <w:t>literature</w:t>
      </w:r>
      <w:r>
        <w:rPr>
          <w:spacing w:val="-8"/>
        </w:rPr>
        <w:t> </w:t>
      </w:r>
      <w:r>
        <w:rPr/>
        <w:t>review</w:t>
      </w:r>
      <w:r>
        <w:rPr>
          <w:spacing w:val="-6"/>
        </w:rPr>
        <w:t> </w:t>
      </w:r>
      <w:r>
        <w:rPr/>
        <w:t>suggests</w:t>
      </w:r>
      <w:r>
        <w:rPr>
          <w:spacing w:val="-4"/>
        </w:rPr>
        <w:t> </w:t>
      </w:r>
      <w:r>
        <w:rPr/>
        <w:t>that</w:t>
      </w:r>
      <w:r>
        <w:rPr>
          <w:spacing w:val="-6"/>
        </w:rPr>
        <w:t> </w:t>
      </w:r>
      <w:r>
        <w:rPr/>
        <w:t>when</w:t>
      </w:r>
      <w:r>
        <w:rPr>
          <w:spacing w:val="-5"/>
        </w:rPr>
        <w:t> </w:t>
      </w:r>
      <w:r>
        <w:rPr/>
        <w:t>factors</w:t>
      </w:r>
      <w:r>
        <w:rPr>
          <w:spacing w:val="-6"/>
        </w:rPr>
        <w:t> </w:t>
      </w:r>
      <w:r>
        <w:rPr/>
        <w:t>beyond</w:t>
      </w:r>
      <w:r>
        <w:rPr>
          <w:spacing w:val="-6"/>
        </w:rPr>
        <w:t> </w:t>
      </w:r>
      <w:r>
        <w:rPr/>
        <w:t>the</w:t>
      </w:r>
      <w:r>
        <w:rPr>
          <w:spacing w:val="-5"/>
        </w:rPr>
        <w:t> </w:t>
      </w:r>
      <w:r>
        <w:rPr/>
        <w:t>collection</w:t>
      </w:r>
      <w:r>
        <w:rPr>
          <w:spacing w:val="-6"/>
        </w:rPr>
        <w:t> </w:t>
      </w:r>
      <w:r>
        <w:rPr/>
        <w:t>of</w:t>
      </w:r>
      <w:r>
        <w:rPr>
          <w:spacing w:val="-8"/>
        </w:rPr>
        <w:t> </w:t>
      </w:r>
      <w:r>
        <w:rPr/>
        <w:t>materials</w:t>
      </w:r>
      <w:r>
        <w:rPr>
          <w:spacing w:val="-6"/>
        </w:rPr>
        <w:t> </w:t>
      </w:r>
      <w:r>
        <w:rPr/>
        <w:t>are</w:t>
      </w:r>
      <w:r>
        <w:rPr>
          <w:spacing w:val="-5"/>
        </w:rPr>
        <w:t> </w:t>
      </w:r>
      <w:r>
        <w:rPr/>
        <w:t>factored</w:t>
      </w:r>
      <w:r>
        <w:rPr>
          <w:spacing w:val="-6"/>
        </w:rPr>
        <w:t> </w:t>
      </w:r>
      <w:r>
        <w:rPr/>
        <w:t>in,</w:t>
      </w:r>
      <w:r>
        <w:rPr>
          <w:spacing w:val="-6"/>
        </w:rPr>
        <w:t> </w:t>
      </w:r>
      <w:r>
        <w:rPr/>
        <w:t>such</w:t>
      </w:r>
      <w:r>
        <w:rPr>
          <w:spacing w:val="-6"/>
        </w:rPr>
        <w:t> </w:t>
      </w:r>
      <w:r>
        <w:rPr/>
        <w:t>as</w:t>
      </w:r>
      <w:r>
        <w:rPr>
          <w:spacing w:val="-5"/>
        </w:rPr>
        <w:t> </w:t>
      </w:r>
      <w:r>
        <w:rPr/>
        <w:t>MRF operational costs and the lower value of material collected in comingled collections, a kerbside sort system is no more expensive than a comingled system and is often</w:t>
      </w:r>
      <w:r>
        <w:rPr>
          <w:spacing w:val="-23"/>
        </w:rPr>
        <w:t> </w:t>
      </w:r>
      <w:r>
        <w:rPr/>
        <w:t>cheaper.</w:t>
      </w:r>
    </w:p>
    <w:p>
      <w:pPr>
        <w:spacing w:after="0" w:line="256" w:lineRule="auto"/>
        <w:jc w:val="both"/>
        <w:sectPr>
          <w:footerReference w:type="default" r:id="rId41"/>
          <w:pgSz w:w="11910" w:h="16840"/>
          <w:pgMar w:footer="698" w:header="576" w:top="1140" w:bottom="880" w:left="880" w:right="1320"/>
        </w:sectPr>
      </w:pPr>
    </w:p>
    <w:p>
      <w:pPr>
        <w:pStyle w:val="BodyText"/>
      </w:pPr>
    </w:p>
    <w:p>
      <w:pPr>
        <w:pStyle w:val="BodyText"/>
        <w:spacing w:before="2"/>
        <w:rPr>
          <w:sz w:val="27"/>
        </w:rPr>
      </w:pPr>
    </w:p>
    <w:p>
      <w:pPr>
        <w:pStyle w:val="Heading1"/>
      </w:pPr>
      <w:r>
        <w:rPr/>
        <w:pict>
          <v:line style="position:absolute;mso-position-horizontal-relative:page;mso-position-vertical-relative:paragraph;z-index:1624" from="57.852001pt,4.363784pt" to="57.852001pt,25.123784pt" stroked="true" strokeweight="1.464pt" strokecolor="#ed7d31">
            <v:stroke dashstyle="solid"/>
            <w10:wrap type="none"/>
          </v:line>
        </w:pict>
      </w:r>
      <w:bookmarkStart w:name="BIBLIOGRAPHY " w:id="136"/>
      <w:bookmarkEnd w:id="136"/>
      <w:r>
        <w:rPr/>
      </w:r>
      <w:bookmarkStart w:name="_bookmark45" w:id="137"/>
      <w:bookmarkEnd w:id="137"/>
      <w:r>
        <w:rPr/>
      </w:r>
      <w:r>
        <w:rPr/>
        <w:t>BIBLIOGRAPHY</w:t>
      </w:r>
    </w:p>
    <w:p>
      <w:pPr>
        <w:pStyle w:val="BodyText"/>
        <w:spacing w:before="1"/>
        <w:rPr>
          <w:rFonts w:ascii="Arial"/>
          <w:sz w:val="26"/>
        </w:rPr>
      </w:pPr>
    </w:p>
    <w:p>
      <w:pPr>
        <w:spacing w:before="59"/>
        <w:ind w:left="560" w:right="0" w:firstLine="0"/>
        <w:jc w:val="left"/>
        <w:rPr>
          <w:sz w:val="20"/>
        </w:rPr>
      </w:pPr>
      <w:r>
        <w:rPr>
          <w:sz w:val="20"/>
        </w:rPr>
        <w:t>Auckland Council. 2017. </w:t>
      </w:r>
      <w:r>
        <w:rPr>
          <w:i/>
          <w:sz w:val="20"/>
        </w:rPr>
        <w:t>The Launch of Auckland Council’s three bin system in Papakura</w:t>
      </w:r>
      <w:r>
        <w:rPr>
          <w:sz w:val="20"/>
        </w:rPr>
        <w:t>. Presentation at WasteMINZ Conference 2017.</w:t>
      </w:r>
    </w:p>
    <w:p>
      <w:pPr>
        <w:tabs>
          <w:tab w:pos="1328" w:val="left" w:leader="none"/>
          <w:tab w:pos="2653" w:val="left" w:leader="none"/>
          <w:tab w:pos="3455" w:val="left" w:leader="none"/>
          <w:tab w:pos="4090" w:val="left" w:leader="none"/>
          <w:tab w:pos="4863" w:val="left" w:leader="none"/>
          <w:tab w:pos="6121" w:val="left" w:leader="none"/>
          <w:tab w:pos="6632" w:val="left" w:leader="none"/>
          <w:tab w:pos="7075" w:val="left" w:leader="none"/>
          <w:tab w:pos="8105" w:val="left" w:leader="none"/>
          <w:tab w:pos="9191" w:val="left" w:leader="none"/>
        </w:tabs>
        <w:spacing w:before="161"/>
        <w:ind w:left="560" w:right="118" w:firstLine="0"/>
        <w:jc w:val="left"/>
        <w:rPr>
          <w:sz w:val="20"/>
        </w:rPr>
      </w:pPr>
      <w:r>
        <w:rPr>
          <w:sz w:val="20"/>
        </w:rPr>
        <w:t>Basel</w:t>
        <w:tab/>
        <w:t>Convention.</w:t>
        <w:tab/>
        <w:t>2020.</w:t>
        <w:tab/>
      </w:r>
      <w:r>
        <w:rPr>
          <w:i/>
          <w:sz w:val="20"/>
        </w:rPr>
        <w:t>The</w:t>
        <w:tab/>
        <w:t>Basel</w:t>
        <w:tab/>
        <w:t>Convention</w:t>
        <w:tab/>
        <w:t>at</w:t>
        <w:tab/>
        <w:t>a</w:t>
        <w:tab/>
        <w:t>glance...</w:t>
        <w:tab/>
      </w:r>
      <w:r>
        <w:rPr>
          <w:sz w:val="20"/>
        </w:rPr>
        <w:t>retrieved</w:t>
        <w:tab/>
        <w:t>from </w:t>
      </w:r>
      <w:hyperlink r:id="rId43">
        <w:r>
          <w:rPr>
            <w:sz w:val="20"/>
            <w:u w:val="single"/>
          </w:rPr>
          <w:t>http://www.basel.int/TheConvention/Overview/tabid/1271/Default.aspx#</w:t>
        </w:r>
        <w:r>
          <w:rPr>
            <w:spacing w:val="-9"/>
            <w:sz w:val="20"/>
            <w:u w:val="single"/>
          </w:rPr>
          <w:t> </w:t>
        </w:r>
      </w:hyperlink>
      <w:r>
        <w:rPr>
          <w:sz w:val="20"/>
        </w:rPr>
        <w:t>(22</w:t>
      </w:r>
      <w:r>
        <w:rPr>
          <w:spacing w:val="-14"/>
          <w:sz w:val="20"/>
        </w:rPr>
        <w:t> </w:t>
      </w:r>
      <w:r>
        <w:rPr>
          <w:sz w:val="20"/>
        </w:rPr>
        <w:t>May</w:t>
      </w:r>
      <w:r>
        <w:rPr>
          <w:spacing w:val="-13"/>
          <w:sz w:val="20"/>
        </w:rPr>
        <w:t> </w:t>
      </w:r>
      <w:r>
        <w:rPr>
          <w:sz w:val="20"/>
        </w:rPr>
        <w:t>2020)</w:t>
      </w:r>
    </w:p>
    <w:p>
      <w:pPr>
        <w:pStyle w:val="BodyText"/>
        <w:spacing w:before="4"/>
        <w:rPr>
          <w:sz w:val="8"/>
        </w:rPr>
      </w:pPr>
    </w:p>
    <w:p>
      <w:pPr>
        <w:spacing w:line="243" w:lineRule="exact" w:before="59"/>
        <w:ind w:left="560" w:right="0" w:firstLine="0"/>
        <w:jc w:val="left"/>
        <w:rPr>
          <w:i/>
          <w:sz w:val="20"/>
        </w:rPr>
      </w:pPr>
      <w:r>
        <w:rPr>
          <w:sz w:val="20"/>
        </w:rPr>
        <w:t>Blumhardt H. 2018. </w:t>
      </w:r>
      <w:r>
        <w:rPr>
          <w:i/>
          <w:sz w:val="20"/>
        </w:rPr>
        <w:t>Trashing waste: unlocking the waste potential of New Zealand’s Waste Minimisation Act,</w:t>
      </w:r>
    </w:p>
    <w:p>
      <w:pPr>
        <w:pStyle w:val="BodyText"/>
        <w:spacing w:line="243" w:lineRule="exact"/>
        <w:ind w:left="560"/>
      </w:pPr>
      <w:r>
        <w:rPr/>
        <w:t>Policy Quarterly, 14:4.</w:t>
      </w:r>
    </w:p>
    <w:p>
      <w:pPr>
        <w:spacing w:before="162"/>
        <w:ind w:left="560" w:right="0" w:firstLine="0"/>
        <w:jc w:val="left"/>
        <w:rPr>
          <w:sz w:val="20"/>
        </w:rPr>
      </w:pPr>
      <w:r>
        <w:rPr>
          <w:sz w:val="20"/>
        </w:rPr>
        <w:t>Commonwealth of Australia. 2018. </w:t>
      </w:r>
      <w:r>
        <w:rPr>
          <w:i/>
          <w:sz w:val="20"/>
        </w:rPr>
        <w:t>Report on Waste and Recycling Industry in Australia. </w:t>
      </w:r>
      <w:r>
        <w:rPr>
          <w:sz w:val="20"/>
        </w:rPr>
        <w:t>Australia: Commonwealth of Australia</w:t>
      </w:r>
    </w:p>
    <w:p>
      <w:pPr>
        <w:pStyle w:val="BodyText"/>
        <w:spacing w:before="161"/>
        <w:ind w:left="560"/>
      </w:pPr>
      <w:r>
        <w:rPr/>
        <w:t>Dearsly, G. 2020. Residential Refuse and Recycling Collections: COVID-19 Worker Risk Factors by Collection Methodology. Commissioned by WasteMINZ. Auckland: First 4 Safety.</w:t>
      </w:r>
    </w:p>
    <w:p>
      <w:pPr>
        <w:spacing w:before="163"/>
        <w:ind w:left="560" w:right="0" w:firstLine="0"/>
        <w:jc w:val="left"/>
        <w:rPr>
          <w:sz w:val="20"/>
        </w:rPr>
      </w:pPr>
      <w:r>
        <w:rPr>
          <w:sz w:val="20"/>
        </w:rPr>
        <w:t>DEFRA. 2019. </w:t>
      </w:r>
      <w:r>
        <w:rPr>
          <w:i/>
          <w:sz w:val="20"/>
        </w:rPr>
        <w:t>Consultation on consistency in household and business recycling collections in England</w:t>
      </w:r>
      <w:r>
        <w:rPr>
          <w:b/>
          <w:i/>
          <w:sz w:val="20"/>
        </w:rPr>
        <w:t>. </w:t>
      </w:r>
      <w:r>
        <w:rPr>
          <w:sz w:val="20"/>
        </w:rPr>
        <w:t>UK: Department for Environment Food &amp; Rural Affairs</w:t>
      </w:r>
    </w:p>
    <w:p>
      <w:pPr>
        <w:spacing w:before="161"/>
        <w:ind w:left="560" w:right="0" w:firstLine="0"/>
        <w:jc w:val="left"/>
        <w:rPr>
          <w:sz w:val="20"/>
        </w:rPr>
      </w:pPr>
      <w:r>
        <w:rPr>
          <w:sz w:val="20"/>
        </w:rPr>
        <w:t>Denne T, et al. 2007. </w:t>
      </w:r>
      <w:r>
        <w:rPr>
          <w:i/>
          <w:sz w:val="20"/>
        </w:rPr>
        <w:t>Recycling: Cost Benefit Analysis</w:t>
      </w:r>
      <w:r>
        <w:rPr>
          <w:sz w:val="20"/>
        </w:rPr>
        <w:t>. Prepared for the Ministry for the Environment by Covec. Auckland: Covec</w:t>
      </w:r>
    </w:p>
    <w:p>
      <w:pPr>
        <w:spacing w:line="243" w:lineRule="exact" w:before="161"/>
        <w:ind w:left="560" w:right="0" w:firstLine="0"/>
        <w:jc w:val="left"/>
        <w:rPr>
          <w:i/>
          <w:sz w:val="20"/>
        </w:rPr>
      </w:pPr>
      <w:r>
        <w:rPr>
          <w:sz w:val="20"/>
        </w:rPr>
        <w:t>Department of Environment and Conservation. 2004. </w:t>
      </w:r>
      <w:r>
        <w:rPr>
          <w:i/>
          <w:sz w:val="20"/>
        </w:rPr>
        <w:t>Assessment of domestic waste and recycling systems.</w:t>
      </w:r>
    </w:p>
    <w:p>
      <w:pPr>
        <w:pStyle w:val="BodyText"/>
        <w:spacing w:line="243" w:lineRule="exact"/>
        <w:ind w:left="560"/>
      </w:pPr>
      <w:r>
        <w:rPr/>
        <w:t>Parramatta: Department of Environment and Conservation</w:t>
      </w:r>
    </w:p>
    <w:p>
      <w:pPr>
        <w:spacing w:line="406" w:lineRule="exact" w:before="25"/>
        <w:ind w:left="560" w:right="0" w:firstLine="0"/>
        <w:jc w:val="left"/>
        <w:rPr>
          <w:i/>
          <w:sz w:val="20"/>
        </w:rPr>
      </w:pPr>
      <w:r>
        <w:rPr>
          <w:sz w:val="20"/>
        </w:rPr>
        <w:t>Hogg</w:t>
      </w:r>
      <w:r>
        <w:rPr>
          <w:spacing w:val="-13"/>
          <w:sz w:val="20"/>
        </w:rPr>
        <w:t> </w:t>
      </w:r>
      <w:r>
        <w:rPr>
          <w:sz w:val="20"/>
        </w:rPr>
        <w:t>D,</w:t>
      </w:r>
      <w:r>
        <w:rPr>
          <w:spacing w:val="-12"/>
          <w:sz w:val="20"/>
        </w:rPr>
        <w:t> </w:t>
      </w:r>
      <w:r>
        <w:rPr>
          <w:sz w:val="20"/>
        </w:rPr>
        <w:t>et</w:t>
      </w:r>
      <w:r>
        <w:rPr>
          <w:spacing w:val="-12"/>
          <w:sz w:val="20"/>
        </w:rPr>
        <w:t> </w:t>
      </w:r>
      <w:r>
        <w:rPr>
          <w:sz w:val="20"/>
        </w:rPr>
        <w:t>al.</w:t>
      </w:r>
      <w:r>
        <w:rPr>
          <w:spacing w:val="-10"/>
          <w:sz w:val="20"/>
        </w:rPr>
        <w:t> </w:t>
      </w:r>
      <w:r>
        <w:rPr>
          <w:sz w:val="20"/>
        </w:rPr>
        <w:t>2010.</w:t>
      </w:r>
      <w:r>
        <w:rPr>
          <w:spacing w:val="-10"/>
          <w:sz w:val="20"/>
        </w:rPr>
        <w:t> </w:t>
      </w:r>
      <w:r>
        <w:rPr>
          <w:i/>
          <w:sz w:val="20"/>
        </w:rPr>
        <w:t>Household</w:t>
      </w:r>
      <w:r>
        <w:rPr>
          <w:i/>
          <w:spacing w:val="-12"/>
          <w:sz w:val="20"/>
        </w:rPr>
        <w:t> </w:t>
      </w:r>
      <w:r>
        <w:rPr>
          <w:i/>
          <w:sz w:val="20"/>
        </w:rPr>
        <w:t>Organic</w:t>
      </w:r>
      <w:r>
        <w:rPr>
          <w:i/>
          <w:spacing w:val="-12"/>
          <w:sz w:val="20"/>
        </w:rPr>
        <w:t> </w:t>
      </w:r>
      <w:r>
        <w:rPr>
          <w:i/>
          <w:sz w:val="20"/>
        </w:rPr>
        <w:t>Waste</w:t>
      </w:r>
      <w:r>
        <w:rPr>
          <w:i/>
          <w:spacing w:val="-9"/>
          <w:sz w:val="20"/>
        </w:rPr>
        <w:t> </w:t>
      </w:r>
      <w:r>
        <w:rPr>
          <w:i/>
          <w:sz w:val="20"/>
        </w:rPr>
        <w:t>Cost</w:t>
      </w:r>
      <w:r>
        <w:rPr>
          <w:i/>
          <w:spacing w:val="-12"/>
          <w:sz w:val="20"/>
        </w:rPr>
        <w:t> </w:t>
      </w:r>
      <w:r>
        <w:rPr>
          <w:i/>
          <w:sz w:val="20"/>
        </w:rPr>
        <w:t>Benefit</w:t>
      </w:r>
      <w:r>
        <w:rPr>
          <w:i/>
          <w:spacing w:val="-13"/>
          <w:sz w:val="20"/>
        </w:rPr>
        <w:t> </w:t>
      </w:r>
      <w:r>
        <w:rPr>
          <w:i/>
          <w:sz w:val="20"/>
        </w:rPr>
        <w:t>Analysis</w:t>
      </w:r>
      <w:r>
        <w:rPr>
          <w:sz w:val="20"/>
        </w:rPr>
        <w:t>.</w:t>
      </w:r>
      <w:r>
        <w:rPr>
          <w:spacing w:val="-13"/>
          <w:sz w:val="20"/>
        </w:rPr>
        <w:t> </w:t>
      </w:r>
      <w:r>
        <w:rPr>
          <w:sz w:val="20"/>
        </w:rPr>
        <w:t>Auckland:</w:t>
      </w:r>
      <w:r>
        <w:rPr>
          <w:spacing w:val="-13"/>
          <w:sz w:val="20"/>
        </w:rPr>
        <w:t> </w:t>
      </w:r>
      <w:r>
        <w:rPr>
          <w:sz w:val="20"/>
        </w:rPr>
        <w:t>Eunomia</w:t>
      </w:r>
      <w:r>
        <w:rPr>
          <w:spacing w:val="-12"/>
          <w:sz w:val="20"/>
        </w:rPr>
        <w:t> </w:t>
      </w:r>
      <w:r>
        <w:rPr>
          <w:sz w:val="20"/>
        </w:rPr>
        <w:t>Research</w:t>
      </w:r>
      <w:r>
        <w:rPr>
          <w:spacing w:val="-12"/>
          <w:sz w:val="20"/>
        </w:rPr>
        <w:t> </w:t>
      </w:r>
      <w:r>
        <w:rPr>
          <w:sz w:val="20"/>
        </w:rPr>
        <w:t>and</w:t>
      </w:r>
      <w:r>
        <w:rPr>
          <w:spacing w:val="-12"/>
          <w:sz w:val="20"/>
        </w:rPr>
        <w:t> </w:t>
      </w:r>
      <w:r>
        <w:rPr>
          <w:sz w:val="20"/>
        </w:rPr>
        <w:t>Consulting Hogg</w:t>
      </w:r>
      <w:r>
        <w:rPr>
          <w:spacing w:val="38"/>
          <w:sz w:val="20"/>
        </w:rPr>
        <w:t> </w:t>
      </w:r>
      <w:r>
        <w:rPr>
          <w:sz w:val="20"/>
        </w:rPr>
        <w:t>D,</w:t>
      </w:r>
      <w:r>
        <w:rPr>
          <w:spacing w:val="39"/>
          <w:sz w:val="20"/>
        </w:rPr>
        <w:t> </w:t>
      </w:r>
      <w:r>
        <w:rPr>
          <w:sz w:val="20"/>
        </w:rPr>
        <w:t>Ballinger</w:t>
      </w:r>
      <w:r>
        <w:rPr>
          <w:spacing w:val="38"/>
          <w:sz w:val="20"/>
        </w:rPr>
        <w:t> </w:t>
      </w:r>
      <w:r>
        <w:rPr>
          <w:sz w:val="20"/>
        </w:rPr>
        <w:t>A.</w:t>
      </w:r>
      <w:r>
        <w:rPr>
          <w:spacing w:val="38"/>
          <w:sz w:val="20"/>
        </w:rPr>
        <w:t> </w:t>
      </w:r>
      <w:r>
        <w:rPr>
          <w:sz w:val="20"/>
        </w:rPr>
        <w:t>2015.</w:t>
      </w:r>
      <w:r>
        <w:rPr>
          <w:spacing w:val="42"/>
          <w:sz w:val="20"/>
        </w:rPr>
        <w:t> </w:t>
      </w:r>
      <w:r>
        <w:rPr>
          <w:i/>
          <w:sz w:val="20"/>
        </w:rPr>
        <w:t>The</w:t>
      </w:r>
      <w:r>
        <w:rPr>
          <w:i/>
          <w:spacing w:val="39"/>
          <w:sz w:val="20"/>
        </w:rPr>
        <w:t> </w:t>
      </w:r>
      <w:r>
        <w:rPr>
          <w:i/>
          <w:sz w:val="20"/>
        </w:rPr>
        <w:t>Potential</w:t>
      </w:r>
      <w:r>
        <w:rPr>
          <w:i/>
          <w:spacing w:val="38"/>
          <w:sz w:val="20"/>
        </w:rPr>
        <w:t> </w:t>
      </w:r>
      <w:r>
        <w:rPr>
          <w:i/>
          <w:sz w:val="20"/>
        </w:rPr>
        <w:t>Contribution</w:t>
      </w:r>
      <w:r>
        <w:rPr>
          <w:i/>
          <w:spacing w:val="39"/>
          <w:sz w:val="20"/>
        </w:rPr>
        <w:t> </w:t>
      </w:r>
      <w:r>
        <w:rPr>
          <w:i/>
          <w:sz w:val="20"/>
        </w:rPr>
        <w:t>of</w:t>
      </w:r>
      <w:r>
        <w:rPr>
          <w:i/>
          <w:spacing w:val="38"/>
          <w:sz w:val="20"/>
        </w:rPr>
        <w:t> </w:t>
      </w:r>
      <w:r>
        <w:rPr>
          <w:i/>
          <w:sz w:val="20"/>
        </w:rPr>
        <w:t>Waste</w:t>
      </w:r>
      <w:r>
        <w:rPr>
          <w:i/>
          <w:spacing w:val="39"/>
          <w:sz w:val="20"/>
        </w:rPr>
        <w:t> </w:t>
      </w:r>
      <w:r>
        <w:rPr>
          <w:i/>
          <w:sz w:val="20"/>
        </w:rPr>
        <w:t>Management</w:t>
      </w:r>
      <w:r>
        <w:rPr>
          <w:i/>
          <w:spacing w:val="39"/>
          <w:sz w:val="20"/>
        </w:rPr>
        <w:t> </w:t>
      </w:r>
      <w:r>
        <w:rPr>
          <w:i/>
          <w:sz w:val="20"/>
        </w:rPr>
        <w:t>to</w:t>
      </w:r>
      <w:r>
        <w:rPr>
          <w:i/>
          <w:spacing w:val="40"/>
          <w:sz w:val="20"/>
        </w:rPr>
        <w:t> </w:t>
      </w:r>
      <w:r>
        <w:rPr>
          <w:i/>
          <w:sz w:val="20"/>
        </w:rPr>
        <w:t>a</w:t>
      </w:r>
      <w:r>
        <w:rPr>
          <w:i/>
          <w:spacing w:val="39"/>
          <w:sz w:val="20"/>
        </w:rPr>
        <w:t> </w:t>
      </w:r>
      <w:r>
        <w:rPr>
          <w:i/>
          <w:sz w:val="20"/>
        </w:rPr>
        <w:t>Low</w:t>
      </w:r>
      <w:r>
        <w:rPr>
          <w:i/>
          <w:spacing w:val="38"/>
          <w:sz w:val="20"/>
        </w:rPr>
        <w:t> </w:t>
      </w:r>
      <w:r>
        <w:rPr>
          <w:i/>
          <w:sz w:val="20"/>
        </w:rPr>
        <w:t>Carbon</w:t>
      </w:r>
      <w:r>
        <w:rPr>
          <w:i/>
          <w:spacing w:val="39"/>
          <w:sz w:val="20"/>
        </w:rPr>
        <w:t> </w:t>
      </w:r>
      <w:r>
        <w:rPr>
          <w:i/>
          <w:sz w:val="20"/>
        </w:rPr>
        <w:t>Economy.</w:t>
      </w:r>
    </w:p>
    <w:p>
      <w:pPr>
        <w:pStyle w:val="BodyText"/>
        <w:spacing w:line="215" w:lineRule="exact"/>
        <w:ind w:left="560"/>
      </w:pPr>
      <w:r>
        <w:rPr/>
        <w:t>Commissioned by Zero Waste Europe in partnership with Zero Waste France and ACR+. Bristol: Eunomia</w:t>
      </w:r>
    </w:p>
    <w:p>
      <w:pPr>
        <w:spacing w:before="162"/>
        <w:ind w:left="560" w:right="0" w:firstLine="0"/>
        <w:jc w:val="left"/>
        <w:rPr>
          <w:sz w:val="20"/>
        </w:rPr>
      </w:pPr>
      <w:r>
        <w:rPr>
          <w:sz w:val="20"/>
        </w:rPr>
        <w:t>Johnson M, Raggett N. 2008. </w:t>
      </w:r>
      <w:r>
        <w:rPr>
          <w:i/>
          <w:sz w:val="20"/>
        </w:rPr>
        <w:t>Solid Waste and Recoverable Resources Industry Injury Causation. </w:t>
      </w:r>
      <w:r>
        <w:rPr>
          <w:sz w:val="20"/>
        </w:rPr>
        <w:t>Wellington: Research New Zealand</w:t>
      </w:r>
    </w:p>
    <w:p>
      <w:pPr>
        <w:spacing w:before="163"/>
        <w:ind w:left="560" w:right="483" w:firstLine="0"/>
        <w:jc w:val="left"/>
        <w:rPr>
          <w:sz w:val="20"/>
        </w:rPr>
      </w:pPr>
      <w:r>
        <w:rPr>
          <w:sz w:val="20"/>
        </w:rPr>
        <w:t>Kaza S, et al 2018. 2018. </w:t>
      </w:r>
      <w:r>
        <w:rPr>
          <w:i/>
          <w:sz w:val="20"/>
        </w:rPr>
        <w:t>What a Waste 2.0: A Global Snapshot of Solid Waste Management to 2050, urban </w:t>
      </w:r>
      <w:r>
        <w:rPr>
          <w:i/>
          <w:sz w:val="20"/>
        </w:rPr>
        <w:t>development series knowledge paper</w:t>
      </w:r>
      <w:r>
        <w:rPr>
          <w:sz w:val="20"/>
        </w:rPr>
        <w:t>. Washington: World Bank</w:t>
      </w:r>
    </w:p>
    <w:p>
      <w:pPr>
        <w:spacing w:before="160"/>
        <w:ind w:left="560" w:right="117" w:firstLine="0"/>
        <w:jc w:val="left"/>
        <w:rPr>
          <w:sz w:val="20"/>
        </w:rPr>
      </w:pPr>
      <w:r>
        <w:rPr>
          <w:sz w:val="20"/>
        </w:rPr>
        <w:t>Lakhan C. 2015. </w:t>
      </w:r>
      <w:r>
        <w:rPr>
          <w:i/>
          <w:sz w:val="20"/>
        </w:rPr>
        <w:t>A Comparison of Single and Multi-Stream Recycling Systems in Ontario, Canada. </w:t>
      </w:r>
      <w:r>
        <w:rPr>
          <w:sz w:val="20"/>
        </w:rPr>
        <w:t>Resources, 4, 384-397; doi:10.3390/resources4020384</w:t>
      </w:r>
    </w:p>
    <w:p>
      <w:pPr>
        <w:pStyle w:val="BodyText"/>
        <w:spacing w:before="160"/>
        <w:ind w:left="560" w:right="110"/>
      </w:pPr>
      <w:r>
        <w:rPr/>
        <w:t>Langley E. 2020. Rethinking Rubbish and Recycling Research Report. Commissioned by WasteMINZ TAO Forum. Auckland: Colmar Brunton.</w:t>
      </w:r>
    </w:p>
    <w:p>
      <w:pPr>
        <w:spacing w:before="160"/>
        <w:ind w:left="560" w:right="39" w:firstLine="0"/>
        <w:jc w:val="left"/>
        <w:rPr>
          <w:sz w:val="20"/>
        </w:rPr>
      </w:pPr>
      <w:r>
        <w:rPr>
          <w:sz w:val="20"/>
        </w:rPr>
        <w:t>Middleton B, Wilson D. 2015. </w:t>
      </w:r>
      <w:r>
        <w:rPr>
          <w:i/>
          <w:sz w:val="20"/>
        </w:rPr>
        <w:t>New Zealand Waste Data Framework: Review of International Waste Data </w:t>
      </w:r>
      <w:r>
        <w:rPr>
          <w:i/>
          <w:sz w:val="20"/>
        </w:rPr>
        <w:t>Practice</w:t>
      </w:r>
      <w:r>
        <w:rPr>
          <w:sz w:val="20"/>
        </w:rPr>
        <w:t>; Prepared for the Ministry for the Environment by WasteMINZ. Auckland: WasteMINZ.</w:t>
      </w:r>
    </w:p>
    <w:p>
      <w:pPr>
        <w:spacing w:before="158"/>
        <w:ind w:left="560" w:right="0" w:firstLine="0"/>
        <w:jc w:val="left"/>
        <w:rPr>
          <w:sz w:val="20"/>
        </w:rPr>
      </w:pPr>
      <w:r>
        <w:rPr>
          <w:sz w:val="20"/>
        </w:rPr>
        <w:t>Ministry for the Environment. 1997. </w:t>
      </w:r>
      <w:r>
        <w:rPr>
          <w:i/>
          <w:sz w:val="20"/>
        </w:rPr>
        <w:t>National Waste Data Report</w:t>
      </w:r>
      <w:r>
        <w:rPr>
          <w:sz w:val="20"/>
        </w:rPr>
        <w:t>. Wellington, Ministry for the Environment</w:t>
      </w:r>
    </w:p>
    <w:p>
      <w:pPr>
        <w:spacing w:before="161"/>
        <w:ind w:left="560" w:right="0" w:firstLine="0"/>
        <w:jc w:val="left"/>
        <w:rPr>
          <w:sz w:val="20"/>
        </w:rPr>
      </w:pPr>
      <w:r>
        <w:rPr>
          <w:sz w:val="20"/>
        </w:rPr>
        <w:t>Ministry for the Environment. 2017a. </w:t>
      </w:r>
      <w:r>
        <w:rPr>
          <w:i/>
          <w:sz w:val="20"/>
        </w:rPr>
        <w:t>Review of the Effectiveness of the Waste Disposal Levy 2017</w:t>
      </w:r>
      <w:r>
        <w:rPr>
          <w:sz w:val="20"/>
        </w:rPr>
        <w:t>. Wellington: Ministry for the Environment.</w:t>
      </w:r>
    </w:p>
    <w:p>
      <w:pPr>
        <w:spacing w:before="163"/>
        <w:ind w:left="560" w:right="0" w:firstLine="0"/>
        <w:jc w:val="left"/>
        <w:rPr>
          <w:i/>
          <w:sz w:val="20"/>
        </w:rPr>
      </w:pPr>
      <w:r>
        <w:rPr>
          <w:sz w:val="20"/>
        </w:rPr>
        <w:t>Ministry for the Environment. 2018. </w:t>
      </w:r>
      <w:r>
        <w:rPr>
          <w:i/>
          <w:sz w:val="20"/>
        </w:rPr>
        <w:t>National Resource Recovery Taskforce: New Zealand’s options in  response</w:t>
      </w:r>
    </w:p>
    <w:p>
      <w:pPr>
        <w:spacing w:before="14"/>
        <w:ind w:left="560" w:right="0" w:firstLine="0"/>
        <w:jc w:val="left"/>
        <w:rPr>
          <w:sz w:val="20"/>
        </w:rPr>
      </w:pPr>
      <w:r>
        <w:rPr>
          <w:i/>
          <w:sz w:val="20"/>
        </w:rPr>
        <w:t>to effects created by the implementation of the National Sword Policy</w:t>
      </w:r>
      <w:r>
        <w:rPr>
          <w:sz w:val="20"/>
        </w:rPr>
        <w:t>, Wellington: Ministry for the Environment</w:t>
      </w:r>
    </w:p>
    <w:p>
      <w:pPr>
        <w:spacing w:line="256" w:lineRule="auto" w:before="175"/>
        <w:ind w:left="560" w:right="0" w:firstLine="0"/>
        <w:jc w:val="left"/>
        <w:rPr>
          <w:sz w:val="20"/>
        </w:rPr>
      </w:pPr>
      <w:r>
        <w:rPr>
          <w:sz w:val="20"/>
        </w:rPr>
        <w:t>Ministry for the Environment. 2019. </w:t>
      </w:r>
      <w:r>
        <w:rPr>
          <w:i/>
          <w:sz w:val="20"/>
        </w:rPr>
        <w:t>Reducing waste: a more effective landfill levy – consultation document</w:t>
      </w:r>
      <w:r>
        <w:rPr>
          <w:sz w:val="20"/>
        </w:rPr>
        <w:t>. Wellington: Ministry for the Environment.</w:t>
      </w:r>
    </w:p>
    <w:p>
      <w:pPr>
        <w:spacing w:before="158"/>
        <w:ind w:left="560" w:right="0" w:firstLine="0"/>
        <w:jc w:val="left"/>
        <w:rPr>
          <w:sz w:val="20"/>
        </w:rPr>
      </w:pPr>
      <w:r>
        <w:rPr>
          <w:sz w:val="20"/>
        </w:rPr>
        <w:t>Morrison Lowe. 2010. </w:t>
      </w:r>
      <w:r>
        <w:rPr>
          <w:i/>
          <w:sz w:val="20"/>
        </w:rPr>
        <w:t>An assessment of the health and safety costs and benefits of manual vs automated waste </w:t>
      </w:r>
      <w:r>
        <w:rPr>
          <w:i/>
          <w:sz w:val="20"/>
        </w:rPr>
        <w:t>collections. </w:t>
      </w:r>
      <w:r>
        <w:rPr>
          <w:sz w:val="20"/>
        </w:rPr>
        <w:t>Auckland: WasteMINZ</w:t>
      </w:r>
    </w:p>
    <w:p>
      <w:pPr>
        <w:spacing w:before="158"/>
        <w:ind w:left="560" w:right="0" w:firstLine="0"/>
        <w:jc w:val="left"/>
        <w:rPr>
          <w:sz w:val="20"/>
        </w:rPr>
      </w:pPr>
      <w:r>
        <w:rPr>
          <w:sz w:val="20"/>
        </w:rPr>
        <w:t>Nolan J, Philpott L, 2013. </w:t>
      </w:r>
      <w:r>
        <w:rPr>
          <w:i/>
          <w:sz w:val="20"/>
        </w:rPr>
        <w:t>Independent assessment of kerbside recycling in Australia</w:t>
      </w:r>
      <w:r>
        <w:rPr>
          <w:sz w:val="20"/>
        </w:rPr>
        <w:t>. Australia: Nolan-ITU Pty Ltd</w:t>
      </w:r>
    </w:p>
    <w:p>
      <w:pPr>
        <w:spacing w:after="0"/>
        <w:jc w:val="left"/>
        <w:rPr>
          <w:sz w:val="20"/>
        </w:rPr>
        <w:sectPr>
          <w:footerReference w:type="default" r:id="rId42"/>
          <w:pgSz w:w="11910" w:h="16840"/>
          <w:pgMar w:footer="698" w:header="576" w:top="1140" w:bottom="880" w:left="880" w:right="1320"/>
          <w:pgNumType w:start="41"/>
        </w:sectPr>
      </w:pPr>
    </w:p>
    <w:p>
      <w:pPr>
        <w:pStyle w:val="BodyText"/>
      </w:pPr>
    </w:p>
    <w:p>
      <w:pPr>
        <w:pStyle w:val="BodyText"/>
        <w:spacing w:before="5"/>
        <w:rPr>
          <w:sz w:val="29"/>
        </w:rPr>
      </w:pPr>
    </w:p>
    <w:p>
      <w:pPr>
        <w:spacing w:before="59"/>
        <w:ind w:left="560" w:right="0" w:firstLine="0"/>
        <w:jc w:val="left"/>
        <w:rPr>
          <w:sz w:val="20"/>
        </w:rPr>
      </w:pPr>
      <w:r>
        <w:rPr>
          <w:sz w:val="20"/>
        </w:rPr>
        <w:t>Office of the Prime Minister’s Chief Science Advisor (OPMCSA). 2019. </w:t>
      </w:r>
      <w:r>
        <w:rPr>
          <w:i/>
          <w:sz w:val="20"/>
        </w:rPr>
        <w:t>Rethinking Plastics in Aotearoa NZ</w:t>
      </w:r>
      <w:r>
        <w:rPr>
          <w:sz w:val="20"/>
        </w:rPr>
        <w:t>, Auckland: The University of Auckland</w:t>
      </w:r>
    </w:p>
    <w:p>
      <w:pPr>
        <w:spacing w:before="163"/>
        <w:ind w:left="560" w:right="0" w:firstLine="0"/>
        <w:jc w:val="left"/>
        <w:rPr>
          <w:sz w:val="20"/>
        </w:rPr>
      </w:pPr>
      <w:r>
        <w:rPr>
          <w:sz w:val="20"/>
        </w:rPr>
        <w:t>Papineschi J, Tilbrook E, Emery L. 2016. </w:t>
      </w:r>
      <w:r>
        <w:rPr>
          <w:i/>
          <w:sz w:val="20"/>
        </w:rPr>
        <w:t>Review of the Welsh Government Collections Blueprint</w:t>
      </w:r>
      <w:r>
        <w:rPr>
          <w:sz w:val="20"/>
        </w:rPr>
        <w:t>. UK: Eunomia Research and Consulting</w:t>
      </w:r>
    </w:p>
    <w:p>
      <w:pPr>
        <w:spacing w:before="161"/>
        <w:ind w:left="560" w:right="0" w:firstLine="0"/>
        <w:jc w:val="left"/>
        <w:rPr>
          <w:sz w:val="20"/>
        </w:rPr>
      </w:pPr>
      <w:r>
        <w:rPr>
          <w:sz w:val="20"/>
        </w:rPr>
        <w:t>Papineschi J, Jones P, Gillies R. 2017. </w:t>
      </w:r>
      <w:r>
        <w:rPr>
          <w:i/>
          <w:sz w:val="20"/>
        </w:rPr>
        <w:t>Recycling: Who really leads the world? </w:t>
      </w:r>
      <w:r>
        <w:rPr>
          <w:sz w:val="20"/>
        </w:rPr>
        <w:t>Bristol: Eunomia Research and Consulting</w:t>
      </w:r>
    </w:p>
    <w:p>
      <w:pPr>
        <w:spacing w:before="161"/>
        <w:ind w:left="560" w:right="0" w:firstLine="0"/>
        <w:jc w:val="left"/>
        <w:rPr>
          <w:sz w:val="20"/>
        </w:rPr>
      </w:pPr>
      <w:r>
        <w:rPr>
          <w:sz w:val="20"/>
        </w:rPr>
        <w:t>Parliamentary Commissioner for the Environment. 2006. </w:t>
      </w:r>
      <w:r>
        <w:rPr>
          <w:i/>
          <w:sz w:val="20"/>
        </w:rPr>
        <w:t>Changing behaviour: Economic instrutments in the </w:t>
      </w:r>
      <w:r>
        <w:rPr>
          <w:i/>
          <w:sz w:val="20"/>
        </w:rPr>
        <w:t>management of waste</w:t>
      </w:r>
      <w:r>
        <w:rPr>
          <w:sz w:val="20"/>
        </w:rPr>
        <w:t>. Wellington, Parliamentary Commissioner for the Environment.</w:t>
      </w:r>
    </w:p>
    <w:p>
      <w:pPr>
        <w:spacing w:before="161"/>
        <w:ind w:left="560" w:right="119" w:firstLine="0"/>
        <w:jc w:val="both"/>
        <w:rPr>
          <w:sz w:val="20"/>
        </w:rPr>
      </w:pPr>
      <w:r>
        <w:rPr>
          <w:sz w:val="20"/>
        </w:rPr>
        <w:t>Seyring N, et al. 2015. </w:t>
      </w:r>
      <w:r>
        <w:rPr>
          <w:i/>
          <w:sz w:val="20"/>
        </w:rPr>
        <w:t>Assessment of separate collection schemes in the 28 capitals of the EU. </w:t>
      </w:r>
      <w:r>
        <w:rPr>
          <w:sz w:val="20"/>
        </w:rPr>
        <w:t>Prepared for European Commission by BiPRO and the Copenhagen Resource Institute (CRI) in cooperation with ENVIRON, ENVIROPLAN, Geotest and ACR+. Brussels: European Commission</w:t>
      </w:r>
    </w:p>
    <w:p>
      <w:pPr>
        <w:spacing w:before="161"/>
        <w:ind w:left="560" w:right="287" w:firstLine="0"/>
        <w:jc w:val="left"/>
        <w:rPr>
          <w:sz w:val="20"/>
        </w:rPr>
      </w:pPr>
      <w:r>
        <w:rPr>
          <w:sz w:val="20"/>
        </w:rPr>
        <w:t>WasteMINZ. 2015 </w:t>
      </w:r>
      <w:r>
        <w:rPr>
          <w:i/>
          <w:sz w:val="20"/>
        </w:rPr>
        <w:t>Waste Data Needs – Survey Results &amp; Analysis . In fulfilment of Milestone 1 of the National </w:t>
      </w:r>
      <w:r>
        <w:rPr>
          <w:i/>
          <w:sz w:val="20"/>
        </w:rPr>
        <w:t>waste data framework Project. </w:t>
      </w:r>
      <w:r>
        <w:rPr>
          <w:sz w:val="20"/>
        </w:rPr>
        <w:t>Auckland: WasteMINZ.</w:t>
      </w:r>
    </w:p>
    <w:p>
      <w:pPr>
        <w:spacing w:before="161"/>
        <w:ind w:left="560" w:right="0" w:firstLine="0"/>
        <w:jc w:val="left"/>
        <w:rPr>
          <w:sz w:val="20"/>
        </w:rPr>
      </w:pPr>
      <w:r>
        <w:rPr>
          <w:sz w:val="20"/>
        </w:rPr>
        <w:t>WasteMINZ. 2018. </w:t>
      </w:r>
      <w:r>
        <w:rPr>
          <w:i/>
          <w:sz w:val="20"/>
        </w:rPr>
        <w:t>National waste data framework - Standard reporting indicators for territorial authorities</w:t>
      </w:r>
      <w:r>
        <w:rPr>
          <w:sz w:val="20"/>
        </w:rPr>
        <w:t>. Auckland: WasteMINZ</w:t>
      </w:r>
    </w:p>
    <w:p>
      <w:pPr>
        <w:spacing w:before="159"/>
        <w:ind w:left="560" w:right="0" w:firstLine="0"/>
        <w:jc w:val="both"/>
        <w:rPr>
          <w:sz w:val="20"/>
        </w:rPr>
      </w:pPr>
      <w:r>
        <w:rPr>
          <w:sz w:val="20"/>
        </w:rPr>
        <w:t>WasteMINZ. 2019. </w:t>
      </w:r>
      <w:r>
        <w:rPr>
          <w:i/>
          <w:sz w:val="20"/>
        </w:rPr>
        <w:t>Rebooting Recycling</w:t>
      </w:r>
      <w:r>
        <w:rPr>
          <w:sz w:val="20"/>
        </w:rPr>
        <w:t>, Auckland: WasteMINZ</w:t>
      </w:r>
    </w:p>
    <w:p>
      <w:pPr>
        <w:spacing w:before="161"/>
        <w:ind w:left="560" w:right="122" w:firstLine="0"/>
        <w:jc w:val="both"/>
        <w:rPr>
          <w:sz w:val="20"/>
        </w:rPr>
      </w:pPr>
      <w:r>
        <w:rPr>
          <w:sz w:val="20"/>
        </w:rPr>
        <w:t>Welsh Assembly Government. 2011. </w:t>
      </w:r>
      <w:r>
        <w:rPr>
          <w:i/>
          <w:sz w:val="20"/>
        </w:rPr>
        <w:t>Municipal Sector Plan Part 1, Towards Zero Waste One Wales: One Planet, </w:t>
      </w:r>
      <w:r>
        <w:rPr>
          <w:i/>
          <w:sz w:val="20"/>
        </w:rPr>
        <w:t>Collections Blueprint For affordable and sustainable local authority collection services for recyclable, compostable and residual waste (Version 01 – 10 March 2011), </w:t>
      </w:r>
      <w:r>
        <w:rPr>
          <w:sz w:val="20"/>
        </w:rPr>
        <w:t>Wales: Welsh Assembly Government</w:t>
      </w:r>
    </w:p>
    <w:p>
      <w:pPr>
        <w:spacing w:before="161"/>
        <w:ind w:left="560" w:right="0" w:firstLine="0"/>
        <w:jc w:val="left"/>
        <w:rPr>
          <w:sz w:val="20"/>
        </w:rPr>
      </w:pPr>
      <w:r>
        <w:rPr>
          <w:sz w:val="20"/>
        </w:rPr>
        <w:t>Wilson D, Chowdhury T, Elliott T, Elliott L and Hogg D. 2017. </w:t>
      </w:r>
      <w:r>
        <w:rPr>
          <w:i/>
          <w:sz w:val="20"/>
        </w:rPr>
        <w:t>The New Zealand Waste Disposal Levy: potential </w:t>
      </w:r>
      <w:r>
        <w:rPr>
          <w:i/>
          <w:sz w:val="20"/>
        </w:rPr>
        <w:t>impacts of adjustments to the current levy rate and structure</w:t>
      </w:r>
      <w:r>
        <w:rPr>
          <w:sz w:val="20"/>
        </w:rPr>
        <w:t>, Auckland: Eunomia Research &amp; Consulting</w:t>
      </w:r>
    </w:p>
    <w:p>
      <w:pPr>
        <w:spacing w:before="161"/>
        <w:ind w:left="560" w:right="0" w:firstLine="0"/>
        <w:jc w:val="left"/>
        <w:rPr>
          <w:sz w:val="20"/>
        </w:rPr>
      </w:pPr>
      <w:r>
        <w:rPr>
          <w:sz w:val="20"/>
        </w:rPr>
        <w:t>Wilson D. 2010. </w:t>
      </w:r>
      <w:r>
        <w:rPr>
          <w:i/>
          <w:sz w:val="20"/>
        </w:rPr>
        <w:t>An assessment of the health and safety costs and benefits of manual vs automated waste </w:t>
      </w:r>
      <w:r>
        <w:rPr>
          <w:i/>
          <w:sz w:val="20"/>
        </w:rPr>
        <w:t>collections</w:t>
      </w:r>
      <w:r>
        <w:rPr>
          <w:sz w:val="20"/>
        </w:rPr>
        <w:t>. Auckland: Eunomia Research and Consulting</w:t>
      </w:r>
    </w:p>
    <w:p>
      <w:pPr>
        <w:spacing w:before="164"/>
        <w:ind w:left="560" w:right="0" w:firstLine="0"/>
        <w:jc w:val="left"/>
        <w:rPr>
          <w:sz w:val="20"/>
        </w:rPr>
      </w:pPr>
      <w:r>
        <w:rPr>
          <w:sz w:val="20"/>
        </w:rPr>
        <w:t>Wilson D. 2018. </w:t>
      </w:r>
      <w:r>
        <w:rPr>
          <w:i/>
          <w:sz w:val="20"/>
        </w:rPr>
        <w:t>National Resource Recovery – situational analysis report. </w:t>
      </w:r>
      <w:r>
        <w:rPr>
          <w:sz w:val="20"/>
        </w:rPr>
        <w:t>Auckland: Eunomia Research and Consulting</w:t>
      </w:r>
    </w:p>
    <w:p>
      <w:pPr>
        <w:spacing w:line="396" w:lineRule="auto" w:before="159"/>
        <w:ind w:left="560" w:right="3416" w:firstLine="0"/>
        <w:jc w:val="left"/>
        <w:rPr>
          <w:sz w:val="20"/>
        </w:rPr>
      </w:pPr>
      <w:r>
        <w:rPr>
          <w:sz w:val="20"/>
        </w:rPr>
        <w:t>WRAP. 2006. </w:t>
      </w:r>
      <w:r>
        <w:rPr>
          <w:i/>
          <w:sz w:val="20"/>
        </w:rPr>
        <w:t>MRFs Comparison of efficiency and quality. </w:t>
      </w:r>
      <w:r>
        <w:rPr>
          <w:sz w:val="20"/>
        </w:rPr>
        <w:t>UK: WRAP WRAP. 2009. </w:t>
      </w:r>
      <w:r>
        <w:rPr>
          <w:i/>
          <w:sz w:val="20"/>
        </w:rPr>
        <w:t>Choosing the right recycling collection system</w:t>
      </w:r>
      <w:r>
        <w:rPr>
          <w:sz w:val="20"/>
        </w:rPr>
        <w:t>. UK: WRAP</w:t>
      </w:r>
    </w:p>
    <w:p>
      <w:pPr>
        <w:spacing w:before="2"/>
        <w:ind w:left="560" w:right="0" w:firstLine="0"/>
        <w:jc w:val="left"/>
        <w:rPr>
          <w:sz w:val="20"/>
        </w:rPr>
      </w:pPr>
      <w:r>
        <w:rPr>
          <w:sz w:val="20"/>
        </w:rPr>
        <w:t>WRAP. 2011. </w:t>
      </w:r>
      <w:r>
        <w:rPr>
          <w:i/>
          <w:sz w:val="20"/>
        </w:rPr>
        <w:t>Kerbside Collections Options: Wales</w:t>
      </w:r>
      <w:r>
        <w:rPr>
          <w:sz w:val="20"/>
        </w:rPr>
        <w:t>. Prepared for WRAP by Eunomia Research &amp; Consulting, Resource Futures and HCW Consultants. UK: WRAP</w:t>
      </w:r>
    </w:p>
    <w:p>
      <w:pPr>
        <w:spacing w:line="398" w:lineRule="auto" w:before="161"/>
        <w:ind w:left="560" w:right="950" w:firstLine="0"/>
        <w:jc w:val="left"/>
        <w:rPr>
          <w:sz w:val="20"/>
        </w:rPr>
      </w:pPr>
      <w:r>
        <w:rPr>
          <w:sz w:val="20"/>
        </w:rPr>
        <w:t>WRAP. 2012/13. </w:t>
      </w:r>
      <w:r>
        <w:rPr>
          <w:i/>
          <w:sz w:val="20"/>
        </w:rPr>
        <w:t>Analysis of recycling performance and waste arisings in the UK 2012/13. </w:t>
      </w:r>
      <w:r>
        <w:rPr>
          <w:sz w:val="20"/>
        </w:rPr>
        <w:t>UK: WRAP WRAP. 2016a. </w:t>
      </w:r>
      <w:r>
        <w:rPr>
          <w:i/>
          <w:sz w:val="20"/>
        </w:rPr>
        <w:t>Household food waste collections guide section 1: Context and background</w:t>
      </w:r>
      <w:r>
        <w:rPr>
          <w:sz w:val="20"/>
        </w:rPr>
        <w:t>. UK: WRAP WRAP. 2016b. </w:t>
      </w:r>
      <w:r>
        <w:rPr>
          <w:i/>
          <w:sz w:val="20"/>
        </w:rPr>
        <w:t>Food Waste Caddies and Caddy Liners. </w:t>
      </w:r>
      <w:r>
        <w:rPr>
          <w:sz w:val="20"/>
        </w:rPr>
        <w:t>UK: WRAP</w:t>
      </w:r>
    </w:p>
    <w:p>
      <w:pPr>
        <w:spacing w:line="242" w:lineRule="exact" w:before="0"/>
        <w:ind w:left="560" w:right="0" w:firstLine="0"/>
        <w:jc w:val="both"/>
        <w:rPr>
          <w:sz w:val="20"/>
        </w:rPr>
      </w:pPr>
      <w:r>
        <w:rPr>
          <w:sz w:val="20"/>
        </w:rPr>
        <w:t>WRAP. 2017. </w:t>
      </w:r>
      <w:r>
        <w:rPr>
          <w:i/>
          <w:sz w:val="20"/>
        </w:rPr>
        <w:t>A framework for greater consistency in household recycling</w:t>
      </w:r>
      <w:r>
        <w:rPr>
          <w:b/>
          <w:i/>
          <w:sz w:val="20"/>
        </w:rPr>
        <w:t>. </w:t>
      </w:r>
      <w:r>
        <w:rPr>
          <w:sz w:val="20"/>
        </w:rPr>
        <w:t>UK: WRAP</w:t>
      </w:r>
    </w:p>
    <w:p>
      <w:pPr>
        <w:spacing w:before="159"/>
        <w:ind w:left="560" w:right="0" w:firstLine="0"/>
        <w:jc w:val="both"/>
        <w:rPr>
          <w:sz w:val="20"/>
        </w:rPr>
      </w:pPr>
      <w:r>
        <w:rPr>
          <w:sz w:val="20"/>
        </w:rPr>
        <w:t>WRAP. 2018. </w:t>
      </w:r>
      <w:r>
        <w:rPr>
          <w:i/>
          <w:sz w:val="20"/>
        </w:rPr>
        <w:t>Recycling Tracker Survey 2018: Behaviours, attitudes and awareness around recycling</w:t>
      </w:r>
      <w:r>
        <w:rPr>
          <w:sz w:val="20"/>
        </w:rPr>
        <w:t>. UK: WRAP</w:t>
      </w:r>
    </w:p>
    <w:p>
      <w:pPr>
        <w:spacing w:before="161"/>
        <w:ind w:left="560" w:right="0" w:firstLine="0"/>
        <w:jc w:val="left"/>
        <w:rPr>
          <w:sz w:val="20"/>
        </w:rPr>
      </w:pPr>
      <w:r>
        <w:rPr>
          <w:sz w:val="20"/>
        </w:rPr>
        <w:t>WYG Group. 2013. </w:t>
      </w:r>
      <w:r>
        <w:rPr>
          <w:i/>
          <w:sz w:val="20"/>
        </w:rPr>
        <w:t>Review of Kerbside Recycling Collection Schemes in the UK in 2011/12. </w:t>
      </w:r>
      <w:r>
        <w:rPr>
          <w:sz w:val="20"/>
        </w:rPr>
        <w:t>Hampshire: WYG Group</w:t>
      </w:r>
    </w:p>
    <w:p>
      <w:pPr>
        <w:spacing w:before="164"/>
        <w:ind w:left="560" w:right="0" w:firstLine="0"/>
        <w:jc w:val="left"/>
        <w:rPr>
          <w:sz w:val="20"/>
        </w:rPr>
      </w:pPr>
      <w:r>
        <w:rPr>
          <w:sz w:val="20"/>
        </w:rPr>
        <w:t>Yallop D. 2017. </w:t>
      </w:r>
      <w:r>
        <w:rPr>
          <w:i/>
          <w:sz w:val="20"/>
        </w:rPr>
        <w:t>The Launch of Auckland Councils Three bin system in Papakura</w:t>
      </w:r>
      <w:r>
        <w:rPr>
          <w:sz w:val="20"/>
        </w:rPr>
        <w:t>. Powerpoint Presentation at WasteMINZ Conference. Rotorua</w:t>
      </w:r>
    </w:p>
    <w:p>
      <w:pPr>
        <w:spacing w:before="159"/>
        <w:ind w:left="560" w:right="0" w:firstLine="0"/>
        <w:jc w:val="both"/>
        <w:rPr>
          <w:sz w:val="20"/>
        </w:rPr>
      </w:pPr>
      <w:r>
        <w:rPr>
          <w:sz w:val="20"/>
        </w:rPr>
        <w:t>Yates S. 2013. </w:t>
      </w:r>
      <w:r>
        <w:rPr>
          <w:i/>
          <w:sz w:val="20"/>
        </w:rPr>
        <w:t>Report on Food Waste in New Zealand</w:t>
      </w:r>
      <w:r>
        <w:rPr>
          <w:sz w:val="20"/>
        </w:rPr>
        <w:t>. Auckland: Waste Not Consulting</w:t>
      </w:r>
    </w:p>
    <w:p>
      <w:pPr>
        <w:spacing w:after="0"/>
        <w:jc w:val="both"/>
        <w:rPr>
          <w:sz w:val="20"/>
        </w:rPr>
        <w:sectPr>
          <w:pgSz w:w="11910" w:h="16840"/>
          <w:pgMar w:header="576" w:footer="698" w:top="1140" w:bottom="880" w:left="880" w:right="1320"/>
        </w:sectPr>
      </w:pPr>
    </w:p>
    <w:p>
      <w:pPr>
        <w:pStyle w:val="BodyText"/>
      </w:pPr>
    </w:p>
    <w:p>
      <w:pPr>
        <w:pStyle w:val="BodyText"/>
        <w:spacing w:before="5"/>
        <w:rPr>
          <w:sz w:val="29"/>
        </w:rPr>
      </w:pPr>
    </w:p>
    <w:p>
      <w:pPr>
        <w:spacing w:before="59"/>
        <w:ind w:left="560" w:right="0" w:firstLine="0"/>
        <w:jc w:val="left"/>
        <w:rPr>
          <w:sz w:val="20"/>
        </w:rPr>
      </w:pPr>
      <w:r>
        <w:rPr>
          <w:sz w:val="20"/>
        </w:rPr>
        <w:t>Yates</w:t>
      </w:r>
      <w:r>
        <w:rPr>
          <w:spacing w:val="-11"/>
          <w:sz w:val="20"/>
        </w:rPr>
        <w:t> </w:t>
      </w:r>
      <w:r>
        <w:rPr>
          <w:sz w:val="20"/>
        </w:rPr>
        <w:t>S.</w:t>
      </w:r>
      <w:r>
        <w:rPr>
          <w:spacing w:val="-10"/>
          <w:sz w:val="20"/>
        </w:rPr>
        <w:t> </w:t>
      </w:r>
      <w:r>
        <w:rPr>
          <w:sz w:val="20"/>
        </w:rPr>
        <w:t>2020.</w:t>
      </w:r>
      <w:r>
        <w:rPr>
          <w:spacing w:val="-10"/>
          <w:sz w:val="20"/>
        </w:rPr>
        <w:t> </w:t>
      </w:r>
      <w:r>
        <w:rPr>
          <w:i/>
          <w:sz w:val="20"/>
        </w:rPr>
        <w:t>Rethinking</w:t>
      </w:r>
      <w:r>
        <w:rPr>
          <w:i/>
          <w:spacing w:val="-12"/>
          <w:sz w:val="20"/>
        </w:rPr>
        <w:t> </w:t>
      </w:r>
      <w:r>
        <w:rPr>
          <w:i/>
          <w:sz w:val="20"/>
        </w:rPr>
        <w:t>Rubbish</w:t>
      </w:r>
      <w:r>
        <w:rPr>
          <w:i/>
          <w:spacing w:val="-12"/>
          <w:sz w:val="20"/>
        </w:rPr>
        <w:t> </w:t>
      </w:r>
      <w:r>
        <w:rPr>
          <w:i/>
          <w:sz w:val="20"/>
        </w:rPr>
        <w:t>and</w:t>
      </w:r>
      <w:r>
        <w:rPr>
          <w:i/>
          <w:spacing w:val="-12"/>
          <w:sz w:val="20"/>
        </w:rPr>
        <w:t> </w:t>
      </w:r>
      <w:r>
        <w:rPr>
          <w:i/>
          <w:sz w:val="20"/>
        </w:rPr>
        <w:t>Recycling</w:t>
      </w:r>
      <w:r>
        <w:rPr>
          <w:sz w:val="20"/>
        </w:rPr>
        <w:t>.</w:t>
      </w:r>
      <w:r>
        <w:rPr>
          <w:spacing w:val="-13"/>
          <w:sz w:val="20"/>
        </w:rPr>
        <w:t> </w:t>
      </w:r>
      <w:r>
        <w:rPr>
          <w:sz w:val="20"/>
        </w:rPr>
        <w:t>Prepared</w:t>
      </w:r>
      <w:r>
        <w:rPr>
          <w:spacing w:val="-10"/>
          <w:sz w:val="20"/>
        </w:rPr>
        <w:t> </w:t>
      </w:r>
      <w:r>
        <w:rPr>
          <w:sz w:val="20"/>
        </w:rPr>
        <w:t>for</w:t>
      </w:r>
      <w:r>
        <w:rPr>
          <w:spacing w:val="-13"/>
          <w:sz w:val="20"/>
        </w:rPr>
        <w:t> </w:t>
      </w:r>
      <w:r>
        <w:rPr>
          <w:sz w:val="20"/>
        </w:rPr>
        <w:t>WasteMINZ</w:t>
      </w:r>
      <w:r>
        <w:rPr>
          <w:spacing w:val="-12"/>
          <w:sz w:val="20"/>
        </w:rPr>
        <w:t> </w:t>
      </w:r>
      <w:r>
        <w:rPr>
          <w:sz w:val="20"/>
        </w:rPr>
        <w:t>TOA</w:t>
      </w:r>
      <w:r>
        <w:rPr>
          <w:spacing w:val="-13"/>
          <w:sz w:val="20"/>
        </w:rPr>
        <w:t> </w:t>
      </w:r>
      <w:r>
        <w:rPr>
          <w:sz w:val="20"/>
        </w:rPr>
        <w:t>Forum.</w:t>
      </w:r>
      <w:r>
        <w:rPr>
          <w:spacing w:val="-13"/>
          <w:sz w:val="20"/>
        </w:rPr>
        <w:t> </w:t>
      </w:r>
      <w:r>
        <w:rPr>
          <w:sz w:val="20"/>
        </w:rPr>
        <w:t>Auckland:</w:t>
      </w:r>
      <w:r>
        <w:rPr>
          <w:spacing w:val="-13"/>
          <w:sz w:val="20"/>
        </w:rPr>
        <w:t> </w:t>
      </w:r>
      <w:r>
        <w:rPr>
          <w:sz w:val="20"/>
        </w:rPr>
        <w:t>Sunshine</w:t>
      </w:r>
      <w:r>
        <w:rPr>
          <w:spacing w:val="-13"/>
          <w:sz w:val="20"/>
        </w:rPr>
        <w:t> </w:t>
      </w:r>
      <w:r>
        <w:rPr>
          <w:sz w:val="20"/>
        </w:rPr>
        <w:t>Yates Consulting</w:t>
      </w:r>
    </w:p>
    <w:p>
      <w:pPr>
        <w:spacing w:after="0"/>
        <w:jc w:val="left"/>
        <w:rPr>
          <w:sz w:val="20"/>
        </w:rPr>
        <w:sectPr>
          <w:pgSz w:w="11910" w:h="16840"/>
          <w:pgMar w:header="576" w:footer="698" w:top="1140" w:bottom="880" w:left="880" w:right="1320"/>
        </w:sectPr>
      </w:pPr>
    </w:p>
    <w:p>
      <w:pPr>
        <w:pStyle w:val="BodyText"/>
      </w:pPr>
    </w:p>
    <w:p>
      <w:pPr>
        <w:pStyle w:val="BodyText"/>
        <w:spacing w:before="2"/>
        <w:rPr>
          <w:sz w:val="27"/>
        </w:rPr>
      </w:pPr>
    </w:p>
    <w:p>
      <w:pPr>
        <w:pStyle w:val="Heading1"/>
      </w:pPr>
      <w:r>
        <w:rPr/>
        <w:pict>
          <v:line style="position:absolute;mso-position-horizontal-relative:page;mso-position-vertical-relative:paragraph;z-index:1672" from="57.852001pt,4.363784pt" to="57.852001pt,25.123784pt" stroked="true" strokeweight="1.464pt" strokecolor="#ed7d31">
            <v:stroke dashstyle="solid"/>
            <w10:wrap type="none"/>
          </v:line>
        </w:pict>
      </w:r>
      <w:bookmarkStart w:name="APPENDIX A – GLASS PACKAGING FORUM MAP " w:id="138"/>
      <w:bookmarkEnd w:id="138"/>
      <w:r>
        <w:rPr/>
      </w:r>
      <w:bookmarkStart w:name="_bookmark46" w:id="139"/>
      <w:bookmarkEnd w:id="139"/>
      <w:r>
        <w:rPr/>
      </w:r>
      <w:r>
        <w:rPr>
          <w:spacing w:val="8"/>
        </w:rPr>
        <w:t>APPENDIX </w:t>
      </w:r>
      <w:r>
        <w:rPr/>
        <w:t>A – </w:t>
      </w:r>
      <w:r>
        <w:rPr>
          <w:spacing w:val="7"/>
        </w:rPr>
        <w:t>GLASS </w:t>
      </w:r>
      <w:r>
        <w:rPr>
          <w:spacing w:val="8"/>
        </w:rPr>
        <w:t>PACKAGING </w:t>
      </w:r>
      <w:r>
        <w:rPr>
          <w:spacing w:val="7"/>
        </w:rPr>
        <w:t>FORUM</w:t>
      </w:r>
      <w:r>
        <w:rPr>
          <w:spacing w:val="112"/>
        </w:rPr>
        <w:t> </w:t>
      </w:r>
      <w:r>
        <w:rPr>
          <w:spacing w:val="9"/>
        </w:rPr>
        <w:t>MAP</w:t>
      </w:r>
    </w:p>
    <w:p>
      <w:pPr>
        <w:pStyle w:val="BodyText"/>
        <w:spacing w:before="8"/>
        <w:rPr>
          <w:rFonts w:ascii="Arial"/>
          <w:sz w:val="27"/>
        </w:rPr>
      </w:pPr>
      <w:r>
        <w:rPr/>
        <w:drawing>
          <wp:anchor distT="0" distB="0" distL="0" distR="0" allowOverlap="1" layoutInCell="1" locked="0" behindDoc="0" simplePos="0" relativeHeight="1648">
            <wp:simplePos x="0" y="0"/>
            <wp:positionH relativeFrom="page">
              <wp:posOffset>1036955</wp:posOffset>
            </wp:positionH>
            <wp:positionV relativeFrom="paragraph">
              <wp:posOffset>227277</wp:posOffset>
            </wp:positionV>
            <wp:extent cx="5461967" cy="7667339"/>
            <wp:effectExtent l="0" t="0" r="0" b="0"/>
            <wp:wrapTopAndBottom/>
            <wp:docPr id="45" name="image28.jpeg" descr=""/>
            <wp:cNvGraphicFramePr>
              <a:graphicFrameLocks noChangeAspect="1"/>
            </wp:cNvGraphicFramePr>
            <a:graphic>
              <a:graphicData uri="http://schemas.openxmlformats.org/drawingml/2006/picture">
                <pic:pic>
                  <pic:nvPicPr>
                    <pic:cNvPr id="46" name="image28.jpeg"/>
                    <pic:cNvPicPr/>
                  </pic:nvPicPr>
                  <pic:blipFill>
                    <a:blip r:embed="rId44" cstate="print"/>
                    <a:stretch>
                      <a:fillRect/>
                    </a:stretch>
                  </pic:blipFill>
                  <pic:spPr>
                    <a:xfrm>
                      <a:off x="0" y="0"/>
                      <a:ext cx="5461967" cy="7667339"/>
                    </a:xfrm>
                    <a:prstGeom prst="rect">
                      <a:avLst/>
                    </a:prstGeom>
                  </pic:spPr>
                </pic:pic>
              </a:graphicData>
            </a:graphic>
          </wp:anchor>
        </w:drawing>
      </w:r>
    </w:p>
    <w:p>
      <w:pPr>
        <w:pStyle w:val="BodyText"/>
        <w:spacing w:line="254" w:lineRule="auto" w:before="207"/>
        <w:ind w:left="560" w:right="2138"/>
      </w:pPr>
      <w:r>
        <w:rPr/>
        <w:t>Download map from </w:t>
      </w:r>
      <w:hyperlink r:id="rId45">
        <w:r>
          <w:rPr>
            <w:color w:val="0563C1"/>
            <w:u w:val="single" w:color="0563C1"/>
          </w:rPr>
          <w:t>http://ovbshwospg3y3lle2ft6zyha-wpengine.netdna-ssl.com/wp-</w:t>
        </w:r>
      </w:hyperlink>
      <w:r>
        <w:rPr>
          <w:color w:val="0563C1"/>
          <w:u w:val="single" w:color="0563C1"/>
        </w:rPr>
        <w:t> </w:t>
      </w:r>
      <w:hyperlink r:id="rId45">
        <w:r>
          <w:rPr>
            <w:color w:val="0563C1"/>
            <w:u w:val="single" w:color="0563C1"/>
          </w:rPr>
          <w:t>content/uploads/2020/05/GPF_GlassCollectionAreas_05-20-smaller.jpg</w:t>
        </w:r>
      </w:hyperlink>
    </w:p>
    <w:p>
      <w:pPr>
        <w:spacing w:after="0" w:line="254" w:lineRule="auto"/>
        <w:sectPr>
          <w:pgSz w:w="11910" w:h="16840"/>
          <w:pgMar w:header="576" w:footer="698" w:top="1140" w:bottom="880" w:left="880" w:right="1320"/>
        </w:sectPr>
      </w:pPr>
    </w:p>
    <w:p>
      <w:pPr>
        <w:pStyle w:val="BodyText"/>
      </w:pPr>
    </w:p>
    <w:p>
      <w:pPr>
        <w:pStyle w:val="BodyText"/>
        <w:spacing w:before="11"/>
        <w:rPr>
          <w:sz w:val="26"/>
        </w:rPr>
      </w:pPr>
    </w:p>
    <w:p>
      <w:pPr>
        <w:pStyle w:val="Heading1"/>
        <w:spacing w:before="89"/>
      </w:pPr>
      <w:r>
        <w:rPr/>
        <w:pict>
          <v:group style="position:absolute;margin-left:57.102001pt;margin-top:3.783779pt;width:1.5pt;height:43.05pt;mso-position-horizontal-relative:page;mso-position-vertical-relative:paragraph;z-index:1696" coordorigin="1142,76" coordsize="30,861">
            <v:line style="position:absolute" from="1157,91" to="1157,503" stroked="true" strokeweight="1.464pt" strokecolor="#ed7d31">
              <v:stroke dashstyle="solid"/>
            </v:line>
            <v:line style="position:absolute" from="1157,503" to="1157,921" stroked="true" strokeweight="1.464pt" strokecolor="#ed7d31">
              <v:stroke dashstyle="solid"/>
            </v:line>
            <w10:wrap type="none"/>
          </v:group>
        </w:pict>
      </w:r>
      <w:bookmarkStart w:name="APPENDIX B – LITERATURE REVIEW - RECYCLI" w:id="140"/>
      <w:bookmarkEnd w:id="140"/>
      <w:r>
        <w:rPr/>
      </w:r>
      <w:bookmarkStart w:name="_bookmark47" w:id="141"/>
      <w:bookmarkEnd w:id="141"/>
      <w:r>
        <w:rPr/>
      </w:r>
      <w:r>
        <w:rPr/>
        <w:t>APPENDIX B – LITERATURE REVIEW - RECYCLING SYSTEMS</w:t>
      </w:r>
    </w:p>
    <w:p>
      <w:pPr>
        <w:pStyle w:val="BodyText"/>
        <w:spacing w:before="3"/>
        <w:rPr>
          <w:rFonts w:ascii="Arial"/>
          <w:sz w:val="26"/>
        </w:rPr>
      </w:pPr>
    </w:p>
    <w:p>
      <w:pPr>
        <w:pStyle w:val="BodyText"/>
        <w:spacing w:line="254" w:lineRule="auto" w:before="60"/>
        <w:ind w:left="560" w:right="124"/>
        <w:jc w:val="both"/>
      </w:pPr>
      <w:r>
        <w:rPr/>
        <w:t>The literature review on kerbside recycling systems examined contamination, yield and missed capture, employment, health and safety, cost and environment.</w:t>
      </w:r>
    </w:p>
    <w:p>
      <w:pPr>
        <w:pStyle w:val="Heading5"/>
        <w:spacing w:before="161"/>
        <w:jc w:val="both"/>
      </w:pPr>
      <w:r>
        <w:rPr/>
        <w:t>Contamination</w:t>
      </w:r>
    </w:p>
    <w:p>
      <w:pPr>
        <w:pStyle w:val="BodyText"/>
        <w:spacing w:before="175"/>
        <w:ind w:left="560" w:right="121"/>
        <w:jc w:val="both"/>
      </w:pPr>
      <w:r>
        <w:rPr/>
        <w:t>The literature reviewed unequivocally demonstrates that comingled recycling systems produce the highest levels of contamination, compared to two / multi-stream systems, source separated or kerbside sorting.</w:t>
      </w:r>
    </w:p>
    <w:p>
      <w:pPr>
        <w:pStyle w:val="BodyText"/>
        <w:spacing w:before="11"/>
        <w:rPr>
          <w:sz w:val="19"/>
        </w:rPr>
      </w:pPr>
    </w:p>
    <w:p>
      <w:pPr>
        <w:pStyle w:val="BodyText"/>
        <w:ind w:left="560"/>
        <w:jc w:val="both"/>
      </w:pPr>
      <w:r>
        <w:rPr/>
        <w:t>The Welsh Collections Blueprint (2011, p 3) notes that:</w:t>
      </w:r>
    </w:p>
    <w:p>
      <w:pPr>
        <w:pStyle w:val="BodyText"/>
        <w:spacing w:before="1"/>
      </w:pPr>
    </w:p>
    <w:p>
      <w:pPr>
        <w:spacing w:before="0"/>
        <w:ind w:left="987" w:right="493" w:firstLine="45"/>
        <w:jc w:val="both"/>
        <w:rPr>
          <w:i/>
          <w:sz w:val="20"/>
        </w:rPr>
      </w:pPr>
      <w:r>
        <w:rPr>
          <w:i/>
          <w:sz w:val="20"/>
        </w:rPr>
        <w:t>If</w:t>
      </w:r>
      <w:r>
        <w:rPr>
          <w:i/>
          <w:spacing w:val="-11"/>
          <w:sz w:val="20"/>
        </w:rPr>
        <w:t> </w:t>
      </w:r>
      <w:r>
        <w:rPr>
          <w:i/>
          <w:sz w:val="20"/>
        </w:rPr>
        <w:t>[recyclate]</w:t>
      </w:r>
      <w:r>
        <w:rPr>
          <w:i/>
          <w:spacing w:val="-11"/>
          <w:sz w:val="20"/>
        </w:rPr>
        <w:t> </w:t>
      </w:r>
      <w:r>
        <w:rPr>
          <w:i/>
          <w:sz w:val="20"/>
        </w:rPr>
        <w:t>is</w:t>
      </w:r>
      <w:r>
        <w:rPr>
          <w:i/>
          <w:spacing w:val="-11"/>
          <w:sz w:val="20"/>
        </w:rPr>
        <w:t> </w:t>
      </w:r>
      <w:r>
        <w:rPr>
          <w:i/>
          <w:sz w:val="20"/>
        </w:rPr>
        <w:t>kept</w:t>
      </w:r>
      <w:r>
        <w:rPr>
          <w:i/>
          <w:spacing w:val="-10"/>
          <w:sz w:val="20"/>
        </w:rPr>
        <w:t> </w:t>
      </w:r>
      <w:r>
        <w:rPr>
          <w:i/>
          <w:sz w:val="20"/>
        </w:rPr>
        <w:t>separate</w:t>
      </w:r>
      <w:r>
        <w:rPr>
          <w:i/>
          <w:spacing w:val="-14"/>
          <w:sz w:val="20"/>
        </w:rPr>
        <w:t> </w:t>
      </w:r>
      <w:r>
        <w:rPr>
          <w:i/>
          <w:sz w:val="20"/>
        </w:rPr>
        <w:t>at</w:t>
      </w:r>
      <w:r>
        <w:rPr>
          <w:i/>
          <w:spacing w:val="-10"/>
          <w:sz w:val="20"/>
        </w:rPr>
        <w:t> </w:t>
      </w:r>
      <w:r>
        <w:rPr>
          <w:i/>
          <w:sz w:val="20"/>
        </w:rPr>
        <w:t>source</w:t>
      </w:r>
      <w:r>
        <w:rPr>
          <w:i/>
          <w:spacing w:val="-10"/>
          <w:sz w:val="20"/>
        </w:rPr>
        <w:t> </w:t>
      </w:r>
      <w:r>
        <w:rPr>
          <w:i/>
          <w:sz w:val="20"/>
        </w:rPr>
        <w:t>its</w:t>
      </w:r>
      <w:r>
        <w:rPr>
          <w:i/>
          <w:spacing w:val="-11"/>
          <w:sz w:val="20"/>
        </w:rPr>
        <w:t> </w:t>
      </w:r>
      <w:r>
        <w:rPr>
          <w:i/>
          <w:sz w:val="20"/>
        </w:rPr>
        <w:t>quality</w:t>
      </w:r>
      <w:r>
        <w:rPr>
          <w:i/>
          <w:spacing w:val="-11"/>
          <w:sz w:val="20"/>
        </w:rPr>
        <w:t> </w:t>
      </w:r>
      <w:r>
        <w:rPr>
          <w:i/>
          <w:sz w:val="20"/>
        </w:rPr>
        <w:t>is</w:t>
      </w:r>
      <w:r>
        <w:rPr>
          <w:i/>
          <w:spacing w:val="-11"/>
          <w:sz w:val="20"/>
        </w:rPr>
        <w:t> </w:t>
      </w:r>
      <w:r>
        <w:rPr>
          <w:i/>
          <w:sz w:val="20"/>
        </w:rPr>
        <w:t>assured;</w:t>
      </w:r>
      <w:r>
        <w:rPr>
          <w:i/>
          <w:spacing w:val="-11"/>
          <w:sz w:val="20"/>
        </w:rPr>
        <w:t> </w:t>
      </w:r>
      <w:r>
        <w:rPr>
          <w:i/>
          <w:sz w:val="20"/>
        </w:rPr>
        <w:t>if</w:t>
      </w:r>
      <w:r>
        <w:rPr>
          <w:i/>
          <w:spacing w:val="-11"/>
          <w:sz w:val="20"/>
        </w:rPr>
        <w:t> </w:t>
      </w:r>
      <w:r>
        <w:rPr>
          <w:i/>
          <w:sz w:val="20"/>
        </w:rPr>
        <w:t>it</w:t>
      </w:r>
      <w:r>
        <w:rPr>
          <w:i/>
          <w:spacing w:val="-10"/>
          <w:sz w:val="20"/>
        </w:rPr>
        <w:t> </w:t>
      </w:r>
      <w:r>
        <w:rPr>
          <w:i/>
          <w:sz w:val="20"/>
        </w:rPr>
        <w:t>is</w:t>
      </w:r>
      <w:r>
        <w:rPr>
          <w:i/>
          <w:spacing w:val="-6"/>
          <w:sz w:val="20"/>
        </w:rPr>
        <w:t> </w:t>
      </w:r>
      <w:r>
        <w:rPr>
          <w:i/>
          <w:sz w:val="20"/>
        </w:rPr>
        <w:t>mixed</w:t>
      </w:r>
      <w:r>
        <w:rPr>
          <w:i/>
          <w:spacing w:val="-12"/>
          <w:sz w:val="20"/>
        </w:rPr>
        <w:t> </w:t>
      </w:r>
      <w:r>
        <w:rPr>
          <w:i/>
          <w:sz w:val="20"/>
        </w:rPr>
        <w:t>with</w:t>
      </w:r>
      <w:r>
        <w:rPr>
          <w:i/>
          <w:spacing w:val="-10"/>
          <w:sz w:val="20"/>
        </w:rPr>
        <w:t> </w:t>
      </w:r>
      <w:r>
        <w:rPr>
          <w:i/>
          <w:sz w:val="20"/>
        </w:rPr>
        <w:t>other</w:t>
      </w:r>
      <w:r>
        <w:rPr>
          <w:i/>
          <w:spacing w:val="-10"/>
          <w:sz w:val="20"/>
        </w:rPr>
        <w:t> </w:t>
      </w:r>
      <w:r>
        <w:rPr>
          <w:i/>
          <w:sz w:val="20"/>
        </w:rPr>
        <w:t>recyclate</w:t>
      </w:r>
      <w:r>
        <w:rPr>
          <w:i/>
          <w:spacing w:val="-9"/>
          <w:sz w:val="20"/>
        </w:rPr>
        <w:t> </w:t>
      </w:r>
      <w:r>
        <w:rPr>
          <w:i/>
          <w:sz w:val="20"/>
        </w:rPr>
        <w:t>at</w:t>
      </w:r>
      <w:r>
        <w:rPr>
          <w:i/>
          <w:spacing w:val="-12"/>
          <w:sz w:val="20"/>
        </w:rPr>
        <w:t> </w:t>
      </w:r>
      <w:r>
        <w:rPr>
          <w:i/>
          <w:sz w:val="20"/>
        </w:rPr>
        <w:t>source </w:t>
      </w:r>
      <w:r>
        <w:rPr>
          <w:i/>
          <w:sz w:val="20"/>
        </w:rPr>
        <w:t>then</w:t>
      </w:r>
      <w:r>
        <w:rPr>
          <w:i/>
          <w:spacing w:val="-8"/>
          <w:sz w:val="20"/>
        </w:rPr>
        <w:t> </w:t>
      </w:r>
      <w:r>
        <w:rPr>
          <w:i/>
          <w:sz w:val="20"/>
        </w:rPr>
        <w:t>expensive</w:t>
      </w:r>
      <w:r>
        <w:rPr>
          <w:i/>
          <w:spacing w:val="-9"/>
          <w:sz w:val="20"/>
        </w:rPr>
        <w:t> </w:t>
      </w:r>
      <w:r>
        <w:rPr>
          <w:i/>
          <w:sz w:val="20"/>
        </w:rPr>
        <w:t>and</w:t>
      </w:r>
      <w:r>
        <w:rPr>
          <w:i/>
          <w:spacing w:val="-10"/>
          <w:sz w:val="20"/>
        </w:rPr>
        <w:t> </w:t>
      </w:r>
      <w:r>
        <w:rPr>
          <w:i/>
          <w:sz w:val="20"/>
        </w:rPr>
        <w:t>energy</w:t>
      </w:r>
      <w:r>
        <w:rPr>
          <w:i/>
          <w:spacing w:val="-9"/>
          <w:sz w:val="20"/>
        </w:rPr>
        <w:t> </w:t>
      </w:r>
      <w:r>
        <w:rPr>
          <w:i/>
          <w:sz w:val="20"/>
        </w:rPr>
        <w:t>using</w:t>
      </w:r>
      <w:r>
        <w:rPr>
          <w:i/>
          <w:spacing w:val="-8"/>
          <w:sz w:val="20"/>
        </w:rPr>
        <w:t> </w:t>
      </w:r>
      <w:r>
        <w:rPr>
          <w:i/>
          <w:sz w:val="20"/>
        </w:rPr>
        <w:t>mechanical</w:t>
      </w:r>
      <w:r>
        <w:rPr>
          <w:i/>
          <w:spacing w:val="-11"/>
          <w:sz w:val="20"/>
        </w:rPr>
        <w:t> </w:t>
      </w:r>
      <w:r>
        <w:rPr>
          <w:i/>
          <w:sz w:val="20"/>
        </w:rPr>
        <w:t>processing</w:t>
      </w:r>
      <w:r>
        <w:rPr>
          <w:i/>
          <w:spacing w:val="-8"/>
          <w:sz w:val="20"/>
        </w:rPr>
        <w:t> </w:t>
      </w:r>
      <w:r>
        <w:rPr>
          <w:i/>
          <w:sz w:val="20"/>
        </w:rPr>
        <w:t>usually</w:t>
      </w:r>
      <w:r>
        <w:rPr>
          <w:i/>
          <w:spacing w:val="-10"/>
          <w:sz w:val="20"/>
        </w:rPr>
        <w:t> </w:t>
      </w:r>
      <w:r>
        <w:rPr>
          <w:i/>
          <w:sz w:val="20"/>
        </w:rPr>
        <w:t>need</w:t>
      </w:r>
      <w:r>
        <w:rPr>
          <w:i/>
          <w:spacing w:val="-4"/>
          <w:sz w:val="20"/>
        </w:rPr>
        <w:t> </w:t>
      </w:r>
      <w:r>
        <w:rPr>
          <w:i/>
          <w:sz w:val="20"/>
        </w:rPr>
        <w:t>to</w:t>
      </w:r>
      <w:r>
        <w:rPr>
          <w:i/>
          <w:spacing w:val="-10"/>
          <w:sz w:val="20"/>
        </w:rPr>
        <w:t> </w:t>
      </w:r>
      <w:r>
        <w:rPr>
          <w:i/>
          <w:sz w:val="20"/>
        </w:rPr>
        <w:t>be</w:t>
      </w:r>
      <w:r>
        <w:rPr>
          <w:i/>
          <w:spacing w:val="-11"/>
          <w:sz w:val="20"/>
        </w:rPr>
        <w:t> </w:t>
      </w:r>
      <w:r>
        <w:rPr>
          <w:i/>
          <w:sz w:val="20"/>
        </w:rPr>
        <w:t>employed</w:t>
      </w:r>
      <w:r>
        <w:rPr>
          <w:i/>
          <w:spacing w:val="-10"/>
          <w:sz w:val="20"/>
        </w:rPr>
        <w:t> </w:t>
      </w:r>
      <w:r>
        <w:rPr>
          <w:i/>
          <w:sz w:val="20"/>
        </w:rPr>
        <w:t>to</w:t>
      </w:r>
      <w:r>
        <w:rPr>
          <w:i/>
          <w:spacing w:val="-10"/>
          <w:sz w:val="20"/>
        </w:rPr>
        <w:t> </w:t>
      </w:r>
      <w:r>
        <w:rPr>
          <w:i/>
          <w:sz w:val="20"/>
        </w:rPr>
        <w:t>separate</w:t>
      </w:r>
      <w:r>
        <w:rPr>
          <w:i/>
          <w:spacing w:val="-8"/>
          <w:sz w:val="20"/>
        </w:rPr>
        <w:t> </w:t>
      </w:r>
      <w:r>
        <w:rPr>
          <w:i/>
          <w:sz w:val="20"/>
        </w:rPr>
        <w:t>it</w:t>
      </w:r>
      <w:r>
        <w:rPr>
          <w:i/>
          <w:spacing w:val="-8"/>
          <w:sz w:val="20"/>
        </w:rPr>
        <w:t> </w:t>
      </w:r>
      <w:r>
        <w:rPr>
          <w:i/>
          <w:sz w:val="20"/>
        </w:rPr>
        <w:t>out again. The more materials are mixed together at source, the more mechanical effort is required to separate them out again. This can never be 100%</w:t>
      </w:r>
      <w:r>
        <w:rPr>
          <w:i/>
          <w:spacing w:val="-22"/>
          <w:sz w:val="20"/>
        </w:rPr>
        <w:t> </w:t>
      </w:r>
      <w:r>
        <w:rPr>
          <w:i/>
          <w:sz w:val="20"/>
        </w:rPr>
        <w:t>efficient.</w:t>
      </w:r>
    </w:p>
    <w:p>
      <w:pPr>
        <w:pStyle w:val="BodyText"/>
        <w:spacing w:before="1"/>
        <w:rPr>
          <w:i/>
        </w:rPr>
      </w:pPr>
    </w:p>
    <w:p>
      <w:pPr>
        <w:pStyle w:val="BodyText"/>
        <w:ind w:left="560" w:right="115"/>
        <w:jc w:val="both"/>
      </w:pPr>
      <w:r>
        <w:rPr/>
        <w:t>The Commonwealth of Australia’s </w:t>
      </w:r>
      <w:r>
        <w:rPr>
          <w:i/>
        </w:rPr>
        <w:t>Report on Waste and Recycling Industry in Australia </w:t>
      </w:r>
      <w:r>
        <w:rPr/>
        <w:t>(2018), based on submissions made by the resource recovery sector to a select committee hearing, presents eight submissions (from Re.Group, Maitland City Council, the Waste Management Association of Australia (WMAA), the Total Environment</w:t>
      </w:r>
      <w:r>
        <w:rPr>
          <w:spacing w:val="-4"/>
        </w:rPr>
        <w:t> </w:t>
      </w:r>
      <w:r>
        <w:rPr/>
        <w:t>Centre/Boomerang</w:t>
      </w:r>
      <w:r>
        <w:rPr>
          <w:spacing w:val="-5"/>
        </w:rPr>
        <w:t> </w:t>
      </w:r>
      <w:r>
        <w:rPr/>
        <w:t>Alliance,</w:t>
      </w:r>
      <w:r>
        <w:rPr>
          <w:spacing w:val="-4"/>
        </w:rPr>
        <w:t> </w:t>
      </w:r>
      <w:r>
        <w:rPr/>
        <w:t>Visy,</w:t>
      </w:r>
      <w:r>
        <w:rPr>
          <w:spacing w:val="-4"/>
        </w:rPr>
        <w:t> </w:t>
      </w:r>
      <w:r>
        <w:rPr/>
        <w:t>and</w:t>
      </w:r>
      <w:r>
        <w:rPr>
          <w:spacing w:val="-4"/>
        </w:rPr>
        <w:t> </w:t>
      </w:r>
      <w:r>
        <w:rPr/>
        <w:t>the</w:t>
      </w:r>
      <w:r>
        <w:rPr>
          <w:spacing w:val="-5"/>
        </w:rPr>
        <w:t> </w:t>
      </w:r>
      <w:r>
        <w:rPr/>
        <w:t>Governments</w:t>
      </w:r>
      <w:r>
        <w:rPr>
          <w:spacing w:val="-3"/>
        </w:rPr>
        <w:t> </w:t>
      </w:r>
      <w:r>
        <w:rPr/>
        <w:t>of</w:t>
      </w:r>
      <w:r>
        <w:rPr>
          <w:spacing w:val="-5"/>
        </w:rPr>
        <w:t> </w:t>
      </w:r>
      <w:r>
        <w:rPr/>
        <w:t>Western</w:t>
      </w:r>
      <w:r>
        <w:rPr>
          <w:spacing w:val="-4"/>
        </w:rPr>
        <w:t> </w:t>
      </w:r>
      <w:r>
        <w:rPr/>
        <w:t>Australia,</w:t>
      </w:r>
      <w:r>
        <w:rPr>
          <w:spacing w:val="-4"/>
        </w:rPr>
        <w:t> </w:t>
      </w:r>
      <w:r>
        <w:rPr/>
        <w:t>South</w:t>
      </w:r>
      <w:r>
        <w:rPr>
          <w:spacing w:val="-3"/>
        </w:rPr>
        <w:t> </w:t>
      </w:r>
      <w:r>
        <w:rPr/>
        <w:t>Australia</w:t>
      </w:r>
      <w:r>
        <w:rPr>
          <w:spacing w:val="-4"/>
        </w:rPr>
        <w:t> </w:t>
      </w:r>
      <w:r>
        <w:rPr/>
        <w:t>and the Australian Capital Territory) that link comingled recycling systems with contamination and low value recyclate material and advocated for source separation of materials. Re.Group noted that “Contamination management</w:t>
      </w:r>
      <w:r>
        <w:rPr>
          <w:spacing w:val="19"/>
        </w:rPr>
        <w:t> </w:t>
      </w:r>
      <w:r>
        <w:rPr/>
        <w:t>is</w:t>
      </w:r>
      <w:r>
        <w:rPr>
          <w:spacing w:val="19"/>
        </w:rPr>
        <w:t> </w:t>
      </w:r>
      <w:r>
        <w:rPr/>
        <w:t>a</w:t>
      </w:r>
      <w:r>
        <w:rPr>
          <w:spacing w:val="21"/>
        </w:rPr>
        <w:t> </w:t>
      </w:r>
      <w:r>
        <w:rPr/>
        <w:t>key</w:t>
      </w:r>
      <w:r>
        <w:rPr>
          <w:spacing w:val="22"/>
        </w:rPr>
        <w:t> </w:t>
      </w:r>
      <w:r>
        <w:rPr/>
        <w:t>factor</w:t>
      </w:r>
      <w:r>
        <w:rPr>
          <w:spacing w:val="-14"/>
        </w:rPr>
        <w:t> </w:t>
      </w:r>
      <w:r>
        <w:rPr/>
        <w:t>in</w:t>
      </w:r>
      <w:r>
        <w:rPr>
          <w:spacing w:val="-13"/>
        </w:rPr>
        <w:t> </w:t>
      </w:r>
      <w:r>
        <w:rPr/>
        <w:t>the</w:t>
      </w:r>
      <w:r>
        <w:rPr>
          <w:spacing w:val="-15"/>
        </w:rPr>
        <w:t> </w:t>
      </w:r>
      <w:r>
        <w:rPr/>
        <w:t>cost</w:t>
      </w:r>
      <w:r>
        <w:rPr>
          <w:spacing w:val="-14"/>
        </w:rPr>
        <w:t> </w:t>
      </w:r>
      <w:r>
        <w:rPr/>
        <w:t>of</w:t>
      </w:r>
      <w:r>
        <w:rPr>
          <w:spacing w:val="-15"/>
        </w:rPr>
        <w:t> </w:t>
      </w:r>
      <w:r>
        <w:rPr/>
        <w:t>operating</w:t>
      </w:r>
      <w:r>
        <w:rPr>
          <w:spacing w:val="-12"/>
        </w:rPr>
        <w:t> </w:t>
      </w:r>
      <w:r>
        <w:rPr/>
        <w:t>a</w:t>
      </w:r>
      <w:r>
        <w:rPr>
          <w:spacing w:val="-13"/>
        </w:rPr>
        <w:t> </w:t>
      </w:r>
      <w:r>
        <w:rPr/>
        <w:t>recycling</w:t>
      </w:r>
      <w:r>
        <w:rPr>
          <w:spacing w:val="-14"/>
        </w:rPr>
        <w:t> </w:t>
      </w:r>
      <w:r>
        <w:rPr/>
        <w:t>facility.”</w:t>
      </w:r>
      <w:r>
        <w:rPr>
          <w:spacing w:val="-11"/>
        </w:rPr>
        <w:t> </w:t>
      </w:r>
      <w:r>
        <w:rPr/>
        <w:t>Two</w:t>
      </w:r>
      <w:r>
        <w:rPr>
          <w:spacing w:val="-11"/>
        </w:rPr>
        <w:t> </w:t>
      </w:r>
      <w:r>
        <w:rPr/>
        <w:t>other</w:t>
      </w:r>
      <w:r>
        <w:rPr>
          <w:spacing w:val="-14"/>
        </w:rPr>
        <w:t> </w:t>
      </w:r>
      <w:r>
        <w:rPr/>
        <w:t>submitters</w:t>
      </w:r>
      <w:r>
        <w:rPr>
          <w:spacing w:val="-13"/>
        </w:rPr>
        <w:t> </w:t>
      </w:r>
      <w:r>
        <w:rPr/>
        <w:t>OI</w:t>
      </w:r>
      <w:r>
        <w:rPr>
          <w:spacing w:val="-14"/>
        </w:rPr>
        <w:t> </w:t>
      </w:r>
      <w:r>
        <w:rPr/>
        <w:t>(glass</w:t>
      </w:r>
      <w:r>
        <w:rPr>
          <w:spacing w:val="-13"/>
        </w:rPr>
        <w:t> </w:t>
      </w:r>
      <w:r>
        <w:rPr/>
        <w:t>recycler) and Equilibrium noted that comingled kerbside systems result in a significant level of small glass fragments and contaminants that cannot be used in recycled glass manufacturing and that high compaction rates break glass into small fragments that cannot be extracted, and contaminates other recyclable</w:t>
      </w:r>
      <w:r>
        <w:rPr>
          <w:spacing w:val="-31"/>
        </w:rPr>
        <w:t> </w:t>
      </w:r>
      <w:r>
        <w:rPr/>
        <w:t>materials.</w:t>
      </w:r>
    </w:p>
    <w:p>
      <w:pPr>
        <w:pStyle w:val="BodyText"/>
        <w:spacing w:before="1"/>
      </w:pPr>
    </w:p>
    <w:p>
      <w:pPr>
        <w:spacing w:before="0"/>
        <w:ind w:left="560" w:right="0" w:firstLine="0"/>
        <w:jc w:val="both"/>
        <w:rPr>
          <w:sz w:val="20"/>
        </w:rPr>
      </w:pPr>
      <w:r>
        <w:rPr>
          <w:sz w:val="20"/>
        </w:rPr>
        <w:t>The </w:t>
      </w:r>
      <w:r>
        <w:rPr>
          <w:i/>
          <w:sz w:val="20"/>
        </w:rPr>
        <w:t>DEFRA report </w:t>
      </w:r>
      <w:r>
        <w:rPr>
          <w:sz w:val="20"/>
        </w:rPr>
        <w:t>(2019) states that:</w:t>
      </w:r>
    </w:p>
    <w:p>
      <w:pPr>
        <w:pStyle w:val="BodyText"/>
        <w:spacing w:before="10"/>
        <w:rPr>
          <w:sz w:val="19"/>
        </w:rPr>
      </w:pPr>
    </w:p>
    <w:p>
      <w:pPr>
        <w:spacing w:before="1"/>
        <w:ind w:left="987" w:right="494" w:firstLine="0"/>
        <w:jc w:val="both"/>
        <w:rPr>
          <w:i/>
          <w:sz w:val="20"/>
        </w:rPr>
      </w:pPr>
      <w:r>
        <w:rPr>
          <w:i/>
          <w:sz w:val="20"/>
        </w:rPr>
        <w:t>Comingled collections typically contain more contamination, which cannot always be dealt with </w:t>
      </w:r>
      <w:r>
        <w:rPr>
          <w:i/>
          <w:sz w:val="20"/>
        </w:rPr>
        <w:t>efficiently by sorting facilities. Higher levels of contamination from non-target materials can increase costs</w:t>
      </w:r>
      <w:r>
        <w:rPr>
          <w:i/>
          <w:spacing w:val="-8"/>
          <w:sz w:val="20"/>
        </w:rPr>
        <w:t> </w:t>
      </w:r>
      <w:r>
        <w:rPr>
          <w:i/>
          <w:sz w:val="20"/>
        </w:rPr>
        <w:t>of</w:t>
      </w:r>
      <w:r>
        <w:rPr>
          <w:i/>
          <w:spacing w:val="-9"/>
          <w:sz w:val="20"/>
        </w:rPr>
        <w:t> </w:t>
      </w:r>
      <w:r>
        <w:rPr>
          <w:i/>
          <w:sz w:val="20"/>
        </w:rPr>
        <w:t>collection</w:t>
      </w:r>
      <w:r>
        <w:rPr>
          <w:i/>
          <w:spacing w:val="-7"/>
          <w:sz w:val="20"/>
        </w:rPr>
        <w:t> </w:t>
      </w:r>
      <w:r>
        <w:rPr>
          <w:i/>
          <w:sz w:val="20"/>
        </w:rPr>
        <w:t>and</w:t>
      </w:r>
      <w:r>
        <w:rPr>
          <w:i/>
          <w:spacing w:val="-7"/>
          <w:sz w:val="20"/>
        </w:rPr>
        <w:t> </w:t>
      </w:r>
      <w:r>
        <w:rPr>
          <w:i/>
          <w:sz w:val="20"/>
        </w:rPr>
        <w:t>sorting,</w:t>
      </w:r>
      <w:r>
        <w:rPr>
          <w:i/>
          <w:spacing w:val="-10"/>
          <w:sz w:val="20"/>
        </w:rPr>
        <w:t> </w:t>
      </w:r>
      <w:r>
        <w:rPr>
          <w:i/>
          <w:sz w:val="20"/>
        </w:rPr>
        <w:t>and</w:t>
      </w:r>
      <w:r>
        <w:rPr>
          <w:i/>
          <w:spacing w:val="-9"/>
          <w:sz w:val="20"/>
        </w:rPr>
        <w:t> </w:t>
      </w:r>
      <w:r>
        <w:rPr>
          <w:i/>
          <w:sz w:val="20"/>
        </w:rPr>
        <w:t>reduce</w:t>
      </w:r>
      <w:r>
        <w:rPr>
          <w:i/>
          <w:spacing w:val="-10"/>
          <w:sz w:val="20"/>
        </w:rPr>
        <w:t> </w:t>
      </w:r>
      <w:r>
        <w:rPr>
          <w:i/>
          <w:sz w:val="20"/>
        </w:rPr>
        <w:t>the</w:t>
      </w:r>
      <w:r>
        <w:rPr>
          <w:i/>
          <w:spacing w:val="-10"/>
          <w:sz w:val="20"/>
        </w:rPr>
        <w:t> </w:t>
      </w:r>
      <w:r>
        <w:rPr>
          <w:i/>
          <w:sz w:val="20"/>
        </w:rPr>
        <w:t>overall</w:t>
      </w:r>
      <w:r>
        <w:rPr>
          <w:i/>
          <w:spacing w:val="-8"/>
          <w:sz w:val="20"/>
        </w:rPr>
        <w:t> </w:t>
      </w:r>
      <w:r>
        <w:rPr>
          <w:i/>
          <w:sz w:val="20"/>
        </w:rPr>
        <w:t>value</w:t>
      </w:r>
      <w:r>
        <w:rPr>
          <w:i/>
          <w:spacing w:val="-9"/>
          <w:sz w:val="20"/>
        </w:rPr>
        <w:t> </w:t>
      </w:r>
      <w:r>
        <w:rPr>
          <w:i/>
          <w:sz w:val="20"/>
        </w:rPr>
        <w:t>of</w:t>
      </w:r>
      <w:r>
        <w:rPr>
          <w:i/>
          <w:spacing w:val="-9"/>
          <w:sz w:val="20"/>
        </w:rPr>
        <w:t> </w:t>
      </w:r>
      <w:r>
        <w:rPr>
          <w:i/>
          <w:sz w:val="20"/>
        </w:rPr>
        <w:t>secondary</w:t>
      </w:r>
      <w:r>
        <w:rPr>
          <w:i/>
          <w:spacing w:val="-8"/>
          <w:sz w:val="20"/>
        </w:rPr>
        <w:t> </w:t>
      </w:r>
      <w:r>
        <w:rPr>
          <w:i/>
          <w:sz w:val="20"/>
        </w:rPr>
        <w:t>materials…</w:t>
      </w:r>
      <w:r>
        <w:rPr>
          <w:i/>
          <w:spacing w:val="-9"/>
          <w:sz w:val="20"/>
        </w:rPr>
        <w:t> </w:t>
      </w:r>
      <w:r>
        <w:rPr>
          <w:i/>
          <w:sz w:val="20"/>
        </w:rPr>
        <w:t>Available</w:t>
      </w:r>
      <w:r>
        <w:rPr>
          <w:i/>
          <w:spacing w:val="-7"/>
          <w:sz w:val="20"/>
        </w:rPr>
        <w:t> </w:t>
      </w:r>
      <w:r>
        <w:rPr>
          <w:i/>
          <w:sz w:val="20"/>
        </w:rPr>
        <w:t>data</w:t>
      </w:r>
      <w:r>
        <w:rPr>
          <w:i/>
          <w:spacing w:val="-9"/>
          <w:sz w:val="20"/>
        </w:rPr>
        <w:t> </w:t>
      </w:r>
      <w:r>
        <w:rPr>
          <w:i/>
          <w:sz w:val="20"/>
        </w:rPr>
        <w:t>for sampling of inputs to MRFs shows that 15.2% of material sent to be sorted was either non-target material or non-recyclable</w:t>
      </w:r>
      <w:r>
        <w:rPr>
          <w:i/>
          <w:spacing w:val="-15"/>
          <w:sz w:val="20"/>
        </w:rPr>
        <w:t> </w:t>
      </w:r>
      <w:r>
        <w:rPr>
          <w:i/>
          <w:sz w:val="20"/>
        </w:rPr>
        <w:t>material.</w:t>
      </w:r>
    </w:p>
    <w:p>
      <w:pPr>
        <w:pStyle w:val="BodyText"/>
        <w:spacing w:before="11"/>
        <w:rPr>
          <w:i/>
          <w:sz w:val="19"/>
        </w:rPr>
      </w:pPr>
    </w:p>
    <w:p>
      <w:pPr>
        <w:pStyle w:val="BodyText"/>
        <w:ind w:left="560" w:right="121"/>
        <w:jc w:val="both"/>
      </w:pPr>
      <w:r>
        <w:rPr/>
        <w:t>The report goes on to say that research (by WRAP UK, Zero Waste Scotland, the Welsh Government and WRAP Cymru) demonstrates that multi-stream / two stream collections contain significantly less contamination than comingled collections because the recycling is pre-sorted into separate streams by the householder and then further sorting is carried out at the kerbside meaning “non-target and non-recyclable” items are left in the recycling receptacle.</w:t>
      </w:r>
    </w:p>
    <w:p>
      <w:pPr>
        <w:pStyle w:val="BodyText"/>
      </w:pPr>
    </w:p>
    <w:p>
      <w:pPr>
        <w:pStyle w:val="BodyText"/>
        <w:spacing w:line="256" w:lineRule="auto"/>
        <w:ind w:left="560" w:right="115"/>
        <w:jc w:val="both"/>
      </w:pPr>
      <w:r>
        <w:rPr/>
        <w:t>This</w:t>
      </w:r>
      <w:r>
        <w:rPr>
          <w:spacing w:val="-4"/>
        </w:rPr>
        <w:t> </w:t>
      </w:r>
      <w:r>
        <w:rPr/>
        <w:t>is</w:t>
      </w:r>
      <w:r>
        <w:rPr>
          <w:spacing w:val="-4"/>
        </w:rPr>
        <w:t> </w:t>
      </w:r>
      <w:r>
        <w:rPr/>
        <w:t>backed</w:t>
      </w:r>
      <w:r>
        <w:rPr>
          <w:spacing w:val="-4"/>
        </w:rPr>
        <w:t> </w:t>
      </w:r>
      <w:r>
        <w:rPr/>
        <w:t>up</w:t>
      </w:r>
      <w:r>
        <w:rPr>
          <w:spacing w:val="-4"/>
        </w:rPr>
        <w:t> </w:t>
      </w:r>
      <w:r>
        <w:rPr/>
        <w:t>by</w:t>
      </w:r>
      <w:r>
        <w:rPr>
          <w:spacing w:val="-4"/>
        </w:rPr>
        <w:t> </w:t>
      </w:r>
      <w:r>
        <w:rPr/>
        <w:t>a</w:t>
      </w:r>
      <w:r>
        <w:rPr>
          <w:spacing w:val="-4"/>
        </w:rPr>
        <w:t> </w:t>
      </w:r>
      <w:r>
        <w:rPr/>
        <w:t>European</w:t>
      </w:r>
      <w:r>
        <w:rPr>
          <w:spacing w:val="-4"/>
        </w:rPr>
        <w:t> </w:t>
      </w:r>
      <w:r>
        <w:rPr/>
        <w:t>Commission</w:t>
      </w:r>
      <w:r>
        <w:rPr>
          <w:spacing w:val="-4"/>
        </w:rPr>
        <w:t> </w:t>
      </w:r>
      <w:r>
        <w:rPr/>
        <w:t>report</w:t>
      </w:r>
      <w:r>
        <w:rPr>
          <w:spacing w:val="-4"/>
        </w:rPr>
        <w:t> </w:t>
      </w:r>
      <w:r>
        <w:rPr/>
        <w:t>on</w:t>
      </w:r>
      <w:r>
        <w:rPr>
          <w:spacing w:val="1"/>
        </w:rPr>
        <w:t> </w:t>
      </w:r>
      <w:r>
        <w:rPr>
          <w:i/>
        </w:rPr>
        <w:t>The</w:t>
      </w:r>
      <w:r>
        <w:rPr>
          <w:i/>
          <w:spacing w:val="-3"/>
        </w:rPr>
        <w:t> </w:t>
      </w:r>
      <w:r>
        <w:rPr>
          <w:i/>
        </w:rPr>
        <w:t>Assessment</w:t>
      </w:r>
      <w:r>
        <w:rPr>
          <w:i/>
          <w:spacing w:val="-4"/>
        </w:rPr>
        <w:t> </w:t>
      </w:r>
      <w:r>
        <w:rPr>
          <w:i/>
        </w:rPr>
        <w:t>of</w:t>
      </w:r>
      <w:r>
        <w:rPr>
          <w:i/>
          <w:spacing w:val="-5"/>
        </w:rPr>
        <w:t> </w:t>
      </w:r>
      <w:r>
        <w:rPr>
          <w:i/>
        </w:rPr>
        <w:t>separate</w:t>
      </w:r>
      <w:r>
        <w:rPr>
          <w:i/>
          <w:spacing w:val="-4"/>
        </w:rPr>
        <w:t> </w:t>
      </w:r>
      <w:r>
        <w:rPr>
          <w:i/>
        </w:rPr>
        <w:t>collection</w:t>
      </w:r>
      <w:r>
        <w:rPr>
          <w:i/>
          <w:spacing w:val="-4"/>
        </w:rPr>
        <w:t> </w:t>
      </w:r>
      <w:r>
        <w:rPr>
          <w:i/>
        </w:rPr>
        <w:t>schemes</w:t>
      </w:r>
      <w:r>
        <w:rPr>
          <w:i/>
          <w:spacing w:val="-5"/>
        </w:rPr>
        <w:t> </w:t>
      </w:r>
      <w:r>
        <w:rPr>
          <w:i/>
        </w:rPr>
        <w:t>in</w:t>
      </w:r>
      <w:r>
        <w:rPr>
          <w:i/>
          <w:spacing w:val="-4"/>
        </w:rPr>
        <w:t> </w:t>
      </w:r>
      <w:r>
        <w:rPr>
          <w:i/>
        </w:rPr>
        <w:t>the</w:t>
      </w:r>
      <w:r>
        <w:rPr>
          <w:i/>
          <w:spacing w:val="-4"/>
        </w:rPr>
        <w:t> </w:t>
      </w:r>
      <w:r>
        <w:rPr>
          <w:i/>
        </w:rPr>
        <w:t>28 </w:t>
      </w:r>
      <w:r>
        <w:rPr>
          <w:i/>
        </w:rPr>
        <w:t>capitals</w:t>
      </w:r>
      <w:r>
        <w:rPr>
          <w:i/>
          <w:spacing w:val="-13"/>
        </w:rPr>
        <w:t> </w:t>
      </w:r>
      <w:r>
        <w:rPr>
          <w:i/>
        </w:rPr>
        <w:t>of</w:t>
      </w:r>
      <w:r>
        <w:rPr>
          <w:i/>
          <w:spacing w:val="-12"/>
        </w:rPr>
        <w:t> </w:t>
      </w:r>
      <w:r>
        <w:rPr>
          <w:i/>
        </w:rPr>
        <w:t>the</w:t>
      </w:r>
      <w:r>
        <w:rPr>
          <w:i/>
          <w:spacing w:val="-11"/>
        </w:rPr>
        <w:t> </w:t>
      </w:r>
      <w:r>
        <w:rPr>
          <w:i/>
        </w:rPr>
        <w:t>EU</w:t>
      </w:r>
      <w:r>
        <w:rPr>
          <w:i/>
          <w:spacing w:val="-11"/>
        </w:rPr>
        <w:t> </w:t>
      </w:r>
      <w:r>
        <w:rPr/>
        <w:t>(2016)</w:t>
      </w:r>
      <w:r>
        <w:rPr>
          <w:spacing w:val="-11"/>
        </w:rPr>
        <w:t> </w:t>
      </w:r>
      <w:r>
        <w:rPr/>
        <w:t>that</w:t>
      </w:r>
      <w:r>
        <w:rPr>
          <w:spacing w:val="-11"/>
        </w:rPr>
        <w:t> </w:t>
      </w:r>
      <w:r>
        <w:rPr/>
        <w:t>compares</w:t>
      </w:r>
      <w:r>
        <w:rPr>
          <w:spacing w:val="-10"/>
        </w:rPr>
        <w:t> </w:t>
      </w:r>
      <w:r>
        <w:rPr/>
        <w:t>the</w:t>
      </w:r>
      <w:r>
        <w:rPr>
          <w:spacing w:val="-12"/>
        </w:rPr>
        <w:t> </w:t>
      </w:r>
      <w:r>
        <w:rPr/>
        <w:t>recycling</w:t>
      </w:r>
      <w:r>
        <w:rPr>
          <w:spacing w:val="-12"/>
        </w:rPr>
        <w:t> </w:t>
      </w:r>
      <w:r>
        <w:rPr/>
        <w:t>systems</w:t>
      </w:r>
      <w:r>
        <w:rPr>
          <w:spacing w:val="-10"/>
        </w:rPr>
        <w:t> </w:t>
      </w:r>
      <w:r>
        <w:rPr/>
        <w:t>(both</w:t>
      </w:r>
      <w:r>
        <w:rPr>
          <w:spacing w:val="-11"/>
        </w:rPr>
        <w:t> </w:t>
      </w:r>
      <w:r>
        <w:rPr/>
        <w:t>kerbside</w:t>
      </w:r>
      <w:r>
        <w:rPr>
          <w:spacing w:val="-12"/>
        </w:rPr>
        <w:t> </w:t>
      </w:r>
      <w:r>
        <w:rPr/>
        <w:t>and</w:t>
      </w:r>
      <w:r>
        <w:rPr>
          <w:spacing w:val="-11"/>
        </w:rPr>
        <w:t> </w:t>
      </w:r>
      <w:r>
        <w:rPr/>
        <w:t>bring</w:t>
      </w:r>
      <w:r>
        <w:rPr>
          <w:spacing w:val="-12"/>
        </w:rPr>
        <w:t> </w:t>
      </w:r>
      <w:r>
        <w:rPr/>
        <w:t>to)</w:t>
      </w:r>
      <w:r>
        <w:rPr>
          <w:spacing w:val="-12"/>
        </w:rPr>
        <w:t> </w:t>
      </w:r>
      <w:r>
        <w:rPr/>
        <w:t>of</w:t>
      </w:r>
      <w:r>
        <w:rPr>
          <w:spacing w:val="-12"/>
        </w:rPr>
        <w:t> </w:t>
      </w:r>
      <w:r>
        <w:rPr/>
        <w:t>28</w:t>
      </w:r>
      <w:r>
        <w:rPr>
          <w:spacing w:val="-12"/>
        </w:rPr>
        <w:t> </w:t>
      </w:r>
      <w:r>
        <w:rPr/>
        <w:t>capital</w:t>
      </w:r>
      <w:r>
        <w:rPr>
          <w:spacing w:val="-12"/>
        </w:rPr>
        <w:t> </w:t>
      </w:r>
      <w:r>
        <w:rPr/>
        <w:t>European Union cities and determines that strict separate collections of one stream per bin leads to higher quality and lower rejection rates whereas collecting several materials together results in higher contamination and lower quality of recyclables leading to higher rejection rates. It notes that when paper is comingled with other waste streams, and particularly with glass, contamination of the paper/cardboard is between 5-20% compared with 1% when collected separately. The report indicates that plastic and metal collected together does not have the same</w:t>
      </w:r>
      <w:r>
        <w:rPr>
          <w:spacing w:val="-4"/>
        </w:rPr>
        <w:t> </w:t>
      </w:r>
      <w:r>
        <w:rPr/>
        <w:t>issues</w:t>
      </w:r>
      <w:r>
        <w:rPr>
          <w:spacing w:val="-2"/>
        </w:rPr>
        <w:t> </w:t>
      </w:r>
      <w:r>
        <w:rPr/>
        <w:t>so</w:t>
      </w:r>
      <w:r>
        <w:rPr>
          <w:spacing w:val="-2"/>
        </w:rPr>
        <w:t> </w:t>
      </w:r>
      <w:r>
        <w:rPr/>
        <w:t>is</w:t>
      </w:r>
      <w:r>
        <w:rPr>
          <w:spacing w:val="-3"/>
        </w:rPr>
        <w:t> </w:t>
      </w:r>
      <w:r>
        <w:rPr/>
        <w:t>a</w:t>
      </w:r>
      <w:r>
        <w:rPr>
          <w:spacing w:val="-2"/>
        </w:rPr>
        <w:t> </w:t>
      </w:r>
      <w:r>
        <w:rPr/>
        <w:t>reasonable</w:t>
      </w:r>
      <w:r>
        <w:rPr>
          <w:spacing w:val="-6"/>
        </w:rPr>
        <w:t> </w:t>
      </w:r>
      <w:r>
        <w:rPr/>
        <w:t>way</w:t>
      </w:r>
      <w:r>
        <w:rPr>
          <w:spacing w:val="-1"/>
        </w:rPr>
        <w:t> </w:t>
      </w:r>
      <w:r>
        <w:rPr/>
        <w:t>of</w:t>
      </w:r>
      <w:r>
        <w:rPr>
          <w:spacing w:val="-4"/>
        </w:rPr>
        <w:t> </w:t>
      </w:r>
      <w:r>
        <w:rPr/>
        <w:t>reducing</w:t>
      </w:r>
      <w:r>
        <w:rPr>
          <w:spacing w:val="-2"/>
        </w:rPr>
        <w:t> </w:t>
      </w:r>
      <w:r>
        <w:rPr/>
        <w:t>costs</w:t>
      </w:r>
      <w:r>
        <w:rPr>
          <w:spacing w:val="4"/>
        </w:rPr>
        <w:t> </w:t>
      </w:r>
      <w:r>
        <w:rPr/>
        <w:t>and</w:t>
      </w:r>
      <w:r>
        <w:rPr>
          <w:spacing w:val="-2"/>
        </w:rPr>
        <w:t> </w:t>
      </w:r>
      <w:r>
        <w:rPr/>
        <w:t>maintaining</w:t>
      </w:r>
      <w:r>
        <w:rPr>
          <w:spacing w:val="-3"/>
        </w:rPr>
        <w:t> </w:t>
      </w:r>
      <w:r>
        <w:rPr/>
        <w:t>good</w:t>
      </w:r>
      <w:r>
        <w:rPr>
          <w:spacing w:val="-2"/>
        </w:rPr>
        <w:t> </w:t>
      </w:r>
      <w:r>
        <w:rPr/>
        <w:t>quality</w:t>
      </w:r>
      <w:r>
        <w:rPr>
          <w:spacing w:val="-2"/>
        </w:rPr>
        <w:t> </w:t>
      </w:r>
      <w:r>
        <w:rPr/>
        <w:t>material</w:t>
      </w:r>
      <w:r>
        <w:rPr>
          <w:spacing w:val="-2"/>
        </w:rPr>
        <w:t> </w:t>
      </w:r>
      <w:r>
        <w:rPr/>
        <w:t>for</w:t>
      </w:r>
      <w:r>
        <w:rPr>
          <w:spacing w:val="-2"/>
        </w:rPr>
        <w:t> </w:t>
      </w:r>
      <w:r>
        <w:rPr/>
        <w:t>these</w:t>
      </w:r>
      <w:r>
        <w:rPr>
          <w:spacing w:val="-3"/>
        </w:rPr>
        <w:t> </w:t>
      </w:r>
      <w:r>
        <w:rPr/>
        <w:t>streams.</w:t>
      </w:r>
    </w:p>
    <w:p>
      <w:pPr>
        <w:spacing w:before="155"/>
        <w:ind w:left="560" w:right="115" w:firstLine="0"/>
        <w:jc w:val="both"/>
        <w:rPr>
          <w:sz w:val="20"/>
        </w:rPr>
      </w:pPr>
      <w:r>
        <w:rPr>
          <w:sz w:val="20"/>
        </w:rPr>
        <w:t>The</w:t>
      </w:r>
      <w:r>
        <w:rPr>
          <w:spacing w:val="-11"/>
          <w:sz w:val="20"/>
        </w:rPr>
        <w:t> </w:t>
      </w:r>
      <w:r>
        <w:rPr>
          <w:sz w:val="20"/>
        </w:rPr>
        <w:t>MfE</w:t>
      </w:r>
      <w:r>
        <w:rPr>
          <w:spacing w:val="-9"/>
          <w:sz w:val="20"/>
        </w:rPr>
        <w:t> </w:t>
      </w:r>
      <w:r>
        <w:rPr>
          <w:sz w:val="20"/>
        </w:rPr>
        <w:t>commissioned</w:t>
      </w:r>
      <w:r>
        <w:rPr>
          <w:spacing w:val="-9"/>
          <w:sz w:val="20"/>
        </w:rPr>
        <w:t> </w:t>
      </w:r>
      <w:r>
        <w:rPr>
          <w:sz w:val="20"/>
        </w:rPr>
        <w:t>the</w:t>
      </w:r>
      <w:r>
        <w:rPr>
          <w:spacing w:val="-10"/>
          <w:sz w:val="20"/>
        </w:rPr>
        <w:t> </w:t>
      </w:r>
      <w:r>
        <w:rPr>
          <w:i/>
          <w:sz w:val="20"/>
        </w:rPr>
        <w:t>National</w:t>
      </w:r>
      <w:r>
        <w:rPr>
          <w:i/>
          <w:spacing w:val="-10"/>
          <w:sz w:val="20"/>
        </w:rPr>
        <w:t> </w:t>
      </w:r>
      <w:r>
        <w:rPr>
          <w:i/>
          <w:sz w:val="20"/>
        </w:rPr>
        <w:t>Resource</w:t>
      </w:r>
      <w:r>
        <w:rPr>
          <w:i/>
          <w:spacing w:val="-10"/>
          <w:sz w:val="20"/>
        </w:rPr>
        <w:t> </w:t>
      </w:r>
      <w:r>
        <w:rPr>
          <w:i/>
          <w:sz w:val="20"/>
        </w:rPr>
        <w:t>Recovery</w:t>
      </w:r>
      <w:r>
        <w:rPr>
          <w:i/>
          <w:spacing w:val="-8"/>
          <w:sz w:val="20"/>
        </w:rPr>
        <w:t> </w:t>
      </w:r>
      <w:r>
        <w:rPr>
          <w:i/>
          <w:sz w:val="20"/>
        </w:rPr>
        <w:t>–</w:t>
      </w:r>
      <w:r>
        <w:rPr>
          <w:i/>
          <w:spacing w:val="-11"/>
          <w:sz w:val="20"/>
        </w:rPr>
        <w:t> </w:t>
      </w:r>
      <w:r>
        <w:rPr>
          <w:i/>
          <w:sz w:val="20"/>
        </w:rPr>
        <w:t>situational</w:t>
      </w:r>
      <w:r>
        <w:rPr>
          <w:i/>
          <w:spacing w:val="-10"/>
          <w:sz w:val="20"/>
        </w:rPr>
        <w:t> </w:t>
      </w:r>
      <w:r>
        <w:rPr>
          <w:i/>
          <w:sz w:val="20"/>
        </w:rPr>
        <w:t>analysis</w:t>
      </w:r>
      <w:r>
        <w:rPr>
          <w:i/>
          <w:spacing w:val="-11"/>
          <w:sz w:val="20"/>
        </w:rPr>
        <w:t> </w:t>
      </w:r>
      <w:r>
        <w:rPr>
          <w:i/>
          <w:sz w:val="20"/>
        </w:rPr>
        <w:t>report</w:t>
      </w:r>
      <w:r>
        <w:rPr>
          <w:i/>
          <w:spacing w:val="-7"/>
          <w:sz w:val="20"/>
        </w:rPr>
        <w:t> </w:t>
      </w:r>
      <w:r>
        <w:rPr>
          <w:sz w:val="20"/>
        </w:rPr>
        <w:t>(2018)</w:t>
      </w:r>
      <w:r>
        <w:rPr>
          <w:spacing w:val="-10"/>
          <w:sz w:val="20"/>
        </w:rPr>
        <w:t> </w:t>
      </w:r>
      <w:r>
        <w:rPr>
          <w:sz w:val="20"/>
        </w:rPr>
        <w:t>notes</w:t>
      </w:r>
      <w:r>
        <w:rPr>
          <w:spacing w:val="-9"/>
          <w:sz w:val="20"/>
        </w:rPr>
        <w:t> </w:t>
      </w:r>
      <w:r>
        <w:rPr>
          <w:sz w:val="20"/>
        </w:rPr>
        <w:t>that</w:t>
      </w:r>
      <w:r>
        <w:rPr>
          <w:spacing w:val="-9"/>
          <w:sz w:val="20"/>
        </w:rPr>
        <w:t> </w:t>
      </w:r>
      <w:r>
        <w:rPr>
          <w:sz w:val="20"/>
        </w:rPr>
        <w:t>“Wheeled bin-based systems typically suffer more in terms of contamination. There are two types </w:t>
      </w:r>
      <w:r>
        <w:rPr>
          <w:spacing w:val="5"/>
          <w:sz w:val="20"/>
        </w:rPr>
        <w:t>of </w:t>
      </w:r>
      <w:r>
        <w:rPr>
          <w:sz w:val="20"/>
        </w:rPr>
        <w:t>contamination </w:t>
      </w:r>
      <w:r>
        <w:rPr>
          <w:spacing w:val="16"/>
          <w:sz w:val="20"/>
        </w:rPr>
        <w:t> </w:t>
      </w:r>
      <w:r>
        <w:rPr>
          <w:sz w:val="20"/>
        </w:rPr>
        <w:t>that</w:t>
      </w:r>
    </w:p>
    <w:p>
      <w:pPr>
        <w:spacing w:after="0"/>
        <w:jc w:val="both"/>
        <w:rPr>
          <w:sz w:val="20"/>
        </w:rPr>
        <w:sectPr>
          <w:pgSz w:w="11910" w:h="16840"/>
          <w:pgMar w:header="576" w:footer="698" w:top="1140" w:bottom="880" w:left="880" w:right="1320"/>
        </w:sectPr>
      </w:pPr>
    </w:p>
    <w:p>
      <w:pPr>
        <w:pStyle w:val="BodyText"/>
      </w:pPr>
    </w:p>
    <w:p>
      <w:pPr>
        <w:pStyle w:val="BodyText"/>
        <w:spacing w:before="5"/>
        <w:rPr>
          <w:sz w:val="29"/>
        </w:rPr>
      </w:pPr>
    </w:p>
    <w:p>
      <w:pPr>
        <w:pStyle w:val="BodyText"/>
        <w:spacing w:before="59"/>
        <w:ind w:left="560" w:right="116"/>
        <w:jc w:val="both"/>
      </w:pPr>
      <w:r>
        <w:rPr/>
        <w:t>occur: the contamination from the mixing of recyclable materials (plastic in with paper, paper in with plastic, glass</w:t>
      </w:r>
      <w:r>
        <w:rPr>
          <w:spacing w:val="-11"/>
        </w:rPr>
        <w:t> </w:t>
      </w:r>
      <w:r>
        <w:rPr/>
        <w:t>in</w:t>
      </w:r>
      <w:r>
        <w:rPr>
          <w:spacing w:val="-14"/>
        </w:rPr>
        <w:t> </w:t>
      </w:r>
      <w:r>
        <w:rPr/>
        <w:t>with</w:t>
      </w:r>
      <w:r>
        <w:rPr>
          <w:spacing w:val="-12"/>
        </w:rPr>
        <w:t> </w:t>
      </w:r>
      <w:r>
        <w:rPr/>
        <w:t>paper</w:t>
      </w:r>
      <w:r>
        <w:rPr>
          <w:spacing w:val="-13"/>
        </w:rPr>
        <w:t> </w:t>
      </w:r>
      <w:r>
        <w:rPr/>
        <w:t>etc.);</w:t>
      </w:r>
      <w:r>
        <w:rPr>
          <w:spacing w:val="-13"/>
        </w:rPr>
        <w:t> </w:t>
      </w:r>
      <w:r>
        <w:rPr/>
        <w:t>and</w:t>
      </w:r>
      <w:r>
        <w:rPr>
          <w:spacing w:val="-12"/>
        </w:rPr>
        <w:t> </w:t>
      </w:r>
      <w:r>
        <w:rPr/>
        <w:t>gross</w:t>
      </w:r>
      <w:r>
        <w:rPr>
          <w:spacing w:val="-11"/>
        </w:rPr>
        <w:t> </w:t>
      </w:r>
      <w:r>
        <w:rPr/>
        <w:t>contamination</w:t>
      </w:r>
      <w:r>
        <w:rPr>
          <w:spacing w:val="-14"/>
        </w:rPr>
        <w:t> </w:t>
      </w:r>
      <w:r>
        <w:rPr/>
        <w:t>from</w:t>
      </w:r>
      <w:r>
        <w:rPr>
          <w:spacing w:val="-13"/>
        </w:rPr>
        <w:t> </w:t>
      </w:r>
      <w:r>
        <w:rPr/>
        <w:t>householder</w:t>
      </w:r>
      <w:r>
        <w:rPr>
          <w:spacing w:val="-13"/>
        </w:rPr>
        <w:t> </w:t>
      </w:r>
      <w:r>
        <w:rPr/>
        <w:t>placing</w:t>
      </w:r>
      <w:r>
        <w:rPr>
          <w:spacing w:val="-13"/>
        </w:rPr>
        <w:t> </w:t>
      </w:r>
      <w:r>
        <w:rPr/>
        <w:t>non-recyclable</w:t>
      </w:r>
      <w:r>
        <w:rPr>
          <w:spacing w:val="-13"/>
        </w:rPr>
        <w:t> </w:t>
      </w:r>
      <w:r>
        <w:rPr/>
        <w:t>items</w:t>
      </w:r>
      <w:r>
        <w:rPr>
          <w:spacing w:val="-11"/>
        </w:rPr>
        <w:t> </w:t>
      </w:r>
      <w:r>
        <w:rPr/>
        <w:t>in</w:t>
      </w:r>
      <w:r>
        <w:rPr>
          <w:spacing w:val="-12"/>
        </w:rPr>
        <w:t> </w:t>
      </w:r>
      <w:r>
        <w:rPr/>
        <w:t>the</w:t>
      </w:r>
      <w:r>
        <w:rPr>
          <w:spacing w:val="-13"/>
        </w:rPr>
        <w:t> </w:t>
      </w:r>
      <w:r>
        <w:rPr/>
        <w:t>recycling containers.”</w:t>
      </w:r>
      <w:r>
        <w:rPr>
          <w:spacing w:val="-5"/>
        </w:rPr>
        <w:t> </w:t>
      </w:r>
      <w:r>
        <w:rPr/>
        <w:t>It</w:t>
      </w:r>
      <w:r>
        <w:rPr>
          <w:spacing w:val="-5"/>
        </w:rPr>
        <w:t> </w:t>
      </w:r>
      <w:r>
        <w:rPr/>
        <w:t>goes</w:t>
      </w:r>
      <w:r>
        <w:rPr>
          <w:spacing w:val="-5"/>
        </w:rPr>
        <w:t> </w:t>
      </w:r>
      <w:r>
        <w:rPr/>
        <w:t>on</w:t>
      </w:r>
      <w:r>
        <w:rPr>
          <w:spacing w:val="-7"/>
        </w:rPr>
        <w:t> </w:t>
      </w:r>
      <w:r>
        <w:rPr/>
        <w:t>to</w:t>
      </w:r>
      <w:r>
        <w:rPr>
          <w:spacing w:val="-5"/>
        </w:rPr>
        <w:t> </w:t>
      </w:r>
      <w:r>
        <w:rPr/>
        <w:t>point</w:t>
      </w:r>
      <w:r>
        <w:rPr>
          <w:spacing w:val="-5"/>
        </w:rPr>
        <w:t> </w:t>
      </w:r>
      <w:r>
        <w:rPr/>
        <w:t>out</w:t>
      </w:r>
      <w:r>
        <w:rPr>
          <w:spacing w:val="-5"/>
        </w:rPr>
        <w:t> </w:t>
      </w:r>
      <w:r>
        <w:rPr/>
        <w:t>that</w:t>
      </w:r>
      <w:r>
        <w:rPr>
          <w:spacing w:val="-5"/>
        </w:rPr>
        <w:t> </w:t>
      </w:r>
      <w:r>
        <w:rPr/>
        <w:t>in</w:t>
      </w:r>
      <w:r>
        <w:rPr>
          <w:spacing w:val="-5"/>
        </w:rPr>
        <w:t> </w:t>
      </w:r>
      <w:r>
        <w:rPr/>
        <w:t>a</w:t>
      </w:r>
      <w:r>
        <w:rPr>
          <w:spacing w:val="-7"/>
        </w:rPr>
        <w:t> </w:t>
      </w:r>
      <w:r>
        <w:rPr/>
        <w:t>comingled</w:t>
      </w:r>
      <w:r>
        <w:rPr>
          <w:spacing w:val="-5"/>
        </w:rPr>
        <w:t> </w:t>
      </w:r>
      <w:r>
        <w:rPr/>
        <w:t>system</w:t>
      </w:r>
      <w:r>
        <w:rPr>
          <w:spacing w:val="-6"/>
        </w:rPr>
        <w:t> </w:t>
      </w:r>
      <w:r>
        <w:rPr/>
        <w:t>“gross</w:t>
      </w:r>
      <w:r>
        <w:rPr>
          <w:spacing w:val="-4"/>
        </w:rPr>
        <w:t> </w:t>
      </w:r>
      <w:r>
        <w:rPr/>
        <w:t>contamination</w:t>
      </w:r>
      <w:r>
        <w:rPr>
          <w:spacing w:val="-4"/>
        </w:rPr>
        <w:t> </w:t>
      </w:r>
      <w:r>
        <w:rPr/>
        <w:t>is</w:t>
      </w:r>
      <w:r>
        <w:rPr>
          <w:spacing w:val="-7"/>
        </w:rPr>
        <w:t> </w:t>
      </w:r>
      <w:r>
        <w:rPr/>
        <w:t>impractical</w:t>
      </w:r>
      <w:r>
        <w:rPr>
          <w:spacing w:val="-5"/>
        </w:rPr>
        <w:t> </w:t>
      </w:r>
      <w:r>
        <w:rPr/>
        <w:t>to</w:t>
      </w:r>
      <w:r>
        <w:rPr>
          <w:spacing w:val="-5"/>
        </w:rPr>
        <w:t> </w:t>
      </w:r>
      <w:r>
        <w:rPr/>
        <w:t>identify</w:t>
      </w:r>
      <w:r>
        <w:rPr>
          <w:spacing w:val="-5"/>
        </w:rPr>
        <w:t> </w:t>
      </w:r>
      <w:r>
        <w:rPr/>
        <w:t>or remove before it is collected, and material become mixed as it is emptied into collection vehicles, compacted, discharged,</w:t>
      </w:r>
      <w:r>
        <w:rPr>
          <w:spacing w:val="-9"/>
        </w:rPr>
        <w:t> </w:t>
      </w:r>
      <w:r>
        <w:rPr/>
        <w:t>and</w:t>
      </w:r>
      <w:r>
        <w:rPr>
          <w:spacing w:val="-8"/>
        </w:rPr>
        <w:t> </w:t>
      </w:r>
      <w:r>
        <w:rPr/>
        <w:t>loaded</w:t>
      </w:r>
      <w:r>
        <w:rPr>
          <w:spacing w:val="-8"/>
        </w:rPr>
        <w:t> </w:t>
      </w:r>
      <w:r>
        <w:rPr/>
        <w:t>onto</w:t>
      </w:r>
      <w:r>
        <w:rPr>
          <w:spacing w:val="-11"/>
        </w:rPr>
        <w:t> </w:t>
      </w:r>
      <w:r>
        <w:rPr/>
        <w:t>sort</w:t>
      </w:r>
      <w:r>
        <w:rPr>
          <w:spacing w:val="-9"/>
        </w:rPr>
        <w:t> </w:t>
      </w:r>
      <w:r>
        <w:rPr/>
        <w:t>lines”.</w:t>
      </w:r>
      <w:r>
        <w:rPr>
          <w:spacing w:val="-9"/>
        </w:rPr>
        <w:t> </w:t>
      </w:r>
      <w:r>
        <w:rPr/>
        <w:t>While</w:t>
      </w:r>
      <w:r>
        <w:rPr>
          <w:spacing w:val="-10"/>
        </w:rPr>
        <w:t> </w:t>
      </w:r>
      <w:r>
        <w:rPr/>
        <w:t>the</w:t>
      </w:r>
      <w:r>
        <w:rPr>
          <w:spacing w:val="-10"/>
        </w:rPr>
        <w:t> </w:t>
      </w:r>
      <w:r>
        <w:rPr/>
        <w:t>report</w:t>
      </w:r>
      <w:r>
        <w:rPr>
          <w:spacing w:val="-9"/>
        </w:rPr>
        <w:t> </w:t>
      </w:r>
      <w:r>
        <w:rPr/>
        <w:t>notes</w:t>
      </w:r>
      <w:r>
        <w:rPr>
          <w:spacing w:val="-8"/>
        </w:rPr>
        <w:t> </w:t>
      </w:r>
      <w:r>
        <w:rPr/>
        <w:t>that</w:t>
      </w:r>
      <w:r>
        <w:rPr>
          <w:spacing w:val="-8"/>
        </w:rPr>
        <w:t> </w:t>
      </w:r>
      <w:r>
        <w:rPr/>
        <w:t>there</w:t>
      </w:r>
      <w:r>
        <w:rPr>
          <w:spacing w:val="-10"/>
        </w:rPr>
        <w:t> </w:t>
      </w:r>
      <w:r>
        <w:rPr/>
        <w:t>are</w:t>
      </w:r>
      <w:r>
        <w:rPr>
          <w:spacing w:val="-10"/>
        </w:rPr>
        <w:t> </w:t>
      </w:r>
      <w:r>
        <w:rPr/>
        <w:t>various</w:t>
      </w:r>
      <w:r>
        <w:rPr>
          <w:spacing w:val="-8"/>
        </w:rPr>
        <w:t> </w:t>
      </w:r>
      <w:r>
        <w:rPr/>
        <w:t>reasons</w:t>
      </w:r>
      <w:r>
        <w:rPr>
          <w:spacing w:val="-8"/>
        </w:rPr>
        <w:t> </w:t>
      </w:r>
      <w:r>
        <w:rPr/>
        <w:t>for</w:t>
      </w:r>
      <w:r>
        <w:rPr>
          <w:spacing w:val="-9"/>
        </w:rPr>
        <w:t> </w:t>
      </w:r>
      <w:r>
        <w:rPr/>
        <w:t>contamination in comingled system (such as confusion about what can be recycled, or because of a cost associated with disposing of rubbish or lack of space in rubbish receptacles), it also points out that lids on wheelie bins enable householders to ‘hide’ rubbish in their recycling bins. The report further states that kerbside sort systems allow gross contamination to be removed at kerbside, although this is dependent on the level of sorting at kerbside. Additionally, kerbside sorting means materials have less opportunity to become mixed and cross-contaminate each other. The report also states that because kerbside sorting enables contamination to be identified and rejected at the point of collection it reduces the need for subsequent sorting and lowers the overall level of contamination</w:t>
      </w:r>
      <w:r>
        <w:rPr>
          <w:spacing w:val="-8"/>
        </w:rPr>
        <w:t> </w:t>
      </w:r>
      <w:r>
        <w:rPr/>
        <w:t>in</w:t>
      </w:r>
      <w:r>
        <w:rPr>
          <w:spacing w:val="-9"/>
        </w:rPr>
        <w:t> </w:t>
      </w:r>
      <w:r>
        <w:rPr/>
        <w:t>the</w:t>
      </w:r>
      <w:r>
        <w:rPr>
          <w:spacing w:val="-10"/>
        </w:rPr>
        <w:t> </w:t>
      </w:r>
      <w:r>
        <w:rPr/>
        <w:t>end</w:t>
      </w:r>
      <w:r>
        <w:rPr>
          <w:spacing w:val="-9"/>
        </w:rPr>
        <w:t> </w:t>
      </w:r>
      <w:r>
        <w:rPr/>
        <w:t>product.</w:t>
      </w:r>
      <w:r>
        <w:rPr>
          <w:spacing w:val="-9"/>
        </w:rPr>
        <w:t> </w:t>
      </w:r>
      <w:r>
        <w:rPr/>
        <w:t>This</w:t>
      </w:r>
      <w:r>
        <w:rPr>
          <w:spacing w:val="-8"/>
        </w:rPr>
        <w:t> </w:t>
      </w:r>
      <w:r>
        <w:rPr/>
        <w:t>in</w:t>
      </w:r>
      <w:r>
        <w:rPr>
          <w:spacing w:val="-9"/>
        </w:rPr>
        <w:t> </w:t>
      </w:r>
      <w:r>
        <w:rPr/>
        <w:t>turn</w:t>
      </w:r>
      <w:r>
        <w:rPr>
          <w:spacing w:val="-8"/>
        </w:rPr>
        <w:t> </w:t>
      </w:r>
      <w:r>
        <w:rPr/>
        <w:t>means</w:t>
      </w:r>
      <w:r>
        <w:rPr>
          <w:spacing w:val="-8"/>
        </w:rPr>
        <w:t> </w:t>
      </w:r>
      <w:r>
        <w:rPr/>
        <w:t>recyclers</w:t>
      </w:r>
      <w:r>
        <w:rPr>
          <w:spacing w:val="-8"/>
        </w:rPr>
        <w:t> </w:t>
      </w:r>
      <w:r>
        <w:rPr/>
        <w:t>and</w:t>
      </w:r>
      <w:r>
        <w:rPr>
          <w:spacing w:val="-3"/>
        </w:rPr>
        <w:t> </w:t>
      </w:r>
      <w:r>
        <w:rPr/>
        <w:t>local</w:t>
      </w:r>
      <w:r>
        <w:rPr>
          <w:spacing w:val="-9"/>
        </w:rPr>
        <w:t> </w:t>
      </w:r>
      <w:r>
        <w:rPr/>
        <w:t>authorities</w:t>
      </w:r>
      <w:r>
        <w:rPr>
          <w:spacing w:val="-7"/>
        </w:rPr>
        <w:t> </w:t>
      </w:r>
      <w:r>
        <w:rPr/>
        <w:t>receive</w:t>
      </w:r>
      <w:r>
        <w:rPr>
          <w:spacing w:val="-10"/>
        </w:rPr>
        <w:t> </w:t>
      </w:r>
      <w:r>
        <w:rPr/>
        <w:t>higher</w:t>
      </w:r>
      <w:r>
        <w:rPr>
          <w:spacing w:val="-10"/>
        </w:rPr>
        <w:t> </w:t>
      </w:r>
      <w:r>
        <w:rPr/>
        <w:t>prices</w:t>
      </w:r>
      <w:r>
        <w:rPr>
          <w:spacing w:val="-8"/>
        </w:rPr>
        <w:t> </w:t>
      </w:r>
      <w:r>
        <w:rPr/>
        <w:t>for</w:t>
      </w:r>
      <w:r>
        <w:rPr>
          <w:spacing w:val="-9"/>
        </w:rPr>
        <w:t> </w:t>
      </w:r>
      <w:r>
        <w:rPr/>
        <w:t>the material and reduced capital investment needs for sorting</w:t>
      </w:r>
      <w:r>
        <w:rPr>
          <w:spacing w:val="-22"/>
        </w:rPr>
        <w:t> </w:t>
      </w:r>
      <w:r>
        <w:rPr/>
        <w:t>equipment.</w:t>
      </w:r>
    </w:p>
    <w:p>
      <w:pPr>
        <w:pStyle w:val="BodyText"/>
        <w:spacing w:before="10"/>
        <w:rPr>
          <w:sz w:val="19"/>
        </w:rPr>
      </w:pPr>
    </w:p>
    <w:p>
      <w:pPr>
        <w:pStyle w:val="BodyText"/>
        <w:ind w:left="560" w:right="116"/>
        <w:jc w:val="both"/>
      </w:pPr>
      <w:r>
        <w:rPr>
          <w:i/>
        </w:rPr>
        <w:t>Rebooting Recycling (WasteMINZ, 2018) </w:t>
      </w:r>
      <w:r>
        <w:rPr/>
        <w:t>also recommends that glass should be collected separately from other recyclables</w:t>
      </w:r>
      <w:r>
        <w:rPr>
          <w:spacing w:val="-8"/>
        </w:rPr>
        <w:t> </w:t>
      </w:r>
      <w:r>
        <w:rPr/>
        <w:t>due</w:t>
      </w:r>
      <w:r>
        <w:rPr>
          <w:spacing w:val="-10"/>
        </w:rPr>
        <w:t> </w:t>
      </w:r>
      <w:r>
        <w:rPr/>
        <w:t>to</w:t>
      </w:r>
      <w:r>
        <w:rPr>
          <w:spacing w:val="-9"/>
        </w:rPr>
        <w:t> </w:t>
      </w:r>
      <w:r>
        <w:rPr/>
        <w:t>the</w:t>
      </w:r>
      <w:r>
        <w:rPr>
          <w:spacing w:val="-8"/>
        </w:rPr>
        <w:t> </w:t>
      </w:r>
      <w:r>
        <w:rPr/>
        <w:t>contamination</w:t>
      </w:r>
      <w:r>
        <w:rPr>
          <w:spacing w:val="-8"/>
        </w:rPr>
        <w:t> </w:t>
      </w:r>
      <w:r>
        <w:rPr/>
        <w:t>that</w:t>
      </w:r>
      <w:r>
        <w:rPr>
          <w:spacing w:val="-8"/>
        </w:rPr>
        <w:t> </w:t>
      </w:r>
      <w:r>
        <w:rPr/>
        <w:t>occurs</w:t>
      </w:r>
      <w:r>
        <w:rPr>
          <w:spacing w:val="-8"/>
        </w:rPr>
        <w:t> </w:t>
      </w:r>
      <w:r>
        <w:rPr/>
        <w:t>when</w:t>
      </w:r>
      <w:r>
        <w:rPr>
          <w:spacing w:val="-9"/>
        </w:rPr>
        <w:t> </w:t>
      </w:r>
      <w:r>
        <w:rPr/>
        <w:t>glass</w:t>
      </w:r>
      <w:r>
        <w:rPr>
          <w:spacing w:val="-8"/>
        </w:rPr>
        <w:t> </w:t>
      </w:r>
      <w:r>
        <w:rPr/>
        <w:t>breaks.</w:t>
      </w:r>
      <w:r>
        <w:rPr>
          <w:spacing w:val="-9"/>
        </w:rPr>
        <w:t> </w:t>
      </w:r>
      <w:r>
        <w:rPr/>
        <w:t>It</w:t>
      </w:r>
      <w:r>
        <w:rPr>
          <w:spacing w:val="-9"/>
        </w:rPr>
        <w:t> </w:t>
      </w:r>
      <w:r>
        <w:rPr/>
        <w:t>goes</w:t>
      </w:r>
      <w:r>
        <w:rPr>
          <w:spacing w:val="-9"/>
        </w:rPr>
        <w:t> </w:t>
      </w:r>
      <w:r>
        <w:rPr/>
        <w:t>on</w:t>
      </w:r>
      <w:r>
        <w:rPr>
          <w:spacing w:val="-9"/>
        </w:rPr>
        <w:t> </w:t>
      </w:r>
      <w:r>
        <w:rPr/>
        <w:t>to</w:t>
      </w:r>
      <w:r>
        <w:rPr>
          <w:spacing w:val="-9"/>
        </w:rPr>
        <w:t> </w:t>
      </w:r>
      <w:r>
        <w:rPr/>
        <w:t>recommend</w:t>
      </w:r>
      <w:r>
        <w:rPr>
          <w:spacing w:val="-9"/>
        </w:rPr>
        <w:t> </w:t>
      </w:r>
      <w:r>
        <w:rPr/>
        <w:t>other</w:t>
      </w:r>
      <w:r>
        <w:rPr>
          <w:spacing w:val="-9"/>
        </w:rPr>
        <w:t> </w:t>
      </w:r>
      <w:r>
        <w:rPr/>
        <w:t>actions</w:t>
      </w:r>
      <w:r>
        <w:rPr>
          <w:spacing w:val="-8"/>
        </w:rPr>
        <w:t> </w:t>
      </w:r>
      <w:r>
        <w:rPr/>
        <w:t>that could be taken to improve the quality of recycling (within the current kerbside collection model), including undertaking more sorting at kerbside to ensure “contamination is removed before the material is bulked”, as well</w:t>
      </w:r>
      <w:r>
        <w:rPr>
          <w:spacing w:val="-3"/>
        </w:rPr>
        <w:t> </w:t>
      </w:r>
      <w:r>
        <w:rPr/>
        <w:t>as</w:t>
      </w:r>
      <w:r>
        <w:rPr>
          <w:spacing w:val="-2"/>
        </w:rPr>
        <w:t> </w:t>
      </w:r>
      <w:r>
        <w:rPr/>
        <w:t>providing</w:t>
      </w:r>
      <w:r>
        <w:rPr>
          <w:spacing w:val="-3"/>
        </w:rPr>
        <w:t> </w:t>
      </w:r>
      <w:r>
        <w:rPr/>
        <w:t>education</w:t>
      </w:r>
      <w:r>
        <w:rPr>
          <w:spacing w:val="-2"/>
        </w:rPr>
        <w:t> </w:t>
      </w:r>
      <w:r>
        <w:rPr/>
        <w:t>to</w:t>
      </w:r>
      <w:r>
        <w:rPr>
          <w:spacing w:val="-5"/>
        </w:rPr>
        <w:t> </w:t>
      </w:r>
      <w:r>
        <w:rPr/>
        <w:t>the</w:t>
      </w:r>
      <w:r>
        <w:rPr>
          <w:spacing w:val="-3"/>
        </w:rPr>
        <w:t> </w:t>
      </w:r>
      <w:r>
        <w:rPr/>
        <w:t>public</w:t>
      </w:r>
      <w:r>
        <w:rPr>
          <w:spacing w:val="-3"/>
        </w:rPr>
        <w:t> </w:t>
      </w:r>
      <w:r>
        <w:rPr/>
        <w:t>when</w:t>
      </w:r>
      <w:r>
        <w:rPr>
          <w:spacing w:val="-2"/>
        </w:rPr>
        <w:t> </w:t>
      </w:r>
      <w:r>
        <w:rPr/>
        <w:t>non-recyclable</w:t>
      </w:r>
      <w:r>
        <w:rPr>
          <w:spacing w:val="-4"/>
        </w:rPr>
        <w:t> </w:t>
      </w:r>
      <w:r>
        <w:rPr/>
        <w:t>material</w:t>
      </w:r>
      <w:r>
        <w:rPr>
          <w:spacing w:val="-3"/>
        </w:rPr>
        <w:t> </w:t>
      </w:r>
      <w:r>
        <w:rPr/>
        <w:t>is</w:t>
      </w:r>
      <w:r>
        <w:rPr>
          <w:spacing w:val="-2"/>
        </w:rPr>
        <w:t> </w:t>
      </w:r>
      <w:r>
        <w:rPr/>
        <w:t>left</w:t>
      </w:r>
      <w:r>
        <w:rPr>
          <w:spacing w:val="-2"/>
        </w:rPr>
        <w:t> </w:t>
      </w:r>
      <w:r>
        <w:rPr/>
        <w:t>behind</w:t>
      </w:r>
      <w:r>
        <w:rPr>
          <w:spacing w:val="-2"/>
        </w:rPr>
        <w:t> </w:t>
      </w:r>
      <w:r>
        <w:rPr/>
        <w:t>in</w:t>
      </w:r>
      <w:r>
        <w:rPr>
          <w:spacing w:val="-2"/>
        </w:rPr>
        <w:t> </w:t>
      </w:r>
      <w:r>
        <w:rPr/>
        <w:t>their</w:t>
      </w:r>
      <w:r>
        <w:rPr>
          <w:spacing w:val="-3"/>
        </w:rPr>
        <w:t> </w:t>
      </w:r>
      <w:r>
        <w:rPr/>
        <w:t>receptacles.</w:t>
      </w:r>
    </w:p>
    <w:p>
      <w:pPr>
        <w:pStyle w:val="BodyText"/>
      </w:pPr>
    </w:p>
    <w:p>
      <w:pPr>
        <w:pStyle w:val="BodyText"/>
        <w:spacing w:line="256" w:lineRule="auto"/>
        <w:ind w:left="560" w:right="115"/>
        <w:jc w:val="both"/>
      </w:pPr>
      <w:r>
        <w:rPr/>
        <w:t>WRAP’s </w:t>
      </w:r>
      <w:r>
        <w:rPr>
          <w:i/>
        </w:rPr>
        <w:t>Choosing the right recycling collection system </w:t>
      </w:r>
      <w:r>
        <w:rPr/>
        <w:t>(2009) notes that reject rates for kerbside sort schemes are typically less than 1% whereas reports of MRF reject rates vary from 10.8% (from the Environment Agency) to</w:t>
      </w:r>
      <w:r>
        <w:rPr>
          <w:spacing w:val="-4"/>
        </w:rPr>
        <w:t> </w:t>
      </w:r>
      <w:r>
        <w:rPr/>
        <w:t>7%</w:t>
      </w:r>
      <w:r>
        <w:rPr>
          <w:spacing w:val="-5"/>
        </w:rPr>
        <w:t> </w:t>
      </w:r>
      <w:r>
        <w:rPr/>
        <w:t>(from</w:t>
      </w:r>
      <w:r>
        <w:rPr>
          <w:spacing w:val="-5"/>
        </w:rPr>
        <w:t> </w:t>
      </w:r>
      <w:r>
        <w:rPr/>
        <w:t>the</w:t>
      </w:r>
      <w:r>
        <w:rPr>
          <w:spacing w:val="-5"/>
        </w:rPr>
        <w:t> </w:t>
      </w:r>
      <w:r>
        <w:rPr/>
        <w:t>Waste</w:t>
      </w:r>
      <w:r>
        <w:rPr>
          <w:spacing w:val="-5"/>
        </w:rPr>
        <w:t> </w:t>
      </w:r>
      <w:r>
        <w:rPr/>
        <w:t>Data</w:t>
      </w:r>
      <w:r>
        <w:rPr>
          <w:spacing w:val="-4"/>
        </w:rPr>
        <w:t> </w:t>
      </w:r>
      <w:r>
        <w:rPr/>
        <w:t>Flow</w:t>
      </w:r>
      <w:r>
        <w:rPr>
          <w:spacing w:val="-5"/>
        </w:rPr>
        <w:t> </w:t>
      </w:r>
      <w:r>
        <w:rPr/>
        <w:t>2007/08),</w:t>
      </w:r>
      <w:r>
        <w:rPr>
          <w:spacing w:val="-5"/>
        </w:rPr>
        <w:t> </w:t>
      </w:r>
      <w:r>
        <w:rPr/>
        <w:t>to</w:t>
      </w:r>
      <w:r>
        <w:rPr>
          <w:spacing w:val="-4"/>
        </w:rPr>
        <w:t> </w:t>
      </w:r>
      <w:r>
        <w:rPr/>
        <w:t>12-15%</w:t>
      </w:r>
      <w:r>
        <w:rPr>
          <w:spacing w:val="-5"/>
        </w:rPr>
        <w:t> </w:t>
      </w:r>
      <w:r>
        <w:rPr/>
        <w:t>for</w:t>
      </w:r>
      <w:r>
        <w:rPr>
          <w:spacing w:val="-4"/>
        </w:rPr>
        <w:t> </w:t>
      </w:r>
      <w:r>
        <w:rPr/>
        <w:t>MRFS</w:t>
      </w:r>
      <w:r>
        <w:rPr>
          <w:spacing w:val="-5"/>
        </w:rPr>
        <w:t> </w:t>
      </w:r>
      <w:r>
        <w:rPr/>
        <w:t>involved</w:t>
      </w:r>
      <w:r>
        <w:rPr>
          <w:spacing w:val="-4"/>
        </w:rPr>
        <w:t> </w:t>
      </w:r>
      <w:r>
        <w:rPr/>
        <w:t>in</w:t>
      </w:r>
      <w:r>
        <w:rPr>
          <w:spacing w:val="-4"/>
        </w:rPr>
        <w:t> </w:t>
      </w:r>
      <w:r>
        <w:rPr/>
        <w:t>a</w:t>
      </w:r>
      <w:r>
        <w:rPr>
          <w:spacing w:val="-6"/>
        </w:rPr>
        <w:t> </w:t>
      </w:r>
      <w:r>
        <w:rPr/>
        <w:t>2006</w:t>
      </w:r>
      <w:r>
        <w:rPr>
          <w:spacing w:val="-5"/>
        </w:rPr>
        <w:t> </w:t>
      </w:r>
      <w:r>
        <w:rPr/>
        <w:t>WRAP</w:t>
      </w:r>
      <w:r>
        <w:rPr>
          <w:spacing w:val="-4"/>
        </w:rPr>
        <w:t> </w:t>
      </w:r>
      <w:r>
        <w:rPr/>
        <w:t>study</w:t>
      </w:r>
      <w:r>
        <w:rPr>
          <w:spacing w:val="-6"/>
        </w:rPr>
        <w:t> </w:t>
      </w:r>
      <w:r>
        <w:rPr/>
        <w:t>and</w:t>
      </w:r>
      <w:r>
        <w:rPr>
          <w:spacing w:val="-6"/>
        </w:rPr>
        <w:t> </w:t>
      </w:r>
      <w:r>
        <w:rPr/>
        <w:t>between</w:t>
      </w:r>
      <w:r>
        <w:rPr>
          <w:spacing w:val="-4"/>
        </w:rPr>
        <w:t> </w:t>
      </w:r>
      <w:r>
        <w:rPr/>
        <w:t>2- 5% for the most efficient MRFs. The report notes, however, that these rates only reflect the residual rubbish sent</w:t>
      </w:r>
      <w:r>
        <w:rPr>
          <w:spacing w:val="-7"/>
        </w:rPr>
        <w:t> </w:t>
      </w:r>
      <w:r>
        <w:rPr/>
        <w:t>to</w:t>
      </w:r>
      <w:r>
        <w:rPr>
          <w:spacing w:val="-9"/>
        </w:rPr>
        <w:t> </w:t>
      </w:r>
      <w:r>
        <w:rPr/>
        <w:t>landfill</w:t>
      </w:r>
      <w:r>
        <w:rPr>
          <w:spacing w:val="-8"/>
        </w:rPr>
        <w:t> </w:t>
      </w:r>
      <w:r>
        <w:rPr/>
        <w:t>from</w:t>
      </w:r>
      <w:r>
        <w:rPr>
          <w:spacing w:val="-9"/>
        </w:rPr>
        <w:t> </w:t>
      </w:r>
      <w:r>
        <w:rPr/>
        <w:t>MRFs</w:t>
      </w:r>
      <w:r>
        <w:rPr>
          <w:spacing w:val="-7"/>
        </w:rPr>
        <w:t> </w:t>
      </w:r>
      <w:r>
        <w:rPr/>
        <w:t>because</w:t>
      </w:r>
      <w:r>
        <w:rPr>
          <w:spacing w:val="-9"/>
        </w:rPr>
        <w:t> </w:t>
      </w:r>
      <w:r>
        <w:rPr/>
        <w:t>UK</w:t>
      </w:r>
      <w:r>
        <w:rPr>
          <w:spacing w:val="-8"/>
        </w:rPr>
        <w:t> </w:t>
      </w:r>
      <w:r>
        <w:rPr/>
        <w:t>reprocessors</w:t>
      </w:r>
      <w:r>
        <w:rPr>
          <w:spacing w:val="-9"/>
        </w:rPr>
        <w:t> </w:t>
      </w:r>
      <w:r>
        <w:rPr/>
        <w:t>report</w:t>
      </w:r>
      <w:r>
        <w:rPr>
          <w:spacing w:val="-7"/>
        </w:rPr>
        <w:t> </w:t>
      </w:r>
      <w:r>
        <w:rPr/>
        <w:t>that</w:t>
      </w:r>
      <w:r>
        <w:rPr>
          <w:spacing w:val="-7"/>
        </w:rPr>
        <w:t> </w:t>
      </w:r>
      <w:r>
        <w:rPr/>
        <w:t>they</w:t>
      </w:r>
      <w:r>
        <w:rPr>
          <w:spacing w:val="-9"/>
        </w:rPr>
        <w:t> </w:t>
      </w:r>
      <w:r>
        <w:rPr/>
        <w:t>send</w:t>
      </w:r>
      <w:r>
        <w:rPr>
          <w:spacing w:val="-9"/>
        </w:rPr>
        <w:t> </w:t>
      </w:r>
      <w:r>
        <w:rPr/>
        <w:t>further</w:t>
      </w:r>
      <w:r>
        <w:rPr>
          <w:spacing w:val="-8"/>
        </w:rPr>
        <w:t> </w:t>
      </w:r>
      <w:r>
        <w:rPr/>
        <w:t>residual</w:t>
      </w:r>
      <w:r>
        <w:rPr>
          <w:spacing w:val="-6"/>
        </w:rPr>
        <w:t> </w:t>
      </w:r>
      <w:r>
        <w:rPr/>
        <w:t>rubbish</w:t>
      </w:r>
      <w:r>
        <w:rPr>
          <w:spacing w:val="-9"/>
        </w:rPr>
        <w:t> </w:t>
      </w:r>
      <w:r>
        <w:rPr/>
        <w:t>to</w:t>
      </w:r>
      <w:r>
        <w:rPr>
          <w:spacing w:val="-7"/>
        </w:rPr>
        <w:t> </w:t>
      </w:r>
      <w:r>
        <w:rPr/>
        <w:t>landfill</w:t>
      </w:r>
      <w:r>
        <w:rPr>
          <w:spacing w:val="-8"/>
        </w:rPr>
        <w:t> </w:t>
      </w:r>
      <w:r>
        <w:rPr/>
        <w:t>that reflects the contaminants included in the material they</w:t>
      </w:r>
      <w:r>
        <w:rPr>
          <w:spacing w:val="-22"/>
        </w:rPr>
        <w:t> </w:t>
      </w:r>
      <w:r>
        <w:rPr/>
        <w:t>receive.</w:t>
      </w:r>
    </w:p>
    <w:p>
      <w:pPr>
        <w:spacing w:before="158"/>
        <w:ind w:left="560" w:right="0" w:firstLine="0"/>
        <w:jc w:val="both"/>
        <w:rPr>
          <w:sz w:val="20"/>
        </w:rPr>
      </w:pPr>
      <w:r>
        <w:rPr>
          <w:sz w:val="20"/>
        </w:rPr>
        <w:t>Another report from WRAP entitled </w:t>
      </w:r>
      <w:r>
        <w:rPr>
          <w:i/>
          <w:sz w:val="20"/>
        </w:rPr>
        <w:t>MRFs Comparison of efficiency and quality (2006) </w:t>
      </w:r>
      <w:r>
        <w:rPr>
          <w:sz w:val="20"/>
        </w:rPr>
        <w:t>notes that:</w:t>
      </w:r>
    </w:p>
    <w:p>
      <w:pPr>
        <w:spacing w:before="175"/>
        <w:ind w:left="987" w:right="494" w:firstLine="0"/>
        <w:jc w:val="both"/>
        <w:rPr>
          <w:i/>
          <w:sz w:val="20"/>
        </w:rPr>
      </w:pPr>
      <w:r>
        <w:rPr>
          <w:i/>
          <w:sz w:val="20"/>
        </w:rPr>
        <w:t>Local authorities and waste contractors often prefer the convenience and potential lower collection </w:t>
      </w:r>
      <w:r>
        <w:rPr>
          <w:i/>
          <w:sz w:val="20"/>
        </w:rPr>
        <w:t>costs of the single- and two-stream co-mingled collection systems. On the other hand, most reprocessors purchasing the recovered materials prefer that materials be sorted at kerbside as this minimises the potential for cross contamination and generally produces higher quality materials. The challenge of two-stream, and more so single-stream MRFs, is to meet the specifications required by the materials markets/ reprocessors.</w:t>
      </w:r>
    </w:p>
    <w:p>
      <w:pPr>
        <w:pStyle w:val="Heading5"/>
        <w:spacing w:before="163"/>
        <w:jc w:val="both"/>
      </w:pPr>
      <w:r>
        <w:rPr/>
        <w:t>Yield and missed capture</w:t>
      </w:r>
    </w:p>
    <w:p>
      <w:pPr>
        <w:pStyle w:val="BodyText"/>
        <w:spacing w:before="176"/>
        <w:ind w:left="560" w:right="114"/>
        <w:jc w:val="both"/>
      </w:pPr>
      <w:r>
        <w:rPr/>
        <w:t>A 2020 report on materials disposed of to domestic kerbside rubbish and recycling in Aotearoa New Zealand (Yates, 2020) estimated that the average household disposes of the following recyclable materials through domestic kerbside rubbish collections annually:</w:t>
      </w:r>
    </w:p>
    <w:p>
      <w:pPr>
        <w:pStyle w:val="BodyText"/>
        <w:spacing w:before="12"/>
        <w:rPr>
          <w:sz w:val="19"/>
        </w:rPr>
      </w:pPr>
    </w:p>
    <w:p>
      <w:pPr>
        <w:pStyle w:val="ListParagraph"/>
        <w:numPr>
          <w:ilvl w:val="1"/>
          <w:numId w:val="29"/>
        </w:numPr>
        <w:tabs>
          <w:tab w:pos="1281" w:val="left" w:leader="none"/>
        </w:tabs>
        <w:spacing w:line="255" w:lineRule="exact" w:before="0" w:after="0"/>
        <w:ind w:left="1280" w:right="0" w:hanging="360"/>
        <w:jc w:val="both"/>
        <w:rPr>
          <w:sz w:val="20"/>
        </w:rPr>
      </w:pPr>
      <w:r>
        <w:rPr>
          <w:sz w:val="20"/>
        </w:rPr>
        <w:t>5.8 kg of plastic 1</w:t>
      </w:r>
      <w:r>
        <w:rPr>
          <w:spacing w:val="-14"/>
          <w:sz w:val="20"/>
        </w:rPr>
        <w:t> </w:t>
      </w:r>
      <w:r>
        <w:rPr>
          <w:sz w:val="20"/>
        </w:rPr>
        <w:t>(PET)</w:t>
      </w:r>
    </w:p>
    <w:p>
      <w:pPr>
        <w:pStyle w:val="ListParagraph"/>
        <w:numPr>
          <w:ilvl w:val="1"/>
          <w:numId w:val="29"/>
        </w:numPr>
        <w:tabs>
          <w:tab w:pos="1281" w:val="left" w:leader="none"/>
        </w:tabs>
        <w:spacing w:line="254" w:lineRule="exact" w:before="0" w:after="0"/>
        <w:ind w:left="1280" w:right="0" w:hanging="360"/>
        <w:jc w:val="both"/>
        <w:rPr>
          <w:sz w:val="20"/>
        </w:rPr>
      </w:pPr>
      <w:r>
        <w:rPr>
          <w:sz w:val="20"/>
        </w:rPr>
        <w:t>2.7 kg of plastic 2</w:t>
      </w:r>
      <w:r>
        <w:rPr>
          <w:spacing w:val="-12"/>
          <w:sz w:val="20"/>
        </w:rPr>
        <w:t> </w:t>
      </w:r>
      <w:r>
        <w:rPr>
          <w:sz w:val="20"/>
        </w:rPr>
        <w:t>(HDPE)</w:t>
      </w:r>
    </w:p>
    <w:p>
      <w:pPr>
        <w:pStyle w:val="ListParagraph"/>
        <w:numPr>
          <w:ilvl w:val="1"/>
          <w:numId w:val="29"/>
        </w:numPr>
        <w:tabs>
          <w:tab w:pos="1281" w:val="left" w:leader="none"/>
        </w:tabs>
        <w:spacing w:line="254" w:lineRule="exact" w:before="0" w:after="0"/>
        <w:ind w:left="1280" w:right="0" w:hanging="360"/>
        <w:jc w:val="both"/>
        <w:rPr>
          <w:sz w:val="20"/>
        </w:rPr>
      </w:pPr>
      <w:r>
        <w:rPr>
          <w:sz w:val="20"/>
        </w:rPr>
        <w:t>2.6 kg of plastic 5</w:t>
      </w:r>
      <w:r>
        <w:rPr>
          <w:spacing w:val="-14"/>
          <w:sz w:val="20"/>
        </w:rPr>
        <w:t> </w:t>
      </w:r>
      <w:r>
        <w:rPr>
          <w:sz w:val="20"/>
        </w:rPr>
        <w:t>(PP)</w:t>
      </w:r>
    </w:p>
    <w:p>
      <w:pPr>
        <w:pStyle w:val="ListParagraph"/>
        <w:numPr>
          <w:ilvl w:val="1"/>
          <w:numId w:val="29"/>
        </w:numPr>
        <w:tabs>
          <w:tab w:pos="1281" w:val="left" w:leader="none"/>
        </w:tabs>
        <w:spacing w:line="240" w:lineRule="auto" w:before="0" w:after="0"/>
        <w:ind w:left="1280" w:right="0" w:hanging="360"/>
        <w:jc w:val="both"/>
        <w:rPr>
          <w:sz w:val="20"/>
        </w:rPr>
      </w:pPr>
      <w:r>
        <w:rPr>
          <w:sz w:val="20"/>
        </w:rPr>
        <w:t>2.1 kg of corrugated</w:t>
      </w:r>
      <w:r>
        <w:rPr>
          <w:spacing w:val="-15"/>
          <w:sz w:val="20"/>
        </w:rPr>
        <w:t> </w:t>
      </w:r>
      <w:r>
        <w:rPr>
          <w:sz w:val="20"/>
        </w:rPr>
        <w:t>cardboard</w:t>
      </w:r>
    </w:p>
    <w:p>
      <w:pPr>
        <w:pStyle w:val="ListParagraph"/>
        <w:numPr>
          <w:ilvl w:val="1"/>
          <w:numId w:val="29"/>
        </w:numPr>
        <w:tabs>
          <w:tab w:pos="1281" w:val="left" w:leader="none"/>
        </w:tabs>
        <w:spacing w:line="255" w:lineRule="exact" w:before="2" w:after="0"/>
        <w:ind w:left="1280" w:right="0" w:hanging="360"/>
        <w:jc w:val="both"/>
        <w:rPr>
          <w:sz w:val="20"/>
        </w:rPr>
      </w:pPr>
      <w:r>
        <w:rPr>
          <w:sz w:val="20"/>
        </w:rPr>
        <w:t>24.5 kg of recyclable paper and</w:t>
      </w:r>
      <w:r>
        <w:rPr>
          <w:spacing w:val="-14"/>
          <w:sz w:val="20"/>
        </w:rPr>
        <w:t> </w:t>
      </w:r>
      <w:r>
        <w:rPr>
          <w:sz w:val="20"/>
        </w:rPr>
        <w:t>paperboard</w:t>
      </w:r>
    </w:p>
    <w:p>
      <w:pPr>
        <w:pStyle w:val="ListParagraph"/>
        <w:numPr>
          <w:ilvl w:val="1"/>
          <w:numId w:val="29"/>
        </w:numPr>
        <w:tabs>
          <w:tab w:pos="1281" w:val="left" w:leader="none"/>
        </w:tabs>
        <w:spacing w:line="254" w:lineRule="exact" w:before="0" w:after="0"/>
        <w:ind w:left="1280" w:right="0" w:hanging="360"/>
        <w:jc w:val="both"/>
        <w:rPr>
          <w:sz w:val="20"/>
        </w:rPr>
      </w:pPr>
      <w:r>
        <w:rPr>
          <w:sz w:val="20"/>
        </w:rPr>
        <w:t>3.7 kg of steel</w:t>
      </w:r>
      <w:r>
        <w:rPr>
          <w:spacing w:val="-10"/>
          <w:sz w:val="20"/>
        </w:rPr>
        <w:t> </w:t>
      </w:r>
      <w:r>
        <w:rPr>
          <w:sz w:val="20"/>
        </w:rPr>
        <w:t>cans</w:t>
      </w:r>
    </w:p>
    <w:p>
      <w:pPr>
        <w:pStyle w:val="ListParagraph"/>
        <w:numPr>
          <w:ilvl w:val="1"/>
          <w:numId w:val="29"/>
        </w:numPr>
        <w:tabs>
          <w:tab w:pos="1281" w:val="left" w:leader="none"/>
        </w:tabs>
        <w:spacing w:line="254" w:lineRule="exact" w:before="0" w:after="0"/>
        <w:ind w:left="1280" w:right="0" w:hanging="360"/>
        <w:jc w:val="both"/>
        <w:rPr>
          <w:sz w:val="20"/>
        </w:rPr>
      </w:pPr>
      <w:r>
        <w:rPr>
          <w:sz w:val="20"/>
        </w:rPr>
        <w:t>0.9 kg of aluminium</w:t>
      </w:r>
      <w:r>
        <w:rPr>
          <w:spacing w:val="-11"/>
          <w:sz w:val="20"/>
        </w:rPr>
        <w:t> </w:t>
      </w:r>
      <w:r>
        <w:rPr>
          <w:sz w:val="20"/>
        </w:rPr>
        <w:t>cans</w:t>
      </w:r>
    </w:p>
    <w:p>
      <w:pPr>
        <w:pStyle w:val="ListParagraph"/>
        <w:numPr>
          <w:ilvl w:val="1"/>
          <w:numId w:val="29"/>
        </w:numPr>
        <w:tabs>
          <w:tab w:pos="1281" w:val="left" w:leader="none"/>
        </w:tabs>
        <w:spacing w:line="240" w:lineRule="auto" w:before="0" w:after="0"/>
        <w:ind w:left="1280" w:right="0" w:hanging="360"/>
        <w:jc w:val="both"/>
        <w:rPr>
          <w:sz w:val="20"/>
        </w:rPr>
      </w:pPr>
      <w:r>
        <w:rPr>
          <w:sz w:val="20"/>
        </w:rPr>
        <w:t>10.3 kg of glass bottles and</w:t>
      </w:r>
      <w:r>
        <w:rPr>
          <w:spacing w:val="-12"/>
          <w:sz w:val="20"/>
        </w:rPr>
        <w:t> </w:t>
      </w:r>
      <w:r>
        <w:rPr>
          <w:sz w:val="20"/>
        </w:rPr>
        <w:t>jars</w:t>
      </w:r>
    </w:p>
    <w:p>
      <w:pPr>
        <w:pStyle w:val="BodyText"/>
        <w:spacing w:before="2"/>
      </w:pPr>
    </w:p>
    <w:p>
      <w:pPr>
        <w:pStyle w:val="BodyText"/>
        <w:ind w:left="560" w:right="124"/>
        <w:jc w:val="both"/>
      </w:pPr>
      <w:r>
        <w:rPr/>
        <w:t>The</w:t>
      </w:r>
      <w:r>
        <w:rPr>
          <w:spacing w:val="-4"/>
        </w:rPr>
        <w:t> </w:t>
      </w:r>
      <w:r>
        <w:rPr/>
        <w:t>literature</w:t>
      </w:r>
      <w:r>
        <w:rPr>
          <w:spacing w:val="-4"/>
        </w:rPr>
        <w:t> </w:t>
      </w:r>
      <w:r>
        <w:rPr/>
        <w:t>reviewed</w:t>
      </w:r>
      <w:r>
        <w:rPr>
          <w:spacing w:val="-3"/>
        </w:rPr>
        <w:t> </w:t>
      </w:r>
      <w:r>
        <w:rPr/>
        <w:t>varies</w:t>
      </w:r>
      <w:r>
        <w:rPr>
          <w:spacing w:val="-3"/>
        </w:rPr>
        <w:t> </w:t>
      </w:r>
      <w:r>
        <w:rPr/>
        <w:t>in</w:t>
      </w:r>
      <w:r>
        <w:rPr>
          <w:spacing w:val="-3"/>
        </w:rPr>
        <w:t> </w:t>
      </w:r>
      <w:r>
        <w:rPr/>
        <w:t>its</w:t>
      </w:r>
      <w:r>
        <w:rPr>
          <w:spacing w:val="-3"/>
        </w:rPr>
        <w:t> </w:t>
      </w:r>
      <w:r>
        <w:rPr/>
        <w:t>conclusions</w:t>
      </w:r>
      <w:r>
        <w:rPr>
          <w:spacing w:val="-5"/>
        </w:rPr>
        <w:t> </w:t>
      </w:r>
      <w:r>
        <w:rPr/>
        <w:t>about</w:t>
      </w:r>
      <w:r>
        <w:rPr>
          <w:spacing w:val="-6"/>
        </w:rPr>
        <w:t> </w:t>
      </w:r>
      <w:r>
        <w:rPr/>
        <w:t>the</w:t>
      </w:r>
      <w:r>
        <w:rPr>
          <w:spacing w:val="-4"/>
        </w:rPr>
        <w:t> </w:t>
      </w:r>
      <w:r>
        <w:rPr/>
        <w:t>impact</w:t>
      </w:r>
      <w:r>
        <w:rPr>
          <w:spacing w:val="-3"/>
        </w:rPr>
        <w:t> </w:t>
      </w:r>
      <w:r>
        <w:rPr/>
        <w:t>of</w:t>
      </w:r>
      <w:r>
        <w:rPr>
          <w:spacing w:val="-5"/>
        </w:rPr>
        <w:t> </w:t>
      </w:r>
      <w:r>
        <w:rPr/>
        <w:t>collection</w:t>
      </w:r>
      <w:r>
        <w:rPr>
          <w:spacing w:val="-3"/>
        </w:rPr>
        <w:t> </w:t>
      </w:r>
      <w:r>
        <w:rPr/>
        <w:t>systems</w:t>
      </w:r>
      <w:r>
        <w:rPr>
          <w:spacing w:val="-3"/>
        </w:rPr>
        <w:t> </w:t>
      </w:r>
      <w:r>
        <w:rPr/>
        <w:t>and</w:t>
      </w:r>
      <w:r>
        <w:rPr>
          <w:spacing w:val="-3"/>
        </w:rPr>
        <w:t> </w:t>
      </w:r>
      <w:r>
        <w:rPr/>
        <w:t>yield,</w:t>
      </w:r>
      <w:r>
        <w:rPr>
          <w:spacing w:val="-5"/>
        </w:rPr>
        <w:t> </w:t>
      </w:r>
      <w:r>
        <w:rPr/>
        <w:t>depending</w:t>
      </w:r>
      <w:r>
        <w:rPr>
          <w:spacing w:val="-4"/>
        </w:rPr>
        <w:t> </w:t>
      </w:r>
      <w:r>
        <w:rPr/>
        <w:t>on whether</w:t>
      </w:r>
      <w:r>
        <w:rPr>
          <w:spacing w:val="-3"/>
        </w:rPr>
        <w:t> </w:t>
      </w:r>
      <w:r>
        <w:rPr/>
        <w:t>the</w:t>
      </w:r>
      <w:r>
        <w:rPr>
          <w:spacing w:val="-4"/>
        </w:rPr>
        <w:t> </w:t>
      </w:r>
      <w:r>
        <w:rPr/>
        <w:t>report merely</w:t>
      </w:r>
      <w:r>
        <w:rPr>
          <w:spacing w:val="-3"/>
        </w:rPr>
        <w:t> </w:t>
      </w:r>
      <w:r>
        <w:rPr/>
        <w:t>measures</w:t>
      </w:r>
      <w:r>
        <w:rPr>
          <w:spacing w:val="-3"/>
        </w:rPr>
        <w:t> </w:t>
      </w:r>
      <w:r>
        <w:rPr/>
        <w:t>gross</w:t>
      </w:r>
      <w:r>
        <w:rPr>
          <w:spacing w:val="-3"/>
        </w:rPr>
        <w:t> </w:t>
      </w:r>
      <w:r>
        <w:rPr/>
        <w:t>yield</w:t>
      </w:r>
      <w:r>
        <w:rPr>
          <w:spacing w:val="-3"/>
        </w:rPr>
        <w:t> </w:t>
      </w:r>
      <w:r>
        <w:rPr/>
        <w:t>or</w:t>
      </w:r>
      <w:r>
        <w:rPr>
          <w:spacing w:val="-3"/>
        </w:rPr>
        <w:t> </w:t>
      </w:r>
      <w:r>
        <w:rPr/>
        <w:t>whether</w:t>
      </w:r>
      <w:r>
        <w:rPr>
          <w:spacing w:val="-3"/>
        </w:rPr>
        <w:t> </w:t>
      </w:r>
      <w:r>
        <w:rPr/>
        <w:t>it</w:t>
      </w:r>
      <w:r>
        <w:rPr>
          <w:spacing w:val="-3"/>
        </w:rPr>
        <w:t> </w:t>
      </w:r>
      <w:r>
        <w:rPr/>
        <w:t>is</w:t>
      </w:r>
      <w:r>
        <w:rPr>
          <w:spacing w:val="-3"/>
        </w:rPr>
        <w:t> </w:t>
      </w:r>
      <w:r>
        <w:rPr/>
        <w:t>concerned</w:t>
      </w:r>
      <w:r>
        <w:rPr>
          <w:spacing w:val="-3"/>
        </w:rPr>
        <w:t> </w:t>
      </w:r>
      <w:r>
        <w:rPr/>
        <w:t>with</w:t>
      </w:r>
      <w:r>
        <w:rPr>
          <w:spacing w:val="-3"/>
        </w:rPr>
        <w:t> </w:t>
      </w:r>
      <w:r>
        <w:rPr/>
        <w:t>capturing</w:t>
      </w:r>
      <w:r>
        <w:rPr>
          <w:spacing w:val="-4"/>
        </w:rPr>
        <w:t> </w:t>
      </w:r>
      <w:r>
        <w:rPr/>
        <w:t>high</w:t>
      </w:r>
      <w:r>
        <w:rPr>
          <w:spacing w:val="-3"/>
        </w:rPr>
        <w:t> </w:t>
      </w:r>
      <w:r>
        <w:rPr/>
        <w:t>quality</w:t>
      </w:r>
      <w:r>
        <w:rPr>
          <w:spacing w:val="-3"/>
        </w:rPr>
        <w:t> </w:t>
      </w:r>
      <w:r>
        <w:rPr/>
        <w:t>yield.</w:t>
      </w:r>
    </w:p>
    <w:p>
      <w:pPr>
        <w:spacing w:after="0"/>
        <w:jc w:val="both"/>
        <w:sectPr>
          <w:pgSz w:w="11910" w:h="16840"/>
          <w:pgMar w:header="576" w:footer="698" w:top="1140" w:bottom="880" w:left="880" w:right="1320"/>
        </w:sectPr>
      </w:pPr>
    </w:p>
    <w:p>
      <w:pPr>
        <w:pStyle w:val="BodyText"/>
      </w:pPr>
    </w:p>
    <w:p>
      <w:pPr>
        <w:pStyle w:val="BodyText"/>
        <w:spacing w:before="7"/>
        <w:rPr>
          <w:sz w:val="29"/>
        </w:rPr>
      </w:pPr>
    </w:p>
    <w:p>
      <w:pPr>
        <w:pStyle w:val="BodyText"/>
        <w:spacing w:line="256" w:lineRule="auto" w:before="60"/>
        <w:ind w:left="560" w:right="115"/>
        <w:jc w:val="both"/>
      </w:pPr>
      <w:r>
        <w:rPr/>
        <w:t>The</w:t>
      </w:r>
      <w:r>
        <w:rPr>
          <w:spacing w:val="-9"/>
        </w:rPr>
        <w:t> </w:t>
      </w:r>
      <w:r>
        <w:rPr/>
        <w:t>DEFRA</w:t>
      </w:r>
      <w:r>
        <w:rPr>
          <w:spacing w:val="-8"/>
        </w:rPr>
        <w:t> </w:t>
      </w:r>
      <w:r>
        <w:rPr/>
        <w:t>report</w:t>
      </w:r>
      <w:r>
        <w:rPr>
          <w:spacing w:val="-7"/>
        </w:rPr>
        <w:t> </w:t>
      </w:r>
      <w:r>
        <w:rPr/>
        <w:t>(2019)</w:t>
      </w:r>
      <w:r>
        <w:rPr>
          <w:spacing w:val="-8"/>
        </w:rPr>
        <w:t> </w:t>
      </w:r>
      <w:r>
        <w:rPr/>
        <w:t>purports</w:t>
      </w:r>
      <w:r>
        <w:rPr>
          <w:spacing w:val="-4"/>
        </w:rPr>
        <w:t> </w:t>
      </w:r>
      <w:r>
        <w:rPr/>
        <w:t>that</w:t>
      </w:r>
      <w:r>
        <w:rPr>
          <w:spacing w:val="-7"/>
        </w:rPr>
        <w:t> </w:t>
      </w:r>
      <w:r>
        <w:rPr/>
        <w:t>comingled</w:t>
      </w:r>
      <w:r>
        <w:rPr>
          <w:spacing w:val="-7"/>
        </w:rPr>
        <w:t> </w:t>
      </w:r>
      <w:r>
        <w:rPr/>
        <w:t>systems</w:t>
      </w:r>
      <w:r>
        <w:rPr>
          <w:spacing w:val="-7"/>
        </w:rPr>
        <w:t> </w:t>
      </w:r>
      <w:r>
        <w:rPr/>
        <w:t>“yield</w:t>
      </w:r>
      <w:r>
        <w:rPr>
          <w:spacing w:val="-7"/>
        </w:rPr>
        <w:t> </w:t>
      </w:r>
      <w:r>
        <w:rPr/>
        <w:t>marginally</w:t>
      </w:r>
      <w:r>
        <w:rPr>
          <w:spacing w:val="-7"/>
        </w:rPr>
        <w:t> </w:t>
      </w:r>
      <w:r>
        <w:rPr/>
        <w:t>more</w:t>
      </w:r>
      <w:r>
        <w:rPr>
          <w:spacing w:val="-9"/>
        </w:rPr>
        <w:t> </w:t>
      </w:r>
      <w:r>
        <w:rPr/>
        <w:t>recyclate”</w:t>
      </w:r>
      <w:r>
        <w:rPr>
          <w:spacing w:val="-7"/>
        </w:rPr>
        <w:t> </w:t>
      </w:r>
      <w:r>
        <w:rPr/>
        <w:t>whereas</w:t>
      </w:r>
      <w:r>
        <w:rPr>
          <w:spacing w:val="-6"/>
        </w:rPr>
        <w:t> </w:t>
      </w:r>
      <w:r>
        <w:rPr/>
        <w:t>the</w:t>
      </w:r>
      <w:r>
        <w:rPr>
          <w:spacing w:val="-9"/>
        </w:rPr>
        <w:t> </w:t>
      </w:r>
      <w:r>
        <w:rPr/>
        <w:t>WRAP report </w:t>
      </w:r>
      <w:r>
        <w:rPr>
          <w:i/>
        </w:rPr>
        <w:t>Kerbside Collections Options: Wales </w:t>
      </w:r>
      <w:r>
        <w:rPr/>
        <w:t>(2011) notes that applying waste flow models shows that comingled sort systems achieve higher yields than kerbside sort systems, but are more contaminated. Another UK report from</w:t>
      </w:r>
      <w:r>
        <w:rPr>
          <w:spacing w:val="-10"/>
        </w:rPr>
        <w:t> </w:t>
      </w:r>
      <w:r>
        <w:rPr/>
        <w:t>WYG</w:t>
      </w:r>
      <w:r>
        <w:rPr>
          <w:spacing w:val="-10"/>
        </w:rPr>
        <w:t> </w:t>
      </w:r>
      <w:r>
        <w:rPr>
          <w:i/>
        </w:rPr>
        <w:t>Review</w:t>
      </w:r>
      <w:r>
        <w:rPr>
          <w:i/>
          <w:spacing w:val="-10"/>
        </w:rPr>
        <w:t> </w:t>
      </w:r>
      <w:r>
        <w:rPr>
          <w:i/>
        </w:rPr>
        <w:t>of</w:t>
      </w:r>
      <w:r>
        <w:rPr>
          <w:i/>
          <w:spacing w:val="-8"/>
        </w:rPr>
        <w:t> </w:t>
      </w:r>
      <w:r>
        <w:rPr>
          <w:i/>
        </w:rPr>
        <w:t>Kerbside</w:t>
      </w:r>
      <w:r>
        <w:rPr>
          <w:i/>
          <w:spacing w:val="-6"/>
        </w:rPr>
        <w:t> </w:t>
      </w:r>
      <w:r>
        <w:rPr>
          <w:i/>
        </w:rPr>
        <w:t>recycling</w:t>
      </w:r>
      <w:r>
        <w:rPr>
          <w:i/>
          <w:spacing w:val="-8"/>
        </w:rPr>
        <w:t> </w:t>
      </w:r>
      <w:r>
        <w:rPr>
          <w:i/>
        </w:rPr>
        <w:t>collection</w:t>
      </w:r>
      <w:r>
        <w:rPr>
          <w:i/>
          <w:spacing w:val="-9"/>
        </w:rPr>
        <w:t> </w:t>
      </w:r>
      <w:r>
        <w:rPr>
          <w:i/>
        </w:rPr>
        <w:t>schemes</w:t>
      </w:r>
      <w:r>
        <w:rPr>
          <w:i/>
          <w:spacing w:val="-10"/>
        </w:rPr>
        <w:t> </w:t>
      </w:r>
      <w:r>
        <w:rPr>
          <w:i/>
        </w:rPr>
        <w:t>in</w:t>
      </w:r>
      <w:r>
        <w:rPr>
          <w:i/>
          <w:spacing w:val="-9"/>
        </w:rPr>
        <w:t> </w:t>
      </w:r>
      <w:r>
        <w:rPr>
          <w:i/>
        </w:rPr>
        <w:t>the</w:t>
      </w:r>
      <w:r>
        <w:rPr>
          <w:i/>
          <w:spacing w:val="-9"/>
        </w:rPr>
        <w:t> </w:t>
      </w:r>
      <w:r>
        <w:rPr>
          <w:i/>
        </w:rPr>
        <w:t>UK</w:t>
      </w:r>
      <w:r>
        <w:rPr>
          <w:i/>
          <w:spacing w:val="-10"/>
        </w:rPr>
        <w:t> </w:t>
      </w:r>
      <w:r>
        <w:rPr>
          <w:i/>
        </w:rPr>
        <w:t>in</w:t>
      </w:r>
      <w:r>
        <w:rPr>
          <w:i/>
          <w:spacing w:val="-6"/>
        </w:rPr>
        <w:t> </w:t>
      </w:r>
      <w:r>
        <w:rPr>
          <w:i/>
        </w:rPr>
        <w:t>2011/12</w:t>
      </w:r>
      <w:r>
        <w:rPr>
          <w:i/>
          <w:spacing w:val="-2"/>
        </w:rPr>
        <w:t> </w:t>
      </w:r>
      <w:r>
        <w:rPr/>
        <w:t>(2013)</w:t>
      </w:r>
      <w:r>
        <w:rPr>
          <w:spacing w:val="-10"/>
        </w:rPr>
        <w:t> </w:t>
      </w:r>
      <w:r>
        <w:rPr/>
        <w:t>that</w:t>
      </w:r>
      <w:r>
        <w:rPr>
          <w:spacing w:val="-6"/>
        </w:rPr>
        <w:t> </w:t>
      </w:r>
      <w:r>
        <w:rPr/>
        <w:t>includes</w:t>
      </w:r>
      <w:r>
        <w:rPr>
          <w:spacing w:val="-8"/>
        </w:rPr>
        <w:t> </w:t>
      </w:r>
      <w:r>
        <w:rPr/>
        <w:t>factors</w:t>
      </w:r>
      <w:r>
        <w:rPr>
          <w:spacing w:val="-8"/>
        </w:rPr>
        <w:t> </w:t>
      </w:r>
      <w:r>
        <w:rPr/>
        <w:t>such as</w:t>
      </w:r>
      <w:r>
        <w:rPr>
          <w:spacing w:val="-6"/>
        </w:rPr>
        <w:t> </w:t>
      </w:r>
      <w:r>
        <w:rPr/>
        <w:t>the</w:t>
      </w:r>
      <w:r>
        <w:rPr>
          <w:spacing w:val="-8"/>
        </w:rPr>
        <w:t> </w:t>
      </w:r>
      <w:r>
        <w:rPr/>
        <w:t>impact</w:t>
      </w:r>
      <w:r>
        <w:rPr>
          <w:spacing w:val="-6"/>
        </w:rPr>
        <w:t> </w:t>
      </w:r>
      <w:r>
        <w:rPr/>
        <w:t>of</w:t>
      </w:r>
      <w:r>
        <w:rPr>
          <w:spacing w:val="-8"/>
        </w:rPr>
        <w:t> </w:t>
      </w:r>
      <w:r>
        <w:rPr/>
        <w:t>deprivation</w:t>
      </w:r>
      <w:r>
        <w:rPr>
          <w:spacing w:val="-6"/>
        </w:rPr>
        <w:t> </w:t>
      </w:r>
      <w:r>
        <w:rPr/>
        <w:t>on</w:t>
      </w:r>
      <w:r>
        <w:rPr>
          <w:spacing w:val="-6"/>
        </w:rPr>
        <w:t> </w:t>
      </w:r>
      <w:r>
        <w:rPr/>
        <w:t>yields</w:t>
      </w:r>
      <w:r>
        <w:rPr>
          <w:spacing w:val="-6"/>
        </w:rPr>
        <w:t> </w:t>
      </w:r>
      <w:r>
        <w:rPr/>
        <w:t>to</w:t>
      </w:r>
      <w:r>
        <w:rPr>
          <w:spacing w:val="-6"/>
        </w:rPr>
        <w:t> </w:t>
      </w:r>
      <w:r>
        <w:rPr/>
        <w:t>make</w:t>
      </w:r>
      <w:r>
        <w:rPr>
          <w:spacing w:val="-8"/>
        </w:rPr>
        <w:t> </w:t>
      </w:r>
      <w:r>
        <w:rPr/>
        <w:t>a</w:t>
      </w:r>
      <w:r>
        <w:rPr>
          <w:spacing w:val="-6"/>
        </w:rPr>
        <w:t> </w:t>
      </w:r>
      <w:r>
        <w:rPr/>
        <w:t>comparison</w:t>
      </w:r>
      <w:r>
        <w:rPr>
          <w:spacing w:val="-8"/>
        </w:rPr>
        <w:t> </w:t>
      </w:r>
      <w:r>
        <w:rPr/>
        <w:t>between</w:t>
      </w:r>
      <w:r>
        <w:rPr>
          <w:spacing w:val="-6"/>
        </w:rPr>
        <w:t> </w:t>
      </w:r>
      <w:r>
        <w:rPr/>
        <w:t>different</w:t>
      </w:r>
      <w:r>
        <w:rPr>
          <w:spacing w:val="-6"/>
        </w:rPr>
        <w:t> </w:t>
      </w:r>
      <w:r>
        <w:rPr/>
        <w:t>collection</w:t>
      </w:r>
      <w:r>
        <w:rPr>
          <w:spacing w:val="-6"/>
        </w:rPr>
        <w:t> </w:t>
      </w:r>
      <w:r>
        <w:rPr/>
        <w:t>types</w:t>
      </w:r>
      <w:r>
        <w:rPr>
          <w:spacing w:val="-6"/>
        </w:rPr>
        <w:t> </w:t>
      </w:r>
      <w:r>
        <w:rPr/>
        <w:t>notes</w:t>
      </w:r>
      <w:r>
        <w:rPr>
          <w:spacing w:val="-6"/>
        </w:rPr>
        <w:t> </w:t>
      </w:r>
      <w:r>
        <w:rPr/>
        <w:t>that</w:t>
      </w:r>
      <w:r>
        <w:rPr>
          <w:spacing w:val="-6"/>
        </w:rPr>
        <w:t> </w:t>
      </w:r>
      <w:r>
        <w:rPr/>
        <w:t>areas with lower deprivation tend to have higher recycling yields. In addition it claims that yield is higher for fully </w:t>
      </w:r>
      <w:r>
        <w:rPr>
          <w:spacing w:val="5"/>
        </w:rPr>
        <w:t>co- </w:t>
      </w:r>
      <w:r>
        <w:rPr/>
        <w:t>mingled, including glass, systems compared to: two-stream with separate glass; two-stream with separate paper; separate collections for all materials or co-mingled with no glass; and lowest for separate collections for all materials that exclude</w:t>
      </w:r>
      <w:r>
        <w:rPr>
          <w:spacing w:val="-8"/>
        </w:rPr>
        <w:t> </w:t>
      </w:r>
      <w:r>
        <w:rPr/>
        <w:t>glass.</w:t>
      </w:r>
    </w:p>
    <w:p>
      <w:pPr>
        <w:pStyle w:val="BodyText"/>
        <w:spacing w:line="256" w:lineRule="auto" w:before="159"/>
        <w:ind w:left="560" w:right="123"/>
        <w:jc w:val="both"/>
      </w:pPr>
      <w:r>
        <w:rPr/>
        <w:t>The Eunomia NZ report (Wilson, 2018) notes that because comingled wheelie bin systems offer more capacity than crate systems, they enable more material to be collected and that good performing systems can collect approximately 250kg per household per year or 25% more than crate-based systems.</w:t>
      </w:r>
    </w:p>
    <w:p>
      <w:pPr>
        <w:pStyle w:val="BodyText"/>
        <w:spacing w:line="256" w:lineRule="auto" w:before="159"/>
        <w:ind w:left="560" w:right="114"/>
        <w:jc w:val="both"/>
      </w:pPr>
      <w:r>
        <w:rPr/>
        <w:t>The WRAP report </w:t>
      </w:r>
      <w:r>
        <w:rPr>
          <w:i/>
        </w:rPr>
        <w:t>Choosing the right recycling collection system </w:t>
      </w:r>
      <w:r>
        <w:rPr/>
        <w:t>(2009) notes that it is widely perceived that co- mingled collections are more effective at capturing material than kerbside sort schemes and on average </w:t>
      </w:r>
      <w:r>
        <w:rPr>
          <w:spacing w:val="4"/>
        </w:rPr>
        <w:t>co- </w:t>
      </w:r>
      <w:r>
        <w:rPr/>
        <w:t>mingled collections do attract around 36kg per household more material – most of which is paper and card. However, the report goes on to note that these figures make no allowance for rejects from either the MRF or the reprocessor of wrongly sorted material. The report states that there is evidence that providing additional containers</w:t>
      </w:r>
      <w:r>
        <w:rPr>
          <w:spacing w:val="-10"/>
        </w:rPr>
        <w:t> </w:t>
      </w:r>
      <w:r>
        <w:rPr/>
        <w:t>or</w:t>
      </w:r>
      <w:r>
        <w:rPr>
          <w:spacing w:val="-12"/>
        </w:rPr>
        <w:t> </w:t>
      </w:r>
      <w:r>
        <w:rPr/>
        <w:t>more</w:t>
      </w:r>
      <w:r>
        <w:rPr>
          <w:spacing w:val="-10"/>
        </w:rPr>
        <w:t> </w:t>
      </w:r>
      <w:r>
        <w:rPr/>
        <w:t>frequent</w:t>
      </w:r>
      <w:r>
        <w:rPr>
          <w:spacing w:val="-11"/>
        </w:rPr>
        <w:t> </w:t>
      </w:r>
      <w:r>
        <w:rPr/>
        <w:t>collections,</w:t>
      </w:r>
      <w:r>
        <w:rPr>
          <w:spacing w:val="-11"/>
        </w:rPr>
        <w:t> </w:t>
      </w:r>
      <w:r>
        <w:rPr/>
        <w:t>kerbside</w:t>
      </w:r>
      <w:r>
        <w:rPr>
          <w:spacing w:val="-12"/>
        </w:rPr>
        <w:t> </w:t>
      </w:r>
      <w:r>
        <w:rPr/>
        <w:t>sort</w:t>
      </w:r>
      <w:r>
        <w:rPr>
          <w:spacing w:val="-11"/>
        </w:rPr>
        <w:t> </w:t>
      </w:r>
      <w:r>
        <w:rPr/>
        <w:t>schemes</w:t>
      </w:r>
      <w:r>
        <w:rPr>
          <w:spacing w:val="-10"/>
        </w:rPr>
        <w:t> </w:t>
      </w:r>
      <w:r>
        <w:rPr/>
        <w:t>can</w:t>
      </w:r>
      <w:r>
        <w:rPr>
          <w:spacing w:val="-11"/>
        </w:rPr>
        <w:t> </w:t>
      </w:r>
      <w:r>
        <w:rPr/>
        <w:t>have</w:t>
      </w:r>
      <w:r>
        <w:rPr>
          <w:spacing w:val="-12"/>
        </w:rPr>
        <w:t> </w:t>
      </w:r>
      <w:r>
        <w:rPr/>
        <w:t>the</w:t>
      </w:r>
      <w:r>
        <w:rPr>
          <w:spacing w:val="-12"/>
        </w:rPr>
        <w:t> </w:t>
      </w:r>
      <w:r>
        <w:rPr/>
        <w:t>same</w:t>
      </w:r>
      <w:r>
        <w:rPr>
          <w:spacing w:val="-10"/>
        </w:rPr>
        <w:t> </w:t>
      </w:r>
      <w:r>
        <w:rPr/>
        <w:t>effective</w:t>
      </w:r>
      <w:r>
        <w:rPr>
          <w:spacing w:val="-12"/>
        </w:rPr>
        <w:t> </w:t>
      </w:r>
      <w:r>
        <w:rPr/>
        <w:t>volume</w:t>
      </w:r>
      <w:r>
        <w:rPr>
          <w:spacing w:val="-12"/>
        </w:rPr>
        <w:t> </w:t>
      </w:r>
      <w:r>
        <w:rPr/>
        <w:t>for</w:t>
      </w:r>
      <w:r>
        <w:rPr>
          <w:spacing w:val="-12"/>
        </w:rPr>
        <w:t> </w:t>
      </w:r>
      <w:r>
        <w:rPr/>
        <w:t>recyclate as</w:t>
      </w:r>
      <w:r>
        <w:rPr>
          <w:spacing w:val="-6"/>
        </w:rPr>
        <w:t> </w:t>
      </w:r>
      <w:r>
        <w:rPr/>
        <w:t>co-mingled</w:t>
      </w:r>
      <w:r>
        <w:rPr>
          <w:spacing w:val="-7"/>
        </w:rPr>
        <w:t> </w:t>
      </w:r>
      <w:r>
        <w:rPr/>
        <w:t>collections</w:t>
      </w:r>
      <w:r>
        <w:rPr>
          <w:spacing w:val="-7"/>
        </w:rPr>
        <w:t> </w:t>
      </w:r>
      <w:r>
        <w:rPr/>
        <w:t>and</w:t>
      </w:r>
      <w:r>
        <w:rPr>
          <w:spacing w:val="-10"/>
        </w:rPr>
        <w:t> </w:t>
      </w:r>
      <w:r>
        <w:rPr/>
        <w:t>achieve</w:t>
      </w:r>
      <w:r>
        <w:rPr>
          <w:spacing w:val="-9"/>
        </w:rPr>
        <w:t> </w:t>
      </w:r>
      <w:r>
        <w:rPr/>
        <w:t>similar</w:t>
      </w:r>
      <w:r>
        <w:rPr>
          <w:spacing w:val="-8"/>
        </w:rPr>
        <w:t> </w:t>
      </w:r>
      <w:r>
        <w:rPr/>
        <w:t>results.</w:t>
      </w:r>
      <w:r>
        <w:rPr>
          <w:spacing w:val="-5"/>
        </w:rPr>
        <w:t> </w:t>
      </w:r>
      <w:r>
        <w:rPr/>
        <w:t>An</w:t>
      </w:r>
      <w:r>
        <w:rPr>
          <w:spacing w:val="-7"/>
        </w:rPr>
        <w:t> </w:t>
      </w:r>
      <w:r>
        <w:rPr>
          <w:i/>
        </w:rPr>
        <w:t>Assessment</w:t>
      </w:r>
      <w:r>
        <w:rPr>
          <w:i/>
          <w:spacing w:val="-7"/>
        </w:rPr>
        <w:t> </w:t>
      </w:r>
      <w:r>
        <w:rPr>
          <w:i/>
        </w:rPr>
        <w:t>of</w:t>
      </w:r>
      <w:r>
        <w:rPr>
          <w:i/>
          <w:spacing w:val="-9"/>
        </w:rPr>
        <w:t> </w:t>
      </w:r>
      <w:r>
        <w:rPr>
          <w:i/>
        </w:rPr>
        <w:t>domestic</w:t>
      </w:r>
      <w:r>
        <w:rPr>
          <w:i/>
          <w:spacing w:val="-7"/>
        </w:rPr>
        <w:t> </w:t>
      </w:r>
      <w:r>
        <w:rPr>
          <w:i/>
        </w:rPr>
        <w:t>waste</w:t>
      </w:r>
      <w:r>
        <w:rPr>
          <w:i/>
          <w:spacing w:val="-7"/>
        </w:rPr>
        <w:t> </w:t>
      </w:r>
      <w:r>
        <w:rPr>
          <w:i/>
        </w:rPr>
        <w:t>and</w:t>
      </w:r>
      <w:r>
        <w:rPr>
          <w:i/>
          <w:spacing w:val="-7"/>
        </w:rPr>
        <w:t> </w:t>
      </w:r>
      <w:r>
        <w:rPr>
          <w:i/>
        </w:rPr>
        <w:t>recycling</w:t>
      </w:r>
      <w:r>
        <w:rPr>
          <w:i/>
          <w:spacing w:val="-7"/>
        </w:rPr>
        <w:t> </w:t>
      </w:r>
      <w:r>
        <w:rPr>
          <w:i/>
        </w:rPr>
        <w:t>systems</w:t>
      </w:r>
      <w:r>
        <w:rPr>
          <w:i/>
          <w:spacing w:val="-5"/>
        </w:rPr>
        <w:t> </w:t>
      </w:r>
      <w:r>
        <w:rPr/>
        <w:t>by the</w:t>
      </w:r>
      <w:r>
        <w:rPr>
          <w:spacing w:val="-11"/>
        </w:rPr>
        <w:t> </w:t>
      </w:r>
      <w:r>
        <w:rPr/>
        <w:t>New</w:t>
      </w:r>
      <w:r>
        <w:rPr>
          <w:spacing w:val="-11"/>
        </w:rPr>
        <w:t> </w:t>
      </w:r>
      <w:r>
        <w:rPr/>
        <w:t>South</w:t>
      </w:r>
      <w:r>
        <w:rPr>
          <w:spacing w:val="-9"/>
        </w:rPr>
        <w:t> </w:t>
      </w:r>
      <w:r>
        <w:rPr/>
        <w:t>Wales</w:t>
      </w:r>
      <w:r>
        <w:rPr>
          <w:spacing w:val="-9"/>
        </w:rPr>
        <w:t> </w:t>
      </w:r>
      <w:r>
        <w:rPr/>
        <w:t>Department</w:t>
      </w:r>
      <w:r>
        <w:rPr>
          <w:spacing w:val="-10"/>
        </w:rPr>
        <w:t> </w:t>
      </w:r>
      <w:r>
        <w:rPr/>
        <w:t>of</w:t>
      </w:r>
      <w:r>
        <w:rPr>
          <w:spacing w:val="-11"/>
        </w:rPr>
        <w:t> </w:t>
      </w:r>
      <w:r>
        <w:rPr/>
        <w:t>Environment</w:t>
      </w:r>
      <w:r>
        <w:rPr>
          <w:spacing w:val="-10"/>
        </w:rPr>
        <w:t> </w:t>
      </w:r>
      <w:r>
        <w:rPr/>
        <w:t>and</w:t>
      </w:r>
      <w:r>
        <w:rPr>
          <w:spacing w:val="-10"/>
        </w:rPr>
        <w:t> </w:t>
      </w:r>
      <w:r>
        <w:rPr/>
        <w:t>Conservation</w:t>
      </w:r>
      <w:r>
        <w:rPr>
          <w:spacing w:val="-4"/>
        </w:rPr>
        <w:t> </w:t>
      </w:r>
      <w:r>
        <w:rPr/>
        <w:t>(2004)</w:t>
      </w:r>
      <w:r>
        <w:rPr>
          <w:spacing w:val="-11"/>
        </w:rPr>
        <w:t> </w:t>
      </w:r>
      <w:r>
        <w:rPr/>
        <w:t>found</w:t>
      </w:r>
      <w:r>
        <w:rPr>
          <w:spacing w:val="-10"/>
        </w:rPr>
        <w:t> </w:t>
      </w:r>
      <w:r>
        <w:rPr/>
        <w:t>that</w:t>
      </w:r>
      <w:r>
        <w:rPr>
          <w:spacing w:val="-9"/>
        </w:rPr>
        <w:t> </w:t>
      </w:r>
      <w:r>
        <w:rPr/>
        <w:t>of</w:t>
      </w:r>
      <w:r>
        <w:rPr>
          <w:spacing w:val="-13"/>
        </w:rPr>
        <w:t> </w:t>
      </w:r>
      <w:r>
        <w:rPr/>
        <w:t>the</w:t>
      </w:r>
      <w:r>
        <w:rPr>
          <w:spacing w:val="-11"/>
        </w:rPr>
        <w:t> </w:t>
      </w:r>
      <w:r>
        <w:rPr/>
        <w:t>six</w:t>
      </w:r>
      <w:r>
        <w:rPr>
          <w:spacing w:val="-11"/>
        </w:rPr>
        <w:t> </w:t>
      </w:r>
      <w:r>
        <w:rPr/>
        <w:t>domestic</w:t>
      </w:r>
      <w:r>
        <w:rPr>
          <w:spacing w:val="-10"/>
        </w:rPr>
        <w:t> </w:t>
      </w:r>
      <w:r>
        <w:rPr/>
        <w:t>waste management</w:t>
      </w:r>
      <w:r>
        <w:rPr>
          <w:spacing w:val="-7"/>
        </w:rPr>
        <w:t> </w:t>
      </w:r>
      <w:r>
        <w:rPr/>
        <w:t>collection</w:t>
      </w:r>
      <w:r>
        <w:rPr>
          <w:spacing w:val="-7"/>
        </w:rPr>
        <w:t> </w:t>
      </w:r>
      <w:r>
        <w:rPr/>
        <w:t>scenarios</w:t>
      </w:r>
      <w:r>
        <w:rPr>
          <w:spacing w:val="-6"/>
        </w:rPr>
        <w:t> </w:t>
      </w:r>
      <w:r>
        <w:rPr/>
        <w:t>considered</w:t>
      </w:r>
      <w:r>
        <w:rPr>
          <w:spacing w:val="-7"/>
        </w:rPr>
        <w:t> </w:t>
      </w:r>
      <w:r>
        <w:rPr/>
        <w:t>in</w:t>
      </w:r>
      <w:r>
        <w:rPr>
          <w:spacing w:val="-10"/>
        </w:rPr>
        <w:t> </w:t>
      </w:r>
      <w:r>
        <w:rPr/>
        <w:t>the</w:t>
      </w:r>
      <w:r>
        <w:rPr>
          <w:spacing w:val="-9"/>
        </w:rPr>
        <w:t> </w:t>
      </w:r>
      <w:r>
        <w:rPr/>
        <w:t>study,</w:t>
      </w:r>
      <w:r>
        <w:rPr>
          <w:spacing w:val="-10"/>
        </w:rPr>
        <w:t> </w:t>
      </w:r>
      <w:r>
        <w:rPr/>
        <w:t>yields</w:t>
      </w:r>
      <w:r>
        <w:rPr>
          <w:spacing w:val="-7"/>
        </w:rPr>
        <w:t> </w:t>
      </w:r>
      <w:r>
        <w:rPr/>
        <w:t>are</w:t>
      </w:r>
      <w:r>
        <w:rPr>
          <w:spacing w:val="-9"/>
        </w:rPr>
        <w:t> </w:t>
      </w:r>
      <w:r>
        <w:rPr/>
        <w:t>highest</w:t>
      </w:r>
      <w:r>
        <w:rPr>
          <w:spacing w:val="-6"/>
        </w:rPr>
        <w:t> </w:t>
      </w:r>
      <w:r>
        <w:rPr/>
        <w:t>for</w:t>
      </w:r>
      <w:r>
        <w:rPr>
          <w:spacing w:val="-8"/>
        </w:rPr>
        <w:t> </w:t>
      </w:r>
      <w:r>
        <w:rPr/>
        <w:t>fortnightly</w:t>
      </w:r>
      <w:r>
        <w:rPr>
          <w:spacing w:val="-9"/>
        </w:rPr>
        <w:t> </w:t>
      </w:r>
      <w:r>
        <w:rPr/>
        <w:t>commingled</w:t>
      </w:r>
      <w:r>
        <w:rPr>
          <w:spacing w:val="-7"/>
        </w:rPr>
        <w:t> </w:t>
      </w:r>
      <w:r>
        <w:rPr/>
        <w:t>wheelie bins with a fortnightly collection of paper and cardboard in a separate bin, followed by fully commingled recycling collections. Crate systems were found to yield the lowest quantity but had the lowest contamination rates.</w:t>
      </w:r>
    </w:p>
    <w:p>
      <w:pPr>
        <w:spacing w:before="159"/>
        <w:ind w:left="560" w:right="114" w:firstLine="0"/>
        <w:jc w:val="both"/>
        <w:rPr>
          <w:sz w:val="20"/>
        </w:rPr>
      </w:pPr>
      <w:r>
        <w:rPr>
          <w:sz w:val="20"/>
        </w:rPr>
        <w:t>However, in contrast, the European Commission report (</w:t>
      </w:r>
      <w:r>
        <w:rPr>
          <w:sz w:val="19"/>
        </w:rPr>
        <w:t>Seyring et al. 2015</w:t>
      </w:r>
      <w:r>
        <w:rPr>
          <w:sz w:val="20"/>
        </w:rPr>
        <w:t>) determines that strict separate collections of one material per bin usually leads to higher recycling rates. This is supported by the Commonwealth</w:t>
      </w:r>
      <w:r>
        <w:rPr>
          <w:spacing w:val="-4"/>
          <w:sz w:val="20"/>
        </w:rPr>
        <w:t> </w:t>
      </w:r>
      <w:r>
        <w:rPr>
          <w:sz w:val="20"/>
        </w:rPr>
        <w:t>of</w:t>
      </w:r>
      <w:r>
        <w:rPr>
          <w:spacing w:val="-6"/>
          <w:sz w:val="20"/>
        </w:rPr>
        <w:t> </w:t>
      </w:r>
      <w:r>
        <w:rPr>
          <w:sz w:val="20"/>
        </w:rPr>
        <w:t>Australia</w:t>
      </w:r>
      <w:r>
        <w:rPr>
          <w:spacing w:val="-4"/>
          <w:sz w:val="20"/>
        </w:rPr>
        <w:t> </w:t>
      </w:r>
      <w:r>
        <w:rPr>
          <w:sz w:val="20"/>
        </w:rPr>
        <w:t>report</w:t>
      </w:r>
      <w:r>
        <w:rPr>
          <w:spacing w:val="-5"/>
          <w:sz w:val="20"/>
        </w:rPr>
        <w:t> </w:t>
      </w:r>
      <w:r>
        <w:rPr>
          <w:sz w:val="20"/>
        </w:rPr>
        <w:t>(2018)</w:t>
      </w:r>
      <w:r>
        <w:rPr>
          <w:spacing w:val="-6"/>
          <w:sz w:val="20"/>
        </w:rPr>
        <w:t> </w:t>
      </w:r>
      <w:r>
        <w:rPr>
          <w:sz w:val="20"/>
        </w:rPr>
        <w:t>where</w:t>
      </w:r>
      <w:r>
        <w:rPr>
          <w:spacing w:val="-6"/>
          <w:sz w:val="20"/>
        </w:rPr>
        <w:t> </w:t>
      </w:r>
      <w:r>
        <w:rPr>
          <w:sz w:val="20"/>
        </w:rPr>
        <w:t>seven</w:t>
      </w:r>
      <w:r>
        <w:rPr>
          <w:spacing w:val="-5"/>
          <w:sz w:val="20"/>
        </w:rPr>
        <w:t> </w:t>
      </w:r>
      <w:r>
        <w:rPr>
          <w:sz w:val="20"/>
        </w:rPr>
        <w:t>submitters</w:t>
      </w:r>
      <w:r>
        <w:rPr>
          <w:spacing w:val="-4"/>
          <w:sz w:val="20"/>
        </w:rPr>
        <w:t> </w:t>
      </w:r>
      <w:r>
        <w:rPr>
          <w:sz w:val="20"/>
        </w:rPr>
        <w:t>stated</w:t>
      </w:r>
      <w:r>
        <w:rPr>
          <w:spacing w:val="-5"/>
          <w:sz w:val="20"/>
        </w:rPr>
        <w:t> </w:t>
      </w:r>
      <w:r>
        <w:rPr>
          <w:sz w:val="20"/>
        </w:rPr>
        <w:t>that</w:t>
      </w:r>
      <w:r>
        <w:rPr>
          <w:spacing w:val="-7"/>
          <w:sz w:val="20"/>
        </w:rPr>
        <w:t> </w:t>
      </w:r>
      <w:r>
        <w:rPr>
          <w:sz w:val="20"/>
        </w:rPr>
        <w:t>separation</w:t>
      </w:r>
      <w:r>
        <w:rPr>
          <w:spacing w:val="-7"/>
          <w:sz w:val="20"/>
        </w:rPr>
        <w:t> </w:t>
      </w:r>
      <w:r>
        <w:rPr>
          <w:sz w:val="20"/>
        </w:rPr>
        <w:t>of</w:t>
      </w:r>
      <w:r>
        <w:rPr>
          <w:spacing w:val="-6"/>
          <w:sz w:val="20"/>
        </w:rPr>
        <w:t> </w:t>
      </w:r>
      <w:r>
        <w:rPr>
          <w:sz w:val="20"/>
        </w:rPr>
        <w:t>materials</w:t>
      </w:r>
      <w:r>
        <w:rPr>
          <w:spacing w:val="-4"/>
          <w:sz w:val="20"/>
        </w:rPr>
        <w:t> </w:t>
      </w:r>
      <w:r>
        <w:rPr>
          <w:sz w:val="20"/>
        </w:rPr>
        <w:t>at</w:t>
      </w:r>
      <w:r>
        <w:rPr>
          <w:spacing w:val="-5"/>
          <w:sz w:val="20"/>
        </w:rPr>
        <w:t> </w:t>
      </w:r>
      <w:r>
        <w:rPr>
          <w:sz w:val="20"/>
        </w:rPr>
        <w:t>source results in higher yield and quality recycling materials. The Welsh Assembly Government’s </w:t>
      </w:r>
      <w:r>
        <w:rPr>
          <w:i/>
          <w:sz w:val="20"/>
        </w:rPr>
        <w:t>Collections Blueprint </w:t>
      </w:r>
      <w:r>
        <w:rPr>
          <w:i/>
          <w:sz w:val="20"/>
        </w:rPr>
        <w:t>for affordable and sustainable local authority collection services for recyclable, compostable and residual waste </w:t>
      </w:r>
      <w:r>
        <w:rPr>
          <w:sz w:val="20"/>
        </w:rPr>
        <w:t>(2011)</w:t>
      </w:r>
      <w:r>
        <w:rPr>
          <w:spacing w:val="-7"/>
          <w:sz w:val="20"/>
        </w:rPr>
        <w:t> </w:t>
      </w:r>
      <w:r>
        <w:rPr>
          <w:sz w:val="20"/>
        </w:rPr>
        <w:t>also</w:t>
      </w:r>
      <w:r>
        <w:rPr>
          <w:spacing w:val="-7"/>
          <w:sz w:val="20"/>
        </w:rPr>
        <w:t> </w:t>
      </w:r>
      <w:r>
        <w:rPr>
          <w:sz w:val="20"/>
        </w:rPr>
        <w:t>argues</w:t>
      </w:r>
      <w:r>
        <w:rPr>
          <w:spacing w:val="-7"/>
          <w:sz w:val="20"/>
        </w:rPr>
        <w:t> </w:t>
      </w:r>
      <w:r>
        <w:rPr>
          <w:sz w:val="20"/>
        </w:rPr>
        <w:t>that</w:t>
      </w:r>
      <w:r>
        <w:rPr>
          <w:spacing w:val="-7"/>
          <w:sz w:val="20"/>
        </w:rPr>
        <w:t> </w:t>
      </w:r>
      <w:r>
        <w:rPr>
          <w:sz w:val="20"/>
        </w:rPr>
        <w:t>the</w:t>
      </w:r>
      <w:r>
        <w:rPr>
          <w:spacing w:val="-8"/>
          <w:sz w:val="20"/>
        </w:rPr>
        <w:t> </w:t>
      </w:r>
      <w:r>
        <w:rPr>
          <w:sz w:val="20"/>
        </w:rPr>
        <w:t>best</w:t>
      </w:r>
      <w:r>
        <w:rPr>
          <w:spacing w:val="-7"/>
          <w:sz w:val="20"/>
        </w:rPr>
        <w:t> </w:t>
      </w:r>
      <w:r>
        <w:rPr>
          <w:sz w:val="20"/>
        </w:rPr>
        <w:t>kerbside</w:t>
      </w:r>
      <w:r>
        <w:rPr>
          <w:spacing w:val="-10"/>
          <w:sz w:val="20"/>
        </w:rPr>
        <w:t> </w:t>
      </w:r>
      <w:r>
        <w:rPr>
          <w:sz w:val="20"/>
        </w:rPr>
        <w:t>sort</w:t>
      </w:r>
      <w:r>
        <w:rPr>
          <w:spacing w:val="-7"/>
          <w:sz w:val="20"/>
        </w:rPr>
        <w:t> </w:t>
      </w:r>
      <w:r>
        <w:rPr>
          <w:sz w:val="20"/>
        </w:rPr>
        <w:t>systems</w:t>
      </w:r>
      <w:r>
        <w:rPr>
          <w:spacing w:val="-7"/>
          <w:sz w:val="20"/>
        </w:rPr>
        <w:t> </w:t>
      </w:r>
      <w:r>
        <w:rPr>
          <w:sz w:val="20"/>
        </w:rPr>
        <w:t>yield</w:t>
      </w:r>
      <w:r>
        <w:rPr>
          <w:spacing w:val="-9"/>
          <w:sz w:val="20"/>
        </w:rPr>
        <w:t> </w:t>
      </w:r>
      <w:r>
        <w:rPr>
          <w:sz w:val="20"/>
        </w:rPr>
        <w:t>the</w:t>
      </w:r>
      <w:r>
        <w:rPr>
          <w:spacing w:val="-8"/>
          <w:sz w:val="20"/>
        </w:rPr>
        <w:t> </w:t>
      </w:r>
      <w:r>
        <w:rPr>
          <w:sz w:val="20"/>
        </w:rPr>
        <w:t>same</w:t>
      </w:r>
      <w:r>
        <w:rPr>
          <w:spacing w:val="-8"/>
          <w:sz w:val="20"/>
        </w:rPr>
        <w:t> </w:t>
      </w:r>
      <w:r>
        <w:rPr>
          <w:sz w:val="20"/>
        </w:rPr>
        <w:t>level</w:t>
      </w:r>
      <w:r>
        <w:rPr>
          <w:spacing w:val="-7"/>
          <w:sz w:val="20"/>
        </w:rPr>
        <w:t> </w:t>
      </w:r>
      <w:r>
        <w:rPr>
          <w:sz w:val="20"/>
        </w:rPr>
        <w:t>of</w:t>
      </w:r>
      <w:r>
        <w:rPr>
          <w:spacing w:val="-8"/>
          <w:sz w:val="20"/>
        </w:rPr>
        <w:t> </w:t>
      </w:r>
      <w:r>
        <w:rPr>
          <w:sz w:val="20"/>
        </w:rPr>
        <w:t>capture</w:t>
      </w:r>
      <w:r>
        <w:rPr>
          <w:spacing w:val="-8"/>
          <w:sz w:val="20"/>
        </w:rPr>
        <w:t> </w:t>
      </w:r>
      <w:r>
        <w:rPr>
          <w:sz w:val="20"/>
        </w:rPr>
        <w:t>as</w:t>
      </w:r>
      <w:r>
        <w:rPr>
          <w:spacing w:val="-6"/>
          <w:sz w:val="20"/>
        </w:rPr>
        <w:t> </w:t>
      </w:r>
      <w:r>
        <w:rPr>
          <w:sz w:val="20"/>
        </w:rPr>
        <w:t>comingled</w:t>
      </w:r>
      <w:r>
        <w:rPr>
          <w:spacing w:val="-7"/>
          <w:sz w:val="20"/>
        </w:rPr>
        <w:t> </w:t>
      </w:r>
      <w:r>
        <w:rPr>
          <w:sz w:val="20"/>
        </w:rPr>
        <w:t>systems, and when</w:t>
      </w:r>
      <w:r>
        <w:rPr>
          <w:spacing w:val="-3"/>
          <w:sz w:val="20"/>
        </w:rPr>
        <w:t> </w:t>
      </w:r>
      <w:r>
        <w:rPr>
          <w:sz w:val="20"/>
        </w:rPr>
        <w:t>contamination</w:t>
      </w:r>
      <w:r>
        <w:rPr>
          <w:spacing w:val="-3"/>
          <w:sz w:val="20"/>
        </w:rPr>
        <w:t> </w:t>
      </w:r>
      <w:r>
        <w:rPr>
          <w:sz w:val="20"/>
        </w:rPr>
        <w:t>is</w:t>
      </w:r>
      <w:r>
        <w:rPr>
          <w:spacing w:val="-2"/>
          <w:sz w:val="20"/>
        </w:rPr>
        <w:t> </w:t>
      </w:r>
      <w:r>
        <w:rPr>
          <w:sz w:val="20"/>
        </w:rPr>
        <w:t>taken</w:t>
      </w:r>
      <w:r>
        <w:rPr>
          <w:spacing w:val="-3"/>
          <w:sz w:val="20"/>
        </w:rPr>
        <w:t> </w:t>
      </w:r>
      <w:r>
        <w:rPr>
          <w:sz w:val="20"/>
        </w:rPr>
        <w:t>into</w:t>
      </w:r>
      <w:r>
        <w:rPr>
          <w:spacing w:val="-3"/>
          <w:sz w:val="20"/>
        </w:rPr>
        <w:t> </w:t>
      </w:r>
      <w:r>
        <w:rPr>
          <w:sz w:val="20"/>
        </w:rPr>
        <w:t>account</w:t>
      </w:r>
      <w:r>
        <w:rPr>
          <w:spacing w:val="-3"/>
          <w:sz w:val="20"/>
        </w:rPr>
        <w:t> </w:t>
      </w:r>
      <w:r>
        <w:rPr>
          <w:sz w:val="20"/>
        </w:rPr>
        <w:t>outperform</w:t>
      </w:r>
      <w:r>
        <w:rPr>
          <w:spacing w:val="-4"/>
          <w:sz w:val="20"/>
        </w:rPr>
        <w:t> </w:t>
      </w:r>
      <w:r>
        <w:rPr>
          <w:sz w:val="20"/>
        </w:rPr>
        <w:t>comingled</w:t>
      </w:r>
      <w:r>
        <w:rPr>
          <w:spacing w:val="-3"/>
          <w:sz w:val="20"/>
        </w:rPr>
        <w:t> </w:t>
      </w:r>
      <w:r>
        <w:rPr>
          <w:sz w:val="20"/>
        </w:rPr>
        <w:t>systems</w:t>
      </w:r>
      <w:r>
        <w:rPr>
          <w:spacing w:val="-3"/>
          <w:sz w:val="20"/>
        </w:rPr>
        <w:t> </w:t>
      </w:r>
      <w:r>
        <w:rPr>
          <w:sz w:val="20"/>
        </w:rPr>
        <w:t>in</w:t>
      </w:r>
      <w:r>
        <w:rPr>
          <w:spacing w:val="-3"/>
          <w:sz w:val="20"/>
        </w:rPr>
        <w:t> </w:t>
      </w:r>
      <w:r>
        <w:rPr>
          <w:sz w:val="20"/>
        </w:rPr>
        <w:t>terms</w:t>
      </w:r>
      <w:r>
        <w:rPr>
          <w:spacing w:val="-3"/>
          <w:sz w:val="20"/>
        </w:rPr>
        <w:t> </w:t>
      </w:r>
      <w:r>
        <w:rPr>
          <w:sz w:val="20"/>
        </w:rPr>
        <w:t>of</w:t>
      </w:r>
      <w:r>
        <w:rPr>
          <w:spacing w:val="-5"/>
          <w:sz w:val="20"/>
        </w:rPr>
        <w:t> </w:t>
      </w:r>
      <w:r>
        <w:rPr>
          <w:sz w:val="20"/>
        </w:rPr>
        <w:t>yield.</w:t>
      </w:r>
    </w:p>
    <w:p>
      <w:pPr>
        <w:pStyle w:val="BodyText"/>
        <w:spacing w:before="1"/>
      </w:pPr>
    </w:p>
    <w:p>
      <w:pPr>
        <w:pStyle w:val="BodyText"/>
        <w:spacing w:line="254" w:lineRule="auto"/>
        <w:ind w:left="560" w:right="118"/>
        <w:jc w:val="both"/>
      </w:pPr>
      <w:r>
        <w:rPr/>
        <w:t>Lakhan (2015) also found that single stream recycling systems yield 4.11% more recycling than multi-stream systems.</w:t>
      </w:r>
    </w:p>
    <w:p>
      <w:pPr>
        <w:pStyle w:val="BodyText"/>
        <w:spacing w:line="256" w:lineRule="auto" w:before="161"/>
        <w:ind w:left="560" w:right="112"/>
        <w:jc w:val="both"/>
      </w:pPr>
      <w:r>
        <w:rPr/>
        <w:t>Two</w:t>
      </w:r>
      <w:r>
        <w:rPr>
          <w:spacing w:val="-7"/>
        </w:rPr>
        <w:t> </w:t>
      </w:r>
      <w:r>
        <w:rPr/>
        <w:t>other</w:t>
      </w:r>
      <w:r>
        <w:rPr>
          <w:spacing w:val="-7"/>
        </w:rPr>
        <w:t> </w:t>
      </w:r>
      <w:r>
        <w:rPr/>
        <w:t>reports</w:t>
      </w:r>
      <w:r>
        <w:rPr>
          <w:spacing w:val="-5"/>
        </w:rPr>
        <w:t> </w:t>
      </w:r>
      <w:r>
        <w:rPr/>
        <w:t>did</w:t>
      </w:r>
      <w:r>
        <w:rPr>
          <w:spacing w:val="-6"/>
        </w:rPr>
        <w:t> </w:t>
      </w:r>
      <w:r>
        <w:rPr/>
        <w:t>not</w:t>
      </w:r>
      <w:r>
        <w:rPr>
          <w:spacing w:val="-6"/>
        </w:rPr>
        <w:t> </w:t>
      </w:r>
      <w:r>
        <w:rPr/>
        <w:t>determine</w:t>
      </w:r>
      <w:r>
        <w:rPr>
          <w:spacing w:val="-5"/>
        </w:rPr>
        <w:t> </w:t>
      </w:r>
      <w:r>
        <w:rPr/>
        <w:t>that</w:t>
      </w:r>
      <w:r>
        <w:rPr>
          <w:spacing w:val="-6"/>
        </w:rPr>
        <w:t> </w:t>
      </w:r>
      <w:r>
        <w:rPr/>
        <w:t>the</w:t>
      </w:r>
      <w:r>
        <w:rPr>
          <w:spacing w:val="-8"/>
        </w:rPr>
        <w:t> </w:t>
      </w:r>
      <w:r>
        <w:rPr/>
        <w:t>type</w:t>
      </w:r>
      <w:r>
        <w:rPr>
          <w:spacing w:val="-8"/>
        </w:rPr>
        <w:t> </w:t>
      </w:r>
      <w:r>
        <w:rPr/>
        <w:t>of</w:t>
      </w:r>
      <w:r>
        <w:rPr>
          <w:spacing w:val="-8"/>
        </w:rPr>
        <w:t> </w:t>
      </w:r>
      <w:r>
        <w:rPr/>
        <w:t>collection</w:t>
      </w:r>
      <w:r>
        <w:rPr>
          <w:spacing w:val="-6"/>
        </w:rPr>
        <w:t> </w:t>
      </w:r>
      <w:r>
        <w:rPr/>
        <w:t>system</w:t>
      </w:r>
      <w:r>
        <w:rPr>
          <w:spacing w:val="-8"/>
        </w:rPr>
        <w:t> </w:t>
      </w:r>
      <w:r>
        <w:rPr/>
        <w:t>has</w:t>
      </w:r>
      <w:r>
        <w:rPr>
          <w:spacing w:val="-5"/>
        </w:rPr>
        <w:t> </w:t>
      </w:r>
      <w:r>
        <w:rPr/>
        <w:t>an</w:t>
      </w:r>
      <w:r>
        <w:rPr>
          <w:spacing w:val="-6"/>
        </w:rPr>
        <w:t> </w:t>
      </w:r>
      <w:r>
        <w:rPr/>
        <w:t>impact</w:t>
      </w:r>
      <w:r>
        <w:rPr>
          <w:spacing w:val="-6"/>
        </w:rPr>
        <w:t> </w:t>
      </w:r>
      <w:r>
        <w:rPr/>
        <w:t>on</w:t>
      </w:r>
      <w:r>
        <w:rPr>
          <w:spacing w:val="-6"/>
        </w:rPr>
        <w:t> </w:t>
      </w:r>
      <w:r>
        <w:rPr/>
        <w:t>yield.</w:t>
      </w:r>
      <w:r>
        <w:rPr>
          <w:spacing w:val="40"/>
        </w:rPr>
        <w:t> </w:t>
      </w:r>
      <w:r>
        <w:rPr/>
        <w:t>WRAP’s</w:t>
      </w:r>
      <w:r>
        <w:rPr>
          <w:spacing w:val="-5"/>
        </w:rPr>
        <w:t> </w:t>
      </w:r>
      <w:r>
        <w:rPr>
          <w:i/>
        </w:rPr>
        <w:t>Analysis </w:t>
      </w:r>
      <w:r>
        <w:rPr>
          <w:i/>
        </w:rPr>
        <w:t>of</w:t>
      </w:r>
      <w:r>
        <w:rPr>
          <w:i/>
          <w:spacing w:val="-11"/>
        </w:rPr>
        <w:t> </w:t>
      </w:r>
      <w:r>
        <w:rPr>
          <w:i/>
        </w:rPr>
        <w:t>recycling</w:t>
      </w:r>
      <w:r>
        <w:rPr>
          <w:i/>
          <w:spacing w:val="-9"/>
        </w:rPr>
        <w:t> </w:t>
      </w:r>
      <w:r>
        <w:rPr>
          <w:i/>
        </w:rPr>
        <w:t>performance</w:t>
      </w:r>
      <w:r>
        <w:rPr>
          <w:i/>
          <w:spacing w:val="-10"/>
        </w:rPr>
        <w:t> </w:t>
      </w:r>
      <w:r>
        <w:rPr>
          <w:i/>
        </w:rPr>
        <w:t>and</w:t>
      </w:r>
      <w:r>
        <w:rPr>
          <w:i/>
          <w:spacing w:val="-12"/>
        </w:rPr>
        <w:t> </w:t>
      </w:r>
      <w:r>
        <w:rPr>
          <w:i/>
        </w:rPr>
        <w:t>waste</w:t>
      </w:r>
      <w:r>
        <w:rPr>
          <w:i/>
          <w:spacing w:val="-9"/>
        </w:rPr>
        <w:t> </w:t>
      </w:r>
      <w:r>
        <w:rPr>
          <w:i/>
        </w:rPr>
        <w:t>arisings</w:t>
      </w:r>
      <w:r>
        <w:rPr>
          <w:i/>
          <w:spacing w:val="-11"/>
        </w:rPr>
        <w:t> </w:t>
      </w:r>
      <w:r>
        <w:rPr>
          <w:i/>
        </w:rPr>
        <w:t>in</w:t>
      </w:r>
      <w:r>
        <w:rPr>
          <w:i/>
          <w:spacing w:val="-10"/>
        </w:rPr>
        <w:t> </w:t>
      </w:r>
      <w:r>
        <w:rPr>
          <w:i/>
        </w:rPr>
        <w:t>the</w:t>
      </w:r>
      <w:r>
        <w:rPr>
          <w:i/>
          <w:spacing w:val="-10"/>
        </w:rPr>
        <w:t> </w:t>
      </w:r>
      <w:r>
        <w:rPr>
          <w:i/>
        </w:rPr>
        <w:t>UK</w:t>
      </w:r>
      <w:r>
        <w:rPr>
          <w:i/>
          <w:spacing w:val="-11"/>
        </w:rPr>
        <w:t> </w:t>
      </w:r>
      <w:r>
        <w:rPr>
          <w:i/>
        </w:rPr>
        <w:t>2012/13</w:t>
      </w:r>
      <w:r>
        <w:rPr>
          <w:i/>
          <w:spacing w:val="-10"/>
        </w:rPr>
        <w:t> </w:t>
      </w:r>
      <w:r>
        <w:rPr/>
        <w:t>(2015)</w:t>
      </w:r>
      <w:r>
        <w:rPr>
          <w:spacing w:val="-10"/>
        </w:rPr>
        <w:t> </w:t>
      </w:r>
      <w:r>
        <w:rPr/>
        <w:t>takes</w:t>
      </w:r>
      <w:r>
        <w:rPr>
          <w:spacing w:val="-9"/>
        </w:rPr>
        <w:t> </w:t>
      </w:r>
      <w:r>
        <w:rPr/>
        <w:t>into</w:t>
      </w:r>
      <w:r>
        <w:rPr>
          <w:spacing w:val="-10"/>
        </w:rPr>
        <w:t> </w:t>
      </w:r>
      <w:r>
        <w:rPr/>
        <w:t>account</w:t>
      </w:r>
      <w:r>
        <w:rPr>
          <w:spacing w:val="-10"/>
        </w:rPr>
        <w:t> </w:t>
      </w:r>
      <w:r>
        <w:rPr/>
        <w:t>geographical</w:t>
      </w:r>
      <w:r>
        <w:rPr>
          <w:spacing w:val="-11"/>
        </w:rPr>
        <w:t> </w:t>
      </w:r>
      <w:r>
        <w:rPr/>
        <w:t>and</w:t>
      </w:r>
      <w:r>
        <w:rPr>
          <w:spacing w:val="-10"/>
        </w:rPr>
        <w:t> </w:t>
      </w:r>
      <w:r>
        <w:rPr/>
        <w:t>socio- economic</w:t>
      </w:r>
      <w:r>
        <w:rPr>
          <w:spacing w:val="-9"/>
        </w:rPr>
        <w:t> </w:t>
      </w:r>
      <w:r>
        <w:rPr/>
        <w:t>factors</w:t>
      </w:r>
      <w:r>
        <w:rPr>
          <w:spacing w:val="-7"/>
        </w:rPr>
        <w:t> </w:t>
      </w:r>
      <w:r>
        <w:rPr/>
        <w:t>and</w:t>
      </w:r>
      <w:r>
        <w:rPr>
          <w:spacing w:val="-7"/>
        </w:rPr>
        <w:t> </w:t>
      </w:r>
      <w:r>
        <w:rPr/>
        <w:t>determines</w:t>
      </w:r>
      <w:r>
        <w:rPr>
          <w:spacing w:val="-7"/>
        </w:rPr>
        <w:t> </w:t>
      </w:r>
      <w:r>
        <w:rPr/>
        <w:t>that</w:t>
      </w:r>
      <w:r>
        <w:rPr>
          <w:spacing w:val="-7"/>
        </w:rPr>
        <w:t> </w:t>
      </w:r>
      <w:r>
        <w:rPr/>
        <w:t>the</w:t>
      </w:r>
      <w:r>
        <w:rPr>
          <w:spacing w:val="-9"/>
        </w:rPr>
        <w:t> </w:t>
      </w:r>
      <w:r>
        <w:rPr/>
        <w:t>only</w:t>
      </w:r>
      <w:r>
        <w:rPr>
          <w:spacing w:val="-7"/>
        </w:rPr>
        <w:t> </w:t>
      </w:r>
      <w:r>
        <w:rPr/>
        <w:t>predictor</w:t>
      </w:r>
      <w:r>
        <w:rPr>
          <w:spacing w:val="-8"/>
        </w:rPr>
        <w:t> </w:t>
      </w:r>
      <w:r>
        <w:rPr/>
        <w:t>that</w:t>
      </w:r>
      <w:r>
        <w:rPr>
          <w:spacing w:val="-7"/>
        </w:rPr>
        <w:t> </w:t>
      </w:r>
      <w:r>
        <w:rPr/>
        <w:t>had</w:t>
      </w:r>
      <w:r>
        <w:rPr>
          <w:spacing w:val="-7"/>
        </w:rPr>
        <w:t> </w:t>
      </w:r>
      <w:r>
        <w:rPr/>
        <w:t>a</w:t>
      </w:r>
      <w:r>
        <w:rPr>
          <w:spacing w:val="-10"/>
        </w:rPr>
        <w:t> </w:t>
      </w:r>
      <w:r>
        <w:rPr/>
        <w:t>highly</w:t>
      </w:r>
      <w:r>
        <w:rPr>
          <w:spacing w:val="-9"/>
        </w:rPr>
        <w:t> </w:t>
      </w:r>
      <w:r>
        <w:rPr/>
        <w:t>significant</w:t>
      </w:r>
      <w:r>
        <w:rPr>
          <w:spacing w:val="-7"/>
        </w:rPr>
        <w:t> </w:t>
      </w:r>
      <w:r>
        <w:rPr/>
        <w:t>effect</w:t>
      </w:r>
      <w:r>
        <w:rPr>
          <w:spacing w:val="-7"/>
        </w:rPr>
        <w:t> </w:t>
      </w:r>
      <w:r>
        <w:rPr/>
        <w:t>on</w:t>
      </w:r>
      <w:r>
        <w:rPr>
          <w:spacing w:val="-7"/>
        </w:rPr>
        <w:t> </w:t>
      </w:r>
      <w:r>
        <w:rPr/>
        <w:t>yield</w:t>
      </w:r>
      <w:r>
        <w:rPr>
          <w:spacing w:val="-7"/>
        </w:rPr>
        <w:t> </w:t>
      </w:r>
      <w:r>
        <w:rPr/>
        <w:t>was</w:t>
      </w:r>
      <w:r>
        <w:rPr>
          <w:spacing w:val="-6"/>
        </w:rPr>
        <w:t> </w:t>
      </w:r>
      <w:r>
        <w:rPr/>
        <w:t>the</w:t>
      </w:r>
      <w:r>
        <w:rPr>
          <w:spacing w:val="-9"/>
        </w:rPr>
        <w:t> </w:t>
      </w:r>
      <w:r>
        <w:rPr/>
        <w:t>size of</w:t>
      </w:r>
      <w:r>
        <w:rPr>
          <w:spacing w:val="-9"/>
        </w:rPr>
        <w:t> </w:t>
      </w:r>
      <w:r>
        <w:rPr/>
        <w:t>residual</w:t>
      </w:r>
      <w:r>
        <w:rPr>
          <w:spacing w:val="-7"/>
        </w:rPr>
        <w:t> </w:t>
      </w:r>
      <w:r>
        <w:rPr/>
        <w:t>rubbish</w:t>
      </w:r>
      <w:r>
        <w:rPr>
          <w:spacing w:val="-9"/>
        </w:rPr>
        <w:t> </w:t>
      </w:r>
      <w:r>
        <w:rPr/>
        <w:t>receptacles</w:t>
      </w:r>
      <w:r>
        <w:rPr>
          <w:spacing w:val="-5"/>
        </w:rPr>
        <w:t> </w:t>
      </w:r>
      <w:r>
        <w:rPr/>
        <w:t>–</w:t>
      </w:r>
      <w:r>
        <w:rPr>
          <w:spacing w:val="-9"/>
        </w:rPr>
        <w:t> </w:t>
      </w:r>
      <w:r>
        <w:rPr/>
        <w:t>more</w:t>
      </w:r>
      <w:r>
        <w:rPr>
          <w:spacing w:val="-9"/>
        </w:rPr>
        <w:t> </w:t>
      </w:r>
      <w:r>
        <w:rPr/>
        <w:t>capacity</w:t>
      </w:r>
      <w:r>
        <w:rPr>
          <w:spacing w:val="-8"/>
        </w:rPr>
        <w:t> </w:t>
      </w:r>
      <w:r>
        <w:rPr/>
        <w:t>for</w:t>
      </w:r>
      <w:r>
        <w:rPr>
          <w:spacing w:val="-8"/>
        </w:rPr>
        <w:t> </w:t>
      </w:r>
      <w:r>
        <w:rPr/>
        <w:t>rubbish</w:t>
      </w:r>
      <w:r>
        <w:rPr>
          <w:spacing w:val="-7"/>
        </w:rPr>
        <w:t> </w:t>
      </w:r>
      <w:r>
        <w:rPr/>
        <w:t>lead</w:t>
      </w:r>
      <w:r>
        <w:rPr>
          <w:spacing w:val="-7"/>
        </w:rPr>
        <w:t> </w:t>
      </w:r>
      <w:r>
        <w:rPr/>
        <w:t>to</w:t>
      </w:r>
      <w:r>
        <w:rPr>
          <w:spacing w:val="-7"/>
        </w:rPr>
        <w:t> </w:t>
      </w:r>
      <w:r>
        <w:rPr/>
        <w:t>lower</w:t>
      </w:r>
      <w:r>
        <w:rPr>
          <w:spacing w:val="-8"/>
        </w:rPr>
        <w:t> </w:t>
      </w:r>
      <w:r>
        <w:rPr/>
        <w:t>recycling</w:t>
      </w:r>
      <w:r>
        <w:rPr>
          <w:spacing w:val="-8"/>
        </w:rPr>
        <w:t> </w:t>
      </w:r>
      <w:r>
        <w:rPr/>
        <w:t>rates</w:t>
      </w:r>
      <w:r>
        <w:rPr>
          <w:spacing w:val="-7"/>
        </w:rPr>
        <w:t> </w:t>
      </w:r>
      <w:r>
        <w:rPr/>
        <w:t>(i.e.</w:t>
      </w:r>
      <w:r>
        <w:rPr>
          <w:spacing w:val="-8"/>
        </w:rPr>
        <w:t> </w:t>
      </w:r>
      <w:r>
        <w:rPr/>
        <w:t>each</w:t>
      </w:r>
      <w:r>
        <w:rPr>
          <w:spacing w:val="-7"/>
        </w:rPr>
        <w:t> </w:t>
      </w:r>
      <w:r>
        <w:rPr/>
        <w:t>additional</w:t>
      </w:r>
      <w:r>
        <w:rPr>
          <w:spacing w:val="-10"/>
        </w:rPr>
        <w:t> </w:t>
      </w:r>
      <w:r>
        <w:rPr/>
        <w:t>litre in residual capacity lead to a reduction of mean recycling rates of 0.05±0.02%). It also found that collection systems made very little difference to</w:t>
      </w:r>
      <w:r>
        <w:rPr>
          <w:spacing w:val="-19"/>
        </w:rPr>
        <w:t> </w:t>
      </w:r>
      <w:r>
        <w:rPr/>
        <w:t>yield.</w:t>
      </w:r>
    </w:p>
    <w:p>
      <w:pPr>
        <w:pStyle w:val="BodyText"/>
        <w:spacing w:line="256" w:lineRule="auto" w:before="158"/>
        <w:ind w:left="560" w:right="117"/>
        <w:jc w:val="both"/>
      </w:pPr>
      <w:r>
        <w:rPr/>
        <w:t>WRAP’s</w:t>
      </w:r>
      <w:r>
        <w:rPr>
          <w:spacing w:val="-10"/>
        </w:rPr>
        <w:t> </w:t>
      </w:r>
      <w:r>
        <w:rPr/>
        <w:t>2018</w:t>
      </w:r>
      <w:r>
        <w:rPr>
          <w:spacing w:val="-10"/>
        </w:rPr>
        <w:t> </w:t>
      </w:r>
      <w:r>
        <w:rPr>
          <w:i/>
        </w:rPr>
        <w:t>Recycling</w:t>
      </w:r>
      <w:r>
        <w:rPr>
          <w:i/>
          <w:spacing w:val="-11"/>
        </w:rPr>
        <w:t> </w:t>
      </w:r>
      <w:r>
        <w:rPr>
          <w:i/>
        </w:rPr>
        <w:t>Tracker</w:t>
      </w:r>
      <w:r>
        <w:rPr>
          <w:i/>
          <w:spacing w:val="-11"/>
        </w:rPr>
        <w:t> </w:t>
      </w:r>
      <w:r>
        <w:rPr>
          <w:i/>
        </w:rPr>
        <w:t>Survey</w:t>
      </w:r>
      <w:r>
        <w:rPr>
          <w:i/>
          <w:spacing w:val="-9"/>
        </w:rPr>
        <w:t> </w:t>
      </w:r>
      <w:r>
        <w:rPr/>
        <w:t>found</w:t>
      </w:r>
      <w:r>
        <w:rPr>
          <w:spacing w:val="-11"/>
        </w:rPr>
        <w:t> </w:t>
      </w:r>
      <w:r>
        <w:rPr/>
        <w:t>that</w:t>
      </w:r>
      <w:r>
        <w:rPr>
          <w:spacing w:val="-11"/>
        </w:rPr>
        <w:t> </w:t>
      </w:r>
      <w:r>
        <w:rPr/>
        <w:t>confusion</w:t>
      </w:r>
      <w:r>
        <w:rPr>
          <w:spacing w:val="-11"/>
        </w:rPr>
        <w:t> </w:t>
      </w:r>
      <w:r>
        <w:rPr/>
        <w:t>about</w:t>
      </w:r>
      <w:r>
        <w:rPr>
          <w:spacing w:val="-11"/>
        </w:rPr>
        <w:t> </w:t>
      </w:r>
      <w:r>
        <w:rPr/>
        <w:t>what</w:t>
      </w:r>
      <w:r>
        <w:rPr>
          <w:spacing w:val="-11"/>
        </w:rPr>
        <w:t> </w:t>
      </w:r>
      <w:r>
        <w:rPr/>
        <w:t>can</w:t>
      </w:r>
      <w:r>
        <w:rPr>
          <w:spacing w:val="-10"/>
        </w:rPr>
        <w:t> </w:t>
      </w:r>
      <w:r>
        <w:rPr/>
        <w:t>and</w:t>
      </w:r>
      <w:r>
        <w:rPr>
          <w:spacing w:val="-11"/>
        </w:rPr>
        <w:t> </w:t>
      </w:r>
      <w:r>
        <w:rPr/>
        <w:t>can’t</w:t>
      </w:r>
      <w:r>
        <w:rPr>
          <w:spacing w:val="-11"/>
        </w:rPr>
        <w:t> </w:t>
      </w:r>
      <w:r>
        <w:rPr/>
        <w:t>be</w:t>
      </w:r>
      <w:r>
        <w:rPr>
          <w:spacing w:val="-12"/>
        </w:rPr>
        <w:t> </w:t>
      </w:r>
      <w:r>
        <w:rPr/>
        <w:t>recycled</w:t>
      </w:r>
      <w:r>
        <w:rPr>
          <w:spacing w:val="-11"/>
        </w:rPr>
        <w:t> </w:t>
      </w:r>
      <w:r>
        <w:rPr/>
        <w:t>is</w:t>
      </w:r>
      <w:r>
        <w:rPr>
          <w:spacing w:val="-11"/>
        </w:rPr>
        <w:t> </w:t>
      </w:r>
      <w:r>
        <w:rPr/>
        <w:t>a</w:t>
      </w:r>
      <w:r>
        <w:rPr>
          <w:spacing w:val="-9"/>
        </w:rPr>
        <w:t> </w:t>
      </w:r>
      <w:r>
        <w:rPr/>
        <w:t>prominent reason for missed capture, as identified by around one in three households who took part in the survey (34%). A lack of recycling bin capacity was also identified as an enabler of missed capture with around one in five of household respondents identifying with this as an issue for their recycling bin (leading to missed capture). In addition,</w:t>
      </w:r>
      <w:r>
        <w:rPr>
          <w:spacing w:val="-11"/>
        </w:rPr>
        <w:t> </w:t>
      </w:r>
      <w:r>
        <w:rPr/>
        <w:t>the</w:t>
      </w:r>
      <w:r>
        <w:rPr>
          <w:spacing w:val="-12"/>
        </w:rPr>
        <w:t> </w:t>
      </w:r>
      <w:r>
        <w:rPr/>
        <w:t>more</w:t>
      </w:r>
      <w:r>
        <w:rPr>
          <w:spacing w:val="-12"/>
        </w:rPr>
        <w:t> </w:t>
      </w:r>
      <w:r>
        <w:rPr/>
        <w:t>items</w:t>
      </w:r>
      <w:r>
        <w:rPr>
          <w:spacing w:val="-10"/>
        </w:rPr>
        <w:t> </w:t>
      </w:r>
      <w:r>
        <w:rPr/>
        <w:t>collected</w:t>
      </w:r>
      <w:r>
        <w:rPr>
          <w:spacing w:val="-11"/>
        </w:rPr>
        <w:t> </w:t>
      </w:r>
      <w:r>
        <w:rPr/>
        <w:t>by</w:t>
      </w:r>
      <w:r>
        <w:rPr>
          <w:spacing w:val="-11"/>
        </w:rPr>
        <w:t> </w:t>
      </w:r>
      <w:r>
        <w:rPr/>
        <w:t>the</w:t>
      </w:r>
      <w:r>
        <w:rPr>
          <w:spacing w:val="-9"/>
        </w:rPr>
        <w:t> </w:t>
      </w:r>
      <w:r>
        <w:rPr/>
        <w:t>local</w:t>
      </w:r>
      <w:r>
        <w:rPr>
          <w:spacing w:val="-12"/>
        </w:rPr>
        <w:t> </w:t>
      </w:r>
      <w:r>
        <w:rPr/>
        <w:t>authority</w:t>
      </w:r>
      <w:r>
        <w:rPr>
          <w:spacing w:val="-9"/>
        </w:rPr>
        <w:t> </w:t>
      </w:r>
      <w:r>
        <w:rPr/>
        <w:t>the</w:t>
      </w:r>
      <w:r>
        <w:rPr>
          <w:spacing w:val="-12"/>
        </w:rPr>
        <w:t> </w:t>
      </w:r>
      <w:r>
        <w:rPr/>
        <w:t>more</w:t>
      </w:r>
      <w:r>
        <w:rPr>
          <w:spacing w:val="-12"/>
        </w:rPr>
        <w:t> </w:t>
      </w:r>
      <w:r>
        <w:rPr/>
        <w:t>missed</w:t>
      </w:r>
      <w:r>
        <w:rPr>
          <w:spacing w:val="-11"/>
        </w:rPr>
        <w:t> </w:t>
      </w:r>
      <w:r>
        <w:rPr/>
        <w:t>capture</w:t>
      </w:r>
      <w:r>
        <w:rPr>
          <w:spacing w:val="-12"/>
        </w:rPr>
        <w:t> </w:t>
      </w:r>
      <w:r>
        <w:rPr/>
        <w:t>there</w:t>
      </w:r>
      <w:r>
        <w:rPr>
          <w:spacing w:val="-12"/>
        </w:rPr>
        <w:t> </w:t>
      </w:r>
      <w:r>
        <w:rPr/>
        <w:t>was.</w:t>
      </w:r>
      <w:r>
        <w:rPr>
          <w:spacing w:val="-12"/>
        </w:rPr>
        <w:t> </w:t>
      </w:r>
      <w:r>
        <w:rPr/>
        <w:t>In</w:t>
      </w:r>
      <w:r>
        <w:rPr>
          <w:spacing w:val="-11"/>
        </w:rPr>
        <w:t> </w:t>
      </w:r>
      <w:r>
        <w:rPr/>
        <w:t>areas</w:t>
      </w:r>
      <w:r>
        <w:rPr>
          <w:spacing w:val="-10"/>
        </w:rPr>
        <w:t> </w:t>
      </w:r>
      <w:r>
        <w:rPr/>
        <w:t>that</w:t>
      </w:r>
      <w:r>
        <w:rPr>
          <w:spacing w:val="-11"/>
        </w:rPr>
        <w:t> </w:t>
      </w:r>
      <w:r>
        <w:rPr/>
        <w:t>collect 0-8 items missed capture was estimated at 43%, which rose to in 59% in areas collecting 14-15</w:t>
      </w:r>
      <w:r>
        <w:rPr>
          <w:spacing w:val="-27"/>
        </w:rPr>
        <w:t> </w:t>
      </w:r>
      <w:r>
        <w:rPr/>
        <w:t>items.</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Heading5"/>
        <w:spacing w:before="60"/>
        <w:jc w:val="both"/>
      </w:pPr>
      <w:r>
        <w:rPr/>
        <w:t>Employment</w:t>
      </w:r>
    </w:p>
    <w:p>
      <w:pPr>
        <w:pStyle w:val="BodyText"/>
        <w:spacing w:before="176"/>
        <w:ind w:left="560" w:right="121"/>
        <w:jc w:val="both"/>
      </w:pPr>
      <w:r>
        <w:rPr/>
        <w:t>While</w:t>
      </w:r>
      <w:r>
        <w:rPr>
          <w:spacing w:val="-7"/>
        </w:rPr>
        <w:t> </w:t>
      </w:r>
      <w:r>
        <w:rPr/>
        <w:t>employment</w:t>
      </w:r>
      <w:r>
        <w:rPr>
          <w:spacing w:val="-5"/>
        </w:rPr>
        <w:t> </w:t>
      </w:r>
      <w:r>
        <w:rPr/>
        <w:t>is</w:t>
      </w:r>
      <w:r>
        <w:rPr>
          <w:spacing w:val="-5"/>
        </w:rPr>
        <w:t> </w:t>
      </w:r>
      <w:r>
        <w:rPr/>
        <w:t>not</w:t>
      </w:r>
      <w:r>
        <w:rPr>
          <w:spacing w:val="-5"/>
        </w:rPr>
        <w:t> </w:t>
      </w:r>
      <w:r>
        <w:rPr/>
        <w:t>an</w:t>
      </w:r>
      <w:r>
        <w:rPr>
          <w:spacing w:val="-5"/>
        </w:rPr>
        <w:t> </w:t>
      </w:r>
      <w:r>
        <w:rPr/>
        <w:t>issue</w:t>
      </w:r>
      <w:r>
        <w:rPr>
          <w:spacing w:val="-9"/>
        </w:rPr>
        <w:t> </w:t>
      </w:r>
      <w:r>
        <w:rPr/>
        <w:t>this</w:t>
      </w:r>
      <w:r>
        <w:rPr>
          <w:spacing w:val="-5"/>
        </w:rPr>
        <w:t> </w:t>
      </w:r>
      <w:r>
        <w:rPr/>
        <w:t>project</w:t>
      </w:r>
      <w:r>
        <w:rPr>
          <w:spacing w:val="-7"/>
        </w:rPr>
        <w:t> </w:t>
      </w:r>
      <w:r>
        <w:rPr/>
        <w:t>specifically</w:t>
      </w:r>
      <w:r>
        <w:rPr>
          <w:spacing w:val="-5"/>
        </w:rPr>
        <w:t> </w:t>
      </w:r>
      <w:r>
        <w:rPr/>
        <w:t>addressed,</w:t>
      </w:r>
      <w:r>
        <w:rPr>
          <w:spacing w:val="-5"/>
        </w:rPr>
        <w:t> </w:t>
      </w:r>
      <w:r>
        <w:rPr/>
        <w:t>it</w:t>
      </w:r>
      <w:r>
        <w:rPr>
          <w:spacing w:val="-8"/>
        </w:rPr>
        <w:t> </w:t>
      </w:r>
      <w:r>
        <w:rPr/>
        <w:t>was</w:t>
      </w:r>
      <w:r>
        <w:rPr>
          <w:spacing w:val="-5"/>
        </w:rPr>
        <w:t> </w:t>
      </w:r>
      <w:r>
        <w:rPr/>
        <w:t>raised</w:t>
      </w:r>
      <w:r>
        <w:rPr>
          <w:spacing w:val="-5"/>
        </w:rPr>
        <w:t> </w:t>
      </w:r>
      <w:r>
        <w:rPr/>
        <w:t>by</w:t>
      </w:r>
      <w:r>
        <w:rPr>
          <w:spacing w:val="-7"/>
        </w:rPr>
        <w:t> </w:t>
      </w:r>
      <w:r>
        <w:rPr/>
        <w:t>stakeholders</w:t>
      </w:r>
      <w:r>
        <w:rPr>
          <w:spacing w:val="-5"/>
        </w:rPr>
        <w:t> </w:t>
      </w:r>
      <w:r>
        <w:rPr/>
        <w:t>as</w:t>
      </w:r>
      <w:r>
        <w:rPr>
          <w:spacing w:val="-6"/>
        </w:rPr>
        <w:t> </w:t>
      </w:r>
      <w:r>
        <w:rPr/>
        <w:t>something that needs to be kept in mind when assessing best practice kerbside collection systems. Therefore, where the literature addressed employment, it has been included</w:t>
      </w:r>
      <w:r>
        <w:rPr>
          <w:spacing w:val="-16"/>
        </w:rPr>
        <w:t> </w:t>
      </w:r>
      <w:r>
        <w:rPr/>
        <w:t>here.</w:t>
      </w:r>
    </w:p>
    <w:p>
      <w:pPr>
        <w:pStyle w:val="BodyText"/>
        <w:spacing w:before="1"/>
      </w:pPr>
    </w:p>
    <w:p>
      <w:pPr>
        <w:pStyle w:val="BodyText"/>
        <w:spacing w:line="256" w:lineRule="auto"/>
        <w:ind w:left="560" w:right="114"/>
        <w:jc w:val="both"/>
      </w:pPr>
      <w:r>
        <w:rPr/>
        <w:t>Only one report by Eunomia for WRAP Wales (2011) analyses employment intensity. It used a capture rate of over 70% and a capture rate of below 70% and concludes that with a capture rate of below 70% more full time equivalent</w:t>
      </w:r>
      <w:r>
        <w:rPr>
          <w:spacing w:val="-5"/>
        </w:rPr>
        <w:t> </w:t>
      </w:r>
      <w:r>
        <w:rPr/>
        <w:t>jobs</w:t>
      </w:r>
      <w:r>
        <w:rPr>
          <w:spacing w:val="-4"/>
        </w:rPr>
        <w:t> </w:t>
      </w:r>
      <w:r>
        <w:rPr/>
        <w:t>would</w:t>
      </w:r>
      <w:r>
        <w:rPr>
          <w:spacing w:val="-5"/>
        </w:rPr>
        <w:t> </w:t>
      </w:r>
      <w:r>
        <w:rPr/>
        <w:t>be</w:t>
      </w:r>
      <w:r>
        <w:rPr>
          <w:spacing w:val="-6"/>
        </w:rPr>
        <w:t> </w:t>
      </w:r>
      <w:r>
        <w:rPr/>
        <w:t>created</w:t>
      </w:r>
      <w:r>
        <w:rPr>
          <w:spacing w:val="-5"/>
        </w:rPr>
        <w:t> </w:t>
      </w:r>
      <w:r>
        <w:rPr/>
        <w:t>if</w:t>
      </w:r>
      <w:r>
        <w:rPr>
          <w:spacing w:val="-6"/>
        </w:rPr>
        <w:t> </w:t>
      </w:r>
      <w:r>
        <w:rPr/>
        <w:t>all</w:t>
      </w:r>
      <w:r>
        <w:rPr>
          <w:spacing w:val="-5"/>
        </w:rPr>
        <w:t> </w:t>
      </w:r>
      <w:r>
        <w:rPr/>
        <w:t>Welsh</w:t>
      </w:r>
      <w:r>
        <w:rPr>
          <w:spacing w:val="-5"/>
        </w:rPr>
        <w:t> </w:t>
      </w:r>
      <w:r>
        <w:rPr/>
        <w:t>authorities</w:t>
      </w:r>
      <w:r>
        <w:rPr>
          <w:spacing w:val="-4"/>
        </w:rPr>
        <w:t> </w:t>
      </w:r>
      <w:r>
        <w:rPr/>
        <w:t>adopted</w:t>
      </w:r>
      <w:r>
        <w:rPr>
          <w:spacing w:val="-5"/>
        </w:rPr>
        <w:t> </w:t>
      </w:r>
      <w:r>
        <w:rPr/>
        <w:t>a</w:t>
      </w:r>
      <w:r>
        <w:rPr>
          <w:spacing w:val="-5"/>
        </w:rPr>
        <w:t> </w:t>
      </w:r>
      <w:r>
        <w:rPr/>
        <w:t>kerbside</w:t>
      </w:r>
      <w:r>
        <w:rPr>
          <w:spacing w:val="-6"/>
        </w:rPr>
        <w:t> </w:t>
      </w:r>
      <w:r>
        <w:rPr/>
        <w:t>sort</w:t>
      </w:r>
      <w:r>
        <w:rPr>
          <w:spacing w:val="-5"/>
        </w:rPr>
        <w:t> </w:t>
      </w:r>
      <w:r>
        <w:rPr/>
        <w:t>methodology.</w:t>
      </w:r>
      <w:r>
        <w:rPr>
          <w:spacing w:val="-5"/>
        </w:rPr>
        <w:t> </w:t>
      </w:r>
      <w:r>
        <w:rPr/>
        <w:t>However,</w:t>
      </w:r>
      <w:r>
        <w:rPr>
          <w:spacing w:val="-3"/>
        </w:rPr>
        <w:t> </w:t>
      </w:r>
      <w:r>
        <w:rPr/>
        <w:t>when capture rates move to above 70% a two-stream collection would create more jobs. For both scenarios </w:t>
      </w:r>
      <w:r>
        <w:rPr>
          <w:spacing w:val="2"/>
        </w:rPr>
        <w:t>co- </w:t>
      </w:r>
      <w:r>
        <w:rPr/>
        <w:t>mingled collections created the second highest number of</w:t>
      </w:r>
      <w:r>
        <w:rPr>
          <w:spacing w:val="-19"/>
        </w:rPr>
        <w:t> </w:t>
      </w:r>
      <w:r>
        <w:rPr/>
        <w:t>jobs.</w:t>
      </w:r>
    </w:p>
    <w:p>
      <w:pPr>
        <w:pStyle w:val="Heading5"/>
        <w:spacing w:before="159"/>
        <w:jc w:val="both"/>
      </w:pPr>
      <w:r>
        <w:rPr/>
        <w:t>Health &amp; Safety</w:t>
      </w:r>
    </w:p>
    <w:p>
      <w:pPr>
        <w:pStyle w:val="BodyText"/>
        <w:spacing w:line="256" w:lineRule="auto" w:before="175"/>
        <w:ind w:left="560" w:right="127"/>
        <w:jc w:val="both"/>
      </w:pPr>
      <w:r>
        <w:rPr/>
        <w:t>Again, while health and safety issues are not a specific part of the scope of this report it was another issue that stakeholders identified as needing to be considered during the project.</w:t>
      </w:r>
    </w:p>
    <w:p>
      <w:pPr>
        <w:pStyle w:val="BodyText"/>
        <w:spacing w:line="256" w:lineRule="auto" w:before="158"/>
        <w:ind w:left="560" w:right="115"/>
        <w:jc w:val="both"/>
      </w:pPr>
      <w:r>
        <w:rPr/>
        <w:t>A report commissioned by WasteMINZ Health and Safety Sector group and compiled by Morrison Low </w:t>
      </w:r>
      <w:r>
        <w:rPr>
          <w:i/>
        </w:rPr>
        <w:t>An </w:t>
      </w:r>
      <w:r>
        <w:rPr>
          <w:i/>
        </w:rPr>
        <w:t>assessment of the health &amp; safety costs and benefits of manual vs automated waste collections </w:t>
      </w:r>
      <w:r>
        <w:rPr/>
        <w:t>(2010) analyses a report from Research NZ, which was based on data from the four major waste companies and is concerned with health and safety relating to collectors only. It focuses on the key health and safety risks associated with both automated and manual collection methodologies and determined that while automated bin collection systems accounted for 46% of all collections, they only accounted for 5% of the injuries. Bag collection was the second most common collection method with 32% of the collections but resulted in 36% of the total injuries sustained. ‘Loose collection’ injuries accounted for 41% and non-automated bin collection accounted for the remaining 17% of injuries.</w:t>
      </w:r>
    </w:p>
    <w:p>
      <w:pPr>
        <w:pStyle w:val="BodyText"/>
        <w:spacing w:line="256" w:lineRule="auto" w:before="158"/>
        <w:ind w:left="560" w:right="118"/>
        <w:jc w:val="both"/>
      </w:pPr>
      <w:r>
        <w:rPr/>
        <w:t>A review of this report (Wilson, 2010) found that the original Research NZ report overstated the hours worked for manual collections by not taking into account the extra workers this method often entails. This means the injury rates estimated per 100,000 hours and costs per 100,000 households for manual sort methods may not have been accurate.</w:t>
      </w:r>
    </w:p>
    <w:p>
      <w:pPr>
        <w:pStyle w:val="BodyText"/>
        <w:spacing w:line="254" w:lineRule="auto" w:before="158"/>
        <w:ind w:left="560" w:right="116"/>
        <w:jc w:val="both"/>
      </w:pPr>
      <w:r>
        <w:rPr/>
        <w:t>The report by Eunomia for WRAP Wales (2011) reviewed the WasteMINZ/Morrison Low report, alongside ten other reports that address health and safety issues and concludes:</w:t>
      </w:r>
    </w:p>
    <w:p>
      <w:pPr>
        <w:spacing w:before="161"/>
        <w:ind w:left="987" w:right="496" w:firstLine="0"/>
        <w:jc w:val="both"/>
        <w:rPr>
          <w:i/>
          <w:sz w:val="20"/>
        </w:rPr>
      </w:pPr>
      <w:r>
        <w:rPr>
          <w:i/>
          <w:sz w:val="20"/>
        </w:rPr>
        <w:t>There</w:t>
      </w:r>
      <w:r>
        <w:rPr>
          <w:i/>
          <w:spacing w:val="-5"/>
          <w:sz w:val="20"/>
        </w:rPr>
        <w:t> </w:t>
      </w:r>
      <w:r>
        <w:rPr>
          <w:i/>
          <w:sz w:val="20"/>
        </w:rPr>
        <w:t>has</w:t>
      </w:r>
      <w:r>
        <w:rPr>
          <w:i/>
          <w:spacing w:val="-6"/>
          <w:sz w:val="20"/>
        </w:rPr>
        <w:t> </w:t>
      </w:r>
      <w:r>
        <w:rPr>
          <w:i/>
          <w:sz w:val="20"/>
        </w:rPr>
        <w:t>been</w:t>
      </w:r>
      <w:r>
        <w:rPr>
          <w:i/>
          <w:spacing w:val="-7"/>
          <w:sz w:val="20"/>
        </w:rPr>
        <w:t> </w:t>
      </w:r>
      <w:r>
        <w:rPr>
          <w:i/>
          <w:sz w:val="20"/>
        </w:rPr>
        <w:t>much</w:t>
      </w:r>
      <w:r>
        <w:rPr>
          <w:i/>
          <w:spacing w:val="-7"/>
          <w:sz w:val="20"/>
        </w:rPr>
        <w:t> </w:t>
      </w:r>
      <w:r>
        <w:rPr>
          <w:i/>
          <w:sz w:val="20"/>
        </w:rPr>
        <w:t>debate</w:t>
      </w:r>
      <w:r>
        <w:rPr>
          <w:i/>
          <w:spacing w:val="-7"/>
          <w:sz w:val="20"/>
        </w:rPr>
        <w:t> </w:t>
      </w:r>
      <w:r>
        <w:rPr>
          <w:i/>
          <w:sz w:val="20"/>
        </w:rPr>
        <w:t>in</w:t>
      </w:r>
      <w:r>
        <w:rPr>
          <w:i/>
          <w:spacing w:val="-5"/>
          <w:sz w:val="20"/>
        </w:rPr>
        <w:t> </w:t>
      </w:r>
      <w:r>
        <w:rPr>
          <w:i/>
          <w:sz w:val="20"/>
        </w:rPr>
        <w:t>the</w:t>
      </w:r>
      <w:r>
        <w:rPr>
          <w:i/>
          <w:spacing w:val="-7"/>
          <w:sz w:val="20"/>
        </w:rPr>
        <w:t> </w:t>
      </w:r>
      <w:r>
        <w:rPr>
          <w:i/>
          <w:sz w:val="20"/>
        </w:rPr>
        <w:t>industry</w:t>
      </w:r>
      <w:r>
        <w:rPr>
          <w:i/>
          <w:spacing w:val="-6"/>
          <w:sz w:val="20"/>
        </w:rPr>
        <w:t> </w:t>
      </w:r>
      <w:r>
        <w:rPr>
          <w:i/>
          <w:sz w:val="20"/>
        </w:rPr>
        <w:t>about</w:t>
      </w:r>
      <w:r>
        <w:rPr>
          <w:i/>
          <w:spacing w:val="-7"/>
          <w:sz w:val="20"/>
        </w:rPr>
        <w:t> </w:t>
      </w:r>
      <w:r>
        <w:rPr>
          <w:i/>
          <w:sz w:val="20"/>
        </w:rPr>
        <w:t>the</w:t>
      </w:r>
      <w:r>
        <w:rPr>
          <w:i/>
          <w:spacing w:val="-7"/>
          <w:sz w:val="20"/>
        </w:rPr>
        <w:t> </w:t>
      </w:r>
      <w:r>
        <w:rPr>
          <w:i/>
          <w:sz w:val="20"/>
        </w:rPr>
        <w:t>relative</w:t>
      </w:r>
      <w:r>
        <w:rPr>
          <w:i/>
          <w:spacing w:val="-5"/>
          <w:sz w:val="20"/>
        </w:rPr>
        <w:t> </w:t>
      </w:r>
      <w:r>
        <w:rPr>
          <w:i/>
          <w:sz w:val="20"/>
        </w:rPr>
        <w:t>merits</w:t>
      </w:r>
      <w:r>
        <w:rPr>
          <w:i/>
          <w:spacing w:val="-6"/>
          <w:sz w:val="20"/>
        </w:rPr>
        <w:t> </w:t>
      </w:r>
      <w:r>
        <w:rPr>
          <w:i/>
          <w:sz w:val="20"/>
        </w:rPr>
        <w:t>of</w:t>
      </w:r>
      <w:r>
        <w:rPr>
          <w:i/>
          <w:spacing w:val="-6"/>
          <w:sz w:val="20"/>
        </w:rPr>
        <w:t> </w:t>
      </w:r>
      <w:r>
        <w:rPr>
          <w:i/>
          <w:sz w:val="20"/>
        </w:rPr>
        <w:t>kerbside</w:t>
      </w:r>
      <w:r>
        <w:rPr>
          <w:i/>
          <w:spacing w:val="-4"/>
          <w:sz w:val="20"/>
        </w:rPr>
        <w:t> </w:t>
      </w:r>
      <w:r>
        <w:rPr>
          <w:i/>
          <w:sz w:val="20"/>
        </w:rPr>
        <w:t>sort,</w:t>
      </w:r>
      <w:r>
        <w:rPr>
          <w:i/>
          <w:spacing w:val="-5"/>
          <w:sz w:val="20"/>
        </w:rPr>
        <w:t> </w:t>
      </w:r>
      <w:r>
        <w:rPr>
          <w:i/>
          <w:sz w:val="20"/>
        </w:rPr>
        <w:t>two-stream</w:t>
      </w:r>
      <w:r>
        <w:rPr>
          <w:i/>
          <w:spacing w:val="-5"/>
          <w:sz w:val="20"/>
        </w:rPr>
        <w:t> </w:t>
      </w:r>
      <w:r>
        <w:rPr>
          <w:i/>
          <w:sz w:val="20"/>
        </w:rPr>
        <w:t>and </w:t>
      </w:r>
      <w:r>
        <w:rPr>
          <w:i/>
          <w:sz w:val="20"/>
        </w:rPr>
        <w:t>co-mingled collections in terms of whether one system is inherently ‘safer’ or ‘healthier’ than another. Statements</w:t>
      </w:r>
      <w:r>
        <w:rPr>
          <w:i/>
          <w:spacing w:val="-6"/>
          <w:sz w:val="20"/>
        </w:rPr>
        <w:t> </w:t>
      </w:r>
      <w:r>
        <w:rPr>
          <w:i/>
          <w:sz w:val="20"/>
        </w:rPr>
        <w:t>that</w:t>
      </w:r>
      <w:r>
        <w:rPr>
          <w:i/>
          <w:spacing w:val="-5"/>
          <w:sz w:val="20"/>
        </w:rPr>
        <w:t> </w:t>
      </w:r>
      <w:r>
        <w:rPr>
          <w:i/>
          <w:sz w:val="20"/>
        </w:rPr>
        <w:t>one</w:t>
      </w:r>
      <w:r>
        <w:rPr>
          <w:i/>
          <w:spacing w:val="-5"/>
          <w:sz w:val="20"/>
        </w:rPr>
        <w:t> </w:t>
      </w:r>
      <w:r>
        <w:rPr>
          <w:i/>
          <w:sz w:val="20"/>
        </w:rPr>
        <w:t>system</w:t>
      </w:r>
      <w:r>
        <w:rPr>
          <w:i/>
          <w:spacing w:val="-3"/>
          <w:sz w:val="20"/>
        </w:rPr>
        <w:t> </w:t>
      </w:r>
      <w:r>
        <w:rPr>
          <w:i/>
          <w:sz w:val="20"/>
        </w:rPr>
        <w:t>is</w:t>
      </w:r>
      <w:r>
        <w:rPr>
          <w:i/>
          <w:spacing w:val="-4"/>
          <w:sz w:val="20"/>
        </w:rPr>
        <w:t> </w:t>
      </w:r>
      <w:r>
        <w:rPr>
          <w:i/>
          <w:sz w:val="20"/>
        </w:rPr>
        <w:t>safer</w:t>
      </w:r>
      <w:r>
        <w:rPr>
          <w:i/>
          <w:spacing w:val="-4"/>
          <w:sz w:val="20"/>
        </w:rPr>
        <w:t> </w:t>
      </w:r>
      <w:r>
        <w:rPr>
          <w:i/>
          <w:sz w:val="20"/>
        </w:rPr>
        <w:t>than</w:t>
      </w:r>
      <w:r>
        <w:rPr>
          <w:i/>
          <w:spacing w:val="-3"/>
          <w:sz w:val="20"/>
        </w:rPr>
        <w:t> </w:t>
      </w:r>
      <w:r>
        <w:rPr>
          <w:i/>
          <w:sz w:val="20"/>
        </w:rPr>
        <w:t>another</w:t>
      </w:r>
      <w:r>
        <w:rPr>
          <w:i/>
          <w:spacing w:val="-5"/>
          <w:sz w:val="20"/>
        </w:rPr>
        <w:t> </w:t>
      </w:r>
      <w:r>
        <w:rPr>
          <w:i/>
          <w:sz w:val="20"/>
        </w:rPr>
        <w:t>are</w:t>
      </w:r>
      <w:r>
        <w:rPr>
          <w:i/>
          <w:spacing w:val="-5"/>
          <w:sz w:val="20"/>
        </w:rPr>
        <w:t> </w:t>
      </w:r>
      <w:r>
        <w:rPr>
          <w:i/>
          <w:sz w:val="20"/>
        </w:rPr>
        <w:t>often</w:t>
      </w:r>
      <w:r>
        <w:rPr>
          <w:i/>
          <w:spacing w:val="-5"/>
          <w:sz w:val="20"/>
        </w:rPr>
        <w:t> </w:t>
      </w:r>
      <w:r>
        <w:rPr>
          <w:i/>
          <w:sz w:val="20"/>
        </w:rPr>
        <w:t>missing</w:t>
      </w:r>
      <w:r>
        <w:rPr>
          <w:i/>
          <w:spacing w:val="-3"/>
          <w:sz w:val="20"/>
        </w:rPr>
        <w:t> </w:t>
      </w:r>
      <w:r>
        <w:rPr>
          <w:i/>
          <w:sz w:val="20"/>
        </w:rPr>
        <w:t>the</w:t>
      </w:r>
      <w:r>
        <w:rPr>
          <w:i/>
          <w:spacing w:val="-3"/>
          <w:sz w:val="20"/>
        </w:rPr>
        <w:t> </w:t>
      </w:r>
      <w:r>
        <w:rPr>
          <w:i/>
          <w:sz w:val="20"/>
        </w:rPr>
        <w:t>point,</w:t>
      </w:r>
      <w:r>
        <w:rPr>
          <w:i/>
          <w:spacing w:val="-5"/>
          <w:sz w:val="20"/>
        </w:rPr>
        <w:t> </w:t>
      </w:r>
      <w:r>
        <w:rPr>
          <w:i/>
          <w:sz w:val="20"/>
        </w:rPr>
        <w:t>as</w:t>
      </w:r>
      <w:r>
        <w:rPr>
          <w:i/>
          <w:spacing w:val="-4"/>
          <w:sz w:val="20"/>
        </w:rPr>
        <w:t> </w:t>
      </w:r>
      <w:r>
        <w:rPr>
          <w:i/>
          <w:sz w:val="20"/>
        </w:rPr>
        <w:t>a</w:t>
      </w:r>
      <w:r>
        <w:rPr>
          <w:i/>
          <w:spacing w:val="-5"/>
          <w:sz w:val="20"/>
        </w:rPr>
        <w:t> </w:t>
      </w:r>
      <w:r>
        <w:rPr>
          <w:i/>
          <w:sz w:val="20"/>
        </w:rPr>
        <w:t>holistic</w:t>
      </w:r>
      <w:r>
        <w:rPr>
          <w:i/>
          <w:spacing w:val="-5"/>
          <w:sz w:val="20"/>
        </w:rPr>
        <w:t> </w:t>
      </w:r>
      <w:r>
        <w:rPr>
          <w:i/>
          <w:sz w:val="20"/>
        </w:rPr>
        <w:t>approach</w:t>
      </w:r>
      <w:r>
        <w:rPr>
          <w:i/>
          <w:spacing w:val="-5"/>
          <w:sz w:val="20"/>
        </w:rPr>
        <w:t> </w:t>
      </w:r>
      <w:r>
        <w:rPr>
          <w:i/>
          <w:sz w:val="20"/>
        </w:rPr>
        <w:t>is required</w:t>
      </w:r>
      <w:r>
        <w:rPr>
          <w:i/>
          <w:spacing w:val="-12"/>
          <w:sz w:val="20"/>
        </w:rPr>
        <w:t> </w:t>
      </w:r>
      <w:r>
        <w:rPr>
          <w:i/>
          <w:sz w:val="20"/>
        </w:rPr>
        <w:t>when</w:t>
      </w:r>
      <w:r>
        <w:rPr>
          <w:i/>
          <w:spacing w:val="-12"/>
          <w:sz w:val="20"/>
        </w:rPr>
        <w:t> </w:t>
      </w:r>
      <w:r>
        <w:rPr>
          <w:i/>
          <w:sz w:val="20"/>
        </w:rPr>
        <w:t>managing</w:t>
      </w:r>
      <w:r>
        <w:rPr>
          <w:i/>
          <w:spacing w:val="-11"/>
          <w:sz w:val="20"/>
        </w:rPr>
        <w:t> </w:t>
      </w:r>
      <w:r>
        <w:rPr>
          <w:i/>
          <w:sz w:val="20"/>
        </w:rPr>
        <w:t>risks.</w:t>
      </w:r>
      <w:r>
        <w:rPr>
          <w:i/>
          <w:spacing w:val="22"/>
          <w:sz w:val="20"/>
        </w:rPr>
        <w:t> </w:t>
      </w:r>
      <w:r>
        <w:rPr>
          <w:i/>
          <w:sz w:val="20"/>
        </w:rPr>
        <w:t>The</w:t>
      </w:r>
      <w:r>
        <w:rPr>
          <w:i/>
          <w:spacing w:val="-12"/>
          <w:sz w:val="20"/>
        </w:rPr>
        <w:t> </w:t>
      </w:r>
      <w:r>
        <w:rPr>
          <w:i/>
          <w:sz w:val="20"/>
        </w:rPr>
        <w:t>question</w:t>
      </w:r>
      <w:r>
        <w:rPr>
          <w:i/>
          <w:spacing w:val="-12"/>
          <w:sz w:val="20"/>
        </w:rPr>
        <w:t> </w:t>
      </w:r>
      <w:r>
        <w:rPr>
          <w:i/>
          <w:sz w:val="20"/>
        </w:rPr>
        <w:t>that</w:t>
      </w:r>
      <w:r>
        <w:rPr>
          <w:i/>
          <w:spacing w:val="-12"/>
          <w:sz w:val="20"/>
        </w:rPr>
        <w:t> </w:t>
      </w:r>
      <w:r>
        <w:rPr>
          <w:i/>
          <w:sz w:val="20"/>
        </w:rPr>
        <w:t>needs</w:t>
      </w:r>
      <w:r>
        <w:rPr>
          <w:i/>
          <w:spacing w:val="-12"/>
          <w:sz w:val="20"/>
        </w:rPr>
        <w:t> </w:t>
      </w:r>
      <w:r>
        <w:rPr>
          <w:i/>
          <w:sz w:val="20"/>
        </w:rPr>
        <w:t>to</w:t>
      </w:r>
      <w:r>
        <w:rPr>
          <w:i/>
          <w:spacing w:val="-11"/>
          <w:sz w:val="20"/>
        </w:rPr>
        <w:t> </w:t>
      </w:r>
      <w:r>
        <w:rPr>
          <w:i/>
          <w:sz w:val="20"/>
        </w:rPr>
        <w:t>be</w:t>
      </w:r>
      <w:r>
        <w:rPr>
          <w:i/>
          <w:spacing w:val="-12"/>
          <w:sz w:val="20"/>
        </w:rPr>
        <w:t> </w:t>
      </w:r>
      <w:r>
        <w:rPr>
          <w:i/>
          <w:sz w:val="20"/>
        </w:rPr>
        <w:t>asked</w:t>
      </w:r>
      <w:r>
        <w:rPr>
          <w:i/>
          <w:spacing w:val="-12"/>
          <w:sz w:val="20"/>
        </w:rPr>
        <w:t> </w:t>
      </w:r>
      <w:r>
        <w:rPr>
          <w:i/>
          <w:sz w:val="20"/>
        </w:rPr>
        <w:t>is</w:t>
      </w:r>
      <w:r>
        <w:rPr>
          <w:i/>
          <w:spacing w:val="-13"/>
          <w:sz w:val="20"/>
        </w:rPr>
        <w:t> </w:t>
      </w:r>
      <w:r>
        <w:rPr>
          <w:i/>
          <w:sz w:val="20"/>
        </w:rPr>
        <w:t>‘can</w:t>
      </w:r>
      <w:r>
        <w:rPr>
          <w:i/>
          <w:spacing w:val="-12"/>
          <w:sz w:val="20"/>
        </w:rPr>
        <w:t> </w:t>
      </w:r>
      <w:r>
        <w:rPr>
          <w:i/>
          <w:sz w:val="20"/>
        </w:rPr>
        <w:t>the</w:t>
      </w:r>
      <w:r>
        <w:rPr>
          <w:i/>
          <w:spacing w:val="-12"/>
          <w:sz w:val="20"/>
        </w:rPr>
        <w:t> </w:t>
      </w:r>
      <w:r>
        <w:rPr>
          <w:i/>
          <w:sz w:val="20"/>
        </w:rPr>
        <w:t>risks</w:t>
      </w:r>
      <w:r>
        <w:rPr>
          <w:i/>
          <w:spacing w:val="-12"/>
          <w:sz w:val="20"/>
        </w:rPr>
        <w:t> </w:t>
      </w:r>
      <w:r>
        <w:rPr>
          <w:i/>
          <w:sz w:val="20"/>
        </w:rPr>
        <w:t>in</w:t>
      </w:r>
      <w:r>
        <w:rPr>
          <w:i/>
          <w:spacing w:val="-12"/>
          <w:sz w:val="20"/>
        </w:rPr>
        <w:t> </w:t>
      </w:r>
      <w:r>
        <w:rPr>
          <w:i/>
          <w:sz w:val="20"/>
        </w:rPr>
        <w:t>any</w:t>
      </w:r>
      <w:r>
        <w:rPr>
          <w:i/>
          <w:spacing w:val="-12"/>
          <w:sz w:val="20"/>
        </w:rPr>
        <w:t> </w:t>
      </w:r>
      <w:r>
        <w:rPr>
          <w:i/>
          <w:sz w:val="20"/>
        </w:rPr>
        <w:t>given</w:t>
      </w:r>
      <w:r>
        <w:rPr>
          <w:i/>
          <w:spacing w:val="-11"/>
          <w:sz w:val="20"/>
        </w:rPr>
        <w:t> </w:t>
      </w:r>
      <w:r>
        <w:rPr>
          <w:i/>
          <w:sz w:val="20"/>
        </w:rPr>
        <w:t>system be</w:t>
      </w:r>
      <w:r>
        <w:rPr>
          <w:i/>
          <w:spacing w:val="-5"/>
          <w:sz w:val="20"/>
        </w:rPr>
        <w:t> </w:t>
      </w:r>
      <w:r>
        <w:rPr>
          <w:i/>
          <w:sz w:val="20"/>
        </w:rPr>
        <w:t>managed?’.</w:t>
      </w:r>
    </w:p>
    <w:p>
      <w:pPr>
        <w:pStyle w:val="BodyText"/>
        <w:spacing w:before="163"/>
        <w:ind w:left="560"/>
        <w:jc w:val="both"/>
      </w:pPr>
      <w:r>
        <w:rPr/>
        <w:t>The report goes onto note that their analysis of collection systems and health and safety was inconclusive.</w:t>
      </w:r>
    </w:p>
    <w:p>
      <w:pPr>
        <w:pStyle w:val="BodyText"/>
        <w:spacing w:line="256" w:lineRule="auto" w:before="175"/>
        <w:ind w:left="560" w:right="115"/>
        <w:jc w:val="both"/>
      </w:pPr>
      <w:r>
        <w:rPr/>
        <w:t>A recent report commissioned by WasteMINZ examines the COVID-19 pandemic risk factors for different collection methods. It highlights that where there is more than one employee in a rubbish or recycling truck social distancing is difficult to maintain, thus increasing the risk of exposure. In additional manual handling of wheelie bins and crates is a risk factor as the virus can be passed on from surfaces touched by a householder with the virus. With manual sorting or handling the risk increases as more time is spent touching potentially contaminated</w:t>
      </w:r>
      <w:r>
        <w:rPr>
          <w:spacing w:val="-5"/>
        </w:rPr>
        <w:t> </w:t>
      </w:r>
      <w:r>
        <w:rPr/>
        <w:t>surfaces.</w:t>
      </w:r>
      <w:r>
        <w:rPr>
          <w:spacing w:val="-5"/>
        </w:rPr>
        <w:t> </w:t>
      </w:r>
      <w:r>
        <w:rPr/>
        <w:t>The</w:t>
      </w:r>
      <w:r>
        <w:rPr>
          <w:spacing w:val="-6"/>
        </w:rPr>
        <w:t> </w:t>
      </w:r>
      <w:r>
        <w:rPr/>
        <w:t>report</w:t>
      </w:r>
      <w:r>
        <w:rPr>
          <w:spacing w:val="-5"/>
        </w:rPr>
        <w:t> </w:t>
      </w:r>
      <w:r>
        <w:rPr/>
        <w:t>includes</w:t>
      </w:r>
      <w:r>
        <w:rPr>
          <w:spacing w:val="-4"/>
        </w:rPr>
        <w:t> </w:t>
      </w:r>
      <w:r>
        <w:rPr/>
        <w:t>recommendations</w:t>
      </w:r>
      <w:r>
        <w:rPr>
          <w:spacing w:val="-4"/>
        </w:rPr>
        <w:t> </w:t>
      </w:r>
      <w:r>
        <w:rPr/>
        <w:t>for</w:t>
      </w:r>
      <w:r>
        <w:rPr>
          <w:spacing w:val="-5"/>
        </w:rPr>
        <w:t> </w:t>
      </w:r>
      <w:r>
        <w:rPr/>
        <w:t>managing</w:t>
      </w:r>
      <w:r>
        <w:rPr>
          <w:spacing w:val="-6"/>
        </w:rPr>
        <w:t> </w:t>
      </w:r>
      <w:r>
        <w:rPr/>
        <w:t>these</w:t>
      </w:r>
      <w:r>
        <w:rPr>
          <w:spacing w:val="-6"/>
        </w:rPr>
        <w:t> </w:t>
      </w:r>
      <w:r>
        <w:rPr/>
        <w:t>risks</w:t>
      </w:r>
      <w:r>
        <w:rPr>
          <w:spacing w:val="-4"/>
        </w:rPr>
        <w:t> </w:t>
      </w:r>
      <w:r>
        <w:rPr/>
        <w:t>during</w:t>
      </w:r>
      <w:r>
        <w:rPr>
          <w:spacing w:val="2"/>
        </w:rPr>
        <w:t> </w:t>
      </w:r>
      <w:r>
        <w:rPr/>
        <w:t>a</w:t>
      </w:r>
      <w:r>
        <w:rPr>
          <w:spacing w:val="-5"/>
        </w:rPr>
        <w:t> </w:t>
      </w:r>
      <w:r>
        <w:rPr/>
        <w:t>pandemic</w:t>
      </w:r>
      <w:r>
        <w:rPr>
          <w:spacing w:val="-6"/>
        </w:rPr>
        <w:t> </w:t>
      </w:r>
      <w:r>
        <w:rPr/>
        <w:t>such as</w:t>
      </w:r>
      <w:r>
        <w:rPr>
          <w:spacing w:val="-10"/>
        </w:rPr>
        <w:t> </w:t>
      </w:r>
      <w:r>
        <w:rPr/>
        <w:t>a</w:t>
      </w:r>
      <w:r>
        <w:rPr>
          <w:spacing w:val="-11"/>
        </w:rPr>
        <w:t> </w:t>
      </w:r>
      <w:r>
        <w:rPr/>
        <w:t>crew</w:t>
      </w:r>
      <w:r>
        <w:rPr>
          <w:spacing w:val="-12"/>
        </w:rPr>
        <w:t> </w:t>
      </w:r>
      <w:r>
        <w:rPr/>
        <w:t>of</w:t>
      </w:r>
      <w:r>
        <w:rPr>
          <w:spacing w:val="-12"/>
        </w:rPr>
        <w:t> </w:t>
      </w:r>
      <w:r>
        <w:rPr/>
        <w:t>workers</w:t>
      </w:r>
      <w:r>
        <w:rPr>
          <w:spacing w:val="-10"/>
        </w:rPr>
        <w:t> </w:t>
      </w:r>
      <w:r>
        <w:rPr/>
        <w:t>working</w:t>
      </w:r>
      <w:r>
        <w:rPr>
          <w:spacing w:val="-9"/>
        </w:rPr>
        <w:t> </w:t>
      </w:r>
      <w:r>
        <w:rPr/>
        <w:t>on</w:t>
      </w:r>
      <w:r>
        <w:rPr>
          <w:spacing w:val="-11"/>
        </w:rPr>
        <w:t> </w:t>
      </w:r>
      <w:r>
        <w:rPr/>
        <w:t>the</w:t>
      </w:r>
      <w:r>
        <w:rPr>
          <w:spacing w:val="-12"/>
        </w:rPr>
        <w:t> </w:t>
      </w:r>
      <w:r>
        <w:rPr/>
        <w:t>same</w:t>
      </w:r>
      <w:r>
        <w:rPr>
          <w:spacing w:val="-13"/>
        </w:rPr>
        <w:t> </w:t>
      </w:r>
      <w:r>
        <w:rPr/>
        <w:t>route</w:t>
      </w:r>
      <w:r>
        <w:rPr>
          <w:spacing w:val="-12"/>
        </w:rPr>
        <w:t> </w:t>
      </w:r>
      <w:r>
        <w:rPr/>
        <w:t>travelling</w:t>
      </w:r>
      <w:r>
        <w:rPr>
          <w:spacing w:val="-12"/>
        </w:rPr>
        <w:t> </w:t>
      </w:r>
      <w:r>
        <w:rPr/>
        <w:t>in</w:t>
      </w:r>
      <w:r>
        <w:rPr>
          <w:spacing w:val="-9"/>
        </w:rPr>
        <w:t> </w:t>
      </w:r>
      <w:r>
        <w:rPr/>
        <w:t>different</w:t>
      </w:r>
      <w:r>
        <w:rPr>
          <w:spacing w:val="-11"/>
        </w:rPr>
        <w:t> </w:t>
      </w:r>
      <w:r>
        <w:rPr/>
        <w:t>vehicles</w:t>
      </w:r>
      <w:r>
        <w:rPr>
          <w:spacing w:val="-10"/>
        </w:rPr>
        <w:t> </w:t>
      </w:r>
      <w:r>
        <w:rPr/>
        <w:t>and</w:t>
      </w:r>
      <w:r>
        <w:rPr>
          <w:spacing w:val="-11"/>
        </w:rPr>
        <w:t> </w:t>
      </w:r>
      <w:r>
        <w:rPr/>
        <w:t>increased</w:t>
      </w:r>
      <w:r>
        <w:rPr>
          <w:spacing w:val="-11"/>
        </w:rPr>
        <w:t> </w:t>
      </w:r>
      <w:r>
        <w:rPr/>
        <w:t>use</w:t>
      </w:r>
      <w:r>
        <w:rPr>
          <w:spacing w:val="-12"/>
        </w:rPr>
        <w:t> </w:t>
      </w:r>
      <w:r>
        <w:rPr/>
        <w:t>of</w:t>
      </w:r>
      <w:r>
        <w:rPr>
          <w:spacing w:val="-12"/>
        </w:rPr>
        <w:t> </w:t>
      </w:r>
      <w:r>
        <w:rPr/>
        <w:t>PPE</w:t>
      </w:r>
      <w:r>
        <w:rPr>
          <w:spacing w:val="-10"/>
        </w:rPr>
        <w:t> </w:t>
      </w:r>
      <w:r>
        <w:rPr/>
        <w:t>(Dearsly, 2020).</w:t>
      </w:r>
    </w:p>
    <w:p>
      <w:pPr>
        <w:pStyle w:val="BodyText"/>
        <w:spacing w:line="256" w:lineRule="auto" w:before="161"/>
        <w:ind w:left="560" w:right="119"/>
        <w:jc w:val="both"/>
      </w:pPr>
      <w:r>
        <w:rPr/>
        <w:t>It</w:t>
      </w:r>
      <w:r>
        <w:rPr>
          <w:spacing w:val="-3"/>
        </w:rPr>
        <w:t> </w:t>
      </w:r>
      <w:r>
        <w:rPr/>
        <w:t>is</w:t>
      </w:r>
      <w:r>
        <w:rPr>
          <w:spacing w:val="-4"/>
        </w:rPr>
        <w:t> </w:t>
      </w:r>
      <w:r>
        <w:rPr/>
        <w:t>important</w:t>
      </w:r>
      <w:r>
        <w:rPr>
          <w:spacing w:val="-3"/>
        </w:rPr>
        <w:t> </w:t>
      </w:r>
      <w:r>
        <w:rPr/>
        <w:t>to</w:t>
      </w:r>
      <w:r>
        <w:rPr>
          <w:spacing w:val="-4"/>
        </w:rPr>
        <w:t> </w:t>
      </w:r>
      <w:r>
        <w:rPr/>
        <w:t>note</w:t>
      </w:r>
      <w:r>
        <w:rPr>
          <w:spacing w:val="-5"/>
        </w:rPr>
        <w:t> </w:t>
      </w:r>
      <w:r>
        <w:rPr/>
        <w:t>that</w:t>
      </w:r>
      <w:r>
        <w:rPr>
          <w:spacing w:val="-4"/>
        </w:rPr>
        <w:t> </w:t>
      </w:r>
      <w:r>
        <w:rPr/>
        <w:t>none</w:t>
      </w:r>
      <w:r>
        <w:rPr>
          <w:spacing w:val="-4"/>
        </w:rPr>
        <w:t> </w:t>
      </w:r>
      <w:r>
        <w:rPr/>
        <w:t>of</w:t>
      </w:r>
      <w:r>
        <w:rPr>
          <w:spacing w:val="-4"/>
        </w:rPr>
        <w:t> </w:t>
      </w:r>
      <w:r>
        <w:rPr/>
        <w:t>the</w:t>
      </w:r>
      <w:r>
        <w:rPr>
          <w:spacing w:val="-4"/>
        </w:rPr>
        <w:t> </w:t>
      </w:r>
      <w:r>
        <w:rPr/>
        <w:t>literature</w:t>
      </w:r>
      <w:r>
        <w:rPr>
          <w:spacing w:val="-4"/>
        </w:rPr>
        <w:t> </w:t>
      </w:r>
      <w:r>
        <w:rPr/>
        <w:t>address</w:t>
      </w:r>
      <w:r>
        <w:rPr>
          <w:spacing w:val="-3"/>
        </w:rPr>
        <w:t> </w:t>
      </w:r>
      <w:r>
        <w:rPr/>
        <w:t>emerging</w:t>
      </w:r>
      <w:r>
        <w:rPr>
          <w:spacing w:val="-4"/>
        </w:rPr>
        <w:t> </w:t>
      </w:r>
      <w:r>
        <w:rPr/>
        <w:t>health</w:t>
      </w:r>
      <w:r>
        <w:rPr>
          <w:spacing w:val="-3"/>
        </w:rPr>
        <w:t> </w:t>
      </w:r>
      <w:r>
        <w:rPr/>
        <w:t>and</w:t>
      </w:r>
      <w:r>
        <w:rPr>
          <w:spacing w:val="-3"/>
        </w:rPr>
        <w:t> </w:t>
      </w:r>
      <w:r>
        <w:rPr/>
        <w:t>safety</w:t>
      </w:r>
      <w:r>
        <w:rPr>
          <w:spacing w:val="-4"/>
        </w:rPr>
        <w:t> </w:t>
      </w:r>
      <w:r>
        <w:rPr/>
        <w:t>issues</w:t>
      </w:r>
      <w:r>
        <w:rPr>
          <w:spacing w:val="-3"/>
        </w:rPr>
        <w:t> </w:t>
      </w:r>
      <w:r>
        <w:rPr/>
        <w:t>such</w:t>
      </w:r>
      <w:r>
        <w:rPr>
          <w:spacing w:val="-4"/>
        </w:rPr>
        <w:t> </w:t>
      </w:r>
      <w:r>
        <w:rPr/>
        <w:t>as</w:t>
      </w:r>
      <w:r>
        <w:rPr>
          <w:spacing w:val="-3"/>
        </w:rPr>
        <w:t> </w:t>
      </w:r>
      <w:r>
        <w:rPr/>
        <w:t>the</w:t>
      </w:r>
      <w:r>
        <w:rPr>
          <w:spacing w:val="-6"/>
        </w:rPr>
        <w:t> </w:t>
      </w:r>
      <w:r>
        <w:rPr/>
        <w:t>fire</w:t>
      </w:r>
      <w:r>
        <w:rPr>
          <w:spacing w:val="-4"/>
        </w:rPr>
        <w:t> </w:t>
      </w:r>
      <w:r>
        <w:rPr/>
        <w:t>risk of ewaste incorrectly disposed of in recycling bins. Kerbside sort systems allow e-waste and other hazardous items</w:t>
      </w:r>
      <w:r>
        <w:rPr>
          <w:spacing w:val="-3"/>
        </w:rPr>
        <w:t> </w:t>
      </w:r>
      <w:r>
        <w:rPr/>
        <w:t>to</w:t>
      </w:r>
      <w:r>
        <w:rPr>
          <w:spacing w:val="-3"/>
        </w:rPr>
        <w:t> </w:t>
      </w:r>
      <w:r>
        <w:rPr/>
        <w:t>be</w:t>
      </w:r>
      <w:r>
        <w:rPr>
          <w:spacing w:val="-4"/>
        </w:rPr>
        <w:t> </w:t>
      </w:r>
      <w:r>
        <w:rPr/>
        <w:t>left</w:t>
      </w:r>
      <w:r>
        <w:rPr>
          <w:spacing w:val="-3"/>
        </w:rPr>
        <w:t> </w:t>
      </w:r>
      <w:r>
        <w:rPr/>
        <w:t>behind,</w:t>
      </w:r>
      <w:r>
        <w:rPr>
          <w:spacing w:val="-3"/>
        </w:rPr>
        <w:t> </w:t>
      </w:r>
      <w:r>
        <w:rPr/>
        <w:t>limiting</w:t>
      </w:r>
      <w:r>
        <w:rPr>
          <w:spacing w:val="-4"/>
        </w:rPr>
        <w:t> </w:t>
      </w:r>
      <w:r>
        <w:rPr/>
        <w:t>fire</w:t>
      </w:r>
      <w:r>
        <w:rPr>
          <w:spacing w:val="-4"/>
        </w:rPr>
        <w:t> </w:t>
      </w:r>
      <w:r>
        <w:rPr/>
        <w:t>risk</w:t>
      </w:r>
      <w:r>
        <w:rPr>
          <w:spacing w:val="-3"/>
        </w:rPr>
        <w:t> </w:t>
      </w:r>
      <w:r>
        <w:rPr/>
        <w:t>in</w:t>
      </w:r>
      <w:r>
        <w:rPr>
          <w:spacing w:val="-3"/>
        </w:rPr>
        <w:t> </w:t>
      </w:r>
      <w:r>
        <w:rPr/>
        <w:t>recycling</w:t>
      </w:r>
      <w:r>
        <w:rPr>
          <w:spacing w:val="-4"/>
        </w:rPr>
        <w:t> </w:t>
      </w:r>
      <w:r>
        <w:rPr/>
        <w:t>trucks</w:t>
      </w:r>
      <w:r>
        <w:rPr>
          <w:spacing w:val="-2"/>
        </w:rPr>
        <w:t> </w:t>
      </w:r>
      <w:r>
        <w:rPr/>
        <w:t>and</w:t>
      </w:r>
      <w:r>
        <w:rPr>
          <w:spacing w:val="-3"/>
        </w:rPr>
        <w:t> </w:t>
      </w:r>
      <w:r>
        <w:rPr/>
        <w:t>at</w:t>
      </w:r>
      <w:r>
        <w:rPr>
          <w:spacing w:val="-3"/>
        </w:rPr>
        <w:t> </w:t>
      </w:r>
      <w:r>
        <w:rPr/>
        <w:t>recycling</w:t>
      </w:r>
      <w:r>
        <w:rPr>
          <w:spacing w:val="-4"/>
        </w:rPr>
        <w:t> </w:t>
      </w:r>
      <w:r>
        <w:rPr/>
        <w:t>facilities.</w:t>
      </w:r>
    </w:p>
    <w:p>
      <w:pPr>
        <w:spacing w:after="0" w:line="256" w:lineRule="auto"/>
        <w:jc w:val="both"/>
        <w:sectPr>
          <w:pgSz w:w="11910" w:h="16840"/>
          <w:pgMar w:header="576" w:footer="698" w:top="1140" w:bottom="880" w:left="880" w:right="1320"/>
        </w:sectPr>
      </w:pPr>
    </w:p>
    <w:p>
      <w:pPr>
        <w:pStyle w:val="BodyText"/>
      </w:pPr>
    </w:p>
    <w:p>
      <w:pPr>
        <w:pStyle w:val="BodyText"/>
        <w:spacing w:before="7"/>
        <w:rPr>
          <w:sz w:val="29"/>
        </w:rPr>
      </w:pPr>
    </w:p>
    <w:p>
      <w:pPr>
        <w:pStyle w:val="Heading5"/>
        <w:spacing w:before="60"/>
        <w:jc w:val="both"/>
      </w:pPr>
      <w:r>
        <w:rPr/>
        <w:t>Financial Cost</w:t>
      </w:r>
    </w:p>
    <w:p>
      <w:pPr>
        <w:pStyle w:val="BodyText"/>
        <w:spacing w:line="256" w:lineRule="auto" w:before="176"/>
        <w:ind w:left="560" w:right="121"/>
        <w:jc w:val="both"/>
      </w:pPr>
      <w:r>
        <w:rPr/>
        <w:t>The Commonwealth of Australia Report Waste and Recycling Industry (2018) includes a submission from the Victorian Waste Management Association (VWMA) which states that “separation at source (i.e. by the householder) requires significantly more resources and space and reduces the economics of the activity”.</w:t>
      </w:r>
    </w:p>
    <w:p>
      <w:pPr>
        <w:pStyle w:val="BodyText"/>
        <w:spacing w:line="256" w:lineRule="auto" w:before="155"/>
        <w:ind w:left="560" w:right="115"/>
        <w:jc w:val="both"/>
      </w:pPr>
      <w:r>
        <w:rPr/>
        <w:t>However, the report by Eunomia for WRAP Wales (2011)</w:t>
      </w:r>
      <w:r>
        <w:rPr>
          <w:position w:val="7"/>
          <w:sz w:val="13"/>
        </w:rPr>
        <w:t>1 </w:t>
      </w:r>
      <w:r>
        <w:rPr/>
        <w:t>found that where the cost of waste collection and disposal, revenue from the sale of recyclable material and the cost of processing material at a MRF are taken into</w:t>
      </w:r>
      <w:r>
        <w:rPr>
          <w:spacing w:val="-2"/>
        </w:rPr>
        <w:t> </w:t>
      </w:r>
      <w:r>
        <w:rPr/>
        <w:t>account,</w:t>
      </w:r>
      <w:r>
        <w:rPr>
          <w:spacing w:val="-4"/>
        </w:rPr>
        <w:t> </w:t>
      </w:r>
      <w:r>
        <w:rPr/>
        <w:t>a</w:t>
      </w:r>
      <w:r>
        <w:rPr>
          <w:spacing w:val="-2"/>
        </w:rPr>
        <w:t> </w:t>
      </w:r>
      <w:r>
        <w:rPr/>
        <w:t>roll</w:t>
      </w:r>
      <w:r>
        <w:rPr>
          <w:spacing w:val="-3"/>
        </w:rPr>
        <w:t> </w:t>
      </w:r>
      <w:r>
        <w:rPr/>
        <w:t>out</w:t>
      </w:r>
      <w:r>
        <w:rPr>
          <w:spacing w:val="-2"/>
        </w:rPr>
        <w:t> </w:t>
      </w:r>
      <w:r>
        <w:rPr/>
        <w:t>of</w:t>
      </w:r>
      <w:r>
        <w:rPr>
          <w:spacing w:val="-5"/>
        </w:rPr>
        <w:t> </w:t>
      </w:r>
      <w:r>
        <w:rPr/>
        <w:t>kerbside</w:t>
      </w:r>
      <w:r>
        <w:rPr>
          <w:spacing w:val="-3"/>
        </w:rPr>
        <w:t> </w:t>
      </w:r>
      <w:r>
        <w:rPr/>
        <w:t>sort</w:t>
      </w:r>
      <w:r>
        <w:rPr>
          <w:spacing w:val="-4"/>
        </w:rPr>
        <w:t> </w:t>
      </w:r>
      <w:r>
        <w:rPr/>
        <w:t>collection</w:t>
      </w:r>
      <w:r>
        <w:rPr>
          <w:spacing w:val="-2"/>
        </w:rPr>
        <w:t> </w:t>
      </w:r>
      <w:r>
        <w:rPr/>
        <w:t>across</w:t>
      </w:r>
      <w:r>
        <w:rPr>
          <w:spacing w:val="-3"/>
        </w:rPr>
        <w:t> </w:t>
      </w:r>
      <w:r>
        <w:rPr/>
        <w:t>the</w:t>
      </w:r>
      <w:r>
        <w:rPr>
          <w:spacing w:val="-3"/>
        </w:rPr>
        <w:t> </w:t>
      </w:r>
      <w:r>
        <w:rPr/>
        <w:t>whole</w:t>
      </w:r>
      <w:r>
        <w:rPr>
          <w:spacing w:val="-4"/>
        </w:rPr>
        <w:t> </w:t>
      </w:r>
      <w:r>
        <w:rPr/>
        <w:t>of</w:t>
      </w:r>
      <w:r>
        <w:rPr>
          <w:spacing w:val="-4"/>
        </w:rPr>
        <w:t> </w:t>
      </w:r>
      <w:r>
        <w:rPr/>
        <w:t>Wales</w:t>
      </w:r>
      <w:r>
        <w:rPr>
          <w:spacing w:val="-2"/>
        </w:rPr>
        <w:t> </w:t>
      </w:r>
      <w:r>
        <w:rPr/>
        <w:t>would</w:t>
      </w:r>
      <w:r>
        <w:rPr>
          <w:spacing w:val="-2"/>
        </w:rPr>
        <w:t> </w:t>
      </w:r>
      <w:r>
        <w:rPr/>
        <w:t>result</w:t>
      </w:r>
      <w:r>
        <w:rPr>
          <w:spacing w:val="-2"/>
        </w:rPr>
        <w:t> </w:t>
      </w:r>
      <w:r>
        <w:rPr/>
        <w:t>in</w:t>
      </w:r>
      <w:r>
        <w:rPr>
          <w:spacing w:val="-2"/>
        </w:rPr>
        <w:t> </w:t>
      </w:r>
      <w:r>
        <w:rPr/>
        <w:t>lower</w:t>
      </w:r>
      <w:r>
        <w:rPr>
          <w:spacing w:val="-2"/>
        </w:rPr>
        <w:t> </w:t>
      </w:r>
      <w:r>
        <w:rPr/>
        <w:t>financial</w:t>
      </w:r>
      <w:r>
        <w:rPr>
          <w:spacing w:val="-3"/>
        </w:rPr>
        <w:t> </w:t>
      </w:r>
      <w:r>
        <w:rPr/>
        <w:t>cost than either co-mingled or two-stream collection in both the 2011 performance and under the enhanced performance</w:t>
      </w:r>
      <w:r>
        <w:rPr>
          <w:spacing w:val="-11"/>
        </w:rPr>
        <w:t> </w:t>
      </w:r>
      <w:r>
        <w:rPr/>
        <w:t>scenario.</w:t>
      </w:r>
      <w:r>
        <w:rPr>
          <w:spacing w:val="-10"/>
        </w:rPr>
        <w:t> </w:t>
      </w:r>
      <w:r>
        <w:rPr/>
        <w:t>The</w:t>
      </w:r>
      <w:r>
        <w:rPr>
          <w:spacing w:val="-11"/>
        </w:rPr>
        <w:t> </w:t>
      </w:r>
      <w:r>
        <w:rPr/>
        <w:t>cost</w:t>
      </w:r>
      <w:r>
        <w:rPr>
          <w:spacing w:val="-10"/>
        </w:rPr>
        <w:t> </w:t>
      </w:r>
      <w:r>
        <w:rPr/>
        <w:t>differential</w:t>
      </w:r>
      <w:r>
        <w:rPr>
          <w:spacing w:val="-10"/>
        </w:rPr>
        <w:t> </w:t>
      </w:r>
      <w:r>
        <w:rPr/>
        <w:t>increases</w:t>
      </w:r>
      <w:r>
        <w:rPr>
          <w:spacing w:val="-9"/>
        </w:rPr>
        <w:t> </w:t>
      </w:r>
      <w:r>
        <w:rPr/>
        <w:t>under</w:t>
      </w:r>
      <w:r>
        <w:rPr>
          <w:spacing w:val="-13"/>
        </w:rPr>
        <w:t> </w:t>
      </w:r>
      <w:r>
        <w:rPr/>
        <w:t>the</w:t>
      </w:r>
      <w:r>
        <w:rPr>
          <w:spacing w:val="-11"/>
        </w:rPr>
        <w:t> </w:t>
      </w:r>
      <w:r>
        <w:rPr/>
        <w:t>enhanced</w:t>
      </w:r>
      <w:r>
        <w:rPr>
          <w:spacing w:val="-10"/>
        </w:rPr>
        <w:t> </w:t>
      </w:r>
      <w:r>
        <w:rPr/>
        <w:t>performance</w:t>
      </w:r>
      <w:r>
        <w:rPr>
          <w:spacing w:val="-11"/>
        </w:rPr>
        <w:t> </w:t>
      </w:r>
      <w:r>
        <w:rPr/>
        <w:t>scenario,</w:t>
      </w:r>
      <w:r>
        <w:rPr>
          <w:spacing w:val="-10"/>
        </w:rPr>
        <w:t> </w:t>
      </w:r>
      <w:r>
        <w:rPr/>
        <w:t>again</w:t>
      </w:r>
      <w:r>
        <w:rPr>
          <w:spacing w:val="-10"/>
        </w:rPr>
        <w:t> </w:t>
      </w:r>
      <w:r>
        <w:rPr/>
        <w:t>in</w:t>
      </w:r>
      <w:r>
        <w:rPr>
          <w:spacing w:val="-12"/>
        </w:rPr>
        <w:t> </w:t>
      </w:r>
      <w:r>
        <w:rPr/>
        <w:t>favour of kerbside sort systems. In the enhanced performance scenario, co-mingled and two-stream collection would cost 22% (or £25.2 million) and 21.4% (or £24.6 million) more respectively than kerbside sort systems. </w:t>
      </w:r>
      <w:r>
        <w:rPr>
          <w:spacing w:val="2"/>
        </w:rPr>
        <w:t>The </w:t>
      </w:r>
      <w:r>
        <w:rPr/>
        <w:t>Eunomia </w:t>
      </w:r>
      <w:r>
        <w:rPr>
          <w:i/>
        </w:rPr>
        <w:t>Review of the Welsh Assemblies Collection Blueprint </w:t>
      </w:r>
      <w:r>
        <w:rPr/>
        <w:t>(Papineschi et al, 2016) also found that materials collected in separate containers and sorted at the kerb provide a lower cost solution than other comparative collection systems, even when the efficiency of all services is</w:t>
      </w:r>
      <w:r>
        <w:rPr>
          <w:spacing w:val="-26"/>
        </w:rPr>
        <w:t> </w:t>
      </w:r>
      <w:r>
        <w:rPr/>
        <w:t>optimised.</w:t>
      </w:r>
    </w:p>
    <w:p>
      <w:pPr>
        <w:pStyle w:val="BodyText"/>
        <w:spacing w:line="256" w:lineRule="auto" w:before="158"/>
        <w:ind w:left="560" w:right="116"/>
        <w:jc w:val="both"/>
      </w:pPr>
      <w:r>
        <w:rPr/>
        <w:t>This finding is backed up by the European Commission report (</w:t>
      </w:r>
      <w:r>
        <w:rPr>
          <w:sz w:val="19"/>
        </w:rPr>
        <w:t>Seyring N, et al. 2015</w:t>
      </w:r>
      <w:r>
        <w:rPr/>
        <w:t>), which found that the total cost of collection and processing together tends to be lower in source separated systems than in commingled systems.</w:t>
      </w:r>
    </w:p>
    <w:p>
      <w:pPr>
        <w:pStyle w:val="BodyText"/>
        <w:spacing w:line="256" w:lineRule="auto" w:before="158"/>
        <w:ind w:left="560" w:right="117"/>
        <w:jc w:val="both"/>
      </w:pPr>
      <w:r>
        <w:rPr/>
        <w:t>The</w:t>
      </w:r>
      <w:r>
        <w:rPr>
          <w:spacing w:val="-8"/>
        </w:rPr>
        <w:t> </w:t>
      </w:r>
      <w:r>
        <w:rPr/>
        <w:t>WYG</w:t>
      </w:r>
      <w:r>
        <w:rPr>
          <w:spacing w:val="-7"/>
        </w:rPr>
        <w:t> </w:t>
      </w:r>
      <w:r>
        <w:rPr/>
        <w:t>Group</w:t>
      </w:r>
      <w:r>
        <w:rPr>
          <w:spacing w:val="-6"/>
        </w:rPr>
        <w:t> </w:t>
      </w:r>
      <w:r>
        <w:rPr/>
        <w:t>report</w:t>
      </w:r>
      <w:r>
        <w:rPr>
          <w:spacing w:val="-6"/>
        </w:rPr>
        <w:t> </w:t>
      </w:r>
      <w:r>
        <w:rPr/>
        <w:t>(2013)</w:t>
      </w:r>
      <w:r>
        <w:rPr>
          <w:spacing w:val="-6"/>
        </w:rPr>
        <w:t> </w:t>
      </w:r>
      <w:r>
        <w:rPr/>
        <w:t>concluded</w:t>
      </w:r>
      <w:r>
        <w:rPr>
          <w:spacing w:val="-6"/>
        </w:rPr>
        <w:t> </w:t>
      </w:r>
      <w:r>
        <w:rPr/>
        <w:t>that</w:t>
      </w:r>
      <w:r>
        <w:rPr>
          <w:spacing w:val="-6"/>
        </w:rPr>
        <w:t> </w:t>
      </w:r>
      <w:r>
        <w:rPr/>
        <w:t>where</w:t>
      </w:r>
      <w:r>
        <w:rPr>
          <w:spacing w:val="-8"/>
        </w:rPr>
        <w:t> </w:t>
      </w:r>
      <w:r>
        <w:rPr/>
        <w:t>a</w:t>
      </w:r>
      <w:r>
        <w:rPr>
          <w:spacing w:val="-4"/>
        </w:rPr>
        <w:t> </w:t>
      </w:r>
      <w:r>
        <w:rPr/>
        <w:t>local</w:t>
      </w:r>
      <w:r>
        <w:rPr>
          <w:spacing w:val="-5"/>
        </w:rPr>
        <w:t> </w:t>
      </w:r>
      <w:r>
        <w:rPr/>
        <w:t>authority</w:t>
      </w:r>
      <w:r>
        <w:rPr>
          <w:spacing w:val="-6"/>
        </w:rPr>
        <w:t> </w:t>
      </w:r>
      <w:r>
        <w:rPr/>
        <w:t>has</w:t>
      </w:r>
      <w:r>
        <w:rPr>
          <w:spacing w:val="-5"/>
        </w:rPr>
        <w:t> </w:t>
      </w:r>
      <w:r>
        <w:rPr/>
        <w:t>access</w:t>
      </w:r>
      <w:r>
        <w:rPr>
          <w:spacing w:val="-6"/>
        </w:rPr>
        <w:t> </w:t>
      </w:r>
      <w:r>
        <w:rPr/>
        <w:t>to</w:t>
      </w:r>
      <w:r>
        <w:rPr>
          <w:spacing w:val="-6"/>
        </w:rPr>
        <w:t> </w:t>
      </w:r>
      <w:r>
        <w:rPr/>
        <w:t>a</w:t>
      </w:r>
      <w:r>
        <w:rPr>
          <w:spacing w:val="-6"/>
        </w:rPr>
        <w:t> </w:t>
      </w:r>
      <w:r>
        <w:rPr/>
        <w:t>locally-based</w:t>
      </w:r>
      <w:r>
        <w:rPr>
          <w:spacing w:val="-6"/>
        </w:rPr>
        <w:t> </w:t>
      </w:r>
      <w:r>
        <w:rPr/>
        <w:t>modern</w:t>
      </w:r>
      <w:r>
        <w:rPr>
          <w:spacing w:val="-6"/>
        </w:rPr>
        <w:t> </w:t>
      </w:r>
      <w:r>
        <w:rPr/>
        <w:t>MRF (modern</w:t>
      </w:r>
      <w:r>
        <w:rPr>
          <w:spacing w:val="-9"/>
        </w:rPr>
        <w:t> </w:t>
      </w:r>
      <w:r>
        <w:rPr/>
        <w:t>is</w:t>
      </w:r>
      <w:r>
        <w:rPr>
          <w:spacing w:val="-9"/>
        </w:rPr>
        <w:t> </w:t>
      </w:r>
      <w:r>
        <w:rPr/>
        <w:t>not</w:t>
      </w:r>
      <w:r>
        <w:rPr>
          <w:spacing w:val="-10"/>
        </w:rPr>
        <w:t> </w:t>
      </w:r>
      <w:r>
        <w:rPr/>
        <w:t>defined),</w:t>
      </w:r>
      <w:r>
        <w:rPr>
          <w:spacing w:val="-10"/>
        </w:rPr>
        <w:t> </w:t>
      </w:r>
      <w:r>
        <w:rPr/>
        <w:t>co-mingling</w:t>
      </w:r>
      <w:r>
        <w:rPr>
          <w:spacing w:val="-10"/>
        </w:rPr>
        <w:t> </w:t>
      </w:r>
      <w:r>
        <w:rPr/>
        <w:t>or</w:t>
      </w:r>
      <w:r>
        <w:rPr>
          <w:spacing w:val="-10"/>
        </w:rPr>
        <w:t> </w:t>
      </w:r>
      <w:r>
        <w:rPr/>
        <w:t>two-stream</w:t>
      </w:r>
      <w:r>
        <w:rPr>
          <w:spacing w:val="-10"/>
        </w:rPr>
        <w:t> </w:t>
      </w:r>
      <w:r>
        <w:rPr/>
        <w:t>is</w:t>
      </w:r>
      <w:r>
        <w:rPr>
          <w:spacing w:val="-9"/>
        </w:rPr>
        <w:t> </w:t>
      </w:r>
      <w:r>
        <w:rPr/>
        <w:t>usually</w:t>
      </w:r>
      <w:r>
        <w:rPr>
          <w:spacing w:val="-10"/>
        </w:rPr>
        <w:t> </w:t>
      </w:r>
      <w:r>
        <w:rPr/>
        <w:t>cheaper,</w:t>
      </w:r>
      <w:r>
        <w:rPr>
          <w:spacing w:val="-10"/>
        </w:rPr>
        <w:t> </w:t>
      </w:r>
      <w:r>
        <w:rPr/>
        <w:t>but,</w:t>
      </w:r>
      <w:r>
        <w:rPr>
          <w:spacing w:val="-9"/>
        </w:rPr>
        <w:t> </w:t>
      </w:r>
      <w:r>
        <w:rPr/>
        <w:t>if</w:t>
      </w:r>
      <w:r>
        <w:rPr>
          <w:spacing w:val="-10"/>
        </w:rPr>
        <w:t> </w:t>
      </w:r>
      <w:r>
        <w:rPr/>
        <w:t>not,</w:t>
      </w:r>
      <w:r>
        <w:rPr>
          <w:spacing w:val="-9"/>
        </w:rPr>
        <w:t> </w:t>
      </w:r>
      <w:r>
        <w:rPr/>
        <w:t>kerbside-sort</w:t>
      </w:r>
      <w:r>
        <w:rPr>
          <w:spacing w:val="-10"/>
        </w:rPr>
        <w:t> </w:t>
      </w:r>
      <w:r>
        <w:rPr/>
        <w:t>is</w:t>
      </w:r>
      <w:r>
        <w:rPr>
          <w:spacing w:val="-9"/>
        </w:rPr>
        <w:t> </w:t>
      </w:r>
      <w:r>
        <w:rPr/>
        <w:t>often</w:t>
      </w:r>
      <w:r>
        <w:rPr>
          <w:spacing w:val="-10"/>
        </w:rPr>
        <w:t> </w:t>
      </w:r>
      <w:r>
        <w:rPr/>
        <w:t>cheaper.</w:t>
      </w:r>
    </w:p>
    <w:p>
      <w:pPr>
        <w:pStyle w:val="BodyText"/>
        <w:spacing w:line="256" w:lineRule="auto" w:before="158"/>
        <w:ind w:left="560" w:right="118"/>
        <w:jc w:val="both"/>
      </w:pPr>
      <w:r>
        <w:rPr/>
        <w:t>The</w:t>
      </w:r>
      <w:r>
        <w:rPr>
          <w:spacing w:val="-11"/>
        </w:rPr>
        <w:t> </w:t>
      </w:r>
      <w:r>
        <w:rPr/>
        <w:t>Eunomia</w:t>
      </w:r>
      <w:r>
        <w:rPr>
          <w:spacing w:val="-10"/>
        </w:rPr>
        <w:t> </w:t>
      </w:r>
      <w:r>
        <w:rPr/>
        <w:t>NZ</w:t>
      </w:r>
      <w:r>
        <w:rPr>
          <w:spacing w:val="-10"/>
        </w:rPr>
        <w:t> </w:t>
      </w:r>
      <w:r>
        <w:rPr/>
        <w:t>report</w:t>
      </w:r>
      <w:r>
        <w:rPr>
          <w:spacing w:val="-9"/>
        </w:rPr>
        <w:t> </w:t>
      </w:r>
      <w:r>
        <w:rPr/>
        <w:t>(Wilson,</w:t>
      </w:r>
      <w:r>
        <w:rPr>
          <w:spacing w:val="-10"/>
        </w:rPr>
        <w:t> </w:t>
      </w:r>
      <w:r>
        <w:rPr/>
        <w:t>2018)</w:t>
      </w:r>
      <w:r>
        <w:rPr>
          <w:spacing w:val="-11"/>
        </w:rPr>
        <w:t> </w:t>
      </w:r>
      <w:r>
        <w:rPr/>
        <w:t>notes</w:t>
      </w:r>
      <w:r>
        <w:rPr>
          <w:spacing w:val="-9"/>
        </w:rPr>
        <w:t> </w:t>
      </w:r>
      <w:r>
        <w:rPr/>
        <w:t>that</w:t>
      </w:r>
      <w:r>
        <w:rPr>
          <w:spacing w:val="-12"/>
        </w:rPr>
        <w:t> </w:t>
      </w:r>
      <w:r>
        <w:rPr/>
        <w:t>systems</w:t>
      </w:r>
      <w:r>
        <w:rPr>
          <w:spacing w:val="-9"/>
        </w:rPr>
        <w:t> </w:t>
      </w:r>
      <w:r>
        <w:rPr/>
        <w:t>that</w:t>
      </w:r>
      <w:r>
        <w:rPr>
          <w:spacing w:val="-9"/>
        </w:rPr>
        <w:t> </w:t>
      </w:r>
      <w:r>
        <w:rPr/>
        <w:t>produce</w:t>
      </w:r>
      <w:r>
        <w:rPr>
          <w:spacing w:val="-11"/>
        </w:rPr>
        <w:t> </w:t>
      </w:r>
      <w:r>
        <w:rPr/>
        <w:t>more</w:t>
      </w:r>
      <w:r>
        <w:rPr>
          <w:spacing w:val="-11"/>
        </w:rPr>
        <w:t> </w:t>
      </w:r>
      <w:r>
        <w:rPr/>
        <w:t>contamination</w:t>
      </w:r>
      <w:r>
        <w:rPr>
          <w:spacing w:val="-9"/>
        </w:rPr>
        <w:t> </w:t>
      </w:r>
      <w:r>
        <w:rPr/>
        <w:t>had</w:t>
      </w:r>
      <w:r>
        <w:rPr>
          <w:spacing w:val="-11"/>
        </w:rPr>
        <w:t> </w:t>
      </w:r>
      <w:r>
        <w:rPr/>
        <w:t>increased</w:t>
      </w:r>
      <w:r>
        <w:rPr>
          <w:spacing w:val="-10"/>
        </w:rPr>
        <w:t> </w:t>
      </w:r>
      <w:r>
        <w:rPr/>
        <w:t>costs due to the need to employ more sorters, upgrade equipment, slow down sort lines, as well as the additional landfill costs of disposing of the contamination. </w:t>
      </w:r>
      <w:r>
        <w:rPr>
          <w:i/>
        </w:rPr>
        <w:t>An independent assessment of kerbside recycling in Australia </w:t>
      </w:r>
      <w:r>
        <w:rPr/>
        <w:t>(Nolan, Philpott 2013) concludes that crate-based kerbside sort systems are not significantly different in cost terms</w:t>
      </w:r>
      <w:r>
        <w:rPr>
          <w:spacing w:val="-6"/>
        </w:rPr>
        <w:t> </w:t>
      </w:r>
      <w:r>
        <w:rPr/>
        <w:t>to</w:t>
      </w:r>
      <w:r>
        <w:rPr>
          <w:spacing w:val="-6"/>
        </w:rPr>
        <w:t> </w:t>
      </w:r>
      <w:r>
        <w:rPr/>
        <w:t>crate-based</w:t>
      </w:r>
      <w:r>
        <w:rPr>
          <w:spacing w:val="-6"/>
        </w:rPr>
        <w:t> </w:t>
      </w:r>
      <w:r>
        <w:rPr/>
        <w:t>MRF</w:t>
      </w:r>
      <w:r>
        <w:rPr>
          <w:spacing w:val="-6"/>
        </w:rPr>
        <w:t> </w:t>
      </w:r>
      <w:r>
        <w:rPr/>
        <w:t>systems,</w:t>
      </w:r>
      <w:r>
        <w:rPr>
          <w:spacing w:val="-6"/>
        </w:rPr>
        <w:t> </w:t>
      </w:r>
      <w:r>
        <w:rPr/>
        <w:t>i.e.</w:t>
      </w:r>
      <w:r>
        <w:rPr>
          <w:spacing w:val="-6"/>
        </w:rPr>
        <w:t> </w:t>
      </w:r>
      <w:r>
        <w:rPr/>
        <w:t>the</w:t>
      </w:r>
      <w:r>
        <w:rPr>
          <w:spacing w:val="-7"/>
        </w:rPr>
        <w:t> </w:t>
      </w:r>
      <w:r>
        <w:rPr/>
        <w:t>additional</w:t>
      </w:r>
      <w:r>
        <w:rPr>
          <w:spacing w:val="-6"/>
        </w:rPr>
        <w:t> </w:t>
      </w:r>
      <w:r>
        <w:rPr/>
        <w:t>labour</w:t>
      </w:r>
      <w:r>
        <w:rPr>
          <w:spacing w:val="-6"/>
        </w:rPr>
        <w:t> </w:t>
      </w:r>
      <w:r>
        <w:rPr/>
        <w:t>costs</w:t>
      </w:r>
      <w:r>
        <w:rPr>
          <w:spacing w:val="-5"/>
        </w:rPr>
        <w:t> </w:t>
      </w:r>
      <w:r>
        <w:rPr/>
        <w:t>of</w:t>
      </w:r>
      <w:r>
        <w:rPr>
          <w:spacing w:val="-7"/>
        </w:rPr>
        <w:t> </w:t>
      </w:r>
      <w:r>
        <w:rPr/>
        <w:t>the</w:t>
      </w:r>
      <w:r>
        <w:rPr>
          <w:spacing w:val="-7"/>
        </w:rPr>
        <w:t> </w:t>
      </w:r>
      <w:r>
        <w:rPr/>
        <w:t>kerbside</w:t>
      </w:r>
      <w:r>
        <w:rPr>
          <w:spacing w:val="-7"/>
        </w:rPr>
        <w:t> </w:t>
      </w:r>
      <w:r>
        <w:rPr/>
        <w:t>sort</w:t>
      </w:r>
      <w:r>
        <w:rPr>
          <w:spacing w:val="-6"/>
        </w:rPr>
        <w:t> </w:t>
      </w:r>
      <w:r>
        <w:rPr/>
        <w:t>component</w:t>
      </w:r>
      <w:r>
        <w:rPr>
          <w:spacing w:val="-6"/>
        </w:rPr>
        <w:t> </w:t>
      </w:r>
      <w:r>
        <w:rPr/>
        <w:t>are</w:t>
      </w:r>
      <w:r>
        <w:rPr>
          <w:spacing w:val="-7"/>
        </w:rPr>
        <w:t> </w:t>
      </w:r>
      <w:r>
        <w:rPr/>
        <w:t>similar</w:t>
      </w:r>
      <w:r>
        <w:rPr>
          <w:spacing w:val="-6"/>
        </w:rPr>
        <w:t> </w:t>
      </w:r>
      <w:r>
        <w:rPr/>
        <w:t>to the MRF sorting</w:t>
      </w:r>
      <w:r>
        <w:rPr>
          <w:spacing w:val="-5"/>
        </w:rPr>
        <w:t> </w:t>
      </w:r>
      <w:r>
        <w:rPr/>
        <w:t>costs.</w:t>
      </w:r>
    </w:p>
    <w:p>
      <w:pPr>
        <w:pStyle w:val="BodyText"/>
        <w:spacing w:line="254" w:lineRule="auto" w:before="158"/>
        <w:ind w:left="560" w:right="116"/>
        <w:jc w:val="both"/>
      </w:pPr>
      <w:r>
        <w:rPr/>
        <w:t>A report by Covec </w:t>
      </w:r>
      <w:r>
        <w:rPr>
          <w:i/>
        </w:rPr>
        <w:t>Recycling: Cost-benefit Analysis </w:t>
      </w:r>
      <w:r>
        <w:rPr/>
        <w:t>(Denne et al, 2007) prepared for MfE found that both collection and sorting costs were lower for source-segregated/crate systems, but when adjusted for household density cost per tonne was lower for a comingled collection system, as outlined in the tables below</w:t>
      </w:r>
      <w:r>
        <w:rPr>
          <w:position w:val="7"/>
          <w:sz w:val="13"/>
        </w:rPr>
        <w:t>1</w:t>
      </w:r>
      <w:r>
        <w:rPr/>
        <w:t>:</w:t>
      </w:r>
    </w:p>
    <w:p>
      <w:pPr>
        <w:pStyle w:val="BodyText"/>
        <w:spacing w:before="9"/>
        <w:rPr>
          <w:sz w:val="17"/>
        </w:rPr>
      </w:pPr>
      <w:r>
        <w:rPr/>
        <w:drawing>
          <wp:anchor distT="0" distB="0" distL="0" distR="0" allowOverlap="1" layoutInCell="1" locked="0" behindDoc="0" simplePos="0" relativeHeight="1720">
            <wp:simplePos x="0" y="0"/>
            <wp:positionH relativeFrom="page">
              <wp:posOffset>736600</wp:posOffset>
            </wp:positionH>
            <wp:positionV relativeFrom="paragraph">
              <wp:posOffset>162466</wp:posOffset>
            </wp:positionV>
            <wp:extent cx="5701294" cy="2312479"/>
            <wp:effectExtent l="0" t="0" r="0" b="0"/>
            <wp:wrapTopAndBottom/>
            <wp:docPr id="47" name="image29.jpeg" descr=""/>
            <wp:cNvGraphicFramePr>
              <a:graphicFrameLocks noChangeAspect="1"/>
            </wp:cNvGraphicFramePr>
            <a:graphic>
              <a:graphicData uri="http://schemas.openxmlformats.org/drawingml/2006/picture">
                <pic:pic>
                  <pic:nvPicPr>
                    <pic:cNvPr id="48" name="image29.jpeg"/>
                    <pic:cNvPicPr/>
                  </pic:nvPicPr>
                  <pic:blipFill>
                    <a:blip r:embed="rId46" cstate="print"/>
                    <a:stretch>
                      <a:fillRect/>
                    </a:stretch>
                  </pic:blipFill>
                  <pic:spPr>
                    <a:xfrm>
                      <a:off x="0" y="0"/>
                      <a:ext cx="5701294" cy="2312479"/>
                    </a:xfrm>
                    <a:prstGeom prst="rect">
                      <a:avLst/>
                    </a:prstGeom>
                  </pic:spPr>
                </pic:pic>
              </a:graphicData>
            </a:graphic>
          </wp:anchor>
        </w:drawing>
      </w:r>
    </w:p>
    <w:p>
      <w:pPr>
        <w:pStyle w:val="BodyText"/>
      </w:pPr>
    </w:p>
    <w:p>
      <w:pPr>
        <w:pStyle w:val="BodyText"/>
      </w:pPr>
    </w:p>
    <w:p>
      <w:pPr>
        <w:pStyle w:val="BodyText"/>
        <w:spacing w:before="1"/>
        <w:rPr>
          <w:sz w:val="23"/>
        </w:rPr>
      </w:pPr>
      <w:r>
        <w:rPr/>
        <w:pict>
          <v:line style="position:absolute;mso-position-horizontal-relative:page;mso-position-vertical-relative:paragraph;z-index:1744;mso-wrap-distance-left:0;mso-wrap-distance-right:0" from="72.024002pt,16.460936pt" to="216.044002pt,16.460936pt" stroked="true" strokeweight=".72pt" strokecolor="#000000">
            <v:stroke dashstyle="solid"/>
            <w10:wrap type="topAndBottom"/>
          </v:line>
        </w:pict>
      </w:r>
    </w:p>
    <w:p>
      <w:pPr>
        <w:pStyle w:val="BodyText"/>
        <w:spacing w:before="69"/>
        <w:ind w:left="560" w:right="672"/>
      </w:pPr>
      <w:r>
        <w:rPr>
          <w:position w:val="7"/>
          <w:sz w:val="13"/>
        </w:rPr>
        <w:t>1 </w:t>
      </w:r>
      <w:r>
        <w:rPr/>
        <w:t>It is important to note that since 2007 the value of recyclate has dropped significantly in Aotearoa New Zealand, this would impact on any new cost benefit analysis.</w:t>
      </w:r>
    </w:p>
    <w:p>
      <w:pPr>
        <w:spacing w:after="0"/>
        <w:sectPr>
          <w:pgSz w:w="11910" w:h="16840"/>
          <w:pgMar w:header="576" w:footer="698" w:top="1140" w:bottom="880" w:left="880" w:right="1320"/>
        </w:sectPr>
      </w:pPr>
    </w:p>
    <w:p>
      <w:pPr>
        <w:pStyle w:val="BodyText"/>
      </w:pPr>
    </w:p>
    <w:p>
      <w:pPr>
        <w:pStyle w:val="BodyText"/>
      </w:pPr>
    </w:p>
    <w:p>
      <w:pPr>
        <w:pStyle w:val="BodyText"/>
        <w:spacing w:before="3"/>
        <w:rPr>
          <w:sz w:val="14"/>
        </w:rPr>
      </w:pPr>
    </w:p>
    <w:p>
      <w:pPr>
        <w:pStyle w:val="BodyText"/>
        <w:ind w:left="560"/>
      </w:pPr>
      <w:r>
        <w:rPr/>
        <w:drawing>
          <wp:inline distT="0" distB="0" distL="0" distR="0">
            <wp:extent cx="5642851" cy="2566034"/>
            <wp:effectExtent l="0" t="0" r="0" b="0"/>
            <wp:docPr id="49" name="image30.jpeg" descr=""/>
            <wp:cNvGraphicFramePr>
              <a:graphicFrameLocks noChangeAspect="1"/>
            </wp:cNvGraphicFramePr>
            <a:graphic>
              <a:graphicData uri="http://schemas.openxmlformats.org/drawingml/2006/picture">
                <pic:pic>
                  <pic:nvPicPr>
                    <pic:cNvPr id="50" name="image30.jpeg"/>
                    <pic:cNvPicPr/>
                  </pic:nvPicPr>
                  <pic:blipFill>
                    <a:blip r:embed="rId48" cstate="print"/>
                    <a:stretch>
                      <a:fillRect/>
                    </a:stretch>
                  </pic:blipFill>
                  <pic:spPr>
                    <a:xfrm>
                      <a:off x="0" y="0"/>
                      <a:ext cx="5642851" cy="2566034"/>
                    </a:xfrm>
                    <a:prstGeom prst="rect">
                      <a:avLst/>
                    </a:prstGeom>
                  </pic:spPr>
                </pic:pic>
              </a:graphicData>
            </a:graphic>
          </wp:inline>
        </w:drawing>
      </w:r>
      <w:r>
        <w:rPr/>
      </w:r>
    </w:p>
    <w:p>
      <w:pPr>
        <w:pStyle w:val="BodyText"/>
        <w:spacing w:line="226" w:lineRule="exact"/>
        <w:ind w:left="560"/>
        <w:jc w:val="both"/>
      </w:pPr>
      <w:r>
        <w:rPr/>
        <w:t>The NSW Department of Environment and Conservation (2004) report found that as the cost of residual rubbish</w:t>
      </w:r>
    </w:p>
    <w:p>
      <w:pPr>
        <w:pStyle w:val="BodyText"/>
        <w:spacing w:line="256" w:lineRule="auto" w:before="15"/>
        <w:ind w:left="560" w:right="122"/>
        <w:jc w:val="both"/>
      </w:pPr>
      <w:r>
        <w:rPr/>
        <w:t>disposal</w:t>
      </w:r>
      <w:r>
        <w:rPr>
          <w:spacing w:val="-6"/>
        </w:rPr>
        <w:t> </w:t>
      </w:r>
      <w:r>
        <w:rPr/>
        <w:t>increases</w:t>
      </w:r>
      <w:r>
        <w:rPr>
          <w:spacing w:val="-3"/>
        </w:rPr>
        <w:t> </w:t>
      </w:r>
      <w:r>
        <w:rPr/>
        <w:t>the</w:t>
      </w:r>
      <w:r>
        <w:rPr>
          <w:spacing w:val="-6"/>
        </w:rPr>
        <w:t> </w:t>
      </w:r>
      <w:r>
        <w:rPr/>
        <w:t>net</w:t>
      </w:r>
      <w:r>
        <w:rPr>
          <w:spacing w:val="-3"/>
        </w:rPr>
        <w:t> </w:t>
      </w:r>
      <w:r>
        <w:rPr/>
        <w:t>cost</w:t>
      </w:r>
      <w:r>
        <w:rPr>
          <w:spacing w:val="-3"/>
        </w:rPr>
        <w:t> </w:t>
      </w:r>
      <w:r>
        <w:rPr/>
        <w:t>of</w:t>
      </w:r>
      <w:r>
        <w:rPr>
          <w:spacing w:val="-5"/>
        </w:rPr>
        <w:t> </w:t>
      </w:r>
      <w:r>
        <w:rPr/>
        <w:t>kerbside</w:t>
      </w:r>
      <w:r>
        <w:rPr>
          <w:spacing w:val="-4"/>
        </w:rPr>
        <w:t> </w:t>
      </w:r>
      <w:r>
        <w:rPr/>
        <w:t>recycling</w:t>
      </w:r>
      <w:r>
        <w:rPr>
          <w:spacing w:val="-4"/>
        </w:rPr>
        <w:t> </w:t>
      </w:r>
      <w:r>
        <w:rPr/>
        <w:t>reduces.</w:t>
      </w:r>
      <w:r>
        <w:rPr>
          <w:spacing w:val="-3"/>
        </w:rPr>
        <w:t> </w:t>
      </w:r>
      <w:r>
        <w:rPr/>
        <w:t>The</w:t>
      </w:r>
      <w:r>
        <w:rPr>
          <w:spacing w:val="-4"/>
        </w:rPr>
        <w:t> </w:t>
      </w:r>
      <w:r>
        <w:rPr/>
        <w:t>authors</w:t>
      </w:r>
      <w:r>
        <w:rPr>
          <w:spacing w:val="-3"/>
        </w:rPr>
        <w:t> </w:t>
      </w:r>
      <w:r>
        <w:rPr/>
        <w:t>noted</w:t>
      </w:r>
      <w:r>
        <w:rPr>
          <w:spacing w:val="-5"/>
        </w:rPr>
        <w:t> </w:t>
      </w:r>
      <w:r>
        <w:rPr/>
        <w:t>that</w:t>
      </w:r>
      <w:r>
        <w:rPr>
          <w:spacing w:val="-5"/>
        </w:rPr>
        <w:t> </w:t>
      </w:r>
      <w:r>
        <w:rPr/>
        <w:t>for</w:t>
      </w:r>
      <w:r>
        <w:rPr>
          <w:spacing w:val="-5"/>
        </w:rPr>
        <w:t> </w:t>
      </w:r>
      <w:r>
        <w:rPr/>
        <w:t>comingled</w:t>
      </w:r>
      <w:r>
        <w:rPr>
          <w:spacing w:val="-3"/>
        </w:rPr>
        <w:t> </w:t>
      </w:r>
      <w:r>
        <w:rPr/>
        <w:t>systems</w:t>
      </w:r>
      <w:r>
        <w:rPr>
          <w:spacing w:val="-3"/>
        </w:rPr>
        <w:t> </w:t>
      </w:r>
      <w:r>
        <w:rPr/>
        <w:t>the savings in collection costs needed to be measured against the increased costs of disposing of contamination. Because of increased costs of processing the overall cost of comingled systems was found to be similar to the other systems modelled and the quality of materials (especially paper, </w:t>
      </w:r>
      <w:r>
        <w:rPr>
          <w:spacing w:val="2"/>
        </w:rPr>
        <w:t>for </w:t>
      </w:r>
      <w:r>
        <w:rPr/>
        <w:t>example) recovered through these systems may reduce its ability to find a</w:t>
      </w:r>
      <w:r>
        <w:rPr>
          <w:spacing w:val="-20"/>
        </w:rPr>
        <w:t> </w:t>
      </w:r>
      <w:r>
        <w:rPr/>
        <w:t>market.</w:t>
      </w:r>
    </w:p>
    <w:p>
      <w:pPr>
        <w:pStyle w:val="BodyText"/>
        <w:spacing w:line="256" w:lineRule="auto" w:before="158"/>
        <w:ind w:left="560" w:right="119"/>
        <w:jc w:val="both"/>
      </w:pPr>
      <w:r>
        <w:rPr/>
        <w:t>Finally, a study in Resources </w:t>
      </w:r>
      <w:r>
        <w:rPr>
          <w:i/>
        </w:rPr>
        <w:t>A comparison of single and multi-stream recycling systems in Ontario, Canada </w:t>
      </w:r>
      <w:r>
        <w:rPr/>
        <w:t>(Lakhan, 2015) used data from 223 municipalities over a ten year period and concludes that municipalities who implement single-stream (comingled) kerbside collections have higher material management costs than those with multi-stream recycling systems. The author found that while collection costs for single stream collection is lower</w:t>
      </w:r>
      <w:r>
        <w:rPr>
          <w:spacing w:val="-13"/>
        </w:rPr>
        <w:t> </w:t>
      </w:r>
      <w:r>
        <w:rPr/>
        <w:t>compared</w:t>
      </w:r>
      <w:r>
        <w:rPr>
          <w:spacing w:val="-12"/>
        </w:rPr>
        <w:t> </w:t>
      </w:r>
      <w:r>
        <w:rPr/>
        <w:t>to</w:t>
      </w:r>
      <w:r>
        <w:rPr>
          <w:spacing w:val="-12"/>
        </w:rPr>
        <w:t> </w:t>
      </w:r>
      <w:r>
        <w:rPr/>
        <w:t>multi-stream</w:t>
      </w:r>
      <w:r>
        <w:rPr>
          <w:spacing w:val="-13"/>
        </w:rPr>
        <w:t> </w:t>
      </w:r>
      <w:r>
        <w:rPr/>
        <w:t>collections</w:t>
      </w:r>
      <w:r>
        <w:rPr>
          <w:spacing w:val="-11"/>
        </w:rPr>
        <w:t> </w:t>
      </w:r>
      <w:r>
        <w:rPr/>
        <w:t>these</w:t>
      </w:r>
      <w:r>
        <w:rPr>
          <w:spacing w:val="-13"/>
        </w:rPr>
        <w:t> </w:t>
      </w:r>
      <w:r>
        <w:rPr/>
        <w:t>savings</w:t>
      </w:r>
      <w:r>
        <w:rPr>
          <w:spacing w:val="-14"/>
        </w:rPr>
        <w:t> </w:t>
      </w:r>
      <w:r>
        <w:rPr/>
        <w:t>are</w:t>
      </w:r>
      <w:r>
        <w:rPr>
          <w:spacing w:val="-13"/>
        </w:rPr>
        <w:t> </w:t>
      </w:r>
      <w:r>
        <w:rPr/>
        <w:t>offset</w:t>
      </w:r>
      <w:r>
        <w:rPr>
          <w:spacing w:val="-12"/>
        </w:rPr>
        <w:t> </w:t>
      </w:r>
      <w:r>
        <w:rPr/>
        <w:t>by</w:t>
      </w:r>
      <w:r>
        <w:rPr>
          <w:spacing w:val="-12"/>
        </w:rPr>
        <w:t> </w:t>
      </w:r>
      <w:r>
        <w:rPr/>
        <w:t>processing</w:t>
      </w:r>
      <w:r>
        <w:rPr>
          <w:spacing w:val="-13"/>
        </w:rPr>
        <w:t> </w:t>
      </w:r>
      <w:r>
        <w:rPr/>
        <w:t>costs</w:t>
      </w:r>
      <w:r>
        <w:rPr>
          <w:spacing w:val="-11"/>
        </w:rPr>
        <w:t> </w:t>
      </w:r>
      <w:r>
        <w:rPr/>
        <w:t>that</w:t>
      </w:r>
      <w:r>
        <w:rPr>
          <w:spacing w:val="-12"/>
        </w:rPr>
        <w:t> </w:t>
      </w:r>
      <w:r>
        <w:rPr/>
        <w:t>can</w:t>
      </w:r>
      <w:r>
        <w:rPr>
          <w:spacing w:val="-14"/>
        </w:rPr>
        <w:t> </w:t>
      </w:r>
      <w:r>
        <w:rPr/>
        <w:t>be</w:t>
      </w:r>
      <w:r>
        <w:rPr>
          <w:spacing w:val="-13"/>
        </w:rPr>
        <w:t> </w:t>
      </w:r>
      <w:r>
        <w:rPr/>
        <w:t>48.7%</w:t>
      </w:r>
      <w:r>
        <w:rPr>
          <w:spacing w:val="-14"/>
        </w:rPr>
        <w:t> </w:t>
      </w:r>
      <w:r>
        <w:rPr/>
        <w:t>higher and a 9.6% lower revenue from the sale of recyclable</w:t>
      </w:r>
      <w:r>
        <w:rPr>
          <w:spacing w:val="-23"/>
        </w:rPr>
        <w:t> </w:t>
      </w:r>
      <w:r>
        <w:rPr/>
        <w:t>material.</w:t>
      </w:r>
    </w:p>
    <w:p>
      <w:pPr>
        <w:pStyle w:val="Heading5"/>
        <w:spacing w:before="158"/>
        <w:jc w:val="both"/>
      </w:pPr>
      <w:r>
        <w:rPr/>
        <w:t>Environmental costs</w:t>
      </w:r>
    </w:p>
    <w:p>
      <w:pPr>
        <w:pStyle w:val="BodyText"/>
        <w:spacing w:line="256" w:lineRule="auto" w:before="176"/>
        <w:ind w:left="560" w:right="118"/>
        <w:jc w:val="both"/>
      </w:pPr>
      <w:r>
        <w:rPr/>
        <w:t>While</w:t>
      </w:r>
      <w:r>
        <w:rPr>
          <w:spacing w:val="-6"/>
        </w:rPr>
        <w:t> </w:t>
      </w:r>
      <w:r>
        <w:rPr/>
        <w:t>environmental</w:t>
      </w:r>
      <w:r>
        <w:rPr>
          <w:spacing w:val="-5"/>
        </w:rPr>
        <w:t> </w:t>
      </w:r>
      <w:r>
        <w:rPr/>
        <w:t>costs</w:t>
      </w:r>
      <w:r>
        <w:rPr>
          <w:spacing w:val="-3"/>
        </w:rPr>
        <w:t> </w:t>
      </w:r>
      <w:r>
        <w:rPr/>
        <w:t>are</w:t>
      </w:r>
      <w:r>
        <w:rPr>
          <w:spacing w:val="-5"/>
        </w:rPr>
        <w:t> </w:t>
      </w:r>
      <w:r>
        <w:rPr/>
        <w:t>not</w:t>
      </w:r>
      <w:r>
        <w:rPr>
          <w:spacing w:val="-4"/>
        </w:rPr>
        <w:t> </w:t>
      </w:r>
      <w:r>
        <w:rPr/>
        <w:t>part</w:t>
      </w:r>
      <w:r>
        <w:rPr>
          <w:spacing w:val="-4"/>
        </w:rPr>
        <w:t> </w:t>
      </w:r>
      <w:r>
        <w:rPr/>
        <w:t>of</w:t>
      </w:r>
      <w:r>
        <w:rPr>
          <w:spacing w:val="-5"/>
        </w:rPr>
        <w:t> </w:t>
      </w:r>
      <w:r>
        <w:rPr/>
        <w:t>the</w:t>
      </w:r>
      <w:r>
        <w:rPr>
          <w:spacing w:val="1"/>
        </w:rPr>
        <w:t> </w:t>
      </w:r>
      <w:r>
        <w:rPr/>
        <w:t>scope</w:t>
      </w:r>
      <w:r>
        <w:rPr>
          <w:spacing w:val="-5"/>
        </w:rPr>
        <w:t> </w:t>
      </w:r>
      <w:r>
        <w:rPr/>
        <w:t>of</w:t>
      </w:r>
      <w:r>
        <w:rPr>
          <w:spacing w:val="-5"/>
        </w:rPr>
        <w:t> </w:t>
      </w:r>
      <w:r>
        <w:rPr/>
        <w:t>this</w:t>
      </w:r>
      <w:r>
        <w:rPr>
          <w:spacing w:val="-2"/>
        </w:rPr>
        <w:t> </w:t>
      </w:r>
      <w:r>
        <w:rPr/>
        <w:t>project</w:t>
      </w:r>
      <w:r>
        <w:rPr>
          <w:spacing w:val="-4"/>
        </w:rPr>
        <w:t> </w:t>
      </w:r>
      <w:r>
        <w:rPr/>
        <w:t>one</w:t>
      </w:r>
      <w:r>
        <w:rPr>
          <w:spacing w:val="-5"/>
        </w:rPr>
        <w:t> </w:t>
      </w:r>
      <w:r>
        <w:rPr/>
        <w:t>of</w:t>
      </w:r>
      <w:r>
        <w:rPr>
          <w:spacing w:val="-3"/>
        </w:rPr>
        <w:t> </w:t>
      </w:r>
      <w:r>
        <w:rPr/>
        <w:t>the</w:t>
      </w:r>
      <w:r>
        <w:rPr>
          <w:spacing w:val="-5"/>
        </w:rPr>
        <w:t> </w:t>
      </w:r>
      <w:r>
        <w:rPr/>
        <w:t>reports</w:t>
      </w:r>
      <w:r>
        <w:rPr>
          <w:spacing w:val="-3"/>
        </w:rPr>
        <w:t> </w:t>
      </w:r>
      <w:r>
        <w:rPr/>
        <w:t>reviewed</w:t>
      </w:r>
      <w:r>
        <w:rPr>
          <w:spacing w:val="-4"/>
        </w:rPr>
        <w:t> </w:t>
      </w:r>
      <w:r>
        <w:rPr/>
        <w:t>did</w:t>
      </w:r>
      <w:r>
        <w:rPr>
          <w:spacing w:val="-4"/>
        </w:rPr>
        <w:t> </w:t>
      </w:r>
      <w:r>
        <w:rPr/>
        <w:t>address</w:t>
      </w:r>
      <w:r>
        <w:rPr>
          <w:spacing w:val="-3"/>
        </w:rPr>
        <w:t> </w:t>
      </w:r>
      <w:r>
        <w:rPr/>
        <w:t>this issue. The Eunomia report for WRAP Wales (2011) used environmental modelling to consider carbon emissions and air quality impacts and found that in the current and enhanced performance scenario, kerbside sort produced the least overall carbon emissions, with two stream producing the second least amount of carbon emissions.</w:t>
      </w:r>
    </w:p>
    <w:p>
      <w:pPr>
        <w:pStyle w:val="BodyText"/>
        <w:spacing w:line="256" w:lineRule="auto" w:before="162"/>
        <w:ind w:left="560" w:right="123"/>
        <w:jc w:val="both"/>
      </w:pPr>
      <w:r>
        <w:rPr/>
        <w:t>The WRAP report on choosing the right recycling system (2009) asserts that recycling has to be viewed as more than</w:t>
      </w:r>
      <w:r>
        <w:rPr>
          <w:spacing w:val="-6"/>
        </w:rPr>
        <w:t> </w:t>
      </w:r>
      <w:r>
        <w:rPr/>
        <w:t>just</w:t>
      </w:r>
      <w:r>
        <w:rPr>
          <w:spacing w:val="-8"/>
        </w:rPr>
        <w:t> </w:t>
      </w:r>
      <w:r>
        <w:rPr/>
        <w:t>an</w:t>
      </w:r>
      <w:r>
        <w:rPr>
          <w:spacing w:val="-6"/>
        </w:rPr>
        <w:t> </w:t>
      </w:r>
      <w:r>
        <w:rPr/>
        <w:t>alternative</w:t>
      </w:r>
      <w:r>
        <w:rPr>
          <w:spacing w:val="-8"/>
        </w:rPr>
        <w:t> </w:t>
      </w:r>
      <w:r>
        <w:rPr/>
        <w:t>to</w:t>
      </w:r>
      <w:r>
        <w:rPr>
          <w:spacing w:val="-6"/>
        </w:rPr>
        <w:t> </w:t>
      </w:r>
      <w:r>
        <w:rPr/>
        <w:t>disposal</w:t>
      </w:r>
      <w:r>
        <w:rPr>
          <w:spacing w:val="-6"/>
        </w:rPr>
        <w:t> </w:t>
      </w:r>
      <w:r>
        <w:rPr/>
        <w:t>to</w:t>
      </w:r>
      <w:r>
        <w:rPr>
          <w:spacing w:val="-6"/>
        </w:rPr>
        <w:t> </w:t>
      </w:r>
      <w:r>
        <w:rPr/>
        <w:t>landfill</w:t>
      </w:r>
      <w:r>
        <w:rPr>
          <w:spacing w:val="-7"/>
        </w:rPr>
        <w:t> </w:t>
      </w:r>
      <w:r>
        <w:rPr/>
        <w:t>and</w:t>
      </w:r>
      <w:r>
        <w:rPr>
          <w:spacing w:val="-6"/>
        </w:rPr>
        <w:t> </w:t>
      </w:r>
      <w:r>
        <w:rPr/>
        <w:t>argues</w:t>
      </w:r>
      <w:r>
        <w:rPr>
          <w:spacing w:val="-6"/>
        </w:rPr>
        <w:t> </w:t>
      </w:r>
      <w:r>
        <w:rPr/>
        <w:t>that</w:t>
      </w:r>
      <w:r>
        <w:rPr>
          <w:spacing w:val="-6"/>
        </w:rPr>
        <w:t> </w:t>
      </w:r>
      <w:r>
        <w:rPr/>
        <w:t>higher</w:t>
      </w:r>
      <w:r>
        <w:rPr>
          <w:spacing w:val="-8"/>
        </w:rPr>
        <w:t> </w:t>
      </w:r>
      <w:r>
        <w:rPr/>
        <w:t>value</w:t>
      </w:r>
      <w:r>
        <w:rPr>
          <w:spacing w:val="-8"/>
        </w:rPr>
        <w:t> </w:t>
      </w:r>
      <w:r>
        <w:rPr/>
        <w:t>recyclates</w:t>
      </w:r>
      <w:r>
        <w:rPr>
          <w:spacing w:val="-6"/>
        </w:rPr>
        <w:t> </w:t>
      </w:r>
      <w:r>
        <w:rPr/>
        <w:t>have</w:t>
      </w:r>
      <w:r>
        <w:rPr>
          <w:spacing w:val="-8"/>
        </w:rPr>
        <w:t> </w:t>
      </w:r>
      <w:r>
        <w:rPr/>
        <w:t>a</w:t>
      </w:r>
      <w:r>
        <w:rPr>
          <w:spacing w:val="-6"/>
        </w:rPr>
        <w:t> </w:t>
      </w:r>
      <w:r>
        <w:rPr/>
        <w:t>lower</w:t>
      </w:r>
      <w:r>
        <w:rPr>
          <w:spacing w:val="-7"/>
        </w:rPr>
        <w:t> </w:t>
      </w:r>
      <w:r>
        <w:rPr/>
        <w:t>impact</w:t>
      </w:r>
      <w:r>
        <w:rPr>
          <w:spacing w:val="-6"/>
        </w:rPr>
        <w:t> </w:t>
      </w:r>
      <w:r>
        <w:rPr/>
        <w:t>on</w:t>
      </w:r>
      <w:r>
        <w:rPr>
          <w:spacing w:val="-6"/>
        </w:rPr>
        <w:t> </w:t>
      </w:r>
      <w:r>
        <w:rPr/>
        <w:t>the environment. It notes</w:t>
      </w:r>
      <w:r>
        <w:rPr>
          <w:spacing w:val="-10"/>
        </w:rPr>
        <w:t> </w:t>
      </w:r>
      <w:r>
        <w:rPr/>
        <w:t>that:</w:t>
      </w:r>
    </w:p>
    <w:p>
      <w:pPr>
        <w:spacing w:before="156"/>
        <w:ind w:left="987" w:right="497" w:firstLine="0"/>
        <w:jc w:val="both"/>
        <w:rPr>
          <w:i/>
          <w:sz w:val="20"/>
        </w:rPr>
      </w:pPr>
      <w:r>
        <w:rPr>
          <w:i/>
          <w:sz w:val="20"/>
        </w:rPr>
        <w:t>Recycling reduces the use of virgin materials and much of the energy required to extract and process </w:t>
      </w:r>
      <w:r>
        <w:rPr>
          <w:i/>
          <w:sz w:val="20"/>
        </w:rPr>
        <w:t>raw</w:t>
      </w:r>
      <w:r>
        <w:rPr>
          <w:i/>
          <w:spacing w:val="-6"/>
          <w:sz w:val="20"/>
        </w:rPr>
        <w:t> </w:t>
      </w:r>
      <w:r>
        <w:rPr>
          <w:i/>
          <w:sz w:val="20"/>
        </w:rPr>
        <w:t>materials.</w:t>
      </w:r>
      <w:r>
        <w:rPr>
          <w:i/>
          <w:spacing w:val="-5"/>
          <w:sz w:val="20"/>
        </w:rPr>
        <w:t> </w:t>
      </w:r>
      <w:r>
        <w:rPr>
          <w:i/>
          <w:sz w:val="20"/>
        </w:rPr>
        <w:t>Generally,</w:t>
      </w:r>
      <w:r>
        <w:rPr>
          <w:i/>
          <w:spacing w:val="-5"/>
          <w:sz w:val="20"/>
        </w:rPr>
        <w:t> </w:t>
      </w:r>
      <w:r>
        <w:rPr>
          <w:i/>
          <w:sz w:val="20"/>
        </w:rPr>
        <w:t>the</w:t>
      </w:r>
      <w:r>
        <w:rPr>
          <w:i/>
          <w:spacing w:val="-5"/>
          <w:sz w:val="20"/>
        </w:rPr>
        <w:t> </w:t>
      </w:r>
      <w:r>
        <w:rPr>
          <w:i/>
          <w:sz w:val="20"/>
        </w:rPr>
        <w:t>greatest</w:t>
      </w:r>
      <w:r>
        <w:rPr>
          <w:i/>
          <w:spacing w:val="-5"/>
          <w:sz w:val="20"/>
        </w:rPr>
        <w:t> </w:t>
      </w:r>
      <w:r>
        <w:rPr>
          <w:i/>
          <w:sz w:val="20"/>
        </w:rPr>
        <w:t>benefit</w:t>
      </w:r>
      <w:r>
        <w:rPr>
          <w:i/>
          <w:spacing w:val="-5"/>
          <w:sz w:val="20"/>
        </w:rPr>
        <w:t> </w:t>
      </w:r>
      <w:r>
        <w:rPr>
          <w:i/>
          <w:sz w:val="20"/>
        </w:rPr>
        <w:t>is</w:t>
      </w:r>
      <w:r>
        <w:rPr>
          <w:i/>
          <w:spacing w:val="-6"/>
          <w:sz w:val="20"/>
        </w:rPr>
        <w:t> </w:t>
      </w:r>
      <w:r>
        <w:rPr>
          <w:i/>
          <w:sz w:val="20"/>
        </w:rPr>
        <w:t>achieved</w:t>
      </w:r>
      <w:r>
        <w:rPr>
          <w:i/>
          <w:spacing w:val="-5"/>
          <w:sz w:val="20"/>
        </w:rPr>
        <w:t> </w:t>
      </w:r>
      <w:r>
        <w:rPr>
          <w:i/>
          <w:sz w:val="20"/>
        </w:rPr>
        <w:t>by</w:t>
      </w:r>
      <w:r>
        <w:rPr>
          <w:i/>
          <w:spacing w:val="-6"/>
          <w:sz w:val="20"/>
        </w:rPr>
        <w:t> </w:t>
      </w:r>
      <w:r>
        <w:rPr>
          <w:i/>
          <w:sz w:val="20"/>
        </w:rPr>
        <w:t>closed</w:t>
      </w:r>
      <w:r>
        <w:rPr>
          <w:i/>
          <w:spacing w:val="-5"/>
          <w:sz w:val="20"/>
        </w:rPr>
        <w:t> </w:t>
      </w:r>
      <w:r>
        <w:rPr>
          <w:i/>
          <w:sz w:val="20"/>
        </w:rPr>
        <w:t>loop</w:t>
      </w:r>
      <w:r>
        <w:rPr>
          <w:i/>
          <w:spacing w:val="-5"/>
          <w:sz w:val="20"/>
        </w:rPr>
        <w:t> </w:t>
      </w:r>
      <w:r>
        <w:rPr>
          <w:i/>
          <w:sz w:val="20"/>
        </w:rPr>
        <w:t>recycling</w:t>
      </w:r>
      <w:r>
        <w:rPr>
          <w:i/>
          <w:spacing w:val="-5"/>
          <w:sz w:val="20"/>
        </w:rPr>
        <w:t> </w:t>
      </w:r>
      <w:r>
        <w:rPr>
          <w:i/>
          <w:sz w:val="20"/>
        </w:rPr>
        <w:t>where</w:t>
      </w:r>
      <w:r>
        <w:rPr>
          <w:i/>
          <w:spacing w:val="-5"/>
          <w:sz w:val="20"/>
        </w:rPr>
        <w:t> </w:t>
      </w:r>
      <w:r>
        <w:rPr>
          <w:i/>
          <w:sz w:val="20"/>
        </w:rPr>
        <w:t>materials</w:t>
      </w:r>
      <w:r>
        <w:rPr>
          <w:i/>
          <w:spacing w:val="-6"/>
          <w:sz w:val="20"/>
        </w:rPr>
        <w:t> </w:t>
      </w:r>
      <w:r>
        <w:rPr>
          <w:i/>
          <w:sz w:val="20"/>
        </w:rPr>
        <w:t>are put back into the same or equivalent application substituting for virgin materials. These benefits can only be achieved if the collection system delivers recyclates of sufficient quality. Lower quality recyclates</w:t>
      </w:r>
      <w:r>
        <w:rPr>
          <w:i/>
          <w:spacing w:val="-6"/>
          <w:sz w:val="20"/>
        </w:rPr>
        <w:t> </w:t>
      </w:r>
      <w:r>
        <w:rPr>
          <w:i/>
          <w:sz w:val="20"/>
        </w:rPr>
        <w:t>can</w:t>
      </w:r>
      <w:r>
        <w:rPr>
          <w:i/>
          <w:spacing w:val="-7"/>
          <w:sz w:val="20"/>
        </w:rPr>
        <w:t> </w:t>
      </w:r>
      <w:r>
        <w:rPr>
          <w:i/>
          <w:sz w:val="20"/>
        </w:rPr>
        <w:t>generally</w:t>
      </w:r>
      <w:r>
        <w:rPr>
          <w:i/>
          <w:spacing w:val="-6"/>
          <w:sz w:val="20"/>
        </w:rPr>
        <w:t> </w:t>
      </w:r>
      <w:r>
        <w:rPr>
          <w:i/>
          <w:sz w:val="20"/>
        </w:rPr>
        <w:t>only</w:t>
      </w:r>
      <w:r>
        <w:rPr>
          <w:i/>
          <w:spacing w:val="-8"/>
          <w:sz w:val="20"/>
        </w:rPr>
        <w:t> </w:t>
      </w:r>
      <w:r>
        <w:rPr>
          <w:i/>
          <w:sz w:val="20"/>
        </w:rPr>
        <w:t>be</w:t>
      </w:r>
      <w:r>
        <w:rPr>
          <w:i/>
          <w:spacing w:val="-5"/>
          <w:sz w:val="20"/>
        </w:rPr>
        <w:t> </w:t>
      </w:r>
      <w:r>
        <w:rPr>
          <w:i/>
          <w:sz w:val="20"/>
        </w:rPr>
        <w:t>used</w:t>
      </w:r>
      <w:r>
        <w:rPr>
          <w:i/>
          <w:spacing w:val="-5"/>
          <w:sz w:val="20"/>
        </w:rPr>
        <w:t> </w:t>
      </w:r>
      <w:r>
        <w:rPr>
          <w:i/>
          <w:sz w:val="20"/>
        </w:rPr>
        <w:t>for</w:t>
      </w:r>
      <w:r>
        <w:rPr>
          <w:i/>
          <w:spacing w:val="-7"/>
          <w:sz w:val="20"/>
        </w:rPr>
        <w:t> </w:t>
      </w:r>
      <w:r>
        <w:rPr>
          <w:i/>
          <w:sz w:val="20"/>
        </w:rPr>
        <w:t>lower</w:t>
      </w:r>
      <w:r>
        <w:rPr>
          <w:i/>
          <w:spacing w:val="-7"/>
          <w:sz w:val="20"/>
        </w:rPr>
        <w:t> </w:t>
      </w:r>
      <w:r>
        <w:rPr>
          <w:i/>
          <w:sz w:val="20"/>
        </w:rPr>
        <w:t>value</w:t>
      </w:r>
      <w:r>
        <w:rPr>
          <w:i/>
          <w:spacing w:val="-7"/>
          <w:sz w:val="20"/>
        </w:rPr>
        <w:t> </w:t>
      </w:r>
      <w:r>
        <w:rPr>
          <w:i/>
          <w:sz w:val="20"/>
        </w:rPr>
        <w:t>open</w:t>
      </w:r>
      <w:r>
        <w:rPr>
          <w:i/>
          <w:spacing w:val="-7"/>
          <w:sz w:val="20"/>
        </w:rPr>
        <w:t> </w:t>
      </w:r>
      <w:r>
        <w:rPr>
          <w:i/>
          <w:sz w:val="20"/>
        </w:rPr>
        <w:t>loop</w:t>
      </w:r>
      <w:r>
        <w:rPr>
          <w:i/>
          <w:spacing w:val="-5"/>
          <w:sz w:val="20"/>
        </w:rPr>
        <w:t> </w:t>
      </w:r>
      <w:r>
        <w:rPr>
          <w:i/>
          <w:sz w:val="20"/>
        </w:rPr>
        <w:t>applications.</w:t>
      </w:r>
      <w:r>
        <w:rPr>
          <w:i/>
          <w:spacing w:val="-5"/>
          <w:sz w:val="20"/>
        </w:rPr>
        <w:t> </w:t>
      </w:r>
      <w:r>
        <w:rPr>
          <w:i/>
          <w:sz w:val="20"/>
        </w:rPr>
        <w:t>One</w:t>
      </w:r>
      <w:r>
        <w:rPr>
          <w:i/>
          <w:spacing w:val="-7"/>
          <w:sz w:val="20"/>
        </w:rPr>
        <w:t> </w:t>
      </w:r>
      <w:r>
        <w:rPr>
          <w:i/>
          <w:sz w:val="20"/>
        </w:rPr>
        <w:t>example</w:t>
      </w:r>
      <w:r>
        <w:rPr>
          <w:i/>
          <w:spacing w:val="-5"/>
          <w:sz w:val="20"/>
        </w:rPr>
        <w:t> </w:t>
      </w:r>
      <w:r>
        <w:rPr>
          <w:i/>
          <w:sz w:val="20"/>
        </w:rPr>
        <w:t>is</w:t>
      </w:r>
      <w:r>
        <w:rPr>
          <w:i/>
          <w:spacing w:val="-6"/>
          <w:sz w:val="20"/>
        </w:rPr>
        <w:t> </w:t>
      </w:r>
      <w:r>
        <w:rPr>
          <w:i/>
          <w:sz w:val="20"/>
        </w:rPr>
        <w:t>container glass that has to be used as aggregate with little environmental, resource or financial benefit because it is not of a quality suitable for re-melt</w:t>
      </w:r>
      <w:r>
        <w:rPr>
          <w:i/>
          <w:spacing w:val="-24"/>
          <w:sz w:val="20"/>
        </w:rPr>
        <w:t> </w:t>
      </w:r>
      <w:r>
        <w:rPr>
          <w:i/>
          <w:sz w:val="20"/>
        </w:rPr>
        <w:t>applications.</w:t>
      </w:r>
    </w:p>
    <w:p>
      <w:pPr>
        <w:pStyle w:val="BodyText"/>
        <w:spacing w:line="256" w:lineRule="auto" w:before="161"/>
        <w:ind w:left="560" w:right="114"/>
        <w:jc w:val="both"/>
      </w:pPr>
      <w:r>
        <w:rPr/>
        <w:t>The NSW Department of Environment and Conservation (2004) asserts that recycling of paper to make paper significantly</w:t>
      </w:r>
      <w:r>
        <w:rPr>
          <w:spacing w:val="-7"/>
        </w:rPr>
        <w:t> </w:t>
      </w:r>
      <w:r>
        <w:rPr/>
        <w:t>higher</w:t>
      </w:r>
      <w:r>
        <w:rPr>
          <w:spacing w:val="-8"/>
        </w:rPr>
        <w:t> </w:t>
      </w:r>
      <w:r>
        <w:rPr/>
        <w:t>environmental</w:t>
      </w:r>
      <w:r>
        <w:rPr>
          <w:spacing w:val="-8"/>
        </w:rPr>
        <w:t> </w:t>
      </w:r>
      <w:r>
        <w:rPr/>
        <w:t>benefits</w:t>
      </w:r>
      <w:r>
        <w:rPr>
          <w:spacing w:val="-7"/>
        </w:rPr>
        <w:t> </w:t>
      </w:r>
      <w:r>
        <w:rPr/>
        <w:t>than</w:t>
      </w:r>
      <w:r>
        <w:rPr>
          <w:spacing w:val="-8"/>
        </w:rPr>
        <w:t> </w:t>
      </w:r>
      <w:r>
        <w:rPr/>
        <w:t>using</w:t>
      </w:r>
      <w:r>
        <w:rPr>
          <w:spacing w:val="-9"/>
        </w:rPr>
        <w:t> </w:t>
      </w:r>
      <w:r>
        <w:rPr/>
        <w:t>paper</w:t>
      </w:r>
      <w:r>
        <w:rPr>
          <w:spacing w:val="-9"/>
        </w:rPr>
        <w:t> </w:t>
      </w:r>
      <w:r>
        <w:rPr/>
        <w:t>for</w:t>
      </w:r>
      <w:r>
        <w:rPr>
          <w:spacing w:val="-8"/>
        </w:rPr>
        <w:t> </w:t>
      </w:r>
      <w:r>
        <w:rPr/>
        <w:t>energy</w:t>
      </w:r>
      <w:r>
        <w:rPr>
          <w:spacing w:val="-7"/>
        </w:rPr>
        <w:t> </w:t>
      </w:r>
      <w:r>
        <w:rPr/>
        <w:t>recovery,</w:t>
      </w:r>
      <w:r>
        <w:rPr>
          <w:spacing w:val="-7"/>
        </w:rPr>
        <w:t> </w:t>
      </w:r>
      <w:r>
        <w:rPr/>
        <w:t>or</w:t>
      </w:r>
      <w:r>
        <w:rPr>
          <w:spacing w:val="-8"/>
        </w:rPr>
        <w:t> </w:t>
      </w:r>
      <w:r>
        <w:rPr/>
        <w:t>to</w:t>
      </w:r>
      <w:r>
        <w:rPr>
          <w:spacing w:val="-7"/>
        </w:rPr>
        <w:t> </w:t>
      </w:r>
      <w:r>
        <w:rPr/>
        <w:t>be</w:t>
      </w:r>
      <w:r>
        <w:rPr>
          <w:spacing w:val="-8"/>
        </w:rPr>
        <w:t> </w:t>
      </w:r>
      <w:r>
        <w:rPr/>
        <w:t>converted</w:t>
      </w:r>
      <w:r>
        <w:rPr>
          <w:spacing w:val="-7"/>
        </w:rPr>
        <w:t> </w:t>
      </w:r>
      <w:r>
        <w:rPr/>
        <w:t>into</w:t>
      </w:r>
      <w:r>
        <w:rPr>
          <w:spacing w:val="-7"/>
        </w:rPr>
        <w:t> </w:t>
      </w:r>
      <w:r>
        <w:rPr/>
        <w:t>mixed- waste derived</w:t>
      </w:r>
      <w:r>
        <w:rPr>
          <w:spacing w:val="-11"/>
        </w:rPr>
        <w:t> </w:t>
      </w:r>
      <w:r>
        <w:rPr/>
        <w:t>compost.</w:t>
      </w:r>
    </w:p>
    <w:p>
      <w:pPr>
        <w:spacing w:after="0" w:line="256" w:lineRule="auto"/>
        <w:jc w:val="both"/>
        <w:sectPr>
          <w:footerReference w:type="default" r:id="rId47"/>
          <w:pgSz w:w="11910" w:h="16840"/>
          <w:pgMar w:footer="698" w:header="576" w:top="1140" w:bottom="880" w:left="880" w:right="1320"/>
        </w:sectPr>
      </w:pPr>
    </w:p>
    <w:p>
      <w:pPr>
        <w:pStyle w:val="BodyText"/>
      </w:pPr>
    </w:p>
    <w:p>
      <w:pPr>
        <w:pStyle w:val="BodyText"/>
        <w:spacing w:before="2"/>
        <w:rPr>
          <w:sz w:val="27"/>
        </w:rPr>
      </w:pPr>
    </w:p>
    <w:p>
      <w:pPr>
        <w:pStyle w:val="Heading1"/>
      </w:pPr>
      <w:r>
        <w:rPr/>
        <w:pict>
          <v:line style="position:absolute;mso-position-horizontal-relative:page;mso-position-vertical-relative:paragraph;z-index:1768" from="57.852001pt,4.363784pt" to="57.852001pt,25.123784pt" stroked="true" strokeweight="1.464pt" strokecolor="#ed7d31">
            <v:stroke dashstyle="solid"/>
            <w10:wrap type="none"/>
          </v:line>
        </w:pict>
      </w:r>
      <w:bookmarkStart w:name="APPENDIX C – CONSULTATION WITH INDUSTRY " w:id="142"/>
      <w:bookmarkEnd w:id="142"/>
      <w:r>
        <w:rPr/>
      </w:r>
      <w:bookmarkStart w:name="_bookmark48" w:id="143"/>
      <w:bookmarkEnd w:id="143"/>
      <w:r>
        <w:rPr/>
      </w:r>
      <w:r>
        <w:rPr>
          <w:spacing w:val="8"/>
        </w:rPr>
        <w:t>APPENDIX </w:t>
      </w:r>
      <w:r>
        <w:rPr/>
        <w:t>C – </w:t>
      </w:r>
      <w:r>
        <w:rPr>
          <w:spacing w:val="8"/>
        </w:rPr>
        <w:t>CONSULTATION </w:t>
      </w:r>
      <w:r>
        <w:rPr>
          <w:spacing w:val="7"/>
        </w:rPr>
        <w:t>WITH</w:t>
      </w:r>
      <w:r>
        <w:rPr>
          <w:spacing w:val="98"/>
        </w:rPr>
        <w:t> </w:t>
      </w:r>
      <w:r>
        <w:rPr>
          <w:spacing w:val="7"/>
        </w:rPr>
        <w:t>INDUSTRY</w:t>
      </w:r>
    </w:p>
    <w:p>
      <w:pPr>
        <w:pStyle w:val="BodyText"/>
        <w:spacing w:before="1"/>
        <w:rPr>
          <w:rFonts w:ascii="Arial"/>
          <w:sz w:val="26"/>
        </w:rPr>
      </w:pPr>
    </w:p>
    <w:p>
      <w:pPr>
        <w:pStyle w:val="BodyText"/>
        <w:spacing w:before="59"/>
        <w:ind w:left="560"/>
      </w:pPr>
      <w:r>
        <w:rPr/>
        <w:t>The following organisations were consulted during the engagement process:</w:t>
      </w:r>
    </w:p>
    <w:p>
      <w:pPr>
        <w:pStyle w:val="BodyText"/>
        <w:spacing w:before="3" w:after="1"/>
        <w:rPr>
          <w:sz w:val="19"/>
        </w:rPr>
      </w:pPr>
    </w:p>
    <w:tbl>
      <w:tblPr>
        <w:tblW w:w="0" w:type="auto"/>
        <w:jc w:val="left"/>
        <w:tblInd w:w="12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04"/>
        <w:gridCol w:w="4150"/>
      </w:tblGrid>
      <w:tr>
        <w:trPr>
          <w:trHeight w:val="242" w:hRule="exact"/>
        </w:trPr>
        <w:tc>
          <w:tcPr>
            <w:tcW w:w="3404" w:type="dxa"/>
          </w:tcPr>
          <w:p>
            <w:pPr>
              <w:pStyle w:val="TableParagraph"/>
              <w:spacing w:line="203" w:lineRule="exact"/>
              <w:ind w:left="200"/>
              <w:rPr>
                <w:b/>
                <w:sz w:val="20"/>
              </w:rPr>
            </w:pPr>
            <w:r>
              <w:rPr>
                <w:b/>
                <w:sz w:val="20"/>
              </w:rPr>
              <w:t>Plastic industry</w:t>
            </w:r>
          </w:p>
        </w:tc>
        <w:tc>
          <w:tcPr>
            <w:tcW w:w="4150" w:type="dxa"/>
          </w:tcPr>
          <w:p>
            <w:pPr>
              <w:pStyle w:val="TableParagraph"/>
              <w:spacing w:line="203" w:lineRule="exact"/>
              <w:ind w:left="601"/>
              <w:rPr>
                <w:b/>
                <w:sz w:val="20"/>
              </w:rPr>
            </w:pPr>
            <w:r>
              <w:rPr>
                <w:b/>
                <w:sz w:val="20"/>
              </w:rPr>
              <w:t>Organics processing</w:t>
            </w:r>
          </w:p>
        </w:tc>
      </w:tr>
      <w:tr>
        <w:trPr>
          <w:trHeight w:val="284" w:hRule="exact"/>
        </w:trPr>
        <w:tc>
          <w:tcPr>
            <w:tcW w:w="3404" w:type="dxa"/>
          </w:tcPr>
          <w:p>
            <w:pPr>
              <w:pStyle w:val="TableParagraph"/>
              <w:spacing w:before="2"/>
              <w:ind w:left="200"/>
              <w:rPr>
                <w:sz w:val="20"/>
              </w:rPr>
            </w:pPr>
            <w:r>
              <w:rPr>
                <w:sz w:val="20"/>
              </w:rPr>
              <w:t>Plastics NZ</w:t>
            </w:r>
          </w:p>
        </w:tc>
        <w:tc>
          <w:tcPr>
            <w:tcW w:w="4150" w:type="dxa"/>
          </w:tcPr>
          <w:p>
            <w:pPr>
              <w:pStyle w:val="TableParagraph"/>
              <w:spacing w:before="2"/>
              <w:ind w:left="601"/>
              <w:rPr>
                <w:sz w:val="20"/>
              </w:rPr>
            </w:pPr>
            <w:r>
              <w:rPr>
                <w:sz w:val="20"/>
              </w:rPr>
              <w:t>Envirofert</w:t>
            </w:r>
          </w:p>
        </w:tc>
      </w:tr>
      <w:tr>
        <w:trPr>
          <w:trHeight w:val="284" w:hRule="exact"/>
        </w:trPr>
        <w:tc>
          <w:tcPr>
            <w:tcW w:w="3404" w:type="dxa"/>
          </w:tcPr>
          <w:p>
            <w:pPr>
              <w:pStyle w:val="TableParagraph"/>
              <w:spacing w:before="1"/>
              <w:ind w:left="200"/>
              <w:rPr>
                <w:sz w:val="20"/>
              </w:rPr>
            </w:pPr>
            <w:r>
              <w:rPr>
                <w:sz w:val="20"/>
              </w:rPr>
              <w:t>Flight Plastics</w:t>
            </w:r>
          </w:p>
        </w:tc>
        <w:tc>
          <w:tcPr>
            <w:tcW w:w="4150" w:type="dxa"/>
          </w:tcPr>
          <w:p>
            <w:pPr>
              <w:pStyle w:val="TableParagraph"/>
              <w:spacing w:before="1"/>
              <w:ind w:left="601"/>
              <w:rPr>
                <w:sz w:val="20"/>
              </w:rPr>
            </w:pPr>
            <w:r>
              <w:rPr>
                <w:sz w:val="20"/>
              </w:rPr>
              <w:t>EcoStock</w:t>
            </w:r>
          </w:p>
        </w:tc>
      </w:tr>
      <w:tr>
        <w:trPr>
          <w:trHeight w:val="284" w:hRule="exact"/>
        </w:trPr>
        <w:tc>
          <w:tcPr>
            <w:tcW w:w="3404" w:type="dxa"/>
          </w:tcPr>
          <w:p>
            <w:pPr>
              <w:pStyle w:val="TableParagraph"/>
              <w:spacing w:before="2"/>
              <w:ind w:left="200"/>
              <w:rPr>
                <w:sz w:val="20"/>
              </w:rPr>
            </w:pPr>
            <w:r>
              <w:rPr>
                <w:sz w:val="20"/>
              </w:rPr>
              <w:t>Replas</w:t>
            </w:r>
          </w:p>
        </w:tc>
        <w:tc>
          <w:tcPr>
            <w:tcW w:w="4150" w:type="dxa"/>
          </w:tcPr>
          <w:p>
            <w:pPr>
              <w:pStyle w:val="TableParagraph"/>
              <w:spacing w:before="2"/>
              <w:ind w:left="601"/>
              <w:rPr>
                <w:sz w:val="20"/>
              </w:rPr>
            </w:pPr>
            <w:r>
              <w:rPr>
                <w:sz w:val="20"/>
              </w:rPr>
              <w:t>Living Earth</w:t>
            </w:r>
          </w:p>
        </w:tc>
      </w:tr>
      <w:tr>
        <w:trPr>
          <w:trHeight w:val="283" w:hRule="exact"/>
        </w:trPr>
        <w:tc>
          <w:tcPr>
            <w:tcW w:w="3404" w:type="dxa"/>
          </w:tcPr>
          <w:p>
            <w:pPr>
              <w:pStyle w:val="TableParagraph"/>
              <w:spacing w:before="1"/>
              <w:ind w:left="200"/>
              <w:rPr>
                <w:sz w:val="20"/>
              </w:rPr>
            </w:pPr>
            <w:r>
              <w:rPr>
                <w:sz w:val="20"/>
              </w:rPr>
              <w:t>Comspec</w:t>
            </w:r>
          </w:p>
        </w:tc>
        <w:tc>
          <w:tcPr>
            <w:tcW w:w="4150" w:type="dxa"/>
          </w:tcPr>
          <w:p>
            <w:pPr>
              <w:pStyle w:val="TableParagraph"/>
              <w:spacing w:before="1"/>
              <w:ind w:left="601"/>
              <w:rPr>
                <w:b/>
                <w:sz w:val="20"/>
              </w:rPr>
            </w:pPr>
            <w:r>
              <w:rPr>
                <w:b/>
                <w:sz w:val="20"/>
              </w:rPr>
              <w:t>Collection contractors/MRF operators</w:t>
            </w:r>
          </w:p>
        </w:tc>
      </w:tr>
      <w:tr>
        <w:trPr>
          <w:trHeight w:val="285" w:hRule="exact"/>
        </w:trPr>
        <w:tc>
          <w:tcPr>
            <w:tcW w:w="3404" w:type="dxa"/>
          </w:tcPr>
          <w:p>
            <w:pPr>
              <w:pStyle w:val="TableParagraph"/>
              <w:spacing w:before="1"/>
              <w:ind w:left="200"/>
              <w:rPr>
                <w:sz w:val="20"/>
              </w:rPr>
            </w:pPr>
            <w:r>
              <w:rPr>
                <w:sz w:val="20"/>
              </w:rPr>
              <w:t>Pact Group</w:t>
            </w:r>
          </w:p>
        </w:tc>
        <w:tc>
          <w:tcPr>
            <w:tcW w:w="4150" w:type="dxa"/>
          </w:tcPr>
          <w:p>
            <w:pPr>
              <w:pStyle w:val="TableParagraph"/>
              <w:spacing w:before="1"/>
              <w:ind w:left="601"/>
              <w:rPr>
                <w:sz w:val="20"/>
              </w:rPr>
            </w:pPr>
            <w:r>
              <w:rPr>
                <w:sz w:val="20"/>
              </w:rPr>
              <w:t>Waste Management</w:t>
            </w:r>
          </w:p>
        </w:tc>
      </w:tr>
      <w:tr>
        <w:trPr>
          <w:trHeight w:val="285" w:hRule="exact"/>
        </w:trPr>
        <w:tc>
          <w:tcPr>
            <w:tcW w:w="3404" w:type="dxa"/>
          </w:tcPr>
          <w:p>
            <w:pPr>
              <w:pStyle w:val="TableParagraph"/>
              <w:spacing w:before="2"/>
              <w:ind w:left="200"/>
              <w:rPr>
                <w:b/>
                <w:sz w:val="20"/>
              </w:rPr>
            </w:pPr>
            <w:r>
              <w:rPr>
                <w:b/>
                <w:sz w:val="20"/>
              </w:rPr>
              <w:t>Fibre industry</w:t>
            </w:r>
          </w:p>
        </w:tc>
        <w:tc>
          <w:tcPr>
            <w:tcW w:w="4150" w:type="dxa"/>
          </w:tcPr>
          <w:p>
            <w:pPr>
              <w:pStyle w:val="TableParagraph"/>
              <w:spacing w:before="2"/>
              <w:ind w:left="601"/>
              <w:rPr>
                <w:sz w:val="20"/>
              </w:rPr>
            </w:pPr>
            <w:r>
              <w:rPr>
                <w:sz w:val="20"/>
              </w:rPr>
              <w:t>EnviroWaste</w:t>
            </w:r>
          </w:p>
        </w:tc>
      </w:tr>
      <w:tr>
        <w:trPr>
          <w:trHeight w:val="284" w:hRule="exact"/>
        </w:trPr>
        <w:tc>
          <w:tcPr>
            <w:tcW w:w="3404" w:type="dxa"/>
          </w:tcPr>
          <w:p>
            <w:pPr>
              <w:pStyle w:val="TableParagraph"/>
              <w:spacing w:before="1"/>
              <w:ind w:left="200"/>
              <w:rPr>
                <w:sz w:val="20"/>
              </w:rPr>
            </w:pPr>
            <w:r>
              <w:rPr>
                <w:sz w:val="20"/>
              </w:rPr>
              <w:t>Oji</w:t>
            </w:r>
          </w:p>
        </w:tc>
        <w:tc>
          <w:tcPr>
            <w:tcW w:w="4150" w:type="dxa"/>
          </w:tcPr>
          <w:p>
            <w:pPr>
              <w:pStyle w:val="TableParagraph"/>
              <w:spacing w:before="1"/>
              <w:ind w:left="601"/>
              <w:rPr>
                <w:sz w:val="20"/>
              </w:rPr>
            </w:pPr>
            <w:r>
              <w:rPr>
                <w:sz w:val="20"/>
              </w:rPr>
              <w:t>Metallic Sweepings</w:t>
            </w:r>
          </w:p>
        </w:tc>
      </w:tr>
      <w:tr>
        <w:trPr>
          <w:trHeight w:val="284" w:hRule="exact"/>
        </w:trPr>
        <w:tc>
          <w:tcPr>
            <w:tcW w:w="3404" w:type="dxa"/>
          </w:tcPr>
          <w:p>
            <w:pPr>
              <w:pStyle w:val="TableParagraph"/>
              <w:spacing w:before="2"/>
              <w:ind w:left="200"/>
              <w:rPr>
                <w:sz w:val="20"/>
              </w:rPr>
            </w:pPr>
            <w:r>
              <w:rPr>
                <w:sz w:val="20"/>
              </w:rPr>
              <w:t>Hawk Packaging</w:t>
            </w:r>
          </w:p>
        </w:tc>
        <w:tc>
          <w:tcPr>
            <w:tcW w:w="4150" w:type="dxa"/>
          </w:tcPr>
          <w:p>
            <w:pPr>
              <w:pStyle w:val="TableParagraph"/>
              <w:spacing w:before="2"/>
              <w:ind w:left="601"/>
              <w:rPr>
                <w:sz w:val="20"/>
              </w:rPr>
            </w:pPr>
            <w:r>
              <w:rPr>
                <w:sz w:val="20"/>
              </w:rPr>
              <w:t>Smart Environmental</w:t>
            </w:r>
          </w:p>
        </w:tc>
      </w:tr>
      <w:tr>
        <w:trPr>
          <w:trHeight w:val="283" w:hRule="exact"/>
        </w:trPr>
        <w:tc>
          <w:tcPr>
            <w:tcW w:w="3404" w:type="dxa"/>
          </w:tcPr>
          <w:p>
            <w:pPr>
              <w:pStyle w:val="TableParagraph"/>
              <w:spacing w:before="1"/>
              <w:ind w:left="200"/>
              <w:rPr>
                <w:sz w:val="20"/>
              </w:rPr>
            </w:pPr>
            <w:r>
              <w:rPr>
                <w:sz w:val="20"/>
              </w:rPr>
              <w:t>Reclaim</w:t>
            </w:r>
          </w:p>
        </w:tc>
        <w:tc>
          <w:tcPr>
            <w:tcW w:w="4150" w:type="dxa"/>
          </w:tcPr>
          <w:p>
            <w:pPr>
              <w:pStyle w:val="TableParagraph"/>
              <w:spacing w:before="1"/>
              <w:ind w:left="601"/>
              <w:rPr>
                <w:sz w:val="20"/>
              </w:rPr>
            </w:pPr>
            <w:r>
              <w:rPr>
                <w:sz w:val="20"/>
              </w:rPr>
              <w:t>Earthcare Environmental</w:t>
            </w:r>
          </w:p>
        </w:tc>
      </w:tr>
      <w:tr>
        <w:trPr>
          <w:trHeight w:val="284" w:hRule="exact"/>
        </w:trPr>
        <w:tc>
          <w:tcPr>
            <w:tcW w:w="3404" w:type="dxa"/>
          </w:tcPr>
          <w:p>
            <w:pPr>
              <w:pStyle w:val="TableParagraph"/>
              <w:spacing w:before="1"/>
              <w:ind w:left="200"/>
              <w:rPr>
                <w:b/>
                <w:sz w:val="20"/>
              </w:rPr>
            </w:pPr>
            <w:r>
              <w:rPr>
                <w:b/>
                <w:sz w:val="20"/>
              </w:rPr>
              <w:t>Metals industry</w:t>
            </w:r>
          </w:p>
        </w:tc>
        <w:tc>
          <w:tcPr>
            <w:tcW w:w="4150" w:type="dxa"/>
          </w:tcPr>
          <w:p>
            <w:pPr>
              <w:pStyle w:val="TableParagraph"/>
              <w:spacing w:before="1"/>
              <w:ind w:left="601"/>
              <w:rPr>
                <w:sz w:val="20"/>
              </w:rPr>
            </w:pPr>
            <w:r>
              <w:rPr>
                <w:sz w:val="20"/>
              </w:rPr>
              <w:t>EcoCentral</w:t>
            </w:r>
          </w:p>
        </w:tc>
      </w:tr>
      <w:tr>
        <w:trPr>
          <w:trHeight w:val="284" w:hRule="exact"/>
        </w:trPr>
        <w:tc>
          <w:tcPr>
            <w:tcW w:w="3404" w:type="dxa"/>
          </w:tcPr>
          <w:p>
            <w:pPr>
              <w:pStyle w:val="TableParagraph"/>
              <w:spacing w:before="2"/>
              <w:ind w:left="200"/>
              <w:rPr>
                <w:sz w:val="20"/>
              </w:rPr>
            </w:pPr>
            <w:r>
              <w:rPr>
                <w:sz w:val="20"/>
              </w:rPr>
              <w:t>NZ Metal Recyclers Association/</w:t>
            </w:r>
          </w:p>
        </w:tc>
        <w:tc>
          <w:tcPr>
            <w:tcW w:w="4150" w:type="dxa"/>
          </w:tcPr>
          <w:p>
            <w:pPr>
              <w:pStyle w:val="TableParagraph"/>
              <w:spacing w:before="2"/>
              <w:ind w:left="601"/>
              <w:rPr>
                <w:sz w:val="20"/>
              </w:rPr>
            </w:pPr>
            <w:r>
              <w:rPr>
                <w:sz w:val="20"/>
              </w:rPr>
              <w:t>Xtreme Zero Waste</w:t>
            </w:r>
          </w:p>
        </w:tc>
      </w:tr>
      <w:tr>
        <w:trPr>
          <w:trHeight w:val="284" w:hRule="exact"/>
        </w:trPr>
        <w:tc>
          <w:tcPr>
            <w:tcW w:w="3404" w:type="dxa"/>
          </w:tcPr>
          <w:p>
            <w:pPr>
              <w:pStyle w:val="TableParagraph"/>
              <w:spacing w:before="1"/>
              <w:ind w:left="200"/>
              <w:rPr>
                <w:sz w:val="20"/>
              </w:rPr>
            </w:pPr>
            <w:r>
              <w:rPr>
                <w:sz w:val="20"/>
              </w:rPr>
              <w:t>Pheonix Metal</w:t>
            </w:r>
          </w:p>
        </w:tc>
        <w:tc>
          <w:tcPr>
            <w:tcW w:w="4150" w:type="dxa"/>
          </w:tcPr>
          <w:p>
            <w:pPr>
              <w:pStyle w:val="TableParagraph"/>
              <w:spacing w:before="1"/>
              <w:ind w:left="601"/>
              <w:rPr>
                <w:sz w:val="20"/>
              </w:rPr>
            </w:pPr>
            <w:r>
              <w:rPr>
                <w:sz w:val="20"/>
              </w:rPr>
              <w:t>Northland Waste</w:t>
            </w:r>
          </w:p>
        </w:tc>
      </w:tr>
      <w:tr>
        <w:trPr>
          <w:trHeight w:val="284" w:hRule="exact"/>
        </w:trPr>
        <w:tc>
          <w:tcPr>
            <w:tcW w:w="3404" w:type="dxa"/>
          </w:tcPr>
          <w:p>
            <w:pPr>
              <w:pStyle w:val="TableParagraph"/>
              <w:spacing w:before="2"/>
              <w:ind w:left="200"/>
              <w:rPr>
                <w:b/>
                <w:sz w:val="20"/>
              </w:rPr>
            </w:pPr>
            <w:r>
              <w:rPr>
                <w:b/>
                <w:sz w:val="20"/>
              </w:rPr>
              <w:t>Glass industry</w:t>
            </w:r>
          </w:p>
        </w:tc>
        <w:tc>
          <w:tcPr>
            <w:tcW w:w="4150" w:type="dxa"/>
          </w:tcPr>
          <w:p>
            <w:pPr>
              <w:pStyle w:val="TableParagraph"/>
              <w:spacing w:before="2"/>
              <w:ind w:left="601"/>
              <w:rPr>
                <w:b/>
                <w:sz w:val="20"/>
              </w:rPr>
            </w:pPr>
            <w:r>
              <w:rPr>
                <w:b/>
                <w:sz w:val="20"/>
              </w:rPr>
              <w:t>Other stakeholders and industry experts</w:t>
            </w:r>
          </w:p>
        </w:tc>
      </w:tr>
      <w:tr>
        <w:trPr>
          <w:trHeight w:val="283" w:hRule="exact"/>
        </w:trPr>
        <w:tc>
          <w:tcPr>
            <w:tcW w:w="3404" w:type="dxa"/>
          </w:tcPr>
          <w:p>
            <w:pPr>
              <w:pStyle w:val="TableParagraph"/>
              <w:spacing w:before="1"/>
              <w:ind w:left="200"/>
              <w:rPr>
                <w:sz w:val="20"/>
              </w:rPr>
            </w:pPr>
            <w:r>
              <w:rPr>
                <w:sz w:val="20"/>
              </w:rPr>
              <w:t>Glass Packaging Forum</w:t>
            </w:r>
          </w:p>
        </w:tc>
        <w:tc>
          <w:tcPr>
            <w:tcW w:w="4150" w:type="dxa"/>
          </w:tcPr>
          <w:p>
            <w:pPr>
              <w:pStyle w:val="TableParagraph"/>
              <w:spacing w:before="1"/>
              <w:ind w:left="601"/>
              <w:rPr>
                <w:sz w:val="20"/>
              </w:rPr>
            </w:pPr>
            <w:r>
              <w:rPr>
                <w:sz w:val="20"/>
              </w:rPr>
              <w:t>Para Kore</w:t>
            </w:r>
          </w:p>
        </w:tc>
      </w:tr>
      <w:tr>
        <w:trPr>
          <w:trHeight w:val="284" w:hRule="exact"/>
        </w:trPr>
        <w:tc>
          <w:tcPr>
            <w:tcW w:w="3404" w:type="dxa"/>
          </w:tcPr>
          <w:p>
            <w:pPr>
              <w:pStyle w:val="TableParagraph"/>
              <w:spacing w:before="1"/>
              <w:ind w:left="200"/>
              <w:rPr>
                <w:sz w:val="20"/>
              </w:rPr>
            </w:pPr>
            <w:r>
              <w:rPr>
                <w:sz w:val="20"/>
              </w:rPr>
              <w:t>Visy</w:t>
            </w:r>
          </w:p>
        </w:tc>
        <w:tc>
          <w:tcPr>
            <w:tcW w:w="4150" w:type="dxa"/>
          </w:tcPr>
          <w:p>
            <w:pPr>
              <w:pStyle w:val="TableParagraph"/>
              <w:spacing w:before="1"/>
              <w:ind w:left="601"/>
              <w:rPr>
                <w:sz w:val="20"/>
              </w:rPr>
            </w:pPr>
            <w:r>
              <w:rPr>
                <w:sz w:val="20"/>
              </w:rPr>
              <w:t>Waste Not Consulting</w:t>
            </w:r>
          </w:p>
        </w:tc>
      </w:tr>
      <w:tr>
        <w:trPr>
          <w:trHeight w:val="507" w:hRule="exact"/>
        </w:trPr>
        <w:tc>
          <w:tcPr>
            <w:tcW w:w="3404" w:type="dxa"/>
          </w:tcPr>
          <w:p>
            <w:pPr>
              <w:pStyle w:val="TableParagraph"/>
              <w:spacing w:before="2"/>
              <w:ind w:left="200"/>
              <w:rPr>
                <w:sz w:val="20"/>
              </w:rPr>
            </w:pPr>
            <w:r>
              <w:rPr>
                <w:sz w:val="20"/>
              </w:rPr>
              <w:t>OI</w:t>
            </w:r>
          </w:p>
        </w:tc>
        <w:tc>
          <w:tcPr>
            <w:tcW w:w="4150" w:type="dxa"/>
          </w:tcPr>
          <w:p>
            <w:pPr>
              <w:pStyle w:val="TableParagraph"/>
              <w:spacing w:line="259" w:lineRule="auto" w:before="2"/>
              <w:ind w:left="601" w:right="12"/>
              <w:rPr>
                <w:sz w:val="20"/>
              </w:rPr>
            </w:pPr>
            <w:r>
              <w:rPr>
                <w:sz w:val="20"/>
              </w:rPr>
              <w:t>Eunomia Research and Consulting Container Return Scheme Working Group</w:t>
            </w:r>
          </w:p>
        </w:tc>
      </w:tr>
    </w:tbl>
    <w:p>
      <w:pPr>
        <w:spacing w:after="0" w:line="259" w:lineRule="auto"/>
        <w:rPr>
          <w:sz w:val="20"/>
        </w:rPr>
        <w:sectPr>
          <w:footerReference w:type="default" r:id="rId49"/>
          <w:pgSz w:w="11910" w:h="16840"/>
          <w:pgMar w:footer="698" w:header="576" w:top="1140" w:bottom="880" w:left="880" w:right="1320"/>
          <w:pgNumType w:start="51"/>
        </w:sectPr>
      </w:pPr>
    </w:p>
    <w:p>
      <w:pPr>
        <w:pStyle w:val="BodyText"/>
      </w:pPr>
    </w:p>
    <w:p>
      <w:pPr>
        <w:pStyle w:val="BodyText"/>
        <w:spacing w:before="11"/>
        <w:rPr>
          <w:sz w:val="26"/>
        </w:rPr>
      </w:pPr>
    </w:p>
    <w:p>
      <w:pPr>
        <w:pStyle w:val="Heading1"/>
        <w:spacing w:before="89"/>
        <w:ind w:right="483"/>
      </w:pPr>
      <w:r>
        <w:rPr/>
        <w:pict>
          <v:group style="position:absolute;margin-left:57.102001pt;margin-top:3.783779pt;width:1.5pt;height:43.05pt;mso-position-horizontal-relative:page;mso-position-vertical-relative:paragraph;z-index:1792" coordorigin="1142,76" coordsize="30,861">
            <v:line style="position:absolute" from="1157,91" to="1157,503" stroked="true" strokeweight="1.464pt" strokecolor="#ed7d31">
              <v:stroke dashstyle="solid"/>
            </v:line>
            <v:line style="position:absolute" from="1157,503" to="1157,921" stroked="true" strokeweight="1.464pt" strokecolor="#ed7d31">
              <v:stroke dashstyle="solid"/>
            </v:line>
            <w10:wrap type="none"/>
          </v:group>
        </w:pict>
      </w:r>
      <w:bookmarkStart w:name="APPENDIX D – LOCAL AUTHORITY ATTENDENCE " w:id="144"/>
      <w:bookmarkEnd w:id="144"/>
      <w:r>
        <w:rPr/>
      </w:r>
      <w:bookmarkStart w:name="_bookmark49" w:id="145"/>
      <w:bookmarkEnd w:id="145"/>
      <w:r>
        <w:rPr/>
      </w:r>
      <w:r>
        <w:rPr/>
        <w:t>APPENDIX D – LOCAL AUTHORITY ATTENDENCE AT HUI</w:t>
      </w:r>
    </w:p>
    <w:p>
      <w:pPr>
        <w:pStyle w:val="BodyText"/>
        <w:spacing w:before="3"/>
        <w:rPr>
          <w:rFonts w:ascii="Arial"/>
          <w:sz w:val="26"/>
        </w:rPr>
      </w:pPr>
    </w:p>
    <w:p>
      <w:pPr>
        <w:pStyle w:val="BodyText"/>
        <w:spacing w:before="60"/>
        <w:ind w:left="560"/>
      </w:pPr>
      <w:r>
        <w:rPr/>
        <w:t>Representatives from the following local authorities attended the hui:</w:t>
      </w:r>
    </w:p>
    <w:p>
      <w:pPr>
        <w:pStyle w:val="BodyText"/>
        <w:spacing w:before="9"/>
        <w:rPr>
          <w:sz w:val="17"/>
        </w:rPr>
      </w:pPr>
    </w:p>
    <w:tbl>
      <w:tblPr>
        <w:tblW w:w="0" w:type="auto"/>
        <w:jc w:val="left"/>
        <w:tblInd w:w="11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16"/>
        <w:gridCol w:w="3869"/>
      </w:tblGrid>
      <w:tr>
        <w:trPr>
          <w:trHeight w:val="221" w:hRule="exact"/>
        </w:trPr>
        <w:tc>
          <w:tcPr>
            <w:tcW w:w="3716" w:type="dxa"/>
          </w:tcPr>
          <w:p>
            <w:pPr>
              <w:pStyle w:val="TableParagraph"/>
              <w:spacing w:line="203" w:lineRule="exact"/>
              <w:ind w:left="200"/>
              <w:rPr>
                <w:sz w:val="20"/>
              </w:rPr>
            </w:pPr>
            <w:r>
              <w:rPr>
                <w:sz w:val="20"/>
              </w:rPr>
              <w:t>Ashburton District Council</w:t>
            </w:r>
          </w:p>
        </w:tc>
        <w:tc>
          <w:tcPr>
            <w:tcW w:w="3869" w:type="dxa"/>
          </w:tcPr>
          <w:p>
            <w:pPr>
              <w:pStyle w:val="TableParagraph"/>
              <w:spacing w:line="203" w:lineRule="exact"/>
              <w:ind w:left="596"/>
              <w:rPr>
                <w:sz w:val="20"/>
              </w:rPr>
            </w:pPr>
            <w:r>
              <w:rPr>
                <w:sz w:val="20"/>
              </w:rPr>
              <w:t>New Plymouth District Council</w:t>
            </w:r>
          </w:p>
        </w:tc>
      </w:tr>
      <w:tr>
        <w:trPr>
          <w:trHeight w:val="244" w:hRule="exact"/>
        </w:trPr>
        <w:tc>
          <w:tcPr>
            <w:tcW w:w="3716" w:type="dxa"/>
          </w:tcPr>
          <w:p>
            <w:pPr>
              <w:pStyle w:val="TableParagraph"/>
              <w:spacing w:line="225" w:lineRule="exact"/>
              <w:ind w:left="200"/>
              <w:rPr>
                <w:sz w:val="20"/>
              </w:rPr>
            </w:pPr>
            <w:r>
              <w:rPr>
                <w:sz w:val="20"/>
              </w:rPr>
              <w:t>Auckland Council</w:t>
            </w:r>
          </w:p>
        </w:tc>
        <w:tc>
          <w:tcPr>
            <w:tcW w:w="3869" w:type="dxa"/>
          </w:tcPr>
          <w:p>
            <w:pPr>
              <w:pStyle w:val="TableParagraph"/>
              <w:spacing w:line="225" w:lineRule="exact"/>
              <w:ind w:left="596"/>
              <w:rPr>
                <w:sz w:val="20"/>
              </w:rPr>
            </w:pPr>
            <w:r>
              <w:rPr>
                <w:sz w:val="20"/>
              </w:rPr>
              <w:t>Northland Regional Council</w:t>
            </w:r>
          </w:p>
        </w:tc>
      </w:tr>
      <w:tr>
        <w:trPr>
          <w:trHeight w:val="245" w:hRule="exact"/>
        </w:trPr>
        <w:tc>
          <w:tcPr>
            <w:tcW w:w="3716" w:type="dxa"/>
          </w:tcPr>
          <w:p>
            <w:pPr>
              <w:pStyle w:val="TableParagraph"/>
              <w:spacing w:line="226" w:lineRule="exact"/>
              <w:ind w:left="200"/>
              <w:rPr>
                <w:sz w:val="20"/>
              </w:rPr>
            </w:pPr>
            <w:r>
              <w:rPr>
                <w:sz w:val="20"/>
              </w:rPr>
              <w:t>Buller District Council</w:t>
            </w:r>
          </w:p>
        </w:tc>
        <w:tc>
          <w:tcPr>
            <w:tcW w:w="3869" w:type="dxa"/>
          </w:tcPr>
          <w:p>
            <w:pPr>
              <w:pStyle w:val="TableParagraph"/>
              <w:spacing w:line="226" w:lineRule="exact"/>
              <w:ind w:left="596"/>
              <w:rPr>
                <w:sz w:val="20"/>
              </w:rPr>
            </w:pPr>
            <w:r>
              <w:rPr>
                <w:sz w:val="20"/>
              </w:rPr>
              <w:t>Palmerston North City Council</w:t>
            </w:r>
          </w:p>
        </w:tc>
      </w:tr>
      <w:tr>
        <w:trPr>
          <w:trHeight w:val="245" w:hRule="exact"/>
        </w:trPr>
        <w:tc>
          <w:tcPr>
            <w:tcW w:w="3716" w:type="dxa"/>
          </w:tcPr>
          <w:p>
            <w:pPr>
              <w:pStyle w:val="TableParagraph"/>
              <w:spacing w:line="226" w:lineRule="exact"/>
              <w:ind w:left="200"/>
              <w:rPr>
                <w:sz w:val="20"/>
              </w:rPr>
            </w:pPr>
            <w:r>
              <w:rPr>
                <w:sz w:val="20"/>
              </w:rPr>
              <w:t>Central Hawke's Bay District Council</w:t>
            </w:r>
          </w:p>
        </w:tc>
        <w:tc>
          <w:tcPr>
            <w:tcW w:w="3869" w:type="dxa"/>
          </w:tcPr>
          <w:p>
            <w:pPr>
              <w:pStyle w:val="TableParagraph"/>
              <w:spacing w:line="226" w:lineRule="exact"/>
              <w:ind w:left="596"/>
              <w:rPr>
                <w:sz w:val="20"/>
              </w:rPr>
            </w:pPr>
            <w:r>
              <w:rPr>
                <w:sz w:val="20"/>
              </w:rPr>
              <w:t>Porirua City Council</w:t>
            </w:r>
          </w:p>
        </w:tc>
      </w:tr>
      <w:tr>
        <w:trPr>
          <w:trHeight w:val="244" w:hRule="exact"/>
        </w:trPr>
        <w:tc>
          <w:tcPr>
            <w:tcW w:w="3716" w:type="dxa"/>
          </w:tcPr>
          <w:p>
            <w:pPr>
              <w:pStyle w:val="TableParagraph"/>
              <w:spacing w:line="226" w:lineRule="exact"/>
              <w:ind w:left="200"/>
              <w:rPr>
                <w:sz w:val="20"/>
              </w:rPr>
            </w:pPr>
            <w:r>
              <w:rPr>
                <w:sz w:val="20"/>
              </w:rPr>
              <w:t>Central Otago District Council</w:t>
            </w:r>
          </w:p>
        </w:tc>
        <w:tc>
          <w:tcPr>
            <w:tcW w:w="3869" w:type="dxa"/>
          </w:tcPr>
          <w:p>
            <w:pPr>
              <w:pStyle w:val="TableParagraph"/>
              <w:spacing w:line="226" w:lineRule="exact"/>
              <w:ind w:left="596"/>
              <w:rPr>
                <w:sz w:val="20"/>
              </w:rPr>
            </w:pPr>
            <w:r>
              <w:rPr>
                <w:sz w:val="20"/>
              </w:rPr>
              <w:t>Queenstown District Council</w:t>
            </w:r>
          </w:p>
        </w:tc>
      </w:tr>
      <w:tr>
        <w:trPr>
          <w:trHeight w:val="244" w:hRule="exact"/>
        </w:trPr>
        <w:tc>
          <w:tcPr>
            <w:tcW w:w="3716" w:type="dxa"/>
          </w:tcPr>
          <w:p>
            <w:pPr>
              <w:pStyle w:val="TableParagraph"/>
              <w:spacing w:line="225" w:lineRule="exact"/>
              <w:ind w:left="200"/>
              <w:rPr>
                <w:sz w:val="20"/>
              </w:rPr>
            </w:pPr>
            <w:r>
              <w:rPr>
                <w:sz w:val="20"/>
              </w:rPr>
              <w:t>Christchurch City Council</w:t>
            </w:r>
          </w:p>
        </w:tc>
        <w:tc>
          <w:tcPr>
            <w:tcW w:w="3869" w:type="dxa"/>
          </w:tcPr>
          <w:p>
            <w:pPr>
              <w:pStyle w:val="TableParagraph"/>
              <w:spacing w:line="225" w:lineRule="exact"/>
              <w:ind w:left="596"/>
              <w:rPr>
                <w:sz w:val="20"/>
              </w:rPr>
            </w:pPr>
            <w:r>
              <w:rPr>
                <w:sz w:val="20"/>
              </w:rPr>
              <w:t>Rangitikei District Council</w:t>
            </w:r>
          </w:p>
        </w:tc>
      </w:tr>
      <w:tr>
        <w:trPr>
          <w:trHeight w:val="245" w:hRule="exact"/>
        </w:trPr>
        <w:tc>
          <w:tcPr>
            <w:tcW w:w="3716" w:type="dxa"/>
          </w:tcPr>
          <w:p>
            <w:pPr>
              <w:pStyle w:val="TableParagraph"/>
              <w:spacing w:line="226" w:lineRule="exact"/>
              <w:ind w:left="200"/>
              <w:rPr>
                <w:sz w:val="20"/>
              </w:rPr>
            </w:pPr>
            <w:r>
              <w:rPr>
                <w:sz w:val="20"/>
              </w:rPr>
              <w:t>Clutha District Council</w:t>
            </w:r>
          </w:p>
        </w:tc>
        <w:tc>
          <w:tcPr>
            <w:tcW w:w="3869" w:type="dxa"/>
          </w:tcPr>
          <w:p>
            <w:pPr>
              <w:pStyle w:val="TableParagraph"/>
              <w:spacing w:line="226" w:lineRule="exact"/>
              <w:ind w:left="596"/>
              <w:rPr>
                <w:sz w:val="20"/>
              </w:rPr>
            </w:pPr>
            <w:r>
              <w:rPr>
                <w:sz w:val="20"/>
              </w:rPr>
              <w:t>Rotorua District Council</w:t>
            </w:r>
          </w:p>
        </w:tc>
      </w:tr>
      <w:tr>
        <w:trPr>
          <w:trHeight w:val="244" w:hRule="exact"/>
        </w:trPr>
        <w:tc>
          <w:tcPr>
            <w:tcW w:w="3716" w:type="dxa"/>
          </w:tcPr>
          <w:p>
            <w:pPr>
              <w:pStyle w:val="TableParagraph"/>
              <w:spacing w:line="226" w:lineRule="exact"/>
              <w:ind w:left="200"/>
              <w:rPr>
                <w:sz w:val="20"/>
              </w:rPr>
            </w:pPr>
            <w:r>
              <w:rPr>
                <w:sz w:val="20"/>
              </w:rPr>
              <w:t>Dunedin City Council</w:t>
            </w:r>
          </w:p>
        </w:tc>
        <w:tc>
          <w:tcPr>
            <w:tcW w:w="3869" w:type="dxa"/>
          </w:tcPr>
          <w:p>
            <w:pPr>
              <w:pStyle w:val="TableParagraph"/>
              <w:spacing w:line="226" w:lineRule="exact"/>
              <w:ind w:left="596"/>
              <w:rPr>
                <w:sz w:val="20"/>
              </w:rPr>
            </w:pPr>
            <w:r>
              <w:rPr>
                <w:sz w:val="20"/>
              </w:rPr>
              <w:t>Selwyn District Council</w:t>
            </w:r>
          </w:p>
        </w:tc>
      </w:tr>
      <w:tr>
        <w:trPr>
          <w:trHeight w:val="244" w:hRule="exact"/>
        </w:trPr>
        <w:tc>
          <w:tcPr>
            <w:tcW w:w="3716" w:type="dxa"/>
          </w:tcPr>
          <w:p>
            <w:pPr>
              <w:pStyle w:val="TableParagraph"/>
              <w:spacing w:line="225" w:lineRule="exact"/>
              <w:ind w:left="200"/>
              <w:rPr>
                <w:sz w:val="20"/>
              </w:rPr>
            </w:pPr>
            <w:r>
              <w:rPr>
                <w:sz w:val="20"/>
              </w:rPr>
              <w:t>Far North District Council</w:t>
            </w:r>
          </w:p>
        </w:tc>
        <w:tc>
          <w:tcPr>
            <w:tcW w:w="3869" w:type="dxa"/>
          </w:tcPr>
          <w:p>
            <w:pPr>
              <w:pStyle w:val="TableParagraph"/>
              <w:spacing w:line="225" w:lineRule="exact"/>
              <w:ind w:left="596"/>
              <w:rPr>
                <w:sz w:val="20"/>
              </w:rPr>
            </w:pPr>
            <w:r>
              <w:rPr>
                <w:sz w:val="20"/>
              </w:rPr>
              <w:t>South Taranaki District Council</w:t>
            </w:r>
          </w:p>
        </w:tc>
      </w:tr>
      <w:tr>
        <w:trPr>
          <w:trHeight w:val="245" w:hRule="exact"/>
        </w:trPr>
        <w:tc>
          <w:tcPr>
            <w:tcW w:w="3716" w:type="dxa"/>
          </w:tcPr>
          <w:p>
            <w:pPr>
              <w:pStyle w:val="TableParagraph"/>
              <w:spacing w:line="226" w:lineRule="exact"/>
              <w:ind w:left="200"/>
              <w:rPr>
                <w:sz w:val="20"/>
              </w:rPr>
            </w:pPr>
            <w:r>
              <w:rPr>
                <w:sz w:val="20"/>
              </w:rPr>
              <w:t>Gisborne District Council</w:t>
            </w:r>
          </w:p>
        </w:tc>
        <w:tc>
          <w:tcPr>
            <w:tcW w:w="3869" w:type="dxa"/>
          </w:tcPr>
          <w:p>
            <w:pPr>
              <w:pStyle w:val="TableParagraph"/>
              <w:spacing w:line="226" w:lineRule="exact"/>
              <w:ind w:left="596"/>
              <w:rPr>
                <w:sz w:val="20"/>
              </w:rPr>
            </w:pPr>
            <w:r>
              <w:rPr>
                <w:sz w:val="20"/>
              </w:rPr>
              <w:t>South Wairarapa District Council</w:t>
            </w:r>
          </w:p>
        </w:tc>
      </w:tr>
      <w:tr>
        <w:trPr>
          <w:trHeight w:val="245" w:hRule="exact"/>
        </w:trPr>
        <w:tc>
          <w:tcPr>
            <w:tcW w:w="3716" w:type="dxa"/>
          </w:tcPr>
          <w:p>
            <w:pPr>
              <w:pStyle w:val="TableParagraph"/>
              <w:spacing w:line="226" w:lineRule="exact"/>
              <w:ind w:left="200"/>
              <w:rPr>
                <w:sz w:val="20"/>
              </w:rPr>
            </w:pPr>
            <w:r>
              <w:rPr>
                <w:sz w:val="20"/>
              </w:rPr>
              <w:t>Gore District Council</w:t>
            </w:r>
          </w:p>
        </w:tc>
        <w:tc>
          <w:tcPr>
            <w:tcW w:w="3869" w:type="dxa"/>
          </w:tcPr>
          <w:p>
            <w:pPr>
              <w:pStyle w:val="TableParagraph"/>
              <w:spacing w:line="226" w:lineRule="exact"/>
              <w:ind w:left="596"/>
              <w:rPr>
                <w:sz w:val="20"/>
              </w:rPr>
            </w:pPr>
            <w:r>
              <w:rPr>
                <w:sz w:val="20"/>
              </w:rPr>
              <w:t>Southland District Council</w:t>
            </w:r>
          </w:p>
        </w:tc>
      </w:tr>
      <w:tr>
        <w:trPr>
          <w:trHeight w:val="244" w:hRule="exact"/>
        </w:trPr>
        <w:tc>
          <w:tcPr>
            <w:tcW w:w="3716" w:type="dxa"/>
          </w:tcPr>
          <w:p>
            <w:pPr>
              <w:pStyle w:val="TableParagraph"/>
              <w:spacing w:line="226" w:lineRule="exact"/>
              <w:ind w:left="200"/>
              <w:rPr>
                <w:sz w:val="20"/>
              </w:rPr>
            </w:pPr>
            <w:r>
              <w:rPr>
                <w:sz w:val="20"/>
              </w:rPr>
              <w:t>Grey District Council</w:t>
            </w:r>
          </w:p>
        </w:tc>
        <w:tc>
          <w:tcPr>
            <w:tcW w:w="3869" w:type="dxa"/>
          </w:tcPr>
          <w:p>
            <w:pPr>
              <w:pStyle w:val="TableParagraph"/>
              <w:spacing w:line="226" w:lineRule="exact"/>
              <w:ind w:left="596"/>
              <w:rPr>
                <w:sz w:val="20"/>
              </w:rPr>
            </w:pPr>
            <w:r>
              <w:rPr>
                <w:sz w:val="20"/>
              </w:rPr>
              <w:t>Tararua District Council</w:t>
            </w:r>
          </w:p>
        </w:tc>
      </w:tr>
      <w:tr>
        <w:trPr>
          <w:trHeight w:val="244" w:hRule="exact"/>
        </w:trPr>
        <w:tc>
          <w:tcPr>
            <w:tcW w:w="3716" w:type="dxa"/>
          </w:tcPr>
          <w:p>
            <w:pPr>
              <w:pStyle w:val="TableParagraph"/>
              <w:spacing w:line="225" w:lineRule="exact"/>
              <w:ind w:left="200"/>
              <w:rPr>
                <w:sz w:val="20"/>
              </w:rPr>
            </w:pPr>
            <w:r>
              <w:rPr>
                <w:sz w:val="20"/>
              </w:rPr>
              <w:t>Hamilton City Council</w:t>
            </w:r>
          </w:p>
        </w:tc>
        <w:tc>
          <w:tcPr>
            <w:tcW w:w="3869" w:type="dxa"/>
          </w:tcPr>
          <w:p>
            <w:pPr>
              <w:pStyle w:val="TableParagraph"/>
              <w:spacing w:line="225" w:lineRule="exact"/>
              <w:ind w:left="596"/>
              <w:rPr>
                <w:sz w:val="20"/>
              </w:rPr>
            </w:pPr>
            <w:r>
              <w:rPr>
                <w:sz w:val="20"/>
              </w:rPr>
              <w:t>Tasman District Council</w:t>
            </w:r>
          </w:p>
        </w:tc>
      </w:tr>
      <w:tr>
        <w:trPr>
          <w:trHeight w:val="245" w:hRule="exact"/>
        </w:trPr>
        <w:tc>
          <w:tcPr>
            <w:tcW w:w="3716" w:type="dxa"/>
          </w:tcPr>
          <w:p>
            <w:pPr>
              <w:pStyle w:val="TableParagraph"/>
              <w:spacing w:line="226" w:lineRule="exact"/>
              <w:ind w:left="200"/>
              <w:rPr>
                <w:sz w:val="20"/>
              </w:rPr>
            </w:pPr>
            <w:r>
              <w:rPr>
                <w:sz w:val="20"/>
              </w:rPr>
              <w:t>Hastings District Council</w:t>
            </w:r>
          </w:p>
        </w:tc>
        <w:tc>
          <w:tcPr>
            <w:tcW w:w="3869" w:type="dxa"/>
          </w:tcPr>
          <w:p>
            <w:pPr>
              <w:pStyle w:val="TableParagraph"/>
              <w:spacing w:line="226" w:lineRule="exact"/>
              <w:ind w:left="596"/>
              <w:rPr>
                <w:sz w:val="20"/>
              </w:rPr>
            </w:pPr>
            <w:r>
              <w:rPr>
                <w:sz w:val="20"/>
              </w:rPr>
              <w:t>Taupo District Council</w:t>
            </w:r>
          </w:p>
        </w:tc>
      </w:tr>
      <w:tr>
        <w:trPr>
          <w:trHeight w:val="245" w:hRule="exact"/>
        </w:trPr>
        <w:tc>
          <w:tcPr>
            <w:tcW w:w="3716" w:type="dxa"/>
          </w:tcPr>
          <w:p>
            <w:pPr>
              <w:pStyle w:val="TableParagraph"/>
              <w:spacing w:line="226" w:lineRule="exact"/>
              <w:ind w:left="200"/>
              <w:rPr>
                <w:sz w:val="20"/>
              </w:rPr>
            </w:pPr>
            <w:r>
              <w:rPr>
                <w:sz w:val="20"/>
              </w:rPr>
              <w:t>Hauraki District Council</w:t>
            </w:r>
          </w:p>
        </w:tc>
        <w:tc>
          <w:tcPr>
            <w:tcW w:w="3869" w:type="dxa"/>
          </w:tcPr>
          <w:p>
            <w:pPr>
              <w:pStyle w:val="TableParagraph"/>
              <w:spacing w:line="226" w:lineRule="exact"/>
              <w:ind w:left="596"/>
              <w:rPr>
                <w:sz w:val="20"/>
              </w:rPr>
            </w:pPr>
            <w:r>
              <w:rPr>
                <w:sz w:val="20"/>
              </w:rPr>
              <w:t>Tauranga City Council</w:t>
            </w:r>
          </w:p>
        </w:tc>
      </w:tr>
      <w:tr>
        <w:trPr>
          <w:trHeight w:val="244" w:hRule="exact"/>
        </w:trPr>
        <w:tc>
          <w:tcPr>
            <w:tcW w:w="3716" w:type="dxa"/>
          </w:tcPr>
          <w:p>
            <w:pPr>
              <w:pStyle w:val="TableParagraph"/>
              <w:spacing w:line="226" w:lineRule="exact"/>
              <w:ind w:left="200"/>
              <w:rPr>
                <w:sz w:val="20"/>
              </w:rPr>
            </w:pPr>
            <w:r>
              <w:rPr>
                <w:sz w:val="20"/>
              </w:rPr>
              <w:t>Horowhenua District Council</w:t>
            </w:r>
          </w:p>
        </w:tc>
        <w:tc>
          <w:tcPr>
            <w:tcW w:w="3869" w:type="dxa"/>
          </w:tcPr>
          <w:p>
            <w:pPr>
              <w:pStyle w:val="TableParagraph"/>
              <w:spacing w:line="226" w:lineRule="exact"/>
              <w:ind w:left="596"/>
              <w:rPr>
                <w:sz w:val="20"/>
              </w:rPr>
            </w:pPr>
            <w:r>
              <w:rPr>
                <w:sz w:val="20"/>
              </w:rPr>
              <w:t>Timaru District Council</w:t>
            </w:r>
          </w:p>
        </w:tc>
      </w:tr>
      <w:tr>
        <w:trPr>
          <w:trHeight w:val="244" w:hRule="exact"/>
        </w:trPr>
        <w:tc>
          <w:tcPr>
            <w:tcW w:w="3716" w:type="dxa"/>
          </w:tcPr>
          <w:p>
            <w:pPr>
              <w:pStyle w:val="TableParagraph"/>
              <w:spacing w:line="225" w:lineRule="exact"/>
              <w:ind w:left="200"/>
              <w:rPr>
                <w:sz w:val="20"/>
              </w:rPr>
            </w:pPr>
            <w:r>
              <w:rPr>
                <w:sz w:val="20"/>
              </w:rPr>
              <w:t>Hutt City Council</w:t>
            </w:r>
          </w:p>
        </w:tc>
        <w:tc>
          <w:tcPr>
            <w:tcW w:w="3869" w:type="dxa"/>
          </w:tcPr>
          <w:p>
            <w:pPr>
              <w:pStyle w:val="TableParagraph"/>
              <w:spacing w:line="225" w:lineRule="exact"/>
              <w:ind w:left="596"/>
              <w:rPr>
                <w:sz w:val="20"/>
              </w:rPr>
            </w:pPr>
            <w:r>
              <w:rPr>
                <w:sz w:val="20"/>
              </w:rPr>
              <w:t>Upper Hutt City Council</w:t>
            </w:r>
          </w:p>
        </w:tc>
      </w:tr>
      <w:tr>
        <w:trPr>
          <w:trHeight w:val="245" w:hRule="exact"/>
        </w:trPr>
        <w:tc>
          <w:tcPr>
            <w:tcW w:w="3716" w:type="dxa"/>
          </w:tcPr>
          <w:p>
            <w:pPr>
              <w:pStyle w:val="TableParagraph"/>
              <w:spacing w:line="226" w:lineRule="exact"/>
              <w:ind w:left="200"/>
              <w:rPr>
                <w:sz w:val="20"/>
              </w:rPr>
            </w:pPr>
            <w:r>
              <w:rPr>
                <w:sz w:val="20"/>
              </w:rPr>
              <w:t>Invercargill City Council</w:t>
            </w:r>
          </w:p>
        </w:tc>
        <w:tc>
          <w:tcPr>
            <w:tcW w:w="3869" w:type="dxa"/>
          </w:tcPr>
          <w:p>
            <w:pPr>
              <w:pStyle w:val="TableParagraph"/>
              <w:spacing w:line="226" w:lineRule="exact"/>
              <w:ind w:left="596"/>
              <w:rPr>
                <w:sz w:val="20"/>
              </w:rPr>
            </w:pPr>
            <w:r>
              <w:rPr>
                <w:sz w:val="20"/>
              </w:rPr>
              <w:t>Waikato Regional Council</w:t>
            </w:r>
          </w:p>
        </w:tc>
      </w:tr>
      <w:tr>
        <w:trPr>
          <w:trHeight w:val="244" w:hRule="exact"/>
        </w:trPr>
        <w:tc>
          <w:tcPr>
            <w:tcW w:w="3716" w:type="dxa"/>
          </w:tcPr>
          <w:p>
            <w:pPr>
              <w:pStyle w:val="TableParagraph"/>
              <w:spacing w:line="226" w:lineRule="exact"/>
              <w:ind w:left="200"/>
              <w:rPr>
                <w:sz w:val="20"/>
              </w:rPr>
            </w:pPr>
            <w:r>
              <w:rPr>
                <w:sz w:val="20"/>
              </w:rPr>
              <w:t>Kaipara District Council</w:t>
            </w:r>
          </w:p>
        </w:tc>
        <w:tc>
          <w:tcPr>
            <w:tcW w:w="3869" w:type="dxa"/>
          </w:tcPr>
          <w:p>
            <w:pPr>
              <w:pStyle w:val="TableParagraph"/>
              <w:spacing w:line="226" w:lineRule="exact"/>
              <w:ind w:left="596"/>
              <w:rPr>
                <w:sz w:val="20"/>
              </w:rPr>
            </w:pPr>
            <w:r>
              <w:rPr>
                <w:sz w:val="20"/>
              </w:rPr>
              <w:t>Waimakariri District Council</w:t>
            </w:r>
          </w:p>
        </w:tc>
      </w:tr>
      <w:tr>
        <w:trPr>
          <w:trHeight w:val="244" w:hRule="exact"/>
        </w:trPr>
        <w:tc>
          <w:tcPr>
            <w:tcW w:w="3716" w:type="dxa"/>
          </w:tcPr>
          <w:p>
            <w:pPr>
              <w:pStyle w:val="TableParagraph"/>
              <w:spacing w:line="225" w:lineRule="exact"/>
              <w:ind w:left="200"/>
              <w:rPr>
                <w:sz w:val="20"/>
              </w:rPr>
            </w:pPr>
            <w:r>
              <w:rPr>
                <w:sz w:val="20"/>
              </w:rPr>
              <w:t>Kapiti Coast District Council</w:t>
            </w:r>
          </w:p>
        </w:tc>
        <w:tc>
          <w:tcPr>
            <w:tcW w:w="3869" w:type="dxa"/>
          </w:tcPr>
          <w:p>
            <w:pPr>
              <w:pStyle w:val="TableParagraph"/>
              <w:spacing w:line="225" w:lineRule="exact"/>
              <w:ind w:left="596"/>
              <w:rPr>
                <w:sz w:val="20"/>
              </w:rPr>
            </w:pPr>
            <w:r>
              <w:rPr>
                <w:sz w:val="20"/>
              </w:rPr>
              <w:t>Waipa District Council</w:t>
            </w:r>
          </w:p>
        </w:tc>
      </w:tr>
      <w:tr>
        <w:trPr>
          <w:trHeight w:val="245" w:hRule="exact"/>
        </w:trPr>
        <w:tc>
          <w:tcPr>
            <w:tcW w:w="3716" w:type="dxa"/>
          </w:tcPr>
          <w:p>
            <w:pPr>
              <w:pStyle w:val="TableParagraph"/>
              <w:spacing w:line="226" w:lineRule="exact"/>
              <w:ind w:left="200"/>
              <w:rPr>
                <w:sz w:val="20"/>
              </w:rPr>
            </w:pPr>
            <w:r>
              <w:rPr>
                <w:sz w:val="20"/>
              </w:rPr>
              <w:t>Kawerau District Council</w:t>
            </w:r>
          </w:p>
        </w:tc>
        <w:tc>
          <w:tcPr>
            <w:tcW w:w="3869" w:type="dxa"/>
          </w:tcPr>
          <w:p>
            <w:pPr>
              <w:pStyle w:val="TableParagraph"/>
              <w:spacing w:line="226" w:lineRule="exact"/>
              <w:ind w:left="596"/>
              <w:rPr>
                <w:sz w:val="20"/>
              </w:rPr>
            </w:pPr>
            <w:r>
              <w:rPr>
                <w:sz w:val="20"/>
              </w:rPr>
              <w:t>Wairoa District Council</w:t>
            </w:r>
          </w:p>
        </w:tc>
      </w:tr>
      <w:tr>
        <w:trPr>
          <w:trHeight w:val="245" w:hRule="exact"/>
        </w:trPr>
        <w:tc>
          <w:tcPr>
            <w:tcW w:w="3716" w:type="dxa"/>
          </w:tcPr>
          <w:p>
            <w:pPr>
              <w:pStyle w:val="TableParagraph"/>
              <w:spacing w:line="226" w:lineRule="exact"/>
              <w:ind w:left="200"/>
              <w:rPr>
                <w:sz w:val="20"/>
              </w:rPr>
            </w:pPr>
            <w:r>
              <w:rPr>
                <w:sz w:val="20"/>
              </w:rPr>
              <w:t>Mackenzie District Council</w:t>
            </w:r>
          </w:p>
        </w:tc>
        <w:tc>
          <w:tcPr>
            <w:tcW w:w="3869" w:type="dxa"/>
          </w:tcPr>
          <w:p>
            <w:pPr>
              <w:pStyle w:val="TableParagraph"/>
              <w:spacing w:line="226" w:lineRule="exact"/>
              <w:ind w:left="596"/>
              <w:rPr>
                <w:sz w:val="20"/>
              </w:rPr>
            </w:pPr>
            <w:r>
              <w:rPr>
                <w:sz w:val="20"/>
              </w:rPr>
              <w:t>Waitaki District Council</w:t>
            </w:r>
          </w:p>
        </w:tc>
      </w:tr>
      <w:tr>
        <w:trPr>
          <w:trHeight w:val="244" w:hRule="exact"/>
        </w:trPr>
        <w:tc>
          <w:tcPr>
            <w:tcW w:w="3716" w:type="dxa"/>
          </w:tcPr>
          <w:p>
            <w:pPr>
              <w:pStyle w:val="TableParagraph"/>
              <w:spacing w:line="226" w:lineRule="exact"/>
              <w:ind w:left="200"/>
              <w:rPr>
                <w:sz w:val="20"/>
              </w:rPr>
            </w:pPr>
            <w:r>
              <w:rPr>
                <w:sz w:val="20"/>
              </w:rPr>
              <w:t>Manawatu District Council</w:t>
            </w:r>
          </w:p>
        </w:tc>
        <w:tc>
          <w:tcPr>
            <w:tcW w:w="3869" w:type="dxa"/>
          </w:tcPr>
          <w:p>
            <w:pPr>
              <w:pStyle w:val="TableParagraph"/>
              <w:spacing w:line="226" w:lineRule="exact"/>
              <w:ind w:left="596"/>
              <w:rPr>
                <w:sz w:val="20"/>
              </w:rPr>
            </w:pPr>
            <w:r>
              <w:rPr>
                <w:sz w:val="20"/>
              </w:rPr>
              <w:t>Wellington City Council</w:t>
            </w:r>
          </w:p>
        </w:tc>
      </w:tr>
      <w:tr>
        <w:trPr>
          <w:trHeight w:val="244" w:hRule="exact"/>
        </w:trPr>
        <w:tc>
          <w:tcPr>
            <w:tcW w:w="3716" w:type="dxa"/>
          </w:tcPr>
          <w:p>
            <w:pPr>
              <w:pStyle w:val="TableParagraph"/>
              <w:spacing w:line="225" w:lineRule="exact"/>
              <w:ind w:left="200"/>
              <w:rPr>
                <w:sz w:val="20"/>
              </w:rPr>
            </w:pPr>
            <w:r>
              <w:rPr>
                <w:sz w:val="20"/>
              </w:rPr>
              <w:t>Marlborough District Council</w:t>
            </w:r>
          </w:p>
        </w:tc>
        <w:tc>
          <w:tcPr>
            <w:tcW w:w="3869" w:type="dxa"/>
          </w:tcPr>
          <w:p>
            <w:pPr>
              <w:pStyle w:val="TableParagraph"/>
              <w:spacing w:line="225" w:lineRule="exact"/>
              <w:ind w:left="596"/>
              <w:rPr>
                <w:sz w:val="20"/>
              </w:rPr>
            </w:pPr>
            <w:r>
              <w:rPr>
                <w:sz w:val="20"/>
              </w:rPr>
              <w:t>Western Bay of Plenty District Council</w:t>
            </w:r>
          </w:p>
        </w:tc>
      </w:tr>
      <w:tr>
        <w:trPr>
          <w:trHeight w:val="245" w:hRule="exact"/>
        </w:trPr>
        <w:tc>
          <w:tcPr>
            <w:tcW w:w="3716" w:type="dxa"/>
          </w:tcPr>
          <w:p>
            <w:pPr>
              <w:pStyle w:val="TableParagraph"/>
              <w:spacing w:line="226" w:lineRule="exact"/>
              <w:ind w:left="200"/>
              <w:rPr>
                <w:sz w:val="20"/>
              </w:rPr>
            </w:pPr>
            <w:r>
              <w:rPr>
                <w:sz w:val="20"/>
              </w:rPr>
              <w:t>Masterton District Council</w:t>
            </w:r>
          </w:p>
        </w:tc>
        <w:tc>
          <w:tcPr>
            <w:tcW w:w="3869" w:type="dxa"/>
          </w:tcPr>
          <w:p>
            <w:pPr>
              <w:pStyle w:val="TableParagraph"/>
              <w:spacing w:line="226" w:lineRule="exact"/>
              <w:ind w:left="596"/>
              <w:rPr>
                <w:sz w:val="20"/>
              </w:rPr>
            </w:pPr>
            <w:r>
              <w:rPr>
                <w:sz w:val="20"/>
              </w:rPr>
              <w:t>Westland District Council</w:t>
            </w:r>
          </w:p>
        </w:tc>
      </w:tr>
      <w:tr>
        <w:trPr>
          <w:trHeight w:val="244" w:hRule="exact"/>
        </w:trPr>
        <w:tc>
          <w:tcPr>
            <w:tcW w:w="3716" w:type="dxa"/>
          </w:tcPr>
          <w:p>
            <w:pPr>
              <w:pStyle w:val="TableParagraph"/>
              <w:spacing w:line="226" w:lineRule="exact"/>
              <w:ind w:left="200"/>
              <w:rPr>
                <w:sz w:val="20"/>
              </w:rPr>
            </w:pPr>
            <w:r>
              <w:rPr>
                <w:sz w:val="20"/>
              </w:rPr>
              <w:t>Matamata Piako District Council</w:t>
            </w:r>
          </w:p>
        </w:tc>
        <w:tc>
          <w:tcPr>
            <w:tcW w:w="3869" w:type="dxa"/>
          </w:tcPr>
          <w:p>
            <w:pPr>
              <w:pStyle w:val="TableParagraph"/>
              <w:spacing w:line="226" w:lineRule="exact"/>
              <w:ind w:left="596"/>
              <w:rPr>
                <w:sz w:val="20"/>
              </w:rPr>
            </w:pPr>
            <w:r>
              <w:rPr>
                <w:sz w:val="20"/>
              </w:rPr>
              <w:t>Whakatane District Council</w:t>
            </w:r>
          </w:p>
        </w:tc>
      </w:tr>
      <w:tr>
        <w:trPr>
          <w:trHeight w:val="244" w:hRule="exact"/>
        </w:trPr>
        <w:tc>
          <w:tcPr>
            <w:tcW w:w="3716" w:type="dxa"/>
          </w:tcPr>
          <w:p>
            <w:pPr>
              <w:pStyle w:val="TableParagraph"/>
              <w:spacing w:line="225" w:lineRule="exact"/>
              <w:ind w:left="200"/>
              <w:rPr>
                <w:sz w:val="20"/>
              </w:rPr>
            </w:pPr>
            <w:r>
              <w:rPr>
                <w:sz w:val="20"/>
              </w:rPr>
              <w:t>Napier City Council</w:t>
            </w:r>
          </w:p>
        </w:tc>
        <w:tc>
          <w:tcPr>
            <w:tcW w:w="3869" w:type="dxa"/>
          </w:tcPr>
          <w:p>
            <w:pPr>
              <w:pStyle w:val="TableParagraph"/>
              <w:spacing w:line="225" w:lineRule="exact"/>
              <w:ind w:left="596"/>
              <w:rPr>
                <w:sz w:val="20"/>
              </w:rPr>
            </w:pPr>
            <w:r>
              <w:rPr>
                <w:sz w:val="20"/>
              </w:rPr>
              <w:t>Whanganui District Council</w:t>
            </w:r>
          </w:p>
        </w:tc>
      </w:tr>
      <w:tr>
        <w:trPr>
          <w:trHeight w:val="222" w:hRule="exact"/>
        </w:trPr>
        <w:tc>
          <w:tcPr>
            <w:tcW w:w="3716" w:type="dxa"/>
          </w:tcPr>
          <w:p>
            <w:pPr>
              <w:pStyle w:val="TableParagraph"/>
              <w:spacing w:line="226" w:lineRule="exact"/>
              <w:ind w:left="200"/>
              <w:rPr>
                <w:sz w:val="20"/>
              </w:rPr>
            </w:pPr>
            <w:r>
              <w:rPr>
                <w:sz w:val="20"/>
              </w:rPr>
              <w:t>Nelson City Council</w:t>
            </w:r>
          </w:p>
        </w:tc>
        <w:tc>
          <w:tcPr>
            <w:tcW w:w="3869" w:type="dxa"/>
          </w:tcPr>
          <w:p>
            <w:pPr>
              <w:pStyle w:val="TableParagraph"/>
              <w:spacing w:line="226" w:lineRule="exact"/>
              <w:ind w:left="596"/>
              <w:rPr>
                <w:sz w:val="20"/>
              </w:rPr>
            </w:pPr>
            <w:r>
              <w:rPr>
                <w:sz w:val="20"/>
              </w:rPr>
              <w:t>Whangarei District Council</w:t>
            </w:r>
          </w:p>
        </w:tc>
      </w:tr>
    </w:tbl>
    <w:p>
      <w:pPr>
        <w:spacing w:after="0" w:line="226" w:lineRule="exact"/>
        <w:rPr>
          <w:sz w:val="20"/>
        </w:rPr>
        <w:sectPr>
          <w:pgSz w:w="11910" w:h="16840"/>
          <w:pgMar w:header="576" w:footer="698" w:top="1140" w:bottom="880" w:left="880" w:right="1320"/>
        </w:sectPr>
      </w:pPr>
    </w:p>
    <w:p>
      <w:pPr>
        <w:pStyle w:val="BodyText"/>
      </w:pPr>
    </w:p>
    <w:p>
      <w:pPr>
        <w:pStyle w:val="BodyText"/>
        <w:spacing w:before="11"/>
        <w:rPr>
          <w:sz w:val="26"/>
        </w:rPr>
      </w:pPr>
    </w:p>
    <w:p>
      <w:pPr>
        <w:pStyle w:val="Heading1"/>
        <w:spacing w:before="89"/>
        <w:ind w:right="483"/>
      </w:pPr>
      <w:r>
        <w:rPr/>
        <w:pict>
          <v:group style="position:absolute;margin-left:57.102001pt;margin-top:3.783779pt;width:1.5pt;height:43.05pt;mso-position-horizontal-relative:page;mso-position-vertical-relative:paragraph;z-index:1840" coordorigin="1142,76" coordsize="30,861">
            <v:line style="position:absolute" from="1157,91" to="1157,503" stroked="true" strokeweight="1.464pt" strokecolor="#ed7d31">
              <v:stroke dashstyle="solid"/>
            </v:line>
            <v:line style="position:absolute" from="1157,503" to="1157,921" stroked="true" strokeweight="1.464pt" strokecolor="#ed7d31">
              <v:stroke dashstyle="solid"/>
            </v:line>
            <w10:wrap type="none"/>
          </v:group>
        </w:pict>
      </w:r>
      <w:bookmarkStart w:name="APPENDIX E – SUMMARY OF SURVEY RESPONSES" w:id="146"/>
      <w:bookmarkEnd w:id="146"/>
      <w:r>
        <w:rPr/>
      </w:r>
      <w:bookmarkStart w:name="_bookmark50" w:id="147"/>
      <w:bookmarkEnd w:id="147"/>
      <w:r>
        <w:rPr/>
      </w:r>
      <w:r>
        <w:rPr/>
        <w:t>APPENDIX E – SUMMARY OF SURVEY RESPONSES</w:t>
      </w:r>
    </w:p>
    <w:p>
      <w:pPr>
        <w:pStyle w:val="BodyText"/>
        <w:spacing w:before="3"/>
        <w:rPr>
          <w:rFonts w:ascii="Arial"/>
          <w:sz w:val="26"/>
        </w:rPr>
      </w:pPr>
    </w:p>
    <w:p>
      <w:pPr>
        <w:pStyle w:val="BodyText"/>
        <w:spacing w:line="256" w:lineRule="auto" w:before="60"/>
        <w:ind w:left="560" w:right="118"/>
        <w:jc w:val="both"/>
      </w:pPr>
      <w:r>
        <w:rPr/>
        <w:t>Of the 67 local authorities invited to respond to the survey, 37 (55%) responded. Four respondents (11%) had not attended a regional hui. A summary of the responses to key questions relevant to the standardisation of kerbside collections is provided here.</w:t>
      </w:r>
    </w:p>
    <w:p>
      <w:pPr>
        <w:pStyle w:val="Heading5"/>
        <w:numPr>
          <w:ilvl w:val="0"/>
          <w:numId w:val="30"/>
        </w:numPr>
        <w:tabs>
          <w:tab w:pos="920" w:val="left" w:leader="none"/>
          <w:tab w:pos="921" w:val="left" w:leader="none"/>
        </w:tabs>
        <w:spacing w:line="240" w:lineRule="auto" w:before="159" w:after="0"/>
        <w:ind w:left="920" w:right="121" w:hanging="360"/>
        <w:jc w:val="left"/>
      </w:pPr>
      <w:r>
        <w:rPr/>
        <w:t>When</w:t>
      </w:r>
      <w:r>
        <w:rPr>
          <w:spacing w:val="-5"/>
        </w:rPr>
        <w:t> </w:t>
      </w:r>
      <w:r>
        <w:rPr/>
        <w:t>does</w:t>
      </w:r>
      <w:r>
        <w:rPr>
          <w:spacing w:val="-6"/>
        </w:rPr>
        <w:t> </w:t>
      </w:r>
      <w:r>
        <w:rPr/>
        <w:t>your</w:t>
      </w:r>
      <w:r>
        <w:rPr>
          <w:spacing w:val="-5"/>
        </w:rPr>
        <w:t> </w:t>
      </w:r>
      <w:r>
        <w:rPr/>
        <w:t>current</w:t>
      </w:r>
      <w:r>
        <w:rPr>
          <w:spacing w:val="-5"/>
        </w:rPr>
        <w:t> </w:t>
      </w:r>
      <w:r>
        <w:rPr/>
        <w:t>kerbside</w:t>
      </w:r>
      <w:r>
        <w:rPr>
          <w:spacing w:val="-5"/>
        </w:rPr>
        <w:t> </w:t>
      </w:r>
      <w:r>
        <w:rPr/>
        <w:t>recycling</w:t>
      </w:r>
      <w:r>
        <w:rPr>
          <w:spacing w:val="-6"/>
        </w:rPr>
        <w:t> </w:t>
      </w:r>
      <w:r>
        <w:rPr/>
        <w:t>contract</w:t>
      </w:r>
      <w:r>
        <w:rPr>
          <w:spacing w:val="-3"/>
        </w:rPr>
        <w:t> </w:t>
      </w:r>
      <w:r>
        <w:rPr/>
        <w:t>expire,</w:t>
      </w:r>
      <w:r>
        <w:rPr>
          <w:spacing w:val="-6"/>
        </w:rPr>
        <w:t> </w:t>
      </w:r>
      <w:r>
        <w:rPr/>
        <w:t>or</w:t>
      </w:r>
      <w:r>
        <w:rPr>
          <w:spacing w:val="-4"/>
        </w:rPr>
        <w:t> </w:t>
      </w:r>
      <w:r>
        <w:rPr/>
        <w:t>do</w:t>
      </w:r>
      <w:r>
        <w:rPr>
          <w:spacing w:val="-5"/>
        </w:rPr>
        <w:t> </w:t>
      </w:r>
      <w:r>
        <w:rPr/>
        <w:t>you</w:t>
      </w:r>
      <w:r>
        <w:rPr>
          <w:spacing w:val="-4"/>
        </w:rPr>
        <w:t> </w:t>
      </w:r>
      <w:r>
        <w:rPr/>
        <w:t>have</w:t>
      </w:r>
      <w:r>
        <w:rPr>
          <w:spacing w:val="-5"/>
        </w:rPr>
        <w:t> </w:t>
      </w:r>
      <w:r>
        <w:rPr/>
        <w:t>an</w:t>
      </w:r>
      <w:r>
        <w:rPr>
          <w:spacing w:val="-5"/>
        </w:rPr>
        <w:t> </w:t>
      </w:r>
      <w:r>
        <w:rPr/>
        <w:t>opportunity</w:t>
      </w:r>
      <w:r>
        <w:rPr>
          <w:spacing w:val="-6"/>
        </w:rPr>
        <w:t> </w:t>
      </w:r>
      <w:r>
        <w:rPr/>
        <w:t>to</w:t>
      </w:r>
      <w:r>
        <w:rPr>
          <w:spacing w:val="-4"/>
        </w:rPr>
        <w:t> </w:t>
      </w:r>
      <w:r>
        <w:rPr/>
        <w:t>negotiate</w:t>
      </w:r>
      <w:r>
        <w:rPr>
          <w:spacing w:val="-5"/>
        </w:rPr>
        <w:t> </w:t>
      </w:r>
      <w:r>
        <w:rPr/>
        <w:t>a change to the</w:t>
      </w:r>
      <w:r>
        <w:rPr>
          <w:spacing w:val="-17"/>
        </w:rPr>
        <w:t> </w:t>
      </w:r>
      <w:r>
        <w:rPr/>
        <w:t>methodology?</w:t>
      </w:r>
    </w:p>
    <w:p>
      <w:pPr>
        <w:pStyle w:val="BodyText"/>
        <w:spacing w:before="9"/>
        <w:rPr>
          <w:b/>
          <w:sz w:val="16"/>
        </w:rPr>
      </w:pPr>
      <w:r>
        <w:rPr/>
        <w:drawing>
          <wp:anchor distT="0" distB="0" distL="0" distR="0" allowOverlap="1" layoutInCell="1" locked="0" behindDoc="0" simplePos="0" relativeHeight="1816">
            <wp:simplePos x="0" y="0"/>
            <wp:positionH relativeFrom="page">
              <wp:posOffset>1484630</wp:posOffset>
            </wp:positionH>
            <wp:positionV relativeFrom="paragraph">
              <wp:posOffset>154829</wp:posOffset>
            </wp:positionV>
            <wp:extent cx="4584909" cy="2785872"/>
            <wp:effectExtent l="0" t="0" r="0" b="0"/>
            <wp:wrapTopAndBottom/>
            <wp:docPr id="53" name="image32.png" descr=""/>
            <wp:cNvGraphicFramePr>
              <a:graphicFrameLocks noChangeAspect="1"/>
            </wp:cNvGraphicFramePr>
            <a:graphic>
              <a:graphicData uri="http://schemas.openxmlformats.org/drawingml/2006/picture">
                <pic:pic>
                  <pic:nvPicPr>
                    <pic:cNvPr id="54" name="image32.png"/>
                    <pic:cNvPicPr/>
                  </pic:nvPicPr>
                  <pic:blipFill>
                    <a:blip r:embed="rId51" cstate="print"/>
                    <a:stretch>
                      <a:fillRect/>
                    </a:stretch>
                  </pic:blipFill>
                  <pic:spPr>
                    <a:xfrm>
                      <a:off x="0" y="0"/>
                      <a:ext cx="4584909" cy="2785872"/>
                    </a:xfrm>
                    <a:prstGeom prst="rect">
                      <a:avLst/>
                    </a:prstGeom>
                  </pic:spPr>
                </pic:pic>
              </a:graphicData>
            </a:graphic>
          </wp:anchor>
        </w:drawing>
      </w:r>
    </w:p>
    <w:p>
      <w:pPr>
        <w:pStyle w:val="BodyText"/>
        <w:spacing w:before="11"/>
        <w:rPr>
          <w:b/>
          <w:sz w:val="17"/>
        </w:rPr>
      </w:pPr>
    </w:p>
    <w:p>
      <w:pPr>
        <w:pStyle w:val="BodyText"/>
        <w:spacing w:line="256" w:lineRule="auto"/>
        <w:ind w:left="560" w:right="122"/>
        <w:jc w:val="both"/>
      </w:pPr>
      <w:r>
        <w:rPr/>
        <w:t>A number of local authorities indicated they can change contracts at any time but sometimes this involves a financial cost.</w:t>
      </w:r>
    </w:p>
    <w:p>
      <w:pPr>
        <w:pStyle w:val="Heading5"/>
        <w:numPr>
          <w:ilvl w:val="0"/>
          <w:numId w:val="30"/>
        </w:numPr>
        <w:tabs>
          <w:tab w:pos="921" w:val="left" w:leader="none"/>
        </w:tabs>
        <w:spacing w:line="240" w:lineRule="auto" w:before="158" w:after="0"/>
        <w:ind w:left="920" w:right="0" w:hanging="360"/>
        <w:jc w:val="both"/>
      </w:pPr>
      <w:r>
        <w:rPr/>
        <w:t>What</w:t>
      </w:r>
      <w:r>
        <w:rPr>
          <w:spacing w:val="-3"/>
        </w:rPr>
        <w:t> </w:t>
      </w:r>
      <w:r>
        <w:rPr/>
        <w:t>was</w:t>
      </w:r>
      <w:r>
        <w:rPr>
          <w:spacing w:val="-4"/>
        </w:rPr>
        <w:t> </w:t>
      </w:r>
      <w:r>
        <w:rPr/>
        <w:t>the</w:t>
      </w:r>
      <w:r>
        <w:rPr>
          <w:spacing w:val="-3"/>
        </w:rPr>
        <w:t> </w:t>
      </w:r>
      <w:r>
        <w:rPr/>
        <w:t>current</w:t>
      </w:r>
      <w:r>
        <w:rPr>
          <w:spacing w:val="-3"/>
        </w:rPr>
        <w:t> </w:t>
      </w:r>
      <w:r>
        <w:rPr/>
        <w:t>average</w:t>
      </w:r>
      <w:r>
        <w:rPr>
          <w:spacing w:val="-3"/>
        </w:rPr>
        <w:t> </w:t>
      </w:r>
      <w:r>
        <w:rPr/>
        <w:t>contamination</w:t>
      </w:r>
      <w:r>
        <w:rPr>
          <w:spacing w:val="-2"/>
        </w:rPr>
        <w:t> </w:t>
      </w:r>
      <w:r>
        <w:rPr/>
        <w:t>rate</w:t>
      </w:r>
      <w:r>
        <w:rPr>
          <w:spacing w:val="-3"/>
        </w:rPr>
        <w:t> </w:t>
      </w:r>
      <w:r>
        <w:rPr/>
        <w:t>in</w:t>
      </w:r>
      <w:r>
        <w:rPr>
          <w:spacing w:val="-3"/>
        </w:rPr>
        <w:t> </w:t>
      </w:r>
      <w:r>
        <w:rPr/>
        <w:t>your</w:t>
      </w:r>
      <w:r>
        <w:rPr>
          <w:spacing w:val="-5"/>
        </w:rPr>
        <w:t> </w:t>
      </w:r>
      <w:r>
        <w:rPr/>
        <w:t>kerbside</w:t>
      </w:r>
      <w:r>
        <w:rPr>
          <w:spacing w:val="-3"/>
        </w:rPr>
        <w:t> </w:t>
      </w:r>
      <w:r>
        <w:rPr/>
        <w:t>recycling</w:t>
      </w:r>
      <w:r>
        <w:rPr>
          <w:spacing w:val="-4"/>
        </w:rPr>
        <w:t> </w:t>
      </w:r>
      <w:r>
        <w:rPr/>
        <w:t>collection before</w:t>
      </w:r>
      <w:r>
        <w:rPr>
          <w:spacing w:val="-3"/>
        </w:rPr>
        <w:t> </w:t>
      </w:r>
      <w:r>
        <w:rPr/>
        <w:t>Covid-19?</w:t>
      </w:r>
    </w:p>
    <w:p>
      <w:pPr>
        <w:pStyle w:val="BodyText"/>
        <w:spacing w:before="2"/>
        <w:rPr>
          <w:b/>
          <w:sz w:val="21"/>
        </w:rPr>
      </w:pPr>
    </w:p>
    <w:p>
      <w:pPr>
        <w:pStyle w:val="BodyText"/>
        <w:spacing w:line="256" w:lineRule="auto"/>
        <w:ind w:left="560" w:right="118"/>
        <w:jc w:val="both"/>
      </w:pPr>
      <w:r>
        <w:rPr/>
        <w:t>Contamination rates ranged from under 1% to up to an estimated 40% but interestingly 16 out of the 37 local authorities who participated in the survey did not know their contamination rates.</w:t>
      </w:r>
    </w:p>
    <w:p>
      <w:pPr>
        <w:pStyle w:val="Heading5"/>
        <w:numPr>
          <w:ilvl w:val="0"/>
          <w:numId w:val="30"/>
        </w:numPr>
        <w:tabs>
          <w:tab w:pos="921" w:val="left" w:leader="none"/>
        </w:tabs>
        <w:spacing w:line="240" w:lineRule="auto" w:before="156" w:after="0"/>
        <w:ind w:left="920" w:right="0" w:hanging="360"/>
        <w:jc w:val="both"/>
      </w:pPr>
      <w:r>
        <w:rPr/>
        <w:t>If you use a MRF, is it located in your district? If</w:t>
      </w:r>
      <w:r>
        <w:rPr>
          <w:spacing w:val="-32"/>
        </w:rPr>
        <w:t> </w:t>
      </w:r>
      <w:r>
        <w:rPr/>
        <w:t>not, is it located in your region?</w:t>
      </w:r>
    </w:p>
    <w:p>
      <w:pPr>
        <w:pStyle w:val="BodyText"/>
        <w:spacing w:before="5"/>
        <w:rPr>
          <w:b/>
          <w:sz w:val="21"/>
        </w:rPr>
      </w:pPr>
    </w:p>
    <w:p>
      <w:pPr>
        <w:pStyle w:val="BodyText"/>
        <w:spacing w:line="254" w:lineRule="auto"/>
        <w:ind w:left="560" w:right="120"/>
        <w:jc w:val="both"/>
      </w:pPr>
      <w:r>
        <w:rPr/>
        <w:t>20 of the 37 local authorities who responded to the survey have a MRF in their district (54%) and a further 13 (35%) had a MRF in their region.</w:t>
      </w:r>
    </w:p>
    <w:p>
      <w:pPr>
        <w:spacing w:after="0" w:line="254" w:lineRule="auto"/>
        <w:jc w:val="both"/>
        <w:sectPr>
          <w:headerReference w:type="default" r:id="rId50"/>
          <w:pgSz w:w="11910" w:h="16840"/>
          <w:pgMar w:header="576" w:footer="698" w:top="1140" w:bottom="880" w:left="880" w:right="1320"/>
        </w:sectPr>
      </w:pPr>
    </w:p>
    <w:p>
      <w:pPr>
        <w:pStyle w:val="BodyText"/>
      </w:pPr>
    </w:p>
    <w:p>
      <w:pPr>
        <w:pStyle w:val="BodyText"/>
        <w:spacing w:before="5"/>
        <w:rPr>
          <w:sz w:val="29"/>
        </w:rPr>
      </w:pPr>
    </w:p>
    <w:p>
      <w:pPr>
        <w:pStyle w:val="Heading5"/>
        <w:numPr>
          <w:ilvl w:val="0"/>
          <w:numId w:val="30"/>
        </w:numPr>
        <w:tabs>
          <w:tab w:pos="920" w:val="left" w:leader="none"/>
          <w:tab w:pos="921" w:val="left" w:leader="none"/>
        </w:tabs>
        <w:spacing w:line="240" w:lineRule="auto" w:before="59" w:after="0"/>
        <w:ind w:left="920" w:right="116" w:hanging="360"/>
        <w:jc w:val="left"/>
      </w:pPr>
      <w:r>
        <w:rPr/>
        <w:t>Recyclable materials: Do you agree that kerbside recycling collections should collect plastics 1, 2 and 5, glass</w:t>
      </w:r>
      <w:r>
        <w:rPr>
          <w:spacing w:val="-5"/>
        </w:rPr>
        <w:t> </w:t>
      </w:r>
      <w:r>
        <w:rPr/>
        <w:t>bottles</w:t>
      </w:r>
      <w:r>
        <w:rPr>
          <w:spacing w:val="-5"/>
        </w:rPr>
        <w:t> </w:t>
      </w:r>
      <w:r>
        <w:rPr/>
        <w:t>and</w:t>
      </w:r>
      <w:r>
        <w:rPr>
          <w:spacing w:val="-4"/>
        </w:rPr>
        <w:t> </w:t>
      </w:r>
      <w:r>
        <w:rPr/>
        <w:t>jars,</w:t>
      </w:r>
      <w:r>
        <w:rPr>
          <w:spacing w:val="-6"/>
        </w:rPr>
        <w:t> </w:t>
      </w:r>
      <w:r>
        <w:rPr/>
        <w:t>aluminium</w:t>
      </w:r>
      <w:r>
        <w:rPr>
          <w:spacing w:val="-4"/>
        </w:rPr>
        <w:t> </w:t>
      </w:r>
      <w:r>
        <w:rPr/>
        <w:t>and</w:t>
      </w:r>
      <w:r>
        <w:rPr>
          <w:spacing w:val="-4"/>
        </w:rPr>
        <w:t> </w:t>
      </w:r>
      <w:r>
        <w:rPr/>
        <w:t>steel</w:t>
      </w:r>
      <w:r>
        <w:rPr>
          <w:spacing w:val="-6"/>
        </w:rPr>
        <w:t> </w:t>
      </w:r>
      <w:r>
        <w:rPr/>
        <w:t>cans,</w:t>
      </w:r>
      <w:r>
        <w:rPr>
          <w:spacing w:val="-6"/>
        </w:rPr>
        <w:t> </w:t>
      </w:r>
      <w:r>
        <w:rPr/>
        <w:t>and</w:t>
      </w:r>
      <w:r>
        <w:rPr>
          <w:spacing w:val="-4"/>
        </w:rPr>
        <w:t> </w:t>
      </w:r>
      <w:r>
        <w:rPr/>
        <w:t>fibre</w:t>
      </w:r>
      <w:r>
        <w:rPr>
          <w:spacing w:val="-4"/>
        </w:rPr>
        <w:t> </w:t>
      </w:r>
      <w:r>
        <w:rPr/>
        <w:t>(excluding</w:t>
      </w:r>
      <w:r>
        <w:rPr>
          <w:spacing w:val="2"/>
        </w:rPr>
        <w:t> </w:t>
      </w:r>
      <w:r>
        <w:rPr/>
        <w:t>liquid</w:t>
      </w:r>
      <w:r>
        <w:rPr>
          <w:spacing w:val="-4"/>
        </w:rPr>
        <w:t> </w:t>
      </w:r>
      <w:r>
        <w:rPr/>
        <w:t>paperboard)?</w:t>
      </w:r>
    </w:p>
    <w:p>
      <w:pPr>
        <w:pStyle w:val="BodyText"/>
        <w:spacing w:before="8"/>
        <w:rPr>
          <w:b/>
          <w:sz w:val="16"/>
        </w:rPr>
      </w:pPr>
      <w:r>
        <w:rPr/>
        <w:drawing>
          <wp:anchor distT="0" distB="0" distL="0" distR="0" allowOverlap="1" layoutInCell="1" locked="0" behindDoc="0" simplePos="0" relativeHeight="1864">
            <wp:simplePos x="0" y="0"/>
            <wp:positionH relativeFrom="page">
              <wp:posOffset>2357120</wp:posOffset>
            </wp:positionH>
            <wp:positionV relativeFrom="paragraph">
              <wp:posOffset>154345</wp:posOffset>
            </wp:positionV>
            <wp:extent cx="2824353" cy="2857500"/>
            <wp:effectExtent l="0" t="0" r="0" b="0"/>
            <wp:wrapTopAndBottom/>
            <wp:docPr id="55" name="image33.png" descr=""/>
            <wp:cNvGraphicFramePr>
              <a:graphicFrameLocks noChangeAspect="1"/>
            </wp:cNvGraphicFramePr>
            <a:graphic>
              <a:graphicData uri="http://schemas.openxmlformats.org/drawingml/2006/picture">
                <pic:pic>
                  <pic:nvPicPr>
                    <pic:cNvPr id="56" name="image33.png"/>
                    <pic:cNvPicPr/>
                  </pic:nvPicPr>
                  <pic:blipFill>
                    <a:blip r:embed="rId52" cstate="print"/>
                    <a:stretch>
                      <a:fillRect/>
                    </a:stretch>
                  </pic:blipFill>
                  <pic:spPr>
                    <a:xfrm>
                      <a:off x="0" y="0"/>
                      <a:ext cx="2824353" cy="2857500"/>
                    </a:xfrm>
                    <a:prstGeom prst="rect">
                      <a:avLst/>
                    </a:prstGeom>
                  </pic:spPr>
                </pic:pic>
              </a:graphicData>
            </a:graphic>
          </wp:anchor>
        </w:drawing>
      </w:r>
    </w:p>
    <w:p>
      <w:pPr>
        <w:pStyle w:val="BodyText"/>
        <w:spacing w:before="1"/>
        <w:rPr>
          <w:b/>
          <w:sz w:val="15"/>
        </w:rPr>
      </w:pPr>
    </w:p>
    <w:p>
      <w:pPr>
        <w:spacing w:line="243" w:lineRule="exact" w:before="0"/>
        <w:ind w:left="560" w:right="0" w:firstLine="0"/>
        <w:jc w:val="left"/>
        <w:rPr>
          <w:b/>
          <w:sz w:val="20"/>
        </w:rPr>
      </w:pPr>
      <w:r>
        <w:rPr>
          <w:b/>
          <w:sz w:val="20"/>
        </w:rPr>
        <w:t>Comments:</w:t>
      </w:r>
    </w:p>
    <w:p>
      <w:pPr>
        <w:pStyle w:val="ListParagraph"/>
        <w:numPr>
          <w:ilvl w:val="1"/>
          <w:numId w:val="30"/>
        </w:numPr>
        <w:tabs>
          <w:tab w:pos="1281" w:val="left" w:leader="none"/>
        </w:tabs>
        <w:spacing w:line="243" w:lineRule="exact" w:before="0" w:after="0"/>
        <w:ind w:left="1280" w:right="0" w:hanging="360"/>
        <w:jc w:val="left"/>
        <w:rPr>
          <w:b/>
          <w:sz w:val="20"/>
        </w:rPr>
      </w:pPr>
      <w:r>
        <w:rPr>
          <w:b/>
          <w:sz w:val="20"/>
        </w:rPr>
        <w:t>In</w:t>
      </w:r>
      <w:r>
        <w:rPr>
          <w:b/>
          <w:spacing w:val="-3"/>
          <w:sz w:val="20"/>
        </w:rPr>
        <w:t> </w:t>
      </w:r>
      <w:r>
        <w:rPr>
          <w:b/>
          <w:sz w:val="20"/>
        </w:rPr>
        <w:t>support</w:t>
      </w:r>
    </w:p>
    <w:p>
      <w:pPr>
        <w:pStyle w:val="ListParagraph"/>
        <w:numPr>
          <w:ilvl w:val="0"/>
          <w:numId w:val="31"/>
        </w:numPr>
        <w:tabs>
          <w:tab w:pos="1280" w:val="left" w:leader="none"/>
          <w:tab w:pos="1281" w:val="left" w:leader="none"/>
        </w:tabs>
        <w:spacing w:line="240" w:lineRule="auto" w:before="0" w:after="0"/>
        <w:ind w:left="1280" w:right="0" w:hanging="360"/>
        <w:jc w:val="left"/>
        <w:rPr>
          <w:sz w:val="20"/>
        </w:rPr>
      </w:pPr>
      <w:r>
        <w:rPr>
          <w:sz w:val="20"/>
        </w:rPr>
        <w:t>Do materials first.  This is an easy</w:t>
      </w:r>
      <w:r>
        <w:rPr>
          <w:spacing w:val="-14"/>
          <w:sz w:val="20"/>
        </w:rPr>
        <w:t> </w:t>
      </w:r>
      <w:r>
        <w:rPr>
          <w:sz w:val="20"/>
        </w:rPr>
        <w:t>win.</w:t>
      </w:r>
    </w:p>
    <w:p>
      <w:pPr>
        <w:pStyle w:val="ListParagraph"/>
        <w:numPr>
          <w:ilvl w:val="0"/>
          <w:numId w:val="31"/>
        </w:numPr>
        <w:tabs>
          <w:tab w:pos="1280" w:val="left" w:leader="none"/>
          <w:tab w:pos="1281" w:val="left" w:leader="none"/>
        </w:tabs>
        <w:spacing w:line="240" w:lineRule="auto" w:before="1" w:after="0"/>
        <w:ind w:left="1280" w:right="0" w:hanging="360"/>
        <w:jc w:val="left"/>
        <w:rPr>
          <w:sz w:val="20"/>
        </w:rPr>
      </w:pPr>
      <w:r>
        <w:rPr>
          <w:sz w:val="20"/>
        </w:rPr>
        <w:t>Recycling - agree 1, 2, 5 plastics only.  Glass must be separate and ideally colour</w:t>
      </w:r>
      <w:r>
        <w:rPr>
          <w:spacing w:val="-26"/>
          <w:sz w:val="20"/>
        </w:rPr>
        <w:t> </w:t>
      </w:r>
      <w:r>
        <w:rPr>
          <w:sz w:val="20"/>
        </w:rPr>
        <w:t>sorted</w:t>
      </w:r>
    </w:p>
    <w:p>
      <w:pPr>
        <w:pStyle w:val="BodyText"/>
        <w:spacing w:before="10"/>
        <w:rPr>
          <w:sz w:val="19"/>
        </w:rPr>
      </w:pPr>
    </w:p>
    <w:p>
      <w:pPr>
        <w:pStyle w:val="Heading5"/>
        <w:numPr>
          <w:ilvl w:val="1"/>
          <w:numId w:val="30"/>
        </w:numPr>
        <w:tabs>
          <w:tab w:pos="1281" w:val="left" w:leader="none"/>
        </w:tabs>
        <w:spacing w:line="244" w:lineRule="exact" w:before="0" w:after="0"/>
        <w:ind w:left="1280" w:right="0" w:hanging="360"/>
        <w:jc w:val="left"/>
      </w:pPr>
      <w:r>
        <w:rPr/>
        <w:t>Plastics</w:t>
      </w:r>
      <w:r>
        <w:rPr>
          <w:spacing w:val="-6"/>
        </w:rPr>
        <w:t> </w:t>
      </w:r>
      <w:r>
        <w:rPr/>
        <w:t>5</w:t>
      </w:r>
    </w:p>
    <w:p>
      <w:pPr>
        <w:pStyle w:val="ListParagraph"/>
        <w:numPr>
          <w:ilvl w:val="0"/>
          <w:numId w:val="31"/>
        </w:numPr>
        <w:tabs>
          <w:tab w:pos="1280" w:val="left" w:leader="none"/>
          <w:tab w:pos="1281" w:val="left" w:leader="none"/>
        </w:tabs>
        <w:spacing w:line="254" w:lineRule="exact" w:before="0" w:after="0"/>
        <w:ind w:left="1280" w:right="0" w:hanging="360"/>
        <w:jc w:val="left"/>
        <w:rPr>
          <w:sz w:val="20"/>
        </w:rPr>
      </w:pPr>
      <w:r>
        <w:rPr>
          <w:sz w:val="20"/>
        </w:rPr>
        <w:t>There</w:t>
      </w:r>
      <w:r>
        <w:rPr>
          <w:spacing w:val="-3"/>
          <w:sz w:val="20"/>
        </w:rPr>
        <w:t> </w:t>
      </w:r>
      <w:r>
        <w:rPr>
          <w:sz w:val="20"/>
        </w:rPr>
        <w:t>is</w:t>
      </w:r>
      <w:r>
        <w:rPr>
          <w:spacing w:val="-1"/>
          <w:sz w:val="20"/>
        </w:rPr>
        <w:t> </w:t>
      </w:r>
      <w:r>
        <w:rPr>
          <w:sz w:val="20"/>
        </w:rPr>
        <w:t>some</w:t>
      </w:r>
      <w:r>
        <w:rPr>
          <w:spacing w:val="-3"/>
          <w:sz w:val="20"/>
        </w:rPr>
        <w:t> </w:t>
      </w:r>
      <w:r>
        <w:rPr>
          <w:sz w:val="20"/>
        </w:rPr>
        <w:t>difficulty</w:t>
      </w:r>
      <w:r>
        <w:rPr>
          <w:spacing w:val="-2"/>
          <w:sz w:val="20"/>
        </w:rPr>
        <w:t> </w:t>
      </w:r>
      <w:r>
        <w:rPr>
          <w:sz w:val="20"/>
        </w:rPr>
        <w:t>in</w:t>
      </w:r>
      <w:r>
        <w:rPr>
          <w:spacing w:val="-2"/>
          <w:sz w:val="20"/>
        </w:rPr>
        <w:t> </w:t>
      </w:r>
      <w:r>
        <w:rPr>
          <w:sz w:val="20"/>
        </w:rPr>
        <w:t>identifying</w:t>
      </w:r>
      <w:r>
        <w:rPr>
          <w:spacing w:val="-3"/>
          <w:sz w:val="20"/>
        </w:rPr>
        <w:t> </w:t>
      </w:r>
      <w:r>
        <w:rPr>
          <w:sz w:val="20"/>
        </w:rPr>
        <w:t>No.5</w:t>
      </w:r>
      <w:r>
        <w:rPr>
          <w:spacing w:val="-3"/>
          <w:sz w:val="20"/>
        </w:rPr>
        <w:t> </w:t>
      </w:r>
      <w:r>
        <w:rPr>
          <w:sz w:val="20"/>
        </w:rPr>
        <w:t>plastics</w:t>
      </w:r>
      <w:r>
        <w:rPr>
          <w:spacing w:val="-1"/>
          <w:sz w:val="20"/>
        </w:rPr>
        <w:t> </w:t>
      </w:r>
      <w:r>
        <w:rPr>
          <w:sz w:val="20"/>
        </w:rPr>
        <w:t>and</w:t>
      </w:r>
      <w:r>
        <w:rPr>
          <w:spacing w:val="-2"/>
          <w:sz w:val="20"/>
        </w:rPr>
        <w:t> </w:t>
      </w:r>
      <w:r>
        <w:rPr>
          <w:sz w:val="20"/>
        </w:rPr>
        <w:t>there</w:t>
      </w:r>
      <w:r>
        <w:rPr>
          <w:spacing w:val="-3"/>
          <w:sz w:val="20"/>
        </w:rPr>
        <w:t> </w:t>
      </w:r>
      <w:r>
        <w:rPr>
          <w:sz w:val="20"/>
        </w:rPr>
        <w:t>is</w:t>
      </w:r>
      <w:r>
        <w:rPr>
          <w:spacing w:val="-1"/>
          <w:sz w:val="20"/>
        </w:rPr>
        <w:t> </w:t>
      </w:r>
      <w:r>
        <w:rPr>
          <w:sz w:val="20"/>
        </w:rPr>
        <w:t>a</w:t>
      </w:r>
      <w:r>
        <w:rPr>
          <w:spacing w:val="-2"/>
          <w:sz w:val="20"/>
        </w:rPr>
        <w:t> </w:t>
      </w:r>
      <w:r>
        <w:rPr>
          <w:sz w:val="20"/>
        </w:rPr>
        <w:t>risk</w:t>
      </w:r>
      <w:r>
        <w:rPr>
          <w:spacing w:val="-2"/>
          <w:sz w:val="20"/>
        </w:rPr>
        <w:t> </w:t>
      </w:r>
      <w:r>
        <w:rPr>
          <w:sz w:val="20"/>
        </w:rPr>
        <w:t>of</w:t>
      </w:r>
      <w:r>
        <w:rPr>
          <w:spacing w:val="-4"/>
          <w:sz w:val="20"/>
        </w:rPr>
        <w:t> </w:t>
      </w:r>
      <w:r>
        <w:rPr>
          <w:sz w:val="20"/>
        </w:rPr>
        <w:t>introducing</w:t>
      </w:r>
      <w:r>
        <w:rPr>
          <w:spacing w:val="-2"/>
          <w:sz w:val="20"/>
        </w:rPr>
        <w:t> </w:t>
      </w:r>
      <w:r>
        <w:rPr>
          <w:sz w:val="20"/>
        </w:rPr>
        <w:t>contamination</w:t>
      </w:r>
    </w:p>
    <w:p>
      <w:pPr>
        <w:pStyle w:val="ListParagraph"/>
        <w:numPr>
          <w:ilvl w:val="0"/>
          <w:numId w:val="31"/>
        </w:numPr>
        <w:tabs>
          <w:tab w:pos="1280" w:val="left" w:leader="none"/>
          <w:tab w:pos="1281" w:val="left" w:leader="none"/>
        </w:tabs>
        <w:spacing w:line="240" w:lineRule="auto" w:before="0" w:after="0"/>
        <w:ind w:left="1280" w:right="121" w:hanging="360"/>
        <w:jc w:val="left"/>
        <w:rPr>
          <w:sz w:val="20"/>
        </w:rPr>
      </w:pPr>
      <w:r>
        <w:rPr>
          <w:sz w:val="20"/>
        </w:rPr>
        <w:t>I</w:t>
      </w:r>
      <w:r>
        <w:rPr>
          <w:spacing w:val="-7"/>
          <w:sz w:val="20"/>
        </w:rPr>
        <w:t> </w:t>
      </w:r>
      <w:r>
        <w:rPr>
          <w:sz w:val="20"/>
        </w:rPr>
        <w:t>have</w:t>
      </w:r>
      <w:r>
        <w:rPr>
          <w:spacing w:val="-8"/>
          <w:sz w:val="20"/>
        </w:rPr>
        <w:t> </w:t>
      </w:r>
      <w:r>
        <w:rPr>
          <w:sz w:val="20"/>
        </w:rPr>
        <w:t>agreed</w:t>
      </w:r>
      <w:r>
        <w:rPr>
          <w:spacing w:val="-6"/>
          <w:sz w:val="20"/>
        </w:rPr>
        <w:t> </w:t>
      </w:r>
      <w:r>
        <w:rPr>
          <w:sz w:val="20"/>
        </w:rPr>
        <w:t>with</w:t>
      </w:r>
      <w:r>
        <w:rPr>
          <w:spacing w:val="-6"/>
          <w:sz w:val="20"/>
        </w:rPr>
        <w:t> </w:t>
      </w:r>
      <w:r>
        <w:rPr>
          <w:sz w:val="20"/>
        </w:rPr>
        <w:t>the</w:t>
      </w:r>
      <w:r>
        <w:rPr>
          <w:spacing w:val="-8"/>
          <w:sz w:val="20"/>
        </w:rPr>
        <w:t> </w:t>
      </w:r>
      <w:r>
        <w:rPr>
          <w:sz w:val="20"/>
        </w:rPr>
        <w:t>materials</w:t>
      </w:r>
      <w:r>
        <w:rPr>
          <w:spacing w:val="-6"/>
          <w:sz w:val="20"/>
        </w:rPr>
        <w:t> </w:t>
      </w:r>
      <w:r>
        <w:rPr>
          <w:sz w:val="20"/>
        </w:rPr>
        <w:t>but</w:t>
      </w:r>
      <w:r>
        <w:rPr>
          <w:spacing w:val="-9"/>
          <w:sz w:val="20"/>
        </w:rPr>
        <w:t> </w:t>
      </w:r>
      <w:r>
        <w:rPr>
          <w:sz w:val="20"/>
        </w:rPr>
        <w:t>only</w:t>
      </w:r>
      <w:r>
        <w:rPr>
          <w:spacing w:val="-8"/>
          <w:sz w:val="20"/>
        </w:rPr>
        <w:t> </w:t>
      </w:r>
      <w:r>
        <w:rPr>
          <w:sz w:val="20"/>
        </w:rPr>
        <w:t>on</w:t>
      </w:r>
      <w:r>
        <w:rPr>
          <w:spacing w:val="-6"/>
          <w:sz w:val="20"/>
        </w:rPr>
        <w:t> </w:t>
      </w:r>
      <w:r>
        <w:rPr>
          <w:sz w:val="20"/>
        </w:rPr>
        <w:t>the</w:t>
      </w:r>
      <w:r>
        <w:rPr>
          <w:spacing w:val="-8"/>
          <w:sz w:val="20"/>
        </w:rPr>
        <w:t> </w:t>
      </w:r>
      <w:r>
        <w:rPr>
          <w:sz w:val="20"/>
        </w:rPr>
        <w:t>basis</w:t>
      </w:r>
      <w:r>
        <w:rPr>
          <w:spacing w:val="-6"/>
          <w:sz w:val="20"/>
        </w:rPr>
        <w:t> </w:t>
      </w:r>
      <w:r>
        <w:rPr>
          <w:sz w:val="20"/>
        </w:rPr>
        <w:t>that</w:t>
      </w:r>
      <w:r>
        <w:rPr>
          <w:spacing w:val="-8"/>
          <w:sz w:val="20"/>
        </w:rPr>
        <w:t> </w:t>
      </w:r>
      <w:r>
        <w:rPr>
          <w:sz w:val="20"/>
        </w:rPr>
        <w:t>there</w:t>
      </w:r>
      <w:r>
        <w:rPr>
          <w:spacing w:val="-8"/>
          <w:sz w:val="20"/>
        </w:rPr>
        <w:t> </w:t>
      </w:r>
      <w:r>
        <w:rPr>
          <w:sz w:val="20"/>
        </w:rPr>
        <w:t>is</w:t>
      </w:r>
      <w:r>
        <w:rPr>
          <w:spacing w:val="-6"/>
          <w:sz w:val="20"/>
        </w:rPr>
        <w:t> </w:t>
      </w:r>
      <w:r>
        <w:rPr>
          <w:sz w:val="20"/>
        </w:rPr>
        <w:t>an</w:t>
      </w:r>
      <w:r>
        <w:rPr>
          <w:spacing w:val="-6"/>
          <w:sz w:val="20"/>
        </w:rPr>
        <w:t> </w:t>
      </w:r>
      <w:r>
        <w:rPr>
          <w:sz w:val="20"/>
        </w:rPr>
        <w:t>economic</w:t>
      </w:r>
      <w:r>
        <w:rPr>
          <w:spacing w:val="-8"/>
          <w:sz w:val="20"/>
        </w:rPr>
        <w:t> </w:t>
      </w:r>
      <w:r>
        <w:rPr>
          <w:sz w:val="20"/>
        </w:rPr>
        <w:t>market</w:t>
      </w:r>
      <w:r>
        <w:rPr>
          <w:spacing w:val="-7"/>
          <w:sz w:val="20"/>
        </w:rPr>
        <w:t> </w:t>
      </w:r>
      <w:r>
        <w:rPr>
          <w:sz w:val="20"/>
        </w:rPr>
        <w:t>available</w:t>
      </w:r>
      <w:r>
        <w:rPr>
          <w:spacing w:val="-8"/>
          <w:sz w:val="20"/>
        </w:rPr>
        <w:t> </w:t>
      </w:r>
      <w:r>
        <w:rPr>
          <w:sz w:val="20"/>
        </w:rPr>
        <w:t>to</w:t>
      </w:r>
      <w:r>
        <w:rPr>
          <w:spacing w:val="-6"/>
          <w:sz w:val="20"/>
        </w:rPr>
        <w:t> </w:t>
      </w:r>
      <w:r>
        <w:rPr>
          <w:sz w:val="20"/>
        </w:rPr>
        <w:t>our contractors for the sale of this</w:t>
      </w:r>
      <w:r>
        <w:rPr>
          <w:spacing w:val="-11"/>
          <w:sz w:val="20"/>
        </w:rPr>
        <w:t> </w:t>
      </w:r>
      <w:r>
        <w:rPr>
          <w:sz w:val="20"/>
        </w:rPr>
        <w:t>product.</w:t>
      </w:r>
    </w:p>
    <w:p>
      <w:pPr>
        <w:pStyle w:val="ListParagraph"/>
        <w:numPr>
          <w:ilvl w:val="0"/>
          <w:numId w:val="31"/>
        </w:numPr>
        <w:tabs>
          <w:tab w:pos="1280" w:val="left" w:leader="none"/>
          <w:tab w:pos="1281" w:val="left" w:leader="none"/>
        </w:tabs>
        <w:spacing w:line="254" w:lineRule="exact" w:before="0" w:after="0"/>
        <w:ind w:left="1280" w:right="0" w:hanging="360"/>
        <w:jc w:val="left"/>
        <w:rPr>
          <w:sz w:val="20"/>
        </w:rPr>
      </w:pPr>
      <w:r>
        <w:rPr>
          <w:sz w:val="20"/>
        </w:rPr>
        <w:t>If 5 could be collected under the same market conditions as 1 and 2</w:t>
      </w:r>
      <w:r>
        <w:rPr>
          <w:spacing w:val="-25"/>
          <w:sz w:val="20"/>
        </w:rPr>
        <w:t> </w:t>
      </w:r>
      <w:r>
        <w:rPr>
          <w:sz w:val="20"/>
        </w:rPr>
        <w:t>great.</w:t>
      </w:r>
    </w:p>
    <w:p>
      <w:pPr>
        <w:pStyle w:val="BodyText"/>
        <w:spacing w:before="1"/>
      </w:pPr>
    </w:p>
    <w:p>
      <w:pPr>
        <w:pStyle w:val="Heading5"/>
        <w:numPr>
          <w:ilvl w:val="1"/>
          <w:numId w:val="30"/>
        </w:numPr>
        <w:tabs>
          <w:tab w:pos="1281" w:val="left" w:leader="none"/>
        </w:tabs>
        <w:spacing w:line="244" w:lineRule="exact" w:before="1" w:after="0"/>
        <w:ind w:left="1280" w:right="0" w:hanging="360"/>
        <w:jc w:val="left"/>
      </w:pPr>
      <w:r>
        <w:rPr/>
        <w:t>Plastics 3, 4, 6 and</w:t>
      </w:r>
      <w:r>
        <w:rPr>
          <w:spacing w:val="-10"/>
        </w:rPr>
        <w:t> </w:t>
      </w:r>
      <w:r>
        <w:rPr/>
        <w:t>7</w:t>
      </w:r>
    </w:p>
    <w:p>
      <w:pPr>
        <w:pStyle w:val="ListParagraph"/>
        <w:numPr>
          <w:ilvl w:val="0"/>
          <w:numId w:val="31"/>
        </w:numPr>
        <w:tabs>
          <w:tab w:pos="1281" w:val="left" w:leader="none"/>
        </w:tabs>
        <w:spacing w:line="240" w:lineRule="auto" w:before="0" w:after="0"/>
        <w:ind w:left="1280" w:right="118" w:hanging="360"/>
        <w:jc w:val="both"/>
        <w:rPr>
          <w:sz w:val="20"/>
        </w:rPr>
      </w:pPr>
      <w:r>
        <w:rPr>
          <w:sz w:val="20"/>
        </w:rPr>
        <w:t>Instead of removing plastics 3,4,6 and 7 from the collections, it should have standardization of applications/use for those "low-value" plastics. There is no point to try to become "zero waste" if we send plastics that could be recycled to landfills. It's important to promote alternatives or look for facilities that will be able to</w:t>
      </w:r>
      <w:r>
        <w:rPr>
          <w:spacing w:val="-12"/>
          <w:sz w:val="20"/>
        </w:rPr>
        <w:t> </w:t>
      </w:r>
      <w:r>
        <w:rPr>
          <w:sz w:val="20"/>
        </w:rPr>
        <w:t>process.</w:t>
      </w:r>
    </w:p>
    <w:p>
      <w:pPr>
        <w:pStyle w:val="ListParagraph"/>
        <w:numPr>
          <w:ilvl w:val="0"/>
          <w:numId w:val="31"/>
        </w:numPr>
        <w:tabs>
          <w:tab w:pos="1281" w:val="left" w:leader="none"/>
        </w:tabs>
        <w:spacing w:line="240" w:lineRule="auto" w:before="0" w:after="0"/>
        <w:ind w:left="1280" w:right="118" w:hanging="360"/>
        <w:jc w:val="both"/>
        <w:rPr>
          <w:sz w:val="20"/>
        </w:rPr>
      </w:pPr>
      <w:r>
        <w:rPr>
          <w:sz w:val="20"/>
        </w:rPr>
        <w:t>Why</w:t>
      </w:r>
      <w:r>
        <w:rPr>
          <w:spacing w:val="-4"/>
          <w:sz w:val="20"/>
        </w:rPr>
        <w:t> </w:t>
      </w:r>
      <w:r>
        <w:rPr>
          <w:sz w:val="20"/>
        </w:rPr>
        <w:t>are</w:t>
      </w:r>
      <w:r>
        <w:rPr>
          <w:spacing w:val="-5"/>
          <w:sz w:val="20"/>
        </w:rPr>
        <w:t> </w:t>
      </w:r>
      <w:r>
        <w:rPr>
          <w:sz w:val="20"/>
        </w:rPr>
        <w:t>WasteMINZ</w:t>
      </w:r>
      <w:r>
        <w:rPr>
          <w:spacing w:val="-4"/>
          <w:sz w:val="20"/>
        </w:rPr>
        <w:t> </w:t>
      </w:r>
      <w:r>
        <w:rPr>
          <w:sz w:val="20"/>
        </w:rPr>
        <w:t>not</w:t>
      </w:r>
      <w:r>
        <w:rPr>
          <w:spacing w:val="-4"/>
          <w:sz w:val="20"/>
        </w:rPr>
        <w:t> </w:t>
      </w:r>
      <w:r>
        <w:rPr>
          <w:sz w:val="20"/>
        </w:rPr>
        <w:t>lobbying</w:t>
      </w:r>
      <w:r>
        <w:rPr>
          <w:spacing w:val="-5"/>
          <w:sz w:val="20"/>
        </w:rPr>
        <w:t> </w:t>
      </w:r>
      <w:r>
        <w:rPr>
          <w:sz w:val="20"/>
        </w:rPr>
        <w:t>MfE</w:t>
      </w:r>
      <w:r>
        <w:rPr>
          <w:spacing w:val="-4"/>
          <w:sz w:val="20"/>
        </w:rPr>
        <w:t> </w:t>
      </w:r>
      <w:r>
        <w:rPr>
          <w:sz w:val="20"/>
        </w:rPr>
        <w:t>more</w:t>
      </w:r>
      <w:r>
        <w:rPr>
          <w:spacing w:val="-5"/>
          <w:sz w:val="20"/>
        </w:rPr>
        <w:t> </w:t>
      </w:r>
      <w:r>
        <w:rPr>
          <w:sz w:val="20"/>
        </w:rPr>
        <w:t>on</w:t>
      </w:r>
      <w:r>
        <w:rPr>
          <w:spacing w:val="-4"/>
          <w:sz w:val="20"/>
        </w:rPr>
        <w:t> </w:t>
      </w:r>
      <w:r>
        <w:rPr>
          <w:sz w:val="20"/>
        </w:rPr>
        <w:t>the</w:t>
      </w:r>
      <w:r>
        <w:rPr>
          <w:spacing w:val="-5"/>
          <w:sz w:val="20"/>
        </w:rPr>
        <w:t> </w:t>
      </w:r>
      <w:r>
        <w:rPr>
          <w:sz w:val="20"/>
        </w:rPr>
        <w:t>sectors</w:t>
      </w:r>
      <w:r>
        <w:rPr>
          <w:spacing w:val="-2"/>
          <w:sz w:val="20"/>
        </w:rPr>
        <w:t> </w:t>
      </w:r>
      <w:r>
        <w:rPr>
          <w:sz w:val="20"/>
        </w:rPr>
        <w:t>behalf</w:t>
      </w:r>
      <w:r>
        <w:rPr>
          <w:spacing w:val="-5"/>
          <w:sz w:val="20"/>
        </w:rPr>
        <w:t> </w:t>
      </w:r>
      <w:r>
        <w:rPr>
          <w:sz w:val="20"/>
        </w:rPr>
        <w:t>to</w:t>
      </w:r>
      <w:r>
        <w:rPr>
          <w:spacing w:val="-4"/>
          <w:sz w:val="20"/>
        </w:rPr>
        <w:t> </w:t>
      </w:r>
      <w:r>
        <w:rPr>
          <w:sz w:val="20"/>
        </w:rPr>
        <w:t>legislate</w:t>
      </w:r>
      <w:r>
        <w:rPr>
          <w:spacing w:val="-5"/>
          <w:sz w:val="20"/>
        </w:rPr>
        <w:t> </w:t>
      </w:r>
      <w:r>
        <w:rPr>
          <w:sz w:val="20"/>
        </w:rPr>
        <w:t>low</w:t>
      </w:r>
      <w:r>
        <w:rPr>
          <w:spacing w:val="-3"/>
          <w:sz w:val="20"/>
        </w:rPr>
        <w:t> </w:t>
      </w:r>
      <w:r>
        <w:rPr>
          <w:sz w:val="20"/>
        </w:rPr>
        <w:t>grade</w:t>
      </w:r>
      <w:r>
        <w:rPr>
          <w:spacing w:val="-5"/>
          <w:sz w:val="20"/>
        </w:rPr>
        <w:t> </w:t>
      </w:r>
      <w:r>
        <w:rPr>
          <w:sz w:val="20"/>
        </w:rPr>
        <w:t>plastics</w:t>
      </w:r>
      <w:r>
        <w:rPr>
          <w:spacing w:val="-3"/>
          <w:sz w:val="20"/>
        </w:rPr>
        <w:t> </w:t>
      </w:r>
      <w:r>
        <w:rPr>
          <w:sz w:val="20"/>
        </w:rPr>
        <w:t>out</w:t>
      </w:r>
      <w:r>
        <w:rPr>
          <w:spacing w:val="-4"/>
          <w:sz w:val="20"/>
        </w:rPr>
        <w:t> </w:t>
      </w:r>
      <w:r>
        <w:rPr>
          <w:sz w:val="20"/>
        </w:rPr>
        <w:t>of the market place and also bring in an accelerated container deposit scheme for glass and other drinks containers.</w:t>
      </w:r>
      <w:r>
        <w:rPr>
          <w:spacing w:val="-9"/>
          <w:sz w:val="20"/>
        </w:rPr>
        <w:t> </w:t>
      </w:r>
      <w:r>
        <w:rPr>
          <w:sz w:val="20"/>
        </w:rPr>
        <w:t>The</w:t>
      </w:r>
      <w:r>
        <w:rPr>
          <w:spacing w:val="-10"/>
          <w:sz w:val="20"/>
        </w:rPr>
        <w:t> </w:t>
      </w:r>
      <w:r>
        <w:rPr>
          <w:sz w:val="20"/>
        </w:rPr>
        <w:t>two</w:t>
      </w:r>
      <w:r>
        <w:rPr>
          <w:spacing w:val="-9"/>
          <w:sz w:val="20"/>
        </w:rPr>
        <w:t> </w:t>
      </w:r>
      <w:r>
        <w:rPr>
          <w:sz w:val="20"/>
        </w:rPr>
        <w:t>issues</w:t>
      </w:r>
      <w:r>
        <w:rPr>
          <w:spacing w:val="-8"/>
          <w:sz w:val="20"/>
        </w:rPr>
        <w:t> </w:t>
      </w:r>
      <w:r>
        <w:rPr>
          <w:sz w:val="20"/>
        </w:rPr>
        <w:t>were</w:t>
      </w:r>
      <w:r>
        <w:rPr>
          <w:spacing w:val="-10"/>
          <w:sz w:val="20"/>
        </w:rPr>
        <w:t> </w:t>
      </w:r>
      <w:r>
        <w:rPr>
          <w:sz w:val="20"/>
        </w:rPr>
        <w:t>glossed</w:t>
      </w:r>
      <w:r>
        <w:rPr>
          <w:spacing w:val="-9"/>
          <w:sz w:val="20"/>
        </w:rPr>
        <w:t> </w:t>
      </w:r>
      <w:r>
        <w:rPr>
          <w:sz w:val="20"/>
        </w:rPr>
        <w:t>over</w:t>
      </w:r>
      <w:r>
        <w:rPr>
          <w:spacing w:val="-9"/>
          <w:sz w:val="20"/>
        </w:rPr>
        <w:t> </w:t>
      </w:r>
      <w:r>
        <w:rPr>
          <w:sz w:val="20"/>
        </w:rPr>
        <w:t>at</w:t>
      </w:r>
      <w:r>
        <w:rPr>
          <w:spacing w:val="-8"/>
          <w:sz w:val="20"/>
        </w:rPr>
        <w:t> </w:t>
      </w:r>
      <w:r>
        <w:rPr>
          <w:sz w:val="20"/>
        </w:rPr>
        <w:t>our</w:t>
      </w:r>
      <w:r>
        <w:rPr>
          <w:spacing w:val="-9"/>
          <w:sz w:val="20"/>
        </w:rPr>
        <w:t> </w:t>
      </w:r>
      <w:r>
        <w:rPr>
          <w:sz w:val="20"/>
        </w:rPr>
        <w:t>Hui</w:t>
      </w:r>
      <w:r>
        <w:rPr>
          <w:spacing w:val="-9"/>
          <w:sz w:val="20"/>
        </w:rPr>
        <w:t> </w:t>
      </w:r>
      <w:r>
        <w:rPr>
          <w:sz w:val="20"/>
        </w:rPr>
        <w:t>and</w:t>
      </w:r>
      <w:r>
        <w:rPr>
          <w:spacing w:val="-6"/>
          <w:sz w:val="20"/>
        </w:rPr>
        <w:t> </w:t>
      </w:r>
      <w:r>
        <w:rPr>
          <w:sz w:val="20"/>
        </w:rPr>
        <w:t>I</w:t>
      </w:r>
      <w:r>
        <w:rPr>
          <w:spacing w:val="-9"/>
          <w:sz w:val="20"/>
        </w:rPr>
        <w:t> </w:t>
      </w:r>
      <w:r>
        <w:rPr>
          <w:sz w:val="20"/>
        </w:rPr>
        <w:t>recall</w:t>
      </w:r>
      <w:r>
        <w:rPr>
          <w:spacing w:val="-9"/>
          <w:sz w:val="20"/>
        </w:rPr>
        <w:t> </w:t>
      </w:r>
      <w:r>
        <w:rPr>
          <w:sz w:val="20"/>
        </w:rPr>
        <w:t>a</w:t>
      </w:r>
      <w:r>
        <w:rPr>
          <w:spacing w:val="-6"/>
          <w:sz w:val="20"/>
        </w:rPr>
        <w:t> </w:t>
      </w:r>
      <w:r>
        <w:rPr>
          <w:sz w:val="20"/>
        </w:rPr>
        <w:t>comment</w:t>
      </w:r>
      <w:r>
        <w:rPr>
          <w:spacing w:val="-6"/>
          <w:sz w:val="20"/>
        </w:rPr>
        <w:t> </w:t>
      </w:r>
      <w:r>
        <w:rPr>
          <w:sz w:val="20"/>
        </w:rPr>
        <w:t>from</w:t>
      </w:r>
      <w:r>
        <w:rPr>
          <w:spacing w:val="-10"/>
          <w:sz w:val="20"/>
        </w:rPr>
        <w:t> </w:t>
      </w:r>
      <w:r>
        <w:rPr>
          <w:sz w:val="20"/>
        </w:rPr>
        <w:t>the</w:t>
      </w:r>
      <w:r>
        <w:rPr>
          <w:spacing w:val="-10"/>
          <w:sz w:val="20"/>
        </w:rPr>
        <w:t> </w:t>
      </w:r>
      <w:r>
        <w:rPr>
          <w:sz w:val="20"/>
        </w:rPr>
        <w:t>MfE</w:t>
      </w:r>
      <w:r>
        <w:rPr>
          <w:spacing w:val="-8"/>
          <w:sz w:val="20"/>
        </w:rPr>
        <w:t> </w:t>
      </w:r>
      <w:r>
        <w:rPr>
          <w:sz w:val="20"/>
        </w:rPr>
        <w:t>that</w:t>
      </w:r>
      <w:r>
        <w:rPr>
          <w:spacing w:val="-8"/>
          <w:sz w:val="20"/>
        </w:rPr>
        <w:t> </w:t>
      </w:r>
      <w:r>
        <w:rPr>
          <w:sz w:val="20"/>
        </w:rPr>
        <w:t>these are still some years away yet. This is not good enough and relies on TLAs being the ambulance at the bottom</w:t>
      </w:r>
      <w:r>
        <w:rPr>
          <w:spacing w:val="-5"/>
          <w:sz w:val="20"/>
        </w:rPr>
        <w:t> </w:t>
      </w:r>
      <w:r>
        <w:rPr>
          <w:sz w:val="20"/>
        </w:rPr>
        <w:t>of</w:t>
      </w:r>
      <w:r>
        <w:rPr>
          <w:spacing w:val="-5"/>
          <w:sz w:val="20"/>
        </w:rPr>
        <w:t> </w:t>
      </w:r>
      <w:r>
        <w:rPr>
          <w:sz w:val="20"/>
        </w:rPr>
        <w:t>the</w:t>
      </w:r>
      <w:r>
        <w:rPr>
          <w:spacing w:val="-5"/>
          <w:sz w:val="20"/>
        </w:rPr>
        <w:t> </w:t>
      </w:r>
      <w:r>
        <w:rPr>
          <w:sz w:val="20"/>
        </w:rPr>
        <w:t>cliff</w:t>
      </w:r>
      <w:r>
        <w:rPr>
          <w:spacing w:val="-5"/>
          <w:sz w:val="20"/>
        </w:rPr>
        <w:t> </w:t>
      </w:r>
      <w:r>
        <w:rPr>
          <w:sz w:val="20"/>
        </w:rPr>
        <w:t>(as</w:t>
      </w:r>
      <w:r>
        <w:rPr>
          <w:spacing w:val="-3"/>
          <w:sz w:val="20"/>
        </w:rPr>
        <w:t> </w:t>
      </w:r>
      <w:r>
        <w:rPr>
          <w:sz w:val="20"/>
        </w:rPr>
        <w:t>usual).</w:t>
      </w:r>
      <w:r>
        <w:rPr>
          <w:spacing w:val="-4"/>
          <w:sz w:val="20"/>
        </w:rPr>
        <w:t> </w:t>
      </w:r>
      <w:r>
        <w:rPr>
          <w:sz w:val="20"/>
        </w:rPr>
        <w:t>It</w:t>
      </w:r>
      <w:r>
        <w:rPr>
          <w:spacing w:val="-4"/>
          <w:sz w:val="20"/>
        </w:rPr>
        <w:t> </w:t>
      </w:r>
      <w:r>
        <w:rPr>
          <w:sz w:val="20"/>
        </w:rPr>
        <w:t>seems</w:t>
      </w:r>
      <w:r>
        <w:rPr>
          <w:spacing w:val="-3"/>
          <w:sz w:val="20"/>
        </w:rPr>
        <w:t> </w:t>
      </w:r>
      <w:r>
        <w:rPr>
          <w:sz w:val="20"/>
        </w:rPr>
        <w:t>to</w:t>
      </w:r>
      <w:r>
        <w:rPr>
          <w:spacing w:val="-4"/>
          <w:sz w:val="20"/>
        </w:rPr>
        <w:t> </w:t>
      </w:r>
      <w:r>
        <w:rPr>
          <w:sz w:val="20"/>
        </w:rPr>
        <w:t>be</w:t>
      </w:r>
      <w:r>
        <w:rPr>
          <w:spacing w:val="-5"/>
          <w:sz w:val="20"/>
        </w:rPr>
        <w:t> </w:t>
      </w:r>
      <w:r>
        <w:rPr>
          <w:sz w:val="20"/>
        </w:rPr>
        <w:t>easier</w:t>
      </w:r>
      <w:r>
        <w:rPr>
          <w:spacing w:val="-4"/>
          <w:sz w:val="20"/>
        </w:rPr>
        <w:t> </w:t>
      </w:r>
      <w:r>
        <w:rPr>
          <w:sz w:val="20"/>
        </w:rPr>
        <w:t>to</w:t>
      </w:r>
      <w:r>
        <w:rPr>
          <w:spacing w:val="-4"/>
          <w:sz w:val="20"/>
        </w:rPr>
        <w:t> </w:t>
      </w:r>
      <w:r>
        <w:rPr>
          <w:sz w:val="20"/>
        </w:rPr>
        <w:t>put</w:t>
      </w:r>
      <w:r>
        <w:rPr>
          <w:spacing w:val="-6"/>
          <w:sz w:val="20"/>
        </w:rPr>
        <w:t> </w:t>
      </w:r>
      <w:r>
        <w:rPr>
          <w:sz w:val="20"/>
        </w:rPr>
        <w:t>the</w:t>
      </w:r>
      <w:r>
        <w:rPr>
          <w:spacing w:val="-5"/>
          <w:sz w:val="20"/>
        </w:rPr>
        <w:t> </w:t>
      </w:r>
      <w:r>
        <w:rPr>
          <w:sz w:val="20"/>
        </w:rPr>
        <w:t>reliance</w:t>
      </w:r>
      <w:r>
        <w:rPr>
          <w:spacing w:val="-5"/>
          <w:sz w:val="20"/>
        </w:rPr>
        <w:t> </w:t>
      </w:r>
      <w:r>
        <w:rPr>
          <w:sz w:val="20"/>
        </w:rPr>
        <w:t>on</w:t>
      </w:r>
      <w:r>
        <w:rPr>
          <w:spacing w:val="-4"/>
          <w:sz w:val="20"/>
        </w:rPr>
        <w:t> </w:t>
      </w:r>
      <w:r>
        <w:rPr>
          <w:sz w:val="20"/>
        </w:rPr>
        <w:t>the</w:t>
      </w:r>
      <w:r>
        <w:rPr>
          <w:spacing w:val="-5"/>
          <w:sz w:val="20"/>
        </w:rPr>
        <w:t> </w:t>
      </w:r>
      <w:r>
        <w:rPr>
          <w:sz w:val="20"/>
        </w:rPr>
        <w:t>end</w:t>
      </w:r>
      <w:r>
        <w:rPr>
          <w:spacing w:val="-4"/>
          <w:sz w:val="20"/>
        </w:rPr>
        <w:t> </w:t>
      </w:r>
      <w:r>
        <w:rPr>
          <w:sz w:val="20"/>
        </w:rPr>
        <w:t>user</w:t>
      </w:r>
      <w:r>
        <w:rPr>
          <w:spacing w:val="-4"/>
          <w:sz w:val="20"/>
        </w:rPr>
        <w:t> </w:t>
      </w:r>
      <w:r>
        <w:rPr>
          <w:sz w:val="20"/>
        </w:rPr>
        <w:t>(and</w:t>
      </w:r>
      <w:r>
        <w:rPr>
          <w:spacing w:val="-4"/>
          <w:sz w:val="20"/>
        </w:rPr>
        <w:t> </w:t>
      </w:r>
      <w:r>
        <w:rPr>
          <w:sz w:val="20"/>
        </w:rPr>
        <w:t>thus</w:t>
      </w:r>
      <w:r>
        <w:rPr>
          <w:spacing w:val="-5"/>
          <w:sz w:val="20"/>
        </w:rPr>
        <w:t> </w:t>
      </w:r>
      <w:r>
        <w:rPr>
          <w:sz w:val="20"/>
        </w:rPr>
        <w:t>end</w:t>
      </w:r>
      <w:r>
        <w:rPr>
          <w:spacing w:val="-4"/>
          <w:sz w:val="20"/>
        </w:rPr>
        <w:t> </w:t>
      </w:r>
      <w:r>
        <w:rPr>
          <w:sz w:val="20"/>
        </w:rPr>
        <w:t>up with multiple different services which serves to confuse and make up look stupid) rather than tackle head on where it needs - at the highest level. Do it once and do it</w:t>
      </w:r>
      <w:r>
        <w:rPr>
          <w:spacing w:val="-20"/>
          <w:sz w:val="20"/>
        </w:rPr>
        <w:t> </w:t>
      </w:r>
      <w:r>
        <w:rPr>
          <w:sz w:val="20"/>
        </w:rPr>
        <w:t>right!</w:t>
      </w:r>
    </w:p>
    <w:p>
      <w:pPr>
        <w:pStyle w:val="ListParagraph"/>
        <w:numPr>
          <w:ilvl w:val="0"/>
          <w:numId w:val="31"/>
        </w:numPr>
        <w:tabs>
          <w:tab w:pos="1280" w:val="left" w:leader="none"/>
          <w:tab w:pos="1281" w:val="left" w:leader="none"/>
        </w:tabs>
        <w:spacing w:line="254" w:lineRule="exact" w:before="0" w:after="0"/>
        <w:ind w:left="1280" w:right="0" w:hanging="360"/>
        <w:jc w:val="left"/>
        <w:rPr>
          <w:sz w:val="20"/>
        </w:rPr>
      </w:pPr>
      <w:r>
        <w:rPr>
          <w:sz w:val="20"/>
        </w:rPr>
        <w:t>I  think kerbside should collect  all  plastics  and sort at stations  and  work with  manufacturers  to</w:t>
      </w:r>
      <w:r>
        <w:rPr>
          <w:spacing w:val="10"/>
          <w:sz w:val="20"/>
        </w:rPr>
        <w:t> </w:t>
      </w:r>
      <w:r>
        <w:rPr>
          <w:sz w:val="20"/>
        </w:rPr>
        <w:t>not</w:t>
      </w:r>
    </w:p>
    <w:p>
      <w:pPr>
        <w:pStyle w:val="BodyText"/>
        <w:ind w:left="1280"/>
      </w:pPr>
      <w:r>
        <w:rPr/>
        <w:t>package with “non-recyclable" recycling.</w:t>
      </w:r>
    </w:p>
    <w:p>
      <w:pPr>
        <w:pStyle w:val="BodyText"/>
        <w:spacing w:before="10"/>
        <w:rPr>
          <w:sz w:val="19"/>
        </w:rPr>
      </w:pPr>
    </w:p>
    <w:p>
      <w:pPr>
        <w:pStyle w:val="Heading5"/>
        <w:numPr>
          <w:ilvl w:val="1"/>
          <w:numId w:val="30"/>
        </w:numPr>
        <w:tabs>
          <w:tab w:pos="1281" w:val="left" w:leader="none"/>
        </w:tabs>
        <w:spacing w:line="244" w:lineRule="exact" w:before="0" w:after="0"/>
        <w:ind w:left="1280" w:right="0" w:hanging="360"/>
        <w:jc w:val="left"/>
      </w:pPr>
      <w:r>
        <w:rPr/>
        <w:t>General</w:t>
      </w:r>
    </w:p>
    <w:p>
      <w:pPr>
        <w:pStyle w:val="ListParagraph"/>
        <w:numPr>
          <w:ilvl w:val="0"/>
          <w:numId w:val="31"/>
        </w:numPr>
        <w:tabs>
          <w:tab w:pos="1281" w:val="left" w:leader="none"/>
        </w:tabs>
        <w:spacing w:line="240" w:lineRule="auto" w:before="0" w:after="0"/>
        <w:ind w:left="1280" w:right="115" w:hanging="360"/>
        <w:jc w:val="both"/>
        <w:rPr>
          <w:sz w:val="20"/>
        </w:rPr>
      </w:pPr>
      <w:r>
        <w:rPr>
          <w:sz w:val="20"/>
        </w:rPr>
        <w:t>In</w:t>
      </w:r>
      <w:r>
        <w:rPr>
          <w:spacing w:val="-5"/>
          <w:sz w:val="20"/>
        </w:rPr>
        <w:t> </w:t>
      </w:r>
      <w:r>
        <w:rPr>
          <w:sz w:val="20"/>
        </w:rPr>
        <w:t>order</w:t>
      </w:r>
      <w:r>
        <w:rPr>
          <w:spacing w:val="-5"/>
          <w:sz w:val="20"/>
        </w:rPr>
        <w:t> </w:t>
      </w:r>
      <w:r>
        <w:rPr>
          <w:sz w:val="20"/>
        </w:rPr>
        <w:t>to</w:t>
      </w:r>
      <w:r>
        <w:rPr>
          <w:spacing w:val="-7"/>
          <w:sz w:val="20"/>
        </w:rPr>
        <w:t> </w:t>
      </w:r>
      <w:r>
        <w:rPr>
          <w:sz w:val="20"/>
        </w:rPr>
        <w:t>determine</w:t>
      </w:r>
      <w:r>
        <w:rPr>
          <w:spacing w:val="-6"/>
          <w:sz w:val="20"/>
        </w:rPr>
        <w:t> </w:t>
      </w:r>
      <w:r>
        <w:rPr>
          <w:sz w:val="20"/>
        </w:rPr>
        <w:t>what</w:t>
      </w:r>
      <w:r>
        <w:rPr>
          <w:spacing w:val="-5"/>
          <w:sz w:val="20"/>
        </w:rPr>
        <w:t> </w:t>
      </w:r>
      <w:r>
        <w:rPr>
          <w:sz w:val="20"/>
        </w:rPr>
        <w:t>recycle</w:t>
      </w:r>
      <w:r>
        <w:rPr>
          <w:spacing w:val="-7"/>
          <w:sz w:val="20"/>
        </w:rPr>
        <w:t> </w:t>
      </w:r>
      <w:r>
        <w:rPr>
          <w:sz w:val="20"/>
        </w:rPr>
        <w:t>products</w:t>
      </w:r>
      <w:r>
        <w:rPr>
          <w:spacing w:val="-4"/>
          <w:sz w:val="20"/>
        </w:rPr>
        <w:t> </w:t>
      </w:r>
      <w:r>
        <w:rPr>
          <w:sz w:val="20"/>
        </w:rPr>
        <w:t>we</w:t>
      </w:r>
      <w:r>
        <w:rPr>
          <w:spacing w:val="-6"/>
          <w:sz w:val="20"/>
        </w:rPr>
        <w:t> </w:t>
      </w:r>
      <w:r>
        <w:rPr>
          <w:sz w:val="20"/>
        </w:rPr>
        <w:t>can</w:t>
      </w:r>
      <w:r>
        <w:rPr>
          <w:spacing w:val="-4"/>
          <w:sz w:val="20"/>
        </w:rPr>
        <w:t> </w:t>
      </w:r>
      <w:r>
        <w:rPr>
          <w:sz w:val="20"/>
        </w:rPr>
        <w:t>take,</w:t>
      </w:r>
      <w:r>
        <w:rPr>
          <w:spacing w:val="-7"/>
          <w:sz w:val="20"/>
        </w:rPr>
        <w:t> </w:t>
      </w:r>
      <w:r>
        <w:rPr>
          <w:sz w:val="20"/>
        </w:rPr>
        <w:t>and</w:t>
      </w:r>
      <w:r>
        <w:rPr>
          <w:spacing w:val="-5"/>
          <w:sz w:val="20"/>
        </w:rPr>
        <w:t> </w:t>
      </w:r>
      <w:r>
        <w:rPr>
          <w:sz w:val="20"/>
        </w:rPr>
        <w:t>if</w:t>
      </w:r>
      <w:r>
        <w:rPr>
          <w:spacing w:val="-6"/>
          <w:sz w:val="20"/>
        </w:rPr>
        <w:t> </w:t>
      </w:r>
      <w:r>
        <w:rPr>
          <w:sz w:val="20"/>
        </w:rPr>
        <w:t>needs</w:t>
      </w:r>
      <w:r>
        <w:rPr>
          <w:spacing w:val="-4"/>
          <w:sz w:val="20"/>
        </w:rPr>
        <w:t> </w:t>
      </w:r>
      <w:r>
        <w:rPr>
          <w:sz w:val="20"/>
        </w:rPr>
        <w:t>to</w:t>
      </w:r>
      <w:r>
        <w:rPr>
          <w:spacing w:val="-7"/>
          <w:sz w:val="20"/>
        </w:rPr>
        <w:t> </w:t>
      </w:r>
      <w:r>
        <w:rPr>
          <w:sz w:val="20"/>
        </w:rPr>
        <w:t>be</w:t>
      </w:r>
      <w:r>
        <w:rPr>
          <w:spacing w:val="-9"/>
          <w:sz w:val="20"/>
        </w:rPr>
        <w:t> </w:t>
      </w:r>
      <w:r>
        <w:rPr>
          <w:sz w:val="20"/>
        </w:rPr>
        <w:t>separated,</w:t>
      </w:r>
      <w:r>
        <w:rPr>
          <w:spacing w:val="-5"/>
          <w:sz w:val="20"/>
        </w:rPr>
        <w:t> </w:t>
      </w:r>
      <w:r>
        <w:rPr>
          <w:sz w:val="20"/>
        </w:rPr>
        <w:t>we</w:t>
      </w:r>
      <w:r>
        <w:rPr>
          <w:spacing w:val="-6"/>
          <w:sz w:val="20"/>
        </w:rPr>
        <w:t> </w:t>
      </w:r>
      <w:r>
        <w:rPr>
          <w:sz w:val="20"/>
        </w:rPr>
        <w:t>need</w:t>
      </w:r>
      <w:r>
        <w:rPr>
          <w:spacing w:val="-5"/>
          <w:sz w:val="20"/>
        </w:rPr>
        <w:t> </w:t>
      </w:r>
      <w:r>
        <w:rPr>
          <w:spacing w:val="3"/>
          <w:sz w:val="20"/>
        </w:rPr>
        <w:t>to</w:t>
      </w:r>
      <w:r>
        <w:rPr>
          <w:spacing w:val="-5"/>
          <w:sz w:val="20"/>
        </w:rPr>
        <w:t> </w:t>
      </w:r>
      <w:r>
        <w:rPr>
          <w:sz w:val="20"/>
        </w:rPr>
        <w:t>see if</w:t>
      </w:r>
      <w:r>
        <w:rPr>
          <w:spacing w:val="-10"/>
          <w:sz w:val="20"/>
        </w:rPr>
        <w:t> </w:t>
      </w:r>
      <w:r>
        <w:rPr>
          <w:sz w:val="20"/>
        </w:rPr>
        <w:t>we</w:t>
      </w:r>
      <w:r>
        <w:rPr>
          <w:spacing w:val="-10"/>
          <w:sz w:val="20"/>
        </w:rPr>
        <w:t> </w:t>
      </w:r>
      <w:r>
        <w:rPr>
          <w:sz w:val="20"/>
        </w:rPr>
        <w:t>can</w:t>
      </w:r>
      <w:r>
        <w:rPr>
          <w:spacing w:val="-6"/>
          <w:sz w:val="20"/>
        </w:rPr>
        <w:t> </w:t>
      </w:r>
      <w:r>
        <w:rPr>
          <w:sz w:val="20"/>
        </w:rPr>
        <w:t>establish</w:t>
      </w:r>
      <w:r>
        <w:rPr>
          <w:spacing w:val="-9"/>
          <w:sz w:val="20"/>
        </w:rPr>
        <w:t> </w:t>
      </w:r>
      <w:r>
        <w:rPr>
          <w:sz w:val="20"/>
        </w:rPr>
        <w:t>recycle</w:t>
      </w:r>
      <w:r>
        <w:rPr>
          <w:spacing w:val="-8"/>
          <w:sz w:val="20"/>
        </w:rPr>
        <w:t> </w:t>
      </w:r>
      <w:r>
        <w:rPr>
          <w:sz w:val="20"/>
        </w:rPr>
        <w:t>MRF's</w:t>
      </w:r>
      <w:r>
        <w:rPr>
          <w:spacing w:val="-8"/>
          <w:sz w:val="20"/>
        </w:rPr>
        <w:t> </w:t>
      </w:r>
      <w:r>
        <w:rPr>
          <w:sz w:val="20"/>
        </w:rPr>
        <w:t>regional.</w:t>
      </w:r>
      <w:r>
        <w:rPr>
          <w:spacing w:val="-6"/>
          <w:sz w:val="20"/>
        </w:rPr>
        <w:t> </w:t>
      </w:r>
      <w:r>
        <w:rPr>
          <w:sz w:val="20"/>
        </w:rPr>
        <w:t>What</w:t>
      </w:r>
      <w:r>
        <w:rPr>
          <w:spacing w:val="-8"/>
          <w:sz w:val="20"/>
        </w:rPr>
        <w:t> </w:t>
      </w:r>
      <w:r>
        <w:rPr>
          <w:sz w:val="20"/>
        </w:rPr>
        <w:t>can</w:t>
      </w:r>
      <w:r>
        <w:rPr>
          <w:spacing w:val="-8"/>
          <w:sz w:val="20"/>
        </w:rPr>
        <w:t> </w:t>
      </w:r>
      <w:r>
        <w:rPr>
          <w:sz w:val="20"/>
        </w:rPr>
        <w:t>we</w:t>
      </w:r>
      <w:r>
        <w:rPr>
          <w:spacing w:val="-10"/>
          <w:sz w:val="20"/>
        </w:rPr>
        <w:t> </w:t>
      </w:r>
      <w:r>
        <w:rPr>
          <w:sz w:val="20"/>
        </w:rPr>
        <w:t>develop</w:t>
      </w:r>
      <w:r>
        <w:rPr>
          <w:spacing w:val="-8"/>
          <w:sz w:val="20"/>
        </w:rPr>
        <w:t> </w:t>
      </w:r>
      <w:r>
        <w:rPr>
          <w:sz w:val="20"/>
        </w:rPr>
        <w:t>and</w:t>
      </w:r>
      <w:r>
        <w:rPr>
          <w:spacing w:val="-9"/>
          <w:sz w:val="20"/>
        </w:rPr>
        <w:t> </w:t>
      </w:r>
      <w:r>
        <w:rPr>
          <w:sz w:val="20"/>
        </w:rPr>
        <w:t>build</w:t>
      </w:r>
      <w:r>
        <w:rPr>
          <w:spacing w:val="-9"/>
          <w:sz w:val="20"/>
        </w:rPr>
        <w:t> </w:t>
      </w:r>
      <w:r>
        <w:rPr>
          <w:sz w:val="20"/>
        </w:rPr>
        <w:t>on</w:t>
      </w:r>
      <w:r>
        <w:rPr>
          <w:spacing w:val="-9"/>
          <w:sz w:val="20"/>
        </w:rPr>
        <w:t> </w:t>
      </w:r>
      <w:r>
        <w:rPr>
          <w:sz w:val="20"/>
        </w:rPr>
        <w:t>a</w:t>
      </w:r>
      <w:r>
        <w:rPr>
          <w:spacing w:val="-9"/>
          <w:sz w:val="20"/>
        </w:rPr>
        <w:t> </w:t>
      </w:r>
      <w:r>
        <w:rPr>
          <w:sz w:val="20"/>
        </w:rPr>
        <w:t>regional</w:t>
      </w:r>
      <w:r>
        <w:rPr>
          <w:spacing w:val="-9"/>
          <w:sz w:val="20"/>
        </w:rPr>
        <w:t> </w:t>
      </w:r>
      <w:r>
        <w:rPr>
          <w:sz w:val="20"/>
        </w:rPr>
        <w:t>basis</w:t>
      </w:r>
      <w:r>
        <w:rPr>
          <w:spacing w:val="-8"/>
          <w:sz w:val="20"/>
        </w:rPr>
        <w:t> </w:t>
      </w:r>
      <w:r>
        <w:rPr>
          <w:sz w:val="20"/>
        </w:rPr>
        <w:t>so</w:t>
      </w:r>
      <w:r>
        <w:rPr>
          <w:spacing w:val="-9"/>
          <w:sz w:val="20"/>
        </w:rPr>
        <w:t> </w:t>
      </w:r>
      <w:r>
        <w:rPr>
          <w:sz w:val="20"/>
        </w:rPr>
        <w:t>recycle processing can be done</w:t>
      </w:r>
      <w:r>
        <w:rPr>
          <w:spacing w:val="-10"/>
          <w:sz w:val="20"/>
        </w:rPr>
        <w:t> </w:t>
      </w:r>
      <w:r>
        <w:rPr>
          <w:sz w:val="20"/>
        </w:rPr>
        <w:t>locally</w:t>
      </w:r>
    </w:p>
    <w:p>
      <w:pPr>
        <w:pStyle w:val="ListParagraph"/>
        <w:numPr>
          <w:ilvl w:val="0"/>
          <w:numId w:val="31"/>
        </w:numPr>
        <w:tabs>
          <w:tab w:pos="1280" w:val="left" w:leader="none"/>
          <w:tab w:pos="1281" w:val="left" w:leader="none"/>
        </w:tabs>
        <w:spacing w:line="240" w:lineRule="auto" w:before="0" w:after="0"/>
        <w:ind w:left="1280" w:right="130" w:hanging="360"/>
        <w:jc w:val="left"/>
        <w:rPr>
          <w:sz w:val="20"/>
        </w:rPr>
      </w:pPr>
      <w:r>
        <w:rPr>
          <w:sz w:val="20"/>
        </w:rPr>
        <w:t>The community will need to be notified and educated of any change in the acceptance of recyclables. An alternative could be to avoid changing the public understanding of what is acceptable. This </w:t>
      </w:r>
      <w:r>
        <w:rPr>
          <w:spacing w:val="21"/>
          <w:sz w:val="20"/>
        </w:rPr>
        <w:t> </w:t>
      </w:r>
      <w:r>
        <w:rPr>
          <w:sz w:val="20"/>
        </w:rPr>
        <w:t>allows</w:t>
      </w:r>
    </w:p>
    <w:p>
      <w:pPr>
        <w:spacing w:after="0" w:line="240" w:lineRule="auto"/>
        <w:jc w:val="left"/>
        <w:rPr>
          <w:sz w:val="20"/>
        </w:rPr>
        <w:sectPr>
          <w:pgSz w:w="11910" w:h="16840"/>
          <w:pgMar w:header="576" w:footer="698" w:top="1140" w:bottom="880" w:left="880" w:right="1320"/>
        </w:sectPr>
      </w:pPr>
    </w:p>
    <w:p>
      <w:pPr>
        <w:pStyle w:val="BodyText"/>
      </w:pPr>
    </w:p>
    <w:p>
      <w:pPr>
        <w:pStyle w:val="BodyText"/>
        <w:spacing w:before="5"/>
        <w:rPr>
          <w:sz w:val="29"/>
        </w:rPr>
      </w:pPr>
    </w:p>
    <w:p>
      <w:pPr>
        <w:pStyle w:val="BodyText"/>
        <w:spacing w:before="59"/>
        <w:ind w:left="1280" w:right="119"/>
        <w:jc w:val="both"/>
      </w:pPr>
      <w:r>
        <w:rPr/>
        <w:t>the product to resume being sold as soon as a market is available. However, this would require space for stockpiling the product with no guarantees that the markets will recover. As such, there is a significant risk with this consideration</w:t>
      </w:r>
    </w:p>
    <w:p>
      <w:pPr>
        <w:pStyle w:val="BodyText"/>
        <w:spacing w:before="10"/>
        <w:rPr>
          <w:sz w:val="19"/>
        </w:rPr>
      </w:pPr>
    </w:p>
    <w:p>
      <w:pPr>
        <w:pStyle w:val="Heading5"/>
        <w:numPr>
          <w:ilvl w:val="0"/>
          <w:numId w:val="30"/>
        </w:numPr>
        <w:tabs>
          <w:tab w:pos="921" w:val="left" w:leader="none"/>
        </w:tabs>
        <w:spacing w:line="240" w:lineRule="auto" w:before="0" w:after="0"/>
        <w:ind w:left="920" w:right="118" w:hanging="360"/>
        <w:jc w:val="both"/>
      </w:pPr>
      <w:r>
        <w:rPr/>
        <w:t>Organics:</w:t>
      </w:r>
      <w:r>
        <w:rPr>
          <w:spacing w:val="-9"/>
        </w:rPr>
        <w:t> </w:t>
      </w:r>
      <w:r>
        <w:rPr/>
        <w:t>Do</w:t>
      </w:r>
      <w:r>
        <w:rPr>
          <w:spacing w:val="-8"/>
        </w:rPr>
        <w:t> </w:t>
      </w:r>
      <w:r>
        <w:rPr/>
        <w:t>you</w:t>
      </w:r>
      <w:r>
        <w:rPr>
          <w:spacing w:val="-8"/>
        </w:rPr>
        <w:t> </w:t>
      </w:r>
      <w:r>
        <w:rPr/>
        <w:t>agree</w:t>
      </w:r>
      <w:r>
        <w:rPr>
          <w:spacing w:val="-9"/>
        </w:rPr>
        <w:t> </w:t>
      </w:r>
      <w:r>
        <w:rPr/>
        <w:t>with</w:t>
      </w:r>
      <w:r>
        <w:rPr>
          <w:spacing w:val="-10"/>
        </w:rPr>
        <w:t> </w:t>
      </w:r>
      <w:r>
        <w:rPr/>
        <w:t>food</w:t>
      </w:r>
      <w:r>
        <w:rPr>
          <w:spacing w:val="-8"/>
        </w:rPr>
        <w:t> </w:t>
      </w:r>
      <w:r>
        <w:rPr/>
        <w:t>waste</w:t>
      </w:r>
      <w:r>
        <w:rPr>
          <w:spacing w:val="-10"/>
        </w:rPr>
        <w:t> </w:t>
      </w:r>
      <w:r>
        <w:rPr/>
        <w:t>collection</w:t>
      </w:r>
      <w:r>
        <w:rPr>
          <w:spacing w:val="-8"/>
        </w:rPr>
        <w:t> </w:t>
      </w:r>
      <w:r>
        <w:rPr/>
        <w:t>in</w:t>
      </w:r>
      <w:r>
        <w:rPr>
          <w:spacing w:val="-8"/>
        </w:rPr>
        <w:t> </w:t>
      </w:r>
      <w:r>
        <w:rPr/>
        <w:t>23-litre</w:t>
      </w:r>
      <w:r>
        <w:rPr>
          <w:spacing w:val="-9"/>
        </w:rPr>
        <w:t> </w:t>
      </w:r>
      <w:r>
        <w:rPr/>
        <w:t>bin,</w:t>
      </w:r>
      <w:r>
        <w:rPr>
          <w:spacing w:val="-10"/>
        </w:rPr>
        <w:t> </w:t>
      </w:r>
      <w:r>
        <w:rPr/>
        <w:t>weekly</w:t>
      </w:r>
      <w:r>
        <w:rPr>
          <w:spacing w:val="-10"/>
        </w:rPr>
        <w:t> </w:t>
      </w:r>
      <w:r>
        <w:rPr/>
        <w:t>(option</w:t>
      </w:r>
      <w:r>
        <w:rPr>
          <w:spacing w:val="-10"/>
        </w:rPr>
        <w:t> </w:t>
      </w:r>
      <w:r>
        <w:rPr/>
        <w:t>for</w:t>
      </w:r>
      <w:r>
        <w:rPr>
          <w:spacing w:val="-10"/>
        </w:rPr>
        <w:t> </w:t>
      </w:r>
      <w:r>
        <w:rPr/>
        <w:t>food</w:t>
      </w:r>
      <w:r>
        <w:rPr>
          <w:spacing w:val="-10"/>
        </w:rPr>
        <w:t> </w:t>
      </w:r>
      <w:r>
        <w:rPr/>
        <w:t>and</w:t>
      </w:r>
      <w:r>
        <w:rPr>
          <w:spacing w:val="-10"/>
        </w:rPr>
        <w:t> </w:t>
      </w:r>
      <w:r>
        <w:rPr/>
        <w:t>greenwaste collection if compost facility requires greenwaste – though preference is for this to be sourced from transfer stations or private collection</w:t>
      </w:r>
      <w:r>
        <w:rPr>
          <w:spacing w:val="-15"/>
        </w:rPr>
        <w:t> </w:t>
      </w:r>
      <w:r>
        <w:rPr/>
        <w:t>contractors)</w:t>
      </w:r>
    </w:p>
    <w:p>
      <w:pPr>
        <w:pStyle w:val="BodyText"/>
        <w:spacing w:before="8"/>
        <w:rPr>
          <w:b/>
          <w:sz w:val="16"/>
        </w:rPr>
      </w:pPr>
      <w:r>
        <w:rPr/>
        <w:drawing>
          <wp:anchor distT="0" distB="0" distL="0" distR="0" allowOverlap="1" layoutInCell="1" locked="0" behindDoc="0" simplePos="0" relativeHeight="1888">
            <wp:simplePos x="0" y="0"/>
            <wp:positionH relativeFrom="page">
              <wp:posOffset>2338070</wp:posOffset>
            </wp:positionH>
            <wp:positionV relativeFrom="paragraph">
              <wp:posOffset>154170</wp:posOffset>
            </wp:positionV>
            <wp:extent cx="2881116" cy="2875788"/>
            <wp:effectExtent l="0" t="0" r="0" b="0"/>
            <wp:wrapTopAndBottom/>
            <wp:docPr id="57" name="image34.png" descr=""/>
            <wp:cNvGraphicFramePr>
              <a:graphicFrameLocks noChangeAspect="1"/>
            </wp:cNvGraphicFramePr>
            <a:graphic>
              <a:graphicData uri="http://schemas.openxmlformats.org/drawingml/2006/picture">
                <pic:pic>
                  <pic:nvPicPr>
                    <pic:cNvPr id="58" name="image34.png"/>
                    <pic:cNvPicPr/>
                  </pic:nvPicPr>
                  <pic:blipFill>
                    <a:blip r:embed="rId53" cstate="print"/>
                    <a:stretch>
                      <a:fillRect/>
                    </a:stretch>
                  </pic:blipFill>
                  <pic:spPr>
                    <a:xfrm>
                      <a:off x="0" y="0"/>
                      <a:ext cx="2881116" cy="2875788"/>
                    </a:xfrm>
                    <a:prstGeom prst="rect">
                      <a:avLst/>
                    </a:prstGeom>
                  </pic:spPr>
                </pic:pic>
              </a:graphicData>
            </a:graphic>
          </wp:anchor>
        </w:drawing>
      </w:r>
    </w:p>
    <w:p>
      <w:pPr>
        <w:pStyle w:val="BodyText"/>
        <w:rPr>
          <w:b/>
        </w:rPr>
      </w:pPr>
    </w:p>
    <w:p>
      <w:pPr>
        <w:pStyle w:val="BodyText"/>
        <w:spacing w:before="2"/>
        <w:rPr>
          <w:b/>
          <w:sz w:val="18"/>
        </w:rPr>
      </w:pPr>
    </w:p>
    <w:p>
      <w:pPr>
        <w:spacing w:before="0"/>
        <w:ind w:left="560" w:right="0" w:firstLine="0"/>
        <w:jc w:val="left"/>
        <w:rPr>
          <w:b/>
          <w:sz w:val="20"/>
        </w:rPr>
      </w:pPr>
      <w:r>
        <w:rPr>
          <w:b/>
          <w:sz w:val="20"/>
        </w:rPr>
        <w:t>Comments</w:t>
      </w:r>
    </w:p>
    <w:p>
      <w:pPr>
        <w:pStyle w:val="BodyText"/>
        <w:spacing w:before="1"/>
        <w:rPr>
          <w:b/>
        </w:rPr>
      </w:pPr>
    </w:p>
    <w:p>
      <w:pPr>
        <w:pStyle w:val="ListParagraph"/>
        <w:numPr>
          <w:ilvl w:val="1"/>
          <w:numId w:val="30"/>
        </w:numPr>
        <w:tabs>
          <w:tab w:pos="1281" w:val="left" w:leader="none"/>
        </w:tabs>
        <w:spacing w:line="244" w:lineRule="exact" w:before="0" w:after="0"/>
        <w:ind w:left="1280" w:right="0" w:hanging="360"/>
        <w:jc w:val="left"/>
        <w:rPr>
          <w:b/>
          <w:sz w:val="20"/>
        </w:rPr>
      </w:pPr>
      <w:r>
        <w:rPr>
          <w:b/>
          <w:sz w:val="20"/>
        </w:rPr>
        <w:t>Against</w:t>
      </w:r>
    </w:p>
    <w:p>
      <w:pPr>
        <w:pStyle w:val="ListParagraph"/>
        <w:numPr>
          <w:ilvl w:val="0"/>
          <w:numId w:val="32"/>
        </w:numPr>
        <w:tabs>
          <w:tab w:pos="1280" w:val="left" w:leader="none"/>
          <w:tab w:pos="1281" w:val="left" w:leader="none"/>
        </w:tabs>
        <w:spacing w:line="254" w:lineRule="exact" w:before="0" w:after="0"/>
        <w:ind w:left="1280" w:right="0" w:hanging="360"/>
        <w:jc w:val="left"/>
        <w:rPr>
          <w:sz w:val="20"/>
        </w:rPr>
      </w:pPr>
      <w:r>
        <w:rPr>
          <w:sz w:val="20"/>
        </w:rPr>
        <w:t>Do not accept that separate food waste collection needs to be part of</w:t>
      </w:r>
      <w:r>
        <w:rPr>
          <w:spacing w:val="-32"/>
          <w:sz w:val="20"/>
        </w:rPr>
        <w:t> </w:t>
      </w:r>
      <w:r>
        <w:rPr>
          <w:sz w:val="20"/>
        </w:rPr>
        <w:t>kerbside.</w:t>
      </w:r>
    </w:p>
    <w:p>
      <w:pPr>
        <w:pStyle w:val="ListParagraph"/>
        <w:numPr>
          <w:ilvl w:val="0"/>
          <w:numId w:val="32"/>
        </w:numPr>
        <w:tabs>
          <w:tab w:pos="1281" w:val="left" w:leader="none"/>
        </w:tabs>
        <w:spacing w:line="240" w:lineRule="auto" w:before="0" w:after="0"/>
        <w:ind w:left="1280" w:right="124" w:hanging="360"/>
        <w:jc w:val="both"/>
        <w:rPr>
          <w:sz w:val="20"/>
        </w:rPr>
      </w:pPr>
      <w:r>
        <w:rPr>
          <w:sz w:val="20"/>
        </w:rPr>
        <w:t>food waste will be a very tricky one to sort out. I disagree with moving this material for miles &amp; miles green  waste  &amp;  food  waste  should  not  be  mixed  as  both   require   different   systems   degradable bags &amp; organic certification needs to be addressed in composting</w:t>
      </w:r>
      <w:r>
        <w:rPr>
          <w:spacing w:val="-27"/>
          <w:sz w:val="20"/>
        </w:rPr>
        <w:t> </w:t>
      </w:r>
      <w:r>
        <w:rPr>
          <w:sz w:val="20"/>
        </w:rPr>
        <w:t>systems</w:t>
      </w:r>
    </w:p>
    <w:p>
      <w:pPr>
        <w:pStyle w:val="BodyText"/>
        <w:spacing w:before="11"/>
        <w:rPr>
          <w:sz w:val="19"/>
        </w:rPr>
      </w:pPr>
    </w:p>
    <w:p>
      <w:pPr>
        <w:pStyle w:val="Heading5"/>
        <w:numPr>
          <w:ilvl w:val="1"/>
          <w:numId w:val="30"/>
        </w:numPr>
        <w:tabs>
          <w:tab w:pos="1281" w:val="left" w:leader="none"/>
        </w:tabs>
        <w:spacing w:line="240" w:lineRule="auto" w:before="0" w:after="0"/>
        <w:ind w:left="1280" w:right="0" w:hanging="360"/>
        <w:jc w:val="left"/>
      </w:pPr>
      <w:r>
        <w:rPr/>
        <w:t>Supportive but with</w:t>
      </w:r>
      <w:r>
        <w:rPr>
          <w:spacing w:val="-15"/>
        </w:rPr>
        <w:t> </w:t>
      </w:r>
      <w:r>
        <w:rPr/>
        <w:t>reservations</w:t>
      </w:r>
    </w:p>
    <w:p>
      <w:pPr>
        <w:pStyle w:val="ListParagraph"/>
        <w:numPr>
          <w:ilvl w:val="0"/>
          <w:numId w:val="32"/>
        </w:numPr>
        <w:tabs>
          <w:tab w:pos="1280" w:val="left" w:leader="none"/>
          <w:tab w:pos="1281" w:val="left" w:leader="none"/>
        </w:tabs>
        <w:spacing w:line="240" w:lineRule="auto" w:before="0" w:after="0"/>
        <w:ind w:left="1280" w:right="126" w:hanging="360"/>
        <w:jc w:val="left"/>
        <w:rPr>
          <w:sz w:val="20"/>
        </w:rPr>
      </w:pPr>
      <w:r>
        <w:rPr>
          <w:sz w:val="20"/>
        </w:rPr>
        <w:t>Not sure comment added for greenwaste as Timaru DC system not in alignment 240 litre organics bin for greenwaste and food collected</w:t>
      </w:r>
      <w:r>
        <w:rPr>
          <w:spacing w:val="-16"/>
          <w:sz w:val="20"/>
        </w:rPr>
        <w:t> </w:t>
      </w:r>
      <w:r>
        <w:rPr>
          <w:sz w:val="20"/>
        </w:rPr>
        <w:t>weekly</w:t>
      </w:r>
    </w:p>
    <w:p>
      <w:pPr>
        <w:pStyle w:val="BodyText"/>
        <w:spacing w:before="11"/>
        <w:rPr>
          <w:sz w:val="19"/>
        </w:rPr>
      </w:pPr>
    </w:p>
    <w:p>
      <w:pPr>
        <w:pStyle w:val="Heading5"/>
        <w:numPr>
          <w:ilvl w:val="1"/>
          <w:numId w:val="30"/>
        </w:numPr>
        <w:tabs>
          <w:tab w:pos="1281" w:val="left" w:leader="none"/>
        </w:tabs>
        <w:spacing w:line="244" w:lineRule="exact" w:before="0" w:after="0"/>
        <w:ind w:left="1280" w:right="0" w:hanging="360"/>
        <w:jc w:val="left"/>
      </w:pPr>
      <w:r>
        <w:rPr/>
        <w:t>Rural areas / areas without a</w:t>
      </w:r>
      <w:r>
        <w:rPr>
          <w:spacing w:val="-19"/>
        </w:rPr>
        <w:t> </w:t>
      </w:r>
      <w:r>
        <w:rPr/>
        <w:t>facility</w:t>
      </w:r>
    </w:p>
    <w:p>
      <w:pPr>
        <w:pStyle w:val="ListParagraph"/>
        <w:numPr>
          <w:ilvl w:val="0"/>
          <w:numId w:val="32"/>
        </w:numPr>
        <w:tabs>
          <w:tab w:pos="1280" w:val="left" w:leader="none"/>
          <w:tab w:pos="1281" w:val="left" w:leader="none"/>
        </w:tabs>
        <w:spacing w:line="240" w:lineRule="auto" w:before="0" w:after="0"/>
        <w:ind w:left="1280" w:right="117" w:hanging="360"/>
        <w:jc w:val="left"/>
        <w:rPr>
          <w:sz w:val="20"/>
        </w:rPr>
      </w:pPr>
      <w:r>
        <w:rPr>
          <w:sz w:val="20"/>
        </w:rPr>
        <w:t>A food waste collection shouldn't be mandatory for rural areas where diversion can be achieved through other</w:t>
      </w:r>
      <w:r>
        <w:rPr>
          <w:spacing w:val="-7"/>
          <w:sz w:val="20"/>
        </w:rPr>
        <w:t> </w:t>
      </w:r>
      <w:r>
        <w:rPr>
          <w:sz w:val="20"/>
        </w:rPr>
        <w:t>methods.</w:t>
      </w:r>
    </w:p>
    <w:p>
      <w:pPr>
        <w:pStyle w:val="ListParagraph"/>
        <w:numPr>
          <w:ilvl w:val="0"/>
          <w:numId w:val="32"/>
        </w:numPr>
        <w:tabs>
          <w:tab w:pos="1280" w:val="left" w:leader="none"/>
          <w:tab w:pos="1281" w:val="left" w:leader="none"/>
        </w:tabs>
        <w:spacing w:line="254" w:lineRule="exact" w:before="0" w:after="0"/>
        <w:ind w:left="1280" w:right="0" w:hanging="360"/>
        <w:jc w:val="left"/>
        <w:rPr>
          <w:sz w:val="20"/>
        </w:rPr>
      </w:pPr>
      <w:r>
        <w:rPr>
          <w:sz w:val="20"/>
        </w:rPr>
        <w:t>Food waste in Hurunui likely to be a low uptake as a rural</w:t>
      </w:r>
      <w:r>
        <w:rPr>
          <w:spacing w:val="-32"/>
          <w:sz w:val="20"/>
        </w:rPr>
        <w:t> </w:t>
      </w:r>
      <w:r>
        <w:rPr>
          <w:sz w:val="20"/>
        </w:rPr>
        <w:t>community</w:t>
      </w:r>
    </w:p>
    <w:p>
      <w:pPr>
        <w:pStyle w:val="ListParagraph"/>
        <w:numPr>
          <w:ilvl w:val="0"/>
          <w:numId w:val="32"/>
        </w:numPr>
        <w:tabs>
          <w:tab w:pos="1280" w:val="left" w:leader="none"/>
          <w:tab w:pos="1281" w:val="left" w:leader="none"/>
        </w:tabs>
        <w:spacing w:line="240" w:lineRule="auto" w:before="0" w:after="0"/>
        <w:ind w:left="1280" w:right="0" w:hanging="360"/>
        <w:jc w:val="left"/>
        <w:rPr>
          <w:sz w:val="20"/>
        </w:rPr>
      </w:pPr>
      <w:r>
        <w:rPr>
          <w:sz w:val="20"/>
        </w:rPr>
        <w:t>Not sure about organics as there is no composting facility in our</w:t>
      </w:r>
      <w:r>
        <w:rPr>
          <w:spacing w:val="-28"/>
          <w:sz w:val="20"/>
        </w:rPr>
        <w:t> </w:t>
      </w:r>
      <w:r>
        <w:rPr>
          <w:sz w:val="20"/>
        </w:rPr>
        <w:t>region</w:t>
      </w:r>
    </w:p>
    <w:p>
      <w:pPr>
        <w:pStyle w:val="ListParagraph"/>
        <w:numPr>
          <w:ilvl w:val="0"/>
          <w:numId w:val="32"/>
        </w:numPr>
        <w:tabs>
          <w:tab w:pos="1281" w:val="left" w:leader="none"/>
        </w:tabs>
        <w:spacing w:line="240" w:lineRule="auto" w:before="2" w:after="0"/>
        <w:ind w:left="1280" w:right="119" w:hanging="360"/>
        <w:jc w:val="both"/>
        <w:rPr>
          <w:sz w:val="20"/>
        </w:rPr>
      </w:pPr>
      <w:r>
        <w:rPr>
          <w:sz w:val="20"/>
        </w:rPr>
        <w:t>Very</w:t>
      </w:r>
      <w:r>
        <w:rPr>
          <w:spacing w:val="-4"/>
          <w:sz w:val="20"/>
        </w:rPr>
        <w:t> </w:t>
      </w:r>
      <w:r>
        <w:rPr>
          <w:sz w:val="20"/>
        </w:rPr>
        <w:t>keen</w:t>
      </w:r>
      <w:r>
        <w:rPr>
          <w:spacing w:val="-2"/>
          <w:sz w:val="20"/>
        </w:rPr>
        <w:t> </w:t>
      </w:r>
      <w:r>
        <w:rPr>
          <w:sz w:val="20"/>
        </w:rPr>
        <w:t>for</w:t>
      </w:r>
      <w:r>
        <w:rPr>
          <w:spacing w:val="-4"/>
          <w:sz w:val="20"/>
        </w:rPr>
        <w:t> </w:t>
      </w:r>
      <w:r>
        <w:rPr>
          <w:sz w:val="20"/>
        </w:rPr>
        <w:t>a</w:t>
      </w:r>
      <w:r>
        <w:rPr>
          <w:spacing w:val="-4"/>
          <w:sz w:val="20"/>
        </w:rPr>
        <w:t> </w:t>
      </w:r>
      <w:r>
        <w:rPr>
          <w:sz w:val="20"/>
        </w:rPr>
        <w:t>food</w:t>
      </w:r>
      <w:r>
        <w:rPr>
          <w:spacing w:val="-2"/>
          <w:sz w:val="20"/>
        </w:rPr>
        <w:t> </w:t>
      </w:r>
      <w:r>
        <w:rPr>
          <w:sz w:val="20"/>
        </w:rPr>
        <w:t>waste</w:t>
      </w:r>
      <w:r>
        <w:rPr>
          <w:spacing w:val="-5"/>
          <w:sz w:val="20"/>
        </w:rPr>
        <w:t> </w:t>
      </w:r>
      <w:r>
        <w:rPr>
          <w:sz w:val="20"/>
        </w:rPr>
        <w:t>collection</w:t>
      </w:r>
      <w:r>
        <w:rPr>
          <w:spacing w:val="-4"/>
          <w:sz w:val="20"/>
        </w:rPr>
        <w:t> </w:t>
      </w:r>
      <w:r>
        <w:rPr>
          <w:sz w:val="20"/>
        </w:rPr>
        <w:t>service,</w:t>
      </w:r>
      <w:r>
        <w:rPr>
          <w:spacing w:val="-4"/>
          <w:sz w:val="20"/>
        </w:rPr>
        <w:t> </w:t>
      </w:r>
      <w:r>
        <w:rPr>
          <w:sz w:val="20"/>
        </w:rPr>
        <w:t>however</w:t>
      </w:r>
      <w:r>
        <w:rPr>
          <w:spacing w:val="-2"/>
          <w:sz w:val="20"/>
        </w:rPr>
        <w:t> </w:t>
      </w:r>
      <w:r>
        <w:rPr>
          <w:sz w:val="20"/>
        </w:rPr>
        <w:t>in</w:t>
      </w:r>
      <w:r>
        <w:rPr>
          <w:spacing w:val="-4"/>
          <w:sz w:val="20"/>
        </w:rPr>
        <w:t> </w:t>
      </w:r>
      <w:r>
        <w:rPr>
          <w:sz w:val="20"/>
        </w:rPr>
        <w:t>our</w:t>
      </w:r>
      <w:r>
        <w:rPr>
          <w:spacing w:val="-4"/>
          <w:sz w:val="20"/>
        </w:rPr>
        <w:t> </w:t>
      </w:r>
      <w:r>
        <w:rPr>
          <w:sz w:val="20"/>
        </w:rPr>
        <w:t>region</w:t>
      </w:r>
      <w:r>
        <w:rPr>
          <w:spacing w:val="-4"/>
          <w:sz w:val="20"/>
        </w:rPr>
        <w:t> </w:t>
      </w:r>
      <w:r>
        <w:rPr>
          <w:sz w:val="20"/>
        </w:rPr>
        <w:t>we</w:t>
      </w:r>
      <w:r>
        <w:rPr>
          <w:spacing w:val="-5"/>
          <w:sz w:val="20"/>
        </w:rPr>
        <w:t> </w:t>
      </w:r>
      <w:r>
        <w:rPr>
          <w:sz w:val="20"/>
        </w:rPr>
        <w:t>do</w:t>
      </w:r>
      <w:r>
        <w:rPr>
          <w:spacing w:val="-4"/>
          <w:sz w:val="20"/>
        </w:rPr>
        <w:t> </w:t>
      </w:r>
      <w:r>
        <w:rPr>
          <w:sz w:val="20"/>
        </w:rPr>
        <w:t>not</w:t>
      </w:r>
      <w:r>
        <w:rPr>
          <w:spacing w:val="-4"/>
          <w:sz w:val="20"/>
        </w:rPr>
        <w:t> </w:t>
      </w:r>
      <w:r>
        <w:rPr>
          <w:sz w:val="20"/>
        </w:rPr>
        <w:t>currently</w:t>
      </w:r>
      <w:r>
        <w:rPr>
          <w:spacing w:val="-2"/>
          <w:sz w:val="20"/>
        </w:rPr>
        <w:t> </w:t>
      </w:r>
      <w:r>
        <w:rPr>
          <w:sz w:val="20"/>
        </w:rPr>
        <w:t>have</w:t>
      </w:r>
      <w:r>
        <w:rPr>
          <w:spacing w:val="-5"/>
          <w:sz w:val="20"/>
        </w:rPr>
        <w:t> </w:t>
      </w:r>
      <w:r>
        <w:rPr>
          <w:sz w:val="20"/>
        </w:rPr>
        <w:t>a</w:t>
      </w:r>
      <w:r>
        <w:rPr>
          <w:spacing w:val="-4"/>
          <w:sz w:val="20"/>
        </w:rPr>
        <w:t> </w:t>
      </w:r>
      <w:r>
        <w:rPr>
          <w:sz w:val="20"/>
        </w:rPr>
        <w:t>facility to deal with food waste. So for a region like ours - standardising an organics collection would be a wonderful opportunity however infrastructure/processing is a key</w:t>
      </w:r>
      <w:r>
        <w:rPr>
          <w:spacing w:val="-25"/>
          <w:sz w:val="20"/>
        </w:rPr>
        <w:t> </w:t>
      </w:r>
      <w:r>
        <w:rPr>
          <w:sz w:val="20"/>
        </w:rPr>
        <w:t>consideration</w:t>
      </w:r>
    </w:p>
    <w:p>
      <w:pPr>
        <w:spacing w:after="0" w:line="240" w:lineRule="auto"/>
        <w:jc w:val="both"/>
        <w:rPr>
          <w:sz w:val="20"/>
        </w:rPr>
        <w:sectPr>
          <w:pgSz w:w="11910" w:h="16840"/>
          <w:pgMar w:header="576" w:footer="698" w:top="1140" w:bottom="880" w:left="880" w:right="1320"/>
        </w:sectPr>
      </w:pPr>
    </w:p>
    <w:p>
      <w:pPr>
        <w:pStyle w:val="BodyText"/>
      </w:pPr>
    </w:p>
    <w:p>
      <w:pPr>
        <w:pStyle w:val="BodyText"/>
        <w:spacing w:before="5"/>
        <w:rPr>
          <w:sz w:val="29"/>
        </w:rPr>
      </w:pPr>
    </w:p>
    <w:p>
      <w:pPr>
        <w:pStyle w:val="Heading5"/>
        <w:numPr>
          <w:ilvl w:val="0"/>
          <w:numId w:val="30"/>
        </w:numPr>
        <w:tabs>
          <w:tab w:pos="921" w:val="left" w:leader="none"/>
        </w:tabs>
        <w:spacing w:line="240" w:lineRule="auto" w:before="59" w:after="0"/>
        <w:ind w:left="920" w:right="116" w:hanging="360"/>
        <w:jc w:val="both"/>
      </w:pPr>
      <w:r>
        <w:rPr/>
        <w:t>Recycling:</w:t>
      </w:r>
      <w:r>
        <w:rPr>
          <w:spacing w:val="-3"/>
        </w:rPr>
        <w:t> </w:t>
      </w:r>
      <w:r>
        <w:rPr/>
        <w:t>Do</w:t>
      </w:r>
      <w:r>
        <w:rPr>
          <w:spacing w:val="-3"/>
        </w:rPr>
        <w:t> </w:t>
      </w:r>
      <w:r>
        <w:rPr/>
        <w:t>you</w:t>
      </w:r>
      <w:r>
        <w:rPr>
          <w:spacing w:val="-2"/>
        </w:rPr>
        <w:t> </w:t>
      </w:r>
      <w:r>
        <w:rPr/>
        <w:t>agree</w:t>
      </w:r>
      <w:r>
        <w:rPr>
          <w:spacing w:val="-3"/>
        </w:rPr>
        <w:t> </w:t>
      </w:r>
      <w:r>
        <w:rPr/>
        <w:t>with</w:t>
      </w:r>
      <w:r>
        <w:rPr>
          <w:spacing w:val="-4"/>
        </w:rPr>
        <w:t> </w:t>
      </w:r>
      <w:r>
        <w:rPr/>
        <w:t>a</w:t>
      </w:r>
      <w:r>
        <w:rPr>
          <w:spacing w:val="-4"/>
        </w:rPr>
        <w:t> </w:t>
      </w:r>
      <w:r>
        <w:rPr/>
        <w:t>collection</w:t>
      </w:r>
      <w:r>
        <w:rPr>
          <w:spacing w:val="-2"/>
        </w:rPr>
        <w:t> </w:t>
      </w:r>
      <w:r>
        <w:rPr/>
        <w:t>system</w:t>
      </w:r>
      <w:r>
        <w:rPr>
          <w:spacing w:val="-3"/>
        </w:rPr>
        <w:t> </w:t>
      </w:r>
      <w:r>
        <w:rPr/>
        <w:t>to</w:t>
      </w:r>
      <w:r>
        <w:rPr>
          <w:spacing w:val="-5"/>
        </w:rPr>
        <w:t> </w:t>
      </w:r>
      <w:r>
        <w:rPr/>
        <w:t>be</w:t>
      </w:r>
      <w:r>
        <w:rPr>
          <w:spacing w:val="-3"/>
        </w:rPr>
        <w:t> </w:t>
      </w:r>
      <w:r>
        <w:rPr/>
        <w:t>selected</w:t>
      </w:r>
      <w:r>
        <w:rPr>
          <w:spacing w:val="-3"/>
        </w:rPr>
        <w:t> </w:t>
      </w:r>
      <w:r>
        <w:rPr/>
        <w:t>by</w:t>
      </w:r>
      <w:r>
        <w:rPr>
          <w:spacing w:val="-7"/>
        </w:rPr>
        <w:t> </w:t>
      </w:r>
      <w:r>
        <w:rPr/>
        <w:t>council</w:t>
      </w:r>
      <w:r>
        <w:rPr>
          <w:spacing w:val="-5"/>
        </w:rPr>
        <w:t> </w:t>
      </w:r>
      <w:r>
        <w:rPr/>
        <w:t>and</w:t>
      </w:r>
      <w:r>
        <w:rPr>
          <w:spacing w:val="-3"/>
        </w:rPr>
        <w:t> </w:t>
      </w:r>
      <w:r>
        <w:rPr/>
        <w:t>their</w:t>
      </w:r>
      <w:r>
        <w:rPr>
          <w:spacing w:val="-3"/>
        </w:rPr>
        <w:t> </w:t>
      </w:r>
      <w:r>
        <w:rPr/>
        <w:t>contractors,</w:t>
      </w:r>
      <w:r>
        <w:rPr>
          <w:spacing w:val="-5"/>
        </w:rPr>
        <w:t> </w:t>
      </w:r>
      <w:r>
        <w:rPr/>
        <w:t>but</w:t>
      </w:r>
      <w:r>
        <w:rPr>
          <w:spacing w:val="7"/>
        </w:rPr>
        <w:t> </w:t>
      </w:r>
      <w:r>
        <w:rPr/>
        <w:t>that must have glass collected separately and achieve a high set standard for contamination and material quality?</w:t>
      </w:r>
    </w:p>
    <w:p>
      <w:pPr>
        <w:pStyle w:val="BodyText"/>
        <w:spacing w:before="8"/>
        <w:rPr>
          <w:b/>
          <w:sz w:val="16"/>
        </w:rPr>
      </w:pPr>
      <w:r>
        <w:rPr/>
        <w:drawing>
          <wp:anchor distT="0" distB="0" distL="0" distR="0" allowOverlap="1" layoutInCell="1" locked="0" behindDoc="0" simplePos="0" relativeHeight="1912">
            <wp:simplePos x="0" y="0"/>
            <wp:positionH relativeFrom="page">
              <wp:posOffset>2340229</wp:posOffset>
            </wp:positionH>
            <wp:positionV relativeFrom="paragraph">
              <wp:posOffset>154345</wp:posOffset>
            </wp:positionV>
            <wp:extent cx="2881153" cy="2880645"/>
            <wp:effectExtent l="0" t="0" r="0" b="0"/>
            <wp:wrapTopAndBottom/>
            <wp:docPr id="59" name="image35.png" descr=""/>
            <wp:cNvGraphicFramePr>
              <a:graphicFrameLocks noChangeAspect="1"/>
            </wp:cNvGraphicFramePr>
            <a:graphic>
              <a:graphicData uri="http://schemas.openxmlformats.org/drawingml/2006/picture">
                <pic:pic>
                  <pic:nvPicPr>
                    <pic:cNvPr id="60" name="image35.png"/>
                    <pic:cNvPicPr/>
                  </pic:nvPicPr>
                  <pic:blipFill>
                    <a:blip r:embed="rId54" cstate="print"/>
                    <a:stretch>
                      <a:fillRect/>
                    </a:stretch>
                  </pic:blipFill>
                  <pic:spPr>
                    <a:xfrm>
                      <a:off x="0" y="0"/>
                      <a:ext cx="2881153" cy="2880645"/>
                    </a:xfrm>
                    <a:prstGeom prst="rect">
                      <a:avLst/>
                    </a:prstGeom>
                  </pic:spPr>
                </pic:pic>
              </a:graphicData>
            </a:graphic>
          </wp:anchor>
        </w:drawing>
      </w:r>
    </w:p>
    <w:p>
      <w:pPr>
        <w:pStyle w:val="BodyText"/>
        <w:rPr>
          <w:b/>
        </w:rPr>
      </w:pPr>
    </w:p>
    <w:p>
      <w:pPr>
        <w:pStyle w:val="BodyText"/>
        <w:spacing w:before="7"/>
        <w:rPr>
          <w:b/>
          <w:sz w:val="26"/>
        </w:rPr>
      </w:pPr>
    </w:p>
    <w:p>
      <w:pPr>
        <w:spacing w:before="0"/>
        <w:ind w:left="560" w:right="0" w:firstLine="0"/>
        <w:jc w:val="left"/>
        <w:rPr>
          <w:b/>
          <w:sz w:val="20"/>
        </w:rPr>
      </w:pPr>
      <w:r>
        <w:rPr>
          <w:b/>
          <w:sz w:val="20"/>
        </w:rPr>
        <w:t>Comments:</w:t>
      </w:r>
    </w:p>
    <w:p>
      <w:pPr>
        <w:pStyle w:val="ListParagraph"/>
        <w:numPr>
          <w:ilvl w:val="1"/>
          <w:numId w:val="30"/>
        </w:numPr>
        <w:tabs>
          <w:tab w:pos="1281" w:val="left" w:leader="none"/>
        </w:tabs>
        <w:spacing w:line="244" w:lineRule="exact" w:before="175" w:after="0"/>
        <w:ind w:left="1280" w:right="0" w:hanging="360"/>
        <w:jc w:val="left"/>
        <w:rPr>
          <w:b/>
          <w:sz w:val="20"/>
        </w:rPr>
      </w:pPr>
      <w:r>
        <w:rPr>
          <w:b/>
          <w:sz w:val="20"/>
        </w:rPr>
        <w:t>Glass</w:t>
      </w:r>
      <w:r>
        <w:rPr>
          <w:b/>
          <w:spacing w:val="-7"/>
          <w:sz w:val="20"/>
        </w:rPr>
        <w:t> </w:t>
      </w:r>
      <w:r>
        <w:rPr>
          <w:b/>
          <w:sz w:val="20"/>
        </w:rPr>
        <w:t>separate</w:t>
      </w:r>
    </w:p>
    <w:p>
      <w:pPr>
        <w:pStyle w:val="ListParagraph"/>
        <w:numPr>
          <w:ilvl w:val="0"/>
          <w:numId w:val="33"/>
        </w:numPr>
        <w:tabs>
          <w:tab w:pos="1280" w:val="left" w:leader="none"/>
          <w:tab w:pos="1281" w:val="left" w:leader="none"/>
        </w:tabs>
        <w:spacing w:line="254" w:lineRule="exact" w:before="0" w:after="0"/>
        <w:ind w:left="1280" w:right="0" w:hanging="360"/>
        <w:jc w:val="left"/>
        <w:rPr>
          <w:sz w:val="20"/>
        </w:rPr>
      </w:pPr>
      <w:r>
        <w:rPr>
          <w:sz w:val="20"/>
        </w:rPr>
        <w:t>Getting glass out is a no</w:t>
      </w:r>
      <w:r>
        <w:rPr>
          <w:spacing w:val="-16"/>
          <w:sz w:val="20"/>
        </w:rPr>
        <w:t> </w:t>
      </w:r>
      <w:r>
        <w:rPr>
          <w:sz w:val="20"/>
        </w:rPr>
        <w:t>brainer.</w:t>
      </w:r>
    </w:p>
    <w:p>
      <w:pPr>
        <w:pStyle w:val="ListParagraph"/>
        <w:numPr>
          <w:ilvl w:val="0"/>
          <w:numId w:val="33"/>
        </w:numPr>
        <w:tabs>
          <w:tab w:pos="1281" w:val="left" w:leader="none"/>
        </w:tabs>
        <w:spacing w:line="240" w:lineRule="auto" w:before="0" w:after="0"/>
        <w:ind w:left="1280" w:right="118" w:hanging="360"/>
        <w:jc w:val="both"/>
        <w:rPr>
          <w:sz w:val="20"/>
        </w:rPr>
      </w:pPr>
      <w:r>
        <w:rPr>
          <w:sz w:val="20"/>
        </w:rPr>
        <w:t>I would be in support if the glass packaging industry was going to fund the glass collection system, and the paper packaging industry funded to meet the cost of contamination</w:t>
      </w:r>
      <w:r>
        <w:rPr>
          <w:spacing w:val="-30"/>
          <w:sz w:val="20"/>
        </w:rPr>
        <w:t> </w:t>
      </w:r>
      <w:r>
        <w:rPr>
          <w:sz w:val="20"/>
        </w:rPr>
        <w:t>standard.</w:t>
      </w:r>
    </w:p>
    <w:p>
      <w:pPr>
        <w:pStyle w:val="ListParagraph"/>
        <w:numPr>
          <w:ilvl w:val="0"/>
          <w:numId w:val="33"/>
        </w:numPr>
        <w:tabs>
          <w:tab w:pos="1281" w:val="left" w:leader="none"/>
        </w:tabs>
        <w:spacing w:line="240" w:lineRule="auto" w:before="0" w:after="0"/>
        <w:ind w:left="1280" w:right="125" w:hanging="360"/>
        <w:jc w:val="both"/>
        <w:rPr>
          <w:sz w:val="20"/>
        </w:rPr>
      </w:pPr>
      <w:r>
        <w:rPr>
          <w:sz w:val="20"/>
        </w:rPr>
        <w:t>We</w:t>
      </w:r>
      <w:r>
        <w:rPr>
          <w:spacing w:val="-6"/>
          <w:sz w:val="20"/>
        </w:rPr>
        <w:t> </w:t>
      </w:r>
      <w:r>
        <w:rPr>
          <w:sz w:val="20"/>
        </w:rPr>
        <w:t>have</w:t>
      </w:r>
      <w:r>
        <w:rPr>
          <w:spacing w:val="-6"/>
          <w:sz w:val="20"/>
        </w:rPr>
        <w:t> </w:t>
      </w:r>
      <w:r>
        <w:rPr>
          <w:sz w:val="20"/>
        </w:rPr>
        <w:t>found</w:t>
      </w:r>
      <w:r>
        <w:rPr>
          <w:spacing w:val="-5"/>
          <w:sz w:val="20"/>
        </w:rPr>
        <w:t> </w:t>
      </w:r>
      <w:r>
        <w:rPr>
          <w:sz w:val="20"/>
        </w:rPr>
        <w:t>in</w:t>
      </w:r>
      <w:r>
        <w:rPr>
          <w:spacing w:val="-7"/>
          <w:sz w:val="20"/>
        </w:rPr>
        <w:t> </w:t>
      </w:r>
      <w:r>
        <w:rPr>
          <w:sz w:val="20"/>
        </w:rPr>
        <w:t>Hurunui</w:t>
      </w:r>
      <w:r>
        <w:rPr>
          <w:spacing w:val="-8"/>
          <w:sz w:val="20"/>
        </w:rPr>
        <w:t> </w:t>
      </w:r>
      <w:r>
        <w:rPr>
          <w:sz w:val="20"/>
        </w:rPr>
        <w:t>that</w:t>
      </w:r>
      <w:r>
        <w:rPr>
          <w:spacing w:val="-5"/>
          <w:sz w:val="20"/>
        </w:rPr>
        <w:t> </w:t>
      </w:r>
      <w:r>
        <w:rPr>
          <w:sz w:val="20"/>
        </w:rPr>
        <w:t>keeping</w:t>
      </w:r>
      <w:r>
        <w:rPr>
          <w:spacing w:val="-6"/>
          <w:sz w:val="20"/>
        </w:rPr>
        <w:t> </w:t>
      </w:r>
      <w:r>
        <w:rPr>
          <w:sz w:val="20"/>
        </w:rPr>
        <w:t>glass</w:t>
      </w:r>
      <w:r>
        <w:rPr>
          <w:spacing w:val="-4"/>
          <w:sz w:val="20"/>
        </w:rPr>
        <w:t> </w:t>
      </w:r>
      <w:r>
        <w:rPr>
          <w:sz w:val="20"/>
        </w:rPr>
        <w:t>out</w:t>
      </w:r>
      <w:r>
        <w:rPr>
          <w:spacing w:val="-7"/>
          <w:sz w:val="20"/>
        </w:rPr>
        <w:t> </w:t>
      </w:r>
      <w:r>
        <w:rPr>
          <w:sz w:val="20"/>
        </w:rPr>
        <w:t>of</w:t>
      </w:r>
      <w:r>
        <w:rPr>
          <w:spacing w:val="-6"/>
          <w:sz w:val="20"/>
        </w:rPr>
        <w:t> </w:t>
      </w:r>
      <w:r>
        <w:rPr>
          <w:sz w:val="20"/>
        </w:rPr>
        <w:t>the</w:t>
      </w:r>
      <w:r>
        <w:rPr>
          <w:spacing w:val="-6"/>
          <w:sz w:val="20"/>
        </w:rPr>
        <w:t> </w:t>
      </w:r>
      <w:r>
        <w:rPr>
          <w:sz w:val="20"/>
        </w:rPr>
        <w:t>kerbside</w:t>
      </w:r>
      <w:r>
        <w:rPr>
          <w:spacing w:val="-6"/>
          <w:sz w:val="20"/>
        </w:rPr>
        <w:t> </w:t>
      </w:r>
      <w:r>
        <w:rPr>
          <w:sz w:val="20"/>
        </w:rPr>
        <w:t>recycling</w:t>
      </w:r>
      <w:r>
        <w:rPr>
          <w:spacing w:val="-6"/>
          <w:sz w:val="20"/>
        </w:rPr>
        <w:t> </w:t>
      </w:r>
      <w:r>
        <w:rPr>
          <w:sz w:val="20"/>
        </w:rPr>
        <w:t>improves</w:t>
      </w:r>
      <w:r>
        <w:rPr>
          <w:spacing w:val="-4"/>
          <w:sz w:val="20"/>
        </w:rPr>
        <w:t> </w:t>
      </w:r>
      <w:r>
        <w:rPr>
          <w:sz w:val="20"/>
        </w:rPr>
        <w:t>the</w:t>
      </w:r>
      <w:r>
        <w:rPr>
          <w:spacing w:val="-6"/>
          <w:sz w:val="20"/>
        </w:rPr>
        <w:t> </w:t>
      </w:r>
      <w:r>
        <w:rPr>
          <w:sz w:val="20"/>
        </w:rPr>
        <w:t>contamination levels</w:t>
      </w:r>
      <w:r>
        <w:rPr>
          <w:spacing w:val="-2"/>
          <w:sz w:val="20"/>
        </w:rPr>
        <w:t> </w:t>
      </w:r>
      <w:r>
        <w:rPr>
          <w:sz w:val="20"/>
        </w:rPr>
        <w:t>and</w:t>
      </w:r>
      <w:r>
        <w:rPr>
          <w:spacing w:val="-2"/>
          <w:sz w:val="20"/>
        </w:rPr>
        <w:t> </w:t>
      </w:r>
      <w:r>
        <w:rPr>
          <w:sz w:val="20"/>
        </w:rPr>
        <w:t>we</w:t>
      </w:r>
      <w:r>
        <w:rPr>
          <w:spacing w:val="-4"/>
          <w:sz w:val="20"/>
        </w:rPr>
        <w:t> </w:t>
      </w:r>
      <w:r>
        <w:rPr>
          <w:sz w:val="20"/>
        </w:rPr>
        <w:t>use</w:t>
      </w:r>
      <w:r>
        <w:rPr>
          <w:spacing w:val="-3"/>
          <w:sz w:val="20"/>
        </w:rPr>
        <w:t> </w:t>
      </w:r>
      <w:r>
        <w:rPr>
          <w:sz w:val="20"/>
        </w:rPr>
        <w:t>clear</w:t>
      </w:r>
      <w:r>
        <w:rPr>
          <w:spacing w:val="-2"/>
          <w:sz w:val="20"/>
        </w:rPr>
        <w:t> </w:t>
      </w:r>
      <w:r>
        <w:rPr>
          <w:sz w:val="20"/>
        </w:rPr>
        <w:t>bags</w:t>
      </w:r>
      <w:r>
        <w:rPr>
          <w:spacing w:val="-2"/>
          <w:sz w:val="20"/>
        </w:rPr>
        <w:t> </w:t>
      </w:r>
      <w:r>
        <w:rPr>
          <w:sz w:val="20"/>
        </w:rPr>
        <w:t>to</w:t>
      </w:r>
      <w:r>
        <w:rPr>
          <w:spacing w:val="-2"/>
          <w:sz w:val="20"/>
        </w:rPr>
        <w:t> </w:t>
      </w:r>
      <w:r>
        <w:rPr>
          <w:sz w:val="20"/>
        </w:rPr>
        <w:t>see</w:t>
      </w:r>
      <w:r>
        <w:rPr>
          <w:spacing w:val="-3"/>
          <w:sz w:val="20"/>
        </w:rPr>
        <w:t> </w:t>
      </w:r>
      <w:r>
        <w:rPr>
          <w:sz w:val="20"/>
        </w:rPr>
        <w:t>contamination</w:t>
      </w:r>
      <w:r>
        <w:rPr>
          <w:spacing w:val="-2"/>
          <w:sz w:val="20"/>
        </w:rPr>
        <w:t> </w:t>
      </w:r>
      <w:r>
        <w:rPr>
          <w:sz w:val="20"/>
        </w:rPr>
        <w:t>at</w:t>
      </w:r>
      <w:r>
        <w:rPr>
          <w:spacing w:val="-2"/>
          <w:sz w:val="20"/>
        </w:rPr>
        <w:t> </w:t>
      </w:r>
      <w:r>
        <w:rPr>
          <w:sz w:val="20"/>
        </w:rPr>
        <w:t>the</w:t>
      </w:r>
      <w:r>
        <w:rPr>
          <w:spacing w:val="-3"/>
          <w:sz w:val="20"/>
        </w:rPr>
        <w:t> </w:t>
      </w:r>
      <w:r>
        <w:rPr>
          <w:sz w:val="20"/>
        </w:rPr>
        <w:t>kerbside</w:t>
      </w:r>
      <w:r>
        <w:rPr>
          <w:spacing w:val="-3"/>
          <w:sz w:val="20"/>
        </w:rPr>
        <w:t> </w:t>
      </w:r>
      <w:r>
        <w:rPr>
          <w:sz w:val="20"/>
        </w:rPr>
        <w:t>and</w:t>
      </w:r>
      <w:r>
        <w:rPr>
          <w:spacing w:val="-2"/>
          <w:sz w:val="20"/>
        </w:rPr>
        <w:t> </w:t>
      </w:r>
      <w:r>
        <w:rPr>
          <w:sz w:val="20"/>
        </w:rPr>
        <w:t>sticker</w:t>
      </w:r>
      <w:r>
        <w:rPr>
          <w:spacing w:val="-2"/>
          <w:sz w:val="20"/>
        </w:rPr>
        <w:t> </w:t>
      </w:r>
      <w:r>
        <w:rPr>
          <w:sz w:val="20"/>
        </w:rPr>
        <w:t>and</w:t>
      </w:r>
      <w:r>
        <w:rPr>
          <w:spacing w:val="-2"/>
          <w:sz w:val="20"/>
        </w:rPr>
        <w:t> </w:t>
      </w:r>
      <w:r>
        <w:rPr>
          <w:sz w:val="20"/>
        </w:rPr>
        <w:t>leave</w:t>
      </w:r>
      <w:r>
        <w:rPr>
          <w:spacing w:val="-3"/>
          <w:sz w:val="20"/>
        </w:rPr>
        <w:t> </w:t>
      </w:r>
      <w:r>
        <w:rPr>
          <w:sz w:val="20"/>
        </w:rPr>
        <w:t>for</w:t>
      </w:r>
      <w:r>
        <w:rPr>
          <w:spacing w:val="-2"/>
          <w:sz w:val="20"/>
        </w:rPr>
        <w:t> </w:t>
      </w:r>
      <w:r>
        <w:rPr>
          <w:sz w:val="20"/>
        </w:rPr>
        <w:t>education</w:t>
      </w:r>
    </w:p>
    <w:p>
      <w:pPr>
        <w:pStyle w:val="ListParagraph"/>
        <w:numPr>
          <w:ilvl w:val="0"/>
          <w:numId w:val="33"/>
        </w:numPr>
        <w:tabs>
          <w:tab w:pos="1281" w:val="left" w:leader="none"/>
        </w:tabs>
        <w:spacing w:line="240" w:lineRule="auto" w:before="0" w:after="0"/>
        <w:ind w:left="1280" w:right="116" w:hanging="360"/>
        <w:jc w:val="both"/>
        <w:rPr>
          <w:sz w:val="20"/>
        </w:rPr>
      </w:pPr>
      <w:r>
        <w:rPr>
          <w:sz w:val="20"/>
        </w:rPr>
        <w:t>I am not convinced that glass should be separate. Impact of CRS on glass should not be ignored. As I understand from the paper and cardboard recycler - fibre should be collected separately to minimise contamination.</w:t>
      </w:r>
      <w:r>
        <w:rPr>
          <w:spacing w:val="-3"/>
          <w:sz w:val="20"/>
        </w:rPr>
        <w:t> </w:t>
      </w:r>
      <w:r>
        <w:rPr>
          <w:sz w:val="20"/>
        </w:rPr>
        <w:t>The</w:t>
      </w:r>
      <w:r>
        <w:rPr>
          <w:spacing w:val="-4"/>
          <w:sz w:val="20"/>
        </w:rPr>
        <w:t> </w:t>
      </w:r>
      <w:r>
        <w:rPr>
          <w:sz w:val="20"/>
        </w:rPr>
        <w:t>remaining</w:t>
      </w:r>
      <w:r>
        <w:rPr>
          <w:spacing w:val="-2"/>
          <w:sz w:val="20"/>
        </w:rPr>
        <w:t> </w:t>
      </w:r>
      <w:r>
        <w:rPr>
          <w:sz w:val="20"/>
        </w:rPr>
        <w:t>glass</w:t>
      </w:r>
      <w:r>
        <w:rPr>
          <w:spacing w:val="-3"/>
          <w:sz w:val="20"/>
        </w:rPr>
        <w:t> </w:t>
      </w:r>
      <w:r>
        <w:rPr>
          <w:sz w:val="20"/>
        </w:rPr>
        <w:t>(after</w:t>
      </w:r>
      <w:r>
        <w:rPr>
          <w:spacing w:val="-4"/>
          <w:sz w:val="20"/>
        </w:rPr>
        <w:t> </w:t>
      </w:r>
      <w:r>
        <w:rPr>
          <w:sz w:val="20"/>
        </w:rPr>
        <w:t>CRS)</w:t>
      </w:r>
      <w:r>
        <w:rPr>
          <w:spacing w:val="-4"/>
          <w:sz w:val="20"/>
        </w:rPr>
        <w:t> </w:t>
      </w:r>
      <w:r>
        <w:rPr>
          <w:sz w:val="20"/>
        </w:rPr>
        <w:t>can</w:t>
      </w:r>
      <w:r>
        <w:rPr>
          <w:spacing w:val="-2"/>
          <w:sz w:val="20"/>
        </w:rPr>
        <w:t> </w:t>
      </w:r>
      <w:r>
        <w:rPr>
          <w:sz w:val="20"/>
        </w:rPr>
        <w:t>go</w:t>
      </w:r>
      <w:r>
        <w:rPr>
          <w:spacing w:val="-3"/>
          <w:sz w:val="20"/>
        </w:rPr>
        <w:t> </w:t>
      </w:r>
      <w:r>
        <w:rPr>
          <w:sz w:val="20"/>
        </w:rPr>
        <w:t>in</w:t>
      </w:r>
      <w:r>
        <w:rPr>
          <w:spacing w:val="-3"/>
          <w:sz w:val="20"/>
        </w:rPr>
        <w:t> </w:t>
      </w:r>
      <w:r>
        <w:rPr>
          <w:sz w:val="20"/>
        </w:rPr>
        <w:t>with</w:t>
      </w:r>
      <w:r>
        <w:rPr>
          <w:spacing w:val="-3"/>
          <w:sz w:val="20"/>
        </w:rPr>
        <w:t> </w:t>
      </w:r>
      <w:r>
        <w:rPr>
          <w:sz w:val="20"/>
        </w:rPr>
        <w:t>the</w:t>
      </w:r>
      <w:r>
        <w:rPr>
          <w:spacing w:val="-4"/>
          <w:sz w:val="20"/>
        </w:rPr>
        <w:t> </w:t>
      </w:r>
      <w:r>
        <w:rPr>
          <w:sz w:val="20"/>
        </w:rPr>
        <w:t>remaining</w:t>
      </w:r>
      <w:r>
        <w:rPr>
          <w:spacing w:val="-4"/>
          <w:sz w:val="20"/>
        </w:rPr>
        <w:t> </w:t>
      </w:r>
      <w:r>
        <w:rPr>
          <w:sz w:val="20"/>
        </w:rPr>
        <w:t>products</w:t>
      </w:r>
    </w:p>
    <w:p>
      <w:pPr>
        <w:pStyle w:val="BodyText"/>
        <w:spacing w:before="5"/>
        <w:rPr>
          <w:sz w:val="21"/>
        </w:rPr>
      </w:pPr>
    </w:p>
    <w:p>
      <w:pPr>
        <w:pStyle w:val="Heading5"/>
        <w:numPr>
          <w:ilvl w:val="1"/>
          <w:numId w:val="30"/>
        </w:numPr>
        <w:tabs>
          <w:tab w:pos="1281" w:val="left" w:leader="none"/>
        </w:tabs>
        <w:spacing w:line="240" w:lineRule="auto" w:before="0" w:after="0"/>
        <w:ind w:left="1280" w:right="0" w:hanging="360"/>
        <w:jc w:val="left"/>
      </w:pPr>
      <w:r>
        <w:rPr/>
        <w:t>Central government assistance</w:t>
      </w:r>
      <w:r>
        <w:rPr>
          <w:spacing w:val="-18"/>
        </w:rPr>
        <w:t> </w:t>
      </w:r>
      <w:r>
        <w:rPr/>
        <w:t>needed</w:t>
      </w:r>
    </w:p>
    <w:p>
      <w:pPr>
        <w:pStyle w:val="ListParagraph"/>
        <w:numPr>
          <w:ilvl w:val="0"/>
          <w:numId w:val="33"/>
        </w:numPr>
        <w:tabs>
          <w:tab w:pos="1281" w:val="left" w:leader="none"/>
        </w:tabs>
        <w:spacing w:line="240" w:lineRule="auto" w:before="0" w:after="0"/>
        <w:ind w:left="1280" w:right="130" w:hanging="360"/>
        <w:jc w:val="both"/>
        <w:rPr>
          <w:sz w:val="20"/>
        </w:rPr>
      </w:pPr>
      <w:r>
        <w:rPr>
          <w:sz w:val="20"/>
        </w:rPr>
        <w:t>Due to small size of residential population (6,000 est.) it is too expensive to expand our recycling services</w:t>
      </w:r>
      <w:r>
        <w:rPr>
          <w:spacing w:val="-2"/>
          <w:sz w:val="20"/>
        </w:rPr>
        <w:t> </w:t>
      </w:r>
      <w:r>
        <w:rPr>
          <w:sz w:val="20"/>
        </w:rPr>
        <w:t>without</w:t>
      </w:r>
      <w:r>
        <w:rPr>
          <w:spacing w:val="-2"/>
          <w:sz w:val="20"/>
        </w:rPr>
        <w:t> </w:t>
      </w:r>
      <w:r>
        <w:rPr>
          <w:sz w:val="20"/>
        </w:rPr>
        <w:t>central</w:t>
      </w:r>
      <w:r>
        <w:rPr>
          <w:spacing w:val="-3"/>
          <w:sz w:val="20"/>
        </w:rPr>
        <w:t> </w:t>
      </w:r>
      <w:r>
        <w:rPr>
          <w:sz w:val="20"/>
        </w:rPr>
        <w:t>govt.</w:t>
      </w:r>
      <w:r>
        <w:rPr>
          <w:spacing w:val="-2"/>
          <w:sz w:val="20"/>
        </w:rPr>
        <w:t> </w:t>
      </w:r>
      <w:r>
        <w:rPr>
          <w:sz w:val="20"/>
        </w:rPr>
        <w:t>assistance.</w:t>
      </w:r>
      <w:r>
        <w:rPr>
          <w:spacing w:val="-2"/>
          <w:sz w:val="20"/>
        </w:rPr>
        <w:t> </w:t>
      </w:r>
      <w:r>
        <w:rPr>
          <w:sz w:val="20"/>
        </w:rPr>
        <w:t>We</w:t>
      </w:r>
      <w:r>
        <w:rPr>
          <w:spacing w:val="-3"/>
          <w:sz w:val="20"/>
        </w:rPr>
        <w:t> </w:t>
      </w:r>
      <w:r>
        <w:rPr>
          <w:sz w:val="20"/>
        </w:rPr>
        <w:t>want</w:t>
      </w:r>
      <w:r>
        <w:rPr>
          <w:spacing w:val="-2"/>
          <w:sz w:val="20"/>
        </w:rPr>
        <w:t> </w:t>
      </w:r>
      <w:r>
        <w:rPr>
          <w:sz w:val="20"/>
        </w:rPr>
        <w:t>to</w:t>
      </w:r>
      <w:r>
        <w:rPr>
          <w:spacing w:val="-2"/>
          <w:sz w:val="20"/>
        </w:rPr>
        <w:t> </w:t>
      </w:r>
      <w:r>
        <w:rPr>
          <w:sz w:val="20"/>
        </w:rPr>
        <w:t>do</w:t>
      </w:r>
      <w:r>
        <w:rPr>
          <w:spacing w:val="-2"/>
          <w:sz w:val="20"/>
        </w:rPr>
        <w:t> </w:t>
      </w:r>
      <w:r>
        <w:rPr>
          <w:sz w:val="20"/>
        </w:rPr>
        <w:t>more</w:t>
      </w:r>
      <w:r>
        <w:rPr>
          <w:spacing w:val="-3"/>
          <w:sz w:val="20"/>
        </w:rPr>
        <w:t> </w:t>
      </w:r>
      <w:r>
        <w:rPr>
          <w:sz w:val="20"/>
        </w:rPr>
        <w:t>but</w:t>
      </w:r>
      <w:r>
        <w:rPr>
          <w:spacing w:val="-2"/>
          <w:sz w:val="20"/>
        </w:rPr>
        <w:t> </w:t>
      </w:r>
      <w:r>
        <w:rPr>
          <w:sz w:val="20"/>
        </w:rPr>
        <w:t>can</w:t>
      </w:r>
      <w:r>
        <w:rPr>
          <w:spacing w:val="-2"/>
          <w:sz w:val="20"/>
        </w:rPr>
        <w:t> </w:t>
      </w:r>
      <w:r>
        <w:rPr>
          <w:sz w:val="20"/>
        </w:rPr>
        <w:t>not</w:t>
      </w:r>
      <w:r>
        <w:rPr>
          <w:spacing w:val="-2"/>
          <w:sz w:val="20"/>
        </w:rPr>
        <w:t> </w:t>
      </w:r>
      <w:r>
        <w:rPr>
          <w:sz w:val="20"/>
        </w:rPr>
        <w:t>fund</w:t>
      </w:r>
      <w:r>
        <w:rPr>
          <w:spacing w:val="-2"/>
          <w:sz w:val="20"/>
        </w:rPr>
        <w:t> </w:t>
      </w:r>
      <w:r>
        <w:rPr>
          <w:sz w:val="20"/>
        </w:rPr>
        <w:t>through</w:t>
      </w:r>
      <w:r>
        <w:rPr>
          <w:spacing w:val="-2"/>
          <w:sz w:val="20"/>
        </w:rPr>
        <w:t> </w:t>
      </w:r>
      <w:r>
        <w:rPr>
          <w:sz w:val="20"/>
        </w:rPr>
        <w:t>rates.</w:t>
      </w:r>
    </w:p>
    <w:p>
      <w:pPr>
        <w:pStyle w:val="ListParagraph"/>
        <w:numPr>
          <w:ilvl w:val="0"/>
          <w:numId w:val="33"/>
        </w:numPr>
        <w:tabs>
          <w:tab w:pos="1281" w:val="left" w:leader="none"/>
        </w:tabs>
        <w:spacing w:line="240" w:lineRule="auto" w:before="0" w:after="0"/>
        <w:ind w:left="1280" w:right="116" w:hanging="360"/>
        <w:jc w:val="both"/>
        <w:rPr>
          <w:sz w:val="20"/>
        </w:rPr>
      </w:pPr>
      <w:r>
        <w:rPr>
          <w:sz w:val="20"/>
        </w:rPr>
        <w:t>Standardising the collection methodology is very complex and need the time and consideration it deserves. It will require significant financial support from central government for smaller local authorities</w:t>
      </w:r>
      <w:r>
        <w:rPr>
          <w:spacing w:val="-2"/>
          <w:sz w:val="20"/>
        </w:rPr>
        <w:t> </w:t>
      </w:r>
      <w:r>
        <w:rPr>
          <w:sz w:val="20"/>
        </w:rPr>
        <w:t>due</w:t>
      </w:r>
      <w:r>
        <w:rPr>
          <w:spacing w:val="-4"/>
          <w:sz w:val="20"/>
        </w:rPr>
        <w:t> </w:t>
      </w:r>
      <w:r>
        <w:rPr>
          <w:sz w:val="20"/>
        </w:rPr>
        <w:t>to</w:t>
      </w:r>
      <w:r>
        <w:rPr>
          <w:spacing w:val="-3"/>
          <w:sz w:val="20"/>
        </w:rPr>
        <w:t> </w:t>
      </w:r>
      <w:r>
        <w:rPr>
          <w:sz w:val="20"/>
        </w:rPr>
        <w:t>required</w:t>
      </w:r>
      <w:r>
        <w:rPr>
          <w:spacing w:val="-3"/>
          <w:sz w:val="20"/>
        </w:rPr>
        <w:t> </w:t>
      </w:r>
      <w:r>
        <w:rPr>
          <w:sz w:val="20"/>
        </w:rPr>
        <w:t>scale</w:t>
      </w:r>
      <w:r>
        <w:rPr>
          <w:spacing w:val="-3"/>
          <w:sz w:val="20"/>
        </w:rPr>
        <w:t> </w:t>
      </w:r>
      <w:r>
        <w:rPr>
          <w:sz w:val="20"/>
        </w:rPr>
        <w:t>up</w:t>
      </w:r>
      <w:r>
        <w:rPr>
          <w:spacing w:val="-3"/>
          <w:sz w:val="20"/>
        </w:rPr>
        <w:t> </w:t>
      </w:r>
      <w:r>
        <w:rPr>
          <w:sz w:val="20"/>
        </w:rPr>
        <w:t>of</w:t>
      </w:r>
      <w:r>
        <w:rPr>
          <w:spacing w:val="-5"/>
          <w:sz w:val="20"/>
        </w:rPr>
        <w:t> </w:t>
      </w:r>
      <w:r>
        <w:rPr>
          <w:sz w:val="20"/>
        </w:rPr>
        <w:t>operations</w:t>
      </w:r>
      <w:r>
        <w:rPr>
          <w:spacing w:val="-3"/>
          <w:sz w:val="20"/>
        </w:rPr>
        <w:t> </w:t>
      </w:r>
      <w:r>
        <w:rPr>
          <w:sz w:val="20"/>
        </w:rPr>
        <w:t>and</w:t>
      </w:r>
      <w:r>
        <w:rPr>
          <w:spacing w:val="-3"/>
          <w:sz w:val="20"/>
        </w:rPr>
        <w:t> </w:t>
      </w:r>
      <w:r>
        <w:rPr>
          <w:sz w:val="20"/>
        </w:rPr>
        <w:t>roll</w:t>
      </w:r>
      <w:r>
        <w:rPr>
          <w:spacing w:val="-4"/>
          <w:sz w:val="20"/>
        </w:rPr>
        <w:t> </w:t>
      </w:r>
      <w:r>
        <w:rPr>
          <w:sz w:val="20"/>
        </w:rPr>
        <w:t>out</w:t>
      </w:r>
      <w:r>
        <w:rPr>
          <w:spacing w:val="-3"/>
          <w:sz w:val="20"/>
        </w:rPr>
        <w:t> </w:t>
      </w:r>
      <w:r>
        <w:rPr>
          <w:sz w:val="20"/>
        </w:rPr>
        <w:t>of</w:t>
      </w:r>
      <w:r>
        <w:rPr>
          <w:spacing w:val="-5"/>
          <w:sz w:val="20"/>
        </w:rPr>
        <w:t> </w:t>
      </w:r>
      <w:r>
        <w:rPr>
          <w:sz w:val="20"/>
        </w:rPr>
        <w:t>facilities.</w:t>
      </w:r>
    </w:p>
    <w:p>
      <w:pPr>
        <w:pStyle w:val="BodyText"/>
        <w:spacing w:before="11"/>
        <w:rPr>
          <w:sz w:val="19"/>
        </w:rPr>
      </w:pPr>
    </w:p>
    <w:p>
      <w:pPr>
        <w:pStyle w:val="Heading5"/>
        <w:numPr>
          <w:ilvl w:val="1"/>
          <w:numId w:val="30"/>
        </w:numPr>
        <w:tabs>
          <w:tab w:pos="1281" w:val="left" w:leader="none"/>
        </w:tabs>
        <w:spacing w:line="244" w:lineRule="exact" w:before="0" w:after="0"/>
        <w:ind w:left="1280" w:right="0" w:hanging="360"/>
        <w:jc w:val="left"/>
      </w:pPr>
      <w:r>
        <w:rPr/>
        <w:t>General</w:t>
      </w:r>
    </w:p>
    <w:p>
      <w:pPr>
        <w:pStyle w:val="ListParagraph"/>
        <w:numPr>
          <w:ilvl w:val="0"/>
          <w:numId w:val="33"/>
        </w:numPr>
        <w:tabs>
          <w:tab w:pos="1281" w:val="left" w:leader="none"/>
        </w:tabs>
        <w:spacing w:line="240" w:lineRule="auto" w:before="0" w:after="0"/>
        <w:ind w:left="1280" w:right="114" w:hanging="360"/>
        <w:jc w:val="both"/>
        <w:rPr>
          <w:sz w:val="20"/>
        </w:rPr>
      </w:pPr>
      <w:r>
        <w:rPr>
          <w:sz w:val="20"/>
        </w:rPr>
        <w:t>We have not discussed the crate vs bin discussions regarding contamination, in Taupo there is no limit on the recycling volume placed for collection, and as it is Kerbside sort we don't really suffer contamination. So the only benefit a wheelie bin has is no manual handling and no wind blown litter. Our pre-paid refuse bag incentivises recycling as you have to pay for another bag. You don't really get this incentive when using wheelie bins as the cost is either in rates or paid 6 monthly or yearly. This then</w:t>
      </w:r>
      <w:r>
        <w:rPr>
          <w:spacing w:val="-3"/>
          <w:sz w:val="20"/>
        </w:rPr>
        <w:t> </w:t>
      </w:r>
      <w:r>
        <w:rPr>
          <w:sz w:val="20"/>
        </w:rPr>
        <w:t>gets</w:t>
      </w:r>
      <w:r>
        <w:rPr>
          <w:spacing w:val="-3"/>
          <w:sz w:val="20"/>
        </w:rPr>
        <w:t> </w:t>
      </w:r>
      <w:r>
        <w:rPr>
          <w:sz w:val="20"/>
        </w:rPr>
        <w:t>people</w:t>
      </w:r>
      <w:r>
        <w:rPr>
          <w:spacing w:val="-4"/>
          <w:sz w:val="20"/>
        </w:rPr>
        <w:t> </w:t>
      </w:r>
      <w:r>
        <w:rPr>
          <w:sz w:val="20"/>
        </w:rPr>
        <w:t>to</w:t>
      </w:r>
      <w:r>
        <w:rPr>
          <w:spacing w:val="-3"/>
          <w:sz w:val="20"/>
        </w:rPr>
        <w:t> </w:t>
      </w:r>
      <w:r>
        <w:rPr>
          <w:sz w:val="20"/>
        </w:rPr>
        <w:t>fill</w:t>
      </w:r>
      <w:r>
        <w:rPr>
          <w:spacing w:val="-3"/>
          <w:sz w:val="20"/>
        </w:rPr>
        <w:t> </w:t>
      </w:r>
      <w:r>
        <w:rPr>
          <w:sz w:val="20"/>
        </w:rPr>
        <w:t>their</w:t>
      </w:r>
      <w:r>
        <w:rPr>
          <w:spacing w:val="-3"/>
          <w:sz w:val="20"/>
        </w:rPr>
        <w:t> </w:t>
      </w:r>
      <w:r>
        <w:rPr>
          <w:sz w:val="20"/>
        </w:rPr>
        <w:t>wheelie</w:t>
      </w:r>
      <w:r>
        <w:rPr>
          <w:spacing w:val="-4"/>
          <w:sz w:val="20"/>
        </w:rPr>
        <w:t> </w:t>
      </w:r>
      <w:r>
        <w:rPr>
          <w:sz w:val="20"/>
        </w:rPr>
        <w:t>bins</w:t>
      </w:r>
      <w:r>
        <w:rPr>
          <w:spacing w:val="-3"/>
          <w:sz w:val="20"/>
        </w:rPr>
        <w:t> </w:t>
      </w:r>
      <w:r>
        <w:rPr>
          <w:sz w:val="20"/>
        </w:rPr>
        <w:t>as</w:t>
      </w:r>
      <w:r>
        <w:rPr>
          <w:spacing w:val="-3"/>
          <w:sz w:val="20"/>
        </w:rPr>
        <w:t> </w:t>
      </w:r>
      <w:r>
        <w:rPr>
          <w:sz w:val="20"/>
        </w:rPr>
        <w:t>they</w:t>
      </w:r>
      <w:r>
        <w:rPr>
          <w:spacing w:val="-3"/>
          <w:sz w:val="20"/>
        </w:rPr>
        <w:t> </w:t>
      </w:r>
      <w:r>
        <w:rPr>
          <w:sz w:val="20"/>
        </w:rPr>
        <w:t>want</w:t>
      </w:r>
      <w:r>
        <w:rPr>
          <w:spacing w:val="-3"/>
          <w:sz w:val="20"/>
        </w:rPr>
        <w:t> </w:t>
      </w:r>
      <w:r>
        <w:rPr>
          <w:sz w:val="20"/>
        </w:rPr>
        <w:t>to</w:t>
      </w:r>
      <w:r>
        <w:rPr>
          <w:spacing w:val="-3"/>
          <w:sz w:val="20"/>
        </w:rPr>
        <w:t> </w:t>
      </w:r>
      <w:r>
        <w:rPr>
          <w:sz w:val="20"/>
        </w:rPr>
        <w:t>get</w:t>
      </w:r>
      <w:r>
        <w:rPr>
          <w:spacing w:val="-3"/>
          <w:sz w:val="20"/>
        </w:rPr>
        <w:t> </w:t>
      </w:r>
      <w:r>
        <w:rPr>
          <w:sz w:val="20"/>
        </w:rPr>
        <w:t>their</w:t>
      </w:r>
      <w:r>
        <w:rPr>
          <w:spacing w:val="-3"/>
          <w:sz w:val="20"/>
        </w:rPr>
        <w:t> </w:t>
      </w:r>
      <w:r>
        <w:rPr>
          <w:sz w:val="20"/>
        </w:rPr>
        <w:t>monies</w:t>
      </w:r>
      <w:r>
        <w:rPr>
          <w:spacing w:val="-3"/>
          <w:sz w:val="20"/>
        </w:rPr>
        <w:t> </w:t>
      </w:r>
      <w:r>
        <w:rPr>
          <w:sz w:val="20"/>
        </w:rPr>
        <w:t>worth...</w:t>
      </w:r>
    </w:p>
    <w:p>
      <w:pPr>
        <w:spacing w:after="0" w:line="240" w:lineRule="auto"/>
        <w:jc w:val="both"/>
        <w:rPr>
          <w:sz w:val="20"/>
        </w:rPr>
        <w:sectPr>
          <w:pgSz w:w="11910" w:h="16840"/>
          <w:pgMar w:header="576" w:footer="698" w:top="1140" w:bottom="880" w:left="880" w:right="1320"/>
        </w:sectPr>
      </w:pPr>
    </w:p>
    <w:p>
      <w:pPr>
        <w:pStyle w:val="BodyText"/>
      </w:pPr>
    </w:p>
    <w:p>
      <w:pPr>
        <w:pStyle w:val="BodyText"/>
        <w:spacing w:before="5"/>
        <w:rPr>
          <w:sz w:val="29"/>
        </w:rPr>
      </w:pPr>
    </w:p>
    <w:p>
      <w:pPr>
        <w:pStyle w:val="Heading5"/>
        <w:numPr>
          <w:ilvl w:val="0"/>
          <w:numId w:val="30"/>
        </w:numPr>
        <w:tabs>
          <w:tab w:pos="920" w:val="left" w:leader="none"/>
          <w:tab w:pos="921" w:val="left" w:leader="none"/>
        </w:tabs>
        <w:spacing w:line="240" w:lineRule="auto" w:before="59" w:after="0"/>
        <w:ind w:left="920" w:right="119" w:hanging="360"/>
        <w:jc w:val="left"/>
      </w:pPr>
      <w:r>
        <w:rPr/>
        <w:t>Rubbish</w:t>
      </w:r>
      <w:r>
        <w:rPr>
          <w:spacing w:val="-12"/>
        </w:rPr>
        <w:t> </w:t>
      </w:r>
      <w:r>
        <w:rPr/>
        <w:t>–</w:t>
      </w:r>
      <w:r>
        <w:rPr>
          <w:spacing w:val="-14"/>
        </w:rPr>
        <w:t> </w:t>
      </w:r>
      <w:r>
        <w:rPr/>
        <w:t>do</w:t>
      </w:r>
      <w:r>
        <w:rPr>
          <w:spacing w:val="-14"/>
        </w:rPr>
        <w:t> </w:t>
      </w:r>
      <w:r>
        <w:rPr/>
        <w:t>you</w:t>
      </w:r>
      <w:r>
        <w:rPr>
          <w:spacing w:val="-13"/>
        </w:rPr>
        <w:t> </w:t>
      </w:r>
      <w:r>
        <w:rPr/>
        <w:t>agree</w:t>
      </w:r>
      <w:r>
        <w:rPr>
          <w:spacing w:val="-15"/>
        </w:rPr>
        <w:t> </w:t>
      </w:r>
      <w:r>
        <w:rPr/>
        <w:t>with</w:t>
      </w:r>
      <w:r>
        <w:rPr>
          <w:spacing w:val="-12"/>
        </w:rPr>
        <w:t> </w:t>
      </w:r>
      <w:r>
        <w:rPr/>
        <w:t>120</w:t>
      </w:r>
      <w:r>
        <w:rPr>
          <w:spacing w:val="-14"/>
        </w:rPr>
        <w:t> </w:t>
      </w:r>
      <w:r>
        <w:rPr/>
        <w:t>or</w:t>
      </w:r>
      <w:r>
        <w:rPr>
          <w:spacing w:val="-13"/>
        </w:rPr>
        <w:t> </w:t>
      </w:r>
      <w:r>
        <w:rPr/>
        <w:t>140-litre</w:t>
      </w:r>
      <w:r>
        <w:rPr>
          <w:spacing w:val="-13"/>
        </w:rPr>
        <w:t> </w:t>
      </w:r>
      <w:r>
        <w:rPr/>
        <w:t>wheelie</w:t>
      </w:r>
      <w:r>
        <w:rPr>
          <w:spacing w:val="-13"/>
        </w:rPr>
        <w:t> </w:t>
      </w:r>
      <w:r>
        <w:rPr/>
        <w:t>bins</w:t>
      </w:r>
      <w:r>
        <w:rPr>
          <w:spacing w:val="-14"/>
        </w:rPr>
        <w:t> </w:t>
      </w:r>
      <w:r>
        <w:rPr/>
        <w:t>(collected</w:t>
      </w:r>
      <w:r>
        <w:rPr>
          <w:spacing w:val="-13"/>
        </w:rPr>
        <w:t> </w:t>
      </w:r>
      <w:r>
        <w:rPr/>
        <w:t>fortnightly</w:t>
      </w:r>
      <w:r>
        <w:rPr>
          <w:spacing w:val="-14"/>
        </w:rPr>
        <w:t> </w:t>
      </w:r>
      <w:r>
        <w:rPr/>
        <w:t>once</w:t>
      </w:r>
      <w:r>
        <w:rPr>
          <w:spacing w:val="-13"/>
        </w:rPr>
        <w:t> </w:t>
      </w:r>
      <w:r>
        <w:rPr/>
        <w:t>food</w:t>
      </w:r>
      <w:r>
        <w:rPr>
          <w:spacing w:val="-14"/>
        </w:rPr>
        <w:t> </w:t>
      </w:r>
      <w:r>
        <w:rPr/>
        <w:t>waste</w:t>
      </w:r>
      <w:r>
        <w:rPr>
          <w:spacing w:val="-13"/>
        </w:rPr>
        <w:t> </w:t>
      </w:r>
      <w:r>
        <w:rPr/>
        <w:t>collection is available), or 60-litre rubbish</w:t>
      </w:r>
      <w:r>
        <w:rPr>
          <w:spacing w:val="-12"/>
        </w:rPr>
        <w:t> </w:t>
      </w:r>
      <w:r>
        <w:rPr/>
        <w:t>bags?</w:t>
      </w:r>
    </w:p>
    <w:p>
      <w:pPr>
        <w:pStyle w:val="BodyText"/>
        <w:ind w:left="2805"/>
      </w:pPr>
      <w:r>
        <w:rPr/>
        <w:drawing>
          <wp:inline distT="0" distB="0" distL="0" distR="0">
            <wp:extent cx="2880645" cy="2880645"/>
            <wp:effectExtent l="0" t="0" r="0" b="0"/>
            <wp:docPr id="61" name="image36.png" descr=""/>
            <wp:cNvGraphicFramePr>
              <a:graphicFrameLocks noChangeAspect="1"/>
            </wp:cNvGraphicFramePr>
            <a:graphic>
              <a:graphicData uri="http://schemas.openxmlformats.org/drawingml/2006/picture">
                <pic:pic>
                  <pic:nvPicPr>
                    <pic:cNvPr id="62" name="image36.png"/>
                    <pic:cNvPicPr/>
                  </pic:nvPicPr>
                  <pic:blipFill>
                    <a:blip r:embed="rId55" cstate="print"/>
                    <a:stretch>
                      <a:fillRect/>
                    </a:stretch>
                  </pic:blipFill>
                  <pic:spPr>
                    <a:xfrm>
                      <a:off x="0" y="0"/>
                      <a:ext cx="2880645" cy="2880645"/>
                    </a:xfrm>
                    <a:prstGeom prst="rect">
                      <a:avLst/>
                    </a:prstGeom>
                  </pic:spPr>
                </pic:pic>
              </a:graphicData>
            </a:graphic>
          </wp:inline>
        </w:drawing>
      </w:r>
      <w:r>
        <w:rPr/>
      </w:r>
    </w:p>
    <w:p>
      <w:pPr>
        <w:spacing w:before="175"/>
        <w:ind w:left="560" w:right="0" w:firstLine="0"/>
        <w:jc w:val="left"/>
        <w:rPr>
          <w:b/>
          <w:sz w:val="20"/>
        </w:rPr>
      </w:pPr>
      <w:r>
        <w:rPr>
          <w:b/>
          <w:sz w:val="20"/>
        </w:rPr>
        <w:t>Comments</w:t>
      </w:r>
    </w:p>
    <w:p>
      <w:pPr>
        <w:pStyle w:val="ListParagraph"/>
        <w:numPr>
          <w:ilvl w:val="1"/>
          <w:numId w:val="30"/>
        </w:numPr>
        <w:tabs>
          <w:tab w:pos="1281" w:val="left" w:leader="none"/>
        </w:tabs>
        <w:spacing w:line="244" w:lineRule="exact" w:before="176" w:after="0"/>
        <w:ind w:left="1280" w:right="0" w:hanging="360"/>
        <w:jc w:val="left"/>
        <w:rPr>
          <w:b/>
          <w:sz w:val="20"/>
        </w:rPr>
      </w:pPr>
      <w:r>
        <w:rPr>
          <w:b/>
          <w:sz w:val="20"/>
        </w:rPr>
        <w:t>Bags</w:t>
      </w:r>
    </w:p>
    <w:p>
      <w:pPr>
        <w:pStyle w:val="ListParagraph"/>
        <w:numPr>
          <w:ilvl w:val="0"/>
          <w:numId w:val="34"/>
        </w:numPr>
        <w:tabs>
          <w:tab w:pos="1280" w:val="left" w:leader="none"/>
          <w:tab w:pos="1281" w:val="left" w:leader="none"/>
        </w:tabs>
        <w:spacing w:line="240" w:lineRule="auto" w:before="0" w:after="0"/>
        <w:ind w:left="1280" w:right="0" w:hanging="360"/>
        <w:jc w:val="left"/>
        <w:rPr>
          <w:sz w:val="20"/>
        </w:rPr>
      </w:pPr>
      <w:r>
        <w:rPr>
          <w:sz w:val="20"/>
        </w:rPr>
        <w:t>Please add 60 litre or less rubbish</w:t>
      </w:r>
      <w:r>
        <w:rPr>
          <w:spacing w:val="-12"/>
          <w:sz w:val="20"/>
        </w:rPr>
        <w:t> </w:t>
      </w:r>
      <w:r>
        <w:rPr>
          <w:sz w:val="20"/>
        </w:rPr>
        <w:t>bags</w:t>
      </w:r>
    </w:p>
    <w:p>
      <w:pPr>
        <w:pStyle w:val="ListParagraph"/>
        <w:numPr>
          <w:ilvl w:val="0"/>
          <w:numId w:val="34"/>
        </w:numPr>
        <w:tabs>
          <w:tab w:pos="1280" w:val="left" w:leader="none"/>
          <w:tab w:pos="1281" w:val="left" w:leader="none"/>
        </w:tabs>
        <w:spacing w:line="240" w:lineRule="auto" w:before="0" w:after="0"/>
        <w:ind w:left="1280" w:right="0" w:hanging="360"/>
        <w:jc w:val="left"/>
        <w:rPr>
          <w:sz w:val="20"/>
        </w:rPr>
      </w:pPr>
      <w:r>
        <w:rPr>
          <w:sz w:val="20"/>
        </w:rPr>
        <w:t>Avoid rubbish bags where</w:t>
      </w:r>
      <w:r>
        <w:rPr>
          <w:spacing w:val="-12"/>
          <w:sz w:val="20"/>
        </w:rPr>
        <w:t> </w:t>
      </w:r>
      <w:r>
        <w:rPr>
          <w:sz w:val="20"/>
        </w:rPr>
        <w:t>possible</w:t>
      </w:r>
    </w:p>
    <w:p>
      <w:pPr>
        <w:pStyle w:val="BodyText"/>
        <w:spacing w:before="1"/>
      </w:pPr>
    </w:p>
    <w:p>
      <w:pPr>
        <w:pStyle w:val="Heading5"/>
        <w:numPr>
          <w:ilvl w:val="1"/>
          <w:numId w:val="30"/>
        </w:numPr>
        <w:tabs>
          <w:tab w:pos="1281" w:val="left" w:leader="none"/>
        </w:tabs>
        <w:spacing w:line="244" w:lineRule="exact" w:before="0" w:after="0"/>
        <w:ind w:left="1280" w:right="0" w:hanging="360"/>
        <w:jc w:val="left"/>
      </w:pPr>
      <w:r>
        <w:rPr/>
        <w:t>Bins</w:t>
      </w:r>
    </w:p>
    <w:p>
      <w:pPr>
        <w:pStyle w:val="ListParagraph"/>
        <w:numPr>
          <w:ilvl w:val="0"/>
          <w:numId w:val="34"/>
        </w:numPr>
        <w:tabs>
          <w:tab w:pos="1280" w:val="left" w:leader="none"/>
          <w:tab w:pos="1281" w:val="left" w:leader="none"/>
        </w:tabs>
        <w:spacing w:line="240" w:lineRule="auto" w:before="0" w:after="0"/>
        <w:ind w:left="1280" w:right="119" w:hanging="360"/>
        <w:jc w:val="left"/>
        <w:rPr>
          <w:sz w:val="20"/>
        </w:rPr>
      </w:pPr>
      <w:r>
        <w:rPr>
          <w:sz w:val="20"/>
        </w:rPr>
        <w:t>Not</w:t>
      </w:r>
      <w:r>
        <w:rPr>
          <w:spacing w:val="-4"/>
          <w:sz w:val="20"/>
        </w:rPr>
        <w:t> </w:t>
      </w:r>
      <w:r>
        <w:rPr>
          <w:sz w:val="20"/>
        </w:rPr>
        <w:t>sure</w:t>
      </w:r>
      <w:r>
        <w:rPr>
          <w:spacing w:val="-5"/>
          <w:sz w:val="20"/>
        </w:rPr>
        <w:t> </w:t>
      </w:r>
      <w:r>
        <w:rPr>
          <w:sz w:val="20"/>
        </w:rPr>
        <w:t>about</w:t>
      </w:r>
      <w:r>
        <w:rPr>
          <w:spacing w:val="-4"/>
          <w:sz w:val="20"/>
        </w:rPr>
        <w:t> </w:t>
      </w:r>
      <w:r>
        <w:rPr>
          <w:sz w:val="20"/>
        </w:rPr>
        <w:t>benefits</w:t>
      </w:r>
      <w:r>
        <w:rPr>
          <w:spacing w:val="-3"/>
          <w:sz w:val="20"/>
        </w:rPr>
        <w:t> </w:t>
      </w:r>
      <w:r>
        <w:rPr>
          <w:sz w:val="20"/>
        </w:rPr>
        <w:t>of</w:t>
      </w:r>
      <w:r>
        <w:rPr>
          <w:spacing w:val="-4"/>
          <w:sz w:val="20"/>
        </w:rPr>
        <w:t> </w:t>
      </w:r>
      <w:r>
        <w:rPr>
          <w:sz w:val="20"/>
        </w:rPr>
        <w:t>wheelie</w:t>
      </w:r>
      <w:r>
        <w:rPr>
          <w:spacing w:val="-5"/>
          <w:sz w:val="20"/>
        </w:rPr>
        <w:t> </w:t>
      </w:r>
      <w:r>
        <w:rPr>
          <w:sz w:val="20"/>
        </w:rPr>
        <w:t>bin</w:t>
      </w:r>
      <w:r>
        <w:rPr>
          <w:spacing w:val="-4"/>
          <w:sz w:val="20"/>
        </w:rPr>
        <w:t> </w:t>
      </w:r>
      <w:r>
        <w:rPr>
          <w:sz w:val="20"/>
        </w:rPr>
        <w:t>for</w:t>
      </w:r>
      <w:r>
        <w:rPr>
          <w:spacing w:val="-2"/>
          <w:sz w:val="20"/>
        </w:rPr>
        <w:t> </w:t>
      </w:r>
      <w:r>
        <w:rPr>
          <w:sz w:val="20"/>
        </w:rPr>
        <w:t>waste</w:t>
      </w:r>
      <w:r>
        <w:rPr>
          <w:spacing w:val="2"/>
          <w:sz w:val="20"/>
        </w:rPr>
        <w:t> </w:t>
      </w:r>
      <w:r>
        <w:rPr>
          <w:sz w:val="20"/>
        </w:rPr>
        <w:t>-</w:t>
      </w:r>
      <w:r>
        <w:rPr>
          <w:spacing w:val="-5"/>
          <w:sz w:val="20"/>
        </w:rPr>
        <w:t> </w:t>
      </w:r>
      <w:r>
        <w:rPr>
          <w:sz w:val="20"/>
        </w:rPr>
        <w:t>if</w:t>
      </w:r>
      <w:r>
        <w:rPr>
          <w:spacing w:val="-5"/>
          <w:sz w:val="20"/>
        </w:rPr>
        <w:t> </w:t>
      </w:r>
      <w:r>
        <w:rPr>
          <w:sz w:val="20"/>
        </w:rPr>
        <w:t>provided</w:t>
      </w:r>
      <w:r>
        <w:rPr>
          <w:spacing w:val="-4"/>
          <w:sz w:val="20"/>
        </w:rPr>
        <w:t> </w:t>
      </w:r>
      <w:r>
        <w:rPr>
          <w:sz w:val="20"/>
        </w:rPr>
        <w:t>they</w:t>
      </w:r>
      <w:r>
        <w:rPr>
          <w:spacing w:val="-4"/>
          <w:sz w:val="20"/>
        </w:rPr>
        <w:t> </w:t>
      </w:r>
      <w:r>
        <w:rPr>
          <w:sz w:val="20"/>
        </w:rPr>
        <w:t>should</w:t>
      </w:r>
      <w:r>
        <w:rPr>
          <w:spacing w:val="-4"/>
          <w:sz w:val="20"/>
        </w:rPr>
        <w:t> </w:t>
      </w:r>
      <w:r>
        <w:rPr>
          <w:sz w:val="20"/>
        </w:rPr>
        <w:t>be</w:t>
      </w:r>
      <w:r>
        <w:rPr>
          <w:spacing w:val="-5"/>
          <w:sz w:val="20"/>
        </w:rPr>
        <w:t> </w:t>
      </w:r>
      <w:r>
        <w:rPr>
          <w:sz w:val="20"/>
        </w:rPr>
        <w:t>commercial or</w:t>
      </w:r>
      <w:r>
        <w:rPr>
          <w:spacing w:val="-4"/>
          <w:sz w:val="20"/>
        </w:rPr>
        <w:t> </w:t>
      </w:r>
      <w:r>
        <w:rPr>
          <w:sz w:val="20"/>
        </w:rPr>
        <w:t>pay</w:t>
      </w:r>
      <w:r>
        <w:rPr>
          <w:spacing w:val="-3"/>
          <w:sz w:val="20"/>
        </w:rPr>
        <w:t> </w:t>
      </w:r>
      <w:r>
        <w:rPr>
          <w:sz w:val="20"/>
        </w:rPr>
        <w:t>as</w:t>
      </w:r>
      <w:r>
        <w:rPr>
          <w:spacing w:val="-3"/>
          <w:sz w:val="20"/>
        </w:rPr>
        <w:t> </w:t>
      </w:r>
      <w:r>
        <w:rPr>
          <w:sz w:val="20"/>
        </w:rPr>
        <w:t>you go</w:t>
      </w:r>
      <w:r>
        <w:rPr>
          <w:spacing w:val="-2"/>
          <w:sz w:val="20"/>
        </w:rPr>
        <w:t> </w:t>
      </w:r>
      <w:r>
        <w:rPr>
          <w:sz w:val="20"/>
        </w:rPr>
        <w:t>to</w:t>
      </w:r>
      <w:r>
        <w:rPr>
          <w:spacing w:val="-2"/>
          <w:sz w:val="20"/>
        </w:rPr>
        <w:t> </w:t>
      </w:r>
      <w:r>
        <w:rPr>
          <w:sz w:val="20"/>
        </w:rPr>
        <w:t>reduce</w:t>
      </w:r>
      <w:r>
        <w:rPr>
          <w:spacing w:val="-4"/>
          <w:sz w:val="20"/>
        </w:rPr>
        <w:t> </w:t>
      </w:r>
      <w:r>
        <w:rPr>
          <w:sz w:val="20"/>
        </w:rPr>
        <w:t>incentive</w:t>
      </w:r>
      <w:r>
        <w:rPr>
          <w:spacing w:val="-3"/>
          <w:sz w:val="20"/>
        </w:rPr>
        <w:t> </w:t>
      </w:r>
      <w:r>
        <w:rPr>
          <w:sz w:val="20"/>
        </w:rPr>
        <w:t>to</w:t>
      </w:r>
      <w:r>
        <w:rPr>
          <w:spacing w:val="-2"/>
          <w:sz w:val="20"/>
        </w:rPr>
        <w:t> </w:t>
      </w:r>
      <w:r>
        <w:rPr>
          <w:sz w:val="20"/>
        </w:rPr>
        <w:t>fill</w:t>
      </w:r>
      <w:r>
        <w:rPr>
          <w:spacing w:val="-3"/>
          <w:sz w:val="20"/>
        </w:rPr>
        <w:t> </w:t>
      </w:r>
      <w:r>
        <w:rPr>
          <w:sz w:val="20"/>
        </w:rPr>
        <w:t>the</w:t>
      </w:r>
      <w:r>
        <w:rPr>
          <w:spacing w:val="-3"/>
          <w:sz w:val="20"/>
        </w:rPr>
        <w:t> </w:t>
      </w:r>
      <w:r>
        <w:rPr>
          <w:sz w:val="20"/>
        </w:rPr>
        <w:t>bin.</w:t>
      </w:r>
      <w:r>
        <w:rPr>
          <w:spacing w:val="-2"/>
          <w:sz w:val="20"/>
        </w:rPr>
        <w:t> </w:t>
      </w:r>
      <w:r>
        <w:rPr>
          <w:sz w:val="20"/>
        </w:rPr>
        <w:t>Also</w:t>
      </w:r>
      <w:r>
        <w:rPr>
          <w:spacing w:val="-2"/>
          <w:sz w:val="20"/>
        </w:rPr>
        <w:t> </w:t>
      </w:r>
      <w:r>
        <w:rPr>
          <w:sz w:val="20"/>
        </w:rPr>
        <w:t>not</w:t>
      </w:r>
      <w:r>
        <w:rPr>
          <w:spacing w:val="-4"/>
          <w:sz w:val="20"/>
        </w:rPr>
        <w:t> </w:t>
      </w:r>
      <w:r>
        <w:rPr>
          <w:sz w:val="20"/>
        </w:rPr>
        <w:t>sure</w:t>
      </w:r>
      <w:r>
        <w:rPr>
          <w:spacing w:val="-3"/>
          <w:sz w:val="20"/>
        </w:rPr>
        <w:t> </w:t>
      </w:r>
      <w:r>
        <w:rPr>
          <w:sz w:val="20"/>
        </w:rPr>
        <w:t>of</w:t>
      </w:r>
      <w:r>
        <w:rPr>
          <w:spacing w:val="-4"/>
          <w:sz w:val="20"/>
        </w:rPr>
        <w:t> </w:t>
      </w:r>
      <w:r>
        <w:rPr>
          <w:sz w:val="20"/>
        </w:rPr>
        <w:t>the</w:t>
      </w:r>
      <w:r>
        <w:rPr>
          <w:spacing w:val="-3"/>
          <w:sz w:val="20"/>
        </w:rPr>
        <w:t> </w:t>
      </w:r>
      <w:r>
        <w:rPr>
          <w:sz w:val="20"/>
        </w:rPr>
        <w:t>need</w:t>
      </w:r>
      <w:r>
        <w:rPr>
          <w:spacing w:val="-2"/>
          <w:sz w:val="20"/>
        </w:rPr>
        <w:t> </w:t>
      </w:r>
      <w:r>
        <w:rPr>
          <w:sz w:val="20"/>
        </w:rPr>
        <w:t>for</w:t>
      </w:r>
      <w:r>
        <w:rPr>
          <w:spacing w:val="-2"/>
          <w:sz w:val="20"/>
        </w:rPr>
        <w:t> </w:t>
      </w:r>
      <w:r>
        <w:rPr>
          <w:sz w:val="20"/>
        </w:rPr>
        <w:t>food</w:t>
      </w:r>
      <w:r>
        <w:rPr>
          <w:spacing w:val="-2"/>
          <w:sz w:val="20"/>
        </w:rPr>
        <w:t> </w:t>
      </w:r>
      <w:r>
        <w:rPr>
          <w:sz w:val="20"/>
        </w:rPr>
        <w:t>waste</w:t>
      </w:r>
      <w:r>
        <w:rPr>
          <w:spacing w:val="-3"/>
          <w:sz w:val="20"/>
        </w:rPr>
        <w:t> </w:t>
      </w:r>
      <w:r>
        <w:rPr>
          <w:sz w:val="20"/>
        </w:rPr>
        <w:t>collections.</w:t>
      </w:r>
    </w:p>
    <w:p>
      <w:pPr>
        <w:pStyle w:val="BodyText"/>
        <w:spacing w:before="11"/>
        <w:rPr>
          <w:sz w:val="19"/>
        </w:rPr>
      </w:pPr>
    </w:p>
    <w:p>
      <w:pPr>
        <w:pStyle w:val="Heading5"/>
        <w:numPr>
          <w:ilvl w:val="1"/>
          <w:numId w:val="30"/>
        </w:numPr>
        <w:tabs>
          <w:tab w:pos="1281" w:val="left" w:leader="none"/>
        </w:tabs>
        <w:spacing w:line="244" w:lineRule="exact" w:before="0" w:after="0"/>
        <w:ind w:left="1280" w:right="0" w:hanging="360"/>
        <w:jc w:val="left"/>
      </w:pPr>
      <w:r>
        <w:rPr/>
        <w:t>Size</w:t>
      </w:r>
      <w:r>
        <w:rPr>
          <w:spacing w:val="-5"/>
        </w:rPr>
        <w:t> </w:t>
      </w:r>
      <w:r>
        <w:rPr/>
        <w:t>options</w:t>
      </w:r>
    </w:p>
    <w:p>
      <w:pPr>
        <w:pStyle w:val="ListParagraph"/>
        <w:numPr>
          <w:ilvl w:val="0"/>
          <w:numId w:val="34"/>
        </w:numPr>
        <w:tabs>
          <w:tab w:pos="1280" w:val="left" w:leader="none"/>
          <w:tab w:pos="1281" w:val="left" w:leader="none"/>
        </w:tabs>
        <w:spacing w:line="240" w:lineRule="auto" w:before="0" w:after="0"/>
        <w:ind w:left="1280" w:right="123" w:hanging="360"/>
        <w:jc w:val="left"/>
        <w:rPr>
          <w:sz w:val="20"/>
        </w:rPr>
      </w:pPr>
      <w:r>
        <w:rPr>
          <w:sz w:val="20"/>
        </w:rPr>
        <w:t>Rubbish - either 140l wheelie bin (or smaller 80l? option) and 60l rubbish bags depending on topography/wind.</w:t>
      </w:r>
    </w:p>
    <w:p>
      <w:pPr>
        <w:pStyle w:val="ListParagraph"/>
        <w:numPr>
          <w:ilvl w:val="0"/>
          <w:numId w:val="34"/>
        </w:numPr>
        <w:tabs>
          <w:tab w:pos="1280" w:val="left" w:leader="none"/>
          <w:tab w:pos="1281" w:val="left" w:leader="none"/>
        </w:tabs>
        <w:spacing w:line="254" w:lineRule="exact" w:before="0" w:after="0"/>
        <w:ind w:left="1280" w:right="0" w:hanging="360"/>
        <w:jc w:val="left"/>
        <w:rPr>
          <w:sz w:val="20"/>
        </w:rPr>
      </w:pPr>
      <w:r>
        <w:rPr>
          <w:sz w:val="20"/>
        </w:rPr>
        <w:t>Weekly</w:t>
      </w:r>
      <w:r>
        <w:rPr>
          <w:spacing w:val="-2"/>
          <w:sz w:val="20"/>
        </w:rPr>
        <w:t> </w:t>
      </w:r>
      <w:r>
        <w:rPr>
          <w:sz w:val="20"/>
        </w:rPr>
        <w:t>collections</w:t>
      </w:r>
      <w:r>
        <w:rPr>
          <w:spacing w:val="-3"/>
          <w:sz w:val="20"/>
        </w:rPr>
        <w:t> </w:t>
      </w:r>
      <w:r>
        <w:rPr>
          <w:sz w:val="20"/>
        </w:rPr>
        <w:t>of</w:t>
      </w:r>
      <w:r>
        <w:rPr>
          <w:spacing w:val="-4"/>
          <w:sz w:val="20"/>
        </w:rPr>
        <w:t> </w:t>
      </w:r>
      <w:r>
        <w:rPr>
          <w:sz w:val="20"/>
        </w:rPr>
        <w:t>rubbish</w:t>
      </w:r>
      <w:r>
        <w:rPr>
          <w:spacing w:val="-4"/>
          <w:sz w:val="20"/>
        </w:rPr>
        <w:t> </w:t>
      </w:r>
      <w:r>
        <w:rPr>
          <w:sz w:val="20"/>
        </w:rPr>
        <w:t>in</w:t>
      </w:r>
      <w:r>
        <w:rPr>
          <w:spacing w:val="-3"/>
          <w:sz w:val="20"/>
        </w:rPr>
        <w:t> </w:t>
      </w:r>
      <w:r>
        <w:rPr>
          <w:sz w:val="20"/>
        </w:rPr>
        <w:t>a</w:t>
      </w:r>
      <w:r>
        <w:rPr>
          <w:spacing w:val="-3"/>
          <w:sz w:val="20"/>
        </w:rPr>
        <w:t> </w:t>
      </w:r>
      <w:r>
        <w:rPr>
          <w:sz w:val="20"/>
        </w:rPr>
        <w:t>80l</w:t>
      </w:r>
      <w:r>
        <w:rPr>
          <w:spacing w:val="-3"/>
          <w:sz w:val="20"/>
        </w:rPr>
        <w:t> </w:t>
      </w:r>
      <w:r>
        <w:rPr>
          <w:sz w:val="20"/>
        </w:rPr>
        <w:t>MGB</w:t>
      </w:r>
      <w:r>
        <w:rPr>
          <w:spacing w:val="-3"/>
          <w:sz w:val="20"/>
        </w:rPr>
        <w:t> </w:t>
      </w:r>
      <w:r>
        <w:rPr>
          <w:sz w:val="20"/>
        </w:rPr>
        <w:t>should</w:t>
      </w:r>
      <w:r>
        <w:rPr>
          <w:spacing w:val="-3"/>
          <w:sz w:val="20"/>
        </w:rPr>
        <w:t> </w:t>
      </w:r>
      <w:r>
        <w:rPr>
          <w:sz w:val="20"/>
        </w:rPr>
        <w:t>also</w:t>
      </w:r>
      <w:r>
        <w:rPr>
          <w:spacing w:val="-3"/>
          <w:sz w:val="20"/>
        </w:rPr>
        <w:t> </w:t>
      </w:r>
      <w:r>
        <w:rPr>
          <w:sz w:val="20"/>
        </w:rPr>
        <w:t>be</w:t>
      </w:r>
      <w:r>
        <w:rPr>
          <w:spacing w:val="-3"/>
          <w:sz w:val="20"/>
        </w:rPr>
        <w:t> </w:t>
      </w:r>
      <w:r>
        <w:rPr>
          <w:sz w:val="20"/>
        </w:rPr>
        <w:t>an</w:t>
      </w:r>
      <w:r>
        <w:rPr>
          <w:spacing w:val="-3"/>
          <w:sz w:val="20"/>
        </w:rPr>
        <w:t> </w:t>
      </w:r>
      <w:r>
        <w:rPr>
          <w:sz w:val="20"/>
        </w:rPr>
        <w:t>option</w:t>
      </w:r>
      <w:r>
        <w:rPr>
          <w:spacing w:val="-3"/>
          <w:sz w:val="20"/>
        </w:rPr>
        <w:t> </w:t>
      </w:r>
      <w:r>
        <w:rPr>
          <w:sz w:val="20"/>
        </w:rPr>
        <w:t>as</w:t>
      </w:r>
      <w:r>
        <w:rPr>
          <w:spacing w:val="-3"/>
          <w:sz w:val="20"/>
        </w:rPr>
        <w:t> </w:t>
      </w:r>
      <w:r>
        <w:rPr>
          <w:sz w:val="20"/>
        </w:rPr>
        <w:t>this</w:t>
      </w:r>
      <w:r>
        <w:rPr>
          <w:spacing w:val="-3"/>
          <w:sz w:val="20"/>
        </w:rPr>
        <w:t> </w:t>
      </w:r>
      <w:r>
        <w:rPr>
          <w:sz w:val="20"/>
        </w:rPr>
        <w:t>is</w:t>
      </w:r>
      <w:r>
        <w:rPr>
          <w:spacing w:val="-3"/>
          <w:sz w:val="20"/>
        </w:rPr>
        <w:t> </w:t>
      </w:r>
      <w:r>
        <w:rPr>
          <w:sz w:val="20"/>
        </w:rPr>
        <w:t>pretty</w:t>
      </w:r>
      <w:r>
        <w:rPr>
          <w:spacing w:val="-4"/>
          <w:sz w:val="20"/>
        </w:rPr>
        <w:t> </w:t>
      </w:r>
      <w:r>
        <w:rPr>
          <w:sz w:val="20"/>
        </w:rPr>
        <w:t>standard</w:t>
      </w:r>
    </w:p>
    <w:p>
      <w:pPr>
        <w:spacing w:after="0" w:line="254" w:lineRule="exact"/>
        <w:jc w:val="left"/>
        <w:rPr>
          <w:sz w:val="20"/>
        </w:rPr>
        <w:sectPr>
          <w:pgSz w:w="11910" w:h="16840"/>
          <w:pgMar w:header="576" w:footer="698" w:top="1140" w:bottom="880" w:left="880" w:right="1320"/>
        </w:sectPr>
      </w:pPr>
    </w:p>
    <w:p>
      <w:pPr>
        <w:pStyle w:val="BodyText"/>
      </w:pPr>
    </w:p>
    <w:p>
      <w:pPr>
        <w:pStyle w:val="BodyText"/>
        <w:spacing w:before="5"/>
        <w:rPr>
          <w:sz w:val="29"/>
        </w:rPr>
      </w:pPr>
    </w:p>
    <w:p>
      <w:pPr>
        <w:pStyle w:val="Heading5"/>
        <w:numPr>
          <w:ilvl w:val="0"/>
          <w:numId w:val="30"/>
        </w:numPr>
        <w:tabs>
          <w:tab w:pos="921" w:val="left" w:leader="none"/>
        </w:tabs>
        <w:spacing w:line="240" w:lineRule="auto" w:before="59" w:after="0"/>
        <w:ind w:left="920" w:right="120" w:hanging="360"/>
        <w:jc w:val="both"/>
      </w:pPr>
      <w:r>
        <w:rPr/>
        <w:t>Do you think there is need for a national organisation (similar to EECA) that provides assistance with collections modelling, waste strategy development, operational support, identifying best markets for recyclate, and</w:t>
      </w:r>
      <w:r>
        <w:rPr>
          <w:spacing w:val="-11"/>
        </w:rPr>
        <w:t> </w:t>
      </w:r>
      <w:r>
        <w:rPr/>
        <w:t>education?</w:t>
      </w:r>
    </w:p>
    <w:p>
      <w:pPr>
        <w:pStyle w:val="BodyText"/>
        <w:rPr>
          <w:b/>
        </w:rPr>
      </w:pPr>
    </w:p>
    <w:p>
      <w:pPr>
        <w:pStyle w:val="BodyText"/>
        <w:spacing w:before="1"/>
        <w:rPr>
          <w:b/>
          <w:sz w:val="11"/>
        </w:rPr>
      </w:pPr>
      <w:r>
        <w:rPr/>
        <w:drawing>
          <wp:anchor distT="0" distB="0" distL="0" distR="0" allowOverlap="1" layoutInCell="1" locked="0" behindDoc="0" simplePos="0" relativeHeight="1936">
            <wp:simplePos x="0" y="0"/>
            <wp:positionH relativeFrom="page">
              <wp:posOffset>2351404</wp:posOffset>
            </wp:positionH>
            <wp:positionV relativeFrom="paragraph">
              <wp:posOffset>110695</wp:posOffset>
            </wp:positionV>
            <wp:extent cx="2823925" cy="2852737"/>
            <wp:effectExtent l="0" t="0" r="0" b="0"/>
            <wp:wrapTopAndBottom/>
            <wp:docPr id="63" name="image37.png" descr=""/>
            <wp:cNvGraphicFramePr>
              <a:graphicFrameLocks noChangeAspect="1"/>
            </wp:cNvGraphicFramePr>
            <a:graphic>
              <a:graphicData uri="http://schemas.openxmlformats.org/drawingml/2006/picture">
                <pic:pic>
                  <pic:nvPicPr>
                    <pic:cNvPr id="64" name="image37.png"/>
                    <pic:cNvPicPr/>
                  </pic:nvPicPr>
                  <pic:blipFill>
                    <a:blip r:embed="rId56" cstate="print"/>
                    <a:stretch>
                      <a:fillRect/>
                    </a:stretch>
                  </pic:blipFill>
                  <pic:spPr>
                    <a:xfrm>
                      <a:off x="0" y="0"/>
                      <a:ext cx="2823925" cy="2852737"/>
                    </a:xfrm>
                    <a:prstGeom prst="rect">
                      <a:avLst/>
                    </a:prstGeom>
                  </pic:spPr>
                </pic:pic>
              </a:graphicData>
            </a:graphic>
          </wp:anchor>
        </w:drawing>
      </w:r>
    </w:p>
    <w:p>
      <w:pPr>
        <w:pStyle w:val="BodyText"/>
        <w:rPr>
          <w:b/>
        </w:rPr>
      </w:pPr>
    </w:p>
    <w:p>
      <w:pPr>
        <w:pStyle w:val="BodyText"/>
        <w:rPr>
          <w:b/>
        </w:rPr>
      </w:pPr>
    </w:p>
    <w:p>
      <w:pPr>
        <w:spacing w:before="124"/>
        <w:ind w:left="560" w:right="0" w:firstLine="0"/>
        <w:jc w:val="left"/>
        <w:rPr>
          <w:b/>
          <w:sz w:val="20"/>
        </w:rPr>
      </w:pPr>
      <w:r>
        <w:rPr>
          <w:b/>
          <w:sz w:val="20"/>
        </w:rPr>
        <w:t>General comments</w:t>
      </w:r>
    </w:p>
    <w:p>
      <w:pPr>
        <w:pStyle w:val="ListParagraph"/>
        <w:numPr>
          <w:ilvl w:val="0"/>
          <w:numId w:val="35"/>
        </w:numPr>
        <w:tabs>
          <w:tab w:pos="1280" w:val="left" w:leader="none"/>
          <w:tab w:pos="1281" w:val="left" w:leader="none"/>
        </w:tabs>
        <w:spacing w:line="240" w:lineRule="auto" w:before="174" w:after="0"/>
        <w:ind w:left="1280" w:right="0" w:hanging="360"/>
        <w:jc w:val="left"/>
        <w:rPr>
          <w:sz w:val="20"/>
        </w:rPr>
      </w:pPr>
      <w:r>
        <w:rPr>
          <w:sz w:val="20"/>
        </w:rPr>
        <w:t>Fully endorse standardization and happy to work towards achieving</w:t>
      </w:r>
      <w:r>
        <w:rPr>
          <w:spacing w:val="-30"/>
          <w:sz w:val="20"/>
        </w:rPr>
        <w:t> </w:t>
      </w:r>
      <w:r>
        <w:rPr>
          <w:sz w:val="20"/>
        </w:rPr>
        <w:t>it.</w:t>
      </w:r>
    </w:p>
    <w:p>
      <w:pPr>
        <w:pStyle w:val="ListParagraph"/>
        <w:numPr>
          <w:ilvl w:val="0"/>
          <w:numId w:val="35"/>
        </w:numPr>
        <w:tabs>
          <w:tab w:pos="1281" w:val="left" w:leader="none"/>
        </w:tabs>
        <w:spacing w:line="240" w:lineRule="auto" w:before="1" w:after="0"/>
        <w:ind w:left="1280" w:right="117" w:hanging="360"/>
        <w:jc w:val="both"/>
        <w:rPr>
          <w:sz w:val="20"/>
        </w:rPr>
      </w:pPr>
      <w:r>
        <w:rPr>
          <w:sz w:val="20"/>
        </w:rPr>
        <w:t>The timing of this research will affect the quality of the outcome. Also many of the real opportunities to divert or prevent are outside the scope of this project but interconnected with it, thus limiting the effectiveness. The focus should be on changing the quality of what is collected to preserve what little value</w:t>
      </w:r>
      <w:r>
        <w:rPr>
          <w:spacing w:val="-8"/>
          <w:sz w:val="20"/>
        </w:rPr>
        <w:t> </w:t>
      </w:r>
      <w:r>
        <w:rPr>
          <w:sz w:val="20"/>
        </w:rPr>
        <w:t>the</w:t>
      </w:r>
      <w:r>
        <w:rPr>
          <w:spacing w:val="-8"/>
          <w:sz w:val="20"/>
        </w:rPr>
        <w:t> </w:t>
      </w:r>
      <w:r>
        <w:rPr>
          <w:sz w:val="20"/>
        </w:rPr>
        <w:t>commodities</w:t>
      </w:r>
      <w:r>
        <w:rPr>
          <w:spacing w:val="-7"/>
          <w:sz w:val="20"/>
        </w:rPr>
        <w:t> </w:t>
      </w:r>
      <w:r>
        <w:rPr>
          <w:sz w:val="20"/>
        </w:rPr>
        <w:t>have.</w:t>
      </w:r>
      <w:r>
        <w:rPr>
          <w:spacing w:val="-8"/>
          <w:sz w:val="20"/>
        </w:rPr>
        <w:t> </w:t>
      </w:r>
      <w:r>
        <w:rPr>
          <w:sz w:val="20"/>
        </w:rPr>
        <w:t>Education</w:t>
      </w:r>
      <w:r>
        <w:rPr>
          <w:spacing w:val="-7"/>
          <w:sz w:val="20"/>
        </w:rPr>
        <w:t> </w:t>
      </w:r>
      <w:r>
        <w:rPr>
          <w:sz w:val="20"/>
        </w:rPr>
        <w:t>is</w:t>
      </w:r>
      <w:r>
        <w:rPr>
          <w:spacing w:val="-8"/>
          <w:sz w:val="20"/>
        </w:rPr>
        <w:t> </w:t>
      </w:r>
      <w:r>
        <w:rPr>
          <w:sz w:val="20"/>
        </w:rPr>
        <w:t>best</w:t>
      </w:r>
      <w:r>
        <w:rPr>
          <w:spacing w:val="-7"/>
          <w:sz w:val="20"/>
        </w:rPr>
        <w:t> </w:t>
      </w:r>
      <w:r>
        <w:rPr>
          <w:sz w:val="20"/>
        </w:rPr>
        <w:t>served</w:t>
      </w:r>
      <w:r>
        <w:rPr>
          <w:spacing w:val="-7"/>
          <w:sz w:val="20"/>
        </w:rPr>
        <w:t> </w:t>
      </w:r>
      <w:r>
        <w:rPr>
          <w:sz w:val="20"/>
        </w:rPr>
        <w:t>at</w:t>
      </w:r>
      <w:r>
        <w:rPr>
          <w:spacing w:val="-8"/>
          <w:sz w:val="20"/>
        </w:rPr>
        <w:t> </w:t>
      </w:r>
      <w:r>
        <w:rPr>
          <w:sz w:val="20"/>
        </w:rPr>
        <w:t>the</w:t>
      </w:r>
      <w:r>
        <w:rPr>
          <w:spacing w:val="-8"/>
          <w:sz w:val="20"/>
        </w:rPr>
        <w:t> </w:t>
      </w:r>
      <w:r>
        <w:rPr>
          <w:sz w:val="20"/>
        </w:rPr>
        <w:t>kerb</w:t>
      </w:r>
      <w:r>
        <w:rPr>
          <w:spacing w:val="-7"/>
          <w:sz w:val="20"/>
        </w:rPr>
        <w:t> </w:t>
      </w:r>
      <w:r>
        <w:rPr>
          <w:sz w:val="20"/>
        </w:rPr>
        <w:t>by</w:t>
      </w:r>
      <w:r>
        <w:rPr>
          <w:spacing w:val="-7"/>
          <w:sz w:val="20"/>
        </w:rPr>
        <w:t> </w:t>
      </w:r>
      <w:r>
        <w:rPr>
          <w:sz w:val="20"/>
        </w:rPr>
        <w:t>rejecting</w:t>
      </w:r>
      <w:r>
        <w:rPr>
          <w:spacing w:val="-8"/>
          <w:sz w:val="20"/>
        </w:rPr>
        <w:t> </w:t>
      </w:r>
      <w:r>
        <w:rPr>
          <w:sz w:val="20"/>
        </w:rPr>
        <w:t>material.</w:t>
      </w:r>
      <w:r>
        <w:rPr>
          <w:spacing w:val="-8"/>
          <w:sz w:val="20"/>
        </w:rPr>
        <w:t> </w:t>
      </w:r>
      <w:r>
        <w:rPr>
          <w:sz w:val="20"/>
        </w:rPr>
        <w:t>This</w:t>
      </w:r>
      <w:r>
        <w:rPr>
          <w:spacing w:val="-7"/>
          <w:sz w:val="20"/>
        </w:rPr>
        <w:t> </w:t>
      </w:r>
      <w:r>
        <w:rPr>
          <w:sz w:val="20"/>
        </w:rPr>
        <w:t>also</w:t>
      </w:r>
      <w:r>
        <w:rPr>
          <w:spacing w:val="-8"/>
          <w:sz w:val="20"/>
        </w:rPr>
        <w:t> </w:t>
      </w:r>
      <w:r>
        <w:rPr>
          <w:sz w:val="20"/>
        </w:rPr>
        <w:t>means what is collected is clean. Every region has specific issues. Our landfill receives a lot greenwaste from commercial</w:t>
      </w:r>
      <w:r>
        <w:rPr>
          <w:spacing w:val="-5"/>
          <w:sz w:val="20"/>
        </w:rPr>
        <w:t> </w:t>
      </w:r>
      <w:r>
        <w:rPr>
          <w:sz w:val="20"/>
        </w:rPr>
        <w:t>wheelie</w:t>
      </w:r>
      <w:r>
        <w:rPr>
          <w:spacing w:val="-6"/>
          <w:sz w:val="20"/>
        </w:rPr>
        <w:t> </w:t>
      </w:r>
      <w:r>
        <w:rPr>
          <w:sz w:val="20"/>
        </w:rPr>
        <w:t>bins</w:t>
      </w:r>
      <w:r>
        <w:rPr>
          <w:spacing w:val="-6"/>
          <w:sz w:val="20"/>
        </w:rPr>
        <w:t> </w:t>
      </w:r>
      <w:r>
        <w:rPr>
          <w:sz w:val="20"/>
        </w:rPr>
        <w:t>for</w:t>
      </w:r>
      <w:r>
        <w:rPr>
          <w:spacing w:val="-7"/>
          <w:sz w:val="20"/>
        </w:rPr>
        <w:t> </w:t>
      </w:r>
      <w:r>
        <w:rPr>
          <w:sz w:val="20"/>
        </w:rPr>
        <w:t>example,</w:t>
      </w:r>
      <w:r>
        <w:rPr>
          <w:spacing w:val="-6"/>
          <w:sz w:val="20"/>
        </w:rPr>
        <w:t> </w:t>
      </w:r>
      <w:r>
        <w:rPr>
          <w:sz w:val="20"/>
        </w:rPr>
        <w:t>which</w:t>
      </w:r>
      <w:r>
        <w:rPr>
          <w:spacing w:val="-6"/>
          <w:sz w:val="20"/>
        </w:rPr>
        <w:t> </w:t>
      </w:r>
      <w:r>
        <w:rPr>
          <w:sz w:val="20"/>
        </w:rPr>
        <w:t>is</w:t>
      </w:r>
      <w:r>
        <w:rPr>
          <w:spacing w:val="-6"/>
          <w:sz w:val="20"/>
        </w:rPr>
        <w:t> </w:t>
      </w:r>
      <w:r>
        <w:rPr>
          <w:sz w:val="20"/>
        </w:rPr>
        <w:t>where</w:t>
      </w:r>
      <w:r>
        <w:rPr>
          <w:spacing w:val="-5"/>
          <w:sz w:val="20"/>
        </w:rPr>
        <w:t> </w:t>
      </w:r>
      <w:r>
        <w:rPr>
          <w:sz w:val="20"/>
        </w:rPr>
        <w:t>we</w:t>
      </w:r>
      <w:r>
        <w:rPr>
          <w:spacing w:val="-8"/>
          <w:sz w:val="20"/>
        </w:rPr>
        <w:t> </w:t>
      </w:r>
      <w:r>
        <w:rPr>
          <w:sz w:val="20"/>
        </w:rPr>
        <w:t>decided</w:t>
      </w:r>
      <w:r>
        <w:rPr>
          <w:spacing w:val="-6"/>
          <w:sz w:val="20"/>
        </w:rPr>
        <w:t> </w:t>
      </w:r>
      <w:r>
        <w:rPr>
          <w:sz w:val="20"/>
        </w:rPr>
        <w:t>to</w:t>
      </w:r>
      <w:r>
        <w:rPr>
          <w:spacing w:val="-6"/>
          <w:sz w:val="20"/>
        </w:rPr>
        <w:t> </w:t>
      </w:r>
      <w:r>
        <w:rPr>
          <w:sz w:val="20"/>
        </w:rPr>
        <w:t>make</w:t>
      </w:r>
      <w:r>
        <w:rPr>
          <w:spacing w:val="-5"/>
          <w:sz w:val="20"/>
        </w:rPr>
        <w:t> </w:t>
      </w:r>
      <w:r>
        <w:rPr>
          <w:sz w:val="20"/>
        </w:rPr>
        <w:t>changes.</w:t>
      </w:r>
      <w:r>
        <w:rPr>
          <w:spacing w:val="-7"/>
          <w:sz w:val="20"/>
        </w:rPr>
        <w:t> </w:t>
      </w:r>
      <w:r>
        <w:rPr>
          <w:sz w:val="20"/>
        </w:rPr>
        <w:t>In</w:t>
      </w:r>
      <w:r>
        <w:rPr>
          <w:spacing w:val="-6"/>
          <w:sz w:val="20"/>
        </w:rPr>
        <w:t> </w:t>
      </w:r>
      <w:r>
        <w:rPr>
          <w:sz w:val="20"/>
        </w:rPr>
        <w:t>a</w:t>
      </w:r>
      <w:r>
        <w:rPr>
          <w:spacing w:val="-6"/>
          <w:sz w:val="20"/>
        </w:rPr>
        <w:t> </w:t>
      </w:r>
      <w:r>
        <w:rPr>
          <w:sz w:val="20"/>
        </w:rPr>
        <w:t>dense</w:t>
      </w:r>
      <w:r>
        <w:rPr>
          <w:spacing w:val="-8"/>
          <w:sz w:val="20"/>
        </w:rPr>
        <w:t> </w:t>
      </w:r>
      <w:r>
        <w:rPr>
          <w:sz w:val="20"/>
        </w:rPr>
        <w:t>city</w:t>
      </w:r>
      <w:r>
        <w:rPr>
          <w:spacing w:val="-6"/>
          <w:sz w:val="20"/>
        </w:rPr>
        <w:t> </w:t>
      </w:r>
      <w:r>
        <w:rPr>
          <w:sz w:val="20"/>
        </w:rPr>
        <w:t>that would</w:t>
      </w:r>
      <w:r>
        <w:rPr>
          <w:spacing w:val="-9"/>
          <w:sz w:val="20"/>
        </w:rPr>
        <w:t> </w:t>
      </w:r>
      <w:r>
        <w:rPr>
          <w:sz w:val="20"/>
        </w:rPr>
        <w:t>be</w:t>
      </w:r>
      <w:r>
        <w:rPr>
          <w:spacing w:val="-10"/>
          <w:sz w:val="20"/>
        </w:rPr>
        <w:t> </w:t>
      </w:r>
      <w:r>
        <w:rPr>
          <w:sz w:val="20"/>
        </w:rPr>
        <w:t>different.</w:t>
      </w:r>
      <w:r>
        <w:rPr>
          <w:spacing w:val="-9"/>
          <w:sz w:val="20"/>
        </w:rPr>
        <w:t> </w:t>
      </w:r>
      <w:r>
        <w:rPr>
          <w:sz w:val="20"/>
        </w:rPr>
        <w:t>One</w:t>
      </w:r>
      <w:r>
        <w:rPr>
          <w:spacing w:val="-10"/>
          <w:sz w:val="20"/>
        </w:rPr>
        <w:t> </w:t>
      </w:r>
      <w:r>
        <w:rPr>
          <w:sz w:val="20"/>
        </w:rPr>
        <w:t>size</w:t>
      </w:r>
      <w:r>
        <w:rPr>
          <w:spacing w:val="-10"/>
          <w:sz w:val="20"/>
        </w:rPr>
        <w:t> </w:t>
      </w:r>
      <w:r>
        <w:rPr>
          <w:sz w:val="20"/>
        </w:rPr>
        <w:t>does</w:t>
      </w:r>
      <w:r>
        <w:rPr>
          <w:spacing w:val="-8"/>
          <w:sz w:val="20"/>
        </w:rPr>
        <w:t> </w:t>
      </w:r>
      <w:r>
        <w:rPr>
          <w:sz w:val="20"/>
        </w:rPr>
        <w:t>not</w:t>
      </w:r>
      <w:r>
        <w:rPr>
          <w:spacing w:val="-9"/>
          <w:sz w:val="20"/>
        </w:rPr>
        <w:t> </w:t>
      </w:r>
      <w:r>
        <w:rPr>
          <w:sz w:val="20"/>
        </w:rPr>
        <w:t>fit</w:t>
      </w:r>
      <w:r>
        <w:rPr>
          <w:spacing w:val="-9"/>
          <w:sz w:val="20"/>
        </w:rPr>
        <w:t> </w:t>
      </w:r>
      <w:r>
        <w:rPr>
          <w:sz w:val="20"/>
        </w:rPr>
        <w:t>all</w:t>
      </w:r>
      <w:r>
        <w:rPr>
          <w:spacing w:val="-9"/>
          <w:sz w:val="20"/>
        </w:rPr>
        <w:t> </w:t>
      </w:r>
      <w:r>
        <w:rPr>
          <w:sz w:val="20"/>
        </w:rPr>
        <w:t>nor</w:t>
      </w:r>
      <w:r>
        <w:rPr>
          <w:spacing w:val="-9"/>
          <w:sz w:val="20"/>
        </w:rPr>
        <w:t> </w:t>
      </w:r>
      <w:r>
        <w:rPr>
          <w:sz w:val="20"/>
        </w:rPr>
        <w:t>can</w:t>
      </w:r>
      <w:r>
        <w:rPr>
          <w:spacing w:val="-8"/>
          <w:sz w:val="20"/>
        </w:rPr>
        <w:t> </w:t>
      </w:r>
      <w:r>
        <w:rPr>
          <w:sz w:val="20"/>
        </w:rPr>
        <w:t>everyone</w:t>
      </w:r>
      <w:r>
        <w:rPr>
          <w:spacing w:val="-10"/>
          <w:sz w:val="20"/>
        </w:rPr>
        <w:t> </w:t>
      </w:r>
      <w:r>
        <w:rPr>
          <w:sz w:val="20"/>
        </w:rPr>
        <w:t>afford</w:t>
      </w:r>
      <w:r>
        <w:rPr>
          <w:spacing w:val="-8"/>
          <w:sz w:val="20"/>
        </w:rPr>
        <w:t> </w:t>
      </w:r>
      <w:r>
        <w:rPr>
          <w:sz w:val="20"/>
        </w:rPr>
        <w:t>the</w:t>
      </w:r>
      <w:r>
        <w:rPr>
          <w:spacing w:val="-10"/>
          <w:sz w:val="20"/>
        </w:rPr>
        <w:t> </w:t>
      </w:r>
      <w:r>
        <w:rPr>
          <w:sz w:val="20"/>
        </w:rPr>
        <w:t>same</w:t>
      </w:r>
      <w:r>
        <w:rPr>
          <w:spacing w:val="-10"/>
          <w:sz w:val="20"/>
        </w:rPr>
        <w:t> </w:t>
      </w:r>
      <w:r>
        <w:rPr>
          <w:sz w:val="20"/>
        </w:rPr>
        <w:t>solution.</w:t>
      </w:r>
      <w:r>
        <w:rPr>
          <w:spacing w:val="-9"/>
          <w:sz w:val="20"/>
        </w:rPr>
        <w:t> </w:t>
      </w:r>
      <w:r>
        <w:rPr>
          <w:sz w:val="20"/>
        </w:rPr>
        <w:t>There</w:t>
      </w:r>
      <w:r>
        <w:rPr>
          <w:spacing w:val="-10"/>
          <w:sz w:val="20"/>
        </w:rPr>
        <w:t> </w:t>
      </w:r>
      <w:r>
        <w:rPr>
          <w:sz w:val="20"/>
        </w:rPr>
        <w:t>are</w:t>
      </w:r>
      <w:r>
        <w:rPr>
          <w:spacing w:val="-10"/>
          <w:sz w:val="20"/>
        </w:rPr>
        <w:t> </w:t>
      </w:r>
      <w:r>
        <w:rPr>
          <w:sz w:val="20"/>
        </w:rPr>
        <w:t>places where</w:t>
      </w:r>
      <w:r>
        <w:rPr>
          <w:spacing w:val="-5"/>
          <w:sz w:val="20"/>
        </w:rPr>
        <w:t> </w:t>
      </w:r>
      <w:r>
        <w:rPr>
          <w:sz w:val="20"/>
        </w:rPr>
        <w:t>carting</w:t>
      </w:r>
      <w:r>
        <w:rPr>
          <w:spacing w:val="-5"/>
          <w:sz w:val="20"/>
        </w:rPr>
        <w:t> </w:t>
      </w:r>
      <w:r>
        <w:rPr>
          <w:sz w:val="20"/>
        </w:rPr>
        <w:t>glass</w:t>
      </w:r>
      <w:r>
        <w:rPr>
          <w:spacing w:val="-4"/>
          <w:sz w:val="20"/>
        </w:rPr>
        <w:t> </w:t>
      </w:r>
      <w:r>
        <w:rPr>
          <w:sz w:val="20"/>
        </w:rPr>
        <w:t>to</w:t>
      </w:r>
      <w:r>
        <w:rPr>
          <w:spacing w:val="-5"/>
          <w:sz w:val="20"/>
        </w:rPr>
        <w:t> </w:t>
      </w:r>
      <w:r>
        <w:rPr>
          <w:sz w:val="20"/>
        </w:rPr>
        <w:t>OI</w:t>
      </w:r>
      <w:r>
        <w:rPr>
          <w:spacing w:val="-5"/>
          <w:sz w:val="20"/>
        </w:rPr>
        <w:t> </w:t>
      </w:r>
      <w:r>
        <w:rPr>
          <w:sz w:val="20"/>
        </w:rPr>
        <w:t>does</w:t>
      </w:r>
      <w:r>
        <w:rPr>
          <w:spacing w:val="-4"/>
          <w:sz w:val="20"/>
        </w:rPr>
        <w:t> </w:t>
      </w:r>
      <w:r>
        <w:rPr>
          <w:sz w:val="20"/>
        </w:rPr>
        <w:t>not</w:t>
      </w:r>
      <w:r>
        <w:rPr>
          <w:spacing w:val="-5"/>
          <w:sz w:val="20"/>
        </w:rPr>
        <w:t> </w:t>
      </w:r>
      <w:r>
        <w:rPr>
          <w:sz w:val="20"/>
        </w:rPr>
        <w:t>make</w:t>
      </w:r>
      <w:r>
        <w:rPr>
          <w:spacing w:val="-3"/>
          <w:sz w:val="20"/>
        </w:rPr>
        <w:t> </w:t>
      </w:r>
      <w:r>
        <w:rPr>
          <w:sz w:val="20"/>
        </w:rPr>
        <w:t>sense</w:t>
      </w:r>
      <w:r>
        <w:rPr>
          <w:spacing w:val="-5"/>
          <w:sz w:val="20"/>
        </w:rPr>
        <w:t> </w:t>
      </w:r>
      <w:r>
        <w:rPr>
          <w:sz w:val="20"/>
        </w:rPr>
        <w:t>for</w:t>
      </w:r>
      <w:r>
        <w:rPr>
          <w:spacing w:val="-5"/>
          <w:sz w:val="20"/>
        </w:rPr>
        <w:t> </w:t>
      </w:r>
      <w:r>
        <w:rPr>
          <w:sz w:val="20"/>
        </w:rPr>
        <w:t>example.</w:t>
      </w:r>
      <w:r>
        <w:rPr>
          <w:spacing w:val="-3"/>
          <w:sz w:val="20"/>
        </w:rPr>
        <w:t> </w:t>
      </w:r>
      <w:r>
        <w:rPr>
          <w:sz w:val="20"/>
        </w:rPr>
        <w:t>The</w:t>
      </w:r>
      <w:r>
        <w:rPr>
          <w:spacing w:val="-5"/>
          <w:sz w:val="20"/>
        </w:rPr>
        <w:t> </w:t>
      </w:r>
      <w:r>
        <w:rPr>
          <w:sz w:val="20"/>
        </w:rPr>
        <w:t>length</w:t>
      </w:r>
      <w:r>
        <w:rPr>
          <w:spacing w:val="-5"/>
          <w:sz w:val="20"/>
        </w:rPr>
        <w:t> </w:t>
      </w:r>
      <w:r>
        <w:rPr>
          <w:sz w:val="20"/>
        </w:rPr>
        <w:t>of</w:t>
      </w:r>
      <w:r>
        <w:rPr>
          <w:spacing w:val="-5"/>
          <w:sz w:val="20"/>
        </w:rPr>
        <w:t> </w:t>
      </w:r>
      <w:r>
        <w:rPr>
          <w:sz w:val="20"/>
        </w:rPr>
        <w:t>contracts</w:t>
      </w:r>
      <w:r>
        <w:rPr>
          <w:spacing w:val="-4"/>
          <w:sz w:val="20"/>
        </w:rPr>
        <w:t> </w:t>
      </w:r>
      <w:r>
        <w:rPr>
          <w:sz w:val="20"/>
        </w:rPr>
        <w:t>is</w:t>
      </w:r>
      <w:r>
        <w:rPr>
          <w:spacing w:val="-4"/>
          <w:sz w:val="20"/>
        </w:rPr>
        <w:t> </w:t>
      </w:r>
      <w:r>
        <w:rPr>
          <w:sz w:val="20"/>
        </w:rPr>
        <w:t>not</w:t>
      </w:r>
      <w:r>
        <w:rPr>
          <w:spacing w:val="-5"/>
          <w:sz w:val="20"/>
        </w:rPr>
        <w:t> </w:t>
      </w:r>
      <w:r>
        <w:rPr>
          <w:sz w:val="20"/>
        </w:rPr>
        <w:t>in</w:t>
      </w:r>
      <w:r>
        <w:rPr>
          <w:spacing w:val="-5"/>
          <w:sz w:val="20"/>
        </w:rPr>
        <w:t> </w:t>
      </w:r>
      <w:r>
        <w:rPr>
          <w:sz w:val="20"/>
        </w:rPr>
        <w:t>synch</w:t>
      </w:r>
      <w:r>
        <w:rPr>
          <w:spacing w:val="-6"/>
          <w:sz w:val="20"/>
        </w:rPr>
        <w:t> </w:t>
      </w:r>
      <w:r>
        <w:rPr>
          <w:sz w:val="20"/>
        </w:rPr>
        <w:t>with the markets, which the National Sword policy in China has painfully proven. So lets focus on these and new markets nationally and internationally before changing what we feed into them. At </w:t>
      </w:r>
      <w:r>
        <w:rPr>
          <w:spacing w:val="3"/>
          <w:sz w:val="20"/>
        </w:rPr>
        <w:t>the </w:t>
      </w:r>
      <w:r>
        <w:rPr>
          <w:sz w:val="20"/>
        </w:rPr>
        <w:t>moment the markets move quicker than the time it takes to educate the community. Oil is almost given away making virgin plastic very cheap. It always has the quality edge as well. Lastly I hope this project is portrayed by the media in the right way, as it can put many Councils that are really trying into a bad light</w:t>
      </w:r>
      <w:r>
        <w:rPr>
          <w:spacing w:val="-7"/>
          <w:sz w:val="20"/>
        </w:rPr>
        <w:t> </w:t>
      </w:r>
      <w:r>
        <w:rPr>
          <w:sz w:val="20"/>
        </w:rPr>
        <w:t>i.e.</w:t>
      </w:r>
      <w:r>
        <w:rPr>
          <w:spacing w:val="-8"/>
          <w:sz w:val="20"/>
        </w:rPr>
        <w:t> </w:t>
      </w:r>
      <w:r>
        <w:rPr>
          <w:sz w:val="20"/>
        </w:rPr>
        <w:t>they</w:t>
      </w:r>
      <w:r>
        <w:rPr>
          <w:spacing w:val="-7"/>
          <w:sz w:val="20"/>
        </w:rPr>
        <w:t> </w:t>
      </w:r>
      <w:r>
        <w:rPr>
          <w:sz w:val="20"/>
        </w:rPr>
        <w:t>don't</w:t>
      </w:r>
      <w:r>
        <w:rPr>
          <w:spacing w:val="-10"/>
          <w:sz w:val="20"/>
        </w:rPr>
        <w:t> </w:t>
      </w:r>
      <w:r>
        <w:rPr>
          <w:sz w:val="20"/>
        </w:rPr>
        <w:t>have</w:t>
      </w:r>
      <w:r>
        <w:rPr>
          <w:spacing w:val="-9"/>
          <w:sz w:val="20"/>
        </w:rPr>
        <w:t> </w:t>
      </w:r>
      <w:r>
        <w:rPr>
          <w:sz w:val="20"/>
        </w:rPr>
        <w:t>the</w:t>
      </w:r>
      <w:r>
        <w:rPr>
          <w:spacing w:val="-9"/>
          <w:sz w:val="20"/>
        </w:rPr>
        <w:t> </w:t>
      </w:r>
      <w:r>
        <w:rPr>
          <w:sz w:val="20"/>
        </w:rPr>
        <w:t>recommended</w:t>
      </w:r>
      <w:r>
        <w:rPr>
          <w:spacing w:val="-7"/>
          <w:sz w:val="20"/>
        </w:rPr>
        <w:t> </w:t>
      </w:r>
      <w:r>
        <w:rPr>
          <w:sz w:val="20"/>
        </w:rPr>
        <w:t>"standard"</w:t>
      </w:r>
      <w:r>
        <w:rPr>
          <w:spacing w:val="-8"/>
          <w:sz w:val="20"/>
        </w:rPr>
        <w:t> </w:t>
      </w:r>
      <w:r>
        <w:rPr>
          <w:sz w:val="20"/>
        </w:rPr>
        <w:t>solution</w:t>
      </w:r>
      <w:r>
        <w:rPr>
          <w:spacing w:val="-7"/>
          <w:sz w:val="20"/>
        </w:rPr>
        <w:t> </w:t>
      </w:r>
      <w:r>
        <w:rPr>
          <w:sz w:val="20"/>
        </w:rPr>
        <w:t>and</w:t>
      </w:r>
      <w:r>
        <w:rPr>
          <w:spacing w:val="-9"/>
          <w:sz w:val="20"/>
        </w:rPr>
        <w:t> </w:t>
      </w:r>
      <w:r>
        <w:rPr>
          <w:sz w:val="20"/>
        </w:rPr>
        <w:t>are</w:t>
      </w:r>
      <w:r>
        <w:rPr>
          <w:spacing w:val="-9"/>
          <w:sz w:val="20"/>
        </w:rPr>
        <w:t> </w:t>
      </w:r>
      <w:r>
        <w:rPr>
          <w:sz w:val="20"/>
        </w:rPr>
        <w:t>locked</w:t>
      </w:r>
      <w:r>
        <w:rPr>
          <w:spacing w:val="-7"/>
          <w:sz w:val="20"/>
        </w:rPr>
        <w:t> </w:t>
      </w:r>
      <w:r>
        <w:rPr>
          <w:sz w:val="20"/>
        </w:rPr>
        <w:t>in</w:t>
      </w:r>
      <w:r>
        <w:rPr>
          <w:spacing w:val="-10"/>
          <w:sz w:val="20"/>
        </w:rPr>
        <w:t> </w:t>
      </w:r>
      <w:r>
        <w:rPr>
          <w:sz w:val="20"/>
        </w:rPr>
        <w:t>for</w:t>
      </w:r>
      <w:r>
        <w:rPr>
          <w:spacing w:val="-8"/>
          <w:sz w:val="20"/>
        </w:rPr>
        <w:t> </w:t>
      </w:r>
      <w:r>
        <w:rPr>
          <w:sz w:val="20"/>
        </w:rPr>
        <w:t>years.</w:t>
      </w:r>
      <w:r>
        <w:rPr>
          <w:spacing w:val="-8"/>
          <w:sz w:val="20"/>
        </w:rPr>
        <w:t> </w:t>
      </w:r>
      <w:r>
        <w:rPr>
          <w:sz w:val="20"/>
        </w:rPr>
        <w:t>The</w:t>
      </w:r>
      <w:r>
        <w:rPr>
          <w:spacing w:val="-9"/>
          <w:sz w:val="20"/>
        </w:rPr>
        <w:t> </w:t>
      </w:r>
      <w:r>
        <w:rPr>
          <w:sz w:val="20"/>
        </w:rPr>
        <w:t>general public is quick to judge and not hindered by the integral knowledge needed to understand the topic at hand.</w:t>
      </w:r>
    </w:p>
    <w:p>
      <w:pPr>
        <w:spacing w:after="0" w:line="240" w:lineRule="auto"/>
        <w:jc w:val="both"/>
        <w:rPr>
          <w:sz w:val="20"/>
        </w:rPr>
        <w:sectPr>
          <w:pgSz w:w="11910" w:h="16840"/>
          <w:pgMar w:header="576" w:footer="698" w:top="1140" w:bottom="880" w:left="880" w:right="1320"/>
        </w:sectPr>
      </w:pPr>
    </w:p>
    <w:p>
      <w:pPr>
        <w:pStyle w:val="BodyText"/>
      </w:pPr>
    </w:p>
    <w:p>
      <w:pPr>
        <w:pStyle w:val="BodyText"/>
        <w:spacing w:before="11"/>
        <w:rPr>
          <w:sz w:val="26"/>
        </w:rPr>
      </w:pPr>
    </w:p>
    <w:p>
      <w:pPr>
        <w:pStyle w:val="Heading1"/>
        <w:spacing w:before="89"/>
      </w:pPr>
      <w:r>
        <w:rPr/>
        <w:pict>
          <v:group style="position:absolute;margin-left:57.102001pt;margin-top:3.783779pt;width:1.5pt;height:43.05pt;mso-position-horizontal-relative:page;mso-position-vertical-relative:paragraph;z-index:1984" coordorigin="1142,76" coordsize="30,861">
            <v:line style="position:absolute" from="1157,91" to="1157,503" stroked="true" strokeweight="1.464pt" strokecolor="#ed7d31">
              <v:stroke dashstyle="solid"/>
            </v:line>
            <v:line style="position:absolute" from="1157,503" to="1157,921" stroked="true" strokeweight="1.464pt" strokecolor="#ed7d31">
              <v:stroke dashstyle="solid"/>
            </v:line>
            <w10:wrap type="none"/>
          </v:group>
        </w:pict>
      </w:r>
      <w:bookmarkStart w:name="APPENDIX F – MATERIALS TO BE ACCEPTED IN" w:id="148"/>
      <w:bookmarkEnd w:id="148"/>
      <w:r>
        <w:rPr/>
      </w:r>
      <w:bookmarkStart w:name="_bookmark51" w:id="149"/>
      <w:bookmarkEnd w:id="149"/>
      <w:r>
        <w:rPr/>
      </w:r>
      <w:r>
        <w:rPr>
          <w:spacing w:val="8"/>
        </w:rPr>
        <w:t>APPENDIX </w:t>
      </w:r>
      <w:r>
        <w:rPr/>
        <w:t>F – </w:t>
      </w:r>
      <w:r>
        <w:rPr>
          <w:spacing w:val="8"/>
        </w:rPr>
        <w:t>MATERIALS </w:t>
      </w:r>
      <w:r>
        <w:rPr>
          <w:spacing w:val="5"/>
        </w:rPr>
        <w:t>TO </w:t>
      </w:r>
      <w:r>
        <w:rPr>
          <w:spacing w:val="4"/>
        </w:rPr>
        <w:t>BE </w:t>
      </w:r>
      <w:r>
        <w:rPr>
          <w:spacing w:val="8"/>
        </w:rPr>
        <w:t>ACCEPTED </w:t>
      </w:r>
      <w:r>
        <w:rPr>
          <w:spacing w:val="12"/>
        </w:rPr>
        <w:t>IN </w:t>
      </w:r>
      <w:r>
        <w:rPr>
          <w:spacing w:val="8"/>
        </w:rPr>
        <w:t>KERBSIDE </w:t>
      </w:r>
      <w:r>
        <w:rPr>
          <w:spacing w:val="5"/>
        </w:rPr>
        <w:t>AS </w:t>
      </w:r>
      <w:r>
        <w:rPr>
          <w:spacing w:val="8"/>
        </w:rPr>
        <w:t>PRESENTED </w:t>
      </w:r>
      <w:r>
        <w:rPr>
          <w:spacing w:val="4"/>
        </w:rPr>
        <w:t>AT</w:t>
      </w:r>
      <w:r>
        <w:rPr>
          <w:spacing w:val="65"/>
        </w:rPr>
        <w:t> </w:t>
      </w:r>
      <w:r>
        <w:rPr>
          <w:spacing w:val="5"/>
        </w:rPr>
        <w:t>HUI</w:t>
      </w:r>
    </w:p>
    <w:p>
      <w:pPr>
        <w:pStyle w:val="BodyText"/>
        <w:spacing w:before="9"/>
        <w:rPr>
          <w:rFonts w:ascii="Arial"/>
          <w:sz w:val="26"/>
        </w:rPr>
      </w:pPr>
    </w:p>
    <w:p>
      <w:pPr>
        <w:pStyle w:val="Heading3"/>
        <w:spacing w:before="52"/>
      </w:pPr>
      <w:r>
        <w:rPr/>
        <w:t>Plastic – kirihou</w:t>
      </w:r>
    </w:p>
    <w:p>
      <w:pPr>
        <w:pStyle w:val="BodyText"/>
        <w:spacing w:before="182"/>
        <w:ind w:left="560"/>
      </w:pPr>
      <w:r>
        <w:rPr/>
        <w:drawing>
          <wp:anchor distT="0" distB="0" distL="0" distR="0" allowOverlap="1" layoutInCell="1" locked="0" behindDoc="0" simplePos="0" relativeHeight="2008">
            <wp:simplePos x="0" y="0"/>
            <wp:positionH relativeFrom="page">
              <wp:posOffset>1073150</wp:posOffset>
            </wp:positionH>
            <wp:positionV relativeFrom="paragraph">
              <wp:posOffset>615588</wp:posOffset>
            </wp:positionV>
            <wp:extent cx="392005" cy="520160"/>
            <wp:effectExtent l="0" t="0" r="0" b="0"/>
            <wp:wrapNone/>
            <wp:docPr id="65" name="image38.png" descr=""/>
            <wp:cNvGraphicFramePr>
              <a:graphicFrameLocks noChangeAspect="1"/>
            </wp:cNvGraphicFramePr>
            <a:graphic>
              <a:graphicData uri="http://schemas.openxmlformats.org/drawingml/2006/picture">
                <pic:pic>
                  <pic:nvPicPr>
                    <pic:cNvPr id="66" name="image38.png"/>
                    <pic:cNvPicPr/>
                  </pic:nvPicPr>
                  <pic:blipFill>
                    <a:blip r:embed="rId57" cstate="print"/>
                    <a:stretch>
                      <a:fillRect/>
                    </a:stretch>
                  </pic:blipFill>
                  <pic:spPr>
                    <a:xfrm>
                      <a:off x="0" y="0"/>
                      <a:ext cx="392005" cy="520160"/>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1052830</wp:posOffset>
            </wp:positionH>
            <wp:positionV relativeFrom="paragraph">
              <wp:posOffset>1338853</wp:posOffset>
            </wp:positionV>
            <wp:extent cx="400440" cy="544829"/>
            <wp:effectExtent l="0" t="0" r="0" b="0"/>
            <wp:wrapNone/>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58" cstate="print"/>
                    <a:stretch>
                      <a:fillRect/>
                    </a:stretch>
                  </pic:blipFill>
                  <pic:spPr>
                    <a:xfrm>
                      <a:off x="0" y="0"/>
                      <a:ext cx="400440" cy="544829"/>
                    </a:xfrm>
                    <a:prstGeom prst="rect">
                      <a:avLst/>
                    </a:prstGeom>
                  </pic:spPr>
                </pic:pic>
              </a:graphicData>
            </a:graphic>
          </wp:anchor>
        </w:drawing>
      </w:r>
      <w:r>
        <w:rPr/>
        <w:t>Plastics 1 (PET), 2 (HDPE), and 5 (PP) are accepted.</w:t>
      </w:r>
    </w:p>
    <w:p>
      <w:pPr>
        <w:pStyle w:val="BodyText"/>
      </w:pPr>
    </w:p>
    <w:p>
      <w:pPr>
        <w:pStyle w:val="BodyText"/>
        <w:spacing w:before="9"/>
        <w:rPr>
          <w:sz w:val="10"/>
        </w:rPr>
      </w:pPr>
    </w:p>
    <w:tbl>
      <w:tblPr>
        <w:tblW w:w="0" w:type="auto"/>
        <w:jc w:val="left"/>
        <w:tblInd w:w="166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5"/>
        <w:gridCol w:w="3585"/>
      </w:tblGrid>
      <w:tr>
        <w:trPr>
          <w:trHeight w:val="211" w:hRule="exact"/>
        </w:trPr>
        <w:tc>
          <w:tcPr>
            <w:tcW w:w="4455" w:type="dxa"/>
          </w:tcPr>
          <w:p>
            <w:pPr>
              <w:pStyle w:val="TableParagraph"/>
              <w:spacing w:line="193" w:lineRule="exact"/>
              <w:ind w:left="200"/>
              <w:rPr>
                <w:b/>
                <w:sz w:val="19"/>
              </w:rPr>
            </w:pPr>
            <w:r>
              <w:rPr>
                <w:b/>
                <w:color w:val="92D050"/>
                <w:sz w:val="19"/>
              </w:rPr>
              <w:t>ACCEPTED</w:t>
            </w:r>
          </w:p>
        </w:tc>
        <w:tc>
          <w:tcPr>
            <w:tcW w:w="3585" w:type="dxa"/>
          </w:tcPr>
          <w:p>
            <w:pPr>
              <w:pStyle w:val="TableParagraph"/>
              <w:spacing w:line="193" w:lineRule="exact"/>
              <w:ind w:left="252"/>
              <w:rPr>
                <w:b/>
                <w:sz w:val="19"/>
              </w:rPr>
            </w:pPr>
            <w:r>
              <w:rPr>
                <w:b/>
                <w:color w:val="FF0000"/>
                <w:sz w:val="19"/>
              </w:rPr>
              <w:t>CONDITIONS</w:t>
            </w:r>
          </w:p>
        </w:tc>
      </w:tr>
      <w:tr>
        <w:trPr>
          <w:trHeight w:val="3459" w:hRule="exact"/>
        </w:trPr>
        <w:tc>
          <w:tcPr>
            <w:tcW w:w="4455" w:type="dxa"/>
          </w:tcPr>
          <w:p>
            <w:pPr>
              <w:pStyle w:val="TableParagraph"/>
              <w:spacing w:line="215" w:lineRule="exact"/>
              <w:ind w:left="200"/>
              <w:rPr>
                <w:sz w:val="19"/>
              </w:rPr>
            </w:pPr>
            <w:r>
              <w:rPr>
                <w:sz w:val="19"/>
              </w:rPr>
              <w:t>Plastic pots, tubs and trays:</w:t>
            </w:r>
          </w:p>
          <w:p>
            <w:pPr>
              <w:pStyle w:val="TableParagraph"/>
              <w:numPr>
                <w:ilvl w:val="0"/>
                <w:numId w:val="36"/>
              </w:numPr>
              <w:tabs>
                <w:tab w:pos="800" w:val="left" w:leader="none"/>
              </w:tabs>
              <w:spacing w:line="231" w:lineRule="exact" w:before="1" w:after="0"/>
              <w:ind w:left="920" w:right="0" w:hanging="360"/>
              <w:jc w:val="left"/>
              <w:rPr>
                <w:sz w:val="19"/>
              </w:rPr>
            </w:pPr>
            <w:r>
              <w:rPr>
                <w:sz w:val="19"/>
              </w:rPr>
              <w:t>Jars (e.g. mayo, peanut</w:t>
            </w:r>
            <w:r>
              <w:rPr>
                <w:spacing w:val="-11"/>
                <w:sz w:val="19"/>
              </w:rPr>
              <w:t> </w:t>
            </w:r>
            <w:r>
              <w:rPr>
                <w:sz w:val="19"/>
              </w:rPr>
              <w:t>butter)</w:t>
            </w:r>
          </w:p>
          <w:p>
            <w:pPr>
              <w:pStyle w:val="TableParagraph"/>
              <w:numPr>
                <w:ilvl w:val="0"/>
                <w:numId w:val="36"/>
              </w:numPr>
              <w:tabs>
                <w:tab w:pos="800" w:val="left" w:leader="none"/>
              </w:tabs>
              <w:spacing w:line="231" w:lineRule="exact" w:before="0" w:after="0"/>
              <w:ind w:left="800" w:right="0" w:hanging="240"/>
              <w:jc w:val="left"/>
              <w:rPr>
                <w:sz w:val="19"/>
              </w:rPr>
            </w:pPr>
            <w:r>
              <w:rPr>
                <w:sz w:val="19"/>
              </w:rPr>
              <w:t>Punnets (e.g. fruit, veg, cake</w:t>
            </w:r>
            <w:r>
              <w:rPr>
                <w:spacing w:val="-15"/>
                <w:sz w:val="19"/>
              </w:rPr>
              <w:t> </w:t>
            </w:r>
            <w:r>
              <w:rPr>
                <w:sz w:val="19"/>
              </w:rPr>
              <w:t>packaging)</w:t>
            </w:r>
          </w:p>
          <w:p>
            <w:pPr>
              <w:pStyle w:val="TableParagraph"/>
              <w:numPr>
                <w:ilvl w:val="0"/>
                <w:numId w:val="36"/>
              </w:numPr>
              <w:tabs>
                <w:tab w:pos="800" w:val="left" w:leader="none"/>
              </w:tabs>
              <w:spacing w:line="240" w:lineRule="auto" w:before="0" w:after="0"/>
              <w:ind w:left="800" w:right="0" w:hanging="240"/>
              <w:jc w:val="left"/>
              <w:rPr>
                <w:sz w:val="19"/>
              </w:rPr>
            </w:pPr>
            <w:r>
              <w:rPr>
                <w:sz w:val="19"/>
              </w:rPr>
              <w:t>Meat and biscuit</w:t>
            </w:r>
            <w:r>
              <w:rPr>
                <w:spacing w:val="-6"/>
                <w:sz w:val="19"/>
              </w:rPr>
              <w:t> </w:t>
            </w:r>
            <w:r>
              <w:rPr>
                <w:sz w:val="19"/>
              </w:rPr>
              <w:t>trays</w:t>
            </w:r>
          </w:p>
          <w:p>
            <w:pPr>
              <w:pStyle w:val="TableParagraph"/>
              <w:numPr>
                <w:ilvl w:val="0"/>
                <w:numId w:val="36"/>
              </w:numPr>
              <w:tabs>
                <w:tab w:pos="800" w:val="left" w:leader="none"/>
              </w:tabs>
              <w:spacing w:line="231" w:lineRule="exact" w:before="0" w:after="0"/>
              <w:ind w:left="800" w:right="0" w:hanging="240"/>
              <w:jc w:val="left"/>
              <w:rPr>
                <w:sz w:val="19"/>
              </w:rPr>
            </w:pPr>
            <w:r>
              <w:rPr>
                <w:sz w:val="19"/>
              </w:rPr>
              <w:t>Tubs (e.g. ice cream,</w:t>
            </w:r>
            <w:r>
              <w:rPr>
                <w:spacing w:val="-9"/>
                <w:sz w:val="19"/>
              </w:rPr>
              <w:t> </w:t>
            </w:r>
            <w:r>
              <w:rPr>
                <w:sz w:val="19"/>
              </w:rPr>
              <w:t>yoghurt)</w:t>
            </w:r>
          </w:p>
          <w:p>
            <w:pPr>
              <w:pStyle w:val="TableParagraph"/>
              <w:numPr>
                <w:ilvl w:val="0"/>
                <w:numId w:val="36"/>
              </w:numPr>
              <w:tabs>
                <w:tab w:pos="800" w:val="left" w:leader="none"/>
              </w:tabs>
              <w:spacing w:line="231" w:lineRule="exact" w:before="0" w:after="0"/>
              <w:ind w:left="800" w:right="0" w:hanging="240"/>
              <w:jc w:val="left"/>
              <w:rPr>
                <w:sz w:val="19"/>
              </w:rPr>
            </w:pPr>
            <w:r>
              <w:rPr>
                <w:sz w:val="19"/>
              </w:rPr>
              <w:t>Takeaway</w:t>
            </w:r>
            <w:r>
              <w:rPr>
                <w:spacing w:val="-4"/>
                <w:sz w:val="19"/>
              </w:rPr>
              <w:t> </w:t>
            </w:r>
            <w:r>
              <w:rPr>
                <w:sz w:val="19"/>
              </w:rPr>
              <w:t>containers</w:t>
            </w:r>
          </w:p>
          <w:p>
            <w:pPr>
              <w:pStyle w:val="TableParagraph"/>
              <w:spacing w:before="11"/>
              <w:rPr>
                <w:sz w:val="18"/>
              </w:rPr>
            </w:pPr>
          </w:p>
          <w:p>
            <w:pPr>
              <w:pStyle w:val="TableParagraph"/>
              <w:ind w:left="200" w:right="106"/>
              <w:rPr>
                <w:sz w:val="19"/>
              </w:rPr>
            </w:pPr>
            <w:r>
              <w:rPr>
                <w:sz w:val="19"/>
              </w:rPr>
              <w:t>Plastic bottles, clear and coloured, from around home:</w:t>
            </w:r>
          </w:p>
          <w:p>
            <w:pPr>
              <w:pStyle w:val="TableParagraph"/>
              <w:numPr>
                <w:ilvl w:val="0"/>
                <w:numId w:val="36"/>
              </w:numPr>
              <w:tabs>
                <w:tab w:pos="800" w:val="left" w:leader="none"/>
              </w:tabs>
              <w:spacing w:line="231" w:lineRule="exact" w:before="0" w:after="0"/>
              <w:ind w:left="800" w:right="0" w:hanging="240"/>
              <w:jc w:val="left"/>
              <w:rPr>
                <w:sz w:val="19"/>
              </w:rPr>
            </w:pPr>
            <w:r>
              <w:rPr>
                <w:sz w:val="19"/>
              </w:rPr>
              <w:t>Drinks bottles (e.g. juice, fizzy drink,</w:t>
            </w:r>
            <w:r>
              <w:rPr>
                <w:spacing w:val="-20"/>
                <w:sz w:val="19"/>
              </w:rPr>
              <w:t> </w:t>
            </w:r>
            <w:r>
              <w:rPr>
                <w:sz w:val="19"/>
              </w:rPr>
              <w:t>milk)</w:t>
            </w:r>
          </w:p>
          <w:p>
            <w:pPr>
              <w:pStyle w:val="TableParagraph"/>
              <w:numPr>
                <w:ilvl w:val="0"/>
                <w:numId w:val="36"/>
              </w:numPr>
              <w:tabs>
                <w:tab w:pos="800" w:val="left" w:leader="none"/>
              </w:tabs>
              <w:spacing w:line="231" w:lineRule="exact" w:before="0" w:after="0"/>
              <w:ind w:left="800" w:right="0" w:hanging="240"/>
              <w:jc w:val="left"/>
              <w:rPr>
                <w:sz w:val="19"/>
              </w:rPr>
            </w:pPr>
            <w:r>
              <w:rPr>
                <w:sz w:val="19"/>
              </w:rPr>
              <w:t>Cleaning product</w:t>
            </w:r>
            <w:r>
              <w:rPr>
                <w:spacing w:val="-9"/>
                <w:sz w:val="19"/>
              </w:rPr>
              <w:t> </w:t>
            </w:r>
            <w:r>
              <w:rPr>
                <w:sz w:val="19"/>
              </w:rPr>
              <w:t>bottles</w:t>
            </w:r>
          </w:p>
          <w:p>
            <w:pPr>
              <w:pStyle w:val="TableParagraph"/>
              <w:numPr>
                <w:ilvl w:val="0"/>
                <w:numId w:val="36"/>
              </w:numPr>
              <w:tabs>
                <w:tab w:pos="800" w:val="left" w:leader="none"/>
              </w:tabs>
              <w:spacing w:line="240" w:lineRule="auto" w:before="1" w:after="0"/>
              <w:ind w:left="920" w:right="250" w:hanging="360"/>
              <w:jc w:val="left"/>
              <w:rPr>
                <w:sz w:val="19"/>
              </w:rPr>
            </w:pPr>
            <w:r>
              <w:rPr>
                <w:sz w:val="19"/>
              </w:rPr>
              <w:t>Personal</w:t>
            </w:r>
            <w:r>
              <w:rPr>
                <w:spacing w:val="-8"/>
                <w:sz w:val="19"/>
              </w:rPr>
              <w:t> </w:t>
            </w:r>
            <w:r>
              <w:rPr>
                <w:sz w:val="19"/>
              </w:rPr>
              <w:t>care</w:t>
            </w:r>
            <w:r>
              <w:rPr>
                <w:spacing w:val="-9"/>
                <w:sz w:val="19"/>
              </w:rPr>
              <w:t> </w:t>
            </w:r>
            <w:r>
              <w:rPr>
                <w:sz w:val="19"/>
              </w:rPr>
              <w:t>bottles</w:t>
            </w:r>
            <w:r>
              <w:rPr>
                <w:spacing w:val="-8"/>
                <w:sz w:val="19"/>
              </w:rPr>
              <w:t> </w:t>
            </w:r>
            <w:r>
              <w:rPr>
                <w:sz w:val="19"/>
              </w:rPr>
              <w:t>(e.g.</w:t>
            </w:r>
            <w:r>
              <w:rPr>
                <w:spacing w:val="-8"/>
                <w:sz w:val="19"/>
              </w:rPr>
              <w:t> </w:t>
            </w:r>
            <w:r>
              <w:rPr>
                <w:sz w:val="19"/>
              </w:rPr>
              <w:t>shampoo,</w:t>
            </w:r>
            <w:r>
              <w:rPr>
                <w:spacing w:val="-7"/>
                <w:sz w:val="19"/>
              </w:rPr>
              <w:t> </w:t>
            </w:r>
            <w:r>
              <w:rPr>
                <w:sz w:val="19"/>
              </w:rPr>
              <w:t>shower gel)</w:t>
            </w:r>
          </w:p>
          <w:p>
            <w:pPr>
              <w:pStyle w:val="TableParagraph"/>
              <w:numPr>
                <w:ilvl w:val="0"/>
                <w:numId w:val="36"/>
              </w:numPr>
              <w:tabs>
                <w:tab w:pos="800" w:val="left" w:leader="none"/>
              </w:tabs>
              <w:spacing w:line="230" w:lineRule="exact" w:before="0" w:after="0"/>
              <w:ind w:left="800" w:right="0" w:hanging="240"/>
              <w:jc w:val="left"/>
              <w:rPr>
                <w:sz w:val="19"/>
              </w:rPr>
            </w:pPr>
            <w:r>
              <w:rPr>
                <w:sz w:val="19"/>
              </w:rPr>
              <w:t>Ready to use plant</w:t>
            </w:r>
            <w:r>
              <w:rPr>
                <w:spacing w:val="-7"/>
                <w:sz w:val="19"/>
              </w:rPr>
              <w:t> </w:t>
            </w:r>
            <w:r>
              <w:rPr>
                <w:sz w:val="19"/>
              </w:rPr>
              <w:t>food</w:t>
            </w:r>
          </w:p>
          <w:p>
            <w:pPr>
              <w:pStyle w:val="TableParagraph"/>
              <w:numPr>
                <w:ilvl w:val="0"/>
                <w:numId w:val="36"/>
              </w:numPr>
              <w:tabs>
                <w:tab w:pos="800" w:val="left" w:leader="none"/>
              </w:tabs>
              <w:spacing w:line="240" w:lineRule="auto" w:before="1" w:after="0"/>
              <w:ind w:left="800" w:right="0" w:hanging="240"/>
              <w:jc w:val="left"/>
              <w:rPr>
                <w:sz w:val="19"/>
              </w:rPr>
            </w:pPr>
            <w:r>
              <w:rPr>
                <w:sz w:val="19"/>
              </w:rPr>
              <w:t>Medicine and shampoo</w:t>
            </w:r>
            <w:r>
              <w:rPr>
                <w:spacing w:val="-9"/>
                <w:sz w:val="19"/>
              </w:rPr>
              <w:t> </w:t>
            </w:r>
            <w:r>
              <w:rPr>
                <w:sz w:val="19"/>
              </w:rPr>
              <w:t>bottles</w:t>
            </w:r>
          </w:p>
        </w:tc>
        <w:tc>
          <w:tcPr>
            <w:tcW w:w="3585" w:type="dxa"/>
          </w:tcPr>
          <w:p>
            <w:pPr>
              <w:pStyle w:val="TableParagraph"/>
              <w:spacing w:line="215" w:lineRule="exact"/>
              <w:ind w:left="252"/>
              <w:rPr>
                <w:sz w:val="19"/>
              </w:rPr>
            </w:pPr>
            <w:r>
              <w:rPr>
                <w:sz w:val="19"/>
              </w:rPr>
              <w:t>Rinsed clean</w:t>
            </w:r>
          </w:p>
          <w:p>
            <w:pPr>
              <w:pStyle w:val="TableParagraph"/>
              <w:spacing w:before="12"/>
              <w:rPr>
                <w:sz w:val="18"/>
              </w:rPr>
            </w:pPr>
          </w:p>
          <w:p>
            <w:pPr>
              <w:pStyle w:val="TableParagraph"/>
              <w:ind w:left="252"/>
              <w:rPr>
                <w:sz w:val="19"/>
              </w:rPr>
            </w:pPr>
            <w:r>
              <w:rPr>
                <w:sz w:val="19"/>
              </w:rPr>
              <w:t>Removed and placed in rubbish:</w:t>
            </w:r>
          </w:p>
          <w:p>
            <w:pPr>
              <w:pStyle w:val="TableParagraph"/>
              <w:numPr>
                <w:ilvl w:val="0"/>
                <w:numId w:val="37"/>
              </w:numPr>
              <w:tabs>
                <w:tab w:pos="853" w:val="left" w:leader="none"/>
              </w:tabs>
              <w:spacing w:line="240" w:lineRule="auto" w:before="0" w:after="0"/>
              <w:ind w:left="852" w:right="0" w:hanging="240"/>
              <w:jc w:val="left"/>
              <w:rPr>
                <w:sz w:val="19"/>
              </w:rPr>
            </w:pPr>
            <w:r>
              <w:rPr>
                <w:sz w:val="19"/>
              </w:rPr>
              <w:t>Lids</w:t>
            </w:r>
          </w:p>
          <w:p>
            <w:pPr>
              <w:pStyle w:val="TableParagraph"/>
              <w:numPr>
                <w:ilvl w:val="0"/>
                <w:numId w:val="37"/>
              </w:numPr>
              <w:tabs>
                <w:tab w:pos="853" w:val="left" w:leader="none"/>
              </w:tabs>
              <w:spacing w:line="231" w:lineRule="exact" w:before="0" w:after="0"/>
              <w:ind w:left="852" w:right="0" w:hanging="240"/>
              <w:jc w:val="left"/>
              <w:rPr>
                <w:sz w:val="19"/>
              </w:rPr>
            </w:pPr>
            <w:r>
              <w:rPr>
                <w:sz w:val="19"/>
              </w:rPr>
              <w:t>Film lids and</w:t>
            </w:r>
            <w:r>
              <w:rPr>
                <w:spacing w:val="-7"/>
                <w:sz w:val="19"/>
              </w:rPr>
              <w:t> </w:t>
            </w:r>
            <w:r>
              <w:rPr>
                <w:sz w:val="19"/>
              </w:rPr>
              <w:t>wrap</w:t>
            </w:r>
          </w:p>
          <w:p>
            <w:pPr>
              <w:pStyle w:val="TableParagraph"/>
              <w:numPr>
                <w:ilvl w:val="0"/>
                <w:numId w:val="37"/>
              </w:numPr>
              <w:tabs>
                <w:tab w:pos="853" w:val="left" w:leader="none"/>
              </w:tabs>
              <w:spacing w:line="231" w:lineRule="exact" w:before="0" w:after="0"/>
              <w:ind w:left="852" w:right="0" w:hanging="240"/>
              <w:jc w:val="left"/>
              <w:rPr>
                <w:sz w:val="19"/>
              </w:rPr>
            </w:pPr>
            <w:r>
              <w:rPr>
                <w:sz w:val="19"/>
              </w:rPr>
              <w:t>Absorbent pads in</w:t>
            </w:r>
            <w:r>
              <w:rPr>
                <w:spacing w:val="-9"/>
                <w:sz w:val="19"/>
              </w:rPr>
              <w:t> </w:t>
            </w:r>
            <w:r>
              <w:rPr>
                <w:sz w:val="19"/>
              </w:rPr>
              <w:t>trays</w:t>
            </w:r>
          </w:p>
          <w:p>
            <w:pPr>
              <w:pStyle w:val="TableParagraph"/>
              <w:numPr>
                <w:ilvl w:val="0"/>
                <w:numId w:val="37"/>
              </w:numPr>
              <w:tabs>
                <w:tab w:pos="853" w:val="left" w:leader="none"/>
              </w:tabs>
              <w:spacing w:line="240" w:lineRule="auto" w:before="1" w:after="0"/>
              <w:ind w:left="852" w:right="0" w:hanging="240"/>
              <w:jc w:val="left"/>
              <w:rPr>
                <w:sz w:val="19"/>
              </w:rPr>
            </w:pPr>
            <w:r>
              <w:rPr>
                <w:sz w:val="19"/>
              </w:rPr>
              <w:t>Pumps and</w:t>
            </w:r>
            <w:r>
              <w:rPr>
                <w:spacing w:val="-7"/>
                <w:sz w:val="19"/>
              </w:rPr>
              <w:t> </w:t>
            </w:r>
            <w:r>
              <w:rPr>
                <w:sz w:val="19"/>
              </w:rPr>
              <w:t>triggers</w:t>
            </w:r>
          </w:p>
          <w:p>
            <w:pPr>
              <w:pStyle w:val="TableParagraph"/>
              <w:spacing w:before="11"/>
              <w:rPr>
                <w:sz w:val="18"/>
              </w:rPr>
            </w:pPr>
          </w:p>
          <w:p>
            <w:pPr>
              <w:pStyle w:val="TableParagraph"/>
              <w:ind w:left="252" w:right="178"/>
              <w:rPr>
                <w:sz w:val="19"/>
              </w:rPr>
            </w:pPr>
            <w:r>
              <w:rPr>
                <w:sz w:val="19"/>
              </w:rPr>
              <w:t>No chemicals containers e.g. anti-freeze, pesticides</w:t>
            </w:r>
          </w:p>
        </w:tc>
      </w:tr>
    </w:tbl>
    <w:p>
      <w:pPr>
        <w:pStyle w:val="BodyText"/>
        <w:spacing w:before="6"/>
        <w:rPr>
          <w:sz w:val="17"/>
        </w:rPr>
      </w:pPr>
    </w:p>
    <w:p>
      <w:pPr>
        <w:pStyle w:val="BodyText"/>
        <w:ind w:left="560"/>
      </w:pPr>
      <w:r>
        <w:rPr/>
        <w:drawing>
          <wp:anchor distT="0" distB="0" distL="0" distR="0" allowOverlap="1" layoutInCell="1" locked="0" behindDoc="0" simplePos="0" relativeHeight="2056">
            <wp:simplePos x="0" y="0"/>
            <wp:positionH relativeFrom="page">
              <wp:posOffset>1071880</wp:posOffset>
            </wp:positionH>
            <wp:positionV relativeFrom="paragraph">
              <wp:posOffset>-938510</wp:posOffset>
            </wp:positionV>
            <wp:extent cx="379641" cy="511301"/>
            <wp:effectExtent l="0" t="0" r="0" b="0"/>
            <wp:wrapNone/>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59" cstate="print"/>
                    <a:stretch>
                      <a:fillRect/>
                    </a:stretch>
                  </pic:blipFill>
                  <pic:spPr>
                    <a:xfrm>
                      <a:off x="0" y="0"/>
                      <a:ext cx="379641" cy="511301"/>
                    </a:xfrm>
                    <a:prstGeom prst="rect">
                      <a:avLst/>
                    </a:prstGeom>
                  </pic:spPr>
                </pic:pic>
              </a:graphicData>
            </a:graphic>
          </wp:anchor>
        </w:drawing>
      </w:r>
      <w:r>
        <w:rPr/>
        <w:t>Plastics 3 (PVC), 4 (LDPE), 6 (PS) and 7 (Other) are not accepted. This includes all of the following items, and any items listed below made from plastics 1 (PET), 2 (HDPE) and 5 (PP).</w:t>
      </w:r>
    </w:p>
    <w:p>
      <w:pPr>
        <w:pStyle w:val="BodyText"/>
        <w:spacing w:before="10"/>
        <w:rPr>
          <w:sz w:val="17"/>
        </w:rPr>
      </w:pPr>
      <w:r>
        <w:rPr/>
        <w:pict>
          <v:group style="position:absolute;margin-left:83.100006pt;margin-top:24.072832pt;width:99pt;height:156.4pt;mso-position-horizontal-relative:page;mso-position-vertical-relative:paragraph;z-index:1960;mso-wrap-distance-left:0;mso-wrap-distance-right:0" coordorigin="1662,481" coordsize="1980,3128">
            <v:shape style="position:absolute;left:1662;top:481;width:1980;height:3128" type="#_x0000_t75" stroked="false">
              <v:imagedata r:id="rId60" o:title=""/>
            </v:shape>
            <v:shape style="position:absolute;left:2032;top:1271;width:627;height:740" type="#_x0000_t75" stroked="false">
              <v:imagedata r:id="rId61" o:title=""/>
            </v:shape>
            <w10:wrap type="topAndBottom"/>
          </v:group>
        </w:pict>
      </w:r>
      <w:r>
        <w:rPr/>
        <w:pict>
          <v:shape style="position:absolute;margin-left:195.009995pt;margin-top:12.872828pt;width:234.65pt;height:206.7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3"/>
                  </w:tblGrid>
                  <w:tr>
                    <w:trPr>
                      <w:trHeight w:val="196" w:hRule="exact"/>
                    </w:trPr>
                    <w:tc>
                      <w:tcPr>
                        <w:tcW w:w="4693" w:type="dxa"/>
                      </w:tcPr>
                      <w:p>
                        <w:pPr>
                          <w:pStyle w:val="TableParagraph"/>
                          <w:spacing w:line="193" w:lineRule="exact"/>
                          <w:ind w:left="200"/>
                          <w:rPr>
                            <w:b/>
                            <w:sz w:val="19"/>
                          </w:rPr>
                        </w:pPr>
                        <w:r>
                          <w:rPr>
                            <w:b/>
                            <w:color w:val="FF0000"/>
                            <w:sz w:val="19"/>
                          </w:rPr>
                          <w:t>NOT ACCEPTED</w:t>
                        </w:r>
                      </w:p>
                    </w:tc>
                  </w:tr>
                  <w:tr>
                    <w:trPr>
                      <w:trHeight w:val="3937" w:hRule="exact"/>
                    </w:trPr>
                    <w:tc>
                      <w:tcPr>
                        <w:tcW w:w="4693" w:type="dxa"/>
                      </w:tcPr>
                      <w:p>
                        <w:pPr>
                          <w:pStyle w:val="TableParagraph"/>
                          <w:numPr>
                            <w:ilvl w:val="0"/>
                            <w:numId w:val="38"/>
                          </w:numPr>
                          <w:tabs>
                            <w:tab w:pos="800" w:val="left" w:leader="none"/>
                          </w:tabs>
                          <w:spacing w:line="237" w:lineRule="auto" w:before="0" w:after="0"/>
                          <w:ind w:left="920" w:right="200" w:hanging="360"/>
                          <w:jc w:val="left"/>
                          <w:rPr>
                            <w:sz w:val="19"/>
                          </w:rPr>
                        </w:pPr>
                        <w:r>
                          <w:rPr>
                            <w:sz w:val="19"/>
                          </w:rPr>
                          <w:t>Non-PET and coloured chocolate, biscuit, cracker</w:t>
                        </w:r>
                        <w:r>
                          <w:rPr>
                            <w:spacing w:val="-4"/>
                            <w:sz w:val="19"/>
                          </w:rPr>
                          <w:t> </w:t>
                        </w:r>
                        <w:r>
                          <w:rPr>
                            <w:sz w:val="19"/>
                          </w:rPr>
                          <w:t>trays</w:t>
                        </w:r>
                      </w:p>
                      <w:p>
                        <w:pPr>
                          <w:pStyle w:val="TableParagraph"/>
                          <w:numPr>
                            <w:ilvl w:val="0"/>
                            <w:numId w:val="38"/>
                          </w:numPr>
                          <w:tabs>
                            <w:tab w:pos="800" w:val="left" w:leader="none"/>
                          </w:tabs>
                          <w:spacing w:line="240" w:lineRule="auto" w:before="2" w:after="0"/>
                          <w:ind w:left="800" w:right="0" w:hanging="240"/>
                          <w:jc w:val="left"/>
                          <w:rPr>
                            <w:sz w:val="19"/>
                          </w:rPr>
                        </w:pPr>
                        <w:r>
                          <w:rPr>
                            <w:sz w:val="19"/>
                          </w:rPr>
                          <w:t>Film lids from the pots or</w:t>
                        </w:r>
                        <w:r>
                          <w:rPr>
                            <w:spacing w:val="-11"/>
                            <w:sz w:val="19"/>
                          </w:rPr>
                          <w:t> </w:t>
                        </w:r>
                        <w:r>
                          <w:rPr>
                            <w:sz w:val="19"/>
                          </w:rPr>
                          <w:t>trays</w:t>
                        </w:r>
                      </w:p>
                      <w:p>
                        <w:pPr>
                          <w:pStyle w:val="TableParagraph"/>
                          <w:numPr>
                            <w:ilvl w:val="0"/>
                            <w:numId w:val="38"/>
                          </w:numPr>
                          <w:tabs>
                            <w:tab w:pos="800" w:val="left" w:leader="none"/>
                          </w:tabs>
                          <w:spacing w:line="240" w:lineRule="auto" w:before="1" w:after="0"/>
                          <w:ind w:left="920" w:right="201" w:hanging="360"/>
                          <w:jc w:val="left"/>
                          <w:rPr>
                            <w:sz w:val="19"/>
                          </w:rPr>
                        </w:pPr>
                        <w:r>
                          <w:rPr>
                            <w:sz w:val="19"/>
                          </w:rPr>
                          <w:t>Laminated pouches (e.g. cat food/coffee pouches)</w:t>
                        </w:r>
                      </w:p>
                      <w:p>
                        <w:pPr>
                          <w:pStyle w:val="TableParagraph"/>
                          <w:numPr>
                            <w:ilvl w:val="0"/>
                            <w:numId w:val="38"/>
                          </w:numPr>
                          <w:tabs>
                            <w:tab w:pos="800" w:val="left" w:leader="none"/>
                          </w:tabs>
                          <w:spacing w:line="240" w:lineRule="auto" w:before="1" w:after="0"/>
                          <w:ind w:left="920" w:right="198" w:hanging="360"/>
                          <w:jc w:val="left"/>
                          <w:rPr>
                            <w:sz w:val="19"/>
                          </w:rPr>
                        </w:pPr>
                        <w:r>
                          <w:rPr>
                            <w:sz w:val="19"/>
                          </w:rPr>
                          <w:t>Plastic bottles containing chemicals (e.g. anti- freeze,</w:t>
                        </w:r>
                        <w:r>
                          <w:rPr>
                            <w:spacing w:val="-13"/>
                            <w:sz w:val="19"/>
                          </w:rPr>
                          <w:t> </w:t>
                        </w:r>
                        <w:r>
                          <w:rPr>
                            <w:sz w:val="19"/>
                          </w:rPr>
                          <w:t>pesticides)</w:t>
                        </w:r>
                      </w:p>
                      <w:p>
                        <w:pPr>
                          <w:pStyle w:val="TableParagraph"/>
                          <w:numPr>
                            <w:ilvl w:val="0"/>
                            <w:numId w:val="38"/>
                          </w:numPr>
                          <w:tabs>
                            <w:tab w:pos="800" w:val="left" w:leader="none"/>
                          </w:tabs>
                          <w:spacing w:line="230" w:lineRule="exact" w:before="0" w:after="0"/>
                          <w:ind w:left="800" w:right="0" w:hanging="240"/>
                          <w:jc w:val="left"/>
                          <w:rPr>
                            <w:sz w:val="19"/>
                          </w:rPr>
                        </w:pPr>
                        <w:r>
                          <w:rPr>
                            <w:sz w:val="19"/>
                          </w:rPr>
                          <w:t>Plastic</w:t>
                        </w:r>
                        <w:r>
                          <w:rPr>
                            <w:spacing w:val="-2"/>
                            <w:sz w:val="19"/>
                          </w:rPr>
                          <w:t> </w:t>
                        </w:r>
                        <w:r>
                          <w:rPr>
                            <w:sz w:val="19"/>
                          </w:rPr>
                          <w:t>toys</w:t>
                        </w:r>
                      </w:p>
                      <w:p>
                        <w:pPr>
                          <w:pStyle w:val="TableParagraph"/>
                          <w:numPr>
                            <w:ilvl w:val="0"/>
                            <w:numId w:val="38"/>
                          </w:numPr>
                          <w:tabs>
                            <w:tab w:pos="800" w:val="left" w:leader="none"/>
                          </w:tabs>
                          <w:spacing w:line="240" w:lineRule="auto" w:before="1" w:after="0"/>
                          <w:ind w:left="800" w:right="0" w:hanging="240"/>
                          <w:jc w:val="left"/>
                          <w:rPr>
                            <w:sz w:val="19"/>
                          </w:rPr>
                        </w:pPr>
                        <w:r>
                          <w:rPr>
                            <w:sz w:val="19"/>
                          </w:rPr>
                          <w:t>Plant pots</w:t>
                        </w:r>
                      </w:p>
                      <w:p>
                        <w:pPr>
                          <w:pStyle w:val="TableParagraph"/>
                          <w:numPr>
                            <w:ilvl w:val="0"/>
                            <w:numId w:val="38"/>
                          </w:numPr>
                          <w:tabs>
                            <w:tab w:pos="800" w:val="left" w:leader="none"/>
                          </w:tabs>
                          <w:spacing w:line="231" w:lineRule="exact" w:before="1" w:after="0"/>
                          <w:ind w:left="800" w:right="0" w:hanging="240"/>
                          <w:jc w:val="left"/>
                          <w:rPr>
                            <w:sz w:val="19"/>
                          </w:rPr>
                        </w:pPr>
                        <w:r>
                          <w:rPr>
                            <w:sz w:val="19"/>
                          </w:rPr>
                          <w:t>Medicine packs (e.g. headache pills,</w:t>
                        </w:r>
                        <w:r>
                          <w:rPr>
                            <w:spacing w:val="-15"/>
                            <w:sz w:val="19"/>
                          </w:rPr>
                          <w:t> </w:t>
                        </w:r>
                        <w:r>
                          <w:rPr>
                            <w:sz w:val="19"/>
                          </w:rPr>
                          <w:t>etc.)</w:t>
                        </w:r>
                      </w:p>
                      <w:p>
                        <w:pPr>
                          <w:pStyle w:val="TableParagraph"/>
                          <w:numPr>
                            <w:ilvl w:val="0"/>
                            <w:numId w:val="38"/>
                          </w:numPr>
                          <w:tabs>
                            <w:tab w:pos="800" w:val="left" w:leader="none"/>
                          </w:tabs>
                          <w:spacing w:line="231" w:lineRule="exact" w:before="0" w:after="0"/>
                          <w:ind w:left="800" w:right="0" w:hanging="240"/>
                          <w:jc w:val="left"/>
                          <w:rPr>
                            <w:sz w:val="19"/>
                          </w:rPr>
                        </w:pPr>
                        <w:r>
                          <w:rPr>
                            <w:sz w:val="19"/>
                          </w:rPr>
                          <w:t>Toothpaste tubes and</w:t>
                        </w:r>
                        <w:r>
                          <w:rPr>
                            <w:spacing w:val="-15"/>
                            <w:sz w:val="19"/>
                          </w:rPr>
                          <w:t> </w:t>
                        </w:r>
                        <w:r>
                          <w:rPr>
                            <w:sz w:val="19"/>
                          </w:rPr>
                          <w:t>toothbrushes</w:t>
                        </w:r>
                      </w:p>
                      <w:p>
                        <w:pPr>
                          <w:pStyle w:val="TableParagraph"/>
                          <w:numPr>
                            <w:ilvl w:val="0"/>
                            <w:numId w:val="38"/>
                          </w:numPr>
                          <w:tabs>
                            <w:tab w:pos="800" w:val="left" w:leader="none"/>
                          </w:tabs>
                          <w:spacing w:line="231" w:lineRule="exact" w:before="1" w:after="0"/>
                          <w:ind w:left="800" w:right="0" w:hanging="240"/>
                          <w:jc w:val="left"/>
                          <w:rPr>
                            <w:sz w:val="19"/>
                          </w:rPr>
                        </w:pPr>
                        <w:r>
                          <w:rPr>
                            <w:sz w:val="19"/>
                          </w:rPr>
                          <w:t>Expanded polystyrene e.g. packaging</w:t>
                        </w:r>
                        <w:r>
                          <w:rPr>
                            <w:spacing w:val="-12"/>
                            <w:sz w:val="19"/>
                          </w:rPr>
                          <w:t> </w:t>
                        </w:r>
                        <w:r>
                          <w:rPr>
                            <w:sz w:val="19"/>
                          </w:rPr>
                          <w:t>inserts</w:t>
                        </w:r>
                      </w:p>
                      <w:p>
                        <w:pPr>
                          <w:pStyle w:val="TableParagraph"/>
                          <w:numPr>
                            <w:ilvl w:val="0"/>
                            <w:numId w:val="38"/>
                          </w:numPr>
                          <w:tabs>
                            <w:tab w:pos="800" w:val="left" w:leader="none"/>
                          </w:tabs>
                          <w:spacing w:line="231" w:lineRule="exact" w:before="0" w:after="0"/>
                          <w:ind w:left="800" w:right="0" w:hanging="240"/>
                          <w:jc w:val="left"/>
                          <w:rPr>
                            <w:sz w:val="19"/>
                          </w:rPr>
                        </w:pPr>
                        <w:r>
                          <w:rPr>
                            <w:sz w:val="19"/>
                          </w:rPr>
                          <w:t>Hose, tubing, PVC</w:t>
                        </w:r>
                        <w:r>
                          <w:rPr>
                            <w:spacing w:val="-5"/>
                            <w:sz w:val="19"/>
                          </w:rPr>
                          <w:t> </w:t>
                        </w:r>
                        <w:r>
                          <w:rPr>
                            <w:sz w:val="19"/>
                          </w:rPr>
                          <w:t>pipe</w:t>
                        </w:r>
                      </w:p>
                      <w:p>
                        <w:pPr>
                          <w:pStyle w:val="TableParagraph"/>
                          <w:numPr>
                            <w:ilvl w:val="0"/>
                            <w:numId w:val="38"/>
                          </w:numPr>
                          <w:tabs>
                            <w:tab w:pos="800" w:val="left" w:leader="none"/>
                          </w:tabs>
                          <w:spacing w:line="240" w:lineRule="auto" w:before="1" w:after="0"/>
                          <w:ind w:left="800" w:right="0" w:hanging="240"/>
                          <w:jc w:val="left"/>
                          <w:rPr>
                            <w:sz w:val="19"/>
                          </w:rPr>
                        </w:pPr>
                        <w:r>
                          <w:rPr>
                            <w:sz w:val="19"/>
                          </w:rPr>
                          <w:t>Buckets and washing</w:t>
                        </w:r>
                        <w:r>
                          <w:rPr>
                            <w:spacing w:val="-7"/>
                            <w:sz w:val="19"/>
                          </w:rPr>
                          <w:t> </w:t>
                        </w:r>
                        <w:r>
                          <w:rPr>
                            <w:sz w:val="19"/>
                          </w:rPr>
                          <w:t>baskets</w:t>
                        </w:r>
                      </w:p>
                      <w:p>
                        <w:pPr>
                          <w:pStyle w:val="TableParagraph"/>
                          <w:numPr>
                            <w:ilvl w:val="0"/>
                            <w:numId w:val="38"/>
                          </w:numPr>
                          <w:tabs>
                            <w:tab w:pos="800" w:val="left" w:leader="none"/>
                          </w:tabs>
                          <w:spacing w:line="231" w:lineRule="exact" w:before="0" w:after="0"/>
                          <w:ind w:left="800" w:right="0" w:hanging="240"/>
                          <w:jc w:val="left"/>
                          <w:rPr>
                            <w:sz w:val="19"/>
                          </w:rPr>
                        </w:pPr>
                        <w:r>
                          <w:rPr>
                            <w:sz w:val="19"/>
                          </w:rPr>
                          <w:t>Strapping</w:t>
                        </w:r>
                      </w:p>
                      <w:p>
                        <w:pPr>
                          <w:pStyle w:val="TableParagraph"/>
                          <w:numPr>
                            <w:ilvl w:val="0"/>
                            <w:numId w:val="38"/>
                          </w:numPr>
                          <w:tabs>
                            <w:tab w:pos="800" w:val="left" w:leader="none"/>
                          </w:tabs>
                          <w:spacing w:line="240" w:lineRule="auto" w:before="0" w:after="0"/>
                          <w:ind w:left="920" w:right="202" w:hanging="360"/>
                          <w:jc w:val="left"/>
                          <w:rPr>
                            <w:sz w:val="19"/>
                          </w:rPr>
                        </w:pPr>
                        <w:r>
                          <w:rPr>
                            <w:sz w:val="19"/>
                          </w:rPr>
                          <w:t>Carrier bags/plastic wrapping film e.g. bread bags and bubble</w:t>
                        </w:r>
                        <w:r>
                          <w:rPr>
                            <w:spacing w:val="-8"/>
                            <w:sz w:val="19"/>
                          </w:rPr>
                          <w:t> </w:t>
                        </w:r>
                        <w:r>
                          <w:rPr>
                            <w:sz w:val="19"/>
                          </w:rPr>
                          <w:t>wrap</w:t>
                        </w:r>
                      </w:p>
                    </w:tc>
                  </w:tr>
                </w:tbl>
                <w:p>
                  <w:pPr>
                    <w:pStyle w:val="BodyText"/>
                  </w:pPr>
                </w:p>
              </w:txbxContent>
            </v:textbox>
            <w10:wrap type="topAndBottom"/>
          </v:shape>
        </w:pict>
      </w:r>
    </w:p>
    <w:p>
      <w:pPr>
        <w:spacing w:after="0"/>
        <w:rPr>
          <w:sz w:val="17"/>
        </w:rPr>
        <w:sectPr>
          <w:pgSz w:w="11910" w:h="16840"/>
          <w:pgMar w:header="576" w:footer="698" w:top="1140" w:bottom="880" w:left="880" w:right="1220"/>
        </w:sectPr>
      </w:pPr>
    </w:p>
    <w:p>
      <w:pPr>
        <w:pStyle w:val="BodyText"/>
      </w:pPr>
      <w:r>
        <w:rPr/>
        <w:drawing>
          <wp:anchor distT="0" distB="0" distL="0" distR="0" allowOverlap="1" layoutInCell="1" locked="0" behindDoc="0" simplePos="0" relativeHeight="2152">
            <wp:simplePos x="0" y="0"/>
            <wp:positionH relativeFrom="page">
              <wp:posOffset>1019810</wp:posOffset>
            </wp:positionH>
            <wp:positionV relativeFrom="page">
              <wp:posOffset>7473950</wp:posOffset>
            </wp:positionV>
            <wp:extent cx="643944" cy="662940"/>
            <wp:effectExtent l="0" t="0" r="0" b="0"/>
            <wp:wrapNone/>
            <wp:docPr id="71" name="image43.png" descr=""/>
            <wp:cNvGraphicFramePr>
              <a:graphicFrameLocks noChangeAspect="1"/>
            </wp:cNvGraphicFramePr>
            <a:graphic>
              <a:graphicData uri="http://schemas.openxmlformats.org/drawingml/2006/picture">
                <pic:pic>
                  <pic:nvPicPr>
                    <pic:cNvPr id="72" name="image43.png"/>
                    <pic:cNvPicPr/>
                  </pic:nvPicPr>
                  <pic:blipFill>
                    <a:blip r:embed="rId63" cstate="print"/>
                    <a:stretch>
                      <a:fillRect/>
                    </a:stretch>
                  </pic:blipFill>
                  <pic:spPr>
                    <a:xfrm>
                      <a:off x="0" y="0"/>
                      <a:ext cx="643944" cy="662940"/>
                    </a:xfrm>
                    <a:prstGeom prst="rect">
                      <a:avLst/>
                    </a:prstGeom>
                  </pic:spPr>
                </pic:pic>
              </a:graphicData>
            </a:graphic>
          </wp:anchor>
        </w:drawing>
      </w:r>
    </w:p>
    <w:p>
      <w:pPr>
        <w:pStyle w:val="BodyText"/>
      </w:pPr>
    </w:p>
    <w:p>
      <w:pPr>
        <w:pStyle w:val="Heading3"/>
      </w:pPr>
      <w:r>
        <w:rPr/>
        <w:pict>
          <v:group style="position:absolute;margin-left:60pt;margin-top:33.775822pt;width:69.8pt;height:120.9pt;mso-position-horizontal-relative:page;mso-position-vertical-relative:paragraph;z-index:-66496" coordorigin="1200,676" coordsize="1396,2418">
            <v:shape style="position:absolute;left:1829;top:1590;width:767;height:1504" type="#_x0000_t75" stroked="false">
              <v:imagedata r:id="rId64" o:title=""/>
            </v:shape>
            <v:shape style="position:absolute;left:1200;top:676;width:834;height:1304" type="#_x0000_t75" stroked="false">
              <v:imagedata r:id="rId65" o:title=""/>
            </v:shape>
            <w10:wrap type="none"/>
          </v:group>
        </w:pict>
      </w:r>
      <w:r>
        <w:rPr/>
        <w:t>Metal - konganuku</w:t>
      </w:r>
    </w:p>
    <w:p>
      <w:pPr>
        <w:pStyle w:val="BodyText"/>
        <w:spacing w:before="6"/>
        <w:rPr>
          <w:b/>
          <w:sz w:val="22"/>
        </w:rPr>
      </w:pPr>
    </w:p>
    <w:tbl>
      <w:tblPr>
        <w:tblW w:w="0" w:type="auto"/>
        <w:jc w:val="left"/>
        <w:tblInd w:w="14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2"/>
        <w:gridCol w:w="4608"/>
      </w:tblGrid>
      <w:tr>
        <w:trPr>
          <w:trHeight w:val="196" w:hRule="exact"/>
        </w:trPr>
        <w:tc>
          <w:tcPr>
            <w:tcW w:w="3632" w:type="dxa"/>
          </w:tcPr>
          <w:p>
            <w:pPr>
              <w:pStyle w:val="TableParagraph"/>
              <w:spacing w:line="193" w:lineRule="exact"/>
              <w:ind w:left="200"/>
              <w:rPr>
                <w:b/>
                <w:sz w:val="19"/>
              </w:rPr>
            </w:pPr>
            <w:r>
              <w:rPr>
                <w:b/>
                <w:color w:val="92D050"/>
                <w:sz w:val="19"/>
              </w:rPr>
              <w:t>ACCEPTED</w:t>
            </w:r>
          </w:p>
        </w:tc>
        <w:tc>
          <w:tcPr>
            <w:tcW w:w="4608" w:type="dxa"/>
          </w:tcPr>
          <w:p>
            <w:pPr>
              <w:pStyle w:val="TableParagraph"/>
              <w:spacing w:line="193" w:lineRule="exact"/>
              <w:ind w:left="108"/>
              <w:rPr>
                <w:b/>
                <w:sz w:val="19"/>
              </w:rPr>
            </w:pPr>
            <w:r>
              <w:rPr>
                <w:b/>
                <w:color w:val="FF0000"/>
                <w:sz w:val="19"/>
              </w:rPr>
              <w:t>CONDITIONS/NOT ACCEPTED</w:t>
            </w:r>
          </w:p>
        </w:tc>
      </w:tr>
      <w:tr>
        <w:trPr>
          <w:trHeight w:val="2545" w:hRule="exact"/>
        </w:trPr>
        <w:tc>
          <w:tcPr>
            <w:tcW w:w="3632" w:type="dxa"/>
          </w:tcPr>
          <w:p>
            <w:pPr>
              <w:pStyle w:val="TableParagraph"/>
              <w:numPr>
                <w:ilvl w:val="0"/>
                <w:numId w:val="39"/>
              </w:numPr>
              <w:tabs>
                <w:tab w:pos="800" w:val="left" w:leader="none"/>
              </w:tabs>
              <w:spacing w:line="229" w:lineRule="exact" w:before="0" w:after="0"/>
              <w:ind w:left="920" w:right="0" w:hanging="360"/>
              <w:jc w:val="left"/>
              <w:rPr>
                <w:sz w:val="19"/>
              </w:rPr>
            </w:pPr>
            <w:r>
              <w:rPr>
                <w:sz w:val="19"/>
              </w:rPr>
              <w:t>Drink</w:t>
            </w:r>
            <w:r>
              <w:rPr>
                <w:spacing w:val="-3"/>
                <w:sz w:val="19"/>
              </w:rPr>
              <w:t> </w:t>
            </w:r>
            <w:r>
              <w:rPr>
                <w:sz w:val="19"/>
              </w:rPr>
              <w:t>cans</w:t>
            </w:r>
          </w:p>
          <w:p>
            <w:pPr>
              <w:pStyle w:val="TableParagraph"/>
              <w:numPr>
                <w:ilvl w:val="0"/>
                <w:numId w:val="39"/>
              </w:numPr>
              <w:tabs>
                <w:tab w:pos="800" w:val="left" w:leader="none"/>
              </w:tabs>
              <w:spacing w:line="231" w:lineRule="exact" w:before="0" w:after="0"/>
              <w:ind w:left="800" w:right="0" w:hanging="240"/>
              <w:jc w:val="left"/>
              <w:rPr>
                <w:sz w:val="19"/>
              </w:rPr>
            </w:pPr>
            <w:r>
              <w:rPr>
                <w:sz w:val="19"/>
              </w:rPr>
              <w:t>Food</w:t>
            </w:r>
            <w:r>
              <w:rPr>
                <w:spacing w:val="-3"/>
                <w:sz w:val="19"/>
              </w:rPr>
              <w:t> </w:t>
            </w:r>
            <w:r>
              <w:rPr>
                <w:sz w:val="19"/>
              </w:rPr>
              <w:t>cans</w:t>
            </w:r>
          </w:p>
          <w:p>
            <w:pPr>
              <w:pStyle w:val="TableParagraph"/>
              <w:numPr>
                <w:ilvl w:val="0"/>
                <w:numId w:val="39"/>
              </w:numPr>
              <w:tabs>
                <w:tab w:pos="800" w:val="left" w:leader="none"/>
              </w:tabs>
              <w:spacing w:line="240" w:lineRule="auto" w:before="1" w:after="0"/>
              <w:ind w:left="920" w:right="106" w:hanging="360"/>
              <w:jc w:val="left"/>
              <w:rPr>
                <w:sz w:val="19"/>
              </w:rPr>
            </w:pPr>
            <w:r>
              <w:rPr>
                <w:sz w:val="19"/>
              </w:rPr>
              <w:t>Aerosols from kitchen, bathroom, laundry</w:t>
            </w:r>
            <w:r>
              <w:rPr>
                <w:spacing w:val="-2"/>
                <w:sz w:val="19"/>
              </w:rPr>
              <w:t> </w:t>
            </w:r>
            <w:r>
              <w:rPr>
                <w:sz w:val="19"/>
              </w:rPr>
              <w:t>only</w:t>
            </w:r>
          </w:p>
        </w:tc>
        <w:tc>
          <w:tcPr>
            <w:tcW w:w="4608" w:type="dxa"/>
          </w:tcPr>
          <w:p>
            <w:pPr>
              <w:pStyle w:val="TableParagraph"/>
              <w:spacing w:line="229" w:lineRule="exact"/>
              <w:ind w:left="108"/>
              <w:rPr>
                <w:sz w:val="19"/>
              </w:rPr>
            </w:pPr>
            <w:r>
              <w:rPr>
                <w:sz w:val="19"/>
              </w:rPr>
              <w:t>Must be:</w:t>
            </w:r>
          </w:p>
          <w:p>
            <w:pPr>
              <w:pStyle w:val="TableParagraph"/>
              <w:numPr>
                <w:ilvl w:val="0"/>
                <w:numId w:val="40"/>
              </w:numPr>
              <w:tabs>
                <w:tab w:pos="709" w:val="left" w:leader="none"/>
              </w:tabs>
              <w:spacing w:line="231" w:lineRule="exact" w:before="0" w:after="0"/>
              <w:ind w:left="708" w:right="0" w:hanging="240"/>
              <w:jc w:val="left"/>
              <w:rPr>
                <w:sz w:val="19"/>
              </w:rPr>
            </w:pPr>
            <w:r>
              <w:rPr>
                <w:sz w:val="19"/>
              </w:rPr>
              <w:t>emptied</w:t>
            </w:r>
          </w:p>
          <w:p>
            <w:pPr>
              <w:pStyle w:val="TableParagraph"/>
              <w:numPr>
                <w:ilvl w:val="0"/>
                <w:numId w:val="40"/>
              </w:numPr>
              <w:tabs>
                <w:tab w:pos="709" w:val="left" w:leader="none"/>
              </w:tabs>
              <w:spacing w:line="240" w:lineRule="auto" w:before="1" w:after="0"/>
              <w:ind w:left="708" w:right="0" w:hanging="240"/>
              <w:jc w:val="left"/>
              <w:rPr>
                <w:sz w:val="19"/>
              </w:rPr>
            </w:pPr>
            <w:r>
              <w:rPr>
                <w:sz w:val="19"/>
              </w:rPr>
              <w:t>rinsed</w:t>
            </w:r>
            <w:r>
              <w:rPr>
                <w:spacing w:val="-7"/>
                <w:sz w:val="19"/>
              </w:rPr>
              <w:t> </w:t>
            </w:r>
            <w:r>
              <w:rPr>
                <w:sz w:val="19"/>
              </w:rPr>
              <w:t>clean</w:t>
            </w:r>
          </w:p>
          <w:p>
            <w:pPr>
              <w:pStyle w:val="TableParagraph"/>
              <w:spacing w:before="11"/>
              <w:rPr>
                <w:b/>
                <w:sz w:val="18"/>
              </w:rPr>
            </w:pPr>
          </w:p>
          <w:p>
            <w:pPr>
              <w:pStyle w:val="TableParagraph"/>
              <w:ind w:left="108"/>
              <w:rPr>
                <w:sz w:val="19"/>
              </w:rPr>
            </w:pPr>
            <w:r>
              <w:rPr>
                <w:sz w:val="19"/>
              </w:rPr>
              <w:t>Not accepted</w:t>
            </w:r>
          </w:p>
          <w:p>
            <w:pPr>
              <w:pStyle w:val="TableParagraph"/>
              <w:numPr>
                <w:ilvl w:val="0"/>
                <w:numId w:val="40"/>
              </w:numPr>
              <w:tabs>
                <w:tab w:pos="709" w:val="left" w:leader="none"/>
              </w:tabs>
              <w:spacing w:line="240" w:lineRule="auto" w:before="0" w:after="0"/>
              <w:ind w:left="708" w:right="0" w:hanging="240"/>
              <w:jc w:val="left"/>
              <w:rPr>
                <w:sz w:val="19"/>
              </w:rPr>
            </w:pPr>
            <w:r>
              <w:rPr>
                <w:sz w:val="19"/>
              </w:rPr>
              <w:t>loose</w:t>
            </w:r>
            <w:r>
              <w:rPr>
                <w:spacing w:val="-2"/>
                <w:sz w:val="19"/>
              </w:rPr>
              <w:t> </w:t>
            </w:r>
            <w:r>
              <w:rPr>
                <w:sz w:val="19"/>
              </w:rPr>
              <w:t>tabs</w:t>
            </w:r>
          </w:p>
          <w:p>
            <w:pPr>
              <w:pStyle w:val="TableParagraph"/>
              <w:numPr>
                <w:ilvl w:val="0"/>
                <w:numId w:val="40"/>
              </w:numPr>
              <w:tabs>
                <w:tab w:pos="709" w:val="left" w:leader="none"/>
              </w:tabs>
              <w:spacing w:line="231" w:lineRule="exact" w:before="0" w:after="0"/>
              <w:ind w:left="708" w:right="0" w:hanging="240"/>
              <w:jc w:val="left"/>
              <w:rPr>
                <w:sz w:val="19"/>
              </w:rPr>
            </w:pPr>
            <w:r>
              <w:rPr>
                <w:sz w:val="19"/>
              </w:rPr>
              <w:t>laminated</w:t>
            </w:r>
            <w:r>
              <w:rPr>
                <w:spacing w:val="-4"/>
                <w:sz w:val="19"/>
              </w:rPr>
              <w:t> </w:t>
            </w:r>
            <w:r>
              <w:rPr>
                <w:sz w:val="19"/>
              </w:rPr>
              <w:t>foil</w:t>
            </w:r>
          </w:p>
          <w:p>
            <w:pPr>
              <w:pStyle w:val="TableParagraph"/>
              <w:numPr>
                <w:ilvl w:val="0"/>
                <w:numId w:val="40"/>
              </w:numPr>
              <w:tabs>
                <w:tab w:pos="709" w:val="left" w:leader="none"/>
              </w:tabs>
              <w:spacing w:line="231" w:lineRule="exact" w:before="0" w:after="0"/>
              <w:ind w:left="708" w:right="0" w:hanging="240"/>
              <w:jc w:val="left"/>
              <w:rPr>
                <w:sz w:val="19"/>
              </w:rPr>
            </w:pPr>
            <w:r>
              <w:rPr>
                <w:sz w:val="19"/>
              </w:rPr>
              <w:t>metal lids – including from glass bottles and</w:t>
            </w:r>
            <w:r>
              <w:rPr>
                <w:spacing w:val="-18"/>
                <w:sz w:val="19"/>
              </w:rPr>
              <w:t> </w:t>
            </w:r>
            <w:r>
              <w:rPr>
                <w:sz w:val="19"/>
              </w:rPr>
              <w:t>jars</w:t>
            </w:r>
          </w:p>
          <w:p>
            <w:pPr>
              <w:pStyle w:val="TableParagraph"/>
              <w:numPr>
                <w:ilvl w:val="0"/>
                <w:numId w:val="40"/>
              </w:numPr>
              <w:tabs>
                <w:tab w:pos="709" w:val="left" w:leader="none"/>
              </w:tabs>
              <w:spacing w:line="231" w:lineRule="exact" w:before="1" w:after="0"/>
              <w:ind w:left="708" w:right="0" w:hanging="240"/>
              <w:jc w:val="left"/>
              <w:rPr>
                <w:sz w:val="19"/>
              </w:rPr>
            </w:pPr>
            <w:r>
              <w:rPr>
                <w:sz w:val="19"/>
              </w:rPr>
              <w:t>biscuit/chocolate tins and their</w:t>
            </w:r>
            <w:r>
              <w:rPr>
                <w:spacing w:val="-12"/>
                <w:sz w:val="19"/>
              </w:rPr>
              <w:t> </w:t>
            </w:r>
            <w:r>
              <w:rPr>
                <w:sz w:val="19"/>
              </w:rPr>
              <w:t>lids</w:t>
            </w:r>
          </w:p>
          <w:p>
            <w:pPr>
              <w:pStyle w:val="TableParagraph"/>
              <w:numPr>
                <w:ilvl w:val="0"/>
                <w:numId w:val="40"/>
              </w:numPr>
              <w:tabs>
                <w:tab w:pos="709" w:val="left" w:leader="none"/>
              </w:tabs>
              <w:spacing w:line="231" w:lineRule="exact" w:before="0" w:after="0"/>
              <w:ind w:left="708" w:right="0" w:hanging="240"/>
              <w:jc w:val="left"/>
              <w:rPr>
                <w:sz w:val="19"/>
              </w:rPr>
            </w:pPr>
            <w:r>
              <w:rPr>
                <w:sz w:val="19"/>
              </w:rPr>
              <w:t>aluminium foil and</w:t>
            </w:r>
            <w:r>
              <w:rPr>
                <w:spacing w:val="-6"/>
                <w:sz w:val="19"/>
              </w:rPr>
              <w:t> </w:t>
            </w:r>
            <w:r>
              <w:rPr>
                <w:sz w:val="19"/>
              </w:rPr>
              <w:t>trays</w:t>
            </w:r>
          </w:p>
          <w:p>
            <w:pPr>
              <w:pStyle w:val="TableParagraph"/>
              <w:numPr>
                <w:ilvl w:val="0"/>
                <w:numId w:val="40"/>
              </w:numPr>
              <w:tabs>
                <w:tab w:pos="709" w:val="left" w:leader="none"/>
              </w:tabs>
              <w:spacing w:line="240" w:lineRule="auto" w:before="1" w:after="0"/>
              <w:ind w:left="708" w:right="0" w:hanging="240"/>
              <w:jc w:val="left"/>
              <w:rPr>
                <w:sz w:val="19"/>
              </w:rPr>
            </w:pPr>
            <w:r>
              <w:rPr>
                <w:sz w:val="19"/>
              </w:rPr>
              <w:t>aluminium tubes (e.g. tomato</w:t>
            </w:r>
            <w:r>
              <w:rPr>
                <w:spacing w:val="-13"/>
                <w:sz w:val="19"/>
              </w:rPr>
              <w:t> </w:t>
            </w:r>
            <w:r>
              <w:rPr>
                <w:sz w:val="19"/>
              </w:rPr>
              <w:t>paste)</w:t>
            </w:r>
          </w:p>
        </w:tc>
      </w:tr>
    </w:tbl>
    <w:p>
      <w:pPr>
        <w:pStyle w:val="BodyText"/>
        <w:spacing w:before="7"/>
        <w:rPr>
          <w:b/>
          <w:sz w:val="34"/>
        </w:rPr>
      </w:pPr>
    </w:p>
    <w:p>
      <w:pPr>
        <w:spacing w:before="0"/>
        <w:ind w:left="560" w:right="0" w:firstLine="0"/>
        <w:jc w:val="left"/>
        <w:rPr>
          <w:b/>
          <w:sz w:val="24"/>
        </w:rPr>
      </w:pPr>
      <w:r>
        <w:rPr>
          <w:b/>
          <w:sz w:val="24"/>
        </w:rPr>
        <w:t>Glass - karaehe</w:t>
      </w:r>
    </w:p>
    <w:p>
      <w:pPr>
        <w:pStyle w:val="BodyText"/>
        <w:spacing w:before="8"/>
        <w:rPr>
          <w:b/>
          <w:sz w:val="21"/>
        </w:rPr>
      </w:pPr>
      <w:r>
        <w:rPr/>
        <w:drawing>
          <wp:anchor distT="0" distB="0" distL="0" distR="0" allowOverlap="1" layoutInCell="1" locked="0" behindDoc="0" simplePos="0" relativeHeight="2080">
            <wp:simplePos x="0" y="0"/>
            <wp:positionH relativeFrom="page">
              <wp:posOffset>893445</wp:posOffset>
            </wp:positionH>
            <wp:positionV relativeFrom="paragraph">
              <wp:posOffset>192723</wp:posOffset>
            </wp:positionV>
            <wp:extent cx="774917" cy="1374648"/>
            <wp:effectExtent l="0" t="0" r="0" b="0"/>
            <wp:wrapTopAndBottom/>
            <wp:docPr id="73" name="image46.png" descr=""/>
            <wp:cNvGraphicFramePr>
              <a:graphicFrameLocks noChangeAspect="1"/>
            </wp:cNvGraphicFramePr>
            <a:graphic>
              <a:graphicData uri="http://schemas.openxmlformats.org/drawingml/2006/picture">
                <pic:pic>
                  <pic:nvPicPr>
                    <pic:cNvPr id="74" name="image46.png"/>
                    <pic:cNvPicPr/>
                  </pic:nvPicPr>
                  <pic:blipFill>
                    <a:blip r:embed="rId66" cstate="print"/>
                    <a:stretch>
                      <a:fillRect/>
                    </a:stretch>
                  </pic:blipFill>
                  <pic:spPr>
                    <a:xfrm>
                      <a:off x="0" y="0"/>
                      <a:ext cx="774917" cy="1374648"/>
                    </a:xfrm>
                    <a:prstGeom prst="rect">
                      <a:avLst/>
                    </a:prstGeom>
                  </pic:spPr>
                </pic:pic>
              </a:graphicData>
            </a:graphic>
          </wp:anchor>
        </w:drawing>
      </w:r>
      <w:r>
        <w:rPr/>
        <w:pict>
          <v:shape style="position:absolute;margin-left:142.899994pt;margin-top:18.685097pt;width:398.15pt;height:137.1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32"/>
                    <w:gridCol w:w="4330"/>
                  </w:tblGrid>
                  <w:tr>
                    <w:trPr>
                      <w:trHeight w:val="211" w:hRule="exact"/>
                    </w:trPr>
                    <w:tc>
                      <w:tcPr>
                        <w:tcW w:w="3632" w:type="dxa"/>
                      </w:tcPr>
                      <w:p>
                        <w:pPr>
                          <w:pStyle w:val="TableParagraph"/>
                          <w:spacing w:line="193" w:lineRule="exact"/>
                          <w:ind w:left="200"/>
                          <w:rPr>
                            <w:b/>
                            <w:sz w:val="19"/>
                          </w:rPr>
                        </w:pPr>
                        <w:r>
                          <w:rPr>
                            <w:b/>
                            <w:color w:val="92D050"/>
                            <w:sz w:val="19"/>
                          </w:rPr>
                          <w:t>ACCEPTED</w:t>
                        </w:r>
                      </w:p>
                    </w:tc>
                    <w:tc>
                      <w:tcPr>
                        <w:tcW w:w="4330" w:type="dxa"/>
                      </w:tcPr>
                      <w:p>
                        <w:pPr>
                          <w:pStyle w:val="TableParagraph"/>
                          <w:spacing w:line="193" w:lineRule="exact"/>
                          <w:ind w:left="108"/>
                          <w:rPr>
                            <w:b/>
                            <w:sz w:val="19"/>
                          </w:rPr>
                        </w:pPr>
                        <w:r>
                          <w:rPr>
                            <w:b/>
                            <w:color w:val="FF0000"/>
                            <w:sz w:val="19"/>
                          </w:rPr>
                          <w:t>CONDITIONS/NOT ACCEPTED</w:t>
                        </w:r>
                      </w:p>
                    </w:tc>
                  </w:tr>
                  <w:tr>
                    <w:trPr>
                      <w:trHeight w:val="2530" w:hRule="exact"/>
                    </w:trPr>
                    <w:tc>
                      <w:tcPr>
                        <w:tcW w:w="3632" w:type="dxa"/>
                      </w:tcPr>
                      <w:p>
                        <w:pPr>
                          <w:pStyle w:val="TableParagraph"/>
                          <w:spacing w:line="215" w:lineRule="exact"/>
                          <w:ind w:left="200"/>
                          <w:rPr>
                            <w:sz w:val="19"/>
                          </w:rPr>
                        </w:pPr>
                        <w:r>
                          <w:rPr>
                            <w:sz w:val="19"/>
                          </w:rPr>
                          <w:t>Glass  food  and  beverage  packaging from</w:t>
                        </w:r>
                      </w:p>
                      <w:p>
                        <w:pPr>
                          <w:pStyle w:val="TableParagraph"/>
                          <w:spacing w:line="231" w:lineRule="exact" w:before="1"/>
                          <w:ind w:left="200"/>
                          <w:rPr>
                            <w:sz w:val="19"/>
                          </w:rPr>
                        </w:pPr>
                        <w:r>
                          <w:rPr>
                            <w:sz w:val="19"/>
                          </w:rPr>
                          <w:t>around the home, including:</w:t>
                        </w:r>
                      </w:p>
                      <w:p>
                        <w:pPr>
                          <w:pStyle w:val="TableParagraph"/>
                          <w:numPr>
                            <w:ilvl w:val="0"/>
                            <w:numId w:val="41"/>
                          </w:numPr>
                          <w:tabs>
                            <w:tab w:pos="801" w:val="left" w:leader="none"/>
                          </w:tabs>
                          <w:spacing w:line="240" w:lineRule="auto" w:before="0" w:after="0"/>
                          <w:ind w:left="920" w:right="106" w:hanging="360"/>
                          <w:jc w:val="left"/>
                          <w:rPr>
                            <w:sz w:val="19"/>
                          </w:rPr>
                        </w:pPr>
                        <w:r>
                          <w:rPr>
                            <w:sz w:val="19"/>
                          </w:rPr>
                          <w:t>Bottles (e.g. wine, beer, spirits, olive</w:t>
                        </w:r>
                        <w:r>
                          <w:rPr>
                            <w:spacing w:val="-5"/>
                            <w:sz w:val="19"/>
                          </w:rPr>
                          <w:t> </w:t>
                        </w:r>
                        <w:r>
                          <w:rPr>
                            <w:sz w:val="19"/>
                          </w:rPr>
                          <w:t>oil)</w:t>
                        </w:r>
                      </w:p>
                      <w:p>
                        <w:pPr>
                          <w:pStyle w:val="TableParagraph"/>
                          <w:numPr>
                            <w:ilvl w:val="0"/>
                            <w:numId w:val="41"/>
                          </w:numPr>
                          <w:tabs>
                            <w:tab w:pos="801" w:val="left" w:leader="none"/>
                          </w:tabs>
                          <w:spacing w:line="240" w:lineRule="auto" w:before="1" w:after="0"/>
                          <w:ind w:left="800" w:right="0" w:hanging="240"/>
                          <w:jc w:val="left"/>
                          <w:rPr>
                            <w:sz w:val="19"/>
                          </w:rPr>
                        </w:pPr>
                        <w:r>
                          <w:rPr>
                            <w:sz w:val="19"/>
                          </w:rPr>
                          <w:t>Jars (e.g. sauces, jam, baby</w:t>
                        </w:r>
                        <w:r>
                          <w:rPr>
                            <w:spacing w:val="-14"/>
                            <w:sz w:val="19"/>
                          </w:rPr>
                          <w:t> </w:t>
                        </w:r>
                        <w:r>
                          <w:rPr>
                            <w:sz w:val="19"/>
                          </w:rPr>
                          <w:t>food)</w:t>
                        </w:r>
                      </w:p>
                    </w:tc>
                    <w:tc>
                      <w:tcPr>
                        <w:tcW w:w="4330" w:type="dxa"/>
                      </w:tcPr>
                      <w:p>
                        <w:pPr>
                          <w:pStyle w:val="TableParagraph"/>
                          <w:spacing w:line="215" w:lineRule="exact"/>
                          <w:ind w:left="108"/>
                          <w:rPr>
                            <w:sz w:val="19"/>
                          </w:rPr>
                        </w:pPr>
                        <w:r>
                          <w:rPr>
                            <w:sz w:val="19"/>
                          </w:rPr>
                          <w:t>Must be:</w:t>
                        </w:r>
                      </w:p>
                      <w:p>
                        <w:pPr>
                          <w:pStyle w:val="TableParagraph"/>
                          <w:numPr>
                            <w:ilvl w:val="0"/>
                            <w:numId w:val="42"/>
                          </w:numPr>
                          <w:tabs>
                            <w:tab w:pos="709" w:val="left" w:leader="none"/>
                          </w:tabs>
                          <w:spacing w:line="231" w:lineRule="exact" w:before="1" w:after="0"/>
                          <w:ind w:left="828" w:right="0" w:hanging="360"/>
                          <w:jc w:val="left"/>
                          <w:rPr>
                            <w:sz w:val="19"/>
                          </w:rPr>
                        </w:pPr>
                        <w:r>
                          <w:rPr>
                            <w:sz w:val="19"/>
                          </w:rPr>
                          <w:t>emptied</w:t>
                        </w:r>
                      </w:p>
                      <w:p>
                        <w:pPr>
                          <w:pStyle w:val="TableParagraph"/>
                          <w:numPr>
                            <w:ilvl w:val="0"/>
                            <w:numId w:val="42"/>
                          </w:numPr>
                          <w:tabs>
                            <w:tab w:pos="709" w:val="left" w:leader="none"/>
                          </w:tabs>
                          <w:spacing w:line="231" w:lineRule="exact" w:before="0" w:after="0"/>
                          <w:ind w:left="708" w:right="0" w:hanging="240"/>
                          <w:jc w:val="left"/>
                          <w:rPr>
                            <w:sz w:val="19"/>
                          </w:rPr>
                        </w:pPr>
                        <w:r>
                          <w:rPr>
                            <w:sz w:val="19"/>
                          </w:rPr>
                          <w:t>rinsed</w:t>
                        </w:r>
                        <w:r>
                          <w:rPr>
                            <w:spacing w:val="-7"/>
                            <w:sz w:val="19"/>
                          </w:rPr>
                          <w:t> </w:t>
                        </w:r>
                        <w:r>
                          <w:rPr>
                            <w:sz w:val="19"/>
                          </w:rPr>
                          <w:t>clean</w:t>
                        </w:r>
                      </w:p>
                      <w:p>
                        <w:pPr>
                          <w:pStyle w:val="TableParagraph"/>
                          <w:numPr>
                            <w:ilvl w:val="0"/>
                            <w:numId w:val="42"/>
                          </w:numPr>
                          <w:tabs>
                            <w:tab w:pos="709" w:val="left" w:leader="none"/>
                          </w:tabs>
                          <w:spacing w:line="240" w:lineRule="auto" w:before="0" w:after="0"/>
                          <w:ind w:left="708" w:right="0" w:hanging="240"/>
                          <w:jc w:val="left"/>
                          <w:rPr>
                            <w:sz w:val="19"/>
                          </w:rPr>
                        </w:pPr>
                        <w:r>
                          <w:rPr>
                            <w:sz w:val="19"/>
                          </w:rPr>
                          <w:t>lids removed and placed in</w:t>
                        </w:r>
                        <w:r>
                          <w:rPr>
                            <w:spacing w:val="-9"/>
                            <w:sz w:val="19"/>
                          </w:rPr>
                          <w:t> </w:t>
                        </w:r>
                        <w:r>
                          <w:rPr>
                            <w:sz w:val="19"/>
                          </w:rPr>
                          <w:t>rubbish</w:t>
                        </w:r>
                      </w:p>
                      <w:p>
                        <w:pPr>
                          <w:pStyle w:val="TableParagraph"/>
                          <w:spacing w:before="10"/>
                          <w:rPr>
                            <w:b/>
                            <w:sz w:val="18"/>
                          </w:rPr>
                        </w:pPr>
                      </w:p>
                      <w:p>
                        <w:pPr>
                          <w:pStyle w:val="TableParagraph"/>
                          <w:spacing w:before="1"/>
                          <w:ind w:left="108"/>
                          <w:rPr>
                            <w:sz w:val="19"/>
                          </w:rPr>
                        </w:pPr>
                        <w:r>
                          <w:rPr>
                            <w:sz w:val="19"/>
                          </w:rPr>
                          <w:t>Not accepted</w:t>
                        </w:r>
                      </w:p>
                      <w:p>
                        <w:pPr>
                          <w:pStyle w:val="TableParagraph"/>
                          <w:numPr>
                            <w:ilvl w:val="0"/>
                            <w:numId w:val="42"/>
                          </w:numPr>
                          <w:tabs>
                            <w:tab w:pos="709" w:val="left" w:leader="none"/>
                          </w:tabs>
                          <w:spacing w:line="240" w:lineRule="auto" w:before="1" w:after="0"/>
                          <w:ind w:left="828" w:right="198" w:hanging="360"/>
                          <w:jc w:val="left"/>
                          <w:rPr>
                            <w:sz w:val="19"/>
                          </w:rPr>
                        </w:pPr>
                        <w:r>
                          <w:rPr>
                            <w:sz w:val="19"/>
                          </w:rPr>
                          <w:t>Non-food or beverage bottles (e.g.</w:t>
                        </w:r>
                        <w:r>
                          <w:rPr>
                            <w:spacing w:val="-20"/>
                            <w:sz w:val="19"/>
                          </w:rPr>
                          <w:t> </w:t>
                        </w:r>
                        <w:r>
                          <w:rPr>
                            <w:sz w:val="19"/>
                          </w:rPr>
                          <w:t>perfume, aftershave, face</w:t>
                        </w:r>
                        <w:r>
                          <w:rPr>
                            <w:spacing w:val="-11"/>
                            <w:sz w:val="19"/>
                          </w:rPr>
                          <w:t> </w:t>
                        </w:r>
                        <w:r>
                          <w:rPr>
                            <w:sz w:val="19"/>
                          </w:rPr>
                          <w:t>creams)</w:t>
                        </w:r>
                      </w:p>
                      <w:p>
                        <w:pPr>
                          <w:pStyle w:val="TableParagraph"/>
                          <w:numPr>
                            <w:ilvl w:val="0"/>
                            <w:numId w:val="42"/>
                          </w:numPr>
                          <w:tabs>
                            <w:tab w:pos="709" w:val="left" w:leader="none"/>
                          </w:tabs>
                          <w:spacing w:line="240" w:lineRule="auto" w:before="0" w:after="0"/>
                          <w:ind w:left="828" w:right="323" w:hanging="360"/>
                          <w:jc w:val="left"/>
                          <w:rPr>
                            <w:sz w:val="19"/>
                          </w:rPr>
                        </w:pPr>
                        <w:r>
                          <w:rPr>
                            <w:sz w:val="19"/>
                          </w:rPr>
                          <w:t>Other glass (e.g. Pyrex, drinking glasses, ceramics, nail varnish bottles,</w:t>
                        </w:r>
                        <w:r>
                          <w:rPr>
                            <w:spacing w:val="-12"/>
                            <w:sz w:val="19"/>
                          </w:rPr>
                          <w:t> </w:t>
                        </w:r>
                        <w:r>
                          <w:rPr>
                            <w:sz w:val="19"/>
                          </w:rPr>
                          <w:t>microwave plates, mirrors, windscreen glass</w:t>
                        </w:r>
                        <w:r>
                          <w:rPr>
                            <w:spacing w:val="-17"/>
                            <w:sz w:val="19"/>
                          </w:rPr>
                          <w:t> </w:t>
                        </w:r>
                        <w:r>
                          <w:rPr>
                            <w:sz w:val="19"/>
                          </w:rPr>
                          <w:t>etc)</w:t>
                        </w:r>
                      </w:p>
                    </w:tc>
                  </w:tr>
                </w:tbl>
                <w:p>
                  <w:pPr>
                    <w:pStyle w:val="BodyText"/>
                  </w:pPr>
                </w:p>
              </w:txbxContent>
            </v:textbox>
            <w10:wrap type="topAndBottom"/>
          </v:shape>
        </w:pict>
      </w:r>
    </w:p>
    <w:p>
      <w:pPr>
        <w:pStyle w:val="BodyText"/>
        <w:spacing w:before="5"/>
        <w:rPr>
          <w:b/>
        </w:rPr>
      </w:pPr>
    </w:p>
    <w:p>
      <w:pPr>
        <w:spacing w:before="0"/>
        <w:ind w:left="560" w:right="0" w:firstLine="0"/>
        <w:jc w:val="left"/>
        <w:rPr>
          <w:b/>
          <w:sz w:val="24"/>
        </w:rPr>
      </w:pPr>
      <w:r>
        <w:rPr/>
        <w:drawing>
          <wp:anchor distT="0" distB="0" distL="0" distR="0" allowOverlap="1" layoutInCell="1" locked="0" behindDoc="0" simplePos="0" relativeHeight="2128">
            <wp:simplePos x="0" y="0"/>
            <wp:positionH relativeFrom="page">
              <wp:posOffset>980439</wp:posOffset>
            </wp:positionH>
            <wp:positionV relativeFrom="paragraph">
              <wp:posOffset>664537</wp:posOffset>
            </wp:positionV>
            <wp:extent cx="649883" cy="712470"/>
            <wp:effectExtent l="0" t="0" r="0" b="0"/>
            <wp:wrapNone/>
            <wp:docPr id="75" name="image15.png" descr=""/>
            <wp:cNvGraphicFramePr>
              <a:graphicFrameLocks noChangeAspect="1"/>
            </wp:cNvGraphicFramePr>
            <a:graphic>
              <a:graphicData uri="http://schemas.openxmlformats.org/drawingml/2006/picture">
                <pic:pic>
                  <pic:nvPicPr>
                    <pic:cNvPr id="76" name="image15.png"/>
                    <pic:cNvPicPr/>
                  </pic:nvPicPr>
                  <pic:blipFill>
                    <a:blip r:embed="rId28" cstate="print"/>
                    <a:stretch>
                      <a:fillRect/>
                    </a:stretch>
                  </pic:blipFill>
                  <pic:spPr>
                    <a:xfrm>
                      <a:off x="0" y="0"/>
                      <a:ext cx="649883" cy="712470"/>
                    </a:xfrm>
                    <a:prstGeom prst="rect">
                      <a:avLst/>
                    </a:prstGeom>
                  </pic:spPr>
                </pic:pic>
              </a:graphicData>
            </a:graphic>
          </wp:anchor>
        </w:drawing>
      </w:r>
      <w:r>
        <w:rPr>
          <w:b/>
          <w:sz w:val="24"/>
        </w:rPr>
        <w:t>Fibre - pepa me kāri mārō</w:t>
      </w:r>
    </w:p>
    <w:p>
      <w:pPr>
        <w:pStyle w:val="BodyText"/>
        <w:rPr>
          <w:b/>
        </w:rPr>
      </w:pPr>
    </w:p>
    <w:p>
      <w:pPr>
        <w:pStyle w:val="BodyText"/>
        <w:spacing w:before="10"/>
        <w:rPr>
          <w:b/>
          <w:sz w:val="10"/>
        </w:rPr>
      </w:pPr>
    </w:p>
    <w:tbl>
      <w:tblPr>
        <w:tblW w:w="0" w:type="auto"/>
        <w:jc w:val="left"/>
        <w:tblInd w:w="19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3"/>
        <w:gridCol w:w="4332"/>
      </w:tblGrid>
      <w:tr>
        <w:trPr>
          <w:trHeight w:val="195" w:hRule="exact"/>
        </w:trPr>
        <w:tc>
          <w:tcPr>
            <w:tcW w:w="3613" w:type="dxa"/>
          </w:tcPr>
          <w:p>
            <w:pPr>
              <w:pStyle w:val="TableParagraph"/>
              <w:spacing w:line="193" w:lineRule="exact"/>
              <w:ind w:left="200"/>
              <w:rPr>
                <w:b/>
                <w:sz w:val="19"/>
              </w:rPr>
            </w:pPr>
            <w:r>
              <w:rPr>
                <w:b/>
                <w:color w:val="92D050"/>
                <w:sz w:val="19"/>
              </w:rPr>
              <w:t>ACCEPTED</w:t>
            </w:r>
          </w:p>
        </w:tc>
        <w:tc>
          <w:tcPr>
            <w:tcW w:w="4332" w:type="dxa"/>
          </w:tcPr>
          <w:p>
            <w:pPr>
              <w:pStyle w:val="TableParagraph"/>
              <w:spacing w:line="193" w:lineRule="exact"/>
              <w:ind w:left="127"/>
              <w:rPr>
                <w:b/>
                <w:sz w:val="19"/>
              </w:rPr>
            </w:pPr>
            <w:r>
              <w:rPr>
                <w:b/>
                <w:color w:val="FF0000"/>
                <w:sz w:val="19"/>
              </w:rPr>
              <w:t>CONDITIONS/NOT ACCEPTED</w:t>
            </w:r>
          </w:p>
        </w:tc>
      </w:tr>
      <w:tr>
        <w:trPr>
          <w:trHeight w:val="4632" w:hRule="exact"/>
        </w:trPr>
        <w:tc>
          <w:tcPr>
            <w:tcW w:w="3613" w:type="dxa"/>
          </w:tcPr>
          <w:p>
            <w:pPr>
              <w:pStyle w:val="TableParagraph"/>
              <w:numPr>
                <w:ilvl w:val="0"/>
                <w:numId w:val="43"/>
              </w:numPr>
              <w:tabs>
                <w:tab w:pos="801" w:val="left" w:leader="none"/>
              </w:tabs>
              <w:spacing w:line="228" w:lineRule="exact" w:before="0" w:after="0"/>
              <w:ind w:left="920" w:right="0" w:hanging="360"/>
              <w:jc w:val="left"/>
              <w:rPr>
                <w:sz w:val="19"/>
              </w:rPr>
            </w:pPr>
            <w:r>
              <w:rPr>
                <w:sz w:val="19"/>
              </w:rPr>
              <w:t>Newspapers and</w:t>
            </w:r>
            <w:r>
              <w:rPr>
                <w:spacing w:val="-8"/>
                <w:sz w:val="19"/>
              </w:rPr>
              <w:t> </w:t>
            </w:r>
            <w:r>
              <w:rPr>
                <w:sz w:val="19"/>
              </w:rPr>
              <w:t>supplements</w:t>
            </w:r>
          </w:p>
          <w:p>
            <w:pPr>
              <w:pStyle w:val="TableParagraph"/>
              <w:numPr>
                <w:ilvl w:val="0"/>
                <w:numId w:val="43"/>
              </w:numPr>
              <w:tabs>
                <w:tab w:pos="801" w:val="left" w:leader="none"/>
              </w:tabs>
              <w:spacing w:line="240" w:lineRule="auto" w:before="1" w:after="0"/>
              <w:ind w:left="920" w:right="785" w:hanging="360"/>
              <w:jc w:val="left"/>
              <w:rPr>
                <w:sz w:val="19"/>
              </w:rPr>
            </w:pPr>
            <w:r>
              <w:rPr>
                <w:sz w:val="19"/>
              </w:rPr>
              <w:t>Magazines, brochures</w:t>
            </w:r>
            <w:r>
              <w:rPr>
                <w:spacing w:val="-9"/>
                <w:sz w:val="19"/>
              </w:rPr>
              <w:t> </w:t>
            </w:r>
            <w:r>
              <w:rPr>
                <w:sz w:val="19"/>
              </w:rPr>
              <w:t>and catalogues</w:t>
            </w:r>
          </w:p>
          <w:p>
            <w:pPr>
              <w:pStyle w:val="TableParagraph"/>
              <w:numPr>
                <w:ilvl w:val="0"/>
                <w:numId w:val="43"/>
              </w:numPr>
              <w:tabs>
                <w:tab w:pos="801" w:val="left" w:leader="none"/>
              </w:tabs>
              <w:spacing w:line="240" w:lineRule="auto" w:before="0" w:after="0"/>
              <w:ind w:left="920" w:right="125" w:hanging="360"/>
              <w:jc w:val="left"/>
              <w:rPr>
                <w:sz w:val="19"/>
              </w:rPr>
            </w:pPr>
            <w:r>
              <w:rPr>
                <w:sz w:val="19"/>
              </w:rPr>
              <w:t>White paper (e.g. computer</w:t>
            </w:r>
            <w:r>
              <w:rPr>
                <w:spacing w:val="-13"/>
                <w:sz w:val="19"/>
              </w:rPr>
              <w:t> </w:t>
            </w:r>
            <w:r>
              <w:rPr>
                <w:sz w:val="19"/>
              </w:rPr>
              <w:t>paper, letters)</w:t>
            </w:r>
          </w:p>
          <w:p>
            <w:pPr>
              <w:pStyle w:val="TableParagraph"/>
              <w:numPr>
                <w:ilvl w:val="0"/>
                <w:numId w:val="43"/>
              </w:numPr>
              <w:tabs>
                <w:tab w:pos="801" w:val="left" w:leader="none"/>
              </w:tabs>
              <w:spacing w:line="230" w:lineRule="exact" w:before="1" w:after="0"/>
              <w:ind w:left="800" w:right="0" w:hanging="240"/>
              <w:jc w:val="left"/>
              <w:rPr>
                <w:sz w:val="19"/>
              </w:rPr>
            </w:pPr>
            <w:r>
              <w:rPr>
                <w:sz w:val="19"/>
              </w:rPr>
              <w:t>Telephone</w:t>
            </w:r>
            <w:r>
              <w:rPr>
                <w:spacing w:val="-8"/>
                <w:sz w:val="19"/>
              </w:rPr>
              <w:t> </w:t>
            </w:r>
            <w:r>
              <w:rPr>
                <w:sz w:val="19"/>
              </w:rPr>
              <w:t>directories</w:t>
            </w:r>
          </w:p>
          <w:p>
            <w:pPr>
              <w:pStyle w:val="TableParagraph"/>
              <w:numPr>
                <w:ilvl w:val="0"/>
                <w:numId w:val="43"/>
              </w:numPr>
              <w:tabs>
                <w:tab w:pos="801" w:val="left" w:leader="none"/>
              </w:tabs>
              <w:spacing w:line="240" w:lineRule="auto" w:before="0" w:after="0"/>
              <w:ind w:left="800" w:right="0" w:hanging="240"/>
              <w:jc w:val="left"/>
              <w:rPr>
                <w:sz w:val="19"/>
              </w:rPr>
            </w:pPr>
            <w:r>
              <w:rPr>
                <w:sz w:val="19"/>
              </w:rPr>
              <w:t>Leaflets and</w:t>
            </w:r>
            <w:r>
              <w:rPr>
                <w:spacing w:val="-9"/>
                <w:sz w:val="19"/>
              </w:rPr>
              <w:t> </w:t>
            </w:r>
            <w:r>
              <w:rPr>
                <w:sz w:val="19"/>
              </w:rPr>
              <w:t>flyers</w:t>
            </w:r>
          </w:p>
          <w:p>
            <w:pPr>
              <w:pStyle w:val="TableParagraph"/>
              <w:numPr>
                <w:ilvl w:val="0"/>
                <w:numId w:val="43"/>
              </w:numPr>
              <w:tabs>
                <w:tab w:pos="801" w:val="left" w:leader="none"/>
              </w:tabs>
              <w:spacing w:line="240" w:lineRule="auto" w:before="0" w:after="0"/>
              <w:ind w:left="920" w:right="838" w:hanging="360"/>
              <w:jc w:val="left"/>
              <w:rPr>
                <w:sz w:val="19"/>
              </w:rPr>
            </w:pPr>
            <w:r>
              <w:rPr>
                <w:sz w:val="19"/>
              </w:rPr>
              <w:t>Envelopes (including with windows)</w:t>
            </w:r>
          </w:p>
          <w:p>
            <w:pPr>
              <w:pStyle w:val="TableParagraph"/>
              <w:numPr>
                <w:ilvl w:val="0"/>
                <w:numId w:val="43"/>
              </w:numPr>
              <w:tabs>
                <w:tab w:pos="801" w:val="left" w:leader="none"/>
              </w:tabs>
              <w:spacing w:line="240" w:lineRule="auto" w:before="0" w:after="0"/>
              <w:ind w:left="800" w:right="0" w:hanging="240"/>
              <w:jc w:val="left"/>
              <w:rPr>
                <w:sz w:val="19"/>
              </w:rPr>
            </w:pPr>
            <w:r>
              <w:rPr>
                <w:sz w:val="19"/>
              </w:rPr>
              <w:t>Brown</w:t>
            </w:r>
            <w:r>
              <w:rPr>
                <w:spacing w:val="-2"/>
                <w:sz w:val="19"/>
              </w:rPr>
              <w:t> </w:t>
            </w:r>
            <w:r>
              <w:rPr>
                <w:sz w:val="19"/>
              </w:rPr>
              <w:t>paper</w:t>
            </w:r>
          </w:p>
          <w:p>
            <w:pPr>
              <w:pStyle w:val="TableParagraph"/>
              <w:numPr>
                <w:ilvl w:val="0"/>
                <w:numId w:val="43"/>
              </w:numPr>
              <w:tabs>
                <w:tab w:pos="801" w:val="left" w:leader="none"/>
              </w:tabs>
              <w:spacing w:line="240" w:lineRule="auto" w:before="0" w:after="0"/>
              <w:ind w:left="920" w:right="422" w:hanging="360"/>
              <w:jc w:val="left"/>
              <w:rPr>
                <w:sz w:val="19"/>
              </w:rPr>
            </w:pPr>
            <w:r>
              <w:rPr>
                <w:sz w:val="19"/>
              </w:rPr>
              <w:t>All card from around the home (e.g. card boxes, corrugated cardboard boxes, egg boxes, pizza</w:t>
            </w:r>
            <w:r>
              <w:rPr>
                <w:spacing w:val="-4"/>
                <w:sz w:val="19"/>
              </w:rPr>
              <w:t> </w:t>
            </w:r>
            <w:r>
              <w:rPr>
                <w:sz w:val="19"/>
              </w:rPr>
              <w:t>boxes…)</w:t>
            </w:r>
          </w:p>
        </w:tc>
        <w:tc>
          <w:tcPr>
            <w:tcW w:w="4332" w:type="dxa"/>
          </w:tcPr>
          <w:p>
            <w:pPr>
              <w:pStyle w:val="TableParagraph"/>
              <w:spacing w:line="228" w:lineRule="exact"/>
              <w:ind w:left="127"/>
              <w:rPr>
                <w:sz w:val="19"/>
              </w:rPr>
            </w:pPr>
            <w:r>
              <w:rPr>
                <w:sz w:val="19"/>
              </w:rPr>
              <w:t>Must be:</w:t>
            </w:r>
          </w:p>
          <w:p>
            <w:pPr>
              <w:pStyle w:val="TableParagraph"/>
              <w:numPr>
                <w:ilvl w:val="0"/>
                <w:numId w:val="44"/>
              </w:numPr>
              <w:tabs>
                <w:tab w:pos="728" w:val="left" w:leader="none"/>
              </w:tabs>
              <w:spacing w:line="240" w:lineRule="auto" w:before="1" w:after="0"/>
              <w:ind w:left="847" w:right="0" w:hanging="360"/>
              <w:jc w:val="left"/>
              <w:rPr>
                <w:sz w:val="19"/>
              </w:rPr>
            </w:pPr>
            <w:r>
              <w:rPr>
                <w:sz w:val="19"/>
              </w:rPr>
              <w:t>Clean and</w:t>
            </w:r>
            <w:r>
              <w:rPr>
                <w:spacing w:val="-3"/>
                <w:sz w:val="19"/>
              </w:rPr>
              <w:t> </w:t>
            </w:r>
            <w:r>
              <w:rPr>
                <w:sz w:val="19"/>
              </w:rPr>
              <w:t>empty</w:t>
            </w:r>
          </w:p>
          <w:p>
            <w:pPr>
              <w:pStyle w:val="TableParagraph"/>
              <w:spacing w:before="11"/>
              <w:rPr>
                <w:b/>
                <w:sz w:val="18"/>
              </w:rPr>
            </w:pPr>
          </w:p>
          <w:p>
            <w:pPr>
              <w:pStyle w:val="TableParagraph"/>
              <w:ind w:left="127"/>
              <w:rPr>
                <w:sz w:val="19"/>
              </w:rPr>
            </w:pPr>
            <w:r>
              <w:rPr>
                <w:sz w:val="19"/>
              </w:rPr>
              <w:t>Not accepted</w:t>
            </w:r>
          </w:p>
          <w:p>
            <w:pPr>
              <w:pStyle w:val="TableParagraph"/>
              <w:numPr>
                <w:ilvl w:val="0"/>
                <w:numId w:val="44"/>
              </w:numPr>
              <w:tabs>
                <w:tab w:pos="728" w:val="left" w:leader="none"/>
              </w:tabs>
              <w:spacing w:line="231" w:lineRule="exact" w:before="0" w:after="0"/>
              <w:ind w:left="727" w:right="0" w:hanging="240"/>
              <w:jc w:val="left"/>
              <w:rPr>
                <w:sz w:val="19"/>
              </w:rPr>
            </w:pPr>
            <w:r>
              <w:rPr>
                <w:sz w:val="19"/>
              </w:rPr>
              <w:t>Liquid paperboard beverage</w:t>
            </w:r>
            <w:r>
              <w:rPr>
                <w:spacing w:val="-14"/>
                <w:sz w:val="19"/>
              </w:rPr>
              <w:t> </w:t>
            </w:r>
            <w:r>
              <w:rPr>
                <w:sz w:val="19"/>
              </w:rPr>
              <w:t>containers</w:t>
            </w:r>
          </w:p>
          <w:p>
            <w:pPr>
              <w:pStyle w:val="TableParagraph"/>
              <w:numPr>
                <w:ilvl w:val="0"/>
                <w:numId w:val="44"/>
              </w:numPr>
              <w:tabs>
                <w:tab w:pos="728" w:val="left" w:leader="none"/>
              </w:tabs>
              <w:spacing w:line="231" w:lineRule="exact" w:before="0" w:after="0"/>
              <w:ind w:left="727" w:right="0" w:hanging="240"/>
              <w:jc w:val="left"/>
              <w:rPr>
                <w:sz w:val="19"/>
              </w:rPr>
            </w:pPr>
            <w:r>
              <w:rPr>
                <w:sz w:val="19"/>
              </w:rPr>
              <w:t>Disposable coffee</w:t>
            </w:r>
            <w:r>
              <w:rPr>
                <w:spacing w:val="-11"/>
                <w:sz w:val="19"/>
              </w:rPr>
              <w:t> </w:t>
            </w:r>
            <w:r>
              <w:rPr>
                <w:sz w:val="19"/>
              </w:rPr>
              <w:t>cups</w:t>
            </w:r>
          </w:p>
          <w:p>
            <w:pPr>
              <w:pStyle w:val="TableParagraph"/>
              <w:numPr>
                <w:ilvl w:val="0"/>
                <w:numId w:val="44"/>
              </w:numPr>
              <w:tabs>
                <w:tab w:pos="728" w:val="left" w:leader="none"/>
              </w:tabs>
              <w:spacing w:line="240" w:lineRule="auto" w:before="1" w:after="0"/>
              <w:ind w:left="847" w:right="198" w:hanging="360"/>
              <w:jc w:val="left"/>
              <w:rPr>
                <w:sz w:val="19"/>
              </w:rPr>
            </w:pPr>
            <w:r>
              <w:rPr>
                <w:sz w:val="19"/>
              </w:rPr>
              <w:t>Hygiene/sanitary products (i.e. nappies,</w:t>
            </w:r>
            <w:r>
              <w:rPr>
                <w:spacing w:val="-19"/>
                <w:sz w:val="19"/>
              </w:rPr>
              <w:t> </w:t>
            </w:r>
            <w:r>
              <w:rPr>
                <w:sz w:val="19"/>
              </w:rPr>
              <w:t>wet wipes, sanitary</w:t>
            </w:r>
            <w:r>
              <w:rPr>
                <w:spacing w:val="-6"/>
                <w:sz w:val="19"/>
              </w:rPr>
              <w:t> </w:t>
            </w:r>
            <w:r>
              <w:rPr>
                <w:sz w:val="19"/>
              </w:rPr>
              <w:t>towels)</w:t>
            </w:r>
          </w:p>
          <w:p>
            <w:pPr>
              <w:pStyle w:val="TableParagraph"/>
              <w:numPr>
                <w:ilvl w:val="0"/>
                <w:numId w:val="44"/>
              </w:numPr>
              <w:tabs>
                <w:tab w:pos="728" w:val="left" w:leader="none"/>
              </w:tabs>
              <w:spacing w:line="230" w:lineRule="exact" w:before="0" w:after="0"/>
              <w:ind w:left="727" w:right="0" w:hanging="240"/>
              <w:jc w:val="left"/>
              <w:rPr>
                <w:sz w:val="19"/>
              </w:rPr>
            </w:pPr>
            <w:r>
              <w:rPr>
                <w:sz w:val="19"/>
              </w:rPr>
              <w:t>Paper towels, tissues, cotton</w:t>
            </w:r>
            <w:r>
              <w:rPr>
                <w:spacing w:val="-12"/>
                <w:sz w:val="19"/>
              </w:rPr>
              <w:t> </w:t>
            </w:r>
            <w:r>
              <w:rPr>
                <w:sz w:val="19"/>
              </w:rPr>
              <w:t>wool</w:t>
            </w:r>
          </w:p>
          <w:p>
            <w:pPr>
              <w:pStyle w:val="TableParagraph"/>
              <w:numPr>
                <w:ilvl w:val="0"/>
                <w:numId w:val="44"/>
              </w:numPr>
              <w:tabs>
                <w:tab w:pos="728" w:val="left" w:leader="none"/>
              </w:tabs>
              <w:spacing w:line="240" w:lineRule="auto" w:before="1" w:after="0"/>
              <w:ind w:left="727" w:right="0" w:hanging="240"/>
              <w:jc w:val="left"/>
              <w:rPr>
                <w:sz w:val="19"/>
              </w:rPr>
            </w:pPr>
            <w:r>
              <w:rPr>
                <w:sz w:val="19"/>
              </w:rPr>
              <w:t>Till</w:t>
            </w:r>
            <w:r>
              <w:rPr>
                <w:spacing w:val="-4"/>
                <w:sz w:val="19"/>
              </w:rPr>
              <w:t> </w:t>
            </w:r>
            <w:r>
              <w:rPr>
                <w:sz w:val="19"/>
              </w:rPr>
              <w:t>receipts</w:t>
            </w:r>
          </w:p>
          <w:p>
            <w:pPr>
              <w:pStyle w:val="TableParagraph"/>
              <w:numPr>
                <w:ilvl w:val="0"/>
                <w:numId w:val="44"/>
              </w:numPr>
              <w:tabs>
                <w:tab w:pos="728" w:val="left" w:leader="none"/>
              </w:tabs>
              <w:spacing w:line="231" w:lineRule="exact" w:before="0" w:after="0"/>
              <w:ind w:left="727" w:right="0" w:hanging="240"/>
              <w:jc w:val="left"/>
              <w:rPr>
                <w:sz w:val="19"/>
              </w:rPr>
            </w:pPr>
            <w:r>
              <w:rPr>
                <w:sz w:val="19"/>
              </w:rPr>
              <w:t>Shredded</w:t>
            </w:r>
            <w:r>
              <w:rPr>
                <w:spacing w:val="-5"/>
                <w:sz w:val="19"/>
              </w:rPr>
              <w:t> </w:t>
            </w:r>
            <w:r>
              <w:rPr>
                <w:sz w:val="19"/>
              </w:rPr>
              <w:t>paper</w:t>
            </w:r>
          </w:p>
          <w:p>
            <w:pPr>
              <w:pStyle w:val="TableParagraph"/>
              <w:numPr>
                <w:ilvl w:val="0"/>
                <w:numId w:val="44"/>
              </w:numPr>
              <w:tabs>
                <w:tab w:pos="728" w:val="left" w:leader="none"/>
              </w:tabs>
              <w:spacing w:line="231" w:lineRule="exact" w:before="0" w:after="0"/>
              <w:ind w:left="727" w:right="0" w:hanging="240"/>
              <w:jc w:val="left"/>
              <w:rPr>
                <w:sz w:val="19"/>
              </w:rPr>
            </w:pPr>
            <w:r>
              <w:rPr>
                <w:sz w:val="19"/>
              </w:rPr>
              <w:t>Post-it notes, sticky labels, paper</w:t>
            </w:r>
            <w:r>
              <w:rPr>
                <w:spacing w:val="-10"/>
                <w:sz w:val="19"/>
              </w:rPr>
              <w:t> </w:t>
            </w:r>
            <w:r>
              <w:rPr>
                <w:sz w:val="19"/>
              </w:rPr>
              <w:t>tape</w:t>
            </w:r>
          </w:p>
          <w:p>
            <w:pPr>
              <w:pStyle w:val="TableParagraph"/>
              <w:numPr>
                <w:ilvl w:val="0"/>
                <w:numId w:val="44"/>
              </w:numPr>
              <w:tabs>
                <w:tab w:pos="728" w:val="left" w:leader="none"/>
              </w:tabs>
              <w:spacing w:line="240" w:lineRule="auto" w:before="1" w:after="0"/>
              <w:ind w:left="847" w:right="553" w:hanging="360"/>
              <w:jc w:val="left"/>
              <w:rPr>
                <w:sz w:val="19"/>
              </w:rPr>
            </w:pPr>
            <w:r>
              <w:rPr>
                <w:sz w:val="19"/>
              </w:rPr>
              <w:t>Non-paper gift wrap (e.g. foil-based</w:t>
            </w:r>
            <w:r>
              <w:rPr>
                <w:spacing w:val="-15"/>
                <w:sz w:val="19"/>
              </w:rPr>
              <w:t> </w:t>
            </w:r>
            <w:r>
              <w:rPr>
                <w:sz w:val="19"/>
              </w:rPr>
              <w:t>gift wrapping) or</w:t>
            </w:r>
            <w:r>
              <w:rPr>
                <w:spacing w:val="-4"/>
                <w:sz w:val="19"/>
              </w:rPr>
              <w:t> </w:t>
            </w:r>
            <w:r>
              <w:rPr>
                <w:sz w:val="19"/>
              </w:rPr>
              <w:t>bags</w:t>
            </w:r>
          </w:p>
          <w:p>
            <w:pPr>
              <w:pStyle w:val="TableParagraph"/>
              <w:numPr>
                <w:ilvl w:val="0"/>
                <w:numId w:val="44"/>
              </w:numPr>
              <w:tabs>
                <w:tab w:pos="728" w:val="left" w:leader="none"/>
              </w:tabs>
              <w:spacing w:line="240" w:lineRule="auto" w:before="0" w:after="0"/>
              <w:ind w:left="847" w:right="324" w:hanging="360"/>
              <w:jc w:val="left"/>
              <w:rPr>
                <w:sz w:val="19"/>
              </w:rPr>
            </w:pPr>
            <w:r>
              <w:rPr>
                <w:sz w:val="19"/>
              </w:rPr>
              <w:t>Glitter covered greeting cards or wrapping paper</w:t>
            </w:r>
          </w:p>
          <w:p>
            <w:pPr>
              <w:pStyle w:val="TableParagraph"/>
              <w:numPr>
                <w:ilvl w:val="0"/>
                <w:numId w:val="44"/>
              </w:numPr>
              <w:tabs>
                <w:tab w:pos="728" w:val="left" w:leader="none"/>
              </w:tabs>
              <w:spacing w:line="231" w:lineRule="exact" w:before="2" w:after="0"/>
              <w:ind w:left="727" w:right="0" w:hanging="240"/>
              <w:jc w:val="left"/>
              <w:rPr>
                <w:sz w:val="19"/>
              </w:rPr>
            </w:pPr>
            <w:r>
              <w:rPr>
                <w:sz w:val="19"/>
              </w:rPr>
              <w:t>Lolly</w:t>
            </w:r>
            <w:r>
              <w:rPr>
                <w:spacing w:val="-9"/>
                <w:sz w:val="19"/>
              </w:rPr>
              <w:t> </w:t>
            </w:r>
            <w:r>
              <w:rPr>
                <w:sz w:val="19"/>
              </w:rPr>
              <w:t>packets/wrappers</w:t>
            </w:r>
          </w:p>
          <w:p>
            <w:pPr>
              <w:pStyle w:val="TableParagraph"/>
              <w:numPr>
                <w:ilvl w:val="0"/>
                <w:numId w:val="44"/>
              </w:numPr>
              <w:tabs>
                <w:tab w:pos="728" w:val="left" w:leader="none"/>
              </w:tabs>
              <w:spacing w:line="231" w:lineRule="exact" w:before="0" w:after="0"/>
              <w:ind w:left="727" w:right="0" w:hanging="240"/>
              <w:jc w:val="left"/>
              <w:rPr>
                <w:sz w:val="19"/>
              </w:rPr>
            </w:pPr>
            <w:r>
              <w:rPr>
                <w:sz w:val="19"/>
              </w:rPr>
              <w:t>Wallpaper and decoration</w:t>
            </w:r>
            <w:r>
              <w:rPr>
                <w:spacing w:val="-11"/>
                <w:sz w:val="19"/>
              </w:rPr>
              <w:t> </w:t>
            </w:r>
            <w:r>
              <w:rPr>
                <w:sz w:val="19"/>
              </w:rPr>
              <w:t>paper</w:t>
            </w:r>
          </w:p>
          <w:p>
            <w:pPr>
              <w:pStyle w:val="TableParagraph"/>
              <w:numPr>
                <w:ilvl w:val="0"/>
                <w:numId w:val="44"/>
              </w:numPr>
              <w:tabs>
                <w:tab w:pos="728" w:val="left" w:leader="none"/>
              </w:tabs>
              <w:spacing w:line="240" w:lineRule="auto" w:before="2" w:after="0"/>
              <w:ind w:left="847" w:right="198" w:hanging="360"/>
              <w:jc w:val="left"/>
              <w:rPr>
                <w:sz w:val="19"/>
              </w:rPr>
            </w:pPr>
            <w:r>
              <w:rPr>
                <w:sz w:val="19"/>
              </w:rPr>
              <w:t>Fish &amp; chip paper, or butcher paper that</w:t>
            </w:r>
            <w:r>
              <w:rPr>
                <w:spacing w:val="-14"/>
                <w:sz w:val="19"/>
              </w:rPr>
              <w:t> </w:t>
            </w:r>
            <w:r>
              <w:rPr>
                <w:sz w:val="19"/>
              </w:rPr>
              <w:t>has wrapped</w:t>
            </w:r>
            <w:r>
              <w:rPr>
                <w:spacing w:val="-4"/>
                <w:sz w:val="19"/>
              </w:rPr>
              <w:t> </w:t>
            </w:r>
            <w:r>
              <w:rPr>
                <w:sz w:val="19"/>
              </w:rPr>
              <w:t>takeaways</w:t>
            </w:r>
          </w:p>
        </w:tc>
      </w:tr>
    </w:tbl>
    <w:p>
      <w:pPr>
        <w:spacing w:after="0" w:line="240" w:lineRule="auto"/>
        <w:jc w:val="left"/>
        <w:rPr>
          <w:sz w:val="19"/>
        </w:rPr>
        <w:sectPr>
          <w:footerReference w:type="default" r:id="rId62"/>
          <w:pgSz w:w="11910" w:h="16840"/>
          <w:pgMar w:footer="698" w:header="576" w:top="1140" w:bottom="880" w:left="880" w:right="980"/>
        </w:sectPr>
      </w:pPr>
    </w:p>
    <w:p>
      <w:pPr>
        <w:pStyle w:val="BodyText"/>
        <w:rPr>
          <w:b/>
        </w:rPr>
      </w:pPr>
    </w:p>
    <w:p>
      <w:pPr>
        <w:pStyle w:val="BodyText"/>
        <w:rPr>
          <w:b/>
        </w:rPr>
      </w:pPr>
    </w:p>
    <w:p>
      <w:pPr>
        <w:pStyle w:val="Heading3"/>
      </w:pPr>
      <w:r>
        <w:rPr/>
        <w:t>Small items</w:t>
      </w:r>
    </w:p>
    <w:p>
      <w:pPr>
        <w:pStyle w:val="BodyText"/>
        <w:spacing w:line="254" w:lineRule="auto" w:before="181"/>
        <w:ind w:left="560" w:right="12"/>
      </w:pPr>
      <w:r>
        <w:rPr/>
        <w:pict>
          <v:group style="position:absolute;margin-left:376.320007pt;margin-top:28.961472pt;width:174.45pt;height:520.3pt;mso-position-horizontal-relative:page;mso-position-vertical-relative:paragraph;z-index:-66424" coordorigin="7526,579" coordsize="3489,10406">
            <v:shape style="position:absolute;left:7762;top:5409;width:2039;height:2368" type="#_x0000_t75" stroked="false">
              <v:imagedata r:id="rId68" o:title=""/>
            </v:shape>
            <v:shape style="position:absolute;left:7786;top:3102;width:1994;height:2323" type="#_x0000_t75" stroked="false">
              <v:imagedata r:id="rId69" o:title=""/>
            </v:shape>
            <v:shape style="position:absolute;left:9578;top:2980;width:1436;height:1369" type="#_x0000_t75" stroked="false">
              <v:imagedata r:id="rId70" o:title=""/>
            </v:shape>
            <v:shape style="position:absolute;left:9602;top:1670;width:1392;height:1325" type="#_x0000_t75" stroked="false">
              <v:imagedata r:id="rId71" o:title=""/>
            </v:shape>
            <v:shape style="position:absolute;left:8790;top:6090;width:1670;height:1550" type="#_x0000_t75" stroked="false">
              <v:imagedata r:id="rId72" o:title=""/>
            </v:shape>
            <v:shape style="position:absolute;left:7526;top:7761;width:976;height:1736" type="#_x0000_t75" stroked="false">
              <v:imagedata r:id="rId73" o:title=""/>
            </v:shape>
            <v:shape style="position:absolute;left:7551;top:6084;width:931;height:1693" type="#_x0000_t75" stroked="false">
              <v:imagedata r:id="rId74" o:title=""/>
            </v:shape>
            <v:shape style="position:absolute;left:9486;top:9185;width:1204;height:1469" type="#_x0000_t75" stroked="false">
              <v:imagedata r:id="rId75" o:title=""/>
            </v:shape>
            <v:shape style="position:absolute;left:7790;top:9285;width:1316;height:1700" type="#_x0000_t75" stroked="false">
              <v:imagedata r:id="rId76" o:title=""/>
            </v:shape>
            <v:shape style="position:absolute;left:7860;top:2147;width:1525;height:1628" type="#_x0000_t75" stroked="false">
              <v:imagedata r:id="rId77" o:title=""/>
            </v:shape>
            <v:shape style="position:absolute;left:7885;top:579;width:1481;height:1584" type="#_x0000_t75" stroked="false">
              <v:imagedata r:id="rId78" o:title=""/>
            </v:shape>
            <w10:wrap type="none"/>
          </v:group>
        </w:pict>
      </w:r>
      <w:r>
        <w:rPr/>
        <w:t>Recommended that items less than 55mm diameter (i.e., a small yoghurt pottle) are not included in kerbside collections</w:t>
      </w:r>
    </w:p>
    <w:p>
      <w:pPr>
        <w:pStyle w:val="ListParagraph"/>
        <w:numPr>
          <w:ilvl w:val="0"/>
          <w:numId w:val="45"/>
        </w:numPr>
        <w:tabs>
          <w:tab w:pos="1280" w:val="left" w:leader="none"/>
          <w:tab w:pos="1281" w:val="left" w:leader="none"/>
        </w:tabs>
        <w:spacing w:line="240" w:lineRule="auto" w:before="161" w:after="0"/>
        <w:ind w:left="1280" w:right="0" w:hanging="360"/>
        <w:jc w:val="left"/>
        <w:rPr>
          <w:sz w:val="20"/>
        </w:rPr>
      </w:pPr>
      <w:r>
        <w:rPr>
          <w:sz w:val="20"/>
        </w:rPr>
        <w:t>Issues with small items</w:t>
      </w:r>
      <w:r>
        <w:rPr>
          <w:spacing w:val="-10"/>
          <w:sz w:val="20"/>
        </w:rPr>
        <w:t> </w:t>
      </w:r>
      <w:r>
        <w:rPr>
          <w:sz w:val="20"/>
        </w:rPr>
        <w:t>include:</w:t>
      </w:r>
    </w:p>
    <w:p>
      <w:pPr>
        <w:pStyle w:val="ListParagraph"/>
        <w:numPr>
          <w:ilvl w:val="0"/>
          <w:numId w:val="45"/>
        </w:numPr>
        <w:tabs>
          <w:tab w:pos="1280" w:val="left" w:leader="none"/>
          <w:tab w:pos="1281" w:val="left" w:leader="none"/>
        </w:tabs>
        <w:spacing w:line="240" w:lineRule="auto" w:before="17" w:after="0"/>
        <w:ind w:left="1280" w:right="0" w:hanging="360"/>
        <w:jc w:val="left"/>
        <w:rPr>
          <w:sz w:val="20"/>
        </w:rPr>
      </w:pPr>
      <w:r>
        <w:rPr>
          <w:sz w:val="20"/>
        </w:rPr>
        <w:t>Fall out during</w:t>
      </w:r>
      <w:r>
        <w:rPr>
          <w:spacing w:val="-14"/>
          <w:sz w:val="20"/>
        </w:rPr>
        <w:t> </w:t>
      </w:r>
      <w:r>
        <w:rPr>
          <w:sz w:val="20"/>
        </w:rPr>
        <w:t>collection</w:t>
      </w:r>
    </w:p>
    <w:p>
      <w:pPr>
        <w:pStyle w:val="ListParagraph"/>
        <w:numPr>
          <w:ilvl w:val="0"/>
          <w:numId w:val="45"/>
        </w:numPr>
        <w:tabs>
          <w:tab w:pos="1280" w:val="left" w:leader="none"/>
          <w:tab w:pos="1281" w:val="left" w:leader="none"/>
        </w:tabs>
        <w:spacing w:line="240" w:lineRule="auto" w:before="14" w:after="0"/>
        <w:ind w:left="1280" w:right="0" w:hanging="360"/>
        <w:jc w:val="left"/>
        <w:rPr>
          <w:sz w:val="20"/>
        </w:rPr>
      </w:pPr>
      <w:r>
        <w:rPr>
          <w:sz w:val="20"/>
        </w:rPr>
        <w:t>Too difficult to pick out of a manual sort</w:t>
      </w:r>
      <w:r>
        <w:rPr>
          <w:spacing w:val="-14"/>
          <w:sz w:val="20"/>
        </w:rPr>
        <w:t> </w:t>
      </w:r>
      <w:r>
        <w:rPr>
          <w:sz w:val="20"/>
        </w:rPr>
        <w:t>line</w:t>
      </w:r>
    </w:p>
    <w:p>
      <w:pPr>
        <w:pStyle w:val="ListParagraph"/>
        <w:numPr>
          <w:ilvl w:val="0"/>
          <w:numId w:val="45"/>
        </w:numPr>
        <w:tabs>
          <w:tab w:pos="1280" w:val="left" w:leader="none"/>
          <w:tab w:pos="1281" w:val="left" w:leader="none"/>
        </w:tabs>
        <w:spacing w:line="240" w:lineRule="auto" w:before="17" w:after="0"/>
        <w:ind w:left="1280" w:right="0" w:hanging="360"/>
        <w:jc w:val="left"/>
        <w:rPr>
          <w:sz w:val="20"/>
        </w:rPr>
      </w:pPr>
      <w:r>
        <w:rPr>
          <w:sz w:val="20"/>
        </w:rPr>
        <w:t>End up with glass in mechanical sort due to 55mm holes in</w:t>
      </w:r>
      <w:r>
        <w:rPr>
          <w:spacing w:val="-24"/>
          <w:sz w:val="20"/>
        </w:rPr>
        <w:t> </w:t>
      </w:r>
      <w:r>
        <w:rPr>
          <w:sz w:val="20"/>
        </w:rPr>
        <w:t>trammel</w:t>
      </w:r>
    </w:p>
    <w:p>
      <w:pPr>
        <w:pStyle w:val="ListParagraph"/>
        <w:numPr>
          <w:ilvl w:val="0"/>
          <w:numId w:val="45"/>
        </w:numPr>
        <w:tabs>
          <w:tab w:pos="1280" w:val="left" w:leader="none"/>
          <w:tab w:pos="1281" w:val="left" w:leader="none"/>
        </w:tabs>
        <w:spacing w:line="240" w:lineRule="auto" w:before="15" w:after="0"/>
        <w:ind w:left="1280" w:right="0" w:hanging="360"/>
        <w:jc w:val="left"/>
        <w:rPr>
          <w:sz w:val="20"/>
        </w:rPr>
      </w:pPr>
      <w:r>
        <w:rPr>
          <w:sz w:val="20"/>
        </w:rPr>
        <w:t>Have limited commercial value and are difficult to</w:t>
      </w:r>
      <w:r>
        <w:rPr>
          <w:spacing w:val="-14"/>
          <w:sz w:val="20"/>
        </w:rPr>
        <w:t> </w:t>
      </w:r>
      <w:r>
        <w:rPr>
          <w:sz w:val="20"/>
        </w:rPr>
        <w:t>bale</w:t>
      </w:r>
    </w:p>
    <w:p>
      <w:pPr>
        <w:pStyle w:val="Heading3"/>
        <w:spacing w:before="176"/>
      </w:pPr>
      <w:r>
        <w:rPr/>
        <w:t>Lids</w:t>
      </w:r>
    </w:p>
    <w:p>
      <w:pPr>
        <w:pStyle w:val="BodyText"/>
        <w:spacing w:line="415" w:lineRule="auto" w:before="180"/>
        <w:ind w:left="560" w:right="3795"/>
      </w:pPr>
      <w:r>
        <w:rPr/>
        <w:t>Recommended that lids are not collected through kerbside collections. Issues with lids include:</w:t>
      </w:r>
    </w:p>
    <w:p>
      <w:pPr>
        <w:pStyle w:val="ListParagraph"/>
        <w:numPr>
          <w:ilvl w:val="0"/>
          <w:numId w:val="45"/>
        </w:numPr>
        <w:tabs>
          <w:tab w:pos="1280" w:val="left" w:leader="none"/>
          <w:tab w:pos="1281" w:val="left" w:leader="none"/>
        </w:tabs>
        <w:spacing w:line="242" w:lineRule="exact" w:before="0" w:after="0"/>
        <w:ind w:left="1280" w:right="0" w:hanging="360"/>
        <w:jc w:val="left"/>
        <w:rPr>
          <w:sz w:val="20"/>
        </w:rPr>
      </w:pPr>
      <w:r>
        <w:rPr>
          <w:sz w:val="20"/>
        </w:rPr>
        <w:t>They get stuck in</w:t>
      </w:r>
      <w:r>
        <w:rPr>
          <w:spacing w:val="-12"/>
          <w:sz w:val="20"/>
        </w:rPr>
        <w:t> </w:t>
      </w:r>
      <w:r>
        <w:rPr>
          <w:sz w:val="20"/>
        </w:rPr>
        <w:t>equipment</w:t>
      </w:r>
    </w:p>
    <w:p>
      <w:pPr>
        <w:pStyle w:val="ListParagraph"/>
        <w:numPr>
          <w:ilvl w:val="0"/>
          <w:numId w:val="45"/>
        </w:numPr>
        <w:tabs>
          <w:tab w:pos="1280" w:val="left" w:leader="none"/>
          <w:tab w:pos="1281" w:val="left" w:leader="none"/>
        </w:tabs>
        <w:spacing w:line="240" w:lineRule="auto" w:before="15" w:after="0"/>
        <w:ind w:left="1280" w:right="0" w:hanging="360"/>
        <w:jc w:val="left"/>
        <w:rPr>
          <w:sz w:val="20"/>
        </w:rPr>
      </w:pPr>
      <w:r>
        <w:rPr>
          <w:sz w:val="20"/>
        </w:rPr>
        <w:t>Blow away in</w:t>
      </w:r>
      <w:r>
        <w:rPr>
          <w:spacing w:val="-6"/>
          <w:sz w:val="20"/>
        </w:rPr>
        <w:t> </w:t>
      </w:r>
      <w:r>
        <w:rPr>
          <w:sz w:val="20"/>
        </w:rPr>
        <w:t>wind</w:t>
      </w:r>
    </w:p>
    <w:p>
      <w:pPr>
        <w:pStyle w:val="ListParagraph"/>
        <w:numPr>
          <w:ilvl w:val="0"/>
          <w:numId w:val="45"/>
        </w:numPr>
        <w:tabs>
          <w:tab w:pos="1280" w:val="left" w:leader="none"/>
          <w:tab w:pos="1281" w:val="left" w:leader="none"/>
        </w:tabs>
        <w:spacing w:line="240" w:lineRule="auto" w:before="17" w:after="0"/>
        <w:ind w:left="1280" w:right="0" w:hanging="360"/>
        <w:jc w:val="left"/>
        <w:rPr>
          <w:sz w:val="20"/>
        </w:rPr>
      </w:pPr>
      <w:r>
        <w:rPr>
          <w:sz w:val="20"/>
        </w:rPr>
        <w:t>Slip through trammel and contaminate</w:t>
      </w:r>
      <w:r>
        <w:rPr>
          <w:spacing w:val="-22"/>
          <w:sz w:val="20"/>
        </w:rPr>
        <w:t> </w:t>
      </w:r>
      <w:r>
        <w:rPr>
          <w:sz w:val="20"/>
        </w:rPr>
        <w:t>glass</w:t>
      </w:r>
    </w:p>
    <w:p>
      <w:pPr>
        <w:pStyle w:val="ListParagraph"/>
        <w:numPr>
          <w:ilvl w:val="0"/>
          <w:numId w:val="45"/>
        </w:numPr>
        <w:tabs>
          <w:tab w:pos="1280" w:val="left" w:leader="none"/>
          <w:tab w:pos="1281" w:val="left" w:leader="none"/>
        </w:tabs>
        <w:spacing w:line="240" w:lineRule="auto" w:before="14" w:after="0"/>
        <w:ind w:left="1280" w:right="0" w:hanging="360"/>
        <w:jc w:val="left"/>
        <w:rPr>
          <w:sz w:val="20"/>
        </w:rPr>
      </w:pPr>
      <w:r>
        <w:rPr>
          <w:sz w:val="20"/>
        </w:rPr>
        <w:t>Can be made of multiple</w:t>
      </w:r>
      <w:r>
        <w:rPr>
          <w:spacing w:val="-13"/>
          <w:sz w:val="20"/>
        </w:rPr>
        <w:t> </w:t>
      </w:r>
      <w:r>
        <w:rPr>
          <w:sz w:val="20"/>
        </w:rPr>
        <w:t>materials</w:t>
      </w:r>
    </w:p>
    <w:p>
      <w:pPr>
        <w:pStyle w:val="ListParagraph"/>
        <w:numPr>
          <w:ilvl w:val="0"/>
          <w:numId w:val="45"/>
        </w:numPr>
        <w:tabs>
          <w:tab w:pos="1280" w:val="left" w:leader="none"/>
          <w:tab w:pos="1281" w:val="left" w:leader="none"/>
        </w:tabs>
        <w:spacing w:line="240" w:lineRule="auto" w:before="16" w:after="0"/>
        <w:ind w:left="1280" w:right="0" w:hanging="360"/>
        <w:jc w:val="left"/>
        <w:rPr>
          <w:sz w:val="20"/>
        </w:rPr>
      </w:pPr>
      <w:r>
        <w:rPr>
          <w:sz w:val="20"/>
        </w:rPr>
        <w:t>Larger lids, such as ice cream containers, can be sorted as</w:t>
      </w:r>
      <w:r>
        <w:rPr>
          <w:spacing w:val="-18"/>
          <w:sz w:val="20"/>
        </w:rPr>
        <w:t> </w:t>
      </w:r>
      <w:r>
        <w:rPr>
          <w:sz w:val="20"/>
        </w:rPr>
        <w:t>paper</w:t>
      </w:r>
    </w:p>
    <w:p>
      <w:pPr>
        <w:pStyle w:val="ListParagraph"/>
        <w:numPr>
          <w:ilvl w:val="0"/>
          <w:numId w:val="45"/>
        </w:numPr>
        <w:tabs>
          <w:tab w:pos="1280" w:val="left" w:leader="none"/>
          <w:tab w:pos="1281" w:val="left" w:leader="none"/>
        </w:tabs>
        <w:spacing w:line="240" w:lineRule="auto" w:before="14" w:after="0"/>
        <w:ind w:left="1280" w:right="0" w:hanging="360"/>
        <w:jc w:val="left"/>
        <w:rPr>
          <w:sz w:val="20"/>
        </w:rPr>
      </w:pPr>
      <w:r>
        <w:rPr>
          <w:sz w:val="20"/>
        </w:rPr>
        <w:t>Lids off means more chance the container will be</w:t>
      </w:r>
      <w:r>
        <w:rPr>
          <w:spacing w:val="-24"/>
          <w:sz w:val="20"/>
        </w:rPr>
        <w:t> </w:t>
      </w:r>
      <w:r>
        <w:rPr>
          <w:sz w:val="20"/>
        </w:rPr>
        <w:t>empty</w:t>
      </w:r>
    </w:p>
    <w:p>
      <w:pPr>
        <w:pStyle w:val="ListParagraph"/>
        <w:numPr>
          <w:ilvl w:val="0"/>
          <w:numId w:val="45"/>
        </w:numPr>
        <w:tabs>
          <w:tab w:pos="1280" w:val="left" w:leader="none"/>
          <w:tab w:pos="1281" w:val="left" w:leader="none"/>
        </w:tabs>
        <w:spacing w:line="240" w:lineRule="auto" w:before="17" w:after="0"/>
        <w:ind w:left="1280" w:right="0" w:hanging="360"/>
        <w:jc w:val="left"/>
        <w:rPr>
          <w:sz w:val="20"/>
        </w:rPr>
      </w:pPr>
      <w:r>
        <w:rPr>
          <w:sz w:val="20"/>
        </w:rPr>
        <w:t>OI specifies no lids for glass bottles and</w:t>
      </w:r>
      <w:r>
        <w:rPr>
          <w:spacing w:val="-18"/>
          <w:sz w:val="20"/>
        </w:rPr>
        <w:t> </w:t>
      </w:r>
      <w:r>
        <w:rPr>
          <w:sz w:val="20"/>
        </w:rPr>
        <w:t>jars</w:t>
      </w:r>
    </w:p>
    <w:p>
      <w:pPr>
        <w:pStyle w:val="Heading3"/>
      </w:pPr>
      <w:r>
        <w:rPr/>
        <w:t>Triggers and pumps</w:t>
      </w:r>
    </w:p>
    <w:p>
      <w:pPr>
        <w:pStyle w:val="BodyText"/>
        <w:spacing w:line="254" w:lineRule="auto" w:before="182"/>
        <w:ind w:left="560" w:right="4090"/>
      </w:pPr>
      <w:r>
        <w:rPr/>
        <w:t>Recommended that triggers and pumps are not accepted in kerbside recycling.</w:t>
      </w:r>
    </w:p>
    <w:p>
      <w:pPr>
        <w:pStyle w:val="BodyText"/>
        <w:spacing w:before="163"/>
        <w:ind w:left="560"/>
      </w:pPr>
      <w:r>
        <w:rPr/>
        <w:t>Issues with triggers and pumps:</w:t>
      </w:r>
    </w:p>
    <w:p>
      <w:pPr>
        <w:pStyle w:val="ListParagraph"/>
        <w:numPr>
          <w:ilvl w:val="0"/>
          <w:numId w:val="45"/>
        </w:numPr>
        <w:tabs>
          <w:tab w:pos="1280" w:val="left" w:leader="none"/>
          <w:tab w:pos="1281" w:val="left" w:leader="none"/>
        </w:tabs>
        <w:spacing w:line="240" w:lineRule="auto" w:before="175" w:after="0"/>
        <w:ind w:left="1280" w:right="0" w:hanging="360"/>
        <w:jc w:val="left"/>
        <w:rPr>
          <w:sz w:val="20"/>
        </w:rPr>
      </w:pPr>
      <w:r>
        <w:rPr>
          <w:sz w:val="20"/>
        </w:rPr>
        <w:t>Can be made from different plastic to</w:t>
      </w:r>
      <w:r>
        <w:rPr>
          <w:spacing w:val="-15"/>
          <w:sz w:val="20"/>
        </w:rPr>
        <w:t> </w:t>
      </w:r>
      <w:r>
        <w:rPr>
          <w:sz w:val="20"/>
        </w:rPr>
        <w:t>bottle</w:t>
      </w:r>
    </w:p>
    <w:p>
      <w:pPr>
        <w:pStyle w:val="ListParagraph"/>
        <w:numPr>
          <w:ilvl w:val="0"/>
          <w:numId w:val="45"/>
        </w:numPr>
        <w:tabs>
          <w:tab w:pos="1280" w:val="left" w:leader="none"/>
          <w:tab w:pos="1281" w:val="left" w:leader="none"/>
        </w:tabs>
        <w:spacing w:line="240" w:lineRule="auto" w:before="15" w:after="0"/>
        <w:ind w:left="1280" w:right="0" w:hanging="360"/>
        <w:jc w:val="left"/>
        <w:rPr>
          <w:sz w:val="20"/>
        </w:rPr>
      </w:pPr>
      <w:r>
        <w:rPr>
          <w:sz w:val="20"/>
        </w:rPr>
        <w:t>Can contain metal</w:t>
      </w:r>
      <w:r>
        <w:rPr>
          <w:spacing w:val="-11"/>
          <w:sz w:val="20"/>
        </w:rPr>
        <w:t> </w:t>
      </w:r>
      <w:r>
        <w:rPr>
          <w:sz w:val="20"/>
        </w:rPr>
        <w:t>spring</w:t>
      </w:r>
    </w:p>
    <w:p>
      <w:pPr>
        <w:pStyle w:val="Heading3"/>
      </w:pPr>
      <w:r>
        <w:rPr/>
        <w:t>Squashing of containers</w:t>
      </w:r>
    </w:p>
    <w:p>
      <w:pPr>
        <w:pStyle w:val="BodyText"/>
        <w:spacing w:line="412" w:lineRule="auto" w:before="182"/>
        <w:ind w:left="560" w:right="3795"/>
      </w:pPr>
      <w:r>
        <w:rPr/>
        <w:t>Recommended that bottles and cans are not squashed by householders. Issues with squashing:</w:t>
      </w:r>
    </w:p>
    <w:p>
      <w:pPr>
        <w:pStyle w:val="ListParagraph"/>
        <w:numPr>
          <w:ilvl w:val="0"/>
          <w:numId w:val="45"/>
        </w:numPr>
        <w:tabs>
          <w:tab w:pos="1280" w:val="left" w:leader="none"/>
          <w:tab w:pos="1281" w:val="left" w:leader="none"/>
        </w:tabs>
        <w:spacing w:line="254" w:lineRule="auto" w:before="3" w:after="0"/>
        <w:ind w:left="1280" w:right="3513" w:hanging="360"/>
        <w:jc w:val="left"/>
        <w:rPr>
          <w:sz w:val="20"/>
        </w:rPr>
      </w:pPr>
      <w:r>
        <w:rPr>
          <w:sz w:val="20"/>
        </w:rPr>
        <w:t>Automated MRFs need 3D shapes or they are perceived as 2D objects (i.e. paper) by optical</w:t>
      </w:r>
      <w:r>
        <w:rPr>
          <w:spacing w:val="-16"/>
          <w:sz w:val="20"/>
        </w:rPr>
        <w:t> </w:t>
      </w:r>
      <w:r>
        <w:rPr>
          <w:sz w:val="20"/>
        </w:rPr>
        <w:t>sorters</w:t>
      </w:r>
    </w:p>
    <w:p>
      <w:pPr>
        <w:pStyle w:val="ListParagraph"/>
        <w:numPr>
          <w:ilvl w:val="0"/>
          <w:numId w:val="45"/>
        </w:numPr>
        <w:tabs>
          <w:tab w:pos="1280" w:val="left" w:leader="none"/>
          <w:tab w:pos="1281" w:val="left" w:leader="none"/>
        </w:tabs>
        <w:spacing w:line="240" w:lineRule="auto" w:before="2" w:after="0"/>
        <w:ind w:left="1280" w:right="0" w:hanging="360"/>
        <w:jc w:val="left"/>
        <w:rPr>
          <w:sz w:val="20"/>
        </w:rPr>
      </w:pPr>
      <w:r>
        <w:rPr>
          <w:sz w:val="20"/>
        </w:rPr>
        <w:t>Squashed items that end up in paper line are not</w:t>
      </w:r>
      <w:r>
        <w:rPr>
          <w:spacing w:val="-20"/>
          <w:sz w:val="20"/>
        </w:rPr>
        <w:t> </w:t>
      </w:r>
      <w:r>
        <w:rPr>
          <w:sz w:val="20"/>
        </w:rPr>
        <w:t>salvaged</w:t>
      </w:r>
    </w:p>
    <w:p>
      <w:pPr>
        <w:pStyle w:val="ListParagraph"/>
        <w:numPr>
          <w:ilvl w:val="0"/>
          <w:numId w:val="45"/>
        </w:numPr>
        <w:tabs>
          <w:tab w:pos="1281" w:val="left" w:leader="none"/>
        </w:tabs>
        <w:spacing w:line="256" w:lineRule="auto" w:before="14" w:after="0"/>
        <w:ind w:left="1280" w:right="3519" w:hanging="360"/>
        <w:jc w:val="both"/>
        <w:rPr>
          <w:sz w:val="20"/>
        </w:rPr>
      </w:pPr>
      <w:r>
        <w:rPr>
          <w:sz w:val="20"/>
        </w:rPr>
        <w:t>Local authorities may prefer squashed items to maximise recycling collected, but this could be a false saving if these items end up in landfill</w:t>
      </w:r>
    </w:p>
    <w:p>
      <w:pPr>
        <w:spacing w:after="0" w:line="256" w:lineRule="auto"/>
        <w:jc w:val="both"/>
        <w:rPr>
          <w:sz w:val="20"/>
        </w:rPr>
        <w:sectPr>
          <w:footerReference w:type="default" r:id="rId67"/>
          <w:pgSz w:w="11910" w:h="16840"/>
          <w:pgMar w:footer="698" w:header="576" w:top="1140" w:bottom="880" w:left="880" w:right="780"/>
          <w:pgNumType w:start="61"/>
        </w:sectPr>
      </w:pPr>
    </w:p>
    <w:p>
      <w:pPr>
        <w:pStyle w:val="BodyText"/>
      </w:pPr>
    </w:p>
    <w:p>
      <w:pPr>
        <w:pStyle w:val="BodyText"/>
        <w:spacing w:before="2"/>
        <w:rPr>
          <w:sz w:val="27"/>
        </w:rPr>
      </w:pPr>
    </w:p>
    <w:p>
      <w:pPr>
        <w:pStyle w:val="Heading1"/>
      </w:pPr>
      <w:r>
        <w:rPr/>
        <w:pict>
          <v:line style="position:absolute;mso-position-horizontal-relative:page;mso-position-vertical-relative:paragraph;z-index:2200" from="57.852001pt,4.363784pt" to="57.852001pt,25.123784pt" stroked="true" strokeweight="1.464pt" strokecolor="#ed7d31">
            <v:stroke dashstyle="solid"/>
            <w10:wrap type="none"/>
          </v:line>
        </w:pict>
      </w:r>
      <w:bookmarkStart w:name="APPENDIX G – WRAP CYMRU " w:id="150"/>
      <w:bookmarkEnd w:id="150"/>
      <w:r>
        <w:rPr/>
      </w:r>
      <w:bookmarkStart w:name="_bookmark52" w:id="151"/>
      <w:bookmarkEnd w:id="151"/>
      <w:r>
        <w:rPr/>
      </w:r>
      <w:r>
        <w:rPr>
          <w:spacing w:val="8"/>
        </w:rPr>
        <w:t>APPENDIX </w:t>
      </w:r>
      <w:r>
        <w:rPr/>
        <w:t>G – </w:t>
      </w:r>
      <w:r>
        <w:rPr>
          <w:spacing w:val="6"/>
        </w:rPr>
        <w:t>WRAP</w:t>
      </w:r>
      <w:r>
        <w:rPr>
          <w:spacing w:val="83"/>
        </w:rPr>
        <w:t> </w:t>
      </w:r>
      <w:r>
        <w:rPr>
          <w:spacing w:val="7"/>
        </w:rPr>
        <w:t>CYMRU</w:t>
      </w:r>
    </w:p>
    <w:p>
      <w:pPr>
        <w:pStyle w:val="BodyText"/>
        <w:spacing w:before="1"/>
        <w:rPr>
          <w:rFonts w:ascii="Arial"/>
          <w:sz w:val="26"/>
        </w:rPr>
      </w:pPr>
    </w:p>
    <w:p>
      <w:pPr>
        <w:pStyle w:val="BodyText"/>
        <w:spacing w:line="256" w:lineRule="auto" w:before="59"/>
        <w:ind w:left="560" w:right="115"/>
        <w:jc w:val="both"/>
      </w:pPr>
      <w:r>
        <w:rPr/>
        <w:t>WRAP Cymru provides support to local authorities in Wales on behalf of the Welsh Government. It leads the government’s </w:t>
      </w:r>
      <w:hyperlink r:id="rId79">
        <w:r>
          <w:rPr/>
          <w:t>Collaborative Change Programme</w:t>
        </w:r>
      </w:hyperlink>
      <w:r>
        <w:rPr/>
        <w:t> for local authorities, and supports Wales' </w:t>
      </w:r>
      <w:hyperlink r:id="rId80">
        <w:r>
          <w:rPr/>
          <w:t>resource</w:t>
        </w:r>
      </w:hyperlink>
      <w:r>
        <w:rPr/>
        <w:t> </w:t>
      </w:r>
      <w:hyperlink r:id="rId80">
        <w:r>
          <w:rPr/>
          <w:t>management</w:t>
        </w:r>
      </w:hyperlink>
      <w:r>
        <w:rPr/>
        <w:t> and </w:t>
      </w:r>
      <w:hyperlink r:id="rId81">
        <w:r>
          <w:rPr/>
          <w:t>re-use</w:t>
        </w:r>
      </w:hyperlink>
      <w:r>
        <w:rPr/>
        <w:t> sectors.</w:t>
      </w:r>
    </w:p>
    <w:p>
      <w:pPr>
        <w:pStyle w:val="BodyText"/>
        <w:spacing w:line="256" w:lineRule="auto" w:before="158"/>
        <w:ind w:left="560" w:right="116"/>
        <w:jc w:val="both"/>
      </w:pPr>
      <w:r>
        <w:rPr/>
        <w:t>In</w:t>
      </w:r>
      <w:r>
        <w:rPr>
          <w:spacing w:val="-5"/>
        </w:rPr>
        <w:t> </w:t>
      </w:r>
      <w:r>
        <w:rPr/>
        <w:t>2010,</w:t>
      </w:r>
      <w:r>
        <w:rPr>
          <w:spacing w:val="-5"/>
        </w:rPr>
        <w:t> </w:t>
      </w:r>
      <w:r>
        <w:rPr/>
        <w:t>the</w:t>
      </w:r>
      <w:r>
        <w:rPr>
          <w:spacing w:val="-6"/>
        </w:rPr>
        <w:t> </w:t>
      </w:r>
      <w:r>
        <w:rPr/>
        <w:t>Welsh</w:t>
      </w:r>
      <w:r>
        <w:rPr>
          <w:spacing w:val="-5"/>
        </w:rPr>
        <w:t> </w:t>
      </w:r>
      <w:r>
        <w:rPr/>
        <w:t>government</w:t>
      </w:r>
      <w:r>
        <w:rPr>
          <w:spacing w:val="-5"/>
        </w:rPr>
        <w:t> </w:t>
      </w:r>
      <w:r>
        <w:rPr/>
        <w:t>released</w:t>
      </w:r>
      <w:r>
        <w:rPr>
          <w:spacing w:val="-5"/>
        </w:rPr>
        <w:t> </w:t>
      </w:r>
      <w:r>
        <w:rPr/>
        <w:t>a</w:t>
      </w:r>
      <w:r>
        <w:rPr>
          <w:spacing w:val="-5"/>
        </w:rPr>
        <w:t> </w:t>
      </w:r>
      <w:r>
        <w:rPr/>
        <w:t>waste</w:t>
      </w:r>
      <w:r>
        <w:rPr>
          <w:spacing w:val="-6"/>
        </w:rPr>
        <w:t> </w:t>
      </w:r>
      <w:r>
        <w:rPr/>
        <w:t>strategy</w:t>
      </w:r>
      <w:r>
        <w:rPr>
          <w:spacing w:val="-3"/>
        </w:rPr>
        <w:t> </w:t>
      </w:r>
      <w:r>
        <w:rPr/>
        <w:t>entitled:</w:t>
      </w:r>
      <w:r>
        <w:rPr>
          <w:spacing w:val="-2"/>
        </w:rPr>
        <w:t> </w:t>
      </w:r>
      <w:r>
        <w:rPr>
          <w:i/>
        </w:rPr>
        <w:t>Toward</w:t>
      </w:r>
      <w:r>
        <w:rPr>
          <w:i/>
          <w:spacing w:val="-5"/>
        </w:rPr>
        <w:t> </w:t>
      </w:r>
      <w:r>
        <w:rPr>
          <w:i/>
        </w:rPr>
        <w:t>Zero</w:t>
      </w:r>
      <w:r>
        <w:rPr>
          <w:i/>
          <w:spacing w:val="-5"/>
        </w:rPr>
        <w:t> </w:t>
      </w:r>
      <w:r>
        <w:rPr>
          <w:i/>
        </w:rPr>
        <w:t>Waste,</w:t>
      </w:r>
      <w:r>
        <w:rPr>
          <w:i/>
          <w:spacing w:val="-3"/>
        </w:rPr>
        <w:t> </w:t>
      </w:r>
      <w:r>
        <w:rPr>
          <w:i/>
        </w:rPr>
        <w:t>One</w:t>
      </w:r>
      <w:r>
        <w:rPr>
          <w:i/>
          <w:spacing w:val="-5"/>
        </w:rPr>
        <w:t> </w:t>
      </w:r>
      <w:r>
        <w:rPr>
          <w:i/>
        </w:rPr>
        <w:t>Wales,</w:t>
      </w:r>
      <w:r>
        <w:rPr>
          <w:i/>
          <w:spacing w:val="-5"/>
        </w:rPr>
        <w:t> </w:t>
      </w:r>
      <w:r>
        <w:rPr>
          <w:i/>
        </w:rPr>
        <w:t>One</w:t>
      </w:r>
      <w:r>
        <w:rPr>
          <w:i/>
          <w:spacing w:val="-5"/>
        </w:rPr>
        <w:t> </w:t>
      </w:r>
      <w:r>
        <w:rPr>
          <w:i/>
        </w:rPr>
        <w:t>Planet, </w:t>
      </w:r>
      <w:r>
        <w:rPr/>
        <w:t>that includes targets for municipal waste diversion to recycling and composting, with a target of 70% recycling/composting by 2024/25 as outlined in the following</w:t>
      </w:r>
      <w:r>
        <w:rPr>
          <w:spacing w:val="-28"/>
        </w:rPr>
        <w:t> </w:t>
      </w:r>
      <w:r>
        <w:rPr/>
        <w:t>table.</w:t>
      </w:r>
    </w:p>
    <w:p>
      <w:pPr>
        <w:pStyle w:val="BodyText"/>
        <w:rPr>
          <w:sz w:val="13"/>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1037"/>
        <w:gridCol w:w="1039"/>
        <w:gridCol w:w="1040"/>
        <w:gridCol w:w="1039"/>
        <w:gridCol w:w="1039"/>
      </w:tblGrid>
      <w:tr>
        <w:trPr>
          <w:trHeight w:val="584" w:hRule="exact"/>
        </w:trPr>
        <w:tc>
          <w:tcPr>
            <w:tcW w:w="3262" w:type="dxa"/>
          </w:tcPr>
          <w:p>
            <w:pPr>
              <w:pStyle w:val="TableParagraph"/>
              <w:spacing w:line="256" w:lineRule="auto" w:before="42"/>
              <w:ind w:left="103" w:right="425"/>
              <w:rPr>
                <w:b/>
                <w:sz w:val="19"/>
              </w:rPr>
            </w:pPr>
            <w:r>
              <w:rPr>
                <w:b/>
                <w:sz w:val="19"/>
              </w:rPr>
              <w:t>Municipal waste collected by local authorities</w:t>
            </w:r>
          </w:p>
        </w:tc>
        <w:tc>
          <w:tcPr>
            <w:tcW w:w="1037" w:type="dxa"/>
          </w:tcPr>
          <w:p>
            <w:pPr>
              <w:pStyle w:val="TableParagraph"/>
              <w:spacing w:before="4"/>
              <w:rPr>
                <w:sz w:val="13"/>
              </w:rPr>
            </w:pPr>
          </w:p>
          <w:p>
            <w:pPr>
              <w:pStyle w:val="TableParagraph"/>
              <w:ind w:left="260" w:right="260"/>
              <w:jc w:val="center"/>
              <w:rPr>
                <w:b/>
                <w:sz w:val="19"/>
              </w:rPr>
            </w:pPr>
            <w:r>
              <w:rPr>
                <w:b/>
                <w:sz w:val="19"/>
              </w:rPr>
              <w:t>09/10</w:t>
            </w:r>
          </w:p>
        </w:tc>
        <w:tc>
          <w:tcPr>
            <w:tcW w:w="1039" w:type="dxa"/>
          </w:tcPr>
          <w:p>
            <w:pPr>
              <w:pStyle w:val="TableParagraph"/>
              <w:spacing w:before="4"/>
              <w:rPr>
                <w:sz w:val="13"/>
              </w:rPr>
            </w:pPr>
          </w:p>
          <w:p>
            <w:pPr>
              <w:pStyle w:val="TableParagraph"/>
              <w:ind w:left="261" w:right="261"/>
              <w:jc w:val="center"/>
              <w:rPr>
                <w:b/>
                <w:sz w:val="19"/>
              </w:rPr>
            </w:pPr>
            <w:r>
              <w:rPr>
                <w:b/>
                <w:sz w:val="19"/>
              </w:rPr>
              <w:t>12/13</w:t>
            </w:r>
          </w:p>
        </w:tc>
        <w:tc>
          <w:tcPr>
            <w:tcW w:w="1040" w:type="dxa"/>
          </w:tcPr>
          <w:p>
            <w:pPr>
              <w:pStyle w:val="TableParagraph"/>
              <w:spacing w:before="4"/>
              <w:rPr>
                <w:sz w:val="13"/>
              </w:rPr>
            </w:pPr>
          </w:p>
          <w:p>
            <w:pPr>
              <w:pStyle w:val="TableParagraph"/>
              <w:ind w:left="261" w:right="262"/>
              <w:jc w:val="center"/>
              <w:rPr>
                <w:b/>
                <w:sz w:val="19"/>
              </w:rPr>
            </w:pPr>
            <w:r>
              <w:rPr>
                <w:b/>
                <w:sz w:val="19"/>
              </w:rPr>
              <w:t>15/16</w:t>
            </w:r>
          </w:p>
        </w:tc>
        <w:tc>
          <w:tcPr>
            <w:tcW w:w="1039" w:type="dxa"/>
          </w:tcPr>
          <w:p>
            <w:pPr>
              <w:pStyle w:val="TableParagraph"/>
              <w:spacing w:before="4"/>
              <w:rPr>
                <w:sz w:val="13"/>
              </w:rPr>
            </w:pPr>
          </w:p>
          <w:p>
            <w:pPr>
              <w:pStyle w:val="TableParagraph"/>
              <w:ind w:left="261" w:right="261"/>
              <w:jc w:val="center"/>
              <w:rPr>
                <w:b/>
                <w:sz w:val="19"/>
              </w:rPr>
            </w:pPr>
            <w:r>
              <w:rPr>
                <w:b/>
                <w:sz w:val="19"/>
              </w:rPr>
              <w:t>19/20</w:t>
            </w:r>
          </w:p>
        </w:tc>
        <w:tc>
          <w:tcPr>
            <w:tcW w:w="1039" w:type="dxa"/>
          </w:tcPr>
          <w:p>
            <w:pPr>
              <w:pStyle w:val="TableParagraph"/>
              <w:spacing w:before="4"/>
              <w:rPr>
                <w:sz w:val="13"/>
              </w:rPr>
            </w:pPr>
          </w:p>
          <w:p>
            <w:pPr>
              <w:pStyle w:val="TableParagraph"/>
              <w:ind w:left="261" w:right="261"/>
              <w:jc w:val="center"/>
              <w:rPr>
                <w:b/>
                <w:sz w:val="19"/>
              </w:rPr>
            </w:pPr>
            <w:r>
              <w:rPr>
                <w:b/>
                <w:sz w:val="19"/>
              </w:rPr>
              <w:t>24/25</w:t>
            </w:r>
          </w:p>
        </w:tc>
      </w:tr>
      <w:tr>
        <w:trPr>
          <w:trHeight w:val="833" w:hRule="exact"/>
        </w:trPr>
        <w:tc>
          <w:tcPr>
            <w:tcW w:w="3262" w:type="dxa"/>
          </w:tcPr>
          <w:p>
            <w:pPr>
              <w:pStyle w:val="TableParagraph"/>
              <w:spacing w:line="256" w:lineRule="auto" w:before="42"/>
              <w:ind w:left="103" w:right="96"/>
              <w:rPr>
                <w:b/>
                <w:sz w:val="19"/>
              </w:rPr>
            </w:pPr>
            <w:r>
              <w:rPr>
                <w:b/>
                <w:sz w:val="19"/>
              </w:rPr>
              <w:t>Minimum levels of preparing for reuse and recycling/composting (or AD) for municipal waste.</w:t>
            </w:r>
          </w:p>
        </w:tc>
        <w:tc>
          <w:tcPr>
            <w:tcW w:w="1037" w:type="dxa"/>
          </w:tcPr>
          <w:p>
            <w:pPr>
              <w:pStyle w:val="TableParagraph"/>
              <w:spacing w:before="8"/>
              <w:rPr>
                <w:sz w:val="23"/>
              </w:rPr>
            </w:pPr>
          </w:p>
          <w:p>
            <w:pPr>
              <w:pStyle w:val="TableParagraph"/>
              <w:ind w:left="260" w:right="260"/>
              <w:jc w:val="center"/>
              <w:rPr>
                <w:sz w:val="19"/>
              </w:rPr>
            </w:pPr>
            <w:r>
              <w:rPr>
                <w:sz w:val="19"/>
              </w:rPr>
              <w:t>40%</w:t>
            </w:r>
          </w:p>
        </w:tc>
        <w:tc>
          <w:tcPr>
            <w:tcW w:w="1039" w:type="dxa"/>
          </w:tcPr>
          <w:p>
            <w:pPr>
              <w:pStyle w:val="TableParagraph"/>
              <w:spacing w:before="8"/>
              <w:rPr>
                <w:sz w:val="23"/>
              </w:rPr>
            </w:pPr>
          </w:p>
          <w:p>
            <w:pPr>
              <w:pStyle w:val="TableParagraph"/>
              <w:ind w:left="260" w:right="261"/>
              <w:jc w:val="center"/>
              <w:rPr>
                <w:sz w:val="19"/>
              </w:rPr>
            </w:pPr>
            <w:r>
              <w:rPr>
                <w:sz w:val="19"/>
              </w:rPr>
              <w:t>52%</w:t>
            </w:r>
          </w:p>
        </w:tc>
        <w:tc>
          <w:tcPr>
            <w:tcW w:w="1040" w:type="dxa"/>
          </w:tcPr>
          <w:p>
            <w:pPr>
              <w:pStyle w:val="TableParagraph"/>
              <w:spacing w:before="8"/>
              <w:rPr>
                <w:sz w:val="23"/>
              </w:rPr>
            </w:pPr>
          </w:p>
          <w:p>
            <w:pPr>
              <w:pStyle w:val="TableParagraph"/>
              <w:ind w:left="261" w:right="262"/>
              <w:jc w:val="center"/>
              <w:rPr>
                <w:sz w:val="19"/>
              </w:rPr>
            </w:pPr>
            <w:r>
              <w:rPr>
                <w:sz w:val="19"/>
              </w:rPr>
              <w:t>58%</w:t>
            </w:r>
          </w:p>
        </w:tc>
        <w:tc>
          <w:tcPr>
            <w:tcW w:w="1039" w:type="dxa"/>
          </w:tcPr>
          <w:p>
            <w:pPr>
              <w:pStyle w:val="TableParagraph"/>
              <w:spacing w:before="8"/>
              <w:rPr>
                <w:sz w:val="23"/>
              </w:rPr>
            </w:pPr>
          </w:p>
          <w:p>
            <w:pPr>
              <w:pStyle w:val="TableParagraph"/>
              <w:ind w:left="260" w:right="261"/>
              <w:jc w:val="center"/>
              <w:rPr>
                <w:sz w:val="19"/>
              </w:rPr>
            </w:pPr>
            <w:r>
              <w:rPr>
                <w:sz w:val="19"/>
              </w:rPr>
              <w:t>64%</w:t>
            </w:r>
          </w:p>
        </w:tc>
        <w:tc>
          <w:tcPr>
            <w:tcW w:w="1039" w:type="dxa"/>
          </w:tcPr>
          <w:p>
            <w:pPr>
              <w:pStyle w:val="TableParagraph"/>
              <w:spacing w:before="8"/>
              <w:rPr>
                <w:sz w:val="23"/>
              </w:rPr>
            </w:pPr>
          </w:p>
          <w:p>
            <w:pPr>
              <w:pStyle w:val="TableParagraph"/>
              <w:ind w:left="260" w:right="261"/>
              <w:jc w:val="center"/>
              <w:rPr>
                <w:sz w:val="19"/>
              </w:rPr>
            </w:pPr>
            <w:r>
              <w:rPr>
                <w:sz w:val="19"/>
              </w:rPr>
              <w:t>70%</w:t>
            </w:r>
          </w:p>
        </w:tc>
      </w:tr>
    </w:tbl>
    <w:p>
      <w:pPr>
        <w:pStyle w:val="BodyText"/>
        <w:spacing w:before="160"/>
        <w:ind w:left="560" w:right="114"/>
        <w:jc w:val="both"/>
      </w:pPr>
      <w:r>
        <w:rPr/>
        <w:t>The Collaborative Change Programme for Wales was set up by the government and is administered by WRAP Cymru.</w:t>
      </w:r>
      <w:r>
        <w:rPr>
          <w:spacing w:val="30"/>
        </w:rPr>
        <w:t> </w:t>
      </w:r>
      <w:r>
        <w:rPr/>
        <w:t>The</w:t>
      </w:r>
      <w:r>
        <w:rPr>
          <w:spacing w:val="-9"/>
        </w:rPr>
        <w:t> </w:t>
      </w:r>
      <w:r>
        <w:rPr/>
        <w:t>programme</w:t>
      </w:r>
      <w:r>
        <w:rPr>
          <w:spacing w:val="-9"/>
        </w:rPr>
        <w:t> </w:t>
      </w:r>
      <w:r>
        <w:rPr/>
        <w:t>provides</w:t>
      </w:r>
      <w:r>
        <w:rPr>
          <w:spacing w:val="-5"/>
        </w:rPr>
        <w:t> </w:t>
      </w:r>
      <w:r>
        <w:rPr/>
        <w:t>strategic</w:t>
      </w:r>
      <w:r>
        <w:rPr>
          <w:spacing w:val="-8"/>
        </w:rPr>
        <w:t> </w:t>
      </w:r>
      <w:r>
        <w:rPr/>
        <w:t>and</w:t>
      </w:r>
      <w:r>
        <w:rPr>
          <w:spacing w:val="-9"/>
        </w:rPr>
        <w:t> </w:t>
      </w:r>
      <w:r>
        <w:rPr/>
        <w:t>technical</w:t>
      </w:r>
      <w:r>
        <w:rPr>
          <w:spacing w:val="-8"/>
        </w:rPr>
        <w:t> </w:t>
      </w:r>
      <w:r>
        <w:rPr/>
        <w:t>support</w:t>
      </w:r>
      <w:r>
        <w:rPr>
          <w:spacing w:val="-7"/>
        </w:rPr>
        <w:t> </w:t>
      </w:r>
      <w:r>
        <w:rPr/>
        <w:t>to</w:t>
      </w:r>
      <w:r>
        <w:rPr>
          <w:spacing w:val="-7"/>
        </w:rPr>
        <w:t> </w:t>
      </w:r>
      <w:r>
        <w:rPr/>
        <w:t>help</w:t>
      </w:r>
      <w:r>
        <w:rPr>
          <w:spacing w:val="-7"/>
        </w:rPr>
        <w:t> </w:t>
      </w:r>
      <w:r>
        <w:rPr/>
        <w:t>local</w:t>
      </w:r>
      <w:r>
        <w:rPr>
          <w:spacing w:val="-8"/>
        </w:rPr>
        <w:t> </w:t>
      </w:r>
      <w:r>
        <w:rPr/>
        <w:t>authorities</w:t>
      </w:r>
      <w:r>
        <w:rPr>
          <w:spacing w:val="-7"/>
        </w:rPr>
        <w:t> </w:t>
      </w:r>
      <w:r>
        <w:rPr/>
        <w:t>to</w:t>
      </w:r>
      <w:r>
        <w:rPr>
          <w:spacing w:val="-7"/>
        </w:rPr>
        <w:t> </w:t>
      </w:r>
      <w:r>
        <w:rPr/>
        <w:t>develop</w:t>
      </w:r>
      <w:r>
        <w:rPr>
          <w:spacing w:val="-7"/>
        </w:rPr>
        <w:t> </w:t>
      </w:r>
      <w:r>
        <w:rPr/>
        <w:t>and</w:t>
      </w:r>
      <w:r>
        <w:rPr>
          <w:spacing w:val="-7"/>
        </w:rPr>
        <w:t> </w:t>
      </w:r>
      <w:r>
        <w:rPr/>
        <w:t>deliver detailed plans to achieve the outcomes of the Waste</w:t>
      </w:r>
      <w:r>
        <w:rPr>
          <w:spacing w:val="-20"/>
        </w:rPr>
        <w:t> </w:t>
      </w:r>
      <w:r>
        <w:rPr/>
        <w:t>Strategy.</w:t>
      </w:r>
    </w:p>
    <w:p>
      <w:pPr>
        <w:pStyle w:val="BodyText"/>
        <w:spacing w:before="159"/>
        <w:ind w:left="560"/>
        <w:jc w:val="both"/>
      </w:pPr>
      <w:r>
        <w:rPr/>
        <w:t>Within the Collaborative Change Programme, local authorities can apply for a range of support, including:</w:t>
      </w:r>
    </w:p>
    <w:p>
      <w:pPr>
        <w:pStyle w:val="ListParagraph"/>
        <w:numPr>
          <w:ilvl w:val="0"/>
          <w:numId w:val="35"/>
        </w:numPr>
        <w:tabs>
          <w:tab w:pos="1280" w:val="left" w:leader="none"/>
          <w:tab w:pos="1281" w:val="left" w:leader="none"/>
        </w:tabs>
        <w:spacing w:line="255" w:lineRule="exact" w:before="158" w:after="0"/>
        <w:ind w:left="1280" w:right="0" w:hanging="360"/>
        <w:jc w:val="left"/>
        <w:rPr>
          <w:sz w:val="20"/>
        </w:rPr>
      </w:pPr>
      <w:r>
        <w:rPr>
          <w:sz w:val="20"/>
        </w:rPr>
        <w:t>Service/operations</w:t>
      </w:r>
      <w:r>
        <w:rPr>
          <w:spacing w:val="-14"/>
          <w:sz w:val="20"/>
        </w:rPr>
        <w:t> </w:t>
      </w:r>
      <w:r>
        <w:rPr>
          <w:sz w:val="20"/>
        </w:rPr>
        <w:t>reviews</w:t>
      </w:r>
    </w:p>
    <w:p>
      <w:pPr>
        <w:pStyle w:val="ListParagraph"/>
        <w:numPr>
          <w:ilvl w:val="0"/>
          <w:numId w:val="35"/>
        </w:numPr>
        <w:tabs>
          <w:tab w:pos="1280" w:val="left" w:leader="none"/>
          <w:tab w:pos="1281" w:val="left" w:leader="none"/>
        </w:tabs>
        <w:spacing w:line="240" w:lineRule="auto" w:before="0" w:after="0"/>
        <w:ind w:left="1280" w:right="0" w:hanging="360"/>
        <w:jc w:val="left"/>
        <w:rPr>
          <w:sz w:val="20"/>
        </w:rPr>
      </w:pPr>
      <w:r>
        <w:rPr>
          <w:sz w:val="20"/>
        </w:rPr>
        <w:t>Participation</w:t>
      </w:r>
      <w:r>
        <w:rPr>
          <w:spacing w:val="-7"/>
          <w:sz w:val="20"/>
        </w:rPr>
        <w:t> </w:t>
      </w:r>
      <w:r>
        <w:rPr>
          <w:sz w:val="20"/>
        </w:rPr>
        <w:t>monitoring</w:t>
      </w:r>
    </w:p>
    <w:p>
      <w:pPr>
        <w:pStyle w:val="ListParagraph"/>
        <w:numPr>
          <w:ilvl w:val="0"/>
          <w:numId w:val="35"/>
        </w:numPr>
        <w:tabs>
          <w:tab w:pos="1280" w:val="left" w:leader="none"/>
          <w:tab w:pos="1281" w:val="left" w:leader="none"/>
        </w:tabs>
        <w:spacing w:line="255" w:lineRule="exact" w:before="0" w:after="0"/>
        <w:ind w:left="1280" w:right="0" w:hanging="360"/>
        <w:jc w:val="left"/>
        <w:rPr>
          <w:sz w:val="20"/>
        </w:rPr>
      </w:pPr>
      <w:r>
        <w:rPr>
          <w:sz w:val="20"/>
        </w:rPr>
        <w:t>Route</w:t>
      </w:r>
      <w:r>
        <w:rPr>
          <w:spacing w:val="-4"/>
          <w:sz w:val="20"/>
        </w:rPr>
        <w:t> </w:t>
      </w:r>
      <w:r>
        <w:rPr>
          <w:sz w:val="20"/>
        </w:rPr>
        <w:t>planning</w:t>
      </w:r>
    </w:p>
    <w:p>
      <w:pPr>
        <w:pStyle w:val="ListParagraph"/>
        <w:numPr>
          <w:ilvl w:val="0"/>
          <w:numId w:val="35"/>
        </w:numPr>
        <w:tabs>
          <w:tab w:pos="1280" w:val="left" w:leader="none"/>
          <w:tab w:pos="1281" w:val="left" w:leader="none"/>
        </w:tabs>
        <w:spacing w:line="254" w:lineRule="exact" w:before="0" w:after="0"/>
        <w:ind w:left="1280" w:right="0" w:hanging="360"/>
        <w:jc w:val="left"/>
        <w:rPr>
          <w:sz w:val="20"/>
        </w:rPr>
      </w:pPr>
      <w:r>
        <w:rPr>
          <w:sz w:val="20"/>
        </w:rPr>
        <w:t>Business</w:t>
      </w:r>
      <w:r>
        <w:rPr>
          <w:spacing w:val="-6"/>
          <w:sz w:val="20"/>
        </w:rPr>
        <w:t> </w:t>
      </w:r>
      <w:r>
        <w:rPr>
          <w:sz w:val="20"/>
        </w:rPr>
        <w:t>planning</w:t>
      </w:r>
    </w:p>
    <w:p>
      <w:pPr>
        <w:pStyle w:val="ListParagraph"/>
        <w:numPr>
          <w:ilvl w:val="0"/>
          <w:numId w:val="35"/>
        </w:numPr>
        <w:tabs>
          <w:tab w:pos="1280" w:val="left" w:leader="none"/>
          <w:tab w:pos="1281" w:val="left" w:leader="none"/>
        </w:tabs>
        <w:spacing w:line="254" w:lineRule="exact" w:before="0" w:after="0"/>
        <w:ind w:left="1280" w:right="0" w:hanging="360"/>
        <w:jc w:val="left"/>
        <w:rPr>
          <w:sz w:val="20"/>
        </w:rPr>
      </w:pPr>
      <w:r>
        <w:rPr>
          <w:sz w:val="20"/>
        </w:rPr>
        <w:t>Procurement advice and</w:t>
      </w:r>
      <w:r>
        <w:rPr>
          <w:spacing w:val="-14"/>
          <w:sz w:val="20"/>
        </w:rPr>
        <w:t> </w:t>
      </w:r>
      <w:r>
        <w:rPr>
          <w:sz w:val="20"/>
        </w:rPr>
        <w:t>support</w:t>
      </w:r>
    </w:p>
    <w:p>
      <w:pPr>
        <w:pStyle w:val="ListParagraph"/>
        <w:numPr>
          <w:ilvl w:val="0"/>
          <w:numId w:val="35"/>
        </w:numPr>
        <w:tabs>
          <w:tab w:pos="1280" w:val="left" w:leader="none"/>
          <w:tab w:pos="1281" w:val="left" w:leader="none"/>
        </w:tabs>
        <w:spacing w:line="240" w:lineRule="auto" w:before="0" w:after="0"/>
        <w:ind w:left="1280" w:right="0" w:hanging="360"/>
        <w:jc w:val="left"/>
        <w:rPr>
          <w:sz w:val="20"/>
        </w:rPr>
      </w:pPr>
      <w:r>
        <w:rPr>
          <w:sz w:val="20"/>
        </w:rPr>
        <w:t>Service and change</w:t>
      </w:r>
      <w:r>
        <w:rPr>
          <w:spacing w:val="-11"/>
          <w:sz w:val="20"/>
        </w:rPr>
        <w:t> </w:t>
      </w:r>
      <w:r>
        <w:rPr>
          <w:sz w:val="20"/>
        </w:rPr>
        <w:t>management</w:t>
      </w:r>
    </w:p>
    <w:p>
      <w:pPr>
        <w:pStyle w:val="ListParagraph"/>
        <w:numPr>
          <w:ilvl w:val="0"/>
          <w:numId w:val="35"/>
        </w:numPr>
        <w:tabs>
          <w:tab w:pos="1280" w:val="left" w:leader="none"/>
          <w:tab w:pos="1281" w:val="left" w:leader="none"/>
        </w:tabs>
        <w:spacing w:line="255" w:lineRule="exact" w:before="2" w:after="0"/>
        <w:ind w:left="1280" w:right="0" w:hanging="360"/>
        <w:jc w:val="left"/>
        <w:rPr>
          <w:sz w:val="20"/>
        </w:rPr>
      </w:pPr>
      <w:r>
        <w:rPr>
          <w:sz w:val="20"/>
        </w:rPr>
        <w:t>Enabling partnership</w:t>
      </w:r>
      <w:r>
        <w:rPr>
          <w:spacing w:val="-10"/>
          <w:sz w:val="20"/>
        </w:rPr>
        <w:t> </w:t>
      </w:r>
      <w:r>
        <w:rPr>
          <w:sz w:val="20"/>
        </w:rPr>
        <w:t>working</w:t>
      </w:r>
    </w:p>
    <w:p>
      <w:pPr>
        <w:pStyle w:val="ListParagraph"/>
        <w:numPr>
          <w:ilvl w:val="0"/>
          <w:numId w:val="35"/>
        </w:numPr>
        <w:tabs>
          <w:tab w:pos="1280" w:val="left" w:leader="none"/>
          <w:tab w:pos="1281" w:val="left" w:leader="none"/>
        </w:tabs>
        <w:spacing w:line="254" w:lineRule="exact" w:before="0" w:after="0"/>
        <w:ind w:left="1280" w:right="0" w:hanging="360"/>
        <w:jc w:val="left"/>
        <w:rPr>
          <w:sz w:val="20"/>
        </w:rPr>
      </w:pPr>
      <w:r>
        <w:rPr>
          <w:sz w:val="20"/>
        </w:rPr>
        <w:t>Assistance with marketing recyclate to increase</w:t>
      </w:r>
      <w:r>
        <w:rPr>
          <w:spacing w:val="-21"/>
          <w:sz w:val="20"/>
        </w:rPr>
        <w:t> </w:t>
      </w:r>
      <w:r>
        <w:rPr>
          <w:sz w:val="20"/>
        </w:rPr>
        <w:t>revenue</w:t>
      </w:r>
    </w:p>
    <w:p>
      <w:pPr>
        <w:pStyle w:val="ListParagraph"/>
        <w:numPr>
          <w:ilvl w:val="0"/>
          <w:numId w:val="35"/>
        </w:numPr>
        <w:tabs>
          <w:tab w:pos="1280" w:val="left" w:leader="none"/>
          <w:tab w:pos="1281" w:val="left" w:leader="none"/>
        </w:tabs>
        <w:spacing w:line="254" w:lineRule="exact" w:before="0" w:after="0"/>
        <w:ind w:left="1280" w:right="0" w:hanging="360"/>
        <w:jc w:val="left"/>
        <w:rPr>
          <w:sz w:val="20"/>
        </w:rPr>
      </w:pPr>
      <w:r>
        <w:rPr>
          <w:sz w:val="20"/>
        </w:rPr>
        <w:t>Skills/capacity</w:t>
      </w:r>
      <w:r>
        <w:rPr>
          <w:spacing w:val="-12"/>
          <w:sz w:val="20"/>
        </w:rPr>
        <w:t> </w:t>
      </w:r>
      <w:r>
        <w:rPr>
          <w:sz w:val="20"/>
        </w:rPr>
        <w:t>building</w:t>
      </w:r>
    </w:p>
    <w:p>
      <w:pPr>
        <w:pStyle w:val="ListParagraph"/>
        <w:numPr>
          <w:ilvl w:val="0"/>
          <w:numId w:val="35"/>
        </w:numPr>
        <w:tabs>
          <w:tab w:pos="1280" w:val="left" w:leader="none"/>
          <w:tab w:pos="1281" w:val="left" w:leader="none"/>
        </w:tabs>
        <w:spacing w:line="240" w:lineRule="auto" w:before="0" w:after="0"/>
        <w:ind w:left="1280" w:right="0" w:hanging="360"/>
        <w:jc w:val="left"/>
        <w:rPr>
          <w:sz w:val="20"/>
        </w:rPr>
      </w:pPr>
      <w:r>
        <w:rPr>
          <w:sz w:val="20"/>
        </w:rPr>
        <w:t>Communications and raising</w:t>
      </w:r>
      <w:r>
        <w:rPr>
          <w:spacing w:val="-18"/>
          <w:sz w:val="20"/>
        </w:rPr>
        <w:t> </w:t>
      </w:r>
      <w:r>
        <w:rPr>
          <w:sz w:val="20"/>
        </w:rPr>
        <w:t>awareness</w:t>
      </w:r>
    </w:p>
    <w:p>
      <w:pPr>
        <w:pStyle w:val="BodyText"/>
        <w:spacing w:before="1"/>
        <w:rPr>
          <w:sz w:val="23"/>
        </w:rPr>
      </w:pPr>
    </w:p>
    <w:p>
      <w:pPr>
        <w:pStyle w:val="BodyText"/>
        <w:ind w:left="560" w:right="118"/>
        <w:jc w:val="both"/>
      </w:pPr>
      <w:r>
        <w:rPr/>
        <w:t>An</w:t>
      </w:r>
      <w:r>
        <w:rPr>
          <w:spacing w:val="-10"/>
        </w:rPr>
        <w:t> </w:t>
      </w:r>
      <w:r>
        <w:rPr/>
        <w:t>outcome</w:t>
      </w:r>
      <w:r>
        <w:rPr>
          <w:spacing w:val="-11"/>
        </w:rPr>
        <w:t> </w:t>
      </w:r>
      <w:r>
        <w:rPr/>
        <w:t>of</w:t>
      </w:r>
      <w:r>
        <w:rPr>
          <w:spacing w:val="-11"/>
        </w:rPr>
        <w:t> </w:t>
      </w:r>
      <w:r>
        <w:rPr/>
        <w:t>the</w:t>
      </w:r>
      <w:r>
        <w:rPr>
          <w:spacing w:val="-11"/>
        </w:rPr>
        <w:t> </w:t>
      </w:r>
      <w:r>
        <w:rPr/>
        <w:t>Wales</w:t>
      </w:r>
      <w:r>
        <w:rPr>
          <w:spacing w:val="-9"/>
        </w:rPr>
        <w:t> </w:t>
      </w:r>
      <w:r>
        <w:rPr/>
        <w:t>Waste</w:t>
      </w:r>
      <w:r>
        <w:rPr>
          <w:spacing w:val="-11"/>
        </w:rPr>
        <w:t> </w:t>
      </w:r>
      <w:r>
        <w:rPr/>
        <w:t>Strategy</w:t>
      </w:r>
      <w:r>
        <w:rPr>
          <w:spacing w:val="-10"/>
        </w:rPr>
        <w:t> </w:t>
      </w:r>
      <w:r>
        <w:rPr/>
        <w:t>and</w:t>
      </w:r>
      <w:r>
        <w:rPr>
          <w:spacing w:val="-12"/>
        </w:rPr>
        <w:t> </w:t>
      </w:r>
      <w:r>
        <w:rPr/>
        <w:t>the</w:t>
      </w:r>
      <w:r>
        <w:rPr>
          <w:spacing w:val="-11"/>
        </w:rPr>
        <w:t> </w:t>
      </w:r>
      <w:r>
        <w:rPr/>
        <w:t>Collaborative</w:t>
      </w:r>
      <w:r>
        <w:rPr>
          <w:spacing w:val="-11"/>
        </w:rPr>
        <w:t> </w:t>
      </w:r>
      <w:r>
        <w:rPr/>
        <w:t>Change</w:t>
      </w:r>
      <w:r>
        <w:rPr>
          <w:spacing w:val="-11"/>
        </w:rPr>
        <w:t> </w:t>
      </w:r>
      <w:r>
        <w:rPr/>
        <w:t>Programme</w:t>
      </w:r>
      <w:r>
        <w:rPr>
          <w:spacing w:val="-11"/>
        </w:rPr>
        <w:t> </w:t>
      </w:r>
      <w:r>
        <w:rPr/>
        <w:t>is</w:t>
      </w:r>
      <w:r>
        <w:rPr>
          <w:spacing w:val="-9"/>
        </w:rPr>
        <w:t> </w:t>
      </w:r>
      <w:r>
        <w:rPr/>
        <w:t>that</w:t>
      </w:r>
      <w:r>
        <w:rPr>
          <w:spacing w:val="-12"/>
        </w:rPr>
        <w:t> </w:t>
      </w:r>
      <w:r>
        <w:rPr/>
        <w:t>Wales</w:t>
      </w:r>
      <w:r>
        <w:rPr>
          <w:spacing w:val="-9"/>
        </w:rPr>
        <w:t> </w:t>
      </w:r>
      <w:r>
        <w:rPr/>
        <w:t>has</w:t>
      </w:r>
      <w:r>
        <w:rPr>
          <w:spacing w:val="-11"/>
        </w:rPr>
        <w:t> </w:t>
      </w:r>
      <w:r>
        <w:rPr/>
        <w:t>the</w:t>
      </w:r>
      <w:r>
        <w:rPr>
          <w:spacing w:val="-11"/>
        </w:rPr>
        <w:t> </w:t>
      </w:r>
      <w:r>
        <w:rPr/>
        <w:t>highest recycling</w:t>
      </w:r>
      <w:r>
        <w:rPr>
          <w:spacing w:val="-3"/>
        </w:rPr>
        <w:t> </w:t>
      </w:r>
      <w:r>
        <w:rPr/>
        <w:t>rate</w:t>
      </w:r>
      <w:r>
        <w:rPr>
          <w:spacing w:val="-3"/>
        </w:rPr>
        <w:t> </w:t>
      </w:r>
      <w:r>
        <w:rPr/>
        <w:t>in</w:t>
      </w:r>
      <w:r>
        <w:rPr>
          <w:spacing w:val="-2"/>
        </w:rPr>
        <w:t> </w:t>
      </w:r>
      <w:r>
        <w:rPr/>
        <w:t>the</w:t>
      </w:r>
      <w:r>
        <w:rPr>
          <w:spacing w:val="-3"/>
        </w:rPr>
        <w:t> </w:t>
      </w:r>
      <w:r>
        <w:rPr/>
        <w:t>UK,</w:t>
      </w:r>
      <w:r>
        <w:rPr>
          <w:spacing w:val="-2"/>
        </w:rPr>
        <w:t> </w:t>
      </w:r>
      <w:r>
        <w:rPr/>
        <w:t>and</w:t>
      </w:r>
      <w:r>
        <w:rPr>
          <w:spacing w:val="-2"/>
        </w:rPr>
        <w:t> </w:t>
      </w:r>
      <w:r>
        <w:rPr/>
        <w:t>the</w:t>
      </w:r>
      <w:r>
        <w:rPr>
          <w:spacing w:val="-3"/>
        </w:rPr>
        <w:t> </w:t>
      </w:r>
      <w:r>
        <w:rPr/>
        <w:t>third</w:t>
      </w:r>
      <w:r>
        <w:rPr>
          <w:spacing w:val="-2"/>
        </w:rPr>
        <w:t> </w:t>
      </w:r>
      <w:r>
        <w:rPr/>
        <w:t>highest</w:t>
      </w:r>
      <w:r>
        <w:rPr>
          <w:spacing w:val="-2"/>
        </w:rPr>
        <w:t> </w:t>
      </w:r>
      <w:r>
        <w:rPr/>
        <w:t>recycling</w:t>
      </w:r>
      <w:r>
        <w:rPr>
          <w:spacing w:val="-3"/>
        </w:rPr>
        <w:t> </w:t>
      </w:r>
      <w:r>
        <w:rPr/>
        <w:t>rates</w:t>
      </w:r>
      <w:r>
        <w:rPr>
          <w:spacing w:val="-2"/>
        </w:rPr>
        <w:t> </w:t>
      </w:r>
      <w:r>
        <w:rPr/>
        <w:t>in</w:t>
      </w:r>
      <w:r>
        <w:rPr>
          <w:spacing w:val="-2"/>
        </w:rPr>
        <w:t> </w:t>
      </w:r>
      <w:r>
        <w:rPr/>
        <w:t>the</w:t>
      </w:r>
      <w:r>
        <w:rPr>
          <w:spacing w:val="-3"/>
        </w:rPr>
        <w:t> </w:t>
      </w:r>
      <w:r>
        <w:rPr/>
        <w:t>world</w:t>
      </w:r>
      <w:r>
        <w:rPr>
          <w:spacing w:val="-2"/>
        </w:rPr>
        <w:t> </w:t>
      </w:r>
      <w:r>
        <w:rPr/>
        <w:t>(Papineschi</w:t>
      </w:r>
      <w:r>
        <w:rPr>
          <w:spacing w:val="-3"/>
        </w:rPr>
        <w:t> </w:t>
      </w:r>
      <w:r>
        <w:rPr/>
        <w:t>et</w:t>
      </w:r>
      <w:r>
        <w:rPr>
          <w:spacing w:val="-2"/>
        </w:rPr>
        <w:t> </w:t>
      </w:r>
      <w:r>
        <w:rPr/>
        <w:t>al,</w:t>
      </w:r>
      <w:r>
        <w:rPr>
          <w:spacing w:val="-2"/>
        </w:rPr>
        <w:t> </w:t>
      </w:r>
      <w:r>
        <w:rPr/>
        <w:t>2017).</w:t>
      </w:r>
    </w:p>
    <w:sectPr>
      <w:pgSz w:w="11910" w:h="16840"/>
      <w:pgMar w:header="576" w:footer="698" w:top="1140" w:bottom="880" w:left="88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libri Light">
    <w:altName w:val="Calibri Light"/>
    <w:charset w:val="0"/>
    <w:family w:val="swiss"/>
    <w:pitch w:val="variable"/>
  </w:font>
  <w:font w:name="Symbol">
    <w:altName w:val="Symbol"/>
    <w:charset w:val="2"/>
    <w:family w:val="roman"/>
    <w:pitch w:val="variable"/>
  </w:font>
  <w:font w:name="Arial">
    <w:altName w:val="Arial"/>
    <w:charset w:val="0"/>
    <w:family w:val="swiss"/>
    <w:pitch w:val="variable"/>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3.010010pt;margin-top:796.01001pt;width:49.45pt;height:11.5pt;mso-position-horizontal-relative:page;mso-position-vertical-relative:page;z-index:-67528"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6</w:t>
                </w:r>
                <w:r>
                  <w:rPr/>
                  <w:fldChar w:fldCharType="end"/>
                </w:r>
                <w:r>
                  <w:rPr>
                    <w:sz w:val="19"/>
                  </w:rPr>
                  <w:t> of 62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312" type="#_x0000_t202" filled="false" stroked="false">
          <v:textbox inset="0,0,0,0">
            <w:txbxContent>
              <w:p>
                <w:pPr>
                  <w:spacing w:line="213" w:lineRule="exact" w:before="0"/>
                  <w:ind w:left="20" w:right="0" w:firstLine="0"/>
                  <w:jc w:val="left"/>
                  <w:rPr>
                    <w:sz w:val="19"/>
                  </w:rPr>
                </w:pPr>
                <w:r>
                  <w:rPr>
                    <w:sz w:val="19"/>
                  </w:rPr>
                  <w:t>Page 50 of 62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288"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51</w:t>
                </w:r>
                <w:r>
                  <w:rPr/>
                  <w:fldChar w:fldCharType="end"/>
                </w:r>
                <w:r>
                  <w:rPr>
                    <w:sz w:val="19"/>
                  </w:rPr>
                  <w:t> of 62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216" type="#_x0000_t202" filled="false" stroked="false">
          <v:textbox inset="0,0,0,0">
            <w:txbxContent>
              <w:p>
                <w:pPr>
                  <w:spacing w:line="213" w:lineRule="exact" w:before="0"/>
                  <w:ind w:left="20" w:right="0" w:firstLine="0"/>
                  <w:jc w:val="left"/>
                  <w:rPr>
                    <w:sz w:val="19"/>
                  </w:rPr>
                </w:pPr>
                <w:r>
                  <w:rPr>
                    <w:sz w:val="19"/>
                  </w:rPr>
                  <w:t>Page 60 of 62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192"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61</w:t>
                </w:r>
                <w:r>
                  <w:rPr/>
                  <w:fldChar w:fldCharType="end"/>
                </w:r>
                <w:r>
                  <w:rPr>
                    <w:sz w:val="19"/>
                  </w:rPr>
                  <w:t> of 62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504" type="#_x0000_t202" filled="false" stroked="false">
          <v:textbox inset="0,0,0,0">
            <w:txbxContent>
              <w:p>
                <w:pPr>
                  <w:spacing w:line="213" w:lineRule="exact" w:before="0"/>
                  <w:ind w:left="20" w:right="0" w:firstLine="0"/>
                  <w:jc w:val="left"/>
                  <w:rPr>
                    <w:sz w:val="19"/>
                  </w:rPr>
                </w:pPr>
                <w:r>
                  <w:rPr>
                    <w:sz w:val="19"/>
                  </w:rPr>
                  <w:t>Page 10 of 62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480"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11</w:t>
                </w:r>
                <w:r>
                  <w:rPr/>
                  <w:fldChar w:fldCharType="end"/>
                </w:r>
                <w:r>
                  <w:rPr>
                    <w:sz w:val="19"/>
                  </w:rPr>
                  <w:t> of 62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456" type="#_x0000_t202" filled="false" stroked="false">
          <v:textbox inset="0,0,0,0">
            <w:txbxContent>
              <w:p>
                <w:pPr>
                  <w:spacing w:line="213" w:lineRule="exact" w:before="0"/>
                  <w:ind w:left="20" w:right="0" w:firstLine="0"/>
                  <w:jc w:val="left"/>
                  <w:rPr>
                    <w:sz w:val="19"/>
                  </w:rPr>
                </w:pPr>
                <w:r>
                  <w:rPr>
                    <w:sz w:val="19"/>
                  </w:rPr>
                  <w:t>Page 20 of 62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432"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21</w:t>
                </w:r>
                <w:r>
                  <w:rPr/>
                  <w:fldChar w:fldCharType="end"/>
                </w:r>
                <w:r>
                  <w:rPr>
                    <w:sz w:val="19"/>
                  </w:rPr>
                  <w:t> of 62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408" type="#_x0000_t202" filled="false" stroked="false">
          <v:textbox inset="0,0,0,0">
            <w:txbxContent>
              <w:p>
                <w:pPr>
                  <w:spacing w:line="213" w:lineRule="exact" w:before="0"/>
                  <w:ind w:left="20" w:right="0" w:firstLine="0"/>
                  <w:jc w:val="left"/>
                  <w:rPr>
                    <w:sz w:val="19"/>
                  </w:rPr>
                </w:pPr>
                <w:r>
                  <w:rPr>
                    <w:sz w:val="19"/>
                  </w:rPr>
                  <w:t>Page 30 of 62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384"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31</w:t>
                </w:r>
                <w:r>
                  <w:rPr/>
                  <w:fldChar w:fldCharType="end"/>
                </w:r>
                <w:r>
                  <w:rPr>
                    <w:sz w:val="19"/>
                  </w:rPr>
                  <w:t> of 62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360" type="#_x0000_t202" filled="false" stroked="false">
          <v:textbox inset="0,0,0,0">
            <w:txbxContent>
              <w:p>
                <w:pPr>
                  <w:spacing w:line="213" w:lineRule="exact" w:before="0"/>
                  <w:ind w:left="20" w:right="0" w:firstLine="0"/>
                  <w:jc w:val="left"/>
                  <w:rPr>
                    <w:sz w:val="19"/>
                  </w:rPr>
                </w:pPr>
                <w:r>
                  <w:rPr>
                    <w:sz w:val="19"/>
                  </w:rPr>
                  <w:t>Page 40 of 62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0.489990pt;margin-top:796.01001pt;width:54.25pt;height:11.5pt;mso-position-horizontal-relative:page;mso-position-vertical-relative:page;z-index:-67336" type="#_x0000_t202" filled="false" stroked="false">
          <v:textbox inset="0,0,0,0">
            <w:txbxContent>
              <w:p>
                <w:pPr>
                  <w:spacing w:line="213" w:lineRule="exact" w:before="0"/>
                  <w:ind w:left="20" w:right="0" w:firstLine="0"/>
                  <w:jc w:val="left"/>
                  <w:rPr>
                    <w:sz w:val="19"/>
                  </w:rPr>
                </w:pPr>
                <w:r>
                  <w:rPr>
                    <w:sz w:val="19"/>
                  </w:rPr>
                  <w:t>Page </w:t>
                </w:r>
                <w:r>
                  <w:rPr/>
                  <w:fldChar w:fldCharType="begin"/>
                </w:r>
                <w:r>
                  <w:rPr>
                    <w:sz w:val="19"/>
                  </w:rPr>
                  <w:instrText> PAGE </w:instrText>
                </w:r>
                <w:r>
                  <w:rPr/>
                  <w:fldChar w:fldCharType="separate"/>
                </w:r>
                <w:r>
                  <w:rPr/>
                  <w:t>41</w:t>
                </w:r>
                <w:r>
                  <w:rPr/>
                  <w:fldChar w:fldCharType="end"/>
                </w:r>
                <w:r>
                  <w:rPr>
                    <w:sz w:val="19"/>
                  </w:rPr>
                  <w:t> of 62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67879">
          <wp:simplePos x="0" y="0"/>
          <wp:positionH relativeFrom="page">
            <wp:posOffset>633095</wp:posOffset>
          </wp:positionH>
          <wp:positionV relativeFrom="page">
            <wp:posOffset>365759</wp:posOffset>
          </wp:positionV>
          <wp:extent cx="1881885" cy="334644"/>
          <wp:effectExtent l="0" t="0" r="0" b="0"/>
          <wp:wrapNone/>
          <wp:docPr id="3" name="image1.jpeg" descr=""/>
          <wp:cNvGraphicFramePr>
            <a:graphicFrameLocks noChangeAspect="1"/>
          </wp:cNvGraphicFramePr>
          <a:graphic>
            <a:graphicData uri="http://schemas.openxmlformats.org/drawingml/2006/picture">
              <pic:pic>
                <pic:nvPicPr>
                  <pic:cNvPr id="4" name="image1.jpeg"/>
                  <pic:cNvPicPr/>
                </pic:nvPicPr>
                <pic:blipFill>
                  <a:blip r:embed="rId1" cstate="print"/>
                  <a:stretch>
                    <a:fillRect/>
                  </a:stretch>
                </pic:blipFill>
                <pic:spPr>
                  <a:xfrm>
                    <a:off x="0" y="0"/>
                    <a:ext cx="1881885" cy="33464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52.130005pt;margin-top:36.289982pt;width:272.3pt;height:21.95pt;mso-position-horizontal-relative:page;mso-position-vertical-relative:page;z-index:-67552" type="#_x0000_t202" filled="false" stroked="false">
          <v:textbox inset="0,0,0,0">
            <w:txbxContent>
              <w:p>
                <w:pPr>
                  <w:spacing w:line="203" w:lineRule="exact" w:before="0"/>
                  <w:ind w:left="0" w:right="20" w:firstLine="0"/>
                  <w:jc w:val="right"/>
                  <w:rPr>
                    <w:sz w:val="18"/>
                  </w:rPr>
                </w:pPr>
                <w:r>
                  <w:rPr>
                    <w:sz w:val="18"/>
                  </w:rPr>
                  <w:t>RECOMMENDATIONS FOR STANDARDISATION OF KERBSIDE COLLECTIONS</w:t>
                </w:r>
              </w:p>
              <w:p>
                <w:pPr>
                  <w:spacing w:line="219" w:lineRule="exact" w:before="0"/>
                  <w:ind w:left="0" w:right="18" w:firstLine="0"/>
                  <w:jc w:val="right"/>
                  <w:rPr>
                    <w:sz w:val="18"/>
                  </w:rPr>
                </w:pPr>
                <w:r>
                  <w:rPr>
                    <w:sz w:val="18"/>
                  </w:rPr>
                  <w:t>IN AOTEAROA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68191">
          <wp:simplePos x="0" y="0"/>
          <wp:positionH relativeFrom="page">
            <wp:posOffset>633095</wp:posOffset>
          </wp:positionH>
          <wp:positionV relativeFrom="page">
            <wp:posOffset>365759</wp:posOffset>
          </wp:positionV>
          <wp:extent cx="1881885" cy="334644"/>
          <wp:effectExtent l="0" t="0" r="0" b="0"/>
          <wp:wrapNone/>
          <wp:docPr id="51" name="image31.jpeg" descr=""/>
          <wp:cNvGraphicFramePr>
            <a:graphicFrameLocks noChangeAspect="1"/>
          </wp:cNvGraphicFramePr>
          <a:graphic>
            <a:graphicData uri="http://schemas.openxmlformats.org/drawingml/2006/picture">
              <pic:pic>
                <pic:nvPicPr>
                  <pic:cNvPr id="52" name="image31.jpeg"/>
                  <pic:cNvPicPr/>
                </pic:nvPicPr>
                <pic:blipFill>
                  <a:blip r:embed="rId1" cstate="print"/>
                  <a:stretch>
                    <a:fillRect/>
                  </a:stretch>
                </pic:blipFill>
                <pic:spPr>
                  <a:xfrm>
                    <a:off x="0" y="0"/>
                    <a:ext cx="1881885" cy="334644"/>
                  </a:xfrm>
                  <a:prstGeom prst="rect">
                    <a:avLst/>
                  </a:prstGeom>
                </pic:spPr>
              </pic:pic>
            </a:graphicData>
          </a:graphic>
        </wp:anchor>
      </w:drawing>
    </w:r>
    <w:r>
      <w:rPr/>
      <w:pict>
        <v:shape style="position:absolute;margin-left:252.130005pt;margin-top:36.289982pt;width:272.3pt;height:21.95pt;mso-position-horizontal-relative:page;mso-position-vertical-relative:page;z-index:-67240" type="#_x0000_t202" filled="false" stroked="false">
          <v:textbox inset="0,0,0,0">
            <w:txbxContent>
              <w:p>
                <w:pPr>
                  <w:spacing w:line="203" w:lineRule="exact" w:before="0"/>
                  <w:ind w:left="0" w:right="20" w:firstLine="0"/>
                  <w:jc w:val="right"/>
                  <w:rPr>
                    <w:sz w:val="18"/>
                  </w:rPr>
                </w:pPr>
                <w:r>
                  <w:rPr>
                    <w:sz w:val="18"/>
                  </w:rPr>
                  <w:t>RECOMMENDATIONS FOR STANDARDISATION OF KERBSIDE COLLECTIONS</w:t>
                </w:r>
              </w:p>
              <w:p>
                <w:pPr>
                  <w:spacing w:line="219" w:lineRule="exact" w:before="0"/>
                  <w:ind w:left="0" w:right="18" w:firstLine="0"/>
                  <w:jc w:val="right"/>
                  <w:rPr>
                    <w:sz w:val="18"/>
                  </w:rPr>
                </w:pPr>
                <w:r>
                  <w:rPr>
                    <w:sz w:val="18"/>
                  </w:rPr>
                  <w:t>IN AOTEAROA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0"/>
      <w:numFmt w:val="bullet"/>
      <w:lvlText w:val="•"/>
      <w:lvlJc w:val="left"/>
      <w:pPr>
        <w:ind w:left="1280" w:hanging="360"/>
      </w:pPr>
      <w:rPr>
        <w:rFonts w:hint="default" w:ascii="Arial" w:hAnsi="Arial" w:eastAsia="Arial" w:cs="Arial"/>
        <w:w w:val="99"/>
        <w:sz w:val="20"/>
        <w:szCs w:val="20"/>
      </w:rPr>
    </w:lvl>
    <w:lvl w:ilvl="1">
      <w:start w:val="0"/>
      <w:numFmt w:val="bullet"/>
      <w:lvlText w:val="•"/>
      <w:lvlJc w:val="left"/>
      <w:pPr>
        <w:ind w:left="2176" w:hanging="360"/>
      </w:pPr>
      <w:rPr>
        <w:rFonts w:hint="default"/>
      </w:rPr>
    </w:lvl>
    <w:lvl w:ilvl="2">
      <w:start w:val="0"/>
      <w:numFmt w:val="bullet"/>
      <w:lvlText w:val="•"/>
      <w:lvlJc w:val="left"/>
      <w:pPr>
        <w:ind w:left="3073" w:hanging="360"/>
      </w:pPr>
      <w:rPr>
        <w:rFonts w:hint="default"/>
      </w:rPr>
    </w:lvl>
    <w:lvl w:ilvl="3">
      <w:start w:val="0"/>
      <w:numFmt w:val="bullet"/>
      <w:lvlText w:val="•"/>
      <w:lvlJc w:val="left"/>
      <w:pPr>
        <w:ind w:left="3969" w:hanging="360"/>
      </w:pPr>
      <w:rPr>
        <w:rFonts w:hint="default"/>
      </w:rPr>
    </w:lvl>
    <w:lvl w:ilvl="4">
      <w:start w:val="0"/>
      <w:numFmt w:val="bullet"/>
      <w:lvlText w:val="•"/>
      <w:lvlJc w:val="left"/>
      <w:pPr>
        <w:ind w:left="4866" w:hanging="360"/>
      </w:pPr>
      <w:rPr>
        <w:rFonts w:hint="default"/>
      </w:rPr>
    </w:lvl>
    <w:lvl w:ilvl="5">
      <w:start w:val="0"/>
      <w:numFmt w:val="bullet"/>
      <w:lvlText w:val="•"/>
      <w:lvlJc w:val="left"/>
      <w:pPr>
        <w:ind w:left="5763" w:hanging="360"/>
      </w:pPr>
      <w:rPr>
        <w:rFonts w:hint="default"/>
      </w:rPr>
    </w:lvl>
    <w:lvl w:ilvl="6">
      <w:start w:val="0"/>
      <w:numFmt w:val="bullet"/>
      <w:lvlText w:val="•"/>
      <w:lvlJc w:val="left"/>
      <w:pPr>
        <w:ind w:left="6659" w:hanging="360"/>
      </w:pPr>
      <w:rPr>
        <w:rFonts w:hint="default"/>
      </w:rPr>
    </w:lvl>
    <w:lvl w:ilvl="7">
      <w:start w:val="0"/>
      <w:numFmt w:val="bullet"/>
      <w:lvlText w:val="•"/>
      <w:lvlJc w:val="left"/>
      <w:pPr>
        <w:ind w:left="7556" w:hanging="360"/>
      </w:pPr>
      <w:rPr>
        <w:rFonts w:hint="default"/>
      </w:rPr>
    </w:lvl>
    <w:lvl w:ilvl="8">
      <w:start w:val="0"/>
      <w:numFmt w:val="bullet"/>
      <w:lvlText w:val="•"/>
      <w:lvlJc w:val="left"/>
      <w:pPr>
        <w:ind w:left="8453" w:hanging="360"/>
      </w:pPr>
      <w:rPr>
        <w:rFonts w:hint="default"/>
      </w:rPr>
    </w:lvl>
  </w:abstractNum>
  <w:abstractNum w:abstractNumId="43">
    <w:multiLevelType w:val="hybridMultilevel"/>
    <w:lvl w:ilvl="0">
      <w:start w:val="0"/>
      <w:numFmt w:val="bullet"/>
      <w:lvlText w:val="•"/>
      <w:lvlJc w:val="left"/>
      <w:pPr>
        <w:ind w:left="847" w:hanging="240"/>
      </w:pPr>
      <w:rPr>
        <w:rFonts w:hint="default" w:ascii="Arial" w:hAnsi="Arial" w:eastAsia="Arial" w:cs="Arial"/>
        <w:w w:val="99"/>
        <w:sz w:val="19"/>
        <w:szCs w:val="19"/>
      </w:rPr>
    </w:lvl>
    <w:lvl w:ilvl="1">
      <w:start w:val="0"/>
      <w:numFmt w:val="bullet"/>
      <w:lvlText w:val="•"/>
      <w:lvlJc w:val="left"/>
      <w:pPr>
        <w:ind w:left="1189" w:hanging="240"/>
      </w:pPr>
      <w:rPr>
        <w:rFonts w:hint="default"/>
      </w:rPr>
    </w:lvl>
    <w:lvl w:ilvl="2">
      <w:start w:val="0"/>
      <w:numFmt w:val="bullet"/>
      <w:lvlText w:val="•"/>
      <w:lvlJc w:val="left"/>
      <w:pPr>
        <w:ind w:left="1538" w:hanging="240"/>
      </w:pPr>
      <w:rPr>
        <w:rFonts w:hint="default"/>
      </w:rPr>
    </w:lvl>
    <w:lvl w:ilvl="3">
      <w:start w:val="0"/>
      <w:numFmt w:val="bullet"/>
      <w:lvlText w:val="•"/>
      <w:lvlJc w:val="left"/>
      <w:pPr>
        <w:ind w:left="1887" w:hanging="240"/>
      </w:pPr>
      <w:rPr>
        <w:rFonts w:hint="default"/>
      </w:rPr>
    </w:lvl>
    <w:lvl w:ilvl="4">
      <w:start w:val="0"/>
      <w:numFmt w:val="bullet"/>
      <w:lvlText w:val="•"/>
      <w:lvlJc w:val="left"/>
      <w:pPr>
        <w:ind w:left="2236" w:hanging="240"/>
      </w:pPr>
      <w:rPr>
        <w:rFonts w:hint="default"/>
      </w:rPr>
    </w:lvl>
    <w:lvl w:ilvl="5">
      <w:start w:val="0"/>
      <w:numFmt w:val="bullet"/>
      <w:lvlText w:val="•"/>
      <w:lvlJc w:val="left"/>
      <w:pPr>
        <w:ind w:left="2586" w:hanging="240"/>
      </w:pPr>
      <w:rPr>
        <w:rFonts w:hint="default"/>
      </w:rPr>
    </w:lvl>
    <w:lvl w:ilvl="6">
      <w:start w:val="0"/>
      <w:numFmt w:val="bullet"/>
      <w:lvlText w:val="•"/>
      <w:lvlJc w:val="left"/>
      <w:pPr>
        <w:ind w:left="2935" w:hanging="240"/>
      </w:pPr>
      <w:rPr>
        <w:rFonts w:hint="default"/>
      </w:rPr>
    </w:lvl>
    <w:lvl w:ilvl="7">
      <w:start w:val="0"/>
      <w:numFmt w:val="bullet"/>
      <w:lvlText w:val="•"/>
      <w:lvlJc w:val="left"/>
      <w:pPr>
        <w:ind w:left="3284" w:hanging="240"/>
      </w:pPr>
      <w:rPr>
        <w:rFonts w:hint="default"/>
      </w:rPr>
    </w:lvl>
    <w:lvl w:ilvl="8">
      <w:start w:val="0"/>
      <w:numFmt w:val="bullet"/>
      <w:lvlText w:val="•"/>
      <w:lvlJc w:val="left"/>
      <w:pPr>
        <w:ind w:left="3633" w:hanging="240"/>
      </w:pPr>
      <w:rPr>
        <w:rFonts w:hint="default"/>
      </w:rPr>
    </w:lvl>
  </w:abstractNum>
  <w:abstractNum w:abstractNumId="42">
    <w:multiLevelType w:val="hybridMultilevel"/>
    <w:lvl w:ilvl="0">
      <w:start w:val="0"/>
      <w:numFmt w:val="bullet"/>
      <w:lvlText w:val="•"/>
      <w:lvlJc w:val="left"/>
      <w:pPr>
        <w:ind w:left="920" w:hanging="241"/>
      </w:pPr>
      <w:rPr>
        <w:rFonts w:hint="default" w:ascii="Arial" w:hAnsi="Arial" w:eastAsia="Arial" w:cs="Arial"/>
        <w:w w:val="99"/>
        <w:sz w:val="19"/>
        <w:szCs w:val="19"/>
      </w:rPr>
    </w:lvl>
    <w:lvl w:ilvl="1">
      <w:start w:val="0"/>
      <w:numFmt w:val="bullet"/>
      <w:lvlText w:val="•"/>
      <w:lvlJc w:val="left"/>
      <w:pPr>
        <w:ind w:left="1189" w:hanging="241"/>
      </w:pPr>
      <w:rPr>
        <w:rFonts w:hint="default"/>
      </w:rPr>
    </w:lvl>
    <w:lvl w:ilvl="2">
      <w:start w:val="0"/>
      <w:numFmt w:val="bullet"/>
      <w:lvlText w:val="•"/>
      <w:lvlJc w:val="left"/>
      <w:pPr>
        <w:ind w:left="1458" w:hanging="241"/>
      </w:pPr>
      <w:rPr>
        <w:rFonts w:hint="default"/>
      </w:rPr>
    </w:lvl>
    <w:lvl w:ilvl="3">
      <w:start w:val="0"/>
      <w:numFmt w:val="bullet"/>
      <w:lvlText w:val="•"/>
      <w:lvlJc w:val="left"/>
      <w:pPr>
        <w:ind w:left="1728" w:hanging="241"/>
      </w:pPr>
      <w:rPr>
        <w:rFonts w:hint="default"/>
      </w:rPr>
    </w:lvl>
    <w:lvl w:ilvl="4">
      <w:start w:val="0"/>
      <w:numFmt w:val="bullet"/>
      <w:lvlText w:val="•"/>
      <w:lvlJc w:val="left"/>
      <w:pPr>
        <w:ind w:left="1997" w:hanging="241"/>
      </w:pPr>
      <w:rPr>
        <w:rFonts w:hint="default"/>
      </w:rPr>
    </w:lvl>
    <w:lvl w:ilvl="5">
      <w:start w:val="0"/>
      <w:numFmt w:val="bullet"/>
      <w:lvlText w:val="•"/>
      <w:lvlJc w:val="left"/>
      <w:pPr>
        <w:ind w:left="2266" w:hanging="241"/>
      </w:pPr>
      <w:rPr>
        <w:rFonts w:hint="default"/>
      </w:rPr>
    </w:lvl>
    <w:lvl w:ilvl="6">
      <w:start w:val="0"/>
      <w:numFmt w:val="bullet"/>
      <w:lvlText w:val="•"/>
      <w:lvlJc w:val="left"/>
      <w:pPr>
        <w:ind w:left="2536" w:hanging="241"/>
      </w:pPr>
      <w:rPr>
        <w:rFonts w:hint="default"/>
      </w:rPr>
    </w:lvl>
    <w:lvl w:ilvl="7">
      <w:start w:val="0"/>
      <w:numFmt w:val="bullet"/>
      <w:lvlText w:val="•"/>
      <w:lvlJc w:val="left"/>
      <w:pPr>
        <w:ind w:left="2805" w:hanging="241"/>
      </w:pPr>
      <w:rPr>
        <w:rFonts w:hint="default"/>
      </w:rPr>
    </w:lvl>
    <w:lvl w:ilvl="8">
      <w:start w:val="0"/>
      <w:numFmt w:val="bullet"/>
      <w:lvlText w:val="•"/>
      <w:lvlJc w:val="left"/>
      <w:pPr>
        <w:ind w:left="3074" w:hanging="241"/>
      </w:pPr>
      <w:rPr>
        <w:rFonts w:hint="default"/>
      </w:rPr>
    </w:lvl>
  </w:abstractNum>
  <w:abstractNum w:abstractNumId="41">
    <w:multiLevelType w:val="hybridMultilevel"/>
    <w:lvl w:ilvl="0">
      <w:start w:val="0"/>
      <w:numFmt w:val="bullet"/>
      <w:lvlText w:val="•"/>
      <w:lvlJc w:val="left"/>
      <w:pPr>
        <w:ind w:left="828" w:hanging="240"/>
      </w:pPr>
      <w:rPr>
        <w:rFonts w:hint="default" w:ascii="Arial" w:hAnsi="Arial" w:eastAsia="Arial" w:cs="Arial"/>
        <w:w w:val="99"/>
        <w:sz w:val="19"/>
        <w:szCs w:val="19"/>
      </w:rPr>
    </w:lvl>
    <w:lvl w:ilvl="1">
      <w:start w:val="0"/>
      <w:numFmt w:val="bullet"/>
      <w:lvlText w:val="•"/>
      <w:lvlJc w:val="left"/>
      <w:pPr>
        <w:ind w:left="1171" w:hanging="240"/>
      </w:pPr>
      <w:rPr>
        <w:rFonts w:hint="default"/>
      </w:rPr>
    </w:lvl>
    <w:lvl w:ilvl="2">
      <w:start w:val="0"/>
      <w:numFmt w:val="bullet"/>
      <w:lvlText w:val="•"/>
      <w:lvlJc w:val="left"/>
      <w:pPr>
        <w:ind w:left="1522" w:hanging="240"/>
      </w:pPr>
      <w:rPr>
        <w:rFonts w:hint="default"/>
      </w:rPr>
    </w:lvl>
    <w:lvl w:ilvl="3">
      <w:start w:val="0"/>
      <w:numFmt w:val="bullet"/>
      <w:lvlText w:val="•"/>
      <w:lvlJc w:val="left"/>
      <w:pPr>
        <w:ind w:left="1873" w:hanging="240"/>
      </w:pPr>
      <w:rPr>
        <w:rFonts w:hint="default"/>
      </w:rPr>
    </w:lvl>
    <w:lvl w:ilvl="4">
      <w:start w:val="0"/>
      <w:numFmt w:val="bullet"/>
      <w:lvlText w:val="•"/>
      <w:lvlJc w:val="left"/>
      <w:pPr>
        <w:ind w:left="2224" w:hanging="240"/>
      </w:pPr>
      <w:rPr>
        <w:rFonts w:hint="default"/>
      </w:rPr>
    </w:lvl>
    <w:lvl w:ilvl="5">
      <w:start w:val="0"/>
      <w:numFmt w:val="bullet"/>
      <w:lvlText w:val="•"/>
      <w:lvlJc w:val="left"/>
      <w:pPr>
        <w:ind w:left="2575" w:hanging="240"/>
      </w:pPr>
      <w:rPr>
        <w:rFonts w:hint="default"/>
      </w:rPr>
    </w:lvl>
    <w:lvl w:ilvl="6">
      <w:start w:val="0"/>
      <w:numFmt w:val="bullet"/>
      <w:lvlText w:val="•"/>
      <w:lvlJc w:val="left"/>
      <w:pPr>
        <w:ind w:left="2926" w:hanging="240"/>
      </w:pPr>
      <w:rPr>
        <w:rFonts w:hint="default"/>
      </w:rPr>
    </w:lvl>
    <w:lvl w:ilvl="7">
      <w:start w:val="0"/>
      <w:numFmt w:val="bullet"/>
      <w:lvlText w:val="•"/>
      <w:lvlJc w:val="left"/>
      <w:pPr>
        <w:ind w:left="3277" w:hanging="240"/>
      </w:pPr>
      <w:rPr>
        <w:rFonts w:hint="default"/>
      </w:rPr>
    </w:lvl>
    <w:lvl w:ilvl="8">
      <w:start w:val="0"/>
      <w:numFmt w:val="bullet"/>
      <w:lvlText w:val="•"/>
      <w:lvlJc w:val="left"/>
      <w:pPr>
        <w:ind w:left="3628" w:hanging="240"/>
      </w:pPr>
      <w:rPr>
        <w:rFonts w:hint="default"/>
      </w:rPr>
    </w:lvl>
  </w:abstractNum>
  <w:abstractNum w:abstractNumId="40">
    <w:multiLevelType w:val="hybridMultilevel"/>
    <w:lvl w:ilvl="0">
      <w:start w:val="0"/>
      <w:numFmt w:val="bullet"/>
      <w:lvlText w:val="•"/>
      <w:lvlJc w:val="left"/>
      <w:pPr>
        <w:ind w:left="920" w:hanging="241"/>
      </w:pPr>
      <w:rPr>
        <w:rFonts w:hint="default" w:ascii="Arial" w:hAnsi="Arial" w:eastAsia="Arial" w:cs="Arial"/>
        <w:w w:val="99"/>
        <w:sz w:val="19"/>
        <w:szCs w:val="19"/>
      </w:rPr>
    </w:lvl>
    <w:lvl w:ilvl="1">
      <w:start w:val="0"/>
      <w:numFmt w:val="bullet"/>
      <w:lvlText w:val="•"/>
      <w:lvlJc w:val="left"/>
      <w:pPr>
        <w:ind w:left="1191" w:hanging="241"/>
      </w:pPr>
      <w:rPr>
        <w:rFonts w:hint="default"/>
      </w:rPr>
    </w:lvl>
    <w:lvl w:ilvl="2">
      <w:start w:val="0"/>
      <w:numFmt w:val="bullet"/>
      <w:lvlText w:val="•"/>
      <w:lvlJc w:val="left"/>
      <w:pPr>
        <w:ind w:left="1462" w:hanging="241"/>
      </w:pPr>
      <w:rPr>
        <w:rFonts w:hint="default"/>
      </w:rPr>
    </w:lvl>
    <w:lvl w:ilvl="3">
      <w:start w:val="0"/>
      <w:numFmt w:val="bullet"/>
      <w:lvlText w:val="•"/>
      <w:lvlJc w:val="left"/>
      <w:pPr>
        <w:ind w:left="1733" w:hanging="241"/>
      </w:pPr>
      <w:rPr>
        <w:rFonts w:hint="default"/>
      </w:rPr>
    </w:lvl>
    <w:lvl w:ilvl="4">
      <w:start w:val="0"/>
      <w:numFmt w:val="bullet"/>
      <w:lvlText w:val="•"/>
      <w:lvlJc w:val="left"/>
      <w:pPr>
        <w:ind w:left="2004" w:hanging="241"/>
      </w:pPr>
      <w:rPr>
        <w:rFonts w:hint="default"/>
      </w:rPr>
    </w:lvl>
    <w:lvl w:ilvl="5">
      <w:start w:val="0"/>
      <w:numFmt w:val="bullet"/>
      <w:lvlText w:val="•"/>
      <w:lvlJc w:val="left"/>
      <w:pPr>
        <w:ind w:left="2276" w:hanging="241"/>
      </w:pPr>
      <w:rPr>
        <w:rFonts w:hint="default"/>
      </w:rPr>
    </w:lvl>
    <w:lvl w:ilvl="6">
      <w:start w:val="0"/>
      <w:numFmt w:val="bullet"/>
      <w:lvlText w:val="•"/>
      <w:lvlJc w:val="left"/>
      <w:pPr>
        <w:ind w:left="2547" w:hanging="241"/>
      </w:pPr>
      <w:rPr>
        <w:rFonts w:hint="default"/>
      </w:rPr>
    </w:lvl>
    <w:lvl w:ilvl="7">
      <w:start w:val="0"/>
      <w:numFmt w:val="bullet"/>
      <w:lvlText w:val="•"/>
      <w:lvlJc w:val="left"/>
      <w:pPr>
        <w:ind w:left="2818" w:hanging="241"/>
      </w:pPr>
      <w:rPr>
        <w:rFonts w:hint="default"/>
      </w:rPr>
    </w:lvl>
    <w:lvl w:ilvl="8">
      <w:start w:val="0"/>
      <w:numFmt w:val="bullet"/>
      <w:lvlText w:val="•"/>
      <w:lvlJc w:val="left"/>
      <w:pPr>
        <w:ind w:left="3089" w:hanging="241"/>
      </w:pPr>
      <w:rPr>
        <w:rFonts w:hint="default"/>
      </w:rPr>
    </w:lvl>
  </w:abstractNum>
  <w:abstractNum w:abstractNumId="39">
    <w:multiLevelType w:val="hybridMultilevel"/>
    <w:lvl w:ilvl="0">
      <w:start w:val="0"/>
      <w:numFmt w:val="bullet"/>
      <w:lvlText w:val="•"/>
      <w:lvlJc w:val="left"/>
      <w:pPr>
        <w:ind w:left="708" w:hanging="240"/>
      </w:pPr>
      <w:rPr>
        <w:rFonts w:hint="default" w:ascii="Arial" w:hAnsi="Arial" w:eastAsia="Arial" w:cs="Arial"/>
        <w:w w:val="99"/>
        <w:sz w:val="19"/>
        <w:szCs w:val="19"/>
      </w:rPr>
    </w:lvl>
    <w:lvl w:ilvl="1">
      <w:start w:val="0"/>
      <w:numFmt w:val="bullet"/>
      <w:lvlText w:val="•"/>
      <w:lvlJc w:val="left"/>
      <w:pPr>
        <w:ind w:left="1090" w:hanging="240"/>
      </w:pPr>
      <w:rPr>
        <w:rFonts w:hint="default"/>
      </w:rPr>
    </w:lvl>
    <w:lvl w:ilvl="2">
      <w:start w:val="0"/>
      <w:numFmt w:val="bullet"/>
      <w:lvlText w:val="•"/>
      <w:lvlJc w:val="left"/>
      <w:pPr>
        <w:ind w:left="1481" w:hanging="240"/>
      </w:pPr>
      <w:rPr>
        <w:rFonts w:hint="default"/>
      </w:rPr>
    </w:lvl>
    <w:lvl w:ilvl="3">
      <w:start w:val="0"/>
      <w:numFmt w:val="bullet"/>
      <w:lvlText w:val="•"/>
      <w:lvlJc w:val="left"/>
      <w:pPr>
        <w:ind w:left="1872" w:hanging="240"/>
      </w:pPr>
      <w:rPr>
        <w:rFonts w:hint="default"/>
      </w:rPr>
    </w:lvl>
    <w:lvl w:ilvl="4">
      <w:start w:val="0"/>
      <w:numFmt w:val="bullet"/>
      <w:lvlText w:val="•"/>
      <w:lvlJc w:val="left"/>
      <w:pPr>
        <w:ind w:left="2263" w:hanging="240"/>
      </w:pPr>
      <w:rPr>
        <w:rFonts w:hint="default"/>
      </w:rPr>
    </w:lvl>
    <w:lvl w:ilvl="5">
      <w:start w:val="0"/>
      <w:numFmt w:val="bullet"/>
      <w:lvlText w:val="•"/>
      <w:lvlJc w:val="left"/>
      <w:pPr>
        <w:ind w:left="2654" w:hanging="240"/>
      </w:pPr>
      <w:rPr>
        <w:rFonts w:hint="default"/>
      </w:rPr>
    </w:lvl>
    <w:lvl w:ilvl="6">
      <w:start w:val="0"/>
      <w:numFmt w:val="bullet"/>
      <w:lvlText w:val="•"/>
      <w:lvlJc w:val="left"/>
      <w:pPr>
        <w:ind w:left="3045" w:hanging="240"/>
      </w:pPr>
      <w:rPr>
        <w:rFonts w:hint="default"/>
      </w:rPr>
    </w:lvl>
    <w:lvl w:ilvl="7">
      <w:start w:val="0"/>
      <w:numFmt w:val="bullet"/>
      <w:lvlText w:val="•"/>
      <w:lvlJc w:val="left"/>
      <w:pPr>
        <w:ind w:left="3435" w:hanging="240"/>
      </w:pPr>
      <w:rPr>
        <w:rFonts w:hint="default"/>
      </w:rPr>
    </w:lvl>
    <w:lvl w:ilvl="8">
      <w:start w:val="0"/>
      <w:numFmt w:val="bullet"/>
      <w:lvlText w:val="•"/>
      <w:lvlJc w:val="left"/>
      <w:pPr>
        <w:ind w:left="3826" w:hanging="240"/>
      </w:pPr>
      <w:rPr>
        <w:rFonts w:hint="default"/>
      </w:rPr>
    </w:lvl>
  </w:abstractNum>
  <w:abstractNum w:abstractNumId="38">
    <w:multiLevelType w:val="hybridMultilevel"/>
    <w:lvl w:ilvl="0">
      <w:start w:val="0"/>
      <w:numFmt w:val="bullet"/>
      <w:lvlText w:val="•"/>
      <w:lvlJc w:val="left"/>
      <w:pPr>
        <w:ind w:left="920" w:hanging="240"/>
      </w:pPr>
      <w:rPr>
        <w:rFonts w:hint="default" w:ascii="Arial" w:hAnsi="Arial" w:eastAsia="Arial" w:cs="Arial"/>
        <w:w w:val="99"/>
        <w:sz w:val="19"/>
        <w:szCs w:val="19"/>
      </w:rPr>
    </w:lvl>
    <w:lvl w:ilvl="1">
      <w:start w:val="0"/>
      <w:numFmt w:val="bullet"/>
      <w:lvlText w:val="•"/>
      <w:lvlJc w:val="left"/>
      <w:pPr>
        <w:ind w:left="1191" w:hanging="240"/>
      </w:pPr>
      <w:rPr>
        <w:rFonts w:hint="default"/>
      </w:rPr>
    </w:lvl>
    <w:lvl w:ilvl="2">
      <w:start w:val="0"/>
      <w:numFmt w:val="bullet"/>
      <w:lvlText w:val="•"/>
      <w:lvlJc w:val="left"/>
      <w:pPr>
        <w:ind w:left="1462" w:hanging="240"/>
      </w:pPr>
      <w:rPr>
        <w:rFonts w:hint="default"/>
      </w:rPr>
    </w:lvl>
    <w:lvl w:ilvl="3">
      <w:start w:val="0"/>
      <w:numFmt w:val="bullet"/>
      <w:lvlText w:val="•"/>
      <w:lvlJc w:val="left"/>
      <w:pPr>
        <w:ind w:left="1733" w:hanging="240"/>
      </w:pPr>
      <w:rPr>
        <w:rFonts w:hint="default"/>
      </w:rPr>
    </w:lvl>
    <w:lvl w:ilvl="4">
      <w:start w:val="0"/>
      <w:numFmt w:val="bullet"/>
      <w:lvlText w:val="•"/>
      <w:lvlJc w:val="left"/>
      <w:pPr>
        <w:ind w:left="2004" w:hanging="240"/>
      </w:pPr>
      <w:rPr>
        <w:rFonts w:hint="default"/>
      </w:rPr>
    </w:lvl>
    <w:lvl w:ilvl="5">
      <w:start w:val="0"/>
      <w:numFmt w:val="bullet"/>
      <w:lvlText w:val="•"/>
      <w:lvlJc w:val="left"/>
      <w:pPr>
        <w:ind w:left="2276" w:hanging="240"/>
      </w:pPr>
      <w:rPr>
        <w:rFonts w:hint="default"/>
      </w:rPr>
    </w:lvl>
    <w:lvl w:ilvl="6">
      <w:start w:val="0"/>
      <w:numFmt w:val="bullet"/>
      <w:lvlText w:val="•"/>
      <w:lvlJc w:val="left"/>
      <w:pPr>
        <w:ind w:left="2547" w:hanging="240"/>
      </w:pPr>
      <w:rPr>
        <w:rFonts w:hint="default"/>
      </w:rPr>
    </w:lvl>
    <w:lvl w:ilvl="7">
      <w:start w:val="0"/>
      <w:numFmt w:val="bullet"/>
      <w:lvlText w:val="•"/>
      <w:lvlJc w:val="left"/>
      <w:pPr>
        <w:ind w:left="2818" w:hanging="240"/>
      </w:pPr>
      <w:rPr>
        <w:rFonts w:hint="default"/>
      </w:rPr>
    </w:lvl>
    <w:lvl w:ilvl="8">
      <w:start w:val="0"/>
      <w:numFmt w:val="bullet"/>
      <w:lvlText w:val="•"/>
      <w:lvlJc w:val="left"/>
      <w:pPr>
        <w:ind w:left="3089" w:hanging="240"/>
      </w:pPr>
      <w:rPr>
        <w:rFonts w:hint="default"/>
      </w:rPr>
    </w:lvl>
  </w:abstractNum>
  <w:abstractNum w:abstractNumId="37">
    <w:multiLevelType w:val="hybridMultilevel"/>
    <w:lvl w:ilvl="0">
      <w:start w:val="0"/>
      <w:numFmt w:val="bullet"/>
      <w:lvlText w:val="•"/>
      <w:lvlJc w:val="left"/>
      <w:pPr>
        <w:ind w:left="920" w:hanging="240"/>
      </w:pPr>
      <w:rPr>
        <w:rFonts w:hint="default" w:ascii="Arial" w:hAnsi="Arial" w:eastAsia="Arial" w:cs="Arial"/>
        <w:w w:val="99"/>
        <w:sz w:val="19"/>
        <w:szCs w:val="19"/>
      </w:rPr>
    </w:lvl>
    <w:lvl w:ilvl="1">
      <w:start w:val="0"/>
      <w:numFmt w:val="bullet"/>
      <w:lvlText w:val="•"/>
      <w:lvlJc w:val="left"/>
      <w:pPr>
        <w:ind w:left="1297" w:hanging="240"/>
      </w:pPr>
      <w:rPr>
        <w:rFonts w:hint="default"/>
      </w:rPr>
    </w:lvl>
    <w:lvl w:ilvl="2">
      <w:start w:val="0"/>
      <w:numFmt w:val="bullet"/>
      <w:lvlText w:val="•"/>
      <w:lvlJc w:val="left"/>
      <w:pPr>
        <w:ind w:left="1674" w:hanging="240"/>
      </w:pPr>
      <w:rPr>
        <w:rFonts w:hint="default"/>
      </w:rPr>
    </w:lvl>
    <w:lvl w:ilvl="3">
      <w:start w:val="0"/>
      <w:numFmt w:val="bullet"/>
      <w:lvlText w:val="•"/>
      <w:lvlJc w:val="left"/>
      <w:pPr>
        <w:ind w:left="2051" w:hanging="240"/>
      </w:pPr>
      <w:rPr>
        <w:rFonts w:hint="default"/>
      </w:rPr>
    </w:lvl>
    <w:lvl w:ilvl="4">
      <w:start w:val="0"/>
      <w:numFmt w:val="bullet"/>
      <w:lvlText w:val="•"/>
      <w:lvlJc w:val="left"/>
      <w:pPr>
        <w:ind w:left="2429" w:hanging="240"/>
      </w:pPr>
      <w:rPr>
        <w:rFonts w:hint="default"/>
      </w:rPr>
    </w:lvl>
    <w:lvl w:ilvl="5">
      <w:start w:val="0"/>
      <w:numFmt w:val="bullet"/>
      <w:lvlText w:val="•"/>
      <w:lvlJc w:val="left"/>
      <w:pPr>
        <w:ind w:left="2806" w:hanging="240"/>
      </w:pPr>
      <w:rPr>
        <w:rFonts w:hint="default"/>
      </w:rPr>
    </w:lvl>
    <w:lvl w:ilvl="6">
      <w:start w:val="0"/>
      <w:numFmt w:val="bullet"/>
      <w:lvlText w:val="•"/>
      <w:lvlJc w:val="left"/>
      <w:pPr>
        <w:ind w:left="3183" w:hanging="240"/>
      </w:pPr>
      <w:rPr>
        <w:rFonts w:hint="default"/>
      </w:rPr>
    </w:lvl>
    <w:lvl w:ilvl="7">
      <w:start w:val="0"/>
      <w:numFmt w:val="bullet"/>
      <w:lvlText w:val="•"/>
      <w:lvlJc w:val="left"/>
      <w:pPr>
        <w:ind w:left="3560" w:hanging="240"/>
      </w:pPr>
      <w:rPr>
        <w:rFonts w:hint="default"/>
      </w:rPr>
    </w:lvl>
    <w:lvl w:ilvl="8">
      <w:start w:val="0"/>
      <w:numFmt w:val="bullet"/>
      <w:lvlText w:val="•"/>
      <w:lvlJc w:val="left"/>
      <w:pPr>
        <w:ind w:left="3938" w:hanging="240"/>
      </w:pPr>
      <w:rPr>
        <w:rFonts w:hint="default"/>
      </w:rPr>
    </w:lvl>
  </w:abstractNum>
  <w:abstractNum w:abstractNumId="36">
    <w:multiLevelType w:val="hybridMultilevel"/>
    <w:lvl w:ilvl="0">
      <w:start w:val="0"/>
      <w:numFmt w:val="bullet"/>
      <w:lvlText w:val="•"/>
      <w:lvlJc w:val="left"/>
      <w:pPr>
        <w:ind w:left="852" w:hanging="240"/>
      </w:pPr>
      <w:rPr>
        <w:rFonts w:hint="default" w:ascii="Arial" w:hAnsi="Arial" w:eastAsia="Arial" w:cs="Arial"/>
        <w:w w:val="99"/>
        <w:sz w:val="19"/>
        <w:szCs w:val="19"/>
      </w:rPr>
    </w:lvl>
    <w:lvl w:ilvl="1">
      <w:start w:val="0"/>
      <w:numFmt w:val="bullet"/>
      <w:lvlText w:val="•"/>
      <w:lvlJc w:val="left"/>
      <w:pPr>
        <w:ind w:left="1132" w:hanging="240"/>
      </w:pPr>
      <w:rPr>
        <w:rFonts w:hint="default"/>
      </w:rPr>
    </w:lvl>
    <w:lvl w:ilvl="2">
      <w:start w:val="0"/>
      <w:numFmt w:val="bullet"/>
      <w:lvlText w:val="•"/>
      <w:lvlJc w:val="left"/>
      <w:pPr>
        <w:ind w:left="1404" w:hanging="240"/>
      </w:pPr>
      <w:rPr>
        <w:rFonts w:hint="default"/>
      </w:rPr>
    </w:lvl>
    <w:lvl w:ilvl="3">
      <w:start w:val="0"/>
      <w:numFmt w:val="bullet"/>
      <w:lvlText w:val="•"/>
      <w:lvlJc w:val="left"/>
      <w:pPr>
        <w:ind w:left="1677" w:hanging="240"/>
      </w:pPr>
      <w:rPr>
        <w:rFonts w:hint="default"/>
      </w:rPr>
    </w:lvl>
    <w:lvl w:ilvl="4">
      <w:start w:val="0"/>
      <w:numFmt w:val="bullet"/>
      <w:lvlText w:val="•"/>
      <w:lvlJc w:val="left"/>
      <w:pPr>
        <w:ind w:left="1949" w:hanging="240"/>
      </w:pPr>
      <w:rPr>
        <w:rFonts w:hint="default"/>
      </w:rPr>
    </w:lvl>
    <w:lvl w:ilvl="5">
      <w:start w:val="0"/>
      <w:numFmt w:val="bullet"/>
      <w:lvlText w:val="•"/>
      <w:lvlJc w:val="left"/>
      <w:pPr>
        <w:ind w:left="2222" w:hanging="240"/>
      </w:pPr>
      <w:rPr>
        <w:rFonts w:hint="default"/>
      </w:rPr>
    </w:lvl>
    <w:lvl w:ilvl="6">
      <w:start w:val="0"/>
      <w:numFmt w:val="bullet"/>
      <w:lvlText w:val="•"/>
      <w:lvlJc w:val="left"/>
      <w:pPr>
        <w:ind w:left="2494" w:hanging="240"/>
      </w:pPr>
      <w:rPr>
        <w:rFonts w:hint="default"/>
      </w:rPr>
    </w:lvl>
    <w:lvl w:ilvl="7">
      <w:start w:val="0"/>
      <w:numFmt w:val="bullet"/>
      <w:lvlText w:val="•"/>
      <w:lvlJc w:val="left"/>
      <w:pPr>
        <w:ind w:left="2767" w:hanging="240"/>
      </w:pPr>
      <w:rPr>
        <w:rFonts w:hint="default"/>
      </w:rPr>
    </w:lvl>
    <w:lvl w:ilvl="8">
      <w:start w:val="0"/>
      <w:numFmt w:val="bullet"/>
      <w:lvlText w:val="•"/>
      <w:lvlJc w:val="left"/>
      <w:pPr>
        <w:ind w:left="3039" w:hanging="240"/>
      </w:pPr>
      <w:rPr>
        <w:rFonts w:hint="default"/>
      </w:rPr>
    </w:lvl>
  </w:abstractNum>
  <w:abstractNum w:abstractNumId="35">
    <w:multiLevelType w:val="hybridMultilevel"/>
    <w:lvl w:ilvl="0">
      <w:start w:val="0"/>
      <w:numFmt w:val="bullet"/>
      <w:lvlText w:val="•"/>
      <w:lvlJc w:val="left"/>
      <w:pPr>
        <w:ind w:left="920" w:hanging="240"/>
      </w:pPr>
      <w:rPr>
        <w:rFonts w:hint="default" w:ascii="Arial" w:hAnsi="Arial" w:eastAsia="Arial" w:cs="Arial"/>
        <w:w w:val="99"/>
        <w:sz w:val="19"/>
        <w:szCs w:val="19"/>
      </w:rPr>
    </w:lvl>
    <w:lvl w:ilvl="1">
      <w:start w:val="0"/>
      <w:numFmt w:val="bullet"/>
      <w:lvlText w:val="•"/>
      <w:lvlJc w:val="left"/>
      <w:pPr>
        <w:ind w:left="1273" w:hanging="240"/>
      </w:pPr>
      <w:rPr>
        <w:rFonts w:hint="default"/>
      </w:rPr>
    </w:lvl>
    <w:lvl w:ilvl="2">
      <w:start w:val="0"/>
      <w:numFmt w:val="bullet"/>
      <w:lvlText w:val="•"/>
      <w:lvlJc w:val="left"/>
      <w:pPr>
        <w:ind w:left="1627" w:hanging="240"/>
      </w:pPr>
      <w:rPr>
        <w:rFonts w:hint="default"/>
      </w:rPr>
    </w:lvl>
    <w:lvl w:ilvl="3">
      <w:start w:val="0"/>
      <w:numFmt w:val="bullet"/>
      <w:lvlText w:val="•"/>
      <w:lvlJc w:val="left"/>
      <w:pPr>
        <w:ind w:left="1980" w:hanging="240"/>
      </w:pPr>
      <w:rPr>
        <w:rFonts w:hint="default"/>
      </w:rPr>
    </w:lvl>
    <w:lvl w:ilvl="4">
      <w:start w:val="0"/>
      <w:numFmt w:val="bullet"/>
      <w:lvlText w:val="•"/>
      <w:lvlJc w:val="left"/>
      <w:pPr>
        <w:ind w:left="2334" w:hanging="240"/>
      </w:pPr>
      <w:rPr>
        <w:rFonts w:hint="default"/>
      </w:rPr>
    </w:lvl>
    <w:lvl w:ilvl="5">
      <w:start w:val="0"/>
      <w:numFmt w:val="bullet"/>
      <w:lvlText w:val="•"/>
      <w:lvlJc w:val="left"/>
      <w:pPr>
        <w:ind w:left="2687" w:hanging="240"/>
      </w:pPr>
      <w:rPr>
        <w:rFonts w:hint="default"/>
      </w:rPr>
    </w:lvl>
    <w:lvl w:ilvl="6">
      <w:start w:val="0"/>
      <w:numFmt w:val="bullet"/>
      <w:lvlText w:val="•"/>
      <w:lvlJc w:val="left"/>
      <w:pPr>
        <w:ind w:left="3041" w:hanging="240"/>
      </w:pPr>
      <w:rPr>
        <w:rFonts w:hint="default"/>
      </w:rPr>
    </w:lvl>
    <w:lvl w:ilvl="7">
      <w:start w:val="0"/>
      <w:numFmt w:val="bullet"/>
      <w:lvlText w:val="•"/>
      <w:lvlJc w:val="left"/>
      <w:pPr>
        <w:ind w:left="3394" w:hanging="240"/>
      </w:pPr>
      <w:rPr>
        <w:rFonts w:hint="default"/>
      </w:rPr>
    </w:lvl>
    <w:lvl w:ilvl="8">
      <w:start w:val="0"/>
      <w:numFmt w:val="bullet"/>
      <w:lvlText w:val="•"/>
      <w:lvlJc w:val="left"/>
      <w:pPr>
        <w:ind w:left="3748" w:hanging="240"/>
      </w:pPr>
      <w:rPr>
        <w:rFonts w:hint="default"/>
      </w:rPr>
    </w:lvl>
  </w:abstractNum>
  <w:abstractNum w:abstractNumId="34">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33">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32">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31">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30">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29">
    <w:multiLevelType w:val="hybridMultilevel"/>
    <w:lvl w:ilvl="0">
      <w:start w:val="1"/>
      <w:numFmt w:val="decimal"/>
      <w:lvlText w:val="%1."/>
      <w:lvlJc w:val="left"/>
      <w:pPr>
        <w:ind w:left="920" w:hanging="360"/>
        <w:jc w:val="left"/>
      </w:pPr>
      <w:rPr>
        <w:rFonts w:hint="default" w:ascii="Calibri" w:hAnsi="Calibri" w:eastAsia="Calibri" w:cs="Calibri"/>
        <w:b/>
        <w:bCs/>
        <w:spacing w:val="-1"/>
        <w:w w:val="99"/>
        <w:sz w:val="20"/>
        <w:szCs w:val="20"/>
      </w:rPr>
    </w:lvl>
    <w:lvl w:ilvl="1">
      <w:start w:val="1"/>
      <w:numFmt w:val="upperLetter"/>
      <w:lvlText w:val="%2)"/>
      <w:lvlJc w:val="left"/>
      <w:pPr>
        <w:ind w:left="1280" w:hanging="360"/>
        <w:jc w:val="left"/>
      </w:pPr>
      <w:rPr>
        <w:rFonts w:hint="default" w:ascii="Calibri" w:hAnsi="Calibri" w:eastAsia="Calibri" w:cs="Calibri"/>
        <w:b/>
        <w:bCs/>
        <w:spacing w:val="-1"/>
        <w:w w:val="99"/>
        <w:sz w:val="20"/>
        <w:szCs w:val="20"/>
      </w:rPr>
    </w:lvl>
    <w:lvl w:ilvl="2">
      <w:start w:val="0"/>
      <w:numFmt w:val="bullet"/>
      <w:lvlText w:val="•"/>
      <w:lvlJc w:val="left"/>
      <w:pPr>
        <w:ind w:left="2216" w:hanging="360"/>
      </w:pPr>
      <w:rPr>
        <w:rFonts w:hint="default"/>
      </w:rPr>
    </w:lvl>
    <w:lvl w:ilvl="3">
      <w:start w:val="0"/>
      <w:numFmt w:val="bullet"/>
      <w:lvlText w:val="•"/>
      <w:lvlJc w:val="left"/>
      <w:pPr>
        <w:ind w:left="3152" w:hanging="360"/>
      </w:pPr>
      <w:rPr>
        <w:rFonts w:hint="default"/>
      </w:rPr>
    </w:lvl>
    <w:lvl w:ilvl="4">
      <w:start w:val="0"/>
      <w:numFmt w:val="bullet"/>
      <w:lvlText w:val="•"/>
      <w:lvlJc w:val="left"/>
      <w:pPr>
        <w:ind w:left="4088" w:hanging="360"/>
      </w:pPr>
      <w:rPr>
        <w:rFonts w:hint="default"/>
      </w:rPr>
    </w:lvl>
    <w:lvl w:ilvl="5">
      <w:start w:val="0"/>
      <w:numFmt w:val="bullet"/>
      <w:lvlText w:val="•"/>
      <w:lvlJc w:val="left"/>
      <w:pPr>
        <w:ind w:left="5025" w:hanging="360"/>
      </w:pPr>
      <w:rPr>
        <w:rFonts w:hint="default"/>
      </w:rPr>
    </w:lvl>
    <w:lvl w:ilvl="6">
      <w:start w:val="0"/>
      <w:numFmt w:val="bullet"/>
      <w:lvlText w:val="•"/>
      <w:lvlJc w:val="left"/>
      <w:pPr>
        <w:ind w:left="5961"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833" w:hanging="360"/>
      </w:pPr>
      <w:rPr>
        <w:rFonts w:hint="default"/>
      </w:rPr>
    </w:lvl>
  </w:abstractNum>
  <w:abstractNum w:abstractNumId="28">
    <w:multiLevelType w:val="hybridMultilevel"/>
    <w:lvl w:ilvl="0">
      <w:start w:val="8"/>
      <w:numFmt w:val="decimal"/>
      <w:lvlText w:val="%1."/>
      <w:lvlJc w:val="left"/>
      <w:pPr>
        <w:ind w:left="920" w:hanging="360"/>
        <w:jc w:val="left"/>
      </w:pPr>
      <w:rPr>
        <w:rFonts w:hint="default" w:ascii="Arial" w:hAnsi="Arial" w:eastAsia="Arial" w:cs="Arial"/>
        <w:spacing w:val="0"/>
        <w:w w:val="100"/>
        <w:sz w:val="36"/>
        <w:szCs w:val="36"/>
      </w:rPr>
    </w:lvl>
    <w:lvl w:ilvl="1">
      <w:start w:val="0"/>
      <w:numFmt w:val="bullet"/>
      <w:lvlText w:val=""/>
      <w:lvlJc w:val="left"/>
      <w:pPr>
        <w:ind w:left="1280" w:hanging="360"/>
      </w:pPr>
      <w:rPr>
        <w:rFonts w:hint="default" w:ascii="Symbol" w:hAnsi="Symbol" w:eastAsia="Symbol" w:cs="Symbol"/>
        <w:w w:val="99"/>
        <w:sz w:val="20"/>
        <w:szCs w:val="20"/>
      </w:rPr>
    </w:lvl>
    <w:lvl w:ilvl="2">
      <w:start w:val="0"/>
      <w:numFmt w:val="bullet"/>
      <w:lvlText w:val="•"/>
      <w:lvlJc w:val="left"/>
      <w:pPr>
        <w:ind w:left="2216" w:hanging="360"/>
      </w:pPr>
      <w:rPr>
        <w:rFonts w:hint="default"/>
      </w:rPr>
    </w:lvl>
    <w:lvl w:ilvl="3">
      <w:start w:val="0"/>
      <w:numFmt w:val="bullet"/>
      <w:lvlText w:val="•"/>
      <w:lvlJc w:val="left"/>
      <w:pPr>
        <w:ind w:left="3152" w:hanging="360"/>
      </w:pPr>
      <w:rPr>
        <w:rFonts w:hint="default"/>
      </w:rPr>
    </w:lvl>
    <w:lvl w:ilvl="4">
      <w:start w:val="0"/>
      <w:numFmt w:val="bullet"/>
      <w:lvlText w:val="•"/>
      <w:lvlJc w:val="left"/>
      <w:pPr>
        <w:ind w:left="4088" w:hanging="360"/>
      </w:pPr>
      <w:rPr>
        <w:rFonts w:hint="default"/>
      </w:rPr>
    </w:lvl>
    <w:lvl w:ilvl="5">
      <w:start w:val="0"/>
      <w:numFmt w:val="bullet"/>
      <w:lvlText w:val="•"/>
      <w:lvlJc w:val="left"/>
      <w:pPr>
        <w:ind w:left="5025" w:hanging="360"/>
      </w:pPr>
      <w:rPr>
        <w:rFonts w:hint="default"/>
      </w:rPr>
    </w:lvl>
    <w:lvl w:ilvl="6">
      <w:start w:val="0"/>
      <w:numFmt w:val="bullet"/>
      <w:lvlText w:val="•"/>
      <w:lvlJc w:val="left"/>
      <w:pPr>
        <w:ind w:left="5961" w:hanging="360"/>
      </w:pPr>
      <w:rPr>
        <w:rFonts w:hint="default"/>
      </w:rPr>
    </w:lvl>
    <w:lvl w:ilvl="7">
      <w:start w:val="0"/>
      <w:numFmt w:val="bullet"/>
      <w:lvlText w:val="•"/>
      <w:lvlJc w:val="left"/>
      <w:pPr>
        <w:ind w:left="6897" w:hanging="360"/>
      </w:pPr>
      <w:rPr>
        <w:rFonts w:hint="default"/>
      </w:rPr>
    </w:lvl>
    <w:lvl w:ilvl="8">
      <w:start w:val="0"/>
      <w:numFmt w:val="bullet"/>
      <w:lvlText w:val="•"/>
      <w:lvlJc w:val="left"/>
      <w:pPr>
        <w:ind w:left="7833" w:hanging="360"/>
      </w:pPr>
      <w:rPr>
        <w:rFonts w:hint="default"/>
      </w:rPr>
    </w:lvl>
  </w:abstractNum>
  <w:abstractNum w:abstractNumId="27">
    <w:multiLevelType w:val="hybridMultilevel"/>
    <w:lvl w:ilvl="0">
      <w:start w:val="1"/>
      <w:numFmt w:val="decimal"/>
      <w:lvlText w:val="%1."/>
      <w:lvlJc w:val="left"/>
      <w:pPr>
        <w:ind w:left="920" w:hanging="360"/>
        <w:jc w:val="left"/>
      </w:pPr>
      <w:rPr>
        <w:rFonts w:hint="default" w:ascii="Calibri" w:hAnsi="Calibri" w:eastAsia="Calibri" w:cs="Calibri"/>
        <w:spacing w:val="-1"/>
        <w:w w:val="99"/>
        <w:sz w:val="20"/>
        <w:szCs w:val="20"/>
      </w:rPr>
    </w:lvl>
    <w:lvl w:ilvl="1">
      <w:start w:val="1"/>
      <w:numFmt w:val="lowerLetter"/>
      <w:lvlText w:val="%2."/>
      <w:lvlJc w:val="left"/>
      <w:pPr>
        <w:ind w:left="1640" w:hanging="360"/>
        <w:jc w:val="left"/>
      </w:pPr>
      <w:rPr>
        <w:rFonts w:hint="default" w:ascii="Calibri" w:hAnsi="Calibri" w:eastAsia="Calibri" w:cs="Calibri"/>
        <w:w w:val="99"/>
        <w:sz w:val="20"/>
        <w:szCs w:val="20"/>
      </w:rPr>
    </w:lvl>
    <w:lvl w:ilvl="2">
      <w:start w:val="0"/>
      <w:numFmt w:val="bullet"/>
      <w:lvlText w:val="•"/>
      <w:lvlJc w:val="left"/>
      <w:pPr>
        <w:ind w:left="2536" w:hanging="360"/>
      </w:pPr>
      <w:rPr>
        <w:rFonts w:hint="default"/>
      </w:rPr>
    </w:lvl>
    <w:lvl w:ilvl="3">
      <w:start w:val="0"/>
      <w:numFmt w:val="bullet"/>
      <w:lvlText w:val="•"/>
      <w:lvlJc w:val="left"/>
      <w:pPr>
        <w:ind w:left="3432" w:hanging="360"/>
      </w:pPr>
      <w:rPr>
        <w:rFonts w:hint="default"/>
      </w:rPr>
    </w:lvl>
    <w:lvl w:ilvl="4">
      <w:start w:val="0"/>
      <w:numFmt w:val="bullet"/>
      <w:lvlText w:val="•"/>
      <w:lvlJc w:val="left"/>
      <w:pPr>
        <w:ind w:left="4328" w:hanging="360"/>
      </w:pPr>
      <w:rPr>
        <w:rFonts w:hint="default"/>
      </w:rPr>
    </w:lvl>
    <w:lvl w:ilvl="5">
      <w:start w:val="0"/>
      <w:numFmt w:val="bullet"/>
      <w:lvlText w:val="•"/>
      <w:lvlJc w:val="left"/>
      <w:pPr>
        <w:ind w:left="5225" w:hanging="360"/>
      </w:pPr>
      <w:rPr>
        <w:rFonts w:hint="default"/>
      </w:rPr>
    </w:lvl>
    <w:lvl w:ilvl="6">
      <w:start w:val="0"/>
      <w:numFmt w:val="bullet"/>
      <w:lvlText w:val="•"/>
      <w:lvlJc w:val="left"/>
      <w:pPr>
        <w:ind w:left="6121" w:hanging="360"/>
      </w:pPr>
      <w:rPr>
        <w:rFonts w:hint="default"/>
      </w:rPr>
    </w:lvl>
    <w:lvl w:ilvl="7">
      <w:start w:val="0"/>
      <w:numFmt w:val="bullet"/>
      <w:lvlText w:val="•"/>
      <w:lvlJc w:val="left"/>
      <w:pPr>
        <w:ind w:left="7017" w:hanging="360"/>
      </w:pPr>
      <w:rPr>
        <w:rFonts w:hint="default"/>
      </w:rPr>
    </w:lvl>
    <w:lvl w:ilvl="8">
      <w:start w:val="0"/>
      <w:numFmt w:val="bullet"/>
      <w:lvlText w:val="•"/>
      <w:lvlJc w:val="left"/>
      <w:pPr>
        <w:ind w:left="7913" w:hanging="360"/>
      </w:pPr>
      <w:rPr>
        <w:rFonts w:hint="default"/>
      </w:rPr>
    </w:lvl>
  </w:abstractNum>
  <w:abstractNum w:abstractNumId="26">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25">
    <w:multiLevelType w:val="hybridMultilevel"/>
    <w:lvl w:ilvl="0">
      <w:start w:val="7"/>
      <w:numFmt w:val="decimal"/>
      <w:lvlText w:val="%1"/>
      <w:lvlJc w:val="left"/>
      <w:pPr>
        <w:ind w:left="2000" w:hanging="720"/>
        <w:jc w:val="left"/>
      </w:pPr>
      <w:rPr>
        <w:rFonts w:hint="default"/>
      </w:rPr>
    </w:lvl>
    <w:lvl w:ilvl="1">
      <w:start w:val="2"/>
      <w:numFmt w:val="decimal"/>
      <w:lvlText w:val="%1.%2"/>
      <w:lvlJc w:val="left"/>
      <w:pPr>
        <w:ind w:left="2000" w:hanging="720"/>
        <w:jc w:val="left"/>
      </w:pPr>
      <w:rPr>
        <w:rFonts w:hint="default"/>
      </w:rPr>
    </w:lvl>
    <w:lvl w:ilvl="2">
      <w:start w:val="1"/>
      <w:numFmt w:val="decimal"/>
      <w:lvlText w:val="%1.%2.%3."/>
      <w:lvlJc w:val="left"/>
      <w:pPr>
        <w:ind w:left="2000" w:hanging="720"/>
        <w:jc w:val="left"/>
      </w:pPr>
      <w:rPr>
        <w:rFonts w:hint="default" w:ascii="Calibri Light" w:hAnsi="Calibri Light" w:eastAsia="Calibri Light" w:cs="Calibri Light"/>
        <w:spacing w:val="-2"/>
        <w:w w:val="100"/>
        <w:sz w:val="24"/>
        <w:szCs w:val="24"/>
      </w:rPr>
    </w:lvl>
    <w:lvl w:ilvl="3">
      <w:start w:val="0"/>
      <w:numFmt w:val="bullet"/>
      <w:lvlText w:val="•"/>
      <w:lvlJc w:val="left"/>
      <w:pPr>
        <w:ind w:left="4625" w:hanging="720"/>
      </w:pPr>
      <w:rPr>
        <w:rFonts w:hint="default"/>
      </w:rPr>
    </w:lvl>
    <w:lvl w:ilvl="4">
      <w:start w:val="0"/>
      <w:numFmt w:val="bullet"/>
      <w:lvlText w:val="•"/>
      <w:lvlJc w:val="left"/>
      <w:pPr>
        <w:ind w:left="5351" w:hanging="720"/>
      </w:pPr>
      <w:rPr>
        <w:rFonts w:hint="default"/>
      </w:rPr>
    </w:lvl>
    <w:lvl w:ilvl="5">
      <w:start w:val="0"/>
      <w:numFmt w:val="bullet"/>
      <w:lvlText w:val="•"/>
      <w:lvlJc w:val="left"/>
      <w:pPr>
        <w:ind w:left="6077" w:hanging="720"/>
      </w:pPr>
      <w:rPr>
        <w:rFonts w:hint="default"/>
      </w:rPr>
    </w:lvl>
    <w:lvl w:ilvl="6">
      <w:start w:val="0"/>
      <w:numFmt w:val="bullet"/>
      <w:lvlText w:val="•"/>
      <w:lvlJc w:val="left"/>
      <w:pPr>
        <w:ind w:left="6803" w:hanging="720"/>
      </w:pPr>
      <w:rPr>
        <w:rFonts w:hint="default"/>
      </w:rPr>
    </w:lvl>
    <w:lvl w:ilvl="7">
      <w:start w:val="0"/>
      <w:numFmt w:val="bullet"/>
      <w:lvlText w:val="•"/>
      <w:lvlJc w:val="left"/>
      <w:pPr>
        <w:ind w:left="7529" w:hanging="720"/>
      </w:pPr>
      <w:rPr>
        <w:rFonts w:hint="default"/>
      </w:rPr>
    </w:lvl>
    <w:lvl w:ilvl="8">
      <w:start w:val="0"/>
      <w:numFmt w:val="bullet"/>
      <w:lvlText w:val="•"/>
      <w:lvlJc w:val="left"/>
      <w:pPr>
        <w:ind w:left="8254" w:hanging="720"/>
      </w:pPr>
      <w:rPr>
        <w:rFonts w:hint="default"/>
      </w:rPr>
    </w:lvl>
  </w:abstractNum>
  <w:abstractNum w:abstractNumId="24">
    <w:multiLevelType w:val="hybridMultilevel"/>
    <w:lvl w:ilvl="0">
      <w:start w:val="0"/>
      <w:numFmt w:val="bullet"/>
      <w:lvlText w:val=""/>
      <w:lvlJc w:val="left"/>
      <w:pPr>
        <w:ind w:left="749" w:hanging="360"/>
      </w:pPr>
      <w:rPr>
        <w:rFonts w:hint="default" w:ascii="Symbol" w:hAnsi="Symbol" w:eastAsia="Symbol" w:cs="Symbol"/>
        <w:w w:val="99"/>
        <w:sz w:val="20"/>
        <w:szCs w:val="20"/>
      </w:rPr>
    </w:lvl>
    <w:lvl w:ilvl="1">
      <w:start w:val="0"/>
      <w:numFmt w:val="bullet"/>
      <w:lvlText w:val="•"/>
      <w:lvlJc w:val="left"/>
      <w:pPr>
        <w:ind w:left="1257" w:hanging="360"/>
      </w:pPr>
      <w:rPr>
        <w:rFonts w:hint="default"/>
      </w:rPr>
    </w:lvl>
    <w:lvl w:ilvl="2">
      <w:start w:val="0"/>
      <w:numFmt w:val="bullet"/>
      <w:lvlText w:val="•"/>
      <w:lvlJc w:val="left"/>
      <w:pPr>
        <w:ind w:left="1774" w:hanging="360"/>
      </w:pPr>
      <w:rPr>
        <w:rFonts w:hint="default"/>
      </w:rPr>
    </w:lvl>
    <w:lvl w:ilvl="3">
      <w:start w:val="0"/>
      <w:numFmt w:val="bullet"/>
      <w:lvlText w:val="•"/>
      <w:lvlJc w:val="left"/>
      <w:pPr>
        <w:ind w:left="2291" w:hanging="360"/>
      </w:pPr>
      <w:rPr>
        <w:rFonts w:hint="default"/>
      </w:rPr>
    </w:lvl>
    <w:lvl w:ilvl="4">
      <w:start w:val="0"/>
      <w:numFmt w:val="bullet"/>
      <w:lvlText w:val="•"/>
      <w:lvlJc w:val="left"/>
      <w:pPr>
        <w:ind w:left="2809" w:hanging="360"/>
      </w:pPr>
      <w:rPr>
        <w:rFonts w:hint="default"/>
      </w:rPr>
    </w:lvl>
    <w:lvl w:ilvl="5">
      <w:start w:val="0"/>
      <w:numFmt w:val="bullet"/>
      <w:lvlText w:val="•"/>
      <w:lvlJc w:val="left"/>
      <w:pPr>
        <w:ind w:left="3326" w:hanging="360"/>
      </w:pPr>
      <w:rPr>
        <w:rFonts w:hint="default"/>
      </w:rPr>
    </w:lvl>
    <w:lvl w:ilvl="6">
      <w:start w:val="0"/>
      <w:numFmt w:val="bullet"/>
      <w:lvlText w:val="•"/>
      <w:lvlJc w:val="left"/>
      <w:pPr>
        <w:ind w:left="3843" w:hanging="360"/>
      </w:pPr>
      <w:rPr>
        <w:rFonts w:hint="default"/>
      </w:rPr>
    </w:lvl>
    <w:lvl w:ilvl="7">
      <w:start w:val="0"/>
      <w:numFmt w:val="bullet"/>
      <w:lvlText w:val="•"/>
      <w:lvlJc w:val="left"/>
      <w:pPr>
        <w:ind w:left="4361" w:hanging="360"/>
      </w:pPr>
      <w:rPr>
        <w:rFonts w:hint="default"/>
      </w:rPr>
    </w:lvl>
    <w:lvl w:ilvl="8">
      <w:start w:val="0"/>
      <w:numFmt w:val="bullet"/>
      <w:lvlText w:val="•"/>
      <w:lvlJc w:val="left"/>
      <w:pPr>
        <w:ind w:left="4878" w:hanging="360"/>
      </w:pPr>
      <w:rPr>
        <w:rFonts w:hint="default"/>
      </w:rPr>
    </w:lvl>
  </w:abstractNum>
  <w:abstractNum w:abstractNumId="23">
    <w:multiLevelType w:val="hybridMultilevel"/>
    <w:lvl w:ilvl="0">
      <w:start w:val="0"/>
      <w:numFmt w:val="bullet"/>
      <w:lvlText w:val=""/>
      <w:lvlJc w:val="left"/>
      <w:pPr>
        <w:ind w:left="749" w:hanging="360"/>
      </w:pPr>
      <w:rPr>
        <w:rFonts w:hint="default" w:ascii="Symbol" w:hAnsi="Symbol" w:eastAsia="Symbol" w:cs="Symbol"/>
        <w:w w:val="99"/>
        <w:sz w:val="20"/>
        <w:szCs w:val="20"/>
      </w:rPr>
    </w:lvl>
    <w:lvl w:ilvl="1">
      <w:start w:val="0"/>
      <w:numFmt w:val="bullet"/>
      <w:lvlText w:val="•"/>
      <w:lvlJc w:val="left"/>
      <w:pPr>
        <w:ind w:left="1257" w:hanging="360"/>
      </w:pPr>
      <w:rPr>
        <w:rFonts w:hint="default"/>
      </w:rPr>
    </w:lvl>
    <w:lvl w:ilvl="2">
      <w:start w:val="0"/>
      <w:numFmt w:val="bullet"/>
      <w:lvlText w:val="•"/>
      <w:lvlJc w:val="left"/>
      <w:pPr>
        <w:ind w:left="1774" w:hanging="360"/>
      </w:pPr>
      <w:rPr>
        <w:rFonts w:hint="default"/>
      </w:rPr>
    </w:lvl>
    <w:lvl w:ilvl="3">
      <w:start w:val="0"/>
      <w:numFmt w:val="bullet"/>
      <w:lvlText w:val="•"/>
      <w:lvlJc w:val="left"/>
      <w:pPr>
        <w:ind w:left="2291" w:hanging="360"/>
      </w:pPr>
      <w:rPr>
        <w:rFonts w:hint="default"/>
      </w:rPr>
    </w:lvl>
    <w:lvl w:ilvl="4">
      <w:start w:val="0"/>
      <w:numFmt w:val="bullet"/>
      <w:lvlText w:val="•"/>
      <w:lvlJc w:val="left"/>
      <w:pPr>
        <w:ind w:left="2809" w:hanging="360"/>
      </w:pPr>
      <w:rPr>
        <w:rFonts w:hint="default"/>
      </w:rPr>
    </w:lvl>
    <w:lvl w:ilvl="5">
      <w:start w:val="0"/>
      <w:numFmt w:val="bullet"/>
      <w:lvlText w:val="•"/>
      <w:lvlJc w:val="left"/>
      <w:pPr>
        <w:ind w:left="3326" w:hanging="360"/>
      </w:pPr>
      <w:rPr>
        <w:rFonts w:hint="default"/>
      </w:rPr>
    </w:lvl>
    <w:lvl w:ilvl="6">
      <w:start w:val="0"/>
      <w:numFmt w:val="bullet"/>
      <w:lvlText w:val="•"/>
      <w:lvlJc w:val="left"/>
      <w:pPr>
        <w:ind w:left="3843" w:hanging="360"/>
      </w:pPr>
      <w:rPr>
        <w:rFonts w:hint="default"/>
      </w:rPr>
    </w:lvl>
    <w:lvl w:ilvl="7">
      <w:start w:val="0"/>
      <w:numFmt w:val="bullet"/>
      <w:lvlText w:val="•"/>
      <w:lvlJc w:val="left"/>
      <w:pPr>
        <w:ind w:left="4361" w:hanging="360"/>
      </w:pPr>
      <w:rPr>
        <w:rFonts w:hint="default"/>
      </w:rPr>
    </w:lvl>
    <w:lvl w:ilvl="8">
      <w:start w:val="0"/>
      <w:numFmt w:val="bullet"/>
      <w:lvlText w:val="•"/>
      <w:lvlJc w:val="left"/>
      <w:pPr>
        <w:ind w:left="4878" w:hanging="360"/>
      </w:pPr>
      <w:rPr>
        <w:rFonts w:hint="default"/>
      </w:rPr>
    </w:lvl>
  </w:abstractNum>
  <w:abstractNum w:abstractNumId="22">
    <w:multiLevelType w:val="hybridMultilevel"/>
    <w:lvl w:ilvl="0">
      <w:start w:val="0"/>
      <w:numFmt w:val="bullet"/>
      <w:lvlText w:val=""/>
      <w:lvlJc w:val="left"/>
      <w:pPr>
        <w:ind w:left="749" w:hanging="360"/>
      </w:pPr>
      <w:rPr>
        <w:rFonts w:hint="default" w:ascii="Symbol" w:hAnsi="Symbol" w:eastAsia="Symbol" w:cs="Symbol"/>
        <w:w w:val="99"/>
        <w:sz w:val="20"/>
        <w:szCs w:val="20"/>
      </w:rPr>
    </w:lvl>
    <w:lvl w:ilvl="1">
      <w:start w:val="0"/>
      <w:numFmt w:val="bullet"/>
      <w:lvlText w:val="•"/>
      <w:lvlJc w:val="left"/>
      <w:pPr>
        <w:ind w:left="1257" w:hanging="360"/>
      </w:pPr>
      <w:rPr>
        <w:rFonts w:hint="default"/>
      </w:rPr>
    </w:lvl>
    <w:lvl w:ilvl="2">
      <w:start w:val="0"/>
      <w:numFmt w:val="bullet"/>
      <w:lvlText w:val="•"/>
      <w:lvlJc w:val="left"/>
      <w:pPr>
        <w:ind w:left="1774" w:hanging="360"/>
      </w:pPr>
      <w:rPr>
        <w:rFonts w:hint="default"/>
      </w:rPr>
    </w:lvl>
    <w:lvl w:ilvl="3">
      <w:start w:val="0"/>
      <w:numFmt w:val="bullet"/>
      <w:lvlText w:val="•"/>
      <w:lvlJc w:val="left"/>
      <w:pPr>
        <w:ind w:left="2291" w:hanging="360"/>
      </w:pPr>
      <w:rPr>
        <w:rFonts w:hint="default"/>
      </w:rPr>
    </w:lvl>
    <w:lvl w:ilvl="4">
      <w:start w:val="0"/>
      <w:numFmt w:val="bullet"/>
      <w:lvlText w:val="•"/>
      <w:lvlJc w:val="left"/>
      <w:pPr>
        <w:ind w:left="2809" w:hanging="360"/>
      </w:pPr>
      <w:rPr>
        <w:rFonts w:hint="default"/>
      </w:rPr>
    </w:lvl>
    <w:lvl w:ilvl="5">
      <w:start w:val="0"/>
      <w:numFmt w:val="bullet"/>
      <w:lvlText w:val="•"/>
      <w:lvlJc w:val="left"/>
      <w:pPr>
        <w:ind w:left="3326" w:hanging="360"/>
      </w:pPr>
      <w:rPr>
        <w:rFonts w:hint="default"/>
      </w:rPr>
    </w:lvl>
    <w:lvl w:ilvl="6">
      <w:start w:val="0"/>
      <w:numFmt w:val="bullet"/>
      <w:lvlText w:val="•"/>
      <w:lvlJc w:val="left"/>
      <w:pPr>
        <w:ind w:left="3843" w:hanging="360"/>
      </w:pPr>
      <w:rPr>
        <w:rFonts w:hint="default"/>
      </w:rPr>
    </w:lvl>
    <w:lvl w:ilvl="7">
      <w:start w:val="0"/>
      <w:numFmt w:val="bullet"/>
      <w:lvlText w:val="•"/>
      <w:lvlJc w:val="left"/>
      <w:pPr>
        <w:ind w:left="4361" w:hanging="360"/>
      </w:pPr>
      <w:rPr>
        <w:rFonts w:hint="default"/>
      </w:rPr>
    </w:lvl>
    <w:lvl w:ilvl="8">
      <w:start w:val="0"/>
      <w:numFmt w:val="bullet"/>
      <w:lvlText w:val="•"/>
      <w:lvlJc w:val="left"/>
      <w:pPr>
        <w:ind w:left="4878" w:hanging="360"/>
      </w:pPr>
      <w:rPr>
        <w:rFonts w:hint="default"/>
      </w:rPr>
    </w:lvl>
  </w:abstractNum>
  <w:abstractNum w:abstractNumId="21">
    <w:multiLevelType w:val="hybridMultilevel"/>
    <w:lvl w:ilvl="0">
      <w:start w:val="0"/>
      <w:numFmt w:val="bullet"/>
      <w:lvlText w:val=""/>
      <w:lvlJc w:val="left"/>
      <w:pPr>
        <w:ind w:left="700" w:hanging="360"/>
      </w:pPr>
      <w:rPr>
        <w:rFonts w:hint="default" w:ascii="Symbol" w:hAnsi="Symbol" w:eastAsia="Symbol" w:cs="Symbol"/>
        <w:w w:val="99"/>
        <w:sz w:val="20"/>
        <w:szCs w:val="20"/>
      </w:rPr>
    </w:lvl>
    <w:lvl w:ilvl="1">
      <w:start w:val="0"/>
      <w:numFmt w:val="bullet"/>
      <w:lvlText w:val="•"/>
      <w:lvlJc w:val="left"/>
      <w:pPr>
        <w:ind w:left="1211" w:hanging="360"/>
      </w:pPr>
      <w:rPr>
        <w:rFonts w:hint="default"/>
      </w:rPr>
    </w:lvl>
    <w:lvl w:ilvl="2">
      <w:start w:val="0"/>
      <w:numFmt w:val="bullet"/>
      <w:lvlText w:val="•"/>
      <w:lvlJc w:val="left"/>
      <w:pPr>
        <w:ind w:left="1723" w:hanging="360"/>
      </w:pPr>
      <w:rPr>
        <w:rFonts w:hint="default"/>
      </w:rPr>
    </w:lvl>
    <w:lvl w:ilvl="3">
      <w:start w:val="0"/>
      <w:numFmt w:val="bullet"/>
      <w:lvlText w:val="•"/>
      <w:lvlJc w:val="left"/>
      <w:pPr>
        <w:ind w:left="2235" w:hanging="360"/>
      </w:pPr>
      <w:rPr>
        <w:rFonts w:hint="default"/>
      </w:rPr>
    </w:lvl>
    <w:lvl w:ilvl="4">
      <w:start w:val="0"/>
      <w:numFmt w:val="bullet"/>
      <w:lvlText w:val="•"/>
      <w:lvlJc w:val="left"/>
      <w:pPr>
        <w:ind w:left="2747" w:hanging="360"/>
      </w:pPr>
      <w:rPr>
        <w:rFonts w:hint="default"/>
      </w:rPr>
    </w:lvl>
    <w:lvl w:ilvl="5">
      <w:start w:val="0"/>
      <w:numFmt w:val="bullet"/>
      <w:lvlText w:val="•"/>
      <w:lvlJc w:val="left"/>
      <w:pPr>
        <w:ind w:left="3259" w:hanging="360"/>
      </w:pPr>
      <w:rPr>
        <w:rFonts w:hint="default"/>
      </w:rPr>
    </w:lvl>
    <w:lvl w:ilvl="6">
      <w:start w:val="0"/>
      <w:numFmt w:val="bullet"/>
      <w:lvlText w:val="•"/>
      <w:lvlJc w:val="left"/>
      <w:pPr>
        <w:ind w:left="3770" w:hanging="360"/>
      </w:pPr>
      <w:rPr>
        <w:rFonts w:hint="default"/>
      </w:rPr>
    </w:lvl>
    <w:lvl w:ilvl="7">
      <w:start w:val="0"/>
      <w:numFmt w:val="bullet"/>
      <w:lvlText w:val="•"/>
      <w:lvlJc w:val="left"/>
      <w:pPr>
        <w:ind w:left="4282" w:hanging="360"/>
      </w:pPr>
      <w:rPr>
        <w:rFonts w:hint="default"/>
      </w:rPr>
    </w:lvl>
    <w:lvl w:ilvl="8">
      <w:start w:val="0"/>
      <w:numFmt w:val="bullet"/>
      <w:lvlText w:val="•"/>
      <w:lvlJc w:val="left"/>
      <w:pPr>
        <w:ind w:left="4794" w:hanging="360"/>
      </w:pPr>
      <w:rPr>
        <w:rFonts w:hint="default"/>
      </w:rPr>
    </w:lvl>
  </w:abstractNum>
  <w:abstractNum w:abstractNumId="20">
    <w:multiLevelType w:val="hybridMultilevel"/>
    <w:lvl w:ilvl="0">
      <w:start w:val="0"/>
      <w:numFmt w:val="bullet"/>
      <w:lvlText w:val=""/>
      <w:lvlJc w:val="left"/>
      <w:pPr>
        <w:ind w:left="700" w:hanging="360"/>
      </w:pPr>
      <w:rPr>
        <w:rFonts w:hint="default" w:ascii="Symbol" w:hAnsi="Symbol" w:eastAsia="Symbol" w:cs="Symbol"/>
        <w:w w:val="99"/>
        <w:sz w:val="20"/>
        <w:szCs w:val="20"/>
      </w:rPr>
    </w:lvl>
    <w:lvl w:ilvl="1">
      <w:start w:val="0"/>
      <w:numFmt w:val="bullet"/>
      <w:lvlText w:val="•"/>
      <w:lvlJc w:val="left"/>
      <w:pPr>
        <w:ind w:left="1211" w:hanging="360"/>
      </w:pPr>
      <w:rPr>
        <w:rFonts w:hint="default"/>
      </w:rPr>
    </w:lvl>
    <w:lvl w:ilvl="2">
      <w:start w:val="0"/>
      <w:numFmt w:val="bullet"/>
      <w:lvlText w:val="•"/>
      <w:lvlJc w:val="left"/>
      <w:pPr>
        <w:ind w:left="1723" w:hanging="360"/>
      </w:pPr>
      <w:rPr>
        <w:rFonts w:hint="default"/>
      </w:rPr>
    </w:lvl>
    <w:lvl w:ilvl="3">
      <w:start w:val="0"/>
      <w:numFmt w:val="bullet"/>
      <w:lvlText w:val="•"/>
      <w:lvlJc w:val="left"/>
      <w:pPr>
        <w:ind w:left="2235" w:hanging="360"/>
      </w:pPr>
      <w:rPr>
        <w:rFonts w:hint="default"/>
      </w:rPr>
    </w:lvl>
    <w:lvl w:ilvl="4">
      <w:start w:val="0"/>
      <w:numFmt w:val="bullet"/>
      <w:lvlText w:val="•"/>
      <w:lvlJc w:val="left"/>
      <w:pPr>
        <w:ind w:left="2747" w:hanging="360"/>
      </w:pPr>
      <w:rPr>
        <w:rFonts w:hint="default"/>
      </w:rPr>
    </w:lvl>
    <w:lvl w:ilvl="5">
      <w:start w:val="0"/>
      <w:numFmt w:val="bullet"/>
      <w:lvlText w:val="•"/>
      <w:lvlJc w:val="left"/>
      <w:pPr>
        <w:ind w:left="3259" w:hanging="360"/>
      </w:pPr>
      <w:rPr>
        <w:rFonts w:hint="default"/>
      </w:rPr>
    </w:lvl>
    <w:lvl w:ilvl="6">
      <w:start w:val="0"/>
      <w:numFmt w:val="bullet"/>
      <w:lvlText w:val="•"/>
      <w:lvlJc w:val="left"/>
      <w:pPr>
        <w:ind w:left="3770" w:hanging="360"/>
      </w:pPr>
      <w:rPr>
        <w:rFonts w:hint="default"/>
      </w:rPr>
    </w:lvl>
    <w:lvl w:ilvl="7">
      <w:start w:val="0"/>
      <w:numFmt w:val="bullet"/>
      <w:lvlText w:val="•"/>
      <w:lvlJc w:val="left"/>
      <w:pPr>
        <w:ind w:left="4282" w:hanging="360"/>
      </w:pPr>
      <w:rPr>
        <w:rFonts w:hint="default"/>
      </w:rPr>
    </w:lvl>
    <w:lvl w:ilvl="8">
      <w:start w:val="0"/>
      <w:numFmt w:val="bullet"/>
      <w:lvlText w:val="•"/>
      <w:lvlJc w:val="left"/>
      <w:pPr>
        <w:ind w:left="4794" w:hanging="360"/>
      </w:pPr>
      <w:rPr>
        <w:rFonts w:hint="default"/>
      </w:rPr>
    </w:lvl>
  </w:abstractNum>
  <w:abstractNum w:abstractNumId="19">
    <w:multiLevelType w:val="hybridMultilevel"/>
    <w:lvl w:ilvl="0">
      <w:start w:val="0"/>
      <w:numFmt w:val="bullet"/>
      <w:lvlText w:val=""/>
      <w:lvlJc w:val="left"/>
      <w:pPr>
        <w:ind w:left="700" w:hanging="360"/>
      </w:pPr>
      <w:rPr>
        <w:rFonts w:hint="default" w:ascii="Symbol" w:hAnsi="Symbol" w:eastAsia="Symbol" w:cs="Symbol"/>
        <w:w w:val="99"/>
        <w:sz w:val="20"/>
        <w:szCs w:val="20"/>
      </w:rPr>
    </w:lvl>
    <w:lvl w:ilvl="1">
      <w:start w:val="0"/>
      <w:numFmt w:val="bullet"/>
      <w:lvlText w:val="•"/>
      <w:lvlJc w:val="left"/>
      <w:pPr>
        <w:ind w:left="1211" w:hanging="360"/>
      </w:pPr>
      <w:rPr>
        <w:rFonts w:hint="default"/>
      </w:rPr>
    </w:lvl>
    <w:lvl w:ilvl="2">
      <w:start w:val="0"/>
      <w:numFmt w:val="bullet"/>
      <w:lvlText w:val="•"/>
      <w:lvlJc w:val="left"/>
      <w:pPr>
        <w:ind w:left="1723" w:hanging="360"/>
      </w:pPr>
      <w:rPr>
        <w:rFonts w:hint="default"/>
      </w:rPr>
    </w:lvl>
    <w:lvl w:ilvl="3">
      <w:start w:val="0"/>
      <w:numFmt w:val="bullet"/>
      <w:lvlText w:val="•"/>
      <w:lvlJc w:val="left"/>
      <w:pPr>
        <w:ind w:left="2235" w:hanging="360"/>
      </w:pPr>
      <w:rPr>
        <w:rFonts w:hint="default"/>
      </w:rPr>
    </w:lvl>
    <w:lvl w:ilvl="4">
      <w:start w:val="0"/>
      <w:numFmt w:val="bullet"/>
      <w:lvlText w:val="•"/>
      <w:lvlJc w:val="left"/>
      <w:pPr>
        <w:ind w:left="2747" w:hanging="360"/>
      </w:pPr>
      <w:rPr>
        <w:rFonts w:hint="default"/>
      </w:rPr>
    </w:lvl>
    <w:lvl w:ilvl="5">
      <w:start w:val="0"/>
      <w:numFmt w:val="bullet"/>
      <w:lvlText w:val="•"/>
      <w:lvlJc w:val="left"/>
      <w:pPr>
        <w:ind w:left="3259" w:hanging="360"/>
      </w:pPr>
      <w:rPr>
        <w:rFonts w:hint="default"/>
      </w:rPr>
    </w:lvl>
    <w:lvl w:ilvl="6">
      <w:start w:val="0"/>
      <w:numFmt w:val="bullet"/>
      <w:lvlText w:val="•"/>
      <w:lvlJc w:val="left"/>
      <w:pPr>
        <w:ind w:left="3770" w:hanging="360"/>
      </w:pPr>
      <w:rPr>
        <w:rFonts w:hint="default"/>
      </w:rPr>
    </w:lvl>
    <w:lvl w:ilvl="7">
      <w:start w:val="0"/>
      <w:numFmt w:val="bullet"/>
      <w:lvlText w:val="•"/>
      <w:lvlJc w:val="left"/>
      <w:pPr>
        <w:ind w:left="4282" w:hanging="360"/>
      </w:pPr>
      <w:rPr>
        <w:rFonts w:hint="default"/>
      </w:rPr>
    </w:lvl>
    <w:lvl w:ilvl="8">
      <w:start w:val="0"/>
      <w:numFmt w:val="bullet"/>
      <w:lvlText w:val="•"/>
      <w:lvlJc w:val="left"/>
      <w:pPr>
        <w:ind w:left="4794" w:hanging="360"/>
      </w:pPr>
      <w:rPr>
        <w:rFonts w:hint="default"/>
      </w:rPr>
    </w:lvl>
  </w:abstractNum>
  <w:abstractNum w:abstractNumId="18">
    <w:multiLevelType w:val="hybridMultilevel"/>
    <w:lvl w:ilvl="0">
      <w:start w:val="0"/>
      <w:numFmt w:val="bullet"/>
      <w:lvlText w:val=""/>
      <w:lvlJc w:val="left"/>
      <w:pPr>
        <w:ind w:left="700" w:hanging="360"/>
      </w:pPr>
      <w:rPr>
        <w:rFonts w:hint="default" w:ascii="Symbol" w:hAnsi="Symbol" w:eastAsia="Symbol" w:cs="Symbol"/>
        <w:w w:val="99"/>
        <w:sz w:val="20"/>
        <w:szCs w:val="20"/>
      </w:rPr>
    </w:lvl>
    <w:lvl w:ilvl="1">
      <w:start w:val="0"/>
      <w:numFmt w:val="bullet"/>
      <w:lvlText w:val="•"/>
      <w:lvlJc w:val="left"/>
      <w:pPr>
        <w:ind w:left="1211" w:hanging="360"/>
      </w:pPr>
      <w:rPr>
        <w:rFonts w:hint="default"/>
      </w:rPr>
    </w:lvl>
    <w:lvl w:ilvl="2">
      <w:start w:val="0"/>
      <w:numFmt w:val="bullet"/>
      <w:lvlText w:val="•"/>
      <w:lvlJc w:val="left"/>
      <w:pPr>
        <w:ind w:left="1723" w:hanging="360"/>
      </w:pPr>
      <w:rPr>
        <w:rFonts w:hint="default"/>
      </w:rPr>
    </w:lvl>
    <w:lvl w:ilvl="3">
      <w:start w:val="0"/>
      <w:numFmt w:val="bullet"/>
      <w:lvlText w:val="•"/>
      <w:lvlJc w:val="left"/>
      <w:pPr>
        <w:ind w:left="2235" w:hanging="360"/>
      </w:pPr>
      <w:rPr>
        <w:rFonts w:hint="default"/>
      </w:rPr>
    </w:lvl>
    <w:lvl w:ilvl="4">
      <w:start w:val="0"/>
      <w:numFmt w:val="bullet"/>
      <w:lvlText w:val="•"/>
      <w:lvlJc w:val="left"/>
      <w:pPr>
        <w:ind w:left="2747" w:hanging="360"/>
      </w:pPr>
      <w:rPr>
        <w:rFonts w:hint="default"/>
      </w:rPr>
    </w:lvl>
    <w:lvl w:ilvl="5">
      <w:start w:val="0"/>
      <w:numFmt w:val="bullet"/>
      <w:lvlText w:val="•"/>
      <w:lvlJc w:val="left"/>
      <w:pPr>
        <w:ind w:left="3259" w:hanging="360"/>
      </w:pPr>
      <w:rPr>
        <w:rFonts w:hint="default"/>
      </w:rPr>
    </w:lvl>
    <w:lvl w:ilvl="6">
      <w:start w:val="0"/>
      <w:numFmt w:val="bullet"/>
      <w:lvlText w:val="•"/>
      <w:lvlJc w:val="left"/>
      <w:pPr>
        <w:ind w:left="3770" w:hanging="360"/>
      </w:pPr>
      <w:rPr>
        <w:rFonts w:hint="default"/>
      </w:rPr>
    </w:lvl>
    <w:lvl w:ilvl="7">
      <w:start w:val="0"/>
      <w:numFmt w:val="bullet"/>
      <w:lvlText w:val="•"/>
      <w:lvlJc w:val="left"/>
      <w:pPr>
        <w:ind w:left="4282" w:hanging="360"/>
      </w:pPr>
      <w:rPr>
        <w:rFonts w:hint="default"/>
      </w:rPr>
    </w:lvl>
    <w:lvl w:ilvl="8">
      <w:start w:val="0"/>
      <w:numFmt w:val="bullet"/>
      <w:lvlText w:val="•"/>
      <w:lvlJc w:val="left"/>
      <w:pPr>
        <w:ind w:left="4794" w:hanging="360"/>
      </w:pPr>
      <w:rPr>
        <w:rFonts w:hint="default"/>
      </w:rPr>
    </w:lvl>
  </w:abstractNum>
  <w:abstractNum w:abstractNumId="17">
    <w:multiLevelType w:val="hybridMultilevel"/>
    <w:lvl w:ilvl="0">
      <w:start w:val="7"/>
      <w:numFmt w:val="decimal"/>
      <w:lvlText w:val="%1"/>
      <w:lvlJc w:val="left"/>
      <w:pPr>
        <w:ind w:left="2000" w:hanging="1080"/>
        <w:jc w:val="left"/>
      </w:pPr>
      <w:rPr>
        <w:rFonts w:hint="default"/>
      </w:rPr>
    </w:lvl>
    <w:lvl w:ilvl="1">
      <w:start w:val="1"/>
      <w:numFmt w:val="decimal"/>
      <w:lvlText w:val="%1.%2."/>
      <w:lvlJc w:val="left"/>
      <w:pPr>
        <w:ind w:left="2000" w:hanging="1080"/>
        <w:jc w:val="left"/>
      </w:pPr>
      <w:rPr>
        <w:rFonts w:hint="default" w:ascii="Calibri Light" w:hAnsi="Calibri Light" w:eastAsia="Calibri Light" w:cs="Calibri Light"/>
        <w:spacing w:val="-1"/>
        <w:w w:val="99"/>
        <w:sz w:val="32"/>
        <w:szCs w:val="32"/>
      </w:rPr>
    </w:lvl>
    <w:lvl w:ilvl="2">
      <w:start w:val="0"/>
      <w:numFmt w:val="bullet"/>
      <w:lvlText w:val="✓"/>
      <w:lvlJc w:val="left"/>
      <w:pPr>
        <w:ind w:left="1474" w:hanging="195"/>
      </w:pPr>
      <w:rPr>
        <w:rFonts w:hint="default" w:ascii="Segoe UI Symbol" w:hAnsi="Segoe UI Symbol" w:eastAsia="Segoe UI Symbol" w:cs="Segoe UI Symbol"/>
        <w:w w:val="99"/>
        <w:sz w:val="20"/>
        <w:szCs w:val="20"/>
      </w:rPr>
    </w:lvl>
    <w:lvl w:ilvl="3">
      <w:start w:val="0"/>
      <w:numFmt w:val="bullet"/>
      <w:lvlText w:val="•"/>
      <w:lvlJc w:val="left"/>
      <w:pPr>
        <w:ind w:left="3716" w:hanging="195"/>
      </w:pPr>
      <w:rPr>
        <w:rFonts w:hint="default"/>
      </w:rPr>
    </w:lvl>
    <w:lvl w:ilvl="4">
      <w:start w:val="0"/>
      <w:numFmt w:val="bullet"/>
      <w:lvlText w:val="•"/>
      <w:lvlJc w:val="left"/>
      <w:pPr>
        <w:ind w:left="4575" w:hanging="195"/>
      </w:pPr>
      <w:rPr>
        <w:rFonts w:hint="default"/>
      </w:rPr>
    </w:lvl>
    <w:lvl w:ilvl="5">
      <w:start w:val="0"/>
      <w:numFmt w:val="bullet"/>
      <w:lvlText w:val="•"/>
      <w:lvlJc w:val="left"/>
      <w:pPr>
        <w:ind w:left="5433" w:hanging="195"/>
      </w:pPr>
      <w:rPr>
        <w:rFonts w:hint="default"/>
      </w:rPr>
    </w:lvl>
    <w:lvl w:ilvl="6">
      <w:start w:val="0"/>
      <w:numFmt w:val="bullet"/>
      <w:lvlText w:val="•"/>
      <w:lvlJc w:val="left"/>
      <w:pPr>
        <w:ind w:left="6292" w:hanging="195"/>
      </w:pPr>
      <w:rPr>
        <w:rFonts w:hint="default"/>
      </w:rPr>
    </w:lvl>
    <w:lvl w:ilvl="7">
      <w:start w:val="0"/>
      <w:numFmt w:val="bullet"/>
      <w:lvlText w:val="•"/>
      <w:lvlJc w:val="left"/>
      <w:pPr>
        <w:ind w:left="7150" w:hanging="195"/>
      </w:pPr>
      <w:rPr>
        <w:rFonts w:hint="default"/>
      </w:rPr>
    </w:lvl>
    <w:lvl w:ilvl="8">
      <w:start w:val="0"/>
      <w:numFmt w:val="bullet"/>
      <w:lvlText w:val="•"/>
      <w:lvlJc w:val="left"/>
      <w:pPr>
        <w:ind w:left="8009" w:hanging="195"/>
      </w:pPr>
      <w:rPr>
        <w:rFonts w:hint="default"/>
      </w:rPr>
    </w:lvl>
  </w:abstractNum>
  <w:abstractNum w:abstractNumId="16">
    <w:multiLevelType w:val="hybridMultilevel"/>
    <w:lvl w:ilvl="0">
      <w:start w:val="1"/>
      <w:numFmt w:val="decimal"/>
      <w:lvlText w:val="%1."/>
      <w:lvlJc w:val="left"/>
      <w:pPr>
        <w:ind w:left="1280" w:hanging="360"/>
        <w:jc w:val="left"/>
      </w:pPr>
      <w:rPr>
        <w:rFonts w:hint="default" w:ascii="Calibri" w:hAnsi="Calibri" w:eastAsia="Calibri" w:cs="Calibri"/>
        <w:spacing w:val="-1"/>
        <w:w w:val="99"/>
        <w:sz w:val="20"/>
        <w:szCs w:val="20"/>
      </w:rPr>
    </w:lvl>
    <w:lvl w:ilvl="1">
      <w:start w:val="0"/>
      <w:numFmt w:val="bullet"/>
      <w:lvlText w:val="•"/>
      <w:lvlJc w:val="left"/>
      <w:pPr>
        <w:ind w:left="2124" w:hanging="360"/>
      </w:pPr>
      <w:rPr>
        <w:rFonts w:hint="default"/>
      </w:rPr>
    </w:lvl>
    <w:lvl w:ilvl="2">
      <w:start w:val="0"/>
      <w:numFmt w:val="bullet"/>
      <w:lvlText w:val="•"/>
      <w:lvlJc w:val="left"/>
      <w:pPr>
        <w:ind w:left="2969" w:hanging="360"/>
      </w:pPr>
      <w:rPr>
        <w:rFonts w:hint="default"/>
      </w:rPr>
    </w:lvl>
    <w:lvl w:ilvl="3">
      <w:start w:val="0"/>
      <w:numFmt w:val="bullet"/>
      <w:lvlText w:val="•"/>
      <w:lvlJc w:val="left"/>
      <w:pPr>
        <w:ind w:left="3813" w:hanging="360"/>
      </w:pPr>
      <w:rPr>
        <w:rFonts w:hint="default"/>
      </w:rPr>
    </w:lvl>
    <w:lvl w:ilvl="4">
      <w:start w:val="0"/>
      <w:numFmt w:val="bullet"/>
      <w:lvlText w:val="•"/>
      <w:lvlJc w:val="left"/>
      <w:pPr>
        <w:ind w:left="4658" w:hanging="360"/>
      </w:pPr>
      <w:rPr>
        <w:rFonts w:hint="default"/>
      </w:rPr>
    </w:lvl>
    <w:lvl w:ilvl="5">
      <w:start w:val="0"/>
      <w:numFmt w:val="bullet"/>
      <w:lvlText w:val="•"/>
      <w:lvlJc w:val="left"/>
      <w:pPr>
        <w:ind w:left="5503" w:hanging="360"/>
      </w:pPr>
      <w:rPr>
        <w:rFonts w:hint="default"/>
      </w:rPr>
    </w:lvl>
    <w:lvl w:ilvl="6">
      <w:start w:val="0"/>
      <w:numFmt w:val="bullet"/>
      <w:lvlText w:val="•"/>
      <w:lvlJc w:val="left"/>
      <w:pPr>
        <w:ind w:left="6347" w:hanging="360"/>
      </w:pPr>
      <w:rPr>
        <w:rFonts w:hint="default"/>
      </w:rPr>
    </w:lvl>
    <w:lvl w:ilvl="7">
      <w:start w:val="0"/>
      <w:numFmt w:val="bullet"/>
      <w:lvlText w:val="•"/>
      <w:lvlJc w:val="left"/>
      <w:pPr>
        <w:ind w:left="7192" w:hanging="360"/>
      </w:pPr>
      <w:rPr>
        <w:rFonts w:hint="default"/>
      </w:rPr>
    </w:lvl>
    <w:lvl w:ilvl="8">
      <w:start w:val="0"/>
      <w:numFmt w:val="bullet"/>
      <w:lvlText w:val="•"/>
      <w:lvlJc w:val="left"/>
      <w:pPr>
        <w:ind w:left="8037" w:hanging="360"/>
      </w:pPr>
      <w:rPr>
        <w:rFonts w:hint="default"/>
      </w:rPr>
    </w:lvl>
  </w:abstractNum>
  <w:abstractNum w:abstractNumId="15">
    <w:multiLevelType w:val="hybridMultilevel"/>
    <w:lvl w:ilvl="0">
      <w:start w:val="0"/>
      <w:numFmt w:val="bullet"/>
      <w:lvlText w:val=""/>
      <w:lvlJc w:val="left"/>
      <w:pPr>
        <w:ind w:left="1330" w:hanging="360"/>
      </w:pPr>
      <w:rPr>
        <w:rFonts w:hint="default" w:ascii="Symbol" w:hAnsi="Symbol" w:eastAsia="Symbol" w:cs="Symbol"/>
        <w:w w:val="99"/>
        <w:sz w:val="20"/>
        <w:szCs w:val="20"/>
      </w:rPr>
    </w:lvl>
    <w:lvl w:ilvl="1">
      <w:start w:val="0"/>
      <w:numFmt w:val="bullet"/>
      <w:lvlText w:val="•"/>
      <w:lvlJc w:val="left"/>
      <w:pPr>
        <w:ind w:left="2176" w:hanging="360"/>
      </w:pPr>
      <w:rPr>
        <w:rFonts w:hint="default"/>
      </w:rPr>
    </w:lvl>
    <w:lvl w:ilvl="2">
      <w:start w:val="0"/>
      <w:numFmt w:val="bullet"/>
      <w:lvlText w:val="•"/>
      <w:lvlJc w:val="left"/>
      <w:pPr>
        <w:ind w:left="3013" w:hanging="360"/>
      </w:pPr>
      <w:rPr>
        <w:rFonts w:hint="default"/>
      </w:rPr>
    </w:lvl>
    <w:lvl w:ilvl="3">
      <w:start w:val="0"/>
      <w:numFmt w:val="bullet"/>
      <w:lvlText w:val="•"/>
      <w:lvlJc w:val="left"/>
      <w:pPr>
        <w:ind w:left="3849" w:hanging="360"/>
      </w:pPr>
      <w:rPr>
        <w:rFonts w:hint="default"/>
      </w:rPr>
    </w:lvl>
    <w:lvl w:ilvl="4">
      <w:start w:val="0"/>
      <w:numFmt w:val="bullet"/>
      <w:lvlText w:val="•"/>
      <w:lvlJc w:val="left"/>
      <w:pPr>
        <w:ind w:left="4686" w:hanging="360"/>
      </w:pPr>
      <w:rPr>
        <w:rFonts w:hint="default"/>
      </w:rPr>
    </w:lvl>
    <w:lvl w:ilvl="5">
      <w:start w:val="0"/>
      <w:numFmt w:val="bullet"/>
      <w:lvlText w:val="•"/>
      <w:lvlJc w:val="left"/>
      <w:pPr>
        <w:ind w:left="5523" w:hanging="360"/>
      </w:pPr>
      <w:rPr>
        <w:rFonts w:hint="default"/>
      </w:rPr>
    </w:lvl>
    <w:lvl w:ilvl="6">
      <w:start w:val="0"/>
      <w:numFmt w:val="bullet"/>
      <w:lvlText w:val="•"/>
      <w:lvlJc w:val="left"/>
      <w:pPr>
        <w:ind w:left="6359" w:hanging="360"/>
      </w:pPr>
      <w:rPr>
        <w:rFonts w:hint="default"/>
      </w:rPr>
    </w:lvl>
    <w:lvl w:ilvl="7">
      <w:start w:val="0"/>
      <w:numFmt w:val="bullet"/>
      <w:lvlText w:val="•"/>
      <w:lvlJc w:val="left"/>
      <w:pPr>
        <w:ind w:left="7196" w:hanging="360"/>
      </w:pPr>
      <w:rPr>
        <w:rFonts w:hint="default"/>
      </w:rPr>
    </w:lvl>
    <w:lvl w:ilvl="8">
      <w:start w:val="0"/>
      <w:numFmt w:val="bullet"/>
      <w:lvlText w:val="•"/>
      <w:lvlJc w:val="left"/>
      <w:pPr>
        <w:ind w:left="8033" w:hanging="360"/>
      </w:pPr>
      <w:rPr>
        <w:rFonts w:hint="default"/>
      </w:rPr>
    </w:lvl>
  </w:abstractNum>
  <w:abstractNum w:abstractNumId="14">
    <w:multiLevelType w:val="hybridMultilevel"/>
    <w:lvl w:ilvl="0">
      <w:start w:val="1"/>
      <w:numFmt w:val="decimal"/>
      <w:lvlText w:val="%1."/>
      <w:lvlJc w:val="left"/>
      <w:pPr>
        <w:ind w:left="1280" w:hanging="360"/>
        <w:jc w:val="left"/>
      </w:pPr>
      <w:rPr>
        <w:rFonts w:hint="default" w:ascii="Calibri" w:hAnsi="Calibri" w:eastAsia="Calibri" w:cs="Calibri"/>
        <w:spacing w:val="-1"/>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13">
    <w:multiLevelType w:val="hybridMultilevel"/>
    <w:lvl w:ilvl="0">
      <w:start w:val="5"/>
      <w:numFmt w:val="decimal"/>
      <w:lvlText w:val="%1"/>
      <w:lvlJc w:val="left"/>
      <w:pPr>
        <w:ind w:left="2721" w:hanging="1081"/>
        <w:jc w:val="left"/>
      </w:pPr>
      <w:rPr>
        <w:rFonts w:hint="default"/>
      </w:rPr>
    </w:lvl>
    <w:lvl w:ilvl="1">
      <w:start w:val="4"/>
      <w:numFmt w:val="decimal"/>
      <w:lvlText w:val="%1.%2"/>
      <w:lvlJc w:val="left"/>
      <w:pPr>
        <w:ind w:left="2721" w:hanging="1081"/>
        <w:jc w:val="left"/>
      </w:pPr>
      <w:rPr>
        <w:rFonts w:hint="default"/>
      </w:rPr>
    </w:lvl>
    <w:lvl w:ilvl="2">
      <w:start w:val="2"/>
      <w:numFmt w:val="decimal"/>
      <w:lvlText w:val="%1.%2.%3"/>
      <w:lvlJc w:val="left"/>
      <w:pPr>
        <w:ind w:left="2721" w:hanging="1081"/>
        <w:jc w:val="left"/>
      </w:pPr>
      <w:rPr>
        <w:rFonts w:hint="default"/>
      </w:rPr>
    </w:lvl>
    <w:lvl w:ilvl="3">
      <w:start w:val="1"/>
      <w:numFmt w:val="decimal"/>
      <w:lvlText w:val="%1.%2.%3.%4."/>
      <w:lvlJc w:val="left"/>
      <w:pPr>
        <w:ind w:left="2721" w:hanging="1081"/>
        <w:jc w:val="left"/>
      </w:pPr>
      <w:rPr>
        <w:rFonts w:hint="default" w:ascii="Calibri Light" w:hAnsi="Calibri Light" w:eastAsia="Calibri Light" w:cs="Calibri Light"/>
        <w:spacing w:val="-3"/>
        <w:w w:val="100"/>
        <w:sz w:val="24"/>
        <w:szCs w:val="24"/>
      </w:rPr>
    </w:lvl>
    <w:lvl w:ilvl="4">
      <w:start w:val="0"/>
      <w:numFmt w:val="bullet"/>
      <w:lvlText w:val="•"/>
      <w:lvlJc w:val="left"/>
      <w:pPr>
        <w:ind w:left="5514" w:hanging="1081"/>
      </w:pPr>
      <w:rPr>
        <w:rFonts w:hint="default"/>
      </w:rPr>
    </w:lvl>
    <w:lvl w:ilvl="5">
      <w:start w:val="0"/>
      <w:numFmt w:val="bullet"/>
      <w:lvlText w:val="•"/>
      <w:lvlJc w:val="left"/>
      <w:pPr>
        <w:ind w:left="6213" w:hanging="1081"/>
      </w:pPr>
      <w:rPr>
        <w:rFonts w:hint="default"/>
      </w:rPr>
    </w:lvl>
    <w:lvl w:ilvl="6">
      <w:start w:val="0"/>
      <w:numFmt w:val="bullet"/>
      <w:lvlText w:val="•"/>
      <w:lvlJc w:val="left"/>
      <w:pPr>
        <w:ind w:left="6911" w:hanging="1081"/>
      </w:pPr>
      <w:rPr>
        <w:rFonts w:hint="default"/>
      </w:rPr>
    </w:lvl>
    <w:lvl w:ilvl="7">
      <w:start w:val="0"/>
      <w:numFmt w:val="bullet"/>
      <w:lvlText w:val="•"/>
      <w:lvlJc w:val="left"/>
      <w:pPr>
        <w:ind w:left="7610" w:hanging="1081"/>
      </w:pPr>
      <w:rPr>
        <w:rFonts w:hint="default"/>
      </w:rPr>
    </w:lvl>
    <w:lvl w:ilvl="8">
      <w:start w:val="0"/>
      <w:numFmt w:val="bullet"/>
      <w:lvlText w:val="•"/>
      <w:lvlJc w:val="left"/>
      <w:pPr>
        <w:ind w:left="8309" w:hanging="1081"/>
      </w:pPr>
      <w:rPr>
        <w:rFonts w:hint="default"/>
      </w:rPr>
    </w:lvl>
  </w:abstractNum>
  <w:abstractNum w:abstractNumId="12">
    <w:multiLevelType w:val="hybridMultilevel"/>
    <w:lvl w:ilvl="0">
      <w:start w:val="1"/>
      <w:numFmt w:val="decimal"/>
      <w:lvlText w:val="%1."/>
      <w:lvlJc w:val="left"/>
      <w:pPr>
        <w:ind w:left="1280" w:hanging="360"/>
        <w:jc w:val="left"/>
      </w:pPr>
      <w:rPr>
        <w:rFonts w:hint="default" w:ascii="Calibri" w:hAnsi="Calibri" w:eastAsia="Calibri" w:cs="Calibri"/>
        <w:spacing w:val="-1"/>
        <w:w w:val="99"/>
        <w:sz w:val="20"/>
        <w:szCs w:val="20"/>
      </w:rPr>
    </w:lvl>
    <w:lvl w:ilvl="1">
      <w:start w:val="0"/>
      <w:numFmt w:val="bullet"/>
      <w:lvlText w:val="•"/>
      <w:lvlJc w:val="left"/>
      <w:pPr>
        <w:ind w:left="2140" w:hanging="360"/>
      </w:pPr>
      <w:rPr>
        <w:rFonts w:hint="default"/>
      </w:rPr>
    </w:lvl>
    <w:lvl w:ilvl="2">
      <w:start w:val="0"/>
      <w:numFmt w:val="bullet"/>
      <w:lvlText w:val="•"/>
      <w:lvlJc w:val="left"/>
      <w:pPr>
        <w:ind w:left="3001" w:hanging="360"/>
      </w:pPr>
      <w:rPr>
        <w:rFonts w:hint="default"/>
      </w:rPr>
    </w:lvl>
    <w:lvl w:ilvl="3">
      <w:start w:val="0"/>
      <w:numFmt w:val="bullet"/>
      <w:lvlText w:val="•"/>
      <w:lvlJc w:val="left"/>
      <w:pPr>
        <w:ind w:left="3861" w:hanging="360"/>
      </w:pPr>
      <w:rPr>
        <w:rFonts w:hint="default"/>
      </w:rPr>
    </w:lvl>
    <w:lvl w:ilvl="4">
      <w:start w:val="0"/>
      <w:numFmt w:val="bullet"/>
      <w:lvlText w:val="•"/>
      <w:lvlJc w:val="left"/>
      <w:pPr>
        <w:ind w:left="4722" w:hanging="360"/>
      </w:pPr>
      <w:rPr>
        <w:rFonts w:hint="default"/>
      </w:rPr>
    </w:lvl>
    <w:lvl w:ilvl="5">
      <w:start w:val="0"/>
      <w:numFmt w:val="bullet"/>
      <w:lvlText w:val="•"/>
      <w:lvlJc w:val="left"/>
      <w:pPr>
        <w:ind w:left="5583" w:hanging="360"/>
      </w:pPr>
      <w:rPr>
        <w:rFonts w:hint="default"/>
      </w:rPr>
    </w:lvl>
    <w:lvl w:ilvl="6">
      <w:start w:val="0"/>
      <w:numFmt w:val="bullet"/>
      <w:lvlText w:val="•"/>
      <w:lvlJc w:val="left"/>
      <w:pPr>
        <w:ind w:left="6443" w:hanging="360"/>
      </w:pPr>
      <w:rPr>
        <w:rFonts w:hint="default"/>
      </w:rPr>
    </w:lvl>
    <w:lvl w:ilvl="7">
      <w:start w:val="0"/>
      <w:numFmt w:val="bullet"/>
      <w:lvlText w:val="•"/>
      <w:lvlJc w:val="left"/>
      <w:pPr>
        <w:ind w:left="7304" w:hanging="360"/>
      </w:pPr>
      <w:rPr>
        <w:rFonts w:hint="default"/>
      </w:rPr>
    </w:lvl>
    <w:lvl w:ilvl="8">
      <w:start w:val="0"/>
      <w:numFmt w:val="bullet"/>
      <w:lvlText w:val="•"/>
      <w:lvlJc w:val="left"/>
      <w:pPr>
        <w:ind w:left="8165" w:hanging="360"/>
      </w:pPr>
      <w:rPr>
        <w:rFonts w:hint="default"/>
      </w:rPr>
    </w:lvl>
  </w:abstractNum>
  <w:abstractNum w:abstractNumId="11">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10">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9">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8">
    <w:multiLevelType w:val="hybridMultilevel"/>
    <w:lvl w:ilvl="0">
      <w:start w:val="3"/>
      <w:numFmt w:val="decimal"/>
      <w:lvlText w:val="%1."/>
      <w:lvlJc w:val="left"/>
      <w:pPr>
        <w:ind w:left="920" w:hanging="360"/>
        <w:jc w:val="left"/>
      </w:pPr>
      <w:rPr>
        <w:rFonts w:hint="default" w:ascii="Arial" w:hAnsi="Arial" w:eastAsia="Arial" w:cs="Arial"/>
        <w:spacing w:val="0"/>
        <w:w w:val="100"/>
        <w:sz w:val="36"/>
        <w:szCs w:val="36"/>
      </w:rPr>
    </w:lvl>
    <w:lvl w:ilvl="1">
      <w:start w:val="1"/>
      <w:numFmt w:val="decimal"/>
      <w:lvlText w:val="%1.%2."/>
      <w:lvlJc w:val="left"/>
      <w:pPr>
        <w:ind w:left="1352" w:hanging="1080"/>
        <w:jc w:val="left"/>
      </w:pPr>
      <w:rPr>
        <w:rFonts w:hint="default" w:ascii="Calibri Light" w:hAnsi="Calibri Light" w:eastAsia="Calibri Light" w:cs="Calibri Light"/>
        <w:spacing w:val="-1"/>
        <w:w w:val="99"/>
        <w:sz w:val="32"/>
        <w:szCs w:val="32"/>
      </w:rPr>
    </w:lvl>
    <w:lvl w:ilvl="2">
      <w:start w:val="1"/>
      <w:numFmt w:val="decimal"/>
      <w:lvlText w:val="%1.%2.%3."/>
      <w:lvlJc w:val="left"/>
      <w:pPr>
        <w:ind w:left="2000" w:hanging="720"/>
        <w:jc w:val="left"/>
      </w:pPr>
      <w:rPr>
        <w:rFonts w:hint="default" w:ascii="Calibri Light" w:hAnsi="Calibri Light" w:eastAsia="Calibri Light" w:cs="Calibri Light"/>
        <w:spacing w:val="-1"/>
        <w:w w:val="100"/>
        <w:sz w:val="24"/>
        <w:szCs w:val="24"/>
      </w:rPr>
    </w:lvl>
    <w:lvl w:ilvl="3">
      <w:start w:val="0"/>
      <w:numFmt w:val="bullet"/>
      <w:lvlText w:val="•"/>
      <w:lvlJc w:val="left"/>
      <w:pPr>
        <w:ind w:left="2963" w:hanging="720"/>
      </w:pPr>
      <w:rPr>
        <w:rFonts w:hint="default"/>
      </w:rPr>
    </w:lvl>
    <w:lvl w:ilvl="4">
      <w:start w:val="0"/>
      <w:numFmt w:val="bullet"/>
      <w:lvlText w:val="•"/>
      <w:lvlJc w:val="left"/>
      <w:pPr>
        <w:ind w:left="3926" w:hanging="720"/>
      </w:pPr>
      <w:rPr>
        <w:rFonts w:hint="default"/>
      </w:rPr>
    </w:lvl>
    <w:lvl w:ilvl="5">
      <w:start w:val="0"/>
      <w:numFmt w:val="bullet"/>
      <w:lvlText w:val="•"/>
      <w:lvlJc w:val="left"/>
      <w:pPr>
        <w:ind w:left="4889" w:hanging="720"/>
      </w:pPr>
      <w:rPr>
        <w:rFonts w:hint="default"/>
      </w:rPr>
    </w:lvl>
    <w:lvl w:ilvl="6">
      <w:start w:val="0"/>
      <w:numFmt w:val="bullet"/>
      <w:lvlText w:val="•"/>
      <w:lvlJc w:val="left"/>
      <w:pPr>
        <w:ind w:left="5853" w:hanging="720"/>
      </w:pPr>
      <w:rPr>
        <w:rFonts w:hint="default"/>
      </w:rPr>
    </w:lvl>
    <w:lvl w:ilvl="7">
      <w:start w:val="0"/>
      <w:numFmt w:val="bullet"/>
      <w:lvlText w:val="•"/>
      <w:lvlJc w:val="left"/>
      <w:pPr>
        <w:ind w:left="6816" w:hanging="720"/>
      </w:pPr>
      <w:rPr>
        <w:rFonts w:hint="default"/>
      </w:rPr>
    </w:lvl>
    <w:lvl w:ilvl="8">
      <w:start w:val="0"/>
      <w:numFmt w:val="bullet"/>
      <w:lvlText w:val="•"/>
      <w:lvlJc w:val="left"/>
      <w:pPr>
        <w:ind w:left="7779" w:hanging="720"/>
      </w:pPr>
      <w:rPr>
        <w:rFonts w:hint="default"/>
      </w:rPr>
    </w:lvl>
  </w:abstractNum>
  <w:abstractNum w:abstractNumId="7">
    <w:multiLevelType w:val="hybridMultilevel"/>
    <w:lvl w:ilvl="0">
      <w:start w:val="0"/>
      <w:numFmt w:val="bullet"/>
      <w:lvlText w:val=""/>
      <w:lvlJc w:val="left"/>
      <w:pPr>
        <w:ind w:left="1280" w:hanging="360"/>
      </w:pPr>
      <w:rPr>
        <w:rFonts w:hint="default" w:ascii="Symbol" w:hAnsi="Symbol" w:eastAsia="Symbol" w:cs="Symbol"/>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6">
    <w:multiLevelType w:val="hybridMultilevel"/>
    <w:lvl w:ilvl="0">
      <w:start w:val="2"/>
      <w:numFmt w:val="decimal"/>
      <w:lvlText w:val="%1"/>
      <w:lvlJc w:val="left"/>
      <w:pPr>
        <w:ind w:left="2000" w:hanging="1080"/>
        <w:jc w:val="left"/>
      </w:pPr>
      <w:rPr>
        <w:rFonts w:hint="default"/>
      </w:rPr>
    </w:lvl>
    <w:lvl w:ilvl="1">
      <w:start w:val="1"/>
      <w:numFmt w:val="decimal"/>
      <w:lvlText w:val="%1.%2."/>
      <w:lvlJc w:val="left"/>
      <w:pPr>
        <w:ind w:left="2000" w:hanging="1080"/>
        <w:jc w:val="right"/>
      </w:pPr>
      <w:rPr>
        <w:rFonts w:hint="default" w:ascii="Calibri Light" w:hAnsi="Calibri Light" w:eastAsia="Calibri Light" w:cs="Calibri Light"/>
        <w:spacing w:val="-1"/>
        <w:w w:val="99"/>
        <w:sz w:val="32"/>
        <w:szCs w:val="32"/>
      </w:rPr>
    </w:lvl>
    <w:lvl w:ilvl="2">
      <w:start w:val="0"/>
      <w:numFmt w:val="bullet"/>
      <w:lvlText w:val="•"/>
      <w:lvlJc w:val="left"/>
      <w:pPr>
        <w:ind w:left="3541" w:hanging="1080"/>
      </w:pPr>
      <w:rPr>
        <w:rFonts w:hint="default"/>
      </w:rPr>
    </w:lvl>
    <w:lvl w:ilvl="3">
      <w:start w:val="0"/>
      <w:numFmt w:val="bullet"/>
      <w:lvlText w:val="•"/>
      <w:lvlJc w:val="left"/>
      <w:pPr>
        <w:ind w:left="4311" w:hanging="1080"/>
      </w:pPr>
      <w:rPr>
        <w:rFonts w:hint="default"/>
      </w:rPr>
    </w:lvl>
    <w:lvl w:ilvl="4">
      <w:start w:val="0"/>
      <w:numFmt w:val="bullet"/>
      <w:lvlText w:val="•"/>
      <w:lvlJc w:val="left"/>
      <w:pPr>
        <w:ind w:left="5082" w:hanging="1080"/>
      </w:pPr>
      <w:rPr>
        <w:rFonts w:hint="default"/>
      </w:rPr>
    </w:lvl>
    <w:lvl w:ilvl="5">
      <w:start w:val="0"/>
      <w:numFmt w:val="bullet"/>
      <w:lvlText w:val="•"/>
      <w:lvlJc w:val="left"/>
      <w:pPr>
        <w:ind w:left="5853" w:hanging="1080"/>
      </w:pPr>
      <w:rPr>
        <w:rFonts w:hint="default"/>
      </w:rPr>
    </w:lvl>
    <w:lvl w:ilvl="6">
      <w:start w:val="0"/>
      <w:numFmt w:val="bullet"/>
      <w:lvlText w:val="•"/>
      <w:lvlJc w:val="left"/>
      <w:pPr>
        <w:ind w:left="6623" w:hanging="1080"/>
      </w:pPr>
      <w:rPr>
        <w:rFonts w:hint="default"/>
      </w:rPr>
    </w:lvl>
    <w:lvl w:ilvl="7">
      <w:start w:val="0"/>
      <w:numFmt w:val="bullet"/>
      <w:lvlText w:val="•"/>
      <w:lvlJc w:val="left"/>
      <w:pPr>
        <w:ind w:left="7394" w:hanging="1080"/>
      </w:pPr>
      <w:rPr>
        <w:rFonts w:hint="default"/>
      </w:rPr>
    </w:lvl>
    <w:lvl w:ilvl="8">
      <w:start w:val="0"/>
      <w:numFmt w:val="bullet"/>
      <w:lvlText w:val="•"/>
      <w:lvlJc w:val="left"/>
      <w:pPr>
        <w:ind w:left="8165" w:hanging="1080"/>
      </w:pPr>
      <w:rPr>
        <w:rFonts w:hint="default"/>
      </w:rPr>
    </w:lvl>
  </w:abstractNum>
  <w:abstractNum w:abstractNumId="5">
    <w:multiLevelType w:val="hybridMultilevel"/>
    <w:lvl w:ilvl="0">
      <w:start w:val="1"/>
      <w:numFmt w:val="decimal"/>
      <w:lvlText w:val="%1."/>
      <w:lvlJc w:val="left"/>
      <w:pPr>
        <w:ind w:left="1280" w:hanging="360"/>
        <w:jc w:val="left"/>
      </w:pPr>
      <w:rPr>
        <w:rFonts w:hint="default" w:ascii="Calibri" w:hAnsi="Calibri" w:eastAsia="Calibri" w:cs="Calibri"/>
        <w:spacing w:val="-1"/>
        <w:w w:val="99"/>
        <w:sz w:val="20"/>
        <w:szCs w:val="20"/>
      </w:rPr>
    </w:lvl>
    <w:lvl w:ilvl="1">
      <w:start w:val="1"/>
      <w:numFmt w:val="lowerLetter"/>
      <w:lvlText w:val="%2."/>
      <w:lvlJc w:val="left"/>
      <w:pPr>
        <w:ind w:left="2000" w:hanging="360"/>
        <w:jc w:val="left"/>
      </w:pPr>
      <w:rPr>
        <w:rFonts w:hint="default" w:ascii="Calibri" w:hAnsi="Calibri" w:eastAsia="Calibri" w:cs="Calibri"/>
        <w:w w:val="99"/>
        <w:sz w:val="20"/>
        <w:szCs w:val="20"/>
      </w:rPr>
    </w:lvl>
    <w:lvl w:ilvl="2">
      <w:start w:val="0"/>
      <w:numFmt w:val="bullet"/>
      <w:lvlText w:val="•"/>
      <w:lvlJc w:val="left"/>
      <w:pPr>
        <w:ind w:left="2856" w:hanging="360"/>
      </w:pPr>
      <w:rPr>
        <w:rFonts w:hint="default"/>
      </w:rPr>
    </w:lvl>
    <w:lvl w:ilvl="3">
      <w:start w:val="0"/>
      <w:numFmt w:val="bullet"/>
      <w:lvlText w:val="•"/>
      <w:lvlJc w:val="left"/>
      <w:pPr>
        <w:ind w:left="3712" w:hanging="360"/>
      </w:pPr>
      <w:rPr>
        <w:rFonts w:hint="default"/>
      </w:rPr>
    </w:lvl>
    <w:lvl w:ilvl="4">
      <w:start w:val="0"/>
      <w:numFmt w:val="bullet"/>
      <w:lvlText w:val="•"/>
      <w:lvlJc w:val="left"/>
      <w:pPr>
        <w:ind w:left="4568" w:hanging="360"/>
      </w:pPr>
      <w:rPr>
        <w:rFonts w:hint="default"/>
      </w:rPr>
    </w:lvl>
    <w:lvl w:ilvl="5">
      <w:start w:val="0"/>
      <w:numFmt w:val="bullet"/>
      <w:lvlText w:val="•"/>
      <w:lvlJc w:val="left"/>
      <w:pPr>
        <w:ind w:left="5425" w:hanging="360"/>
      </w:pPr>
      <w:rPr>
        <w:rFonts w:hint="default"/>
      </w:rPr>
    </w:lvl>
    <w:lvl w:ilvl="6">
      <w:start w:val="0"/>
      <w:numFmt w:val="bullet"/>
      <w:lvlText w:val="•"/>
      <w:lvlJc w:val="left"/>
      <w:pPr>
        <w:ind w:left="6281" w:hanging="360"/>
      </w:pPr>
      <w:rPr>
        <w:rFonts w:hint="default"/>
      </w:rPr>
    </w:lvl>
    <w:lvl w:ilvl="7">
      <w:start w:val="0"/>
      <w:numFmt w:val="bullet"/>
      <w:lvlText w:val="•"/>
      <w:lvlJc w:val="left"/>
      <w:pPr>
        <w:ind w:left="7137" w:hanging="360"/>
      </w:pPr>
      <w:rPr>
        <w:rFonts w:hint="default"/>
      </w:rPr>
    </w:lvl>
    <w:lvl w:ilvl="8">
      <w:start w:val="0"/>
      <w:numFmt w:val="bullet"/>
      <w:lvlText w:val="•"/>
      <w:lvlJc w:val="left"/>
      <w:pPr>
        <w:ind w:left="7993" w:hanging="360"/>
      </w:pPr>
      <w:rPr>
        <w:rFonts w:hint="default"/>
      </w:rPr>
    </w:lvl>
  </w:abstractNum>
  <w:abstractNum w:abstractNumId="4">
    <w:multiLevelType w:val="hybridMultilevel"/>
    <w:lvl w:ilvl="0">
      <w:start w:val="1"/>
      <w:numFmt w:val="decimal"/>
      <w:lvlText w:val="%1."/>
      <w:lvlJc w:val="left"/>
      <w:pPr>
        <w:ind w:left="920" w:hanging="360"/>
        <w:jc w:val="left"/>
      </w:pPr>
      <w:rPr>
        <w:rFonts w:hint="default" w:ascii="Arial" w:hAnsi="Arial" w:eastAsia="Arial" w:cs="Arial"/>
        <w:spacing w:val="0"/>
        <w:w w:val="100"/>
        <w:sz w:val="36"/>
        <w:szCs w:val="36"/>
      </w:rPr>
    </w:lvl>
    <w:lvl w:ilvl="1">
      <w:start w:val="0"/>
      <w:numFmt w:val="bullet"/>
      <w:lvlText w:val="✓"/>
      <w:lvlJc w:val="left"/>
      <w:pPr>
        <w:ind w:left="1038" w:hanging="195"/>
      </w:pPr>
      <w:rPr>
        <w:rFonts w:hint="default" w:ascii="Segoe UI Symbol" w:hAnsi="Segoe UI Symbol" w:eastAsia="Segoe UI Symbol" w:cs="Segoe UI Symbol"/>
        <w:w w:val="99"/>
        <w:sz w:val="20"/>
        <w:szCs w:val="20"/>
      </w:rPr>
    </w:lvl>
    <w:lvl w:ilvl="2">
      <w:start w:val="0"/>
      <w:numFmt w:val="bullet"/>
      <w:lvlText w:val="•"/>
      <w:lvlJc w:val="left"/>
      <w:pPr>
        <w:ind w:left="2002" w:hanging="195"/>
      </w:pPr>
      <w:rPr>
        <w:rFonts w:hint="default"/>
      </w:rPr>
    </w:lvl>
    <w:lvl w:ilvl="3">
      <w:start w:val="0"/>
      <w:numFmt w:val="bullet"/>
      <w:lvlText w:val="•"/>
      <w:lvlJc w:val="left"/>
      <w:pPr>
        <w:ind w:left="2965" w:hanging="195"/>
      </w:pPr>
      <w:rPr>
        <w:rFonts w:hint="default"/>
      </w:rPr>
    </w:lvl>
    <w:lvl w:ilvl="4">
      <w:start w:val="0"/>
      <w:numFmt w:val="bullet"/>
      <w:lvlText w:val="•"/>
      <w:lvlJc w:val="left"/>
      <w:pPr>
        <w:ind w:left="3928" w:hanging="195"/>
      </w:pPr>
      <w:rPr>
        <w:rFonts w:hint="default"/>
      </w:rPr>
    </w:lvl>
    <w:lvl w:ilvl="5">
      <w:start w:val="0"/>
      <w:numFmt w:val="bullet"/>
      <w:lvlText w:val="•"/>
      <w:lvlJc w:val="left"/>
      <w:pPr>
        <w:ind w:left="4891" w:hanging="195"/>
      </w:pPr>
      <w:rPr>
        <w:rFonts w:hint="default"/>
      </w:rPr>
    </w:lvl>
    <w:lvl w:ilvl="6">
      <w:start w:val="0"/>
      <w:numFmt w:val="bullet"/>
      <w:lvlText w:val="•"/>
      <w:lvlJc w:val="left"/>
      <w:pPr>
        <w:ind w:left="5854" w:hanging="195"/>
      </w:pPr>
      <w:rPr>
        <w:rFonts w:hint="default"/>
      </w:rPr>
    </w:lvl>
    <w:lvl w:ilvl="7">
      <w:start w:val="0"/>
      <w:numFmt w:val="bullet"/>
      <w:lvlText w:val="•"/>
      <w:lvlJc w:val="left"/>
      <w:pPr>
        <w:ind w:left="6817" w:hanging="195"/>
      </w:pPr>
      <w:rPr>
        <w:rFonts w:hint="default"/>
      </w:rPr>
    </w:lvl>
    <w:lvl w:ilvl="8">
      <w:start w:val="0"/>
      <w:numFmt w:val="bullet"/>
      <w:lvlText w:val="•"/>
      <w:lvlJc w:val="left"/>
      <w:pPr>
        <w:ind w:left="7780" w:hanging="195"/>
      </w:pPr>
      <w:rPr>
        <w:rFonts w:hint="default"/>
      </w:rPr>
    </w:lvl>
  </w:abstractNum>
  <w:abstractNum w:abstractNumId="3">
    <w:multiLevelType w:val="hybridMultilevel"/>
    <w:lvl w:ilvl="0">
      <w:start w:val="1"/>
      <w:numFmt w:val="decimal"/>
      <w:lvlText w:val="%1."/>
      <w:lvlJc w:val="left"/>
      <w:pPr>
        <w:ind w:left="1280" w:hanging="360"/>
        <w:jc w:val="left"/>
      </w:pPr>
      <w:rPr>
        <w:rFonts w:hint="default" w:ascii="Calibri" w:hAnsi="Calibri" w:eastAsia="Calibri" w:cs="Calibri"/>
        <w:spacing w:val="-1"/>
        <w:w w:val="99"/>
        <w:sz w:val="20"/>
        <w:szCs w:val="20"/>
      </w:rPr>
    </w:lvl>
    <w:lvl w:ilvl="1">
      <w:start w:val="0"/>
      <w:numFmt w:val="bullet"/>
      <w:lvlText w:val="•"/>
      <w:lvlJc w:val="left"/>
      <w:pPr>
        <w:ind w:left="2122" w:hanging="360"/>
      </w:pPr>
      <w:rPr>
        <w:rFonts w:hint="default"/>
      </w:rPr>
    </w:lvl>
    <w:lvl w:ilvl="2">
      <w:start w:val="0"/>
      <w:numFmt w:val="bullet"/>
      <w:lvlText w:val="•"/>
      <w:lvlJc w:val="left"/>
      <w:pPr>
        <w:ind w:left="2965" w:hanging="360"/>
      </w:pPr>
      <w:rPr>
        <w:rFonts w:hint="default"/>
      </w:rPr>
    </w:lvl>
    <w:lvl w:ilvl="3">
      <w:start w:val="0"/>
      <w:numFmt w:val="bullet"/>
      <w:lvlText w:val="•"/>
      <w:lvlJc w:val="left"/>
      <w:pPr>
        <w:ind w:left="3807" w:hanging="360"/>
      </w:pPr>
      <w:rPr>
        <w:rFonts w:hint="default"/>
      </w:rPr>
    </w:lvl>
    <w:lvl w:ilvl="4">
      <w:start w:val="0"/>
      <w:numFmt w:val="bullet"/>
      <w:lvlText w:val="•"/>
      <w:lvlJc w:val="left"/>
      <w:pPr>
        <w:ind w:left="4650" w:hanging="360"/>
      </w:pPr>
      <w:rPr>
        <w:rFonts w:hint="default"/>
      </w:rPr>
    </w:lvl>
    <w:lvl w:ilvl="5">
      <w:start w:val="0"/>
      <w:numFmt w:val="bullet"/>
      <w:lvlText w:val="•"/>
      <w:lvlJc w:val="left"/>
      <w:pPr>
        <w:ind w:left="5493" w:hanging="360"/>
      </w:pPr>
      <w:rPr>
        <w:rFonts w:hint="default"/>
      </w:rPr>
    </w:lvl>
    <w:lvl w:ilvl="6">
      <w:start w:val="0"/>
      <w:numFmt w:val="bullet"/>
      <w:lvlText w:val="•"/>
      <w:lvlJc w:val="left"/>
      <w:pPr>
        <w:ind w:left="6335" w:hanging="360"/>
      </w:pPr>
      <w:rPr>
        <w:rFonts w:hint="default"/>
      </w:rPr>
    </w:lvl>
    <w:lvl w:ilvl="7">
      <w:start w:val="0"/>
      <w:numFmt w:val="bullet"/>
      <w:lvlText w:val="•"/>
      <w:lvlJc w:val="left"/>
      <w:pPr>
        <w:ind w:left="7178" w:hanging="360"/>
      </w:pPr>
      <w:rPr>
        <w:rFonts w:hint="default"/>
      </w:rPr>
    </w:lvl>
    <w:lvl w:ilvl="8">
      <w:start w:val="0"/>
      <w:numFmt w:val="bullet"/>
      <w:lvlText w:val="•"/>
      <w:lvlJc w:val="left"/>
      <w:pPr>
        <w:ind w:left="8021" w:hanging="360"/>
      </w:pPr>
      <w:rPr>
        <w:rFonts w:hint="default"/>
      </w:rPr>
    </w:lvl>
  </w:abstractNum>
  <w:abstractNum w:abstractNumId="2">
    <w:multiLevelType w:val="hybridMultilevel"/>
    <w:lvl w:ilvl="0">
      <w:start w:val="5"/>
      <w:numFmt w:val="decimal"/>
      <w:lvlText w:val="%1"/>
      <w:lvlJc w:val="left"/>
      <w:pPr>
        <w:ind w:left="1441" w:hanging="660"/>
        <w:jc w:val="left"/>
      </w:pPr>
      <w:rPr>
        <w:rFonts w:hint="default"/>
      </w:rPr>
    </w:lvl>
    <w:lvl w:ilvl="1">
      <w:start w:val="5"/>
      <w:numFmt w:val="decimal"/>
      <w:lvlText w:val="%1.%2."/>
      <w:lvlJc w:val="left"/>
      <w:pPr>
        <w:ind w:left="1441" w:hanging="660"/>
        <w:jc w:val="left"/>
      </w:pPr>
      <w:rPr>
        <w:rFonts w:hint="default" w:ascii="Calibri" w:hAnsi="Calibri" w:eastAsia="Calibri" w:cs="Calibri"/>
        <w:w w:val="99"/>
        <w:sz w:val="20"/>
        <w:szCs w:val="20"/>
      </w:rPr>
    </w:lvl>
    <w:lvl w:ilvl="2">
      <w:start w:val="0"/>
      <w:numFmt w:val="bullet"/>
      <w:lvlText w:val="•"/>
      <w:lvlJc w:val="left"/>
      <w:pPr>
        <w:ind w:left="3093" w:hanging="660"/>
      </w:pPr>
      <w:rPr>
        <w:rFonts w:hint="default"/>
      </w:rPr>
    </w:lvl>
    <w:lvl w:ilvl="3">
      <w:start w:val="0"/>
      <w:numFmt w:val="bullet"/>
      <w:lvlText w:val="•"/>
      <w:lvlJc w:val="left"/>
      <w:pPr>
        <w:ind w:left="3919" w:hanging="660"/>
      </w:pPr>
      <w:rPr>
        <w:rFonts w:hint="default"/>
      </w:rPr>
    </w:lvl>
    <w:lvl w:ilvl="4">
      <w:start w:val="0"/>
      <w:numFmt w:val="bullet"/>
      <w:lvlText w:val="•"/>
      <w:lvlJc w:val="left"/>
      <w:pPr>
        <w:ind w:left="4746" w:hanging="660"/>
      </w:pPr>
      <w:rPr>
        <w:rFonts w:hint="default"/>
      </w:rPr>
    </w:lvl>
    <w:lvl w:ilvl="5">
      <w:start w:val="0"/>
      <w:numFmt w:val="bullet"/>
      <w:lvlText w:val="•"/>
      <w:lvlJc w:val="left"/>
      <w:pPr>
        <w:ind w:left="5573" w:hanging="660"/>
      </w:pPr>
      <w:rPr>
        <w:rFonts w:hint="default"/>
      </w:rPr>
    </w:lvl>
    <w:lvl w:ilvl="6">
      <w:start w:val="0"/>
      <w:numFmt w:val="bullet"/>
      <w:lvlText w:val="•"/>
      <w:lvlJc w:val="left"/>
      <w:pPr>
        <w:ind w:left="6399" w:hanging="660"/>
      </w:pPr>
      <w:rPr>
        <w:rFonts w:hint="default"/>
      </w:rPr>
    </w:lvl>
    <w:lvl w:ilvl="7">
      <w:start w:val="0"/>
      <w:numFmt w:val="bullet"/>
      <w:lvlText w:val="•"/>
      <w:lvlJc w:val="left"/>
      <w:pPr>
        <w:ind w:left="7226" w:hanging="660"/>
      </w:pPr>
      <w:rPr>
        <w:rFonts w:hint="default"/>
      </w:rPr>
    </w:lvl>
    <w:lvl w:ilvl="8">
      <w:start w:val="0"/>
      <w:numFmt w:val="bullet"/>
      <w:lvlText w:val="•"/>
      <w:lvlJc w:val="left"/>
      <w:pPr>
        <w:ind w:left="8053" w:hanging="660"/>
      </w:pPr>
      <w:rPr>
        <w:rFonts w:hint="default"/>
      </w:rPr>
    </w:lvl>
  </w:abstractNum>
  <w:abstractNum w:abstractNumId="1">
    <w:multiLevelType w:val="hybridMultilevel"/>
    <w:lvl w:ilvl="0">
      <w:start w:val="5"/>
      <w:numFmt w:val="decimal"/>
      <w:lvlText w:val="%1"/>
      <w:lvlJc w:val="left"/>
      <w:pPr>
        <w:ind w:left="1441" w:hanging="660"/>
        <w:jc w:val="left"/>
      </w:pPr>
      <w:rPr>
        <w:rFonts w:hint="default"/>
      </w:rPr>
    </w:lvl>
    <w:lvl w:ilvl="1">
      <w:start w:val="3"/>
      <w:numFmt w:val="decimal"/>
      <w:lvlText w:val="%1.%2."/>
      <w:lvlJc w:val="left"/>
      <w:pPr>
        <w:ind w:left="1441" w:hanging="660"/>
        <w:jc w:val="left"/>
      </w:pPr>
      <w:rPr>
        <w:rFonts w:hint="default" w:ascii="Calibri" w:hAnsi="Calibri" w:eastAsia="Calibri" w:cs="Calibri"/>
        <w:w w:val="99"/>
        <w:sz w:val="20"/>
        <w:szCs w:val="20"/>
      </w:rPr>
    </w:lvl>
    <w:lvl w:ilvl="2">
      <w:start w:val="1"/>
      <w:numFmt w:val="decimal"/>
      <w:lvlText w:val="%1.%2.%3."/>
      <w:lvlJc w:val="left"/>
      <w:pPr>
        <w:ind w:left="1659" w:hanging="879"/>
        <w:jc w:val="left"/>
      </w:pPr>
      <w:rPr>
        <w:rFonts w:hint="default" w:ascii="Calibri" w:hAnsi="Calibri" w:eastAsia="Calibri" w:cs="Calibri"/>
        <w:b/>
        <w:bCs/>
        <w:spacing w:val="-1"/>
        <w:w w:val="99"/>
        <w:sz w:val="20"/>
        <w:szCs w:val="20"/>
      </w:rPr>
    </w:lvl>
    <w:lvl w:ilvl="3">
      <w:start w:val="1"/>
      <w:numFmt w:val="decimal"/>
      <w:lvlText w:val="%1.%2.%3.%4."/>
      <w:lvlJc w:val="left"/>
      <w:pPr>
        <w:ind w:left="1659" w:hanging="879"/>
        <w:jc w:val="left"/>
      </w:pPr>
      <w:rPr>
        <w:rFonts w:hint="default" w:ascii="Calibri" w:hAnsi="Calibri" w:eastAsia="Calibri" w:cs="Calibri"/>
        <w:b/>
        <w:bCs/>
        <w:spacing w:val="-1"/>
        <w:w w:val="99"/>
        <w:sz w:val="20"/>
        <w:szCs w:val="20"/>
      </w:rPr>
    </w:lvl>
    <w:lvl w:ilvl="4">
      <w:start w:val="0"/>
      <w:numFmt w:val="bullet"/>
      <w:lvlText w:val="•"/>
      <w:lvlJc w:val="left"/>
      <w:pPr>
        <w:ind w:left="4342" w:hanging="879"/>
      </w:pPr>
      <w:rPr>
        <w:rFonts w:hint="default"/>
      </w:rPr>
    </w:lvl>
    <w:lvl w:ilvl="5">
      <w:start w:val="0"/>
      <w:numFmt w:val="bullet"/>
      <w:lvlText w:val="•"/>
      <w:lvlJc w:val="left"/>
      <w:pPr>
        <w:ind w:left="5236" w:hanging="879"/>
      </w:pPr>
      <w:rPr>
        <w:rFonts w:hint="default"/>
      </w:rPr>
    </w:lvl>
    <w:lvl w:ilvl="6">
      <w:start w:val="0"/>
      <w:numFmt w:val="bullet"/>
      <w:lvlText w:val="•"/>
      <w:lvlJc w:val="left"/>
      <w:pPr>
        <w:ind w:left="6130" w:hanging="879"/>
      </w:pPr>
      <w:rPr>
        <w:rFonts w:hint="default"/>
      </w:rPr>
    </w:lvl>
    <w:lvl w:ilvl="7">
      <w:start w:val="0"/>
      <w:numFmt w:val="bullet"/>
      <w:lvlText w:val="•"/>
      <w:lvlJc w:val="left"/>
      <w:pPr>
        <w:ind w:left="7024" w:hanging="879"/>
      </w:pPr>
      <w:rPr>
        <w:rFonts w:hint="default"/>
      </w:rPr>
    </w:lvl>
    <w:lvl w:ilvl="8">
      <w:start w:val="0"/>
      <w:numFmt w:val="bullet"/>
      <w:lvlText w:val="•"/>
      <w:lvlJc w:val="left"/>
      <w:pPr>
        <w:ind w:left="7918" w:hanging="879"/>
      </w:pPr>
      <w:rPr>
        <w:rFonts w:hint="default"/>
      </w:rPr>
    </w:lvl>
  </w:abstractNum>
  <w:abstractNum w:abstractNumId="0">
    <w:multiLevelType w:val="hybridMultilevel"/>
    <w:lvl w:ilvl="0">
      <w:start w:val="1"/>
      <w:numFmt w:val="decimal"/>
      <w:lvlText w:val="%1."/>
      <w:lvlJc w:val="left"/>
      <w:pPr>
        <w:ind w:left="999" w:hanging="440"/>
        <w:jc w:val="left"/>
      </w:pPr>
      <w:rPr>
        <w:rFonts w:hint="default" w:ascii="Calibri" w:hAnsi="Calibri" w:eastAsia="Calibri" w:cs="Calibri"/>
        <w:b/>
        <w:bCs/>
        <w:spacing w:val="-1"/>
        <w:w w:val="99"/>
        <w:sz w:val="20"/>
        <w:szCs w:val="20"/>
      </w:rPr>
    </w:lvl>
    <w:lvl w:ilvl="1">
      <w:start w:val="1"/>
      <w:numFmt w:val="decimal"/>
      <w:lvlText w:val="%1.%2."/>
      <w:lvlJc w:val="left"/>
      <w:pPr>
        <w:ind w:left="1441" w:hanging="660"/>
        <w:jc w:val="left"/>
      </w:pPr>
      <w:rPr>
        <w:rFonts w:hint="default" w:ascii="Calibri" w:hAnsi="Calibri" w:eastAsia="Calibri" w:cs="Calibri"/>
        <w:w w:val="99"/>
        <w:sz w:val="20"/>
        <w:szCs w:val="20"/>
      </w:rPr>
    </w:lvl>
    <w:lvl w:ilvl="2">
      <w:start w:val="1"/>
      <w:numFmt w:val="decimal"/>
      <w:lvlText w:val="%1.%2.%3."/>
      <w:lvlJc w:val="left"/>
      <w:pPr>
        <w:ind w:left="1659" w:hanging="879"/>
        <w:jc w:val="left"/>
      </w:pPr>
      <w:rPr>
        <w:rFonts w:hint="default" w:ascii="Calibri" w:hAnsi="Calibri" w:eastAsia="Calibri" w:cs="Calibri"/>
        <w:b/>
        <w:bCs/>
        <w:spacing w:val="-1"/>
        <w:w w:val="99"/>
        <w:sz w:val="20"/>
        <w:szCs w:val="20"/>
      </w:rPr>
    </w:lvl>
    <w:lvl w:ilvl="3">
      <w:start w:val="0"/>
      <w:numFmt w:val="bullet"/>
      <w:lvlText w:val="•"/>
      <w:lvlJc w:val="left"/>
      <w:pPr>
        <w:ind w:left="2665" w:hanging="879"/>
      </w:pPr>
      <w:rPr>
        <w:rFonts w:hint="default"/>
      </w:rPr>
    </w:lvl>
    <w:lvl w:ilvl="4">
      <w:start w:val="0"/>
      <w:numFmt w:val="bullet"/>
      <w:lvlText w:val="•"/>
      <w:lvlJc w:val="left"/>
      <w:pPr>
        <w:ind w:left="3671" w:hanging="879"/>
      </w:pPr>
      <w:rPr>
        <w:rFonts w:hint="default"/>
      </w:rPr>
    </w:lvl>
    <w:lvl w:ilvl="5">
      <w:start w:val="0"/>
      <w:numFmt w:val="bullet"/>
      <w:lvlText w:val="•"/>
      <w:lvlJc w:val="left"/>
      <w:pPr>
        <w:ind w:left="4677" w:hanging="879"/>
      </w:pPr>
      <w:rPr>
        <w:rFonts w:hint="default"/>
      </w:rPr>
    </w:lvl>
    <w:lvl w:ilvl="6">
      <w:start w:val="0"/>
      <w:numFmt w:val="bullet"/>
      <w:lvlText w:val="•"/>
      <w:lvlJc w:val="left"/>
      <w:pPr>
        <w:ind w:left="5683" w:hanging="879"/>
      </w:pPr>
      <w:rPr>
        <w:rFonts w:hint="default"/>
      </w:rPr>
    </w:lvl>
    <w:lvl w:ilvl="7">
      <w:start w:val="0"/>
      <w:numFmt w:val="bullet"/>
      <w:lvlText w:val="•"/>
      <w:lvlJc w:val="left"/>
      <w:pPr>
        <w:ind w:left="6689" w:hanging="879"/>
      </w:pPr>
      <w:rPr>
        <w:rFonts w:hint="default"/>
      </w:rPr>
    </w:lvl>
    <w:lvl w:ilvl="8">
      <w:start w:val="0"/>
      <w:numFmt w:val="bullet"/>
      <w:lvlText w:val="•"/>
      <w:lvlJc w:val="left"/>
      <w:pPr>
        <w:ind w:left="7694" w:hanging="879"/>
      </w:pPr>
      <w:rPr>
        <w:rFonts w:hint="default"/>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35"/>
      <w:ind w:left="560"/>
    </w:pPr>
    <w:rPr>
      <w:rFonts w:ascii="Calibri" w:hAnsi="Calibri" w:eastAsia="Calibri" w:cs="Calibri"/>
      <w:b/>
      <w:bCs/>
      <w:sz w:val="20"/>
      <w:szCs w:val="20"/>
    </w:rPr>
  </w:style>
  <w:style w:styleId="TOC2" w:type="paragraph">
    <w:name w:val="TOC 2"/>
    <w:basedOn w:val="Normal"/>
    <w:uiPriority w:val="1"/>
    <w:qFormat/>
    <w:pPr>
      <w:spacing w:before="17"/>
      <w:ind w:left="1659" w:hanging="878"/>
    </w:pPr>
    <w:rPr>
      <w:rFonts w:ascii="Calibri" w:hAnsi="Calibri" w:eastAsia="Calibri" w:cs="Calibri"/>
      <w:b/>
      <w:bCs/>
      <w:sz w:val="16"/>
      <w:szCs w:val="16"/>
    </w:rPr>
  </w:style>
  <w:style w:styleId="TOC3" w:type="paragraph">
    <w:name w:val="TOC 3"/>
    <w:basedOn w:val="Normal"/>
    <w:uiPriority w:val="1"/>
    <w:qFormat/>
    <w:pPr>
      <w:spacing w:before="14"/>
      <w:ind w:left="1441" w:hanging="660"/>
    </w:pPr>
    <w:rPr>
      <w:rFonts w:ascii="Calibri" w:hAnsi="Calibri" w:eastAsia="Calibri" w:cs="Calibri"/>
      <w:sz w:val="16"/>
      <w:szCs w:val="16"/>
    </w:rPr>
  </w:style>
  <w:style w:styleId="TOC4" w:type="paragraph">
    <w:name w:val="TOC 4"/>
    <w:basedOn w:val="Normal"/>
    <w:uiPriority w:val="1"/>
    <w:qFormat/>
    <w:pPr>
      <w:spacing w:before="15"/>
      <w:ind w:left="1659" w:hanging="878"/>
    </w:pPr>
    <w:rPr>
      <w:rFonts w:ascii="Calibri" w:hAnsi="Calibri" w:eastAsia="Calibri" w:cs="Calibri"/>
      <w:b/>
      <w:bCs/>
      <w:i/>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spacing w:before="88"/>
      <w:ind w:left="560"/>
      <w:outlineLvl w:val="1"/>
    </w:pPr>
    <w:rPr>
      <w:rFonts w:ascii="Arial" w:hAnsi="Arial" w:eastAsia="Arial" w:cs="Arial"/>
      <w:sz w:val="36"/>
      <w:szCs w:val="36"/>
    </w:rPr>
  </w:style>
  <w:style w:styleId="Heading2" w:type="paragraph">
    <w:name w:val="Heading 2"/>
    <w:basedOn w:val="Normal"/>
    <w:uiPriority w:val="1"/>
    <w:qFormat/>
    <w:pPr>
      <w:spacing w:before="157"/>
      <w:ind w:left="2000" w:hanging="1080"/>
      <w:outlineLvl w:val="2"/>
    </w:pPr>
    <w:rPr>
      <w:rFonts w:ascii="Calibri Light" w:hAnsi="Calibri Light" w:eastAsia="Calibri Light" w:cs="Calibri Light"/>
      <w:sz w:val="32"/>
      <w:szCs w:val="32"/>
    </w:rPr>
  </w:style>
  <w:style w:styleId="Heading3" w:type="paragraph">
    <w:name w:val="Heading 3"/>
    <w:basedOn w:val="Normal"/>
    <w:uiPriority w:val="1"/>
    <w:qFormat/>
    <w:pPr>
      <w:spacing w:before="174"/>
      <w:ind w:left="560"/>
      <w:outlineLvl w:val="3"/>
    </w:pPr>
    <w:rPr>
      <w:rFonts w:ascii="Calibri" w:hAnsi="Calibri" w:eastAsia="Calibri" w:cs="Calibri"/>
      <w:b/>
      <w:bCs/>
      <w:sz w:val="24"/>
      <w:szCs w:val="24"/>
    </w:rPr>
  </w:style>
  <w:style w:styleId="Heading4" w:type="paragraph">
    <w:name w:val="Heading 4"/>
    <w:basedOn w:val="Normal"/>
    <w:uiPriority w:val="1"/>
    <w:qFormat/>
    <w:pPr>
      <w:spacing w:before="174"/>
      <w:ind w:left="2000" w:hanging="720"/>
      <w:outlineLvl w:val="4"/>
    </w:pPr>
    <w:rPr>
      <w:rFonts w:ascii="Calibri Light" w:hAnsi="Calibri Light" w:eastAsia="Calibri Light" w:cs="Calibri Light"/>
      <w:sz w:val="24"/>
      <w:szCs w:val="24"/>
    </w:rPr>
  </w:style>
  <w:style w:styleId="Heading5" w:type="paragraph">
    <w:name w:val="Heading 5"/>
    <w:basedOn w:val="Normal"/>
    <w:uiPriority w:val="1"/>
    <w:qFormat/>
    <w:pPr>
      <w:ind w:left="560"/>
      <w:outlineLvl w:val="5"/>
    </w:pPr>
    <w:rPr>
      <w:rFonts w:ascii="Calibri" w:hAnsi="Calibri" w:eastAsia="Calibri" w:cs="Calibri"/>
      <w:b/>
      <w:bCs/>
      <w:sz w:val="20"/>
      <w:szCs w:val="20"/>
    </w:rPr>
  </w:style>
  <w:style w:styleId="ListParagraph" w:type="paragraph">
    <w:name w:val="List Paragraph"/>
    <w:basedOn w:val="Normal"/>
    <w:uiPriority w:val="1"/>
    <w:qFormat/>
    <w:pPr>
      <w:ind w:left="1280" w:hanging="36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yperlink" Target="https://www.eunomia.co.uk/person/joe-papineschi/"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footer" Target="footer8.xml"/><Relationship Id="rId42" Type="http://schemas.openxmlformats.org/officeDocument/2006/relationships/footer" Target="footer9.xml"/><Relationship Id="rId43" Type="http://schemas.openxmlformats.org/officeDocument/2006/relationships/hyperlink" Target="http://www.basel.int/TheConvention/Overview/tabid/1271/Default.aspx" TargetMode="External"/><Relationship Id="rId44" Type="http://schemas.openxmlformats.org/officeDocument/2006/relationships/image" Target="media/image28.jpeg"/><Relationship Id="rId45" Type="http://schemas.openxmlformats.org/officeDocument/2006/relationships/hyperlink" Target="http://ovbshwospg3y3lle2ft6zyha-wpengine.netdna-ssl.com/wp-content/uploads/2020/05/GPF_GlassCollectionAreas_05-20-smaller.jpg" TargetMode="External"/><Relationship Id="rId46" Type="http://schemas.openxmlformats.org/officeDocument/2006/relationships/image" Target="media/image29.jpeg"/><Relationship Id="rId47" Type="http://schemas.openxmlformats.org/officeDocument/2006/relationships/footer" Target="footer10.xml"/><Relationship Id="rId48" Type="http://schemas.openxmlformats.org/officeDocument/2006/relationships/image" Target="media/image30.jpeg"/><Relationship Id="rId49" Type="http://schemas.openxmlformats.org/officeDocument/2006/relationships/footer" Target="footer11.xml"/><Relationship Id="rId50" Type="http://schemas.openxmlformats.org/officeDocument/2006/relationships/header" Target="header2.xml"/><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pn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footer" Target="footer12.xml"/><Relationship Id="rId63" Type="http://schemas.openxmlformats.org/officeDocument/2006/relationships/image" Target="media/image43.png"/><Relationship Id="rId64" Type="http://schemas.openxmlformats.org/officeDocument/2006/relationships/image" Target="media/image44.jpeg"/><Relationship Id="rId65" Type="http://schemas.openxmlformats.org/officeDocument/2006/relationships/image" Target="media/image45.jpeg"/><Relationship Id="rId66" Type="http://schemas.openxmlformats.org/officeDocument/2006/relationships/image" Target="media/image46.png"/><Relationship Id="rId67" Type="http://schemas.openxmlformats.org/officeDocument/2006/relationships/footer" Target="footer13.xml"/><Relationship Id="rId68" Type="http://schemas.openxmlformats.org/officeDocument/2006/relationships/image" Target="media/image47.pn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jpe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jpeg"/><Relationship Id="rId76" Type="http://schemas.openxmlformats.org/officeDocument/2006/relationships/image" Target="media/image55.jpe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hyperlink" Target="http://www.wrapcymru.org.uk/content/local-authority-support-wales" TargetMode="External"/><Relationship Id="rId80" Type="http://schemas.openxmlformats.org/officeDocument/2006/relationships/hyperlink" Target="http://www.wrapcymru.org.uk/waste-and-recycling-sector" TargetMode="External"/><Relationship Id="rId81" Type="http://schemas.openxmlformats.org/officeDocument/2006/relationships/hyperlink" Target="http://www.wrapcymru.org.uk/reuse-sector" TargetMode="External"/><Relationship Id="rId8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WasteMinz</dc:creator>
  <dc:subject>waste</dc:subject>
  <dc:title>Recommendations for standardisation of kerbside collections in Aotearoa</dc:title>
  <dcterms:created xsi:type="dcterms:W3CDTF">2020-08-24T10:21:41Z</dcterms:created>
  <dcterms:modified xsi:type="dcterms:W3CDTF">2020-08-24T10:21:41Z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Microsoft® Word for Microsoft 365</vt:lpwstr>
  </property>
  <property fmtid="{D5CDD505-2E9C-101B-9397-08002B2CF9AE}" pid="4" name="LastSaved">
    <vt:filetime>2020-08-23T00:00:00Z</vt:filetime>
  </property>
</Properties>
</file>