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859B8" w14:textId="3690B588" w:rsidR="004A3361" w:rsidRPr="00AA3FB2" w:rsidRDefault="00CB0A75" w:rsidP="004A3361">
      <w:pPr>
        <w:pStyle w:val="BodyText"/>
      </w:pPr>
      <w:r>
        <w:rPr>
          <w:noProof/>
        </w:rPr>
        <w:drawing>
          <wp:anchor distT="0" distB="0" distL="114300" distR="114300" simplePos="0" relativeHeight="251664384" behindDoc="0" locked="0" layoutInCell="1" allowOverlap="1" wp14:anchorId="23AD602C" wp14:editId="6F7E8942">
            <wp:simplePos x="0" y="0"/>
            <wp:positionH relativeFrom="page">
              <wp:posOffset>-663</wp:posOffset>
            </wp:positionH>
            <wp:positionV relativeFrom="page">
              <wp:posOffset>9525</wp:posOffset>
            </wp:positionV>
            <wp:extent cx="7557163" cy="10680065"/>
            <wp:effectExtent l="0" t="0" r="571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da1a6c3-3029-495a-a170-9911b321b576 (4).png"/>
                    <pic:cNvPicPr/>
                  </pic:nvPicPr>
                  <pic:blipFill>
                    <a:blip r:embed="rId11">
                      <a:extLst>
                        <a:ext uri="{28A0092B-C50C-407E-A947-70E740481C1C}">
                          <a14:useLocalDpi xmlns:a14="http://schemas.microsoft.com/office/drawing/2010/main" val="0"/>
                        </a:ext>
                      </a:extLst>
                    </a:blip>
                    <a:stretch>
                      <a:fillRect/>
                    </a:stretch>
                  </pic:blipFill>
                  <pic:spPr>
                    <a:xfrm>
                      <a:off x="0" y="0"/>
                      <a:ext cx="7558686" cy="10682217"/>
                    </a:xfrm>
                    <a:prstGeom prst="rect">
                      <a:avLst/>
                    </a:prstGeom>
                  </pic:spPr>
                </pic:pic>
              </a:graphicData>
            </a:graphic>
            <wp14:sizeRelH relativeFrom="margin">
              <wp14:pctWidth>0</wp14:pctWidth>
            </wp14:sizeRelH>
            <wp14:sizeRelV relativeFrom="margin">
              <wp14:pctHeight>0</wp14:pctHeight>
            </wp14:sizeRelV>
          </wp:anchor>
        </w:drawing>
      </w:r>
    </w:p>
    <w:p w14:paraId="5D947330" w14:textId="2585D810" w:rsidR="004A3361" w:rsidRPr="00AA3FB2" w:rsidRDefault="004A3361" w:rsidP="0079514B">
      <w:pPr>
        <w:pStyle w:val="Subtitle"/>
        <w:sectPr w:rsidR="004A3361" w:rsidRPr="00AA3FB2" w:rsidSect="001920A4">
          <w:headerReference w:type="default" r:id="rId12"/>
          <w:footerReference w:type="default" r:id="rId13"/>
          <w:pgSz w:w="11907" w:h="16840" w:code="9"/>
          <w:pgMar w:top="5670" w:right="1418" w:bottom="1701" w:left="1418" w:header="567" w:footer="1134" w:gutter="0"/>
          <w:cols w:space="720"/>
        </w:sectPr>
      </w:pPr>
    </w:p>
    <w:p w14:paraId="38A763C7" w14:textId="2FDB9B19" w:rsidR="00452EC4" w:rsidRPr="00AA3FB2" w:rsidRDefault="00452EC4" w:rsidP="00F44A21">
      <w:pPr>
        <w:pStyle w:val="Imprint"/>
      </w:pPr>
      <w:r w:rsidRPr="00AA3FB2">
        <w:lastRenderedPageBreak/>
        <w:t xml:space="preserve">This </w:t>
      </w:r>
      <w:r w:rsidR="00775F57" w:rsidRPr="00AA3FB2">
        <w:t>document</w:t>
      </w:r>
      <w:r w:rsidRPr="00AA3FB2">
        <w:t xml:space="preserve"> may be cited </w:t>
      </w:r>
      <w:proofErr w:type="gramStart"/>
      <w:r w:rsidRPr="00AA3FB2">
        <w:t>as:</w:t>
      </w:r>
      <w:proofErr w:type="gramEnd"/>
      <w:r w:rsidR="00775F57" w:rsidRPr="00AA3FB2">
        <w:t xml:space="preserve"> Ministry for the Environment. </w:t>
      </w:r>
      <w:r w:rsidR="00F44A21" w:rsidRPr="00AA3FB2">
        <w:t>2020</w:t>
      </w:r>
      <w:r w:rsidR="00775F57" w:rsidRPr="00AA3FB2">
        <w:t xml:space="preserve">. </w:t>
      </w:r>
      <w:r w:rsidR="00F44A21" w:rsidRPr="00AA3FB2">
        <w:rPr>
          <w:i/>
        </w:rPr>
        <w:t>Action for healthy waterways</w:t>
      </w:r>
      <w:r w:rsidR="00540F63" w:rsidRPr="00AA3FB2">
        <w:rPr>
          <w:i/>
        </w:rPr>
        <w:t xml:space="preserve">: </w:t>
      </w:r>
      <w:r w:rsidR="00226A8B" w:rsidRPr="00AA3FB2">
        <w:rPr>
          <w:i/>
        </w:rPr>
        <w:t>Overview of the impact analysis undertaken to inform decisions on freshwater policy, with a focus on monetised costs</w:t>
      </w:r>
      <w:r w:rsidR="00775F57" w:rsidRPr="00AA3FB2">
        <w:t>. Wellington: Ministry for the Environment.</w:t>
      </w:r>
    </w:p>
    <w:p w14:paraId="08ABA502" w14:textId="77777777" w:rsidR="0080531E" w:rsidRPr="00AA3FB2" w:rsidRDefault="0080531E" w:rsidP="0080531E">
      <w:pPr>
        <w:pStyle w:val="Imprint"/>
      </w:pPr>
    </w:p>
    <w:p w14:paraId="3BE5FDCA" w14:textId="77777777" w:rsidR="0080531E" w:rsidRPr="00AA3FB2" w:rsidRDefault="0080531E" w:rsidP="0080531E">
      <w:pPr>
        <w:pStyle w:val="Imprint"/>
      </w:pPr>
    </w:p>
    <w:p w14:paraId="014613D7" w14:textId="77777777" w:rsidR="0080531E" w:rsidRPr="00AA3FB2" w:rsidRDefault="0080531E" w:rsidP="0080531E">
      <w:pPr>
        <w:pStyle w:val="Imprint"/>
      </w:pPr>
    </w:p>
    <w:p w14:paraId="7873D055" w14:textId="77777777" w:rsidR="0080531E" w:rsidRPr="00AA3FB2" w:rsidRDefault="0080531E" w:rsidP="0080531E">
      <w:pPr>
        <w:pStyle w:val="Imprint"/>
      </w:pPr>
    </w:p>
    <w:p w14:paraId="0E0C33AF" w14:textId="77777777" w:rsidR="0080531E" w:rsidRPr="00AA3FB2" w:rsidRDefault="0080531E" w:rsidP="0080531E">
      <w:pPr>
        <w:pStyle w:val="Imprint"/>
      </w:pPr>
    </w:p>
    <w:p w14:paraId="052787AF" w14:textId="77777777" w:rsidR="0080531E" w:rsidRPr="00AA3FB2" w:rsidRDefault="0080531E" w:rsidP="0080531E">
      <w:pPr>
        <w:pStyle w:val="Imprint"/>
      </w:pPr>
    </w:p>
    <w:p w14:paraId="588D0683" w14:textId="77777777" w:rsidR="0080531E" w:rsidRPr="00AA3FB2" w:rsidRDefault="0080531E" w:rsidP="0080531E">
      <w:pPr>
        <w:pStyle w:val="Imprint"/>
      </w:pPr>
    </w:p>
    <w:p w14:paraId="353FA370" w14:textId="77777777" w:rsidR="0080531E" w:rsidRPr="00AA3FB2" w:rsidRDefault="0080531E" w:rsidP="0080531E">
      <w:pPr>
        <w:pStyle w:val="Imprint"/>
      </w:pPr>
    </w:p>
    <w:p w14:paraId="656DBCFA" w14:textId="77777777" w:rsidR="00663783" w:rsidRPr="00AA3FB2" w:rsidRDefault="00663783" w:rsidP="0080531E">
      <w:pPr>
        <w:pStyle w:val="Imprint"/>
      </w:pPr>
    </w:p>
    <w:p w14:paraId="3DF7B2FD" w14:textId="5CD71421" w:rsidR="00760C00" w:rsidRPr="00AA3FB2" w:rsidRDefault="00760C00" w:rsidP="0080531E">
      <w:pPr>
        <w:pStyle w:val="Imprint"/>
      </w:pPr>
    </w:p>
    <w:p w14:paraId="422C1E37" w14:textId="025F51AD" w:rsidR="000A28F5" w:rsidRPr="00AA3FB2" w:rsidRDefault="000A28F5" w:rsidP="0080531E">
      <w:pPr>
        <w:pStyle w:val="Imprint"/>
      </w:pPr>
    </w:p>
    <w:p w14:paraId="1DCD0DA0" w14:textId="5E907A4F" w:rsidR="000A28F5" w:rsidRPr="00AA3FB2" w:rsidRDefault="000A28F5" w:rsidP="0080531E">
      <w:pPr>
        <w:pStyle w:val="Imprint"/>
      </w:pPr>
    </w:p>
    <w:p w14:paraId="67B1089B" w14:textId="0DA40F55" w:rsidR="000A28F5" w:rsidRPr="00AA3FB2" w:rsidRDefault="000A28F5" w:rsidP="0080531E">
      <w:pPr>
        <w:pStyle w:val="Imprint"/>
      </w:pPr>
    </w:p>
    <w:p w14:paraId="69ECEE5E" w14:textId="77777777" w:rsidR="000A28F5" w:rsidRPr="00AA3FB2" w:rsidRDefault="000A28F5" w:rsidP="0080531E">
      <w:pPr>
        <w:pStyle w:val="Imprint"/>
      </w:pPr>
    </w:p>
    <w:p w14:paraId="5C142CEE" w14:textId="1DC03FCD" w:rsidR="003816D1" w:rsidRPr="00AA3FB2" w:rsidRDefault="003816D1" w:rsidP="000A28F5">
      <w:pPr>
        <w:pStyle w:val="Imprint"/>
        <w:spacing w:after="0"/>
      </w:pPr>
    </w:p>
    <w:p w14:paraId="735C6AE5" w14:textId="77777777" w:rsidR="007734A4" w:rsidRPr="00AA3FB2" w:rsidRDefault="007734A4" w:rsidP="007734A4">
      <w:pPr>
        <w:pStyle w:val="Imprint"/>
        <w:spacing w:before="0" w:after="0"/>
      </w:pPr>
    </w:p>
    <w:p w14:paraId="629A6A87" w14:textId="007B97F7" w:rsidR="0080531E" w:rsidRPr="00AA3FB2" w:rsidRDefault="0080531E" w:rsidP="0080531E">
      <w:pPr>
        <w:pStyle w:val="Imprint"/>
      </w:pPr>
      <w:r w:rsidRPr="00AA3FB2">
        <w:t xml:space="preserve">Published in </w:t>
      </w:r>
      <w:r w:rsidR="00277CB6" w:rsidRPr="00AA3FB2">
        <w:t>May</w:t>
      </w:r>
      <w:r w:rsidR="00775F57" w:rsidRPr="00AA3FB2">
        <w:t xml:space="preserve"> </w:t>
      </w:r>
      <w:r w:rsidR="00540F63" w:rsidRPr="00AA3FB2">
        <w:t>2020</w:t>
      </w:r>
      <w:r w:rsidRPr="00AA3FB2">
        <w:t xml:space="preserve"> by the</w:t>
      </w:r>
      <w:r w:rsidRPr="00AA3FB2">
        <w:br/>
        <w:t xml:space="preserve">Ministry for the Environment </w:t>
      </w:r>
      <w:r w:rsidRPr="00AA3FB2">
        <w:br/>
      </w:r>
      <w:proofErr w:type="spellStart"/>
      <w:r w:rsidRPr="00AA3FB2">
        <w:t>Manatū</w:t>
      </w:r>
      <w:proofErr w:type="spellEnd"/>
      <w:r w:rsidRPr="00AA3FB2">
        <w:t xml:space="preserve"> </w:t>
      </w:r>
      <w:proofErr w:type="spellStart"/>
      <w:r w:rsidRPr="00AA3FB2">
        <w:t>Mō</w:t>
      </w:r>
      <w:proofErr w:type="spellEnd"/>
      <w:r w:rsidRPr="00AA3FB2">
        <w:t xml:space="preserve"> </w:t>
      </w:r>
      <w:proofErr w:type="spellStart"/>
      <w:r w:rsidRPr="00AA3FB2">
        <w:t>Te</w:t>
      </w:r>
      <w:proofErr w:type="spellEnd"/>
      <w:r w:rsidRPr="00AA3FB2">
        <w:t xml:space="preserve"> </w:t>
      </w:r>
      <w:proofErr w:type="spellStart"/>
      <w:r w:rsidRPr="00AA3FB2">
        <w:t>Taiao</w:t>
      </w:r>
      <w:proofErr w:type="spellEnd"/>
      <w:r w:rsidRPr="00AA3FB2">
        <w:br/>
        <w:t>PO Box 10362, Wellington 6143, New Zealand</w:t>
      </w:r>
    </w:p>
    <w:p w14:paraId="58F595FB" w14:textId="3501B66D" w:rsidR="0080531E" w:rsidRPr="00AA3FB2" w:rsidRDefault="0080531E" w:rsidP="0080531E">
      <w:pPr>
        <w:pStyle w:val="Imprint"/>
        <w:tabs>
          <w:tab w:val="left" w:pos="720"/>
        </w:tabs>
        <w:ind w:left="720" w:hanging="720"/>
      </w:pPr>
      <w:r w:rsidRPr="00AA3FB2">
        <w:t xml:space="preserve">ISBN: </w:t>
      </w:r>
      <w:r w:rsidRPr="00AA3FB2">
        <w:tab/>
      </w:r>
      <w:r w:rsidR="00226A8B" w:rsidRPr="00AA3FB2">
        <w:t>978-1-98-857989-4 (online</w:t>
      </w:r>
      <w:r w:rsidRPr="00AA3FB2">
        <w:t>)</w:t>
      </w:r>
    </w:p>
    <w:p w14:paraId="6087AF53" w14:textId="07408C07" w:rsidR="0080531E" w:rsidRPr="00AA3FB2" w:rsidRDefault="0080531E" w:rsidP="0080531E">
      <w:pPr>
        <w:pStyle w:val="Imprint"/>
        <w:ind w:left="720" w:hanging="720"/>
      </w:pPr>
      <w:r w:rsidRPr="00AA3FB2">
        <w:t xml:space="preserve">Publication number: ME </w:t>
      </w:r>
      <w:r w:rsidR="00226A8B" w:rsidRPr="00AA3FB2">
        <w:t>1502</w:t>
      </w:r>
    </w:p>
    <w:p w14:paraId="505DE7A1" w14:textId="4CD6A681" w:rsidR="0080531E" w:rsidRPr="00AA3FB2" w:rsidRDefault="0080531E" w:rsidP="00593E94">
      <w:pPr>
        <w:pStyle w:val="Imprint"/>
        <w:spacing w:after="80"/>
      </w:pPr>
      <w:r w:rsidRPr="00AA3FB2">
        <w:t xml:space="preserve">© Crown copyright New Zealand </w:t>
      </w:r>
      <w:r w:rsidR="008B2B2B" w:rsidRPr="00AA3FB2">
        <w:t>2020</w:t>
      </w:r>
    </w:p>
    <w:p w14:paraId="3D8BFB95" w14:textId="77777777" w:rsidR="00C04705" w:rsidRPr="00AA3FB2" w:rsidRDefault="0080531E" w:rsidP="00593E94">
      <w:pPr>
        <w:pStyle w:val="Imprint"/>
        <w:spacing w:before="240" w:after="0"/>
        <w:rPr>
          <w:rStyle w:val="Hyperlink"/>
          <w:color w:val="auto"/>
        </w:rPr>
      </w:pPr>
      <w:r w:rsidRPr="00AA3FB2">
        <w:t>This document is available on the Ministry for</w:t>
      </w:r>
      <w:r w:rsidR="004C4E8A" w:rsidRPr="00AA3FB2">
        <w:t xml:space="preserve"> the Environment </w:t>
      </w:r>
      <w:r w:rsidR="00CB557F" w:rsidRPr="00AA3FB2">
        <w:t>website</w:t>
      </w:r>
      <w:r w:rsidRPr="00AA3FB2">
        <w:t xml:space="preserve">: </w:t>
      </w:r>
      <w:hyperlink r:id="rId14" w:history="1">
        <w:r w:rsidRPr="00AA3FB2">
          <w:rPr>
            <w:rStyle w:val="Hyperlink"/>
          </w:rPr>
          <w:t>www.mfe.govt.nz</w:t>
        </w:r>
      </w:hyperlink>
      <w:r w:rsidR="00B51610" w:rsidRPr="00AA3FB2">
        <w:rPr>
          <w:rStyle w:val="Hyperlink"/>
          <w:color w:val="auto"/>
        </w:rPr>
        <w:t>.</w:t>
      </w:r>
    </w:p>
    <w:p w14:paraId="3E3F52C7" w14:textId="77777777" w:rsidR="00A84FE1" w:rsidRPr="00AA3FB2" w:rsidRDefault="00A84FE1" w:rsidP="00A84FE1">
      <w:pPr>
        <w:pStyle w:val="Imprint"/>
        <w:spacing w:before="240" w:after="0"/>
      </w:pPr>
      <w:r w:rsidRPr="00AA3FB2">
        <w:rPr>
          <w:noProof/>
        </w:rPr>
        <w:drawing>
          <wp:inline distT="0" distB="0" distL="0" distR="0" wp14:anchorId="77113A55" wp14:editId="6AF7C710">
            <wp:extent cx="2712746" cy="11708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12746" cy="1170842"/>
                    </a:xfrm>
                    <a:prstGeom prst="rect">
                      <a:avLst/>
                    </a:prstGeom>
                    <a:noFill/>
                  </pic:spPr>
                </pic:pic>
              </a:graphicData>
            </a:graphic>
          </wp:inline>
        </w:drawing>
      </w:r>
    </w:p>
    <w:p w14:paraId="1E57795B" w14:textId="77777777" w:rsidR="0080531E" w:rsidRPr="00AA3FB2" w:rsidRDefault="0080531E" w:rsidP="00A84FE1">
      <w:pPr>
        <w:sectPr w:rsidR="0080531E" w:rsidRPr="00AA3FB2" w:rsidSect="000A28F5">
          <w:headerReference w:type="even" r:id="rId16"/>
          <w:headerReference w:type="default" r:id="rId17"/>
          <w:footerReference w:type="even" r:id="rId18"/>
          <w:footerReference w:type="default" r:id="rId19"/>
          <w:pgSz w:w="11907" w:h="16840" w:code="9"/>
          <w:pgMar w:top="1134" w:right="1701" w:bottom="1134" w:left="1701" w:header="567" w:footer="567" w:gutter="0"/>
          <w:pgNumType w:fmt="lowerRoman"/>
          <w:cols w:space="720"/>
        </w:sectPr>
      </w:pPr>
    </w:p>
    <w:p w14:paraId="07D0663B" w14:textId="77777777" w:rsidR="009C00F7" w:rsidRPr="00AA3FB2" w:rsidRDefault="009C00F7" w:rsidP="00064851">
      <w:pPr>
        <w:pStyle w:val="Heading"/>
      </w:pPr>
      <w:bookmarkStart w:id="0" w:name="_Toc39145194"/>
      <w:bookmarkStart w:id="1" w:name="_Toc39145195"/>
      <w:r w:rsidRPr="00AA3FB2">
        <w:lastRenderedPageBreak/>
        <w:t>Contents</w:t>
      </w:r>
      <w:bookmarkEnd w:id="0"/>
    </w:p>
    <w:p w14:paraId="4AF23517" w14:textId="77142A6E" w:rsidR="008412B6" w:rsidRDefault="009C00F7">
      <w:pPr>
        <w:pStyle w:val="TOC1"/>
        <w:rPr>
          <w:rFonts w:asciiTheme="minorHAnsi" w:hAnsiTheme="minorHAnsi"/>
          <w:noProof/>
        </w:rPr>
      </w:pPr>
      <w:r w:rsidRPr="00AA3FB2">
        <w:fldChar w:fldCharType="begin"/>
      </w:r>
      <w:r w:rsidRPr="00AA3FB2">
        <w:instrText xml:space="preserve"> TOC \o "2-2" \t "Heading 1,1" </w:instrText>
      </w:r>
      <w:r w:rsidRPr="00AA3FB2">
        <w:fldChar w:fldCharType="separate"/>
      </w:r>
      <w:r w:rsidR="008412B6">
        <w:rPr>
          <w:noProof/>
          <w:lang w:eastAsia="en-GB"/>
        </w:rPr>
        <w:t>Introduction</w:t>
      </w:r>
      <w:r w:rsidR="008412B6">
        <w:rPr>
          <w:noProof/>
        </w:rPr>
        <w:tab/>
      </w:r>
      <w:r w:rsidR="008412B6">
        <w:rPr>
          <w:noProof/>
        </w:rPr>
        <w:fldChar w:fldCharType="begin"/>
      </w:r>
      <w:r w:rsidR="008412B6">
        <w:rPr>
          <w:noProof/>
        </w:rPr>
        <w:instrText xml:space="preserve"> PAGEREF _Toc41498569 \h </w:instrText>
      </w:r>
      <w:r w:rsidR="008412B6">
        <w:rPr>
          <w:noProof/>
        </w:rPr>
      </w:r>
      <w:r w:rsidR="008412B6">
        <w:rPr>
          <w:noProof/>
        </w:rPr>
        <w:fldChar w:fldCharType="separate"/>
      </w:r>
      <w:r w:rsidR="00E13C38">
        <w:rPr>
          <w:noProof/>
        </w:rPr>
        <w:t>5</w:t>
      </w:r>
      <w:r w:rsidR="008412B6">
        <w:rPr>
          <w:noProof/>
        </w:rPr>
        <w:fldChar w:fldCharType="end"/>
      </w:r>
    </w:p>
    <w:p w14:paraId="48EB839A" w14:textId="0C478B99" w:rsidR="008412B6" w:rsidRDefault="008412B6">
      <w:pPr>
        <w:pStyle w:val="TOC2"/>
        <w:rPr>
          <w:rFonts w:asciiTheme="minorHAnsi" w:hAnsiTheme="minorHAnsi"/>
          <w:noProof/>
        </w:rPr>
      </w:pPr>
      <w:r>
        <w:rPr>
          <w:noProof/>
          <w:lang w:eastAsia="en-GB"/>
        </w:rPr>
        <w:t>Background</w:t>
      </w:r>
      <w:r>
        <w:rPr>
          <w:noProof/>
        </w:rPr>
        <w:tab/>
      </w:r>
      <w:r>
        <w:rPr>
          <w:noProof/>
        </w:rPr>
        <w:fldChar w:fldCharType="begin"/>
      </w:r>
      <w:r>
        <w:rPr>
          <w:noProof/>
        </w:rPr>
        <w:instrText xml:space="preserve"> PAGEREF _Toc41498570 \h </w:instrText>
      </w:r>
      <w:r>
        <w:rPr>
          <w:noProof/>
        </w:rPr>
      </w:r>
      <w:r>
        <w:rPr>
          <w:noProof/>
        </w:rPr>
        <w:fldChar w:fldCharType="separate"/>
      </w:r>
      <w:r w:rsidR="00E13C38">
        <w:rPr>
          <w:noProof/>
        </w:rPr>
        <w:t>5</w:t>
      </w:r>
      <w:r>
        <w:rPr>
          <w:noProof/>
        </w:rPr>
        <w:fldChar w:fldCharType="end"/>
      </w:r>
    </w:p>
    <w:p w14:paraId="0E249965" w14:textId="6CC2C4D5" w:rsidR="008412B6" w:rsidRDefault="008412B6">
      <w:pPr>
        <w:pStyle w:val="TOC2"/>
        <w:rPr>
          <w:rFonts w:asciiTheme="minorHAnsi" w:hAnsiTheme="minorHAnsi"/>
          <w:noProof/>
        </w:rPr>
      </w:pPr>
      <w:r>
        <w:rPr>
          <w:noProof/>
          <w:lang w:eastAsia="en-GB"/>
        </w:rPr>
        <w:t>Impact assessment objectives</w:t>
      </w:r>
      <w:r>
        <w:rPr>
          <w:noProof/>
        </w:rPr>
        <w:tab/>
      </w:r>
      <w:r>
        <w:rPr>
          <w:noProof/>
        </w:rPr>
        <w:fldChar w:fldCharType="begin"/>
      </w:r>
      <w:r>
        <w:rPr>
          <w:noProof/>
        </w:rPr>
        <w:instrText xml:space="preserve"> PAGEREF _Toc41498571 \h </w:instrText>
      </w:r>
      <w:r>
        <w:rPr>
          <w:noProof/>
        </w:rPr>
      </w:r>
      <w:r>
        <w:rPr>
          <w:noProof/>
        </w:rPr>
        <w:fldChar w:fldCharType="separate"/>
      </w:r>
      <w:r w:rsidR="00E13C38">
        <w:rPr>
          <w:noProof/>
        </w:rPr>
        <w:t>6</w:t>
      </w:r>
      <w:r>
        <w:rPr>
          <w:noProof/>
        </w:rPr>
        <w:fldChar w:fldCharType="end"/>
      </w:r>
    </w:p>
    <w:p w14:paraId="2D1D6121" w14:textId="0FB75729" w:rsidR="008412B6" w:rsidRDefault="008412B6">
      <w:pPr>
        <w:pStyle w:val="TOC2"/>
        <w:rPr>
          <w:rFonts w:asciiTheme="minorHAnsi" w:hAnsiTheme="minorHAnsi"/>
          <w:noProof/>
        </w:rPr>
      </w:pPr>
      <w:r>
        <w:rPr>
          <w:noProof/>
          <w:lang w:eastAsia="en-GB"/>
        </w:rPr>
        <w:t>High-level findings</w:t>
      </w:r>
      <w:r>
        <w:rPr>
          <w:noProof/>
        </w:rPr>
        <w:tab/>
      </w:r>
      <w:r>
        <w:rPr>
          <w:noProof/>
        </w:rPr>
        <w:fldChar w:fldCharType="begin"/>
      </w:r>
      <w:r>
        <w:rPr>
          <w:noProof/>
        </w:rPr>
        <w:instrText xml:space="preserve"> PAGEREF _Toc41498572 \h </w:instrText>
      </w:r>
      <w:r>
        <w:rPr>
          <w:noProof/>
        </w:rPr>
      </w:r>
      <w:r>
        <w:rPr>
          <w:noProof/>
        </w:rPr>
        <w:fldChar w:fldCharType="separate"/>
      </w:r>
      <w:r w:rsidR="00E13C38">
        <w:rPr>
          <w:noProof/>
        </w:rPr>
        <w:t>6</w:t>
      </w:r>
      <w:r>
        <w:rPr>
          <w:noProof/>
        </w:rPr>
        <w:fldChar w:fldCharType="end"/>
      </w:r>
    </w:p>
    <w:p w14:paraId="5B23F39F" w14:textId="57B07B01" w:rsidR="008412B6" w:rsidRDefault="008412B6">
      <w:pPr>
        <w:pStyle w:val="TOC2"/>
        <w:rPr>
          <w:rFonts w:asciiTheme="minorHAnsi" w:hAnsiTheme="minorHAnsi"/>
          <w:noProof/>
        </w:rPr>
      </w:pPr>
      <w:r>
        <w:rPr>
          <w:noProof/>
          <w:lang w:eastAsia="en-GB"/>
        </w:rPr>
        <w:t>Analysis of costs attributable t</w:t>
      </w:r>
      <w:bookmarkStart w:id="2" w:name="_GoBack"/>
      <w:bookmarkEnd w:id="2"/>
      <w:r>
        <w:rPr>
          <w:noProof/>
          <w:lang w:eastAsia="en-GB"/>
        </w:rPr>
        <w:t>o nutrient bottom lines</w:t>
      </w:r>
      <w:r>
        <w:rPr>
          <w:noProof/>
        </w:rPr>
        <w:tab/>
      </w:r>
      <w:r>
        <w:rPr>
          <w:noProof/>
        </w:rPr>
        <w:fldChar w:fldCharType="begin"/>
      </w:r>
      <w:r>
        <w:rPr>
          <w:noProof/>
        </w:rPr>
        <w:instrText xml:space="preserve"> PAGEREF _Toc41498573 \h </w:instrText>
      </w:r>
      <w:r>
        <w:rPr>
          <w:noProof/>
        </w:rPr>
      </w:r>
      <w:r>
        <w:rPr>
          <w:noProof/>
        </w:rPr>
        <w:fldChar w:fldCharType="separate"/>
      </w:r>
      <w:r w:rsidR="00E13C38">
        <w:rPr>
          <w:noProof/>
        </w:rPr>
        <w:t>7</w:t>
      </w:r>
      <w:r>
        <w:rPr>
          <w:noProof/>
        </w:rPr>
        <w:fldChar w:fldCharType="end"/>
      </w:r>
    </w:p>
    <w:p w14:paraId="0D46034A" w14:textId="45279B55" w:rsidR="008412B6" w:rsidRDefault="008412B6">
      <w:pPr>
        <w:pStyle w:val="TOC2"/>
        <w:rPr>
          <w:rFonts w:asciiTheme="minorHAnsi" w:hAnsiTheme="minorHAnsi"/>
          <w:noProof/>
        </w:rPr>
      </w:pPr>
      <w:r>
        <w:rPr>
          <w:noProof/>
          <w:lang w:eastAsia="en-GB"/>
        </w:rPr>
        <w:t>Analysis of the costs likely to be incurred by regional councils</w:t>
      </w:r>
      <w:r>
        <w:rPr>
          <w:noProof/>
        </w:rPr>
        <w:tab/>
      </w:r>
      <w:r>
        <w:rPr>
          <w:noProof/>
        </w:rPr>
        <w:fldChar w:fldCharType="begin"/>
      </w:r>
      <w:r>
        <w:rPr>
          <w:noProof/>
        </w:rPr>
        <w:instrText xml:space="preserve"> PAGEREF _Toc41498574 \h </w:instrText>
      </w:r>
      <w:r>
        <w:rPr>
          <w:noProof/>
        </w:rPr>
      </w:r>
      <w:r>
        <w:rPr>
          <w:noProof/>
        </w:rPr>
        <w:fldChar w:fldCharType="separate"/>
      </w:r>
      <w:r w:rsidR="00E13C38">
        <w:rPr>
          <w:noProof/>
        </w:rPr>
        <w:t>12</w:t>
      </w:r>
      <w:r>
        <w:rPr>
          <w:noProof/>
        </w:rPr>
        <w:fldChar w:fldCharType="end"/>
      </w:r>
    </w:p>
    <w:p w14:paraId="51F8F045" w14:textId="6CE3C529" w:rsidR="008412B6" w:rsidRDefault="008412B6">
      <w:pPr>
        <w:pStyle w:val="TOC2"/>
        <w:rPr>
          <w:rFonts w:asciiTheme="minorHAnsi" w:hAnsiTheme="minorHAnsi"/>
          <w:noProof/>
        </w:rPr>
      </w:pPr>
      <w:r>
        <w:rPr>
          <w:noProof/>
          <w:lang w:eastAsia="en-GB"/>
        </w:rPr>
        <w:t>Analysis of the costs arising from the stock exclusion policy, farm plans and telemetry</w:t>
      </w:r>
      <w:r>
        <w:rPr>
          <w:noProof/>
        </w:rPr>
        <w:tab/>
      </w:r>
      <w:r>
        <w:rPr>
          <w:noProof/>
        </w:rPr>
        <w:fldChar w:fldCharType="begin"/>
      </w:r>
      <w:r>
        <w:rPr>
          <w:noProof/>
        </w:rPr>
        <w:instrText xml:space="preserve"> PAGEREF _Toc41498575 \h </w:instrText>
      </w:r>
      <w:r>
        <w:rPr>
          <w:noProof/>
        </w:rPr>
      </w:r>
      <w:r>
        <w:rPr>
          <w:noProof/>
        </w:rPr>
        <w:fldChar w:fldCharType="separate"/>
      </w:r>
      <w:r w:rsidR="00E13C38">
        <w:rPr>
          <w:noProof/>
        </w:rPr>
        <w:t>13</w:t>
      </w:r>
      <w:r>
        <w:rPr>
          <w:noProof/>
        </w:rPr>
        <w:fldChar w:fldCharType="end"/>
      </w:r>
    </w:p>
    <w:p w14:paraId="56265E5B" w14:textId="6AB58FA8" w:rsidR="008412B6" w:rsidRDefault="008412B6">
      <w:pPr>
        <w:pStyle w:val="TOC1"/>
        <w:rPr>
          <w:rFonts w:asciiTheme="minorHAnsi" w:hAnsiTheme="minorHAnsi"/>
          <w:noProof/>
        </w:rPr>
      </w:pPr>
      <w:r>
        <w:rPr>
          <w:noProof/>
        </w:rPr>
        <w:t>References</w:t>
      </w:r>
      <w:r>
        <w:rPr>
          <w:noProof/>
        </w:rPr>
        <w:tab/>
      </w:r>
      <w:r>
        <w:rPr>
          <w:noProof/>
        </w:rPr>
        <w:fldChar w:fldCharType="begin"/>
      </w:r>
      <w:r>
        <w:rPr>
          <w:noProof/>
        </w:rPr>
        <w:instrText xml:space="preserve"> PAGEREF _Toc41498576 \h </w:instrText>
      </w:r>
      <w:r>
        <w:rPr>
          <w:noProof/>
        </w:rPr>
      </w:r>
      <w:r>
        <w:rPr>
          <w:noProof/>
        </w:rPr>
        <w:fldChar w:fldCharType="separate"/>
      </w:r>
      <w:r w:rsidR="00E13C38">
        <w:rPr>
          <w:noProof/>
        </w:rPr>
        <w:t>14</w:t>
      </w:r>
      <w:r>
        <w:rPr>
          <w:noProof/>
        </w:rPr>
        <w:fldChar w:fldCharType="end"/>
      </w:r>
    </w:p>
    <w:p w14:paraId="24442FC4" w14:textId="18FEBA5A" w:rsidR="00D64690" w:rsidRPr="00AA3FB2" w:rsidRDefault="009C00F7" w:rsidP="0031712F">
      <w:pPr>
        <w:pStyle w:val="BodyText"/>
      </w:pPr>
      <w:r w:rsidRPr="00AA3FB2">
        <w:fldChar w:fldCharType="end"/>
      </w:r>
    </w:p>
    <w:p w14:paraId="139B6819" w14:textId="4BF5524F" w:rsidR="00064851" w:rsidRPr="00AA3FB2" w:rsidRDefault="00064851">
      <w:pPr>
        <w:spacing w:before="0" w:after="200" w:line="276" w:lineRule="auto"/>
        <w:jc w:val="left"/>
      </w:pPr>
      <w:r w:rsidRPr="00AA3FB2">
        <w:br w:type="page"/>
      </w:r>
    </w:p>
    <w:p w14:paraId="1D6388A1" w14:textId="1B346B38" w:rsidR="00064851" w:rsidRPr="00AA3FB2" w:rsidRDefault="00064851" w:rsidP="00064851">
      <w:pPr>
        <w:pStyle w:val="Heading"/>
      </w:pPr>
      <w:r w:rsidRPr="00AA3FB2">
        <w:lastRenderedPageBreak/>
        <w:t>Tables</w:t>
      </w:r>
    </w:p>
    <w:p w14:paraId="43FE99EA" w14:textId="69E45CE6" w:rsidR="008412B6" w:rsidRDefault="00064851">
      <w:pPr>
        <w:pStyle w:val="TableofFigures"/>
        <w:rPr>
          <w:rFonts w:asciiTheme="minorHAnsi" w:hAnsiTheme="minorHAnsi"/>
        </w:rPr>
      </w:pPr>
      <w:r w:rsidRPr="00AA3FB2">
        <w:rPr>
          <w:noProof w:val="0"/>
        </w:rPr>
        <w:fldChar w:fldCharType="begin"/>
      </w:r>
      <w:r w:rsidRPr="00AA3FB2">
        <w:rPr>
          <w:noProof w:val="0"/>
        </w:rPr>
        <w:instrText xml:space="preserve"> TOC \h \z \t "Table heading" \c </w:instrText>
      </w:r>
      <w:r w:rsidRPr="00AA3FB2">
        <w:rPr>
          <w:noProof w:val="0"/>
        </w:rPr>
        <w:fldChar w:fldCharType="separate"/>
      </w:r>
      <w:hyperlink w:anchor="_Toc41498578" w:history="1">
        <w:r w:rsidR="008412B6" w:rsidRPr="00084059">
          <w:rPr>
            <w:rStyle w:val="Hyperlink"/>
            <w:lang w:eastAsia="en-GB"/>
          </w:rPr>
          <w:t>Table 1:</w:t>
        </w:r>
        <w:r w:rsidR="008412B6">
          <w:rPr>
            <w:rFonts w:asciiTheme="minorHAnsi" w:hAnsiTheme="minorHAnsi"/>
          </w:rPr>
          <w:tab/>
        </w:r>
        <w:r w:rsidR="008412B6" w:rsidRPr="00084059">
          <w:rPr>
            <w:rStyle w:val="Hyperlink"/>
            <w:lang w:eastAsia="en-GB"/>
          </w:rPr>
          <w:t>Major economic indicators</w:t>
        </w:r>
        <w:r w:rsidR="008412B6">
          <w:rPr>
            <w:webHidden/>
          </w:rPr>
          <w:tab/>
        </w:r>
        <w:r w:rsidR="008412B6">
          <w:rPr>
            <w:webHidden/>
          </w:rPr>
          <w:fldChar w:fldCharType="begin"/>
        </w:r>
        <w:r w:rsidR="008412B6">
          <w:rPr>
            <w:webHidden/>
          </w:rPr>
          <w:instrText xml:space="preserve"> PAGEREF _Toc41498578 \h </w:instrText>
        </w:r>
        <w:r w:rsidR="008412B6">
          <w:rPr>
            <w:webHidden/>
          </w:rPr>
        </w:r>
        <w:r w:rsidR="008412B6">
          <w:rPr>
            <w:webHidden/>
          </w:rPr>
          <w:fldChar w:fldCharType="separate"/>
        </w:r>
        <w:r w:rsidR="00E13C38">
          <w:rPr>
            <w:webHidden/>
          </w:rPr>
          <w:t>11</w:t>
        </w:r>
        <w:r w:rsidR="008412B6">
          <w:rPr>
            <w:webHidden/>
          </w:rPr>
          <w:fldChar w:fldCharType="end"/>
        </w:r>
      </w:hyperlink>
    </w:p>
    <w:p w14:paraId="19638F82" w14:textId="65CEEC38" w:rsidR="008412B6" w:rsidRDefault="00C2206B">
      <w:pPr>
        <w:pStyle w:val="TableofFigures"/>
        <w:rPr>
          <w:rFonts w:asciiTheme="minorHAnsi" w:hAnsiTheme="minorHAnsi"/>
        </w:rPr>
      </w:pPr>
      <w:hyperlink w:anchor="_Toc41498579" w:history="1">
        <w:r w:rsidR="008412B6" w:rsidRPr="00084059">
          <w:rPr>
            <w:rStyle w:val="Hyperlink"/>
            <w:lang w:eastAsia="en-GB"/>
          </w:rPr>
          <w:t>Table 2:</w:t>
        </w:r>
        <w:r w:rsidR="008412B6">
          <w:rPr>
            <w:rFonts w:asciiTheme="minorHAnsi" w:hAnsiTheme="minorHAnsi"/>
          </w:rPr>
          <w:tab/>
        </w:r>
        <w:r w:rsidR="008412B6" w:rsidRPr="00084059">
          <w:rPr>
            <w:rStyle w:val="Hyperlink"/>
            <w:lang w:eastAsia="en-GB"/>
          </w:rPr>
          <w:t xml:space="preserve">Regional economic indicators, marginal contribution of the package, </w:t>
        </w:r>
        <w:r w:rsidR="008A16CE">
          <w:rPr>
            <w:rStyle w:val="Hyperlink"/>
            <w:lang w:eastAsia="en-GB"/>
          </w:rPr>
          <w:t>per cent</w:t>
        </w:r>
        <w:r w:rsidR="008412B6" w:rsidRPr="00084059">
          <w:rPr>
            <w:rStyle w:val="Hyperlink"/>
            <w:lang w:eastAsia="en-GB"/>
          </w:rPr>
          <w:t>age change by 2050</w:t>
        </w:r>
        <w:r w:rsidR="008412B6">
          <w:rPr>
            <w:webHidden/>
          </w:rPr>
          <w:tab/>
        </w:r>
        <w:r w:rsidR="008412B6">
          <w:rPr>
            <w:webHidden/>
          </w:rPr>
          <w:fldChar w:fldCharType="begin"/>
        </w:r>
        <w:r w:rsidR="008412B6">
          <w:rPr>
            <w:webHidden/>
          </w:rPr>
          <w:instrText xml:space="preserve"> PAGEREF _Toc41498579 \h </w:instrText>
        </w:r>
        <w:r w:rsidR="008412B6">
          <w:rPr>
            <w:webHidden/>
          </w:rPr>
        </w:r>
        <w:r w:rsidR="008412B6">
          <w:rPr>
            <w:webHidden/>
          </w:rPr>
          <w:fldChar w:fldCharType="separate"/>
        </w:r>
        <w:r w:rsidR="00E13C38">
          <w:rPr>
            <w:webHidden/>
          </w:rPr>
          <w:t>12</w:t>
        </w:r>
        <w:r w:rsidR="008412B6">
          <w:rPr>
            <w:webHidden/>
          </w:rPr>
          <w:fldChar w:fldCharType="end"/>
        </w:r>
      </w:hyperlink>
    </w:p>
    <w:p w14:paraId="69C05190" w14:textId="1B853E7A" w:rsidR="00064851" w:rsidRPr="00AA3FB2" w:rsidRDefault="00064851" w:rsidP="00064851">
      <w:r w:rsidRPr="00AA3FB2">
        <w:fldChar w:fldCharType="end"/>
      </w:r>
    </w:p>
    <w:p w14:paraId="78104054" w14:textId="2280C94F" w:rsidR="00064851" w:rsidRPr="00AA3FB2" w:rsidRDefault="00064851" w:rsidP="00064851"/>
    <w:p w14:paraId="41B799AA" w14:textId="214F2D84" w:rsidR="00064851" w:rsidRPr="00AA3FB2" w:rsidRDefault="00064851" w:rsidP="00064851">
      <w:pPr>
        <w:pStyle w:val="Heading"/>
      </w:pPr>
      <w:r w:rsidRPr="00AA3FB2">
        <w:t>Figure</w:t>
      </w:r>
    </w:p>
    <w:p w14:paraId="71EB1C38" w14:textId="61AFA35D" w:rsidR="008412B6" w:rsidRDefault="00064851">
      <w:pPr>
        <w:pStyle w:val="TableofFigures"/>
        <w:rPr>
          <w:rFonts w:asciiTheme="minorHAnsi" w:hAnsiTheme="minorHAnsi"/>
        </w:rPr>
      </w:pPr>
      <w:r w:rsidRPr="00AA3FB2">
        <w:rPr>
          <w:noProof w:val="0"/>
        </w:rPr>
        <w:fldChar w:fldCharType="begin"/>
      </w:r>
      <w:r w:rsidRPr="00AA3FB2">
        <w:rPr>
          <w:noProof w:val="0"/>
        </w:rPr>
        <w:instrText xml:space="preserve"> TOC \h \z \t "Figure heading" \c </w:instrText>
      </w:r>
      <w:r w:rsidRPr="00AA3FB2">
        <w:rPr>
          <w:noProof w:val="0"/>
        </w:rPr>
        <w:fldChar w:fldCharType="separate"/>
      </w:r>
      <w:hyperlink w:anchor="_Toc41498592" w:history="1">
        <w:r w:rsidR="008412B6" w:rsidRPr="00103CF8">
          <w:rPr>
            <w:rStyle w:val="Hyperlink"/>
          </w:rPr>
          <w:t xml:space="preserve">Figure 1: </w:t>
        </w:r>
        <w:r w:rsidR="008412B6">
          <w:rPr>
            <w:rFonts w:asciiTheme="minorHAnsi" w:hAnsiTheme="minorHAnsi"/>
          </w:rPr>
          <w:tab/>
        </w:r>
        <w:r w:rsidR="008412B6" w:rsidRPr="00103CF8">
          <w:rPr>
            <w:rStyle w:val="Hyperlink"/>
          </w:rPr>
          <w:t>Marginal impact of three nitrogen-related policies</w:t>
        </w:r>
        <w:r w:rsidR="008412B6">
          <w:rPr>
            <w:webHidden/>
          </w:rPr>
          <w:tab/>
        </w:r>
        <w:r w:rsidR="008412B6">
          <w:rPr>
            <w:webHidden/>
          </w:rPr>
          <w:fldChar w:fldCharType="begin"/>
        </w:r>
        <w:r w:rsidR="008412B6">
          <w:rPr>
            <w:webHidden/>
          </w:rPr>
          <w:instrText xml:space="preserve"> PAGEREF _Toc41498592 \h </w:instrText>
        </w:r>
        <w:r w:rsidR="008412B6">
          <w:rPr>
            <w:webHidden/>
          </w:rPr>
        </w:r>
        <w:r w:rsidR="008412B6">
          <w:rPr>
            <w:webHidden/>
          </w:rPr>
          <w:fldChar w:fldCharType="separate"/>
        </w:r>
        <w:r w:rsidR="00E13C38">
          <w:rPr>
            <w:webHidden/>
          </w:rPr>
          <w:t>10</w:t>
        </w:r>
        <w:r w:rsidR="008412B6">
          <w:rPr>
            <w:webHidden/>
          </w:rPr>
          <w:fldChar w:fldCharType="end"/>
        </w:r>
      </w:hyperlink>
    </w:p>
    <w:p w14:paraId="75BD18E5" w14:textId="63A673EC" w:rsidR="00064851" w:rsidRPr="00AA3FB2" w:rsidRDefault="00064851" w:rsidP="00064851">
      <w:r w:rsidRPr="00AA3FB2">
        <w:fldChar w:fldCharType="end"/>
      </w:r>
    </w:p>
    <w:p w14:paraId="61A090A2" w14:textId="60B7E4CF" w:rsidR="00226A8B" w:rsidRPr="00AA3FB2" w:rsidRDefault="00226A8B" w:rsidP="00440DEB">
      <w:pPr>
        <w:pStyle w:val="BodyText"/>
      </w:pPr>
      <w:r w:rsidRPr="00AA3FB2">
        <w:br w:type="page"/>
      </w:r>
    </w:p>
    <w:p w14:paraId="1FA8D3F8" w14:textId="77777777" w:rsidR="00226A8B" w:rsidRPr="00AA3FB2" w:rsidRDefault="00226A8B" w:rsidP="007734A4">
      <w:pPr>
        <w:pStyle w:val="Heading1"/>
        <w:rPr>
          <w:lang w:eastAsia="en-GB"/>
        </w:rPr>
      </w:pPr>
      <w:bookmarkStart w:id="3" w:name="_Toc41498569"/>
      <w:r w:rsidRPr="00AA3FB2">
        <w:rPr>
          <w:lang w:eastAsia="en-GB"/>
        </w:rPr>
        <w:lastRenderedPageBreak/>
        <w:t>Introduction</w:t>
      </w:r>
      <w:bookmarkEnd w:id="3"/>
    </w:p>
    <w:p w14:paraId="2AD8A47E" w14:textId="77777777" w:rsidR="00226A8B" w:rsidRPr="00AA3FB2" w:rsidRDefault="00226A8B" w:rsidP="007734A4">
      <w:pPr>
        <w:pStyle w:val="BodyText"/>
        <w:rPr>
          <w:lang w:eastAsia="en-GB"/>
        </w:rPr>
      </w:pPr>
      <w:r w:rsidRPr="00AA3FB2">
        <w:rPr>
          <w:lang w:eastAsia="en-GB"/>
        </w:rPr>
        <w:t xml:space="preserve">The purpose of this paper is to provide a high-level outline of the impact assessment of the Action for healthy waterways proposals (and subsequent final package), providing information about the objectives and scope of the impact assessment, the findings, the parties involved, the methodologies applied and the limitations and constraints to the analysis. As well, high-level information about the calculation of monetised costs </w:t>
      </w:r>
      <w:proofErr w:type="gramStart"/>
      <w:r w:rsidRPr="00AA3FB2">
        <w:rPr>
          <w:lang w:eastAsia="en-GB"/>
        </w:rPr>
        <w:t>is provided</w:t>
      </w:r>
      <w:proofErr w:type="gramEnd"/>
      <w:r w:rsidRPr="00AA3FB2">
        <w:rPr>
          <w:lang w:eastAsia="en-GB"/>
        </w:rPr>
        <w:t>, with a particular focus on the impact assessment of the nutrient-related policies.</w:t>
      </w:r>
    </w:p>
    <w:p w14:paraId="17CEA2EF" w14:textId="77777777" w:rsidR="00226A8B" w:rsidRPr="00AA3FB2" w:rsidRDefault="00226A8B" w:rsidP="007734A4">
      <w:pPr>
        <w:pStyle w:val="Heading2"/>
        <w:rPr>
          <w:lang w:eastAsia="en-GB"/>
        </w:rPr>
      </w:pPr>
      <w:bookmarkStart w:id="4" w:name="_Toc41498570"/>
      <w:r w:rsidRPr="00AA3FB2">
        <w:rPr>
          <w:lang w:eastAsia="en-GB"/>
        </w:rPr>
        <w:t>Background</w:t>
      </w:r>
      <w:bookmarkEnd w:id="4"/>
    </w:p>
    <w:p w14:paraId="6D4D58D4" w14:textId="589FC943" w:rsidR="00226A8B" w:rsidRPr="00AA3FB2" w:rsidRDefault="00226A8B" w:rsidP="007734A4">
      <w:pPr>
        <w:pStyle w:val="BodyText"/>
        <w:rPr>
          <w:lang w:eastAsia="en-GB"/>
        </w:rPr>
      </w:pPr>
      <w:r w:rsidRPr="00AA3FB2">
        <w:rPr>
          <w:lang w:eastAsia="en-GB"/>
        </w:rPr>
        <w:t xml:space="preserve">In October 2019, the Action for healthy waterways policy proposals (the ‘proposals’) </w:t>
      </w:r>
      <w:proofErr w:type="gramStart"/>
      <w:r w:rsidRPr="00AA3FB2">
        <w:rPr>
          <w:lang w:eastAsia="en-GB"/>
        </w:rPr>
        <w:t>were released</w:t>
      </w:r>
      <w:proofErr w:type="gramEnd"/>
      <w:r w:rsidRPr="00AA3FB2">
        <w:rPr>
          <w:lang w:eastAsia="en-GB"/>
        </w:rPr>
        <w:t xml:space="preserve"> for public consultation. These proposals consisted of a suite of policies including new</w:t>
      </w:r>
      <w:r w:rsidR="00904F54" w:rsidRPr="00AA3FB2">
        <w:rPr>
          <w:lang w:eastAsia="en-GB"/>
        </w:rPr>
        <w:t> </w:t>
      </w:r>
      <w:r w:rsidRPr="00AA3FB2">
        <w:rPr>
          <w:lang w:eastAsia="en-GB"/>
        </w:rPr>
        <w:t xml:space="preserve">bottom lines for nutrients and sediment; a moratorium on the further loss of wetlands, fish passages and streams; stock exclusion requirements and mandatory freshwater modules in farm plans. </w:t>
      </w:r>
    </w:p>
    <w:p w14:paraId="30913E63" w14:textId="7229A9FF" w:rsidR="00226A8B" w:rsidRPr="00AA3FB2" w:rsidRDefault="00226A8B" w:rsidP="007734A4">
      <w:pPr>
        <w:pStyle w:val="BodyText"/>
        <w:rPr>
          <w:lang w:eastAsia="en-GB"/>
        </w:rPr>
      </w:pPr>
      <w:r w:rsidRPr="00AA3FB2">
        <w:rPr>
          <w:lang w:eastAsia="en-GB"/>
        </w:rPr>
        <w:t>Extensive analysis of the likely costs and benefits had been undertaken prior to arriving at the</w:t>
      </w:r>
      <w:r w:rsidR="00904F54" w:rsidRPr="00AA3FB2">
        <w:rPr>
          <w:lang w:eastAsia="en-GB"/>
        </w:rPr>
        <w:t> </w:t>
      </w:r>
      <w:r w:rsidRPr="00AA3FB2">
        <w:rPr>
          <w:lang w:eastAsia="en-GB"/>
        </w:rPr>
        <w:t xml:space="preserve">proposals, and this analysis </w:t>
      </w:r>
      <w:proofErr w:type="gramStart"/>
      <w:r w:rsidRPr="00AA3FB2">
        <w:rPr>
          <w:lang w:eastAsia="en-GB"/>
        </w:rPr>
        <w:t>was released</w:t>
      </w:r>
      <w:proofErr w:type="gramEnd"/>
      <w:r w:rsidRPr="00AA3FB2">
        <w:rPr>
          <w:lang w:eastAsia="en-GB"/>
        </w:rPr>
        <w:t xml:space="preserve"> publicly when consultation began in the interim regulatory impact analysis for consultation. In many </w:t>
      </w:r>
      <w:proofErr w:type="gramStart"/>
      <w:r w:rsidRPr="00AA3FB2">
        <w:rPr>
          <w:lang w:eastAsia="en-GB"/>
        </w:rPr>
        <w:t>cases</w:t>
      </w:r>
      <w:proofErr w:type="gramEnd"/>
      <w:r w:rsidRPr="00AA3FB2">
        <w:rPr>
          <w:lang w:eastAsia="en-GB"/>
        </w:rPr>
        <w:t xml:space="preserve"> the findings from this analysis were summarised in the discussion document released in </w:t>
      </w:r>
      <w:r w:rsidR="00EA011D">
        <w:rPr>
          <w:lang w:eastAsia="en-GB"/>
        </w:rPr>
        <w:t>September 2</w:t>
      </w:r>
      <w:r w:rsidRPr="00AA3FB2">
        <w:rPr>
          <w:lang w:eastAsia="en-GB"/>
        </w:rPr>
        <w:t xml:space="preserve">019. </w:t>
      </w:r>
    </w:p>
    <w:p w14:paraId="2FF84684" w14:textId="0151483B" w:rsidR="00226A8B" w:rsidRPr="00AA3FB2" w:rsidRDefault="00EA011D" w:rsidP="007734A4">
      <w:pPr>
        <w:pStyle w:val="BodyText"/>
        <w:rPr>
          <w:lang w:eastAsia="en-GB"/>
        </w:rPr>
      </w:pPr>
      <w:r>
        <w:rPr>
          <w:lang w:eastAsia="en-GB"/>
        </w:rPr>
        <w:t>T</w:t>
      </w:r>
      <w:r w:rsidR="00226A8B" w:rsidRPr="00AA3FB2">
        <w:rPr>
          <w:lang w:eastAsia="en-GB"/>
        </w:rPr>
        <w:t xml:space="preserve">he key nutrient policies (related to nitrogen and dissolved reactive phosphorous or DRP) were introduced late into the proposals and this prevented detailed impact analysis being done prior to consultation. A detailed assessment of the administrative impact on regional councils </w:t>
      </w:r>
      <w:proofErr w:type="gramStart"/>
      <w:r w:rsidR="00226A8B" w:rsidRPr="00AA3FB2">
        <w:rPr>
          <w:lang w:eastAsia="en-GB"/>
        </w:rPr>
        <w:t>had also not been done</w:t>
      </w:r>
      <w:proofErr w:type="gramEnd"/>
      <w:r w:rsidR="00226A8B" w:rsidRPr="00AA3FB2">
        <w:rPr>
          <w:lang w:eastAsia="en-GB"/>
        </w:rPr>
        <w:t xml:space="preserve">. These latter two factors led some submitters to complain that they could not assess the proposals, or provide informed feedback, because insufficient impact assessment information </w:t>
      </w:r>
      <w:proofErr w:type="gramStart"/>
      <w:r w:rsidR="00226A8B" w:rsidRPr="00AA3FB2">
        <w:rPr>
          <w:lang w:eastAsia="en-GB"/>
        </w:rPr>
        <w:t>had been provided</w:t>
      </w:r>
      <w:proofErr w:type="gramEnd"/>
      <w:r w:rsidR="00226A8B" w:rsidRPr="00AA3FB2">
        <w:rPr>
          <w:lang w:eastAsia="en-GB"/>
        </w:rPr>
        <w:t>.</w:t>
      </w:r>
    </w:p>
    <w:p w14:paraId="7CB6D9DB" w14:textId="69DC081F" w:rsidR="00226A8B" w:rsidRPr="00AA3FB2" w:rsidRDefault="00226A8B" w:rsidP="007734A4">
      <w:pPr>
        <w:pStyle w:val="BodyText"/>
        <w:rPr>
          <w:lang w:eastAsia="en-GB"/>
        </w:rPr>
      </w:pPr>
      <w:r w:rsidRPr="00AA3FB2">
        <w:rPr>
          <w:lang w:eastAsia="en-GB"/>
        </w:rPr>
        <w:t xml:space="preserve">The need for an environmental and economic impact assessment of the nutrient policies was particularly important as estimates provided by </w:t>
      </w:r>
      <w:proofErr w:type="spellStart"/>
      <w:r w:rsidRPr="00AA3FB2">
        <w:rPr>
          <w:lang w:eastAsia="en-GB"/>
        </w:rPr>
        <w:t>DairyNZ</w:t>
      </w:r>
      <w:proofErr w:type="spellEnd"/>
      <w:r w:rsidRPr="00AA3FB2">
        <w:rPr>
          <w:lang w:eastAsia="en-GB"/>
        </w:rPr>
        <w:t xml:space="preserve"> suggested the cost to the dairy sector upon full compliance could be in the billions of dollars a year. Given this feedback, it was important to arrive at monetised estimates of the impact of the nutrient policies, in particular, on the agricultural sector prior to making final decisions. </w:t>
      </w:r>
    </w:p>
    <w:p w14:paraId="17A043C4" w14:textId="3D0105B6" w:rsidR="00226A8B" w:rsidRPr="00AA3FB2" w:rsidRDefault="00226A8B" w:rsidP="007734A4">
      <w:pPr>
        <w:pStyle w:val="BodyText"/>
        <w:rPr>
          <w:lang w:eastAsia="en-GB"/>
        </w:rPr>
      </w:pPr>
      <w:r w:rsidRPr="00AA3FB2">
        <w:rPr>
          <w:lang w:eastAsia="en-GB"/>
        </w:rPr>
        <w:t>In May 2020</w:t>
      </w:r>
      <w:r w:rsidR="008A16CE">
        <w:rPr>
          <w:lang w:eastAsia="en-GB"/>
        </w:rPr>
        <w:t>,</w:t>
      </w:r>
      <w:r w:rsidRPr="00AA3FB2">
        <w:rPr>
          <w:lang w:eastAsia="en-GB"/>
        </w:rPr>
        <w:t xml:space="preserve"> final decisions on the Action for healthy waterways proposals </w:t>
      </w:r>
      <w:proofErr w:type="gramStart"/>
      <w:r w:rsidRPr="00AA3FB2">
        <w:rPr>
          <w:lang w:eastAsia="en-GB"/>
        </w:rPr>
        <w:t>were made</w:t>
      </w:r>
      <w:proofErr w:type="gramEnd"/>
      <w:r w:rsidRPr="00AA3FB2">
        <w:rPr>
          <w:lang w:eastAsia="en-GB"/>
        </w:rPr>
        <w:t xml:space="preserve"> (the ‘final package’). The final package departed from the proposals in several key areas including nutrient bottom lines and stock exclusion.</w:t>
      </w:r>
    </w:p>
    <w:p w14:paraId="155293C5" w14:textId="5BF32BA2" w:rsidR="00226A8B" w:rsidRPr="00AA3FB2" w:rsidRDefault="00226A8B" w:rsidP="007734A4">
      <w:pPr>
        <w:pStyle w:val="BodyText"/>
        <w:rPr>
          <w:lang w:eastAsia="en-GB"/>
        </w:rPr>
      </w:pPr>
      <w:r w:rsidRPr="00AA3FB2">
        <w:rPr>
          <w:lang w:eastAsia="en-GB"/>
        </w:rPr>
        <w:t xml:space="preserve">All the impact analysis undertaken before and after </w:t>
      </w:r>
      <w:r w:rsidR="003A182A">
        <w:rPr>
          <w:lang w:eastAsia="en-GB"/>
        </w:rPr>
        <w:t xml:space="preserve">September </w:t>
      </w:r>
      <w:r w:rsidRPr="00AA3FB2">
        <w:rPr>
          <w:lang w:eastAsia="en-GB"/>
        </w:rPr>
        <w:t xml:space="preserve">2019 considered the </w:t>
      </w:r>
      <w:r w:rsidRPr="00AA3FB2">
        <w:rPr>
          <w:i/>
          <w:iCs/>
          <w:lang w:eastAsia="en-GB"/>
        </w:rPr>
        <w:t>marginal</w:t>
      </w:r>
      <w:r w:rsidRPr="00AA3FB2">
        <w:rPr>
          <w:lang w:eastAsia="en-GB"/>
        </w:rPr>
        <w:t xml:space="preserve"> impact of the proposals and the final package – the additional impact that are beyond existing policies when those are fully complied with. This is important because the current (2017) National Policy Statement Freshwater Management (2017 NPS-FM) is yet to be reflected in regional council plans. The 2017 NPS-FM </w:t>
      </w:r>
      <w:proofErr w:type="gramStart"/>
      <w:r w:rsidRPr="00AA3FB2">
        <w:rPr>
          <w:lang w:eastAsia="en-GB"/>
        </w:rPr>
        <w:t>is expected</w:t>
      </w:r>
      <w:proofErr w:type="gramEnd"/>
      <w:r w:rsidRPr="00AA3FB2">
        <w:rPr>
          <w:lang w:eastAsia="en-GB"/>
        </w:rPr>
        <w:t xml:space="preserve"> to require significant reductions in pollution, from both urban and rural land uses, bringing sizeable benefits and costs. However, because the requirements </w:t>
      </w:r>
      <w:proofErr w:type="gramStart"/>
      <w:r w:rsidRPr="00AA3FB2">
        <w:rPr>
          <w:lang w:eastAsia="en-GB"/>
        </w:rPr>
        <w:t>are not yet implemented</w:t>
      </w:r>
      <w:proofErr w:type="gramEnd"/>
      <w:r w:rsidRPr="00AA3FB2">
        <w:rPr>
          <w:lang w:eastAsia="en-GB"/>
        </w:rPr>
        <w:t xml:space="preserve"> the likely impacts are yet to be seen. The impacts of the proposals and the final package </w:t>
      </w:r>
      <w:proofErr w:type="gramStart"/>
      <w:r w:rsidRPr="00AA3FB2">
        <w:rPr>
          <w:lang w:eastAsia="en-GB"/>
        </w:rPr>
        <w:t>h</w:t>
      </w:r>
      <w:r w:rsidR="00340E4B">
        <w:rPr>
          <w:lang w:eastAsia="en-GB"/>
        </w:rPr>
        <w:t>ave been assessed</w:t>
      </w:r>
      <w:proofErr w:type="gramEnd"/>
      <w:r w:rsidR="00340E4B">
        <w:rPr>
          <w:lang w:eastAsia="en-GB"/>
        </w:rPr>
        <w:t xml:space="preserve"> assuming full</w:t>
      </w:r>
      <w:r w:rsidRPr="00AA3FB2">
        <w:rPr>
          <w:lang w:eastAsia="en-GB"/>
        </w:rPr>
        <w:t xml:space="preserve"> compliance with the (2017) NPS-FM has been achieved. Only in this way, </w:t>
      </w:r>
      <w:proofErr w:type="gramStart"/>
      <w:r w:rsidRPr="00AA3FB2">
        <w:rPr>
          <w:lang w:eastAsia="en-GB"/>
        </w:rPr>
        <w:t>can the contribution of the proposals and final package be clearly seen</w:t>
      </w:r>
      <w:proofErr w:type="gramEnd"/>
      <w:r w:rsidRPr="00AA3FB2">
        <w:rPr>
          <w:lang w:eastAsia="en-GB"/>
        </w:rPr>
        <w:t>.</w:t>
      </w:r>
    </w:p>
    <w:p w14:paraId="22C9AE8B" w14:textId="4E14F4AB" w:rsidR="00226A8B" w:rsidRPr="00AA3FB2" w:rsidRDefault="00226A8B" w:rsidP="007734A4">
      <w:pPr>
        <w:pStyle w:val="BodyText"/>
        <w:rPr>
          <w:lang w:eastAsia="en-GB"/>
        </w:rPr>
      </w:pPr>
      <w:r w:rsidRPr="00AA3FB2">
        <w:rPr>
          <w:lang w:eastAsia="en-GB"/>
        </w:rPr>
        <w:lastRenderedPageBreak/>
        <w:t xml:space="preserve">In addition, new legislation with the objective of reducing greenhouse gas emissions </w:t>
      </w:r>
      <w:proofErr w:type="gramStart"/>
      <w:r w:rsidRPr="00AA3FB2">
        <w:rPr>
          <w:lang w:eastAsia="en-GB"/>
        </w:rPr>
        <w:t>was passed</w:t>
      </w:r>
      <w:proofErr w:type="gramEnd"/>
      <w:r w:rsidRPr="00AA3FB2">
        <w:rPr>
          <w:lang w:eastAsia="en-GB"/>
        </w:rPr>
        <w:t xml:space="preserve"> early in 2020. The long-term implications of this legislation are likely to include a change</w:t>
      </w:r>
      <w:r w:rsidR="00F95E20" w:rsidRPr="00AA3FB2">
        <w:rPr>
          <w:lang w:eastAsia="en-GB"/>
        </w:rPr>
        <w:t> </w:t>
      </w:r>
      <w:r w:rsidRPr="00AA3FB2">
        <w:rPr>
          <w:lang w:eastAsia="en-GB"/>
        </w:rPr>
        <w:t xml:space="preserve">in land use from agriculture to forestry on erosion-prone land. This changing context meant the costs and benefits of the sediment bottom line policy, while able to be identified and </w:t>
      </w:r>
      <w:proofErr w:type="gramStart"/>
      <w:r w:rsidRPr="00AA3FB2">
        <w:rPr>
          <w:lang w:eastAsia="en-GB"/>
        </w:rPr>
        <w:t>monetised,</w:t>
      </w:r>
      <w:proofErr w:type="gramEnd"/>
      <w:r w:rsidRPr="00AA3FB2">
        <w:rPr>
          <w:lang w:eastAsia="en-GB"/>
        </w:rPr>
        <w:t xml:space="preserve"> could not be confidently described as marginal contributions. Hence, unlike other components of the proposals and final package the estimated impacts of the sediment bottom line have not been included in reported aggregate ‘net benefits’ (instead they are reported on a standalone basis).</w:t>
      </w:r>
    </w:p>
    <w:p w14:paraId="7CFC944B" w14:textId="77777777" w:rsidR="00226A8B" w:rsidRPr="00AA3FB2" w:rsidRDefault="00226A8B" w:rsidP="00904F54">
      <w:pPr>
        <w:pStyle w:val="Heading2"/>
        <w:spacing w:before="280"/>
        <w:rPr>
          <w:lang w:eastAsia="en-GB"/>
        </w:rPr>
      </w:pPr>
      <w:bookmarkStart w:id="5" w:name="_Toc41498571"/>
      <w:r w:rsidRPr="00AA3FB2">
        <w:rPr>
          <w:lang w:eastAsia="en-GB"/>
        </w:rPr>
        <w:t>Impact assessment objectives</w:t>
      </w:r>
      <w:bookmarkEnd w:id="5"/>
    </w:p>
    <w:p w14:paraId="00D1EC06" w14:textId="167CF772" w:rsidR="00226A8B" w:rsidRPr="00AA3FB2" w:rsidRDefault="00226A8B" w:rsidP="00395A23">
      <w:pPr>
        <w:pStyle w:val="BodyText"/>
        <w:spacing w:before="100" w:after="100"/>
        <w:rPr>
          <w:lang w:eastAsia="en-GB"/>
        </w:rPr>
      </w:pPr>
      <w:r w:rsidRPr="00AA3FB2">
        <w:rPr>
          <w:lang w:eastAsia="en-GB"/>
        </w:rPr>
        <w:t>Beginning in October 2019, further impact assessment analysis was undertaken. The purpose of this work was to assess the potential impacts of the proposed nutrient bottom lines (analysis not done at that stage) and to review and/or revise estimates of the likely impacts of</w:t>
      </w:r>
      <w:r w:rsidR="008412B6">
        <w:rPr>
          <w:lang w:eastAsia="en-GB"/>
        </w:rPr>
        <w:t> </w:t>
      </w:r>
      <w:r w:rsidRPr="00AA3FB2">
        <w:rPr>
          <w:lang w:eastAsia="en-GB"/>
        </w:rPr>
        <w:t xml:space="preserve">the other policy elements in light of feedback provided in submissions and by advisory groups. As well, further policy options emerged post-consultation and the impact assessment </w:t>
      </w:r>
      <w:proofErr w:type="spellStart"/>
      <w:r w:rsidRPr="00AA3FB2">
        <w:rPr>
          <w:lang w:eastAsia="en-GB"/>
        </w:rPr>
        <w:t>workstream</w:t>
      </w:r>
      <w:proofErr w:type="spellEnd"/>
      <w:r w:rsidRPr="00AA3FB2">
        <w:rPr>
          <w:lang w:eastAsia="en-GB"/>
        </w:rPr>
        <w:t xml:space="preserve"> provided information about the potential impacts of these options.</w:t>
      </w:r>
      <w:r w:rsidR="00882A37" w:rsidRPr="00AA3FB2">
        <w:rPr>
          <w:lang w:eastAsia="en-GB"/>
        </w:rPr>
        <w:t xml:space="preserve"> </w:t>
      </w:r>
    </w:p>
    <w:p w14:paraId="26EF2A50" w14:textId="77777777" w:rsidR="00226A8B" w:rsidRPr="00AA3FB2" w:rsidRDefault="00226A8B" w:rsidP="00395A23">
      <w:pPr>
        <w:pStyle w:val="BodyText"/>
        <w:spacing w:before="100" w:after="100"/>
        <w:rPr>
          <w:lang w:eastAsia="en-GB"/>
        </w:rPr>
      </w:pPr>
      <w:r w:rsidRPr="00AA3FB2">
        <w:rPr>
          <w:lang w:eastAsia="en-GB"/>
        </w:rPr>
        <w:t xml:space="preserve">Reflecting statutory requirements relating to the development of regulations, the impact assessment has aimed to provide both monetised estimates of benefits and costs where possible, and qualitative assessments of likely </w:t>
      </w:r>
      <w:proofErr w:type="gramStart"/>
      <w:r w:rsidRPr="00AA3FB2">
        <w:rPr>
          <w:lang w:eastAsia="en-GB"/>
        </w:rPr>
        <w:t>impacts</w:t>
      </w:r>
      <w:proofErr w:type="gramEnd"/>
      <w:r w:rsidRPr="00AA3FB2">
        <w:rPr>
          <w:lang w:eastAsia="en-GB"/>
        </w:rPr>
        <w:t xml:space="preserve"> otherwise.</w:t>
      </w:r>
    </w:p>
    <w:p w14:paraId="1791B368" w14:textId="77777777" w:rsidR="00226A8B" w:rsidRPr="00AA3FB2" w:rsidRDefault="00226A8B" w:rsidP="00395A23">
      <w:pPr>
        <w:pStyle w:val="BodyText"/>
        <w:spacing w:before="100" w:after="100"/>
        <w:rPr>
          <w:lang w:eastAsia="en-GB"/>
        </w:rPr>
      </w:pPr>
      <w:r w:rsidRPr="00AA3FB2">
        <w:rPr>
          <w:lang w:eastAsia="en-GB"/>
        </w:rPr>
        <w:t>The key objectives of the work initiated in October 2019 were therefore to:</w:t>
      </w:r>
    </w:p>
    <w:p w14:paraId="4B9C56C6" w14:textId="0B9EA5C2" w:rsidR="00226A8B" w:rsidRPr="00AA3FB2" w:rsidRDefault="008A16CE" w:rsidP="00F95E20">
      <w:pPr>
        <w:pStyle w:val="Bullet"/>
        <w:rPr>
          <w:rFonts w:eastAsia="Calibri"/>
          <w:lang w:eastAsia="en-US"/>
        </w:rPr>
      </w:pPr>
      <w:r>
        <w:rPr>
          <w:rFonts w:eastAsia="Calibri"/>
          <w:lang w:eastAsia="en-US"/>
        </w:rPr>
        <w:t>p</w:t>
      </w:r>
      <w:r w:rsidR="00226A8B" w:rsidRPr="00AA3FB2">
        <w:rPr>
          <w:rFonts w:eastAsia="Calibri"/>
          <w:lang w:eastAsia="en-US"/>
        </w:rPr>
        <w:t xml:space="preserve">rovide monetised estimates of costs and benefits where possible, but not to be constrained to report </w:t>
      </w:r>
      <w:r w:rsidR="00226A8B" w:rsidRPr="00AA3FB2">
        <w:rPr>
          <w:rFonts w:eastAsia="Calibri"/>
          <w:i/>
          <w:iCs/>
          <w:lang w:eastAsia="en-US"/>
        </w:rPr>
        <w:t>only</w:t>
      </w:r>
      <w:r>
        <w:rPr>
          <w:rFonts w:eastAsia="Calibri"/>
          <w:lang w:eastAsia="en-US"/>
        </w:rPr>
        <w:t xml:space="preserve"> monetised impacts</w:t>
      </w:r>
    </w:p>
    <w:p w14:paraId="47B9DA66" w14:textId="6BD25300" w:rsidR="00226A8B" w:rsidRPr="00AA3FB2" w:rsidRDefault="008A16CE" w:rsidP="00F95E20">
      <w:pPr>
        <w:pStyle w:val="Bullet"/>
        <w:rPr>
          <w:rFonts w:eastAsia="Calibri"/>
          <w:lang w:eastAsia="en-US"/>
        </w:rPr>
      </w:pPr>
      <w:r>
        <w:rPr>
          <w:rFonts w:eastAsia="Calibri"/>
          <w:lang w:eastAsia="en-US"/>
        </w:rPr>
        <w:t>p</w:t>
      </w:r>
      <w:r w:rsidR="00226A8B" w:rsidRPr="00AA3FB2">
        <w:rPr>
          <w:rFonts w:eastAsia="Calibri"/>
          <w:lang w:eastAsia="en-US"/>
        </w:rPr>
        <w:t>rovide estimates of the likely impacts of nutrient limits (nitrogen and phosphorous) and, in particular, arriving at monetised estimates of the costs of these policies</w:t>
      </w:r>
      <w:r>
        <w:rPr>
          <w:rFonts w:eastAsia="Calibri"/>
          <w:lang w:eastAsia="en-US"/>
        </w:rPr>
        <w:t xml:space="preserve"> to the agricultural sector</w:t>
      </w:r>
    </w:p>
    <w:p w14:paraId="3FFC472F" w14:textId="092AE149" w:rsidR="00226A8B" w:rsidRPr="00AA3FB2" w:rsidRDefault="008A16CE" w:rsidP="00F95E20">
      <w:pPr>
        <w:pStyle w:val="Bullet"/>
        <w:rPr>
          <w:rFonts w:eastAsia="Calibri"/>
          <w:lang w:eastAsia="en-US"/>
        </w:rPr>
      </w:pPr>
      <w:proofErr w:type="gramStart"/>
      <w:r>
        <w:rPr>
          <w:rFonts w:eastAsia="Calibri"/>
          <w:lang w:eastAsia="en-US"/>
        </w:rPr>
        <w:t>r</w:t>
      </w:r>
      <w:r w:rsidR="00226A8B" w:rsidRPr="00AA3FB2">
        <w:rPr>
          <w:rFonts w:eastAsia="Calibri"/>
          <w:lang w:eastAsia="en-US"/>
        </w:rPr>
        <w:t>eview</w:t>
      </w:r>
      <w:proofErr w:type="gramEnd"/>
      <w:r w:rsidR="00226A8B" w:rsidRPr="00AA3FB2">
        <w:rPr>
          <w:rFonts w:eastAsia="Calibri"/>
          <w:lang w:eastAsia="en-US"/>
        </w:rPr>
        <w:t xml:space="preserve"> impact assessments done prior to October 2019, referring to feedback provided by submitters and others. </w:t>
      </w:r>
    </w:p>
    <w:p w14:paraId="592593AF" w14:textId="7E19C525" w:rsidR="00226A8B" w:rsidRPr="00AA3FB2" w:rsidRDefault="00226A8B" w:rsidP="00F95E20">
      <w:pPr>
        <w:pStyle w:val="BodyText"/>
        <w:rPr>
          <w:lang w:eastAsia="en-GB"/>
        </w:rPr>
      </w:pPr>
      <w:r w:rsidRPr="00AA3FB2">
        <w:rPr>
          <w:lang w:eastAsia="en-GB"/>
        </w:rPr>
        <w:t>In many areas</w:t>
      </w:r>
      <w:r w:rsidR="008A16CE">
        <w:rPr>
          <w:lang w:eastAsia="en-GB"/>
        </w:rPr>
        <w:t>,</w:t>
      </w:r>
      <w:r w:rsidRPr="00AA3FB2">
        <w:rPr>
          <w:lang w:eastAsia="en-GB"/>
        </w:rPr>
        <w:t xml:space="preserve"> there were significant data limitations, and in particular a lack of publicly available data about farm-level nutrient losses, farm management practices and farm finances</w:t>
      </w:r>
      <w:r w:rsidR="00904F54" w:rsidRPr="00AA3FB2">
        <w:rPr>
          <w:lang w:eastAsia="en-GB"/>
        </w:rPr>
        <w:t> </w:t>
      </w:r>
      <w:r w:rsidRPr="00AA3FB2">
        <w:rPr>
          <w:lang w:eastAsia="en-GB"/>
        </w:rPr>
        <w:t>for different types of farms. Hence</w:t>
      </w:r>
      <w:r w:rsidR="008A16CE">
        <w:rPr>
          <w:lang w:eastAsia="en-GB"/>
        </w:rPr>
        <w:t>,</w:t>
      </w:r>
      <w:r w:rsidRPr="00AA3FB2">
        <w:rPr>
          <w:lang w:eastAsia="en-GB"/>
        </w:rPr>
        <w:t xml:space="preserve"> the above objectives were to </w:t>
      </w:r>
      <w:proofErr w:type="gramStart"/>
      <w:r w:rsidRPr="00AA3FB2">
        <w:rPr>
          <w:lang w:eastAsia="en-GB"/>
        </w:rPr>
        <w:t>be achieved</w:t>
      </w:r>
      <w:proofErr w:type="gramEnd"/>
      <w:r w:rsidRPr="00AA3FB2">
        <w:rPr>
          <w:lang w:eastAsia="en-GB"/>
        </w:rPr>
        <w:t xml:space="preserve"> subject</w:t>
      </w:r>
      <w:r w:rsidR="00904F54" w:rsidRPr="00AA3FB2">
        <w:rPr>
          <w:lang w:eastAsia="en-GB"/>
        </w:rPr>
        <w:t> </w:t>
      </w:r>
      <w:r w:rsidRPr="00AA3FB2">
        <w:rPr>
          <w:lang w:eastAsia="en-GB"/>
        </w:rPr>
        <w:t xml:space="preserve">to data availability. </w:t>
      </w:r>
    </w:p>
    <w:p w14:paraId="2DA3CC21" w14:textId="77777777" w:rsidR="00226A8B" w:rsidRPr="00AA3FB2" w:rsidRDefault="00226A8B" w:rsidP="00F95E20">
      <w:pPr>
        <w:pStyle w:val="BodyText"/>
        <w:rPr>
          <w:lang w:eastAsia="en-GB"/>
        </w:rPr>
      </w:pPr>
      <w:r w:rsidRPr="00AA3FB2">
        <w:rPr>
          <w:lang w:eastAsia="en-GB"/>
        </w:rPr>
        <w:t xml:space="preserve">The data availability issue highlights the importance and value of considering non-quantified, qualified impacts as well as monetised impacts when appraising policies. If reliance </w:t>
      </w:r>
      <w:proofErr w:type="gramStart"/>
      <w:r w:rsidRPr="00AA3FB2">
        <w:rPr>
          <w:lang w:eastAsia="en-GB"/>
        </w:rPr>
        <w:t>was</w:t>
      </w:r>
      <w:proofErr w:type="gramEnd"/>
      <w:r w:rsidRPr="00AA3FB2">
        <w:rPr>
          <w:lang w:eastAsia="en-GB"/>
        </w:rPr>
        <w:t xml:space="preserve"> placed entirely on monetised impacts, important benefits and costs would be overlooked when decisions are made.</w:t>
      </w:r>
    </w:p>
    <w:p w14:paraId="0B950659" w14:textId="77777777" w:rsidR="00226A8B" w:rsidRPr="00AA3FB2" w:rsidRDefault="00226A8B" w:rsidP="00904F54">
      <w:pPr>
        <w:pStyle w:val="Heading2"/>
        <w:spacing w:before="280"/>
        <w:rPr>
          <w:lang w:eastAsia="en-GB"/>
        </w:rPr>
      </w:pPr>
      <w:bookmarkStart w:id="6" w:name="_Toc41498572"/>
      <w:r w:rsidRPr="00AA3FB2">
        <w:rPr>
          <w:lang w:eastAsia="en-GB"/>
        </w:rPr>
        <w:t>High-level findings</w:t>
      </w:r>
      <w:bookmarkEnd w:id="6"/>
    </w:p>
    <w:p w14:paraId="6F213269" w14:textId="3289CCDB" w:rsidR="00226A8B" w:rsidRPr="00AA3FB2" w:rsidRDefault="00226A8B" w:rsidP="00F95E20">
      <w:pPr>
        <w:pStyle w:val="BodyText"/>
        <w:rPr>
          <w:lang w:eastAsia="en-GB"/>
        </w:rPr>
      </w:pPr>
      <w:r w:rsidRPr="00AA3FB2">
        <w:rPr>
          <w:lang w:eastAsia="en-GB"/>
        </w:rPr>
        <w:t xml:space="preserve">Benefits and costs </w:t>
      </w:r>
      <w:proofErr w:type="gramStart"/>
      <w:r w:rsidRPr="00AA3FB2">
        <w:rPr>
          <w:lang w:eastAsia="en-GB"/>
        </w:rPr>
        <w:t>were estimated</w:t>
      </w:r>
      <w:proofErr w:type="gramEnd"/>
      <w:r w:rsidRPr="00AA3FB2">
        <w:rPr>
          <w:lang w:eastAsia="en-GB"/>
        </w:rPr>
        <w:t xml:space="preserve"> for both the initial proposals and the final package presented to Cabinet. The latter omitted the phosphorous bottom line, achieved nitrogen-related objectives through more stringent toxicity requirements rather than the proposed nitrogen bottom line, and eased the stock exclusion policy. These amendments were judged to</w:t>
      </w:r>
      <w:r w:rsidR="008412B6">
        <w:rPr>
          <w:lang w:eastAsia="en-GB"/>
        </w:rPr>
        <w:t> </w:t>
      </w:r>
      <w:r w:rsidRPr="00AA3FB2">
        <w:rPr>
          <w:lang w:eastAsia="en-GB"/>
        </w:rPr>
        <w:t>reduce the estimated costs of the policy without forfeiting key environmental gains (for example, the post-consultation review determined that the DRP bottom line was unlikely to achieve its objectives yet introduced significant costs to the agricultural sector).</w:t>
      </w:r>
    </w:p>
    <w:p w14:paraId="47C0696C" w14:textId="21BC5876" w:rsidR="00226A8B" w:rsidRPr="00AA3FB2" w:rsidRDefault="00226A8B" w:rsidP="00F95E20">
      <w:pPr>
        <w:pStyle w:val="BodyText"/>
        <w:rPr>
          <w:lang w:eastAsia="en-GB"/>
        </w:rPr>
      </w:pPr>
      <w:r w:rsidRPr="00AA3FB2">
        <w:rPr>
          <w:lang w:eastAsia="en-GB"/>
        </w:rPr>
        <w:lastRenderedPageBreak/>
        <w:t xml:space="preserve">Monetised estimates </w:t>
      </w:r>
      <w:proofErr w:type="gramStart"/>
      <w:r w:rsidR="008A16CE">
        <w:rPr>
          <w:lang w:eastAsia="en-GB"/>
        </w:rPr>
        <w:t xml:space="preserve">could </w:t>
      </w:r>
      <w:r w:rsidRPr="00AA3FB2">
        <w:rPr>
          <w:lang w:eastAsia="en-GB"/>
        </w:rPr>
        <w:t>be provided</w:t>
      </w:r>
      <w:proofErr w:type="gramEnd"/>
      <w:r w:rsidRPr="00AA3FB2">
        <w:rPr>
          <w:lang w:eastAsia="en-GB"/>
        </w:rPr>
        <w:t xml:space="preserve"> for some but not all benefits (swimming-related human health, water clarity, ecosystem health, and wetland ecosystem services) and</w:t>
      </w:r>
      <w:r w:rsidR="00904F54" w:rsidRPr="00AA3FB2">
        <w:rPr>
          <w:lang w:eastAsia="en-GB"/>
        </w:rPr>
        <w:t> </w:t>
      </w:r>
      <w:r w:rsidRPr="00AA3FB2">
        <w:rPr>
          <w:lang w:eastAsia="en-GB"/>
        </w:rPr>
        <w:t>for some but not all costs (impacts on farm profits and administrative costs for regional</w:t>
      </w:r>
      <w:r w:rsidR="00904F54" w:rsidRPr="00AA3FB2">
        <w:rPr>
          <w:lang w:eastAsia="en-GB"/>
        </w:rPr>
        <w:t> </w:t>
      </w:r>
      <w:r w:rsidRPr="00AA3FB2">
        <w:rPr>
          <w:lang w:eastAsia="en-GB"/>
        </w:rPr>
        <w:t xml:space="preserve">councils). </w:t>
      </w:r>
    </w:p>
    <w:p w14:paraId="009768E9" w14:textId="702DE988" w:rsidR="00226A8B" w:rsidRPr="00AA3FB2" w:rsidRDefault="00226A8B" w:rsidP="00F95E20">
      <w:pPr>
        <w:pStyle w:val="BodyText"/>
        <w:rPr>
          <w:lang w:eastAsia="en-GB"/>
        </w:rPr>
      </w:pPr>
      <w:r w:rsidRPr="00AA3FB2">
        <w:rPr>
          <w:lang w:eastAsia="en-GB"/>
        </w:rPr>
        <w:t>Benefits that could only be assessed qualitatively included the value of giving effect to cultural values, enhanced recreational opportunities and avoided risks due to nitrogen toxicity of water</w:t>
      </w:r>
      <w:r w:rsidR="00904F54" w:rsidRPr="00AA3FB2">
        <w:rPr>
          <w:lang w:eastAsia="en-GB"/>
        </w:rPr>
        <w:t> </w:t>
      </w:r>
      <w:r w:rsidRPr="00AA3FB2">
        <w:rPr>
          <w:lang w:eastAsia="en-GB"/>
        </w:rPr>
        <w:t xml:space="preserve">aquifers. While some estimates </w:t>
      </w:r>
      <w:proofErr w:type="gramStart"/>
      <w:r w:rsidRPr="00AA3FB2">
        <w:rPr>
          <w:lang w:eastAsia="en-GB"/>
        </w:rPr>
        <w:t>were provided</w:t>
      </w:r>
      <w:proofErr w:type="gramEnd"/>
      <w:r w:rsidRPr="00AA3FB2">
        <w:rPr>
          <w:lang w:eastAsia="en-GB"/>
        </w:rPr>
        <w:t xml:space="preserve"> for preserving the economic value of New Zealand’s ‘green premium’, uncertainty about the value meant this item was not included in aggregate monetised benefits. These are all considered </w:t>
      </w:r>
      <w:proofErr w:type="gramStart"/>
      <w:r w:rsidRPr="00AA3FB2">
        <w:rPr>
          <w:lang w:eastAsia="en-GB"/>
        </w:rPr>
        <w:t>to be very</w:t>
      </w:r>
      <w:proofErr w:type="gramEnd"/>
      <w:r w:rsidRPr="00AA3FB2">
        <w:rPr>
          <w:lang w:eastAsia="en-GB"/>
        </w:rPr>
        <w:t xml:space="preserve"> important benefits from the</w:t>
      </w:r>
      <w:r w:rsidR="00904F54" w:rsidRPr="00AA3FB2">
        <w:rPr>
          <w:lang w:eastAsia="en-GB"/>
        </w:rPr>
        <w:t> </w:t>
      </w:r>
      <w:r w:rsidRPr="00AA3FB2">
        <w:rPr>
          <w:lang w:eastAsia="en-GB"/>
        </w:rPr>
        <w:t xml:space="preserve">package. </w:t>
      </w:r>
    </w:p>
    <w:p w14:paraId="65604F14" w14:textId="6B9E6E78" w:rsidR="00226A8B" w:rsidRPr="00AA3FB2" w:rsidRDefault="00226A8B" w:rsidP="00F95E20">
      <w:pPr>
        <w:pStyle w:val="BodyText"/>
        <w:rPr>
          <w:lang w:eastAsia="en-GB"/>
        </w:rPr>
      </w:pPr>
      <w:r w:rsidRPr="00AA3FB2">
        <w:rPr>
          <w:lang w:eastAsia="en-GB"/>
        </w:rPr>
        <w:t xml:space="preserve">Costs that could not be monetised included the opportunity cost of slowing the intensification of agriculture, the impact on the value </w:t>
      </w:r>
      <w:r w:rsidR="008A16CE">
        <w:rPr>
          <w:lang w:eastAsia="en-GB"/>
        </w:rPr>
        <w:t>of new housing developments in G</w:t>
      </w:r>
      <w:r w:rsidRPr="00AA3FB2">
        <w:rPr>
          <w:lang w:eastAsia="en-GB"/>
        </w:rPr>
        <w:t xml:space="preserve">reenfield sites and the opportunity cost of the moratorium on wetlands. </w:t>
      </w:r>
    </w:p>
    <w:p w14:paraId="6EBD30AF" w14:textId="39796EE7" w:rsidR="00226A8B" w:rsidRPr="00AA3FB2" w:rsidRDefault="00226A8B" w:rsidP="00F95E20">
      <w:pPr>
        <w:pStyle w:val="BodyText"/>
        <w:rPr>
          <w:lang w:eastAsia="en-GB"/>
        </w:rPr>
      </w:pPr>
      <w:r w:rsidRPr="00AA3FB2">
        <w:rPr>
          <w:lang w:eastAsia="en-GB"/>
        </w:rPr>
        <w:t xml:space="preserve">The monetised benefits </w:t>
      </w:r>
      <w:proofErr w:type="gramStart"/>
      <w:r w:rsidRPr="00AA3FB2">
        <w:rPr>
          <w:lang w:eastAsia="en-GB"/>
        </w:rPr>
        <w:t>were estimated</w:t>
      </w:r>
      <w:proofErr w:type="gramEnd"/>
      <w:r w:rsidRPr="00AA3FB2">
        <w:rPr>
          <w:lang w:eastAsia="en-GB"/>
        </w:rPr>
        <w:t xml:space="preserve"> to exceed the monetised costs by approximately $190</w:t>
      </w:r>
      <w:r w:rsidR="00904F54" w:rsidRPr="00AA3FB2">
        <w:rPr>
          <w:lang w:eastAsia="en-GB"/>
        </w:rPr>
        <w:t> </w:t>
      </w:r>
      <w:r w:rsidRPr="00AA3FB2">
        <w:rPr>
          <w:lang w:eastAsia="en-GB"/>
        </w:rPr>
        <w:t xml:space="preserve">million a year (in current dollars). In addition, the non-monetised benefits </w:t>
      </w:r>
      <w:proofErr w:type="gramStart"/>
      <w:r w:rsidRPr="00AA3FB2">
        <w:rPr>
          <w:lang w:eastAsia="en-GB"/>
        </w:rPr>
        <w:t>were considered</w:t>
      </w:r>
      <w:proofErr w:type="gramEnd"/>
      <w:r w:rsidRPr="00AA3FB2">
        <w:rPr>
          <w:lang w:eastAsia="en-GB"/>
        </w:rPr>
        <w:t xml:space="preserve"> to outweigh the non-monetised costs.</w:t>
      </w:r>
      <w:r w:rsidRPr="00AA3FB2">
        <w:rPr>
          <w:vertAlign w:val="superscript"/>
          <w:lang w:eastAsia="en-GB"/>
        </w:rPr>
        <w:footnoteReference w:id="2"/>
      </w:r>
    </w:p>
    <w:p w14:paraId="38095DFE" w14:textId="77777777" w:rsidR="00226A8B" w:rsidRPr="00AA3FB2" w:rsidRDefault="00226A8B" w:rsidP="00F95E20">
      <w:pPr>
        <w:pStyle w:val="Heading2"/>
        <w:rPr>
          <w:lang w:eastAsia="en-GB"/>
        </w:rPr>
      </w:pPr>
      <w:bookmarkStart w:id="7" w:name="_Toc41498573"/>
      <w:r w:rsidRPr="00AA3FB2">
        <w:rPr>
          <w:lang w:eastAsia="en-GB"/>
        </w:rPr>
        <w:t>Analysis of costs attributable to nutrient bottom lines</w:t>
      </w:r>
      <w:bookmarkEnd w:id="7"/>
    </w:p>
    <w:p w14:paraId="5A67A2C7" w14:textId="77777777" w:rsidR="00226A8B" w:rsidRPr="00AA3FB2" w:rsidRDefault="00226A8B" w:rsidP="00F95E20">
      <w:pPr>
        <w:pStyle w:val="BodyText"/>
        <w:rPr>
          <w:lang w:eastAsia="en-GB"/>
        </w:rPr>
      </w:pPr>
      <w:r w:rsidRPr="00AA3FB2">
        <w:rPr>
          <w:lang w:eastAsia="en-GB"/>
        </w:rPr>
        <w:t xml:space="preserve">A key area of analysis related to the economic impact of the nutrient bottom lines. </w:t>
      </w:r>
    </w:p>
    <w:p w14:paraId="2C296B7B" w14:textId="354139D6" w:rsidR="00226A8B" w:rsidRPr="00AA3FB2" w:rsidRDefault="00226A8B" w:rsidP="00F95E20">
      <w:pPr>
        <w:pStyle w:val="BodyText"/>
        <w:rPr>
          <w:lang w:eastAsia="en-GB"/>
        </w:rPr>
      </w:pPr>
      <w:r w:rsidRPr="00AA3FB2">
        <w:rPr>
          <w:lang w:eastAsia="en-GB"/>
        </w:rPr>
        <w:t xml:space="preserve">A multi-agency governance group </w:t>
      </w:r>
      <w:proofErr w:type="gramStart"/>
      <w:r w:rsidRPr="00AA3FB2">
        <w:rPr>
          <w:lang w:eastAsia="en-GB"/>
        </w:rPr>
        <w:t>was established</w:t>
      </w:r>
      <w:proofErr w:type="gramEnd"/>
      <w:r w:rsidRPr="00AA3FB2">
        <w:rPr>
          <w:lang w:eastAsia="en-GB"/>
        </w:rPr>
        <w:t xml:space="preserve"> to oversee this analysis. It consisted of officials from the Ministry for the </w:t>
      </w:r>
      <w:r w:rsidR="00F141C0">
        <w:rPr>
          <w:lang w:eastAsia="en-GB"/>
        </w:rPr>
        <w:t>E</w:t>
      </w:r>
      <w:r w:rsidR="00FD4A7A">
        <w:rPr>
          <w:lang w:eastAsia="en-GB"/>
        </w:rPr>
        <w:t>nvironment</w:t>
      </w:r>
      <w:r w:rsidRPr="00AA3FB2">
        <w:rPr>
          <w:lang w:eastAsia="en-GB"/>
        </w:rPr>
        <w:t>, Minis</w:t>
      </w:r>
      <w:r w:rsidR="00FD4A7A">
        <w:rPr>
          <w:lang w:eastAsia="en-GB"/>
        </w:rPr>
        <w:t>try for Primary Industries</w:t>
      </w:r>
      <w:r w:rsidRPr="00AA3FB2">
        <w:rPr>
          <w:lang w:eastAsia="en-GB"/>
        </w:rPr>
        <w:t xml:space="preserve"> and</w:t>
      </w:r>
      <w:r w:rsidR="00497D93" w:rsidRPr="00AA3FB2">
        <w:rPr>
          <w:lang w:eastAsia="en-GB"/>
        </w:rPr>
        <w:t> </w:t>
      </w:r>
      <w:r w:rsidR="00EA3818">
        <w:rPr>
          <w:lang w:eastAsia="en-GB"/>
        </w:rPr>
        <w:t xml:space="preserve">the New Zealand </w:t>
      </w:r>
      <w:r w:rsidRPr="00AA3FB2">
        <w:rPr>
          <w:lang w:eastAsia="en-GB"/>
        </w:rPr>
        <w:t xml:space="preserve">Treasury. A technical working group with representatives from the same agencies undertook responsibility for technical matters and reported to the governance group. Key decisions for the impact assessment </w:t>
      </w:r>
      <w:proofErr w:type="gramStart"/>
      <w:r w:rsidRPr="00AA3FB2">
        <w:rPr>
          <w:lang w:eastAsia="en-GB"/>
        </w:rPr>
        <w:t>were made</w:t>
      </w:r>
      <w:proofErr w:type="gramEnd"/>
      <w:r w:rsidRPr="00AA3FB2">
        <w:rPr>
          <w:lang w:eastAsia="en-GB"/>
        </w:rPr>
        <w:t xml:space="preserve"> at the governance group level with advice from the technical working group – for example, the use of a </w:t>
      </w:r>
      <w:r w:rsidR="00C2206B">
        <w:rPr>
          <w:lang w:eastAsia="en-GB"/>
        </w:rPr>
        <w:t>three</w:t>
      </w:r>
      <w:r w:rsidR="008A16CE">
        <w:rPr>
          <w:lang w:eastAsia="en-GB"/>
        </w:rPr>
        <w:t xml:space="preserve"> per cent</w:t>
      </w:r>
      <w:r w:rsidRPr="00AA3FB2">
        <w:rPr>
          <w:lang w:eastAsia="en-GB"/>
        </w:rPr>
        <w:t xml:space="preserve"> discount rate for reporting (with ranges used for sensitivity analysis) and assumptions about technology change. These decisions </w:t>
      </w:r>
      <w:proofErr w:type="gramStart"/>
      <w:r w:rsidRPr="00AA3FB2">
        <w:rPr>
          <w:lang w:eastAsia="en-GB"/>
        </w:rPr>
        <w:t>were taken</w:t>
      </w:r>
      <w:proofErr w:type="gramEnd"/>
      <w:r w:rsidRPr="00AA3FB2">
        <w:rPr>
          <w:lang w:eastAsia="en-GB"/>
        </w:rPr>
        <w:t xml:space="preserve"> as inputs for the economic modelling.</w:t>
      </w:r>
    </w:p>
    <w:p w14:paraId="2D36CDEF" w14:textId="77777777" w:rsidR="00226A8B" w:rsidRPr="00AA3FB2" w:rsidRDefault="00226A8B" w:rsidP="00F95E20">
      <w:pPr>
        <w:pStyle w:val="BodyText"/>
        <w:rPr>
          <w:lang w:eastAsia="en-GB"/>
        </w:rPr>
      </w:pPr>
      <w:r w:rsidRPr="00AA3FB2">
        <w:rPr>
          <w:lang w:eastAsia="en-GB"/>
        </w:rPr>
        <w:t xml:space="preserve">The approach taken in the analysis was, as a first step, to estimate the extent to which nutrient pollution loads would need to reduce (for example, nitrogen losses measured as kg per hectare per year). This </w:t>
      </w:r>
      <w:proofErr w:type="gramStart"/>
      <w:r w:rsidRPr="00AA3FB2">
        <w:rPr>
          <w:lang w:eastAsia="en-GB"/>
        </w:rPr>
        <w:t>was done</w:t>
      </w:r>
      <w:proofErr w:type="gramEnd"/>
      <w:r w:rsidRPr="00AA3FB2">
        <w:rPr>
          <w:lang w:eastAsia="en-GB"/>
        </w:rPr>
        <w:t xml:space="preserve"> for each sea-draining catchment in New Zealand, with the analysis undertaken by NIWA. The analysis distinguished between the pollution load reductions that will need to occur for catchments to comply with the (2017) NPS-FM, as well as the proposals (or final package), thus enabling marginal </w:t>
      </w:r>
      <w:proofErr w:type="gramStart"/>
      <w:r w:rsidRPr="00AA3FB2">
        <w:rPr>
          <w:lang w:eastAsia="en-GB"/>
        </w:rPr>
        <w:t>impacts</w:t>
      </w:r>
      <w:proofErr w:type="gramEnd"/>
      <w:r w:rsidRPr="00AA3FB2">
        <w:rPr>
          <w:lang w:eastAsia="en-GB"/>
        </w:rPr>
        <w:t xml:space="preserve"> to be assessed. </w:t>
      </w:r>
    </w:p>
    <w:p w14:paraId="1BE07469" w14:textId="77777777" w:rsidR="00226A8B" w:rsidRPr="00AA3FB2" w:rsidRDefault="00226A8B" w:rsidP="00F95E20">
      <w:pPr>
        <w:pStyle w:val="BodyText"/>
        <w:rPr>
          <w:lang w:eastAsia="en-GB"/>
        </w:rPr>
      </w:pPr>
      <w:r w:rsidRPr="00AA3FB2">
        <w:rPr>
          <w:lang w:eastAsia="en-GB"/>
        </w:rPr>
        <w:t xml:space="preserve">The environmental modelling was a static analysis. In other words, a simple before and after comparison assuming full compliance </w:t>
      </w:r>
      <w:proofErr w:type="gramStart"/>
      <w:r w:rsidRPr="00AA3FB2">
        <w:rPr>
          <w:lang w:eastAsia="en-GB"/>
        </w:rPr>
        <w:t>was assumed</w:t>
      </w:r>
      <w:proofErr w:type="gramEnd"/>
      <w:r w:rsidRPr="00AA3FB2">
        <w:rPr>
          <w:lang w:eastAsia="en-GB"/>
        </w:rPr>
        <w:t xml:space="preserve">. Static analysis was necessary because it was not possible to identify the rate of soil transfer of nutrients and of water quality improvement for each individual catchment, or to generate a ‘no policy’ forecast for pollution loads in the future, which </w:t>
      </w:r>
      <w:proofErr w:type="gramStart"/>
      <w:r w:rsidRPr="00AA3FB2">
        <w:rPr>
          <w:lang w:eastAsia="en-GB"/>
        </w:rPr>
        <w:t>could be used</w:t>
      </w:r>
      <w:proofErr w:type="gramEnd"/>
      <w:r w:rsidRPr="00AA3FB2">
        <w:rPr>
          <w:lang w:eastAsia="en-GB"/>
        </w:rPr>
        <w:t xml:space="preserve"> as a baseline for comparison purposes. </w:t>
      </w:r>
    </w:p>
    <w:p w14:paraId="515C31BC" w14:textId="71740537" w:rsidR="00226A8B" w:rsidRPr="00AA3FB2" w:rsidRDefault="00226A8B" w:rsidP="00F95E20">
      <w:pPr>
        <w:pStyle w:val="BodyText"/>
        <w:rPr>
          <w:lang w:eastAsia="en-GB"/>
        </w:rPr>
      </w:pPr>
      <w:r w:rsidRPr="00AA3FB2">
        <w:rPr>
          <w:lang w:eastAsia="en-GB"/>
        </w:rPr>
        <w:t xml:space="preserve">The use of static analysis </w:t>
      </w:r>
      <w:proofErr w:type="gramStart"/>
      <w:r w:rsidRPr="00AA3FB2">
        <w:rPr>
          <w:lang w:eastAsia="en-GB"/>
        </w:rPr>
        <w:t>was continued</w:t>
      </w:r>
      <w:proofErr w:type="gramEnd"/>
      <w:r w:rsidRPr="00AA3FB2">
        <w:rPr>
          <w:lang w:eastAsia="en-GB"/>
        </w:rPr>
        <w:t xml:space="preserve"> into the economic impact work.</w:t>
      </w:r>
      <w:r w:rsidR="00882A37" w:rsidRPr="00AA3FB2">
        <w:rPr>
          <w:lang w:eastAsia="en-GB"/>
        </w:rPr>
        <w:t xml:space="preserve"> </w:t>
      </w:r>
    </w:p>
    <w:p w14:paraId="12AE7D65" w14:textId="77777777" w:rsidR="00226A8B" w:rsidRPr="00AA3FB2" w:rsidRDefault="00226A8B" w:rsidP="00497D93">
      <w:pPr>
        <w:pStyle w:val="BodyText"/>
        <w:keepNext/>
        <w:rPr>
          <w:lang w:eastAsia="en-GB"/>
        </w:rPr>
      </w:pPr>
      <w:r w:rsidRPr="00AA3FB2">
        <w:rPr>
          <w:lang w:eastAsia="en-GB"/>
        </w:rPr>
        <w:lastRenderedPageBreak/>
        <w:t xml:space="preserve">The second step was to create core data sets. This data related </w:t>
      </w:r>
      <w:proofErr w:type="gramStart"/>
      <w:r w:rsidRPr="00AA3FB2">
        <w:rPr>
          <w:lang w:eastAsia="en-GB"/>
        </w:rPr>
        <w:t>to</w:t>
      </w:r>
      <w:proofErr w:type="gramEnd"/>
      <w:r w:rsidRPr="00AA3FB2">
        <w:rPr>
          <w:lang w:eastAsia="en-GB"/>
        </w:rPr>
        <w:t>:</w:t>
      </w:r>
    </w:p>
    <w:p w14:paraId="4B0D4E61" w14:textId="3258B5DD" w:rsidR="00226A8B" w:rsidRPr="00AA3FB2" w:rsidRDefault="00226A8B" w:rsidP="001944B1">
      <w:pPr>
        <w:pStyle w:val="Bullet"/>
        <w:rPr>
          <w:rFonts w:eastAsia="Calibri"/>
          <w:lang w:eastAsia="en-US"/>
        </w:rPr>
      </w:pPr>
      <w:r w:rsidRPr="00AA3FB2">
        <w:rPr>
          <w:rFonts w:eastAsia="Calibri"/>
          <w:lang w:eastAsia="en-US"/>
        </w:rPr>
        <w:t>the spatial location of d</w:t>
      </w:r>
      <w:r w:rsidR="00C2206B">
        <w:rPr>
          <w:rFonts w:eastAsia="Calibri"/>
          <w:lang w:eastAsia="en-US"/>
        </w:rPr>
        <w:t>ifferent farm or land use types</w:t>
      </w:r>
    </w:p>
    <w:p w14:paraId="5884AC0A" w14:textId="349ACC06" w:rsidR="00226A8B" w:rsidRPr="00AA3FB2" w:rsidRDefault="00226A8B" w:rsidP="001944B1">
      <w:pPr>
        <w:pStyle w:val="Bullet"/>
        <w:rPr>
          <w:rFonts w:eastAsia="Calibri"/>
          <w:lang w:eastAsia="en-US"/>
        </w:rPr>
      </w:pPr>
      <w:r w:rsidRPr="00AA3FB2">
        <w:rPr>
          <w:rFonts w:eastAsia="Calibri"/>
          <w:lang w:eastAsia="en-US"/>
        </w:rPr>
        <w:t>the climate and terrain characteris</w:t>
      </w:r>
      <w:r w:rsidR="00C2206B">
        <w:rPr>
          <w:rFonts w:eastAsia="Calibri"/>
          <w:lang w:eastAsia="en-US"/>
        </w:rPr>
        <w:t>tics of these spatial locations</w:t>
      </w:r>
    </w:p>
    <w:p w14:paraId="74C8DC70" w14:textId="5F2B8FA9" w:rsidR="00226A8B" w:rsidRPr="00AA3FB2" w:rsidRDefault="00226A8B" w:rsidP="001944B1">
      <w:pPr>
        <w:pStyle w:val="Bullet"/>
        <w:rPr>
          <w:rFonts w:eastAsia="Calibri"/>
          <w:lang w:eastAsia="en-US"/>
        </w:rPr>
      </w:pPr>
      <w:r w:rsidRPr="00AA3FB2">
        <w:rPr>
          <w:rFonts w:eastAsia="Calibri"/>
          <w:lang w:eastAsia="en-US"/>
        </w:rPr>
        <w:t xml:space="preserve">the effectiveness of different categories of on-farm actions at reducing pollution loads, for different land </w:t>
      </w:r>
      <w:r w:rsidR="00C2206B">
        <w:rPr>
          <w:rFonts w:eastAsia="Calibri"/>
          <w:lang w:eastAsia="en-US"/>
        </w:rPr>
        <w:t>use types</w:t>
      </w:r>
    </w:p>
    <w:p w14:paraId="58BDA89A" w14:textId="3D70468F" w:rsidR="00226A8B" w:rsidRPr="00AA3FB2" w:rsidRDefault="00226A8B" w:rsidP="001944B1">
      <w:pPr>
        <w:pStyle w:val="Bullet"/>
        <w:rPr>
          <w:rFonts w:eastAsia="Calibri"/>
          <w:lang w:eastAsia="en-US"/>
        </w:rPr>
      </w:pPr>
      <w:r w:rsidRPr="00AA3FB2">
        <w:rPr>
          <w:rFonts w:eastAsia="Calibri"/>
          <w:lang w:eastAsia="en-US"/>
        </w:rPr>
        <w:t>the costs o</w:t>
      </w:r>
      <w:r w:rsidR="00C2206B">
        <w:rPr>
          <w:rFonts w:eastAsia="Calibri"/>
          <w:lang w:eastAsia="en-US"/>
        </w:rPr>
        <w:t>f different on-farm actions</w:t>
      </w:r>
    </w:p>
    <w:p w14:paraId="7EF9F5C8" w14:textId="77777777" w:rsidR="00226A8B" w:rsidRPr="00AA3FB2" w:rsidRDefault="00226A8B" w:rsidP="001944B1">
      <w:pPr>
        <w:pStyle w:val="Bullet"/>
        <w:rPr>
          <w:rFonts w:eastAsia="Calibri"/>
          <w:lang w:eastAsia="en-US"/>
        </w:rPr>
      </w:pPr>
      <w:proofErr w:type="gramStart"/>
      <w:r w:rsidRPr="00AA3FB2">
        <w:rPr>
          <w:rFonts w:eastAsia="Calibri"/>
          <w:lang w:eastAsia="en-US"/>
        </w:rPr>
        <w:t>profits</w:t>
      </w:r>
      <w:proofErr w:type="gramEnd"/>
      <w:r w:rsidRPr="00AA3FB2">
        <w:rPr>
          <w:rFonts w:eastAsia="Calibri"/>
          <w:lang w:eastAsia="en-US"/>
        </w:rPr>
        <w:t xml:space="preserve"> from different land uses.</w:t>
      </w:r>
    </w:p>
    <w:p w14:paraId="6082ECD7" w14:textId="5362783D" w:rsidR="00226A8B" w:rsidRPr="00AA3FB2" w:rsidRDefault="00226A8B" w:rsidP="001944B1">
      <w:pPr>
        <w:pStyle w:val="BodyText"/>
        <w:rPr>
          <w:lang w:eastAsia="en-GB"/>
        </w:rPr>
      </w:pPr>
      <w:r w:rsidRPr="00AA3FB2">
        <w:rPr>
          <w:lang w:eastAsia="en-GB"/>
        </w:rPr>
        <w:t xml:space="preserve">While data like this is collected in surveys administered by industry groups </w:t>
      </w:r>
      <w:proofErr w:type="spellStart"/>
      <w:proofErr w:type="gramStart"/>
      <w:r w:rsidRPr="00AA3FB2">
        <w:rPr>
          <w:lang w:eastAsia="en-GB"/>
        </w:rPr>
        <w:t>DairyNZ</w:t>
      </w:r>
      <w:proofErr w:type="spellEnd"/>
      <w:r w:rsidRPr="00AA3FB2">
        <w:rPr>
          <w:lang w:eastAsia="en-GB"/>
        </w:rPr>
        <w:t xml:space="preserve"> and Beef</w:t>
      </w:r>
      <w:proofErr w:type="gramEnd"/>
      <w:r w:rsidRPr="00AA3FB2">
        <w:rPr>
          <w:lang w:eastAsia="en-GB"/>
        </w:rPr>
        <w:t xml:space="preserve"> and Lamb New Zealand</w:t>
      </w:r>
      <w:r w:rsidR="00C2206B">
        <w:rPr>
          <w:lang w:eastAsia="en-GB"/>
        </w:rPr>
        <w:t>, i</w:t>
      </w:r>
      <w:r w:rsidRPr="00AA3FB2">
        <w:rPr>
          <w:lang w:eastAsia="en-GB"/>
        </w:rPr>
        <w:t xml:space="preserve">n the case of </w:t>
      </w:r>
      <w:proofErr w:type="spellStart"/>
      <w:r w:rsidRPr="00AA3FB2">
        <w:rPr>
          <w:lang w:eastAsia="en-GB"/>
        </w:rPr>
        <w:t>DairyNZ</w:t>
      </w:r>
      <w:proofErr w:type="spellEnd"/>
      <w:r w:rsidRPr="00AA3FB2">
        <w:rPr>
          <w:lang w:eastAsia="en-GB"/>
        </w:rPr>
        <w:t>, the data is self-reported, and in both cases the data has the status of private intellectual property. Industry-owned data was not available to officials for the purpose of the impact assessment.</w:t>
      </w:r>
    </w:p>
    <w:p w14:paraId="2E76AA94" w14:textId="0D50ABF2" w:rsidR="00226A8B" w:rsidRPr="00AA3FB2" w:rsidRDefault="00226A8B" w:rsidP="001944B1">
      <w:pPr>
        <w:pStyle w:val="BodyText"/>
        <w:rPr>
          <w:lang w:eastAsia="en-GB"/>
        </w:rPr>
      </w:pPr>
      <w:r w:rsidRPr="00AA3FB2">
        <w:rPr>
          <w:lang w:eastAsia="en-GB"/>
        </w:rPr>
        <w:t xml:space="preserve">Three consulting firms </w:t>
      </w:r>
      <w:proofErr w:type="gramStart"/>
      <w:r w:rsidRPr="00AA3FB2">
        <w:rPr>
          <w:lang w:eastAsia="en-GB"/>
        </w:rPr>
        <w:t>were contracted</w:t>
      </w:r>
      <w:proofErr w:type="gramEnd"/>
      <w:r w:rsidRPr="00AA3FB2">
        <w:rPr>
          <w:lang w:eastAsia="en-GB"/>
        </w:rPr>
        <w:t xml:space="preserve"> to work towards developing these data sets. </w:t>
      </w:r>
      <w:proofErr w:type="spellStart"/>
      <w:r w:rsidRPr="00AA3FB2">
        <w:rPr>
          <w:lang w:eastAsia="en-GB"/>
        </w:rPr>
        <w:t>Sapere</w:t>
      </w:r>
      <w:proofErr w:type="spellEnd"/>
      <w:r w:rsidRPr="00AA3FB2">
        <w:rPr>
          <w:lang w:eastAsia="en-GB"/>
        </w:rPr>
        <w:t xml:space="preserve"> and Resource Economics </w:t>
      </w:r>
      <w:proofErr w:type="gramStart"/>
      <w:r w:rsidRPr="00AA3FB2">
        <w:rPr>
          <w:lang w:eastAsia="en-GB"/>
        </w:rPr>
        <w:t>were contracted</w:t>
      </w:r>
      <w:proofErr w:type="gramEnd"/>
      <w:r w:rsidRPr="00AA3FB2">
        <w:rPr>
          <w:lang w:eastAsia="en-GB"/>
        </w:rPr>
        <w:t xml:space="preserve"> to undertake an economic impact assessment more generally, whilst agricultural consulting firm</w:t>
      </w:r>
      <w:r w:rsidR="00C2206B">
        <w:rPr>
          <w:lang w:eastAsia="en-GB"/>
        </w:rPr>
        <w:t>,</w:t>
      </w:r>
      <w:r w:rsidRPr="00AA3FB2">
        <w:rPr>
          <w:lang w:eastAsia="en-GB"/>
        </w:rPr>
        <w:t xml:space="preserve"> Perrin Ag</w:t>
      </w:r>
      <w:r w:rsidR="00C2206B">
        <w:rPr>
          <w:lang w:eastAsia="en-GB"/>
        </w:rPr>
        <w:t>,</w:t>
      </w:r>
      <w:r w:rsidRPr="00AA3FB2">
        <w:rPr>
          <w:lang w:eastAsia="en-GB"/>
        </w:rPr>
        <w:t xml:space="preserve"> was engaged to provide mitigation cost advice. As well, </w:t>
      </w:r>
      <w:proofErr w:type="gramStart"/>
      <w:r w:rsidRPr="00AA3FB2">
        <w:rPr>
          <w:lang w:eastAsia="en-GB"/>
        </w:rPr>
        <w:t>advice was provided by Professor Richard McDowell</w:t>
      </w:r>
      <w:proofErr w:type="gramEnd"/>
      <w:r w:rsidRPr="00AA3FB2">
        <w:rPr>
          <w:lang w:eastAsia="en-GB"/>
        </w:rPr>
        <w:t xml:space="preserve"> from </w:t>
      </w:r>
      <w:proofErr w:type="spellStart"/>
      <w:r w:rsidRPr="00AA3FB2">
        <w:rPr>
          <w:lang w:eastAsia="en-GB"/>
        </w:rPr>
        <w:t>AgResearch</w:t>
      </w:r>
      <w:proofErr w:type="spellEnd"/>
      <w:r w:rsidRPr="00AA3FB2">
        <w:rPr>
          <w:lang w:eastAsia="en-GB"/>
        </w:rPr>
        <w:t xml:space="preserve">, who was a member of the Freshwater Leader’s advisory group, and Manaaki Whenua </w:t>
      </w:r>
      <w:proofErr w:type="spellStart"/>
      <w:r w:rsidRPr="00AA3FB2">
        <w:rPr>
          <w:lang w:eastAsia="en-GB"/>
        </w:rPr>
        <w:t>Landcare</w:t>
      </w:r>
      <w:proofErr w:type="spellEnd"/>
      <w:r w:rsidRPr="00AA3FB2">
        <w:rPr>
          <w:lang w:eastAsia="en-GB"/>
        </w:rPr>
        <w:t xml:space="preserve"> Research. Manaaki Whenua </w:t>
      </w:r>
      <w:proofErr w:type="spellStart"/>
      <w:r w:rsidRPr="00AA3FB2">
        <w:rPr>
          <w:lang w:eastAsia="en-GB"/>
        </w:rPr>
        <w:t>Landcare</w:t>
      </w:r>
      <w:proofErr w:type="spellEnd"/>
      <w:r w:rsidRPr="00AA3FB2">
        <w:rPr>
          <w:lang w:eastAsia="en-GB"/>
        </w:rPr>
        <w:t xml:space="preserve"> Research also provided an in-depth impact assessment of the sediment proposals.</w:t>
      </w:r>
    </w:p>
    <w:p w14:paraId="149E079E" w14:textId="77777777" w:rsidR="00226A8B" w:rsidRPr="00AA3FB2" w:rsidRDefault="00226A8B" w:rsidP="001944B1">
      <w:pPr>
        <w:pStyle w:val="BodyText"/>
        <w:rPr>
          <w:lang w:eastAsia="en-GB"/>
        </w:rPr>
      </w:pPr>
      <w:r w:rsidRPr="00AA3FB2">
        <w:rPr>
          <w:lang w:eastAsia="en-GB"/>
        </w:rPr>
        <w:t xml:space="preserve">Combining publicly available data on land use with NIWA’s assumptions, </w:t>
      </w:r>
      <w:proofErr w:type="spellStart"/>
      <w:r w:rsidRPr="00AA3FB2">
        <w:rPr>
          <w:lang w:eastAsia="en-GB"/>
        </w:rPr>
        <w:t>Sapere</w:t>
      </w:r>
      <w:proofErr w:type="spellEnd"/>
      <w:r w:rsidRPr="00AA3FB2">
        <w:rPr>
          <w:lang w:eastAsia="en-GB"/>
        </w:rPr>
        <w:t xml:space="preserve"> generated estimates of the spatial location of different types of farms. These farm ‘typologies’ were distinguished by sector (dairy versus sheep and beef), slope, drainage, climate and whether or not irrigation was used. </w:t>
      </w:r>
    </w:p>
    <w:p w14:paraId="70AA7024" w14:textId="1E661A54" w:rsidR="00226A8B" w:rsidRPr="00AA3FB2" w:rsidRDefault="00226A8B" w:rsidP="001944B1">
      <w:pPr>
        <w:pStyle w:val="BodyText"/>
        <w:rPr>
          <w:lang w:eastAsia="en-GB"/>
        </w:rPr>
      </w:pPr>
      <w:r w:rsidRPr="00AA3FB2">
        <w:rPr>
          <w:lang w:eastAsia="en-GB"/>
        </w:rPr>
        <w:t xml:space="preserve">Professor McDowell provided advice regarding the likely efficiency of different on-farm actions aimed at reducing nutrient pollution, for different types of farms. This </w:t>
      </w:r>
      <w:proofErr w:type="gramStart"/>
      <w:r w:rsidRPr="00AA3FB2">
        <w:rPr>
          <w:lang w:eastAsia="en-GB"/>
        </w:rPr>
        <w:t>was supplemented</w:t>
      </w:r>
      <w:proofErr w:type="gramEnd"/>
      <w:r w:rsidRPr="00AA3FB2">
        <w:rPr>
          <w:lang w:eastAsia="en-GB"/>
        </w:rPr>
        <w:t xml:space="preserve"> by information provided in a report published by the Ministry </w:t>
      </w:r>
      <w:r w:rsidR="006236BE">
        <w:rPr>
          <w:lang w:eastAsia="en-GB"/>
        </w:rPr>
        <w:t>for</w:t>
      </w:r>
      <w:r w:rsidRPr="00AA3FB2">
        <w:rPr>
          <w:lang w:eastAsia="en-GB"/>
        </w:rPr>
        <w:t xml:space="preserve"> Primary Industries in 2017 and prepared by </w:t>
      </w:r>
      <w:proofErr w:type="spellStart"/>
      <w:r w:rsidRPr="00AA3FB2">
        <w:rPr>
          <w:lang w:eastAsia="en-GB"/>
        </w:rPr>
        <w:t>Landcare</w:t>
      </w:r>
      <w:proofErr w:type="spellEnd"/>
      <w:r w:rsidRPr="00AA3FB2">
        <w:rPr>
          <w:lang w:eastAsia="en-GB"/>
        </w:rPr>
        <w:t xml:space="preserve"> Research, Motu Economic and Public Policy Research and NIWA.</w:t>
      </w:r>
      <w:r w:rsidRPr="00AA3FB2">
        <w:rPr>
          <w:vertAlign w:val="superscript"/>
          <w:lang w:eastAsia="en-GB"/>
        </w:rPr>
        <w:footnoteReference w:id="3"/>
      </w:r>
      <w:r w:rsidRPr="00AA3FB2">
        <w:rPr>
          <w:lang w:eastAsia="en-GB"/>
        </w:rPr>
        <w:t xml:space="preserve"> Agricultural </w:t>
      </w:r>
      <w:r w:rsidR="0061793D">
        <w:rPr>
          <w:lang w:eastAsia="en-GB"/>
        </w:rPr>
        <w:t>advisors</w:t>
      </w:r>
      <w:r w:rsidRPr="00AA3FB2">
        <w:rPr>
          <w:lang w:eastAsia="en-GB"/>
        </w:rPr>
        <w:t xml:space="preserve"> Perrin Ag </w:t>
      </w:r>
      <w:r w:rsidR="006B063D">
        <w:rPr>
          <w:lang w:eastAsia="en-GB"/>
        </w:rPr>
        <w:t xml:space="preserve">Consultants </w:t>
      </w:r>
      <w:r w:rsidRPr="00AA3FB2">
        <w:rPr>
          <w:lang w:eastAsia="en-GB"/>
        </w:rPr>
        <w:t xml:space="preserve">provided estimates of the costs of different types of on-farm actions. This </w:t>
      </w:r>
      <w:proofErr w:type="gramStart"/>
      <w:r w:rsidRPr="00AA3FB2">
        <w:rPr>
          <w:lang w:eastAsia="en-GB"/>
        </w:rPr>
        <w:t>was supplemented</w:t>
      </w:r>
      <w:proofErr w:type="gramEnd"/>
      <w:r w:rsidRPr="00AA3FB2">
        <w:rPr>
          <w:lang w:eastAsia="en-GB"/>
        </w:rPr>
        <w:t xml:space="preserve"> by a horticulture-focused survey prepared by </w:t>
      </w:r>
      <w:proofErr w:type="spellStart"/>
      <w:r w:rsidRPr="00AA3FB2">
        <w:rPr>
          <w:lang w:eastAsia="en-GB"/>
        </w:rPr>
        <w:t>Sapere</w:t>
      </w:r>
      <w:proofErr w:type="spellEnd"/>
      <w:r w:rsidRPr="00AA3FB2">
        <w:rPr>
          <w:lang w:eastAsia="en-GB"/>
        </w:rPr>
        <w:t>.</w:t>
      </w:r>
    </w:p>
    <w:p w14:paraId="0488B0E1" w14:textId="31D150E3" w:rsidR="00226A8B" w:rsidRPr="00AA3FB2" w:rsidRDefault="00226A8B" w:rsidP="001944B1">
      <w:pPr>
        <w:pStyle w:val="BodyText"/>
        <w:rPr>
          <w:lang w:eastAsia="en-GB"/>
        </w:rPr>
      </w:pPr>
      <w:r w:rsidRPr="00AA3FB2">
        <w:rPr>
          <w:lang w:eastAsia="en-GB"/>
        </w:rPr>
        <w:t xml:space="preserve">Ultimately, various information sources </w:t>
      </w:r>
      <w:proofErr w:type="gramStart"/>
      <w:r w:rsidRPr="00AA3FB2">
        <w:rPr>
          <w:lang w:eastAsia="en-GB"/>
        </w:rPr>
        <w:t>were combined</w:t>
      </w:r>
      <w:proofErr w:type="gramEnd"/>
      <w:r w:rsidRPr="00AA3FB2">
        <w:rPr>
          <w:lang w:eastAsia="en-GB"/>
        </w:rPr>
        <w:t xml:space="preserve"> to arrive at efficiency and cost estimates deemed to be representative of the range of options likely to be available to farms in the coming 30 years (full compliance is assumed to occur in 2050). Data limitations meant it was necessary to rely on assumptions about an ‘average’ farm. This meant the impact analysis itself produced generalised estimates – the analysis could not capture differences between individual farms within a typology (for dairy, or sheep and beef) or sector (for horticulture, or arable). This limited the ability to carry out sensitivity analysis but did not undermine the overall conclusions.</w:t>
      </w:r>
    </w:p>
    <w:p w14:paraId="26025694" w14:textId="3BEB3AC9" w:rsidR="00226A8B" w:rsidRPr="00AA3FB2" w:rsidRDefault="00226A8B" w:rsidP="00252704">
      <w:pPr>
        <w:pStyle w:val="BodyText"/>
        <w:spacing w:before="100" w:after="100"/>
        <w:rPr>
          <w:lang w:eastAsia="en-GB"/>
        </w:rPr>
      </w:pPr>
      <w:r w:rsidRPr="00AA3FB2">
        <w:rPr>
          <w:lang w:eastAsia="en-GB"/>
        </w:rPr>
        <w:t xml:space="preserve">While the efficiency and cost estimates were based in particular mitigations, they </w:t>
      </w:r>
      <w:proofErr w:type="gramStart"/>
      <w:r w:rsidRPr="00AA3FB2">
        <w:rPr>
          <w:lang w:eastAsia="en-GB"/>
        </w:rPr>
        <w:t>should be interpreted</w:t>
      </w:r>
      <w:proofErr w:type="gramEnd"/>
      <w:r w:rsidRPr="00AA3FB2">
        <w:rPr>
          <w:lang w:eastAsia="en-GB"/>
        </w:rPr>
        <w:t xml:space="preserve"> as efficiency-cost combinations likely to be available to the associated type of farm</w:t>
      </w:r>
      <w:r w:rsidR="00467287" w:rsidRPr="00AA3FB2">
        <w:rPr>
          <w:lang w:eastAsia="en-GB"/>
        </w:rPr>
        <w:t> </w:t>
      </w:r>
      <w:r w:rsidRPr="00AA3FB2">
        <w:rPr>
          <w:lang w:eastAsia="en-GB"/>
        </w:rPr>
        <w:t xml:space="preserve">through time. They should not to </w:t>
      </w:r>
      <w:proofErr w:type="gramStart"/>
      <w:r w:rsidRPr="00AA3FB2">
        <w:rPr>
          <w:lang w:eastAsia="en-GB"/>
        </w:rPr>
        <w:t>be interpreted</w:t>
      </w:r>
      <w:proofErr w:type="gramEnd"/>
      <w:r w:rsidRPr="00AA3FB2">
        <w:rPr>
          <w:lang w:eastAsia="en-GB"/>
        </w:rPr>
        <w:t xml:space="preserve"> as applying only to the actions used </w:t>
      </w:r>
      <w:r w:rsidRPr="00AA3FB2">
        <w:rPr>
          <w:lang w:eastAsia="en-GB"/>
        </w:rPr>
        <w:lastRenderedPageBreak/>
        <w:t>to</w:t>
      </w:r>
      <w:r w:rsidR="00467287" w:rsidRPr="00AA3FB2">
        <w:rPr>
          <w:lang w:eastAsia="en-GB"/>
        </w:rPr>
        <w:t> </w:t>
      </w:r>
      <w:r w:rsidRPr="00AA3FB2">
        <w:rPr>
          <w:lang w:eastAsia="en-GB"/>
        </w:rPr>
        <w:t xml:space="preserve">estimate those values today. The nitrogen mitigation ‘bundles’ M1, M2 and M3 are distinguished by capital intensity, for example, with M1 reflecting on-farm actions that require little if any capital expenditure. Efficiency and cost estimates associated with M1 reflect what </w:t>
      </w:r>
      <w:proofErr w:type="gramStart"/>
      <w:r w:rsidRPr="00AA3FB2">
        <w:rPr>
          <w:lang w:eastAsia="en-GB"/>
        </w:rPr>
        <w:t>is deemed</w:t>
      </w:r>
      <w:proofErr w:type="gramEnd"/>
      <w:r w:rsidRPr="00AA3FB2">
        <w:rPr>
          <w:lang w:eastAsia="en-GB"/>
        </w:rPr>
        <w:t xml:space="preserve"> likely for low capital expenditure options (for a given type of farm) going forward in time. The estimates are not limited to the specific actions used to calculate those values today. Ongoing innovation is to be expected and what constitutes a ‘low cap ex’ bundle will change through time. However, the relative efficiency and cost of M1 relative to M2 and M3 </w:t>
      </w:r>
      <w:proofErr w:type="gramStart"/>
      <w:r w:rsidRPr="00AA3FB2">
        <w:rPr>
          <w:lang w:eastAsia="en-GB"/>
        </w:rPr>
        <w:t>is expected</w:t>
      </w:r>
      <w:proofErr w:type="gramEnd"/>
      <w:r w:rsidRPr="00AA3FB2">
        <w:rPr>
          <w:lang w:eastAsia="en-GB"/>
        </w:rPr>
        <w:t xml:space="preserve"> to remain the same.</w:t>
      </w:r>
      <w:r w:rsidRPr="00AA3FB2">
        <w:rPr>
          <w:vertAlign w:val="superscript"/>
          <w:lang w:eastAsia="en-GB"/>
        </w:rPr>
        <w:footnoteReference w:id="4"/>
      </w:r>
    </w:p>
    <w:p w14:paraId="646F0629" w14:textId="2634C1A6" w:rsidR="00226A8B" w:rsidRPr="00AA3FB2" w:rsidRDefault="00226A8B" w:rsidP="00252704">
      <w:pPr>
        <w:pStyle w:val="BodyText"/>
        <w:spacing w:before="100" w:after="100"/>
        <w:rPr>
          <w:lang w:eastAsia="en-GB"/>
        </w:rPr>
      </w:pPr>
      <w:r w:rsidRPr="00AA3FB2">
        <w:rPr>
          <w:lang w:eastAsia="en-GB"/>
        </w:rPr>
        <w:t xml:space="preserve">Given the challenges presented by data limitations, assumptions about mitigation efficiencies and costs </w:t>
      </w:r>
      <w:proofErr w:type="gramStart"/>
      <w:r w:rsidRPr="00AA3FB2">
        <w:rPr>
          <w:lang w:eastAsia="en-GB"/>
        </w:rPr>
        <w:t>were discussed between officials and consultants and ultimately decided by the cross-agency technical working group</w:t>
      </w:r>
      <w:proofErr w:type="gramEnd"/>
      <w:r w:rsidRPr="00AA3FB2">
        <w:rPr>
          <w:lang w:eastAsia="en-GB"/>
        </w:rPr>
        <w:t xml:space="preserve">. </w:t>
      </w:r>
      <w:r w:rsidR="00C2206B">
        <w:rPr>
          <w:lang w:eastAsia="en-GB"/>
        </w:rPr>
        <w:t>Before</w:t>
      </w:r>
      <w:r w:rsidRPr="00AA3FB2">
        <w:rPr>
          <w:lang w:eastAsia="en-GB"/>
        </w:rPr>
        <w:t xml:space="preserve"> making final decisions, </w:t>
      </w:r>
      <w:r w:rsidR="00C2206B">
        <w:rPr>
          <w:lang w:eastAsia="en-GB"/>
        </w:rPr>
        <w:t xml:space="preserve">the technical working group hosted </w:t>
      </w:r>
      <w:r w:rsidRPr="00AA3FB2">
        <w:rPr>
          <w:lang w:eastAsia="en-GB"/>
        </w:rPr>
        <w:t xml:space="preserve">a workshop, with attendance from officials, </w:t>
      </w:r>
      <w:proofErr w:type="spellStart"/>
      <w:r w:rsidRPr="00AA3FB2">
        <w:rPr>
          <w:lang w:eastAsia="en-GB"/>
        </w:rPr>
        <w:t>Sapere</w:t>
      </w:r>
      <w:proofErr w:type="spellEnd"/>
      <w:r w:rsidRPr="00AA3FB2">
        <w:rPr>
          <w:lang w:eastAsia="en-GB"/>
        </w:rPr>
        <w:t xml:space="preserve"> and Resource</w:t>
      </w:r>
      <w:r w:rsidR="00467287" w:rsidRPr="00AA3FB2">
        <w:rPr>
          <w:lang w:eastAsia="en-GB"/>
        </w:rPr>
        <w:t> </w:t>
      </w:r>
      <w:r w:rsidRPr="00AA3FB2">
        <w:rPr>
          <w:lang w:eastAsia="en-GB"/>
        </w:rPr>
        <w:t xml:space="preserve">Economics. </w:t>
      </w:r>
    </w:p>
    <w:p w14:paraId="12E6713C" w14:textId="2AD3D3AA" w:rsidR="00226A8B" w:rsidRPr="00AA3FB2" w:rsidRDefault="00226A8B" w:rsidP="00252704">
      <w:pPr>
        <w:pStyle w:val="BodyText"/>
        <w:spacing w:before="100" w:after="100"/>
        <w:rPr>
          <w:lang w:eastAsia="en-GB"/>
        </w:rPr>
      </w:pPr>
      <w:r w:rsidRPr="00AA3FB2">
        <w:rPr>
          <w:lang w:eastAsia="en-GB"/>
        </w:rPr>
        <w:t>As well as absolute impacts, of key interest were likely regional differences in impact, the relative impact on sectors, id</w:t>
      </w:r>
      <w:r w:rsidR="00C2206B">
        <w:rPr>
          <w:lang w:eastAsia="en-GB"/>
        </w:rPr>
        <w:t>entifying what role if any land-</w:t>
      </w:r>
      <w:r w:rsidRPr="00AA3FB2">
        <w:rPr>
          <w:lang w:eastAsia="en-GB"/>
        </w:rPr>
        <w:t xml:space="preserve">use change might play and the relative impact of different policy </w:t>
      </w:r>
      <w:proofErr w:type="gramStart"/>
      <w:r w:rsidRPr="00AA3FB2">
        <w:rPr>
          <w:lang w:eastAsia="en-GB"/>
        </w:rPr>
        <w:t>settings.</w:t>
      </w:r>
      <w:proofErr w:type="gramEnd"/>
      <w:r w:rsidRPr="00AA3FB2">
        <w:rPr>
          <w:lang w:eastAsia="en-GB"/>
        </w:rPr>
        <w:t xml:space="preserve"> </w:t>
      </w:r>
    </w:p>
    <w:p w14:paraId="7277AB24" w14:textId="77777777" w:rsidR="00226A8B" w:rsidRPr="00AA3FB2" w:rsidRDefault="00226A8B" w:rsidP="00252704">
      <w:pPr>
        <w:pStyle w:val="BodyText"/>
        <w:spacing w:before="100" w:after="100"/>
        <w:rPr>
          <w:lang w:eastAsia="en-GB"/>
        </w:rPr>
      </w:pPr>
      <w:r w:rsidRPr="00AA3FB2">
        <w:rPr>
          <w:lang w:eastAsia="en-GB"/>
        </w:rPr>
        <w:t xml:space="preserve">The third step was to translate NIWA’s estimates of pollution reductions into estimated (and monetised) farm profit impacts using the agreed assumptions about mitigation efficiencies and costs. The focus of the reports provided by the consultants reflects the timing of their work. </w:t>
      </w:r>
      <w:proofErr w:type="spellStart"/>
      <w:r w:rsidRPr="00AA3FB2">
        <w:rPr>
          <w:lang w:eastAsia="en-GB"/>
        </w:rPr>
        <w:t>Sapere’s</w:t>
      </w:r>
      <w:proofErr w:type="spellEnd"/>
      <w:r w:rsidRPr="00AA3FB2">
        <w:rPr>
          <w:lang w:eastAsia="en-GB"/>
        </w:rPr>
        <w:t xml:space="preserve"> reports focus on the proposals, as published in October 2019, whilst Resource Economics reported on both the initial proposals and the final package.</w:t>
      </w:r>
    </w:p>
    <w:p w14:paraId="7857C2BA" w14:textId="0DAE7FD0" w:rsidR="00226A8B" w:rsidRPr="00AA3FB2" w:rsidRDefault="00226A8B" w:rsidP="00252704">
      <w:pPr>
        <w:pStyle w:val="BodyText"/>
        <w:spacing w:before="100" w:after="100"/>
        <w:rPr>
          <w:lang w:eastAsia="en-GB"/>
        </w:rPr>
      </w:pPr>
      <w:r w:rsidRPr="00AA3FB2">
        <w:rPr>
          <w:lang w:eastAsia="en-GB"/>
        </w:rPr>
        <w:t xml:space="preserve">The conclusions from this analysis reflected closely the findings from environmental modelling, namely considerable reductions in nitrogen pollution loads are likely to occur </w:t>
      </w:r>
      <w:proofErr w:type="gramStart"/>
      <w:r w:rsidRPr="00AA3FB2">
        <w:rPr>
          <w:lang w:eastAsia="en-GB"/>
        </w:rPr>
        <w:t>as a result</w:t>
      </w:r>
      <w:proofErr w:type="gramEnd"/>
      <w:r w:rsidRPr="00AA3FB2">
        <w:rPr>
          <w:lang w:eastAsia="en-GB"/>
        </w:rPr>
        <w:t xml:space="preserve"> of the 2017 NPS-FM, bringing sizeable costs</w:t>
      </w:r>
      <w:r w:rsidR="006D6F7E">
        <w:rPr>
          <w:lang w:eastAsia="en-GB"/>
        </w:rPr>
        <w:t>.</w:t>
      </w:r>
      <w:r w:rsidRPr="00AA3FB2">
        <w:rPr>
          <w:lang w:eastAsia="en-GB"/>
        </w:rPr>
        <w:t xml:space="preserve"> </w:t>
      </w:r>
      <w:r w:rsidR="006D6F7E">
        <w:rPr>
          <w:lang w:eastAsia="en-GB"/>
        </w:rPr>
        <w:t>V</w:t>
      </w:r>
      <w:r w:rsidRPr="00AA3FB2">
        <w:rPr>
          <w:lang w:eastAsia="en-GB"/>
        </w:rPr>
        <w:t>ery small reductions in pollution, in addition, are due to</w:t>
      </w:r>
      <w:r w:rsidR="00467287" w:rsidRPr="00AA3FB2">
        <w:rPr>
          <w:lang w:eastAsia="en-GB"/>
        </w:rPr>
        <w:t> </w:t>
      </w:r>
      <w:r w:rsidRPr="00AA3FB2">
        <w:rPr>
          <w:lang w:eastAsia="en-GB"/>
        </w:rPr>
        <w:t>the package (meaning very little further new costs)</w:t>
      </w:r>
      <w:r w:rsidR="00A119A0">
        <w:rPr>
          <w:lang w:eastAsia="en-GB"/>
        </w:rPr>
        <w:t>.</w:t>
      </w:r>
      <w:r w:rsidRPr="00AA3FB2">
        <w:rPr>
          <w:lang w:eastAsia="en-GB"/>
        </w:rPr>
        <w:t xml:space="preserve"> </w:t>
      </w:r>
      <w:r w:rsidR="00A119A0">
        <w:rPr>
          <w:lang w:eastAsia="en-GB"/>
        </w:rPr>
        <w:t>Q</w:t>
      </w:r>
      <w:r w:rsidRPr="00AA3FB2">
        <w:rPr>
          <w:lang w:eastAsia="en-GB"/>
        </w:rPr>
        <w:t xml:space="preserve">uite large additional reductions would have occurred had the initial proposals </w:t>
      </w:r>
      <w:r w:rsidR="00A119A0">
        <w:rPr>
          <w:lang w:eastAsia="en-GB"/>
        </w:rPr>
        <w:t>for dissolved inorganic nitrogen (DIN)</w:t>
      </w:r>
      <w:r w:rsidR="00062F9D">
        <w:rPr>
          <w:lang w:eastAsia="en-GB"/>
        </w:rPr>
        <w:t xml:space="preserve"> and dissolved reactive phosphorous (DRP) </w:t>
      </w:r>
      <w:r w:rsidRPr="00AA3FB2">
        <w:rPr>
          <w:lang w:eastAsia="en-GB"/>
        </w:rPr>
        <w:t>been enacted. The marginal impact of the nitrogen toxicity bottom line in the final package was an annual reduction in farm profits of $30</w:t>
      </w:r>
      <w:r w:rsidR="00467287" w:rsidRPr="00AA3FB2">
        <w:rPr>
          <w:lang w:eastAsia="en-GB"/>
        </w:rPr>
        <w:t> </w:t>
      </w:r>
      <w:r w:rsidRPr="00AA3FB2">
        <w:rPr>
          <w:lang w:eastAsia="en-GB"/>
        </w:rPr>
        <w:t xml:space="preserve">million per annum (once full compliance </w:t>
      </w:r>
      <w:proofErr w:type="gramStart"/>
      <w:r w:rsidRPr="00AA3FB2">
        <w:rPr>
          <w:lang w:eastAsia="en-GB"/>
        </w:rPr>
        <w:t>is achieved</w:t>
      </w:r>
      <w:proofErr w:type="gramEnd"/>
      <w:r w:rsidRPr="00AA3FB2">
        <w:rPr>
          <w:lang w:eastAsia="en-GB"/>
        </w:rPr>
        <w:t>).</w:t>
      </w:r>
      <w:r w:rsidRPr="00AA3FB2">
        <w:rPr>
          <w:vertAlign w:val="superscript"/>
          <w:lang w:eastAsia="en-GB"/>
        </w:rPr>
        <w:footnoteReference w:id="5"/>
      </w:r>
    </w:p>
    <w:p w14:paraId="0ED75756" w14:textId="15312A38" w:rsidR="00226A8B" w:rsidRPr="00AA3FB2" w:rsidRDefault="00226A8B" w:rsidP="00252704">
      <w:pPr>
        <w:pStyle w:val="BodyText"/>
        <w:spacing w:before="100" w:after="100"/>
        <w:rPr>
          <w:lang w:eastAsia="en-GB"/>
        </w:rPr>
      </w:pPr>
      <w:r w:rsidRPr="00AA3FB2">
        <w:rPr>
          <w:lang w:eastAsia="en-GB"/>
        </w:rPr>
        <w:t>The close relationship between the marginal pollution load reductions and marginal impacts on</w:t>
      </w:r>
      <w:r w:rsidR="00467287" w:rsidRPr="00AA3FB2">
        <w:rPr>
          <w:lang w:eastAsia="en-GB"/>
        </w:rPr>
        <w:t> </w:t>
      </w:r>
      <w:r w:rsidR="0054339D">
        <w:rPr>
          <w:lang w:eastAsia="en-GB"/>
        </w:rPr>
        <w:t xml:space="preserve">farm profits </w:t>
      </w:r>
      <w:proofErr w:type="gramStart"/>
      <w:r w:rsidR="0054339D">
        <w:rPr>
          <w:lang w:eastAsia="en-GB"/>
        </w:rPr>
        <w:t>is illustrated</w:t>
      </w:r>
      <w:proofErr w:type="gramEnd"/>
      <w:r w:rsidR="0054339D">
        <w:rPr>
          <w:lang w:eastAsia="en-GB"/>
        </w:rPr>
        <w:t xml:space="preserve"> in f</w:t>
      </w:r>
      <w:r w:rsidRPr="00AA3FB2">
        <w:rPr>
          <w:lang w:eastAsia="en-GB"/>
        </w:rPr>
        <w:t xml:space="preserve">igure 1 below. Figure 1 shows the marginal impact of three nitrogen-related policies – the 2017 NPS-FM, the </w:t>
      </w:r>
      <w:r w:rsidR="0028128E">
        <w:rPr>
          <w:lang w:eastAsia="en-GB"/>
        </w:rPr>
        <w:t xml:space="preserve">final </w:t>
      </w:r>
      <w:r w:rsidRPr="00AA3FB2">
        <w:rPr>
          <w:lang w:eastAsia="en-GB"/>
        </w:rPr>
        <w:t xml:space="preserve">package toxicity policy (defined as a </w:t>
      </w:r>
      <w:r w:rsidR="00425442">
        <w:rPr>
          <w:lang w:eastAsia="en-GB"/>
        </w:rPr>
        <w:t xml:space="preserve">DIN </w:t>
      </w:r>
      <w:r w:rsidRPr="00AA3FB2">
        <w:rPr>
          <w:lang w:eastAsia="en-GB"/>
        </w:rPr>
        <w:t xml:space="preserve">bottom line of 2.4 mg per litre) and the </w:t>
      </w:r>
      <w:r w:rsidR="00694C18">
        <w:rPr>
          <w:lang w:eastAsia="en-GB"/>
        </w:rPr>
        <w:t xml:space="preserve">initial </w:t>
      </w:r>
      <w:r w:rsidRPr="00AA3FB2">
        <w:rPr>
          <w:lang w:eastAsia="en-GB"/>
        </w:rPr>
        <w:t xml:space="preserve">proposal (a </w:t>
      </w:r>
      <w:r w:rsidR="00425442">
        <w:rPr>
          <w:lang w:eastAsia="en-GB"/>
        </w:rPr>
        <w:t>DIN</w:t>
      </w:r>
      <w:r w:rsidRPr="00AA3FB2">
        <w:rPr>
          <w:lang w:eastAsia="en-GB"/>
        </w:rPr>
        <w:t xml:space="preserve"> bottom line of 1.0</w:t>
      </w:r>
      <w:r w:rsidR="00425442">
        <w:rPr>
          <w:lang w:eastAsia="en-GB"/>
        </w:rPr>
        <w:t xml:space="preserve"> mg per litre</w:t>
      </w:r>
      <w:r w:rsidRPr="00AA3FB2">
        <w:rPr>
          <w:lang w:eastAsia="en-GB"/>
        </w:rPr>
        <w:t xml:space="preserve">). </w:t>
      </w:r>
    </w:p>
    <w:p w14:paraId="4B3CCF0F" w14:textId="694F1C20" w:rsidR="00226A8B" w:rsidRPr="00AA3FB2" w:rsidRDefault="0054339D" w:rsidP="00252704">
      <w:pPr>
        <w:pStyle w:val="BodyText"/>
        <w:spacing w:before="100" w:after="100"/>
        <w:rPr>
          <w:lang w:eastAsia="en-GB"/>
        </w:rPr>
      </w:pPr>
      <w:proofErr w:type="gramStart"/>
      <w:r>
        <w:rPr>
          <w:lang w:eastAsia="en-GB"/>
        </w:rPr>
        <w:t>Each policy is represented by three</w:t>
      </w:r>
      <w:r w:rsidR="00226A8B" w:rsidRPr="00AA3FB2">
        <w:rPr>
          <w:lang w:eastAsia="en-GB"/>
        </w:rPr>
        <w:t xml:space="preserve"> bars, each bar representing a variation of council risk aversion</w:t>
      </w:r>
      <w:proofErr w:type="gramEnd"/>
      <w:r w:rsidR="00694C18">
        <w:rPr>
          <w:lang w:eastAsia="en-GB"/>
        </w:rPr>
        <w:t xml:space="preserve">. </w:t>
      </w:r>
      <w:r w:rsidR="00226A8B" w:rsidRPr="00AA3FB2">
        <w:rPr>
          <w:lang w:eastAsia="en-GB"/>
        </w:rPr>
        <w:t>‘10</w:t>
      </w:r>
      <w:r w:rsidR="008A16CE">
        <w:rPr>
          <w:lang w:eastAsia="en-GB"/>
        </w:rPr>
        <w:t xml:space="preserve"> per cent</w:t>
      </w:r>
      <w:r w:rsidR="00226A8B" w:rsidRPr="00AA3FB2">
        <w:rPr>
          <w:lang w:eastAsia="en-GB"/>
        </w:rPr>
        <w:t xml:space="preserve"> </w:t>
      </w:r>
      <w:proofErr w:type="spellStart"/>
      <w:r w:rsidR="00226A8B" w:rsidRPr="00AA3FB2">
        <w:rPr>
          <w:lang w:eastAsia="en-GB"/>
        </w:rPr>
        <w:t>peri</w:t>
      </w:r>
      <w:proofErr w:type="spellEnd"/>
      <w:r w:rsidR="00226A8B" w:rsidRPr="00AA3FB2">
        <w:rPr>
          <w:lang w:eastAsia="en-GB"/>
        </w:rPr>
        <w:t xml:space="preserve">” refers to </w:t>
      </w:r>
      <w:r w:rsidR="00DA0B20">
        <w:rPr>
          <w:lang w:eastAsia="en-GB"/>
        </w:rPr>
        <w:t xml:space="preserve">the case where councils </w:t>
      </w:r>
      <w:r w:rsidR="00F051F8">
        <w:rPr>
          <w:lang w:eastAsia="en-GB"/>
        </w:rPr>
        <w:t xml:space="preserve">are assumed to </w:t>
      </w:r>
      <w:r w:rsidR="00DA0B20">
        <w:rPr>
          <w:lang w:eastAsia="en-GB"/>
        </w:rPr>
        <w:t>accept that any random</w:t>
      </w:r>
      <w:r w:rsidR="00FE69B3">
        <w:rPr>
          <w:lang w:eastAsia="en-GB"/>
        </w:rPr>
        <w:t xml:space="preserve">ly selected point in a stream or river may exceed </w:t>
      </w:r>
      <w:r w:rsidR="00226A8B" w:rsidRPr="00AA3FB2">
        <w:rPr>
          <w:lang w:eastAsia="en-GB"/>
        </w:rPr>
        <w:t xml:space="preserve">the 2017 NPS-FM </w:t>
      </w:r>
      <w:proofErr w:type="spellStart"/>
      <w:r w:rsidR="00226A8B" w:rsidRPr="00AA3FB2">
        <w:rPr>
          <w:lang w:eastAsia="en-GB"/>
        </w:rPr>
        <w:t>periphyton</w:t>
      </w:r>
      <w:proofErr w:type="spellEnd"/>
      <w:r w:rsidR="00226A8B" w:rsidRPr="00AA3FB2">
        <w:rPr>
          <w:lang w:eastAsia="en-GB"/>
        </w:rPr>
        <w:t xml:space="preserve"> bottom</w:t>
      </w:r>
      <w:r w:rsidR="00A10707">
        <w:rPr>
          <w:lang w:eastAsia="en-GB"/>
        </w:rPr>
        <w:t> </w:t>
      </w:r>
      <w:r w:rsidR="00226A8B" w:rsidRPr="00AA3FB2">
        <w:rPr>
          <w:lang w:eastAsia="en-GB"/>
        </w:rPr>
        <w:t xml:space="preserve">line </w:t>
      </w:r>
      <w:r w:rsidR="009669D6">
        <w:rPr>
          <w:lang w:eastAsia="en-GB"/>
        </w:rPr>
        <w:t>(</w:t>
      </w:r>
      <w:proofErr w:type="spellStart"/>
      <w:r w:rsidR="009669D6">
        <w:rPr>
          <w:lang w:eastAsia="en-GB"/>
        </w:rPr>
        <w:t>ie</w:t>
      </w:r>
      <w:proofErr w:type="spellEnd"/>
      <w:r w:rsidR="009669D6">
        <w:rPr>
          <w:lang w:eastAsia="en-GB"/>
        </w:rPr>
        <w:t>,</w:t>
      </w:r>
      <w:r w:rsidR="00BC590B">
        <w:rPr>
          <w:lang w:eastAsia="en-GB"/>
        </w:rPr>
        <w:t xml:space="preserve"> the standard may be breached) </w:t>
      </w:r>
      <w:r w:rsidR="00226A8B" w:rsidRPr="00AA3FB2">
        <w:rPr>
          <w:lang w:eastAsia="en-GB"/>
        </w:rPr>
        <w:t>10</w:t>
      </w:r>
      <w:r w:rsidR="00F051F8">
        <w:rPr>
          <w:lang w:eastAsia="en-GB"/>
        </w:rPr>
        <w:t xml:space="preserve"> </w:t>
      </w:r>
      <w:r w:rsidR="008A16CE">
        <w:rPr>
          <w:lang w:eastAsia="en-GB"/>
        </w:rPr>
        <w:t>per cent</w:t>
      </w:r>
      <w:r w:rsidR="00226A8B" w:rsidRPr="00AA3FB2">
        <w:rPr>
          <w:lang w:eastAsia="en-GB"/>
        </w:rPr>
        <w:t xml:space="preserve"> of the time</w:t>
      </w:r>
      <w:r w:rsidR="00BC590B">
        <w:rPr>
          <w:lang w:eastAsia="en-GB"/>
        </w:rPr>
        <w:t>.</w:t>
      </w:r>
      <w:r w:rsidR="00226A8B" w:rsidRPr="00AA3FB2">
        <w:rPr>
          <w:lang w:eastAsia="en-GB"/>
        </w:rPr>
        <w:t xml:space="preserve"> ‘20</w:t>
      </w:r>
      <w:r w:rsidR="008A16CE">
        <w:rPr>
          <w:lang w:eastAsia="en-GB"/>
        </w:rPr>
        <w:t xml:space="preserve"> per cent</w:t>
      </w:r>
      <w:r w:rsidR="00226A8B" w:rsidRPr="00AA3FB2">
        <w:rPr>
          <w:lang w:eastAsia="en-GB"/>
        </w:rPr>
        <w:t xml:space="preserve"> </w:t>
      </w:r>
      <w:proofErr w:type="spellStart"/>
      <w:r w:rsidR="00226A8B" w:rsidRPr="00AA3FB2">
        <w:rPr>
          <w:lang w:eastAsia="en-GB"/>
        </w:rPr>
        <w:t>peri</w:t>
      </w:r>
      <w:proofErr w:type="spellEnd"/>
      <w:r w:rsidR="00226A8B" w:rsidRPr="00AA3FB2">
        <w:rPr>
          <w:lang w:eastAsia="en-GB"/>
        </w:rPr>
        <w:t xml:space="preserve">” </w:t>
      </w:r>
      <w:r w:rsidR="00951B55">
        <w:rPr>
          <w:lang w:eastAsia="en-GB"/>
        </w:rPr>
        <w:t xml:space="preserve">refers to acceptance of the 2017 NPS-FM standard being breached 20 </w:t>
      </w:r>
      <w:r w:rsidR="008A16CE">
        <w:rPr>
          <w:lang w:eastAsia="en-GB"/>
        </w:rPr>
        <w:t>per cent</w:t>
      </w:r>
      <w:r w:rsidR="00951B55">
        <w:rPr>
          <w:lang w:eastAsia="en-GB"/>
        </w:rPr>
        <w:t xml:space="preserve"> of the time</w:t>
      </w:r>
      <w:r w:rsidR="00BB7454">
        <w:rPr>
          <w:lang w:eastAsia="en-GB"/>
        </w:rPr>
        <w:t>.</w:t>
      </w:r>
      <w:r w:rsidR="008A16CE">
        <w:rPr>
          <w:lang w:eastAsia="en-GB"/>
        </w:rPr>
        <w:t xml:space="preserve"> </w:t>
      </w:r>
      <w:r w:rsidR="00226A8B" w:rsidRPr="00AA3FB2">
        <w:rPr>
          <w:lang w:eastAsia="en-GB"/>
        </w:rPr>
        <w:t>‘30</w:t>
      </w:r>
      <w:r w:rsidR="008A16CE">
        <w:rPr>
          <w:lang w:eastAsia="en-GB"/>
        </w:rPr>
        <w:t xml:space="preserve"> </w:t>
      </w:r>
      <w:r w:rsidR="008A16CE">
        <w:rPr>
          <w:lang w:eastAsia="en-GB"/>
        </w:rPr>
        <w:lastRenderedPageBreak/>
        <w:t>per cent</w:t>
      </w:r>
      <w:r w:rsidR="00226A8B" w:rsidRPr="00AA3FB2">
        <w:rPr>
          <w:lang w:eastAsia="en-GB"/>
        </w:rPr>
        <w:t xml:space="preserve"> </w:t>
      </w:r>
      <w:proofErr w:type="spellStart"/>
      <w:r w:rsidR="00226A8B" w:rsidRPr="00AA3FB2">
        <w:rPr>
          <w:lang w:eastAsia="en-GB"/>
        </w:rPr>
        <w:t>peri</w:t>
      </w:r>
      <w:proofErr w:type="spellEnd"/>
      <w:r w:rsidR="00226A8B" w:rsidRPr="00AA3FB2">
        <w:rPr>
          <w:lang w:eastAsia="en-GB"/>
        </w:rPr>
        <w:t>’ ref</w:t>
      </w:r>
      <w:r w:rsidR="00BB7454">
        <w:rPr>
          <w:lang w:eastAsia="en-GB"/>
        </w:rPr>
        <w:t xml:space="preserve">ers to acceptance of the standard being breached 30 </w:t>
      </w:r>
      <w:r w:rsidR="008A16CE">
        <w:rPr>
          <w:lang w:eastAsia="en-GB"/>
        </w:rPr>
        <w:t>per cent</w:t>
      </w:r>
      <w:r w:rsidR="00BB7454">
        <w:rPr>
          <w:lang w:eastAsia="en-GB"/>
        </w:rPr>
        <w:t xml:space="preserve"> of the time</w:t>
      </w:r>
      <w:r w:rsidR="00226A8B" w:rsidRPr="00AA3FB2">
        <w:rPr>
          <w:lang w:eastAsia="en-GB"/>
        </w:rPr>
        <w:t>.</w:t>
      </w:r>
      <w:r w:rsidR="00226A8B" w:rsidRPr="00AA3FB2">
        <w:rPr>
          <w:vertAlign w:val="superscript"/>
          <w:lang w:eastAsia="en-GB"/>
        </w:rPr>
        <w:footnoteReference w:id="6"/>
      </w:r>
      <w:r w:rsidR="00226A8B" w:rsidRPr="00AA3FB2">
        <w:rPr>
          <w:lang w:eastAsia="en-GB"/>
        </w:rPr>
        <w:t xml:space="preserve"> The central cost estimates were based on an assumption of tolerance </w:t>
      </w:r>
      <w:r w:rsidR="00A14001">
        <w:rPr>
          <w:lang w:eastAsia="en-GB"/>
        </w:rPr>
        <w:t xml:space="preserve">of a 20 </w:t>
      </w:r>
      <w:r w:rsidR="008A16CE">
        <w:rPr>
          <w:lang w:eastAsia="en-GB"/>
        </w:rPr>
        <w:t>per cent</w:t>
      </w:r>
      <w:r w:rsidR="00A14001">
        <w:rPr>
          <w:lang w:eastAsia="en-GB"/>
        </w:rPr>
        <w:t xml:space="preserve"> failure rate </w:t>
      </w:r>
      <w:r w:rsidR="00226A8B" w:rsidRPr="00AA3FB2">
        <w:rPr>
          <w:lang w:eastAsia="en-GB"/>
        </w:rPr>
        <w:t>(hence the results are plotted above t</w:t>
      </w:r>
      <w:r>
        <w:rPr>
          <w:lang w:eastAsia="en-GB"/>
        </w:rPr>
        <w:t>he ‘20</w:t>
      </w:r>
      <w:r w:rsidR="008A16CE">
        <w:rPr>
          <w:lang w:eastAsia="en-GB"/>
        </w:rPr>
        <w:t xml:space="preserve"> per cent</w:t>
      </w:r>
      <w:r>
        <w:rPr>
          <w:lang w:eastAsia="en-GB"/>
        </w:rPr>
        <w:t xml:space="preserve"> </w:t>
      </w:r>
      <w:proofErr w:type="spellStart"/>
      <w:r>
        <w:rPr>
          <w:lang w:eastAsia="en-GB"/>
        </w:rPr>
        <w:t>peri</w:t>
      </w:r>
      <w:proofErr w:type="spellEnd"/>
      <w:r>
        <w:rPr>
          <w:lang w:eastAsia="en-GB"/>
        </w:rPr>
        <w:t xml:space="preserve">’ bar).The data in </w:t>
      </w:r>
      <w:r w:rsidR="00467B15">
        <w:rPr>
          <w:lang w:eastAsia="en-GB"/>
        </w:rPr>
        <w:t>f</w:t>
      </w:r>
      <w:r w:rsidR="00226A8B" w:rsidRPr="00AA3FB2">
        <w:rPr>
          <w:lang w:eastAsia="en-GB"/>
        </w:rPr>
        <w:t xml:space="preserve">igure 1 was drawn from NIWA’s environmental modelling </w:t>
      </w:r>
      <w:r w:rsidR="00EE6DA0">
        <w:rPr>
          <w:lang w:eastAsia="en-GB"/>
        </w:rPr>
        <w:t>(</w:t>
      </w:r>
      <w:r w:rsidR="00226A8B" w:rsidRPr="00AA3FB2">
        <w:rPr>
          <w:lang w:eastAsia="en-GB"/>
        </w:rPr>
        <w:t>nitrogen load reductions) and Resource Economics</w:t>
      </w:r>
      <w:r w:rsidR="00EE6DA0">
        <w:rPr>
          <w:lang w:eastAsia="en-GB"/>
        </w:rPr>
        <w:t>’</w:t>
      </w:r>
      <w:r w:rsidR="00226A8B" w:rsidRPr="00AA3FB2">
        <w:rPr>
          <w:lang w:eastAsia="en-GB"/>
        </w:rPr>
        <w:t xml:space="preserve"> impact analysis (cost estimates).</w:t>
      </w:r>
    </w:p>
    <w:p w14:paraId="6E5253D1" w14:textId="49426DE1" w:rsidR="00226A8B" w:rsidRPr="00D65804" w:rsidRDefault="00226A8B" w:rsidP="003A5BD0">
      <w:pPr>
        <w:pStyle w:val="Figureheading"/>
      </w:pPr>
      <w:bookmarkStart w:id="8" w:name="_Toc41498592"/>
      <w:r w:rsidRPr="00D65804">
        <w:t>Figure 1</w:t>
      </w:r>
      <w:r w:rsidR="00497D93" w:rsidRPr="00D65804">
        <w:t xml:space="preserve">: </w:t>
      </w:r>
      <w:r w:rsidR="00685DBB">
        <w:tab/>
      </w:r>
      <w:r w:rsidR="003A5BD0">
        <w:t>M</w:t>
      </w:r>
      <w:r w:rsidR="00A412CB" w:rsidRPr="00D65804">
        <w:t xml:space="preserve">arginal </w:t>
      </w:r>
      <w:r w:rsidR="00A412CB" w:rsidRPr="003A5BD0">
        <w:t>impact</w:t>
      </w:r>
      <w:r w:rsidR="00A412CB" w:rsidRPr="00D65804">
        <w:t xml:space="preserve"> of three nitrogen-related policies</w:t>
      </w:r>
      <w:bookmarkEnd w:id="8"/>
    </w:p>
    <w:p w14:paraId="5E0E7DAB" w14:textId="77777777" w:rsidR="00226A8B" w:rsidRPr="00AA3FB2" w:rsidRDefault="00226A8B" w:rsidP="002D2EFB">
      <w:pPr>
        <w:pStyle w:val="BodyText"/>
        <w:spacing w:before="0" w:after="0"/>
        <w:rPr>
          <w:lang w:eastAsia="en-GB"/>
        </w:rPr>
      </w:pPr>
      <w:r w:rsidRPr="00AA3FB2">
        <w:rPr>
          <w:noProof/>
        </w:rPr>
        <mc:AlternateContent>
          <mc:Choice Requires="wps">
            <w:drawing>
              <wp:anchor distT="0" distB="0" distL="114300" distR="114300" simplePos="0" relativeHeight="251663360" behindDoc="0" locked="0" layoutInCell="1" allowOverlap="1" wp14:anchorId="5B82F42D" wp14:editId="49DE50A4">
                <wp:simplePos x="0" y="0"/>
                <wp:positionH relativeFrom="column">
                  <wp:posOffset>3891206</wp:posOffset>
                </wp:positionH>
                <wp:positionV relativeFrom="paragraph">
                  <wp:posOffset>1151233</wp:posOffset>
                </wp:positionV>
                <wp:extent cx="1181378" cy="240030"/>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181378" cy="240030"/>
                        </a:xfrm>
                        <a:prstGeom prst="rect">
                          <a:avLst/>
                        </a:prstGeom>
                        <a:solidFill>
                          <a:sysClr val="window" lastClr="FFFFFF"/>
                        </a:solidFill>
                        <a:ln w="6350">
                          <a:noFill/>
                        </a:ln>
                      </wps:spPr>
                      <wps:txbx>
                        <w:txbxContent>
                          <w:p w14:paraId="5556EE41" w14:textId="77777777" w:rsidR="00C2206B" w:rsidRPr="00007962" w:rsidRDefault="00C2206B" w:rsidP="001944B1">
                            <w:pPr>
                              <w:pStyle w:val="TableText"/>
                              <w:spacing w:before="0"/>
                              <w:rPr>
                                <w:lang w:val="en-US"/>
                              </w:rPr>
                            </w:pPr>
                            <w:r w:rsidRPr="002F61FC">
                              <w:rPr>
                                <w:lang w:val="en-US"/>
                              </w:rPr>
                              <w:t xml:space="preserve">Proposal </w:t>
                            </w:r>
                            <w:r>
                              <w:rPr>
                                <w:lang w:val="en-US"/>
                              </w:rPr>
                              <w:t xml:space="preserve">in </w:t>
                            </w:r>
                            <w:r w:rsidRPr="002F61FC">
                              <w:rPr>
                                <w:lang w:val="en-US"/>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2F42D" id="_x0000_t202" coordsize="21600,21600" o:spt="202" path="m,l,21600r21600,l21600,xe">
                <v:stroke joinstyle="miter"/>
                <v:path gradientshapeok="t" o:connecttype="rect"/>
              </v:shapetype>
              <v:shape id="Text Box 9" o:spid="_x0000_s1026" type="#_x0000_t202" style="position:absolute;margin-left:306.4pt;margin-top:90.65pt;width:93pt;height:1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" fillcolor="window" stroked="f" strokeweight=".5pt">
                <v:textbox>
                  <w:txbxContent>
                    <w:p w14:paraId="5556EE41" w14:textId="77777777" w:rsidR="00C2206B" w:rsidRPr="00007962" w:rsidRDefault="00C2206B" w:rsidP="001944B1">
                      <w:pPr>
                        <w:pStyle w:val="TableText"/>
                        <w:spacing w:before="0"/>
                        <w:rPr>
                          <w:lang w:val="en-US"/>
                        </w:rPr>
                      </w:pPr>
                      <w:r w:rsidRPr="002F61FC">
                        <w:rPr>
                          <w:lang w:val="en-US"/>
                        </w:rPr>
                        <w:t xml:space="preserve">Proposal </w:t>
                      </w:r>
                      <w:r>
                        <w:rPr>
                          <w:lang w:val="en-US"/>
                        </w:rPr>
                        <w:t xml:space="preserve">in </w:t>
                      </w:r>
                      <w:r w:rsidRPr="002F61FC">
                        <w:rPr>
                          <w:lang w:val="en-US"/>
                        </w:rPr>
                        <w:t>2019</w:t>
                      </w:r>
                    </w:p>
                  </w:txbxContent>
                </v:textbox>
              </v:shape>
            </w:pict>
          </mc:Fallback>
        </mc:AlternateContent>
      </w:r>
      <w:r w:rsidRPr="00AA3FB2">
        <w:rPr>
          <w:noProof/>
        </w:rPr>
        <mc:AlternateContent>
          <mc:Choice Requires="wps">
            <w:drawing>
              <wp:anchor distT="0" distB="0" distL="114300" distR="114300" simplePos="0" relativeHeight="251662336" behindDoc="0" locked="0" layoutInCell="1" allowOverlap="1" wp14:anchorId="70C88BCD" wp14:editId="58A82AB6">
                <wp:simplePos x="0" y="0"/>
                <wp:positionH relativeFrom="column">
                  <wp:posOffset>1148006</wp:posOffset>
                </wp:positionH>
                <wp:positionV relativeFrom="paragraph">
                  <wp:posOffset>1151232</wp:posOffset>
                </wp:positionV>
                <wp:extent cx="1014517" cy="240030"/>
                <wp:effectExtent l="0" t="0" r="1905" b="1270"/>
                <wp:wrapNone/>
                <wp:docPr id="8" name="Text Box 8"/>
                <wp:cNvGraphicFramePr/>
                <a:graphic xmlns:a="http://schemas.openxmlformats.org/drawingml/2006/main">
                  <a:graphicData uri="http://schemas.microsoft.com/office/word/2010/wordprocessingShape">
                    <wps:wsp>
                      <wps:cNvSpPr txBox="1"/>
                      <wps:spPr>
                        <a:xfrm>
                          <a:off x="0" y="0"/>
                          <a:ext cx="1014517" cy="240030"/>
                        </a:xfrm>
                        <a:prstGeom prst="rect">
                          <a:avLst/>
                        </a:prstGeom>
                        <a:solidFill>
                          <a:sysClr val="window" lastClr="FFFFFF"/>
                        </a:solidFill>
                        <a:ln w="6350">
                          <a:noFill/>
                        </a:ln>
                      </wps:spPr>
                      <wps:txbx>
                        <w:txbxContent>
                          <w:p w14:paraId="02FF1759" w14:textId="58D4271B" w:rsidR="00C2206B" w:rsidRPr="002F61FC" w:rsidRDefault="00C2206B" w:rsidP="001944B1">
                            <w:pPr>
                              <w:pStyle w:val="TableText"/>
                              <w:spacing w:before="0"/>
                              <w:rPr>
                                <w:lang w:val="en-US"/>
                              </w:rPr>
                            </w:pPr>
                            <w:r w:rsidRPr="0070137B">
                              <w:rPr>
                                <w:lang w:val="en-US"/>
                              </w:rPr>
                              <w:t>2017 NPS</w:t>
                            </w:r>
                            <w:r>
                              <w:rPr>
                                <w:lang w:val="en-US"/>
                              </w:rPr>
                              <w:t>-</w:t>
                            </w:r>
                            <w:r w:rsidRPr="002F61FC">
                              <w:rPr>
                                <w:lang w:val="en-US"/>
                              </w:rPr>
                              <w:t>FM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88BCD" id="Text Box 8" o:spid="_x0000_s1027" type="#_x0000_t202" style="position:absolute;margin-left:90.4pt;margin-top:90.65pt;width:79.9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" fillcolor="window" stroked="f" strokeweight=".5pt">
                <v:textbox>
                  <w:txbxContent>
                    <w:p w14:paraId="02FF1759" w14:textId="58D4271B" w:rsidR="00C2206B" w:rsidRPr="002F61FC" w:rsidRDefault="00C2206B" w:rsidP="001944B1">
                      <w:pPr>
                        <w:pStyle w:val="TableText"/>
                        <w:spacing w:before="0"/>
                        <w:rPr>
                          <w:lang w:val="en-US"/>
                        </w:rPr>
                      </w:pPr>
                      <w:r w:rsidRPr="0070137B">
                        <w:rPr>
                          <w:lang w:val="en-US"/>
                        </w:rPr>
                        <w:t>2017 NPS</w:t>
                      </w:r>
                      <w:r>
                        <w:rPr>
                          <w:lang w:val="en-US"/>
                        </w:rPr>
                        <w:t>-</w:t>
                      </w:r>
                      <w:r w:rsidRPr="002F61FC">
                        <w:rPr>
                          <w:lang w:val="en-US"/>
                        </w:rPr>
                        <w:t>FM</w:t>
                      </w:r>
                    </w:p>
                  </w:txbxContent>
                </v:textbox>
              </v:shape>
            </w:pict>
          </mc:Fallback>
        </mc:AlternateContent>
      </w:r>
      <w:r w:rsidRPr="00AA3FB2">
        <w:rPr>
          <w:noProof/>
        </w:rPr>
        <mc:AlternateContent>
          <mc:Choice Requires="wps">
            <w:drawing>
              <wp:anchor distT="0" distB="0" distL="114300" distR="114300" simplePos="0" relativeHeight="251661312" behindDoc="0" locked="0" layoutInCell="1" allowOverlap="1" wp14:anchorId="467B700B" wp14:editId="08862D5E">
                <wp:simplePos x="0" y="0"/>
                <wp:positionH relativeFrom="column">
                  <wp:posOffset>2616367</wp:posOffset>
                </wp:positionH>
                <wp:positionV relativeFrom="paragraph">
                  <wp:posOffset>1150620</wp:posOffset>
                </wp:positionV>
                <wp:extent cx="747538" cy="240281"/>
                <wp:effectExtent l="0" t="0" r="1905" b="1270"/>
                <wp:wrapNone/>
                <wp:docPr id="16" name="Text Box 16"/>
                <wp:cNvGraphicFramePr/>
                <a:graphic xmlns:a="http://schemas.openxmlformats.org/drawingml/2006/main">
                  <a:graphicData uri="http://schemas.microsoft.com/office/word/2010/wordprocessingShape">
                    <wps:wsp>
                      <wps:cNvSpPr txBox="1"/>
                      <wps:spPr>
                        <a:xfrm>
                          <a:off x="0" y="0"/>
                          <a:ext cx="747538" cy="240281"/>
                        </a:xfrm>
                        <a:prstGeom prst="rect">
                          <a:avLst/>
                        </a:prstGeom>
                        <a:solidFill>
                          <a:sysClr val="window" lastClr="FFFFFF"/>
                        </a:solidFill>
                        <a:ln w="6350">
                          <a:noFill/>
                        </a:ln>
                      </wps:spPr>
                      <wps:txbx>
                        <w:txbxContent>
                          <w:p w14:paraId="0F2F5BBF" w14:textId="77777777" w:rsidR="00C2206B" w:rsidRPr="0070137B" w:rsidRDefault="00C2206B" w:rsidP="001944B1">
                            <w:pPr>
                              <w:pStyle w:val="TableText"/>
                              <w:spacing w:before="0"/>
                              <w:rPr>
                                <w:lang w:val="en-US"/>
                              </w:rPr>
                            </w:pPr>
                            <w:r w:rsidRPr="0070137B">
                              <w:rPr>
                                <w:lang w:val="en-US"/>
                              </w:rPr>
                              <w:t>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7B700B" id="Text Box 16" o:spid="_x0000_s1028" type="#_x0000_t202" style="position:absolute;margin-left:206pt;margin-top:90.6pt;width:58.85pt;height:18.9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" fillcolor="window" stroked="f" strokeweight=".5pt">
                <v:textbox>
                  <w:txbxContent>
                    <w:p w14:paraId="0F2F5BBF" w14:textId="77777777" w:rsidR="00C2206B" w:rsidRPr="0070137B" w:rsidRDefault="00C2206B" w:rsidP="001944B1">
                      <w:pPr>
                        <w:pStyle w:val="TableText"/>
                        <w:spacing w:before="0"/>
                        <w:rPr>
                          <w:lang w:val="en-US"/>
                        </w:rPr>
                      </w:pPr>
                      <w:r w:rsidRPr="0070137B">
                        <w:rPr>
                          <w:lang w:val="en-US"/>
                        </w:rPr>
                        <w:t>Package</w:t>
                      </w:r>
                    </w:p>
                  </w:txbxContent>
                </v:textbox>
              </v:shape>
            </w:pict>
          </mc:Fallback>
        </mc:AlternateContent>
      </w:r>
      <w:r w:rsidRPr="00AA3FB2">
        <w:rPr>
          <w:noProof/>
        </w:rPr>
        <mc:AlternateContent>
          <mc:Choice Requires="wps">
            <w:drawing>
              <wp:anchor distT="0" distB="0" distL="114300" distR="114300" simplePos="0" relativeHeight="251660288" behindDoc="0" locked="0" layoutInCell="1" allowOverlap="1" wp14:anchorId="1E871AAF" wp14:editId="40177381">
                <wp:simplePos x="0" y="0"/>
                <wp:positionH relativeFrom="column">
                  <wp:posOffset>3757717</wp:posOffset>
                </wp:positionH>
                <wp:positionV relativeFrom="paragraph">
                  <wp:posOffset>1111134</wp:posOffset>
                </wp:positionV>
                <wp:extent cx="0" cy="1448356"/>
                <wp:effectExtent l="0" t="0" r="12700" b="12700"/>
                <wp:wrapNone/>
                <wp:docPr id="6" name="Straight Connector 6"/>
                <wp:cNvGraphicFramePr/>
                <a:graphic xmlns:a="http://schemas.openxmlformats.org/drawingml/2006/main">
                  <a:graphicData uri="http://schemas.microsoft.com/office/word/2010/wordprocessingShape">
                    <wps:wsp>
                      <wps:cNvCnPr/>
                      <wps:spPr>
                        <a:xfrm>
                          <a:off x="0" y="0"/>
                          <a:ext cx="0" cy="1448356"/>
                        </a:xfrm>
                        <a:prstGeom prst="line">
                          <a:avLst/>
                        </a:prstGeom>
                        <a:noFill/>
                        <a:ln w="63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D59BD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5.9pt,87.5pt" to="295.9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" strokecolor="#4472c4" strokeweight=".5pt">
                <v:stroke joinstyle="miter"/>
              </v:line>
            </w:pict>
          </mc:Fallback>
        </mc:AlternateContent>
      </w:r>
      <w:r w:rsidRPr="00AA3FB2">
        <w:rPr>
          <w:noProof/>
        </w:rPr>
        <mc:AlternateContent>
          <mc:Choice Requires="wps">
            <w:drawing>
              <wp:anchor distT="0" distB="0" distL="114300" distR="114300" simplePos="0" relativeHeight="251659264" behindDoc="0" locked="0" layoutInCell="1" allowOverlap="1" wp14:anchorId="5EB70416" wp14:editId="2E24B33C">
                <wp:simplePos x="0" y="0"/>
                <wp:positionH relativeFrom="column">
                  <wp:posOffset>2162523</wp:posOffset>
                </wp:positionH>
                <wp:positionV relativeFrom="paragraph">
                  <wp:posOffset>1111185</wp:posOffset>
                </wp:positionV>
                <wp:extent cx="0" cy="1448356"/>
                <wp:effectExtent l="0" t="0" r="12700" b="12700"/>
                <wp:wrapNone/>
                <wp:docPr id="17" name="Straight Connector 17"/>
                <wp:cNvGraphicFramePr/>
                <a:graphic xmlns:a="http://schemas.openxmlformats.org/drawingml/2006/main">
                  <a:graphicData uri="http://schemas.microsoft.com/office/word/2010/wordprocessingShape">
                    <wps:wsp>
                      <wps:cNvCnPr/>
                      <wps:spPr>
                        <a:xfrm>
                          <a:off x="0" y="0"/>
                          <a:ext cx="0" cy="1448356"/>
                        </a:xfrm>
                        <a:prstGeom prst="line">
                          <a:avLst/>
                        </a:prstGeom>
                        <a:noFill/>
                        <a:ln w="6350" cap="flat" cmpd="sng" algn="ctr">
                          <a:solidFill>
                            <a:srgbClr val="4472C4"/>
                          </a:solidFill>
                          <a:prstDash val="solid"/>
                          <a:miter lim="800000"/>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2DE463"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3pt,87.5pt" to="170.3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" strokecolor="#4472c4" strokeweight=".5pt">
                <v:stroke joinstyle="miter"/>
              </v:line>
            </w:pict>
          </mc:Fallback>
        </mc:AlternateContent>
      </w:r>
      <w:r w:rsidRPr="00AA3FB2">
        <w:rPr>
          <w:noProof/>
        </w:rPr>
        <w:drawing>
          <wp:inline distT="0" distB="0" distL="0" distR="0" wp14:anchorId="50FCC635" wp14:editId="2865A456">
            <wp:extent cx="5411890" cy="3084464"/>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41457" cy="3101315"/>
                    </a:xfrm>
                    <a:prstGeom prst="rect">
                      <a:avLst/>
                    </a:prstGeom>
                    <a:noFill/>
                    <a:ln>
                      <a:noFill/>
                    </a:ln>
                  </pic:spPr>
                </pic:pic>
              </a:graphicData>
            </a:graphic>
          </wp:inline>
        </w:drawing>
      </w:r>
    </w:p>
    <w:p w14:paraId="7C99EB3C" w14:textId="5B8DF206" w:rsidR="00226A8B" w:rsidRPr="00AA3FB2" w:rsidRDefault="00226A8B" w:rsidP="001944B1">
      <w:pPr>
        <w:pStyle w:val="BodyText"/>
        <w:rPr>
          <w:lang w:eastAsia="en-GB"/>
        </w:rPr>
      </w:pPr>
      <w:r w:rsidRPr="00AA3FB2">
        <w:rPr>
          <w:lang w:eastAsia="en-GB"/>
        </w:rPr>
        <w:t xml:space="preserve">The overall finding that the package has a very low cost differs from the reported findings of </w:t>
      </w:r>
      <w:proofErr w:type="spellStart"/>
      <w:r w:rsidRPr="00AA3FB2">
        <w:rPr>
          <w:lang w:eastAsia="en-GB"/>
        </w:rPr>
        <w:t>DairyNZ</w:t>
      </w:r>
      <w:proofErr w:type="spellEnd"/>
      <w:r w:rsidRPr="00AA3FB2">
        <w:rPr>
          <w:lang w:eastAsia="en-GB"/>
        </w:rPr>
        <w:t xml:space="preserve">, </w:t>
      </w:r>
      <w:r w:rsidR="009E2B9C">
        <w:rPr>
          <w:lang w:eastAsia="en-GB"/>
        </w:rPr>
        <w:t xml:space="preserve">provided in </w:t>
      </w:r>
      <w:r w:rsidR="00C2206B">
        <w:rPr>
          <w:lang w:eastAsia="en-GB"/>
        </w:rPr>
        <w:t>its</w:t>
      </w:r>
      <w:r w:rsidR="009E2B9C">
        <w:rPr>
          <w:lang w:eastAsia="en-GB"/>
        </w:rPr>
        <w:t xml:space="preserve"> submission, </w:t>
      </w:r>
      <w:r w:rsidRPr="00AA3FB2">
        <w:rPr>
          <w:lang w:eastAsia="en-GB"/>
        </w:rPr>
        <w:t xml:space="preserve">and from </w:t>
      </w:r>
      <w:r w:rsidR="009E2B9C">
        <w:rPr>
          <w:lang w:eastAsia="en-GB"/>
        </w:rPr>
        <w:t xml:space="preserve">the </w:t>
      </w:r>
      <w:r w:rsidRPr="00AA3FB2">
        <w:rPr>
          <w:lang w:eastAsia="en-GB"/>
        </w:rPr>
        <w:t xml:space="preserve">subsequent modelling </w:t>
      </w:r>
      <w:proofErr w:type="gramStart"/>
      <w:r w:rsidRPr="00AA3FB2">
        <w:rPr>
          <w:lang w:eastAsia="en-GB"/>
        </w:rPr>
        <w:t>results</w:t>
      </w:r>
      <w:proofErr w:type="gramEnd"/>
      <w:r w:rsidRPr="00AA3FB2">
        <w:rPr>
          <w:lang w:eastAsia="en-GB"/>
        </w:rPr>
        <w:t xml:space="preserve"> </w:t>
      </w:r>
      <w:r w:rsidR="00C2206B">
        <w:rPr>
          <w:lang w:eastAsia="en-GB"/>
        </w:rPr>
        <w:t>it</w:t>
      </w:r>
      <w:r w:rsidRPr="00AA3FB2">
        <w:rPr>
          <w:lang w:eastAsia="en-GB"/>
        </w:rPr>
        <w:t xml:space="preserve"> provided. The explanation for this appears to lie largely with assumptions </w:t>
      </w:r>
      <w:proofErr w:type="spellStart"/>
      <w:r w:rsidRPr="00AA3FB2">
        <w:rPr>
          <w:lang w:eastAsia="en-GB"/>
        </w:rPr>
        <w:t>DairyNZ</w:t>
      </w:r>
      <w:proofErr w:type="spellEnd"/>
      <w:r w:rsidRPr="00AA3FB2">
        <w:rPr>
          <w:lang w:eastAsia="en-GB"/>
        </w:rPr>
        <w:t xml:space="preserve"> makes regarding the 2017 NPS-FM. In </w:t>
      </w:r>
      <w:r w:rsidR="00C2206B">
        <w:rPr>
          <w:lang w:eastAsia="en-GB"/>
        </w:rPr>
        <w:t>its</w:t>
      </w:r>
      <w:r w:rsidRPr="00AA3FB2">
        <w:rPr>
          <w:lang w:eastAsia="en-GB"/>
        </w:rPr>
        <w:t xml:space="preserve"> view</w:t>
      </w:r>
      <w:r w:rsidR="00C2206B">
        <w:rPr>
          <w:lang w:eastAsia="en-GB"/>
        </w:rPr>
        <w:t>,</w:t>
      </w:r>
      <w:r w:rsidRPr="00AA3FB2">
        <w:rPr>
          <w:lang w:eastAsia="en-GB"/>
        </w:rPr>
        <w:t xml:space="preserve"> the 2017 NPS-FM implies minimal change in pollution loads going forward. Hence, to achieve the package nitrogen bottom line, most (or all) of the change required is attributed to the package. This means </w:t>
      </w:r>
      <w:proofErr w:type="spellStart"/>
      <w:r w:rsidRPr="00AA3FB2">
        <w:rPr>
          <w:lang w:eastAsia="en-GB"/>
        </w:rPr>
        <w:t>DairyNZ</w:t>
      </w:r>
      <w:proofErr w:type="spellEnd"/>
      <w:r w:rsidRPr="00AA3FB2">
        <w:rPr>
          <w:lang w:eastAsia="en-GB"/>
        </w:rPr>
        <w:t xml:space="preserve"> attributes, in effect, the marginal </w:t>
      </w:r>
      <w:proofErr w:type="gramStart"/>
      <w:r w:rsidRPr="00AA3FB2">
        <w:rPr>
          <w:lang w:eastAsia="en-GB"/>
        </w:rPr>
        <w:t>nitrogen pollution load r</w:t>
      </w:r>
      <w:r w:rsidR="0054339D">
        <w:rPr>
          <w:lang w:eastAsia="en-GB"/>
        </w:rPr>
        <w:t>eductions</w:t>
      </w:r>
      <w:proofErr w:type="gramEnd"/>
      <w:r w:rsidR="0054339D">
        <w:rPr>
          <w:lang w:eastAsia="en-GB"/>
        </w:rPr>
        <w:t xml:space="preserve"> in the left panel of </w:t>
      </w:r>
      <w:r w:rsidR="00C2206B">
        <w:rPr>
          <w:lang w:eastAsia="en-GB"/>
        </w:rPr>
        <w:t>f</w:t>
      </w:r>
      <w:r w:rsidRPr="00AA3FB2">
        <w:rPr>
          <w:lang w:eastAsia="en-GB"/>
        </w:rPr>
        <w:t>igure 1, and those in the middle panel, to the package. If, in addition</w:t>
      </w:r>
      <w:r w:rsidR="00750080">
        <w:rPr>
          <w:lang w:eastAsia="en-GB"/>
        </w:rPr>
        <w:t>,</w:t>
      </w:r>
      <w:r w:rsidRPr="00AA3FB2">
        <w:rPr>
          <w:lang w:eastAsia="en-GB"/>
        </w:rPr>
        <w:t xml:space="preserve"> </w:t>
      </w:r>
      <w:proofErr w:type="spellStart"/>
      <w:r w:rsidRPr="00AA3FB2">
        <w:rPr>
          <w:lang w:eastAsia="en-GB"/>
        </w:rPr>
        <w:t>DairyNZ</w:t>
      </w:r>
      <w:proofErr w:type="spellEnd"/>
      <w:r w:rsidRPr="00AA3FB2">
        <w:rPr>
          <w:lang w:eastAsia="en-GB"/>
        </w:rPr>
        <w:t xml:space="preserve"> assumes </w:t>
      </w:r>
      <w:r w:rsidR="0054339D">
        <w:rPr>
          <w:lang w:eastAsia="en-GB"/>
        </w:rPr>
        <w:t>council</w:t>
      </w:r>
      <w:r w:rsidR="002D7A6B">
        <w:rPr>
          <w:lang w:eastAsia="en-GB"/>
        </w:rPr>
        <w:t>s are very risk averse</w:t>
      </w:r>
      <w:r w:rsidR="005E4B63">
        <w:rPr>
          <w:lang w:eastAsia="en-GB"/>
        </w:rPr>
        <w:t>, the estimated cost of achieving a</w:t>
      </w:r>
      <w:r w:rsidR="008811D6">
        <w:rPr>
          <w:lang w:eastAsia="en-GB"/>
        </w:rPr>
        <w:t xml:space="preserve"> given</w:t>
      </w:r>
      <w:r w:rsidR="005E4B63">
        <w:rPr>
          <w:lang w:eastAsia="en-GB"/>
        </w:rPr>
        <w:t xml:space="preserve"> bottom line w</w:t>
      </w:r>
      <w:r w:rsidR="00530299">
        <w:rPr>
          <w:lang w:eastAsia="en-GB"/>
        </w:rPr>
        <w:t xml:space="preserve">ould </w:t>
      </w:r>
      <w:r w:rsidR="005E4B63">
        <w:rPr>
          <w:lang w:eastAsia="en-GB"/>
        </w:rPr>
        <w:t>be higher than otherwise</w:t>
      </w:r>
      <w:r w:rsidRPr="00AA3FB2">
        <w:rPr>
          <w:lang w:eastAsia="en-GB"/>
        </w:rPr>
        <w:t xml:space="preserve">. </w:t>
      </w:r>
    </w:p>
    <w:p w14:paraId="010866E8" w14:textId="685703F9" w:rsidR="00226A8B" w:rsidRPr="00AA3FB2" w:rsidRDefault="00226A8B" w:rsidP="001944B1">
      <w:pPr>
        <w:pStyle w:val="BodyText"/>
        <w:rPr>
          <w:lang w:eastAsia="en-GB"/>
        </w:rPr>
      </w:pPr>
      <w:proofErr w:type="spellStart"/>
      <w:r w:rsidRPr="00AA3FB2">
        <w:rPr>
          <w:lang w:eastAsia="en-GB"/>
        </w:rPr>
        <w:t>DairyNZ</w:t>
      </w:r>
      <w:proofErr w:type="spellEnd"/>
      <w:r w:rsidRPr="00AA3FB2">
        <w:rPr>
          <w:lang w:eastAsia="en-GB"/>
        </w:rPr>
        <w:t xml:space="preserve"> has described where </w:t>
      </w:r>
      <w:r w:rsidR="00C2206B">
        <w:rPr>
          <w:lang w:eastAsia="en-GB"/>
        </w:rPr>
        <w:t>it</w:t>
      </w:r>
      <w:r w:rsidRPr="00AA3FB2">
        <w:rPr>
          <w:lang w:eastAsia="en-GB"/>
        </w:rPr>
        <w:t xml:space="preserve"> envisage</w:t>
      </w:r>
      <w:r w:rsidR="00C2206B">
        <w:rPr>
          <w:lang w:eastAsia="en-GB"/>
        </w:rPr>
        <w:t>s</w:t>
      </w:r>
      <w:r w:rsidRPr="00AA3FB2">
        <w:rPr>
          <w:lang w:eastAsia="en-GB"/>
        </w:rPr>
        <w:t xml:space="preserve"> differences arising:</w:t>
      </w:r>
    </w:p>
    <w:p w14:paraId="2582036F" w14:textId="71DC21B9" w:rsidR="00226A8B" w:rsidRPr="00AA3FB2" w:rsidRDefault="00226A8B" w:rsidP="00467287">
      <w:pPr>
        <w:pStyle w:val="Quote"/>
        <w:spacing w:line="270" w:lineRule="atLeast"/>
        <w:rPr>
          <w:lang w:eastAsia="en-US"/>
        </w:rPr>
      </w:pPr>
      <w:r w:rsidRPr="00AA3FB2">
        <w:rPr>
          <w:lang w:eastAsia="en-US"/>
        </w:rPr>
        <w:t xml:space="preserve">We note that </w:t>
      </w:r>
      <w:proofErr w:type="spellStart"/>
      <w:r w:rsidRPr="00AA3FB2">
        <w:rPr>
          <w:lang w:eastAsia="en-US"/>
        </w:rPr>
        <w:t>MfE</w:t>
      </w:r>
      <w:proofErr w:type="spellEnd"/>
      <w:r w:rsidR="00FD4A7A">
        <w:rPr>
          <w:lang w:eastAsia="en-US"/>
        </w:rPr>
        <w:t xml:space="preserve"> [Ministry for the Environment]</w:t>
      </w:r>
      <w:r w:rsidRPr="00AA3FB2">
        <w:rPr>
          <w:lang w:eastAsia="en-US"/>
        </w:rPr>
        <w:t xml:space="preserve"> have applied a modelling approach to assess where the existing (2014) NPS national bottom line is being met or not, and subsequently the impact of DIN after </w:t>
      </w:r>
      <w:proofErr w:type="spellStart"/>
      <w:r w:rsidRPr="00AA3FB2">
        <w:rPr>
          <w:lang w:eastAsia="en-US"/>
        </w:rPr>
        <w:t>periphyton</w:t>
      </w:r>
      <w:proofErr w:type="spellEnd"/>
      <w:r w:rsidRPr="00AA3FB2">
        <w:rPr>
          <w:lang w:eastAsia="en-US"/>
        </w:rPr>
        <w:t xml:space="preserve"> has been accounted for. This model significantly over-predicts the proportion of sites that exceed the </w:t>
      </w:r>
      <w:proofErr w:type="spellStart"/>
      <w:r w:rsidRPr="00AA3FB2">
        <w:rPr>
          <w:lang w:eastAsia="en-US"/>
        </w:rPr>
        <w:t>periphyton</w:t>
      </w:r>
      <w:proofErr w:type="spellEnd"/>
      <w:r w:rsidRPr="00AA3FB2">
        <w:rPr>
          <w:lang w:eastAsia="en-US"/>
        </w:rPr>
        <w:t xml:space="preserve"> bottom line (by a factor of around 8) when compared to actual regional council monitoring data from all sites nationally (model assumes 62</w:t>
      </w:r>
      <w:r w:rsidR="008A16CE">
        <w:rPr>
          <w:lang w:eastAsia="en-US"/>
        </w:rPr>
        <w:t xml:space="preserve"> per cent</w:t>
      </w:r>
      <w:r w:rsidRPr="00AA3FB2">
        <w:rPr>
          <w:lang w:eastAsia="en-US"/>
        </w:rPr>
        <w:t xml:space="preserve"> of sites exceed, actual data from the same sites shows only 8</w:t>
      </w:r>
      <w:r w:rsidR="008A16CE">
        <w:rPr>
          <w:lang w:eastAsia="en-US"/>
        </w:rPr>
        <w:t xml:space="preserve"> per cent</w:t>
      </w:r>
      <w:r w:rsidRPr="00AA3FB2">
        <w:rPr>
          <w:lang w:eastAsia="en-US"/>
        </w:rPr>
        <w:t xml:space="preserve"> exceed). </w:t>
      </w:r>
      <w:proofErr w:type="spellStart"/>
      <w:r w:rsidRPr="00AA3FB2">
        <w:rPr>
          <w:lang w:eastAsia="en-US"/>
        </w:rPr>
        <w:t>DairyNZ</w:t>
      </w:r>
      <w:proofErr w:type="spellEnd"/>
      <w:r w:rsidRPr="00AA3FB2">
        <w:rPr>
          <w:lang w:eastAsia="en-US"/>
        </w:rPr>
        <w:t xml:space="preserve"> therefore believe the model </w:t>
      </w:r>
      <w:proofErr w:type="gramStart"/>
      <w:r w:rsidRPr="00AA3FB2">
        <w:rPr>
          <w:lang w:eastAsia="en-US"/>
        </w:rPr>
        <w:t>is not fit</w:t>
      </w:r>
      <w:proofErr w:type="gramEnd"/>
      <w:r w:rsidRPr="00AA3FB2">
        <w:rPr>
          <w:lang w:eastAsia="en-US"/>
        </w:rPr>
        <w:t xml:space="preserve"> for purpose to assess the impact of the existing NPS.</w:t>
      </w:r>
    </w:p>
    <w:p w14:paraId="7F042061" w14:textId="719CD07E" w:rsidR="00226A8B" w:rsidRPr="00AA3FB2" w:rsidRDefault="00226A8B" w:rsidP="002D2EFB">
      <w:pPr>
        <w:pStyle w:val="Quote"/>
        <w:spacing w:before="120" w:line="270" w:lineRule="atLeast"/>
        <w:rPr>
          <w:lang w:eastAsia="en-GB"/>
        </w:rPr>
      </w:pPr>
      <w:proofErr w:type="spellStart"/>
      <w:r w:rsidRPr="00AA3FB2">
        <w:rPr>
          <w:lang w:eastAsia="en-GB"/>
        </w:rPr>
        <w:t>DairyNZ</w:t>
      </w:r>
      <w:proofErr w:type="spellEnd"/>
      <w:r w:rsidRPr="00AA3FB2">
        <w:rPr>
          <w:lang w:eastAsia="en-GB"/>
        </w:rPr>
        <w:t xml:space="preserve"> believes the difference in economic results is likely due to the application of this</w:t>
      </w:r>
      <w:r w:rsidR="00467287" w:rsidRPr="00AA3FB2">
        <w:rPr>
          <w:lang w:eastAsia="en-GB"/>
        </w:rPr>
        <w:t> </w:t>
      </w:r>
      <w:r w:rsidRPr="00AA3FB2">
        <w:rPr>
          <w:lang w:eastAsia="en-GB"/>
        </w:rPr>
        <w:t xml:space="preserve">uncertain </w:t>
      </w:r>
      <w:proofErr w:type="spellStart"/>
      <w:r w:rsidRPr="00AA3FB2">
        <w:rPr>
          <w:lang w:eastAsia="en-GB"/>
        </w:rPr>
        <w:t>periphyton</w:t>
      </w:r>
      <w:proofErr w:type="spellEnd"/>
      <w:r w:rsidRPr="00AA3FB2">
        <w:rPr>
          <w:lang w:eastAsia="en-GB"/>
        </w:rPr>
        <w:t xml:space="preserve"> model, which overestimates the impact of the old NPS, and </w:t>
      </w:r>
      <w:r w:rsidRPr="00AA3FB2">
        <w:rPr>
          <w:lang w:eastAsia="en-GB"/>
        </w:rPr>
        <w:lastRenderedPageBreak/>
        <w:t>underestimates the impact of the new DIN or nitrate protection scenarios. (</w:t>
      </w:r>
      <w:r w:rsidR="001944B1" w:rsidRPr="00AA3FB2">
        <w:rPr>
          <w:lang w:eastAsia="en-GB"/>
        </w:rPr>
        <w:t>L</w:t>
      </w:r>
      <w:r w:rsidR="00FD4A7A">
        <w:rPr>
          <w:lang w:eastAsia="en-GB"/>
        </w:rPr>
        <w:t xml:space="preserve">etter from </w:t>
      </w:r>
      <w:proofErr w:type="spellStart"/>
      <w:r w:rsidR="00FD4A7A">
        <w:rPr>
          <w:lang w:eastAsia="en-GB"/>
        </w:rPr>
        <w:t>DairyNZ</w:t>
      </w:r>
      <w:proofErr w:type="spellEnd"/>
      <w:r w:rsidR="00FD4A7A">
        <w:rPr>
          <w:lang w:eastAsia="en-GB"/>
        </w:rPr>
        <w:t xml:space="preserve"> to Ministry for Primary Industries and Ministry for the Environment</w:t>
      </w:r>
      <w:r w:rsidRPr="00AA3FB2">
        <w:rPr>
          <w:lang w:eastAsia="en-GB"/>
        </w:rPr>
        <w:t xml:space="preserve"> 14 May 2020)</w:t>
      </w:r>
    </w:p>
    <w:p w14:paraId="2E23FEE3" w14:textId="1D505A4F" w:rsidR="00226A8B" w:rsidRPr="00AA3FB2" w:rsidRDefault="00226A8B" w:rsidP="00EB7D29">
      <w:pPr>
        <w:pStyle w:val="BodyText"/>
        <w:rPr>
          <w:lang w:eastAsia="en-GB"/>
        </w:rPr>
      </w:pPr>
      <w:r w:rsidRPr="00AA3FB2">
        <w:rPr>
          <w:lang w:eastAsia="en-GB"/>
        </w:rPr>
        <w:t>The modelling approach applied by NIWA and relied on by officials has been peer-reviewed and found to be appropriate.</w:t>
      </w:r>
    </w:p>
    <w:p w14:paraId="02332157" w14:textId="1CA5558B" w:rsidR="008A16CE" w:rsidRDefault="00226A8B" w:rsidP="00EB7D29">
      <w:pPr>
        <w:pStyle w:val="BodyText"/>
        <w:rPr>
          <w:lang w:eastAsia="en-GB"/>
        </w:rPr>
      </w:pPr>
      <w:proofErr w:type="gramStart"/>
      <w:r w:rsidRPr="00AA3FB2">
        <w:rPr>
          <w:lang w:eastAsia="en-GB"/>
        </w:rPr>
        <w:t>In addition to differenc</w:t>
      </w:r>
      <w:r w:rsidR="00D11768">
        <w:rPr>
          <w:lang w:eastAsia="en-GB"/>
        </w:rPr>
        <w:t>es with respect to the 2107 NPS-</w:t>
      </w:r>
      <w:r w:rsidR="008A16CE">
        <w:rPr>
          <w:lang w:eastAsia="en-GB"/>
        </w:rPr>
        <w:t xml:space="preserve">FM </w:t>
      </w:r>
      <w:proofErr w:type="spellStart"/>
      <w:r w:rsidRPr="00AA3FB2">
        <w:rPr>
          <w:lang w:eastAsia="en-GB"/>
        </w:rPr>
        <w:t>DairyNZ’s</w:t>
      </w:r>
      <w:proofErr w:type="spellEnd"/>
      <w:r w:rsidRPr="00AA3FB2">
        <w:rPr>
          <w:lang w:eastAsia="en-GB"/>
        </w:rPr>
        <w:t xml:space="preserve"> modelling results were based on a stock exclusion policy which goes beyond the package</w:t>
      </w:r>
      <w:r w:rsidR="008A16CE">
        <w:rPr>
          <w:lang w:eastAsia="en-GB"/>
        </w:rPr>
        <w:t>: (</w:t>
      </w:r>
      <w:r w:rsidRPr="00AA3FB2">
        <w:rPr>
          <w:lang w:eastAsia="en-GB"/>
        </w:rPr>
        <w:t xml:space="preserve">Dairy NZ assumed existing non-compliant fences would have to be moved, small streams would have to be fenced and a setback of </w:t>
      </w:r>
      <w:r w:rsidR="008A16CE">
        <w:rPr>
          <w:lang w:eastAsia="en-GB"/>
        </w:rPr>
        <w:t>five</w:t>
      </w:r>
      <w:r w:rsidRPr="00AA3FB2">
        <w:rPr>
          <w:lang w:eastAsia="en-GB"/>
        </w:rPr>
        <w:t xml:space="preserve"> metres would be required, not </w:t>
      </w:r>
      <w:r w:rsidR="008A16CE">
        <w:rPr>
          <w:lang w:eastAsia="en-GB"/>
        </w:rPr>
        <w:t>three</w:t>
      </w:r>
      <w:r w:rsidRPr="00AA3FB2">
        <w:rPr>
          <w:lang w:eastAsia="en-GB"/>
        </w:rPr>
        <w:t xml:space="preserve"> metres); a nitrogen leaching cap for the worst 25</w:t>
      </w:r>
      <w:r w:rsidR="003A5BD0">
        <w:rPr>
          <w:lang w:eastAsia="en-GB"/>
        </w:rPr>
        <w:t> </w:t>
      </w:r>
      <w:r w:rsidR="00366407">
        <w:rPr>
          <w:lang w:eastAsia="en-GB"/>
        </w:rPr>
        <w:t>per</w:t>
      </w:r>
      <w:r w:rsidR="008A16CE">
        <w:rPr>
          <w:lang w:eastAsia="en-GB"/>
        </w:rPr>
        <w:t xml:space="preserve"> </w:t>
      </w:r>
      <w:r w:rsidR="00366407">
        <w:rPr>
          <w:lang w:eastAsia="en-GB"/>
        </w:rPr>
        <w:t>cent</w:t>
      </w:r>
      <w:r w:rsidRPr="00AA3FB2">
        <w:rPr>
          <w:lang w:eastAsia="en-GB"/>
        </w:rPr>
        <w:t xml:space="preserve"> of farms (a policy that was proposed but is not part of the </w:t>
      </w:r>
      <w:r w:rsidR="007B5E6D">
        <w:rPr>
          <w:lang w:eastAsia="en-GB"/>
        </w:rPr>
        <w:t xml:space="preserve">final </w:t>
      </w:r>
      <w:r w:rsidRPr="00AA3FB2">
        <w:rPr>
          <w:lang w:eastAsia="en-GB"/>
        </w:rPr>
        <w:t>package); and whole farm plan costs which exceed those assumed by officials.</w:t>
      </w:r>
      <w:proofErr w:type="gramEnd"/>
      <w:r w:rsidRPr="00AA3FB2">
        <w:rPr>
          <w:lang w:eastAsia="en-GB"/>
        </w:rPr>
        <w:t xml:space="preserve"> </w:t>
      </w:r>
    </w:p>
    <w:p w14:paraId="35F624AE" w14:textId="2985D754" w:rsidR="00226A8B" w:rsidRPr="00AA3FB2" w:rsidRDefault="00C8759C" w:rsidP="00EB7D29">
      <w:pPr>
        <w:pStyle w:val="BodyText"/>
        <w:rPr>
          <w:lang w:eastAsia="en-GB"/>
        </w:rPr>
      </w:pPr>
      <w:r>
        <w:rPr>
          <w:lang w:eastAsia="en-GB"/>
        </w:rPr>
        <w:t>A further</w:t>
      </w:r>
      <w:r w:rsidR="00A15F5E">
        <w:rPr>
          <w:lang w:eastAsia="en-GB"/>
        </w:rPr>
        <w:t xml:space="preserve"> difference relates to new income from l</w:t>
      </w:r>
      <w:r w:rsidR="008A16CE">
        <w:rPr>
          <w:lang w:eastAsia="en-GB"/>
        </w:rPr>
        <w:t>and-</w:t>
      </w:r>
      <w:r w:rsidR="00A15F5E">
        <w:rPr>
          <w:lang w:eastAsia="en-GB"/>
        </w:rPr>
        <w:t>use change. Unlike the modelling done by Resource Economics</w:t>
      </w:r>
      <w:r w:rsidR="00FE28CA">
        <w:rPr>
          <w:lang w:eastAsia="en-GB"/>
        </w:rPr>
        <w:t xml:space="preserve">, </w:t>
      </w:r>
      <w:proofErr w:type="spellStart"/>
      <w:r w:rsidR="00FE28CA">
        <w:rPr>
          <w:lang w:eastAsia="en-GB"/>
        </w:rPr>
        <w:t>DairyNZ’s</w:t>
      </w:r>
      <w:proofErr w:type="spellEnd"/>
      <w:r w:rsidR="00FE28CA">
        <w:rPr>
          <w:lang w:eastAsia="en-GB"/>
        </w:rPr>
        <w:t xml:space="preserve"> modelling d</w:t>
      </w:r>
      <w:r w:rsidR="008A16CE">
        <w:rPr>
          <w:lang w:eastAsia="en-GB"/>
        </w:rPr>
        <w:t>id not include income from land-</w:t>
      </w:r>
      <w:r w:rsidR="00FE28CA">
        <w:rPr>
          <w:lang w:eastAsia="en-GB"/>
        </w:rPr>
        <w:t>use change.</w:t>
      </w:r>
    </w:p>
    <w:p w14:paraId="5A49B4A2" w14:textId="489EC507" w:rsidR="00226A8B" w:rsidRPr="00211727" w:rsidRDefault="00226A8B" w:rsidP="00211727">
      <w:pPr>
        <w:pStyle w:val="BodyText"/>
      </w:pPr>
      <w:r w:rsidRPr="00211727">
        <w:t xml:space="preserve">Resource </w:t>
      </w:r>
      <w:proofErr w:type="gramStart"/>
      <w:r w:rsidRPr="00211727">
        <w:t>Economics’</w:t>
      </w:r>
      <w:proofErr w:type="gramEnd"/>
      <w:r w:rsidRPr="00211727">
        <w:t xml:space="preserve"> and </w:t>
      </w:r>
      <w:proofErr w:type="spellStart"/>
      <w:r w:rsidRPr="00211727">
        <w:t>Sapere’s</w:t>
      </w:r>
      <w:proofErr w:type="spellEnd"/>
      <w:r w:rsidRPr="00211727">
        <w:t xml:space="preserve"> reports highlight differences in regional impacts. The region</w:t>
      </w:r>
      <w:r w:rsidR="00467287" w:rsidRPr="00211727">
        <w:t> </w:t>
      </w:r>
      <w:r w:rsidRPr="00211727">
        <w:t xml:space="preserve">found to be most likely to </w:t>
      </w:r>
      <w:proofErr w:type="gramStart"/>
      <w:r w:rsidRPr="00211727">
        <w:t>be impacted</w:t>
      </w:r>
      <w:proofErr w:type="gramEnd"/>
      <w:r w:rsidRPr="00211727">
        <w:t xml:space="preserve"> by the nitrogen proposals</w:t>
      </w:r>
      <w:r w:rsidR="005C139A" w:rsidRPr="00211727">
        <w:t xml:space="preserve"> is </w:t>
      </w:r>
      <w:r w:rsidRPr="00211727">
        <w:t>Canterbury</w:t>
      </w:r>
      <w:r w:rsidR="00CE7AC6" w:rsidRPr="00211727">
        <w:t>, incurring $25 million of the $30 million nationwide impact</w:t>
      </w:r>
      <w:r w:rsidR="00B16E83" w:rsidRPr="00211727">
        <w:t xml:space="preserve"> estimated by Resource Economics</w:t>
      </w:r>
      <w:r w:rsidRPr="00211727">
        <w:t>.</w:t>
      </w:r>
    </w:p>
    <w:p w14:paraId="176DA636" w14:textId="6395E0F4" w:rsidR="00226A8B" w:rsidRPr="00AA3FB2" w:rsidRDefault="00226A8B" w:rsidP="00EB7D29">
      <w:pPr>
        <w:pStyle w:val="BodyText"/>
        <w:rPr>
          <w:lang w:eastAsia="en-GB"/>
        </w:rPr>
      </w:pPr>
      <w:r w:rsidRPr="00AA3FB2">
        <w:rPr>
          <w:lang w:eastAsia="en-GB"/>
        </w:rPr>
        <w:t xml:space="preserve">The profit impacts, and </w:t>
      </w:r>
      <w:r w:rsidR="008A16CE">
        <w:rPr>
          <w:lang w:eastAsia="en-GB"/>
        </w:rPr>
        <w:t>land-use changes</w:t>
      </w:r>
      <w:r w:rsidRPr="00AA3FB2">
        <w:rPr>
          <w:lang w:eastAsia="en-GB"/>
        </w:rPr>
        <w:t xml:space="preserve">, estimated by Resource Economics for nutrient bottom lines, </w:t>
      </w:r>
      <w:proofErr w:type="gramStart"/>
      <w:r w:rsidRPr="00AA3FB2">
        <w:rPr>
          <w:lang w:eastAsia="en-GB"/>
        </w:rPr>
        <w:t>were combined</w:t>
      </w:r>
      <w:proofErr w:type="gramEnd"/>
      <w:r w:rsidRPr="00AA3FB2">
        <w:rPr>
          <w:lang w:eastAsia="en-GB"/>
        </w:rPr>
        <w:t xml:space="preserve"> with cost impacts estimated for farm plans and stock exclusion and provided to NZIER who applied them as ‘policy shocks’ within their regional computable general equilibrium (‘CGE’) model. The NZIER’s CGE model results showed very small nationwide impacts </w:t>
      </w:r>
      <w:proofErr w:type="gramStart"/>
      <w:r w:rsidRPr="00AA3FB2">
        <w:rPr>
          <w:lang w:eastAsia="en-GB"/>
        </w:rPr>
        <w:t>as a result</w:t>
      </w:r>
      <w:proofErr w:type="gramEnd"/>
      <w:r w:rsidRPr="00AA3FB2">
        <w:rPr>
          <w:lang w:eastAsia="en-GB"/>
        </w:rPr>
        <w:t xml:space="preserve"> of these three policies. The marginal impact of the freshwater package on real GDP </w:t>
      </w:r>
      <w:proofErr w:type="gramStart"/>
      <w:r w:rsidRPr="00AA3FB2">
        <w:rPr>
          <w:lang w:eastAsia="en-GB"/>
        </w:rPr>
        <w:t>was reported</w:t>
      </w:r>
      <w:proofErr w:type="gramEnd"/>
      <w:r w:rsidRPr="00AA3FB2">
        <w:rPr>
          <w:lang w:eastAsia="en-GB"/>
        </w:rPr>
        <w:t xml:space="preserve"> as a reduction of $193 million or an impact of</w:t>
      </w:r>
      <w:r w:rsidR="00467287" w:rsidRPr="00AA3FB2">
        <w:rPr>
          <w:lang w:eastAsia="en-GB"/>
        </w:rPr>
        <w:t> </w:t>
      </w:r>
      <w:r w:rsidRPr="00AA3FB2">
        <w:rPr>
          <w:lang w:eastAsia="en-GB"/>
        </w:rPr>
        <w:t>negative 0.04</w:t>
      </w:r>
      <w:r w:rsidR="00581EBF">
        <w:rPr>
          <w:lang w:eastAsia="en-GB"/>
        </w:rPr>
        <w:t> </w:t>
      </w:r>
      <w:r w:rsidR="008A16CE">
        <w:rPr>
          <w:lang w:eastAsia="en-GB"/>
        </w:rPr>
        <w:t>per cent</w:t>
      </w:r>
      <w:r w:rsidRPr="00AA3FB2">
        <w:rPr>
          <w:lang w:eastAsia="en-GB"/>
        </w:rPr>
        <w:t xml:space="preserve"> by 2050.</w:t>
      </w:r>
      <w:r w:rsidRPr="00AA3FB2">
        <w:rPr>
          <w:vertAlign w:val="superscript"/>
          <w:lang w:eastAsia="en-GB"/>
        </w:rPr>
        <w:footnoteReference w:id="7"/>
      </w:r>
      <w:r w:rsidR="00D11768">
        <w:rPr>
          <w:lang w:eastAsia="en-GB"/>
        </w:rPr>
        <w:t xml:space="preserve"> The results are summarised in t</w:t>
      </w:r>
      <w:r w:rsidRPr="00AA3FB2">
        <w:rPr>
          <w:lang w:eastAsia="en-GB"/>
        </w:rPr>
        <w:t xml:space="preserve">able 1. </w:t>
      </w:r>
    </w:p>
    <w:p w14:paraId="3DF79644" w14:textId="01B0B417" w:rsidR="00226A8B" w:rsidRPr="00AA3FB2" w:rsidRDefault="00D11768" w:rsidP="00EB7D29">
      <w:pPr>
        <w:pStyle w:val="BodyText"/>
        <w:rPr>
          <w:lang w:eastAsia="en-GB"/>
        </w:rPr>
      </w:pPr>
      <w:r>
        <w:rPr>
          <w:lang w:eastAsia="en-GB"/>
        </w:rPr>
        <w:t>Table 1 draws on NZIER’s t</w:t>
      </w:r>
      <w:r w:rsidR="00226A8B" w:rsidRPr="00AA3FB2">
        <w:rPr>
          <w:lang w:eastAsia="en-GB"/>
        </w:rPr>
        <w:t>able 3 but (unlike NZIER’s table) also shows the marginal impact of the package.</w:t>
      </w:r>
    </w:p>
    <w:p w14:paraId="64ADEC78" w14:textId="3CAC6627" w:rsidR="00226A8B" w:rsidRPr="00AA3FB2" w:rsidRDefault="00226A8B" w:rsidP="00532CDD">
      <w:pPr>
        <w:pStyle w:val="Tableheading"/>
        <w:rPr>
          <w:lang w:eastAsia="en-GB"/>
        </w:rPr>
      </w:pPr>
      <w:bookmarkStart w:id="9" w:name="_Toc41498578"/>
      <w:r w:rsidRPr="00AA3FB2">
        <w:rPr>
          <w:lang w:eastAsia="en-GB"/>
        </w:rPr>
        <w:t>Table 1</w:t>
      </w:r>
      <w:r w:rsidR="00532CDD" w:rsidRPr="00AA3FB2">
        <w:rPr>
          <w:lang w:eastAsia="en-GB"/>
        </w:rPr>
        <w:t>:</w:t>
      </w:r>
      <w:r w:rsidR="00532CDD" w:rsidRPr="00AA3FB2">
        <w:rPr>
          <w:lang w:eastAsia="en-GB"/>
        </w:rPr>
        <w:tab/>
      </w:r>
      <w:r w:rsidRPr="00AA3FB2">
        <w:rPr>
          <w:lang w:eastAsia="en-GB"/>
        </w:rPr>
        <w:t>Major economic indicators</w:t>
      </w:r>
      <w:bookmarkEnd w:id="9"/>
    </w:p>
    <w:tbl>
      <w:tblPr>
        <w:tblStyle w:val="TableGrid4"/>
        <w:tblW w:w="8505" w:type="dxa"/>
        <w:tblBorders>
          <w:top w:val="single" w:sz="4" w:space="0" w:color="1C556C" w:themeColor="accent1"/>
          <w:left w:val="none" w:sz="0" w:space="0" w:color="auto"/>
          <w:bottom w:val="single" w:sz="4" w:space="0" w:color="1C556C" w:themeColor="accent1"/>
          <w:right w:val="none" w:sz="0" w:space="0" w:color="auto"/>
          <w:insideH w:val="single" w:sz="4" w:space="0" w:color="1C556C" w:themeColor="accent1"/>
          <w:insideV w:val="single" w:sz="4" w:space="0" w:color="1C556C" w:themeColor="accent1"/>
        </w:tblBorders>
        <w:tblLook w:val="04A0" w:firstRow="1" w:lastRow="0" w:firstColumn="1" w:lastColumn="0" w:noHBand="0" w:noVBand="1"/>
      </w:tblPr>
      <w:tblGrid>
        <w:gridCol w:w="1679"/>
        <w:gridCol w:w="1941"/>
        <w:gridCol w:w="1733"/>
        <w:gridCol w:w="3152"/>
      </w:tblGrid>
      <w:tr w:rsidR="00047E41" w:rsidRPr="00AA3FB2" w14:paraId="0F5606B3" w14:textId="77777777" w:rsidTr="00104225">
        <w:tc>
          <w:tcPr>
            <w:tcW w:w="1679" w:type="dxa"/>
            <w:shd w:val="clear" w:color="auto" w:fill="1C556C" w:themeFill="accent1"/>
            <w:vAlign w:val="bottom"/>
          </w:tcPr>
          <w:p w14:paraId="75524060" w14:textId="77777777" w:rsidR="00226A8B" w:rsidRPr="00AA3FB2" w:rsidRDefault="00226A8B" w:rsidP="00047E41">
            <w:pPr>
              <w:pStyle w:val="TableTextbold"/>
              <w:rPr>
                <w:color w:val="FFFFFF" w:themeColor="background1"/>
              </w:rPr>
            </w:pPr>
            <w:r w:rsidRPr="00AA3FB2">
              <w:rPr>
                <w:color w:val="FFFFFF" w:themeColor="background1"/>
              </w:rPr>
              <w:t>Economic Indicator</w:t>
            </w:r>
          </w:p>
        </w:tc>
        <w:tc>
          <w:tcPr>
            <w:tcW w:w="1941" w:type="dxa"/>
            <w:shd w:val="clear" w:color="auto" w:fill="1C556C" w:themeFill="accent1"/>
            <w:vAlign w:val="bottom"/>
          </w:tcPr>
          <w:p w14:paraId="6F7C9450" w14:textId="0CA53A5B" w:rsidR="00226A8B" w:rsidRPr="00AA3FB2" w:rsidRDefault="00226A8B" w:rsidP="00047E41">
            <w:pPr>
              <w:pStyle w:val="TableTextbold"/>
              <w:jc w:val="center"/>
              <w:rPr>
                <w:color w:val="FFFFFF" w:themeColor="background1"/>
              </w:rPr>
            </w:pPr>
            <w:r w:rsidRPr="00AA3FB2">
              <w:rPr>
                <w:color w:val="FFFFFF" w:themeColor="background1"/>
              </w:rPr>
              <w:t xml:space="preserve">2017 NPS-FM </w:t>
            </w:r>
            <w:r w:rsidR="005E5DE1">
              <w:rPr>
                <w:color w:val="FFFFFF" w:themeColor="background1"/>
              </w:rPr>
              <w:br/>
            </w:r>
            <w:r w:rsidRPr="00AA3FB2">
              <w:rPr>
                <w:color w:val="FFFFFF" w:themeColor="background1"/>
              </w:rPr>
              <w:t>by 2050</w:t>
            </w:r>
            <w:r w:rsidR="003A5BD0">
              <w:rPr>
                <w:color w:val="FFFFFF" w:themeColor="background1"/>
              </w:rPr>
              <w:t xml:space="preserve"> (</w:t>
            </w:r>
            <w:r w:rsidR="008A16CE">
              <w:rPr>
                <w:color w:val="FFFFFF" w:themeColor="background1"/>
              </w:rPr>
              <w:t xml:space="preserve"> per cent</w:t>
            </w:r>
            <w:r w:rsidR="003A5BD0">
              <w:rPr>
                <w:color w:val="FFFFFF" w:themeColor="background1"/>
              </w:rPr>
              <w:t>)</w:t>
            </w:r>
          </w:p>
        </w:tc>
        <w:tc>
          <w:tcPr>
            <w:tcW w:w="1733" w:type="dxa"/>
            <w:shd w:val="clear" w:color="auto" w:fill="1C556C" w:themeFill="accent1"/>
            <w:vAlign w:val="bottom"/>
          </w:tcPr>
          <w:p w14:paraId="1952C191" w14:textId="0F78799D" w:rsidR="00226A8B" w:rsidRPr="00AA3FB2" w:rsidRDefault="00226A8B" w:rsidP="00047E41">
            <w:pPr>
              <w:pStyle w:val="TableTextbold"/>
              <w:jc w:val="center"/>
              <w:rPr>
                <w:color w:val="FFFFFF" w:themeColor="background1"/>
              </w:rPr>
            </w:pPr>
            <w:r w:rsidRPr="00AA3FB2">
              <w:rPr>
                <w:color w:val="FFFFFF" w:themeColor="background1"/>
              </w:rPr>
              <w:t>EFW Package Two</w:t>
            </w:r>
            <w:r w:rsidR="005E5DE1">
              <w:rPr>
                <w:color w:val="FFFFFF" w:themeColor="background1"/>
              </w:rPr>
              <w:t xml:space="preserve"> (</w:t>
            </w:r>
            <w:r w:rsidR="008A16CE">
              <w:rPr>
                <w:color w:val="FFFFFF" w:themeColor="background1"/>
              </w:rPr>
              <w:t xml:space="preserve"> per cent</w:t>
            </w:r>
            <w:r w:rsidR="005E5DE1">
              <w:rPr>
                <w:color w:val="FFFFFF" w:themeColor="background1"/>
              </w:rPr>
              <w:t>)</w:t>
            </w:r>
          </w:p>
        </w:tc>
        <w:tc>
          <w:tcPr>
            <w:tcW w:w="3152" w:type="dxa"/>
            <w:shd w:val="clear" w:color="auto" w:fill="1C556C" w:themeFill="accent1"/>
            <w:vAlign w:val="bottom"/>
          </w:tcPr>
          <w:p w14:paraId="16D89EEF" w14:textId="3541CCBB" w:rsidR="00226A8B" w:rsidRPr="00AA3FB2" w:rsidRDefault="00226A8B" w:rsidP="00047E41">
            <w:pPr>
              <w:pStyle w:val="TableTextbold"/>
              <w:jc w:val="center"/>
              <w:rPr>
                <w:color w:val="FFFFFF" w:themeColor="background1"/>
              </w:rPr>
            </w:pPr>
            <w:r w:rsidRPr="00AA3FB2">
              <w:rPr>
                <w:color w:val="FFFFFF" w:themeColor="background1"/>
              </w:rPr>
              <w:t>Marginal impact of the package (impact of EFW Package Two minus impact of 2017 NPS-FM)</w:t>
            </w:r>
            <w:r w:rsidR="005E5DE1">
              <w:rPr>
                <w:color w:val="FFFFFF" w:themeColor="background1"/>
              </w:rPr>
              <w:t xml:space="preserve"> (</w:t>
            </w:r>
            <w:r w:rsidR="008A16CE">
              <w:rPr>
                <w:color w:val="FFFFFF" w:themeColor="background1"/>
              </w:rPr>
              <w:t xml:space="preserve"> per cent</w:t>
            </w:r>
            <w:r w:rsidR="005E5DE1">
              <w:rPr>
                <w:color w:val="FFFFFF" w:themeColor="background1"/>
              </w:rPr>
              <w:t>)</w:t>
            </w:r>
          </w:p>
        </w:tc>
      </w:tr>
      <w:tr w:rsidR="00226A8B" w:rsidRPr="00AA3FB2" w14:paraId="24B177D5" w14:textId="77777777" w:rsidTr="00104225">
        <w:tc>
          <w:tcPr>
            <w:tcW w:w="1679" w:type="dxa"/>
          </w:tcPr>
          <w:p w14:paraId="724BCCA1" w14:textId="77777777" w:rsidR="00226A8B" w:rsidRPr="00AA3FB2" w:rsidRDefault="00226A8B" w:rsidP="00FC05C1">
            <w:pPr>
              <w:pStyle w:val="TableText"/>
            </w:pPr>
            <w:r w:rsidRPr="00AA3FB2">
              <w:t xml:space="preserve">Real GDP </w:t>
            </w:r>
          </w:p>
        </w:tc>
        <w:tc>
          <w:tcPr>
            <w:tcW w:w="1941" w:type="dxa"/>
          </w:tcPr>
          <w:p w14:paraId="60F620E4" w14:textId="24FF4355" w:rsidR="00226A8B" w:rsidRPr="00AA3FB2" w:rsidRDefault="00047E41" w:rsidP="00FC05C1">
            <w:pPr>
              <w:pStyle w:val="TableText"/>
              <w:jc w:val="center"/>
            </w:pPr>
            <w:r w:rsidRPr="00AA3FB2">
              <w:t>–</w:t>
            </w:r>
            <w:r w:rsidR="00226A8B" w:rsidRPr="00AA3FB2">
              <w:t>0.17</w:t>
            </w:r>
          </w:p>
        </w:tc>
        <w:tc>
          <w:tcPr>
            <w:tcW w:w="1733" w:type="dxa"/>
          </w:tcPr>
          <w:p w14:paraId="5D58B3F3" w14:textId="6FC6CC99" w:rsidR="00226A8B" w:rsidRPr="00AA3FB2" w:rsidRDefault="00047E41" w:rsidP="00FC05C1">
            <w:pPr>
              <w:pStyle w:val="TableText"/>
              <w:jc w:val="center"/>
            </w:pPr>
            <w:r w:rsidRPr="00AA3FB2">
              <w:t>–</w:t>
            </w:r>
            <w:r w:rsidR="00226A8B" w:rsidRPr="00AA3FB2">
              <w:t>0.21</w:t>
            </w:r>
          </w:p>
        </w:tc>
        <w:tc>
          <w:tcPr>
            <w:tcW w:w="3152" w:type="dxa"/>
          </w:tcPr>
          <w:p w14:paraId="2EFC6B69" w14:textId="38A3F6AE" w:rsidR="00226A8B" w:rsidRPr="00AA3FB2" w:rsidRDefault="00047E41" w:rsidP="00FC05C1">
            <w:pPr>
              <w:pStyle w:val="TableText"/>
              <w:jc w:val="center"/>
            </w:pPr>
            <w:r w:rsidRPr="00AA3FB2">
              <w:t>–</w:t>
            </w:r>
            <w:r w:rsidR="00226A8B" w:rsidRPr="00AA3FB2">
              <w:t>0.04</w:t>
            </w:r>
          </w:p>
        </w:tc>
      </w:tr>
      <w:tr w:rsidR="00226A8B" w:rsidRPr="00AA3FB2" w14:paraId="660440BF" w14:textId="77777777" w:rsidTr="00104225">
        <w:tc>
          <w:tcPr>
            <w:tcW w:w="1679" w:type="dxa"/>
          </w:tcPr>
          <w:p w14:paraId="474EF44E" w14:textId="77777777" w:rsidR="00226A8B" w:rsidRPr="00AA3FB2" w:rsidRDefault="00226A8B" w:rsidP="00FC05C1">
            <w:pPr>
              <w:pStyle w:val="TableText"/>
            </w:pPr>
            <w:r w:rsidRPr="00AA3FB2">
              <w:t>Consumption</w:t>
            </w:r>
          </w:p>
        </w:tc>
        <w:tc>
          <w:tcPr>
            <w:tcW w:w="1941" w:type="dxa"/>
          </w:tcPr>
          <w:p w14:paraId="3AFF2A94" w14:textId="053B36AC" w:rsidR="00226A8B" w:rsidRPr="00AA3FB2" w:rsidRDefault="00047E41" w:rsidP="00FC05C1">
            <w:pPr>
              <w:pStyle w:val="TableText"/>
              <w:jc w:val="center"/>
            </w:pPr>
            <w:r w:rsidRPr="00AA3FB2">
              <w:t>–</w:t>
            </w:r>
            <w:r w:rsidR="00226A8B" w:rsidRPr="00AA3FB2">
              <w:t>0.23</w:t>
            </w:r>
          </w:p>
        </w:tc>
        <w:tc>
          <w:tcPr>
            <w:tcW w:w="1733" w:type="dxa"/>
          </w:tcPr>
          <w:p w14:paraId="6A114C3A" w14:textId="4BAD2692" w:rsidR="00226A8B" w:rsidRPr="00AA3FB2" w:rsidRDefault="00047E41" w:rsidP="00FC05C1">
            <w:pPr>
              <w:pStyle w:val="TableText"/>
              <w:jc w:val="center"/>
            </w:pPr>
            <w:r w:rsidRPr="00AA3FB2">
              <w:t>–</w:t>
            </w:r>
            <w:r w:rsidR="00226A8B" w:rsidRPr="00AA3FB2">
              <w:t>0.28</w:t>
            </w:r>
          </w:p>
        </w:tc>
        <w:tc>
          <w:tcPr>
            <w:tcW w:w="3152" w:type="dxa"/>
          </w:tcPr>
          <w:p w14:paraId="34A62C74" w14:textId="4CAD90D2" w:rsidR="00226A8B" w:rsidRPr="00AA3FB2" w:rsidRDefault="00047E41" w:rsidP="00FC05C1">
            <w:pPr>
              <w:pStyle w:val="TableText"/>
              <w:jc w:val="center"/>
            </w:pPr>
            <w:r w:rsidRPr="00AA3FB2">
              <w:t>–</w:t>
            </w:r>
            <w:r w:rsidR="00226A8B" w:rsidRPr="00AA3FB2">
              <w:t>0.05</w:t>
            </w:r>
          </w:p>
        </w:tc>
      </w:tr>
      <w:tr w:rsidR="00226A8B" w:rsidRPr="00AA3FB2" w14:paraId="46B6B06E" w14:textId="77777777" w:rsidTr="00104225">
        <w:tc>
          <w:tcPr>
            <w:tcW w:w="1679" w:type="dxa"/>
          </w:tcPr>
          <w:p w14:paraId="4C34BAB9" w14:textId="77777777" w:rsidR="00226A8B" w:rsidRPr="00AA3FB2" w:rsidRDefault="00226A8B" w:rsidP="00FC05C1">
            <w:pPr>
              <w:pStyle w:val="TableText"/>
            </w:pPr>
            <w:r w:rsidRPr="00AA3FB2">
              <w:t>Investment</w:t>
            </w:r>
          </w:p>
        </w:tc>
        <w:tc>
          <w:tcPr>
            <w:tcW w:w="1941" w:type="dxa"/>
          </w:tcPr>
          <w:p w14:paraId="1DEC3528" w14:textId="3999A3B4" w:rsidR="00226A8B" w:rsidRPr="00AA3FB2" w:rsidRDefault="00047E41" w:rsidP="00FC05C1">
            <w:pPr>
              <w:pStyle w:val="TableText"/>
              <w:jc w:val="center"/>
            </w:pPr>
            <w:r w:rsidRPr="00AA3FB2">
              <w:t>–</w:t>
            </w:r>
            <w:r w:rsidR="00226A8B" w:rsidRPr="00AA3FB2">
              <w:t>0.08</w:t>
            </w:r>
          </w:p>
        </w:tc>
        <w:tc>
          <w:tcPr>
            <w:tcW w:w="1733" w:type="dxa"/>
          </w:tcPr>
          <w:p w14:paraId="09C0133B" w14:textId="5629FAF1" w:rsidR="00226A8B" w:rsidRPr="00AA3FB2" w:rsidRDefault="00047E41" w:rsidP="00FC05C1">
            <w:pPr>
              <w:pStyle w:val="TableText"/>
              <w:jc w:val="center"/>
            </w:pPr>
            <w:r w:rsidRPr="00AA3FB2">
              <w:t>–</w:t>
            </w:r>
            <w:r w:rsidR="00226A8B" w:rsidRPr="00AA3FB2">
              <w:t>0.10</w:t>
            </w:r>
          </w:p>
        </w:tc>
        <w:tc>
          <w:tcPr>
            <w:tcW w:w="3152" w:type="dxa"/>
          </w:tcPr>
          <w:p w14:paraId="28AE6DCA" w14:textId="238CE57D" w:rsidR="00226A8B" w:rsidRPr="00AA3FB2" w:rsidRDefault="002622E2" w:rsidP="00FC05C1">
            <w:pPr>
              <w:pStyle w:val="TableText"/>
              <w:jc w:val="center"/>
            </w:pPr>
            <w:r w:rsidRPr="00AA3FB2">
              <w:t>–</w:t>
            </w:r>
            <w:r w:rsidR="00226A8B" w:rsidRPr="00AA3FB2">
              <w:t>0.02</w:t>
            </w:r>
          </w:p>
        </w:tc>
      </w:tr>
      <w:tr w:rsidR="00226A8B" w:rsidRPr="00AA3FB2" w14:paraId="4A012F81" w14:textId="77777777" w:rsidTr="00104225">
        <w:tc>
          <w:tcPr>
            <w:tcW w:w="1679" w:type="dxa"/>
          </w:tcPr>
          <w:p w14:paraId="699B41D4" w14:textId="77777777" w:rsidR="00226A8B" w:rsidRPr="00AA3FB2" w:rsidRDefault="00226A8B" w:rsidP="00FC05C1">
            <w:pPr>
              <w:pStyle w:val="TableText"/>
            </w:pPr>
            <w:r w:rsidRPr="00AA3FB2">
              <w:t>Exports</w:t>
            </w:r>
          </w:p>
        </w:tc>
        <w:tc>
          <w:tcPr>
            <w:tcW w:w="1941" w:type="dxa"/>
          </w:tcPr>
          <w:p w14:paraId="04394201" w14:textId="6F4CC280" w:rsidR="00226A8B" w:rsidRPr="00AA3FB2" w:rsidRDefault="00047E41" w:rsidP="00FC05C1">
            <w:pPr>
              <w:pStyle w:val="TableText"/>
              <w:jc w:val="center"/>
            </w:pPr>
            <w:r w:rsidRPr="00AA3FB2">
              <w:t>–</w:t>
            </w:r>
            <w:r w:rsidR="00226A8B" w:rsidRPr="00AA3FB2">
              <w:t>0.31</w:t>
            </w:r>
          </w:p>
        </w:tc>
        <w:tc>
          <w:tcPr>
            <w:tcW w:w="1733" w:type="dxa"/>
          </w:tcPr>
          <w:p w14:paraId="23A5C7A1" w14:textId="6ECE9D63" w:rsidR="00226A8B" w:rsidRPr="00AA3FB2" w:rsidRDefault="00047E41" w:rsidP="00FC05C1">
            <w:pPr>
              <w:pStyle w:val="TableText"/>
              <w:jc w:val="center"/>
            </w:pPr>
            <w:r w:rsidRPr="00AA3FB2">
              <w:t>–</w:t>
            </w:r>
            <w:r w:rsidR="00226A8B" w:rsidRPr="00AA3FB2">
              <w:t>0.37</w:t>
            </w:r>
          </w:p>
        </w:tc>
        <w:tc>
          <w:tcPr>
            <w:tcW w:w="3152" w:type="dxa"/>
          </w:tcPr>
          <w:p w14:paraId="29E825DC" w14:textId="0778C698" w:rsidR="00226A8B" w:rsidRPr="00AA3FB2" w:rsidRDefault="002622E2" w:rsidP="00FC05C1">
            <w:pPr>
              <w:pStyle w:val="TableText"/>
              <w:jc w:val="center"/>
            </w:pPr>
            <w:r w:rsidRPr="00AA3FB2">
              <w:t>–</w:t>
            </w:r>
            <w:r w:rsidR="00226A8B" w:rsidRPr="00AA3FB2">
              <w:t>0.06</w:t>
            </w:r>
          </w:p>
        </w:tc>
      </w:tr>
      <w:tr w:rsidR="00226A8B" w:rsidRPr="00AA3FB2" w14:paraId="026ECC95" w14:textId="77777777" w:rsidTr="00104225">
        <w:tc>
          <w:tcPr>
            <w:tcW w:w="1679" w:type="dxa"/>
          </w:tcPr>
          <w:p w14:paraId="2A8845C0" w14:textId="77777777" w:rsidR="00226A8B" w:rsidRPr="00AA3FB2" w:rsidRDefault="00226A8B" w:rsidP="00FC05C1">
            <w:pPr>
              <w:pStyle w:val="TableText"/>
            </w:pPr>
            <w:r w:rsidRPr="00AA3FB2">
              <w:t>Real wage</w:t>
            </w:r>
          </w:p>
        </w:tc>
        <w:tc>
          <w:tcPr>
            <w:tcW w:w="1941" w:type="dxa"/>
          </w:tcPr>
          <w:p w14:paraId="48E8A114" w14:textId="3F6770C9" w:rsidR="00226A8B" w:rsidRPr="00AA3FB2" w:rsidRDefault="00047E41" w:rsidP="00FC05C1">
            <w:pPr>
              <w:pStyle w:val="TableText"/>
              <w:jc w:val="center"/>
            </w:pPr>
            <w:r w:rsidRPr="00AA3FB2">
              <w:t>–</w:t>
            </w:r>
            <w:r w:rsidR="00226A8B" w:rsidRPr="00AA3FB2">
              <w:t>0.17</w:t>
            </w:r>
          </w:p>
        </w:tc>
        <w:tc>
          <w:tcPr>
            <w:tcW w:w="1733" w:type="dxa"/>
          </w:tcPr>
          <w:p w14:paraId="1F785D4D" w14:textId="7E5EB85D" w:rsidR="00226A8B" w:rsidRPr="00AA3FB2" w:rsidRDefault="00047E41" w:rsidP="00FC05C1">
            <w:pPr>
              <w:pStyle w:val="TableText"/>
              <w:jc w:val="center"/>
            </w:pPr>
            <w:r w:rsidRPr="00AA3FB2">
              <w:t>–</w:t>
            </w:r>
            <w:r w:rsidR="00226A8B" w:rsidRPr="00AA3FB2">
              <w:t>0.21</w:t>
            </w:r>
          </w:p>
        </w:tc>
        <w:tc>
          <w:tcPr>
            <w:tcW w:w="3152" w:type="dxa"/>
          </w:tcPr>
          <w:p w14:paraId="67A00F10" w14:textId="12D3D6D4" w:rsidR="00226A8B" w:rsidRPr="00AA3FB2" w:rsidRDefault="002622E2" w:rsidP="00FC05C1">
            <w:pPr>
              <w:pStyle w:val="TableText"/>
              <w:jc w:val="center"/>
            </w:pPr>
            <w:r w:rsidRPr="00AA3FB2">
              <w:t>–</w:t>
            </w:r>
            <w:r w:rsidR="00226A8B" w:rsidRPr="00AA3FB2">
              <w:t>0.04</w:t>
            </w:r>
          </w:p>
        </w:tc>
      </w:tr>
    </w:tbl>
    <w:p w14:paraId="4FD477B0" w14:textId="346E4E3C" w:rsidR="00104225" w:rsidRPr="00AA3FB2" w:rsidRDefault="005B4586" w:rsidP="005B4586">
      <w:pPr>
        <w:pStyle w:val="Note"/>
        <w:rPr>
          <w:lang w:eastAsia="en-GB"/>
        </w:rPr>
      </w:pPr>
      <w:r w:rsidRPr="00AA3FB2">
        <w:rPr>
          <w:b/>
          <w:bCs/>
          <w:lang w:eastAsia="en-GB"/>
        </w:rPr>
        <w:t>Note:</w:t>
      </w:r>
      <w:r w:rsidRPr="00AA3FB2">
        <w:rPr>
          <w:lang w:eastAsia="en-GB"/>
        </w:rPr>
        <w:t xml:space="preserve"> </w:t>
      </w:r>
      <w:r w:rsidR="00C2206B">
        <w:rPr>
          <w:lang w:eastAsia="en-GB"/>
        </w:rPr>
        <w:t>Per</w:t>
      </w:r>
      <w:r w:rsidR="008A16CE">
        <w:rPr>
          <w:lang w:eastAsia="en-GB"/>
        </w:rPr>
        <w:t>cent</w:t>
      </w:r>
      <w:r w:rsidR="00104225" w:rsidRPr="00AA3FB2">
        <w:rPr>
          <w:lang w:eastAsia="en-GB"/>
        </w:rPr>
        <w:t>age change relative to BAU (except where indicated)</w:t>
      </w:r>
    </w:p>
    <w:p w14:paraId="11683B2B" w14:textId="70F7BB09" w:rsidR="00226A8B" w:rsidRPr="00AA3FB2" w:rsidRDefault="00226A8B" w:rsidP="00FC05C1">
      <w:pPr>
        <w:pStyle w:val="BodyText"/>
        <w:rPr>
          <w:lang w:eastAsia="en-GB"/>
        </w:rPr>
      </w:pPr>
      <w:r w:rsidRPr="00AA3FB2">
        <w:rPr>
          <w:lang w:eastAsia="en-GB"/>
        </w:rPr>
        <w:lastRenderedPageBreak/>
        <w:t xml:space="preserve">NZIER’s modelling also considered the regional impacts of the package. In terms of the </w:t>
      </w:r>
      <w:r w:rsidR="008A16CE">
        <w:rPr>
          <w:lang w:eastAsia="en-GB"/>
        </w:rPr>
        <w:t xml:space="preserve">per </w:t>
      </w:r>
      <w:proofErr w:type="spellStart"/>
      <w:r w:rsidR="008A16CE">
        <w:rPr>
          <w:lang w:eastAsia="en-GB"/>
        </w:rPr>
        <w:t>cent</w:t>
      </w:r>
      <w:r w:rsidRPr="00AA3FB2">
        <w:rPr>
          <w:lang w:eastAsia="en-GB"/>
        </w:rPr>
        <w:t>age</w:t>
      </w:r>
      <w:proofErr w:type="spellEnd"/>
      <w:r w:rsidRPr="00AA3FB2">
        <w:rPr>
          <w:lang w:eastAsia="en-GB"/>
        </w:rPr>
        <w:t xml:space="preserve"> change in GDP</w:t>
      </w:r>
      <w:r w:rsidR="00C2206B">
        <w:rPr>
          <w:lang w:eastAsia="en-GB"/>
        </w:rPr>
        <w:t>,</w:t>
      </w:r>
      <w:r w:rsidRPr="00AA3FB2">
        <w:rPr>
          <w:lang w:eastAsia="en-GB"/>
        </w:rPr>
        <w:t xml:space="preserve"> the three regions most affected were Southland, Canterbury, and</w:t>
      </w:r>
      <w:r w:rsidR="000462EA" w:rsidRPr="00AA3FB2">
        <w:rPr>
          <w:lang w:eastAsia="en-GB"/>
        </w:rPr>
        <w:t> </w:t>
      </w:r>
      <w:r w:rsidRPr="00AA3FB2">
        <w:rPr>
          <w:lang w:eastAsia="en-GB"/>
        </w:rPr>
        <w:t>Otago. The results f</w:t>
      </w:r>
      <w:r w:rsidR="00D11768">
        <w:rPr>
          <w:lang w:eastAsia="en-GB"/>
        </w:rPr>
        <w:t xml:space="preserve">or each region </w:t>
      </w:r>
      <w:proofErr w:type="gramStart"/>
      <w:r w:rsidR="00D11768">
        <w:rPr>
          <w:lang w:eastAsia="en-GB"/>
        </w:rPr>
        <w:t>are provided</w:t>
      </w:r>
      <w:proofErr w:type="gramEnd"/>
      <w:r w:rsidR="00D11768">
        <w:rPr>
          <w:lang w:eastAsia="en-GB"/>
        </w:rPr>
        <w:t xml:space="preserve"> in t</w:t>
      </w:r>
      <w:r w:rsidRPr="00AA3FB2">
        <w:rPr>
          <w:lang w:eastAsia="en-GB"/>
        </w:rPr>
        <w:t>able 2.</w:t>
      </w:r>
    </w:p>
    <w:p w14:paraId="6FCAE801" w14:textId="561DECFA" w:rsidR="00226A8B" w:rsidRDefault="00226A8B" w:rsidP="000462EA">
      <w:pPr>
        <w:pStyle w:val="Tableheading"/>
        <w:rPr>
          <w:lang w:eastAsia="en-GB"/>
        </w:rPr>
      </w:pPr>
      <w:bookmarkStart w:id="10" w:name="_Toc41498579"/>
      <w:r w:rsidRPr="00AA3FB2">
        <w:rPr>
          <w:lang w:eastAsia="en-GB"/>
        </w:rPr>
        <w:t>Table 2</w:t>
      </w:r>
      <w:r w:rsidR="000462EA" w:rsidRPr="00AA3FB2">
        <w:rPr>
          <w:lang w:eastAsia="en-GB"/>
        </w:rPr>
        <w:t>:</w:t>
      </w:r>
      <w:r w:rsidR="000462EA" w:rsidRPr="00AA3FB2">
        <w:rPr>
          <w:lang w:eastAsia="en-GB"/>
        </w:rPr>
        <w:tab/>
      </w:r>
      <w:r w:rsidRPr="00AA3FB2">
        <w:rPr>
          <w:lang w:eastAsia="en-GB"/>
        </w:rPr>
        <w:t xml:space="preserve">Regional economic indicators, marginal contribution of the package, </w:t>
      </w:r>
      <w:r w:rsidR="008A16CE">
        <w:rPr>
          <w:lang w:eastAsia="en-GB"/>
        </w:rPr>
        <w:t xml:space="preserve">per </w:t>
      </w:r>
      <w:proofErr w:type="spellStart"/>
      <w:r w:rsidR="008A16CE">
        <w:rPr>
          <w:lang w:eastAsia="en-GB"/>
        </w:rPr>
        <w:t>cent</w:t>
      </w:r>
      <w:r w:rsidRPr="00AA3FB2">
        <w:rPr>
          <w:lang w:eastAsia="en-GB"/>
        </w:rPr>
        <w:t>age</w:t>
      </w:r>
      <w:proofErr w:type="spellEnd"/>
      <w:r w:rsidRPr="00AA3FB2">
        <w:rPr>
          <w:lang w:eastAsia="en-GB"/>
        </w:rPr>
        <w:t xml:space="preserve"> change</w:t>
      </w:r>
      <w:r w:rsidR="000462EA" w:rsidRPr="00AA3FB2">
        <w:rPr>
          <w:lang w:eastAsia="en-GB"/>
        </w:rPr>
        <w:t> </w:t>
      </w:r>
      <w:r w:rsidRPr="00AA3FB2">
        <w:rPr>
          <w:lang w:eastAsia="en-GB"/>
        </w:rPr>
        <w:t>by 2050</w:t>
      </w:r>
      <w:bookmarkEnd w:id="10"/>
    </w:p>
    <w:tbl>
      <w:tblPr>
        <w:tblW w:w="8505" w:type="dxa"/>
        <w:tblBorders>
          <w:top w:val="single" w:sz="4" w:space="0" w:color="1C556C" w:themeColor="accent1"/>
          <w:bottom w:val="single" w:sz="4" w:space="0" w:color="1C556C" w:themeColor="accent1"/>
          <w:insideV w:val="single" w:sz="4" w:space="0" w:color="1C556C" w:themeColor="accent1"/>
        </w:tblBorders>
        <w:tblLook w:val="04A0" w:firstRow="1" w:lastRow="0" w:firstColumn="1" w:lastColumn="0" w:noHBand="0" w:noVBand="1"/>
      </w:tblPr>
      <w:tblGrid>
        <w:gridCol w:w="1503"/>
        <w:gridCol w:w="778"/>
        <w:gridCol w:w="778"/>
        <w:gridCol w:w="778"/>
        <w:gridCol w:w="778"/>
        <w:gridCol w:w="778"/>
        <w:gridCol w:w="778"/>
        <w:gridCol w:w="778"/>
        <w:gridCol w:w="778"/>
        <w:gridCol w:w="778"/>
      </w:tblGrid>
      <w:tr w:rsidR="004E558A" w:rsidRPr="004E558A" w14:paraId="5DD02CD9" w14:textId="77777777" w:rsidTr="004E558A">
        <w:trPr>
          <w:cantSplit/>
          <w:trHeight w:val="1304"/>
        </w:trPr>
        <w:tc>
          <w:tcPr>
            <w:tcW w:w="1880" w:type="dxa"/>
            <w:tcBorders>
              <w:top w:val="single" w:sz="4" w:space="0" w:color="1C556C" w:themeColor="accent1"/>
              <w:bottom w:val="single" w:sz="4" w:space="0" w:color="1C556C" w:themeColor="accent1"/>
            </w:tcBorders>
            <w:shd w:val="clear" w:color="000000" w:fill="1C556C" w:themeFill="accent1"/>
            <w:vAlign w:val="bottom"/>
            <w:hideMark/>
          </w:tcPr>
          <w:p w14:paraId="16C2A852" w14:textId="77777777" w:rsidR="004554AD" w:rsidRPr="004E558A" w:rsidRDefault="004554AD" w:rsidP="004B36EB">
            <w:pPr>
              <w:pStyle w:val="TableTextbold"/>
              <w:rPr>
                <w:color w:val="FFFFFF" w:themeColor="background1"/>
              </w:rPr>
            </w:pPr>
            <w:r w:rsidRPr="004E558A">
              <w:rPr>
                <w:color w:val="FFFFFF" w:themeColor="background1"/>
              </w:rPr>
              <w:t>Economic indicator</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44C01B25" w14:textId="77777777" w:rsidR="004554AD" w:rsidRPr="004E558A" w:rsidRDefault="004554AD" w:rsidP="00CE147B">
            <w:pPr>
              <w:pStyle w:val="TableTextbold"/>
              <w:ind w:left="113" w:right="113"/>
              <w:rPr>
                <w:color w:val="FFFFFF" w:themeColor="background1"/>
              </w:rPr>
            </w:pPr>
            <w:r w:rsidRPr="004E558A">
              <w:rPr>
                <w:color w:val="FFFFFF" w:themeColor="background1"/>
              </w:rPr>
              <w:t>Consumption</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18DE2D9D" w14:textId="77777777" w:rsidR="004554AD" w:rsidRPr="004E558A" w:rsidRDefault="004554AD" w:rsidP="00CE147B">
            <w:pPr>
              <w:pStyle w:val="TableTextbold"/>
              <w:ind w:left="113" w:right="113"/>
              <w:rPr>
                <w:color w:val="FFFFFF" w:themeColor="background1"/>
              </w:rPr>
            </w:pPr>
            <w:r w:rsidRPr="004E558A">
              <w:rPr>
                <w:color w:val="FFFFFF" w:themeColor="background1"/>
              </w:rPr>
              <w:t>Investment</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1E88AB57" w14:textId="77777777" w:rsidR="004554AD" w:rsidRPr="004E558A" w:rsidRDefault="004554AD" w:rsidP="00CE147B">
            <w:pPr>
              <w:pStyle w:val="TableTextbold"/>
              <w:ind w:left="113" w:right="113"/>
              <w:rPr>
                <w:color w:val="FFFFFF" w:themeColor="background1"/>
              </w:rPr>
            </w:pPr>
            <w:r w:rsidRPr="004E558A">
              <w:rPr>
                <w:color w:val="FFFFFF" w:themeColor="background1"/>
              </w:rPr>
              <w:t>Exports</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7C21F122" w14:textId="77777777" w:rsidR="004554AD" w:rsidRPr="004E558A" w:rsidRDefault="004554AD" w:rsidP="00CE147B">
            <w:pPr>
              <w:pStyle w:val="TableTextbold"/>
              <w:ind w:left="113" w:right="113"/>
              <w:rPr>
                <w:color w:val="FFFFFF" w:themeColor="background1"/>
              </w:rPr>
            </w:pPr>
            <w:r w:rsidRPr="004E558A">
              <w:rPr>
                <w:color w:val="FFFFFF" w:themeColor="background1"/>
              </w:rPr>
              <w:t>Imports</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3D2C9EF6" w14:textId="77777777" w:rsidR="004554AD" w:rsidRPr="004E558A" w:rsidRDefault="004554AD" w:rsidP="00CE147B">
            <w:pPr>
              <w:pStyle w:val="TableTextbold"/>
              <w:ind w:left="113" w:right="113"/>
              <w:rPr>
                <w:color w:val="FFFFFF" w:themeColor="background1"/>
              </w:rPr>
            </w:pPr>
            <w:r w:rsidRPr="004E558A">
              <w:rPr>
                <w:color w:val="FFFFFF" w:themeColor="background1"/>
              </w:rPr>
              <w:t>Real GDP</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73DB15B6" w14:textId="77777777" w:rsidR="004554AD" w:rsidRPr="004E558A" w:rsidRDefault="004554AD" w:rsidP="00CE147B">
            <w:pPr>
              <w:pStyle w:val="TableTextbold"/>
              <w:ind w:left="113" w:right="113"/>
              <w:rPr>
                <w:color w:val="FFFFFF" w:themeColor="background1"/>
              </w:rPr>
            </w:pPr>
            <w:r w:rsidRPr="004E558A">
              <w:rPr>
                <w:color w:val="FFFFFF" w:themeColor="background1"/>
              </w:rPr>
              <w:t>GDP price Index</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36DCD8DC" w14:textId="77777777" w:rsidR="004554AD" w:rsidRPr="004E558A" w:rsidRDefault="004554AD" w:rsidP="00CE147B">
            <w:pPr>
              <w:pStyle w:val="TableTextbold"/>
              <w:ind w:left="113" w:right="113"/>
              <w:rPr>
                <w:color w:val="FFFFFF" w:themeColor="background1"/>
              </w:rPr>
            </w:pPr>
            <w:r w:rsidRPr="004E558A">
              <w:rPr>
                <w:color w:val="FFFFFF" w:themeColor="background1"/>
              </w:rPr>
              <w:t>Nominal GDP</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51783F92" w14:textId="77777777" w:rsidR="004554AD" w:rsidRPr="004E558A" w:rsidRDefault="004554AD" w:rsidP="00CE147B">
            <w:pPr>
              <w:pStyle w:val="TableTextbold"/>
              <w:ind w:left="113" w:right="113"/>
              <w:rPr>
                <w:color w:val="FFFFFF" w:themeColor="background1"/>
              </w:rPr>
            </w:pPr>
            <w:r w:rsidRPr="004E558A">
              <w:rPr>
                <w:color w:val="FFFFFF" w:themeColor="background1"/>
              </w:rPr>
              <w:t>Employment</w:t>
            </w:r>
          </w:p>
        </w:tc>
        <w:tc>
          <w:tcPr>
            <w:tcW w:w="1460" w:type="dxa"/>
            <w:tcBorders>
              <w:top w:val="single" w:sz="4" w:space="0" w:color="1C556C" w:themeColor="accent1"/>
              <w:bottom w:val="single" w:sz="4" w:space="0" w:color="1C556C" w:themeColor="accent1"/>
            </w:tcBorders>
            <w:shd w:val="clear" w:color="000000" w:fill="1C556C" w:themeFill="accent1"/>
            <w:textDirection w:val="btLr"/>
            <w:vAlign w:val="center"/>
            <w:hideMark/>
          </w:tcPr>
          <w:p w14:paraId="0D2BA11A" w14:textId="77777777" w:rsidR="004554AD" w:rsidRPr="004E558A" w:rsidRDefault="004554AD" w:rsidP="00CE147B">
            <w:pPr>
              <w:pStyle w:val="TableTextbold"/>
              <w:ind w:left="113" w:right="113"/>
              <w:rPr>
                <w:color w:val="FFFFFF" w:themeColor="background1"/>
              </w:rPr>
            </w:pPr>
            <w:r w:rsidRPr="004E558A">
              <w:rPr>
                <w:color w:val="FFFFFF" w:themeColor="background1"/>
              </w:rPr>
              <w:t>Real wage</w:t>
            </w:r>
          </w:p>
        </w:tc>
      </w:tr>
      <w:tr w:rsidR="00C509C9" w:rsidRPr="004554AD" w14:paraId="4C5815F3" w14:textId="77777777" w:rsidTr="00001813">
        <w:trPr>
          <w:trHeight w:val="288"/>
        </w:trPr>
        <w:tc>
          <w:tcPr>
            <w:tcW w:w="1880" w:type="dxa"/>
            <w:tcBorders>
              <w:top w:val="single" w:sz="4" w:space="0" w:color="1C556C" w:themeColor="accent1"/>
              <w:bottom w:val="nil"/>
            </w:tcBorders>
            <w:shd w:val="clear" w:color="000000" w:fill="D2DDE2"/>
            <w:vAlign w:val="bottom"/>
            <w:hideMark/>
          </w:tcPr>
          <w:p w14:paraId="165568D6" w14:textId="77777777" w:rsidR="004554AD" w:rsidRPr="004554AD" w:rsidRDefault="004554AD" w:rsidP="00C509C9">
            <w:pPr>
              <w:pStyle w:val="TableTextbold"/>
              <w:spacing w:before="50" w:after="50"/>
            </w:pPr>
            <w:r w:rsidRPr="004554AD">
              <w:t>Northland</w:t>
            </w:r>
          </w:p>
        </w:tc>
        <w:tc>
          <w:tcPr>
            <w:tcW w:w="1460" w:type="dxa"/>
            <w:tcBorders>
              <w:top w:val="single" w:sz="4" w:space="0" w:color="1C556C" w:themeColor="accent1"/>
            </w:tcBorders>
            <w:shd w:val="clear" w:color="auto" w:fill="auto"/>
            <w:hideMark/>
          </w:tcPr>
          <w:p w14:paraId="65A391B6" w14:textId="4C492163"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0.07</w:t>
            </w:r>
          </w:p>
        </w:tc>
        <w:tc>
          <w:tcPr>
            <w:tcW w:w="1460" w:type="dxa"/>
            <w:tcBorders>
              <w:top w:val="single" w:sz="4" w:space="0" w:color="1C556C" w:themeColor="accent1"/>
            </w:tcBorders>
            <w:shd w:val="clear" w:color="auto" w:fill="auto"/>
            <w:hideMark/>
          </w:tcPr>
          <w:p w14:paraId="4F19E741" w14:textId="0FF1040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c>
          <w:tcPr>
            <w:tcW w:w="1460" w:type="dxa"/>
            <w:tcBorders>
              <w:top w:val="single" w:sz="4" w:space="0" w:color="1C556C" w:themeColor="accent1"/>
            </w:tcBorders>
            <w:shd w:val="clear" w:color="auto" w:fill="auto"/>
            <w:hideMark/>
          </w:tcPr>
          <w:p w14:paraId="2FC99749" w14:textId="099486B9"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0.08</w:t>
            </w:r>
          </w:p>
        </w:tc>
        <w:tc>
          <w:tcPr>
            <w:tcW w:w="1460" w:type="dxa"/>
            <w:tcBorders>
              <w:top w:val="single" w:sz="4" w:space="0" w:color="1C556C" w:themeColor="accent1"/>
            </w:tcBorders>
            <w:shd w:val="clear" w:color="auto" w:fill="auto"/>
            <w:hideMark/>
          </w:tcPr>
          <w:p w14:paraId="63BD89DC" w14:textId="215DA6BF"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0.04</w:t>
            </w:r>
          </w:p>
        </w:tc>
        <w:tc>
          <w:tcPr>
            <w:tcW w:w="1460" w:type="dxa"/>
            <w:tcBorders>
              <w:top w:val="single" w:sz="4" w:space="0" w:color="1C556C" w:themeColor="accent1"/>
            </w:tcBorders>
            <w:shd w:val="clear" w:color="auto" w:fill="auto"/>
            <w:hideMark/>
          </w:tcPr>
          <w:p w14:paraId="795E9B8E" w14:textId="4D26FC4D"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tcBorders>
              <w:top w:val="single" w:sz="4" w:space="0" w:color="1C556C" w:themeColor="accent1"/>
            </w:tcBorders>
            <w:shd w:val="clear" w:color="auto" w:fill="auto"/>
            <w:hideMark/>
          </w:tcPr>
          <w:p w14:paraId="3D82803C" w14:textId="77777777" w:rsidR="004554AD" w:rsidRPr="004E558A" w:rsidRDefault="004554AD" w:rsidP="00C509C9">
            <w:pPr>
              <w:pStyle w:val="TableText"/>
              <w:spacing w:before="50" w:after="50"/>
              <w:jc w:val="right"/>
              <w:rPr>
                <w:rFonts w:cs="Calibri"/>
                <w:szCs w:val="18"/>
              </w:rPr>
            </w:pPr>
            <w:r w:rsidRPr="004E558A">
              <w:rPr>
                <w:rFonts w:cs="Calibri"/>
                <w:szCs w:val="18"/>
              </w:rPr>
              <w:t>0.00</w:t>
            </w:r>
          </w:p>
        </w:tc>
        <w:tc>
          <w:tcPr>
            <w:tcW w:w="1460" w:type="dxa"/>
            <w:tcBorders>
              <w:top w:val="single" w:sz="4" w:space="0" w:color="1C556C" w:themeColor="accent1"/>
            </w:tcBorders>
            <w:shd w:val="clear" w:color="auto" w:fill="auto"/>
            <w:hideMark/>
          </w:tcPr>
          <w:p w14:paraId="527E5C21" w14:textId="6F6DA6B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tcBorders>
              <w:top w:val="single" w:sz="4" w:space="0" w:color="1C556C" w:themeColor="accent1"/>
            </w:tcBorders>
            <w:shd w:val="clear" w:color="auto" w:fill="auto"/>
            <w:hideMark/>
          </w:tcPr>
          <w:p w14:paraId="54A15220" w14:textId="5E6AE774"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tcBorders>
              <w:top w:val="single" w:sz="4" w:space="0" w:color="1C556C" w:themeColor="accent1"/>
            </w:tcBorders>
            <w:shd w:val="clear" w:color="auto" w:fill="auto"/>
            <w:hideMark/>
          </w:tcPr>
          <w:p w14:paraId="4BD8844B" w14:textId="5DF0A8B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r>
      <w:tr w:rsidR="004554AD" w:rsidRPr="004554AD" w14:paraId="6E30AB74" w14:textId="77777777" w:rsidTr="00001813">
        <w:trPr>
          <w:trHeight w:val="288"/>
        </w:trPr>
        <w:tc>
          <w:tcPr>
            <w:tcW w:w="1880" w:type="dxa"/>
            <w:tcBorders>
              <w:top w:val="nil"/>
              <w:bottom w:val="nil"/>
            </w:tcBorders>
            <w:shd w:val="clear" w:color="000000" w:fill="D2DDE2"/>
            <w:vAlign w:val="bottom"/>
            <w:hideMark/>
          </w:tcPr>
          <w:p w14:paraId="6A4EE9E9" w14:textId="77777777" w:rsidR="004554AD" w:rsidRPr="004554AD" w:rsidRDefault="004554AD" w:rsidP="00C509C9">
            <w:pPr>
              <w:pStyle w:val="TableTextbold"/>
              <w:spacing w:before="50" w:after="50"/>
            </w:pPr>
            <w:r w:rsidRPr="004554AD">
              <w:t>Auckland</w:t>
            </w:r>
          </w:p>
        </w:tc>
        <w:tc>
          <w:tcPr>
            <w:tcW w:w="1460" w:type="dxa"/>
            <w:shd w:val="clear" w:color="auto" w:fill="auto"/>
            <w:hideMark/>
          </w:tcPr>
          <w:p w14:paraId="7070794A" w14:textId="77777777" w:rsidR="004554AD" w:rsidRPr="004E558A" w:rsidRDefault="004554AD" w:rsidP="00C509C9">
            <w:pPr>
              <w:pStyle w:val="TableText"/>
              <w:spacing w:before="50" w:after="50"/>
              <w:jc w:val="right"/>
              <w:rPr>
                <w:rFonts w:cs="Calibri"/>
                <w:szCs w:val="18"/>
              </w:rPr>
            </w:pPr>
            <w:r w:rsidRPr="004E558A">
              <w:rPr>
                <w:rFonts w:cs="Calibri"/>
                <w:szCs w:val="18"/>
              </w:rPr>
              <w:t>0</w:t>
            </w:r>
          </w:p>
        </w:tc>
        <w:tc>
          <w:tcPr>
            <w:tcW w:w="1460" w:type="dxa"/>
            <w:shd w:val="clear" w:color="auto" w:fill="auto"/>
            <w:hideMark/>
          </w:tcPr>
          <w:p w14:paraId="25EA106F" w14:textId="77777777" w:rsidR="004554AD" w:rsidRPr="004E558A" w:rsidRDefault="004554AD" w:rsidP="00C509C9">
            <w:pPr>
              <w:pStyle w:val="TableText"/>
              <w:spacing w:before="50" w:after="50"/>
              <w:jc w:val="right"/>
              <w:rPr>
                <w:rFonts w:cs="Calibri"/>
                <w:szCs w:val="18"/>
              </w:rPr>
            </w:pPr>
            <w:r w:rsidRPr="004E558A">
              <w:rPr>
                <w:rFonts w:cs="Calibri"/>
                <w:szCs w:val="18"/>
              </w:rPr>
              <w:t>0.04</w:t>
            </w:r>
          </w:p>
        </w:tc>
        <w:tc>
          <w:tcPr>
            <w:tcW w:w="1460" w:type="dxa"/>
            <w:shd w:val="clear" w:color="auto" w:fill="auto"/>
            <w:hideMark/>
          </w:tcPr>
          <w:p w14:paraId="1F85323E" w14:textId="77777777" w:rsidR="004554AD" w:rsidRPr="004E558A" w:rsidRDefault="004554AD" w:rsidP="00C509C9">
            <w:pPr>
              <w:pStyle w:val="TableText"/>
              <w:spacing w:before="50" w:after="50"/>
              <w:jc w:val="right"/>
              <w:rPr>
                <w:rFonts w:cs="Calibri"/>
                <w:szCs w:val="18"/>
              </w:rPr>
            </w:pPr>
            <w:r w:rsidRPr="004E558A">
              <w:rPr>
                <w:rFonts w:cs="Calibri"/>
                <w:szCs w:val="18"/>
              </w:rPr>
              <w:t>0.1</w:t>
            </w:r>
          </w:p>
        </w:tc>
        <w:tc>
          <w:tcPr>
            <w:tcW w:w="1460" w:type="dxa"/>
            <w:shd w:val="clear" w:color="auto" w:fill="auto"/>
            <w:hideMark/>
          </w:tcPr>
          <w:p w14:paraId="53E525AD" w14:textId="59DB5837"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18E33DAF"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60C22243" w14:textId="3C1E928B"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0.02</w:t>
            </w:r>
          </w:p>
        </w:tc>
        <w:tc>
          <w:tcPr>
            <w:tcW w:w="1460" w:type="dxa"/>
            <w:shd w:val="clear" w:color="auto" w:fill="auto"/>
            <w:hideMark/>
          </w:tcPr>
          <w:p w14:paraId="12A94D51"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0407E243"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3D7FE2E8" w14:textId="288A5D36"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r>
      <w:tr w:rsidR="004554AD" w:rsidRPr="004554AD" w14:paraId="33D86A81" w14:textId="77777777" w:rsidTr="00001813">
        <w:trPr>
          <w:trHeight w:val="288"/>
        </w:trPr>
        <w:tc>
          <w:tcPr>
            <w:tcW w:w="1880" w:type="dxa"/>
            <w:tcBorders>
              <w:top w:val="nil"/>
              <w:bottom w:val="nil"/>
            </w:tcBorders>
            <w:shd w:val="clear" w:color="000000" w:fill="D2DDE2"/>
            <w:vAlign w:val="bottom"/>
            <w:hideMark/>
          </w:tcPr>
          <w:p w14:paraId="5C2E84CA" w14:textId="77777777" w:rsidR="004554AD" w:rsidRPr="004554AD" w:rsidRDefault="004554AD" w:rsidP="00C509C9">
            <w:pPr>
              <w:pStyle w:val="TableTextbold"/>
              <w:spacing w:before="50" w:after="50"/>
            </w:pPr>
            <w:r w:rsidRPr="004554AD">
              <w:t>Waikato</w:t>
            </w:r>
          </w:p>
        </w:tc>
        <w:tc>
          <w:tcPr>
            <w:tcW w:w="1460" w:type="dxa"/>
            <w:shd w:val="clear" w:color="auto" w:fill="auto"/>
            <w:hideMark/>
          </w:tcPr>
          <w:p w14:paraId="7FA918C3" w14:textId="690E8BBB"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0.04</w:t>
            </w:r>
          </w:p>
        </w:tc>
        <w:tc>
          <w:tcPr>
            <w:tcW w:w="1460" w:type="dxa"/>
            <w:shd w:val="clear" w:color="auto" w:fill="auto"/>
            <w:hideMark/>
          </w:tcPr>
          <w:p w14:paraId="1527F9D0" w14:textId="794CD668"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39A7558A"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638952B7" w14:textId="5432BA39"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0.06</w:t>
            </w:r>
          </w:p>
        </w:tc>
        <w:tc>
          <w:tcPr>
            <w:tcW w:w="1460" w:type="dxa"/>
            <w:shd w:val="clear" w:color="auto" w:fill="auto"/>
            <w:hideMark/>
          </w:tcPr>
          <w:p w14:paraId="2637308A" w14:textId="767D2CA7"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shd w:val="clear" w:color="auto" w:fill="auto"/>
            <w:hideMark/>
          </w:tcPr>
          <w:p w14:paraId="2E4DF3DA" w14:textId="77777777" w:rsidR="004554AD" w:rsidRPr="004E558A" w:rsidRDefault="004554AD" w:rsidP="00C509C9">
            <w:pPr>
              <w:pStyle w:val="TableText"/>
              <w:spacing w:before="50" w:after="50"/>
              <w:jc w:val="right"/>
              <w:rPr>
                <w:rFonts w:cs="Calibri"/>
                <w:szCs w:val="18"/>
              </w:rPr>
            </w:pPr>
            <w:r w:rsidRPr="004E558A">
              <w:rPr>
                <w:rFonts w:cs="Calibri"/>
                <w:szCs w:val="18"/>
              </w:rPr>
              <w:t>0.00</w:t>
            </w:r>
          </w:p>
        </w:tc>
        <w:tc>
          <w:tcPr>
            <w:tcW w:w="1460" w:type="dxa"/>
            <w:shd w:val="clear" w:color="auto" w:fill="auto"/>
            <w:hideMark/>
          </w:tcPr>
          <w:p w14:paraId="7F90C43D" w14:textId="63A5CB2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shd w:val="clear" w:color="auto" w:fill="auto"/>
            <w:hideMark/>
          </w:tcPr>
          <w:p w14:paraId="6FC55464"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00436077" w14:textId="6F836400"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0.04</w:t>
            </w:r>
          </w:p>
        </w:tc>
      </w:tr>
      <w:tr w:rsidR="004554AD" w:rsidRPr="004554AD" w14:paraId="0C750F7C" w14:textId="77777777" w:rsidTr="00001813">
        <w:trPr>
          <w:trHeight w:val="288"/>
        </w:trPr>
        <w:tc>
          <w:tcPr>
            <w:tcW w:w="1880" w:type="dxa"/>
            <w:tcBorders>
              <w:top w:val="nil"/>
              <w:bottom w:val="nil"/>
            </w:tcBorders>
            <w:shd w:val="clear" w:color="000000" w:fill="D2DDE2"/>
            <w:vAlign w:val="bottom"/>
            <w:hideMark/>
          </w:tcPr>
          <w:p w14:paraId="107AB654" w14:textId="77777777" w:rsidR="004554AD" w:rsidRPr="004554AD" w:rsidRDefault="004554AD" w:rsidP="00C509C9">
            <w:pPr>
              <w:pStyle w:val="TableTextbold"/>
              <w:spacing w:before="50" w:after="50"/>
            </w:pPr>
            <w:r w:rsidRPr="004554AD">
              <w:t>Bay of Plenty</w:t>
            </w:r>
          </w:p>
        </w:tc>
        <w:tc>
          <w:tcPr>
            <w:tcW w:w="1460" w:type="dxa"/>
            <w:shd w:val="clear" w:color="auto" w:fill="auto"/>
            <w:hideMark/>
          </w:tcPr>
          <w:p w14:paraId="4EB15FC0" w14:textId="04B4A422"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05B31B2D" w14:textId="77777777" w:rsidR="004554AD" w:rsidRPr="004E558A" w:rsidRDefault="004554AD" w:rsidP="00C509C9">
            <w:pPr>
              <w:pStyle w:val="TableText"/>
              <w:spacing w:before="50" w:after="50"/>
              <w:jc w:val="right"/>
              <w:rPr>
                <w:rFonts w:cs="Calibri"/>
                <w:szCs w:val="18"/>
              </w:rPr>
            </w:pPr>
            <w:r w:rsidRPr="004E558A">
              <w:rPr>
                <w:rFonts w:cs="Calibri"/>
                <w:szCs w:val="18"/>
              </w:rPr>
              <w:t>0.04</w:t>
            </w:r>
          </w:p>
        </w:tc>
        <w:tc>
          <w:tcPr>
            <w:tcW w:w="1460" w:type="dxa"/>
            <w:shd w:val="clear" w:color="auto" w:fill="auto"/>
            <w:hideMark/>
          </w:tcPr>
          <w:p w14:paraId="43263955" w14:textId="77777777" w:rsidR="004554AD" w:rsidRPr="004E558A" w:rsidRDefault="004554AD" w:rsidP="00C509C9">
            <w:pPr>
              <w:pStyle w:val="TableText"/>
              <w:spacing w:before="50" w:after="50"/>
              <w:jc w:val="right"/>
              <w:rPr>
                <w:rFonts w:cs="Calibri"/>
                <w:szCs w:val="18"/>
              </w:rPr>
            </w:pPr>
            <w:r w:rsidRPr="004E558A">
              <w:rPr>
                <w:rFonts w:cs="Calibri"/>
                <w:szCs w:val="18"/>
              </w:rPr>
              <w:t>0.09</w:t>
            </w:r>
          </w:p>
        </w:tc>
        <w:tc>
          <w:tcPr>
            <w:tcW w:w="1460" w:type="dxa"/>
            <w:shd w:val="clear" w:color="auto" w:fill="auto"/>
            <w:hideMark/>
          </w:tcPr>
          <w:p w14:paraId="2C723D42" w14:textId="7CF958DA"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c>
          <w:tcPr>
            <w:tcW w:w="1460" w:type="dxa"/>
            <w:shd w:val="clear" w:color="auto" w:fill="auto"/>
            <w:hideMark/>
          </w:tcPr>
          <w:p w14:paraId="35A4DC7A"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10AB0373" w14:textId="1F1E39E0"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0BAFFF10"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79D8C9B2"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0CBEBD69" w14:textId="233C5FD2"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r>
      <w:tr w:rsidR="004554AD" w:rsidRPr="004554AD" w14:paraId="112FC0E7" w14:textId="77777777" w:rsidTr="00001813">
        <w:trPr>
          <w:trHeight w:val="288"/>
        </w:trPr>
        <w:tc>
          <w:tcPr>
            <w:tcW w:w="1880" w:type="dxa"/>
            <w:tcBorders>
              <w:top w:val="nil"/>
              <w:bottom w:val="nil"/>
            </w:tcBorders>
            <w:shd w:val="clear" w:color="000000" w:fill="D2DDE2"/>
            <w:vAlign w:val="bottom"/>
            <w:hideMark/>
          </w:tcPr>
          <w:p w14:paraId="01DFAD37" w14:textId="77777777" w:rsidR="004554AD" w:rsidRPr="004554AD" w:rsidRDefault="004554AD" w:rsidP="00C509C9">
            <w:pPr>
              <w:pStyle w:val="TableTextbold"/>
              <w:spacing w:before="50" w:after="50"/>
            </w:pPr>
            <w:r w:rsidRPr="004554AD">
              <w:t>Gisborne</w:t>
            </w:r>
          </w:p>
        </w:tc>
        <w:tc>
          <w:tcPr>
            <w:tcW w:w="1460" w:type="dxa"/>
            <w:shd w:val="clear" w:color="auto" w:fill="auto"/>
            <w:hideMark/>
          </w:tcPr>
          <w:p w14:paraId="7D04CE0D"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3C61B5F9" w14:textId="77777777" w:rsidR="004554AD" w:rsidRPr="004E558A" w:rsidRDefault="004554AD" w:rsidP="00C509C9">
            <w:pPr>
              <w:pStyle w:val="TableText"/>
              <w:spacing w:before="50" w:after="50"/>
              <w:jc w:val="right"/>
              <w:rPr>
                <w:rFonts w:cs="Calibri"/>
                <w:szCs w:val="18"/>
              </w:rPr>
            </w:pPr>
            <w:r w:rsidRPr="004E558A">
              <w:rPr>
                <w:rFonts w:cs="Calibri"/>
                <w:szCs w:val="18"/>
              </w:rPr>
              <w:t>0.09</w:t>
            </w:r>
          </w:p>
        </w:tc>
        <w:tc>
          <w:tcPr>
            <w:tcW w:w="1460" w:type="dxa"/>
            <w:shd w:val="clear" w:color="auto" w:fill="auto"/>
            <w:hideMark/>
          </w:tcPr>
          <w:p w14:paraId="0B8ED592" w14:textId="77777777" w:rsidR="004554AD" w:rsidRPr="004E558A" w:rsidRDefault="004554AD" w:rsidP="00C509C9">
            <w:pPr>
              <w:pStyle w:val="TableText"/>
              <w:spacing w:before="50" w:after="50"/>
              <w:jc w:val="right"/>
              <w:rPr>
                <w:rFonts w:cs="Calibri"/>
                <w:szCs w:val="18"/>
              </w:rPr>
            </w:pPr>
            <w:r w:rsidRPr="004E558A">
              <w:rPr>
                <w:rFonts w:cs="Calibri"/>
                <w:szCs w:val="18"/>
              </w:rPr>
              <w:t>0.16</w:t>
            </w:r>
          </w:p>
        </w:tc>
        <w:tc>
          <w:tcPr>
            <w:tcW w:w="1460" w:type="dxa"/>
            <w:shd w:val="clear" w:color="auto" w:fill="auto"/>
            <w:hideMark/>
          </w:tcPr>
          <w:p w14:paraId="01A3F9CA"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0AB27342"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7AFC5948" w14:textId="77777777" w:rsidR="004554AD" w:rsidRPr="004E558A" w:rsidRDefault="004554AD" w:rsidP="00C509C9">
            <w:pPr>
              <w:pStyle w:val="TableText"/>
              <w:spacing w:before="50" w:after="50"/>
              <w:jc w:val="right"/>
              <w:rPr>
                <w:rFonts w:cs="Calibri"/>
                <w:szCs w:val="18"/>
              </w:rPr>
            </w:pPr>
            <w:r w:rsidRPr="004E558A">
              <w:rPr>
                <w:rFonts w:cs="Calibri"/>
                <w:szCs w:val="18"/>
              </w:rPr>
              <w:t>0.05</w:t>
            </w:r>
          </w:p>
        </w:tc>
        <w:tc>
          <w:tcPr>
            <w:tcW w:w="1460" w:type="dxa"/>
            <w:shd w:val="clear" w:color="auto" w:fill="auto"/>
            <w:hideMark/>
          </w:tcPr>
          <w:p w14:paraId="3DFA0E3D" w14:textId="77777777" w:rsidR="004554AD" w:rsidRPr="004E558A" w:rsidRDefault="004554AD" w:rsidP="00C509C9">
            <w:pPr>
              <w:pStyle w:val="TableText"/>
              <w:spacing w:before="50" w:after="50"/>
              <w:jc w:val="right"/>
              <w:rPr>
                <w:rFonts w:cs="Calibri"/>
                <w:szCs w:val="18"/>
              </w:rPr>
            </w:pPr>
            <w:r w:rsidRPr="004E558A">
              <w:rPr>
                <w:rFonts w:cs="Calibri"/>
                <w:szCs w:val="18"/>
              </w:rPr>
              <w:t>0.08</w:t>
            </w:r>
          </w:p>
        </w:tc>
        <w:tc>
          <w:tcPr>
            <w:tcW w:w="1460" w:type="dxa"/>
            <w:shd w:val="clear" w:color="auto" w:fill="auto"/>
            <w:hideMark/>
          </w:tcPr>
          <w:p w14:paraId="3D010BC2" w14:textId="77777777" w:rsidR="004554AD" w:rsidRPr="004E558A" w:rsidRDefault="004554AD" w:rsidP="00C509C9">
            <w:pPr>
              <w:pStyle w:val="TableText"/>
              <w:spacing w:before="50" w:after="50"/>
              <w:jc w:val="right"/>
              <w:rPr>
                <w:rFonts w:cs="Calibri"/>
                <w:szCs w:val="18"/>
              </w:rPr>
            </w:pPr>
            <w:r w:rsidRPr="004E558A">
              <w:rPr>
                <w:rFonts w:cs="Calibri"/>
                <w:szCs w:val="18"/>
              </w:rPr>
              <w:t>0.04</w:t>
            </w:r>
          </w:p>
        </w:tc>
        <w:tc>
          <w:tcPr>
            <w:tcW w:w="1460" w:type="dxa"/>
            <w:shd w:val="clear" w:color="auto" w:fill="auto"/>
            <w:hideMark/>
          </w:tcPr>
          <w:p w14:paraId="6C2CE3E5" w14:textId="2885AB5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r>
      <w:tr w:rsidR="004554AD" w:rsidRPr="004554AD" w14:paraId="33A2AA07" w14:textId="77777777" w:rsidTr="00001813">
        <w:trPr>
          <w:trHeight w:val="288"/>
        </w:trPr>
        <w:tc>
          <w:tcPr>
            <w:tcW w:w="1880" w:type="dxa"/>
            <w:tcBorders>
              <w:top w:val="nil"/>
              <w:bottom w:val="nil"/>
            </w:tcBorders>
            <w:shd w:val="clear" w:color="000000" w:fill="D2DDE2"/>
            <w:vAlign w:val="bottom"/>
            <w:hideMark/>
          </w:tcPr>
          <w:p w14:paraId="7008295E" w14:textId="77777777" w:rsidR="004554AD" w:rsidRPr="004554AD" w:rsidRDefault="004554AD" w:rsidP="00C509C9">
            <w:pPr>
              <w:pStyle w:val="TableTextbold"/>
              <w:spacing w:before="50" w:after="50"/>
            </w:pPr>
            <w:r w:rsidRPr="004554AD">
              <w:t>Hawke’s Bay</w:t>
            </w:r>
          </w:p>
        </w:tc>
        <w:tc>
          <w:tcPr>
            <w:tcW w:w="1460" w:type="dxa"/>
            <w:shd w:val="clear" w:color="auto" w:fill="auto"/>
            <w:hideMark/>
          </w:tcPr>
          <w:p w14:paraId="0427F7FC" w14:textId="77777777" w:rsidR="004554AD" w:rsidRPr="004E558A" w:rsidRDefault="004554AD" w:rsidP="00C509C9">
            <w:pPr>
              <w:pStyle w:val="TableText"/>
              <w:spacing w:before="50" w:after="50"/>
              <w:jc w:val="right"/>
              <w:rPr>
                <w:rFonts w:cs="Calibri"/>
                <w:szCs w:val="18"/>
              </w:rPr>
            </w:pPr>
            <w:r w:rsidRPr="004E558A">
              <w:rPr>
                <w:rFonts w:cs="Calibri"/>
                <w:szCs w:val="18"/>
              </w:rPr>
              <w:t>0.06</w:t>
            </w:r>
          </w:p>
        </w:tc>
        <w:tc>
          <w:tcPr>
            <w:tcW w:w="1460" w:type="dxa"/>
            <w:shd w:val="clear" w:color="auto" w:fill="auto"/>
            <w:hideMark/>
          </w:tcPr>
          <w:p w14:paraId="0C612357"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05957B34" w14:textId="4FC8809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0.12</w:t>
            </w:r>
          </w:p>
        </w:tc>
        <w:tc>
          <w:tcPr>
            <w:tcW w:w="1460" w:type="dxa"/>
            <w:shd w:val="clear" w:color="auto" w:fill="auto"/>
            <w:hideMark/>
          </w:tcPr>
          <w:p w14:paraId="52A42F04"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7FAC7DF9"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1769AB47"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4BDC72F9" w14:textId="77777777" w:rsidR="004554AD" w:rsidRPr="004E558A" w:rsidRDefault="004554AD" w:rsidP="00C509C9">
            <w:pPr>
              <w:pStyle w:val="TableText"/>
              <w:spacing w:before="50" w:after="50"/>
              <w:jc w:val="right"/>
              <w:rPr>
                <w:rFonts w:cs="Calibri"/>
                <w:szCs w:val="18"/>
              </w:rPr>
            </w:pPr>
            <w:r w:rsidRPr="004E558A">
              <w:rPr>
                <w:rFonts w:cs="Calibri"/>
                <w:szCs w:val="18"/>
              </w:rPr>
              <w:t>0.00</w:t>
            </w:r>
          </w:p>
        </w:tc>
        <w:tc>
          <w:tcPr>
            <w:tcW w:w="1460" w:type="dxa"/>
            <w:shd w:val="clear" w:color="auto" w:fill="auto"/>
            <w:hideMark/>
          </w:tcPr>
          <w:p w14:paraId="63338C6D"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4B9F26DC" w14:textId="0EC75B88"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0.02</w:t>
            </w:r>
          </w:p>
        </w:tc>
      </w:tr>
      <w:tr w:rsidR="004554AD" w:rsidRPr="004554AD" w14:paraId="40B39A37" w14:textId="77777777" w:rsidTr="00001813">
        <w:trPr>
          <w:trHeight w:val="288"/>
        </w:trPr>
        <w:tc>
          <w:tcPr>
            <w:tcW w:w="1880" w:type="dxa"/>
            <w:tcBorders>
              <w:top w:val="nil"/>
              <w:bottom w:val="nil"/>
            </w:tcBorders>
            <w:shd w:val="clear" w:color="000000" w:fill="D2DDE2"/>
            <w:vAlign w:val="bottom"/>
            <w:hideMark/>
          </w:tcPr>
          <w:p w14:paraId="02619BCC" w14:textId="77777777" w:rsidR="004554AD" w:rsidRPr="004554AD" w:rsidRDefault="004554AD" w:rsidP="00C509C9">
            <w:pPr>
              <w:pStyle w:val="TableTextbold"/>
              <w:spacing w:before="50" w:after="50"/>
            </w:pPr>
            <w:r w:rsidRPr="004554AD">
              <w:t>Taranaki</w:t>
            </w:r>
          </w:p>
        </w:tc>
        <w:tc>
          <w:tcPr>
            <w:tcW w:w="1460" w:type="dxa"/>
            <w:shd w:val="clear" w:color="auto" w:fill="auto"/>
            <w:hideMark/>
          </w:tcPr>
          <w:p w14:paraId="75A29EFF" w14:textId="103BE01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7ABA9E30"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64538A73"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73F35715" w14:textId="04E92BA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c>
          <w:tcPr>
            <w:tcW w:w="1460" w:type="dxa"/>
            <w:shd w:val="clear" w:color="auto" w:fill="auto"/>
            <w:hideMark/>
          </w:tcPr>
          <w:p w14:paraId="5960C3C1" w14:textId="1BC64A42"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70429827" w14:textId="77777777" w:rsidR="004554AD" w:rsidRPr="004E558A" w:rsidRDefault="004554AD" w:rsidP="00C509C9">
            <w:pPr>
              <w:pStyle w:val="TableText"/>
              <w:spacing w:before="50" w:after="50"/>
              <w:jc w:val="right"/>
              <w:rPr>
                <w:rFonts w:cs="Calibri"/>
                <w:szCs w:val="18"/>
              </w:rPr>
            </w:pPr>
            <w:r w:rsidRPr="004E558A">
              <w:rPr>
                <w:rFonts w:cs="Calibri"/>
                <w:szCs w:val="18"/>
              </w:rPr>
              <w:t>0.00</w:t>
            </w:r>
          </w:p>
        </w:tc>
        <w:tc>
          <w:tcPr>
            <w:tcW w:w="1460" w:type="dxa"/>
            <w:shd w:val="clear" w:color="auto" w:fill="auto"/>
            <w:hideMark/>
          </w:tcPr>
          <w:p w14:paraId="45D41697" w14:textId="3A8FE357"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c>
          <w:tcPr>
            <w:tcW w:w="1460" w:type="dxa"/>
            <w:shd w:val="clear" w:color="auto" w:fill="auto"/>
            <w:hideMark/>
          </w:tcPr>
          <w:p w14:paraId="74737399"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0C269F22" w14:textId="5C8E472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0.02</w:t>
            </w:r>
          </w:p>
        </w:tc>
      </w:tr>
      <w:tr w:rsidR="004554AD" w:rsidRPr="004554AD" w14:paraId="5A28DC3D" w14:textId="77777777" w:rsidTr="00001813">
        <w:trPr>
          <w:trHeight w:val="288"/>
        </w:trPr>
        <w:tc>
          <w:tcPr>
            <w:tcW w:w="1880" w:type="dxa"/>
            <w:tcBorders>
              <w:top w:val="nil"/>
              <w:bottom w:val="nil"/>
            </w:tcBorders>
            <w:shd w:val="clear" w:color="000000" w:fill="D2DDE2"/>
            <w:vAlign w:val="center"/>
            <w:hideMark/>
          </w:tcPr>
          <w:p w14:paraId="45301908" w14:textId="12A4E9BA" w:rsidR="004554AD" w:rsidRPr="004554AD" w:rsidRDefault="004554AD" w:rsidP="00C509C9">
            <w:pPr>
              <w:pStyle w:val="TableTextbold"/>
              <w:spacing w:before="50" w:after="50"/>
            </w:pPr>
            <w:proofErr w:type="spellStart"/>
            <w:r w:rsidRPr="004554AD">
              <w:t>Manawatu</w:t>
            </w:r>
            <w:proofErr w:type="spellEnd"/>
            <w:r w:rsidR="004E558A">
              <w:t>–</w:t>
            </w:r>
            <w:r w:rsidRPr="004554AD">
              <w:t>Wanganui</w:t>
            </w:r>
          </w:p>
        </w:tc>
        <w:tc>
          <w:tcPr>
            <w:tcW w:w="1460" w:type="dxa"/>
            <w:shd w:val="clear" w:color="auto" w:fill="auto"/>
            <w:hideMark/>
          </w:tcPr>
          <w:p w14:paraId="613D14B5" w14:textId="3CC9EBB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0.08</w:t>
            </w:r>
          </w:p>
        </w:tc>
        <w:tc>
          <w:tcPr>
            <w:tcW w:w="1460" w:type="dxa"/>
            <w:shd w:val="clear" w:color="auto" w:fill="auto"/>
            <w:hideMark/>
          </w:tcPr>
          <w:p w14:paraId="7F50448F" w14:textId="3C992624"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shd w:val="clear" w:color="auto" w:fill="auto"/>
            <w:hideMark/>
          </w:tcPr>
          <w:p w14:paraId="456315DD" w14:textId="231B1E86"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0.15</w:t>
            </w:r>
          </w:p>
        </w:tc>
        <w:tc>
          <w:tcPr>
            <w:tcW w:w="1460" w:type="dxa"/>
            <w:shd w:val="clear" w:color="auto" w:fill="auto"/>
            <w:hideMark/>
          </w:tcPr>
          <w:p w14:paraId="054A9921" w14:textId="4BF95C3F"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0.07</w:t>
            </w:r>
          </w:p>
        </w:tc>
        <w:tc>
          <w:tcPr>
            <w:tcW w:w="1460" w:type="dxa"/>
            <w:shd w:val="clear" w:color="auto" w:fill="auto"/>
            <w:hideMark/>
          </w:tcPr>
          <w:p w14:paraId="19E1324D" w14:textId="235201FF"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0.08</w:t>
            </w:r>
          </w:p>
        </w:tc>
        <w:tc>
          <w:tcPr>
            <w:tcW w:w="1460" w:type="dxa"/>
            <w:shd w:val="clear" w:color="auto" w:fill="auto"/>
            <w:hideMark/>
          </w:tcPr>
          <w:p w14:paraId="6F5366FF"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6DA33939" w14:textId="13AAAFD6"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0.06</w:t>
            </w:r>
          </w:p>
        </w:tc>
        <w:tc>
          <w:tcPr>
            <w:tcW w:w="1460" w:type="dxa"/>
            <w:shd w:val="clear" w:color="auto" w:fill="auto"/>
            <w:hideMark/>
          </w:tcPr>
          <w:p w14:paraId="29D731D3" w14:textId="2479D1C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0.02</w:t>
            </w:r>
          </w:p>
        </w:tc>
        <w:tc>
          <w:tcPr>
            <w:tcW w:w="1460" w:type="dxa"/>
            <w:shd w:val="clear" w:color="auto" w:fill="auto"/>
            <w:hideMark/>
          </w:tcPr>
          <w:p w14:paraId="3F9F37B4" w14:textId="40659ED0"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r>
      <w:tr w:rsidR="004554AD" w:rsidRPr="004554AD" w14:paraId="0710BC1E" w14:textId="77777777" w:rsidTr="00001813">
        <w:trPr>
          <w:trHeight w:val="288"/>
        </w:trPr>
        <w:tc>
          <w:tcPr>
            <w:tcW w:w="1880" w:type="dxa"/>
            <w:tcBorders>
              <w:top w:val="nil"/>
              <w:bottom w:val="nil"/>
            </w:tcBorders>
            <w:shd w:val="clear" w:color="000000" w:fill="D2DDE2"/>
            <w:vAlign w:val="bottom"/>
            <w:hideMark/>
          </w:tcPr>
          <w:p w14:paraId="6C9606EB" w14:textId="77777777" w:rsidR="004554AD" w:rsidRPr="004554AD" w:rsidRDefault="004554AD" w:rsidP="00C509C9">
            <w:pPr>
              <w:pStyle w:val="TableTextbold"/>
              <w:spacing w:before="50" w:after="50"/>
            </w:pPr>
            <w:r w:rsidRPr="004554AD">
              <w:t>Wellington</w:t>
            </w:r>
          </w:p>
        </w:tc>
        <w:tc>
          <w:tcPr>
            <w:tcW w:w="1460" w:type="dxa"/>
            <w:shd w:val="clear" w:color="auto" w:fill="auto"/>
            <w:hideMark/>
          </w:tcPr>
          <w:p w14:paraId="529461C0" w14:textId="7BFC0C6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c>
          <w:tcPr>
            <w:tcW w:w="1460" w:type="dxa"/>
            <w:shd w:val="clear" w:color="auto" w:fill="auto"/>
            <w:hideMark/>
          </w:tcPr>
          <w:p w14:paraId="2176F0AC"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6AFBBBDE" w14:textId="77777777" w:rsidR="004554AD" w:rsidRPr="004E558A" w:rsidRDefault="004554AD" w:rsidP="00C509C9">
            <w:pPr>
              <w:pStyle w:val="TableText"/>
              <w:spacing w:before="50" w:after="50"/>
              <w:jc w:val="right"/>
              <w:rPr>
                <w:rFonts w:cs="Calibri"/>
                <w:szCs w:val="18"/>
              </w:rPr>
            </w:pPr>
            <w:r w:rsidRPr="004E558A">
              <w:rPr>
                <w:rFonts w:cs="Calibri"/>
                <w:szCs w:val="18"/>
              </w:rPr>
              <w:t>0.09</w:t>
            </w:r>
          </w:p>
        </w:tc>
        <w:tc>
          <w:tcPr>
            <w:tcW w:w="1460" w:type="dxa"/>
            <w:shd w:val="clear" w:color="auto" w:fill="auto"/>
            <w:hideMark/>
          </w:tcPr>
          <w:p w14:paraId="56631521" w14:textId="34FE6B82"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0.04</w:t>
            </w:r>
          </w:p>
        </w:tc>
        <w:tc>
          <w:tcPr>
            <w:tcW w:w="1460" w:type="dxa"/>
            <w:shd w:val="clear" w:color="auto" w:fill="auto"/>
            <w:hideMark/>
          </w:tcPr>
          <w:p w14:paraId="322E78F8"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3BE37DBD" w14:textId="07612B09"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0.02</w:t>
            </w:r>
          </w:p>
        </w:tc>
        <w:tc>
          <w:tcPr>
            <w:tcW w:w="1460" w:type="dxa"/>
            <w:shd w:val="clear" w:color="auto" w:fill="auto"/>
            <w:hideMark/>
          </w:tcPr>
          <w:p w14:paraId="215B859E" w14:textId="1FDF498A"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c>
          <w:tcPr>
            <w:tcW w:w="1460" w:type="dxa"/>
            <w:shd w:val="clear" w:color="auto" w:fill="auto"/>
            <w:hideMark/>
          </w:tcPr>
          <w:p w14:paraId="4F21BC97"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5C4CBD8D" w14:textId="41BD1663"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r>
      <w:tr w:rsidR="004554AD" w:rsidRPr="004554AD" w14:paraId="6AC90AC8" w14:textId="77777777" w:rsidTr="00001813">
        <w:trPr>
          <w:trHeight w:val="345"/>
        </w:trPr>
        <w:tc>
          <w:tcPr>
            <w:tcW w:w="1880" w:type="dxa"/>
            <w:tcBorders>
              <w:top w:val="nil"/>
              <w:bottom w:val="nil"/>
            </w:tcBorders>
            <w:shd w:val="clear" w:color="000000" w:fill="D2DDE2"/>
            <w:vAlign w:val="bottom"/>
            <w:hideMark/>
          </w:tcPr>
          <w:p w14:paraId="280D81F9" w14:textId="77777777" w:rsidR="004554AD" w:rsidRPr="004554AD" w:rsidRDefault="004554AD" w:rsidP="00C509C9">
            <w:pPr>
              <w:pStyle w:val="TableTextbold"/>
              <w:spacing w:before="50" w:after="50"/>
            </w:pPr>
            <w:r w:rsidRPr="004554AD">
              <w:t>Tasman/Nelson</w:t>
            </w:r>
          </w:p>
        </w:tc>
        <w:tc>
          <w:tcPr>
            <w:tcW w:w="1460" w:type="dxa"/>
            <w:shd w:val="clear" w:color="auto" w:fill="auto"/>
            <w:hideMark/>
          </w:tcPr>
          <w:p w14:paraId="293FF457"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158D8101" w14:textId="77777777" w:rsidR="004554AD" w:rsidRPr="004E558A" w:rsidRDefault="004554AD" w:rsidP="00C509C9">
            <w:pPr>
              <w:pStyle w:val="TableText"/>
              <w:spacing w:before="50" w:after="50"/>
              <w:jc w:val="right"/>
              <w:rPr>
                <w:rFonts w:cs="Calibri"/>
                <w:szCs w:val="18"/>
              </w:rPr>
            </w:pPr>
            <w:r w:rsidRPr="004E558A">
              <w:rPr>
                <w:rFonts w:cs="Calibri"/>
                <w:szCs w:val="18"/>
              </w:rPr>
              <w:t>0.06</w:t>
            </w:r>
          </w:p>
        </w:tc>
        <w:tc>
          <w:tcPr>
            <w:tcW w:w="1460" w:type="dxa"/>
            <w:shd w:val="clear" w:color="auto" w:fill="auto"/>
            <w:hideMark/>
          </w:tcPr>
          <w:p w14:paraId="709ABD35" w14:textId="2F47BC43"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0.09</w:t>
            </w:r>
          </w:p>
        </w:tc>
        <w:tc>
          <w:tcPr>
            <w:tcW w:w="1460" w:type="dxa"/>
            <w:shd w:val="clear" w:color="auto" w:fill="auto"/>
            <w:hideMark/>
          </w:tcPr>
          <w:p w14:paraId="7B597CC8"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3314FF77"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479946FB"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5E44E159"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13860F31" w14:textId="77777777" w:rsidR="004554AD" w:rsidRPr="004E558A" w:rsidRDefault="004554AD" w:rsidP="00C509C9">
            <w:pPr>
              <w:pStyle w:val="TableText"/>
              <w:spacing w:before="50" w:after="50"/>
              <w:jc w:val="right"/>
              <w:rPr>
                <w:rFonts w:cs="Calibri"/>
                <w:szCs w:val="18"/>
              </w:rPr>
            </w:pPr>
            <w:r w:rsidRPr="004E558A">
              <w:rPr>
                <w:rFonts w:cs="Calibri"/>
                <w:szCs w:val="18"/>
              </w:rPr>
              <w:t>0.04</w:t>
            </w:r>
          </w:p>
        </w:tc>
        <w:tc>
          <w:tcPr>
            <w:tcW w:w="1460" w:type="dxa"/>
            <w:shd w:val="clear" w:color="auto" w:fill="auto"/>
            <w:hideMark/>
          </w:tcPr>
          <w:p w14:paraId="190187F2" w14:textId="2EDA2339"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0.01</w:t>
            </w:r>
          </w:p>
        </w:tc>
      </w:tr>
      <w:tr w:rsidR="00001813" w:rsidRPr="004554AD" w14:paraId="33BE844A" w14:textId="77777777" w:rsidTr="00001813">
        <w:trPr>
          <w:trHeight w:val="288"/>
        </w:trPr>
        <w:tc>
          <w:tcPr>
            <w:tcW w:w="1880" w:type="dxa"/>
            <w:tcBorders>
              <w:top w:val="nil"/>
              <w:bottom w:val="nil"/>
            </w:tcBorders>
            <w:shd w:val="clear" w:color="000000" w:fill="D2DDE2"/>
            <w:vAlign w:val="bottom"/>
            <w:hideMark/>
          </w:tcPr>
          <w:p w14:paraId="3DAF7984" w14:textId="77777777" w:rsidR="004554AD" w:rsidRPr="004554AD" w:rsidRDefault="004554AD" w:rsidP="00C509C9">
            <w:pPr>
              <w:pStyle w:val="TableTextbold"/>
              <w:spacing w:before="50" w:after="50"/>
            </w:pPr>
            <w:r w:rsidRPr="004554AD">
              <w:t>Marlborough</w:t>
            </w:r>
          </w:p>
        </w:tc>
        <w:tc>
          <w:tcPr>
            <w:tcW w:w="1460" w:type="dxa"/>
            <w:shd w:val="clear" w:color="auto" w:fill="auto"/>
            <w:hideMark/>
          </w:tcPr>
          <w:p w14:paraId="0FD5954C" w14:textId="77777777" w:rsidR="004554AD" w:rsidRPr="004E558A" w:rsidRDefault="004554AD" w:rsidP="00C509C9">
            <w:pPr>
              <w:pStyle w:val="TableText"/>
              <w:spacing w:before="50" w:after="50"/>
              <w:jc w:val="right"/>
              <w:rPr>
                <w:rFonts w:cs="Calibri"/>
                <w:szCs w:val="18"/>
              </w:rPr>
            </w:pPr>
            <w:r w:rsidRPr="004E558A">
              <w:rPr>
                <w:rFonts w:cs="Calibri"/>
                <w:szCs w:val="18"/>
              </w:rPr>
              <w:t>0.00</w:t>
            </w:r>
          </w:p>
        </w:tc>
        <w:tc>
          <w:tcPr>
            <w:tcW w:w="1460" w:type="dxa"/>
            <w:shd w:val="clear" w:color="auto" w:fill="auto"/>
            <w:hideMark/>
          </w:tcPr>
          <w:p w14:paraId="0FCD3E02" w14:textId="77777777" w:rsidR="004554AD" w:rsidRPr="004E558A" w:rsidRDefault="004554AD" w:rsidP="00C509C9">
            <w:pPr>
              <w:pStyle w:val="TableText"/>
              <w:spacing w:before="50" w:after="50"/>
              <w:jc w:val="right"/>
              <w:rPr>
                <w:rFonts w:cs="Calibri"/>
                <w:szCs w:val="18"/>
              </w:rPr>
            </w:pPr>
            <w:r w:rsidRPr="004E558A">
              <w:rPr>
                <w:rFonts w:cs="Calibri"/>
                <w:szCs w:val="18"/>
              </w:rPr>
              <w:t>0.05</w:t>
            </w:r>
          </w:p>
        </w:tc>
        <w:tc>
          <w:tcPr>
            <w:tcW w:w="1460" w:type="dxa"/>
            <w:shd w:val="clear" w:color="auto" w:fill="auto"/>
            <w:hideMark/>
          </w:tcPr>
          <w:p w14:paraId="4FD08B72" w14:textId="108B1F28"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shd w:val="clear" w:color="auto" w:fill="auto"/>
            <w:hideMark/>
          </w:tcPr>
          <w:p w14:paraId="0E828183" w14:textId="77777777" w:rsidR="004554AD" w:rsidRPr="004E558A" w:rsidRDefault="004554AD" w:rsidP="00C509C9">
            <w:pPr>
              <w:pStyle w:val="TableText"/>
              <w:spacing w:before="50" w:after="50"/>
              <w:jc w:val="right"/>
              <w:rPr>
                <w:rFonts w:cs="Calibri"/>
                <w:szCs w:val="18"/>
              </w:rPr>
            </w:pPr>
            <w:r w:rsidRPr="004E558A">
              <w:rPr>
                <w:rFonts w:cs="Calibri"/>
                <w:szCs w:val="18"/>
              </w:rPr>
              <w:t>0.00</w:t>
            </w:r>
          </w:p>
        </w:tc>
        <w:tc>
          <w:tcPr>
            <w:tcW w:w="1460" w:type="dxa"/>
            <w:tcBorders>
              <w:bottom w:val="nil"/>
            </w:tcBorders>
            <w:shd w:val="clear" w:color="auto" w:fill="auto"/>
            <w:hideMark/>
          </w:tcPr>
          <w:p w14:paraId="3FAF440C"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41D268CF"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400BAEFB" w14:textId="77777777" w:rsidR="004554AD" w:rsidRPr="004E558A" w:rsidRDefault="004554AD" w:rsidP="00C509C9">
            <w:pPr>
              <w:pStyle w:val="TableText"/>
              <w:spacing w:before="50" w:after="50"/>
              <w:jc w:val="right"/>
              <w:rPr>
                <w:rFonts w:cs="Calibri"/>
                <w:szCs w:val="18"/>
              </w:rPr>
            </w:pPr>
            <w:r w:rsidRPr="004E558A">
              <w:rPr>
                <w:rFonts w:cs="Calibri"/>
                <w:szCs w:val="18"/>
              </w:rPr>
              <w:t>0.03</w:t>
            </w:r>
          </w:p>
        </w:tc>
        <w:tc>
          <w:tcPr>
            <w:tcW w:w="1460" w:type="dxa"/>
            <w:shd w:val="clear" w:color="auto" w:fill="auto"/>
            <w:hideMark/>
          </w:tcPr>
          <w:p w14:paraId="1B44AE99" w14:textId="77777777" w:rsidR="004554AD" w:rsidRPr="004E558A" w:rsidRDefault="004554AD" w:rsidP="00C509C9">
            <w:pPr>
              <w:pStyle w:val="TableText"/>
              <w:spacing w:before="50" w:after="50"/>
              <w:jc w:val="right"/>
              <w:rPr>
                <w:rFonts w:cs="Calibri"/>
                <w:szCs w:val="18"/>
              </w:rPr>
            </w:pPr>
            <w:r w:rsidRPr="004E558A">
              <w:rPr>
                <w:rFonts w:cs="Calibri"/>
                <w:szCs w:val="18"/>
              </w:rPr>
              <w:t>0.02</w:t>
            </w:r>
          </w:p>
        </w:tc>
        <w:tc>
          <w:tcPr>
            <w:tcW w:w="1460" w:type="dxa"/>
            <w:shd w:val="clear" w:color="auto" w:fill="auto"/>
            <w:hideMark/>
          </w:tcPr>
          <w:p w14:paraId="34EAEE23" w14:textId="0B5C6B29"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0.02</w:t>
            </w:r>
          </w:p>
        </w:tc>
      </w:tr>
      <w:tr w:rsidR="004E558A" w:rsidRPr="004554AD" w14:paraId="35DD3348" w14:textId="77777777" w:rsidTr="00001813">
        <w:trPr>
          <w:trHeight w:val="288"/>
        </w:trPr>
        <w:tc>
          <w:tcPr>
            <w:tcW w:w="1880" w:type="dxa"/>
            <w:tcBorders>
              <w:top w:val="nil"/>
              <w:bottom w:val="nil"/>
            </w:tcBorders>
            <w:shd w:val="clear" w:color="000000" w:fill="D2DDE2"/>
            <w:vAlign w:val="bottom"/>
            <w:hideMark/>
          </w:tcPr>
          <w:p w14:paraId="2EE5E0FA" w14:textId="77777777" w:rsidR="004554AD" w:rsidRPr="004554AD" w:rsidRDefault="004554AD" w:rsidP="00C509C9">
            <w:pPr>
              <w:pStyle w:val="TableTextbold"/>
              <w:spacing w:before="50" w:after="50"/>
            </w:pPr>
            <w:r w:rsidRPr="004554AD">
              <w:t>West Coast</w:t>
            </w:r>
          </w:p>
        </w:tc>
        <w:tc>
          <w:tcPr>
            <w:tcW w:w="1460" w:type="dxa"/>
            <w:shd w:val="clear" w:color="auto" w:fill="auto"/>
            <w:hideMark/>
          </w:tcPr>
          <w:p w14:paraId="43F4A558" w14:textId="3BEE0284"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w:t>
            </w:r>
          </w:p>
        </w:tc>
        <w:tc>
          <w:tcPr>
            <w:tcW w:w="1460" w:type="dxa"/>
            <w:shd w:val="clear" w:color="auto" w:fill="auto"/>
            <w:hideMark/>
          </w:tcPr>
          <w:p w14:paraId="1B780899" w14:textId="108794F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0.07</w:t>
            </w:r>
          </w:p>
        </w:tc>
        <w:tc>
          <w:tcPr>
            <w:tcW w:w="1460" w:type="dxa"/>
            <w:shd w:val="clear" w:color="auto" w:fill="auto"/>
            <w:hideMark/>
          </w:tcPr>
          <w:p w14:paraId="66EE9113" w14:textId="50F8F12F"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w:t>
            </w:r>
          </w:p>
        </w:tc>
        <w:tc>
          <w:tcPr>
            <w:tcW w:w="1460" w:type="dxa"/>
            <w:shd w:val="clear" w:color="auto" w:fill="auto"/>
            <w:hideMark/>
          </w:tcPr>
          <w:p w14:paraId="69406848" w14:textId="0FDDC41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0.08</w:t>
            </w:r>
          </w:p>
        </w:tc>
        <w:tc>
          <w:tcPr>
            <w:tcW w:w="1460" w:type="dxa"/>
            <w:tcBorders>
              <w:top w:val="nil"/>
              <w:bottom w:val="nil"/>
            </w:tcBorders>
            <w:shd w:val="clear" w:color="000000" w:fill="D2DDE2"/>
            <w:hideMark/>
          </w:tcPr>
          <w:p w14:paraId="66ED7EF3" w14:textId="685FC522"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0.11</w:t>
            </w:r>
          </w:p>
        </w:tc>
        <w:tc>
          <w:tcPr>
            <w:tcW w:w="1460" w:type="dxa"/>
            <w:shd w:val="clear" w:color="auto" w:fill="auto"/>
            <w:hideMark/>
          </w:tcPr>
          <w:p w14:paraId="402C2697"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78D1416C" w14:textId="3DF0F76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0.09</w:t>
            </w:r>
          </w:p>
        </w:tc>
        <w:tc>
          <w:tcPr>
            <w:tcW w:w="1460" w:type="dxa"/>
            <w:shd w:val="clear" w:color="auto" w:fill="auto"/>
            <w:hideMark/>
          </w:tcPr>
          <w:p w14:paraId="0EC7D2E2" w14:textId="127101C1"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0.03</w:t>
            </w:r>
          </w:p>
        </w:tc>
        <w:tc>
          <w:tcPr>
            <w:tcW w:w="1460" w:type="dxa"/>
            <w:shd w:val="clear" w:color="auto" w:fill="auto"/>
            <w:hideMark/>
          </w:tcPr>
          <w:p w14:paraId="22F1EB50" w14:textId="4F83B0D1"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0.06</w:t>
            </w:r>
          </w:p>
        </w:tc>
      </w:tr>
      <w:tr w:rsidR="004E558A" w:rsidRPr="004554AD" w14:paraId="3634D41A" w14:textId="77777777" w:rsidTr="00001813">
        <w:trPr>
          <w:trHeight w:val="288"/>
        </w:trPr>
        <w:tc>
          <w:tcPr>
            <w:tcW w:w="1880" w:type="dxa"/>
            <w:tcBorders>
              <w:top w:val="nil"/>
              <w:bottom w:val="nil"/>
            </w:tcBorders>
            <w:shd w:val="clear" w:color="000000" w:fill="D2DDE2"/>
            <w:vAlign w:val="bottom"/>
            <w:hideMark/>
          </w:tcPr>
          <w:p w14:paraId="0205151F" w14:textId="77777777" w:rsidR="004554AD" w:rsidRPr="004554AD" w:rsidRDefault="004554AD" w:rsidP="00C509C9">
            <w:pPr>
              <w:pStyle w:val="TableTextbold"/>
              <w:spacing w:before="50" w:after="50"/>
            </w:pPr>
            <w:r w:rsidRPr="004554AD">
              <w:t>Canterbury</w:t>
            </w:r>
          </w:p>
        </w:tc>
        <w:tc>
          <w:tcPr>
            <w:tcW w:w="1460" w:type="dxa"/>
            <w:shd w:val="clear" w:color="auto" w:fill="auto"/>
            <w:hideMark/>
          </w:tcPr>
          <w:p w14:paraId="1807F013" w14:textId="0362580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0.21</w:t>
            </w:r>
          </w:p>
        </w:tc>
        <w:tc>
          <w:tcPr>
            <w:tcW w:w="1460" w:type="dxa"/>
            <w:shd w:val="clear" w:color="auto" w:fill="auto"/>
            <w:hideMark/>
          </w:tcPr>
          <w:p w14:paraId="0391CA05" w14:textId="00EA64E2"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0.18</w:t>
            </w:r>
          </w:p>
        </w:tc>
        <w:tc>
          <w:tcPr>
            <w:tcW w:w="1460" w:type="dxa"/>
            <w:shd w:val="clear" w:color="auto" w:fill="auto"/>
            <w:hideMark/>
          </w:tcPr>
          <w:p w14:paraId="0AFFE661" w14:textId="468118A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0.3</w:t>
            </w:r>
          </w:p>
        </w:tc>
        <w:tc>
          <w:tcPr>
            <w:tcW w:w="1460" w:type="dxa"/>
            <w:shd w:val="clear" w:color="auto" w:fill="auto"/>
            <w:hideMark/>
          </w:tcPr>
          <w:p w14:paraId="1635D26F" w14:textId="1AF6C904"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0.14</w:t>
            </w:r>
          </w:p>
        </w:tc>
        <w:tc>
          <w:tcPr>
            <w:tcW w:w="1460" w:type="dxa"/>
            <w:tcBorders>
              <w:top w:val="nil"/>
              <w:bottom w:val="nil"/>
            </w:tcBorders>
            <w:shd w:val="clear" w:color="000000" w:fill="D2DDE2"/>
            <w:hideMark/>
          </w:tcPr>
          <w:p w14:paraId="29D6B2D5" w14:textId="3F3934D4"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0.20</w:t>
            </w:r>
          </w:p>
        </w:tc>
        <w:tc>
          <w:tcPr>
            <w:tcW w:w="1460" w:type="dxa"/>
            <w:shd w:val="clear" w:color="auto" w:fill="auto"/>
            <w:hideMark/>
          </w:tcPr>
          <w:p w14:paraId="2C976C4C" w14:textId="77777777" w:rsidR="004554AD" w:rsidRPr="004E558A" w:rsidRDefault="004554AD" w:rsidP="00C509C9">
            <w:pPr>
              <w:pStyle w:val="TableText"/>
              <w:spacing w:before="50" w:after="50"/>
              <w:jc w:val="right"/>
              <w:rPr>
                <w:rFonts w:cs="Calibri"/>
                <w:szCs w:val="18"/>
              </w:rPr>
            </w:pPr>
            <w:r w:rsidRPr="004E558A">
              <w:rPr>
                <w:rFonts w:cs="Calibri"/>
                <w:szCs w:val="18"/>
              </w:rPr>
              <w:t>0.01</w:t>
            </w:r>
          </w:p>
        </w:tc>
        <w:tc>
          <w:tcPr>
            <w:tcW w:w="1460" w:type="dxa"/>
            <w:shd w:val="clear" w:color="auto" w:fill="auto"/>
            <w:hideMark/>
          </w:tcPr>
          <w:p w14:paraId="48226E0F" w14:textId="45D9F51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0.2</w:t>
            </w:r>
          </w:p>
        </w:tc>
        <w:tc>
          <w:tcPr>
            <w:tcW w:w="1460" w:type="dxa"/>
            <w:shd w:val="clear" w:color="auto" w:fill="auto"/>
            <w:hideMark/>
          </w:tcPr>
          <w:p w14:paraId="6BE5161B" w14:textId="5E0F9EA6"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0.08</w:t>
            </w:r>
          </w:p>
        </w:tc>
        <w:tc>
          <w:tcPr>
            <w:tcW w:w="1460" w:type="dxa"/>
            <w:shd w:val="clear" w:color="auto" w:fill="auto"/>
            <w:hideMark/>
          </w:tcPr>
          <w:p w14:paraId="4E8DEFC9" w14:textId="5A2E64DB"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0.11</w:t>
            </w:r>
          </w:p>
        </w:tc>
      </w:tr>
      <w:tr w:rsidR="004E558A" w:rsidRPr="004554AD" w14:paraId="3B4D5DD4" w14:textId="77777777" w:rsidTr="00001813">
        <w:trPr>
          <w:trHeight w:val="288"/>
        </w:trPr>
        <w:tc>
          <w:tcPr>
            <w:tcW w:w="1880" w:type="dxa"/>
            <w:tcBorders>
              <w:top w:val="nil"/>
              <w:bottom w:val="nil"/>
            </w:tcBorders>
            <w:shd w:val="clear" w:color="000000" w:fill="D2DDE2"/>
            <w:vAlign w:val="bottom"/>
            <w:hideMark/>
          </w:tcPr>
          <w:p w14:paraId="23B9BA5F" w14:textId="77777777" w:rsidR="004554AD" w:rsidRPr="004554AD" w:rsidRDefault="004554AD" w:rsidP="00C509C9">
            <w:pPr>
              <w:pStyle w:val="TableTextbold"/>
              <w:spacing w:before="50" w:after="50"/>
            </w:pPr>
            <w:r w:rsidRPr="004554AD">
              <w:t>Otago</w:t>
            </w:r>
          </w:p>
        </w:tc>
        <w:tc>
          <w:tcPr>
            <w:tcW w:w="1460" w:type="dxa"/>
            <w:shd w:val="clear" w:color="auto" w:fill="auto"/>
            <w:hideMark/>
          </w:tcPr>
          <w:p w14:paraId="272F8895" w14:textId="6DD40C86"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0.16</w:t>
            </w:r>
          </w:p>
        </w:tc>
        <w:tc>
          <w:tcPr>
            <w:tcW w:w="1460" w:type="dxa"/>
            <w:shd w:val="clear" w:color="auto" w:fill="auto"/>
            <w:hideMark/>
          </w:tcPr>
          <w:p w14:paraId="65978D33" w14:textId="19CC93B6"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0.16</w:t>
            </w:r>
          </w:p>
        </w:tc>
        <w:tc>
          <w:tcPr>
            <w:tcW w:w="1460" w:type="dxa"/>
            <w:shd w:val="clear" w:color="auto" w:fill="auto"/>
            <w:hideMark/>
          </w:tcPr>
          <w:p w14:paraId="0210CBE7" w14:textId="634EC4A4"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0.42</w:t>
            </w:r>
          </w:p>
        </w:tc>
        <w:tc>
          <w:tcPr>
            <w:tcW w:w="1460" w:type="dxa"/>
            <w:shd w:val="clear" w:color="auto" w:fill="auto"/>
            <w:hideMark/>
          </w:tcPr>
          <w:p w14:paraId="596AFF62" w14:textId="64D3707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0.13</w:t>
            </w:r>
          </w:p>
        </w:tc>
        <w:tc>
          <w:tcPr>
            <w:tcW w:w="1460" w:type="dxa"/>
            <w:tcBorders>
              <w:top w:val="nil"/>
              <w:bottom w:val="nil"/>
            </w:tcBorders>
            <w:shd w:val="clear" w:color="000000" w:fill="D2DDE2"/>
            <w:hideMark/>
          </w:tcPr>
          <w:p w14:paraId="78D441B8" w14:textId="76C597E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0.19</w:t>
            </w:r>
          </w:p>
        </w:tc>
        <w:tc>
          <w:tcPr>
            <w:tcW w:w="1460" w:type="dxa"/>
            <w:shd w:val="clear" w:color="auto" w:fill="auto"/>
            <w:hideMark/>
          </w:tcPr>
          <w:p w14:paraId="01EA2F00" w14:textId="77777777" w:rsidR="004554AD" w:rsidRPr="004E558A" w:rsidRDefault="004554AD" w:rsidP="00C509C9">
            <w:pPr>
              <w:pStyle w:val="TableText"/>
              <w:spacing w:before="50" w:after="50"/>
              <w:jc w:val="right"/>
              <w:rPr>
                <w:rFonts w:cs="Calibri"/>
                <w:szCs w:val="18"/>
              </w:rPr>
            </w:pPr>
            <w:r w:rsidRPr="004E558A">
              <w:rPr>
                <w:rFonts w:cs="Calibri"/>
                <w:szCs w:val="18"/>
              </w:rPr>
              <w:t>0.04</w:t>
            </w:r>
          </w:p>
        </w:tc>
        <w:tc>
          <w:tcPr>
            <w:tcW w:w="1460" w:type="dxa"/>
            <w:shd w:val="clear" w:color="auto" w:fill="auto"/>
            <w:hideMark/>
          </w:tcPr>
          <w:p w14:paraId="1019CFEC" w14:textId="73AAE6E1"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0.15</w:t>
            </w:r>
          </w:p>
        </w:tc>
        <w:tc>
          <w:tcPr>
            <w:tcW w:w="1460" w:type="dxa"/>
            <w:tcBorders>
              <w:bottom w:val="nil"/>
            </w:tcBorders>
            <w:shd w:val="clear" w:color="auto" w:fill="auto"/>
            <w:hideMark/>
          </w:tcPr>
          <w:p w14:paraId="494A37B3" w14:textId="01F3D8DB"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0.05</w:t>
            </w:r>
          </w:p>
        </w:tc>
        <w:tc>
          <w:tcPr>
            <w:tcW w:w="1460" w:type="dxa"/>
            <w:shd w:val="clear" w:color="auto" w:fill="auto"/>
            <w:hideMark/>
          </w:tcPr>
          <w:p w14:paraId="3F47A9E4" w14:textId="727E9CB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0.09</w:t>
            </w:r>
          </w:p>
        </w:tc>
      </w:tr>
      <w:tr w:rsidR="004E558A" w:rsidRPr="004554AD" w14:paraId="3257B3B3" w14:textId="77777777" w:rsidTr="00001813">
        <w:trPr>
          <w:trHeight w:val="288"/>
        </w:trPr>
        <w:tc>
          <w:tcPr>
            <w:tcW w:w="1880" w:type="dxa"/>
            <w:tcBorders>
              <w:top w:val="nil"/>
              <w:bottom w:val="single" w:sz="4" w:space="0" w:color="1C556C" w:themeColor="accent1"/>
            </w:tcBorders>
            <w:shd w:val="clear" w:color="000000" w:fill="D2DDE2"/>
            <w:vAlign w:val="bottom"/>
            <w:hideMark/>
          </w:tcPr>
          <w:p w14:paraId="22156B3B" w14:textId="77777777" w:rsidR="004554AD" w:rsidRPr="004554AD" w:rsidRDefault="004554AD" w:rsidP="00C509C9">
            <w:pPr>
              <w:pStyle w:val="TableTextbold"/>
              <w:spacing w:before="50" w:after="50"/>
            </w:pPr>
            <w:r w:rsidRPr="004554AD">
              <w:t>Southland</w:t>
            </w:r>
          </w:p>
        </w:tc>
        <w:tc>
          <w:tcPr>
            <w:tcW w:w="1460" w:type="dxa"/>
            <w:shd w:val="clear" w:color="auto" w:fill="auto"/>
            <w:hideMark/>
          </w:tcPr>
          <w:p w14:paraId="2ABF686A" w14:textId="5793316D"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0.25</w:t>
            </w:r>
          </w:p>
        </w:tc>
        <w:tc>
          <w:tcPr>
            <w:tcW w:w="1460" w:type="dxa"/>
            <w:shd w:val="clear" w:color="auto" w:fill="auto"/>
            <w:hideMark/>
          </w:tcPr>
          <w:p w14:paraId="0C1563E8" w14:textId="4AA8F5BC"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0.26</w:t>
            </w:r>
          </w:p>
        </w:tc>
        <w:tc>
          <w:tcPr>
            <w:tcW w:w="1460" w:type="dxa"/>
            <w:shd w:val="clear" w:color="auto" w:fill="auto"/>
            <w:hideMark/>
          </w:tcPr>
          <w:p w14:paraId="2BA67401" w14:textId="34167607"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0.41</w:t>
            </w:r>
          </w:p>
        </w:tc>
        <w:tc>
          <w:tcPr>
            <w:tcW w:w="1460" w:type="dxa"/>
            <w:shd w:val="clear" w:color="auto" w:fill="auto"/>
            <w:hideMark/>
          </w:tcPr>
          <w:p w14:paraId="2BBD1119" w14:textId="04B92D85"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0.15</w:t>
            </w:r>
          </w:p>
        </w:tc>
        <w:tc>
          <w:tcPr>
            <w:tcW w:w="1460" w:type="dxa"/>
            <w:tcBorders>
              <w:top w:val="nil"/>
              <w:bottom w:val="single" w:sz="4" w:space="0" w:color="1C556C" w:themeColor="accent1"/>
            </w:tcBorders>
            <w:shd w:val="clear" w:color="000000" w:fill="D2DDE2"/>
            <w:hideMark/>
          </w:tcPr>
          <w:p w14:paraId="0F45B18B" w14:textId="49E86DA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0.34</w:t>
            </w:r>
          </w:p>
        </w:tc>
        <w:tc>
          <w:tcPr>
            <w:tcW w:w="1460" w:type="dxa"/>
            <w:shd w:val="clear" w:color="auto" w:fill="auto"/>
            <w:hideMark/>
          </w:tcPr>
          <w:p w14:paraId="7FB8E394" w14:textId="77777777" w:rsidR="004554AD" w:rsidRPr="004E558A" w:rsidRDefault="004554AD" w:rsidP="00C509C9">
            <w:pPr>
              <w:pStyle w:val="TableText"/>
              <w:spacing w:before="50" w:after="50"/>
              <w:jc w:val="right"/>
              <w:rPr>
                <w:rFonts w:cs="Calibri"/>
                <w:szCs w:val="18"/>
              </w:rPr>
            </w:pPr>
            <w:r w:rsidRPr="004E558A">
              <w:rPr>
                <w:rFonts w:cs="Calibri"/>
                <w:szCs w:val="18"/>
              </w:rPr>
              <w:t>0.09</w:t>
            </w:r>
          </w:p>
        </w:tc>
        <w:tc>
          <w:tcPr>
            <w:tcW w:w="1460" w:type="dxa"/>
            <w:shd w:val="clear" w:color="auto" w:fill="auto"/>
            <w:hideMark/>
          </w:tcPr>
          <w:p w14:paraId="72FFACE8" w14:textId="330F6A1E"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0.27</w:t>
            </w:r>
          </w:p>
        </w:tc>
        <w:tc>
          <w:tcPr>
            <w:tcW w:w="1460" w:type="dxa"/>
            <w:tcBorders>
              <w:top w:val="nil"/>
              <w:bottom w:val="single" w:sz="4" w:space="0" w:color="1C556C" w:themeColor="accent1"/>
            </w:tcBorders>
            <w:shd w:val="clear" w:color="000000" w:fill="D2DDE2"/>
            <w:hideMark/>
          </w:tcPr>
          <w:p w14:paraId="55994222" w14:textId="128ECE93"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0.11</w:t>
            </w:r>
          </w:p>
        </w:tc>
        <w:tc>
          <w:tcPr>
            <w:tcW w:w="1460" w:type="dxa"/>
            <w:shd w:val="clear" w:color="auto" w:fill="auto"/>
            <w:hideMark/>
          </w:tcPr>
          <w:p w14:paraId="738AE3F2" w14:textId="53C2B533" w:rsidR="004554AD" w:rsidRPr="004E558A" w:rsidRDefault="004E558A" w:rsidP="00C509C9">
            <w:pPr>
              <w:pStyle w:val="TableText"/>
              <w:spacing w:before="50" w:after="50"/>
              <w:jc w:val="right"/>
              <w:rPr>
                <w:rFonts w:cs="Calibri"/>
                <w:szCs w:val="18"/>
              </w:rPr>
            </w:pPr>
            <w:r>
              <w:rPr>
                <w:rFonts w:cs="Calibri"/>
                <w:szCs w:val="18"/>
              </w:rPr>
              <w:t>–</w:t>
            </w:r>
            <w:r w:rsidR="004554AD" w:rsidRPr="004E558A">
              <w:rPr>
                <w:rFonts w:cs="Calibri"/>
                <w:szCs w:val="18"/>
              </w:rPr>
              <w:t>0.14</w:t>
            </w:r>
          </w:p>
        </w:tc>
      </w:tr>
    </w:tbl>
    <w:p w14:paraId="725782F1" w14:textId="769A89C6" w:rsidR="008E618D" w:rsidRPr="00BA6FE7" w:rsidRDefault="00BA6FE7" w:rsidP="00BA6FE7">
      <w:pPr>
        <w:pStyle w:val="Note"/>
      </w:pPr>
      <w:r w:rsidRPr="00BA6FE7">
        <w:t xml:space="preserve">Source: </w:t>
      </w:r>
      <w:r w:rsidR="008E618D" w:rsidRPr="00BA6FE7">
        <w:t>Marginal calculation based on NZIER’s results.</w:t>
      </w:r>
    </w:p>
    <w:p w14:paraId="5FEC43AB" w14:textId="1C64E03D" w:rsidR="00226A8B" w:rsidRPr="00AA3FB2" w:rsidRDefault="008A16CE" w:rsidP="00252704">
      <w:pPr>
        <w:pStyle w:val="BodyText"/>
        <w:rPr>
          <w:lang w:eastAsia="en-GB"/>
        </w:rPr>
      </w:pPr>
      <w:r>
        <w:rPr>
          <w:lang w:eastAsia="en-GB"/>
        </w:rPr>
        <w:t>T</w:t>
      </w:r>
      <w:r w:rsidR="00226A8B" w:rsidRPr="00AA3FB2">
        <w:rPr>
          <w:lang w:eastAsia="en-GB"/>
        </w:rPr>
        <w:t xml:space="preserve">o align with other results from the impact analysis, which themselves </w:t>
      </w:r>
      <w:proofErr w:type="gramStart"/>
      <w:r w:rsidR="00226A8B" w:rsidRPr="00AA3FB2">
        <w:rPr>
          <w:lang w:eastAsia="en-GB"/>
        </w:rPr>
        <w:t>were having</w:t>
      </w:r>
      <w:proofErr w:type="gramEnd"/>
      <w:r w:rsidR="00226A8B" w:rsidRPr="00AA3FB2">
        <w:rPr>
          <w:lang w:eastAsia="en-GB"/>
        </w:rPr>
        <w:t xml:space="preserve"> to comply with requirements of </w:t>
      </w:r>
      <w:r>
        <w:rPr>
          <w:lang w:eastAsia="en-GB"/>
        </w:rPr>
        <w:t>regulatory impact s</w:t>
      </w:r>
      <w:r w:rsidR="00226A8B" w:rsidRPr="00AA3FB2">
        <w:rPr>
          <w:lang w:eastAsia="en-GB"/>
        </w:rPr>
        <w:t xml:space="preserve">tatements, the static analysis undertaken for the nutrient bottom lines was used to generate a present value (‘PV’) cost. This </w:t>
      </w:r>
      <w:proofErr w:type="gramStart"/>
      <w:r w:rsidR="00226A8B" w:rsidRPr="00AA3FB2">
        <w:rPr>
          <w:lang w:eastAsia="en-GB"/>
        </w:rPr>
        <w:t>was done by</w:t>
      </w:r>
      <w:proofErr w:type="gramEnd"/>
      <w:r w:rsidR="00226A8B" w:rsidRPr="00AA3FB2">
        <w:rPr>
          <w:lang w:eastAsia="en-GB"/>
        </w:rPr>
        <w:t xml:space="preserve"> assuming a gradual transition to full compliance over 30 years, and assuming a </w:t>
      </w:r>
      <w:r>
        <w:rPr>
          <w:lang w:eastAsia="en-GB"/>
        </w:rPr>
        <w:t>three</w:t>
      </w:r>
      <w:r w:rsidR="00226A8B" w:rsidRPr="00AA3FB2">
        <w:rPr>
          <w:lang w:eastAsia="en-GB"/>
        </w:rPr>
        <w:t xml:space="preserve"> per cent discount rate. The decision to adopt a </w:t>
      </w:r>
      <w:r w:rsidR="00C2206B">
        <w:rPr>
          <w:lang w:eastAsia="en-GB"/>
        </w:rPr>
        <w:t>three</w:t>
      </w:r>
      <w:r w:rsidR="00226A8B" w:rsidRPr="00AA3FB2">
        <w:rPr>
          <w:lang w:eastAsia="en-GB"/>
        </w:rPr>
        <w:t xml:space="preserve"> per cent discount rate for the PV analysis </w:t>
      </w:r>
      <w:proofErr w:type="gramStart"/>
      <w:r w:rsidR="00226A8B" w:rsidRPr="00AA3FB2">
        <w:rPr>
          <w:lang w:eastAsia="en-GB"/>
        </w:rPr>
        <w:t>was taken</w:t>
      </w:r>
      <w:proofErr w:type="gramEnd"/>
      <w:r w:rsidR="00226A8B" w:rsidRPr="00AA3FB2">
        <w:rPr>
          <w:lang w:eastAsia="en-GB"/>
        </w:rPr>
        <w:t xml:space="preserve"> by the Governance Group (and the rationale is outlined in Resource Economics’ report about the cost of the package).</w:t>
      </w:r>
      <w:r w:rsidR="00226A8B" w:rsidRPr="00AA3FB2">
        <w:rPr>
          <w:vertAlign w:val="superscript"/>
          <w:lang w:eastAsia="en-GB"/>
        </w:rPr>
        <w:footnoteReference w:id="8"/>
      </w:r>
      <w:r w:rsidR="00226A8B" w:rsidRPr="00AA3FB2">
        <w:rPr>
          <w:lang w:eastAsia="en-GB"/>
        </w:rPr>
        <w:t xml:space="preserve"> </w:t>
      </w:r>
      <w:proofErr w:type="spellStart"/>
      <w:r w:rsidR="00226A8B" w:rsidRPr="00AA3FB2">
        <w:rPr>
          <w:lang w:eastAsia="en-GB"/>
        </w:rPr>
        <w:t>Sapere</w:t>
      </w:r>
      <w:proofErr w:type="spellEnd"/>
      <w:r w:rsidR="00226A8B" w:rsidRPr="00AA3FB2">
        <w:rPr>
          <w:lang w:eastAsia="en-GB"/>
        </w:rPr>
        <w:t xml:space="preserve"> and Resource Economics made their own assumptions about time profiles for transition.</w:t>
      </w:r>
    </w:p>
    <w:p w14:paraId="699A9938" w14:textId="23E5C0FA" w:rsidR="00226A8B" w:rsidRPr="00AA3FB2" w:rsidRDefault="00226A8B" w:rsidP="00C509C9">
      <w:pPr>
        <w:pStyle w:val="Heading2"/>
        <w:spacing w:before="320"/>
        <w:rPr>
          <w:lang w:eastAsia="en-GB"/>
        </w:rPr>
      </w:pPr>
      <w:bookmarkStart w:id="11" w:name="_Toc41498574"/>
      <w:r w:rsidRPr="00AA3FB2">
        <w:rPr>
          <w:lang w:eastAsia="en-GB"/>
        </w:rPr>
        <w:t>Analysis of the costs likely to be incurred by regional</w:t>
      </w:r>
      <w:r w:rsidR="000462EA" w:rsidRPr="00AA3FB2">
        <w:rPr>
          <w:lang w:eastAsia="en-GB"/>
        </w:rPr>
        <w:t> </w:t>
      </w:r>
      <w:r w:rsidRPr="00AA3FB2">
        <w:rPr>
          <w:lang w:eastAsia="en-GB"/>
        </w:rPr>
        <w:t>councils</w:t>
      </w:r>
      <w:bookmarkEnd w:id="11"/>
    </w:p>
    <w:p w14:paraId="4E399987" w14:textId="7B05CBA5" w:rsidR="00226A8B" w:rsidRPr="00AA3FB2" w:rsidRDefault="00226A8B" w:rsidP="000462EA">
      <w:pPr>
        <w:pStyle w:val="BodyText"/>
        <w:rPr>
          <w:lang w:eastAsia="en-GB"/>
        </w:rPr>
      </w:pPr>
      <w:r w:rsidRPr="00AA3FB2">
        <w:rPr>
          <w:lang w:eastAsia="en-GB"/>
        </w:rPr>
        <w:t xml:space="preserve">A report on likely council cost impacts of the proposals </w:t>
      </w:r>
      <w:proofErr w:type="gramStart"/>
      <w:r w:rsidRPr="00AA3FB2">
        <w:rPr>
          <w:lang w:eastAsia="en-GB"/>
        </w:rPr>
        <w:t>was commissioned</w:t>
      </w:r>
      <w:proofErr w:type="gramEnd"/>
      <w:r w:rsidRPr="00AA3FB2">
        <w:rPr>
          <w:lang w:eastAsia="en-GB"/>
        </w:rPr>
        <w:t xml:space="preserve"> from consulting firm Castalia. </w:t>
      </w:r>
      <w:r w:rsidR="00C2206B">
        <w:rPr>
          <w:lang w:eastAsia="en-GB"/>
        </w:rPr>
        <w:t>Castalia interpreted t</w:t>
      </w:r>
      <w:r w:rsidRPr="00AA3FB2">
        <w:rPr>
          <w:lang w:eastAsia="en-GB"/>
        </w:rPr>
        <w:t xml:space="preserve">he brief as comparing future costs with those incurred today, with no allowance </w:t>
      </w:r>
      <w:proofErr w:type="gramStart"/>
      <w:r w:rsidRPr="00AA3FB2">
        <w:rPr>
          <w:lang w:eastAsia="en-GB"/>
        </w:rPr>
        <w:t>being made</w:t>
      </w:r>
      <w:proofErr w:type="gramEnd"/>
      <w:r w:rsidRPr="00AA3FB2">
        <w:rPr>
          <w:lang w:eastAsia="en-GB"/>
        </w:rPr>
        <w:t xml:space="preserve"> for how council costs may be impacted by the 2017 NPS</w:t>
      </w:r>
      <w:r w:rsidR="005B4586" w:rsidRPr="00AA3FB2">
        <w:rPr>
          <w:lang w:eastAsia="en-GB"/>
        </w:rPr>
        <w:noBreakHyphen/>
      </w:r>
      <w:r w:rsidRPr="00AA3FB2">
        <w:rPr>
          <w:lang w:eastAsia="en-GB"/>
        </w:rPr>
        <w:t xml:space="preserve">FM. While Castalia provided revisions to </w:t>
      </w:r>
      <w:r w:rsidR="00C2206B">
        <w:rPr>
          <w:lang w:eastAsia="en-GB"/>
        </w:rPr>
        <w:t>its</w:t>
      </w:r>
      <w:r w:rsidRPr="00AA3FB2">
        <w:rPr>
          <w:lang w:eastAsia="en-GB"/>
        </w:rPr>
        <w:t xml:space="preserve"> initial report, to try </w:t>
      </w:r>
      <w:proofErr w:type="gramStart"/>
      <w:r w:rsidRPr="00AA3FB2">
        <w:rPr>
          <w:lang w:eastAsia="en-GB"/>
        </w:rPr>
        <w:t>and</w:t>
      </w:r>
      <w:proofErr w:type="gramEnd"/>
      <w:r w:rsidRPr="00AA3FB2">
        <w:rPr>
          <w:lang w:eastAsia="en-GB"/>
        </w:rPr>
        <w:t xml:space="preserve"> capture the marginal effect, </w:t>
      </w:r>
      <w:r w:rsidR="00C2206B">
        <w:rPr>
          <w:lang w:eastAsia="en-GB"/>
        </w:rPr>
        <w:t xml:space="preserve">we </w:t>
      </w:r>
      <w:r w:rsidR="00C2206B">
        <w:rPr>
          <w:lang w:eastAsia="en-GB"/>
        </w:rPr>
        <w:lastRenderedPageBreak/>
        <w:t>believe</w:t>
      </w:r>
      <w:r w:rsidRPr="00AA3FB2">
        <w:rPr>
          <w:lang w:eastAsia="en-GB"/>
        </w:rPr>
        <w:t xml:space="preserve"> there is insufficient consideration of the marginal impacts in the final report. In addition, Castalia’s analysis reflected the initial proposals, not the</w:t>
      </w:r>
      <w:r w:rsidR="005B4586" w:rsidRPr="00AA3FB2">
        <w:rPr>
          <w:lang w:eastAsia="en-GB"/>
        </w:rPr>
        <w:t> </w:t>
      </w:r>
      <w:r w:rsidRPr="00AA3FB2">
        <w:rPr>
          <w:lang w:eastAsia="en-GB"/>
        </w:rPr>
        <w:t>final package.</w:t>
      </w:r>
    </w:p>
    <w:p w14:paraId="7A3EB367" w14:textId="041D28BC" w:rsidR="00226A8B" w:rsidRPr="00AA3FB2" w:rsidRDefault="00226A8B" w:rsidP="00725CF7">
      <w:pPr>
        <w:pStyle w:val="BodyText"/>
        <w:rPr>
          <w:lang w:eastAsia="en-GB"/>
        </w:rPr>
      </w:pPr>
      <w:r w:rsidRPr="00AA3FB2">
        <w:rPr>
          <w:lang w:eastAsia="en-GB"/>
        </w:rPr>
        <w:t xml:space="preserve">Hence, when reporting the results from Castalia’s analysis, </w:t>
      </w:r>
      <w:r w:rsidR="00C2206B">
        <w:rPr>
          <w:lang w:eastAsia="en-GB"/>
        </w:rPr>
        <w:t>we</w:t>
      </w:r>
      <w:r w:rsidRPr="00AA3FB2">
        <w:rPr>
          <w:lang w:eastAsia="en-GB"/>
        </w:rPr>
        <w:t xml:space="preserve"> have reported the sum of</w:t>
      </w:r>
      <w:r w:rsidR="002D2EFB" w:rsidRPr="00AA3FB2">
        <w:rPr>
          <w:lang w:eastAsia="en-GB"/>
        </w:rPr>
        <w:t> </w:t>
      </w:r>
      <w:r w:rsidRPr="00AA3FB2">
        <w:rPr>
          <w:lang w:eastAsia="en-GB"/>
        </w:rPr>
        <w:t xml:space="preserve">the lower bounds of </w:t>
      </w:r>
      <w:proofErr w:type="gramStart"/>
      <w:r w:rsidRPr="00AA3FB2">
        <w:rPr>
          <w:lang w:eastAsia="en-GB"/>
        </w:rPr>
        <w:t>Castalia’s</w:t>
      </w:r>
      <w:proofErr w:type="gramEnd"/>
      <w:r w:rsidRPr="00AA3FB2">
        <w:rPr>
          <w:lang w:eastAsia="en-GB"/>
        </w:rPr>
        <w:t xml:space="preserve"> itemised estimates. This leads to an annual marginal cost of $76</w:t>
      </w:r>
      <w:r w:rsidR="00725CF7" w:rsidRPr="00AA3FB2">
        <w:rPr>
          <w:lang w:eastAsia="en-GB"/>
        </w:rPr>
        <w:t> </w:t>
      </w:r>
      <w:r w:rsidRPr="00AA3FB2">
        <w:rPr>
          <w:lang w:eastAsia="en-GB"/>
        </w:rPr>
        <w:t>million per annum, in contrast to the $151 million reported by Castalia.</w:t>
      </w:r>
      <w:r w:rsidRPr="00AA3FB2">
        <w:rPr>
          <w:vertAlign w:val="superscript"/>
          <w:lang w:eastAsia="en-GB"/>
        </w:rPr>
        <w:footnoteReference w:id="9"/>
      </w:r>
    </w:p>
    <w:p w14:paraId="00E6F168" w14:textId="77777777" w:rsidR="00226A8B" w:rsidRPr="00AA3FB2" w:rsidRDefault="00226A8B" w:rsidP="00725CF7">
      <w:pPr>
        <w:pStyle w:val="Heading2"/>
        <w:rPr>
          <w:lang w:eastAsia="en-GB"/>
        </w:rPr>
      </w:pPr>
      <w:bookmarkStart w:id="12" w:name="_Toc41498575"/>
      <w:r w:rsidRPr="00AA3FB2">
        <w:rPr>
          <w:lang w:eastAsia="en-GB"/>
        </w:rPr>
        <w:t>Analysis of the costs arising from the stock exclusion policy, farm plans and telemetry</w:t>
      </w:r>
      <w:bookmarkEnd w:id="12"/>
    </w:p>
    <w:p w14:paraId="2C340AFC" w14:textId="3C5677F4" w:rsidR="00226A8B" w:rsidRPr="00AA3FB2" w:rsidRDefault="00226A8B" w:rsidP="00725CF7">
      <w:pPr>
        <w:pStyle w:val="BodyText"/>
        <w:rPr>
          <w:lang w:eastAsia="en-GB"/>
        </w:rPr>
      </w:pPr>
      <w:r w:rsidRPr="00AA3FB2">
        <w:rPr>
          <w:lang w:eastAsia="en-GB"/>
        </w:rPr>
        <w:t>The stock exclusion cost estimate is $61 million per annum. This reflects an estimate of the capital expenditure needed to deliver the new fencing implied by the policy, amortised over 25</w:t>
      </w:r>
      <w:r w:rsidR="00725CF7" w:rsidRPr="00AA3FB2">
        <w:rPr>
          <w:lang w:eastAsia="en-GB"/>
        </w:rPr>
        <w:t> </w:t>
      </w:r>
      <w:r w:rsidRPr="00AA3FB2">
        <w:rPr>
          <w:lang w:eastAsia="en-GB"/>
        </w:rPr>
        <w:t xml:space="preserve">years using a </w:t>
      </w:r>
      <w:r w:rsidR="00C2206B">
        <w:rPr>
          <w:lang w:eastAsia="en-GB"/>
        </w:rPr>
        <w:t>three</w:t>
      </w:r>
      <w:r w:rsidRPr="00AA3FB2">
        <w:rPr>
          <w:lang w:eastAsia="en-GB"/>
        </w:rPr>
        <w:t xml:space="preserve"> per cent interest rate, and the opportunity cost of removing land from production three metres either side of a newly fenced stream.</w:t>
      </w:r>
      <w:r w:rsidRPr="00AA3FB2">
        <w:rPr>
          <w:vertAlign w:val="superscript"/>
          <w:lang w:eastAsia="en-GB"/>
        </w:rPr>
        <w:footnoteReference w:id="10"/>
      </w:r>
      <w:r w:rsidRPr="00AA3FB2">
        <w:rPr>
          <w:lang w:eastAsia="en-GB"/>
        </w:rPr>
        <w:t xml:space="preserve"> The package does not propose moving existing non-compliant fences. It </w:t>
      </w:r>
      <w:proofErr w:type="gramStart"/>
      <w:r w:rsidRPr="00AA3FB2">
        <w:rPr>
          <w:lang w:eastAsia="en-GB"/>
        </w:rPr>
        <w:t>was estimated</w:t>
      </w:r>
      <w:proofErr w:type="gramEnd"/>
      <w:r w:rsidRPr="00AA3FB2">
        <w:rPr>
          <w:lang w:eastAsia="en-GB"/>
        </w:rPr>
        <w:t xml:space="preserve"> that approximately 34,000 km of new fencing would be required. This estimate reflects analysis that combined terrestrial and land</w:t>
      </w:r>
      <w:r w:rsidR="00C2206B">
        <w:rPr>
          <w:lang w:eastAsia="en-GB"/>
        </w:rPr>
        <w:t>-</w:t>
      </w:r>
      <w:r w:rsidRPr="00AA3FB2">
        <w:rPr>
          <w:lang w:eastAsia="en-GB"/>
        </w:rPr>
        <w:t>use data with detailed findings from the latest Survey of Rural Decision</w:t>
      </w:r>
      <w:r w:rsidR="00C2206B">
        <w:rPr>
          <w:lang w:eastAsia="en-GB"/>
        </w:rPr>
        <w:t>-</w:t>
      </w:r>
      <w:r w:rsidRPr="00AA3FB2">
        <w:rPr>
          <w:lang w:eastAsia="en-GB"/>
        </w:rPr>
        <w:t xml:space="preserve">makers. Fencing costs and profit data </w:t>
      </w:r>
      <w:proofErr w:type="gramStart"/>
      <w:r w:rsidRPr="00AA3FB2">
        <w:rPr>
          <w:lang w:eastAsia="en-GB"/>
        </w:rPr>
        <w:t>were based</w:t>
      </w:r>
      <w:proofErr w:type="gramEnd"/>
      <w:r w:rsidRPr="00AA3FB2">
        <w:rPr>
          <w:lang w:eastAsia="en-GB"/>
        </w:rPr>
        <w:t xml:space="preserve"> on assumptions provided to officials by consultants at AgFirst.</w:t>
      </w:r>
      <w:r w:rsidRPr="00AA3FB2">
        <w:rPr>
          <w:vertAlign w:val="superscript"/>
          <w:lang w:eastAsia="en-GB"/>
        </w:rPr>
        <w:footnoteReference w:id="11"/>
      </w:r>
      <w:r w:rsidRPr="00AA3FB2">
        <w:rPr>
          <w:lang w:eastAsia="en-GB"/>
        </w:rPr>
        <w:t xml:space="preserve"> </w:t>
      </w:r>
    </w:p>
    <w:p w14:paraId="168EC4B1" w14:textId="0C4CA17F" w:rsidR="00226A8B" w:rsidRPr="00AA3FB2" w:rsidRDefault="00226A8B" w:rsidP="00725CF7">
      <w:pPr>
        <w:pStyle w:val="BodyText"/>
        <w:rPr>
          <w:lang w:eastAsia="en-GB"/>
        </w:rPr>
      </w:pPr>
      <w:r w:rsidRPr="00AA3FB2">
        <w:rPr>
          <w:lang w:eastAsia="en-GB"/>
        </w:rPr>
        <w:t xml:space="preserve">Costs related to </w:t>
      </w:r>
      <w:proofErr w:type="spellStart"/>
      <w:r w:rsidR="00C2206B">
        <w:rPr>
          <w:lang w:eastAsia="en-GB"/>
        </w:rPr>
        <w:t>developoing</w:t>
      </w:r>
      <w:proofErr w:type="spellEnd"/>
      <w:r w:rsidRPr="00AA3FB2">
        <w:rPr>
          <w:lang w:eastAsia="en-GB"/>
        </w:rPr>
        <w:t xml:space="preserve"> a freshwater module in farm plans </w:t>
      </w:r>
      <w:proofErr w:type="gramStart"/>
      <w:r w:rsidRPr="00AA3FB2">
        <w:rPr>
          <w:lang w:eastAsia="en-GB"/>
        </w:rPr>
        <w:t>were based</w:t>
      </w:r>
      <w:proofErr w:type="gramEnd"/>
      <w:r w:rsidRPr="00AA3FB2">
        <w:rPr>
          <w:lang w:eastAsia="en-GB"/>
        </w:rPr>
        <w:t xml:space="preserve"> on estimates of the number of farms requiring a freshwater module, existing council requirements related to farm plans and industry bodies’ pre-existing intentions regarding voluntary farm plans. Overall, 25,000 new freshwater </w:t>
      </w:r>
      <w:r w:rsidR="00C2206B">
        <w:rPr>
          <w:lang w:eastAsia="en-GB"/>
        </w:rPr>
        <w:t xml:space="preserve">farm </w:t>
      </w:r>
      <w:r w:rsidRPr="00AA3FB2">
        <w:rPr>
          <w:lang w:eastAsia="en-GB"/>
        </w:rPr>
        <w:t xml:space="preserve">modules were assumed. </w:t>
      </w:r>
      <w:r w:rsidR="008C3C35">
        <w:rPr>
          <w:lang w:eastAsia="en-GB"/>
        </w:rPr>
        <w:t xml:space="preserve">The combined </w:t>
      </w:r>
      <w:r w:rsidR="0035352A">
        <w:rPr>
          <w:lang w:eastAsia="en-GB"/>
        </w:rPr>
        <w:t>cost of purchasing and ongoing maintenance of the freshwater module of the farm</w:t>
      </w:r>
      <w:r w:rsidR="008412B6">
        <w:rPr>
          <w:lang w:eastAsia="en-GB"/>
        </w:rPr>
        <w:t> </w:t>
      </w:r>
      <w:r w:rsidR="0035352A">
        <w:rPr>
          <w:lang w:eastAsia="en-GB"/>
        </w:rPr>
        <w:t xml:space="preserve">plan was </w:t>
      </w:r>
      <w:proofErr w:type="gramStart"/>
      <w:r w:rsidRPr="00AA3FB2">
        <w:rPr>
          <w:lang w:eastAsia="en-GB"/>
        </w:rPr>
        <w:t>assumed to be $</w:t>
      </w:r>
      <w:proofErr w:type="gramEnd"/>
      <w:r w:rsidRPr="00AA3FB2">
        <w:rPr>
          <w:lang w:eastAsia="en-GB"/>
        </w:rPr>
        <w:t>8,000 per farm spread throughout a d</w:t>
      </w:r>
      <w:r w:rsidR="00C2206B">
        <w:rPr>
          <w:lang w:eastAsia="en-GB"/>
        </w:rPr>
        <w:t xml:space="preserve">ecade ($4,000 for the purchase and </w:t>
      </w:r>
      <w:r w:rsidRPr="00AA3FB2">
        <w:rPr>
          <w:lang w:eastAsia="en-GB"/>
        </w:rPr>
        <w:t>$4,000 for ongoing maintenance</w:t>
      </w:r>
      <w:r w:rsidR="00E3279F">
        <w:rPr>
          <w:lang w:eastAsia="en-GB"/>
        </w:rPr>
        <w:t>/audit</w:t>
      </w:r>
      <w:r w:rsidRPr="00AA3FB2">
        <w:rPr>
          <w:lang w:eastAsia="en-GB"/>
        </w:rPr>
        <w:t xml:space="preserve"> of the plan). Amortising this expense over </w:t>
      </w:r>
      <w:r w:rsidR="00C2206B">
        <w:rPr>
          <w:lang w:eastAsia="en-GB"/>
        </w:rPr>
        <w:t>10</w:t>
      </w:r>
      <w:r w:rsidRPr="00AA3FB2">
        <w:rPr>
          <w:lang w:eastAsia="en-GB"/>
        </w:rPr>
        <w:t xml:space="preserve"> years assuming a </w:t>
      </w:r>
      <w:r w:rsidR="00C2206B">
        <w:rPr>
          <w:lang w:eastAsia="en-GB"/>
        </w:rPr>
        <w:t>three</w:t>
      </w:r>
      <w:r w:rsidR="008A16CE">
        <w:rPr>
          <w:lang w:eastAsia="en-GB"/>
        </w:rPr>
        <w:t xml:space="preserve"> per cent</w:t>
      </w:r>
      <w:r w:rsidRPr="00AA3FB2">
        <w:rPr>
          <w:lang w:eastAsia="en-GB"/>
        </w:rPr>
        <w:t xml:space="preserve"> interest rate led to a cost estimate of $23 million per annum.</w:t>
      </w:r>
      <w:r w:rsidRPr="00AA3FB2">
        <w:rPr>
          <w:vertAlign w:val="superscript"/>
          <w:lang w:eastAsia="en-GB"/>
        </w:rPr>
        <w:footnoteReference w:id="12"/>
      </w:r>
      <w:r w:rsidR="00882A37" w:rsidRPr="00AA3FB2">
        <w:rPr>
          <w:lang w:eastAsia="en-GB"/>
        </w:rPr>
        <w:t xml:space="preserve"> </w:t>
      </w:r>
    </w:p>
    <w:p w14:paraId="23F139DD" w14:textId="77777777" w:rsidR="00226A8B" w:rsidRPr="00AA3FB2" w:rsidRDefault="00226A8B" w:rsidP="00725CF7">
      <w:pPr>
        <w:pStyle w:val="BodyText"/>
        <w:rPr>
          <w:lang w:eastAsia="en-GB"/>
        </w:rPr>
      </w:pPr>
      <w:r w:rsidRPr="00AA3FB2">
        <w:rPr>
          <w:lang w:eastAsia="en-GB"/>
        </w:rPr>
        <w:t xml:space="preserve">Telemetry cost estimates </w:t>
      </w:r>
      <w:proofErr w:type="gramStart"/>
      <w:r w:rsidRPr="00AA3FB2">
        <w:rPr>
          <w:lang w:eastAsia="en-GB"/>
        </w:rPr>
        <w:t>were based</w:t>
      </w:r>
      <w:proofErr w:type="gramEnd"/>
      <w:r w:rsidRPr="00AA3FB2">
        <w:rPr>
          <w:lang w:eastAsia="en-GB"/>
        </w:rPr>
        <w:t xml:space="preserve"> on current costs of relevant equipment.</w:t>
      </w:r>
    </w:p>
    <w:p w14:paraId="72C26022" w14:textId="3AFC2D26" w:rsidR="00226A8B" w:rsidRPr="00AA3FB2" w:rsidRDefault="00226A8B" w:rsidP="00545EBE">
      <w:pPr>
        <w:pStyle w:val="BodyText"/>
        <w:rPr>
          <w:lang w:eastAsia="en-GB"/>
        </w:rPr>
      </w:pPr>
      <w:r w:rsidRPr="00AA3FB2">
        <w:rPr>
          <w:lang w:eastAsia="en-GB"/>
        </w:rPr>
        <w:t xml:space="preserve">Detailed </w:t>
      </w:r>
      <w:r w:rsidR="002C5C3B">
        <w:rPr>
          <w:lang w:eastAsia="en-GB"/>
        </w:rPr>
        <w:t xml:space="preserve">outlines of the </w:t>
      </w:r>
      <w:r w:rsidRPr="00AA3FB2">
        <w:rPr>
          <w:lang w:eastAsia="en-GB"/>
        </w:rPr>
        <w:t>method</w:t>
      </w:r>
      <w:r w:rsidR="002C5C3B">
        <w:rPr>
          <w:lang w:eastAsia="en-GB"/>
        </w:rPr>
        <w:t>ology</w:t>
      </w:r>
      <w:r w:rsidRPr="00AA3FB2">
        <w:rPr>
          <w:lang w:eastAsia="en-GB"/>
        </w:rPr>
        <w:t xml:space="preserve"> and </w:t>
      </w:r>
      <w:r w:rsidR="002C5C3B">
        <w:rPr>
          <w:lang w:eastAsia="en-GB"/>
        </w:rPr>
        <w:t xml:space="preserve">findings from </w:t>
      </w:r>
      <w:r w:rsidRPr="00AA3FB2">
        <w:rPr>
          <w:lang w:eastAsia="en-GB"/>
        </w:rPr>
        <w:t xml:space="preserve">this analysis </w:t>
      </w:r>
      <w:proofErr w:type="gramStart"/>
      <w:r w:rsidRPr="00AA3FB2">
        <w:rPr>
          <w:lang w:eastAsia="en-GB"/>
        </w:rPr>
        <w:t>can be found</w:t>
      </w:r>
      <w:proofErr w:type="gramEnd"/>
      <w:r w:rsidRPr="00AA3FB2">
        <w:rPr>
          <w:lang w:eastAsia="en-GB"/>
        </w:rPr>
        <w:t xml:space="preserve"> on the </w:t>
      </w:r>
      <w:r w:rsidR="003C3BFE" w:rsidRPr="00AA3FB2">
        <w:rPr>
          <w:lang w:eastAsia="en-GB"/>
        </w:rPr>
        <w:t>Ministry</w:t>
      </w:r>
      <w:r w:rsidRPr="00AA3FB2">
        <w:rPr>
          <w:lang w:eastAsia="en-GB"/>
        </w:rPr>
        <w:t xml:space="preserve"> for the Environment’s website </w:t>
      </w:r>
      <w:hyperlink r:id="rId21" w:history="1">
        <w:r w:rsidR="00545EBE" w:rsidRPr="00AA3FB2">
          <w:rPr>
            <w:rStyle w:val="Hyperlink"/>
            <w:lang w:eastAsia="en-GB"/>
          </w:rPr>
          <w:t>www.mfe.govt.nz/action-for-healthy-waterways</w:t>
        </w:r>
      </w:hyperlink>
      <w:r w:rsidRPr="00AA3FB2">
        <w:rPr>
          <w:lang w:eastAsia="en-GB"/>
        </w:rPr>
        <w:t>.</w:t>
      </w:r>
    </w:p>
    <w:p w14:paraId="7EE35BA8" w14:textId="3D3925BC" w:rsidR="00440DEB" w:rsidRPr="00AA3FB2" w:rsidRDefault="00440DEB">
      <w:pPr>
        <w:spacing w:before="0" w:after="200" w:line="276" w:lineRule="auto"/>
        <w:jc w:val="left"/>
      </w:pPr>
      <w:r w:rsidRPr="00AA3FB2">
        <w:br w:type="page"/>
      </w:r>
    </w:p>
    <w:p w14:paraId="54697650" w14:textId="6F07060C" w:rsidR="009C00F7" w:rsidRPr="00AA3FB2" w:rsidRDefault="00440DEB" w:rsidP="00440DEB">
      <w:pPr>
        <w:pStyle w:val="Heading1"/>
      </w:pPr>
      <w:bookmarkStart w:id="13" w:name="_Toc41498576"/>
      <w:r w:rsidRPr="00AA3FB2">
        <w:lastRenderedPageBreak/>
        <w:t>References</w:t>
      </w:r>
      <w:bookmarkEnd w:id="13"/>
    </w:p>
    <w:p w14:paraId="0F6BF6AF" w14:textId="3F0313F6" w:rsidR="00992E2B" w:rsidRDefault="00FE57DF" w:rsidP="00252704">
      <w:pPr>
        <w:pStyle w:val="References"/>
      </w:pPr>
      <w:r w:rsidRPr="00226A8B">
        <w:t>AgFirst</w:t>
      </w:r>
      <w:r w:rsidR="0057652A">
        <w:t>.</w:t>
      </w:r>
      <w:r w:rsidRPr="00226A8B">
        <w:t xml:space="preserve"> 2019</w:t>
      </w:r>
      <w:r w:rsidR="0057652A">
        <w:t>.</w:t>
      </w:r>
      <w:r w:rsidRPr="00226A8B">
        <w:t xml:space="preserve"> </w:t>
      </w:r>
      <w:r w:rsidRPr="00B4743B">
        <w:rPr>
          <w:i/>
          <w:iCs/>
        </w:rPr>
        <w:t>Modelling of mitigation strategies on farm profitability</w:t>
      </w:r>
      <w:r w:rsidR="00B4743B" w:rsidRPr="00B4743B">
        <w:rPr>
          <w:i/>
          <w:iCs/>
        </w:rPr>
        <w:t>:</w:t>
      </w:r>
      <w:r w:rsidRPr="00B4743B">
        <w:rPr>
          <w:i/>
          <w:iCs/>
        </w:rPr>
        <w:t xml:space="preserve"> </w:t>
      </w:r>
      <w:r w:rsidR="00B4743B" w:rsidRPr="00B4743B">
        <w:rPr>
          <w:i/>
          <w:iCs/>
        </w:rPr>
        <w:t>T</w:t>
      </w:r>
      <w:r w:rsidRPr="00B4743B">
        <w:rPr>
          <w:i/>
          <w:iCs/>
        </w:rPr>
        <w:t>esting Ag package regulations on farm</w:t>
      </w:r>
      <w:r w:rsidRPr="00226A8B">
        <w:t xml:space="preserve">. </w:t>
      </w:r>
      <w:r w:rsidR="00F0227C" w:rsidRPr="009C26D7">
        <w:t>P</w:t>
      </w:r>
      <w:r w:rsidR="004B30BC" w:rsidRPr="009C26D7">
        <w:t>repared for the Ministry for Environment</w:t>
      </w:r>
      <w:r w:rsidR="00116B75" w:rsidRPr="009C26D7">
        <w:t xml:space="preserve"> by AgFirst</w:t>
      </w:r>
      <w:r w:rsidR="0077575F" w:rsidRPr="0077575F">
        <w:t xml:space="preserve"> </w:t>
      </w:r>
      <w:r w:rsidR="0077575F" w:rsidRPr="009C26D7">
        <w:t>Waikato Ltd</w:t>
      </w:r>
      <w:r w:rsidR="00116B75" w:rsidRPr="009C26D7">
        <w:t>.</w:t>
      </w:r>
      <w:r w:rsidR="0077575F" w:rsidRPr="009C26D7">
        <w:t xml:space="preserve"> </w:t>
      </w:r>
      <w:r w:rsidR="00D23511" w:rsidRPr="009C26D7">
        <w:t xml:space="preserve">Wellington: Ministry for the Environment. </w:t>
      </w:r>
      <w:r w:rsidR="009A48F3" w:rsidRPr="009C26D7">
        <w:t>Retrieved from</w:t>
      </w:r>
      <w:r w:rsidR="009A48F3">
        <w:rPr>
          <w:rStyle w:val="Hyperlink"/>
        </w:rPr>
        <w:t xml:space="preserve"> </w:t>
      </w:r>
      <w:hyperlink r:id="rId22" w:history="1">
        <w:r w:rsidR="00D96888" w:rsidRPr="00A31603">
          <w:rPr>
            <w:rStyle w:val="Hyperlink"/>
          </w:rPr>
          <w:t>www.mfe.govt.nz/sites/default/files/media/Fresh</w:t>
        </w:r>
        <w:r w:rsidR="008A16CE">
          <w:rPr>
            <w:rStyle w:val="Hyperlink"/>
          </w:rPr>
          <w:t xml:space="preserve"> per cent</w:t>
        </w:r>
        <w:r w:rsidR="00D96888" w:rsidRPr="00A31603">
          <w:rPr>
            <w:rStyle w:val="Hyperlink"/>
          </w:rPr>
          <w:t xml:space="preserve">20water/modelling-mitigation-strategies-on-farm-profitability.pdf </w:t>
        </w:r>
        <w:r w:rsidR="00D96888" w:rsidRPr="00DA6E00">
          <w:t>(28</w:t>
        </w:r>
      </w:hyperlink>
      <w:r w:rsidR="009A48F3">
        <w:t xml:space="preserve"> May </w:t>
      </w:r>
      <w:r w:rsidR="00F4180E">
        <w:t>2020).</w:t>
      </w:r>
    </w:p>
    <w:p w14:paraId="40826309" w14:textId="37B7EEED" w:rsidR="00010BAA" w:rsidRDefault="00010BAA" w:rsidP="00252704">
      <w:pPr>
        <w:pStyle w:val="References"/>
        <w:rPr>
          <w:lang w:val="en-US"/>
        </w:rPr>
      </w:pPr>
      <w:r>
        <w:rPr>
          <w:lang w:val="en-US"/>
        </w:rPr>
        <w:t>Castalia</w:t>
      </w:r>
      <w:r w:rsidR="00331C49">
        <w:rPr>
          <w:lang w:val="en-US"/>
        </w:rPr>
        <w:t xml:space="preserve">. </w:t>
      </w:r>
      <w:r>
        <w:rPr>
          <w:lang w:val="en-US"/>
        </w:rPr>
        <w:t>2020</w:t>
      </w:r>
      <w:r w:rsidR="00331C49">
        <w:rPr>
          <w:lang w:val="en-US"/>
        </w:rPr>
        <w:t>.</w:t>
      </w:r>
      <w:r>
        <w:rPr>
          <w:lang w:val="en-US"/>
        </w:rPr>
        <w:t xml:space="preserve"> Administrative Costs of Proposed Essential Freshwater Package on Regional Councils. March</w:t>
      </w:r>
      <w:r w:rsidR="00EF755E">
        <w:rPr>
          <w:lang w:val="en-US"/>
        </w:rPr>
        <w:t>.</w:t>
      </w:r>
      <w:r w:rsidR="009C26D7">
        <w:rPr>
          <w:lang w:val="en-US"/>
        </w:rPr>
        <w:t xml:space="preserve"> </w:t>
      </w:r>
      <w:r w:rsidR="009C26D7" w:rsidRPr="009C26D7">
        <w:rPr>
          <w:lang w:val="en-US"/>
        </w:rPr>
        <w:t>Prepared f</w:t>
      </w:r>
      <w:r w:rsidR="009C26D7">
        <w:rPr>
          <w:lang w:val="en-US"/>
        </w:rPr>
        <w:t>or the Ministry for Environment by Castalia Ltd</w:t>
      </w:r>
      <w:r w:rsidR="009C26D7" w:rsidRPr="009C26D7">
        <w:rPr>
          <w:lang w:val="en-US"/>
        </w:rPr>
        <w:t xml:space="preserve">. Wellington: Ministry for the Environment. Retrieved from </w:t>
      </w:r>
      <w:hyperlink r:id="rId23" w:history="1">
        <w:r w:rsidR="009C26D7" w:rsidRPr="00A31603">
          <w:rPr>
            <w:rStyle w:val="Hyperlink"/>
          </w:rPr>
          <w:t xml:space="preserve">https://www.mfe.govt.nz/publications/fresh-water/administrative-costs-of-proposed-essential-freshwater-package-regional </w:t>
        </w:r>
        <w:r w:rsidR="009C26D7" w:rsidRPr="009C26D7">
          <w:rPr>
            <w:lang w:val="en-US"/>
          </w:rPr>
          <w:t>(28</w:t>
        </w:r>
      </w:hyperlink>
      <w:r w:rsidR="009C26D7">
        <w:rPr>
          <w:rStyle w:val="Hyperlink"/>
        </w:rPr>
        <w:t xml:space="preserve"> </w:t>
      </w:r>
      <w:r w:rsidR="009C26D7" w:rsidRPr="009C26D7">
        <w:rPr>
          <w:lang w:val="en-US"/>
        </w:rPr>
        <w:t>May 2020).</w:t>
      </w:r>
    </w:p>
    <w:p w14:paraId="1EC58423" w14:textId="42B3755D" w:rsidR="00B3791B" w:rsidRPr="00D96888" w:rsidRDefault="00B3791B" w:rsidP="00C509C9">
      <w:pPr>
        <w:pStyle w:val="References"/>
        <w:rPr>
          <w:rStyle w:val="Hyperlink"/>
        </w:rPr>
      </w:pPr>
      <w:r w:rsidRPr="00F25636">
        <w:t xml:space="preserve">Ministry for the Environment. 2020. </w:t>
      </w:r>
      <w:r w:rsidRPr="009C26D7">
        <w:rPr>
          <w:i/>
          <w:iCs/>
        </w:rPr>
        <w:t>Action for healthy waterways: Summary of modelling to inform environmental impact assessment of nutrient proposals</w:t>
      </w:r>
      <w:r w:rsidRPr="00F25636">
        <w:t>. Wellington: Ministry for the Environment.</w:t>
      </w:r>
      <w:r w:rsidR="00D96888">
        <w:t xml:space="preserve"> Retrieved from </w:t>
      </w:r>
      <w:hyperlink r:id="rId24" w:history="1">
        <w:r w:rsidR="00D96888" w:rsidRPr="00A31603">
          <w:rPr>
            <w:rStyle w:val="Hyperlink"/>
          </w:rPr>
          <w:t xml:space="preserve">https://www.mfe.govt.nz/publications/fresh-water/summary-of-modelling-inform-environmental-impact-assessment-of-nutrient </w:t>
        </w:r>
        <w:r w:rsidR="00D96888" w:rsidRPr="00D96888">
          <w:rPr>
            <w:lang w:val="en-US"/>
          </w:rPr>
          <w:t>(28</w:t>
        </w:r>
      </w:hyperlink>
      <w:r w:rsidR="00D96888">
        <w:rPr>
          <w:rStyle w:val="Hyperlink"/>
        </w:rPr>
        <w:t xml:space="preserve"> </w:t>
      </w:r>
      <w:r w:rsidR="00D96888" w:rsidRPr="00D96888">
        <w:rPr>
          <w:lang w:val="en-US"/>
        </w:rPr>
        <w:t xml:space="preserve">May 2020). </w:t>
      </w:r>
    </w:p>
    <w:p w14:paraId="7B7FFDC8" w14:textId="63F4FBDF" w:rsidR="00440DEB" w:rsidRDefault="00FE57DF" w:rsidP="00C509C9">
      <w:pPr>
        <w:pStyle w:val="References"/>
      </w:pPr>
      <w:r w:rsidRPr="00226A8B">
        <w:t xml:space="preserve">Ministry </w:t>
      </w:r>
      <w:r w:rsidR="00992E2B">
        <w:t>for</w:t>
      </w:r>
      <w:r w:rsidRPr="00226A8B">
        <w:t xml:space="preserve"> Primary Industries</w:t>
      </w:r>
      <w:r w:rsidR="00EF755E">
        <w:t>.</w:t>
      </w:r>
      <w:r w:rsidRPr="00226A8B">
        <w:t xml:space="preserve"> </w:t>
      </w:r>
      <w:r w:rsidR="008C229B">
        <w:t>201</w:t>
      </w:r>
      <w:r w:rsidR="00461AFD">
        <w:t>6</w:t>
      </w:r>
      <w:r w:rsidR="00EF755E">
        <w:t>.</w:t>
      </w:r>
      <w:r w:rsidR="008C229B">
        <w:t xml:space="preserve"> </w:t>
      </w:r>
      <w:r w:rsidRPr="009C26D7">
        <w:rPr>
          <w:i/>
          <w:iCs/>
        </w:rPr>
        <w:t>National Stock Exclusion Study</w:t>
      </w:r>
      <w:r w:rsidR="00EF755E" w:rsidRPr="009C26D7">
        <w:rPr>
          <w:i/>
          <w:iCs/>
        </w:rPr>
        <w:t>:</w:t>
      </w:r>
      <w:r w:rsidRPr="009C26D7">
        <w:rPr>
          <w:i/>
          <w:iCs/>
        </w:rPr>
        <w:t xml:space="preserve"> </w:t>
      </w:r>
      <w:r w:rsidR="00EF755E" w:rsidRPr="009C26D7">
        <w:rPr>
          <w:i/>
          <w:iCs/>
        </w:rPr>
        <w:t>A</w:t>
      </w:r>
      <w:r w:rsidRPr="009C26D7">
        <w:rPr>
          <w:i/>
          <w:iCs/>
        </w:rPr>
        <w:t>nalysis of the costs and benefits of excluding stock from New Zealand waterways</w:t>
      </w:r>
      <w:r w:rsidR="001E3154" w:rsidRPr="009C26D7">
        <w:rPr>
          <w:i/>
          <w:iCs/>
        </w:rPr>
        <w:t xml:space="preserve"> July 2016</w:t>
      </w:r>
      <w:r w:rsidR="00D57AC6">
        <w:t>.</w:t>
      </w:r>
      <w:r w:rsidR="001E3154">
        <w:t xml:space="preserve"> </w:t>
      </w:r>
      <w:r w:rsidR="00B37AF2" w:rsidRPr="00D96888">
        <w:t>Wellington: Ministry for Primary Industries.</w:t>
      </w:r>
      <w:r w:rsidR="00B37AF2">
        <w:rPr>
          <w:rStyle w:val="Hyperlink"/>
        </w:rPr>
        <w:t xml:space="preserve"> </w:t>
      </w:r>
      <w:r w:rsidR="00B71953">
        <w:rPr>
          <w:rStyle w:val="Hyperlink"/>
        </w:rPr>
        <w:t xml:space="preserve">Retrieved from </w:t>
      </w:r>
      <w:hyperlink r:id="rId25" w:history="1">
        <w:r w:rsidR="00D96888" w:rsidRPr="00A31603">
          <w:rPr>
            <w:rStyle w:val="Hyperlink"/>
          </w:rPr>
          <w:t xml:space="preserve">www.mpi.govt.nz/dmsdocument/16513/direct </w:t>
        </w:r>
        <w:r w:rsidR="00D96888" w:rsidRPr="00D96888">
          <w:t>(28</w:t>
        </w:r>
      </w:hyperlink>
      <w:r w:rsidR="00B71953">
        <w:t xml:space="preserve"> May 2020).</w:t>
      </w:r>
    </w:p>
    <w:p w14:paraId="372DEC1C" w14:textId="75756CD4" w:rsidR="00084567" w:rsidRPr="00DA6E00" w:rsidRDefault="00084567" w:rsidP="00252704">
      <w:pPr>
        <w:pStyle w:val="References"/>
      </w:pPr>
      <w:r>
        <w:t>Ministry for Primary Industries</w:t>
      </w:r>
      <w:r w:rsidR="00B71953">
        <w:t>.</w:t>
      </w:r>
      <w:r>
        <w:t xml:space="preserve"> 2017</w:t>
      </w:r>
      <w:r w:rsidR="00B71953">
        <w:t>.</w:t>
      </w:r>
      <w:r>
        <w:t xml:space="preserve"> </w:t>
      </w:r>
      <w:r w:rsidRPr="009C26D7">
        <w:rPr>
          <w:i/>
          <w:iCs/>
        </w:rPr>
        <w:t>Modelling the potential impact of New Zealand’s freshwater reforms on land-based Greenhouse Gas emissions</w:t>
      </w:r>
      <w:r>
        <w:t xml:space="preserve">. </w:t>
      </w:r>
      <w:r w:rsidR="00FD4A7A">
        <w:t xml:space="preserve">Ministry for Primary Industries </w:t>
      </w:r>
      <w:r>
        <w:t>Technical Paper No. 2017/22</w:t>
      </w:r>
      <w:r w:rsidR="00B71953">
        <w:t xml:space="preserve">. </w:t>
      </w:r>
      <w:r w:rsidR="00B71953" w:rsidRPr="00DA6E00">
        <w:t>Wellington: Ministry for Primary Industries.</w:t>
      </w:r>
    </w:p>
    <w:p w14:paraId="554A1539" w14:textId="48F8BB57" w:rsidR="00AE5E01" w:rsidRDefault="00AE5E01" w:rsidP="00252704">
      <w:pPr>
        <w:pStyle w:val="References"/>
      </w:pPr>
      <w:r>
        <w:t>NZIER</w:t>
      </w:r>
      <w:r w:rsidR="00B71953">
        <w:t>.</w:t>
      </w:r>
      <w:r>
        <w:t xml:space="preserve"> 2020</w:t>
      </w:r>
      <w:r w:rsidR="00B71953">
        <w:t>.</w:t>
      </w:r>
      <w:r w:rsidR="00F406E3">
        <w:t xml:space="preserve"> </w:t>
      </w:r>
      <w:r w:rsidR="00F406E3" w:rsidRPr="00FD4A7A">
        <w:rPr>
          <w:i/>
        </w:rPr>
        <w:t xml:space="preserve">The economic effects of water quality </w:t>
      </w:r>
      <w:r w:rsidR="00DA6E00" w:rsidRPr="00FD4A7A">
        <w:rPr>
          <w:i/>
        </w:rPr>
        <w:t>proposals, modelling scenarios</w:t>
      </w:r>
      <w:r w:rsidR="00450534" w:rsidRPr="00FD4A7A">
        <w:rPr>
          <w:i/>
        </w:rPr>
        <w:t>.</w:t>
      </w:r>
      <w:r w:rsidR="00D96888">
        <w:t xml:space="preserve"> </w:t>
      </w:r>
      <w:r w:rsidR="00FD4A7A" w:rsidRPr="00FD4A7A">
        <w:t xml:space="preserve">Wellington: Ministry for the Environment. </w:t>
      </w:r>
      <w:r w:rsidR="00D96888">
        <w:t xml:space="preserve">Retrieved from </w:t>
      </w:r>
      <w:hyperlink r:id="rId26" w:history="1">
        <w:r w:rsidR="00D96888" w:rsidRPr="00A31603">
          <w:rPr>
            <w:rStyle w:val="Hyperlink"/>
          </w:rPr>
          <w:t xml:space="preserve">https://www.mfe.govt.nz/publications/fresh-water/economic-effects-of-water-quality-proposals-modelling-scenarios </w:t>
        </w:r>
        <w:r w:rsidR="00D96888" w:rsidRPr="00D96888">
          <w:t>(28</w:t>
        </w:r>
      </w:hyperlink>
      <w:r w:rsidR="00D96888">
        <w:t xml:space="preserve"> May 2020).</w:t>
      </w:r>
    </w:p>
    <w:p w14:paraId="7B246F50" w14:textId="0EC28F0B" w:rsidR="002C1DD1" w:rsidRPr="00D96888" w:rsidRDefault="00D96888" w:rsidP="00252704">
      <w:pPr>
        <w:pStyle w:val="References"/>
        <w:rPr>
          <w:rStyle w:val="Hyperlink"/>
        </w:rPr>
      </w:pPr>
      <w:r>
        <w:t>Perrin</w:t>
      </w:r>
      <w:r w:rsidR="00DA5084">
        <w:t xml:space="preserve"> </w:t>
      </w:r>
      <w:r w:rsidR="002C1DD1">
        <w:t>Ag Consultants</w:t>
      </w:r>
      <w:r w:rsidR="00265134">
        <w:t>.</w:t>
      </w:r>
      <w:r w:rsidR="000D03F9">
        <w:t xml:space="preserve"> 2020</w:t>
      </w:r>
      <w:r w:rsidR="00265134">
        <w:t>.</w:t>
      </w:r>
      <w:r w:rsidR="000D03F9">
        <w:t xml:space="preserve"> </w:t>
      </w:r>
      <w:r w:rsidR="000D03F9" w:rsidRPr="00D96888">
        <w:rPr>
          <w:i/>
        </w:rPr>
        <w:t>Estimated on-farm economic impacts of selected mitigation options.</w:t>
      </w:r>
      <w:r w:rsidR="00510769">
        <w:t xml:space="preserve"> March</w:t>
      </w:r>
      <w:r>
        <w:t xml:space="preserve"> 2020</w:t>
      </w:r>
      <w:r w:rsidR="00265134">
        <w:t>.</w:t>
      </w:r>
      <w:r w:rsidR="00510769">
        <w:t xml:space="preserve"> </w:t>
      </w:r>
      <w:r w:rsidR="00DA6E00">
        <w:t xml:space="preserve">Wellington: </w:t>
      </w:r>
      <w:r>
        <w:t xml:space="preserve">Ministry for the Environment. Retrieved from </w:t>
      </w:r>
      <w:hyperlink r:id="rId27" w:history="1">
        <w:r w:rsidR="00DA6E00" w:rsidRPr="00A31603">
          <w:rPr>
            <w:rStyle w:val="Hyperlink"/>
          </w:rPr>
          <w:t>https://www.mfe.govt.nz/publications/fresh-water/estimated-farm-economic-impacts-of-selected-mitigation-options</w:t>
        </w:r>
      </w:hyperlink>
      <w:r w:rsidR="00DA6E00">
        <w:rPr>
          <w:rStyle w:val="Hyperlink"/>
        </w:rPr>
        <w:t xml:space="preserve"> </w:t>
      </w:r>
      <w:r w:rsidR="00DA6E00" w:rsidRPr="00DA6E00">
        <w:t>(March 2020).</w:t>
      </w:r>
    </w:p>
    <w:p w14:paraId="2E22B1E0" w14:textId="0FE1FF11" w:rsidR="00116949" w:rsidRDefault="00116949" w:rsidP="00116949">
      <w:pPr>
        <w:pStyle w:val="References"/>
        <w:rPr>
          <w:lang w:val="en-US"/>
        </w:rPr>
      </w:pPr>
      <w:r>
        <w:rPr>
          <w:lang w:val="en-US"/>
        </w:rPr>
        <w:t xml:space="preserve">Resource Economics. 2020a. </w:t>
      </w:r>
      <w:r w:rsidRPr="00DA6E00">
        <w:rPr>
          <w:i/>
          <w:lang w:val="en-US"/>
        </w:rPr>
        <w:t>Essential Freshwater Package: Benefits analysis.</w:t>
      </w:r>
      <w:r w:rsidR="00DA6E00">
        <w:rPr>
          <w:lang w:val="en-US"/>
        </w:rPr>
        <w:t xml:space="preserve"> </w:t>
      </w:r>
      <w:r w:rsidR="00DA6E00" w:rsidRPr="00DA6E00">
        <w:rPr>
          <w:lang w:val="en-US"/>
        </w:rPr>
        <w:t>Prepared for th</w:t>
      </w:r>
      <w:r w:rsidR="00DA6E00">
        <w:rPr>
          <w:lang w:val="en-US"/>
        </w:rPr>
        <w:t xml:space="preserve">e Ministry for Environment by Resource Economics. </w:t>
      </w:r>
      <w:r w:rsidR="00DA6E00" w:rsidRPr="00DA6E00">
        <w:rPr>
          <w:lang w:val="en-US"/>
        </w:rPr>
        <w:t>Wellington: Ministry for the Environment.</w:t>
      </w:r>
      <w:r w:rsidR="008A16CE">
        <w:rPr>
          <w:lang w:val="en-US"/>
        </w:rPr>
        <w:t xml:space="preserve"> </w:t>
      </w:r>
      <w:r w:rsidR="00DA6E00">
        <w:rPr>
          <w:lang w:val="en-US"/>
        </w:rPr>
        <w:t xml:space="preserve">Retrieved from </w:t>
      </w:r>
      <w:hyperlink r:id="rId28" w:history="1">
        <w:r w:rsidR="00DA6E00" w:rsidRPr="00A31603">
          <w:rPr>
            <w:rStyle w:val="Hyperlink"/>
            <w:lang w:val="en-US"/>
          </w:rPr>
          <w:t>https://www.mfe.govt.nz/publications/fresh-water/essential-freshwater-package-benefits-analysis</w:t>
        </w:r>
      </w:hyperlink>
      <w:r w:rsidR="00DA6E00">
        <w:rPr>
          <w:lang w:val="en-US"/>
        </w:rPr>
        <w:t xml:space="preserve"> (</w:t>
      </w:r>
      <w:r>
        <w:rPr>
          <w:lang w:val="en-US"/>
        </w:rPr>
        <w:t>April</w:t>
      </w:r>
      <w:r w:rsidR="00DA6E00">
        <w:rPr>
          <w:lang w:val="en-US"/>
        </w:rPr>
        <w:t xml:space="preserve"> 2020).</w:t>
      </w:r>
      <w:r w:rsidR="008A16CE">
        <w:rPr>
          <w:lang w:val="en-US"/>
        </w:rPr>
        <w:t xml:space="preserve"> </w:t>
      </w:r>
    </w:p>
    <w:p w14:paraId="5AC41031" w14:textId="46C66671" w:rsidR="000A245D" w:rsidRDefault="000A245D" w:rsidP="00252704">
      <w:pPr>
        <w:pStyle w:val="References"/>
        <w:rPr>
          <w:lang w:val="en-US"/>
        </w:rPr>
      </w:pPr>
      <w:r>
        <w:rPr>
          <w:lang w:val="en-US"/>
        </w:rPr>
        <w:t>Resource Economics</w:t>
      </w:r>
      <w:r w:rsidR="00265134">
        <w:rPr>
          <w:lang w:val="en-US"/>
        </w:rPr>
        <w:t>.</w:t>
      </w:r>
      <w:r>
        <w:rPr>
          <w:lang w:val="en-US"/>
        </w:rPr>
        <w:t xml:space="preserve"> 2020</w:t>
      </w:r>
      <w:r w:rsidR="009E416E">
        <w:rPr>
          <w:lang w:val="en-US"/>
        </w:rPr>
        <w:t>b</w:t>
      </w:r>
      <w:r w:rsidR="00265134">
        <w:rPr>
          <w:lang w:val="en-US"/>
        </w:rPr>
        <w:t>.</w:t>
      </w:r>
      <w:r>
        <w:rPr>
          <w:lang w:val="en-US"/>
        </w:rPr>
        <w:t xml:space="preserve"> </w:t>
      </w:r>
      <w:r w:rsidRPr="00DA6E00">
        <w:rPr>
          <w:i/>
          <w:lang w:val="en-US"/>
        </w:rPr>
        <w:t xml:space="preserve">Essential Freshwater Package: </w:t>
      </w:r>
      <w:r w:rsidR="009E416E" w:rsidRPr="00DA6E00">
        <w:rPr>
          <w:i/>
          <w:lang w:val="en-US"/>
        </w:rPr>
        <w:t>C</w:t>
      </w:r>
      <w:r w:rsidRPr="00DA6E00">
        <w:rPr>
          <w:i/>
          <w:lang w:val="en-US"/>
        </w:rPr>
        <w:t>osts analysis.</w:t>
      </w:r>
      <w:r>
        <w:rPr>
          <w:lang w:val="en-US"/>
        </w:rPr>
        <w:t xml:space="preserve"> </w:t>
      </w:r>
      <w:r w:rsidR="00DA6E00" w:rsidRPr="00DA6E00">
        <w:rPr>
          <w:lang w:val="en-US"/>
        </w:rPr>
        <w:t>Prepared for the Ministry for Environment by Resource Economics. Wellington: Ministry for the Environment.</w:t>
      </w:r>
      <w:r w:rsidR="008A16CE">
        <w:rPr>
          <w:lang w:val="en-US"/>
        </w:rPr>
        <w:t xml:space="preserve"> </w:t>
      </w:r>
      <w:r w:rsidR="00DA6E00" w:rsidRPr="00DA6E00">
        <w:rPr>
          <w:lang w:val="en-US"/>
        </w:rPr>
        <w:t xml:space="preserve">Retrieved from </w:t>
      </w:r>
      <w:r w:rsidR="00DA6E00" w:rsidRPr="00DA6E00">
        <w:rPr>
          <w:rStyle w:val="Hyperlink"/>
          <w:lang w:val="en-US"/>
        </w:rPr>
        <w:t xml:space="preserve">https://www.mfe.govt.nz/publications/fresh-water/essential-freshwater-package-costs-analysis </w:t>
      </w:r>
      <w:r w:rsidR="00DA6E00">
        <w:rPr>
          <w:lang w:val="en-US"/>
        </w:rPr>
        <w:t>(</w:t>
      </w:r>
      <w:r>
        <w:rPr>
          <w:lang w:val="en-US"/>
        </w:rPr>
        <w:t>April</w:t>
      </w:r>
      <w:r w:rsidR="00DA6E00">
        <w:rPr>
          <w:lang w:val="en-US"/>
        </w:rPr>
        <w:t xml:space="preserve"> 2020)</w:t>
      </w:r>
      <w:r>
        <w:rPr>
          <w:lang w:val="en-US"/>
        </w:rPr>
        <w:t>.</w:t>
      </w:r>
    </w:p>
    <w:p w14:paraId="32F2FC6D" w14:textId="0665B343" w:rsidR="005A0D27" w:rsidRPr="00AA3FB2" w:rsidRDefault="00000678" w:rsidP="00252704">
      <w:pPr>
        <w:pStyle w:val="References"/>
      </w:pPr>
      <w:proofErr w:type="spellStart"/>
      <w:r>
        <w:rPr>
          <w:lang w:val="en-US"/>
        </w:rPr>
        <w:t>Sapere</w:t>
      </w:r>
      <w:proofErr w:type="spellEnd"/>
      <w:r w:rsidR="009E416E">
        <w:rPr>
          <w:lang w:val="en-US"/>
        </w:rPr>
        <w:t>.</w:t>
      </w:r>
      <w:r>
        <w:rPr>
          <w:lang w:val="en-US"/>
        </w:rPr>
        <w:t xml:space="preserve"> 2020</w:t>
      </w:r>
      <w:r w:rsidR="009E416E">
        <w:rPr>
          <w:lang w:val="en-US"/>
        </w:rPr>
        <w:t>.</w:t>
      </w:r>
      <w:r>
        <w:rPr>
          <w:lang w:val="en-US"/>
        </w:rPr>
        <w:t xml:space="preserve"> </w:t>
      </w:r>
      <w:r w:rsidRPr="00DA6E00">
        <w:rPr>
          <w:i/>
          <w:lang w:val="en-US"/>
        </w:rPr>
        <w:t>Essential Freshwater Regulations – Industry Impact Analysis.</w:t>
      </w:r>
      <w:r>
        <w:rPr>
          <w:lang w:val="en-US"/>
        </w:rPr>
        <w:t xml:space="preserve"> </w:t>
      </w:r>
      <w:r w:rsidR="00CD4D0F">
        <w:rPr>
          <w:lang w:val="en-US"/>
        </w:rPr>
        <w:t xml:space="preserve">Authors David Graham, William Li and David Moore. </w:t>
      </w:r>
      <w:r w:rsidR="00DA6E00" w:rsidRPr="00DA6E00">
        <w:rPr>
          <w:lang w:val="en-US"/>
        </w:rPr>
        <w:t xml:space="preserve">Prepared for the Ministry for Environment by </w:t>
      </w:r>
      <w:proofErr w:type="spellStart"/>
      <w:r w:rsidR="00DA6E00">
        <w:rPr>
          <w:lang w:val="en-US"/>
        </w:rPr>
        <w:t>Sapere</w:t>
      </w:r>
      <w:proofErr w:type="spellEnd"/>
      <w:r w:rsidR="00DA6E00" w:rsidRPr="00DA6E00">
        <w:rPr>
          <w:lang w:val="en-US"/>
        </w:rPr>
        <w:t>. Wellington: Ministry for the Environment.</w:t>
      </w:r>
      <w:r w:rsidR="008A16CE">
        <w:rPr>
          <w:lang w:val="en-US"/>
        </w:rPr>
        <w:t xml:space="preserve"> </w:t>
      </w:r>
      <w:r w:rsidR="00DA6E00" w:rsidRPr="00DA6E00">
        <w:rPr>
          <w:lang w:val="en-US"/>
        </w:rPr>
        <w:t xml:space="preserve">Retrieved from </w:t>
      </w:r>
      <w:r w:rsidR="00DA6E00" w:rsidRPr="00DA6E00">
        <w:rPr>
          <w:rStyle w:val="Hyperlink"/>
          <w:lang w:val="en-US"/>
        </w:rPr>
        <w:t>https://www.mfe.govt.nz/publications/fresh-water/essential-freshwater-regulations-industry-impact-analysis</w:t>
      </w:r>
      <w:r w:rsidR="00DA6E00" w:rsidRPr="00DA6E00">
        <w:rPr>
          <w:lang w:val="en-US"/>
        </w:rPr>
        <w:t xml:space="preserve"> </w:t>
      </w:r>
      <w:r w:rsidR="00DA6E00">
        <w:rPr>
          <w:lang w:val="en-US"/>
        </w:rPr>
        <w:t>(</w:t>
      </w:r>
      <w:r>
        <w:rPr>
          <w:lang w:val="en-US"/>
        </w:rPr>
        <w:t>May</w:t>
      </w:r>
      <w:r w:rsidR="00DA6E00">
        <w:rPr>
          <w:lang w:val="en-US"/>
        </w:rPr>
        <w:t xml:space="preserve"> 2020)</w:t>
      </w:r>
      <w:r w:rsidR="00200BEA">
        <w:rPr>
          <w:lang w:val="en-US"/>
        </w:rPr>
        <w:t>.</w:t>
      </w:r>
      <w:r>
        <w:rPr>
          <w:lang w:val="en-US"/>
        </w:rPr>
        <w:t xml:space="preserve"> </w:t>
      </w:r>
      <w:bookmarkEnd w:id="1"/>
    </w:p>
    <w:sectPr w:rsidR="005A0D27" w:rsidRPr="00AA3FB2" w:rsidSect="00532CDD">
      <w:footerReference w:type="even" r:id="rId29"/>
      <w:footerReference w:type="default" r:id="rId30"/>
      <w:pgSz w:w="11907" w:h="16840" w:code="9"/>
      <w:pgMar w:top="1134" w:right="1701" w:bottom="1134" w:left="1701" w:header="567" w:footer="567"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8C4FD" w16cex:dateUtc="2020-05-26T22:52:00Z"/>
  <w16cex:commentExtensible w16cex:durableId="22793483" w16cex:dateUtc="2020-05-27T06:48:00Z"/>
  <w16cex:commentExtensible w16cex:durableId="22793525" w16cex:dateUtc="2020-05-27T06:51:00Z"/>
  <w16cex:commentExtensible w16cex:durableId="22793792" w16cex:dateUtc="2020-05-27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15886A" w16cid:durableId="2278C4FD"/>
  <w16cid:commentId w16cid:paraId="2628CED4" w16cid:durableId="22793483"/>
  <w16cid:commentId w16cid:paraId="7C604D05" w16cid:durableId="22793525"/>
  <w16cid:commentId w16cid:paraId="4C956574" w16cid:durableId="227937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A972C" w14:textId="77777777" w:rsidR="00C2206B" w:rsidRDefault="00C2206B" w:rsidP="0080531E">
      <w:pPr>
        <w:spacing w:before="0" w:after="0" w:line="240" w:lineRule="auto"/>
      </w:pPr>
      <w:r>
        <w:separator/>
      </w:r>
    </w:p>
    <w:p w14:paraId="35264389" w14:textId="77777777" w:rsidR="00C2206B" w:rsidRDefault="00C2206B"/>
  </w:endnote>
  <w:endnote w:type="continuationSeparator" w:id="0">
    <w:p w14:paraId="5DF05B19" w14:textId="77777777" w:rsidR="00C2206B" w:rsidRDefault="00C2206B" w:rsidP="0080531E">
      <w:pPr>
        <w:spacing w:before="0" w:after="0" w:line="240" w:lineRule="auto"/>
      </w:pPr>
      <w:r>
        <w:continuationSeparator/>
      </w:r>
    </w:p>
    <w:p w14:paraId="68E3BA93" w14:textId="77777777" w:rsidR="00C2206B" w:rsidRDefault="00C2206B"/>
  </w:endnote>
  <w:endnote w:type="continuationNotice" w:id="1">
    <w:p w14:paraId="6B1D9FF2" w14:textId="77777777" w:rsidR="00C2206B" w:rsidRDefault="00C2206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092FC" w14:textId="41A85BF2" w:rsidR="00C2206B" w:rsidRDefault="00C2206B" w:rsidP="00734B9A">
    <w:pPr>
      <w:spacing w:before="0" w:after="0" w:line="240" w:lineRule="auto"/>
      <w:ind w:left="-57"/>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04947" w14:textId="77777777" w:rsidR="00C2206B" w:rsidRDefault="00C2206B" w:rsidP="00E65427">
    <w:pPr>
      <w:spacing w:before="24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2585" w14:textId="77777777" w:rsidR="00C2206B" w:rsidRDefault="00C2206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EB99" w14:textId="40EF0C6C" w:rsidR="00C2206B" w:rsidRDefault="00C2206B" w:rsidP="009B0660">
    <w:pPr>
      <w:pStyle w:val="Footereven"/>
    </w:pPr>
    <w:r>
      <w:fldChar w:fldCharType="begin"/>
    </w:r>
    <w:r>
      <w:instrText xml:space="preserve"> PAGE   \* MERGEFORMAT </w:instrText>
    </w:r>
    <w:r>
      <w:fldChar w:fldCharType="separate"/>
    </w:r>
    <w:r w:rsidR="00E13C38">
      <w:rPr>
        <w:noProof/>
      </w:rPr>
      <w:t>14</w:t>
    </w:r>
    <w:r>
      <w:rPr>
        <w:noProof/>
      </w:rPr>
      <w:fldChar w:fldCharType="end"/>
    </w:r>
    <w:r>
      <w:rPr>
        <w:noProof/>
      </w:rPr>
      <w:tab/>
    </w:r>
    <w:r w:rsidRPr="00C83F5B">
      <w:t>Action for healthy waterways</w:t>
    </w:r>
    <w:r>
      <w:t>:</w:t>
    </w:r>
    <w:r w:rsidRPr="00A07170">
      <w:t xml:space="preserve"> Overview of the impact analysis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C6FC3" w14:textId="1A19CFDC" w:rsidR="00C2206B" w:rsidRDefault="00C2206B" w:rsidP="00C2206B">
    <w:pPr>
      <w:pStyle w:val="Footerodd"/>
      <w:tabs>
        <w:tab w:val="clear" w:pos="7938"/>
        <w:tab w:val="clear" w:pos="8505"/>
        <w:tab w:val="left" w:pos="3828"/>
        <w:tab w:val="right" w:pos="14005"/>
        <w:tab w:val="right" w:pos="14572"/>
      </w:tabs>
    </w:pPr>
    <w:r>
      <w:tab/>
    </w:r>
    <w:r w:rsidRPr="00C83F5B">
      <w:t>Action for healthy waterways</w:t>
    </w:r>
    <w:r>
      <w:t>:</w:t>
    </w:r>
    <w:r w:rsidRPr="00A07170">
      <w:t xml:space="preserve"> Overview of the impact analysis</w:t>
    </w:r>
    <w:r>
      <w:tab/>
    </w:r>
    <w:r>
      <w:fldChar w:fldCharType="begin"/>
    </w:r>
    <w:r>
      <w:instrText xml:space="preserve"> PAGE   \* MERGEFORMAT </w:instrText>
    </w:r>
    <w:r>
      <w:fldChar w:fldCharType="separate"/>
    </w:r>
    <w:r w:rsidR="00E13C38">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1D8D2" w14:textId="77777777" w:rsidR="00C2206B" w:rsidRDefault="00C2206B" w:rsidP="00CB5C5F">
      <w:pPr>
        <w:spacing w:before="0" w:after="80" w:line="240" w:lineRule="auto"/>
      </w:pPr>
      <w:r>
        <w:separator/>
      </w:r>
    </w:p>
  </w:footnote>
  <w:footnote w:type="continuationSeparator" w:id="0">
    <w:p w14:paraId="3125DF16" w14:textId="77777777" w:rsidR="00C2206B" w:rsidRDefault="00C2206B" w:rsidP="0080531E">
      <w:pPr>
        <w:spacing w:before="0" w:after="0" w:line="240" w:lineRule="auto"/>
      </w:pPr>
      <w:r>
        <w:continuationSeparator/>
      </w:r>
    </w:p>
    <w:p w14:paraId="14EC0D56" w14:textId="77777777" w:rsidR="00C2206B" w:rsidRDefault="00C2206B"/>
  </w:footnote>
  <w:footnote w:type="continuationNotice" w:id="1">
    <w:p w14:paraId="265F0F3E" w14:textId="77777777" w:rsidR="00C2206B" w:rsidRDefault="00C2206B">
      <w:pPr>
        <w:spacing w:before="0" w:after="0" w:line="240" w:lineRule="auto"/>
      </w:pPr>
    </w:p>
  </w:footnote>
  <w:footnote w:id="2">
    <w:p w14:paraId="796764A0" w14:textId="3BAE362E" w:rsidR="00C2206B" w:rsidRDefault="00C2206B" w:rsidP="00F95E20">
      <w:pPr>
        <w:pStyle w:val="FootnoteText"/>
      </w:pPr>
      <w:r w:rsidRPr="00DF747D">
        <w:rPr>
          <w:rStyle w:val="FootnoteReference"/>
        </w:rPr>
        <w:footnoteRef/>
      </w:r>
      <w:r w:rsidRPr="00DF747D">
        <w:t xml:space="preserve"> </w:t>
      </w:r>
      <w:r w:rsidRPr="00DF747D">
        <w:tab/>
        <w:t xml:space="preserve">Assessments of the net benefits of the individual components of the package are available </w:t>
      </w:r>
      <w:r>
        <w:t>on the Ministry for the Environment’s website at</w:t>
      </w:r>
      <w:r w:rsidRPr="00DF747D">
        <w:t xml:space="preserve"> </w:t>
      </w:r>
      <w:hyperlink r:id="rId1" w:history="1">
        <w:r w:rsidRPr="00211727">
          <w:rPr>
            <w:rStyle w:val="Hyperlink"/>
          </w:rPr>
          <w:t>http://www.mfe.govt.nz/action-for-healthy-waterways</w:t>
        </w:r>
      </w:hyperlink>
      <w:r>
        <w:rPr>
          <w:rFonts w:cs="Calibri"/>
          <w:szCs w:val="19"/>
        </w:rPr>
        <w:t>.</w:t>
      </w:r>
    </w:p>
  </w:footnote>
  <w:footnote w:id="3">
    <w:p w14:paraId="0E8C5227" w14:textId="46CF2876" w:rsidR="00C2206B" w:rsidRDefault="00C2206B" w:rsidP="00226A8B">
      <w:pPr>
        <w:pStyle w:val="FootnoteText"/>
      </w:pPr>
      <w:r>
        <w:rPr>
          <w:rStyle w:val="FootnoteReference"/>
        </w:rPr>
        <w:footnoteRef/>
      </w:r>
      <w:r>
        <w:t xml:space="preserve"> </w:t>
      </w:r>
      <w:r>
        <w:tab/>
        <w:t xml:space="preserve">Ministry for Primary Industries (2017) </w:t>
      </w:r>
      <w:r w:rsidRPr="00C2206B">
        <w:rPr>
          <w:i/>
        </w:rPr>
        <w:t>Modelling the potential impact of New Zealand’s freshwater reforms on land-based Greenhouse Gas emissions.</w:t>
      </w:r>
      <w:r>
        <w:t xml:space="preserve"> MPI Technical Paper No. 2017/22. </w:t>
      </w:r>
      <w:proofErr w:type="gramStart"/>
      <w:r>
        <w:t>Cost estimates in this report were updated by officials for the purpose of the impact work to 2019 values using the GDP deflator</w:t>
      </w:r>
      <w:proofErr w:type="gramEnd"/>
      <w:r>
        <w:t>.</w:t>
      </w:r>
    </w:p>
  </w:footnote>
  <w:footnote w:id="4">
    <w:p w14:paraId="383857BE" w14:textId="0E17C5E4" w:rsidR="00C2206B" w:rsidRPr="00952106" w:rsidRDefault="00C2206B" w:rsidP="00226A8B">
      <w:pPr>
        <w:pStyle w:val="FootnoteText"/>
        <w:rPr>
          <w:lang w:val="en-US"/>
        </w:rPr>
      </w:pPr>
      <w:r>
        <w:rPr>
          <w:rStyle w:val="FootnoteReference"/>
        </w:rPr>
        <w:footnoteRef/>
      </w:r>
      <w:r>
        <w:t xml:space="preserve"> </w:t>
      </w:r>
      <w:r>
        <w:tab/>
        <w:t xml:space="preserve">In practice, when calculating the PV of the nutrient bottom lines, </w:t>
      </w:r>
      <w:r>
        <w:rPr>
          <w:lang w:val="en-US"/>
        </w:rPr>
        <w:t xml:space="preserve">technology change </w:t>
      </w:r>
      <w:proofErr w:type="gramStart"/>
      <w:r>
        <w:rPr>
          <w:lang w:val="en-US"/>
        </w:rPr>
        <w:t>was assumed</w:t>
      </w:r>
      <w:proofErr w:type="gramEnd"/>
      <w:r>
        <w:rPr>
          <w:lang w:val="en-US"/>
        </w:rPr>
        <w:t xml:space="preserve"> to reduce the absolute costs of M1, M2 and M3 through time as well, with technology gains of 1.75 per cent per annum for the base case.</w:t>
      </w:r>
    </w:p>
  </w:footnote>
  <w:footnote w:id="5">
    <w:p w14:paraId="648AE8FD" w14:textId="50F2A825" w:rsidR="00C2206B" w:rsidRDefault="00C2206B" w:rsidP="00226A8B">
      <w:pPr>
        <w:pStyle w:val="FootnoteText"/>
      </w:pPr>
      <w:r>
        <w:rPr>
          <w:rStyle w:val="FootnoteReference"/>
        </w:rPr>
        <w:footnoteRef/>
      </w:r>
      <w:r>
        <w:t xml:space="preserve"> </w:t>
      </w:r>
      <w:r>
        <w:tab/>
        <w:t xml:space="preserve">The impact analysis estimated the cost of achieving the nitrogen reductions implied by the 2017 NPS-FM as $355 million per annum (if the phosphorous reductions are included the estimate increases to $394 million per annum). This is higher than the estimated impact reported in 2017 when the 2017 NPS-FM </w:t>
      </w:r>
      <w:proofErr w:type="gramStart"/>
      <w:r>
        <w:t>was released</w:t>
      </w:r>
      <w:proofErr w:type="gramEnd"/>
      <w:r>
        <w:t>. New data and methodological improvements have occurred since 2017.</w:t>
      </w:r>
    </w:p>
  </w:footnote>
  <w:footnote w:id="6">
    <w:p w14:paraId="4019315D" w14:textId="2B467827" w:rsidR="00C2206B" w:rsidRDefault="00C2206B" w:rsidP="00467287">
      <w:pPr>
        <w:pStyle w:val="FootnoteText"/>
        <w:spacing w:after="0"/>
      </w:pPr>
      <w:r>
        <w:rPr>
          <w:rStyle w:val="FootnoteReference"/>
        </w:rPr>
        <w:footnoteRef/>
      </w:r>
      <w:r>
        <w:t xml:space="preserve"> </w:t>
      </w:r>
      <w:r>
        <w:tab/>
        <w:t xml:space="preserve">This </w:t>
      </w:r>
      <w:proofErr w:type="gramStart"/>
      <w:r>
        <w:t>is discussed</w:t>
      </w:r>
      <w:proofErr w:type="gramEnd"/>
      <w:r>
        <w:t xml:space="preserve"> further in </w:t>
      </w:r>
      <w:r w:rsidRPr="00F25636">
        <w:t>Ministry for the Environment</w:t>
      </w:r>
      <w:r>
        <w:t>.</w:t>
      </w:r>
      <w:r w:rsidRPr="00F25636">
        <w:t xml:space="preserve"> 2020. </w:t>
      </w:r>
      <w:r w:rsidRPr="00C2206B">
        <w:rPr>
          <w:i/>
        </w:rPr>
        <w:t>Action for healthy waterways: Summary of modelling to inform environmental impact assessment of nutrient proposals.</w:t>
      </w:r>
      <w:r w:rsidRPr="00F25636">
        <w:t xml:space="preserve"> Wellington: Ministry for the Environment.</w:t>
      </w:r>
    </w:p>
  </w:footnote>
  <w:footnote w:id="7">
    <w:p w14:paraId="697F2BBC" w14:textId="3951CAB7" w:rsidR="00C2206B" w:rsidRPr="00FB5678" w:rsidRDefault="00C2206B" w:rsidP="00226A8B">
      <w:pPr>
        <w:pStyle w:val="FootnoteText"/>
        <w:rPr>
          <w:lang w:val="en-US"/>
        </w:rPr>
      </w:pPr>
      <w:r>
        <w:rPr>
          <w:rStyle w:val="FootnoteReference"/>
        </w:rPr>
        <w:footnoteRef/>
      </w:r>
      <w:r>
        <w:t xml:space="preserve"> </w:t>
      </w:r>
      <w:r>
        <w:tab/>
      </w:r>
      <w:r>
        <w:rPr>
          <w:lang w:val="en-US"/>
        </w:rPr>
        <w:t xml:space="preserve">This result </w:t>
      </w:r>
      <w:proofErr w:type="gramStart"/>
      <w:r>
        <w:rPr>
          <w:lang w:val="en-US"/>
        </w:rPr>
        <w:t>is drawn</w:t>
      </w:r>
      <w:proofErr w:type="gramEnd"/>
      <w:r>
        <w:rPr>
          <w:lang w:val="en-US"/>
        </w:rPr>
        <w:t xml:space="preserve"> from table 1 in NZIER’s report. NZIER reported cumulative impacts so to arrive at the marginal impact of the package (Essential Freshwater Package Two in NZIER’s report) it is necessary to deduct the result for ‘National Policy Statement’ (negative $508 million) from ‘Essential Freshwater Package Two’ (negative $701 million), arriving at negative $193 million. From table 2 in NZIER’s report the marginal impact of the package is -0.04 per cent, this being the difference between -0.21 per cent and -0.17 per cent.</w:t>
      </w:r>
    </w:p>
  </w:footnote>
  <w:footnote w:id="8">
    <w:p w14:paraId="4EBDBC23" w14:textId="59FB8AEC" w:rsidR="00C2206B" w:rsidRPr="005743DC" w:rsidRDefault="00C2206B" w:rsidP="00226A8B">
      <w:pPr>
        <w:pStyle w:val="FootnoteText"/>
        <w:rPr>
          <w:lang w:val="en-US"/>
        </w:rPr>
      </w:pPr>
      <w:r>
        <w:rPr>
          <w:rStyle w:val="FootnoteReference"/>
        </w:rPr>
        <w:footnoteRef/>
      </w:r>
      <w:r>
        <w:t xml:space="preserve"> </w:t>
      </w:r>
      <w:r>
        <w:tab/>
      </w:r>
      <w:r>
        <w:rPr>
          <w:lang w:val="en-US"/>
        </w:rPr>
        <w:t>Resource Economics (2020) Essential Freshwater Package: costs analysis. April 2020.</w:t>
      </w:r>
    </w:p>
  </w:footnote>
  <w:footnote w:id="9">
    <w:p w14:paraId="5FE779AF" w14:textId="18EB8391" w:rsidR="00C2206B" w:rsidRPr="00404762" w:rsidRDefault="00C2206B" w:rsidP="00226A8B">
      <w:pPr>
        <w:pStyle w:val="FootnoteText"/>
        <w:rPr>
          <w:lang w:val="en-US"/>
        </w:rPr>
      </w:pPr>
      <w:r>
        <w:rPr>
          <w:rStyle w:val="FootnoteReference"/>
        </w:rPr>
        <w:footnoteRef/>
      </w:r>
      <w:r>
        <w:t xml:space="preserve"> </w:t>
      </w:r>
      <w:r>
        <w:tab/>
      </w:r>
      <w:r>
        <w:rPr>
          <w:lang w:val="en-US"/>
        </w:rPr>
        <w:t xml:space="preserve">Castalia (2020) Administrative Costs of Proposed Essential Freshwater Package on Regional Councils. March 2020. </w:t>
      </w:r>
    </w:p>
  </w:footnote>
  <w:footnote w:id="10">
    <w:p w14:paraId="4E3408CA" w14:textId="0B0B13E4" w:rsidR="00C2206B" w:rsidRPr="005F06A1" w:rsidRDefault="00C2206B" w:rsidP="00226A8B">
      <w:pPr>
        <w:pStyle w:val="FootnoteText"/>
        <w:rPr>
          <w:lang w:val="en-US"/>
        </w:rPr>
      </w:pPr>
      <w:r>
        <w:rPr>
          <w:rStyle w:val="FootnoteReference"/>
        </w:rPr>
        <w:footnoteRef/>
      </w:r>
      <w:r>
        <w:t xml:space="preserve"> </w:t>
      </w:r>
      <w:r>
        <w:tab/>
      </w:r>
      <w:r>
        <w:rPr>
          <w:lang w:val="en-US"/>
        </w:rPr>
        <w:t xml:space="preserve">Capital expenditure </w:t>
      </w:r>
      <w:proofErr w:type="gramStart"/>
      <w:r>
        <w:rPr>
          <w:lang w:val="en-US"/>
        </w:rPr>
        <w:t>was estimated</w:t>
      </w:r>
      <w:proofErr w:type="gramEnd"/>
      <w:r>
        <w:rPr>
          <w:lang w:val="en-US"/>
        </w:rPr>
        <w:t xml:space="preserve"> at $773.4 million and interest costs, assuming a 3 per cent interest rate, were estimated at $326.9 million. </w:t>
      </w:r>
      <w:proofErr w:type="spellStart"/>
      <w:r>
        <w:rPr>
          <w:lang w:val="en-US"/>
        </w:rPr>
        <w:t>Amortising</w:t>
      </w:r>
      <w:proofErr w:type="spellEnd"/>
      <w:r>
        <w:rPr>
          <w:lang w:val="en-US"/>
        </w:rPr>
        <w:t xml:space="preserve"> these expenses over 25 years produces an annual repayment of $44 million. Opportunity costs of land lost to production </w:t>
      </w:r>
      <w:proofErr w:type="gramStart"/>
      <w:r>
        <w:rPr>
          <w:lang w:val="en-US"/>
        </w:rPr>
        <w:t>were estimated</w:t>
      </w:r>
      <w:proofErr w:type="gramEnd"/>
      <w:r>
        <w:rPr>
          <w:lang w:val="en-US"/>
        </w:rPr>
        <w:t xml:space="preserve"> at $17.7 million per annum. The present value of an annual flow of $61.7 million ($44 million plus $17.7 million), from 2023 to 2050, was estimated to be $1,092 million.</w:t>
      </w:r>
    </w:p>
  </w:footnote>
  <w:footnote w:id="11">
    <w:p w14:paraId="3D41FB89" w14:textId="5870CD06" w:rsidR="00C2206B" w:rsidRPr="00725CF7" w:rsidRDefault="00C2206B" w:rsidP="00725CF7">
      <w:pPr>
        <w:pStyle w:val="FootnoteText"/>
      </w:pPr>
      <w:r w:rsidRPr="00226A8B">
        <w:rPr>
          <w:rStyle w:val="FootnoteReference"/>
          <w:rFonts w:cs="Calibri"/>
          <w:sz w:val="20"/>
          <w:szCs w:val="20"/>
        </w:rPr>
        <w:footnoteRef/>
      </w:r>
      <w:r>
        <w:t xml:space="preserve"> </w:t>
      </w:r>
      <w:r>
        <w:tab/>
      </w:r>
      <w:r w:rsidRPr="00226A8B">
        <w:t>AgFirst (2019) Modelling of mitigation strategies on farm profitability testing Ag package regulations on farm. Sep 2019.</w:t>
      </w:r>
      <w:r>
        <w:t xml:space="preserve"> </w:t>
      </w:r>
      <w:hyperlink r:id="rId2" w:history="1">
        <w:r w:rsidRPr="00AF510C">
          <w:rPr>
            <w:rStyle w:val="Hyperlink"/>
          </w:rPr>
          <w:t>link</w:t>
        </w:r>
      </w:hyperlink>
      <w:r>
        <w:t xml:space="preserve"> </w:t>
      </w:r>
      <w:r w:rsidRPr="00226A8B">
        <w:t xml:space="preserve">The authors relied on a 2016 study from the Ministry of Primary Industries (National Stock Exclusion Study </w:t>
      </w:r>
      <w:r>
        <w:t>–</w:t>
      </w:r>
      <w:r w:rsidRPr="00226A8B">
        <w:t xml:space="preserve"> analysis of the costs and benefits of excluding stock from New Zealand waterway</w:t>
      </w:r>
      <w:r>
        <w:t xml:space="preserve">s </w:t>
      </w:r>
      <w:hyperlink r:id="rId3" w:history="1">
        <w:r w:rsidRPr="001E3154">
          <w:rPr>
            <w:rStyle w:val="Hyperlink"/>
          </w:rPr>
          <w:t>link</w:t>
        </w:r>
      </w:hyperlink>
      <w:r w:rsidRPr="00226A8B">
        <w:t>)</w:t>
      </w:r>
      <w:r>
        <w:rPr>
          <w:color w:val="1F497D"/>
        </w:rPr>
        <w:t>.</w:t>
      </w:r>
    </w:p>
  </w:footnote>
  <w:footnote w:id="12">
    <w:p w14:paraId="275B7B8E" w14:textId="0D607C2F" w:rsidR="00C2206B" w:rsidRDefault="00C2206B" w:rsidP="00226A8B">
      <w:pPr>
        <w:pStyle w:val="FootnoteText"/>
      </w:pPr>
      <w:r>
        <w:rPr>
          <w:rStyle w:val="FootnoteReference"/>
        </w:rPr>
        <w:footnoteRef/>
      </w:r>
      <w:r>
        <w:t xml:space="preserve"> </w:t>
      </w:r>
      <w:r>
        <w:tab/>
        <w:t>For the purposes of estimating a present value (PV) for the farm plan policy, t</w:t>
      </w:r>
      <w:r w:rsidRPr="00FF3027">
        <w:t>h</w:t>
      </w:r>
      <w:r>
        <w:t>e marginal impact of the policy</w:t>
      </w:r>
      <w:r w:rsidRPr="00FF3027">
        <w:t xml:space="preserve"> was assumed to be bringing forward by ten</w:t>
      </w:r>
      <w:r>
        <w:t> </w:t>
      </w:r>
      <w:r w:rsidRPr="00FF3027">
        <w:t>years</w:t>
      </w:r>
      <w:r>
        <w:t> </w:t>
      </w:r>
      <w:r w:rsidRPr="00FF3027">
        <w:t>effective water modules (industry farm plans initiatives were assumed to be fully operational and effective by 2035).</w:t>
      </w:r>
      <w:r>
        <w:t xml:space="preserve"> This led to a PV cost estimate of $253 million.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E93B7" w14:textId="13AC1BE8" w:rsidR="00C2206B" w:rsidRPr="00DE7BF8" w:rsidRDefault="00C2206B" w:rsidP="00734B9A">
    <w:pPr>
      <w:pStyle w:val="Header"/>
      <w:ind w:left="-57"/>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BE59" w14:textId="77777777" w:rsidR="00C2206B" w:rsidRDefault="00C2206B" w:rsidP="003615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BF3FF" w14:textId="37C21745" w:rsidR="00C2206B" w:rsidRDefault="00C22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0C054EF5"/>
    <w:multiLevelType w:val="hybridMultilevel"/>
    <w:tmpl w:val="BEE87F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E10843"/>
    <w:multiLevelType w:val="multilevel"/>
    <w:tmpl w:val="212AA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9626F03"/>
    <w:multiLevelType w:val="hybridMultilevel"/>
    <w:tmpl w:val="492EB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4F1D2E"/>
    <w:multiLevelType w:val="multilevel"/>
    <w:tmpl w:val="78387896"/>
    <w:lvl w:ilvl="0">
      <w:start w:val="1"/>
      <w:numFmt w:val="bullet"/>
      <w:pStyle w:val="Blue-boxsub-bullet"/>
      <w:lvlText w:val="‒"/>
      <w:lvlJc w:val="left"/>
      <w:pPr>
        <w:ind w:left="1077" w:hanging="397"/>
      </w:pPr>
      <w:rPr>
        <w:rFonts w:ascii="Times New Roman"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7" w15:restartNumberingAfterBreak="0">
    <w:nsid w:val="25572FCA"/>
    <w:multiLevelType w:val="hybridMultilevel"/>
    <w:tmpl w:val="1C589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E0B55"/>
    <w:multiLevelType w:val="hybridMultilevel"/>
    <w:tmpl w:val="72FC905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372281"/>
    <w:multiLevelType w:val="hybridMultilevel"/>
    <w:tmpl w:val="B6E6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3"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4" w15:restartNumberingAfterBreak="0">
    <w:nsid w:val="3B0C781C"/>
    <w:multiLevelType w:val="hybridMultilevel"/>
    <w:tmpl w:val="8E12C9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D465A16"/>
    <w:multiLevelType w:val="multilevel"/>
    <w:tmpl w:val="C3261C56"/>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D148D"/>
    <w:multiLevelType w:val="hybridMultilevel"/>
    <w:tmpl w:val="B6B27E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180823"/>
    <w:multiLevelType w:val="hybridMultilevel"/>
    <w:tmpl w:val="D48CB6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5FE719A"/>
    <w:multiLevelType w:val="hybridMultilevel"/>
    <w:tmpl w:val="CE52A8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2" w15:restartNumberingAfterBreak="0">
    <w:nsid w:val="46A3157F"/>
    <w:multiLevelType w:val="hybridMultilevel"/>
    <w:tmpl w:val="C8ACF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3535234"/>
    <w:multiLevelType w:val="singleLevel"/>
    <w:tmpl w:val="D1A2CC06"/>
    <w:lvl w:ilvl="0">
      <w:start w:val="1"/>
      <w:numFmt w:val="bullet"/>
      <w:pStyle w:val="Blue-boxbullet"/>
      <w:lvlText w:val=""/>
      <w:lvlJc w:val="left"/>
      <w:pPr>
        <w:ind w:left="644" w:hanging="360"/>
      </w:pPr>
      <w:rPr>
        <w:rFonts w:ascii="Symbol" w:hAnsi="Symbol" w:hint="default"/>
        <w:color w:val="1C556C"/>
        <w:sz w:val="16"/>
      </w:rPr>
    </w:lvl>
  </w:abstractNum>
  <w:abstractNum w:abstractNumId="24" w15:restartNumberingAfterBreak="0">
    <w:nsid w:val="5EC2010A"/>
    <w:multiLevelType w:val="hybridMultilevel"/>
    <w:tmpl w:val="FD8C9E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F8C49CF"/>
    <w:multiLevelType w:val="hybridMultilevel"/>
    <w:tmpl w:val="921265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0A609AB"/>
    <w:multiLevelType w:val="hybridMultilevel"/>
    <w:tmpl w:val="51BE5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9"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16"/>
  </w:num>
  <w:num w:numId="4">
    <w:abstractNumId w:val="12"/>
  </w:num>
  <w:num w:numId="5">
    <w:abstractNumId w:val="6"/>
  </w:num>
  <w:num w:numId="6">
    <w:abstractNumId w:val="21"/>
  </w:num>
  <w:num w:numId="7">
    <w:abstractNumId w:val="18"/>
  </w:num>
  <w:num w:numId="8">
    <w:abstractNumId w:val="2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7"/>
  </w:num>
  <w:num w:numId="12">
    <w:abstractNumId w:val="1"/>
  </w:num>
  <w:num w:numId="13">
    <w:abstractNumId w:val="9"/>
  </w:num>
  <w:num w:numId="14">
    <w:abstractNumId w:val="15"/>
  </w:num>
  <w:num w:numId="15">
    <w:abstractNumId w:val="5"/>
  </w:num>
  <w:num w:numId="16">
    <w:abstractNumId w:val="28"/>
  </w:num>
  <w:num w:numId="17">
    <w:abstractNumId w:val="17"/>
  </w:num>
  <w:num w:numId="18">
    <w:abstractNumId w:val="22"/>
  </w:num>
  <w:num w:numId="19">
    <w:abstractNumId w:val="26"/>
  </w:num>
  <w:num w:numId="20">
    <w:abstractNumId w:val="14"/>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0"/>
  </w:num>
  <w:num w:numId="27">
    <w:abstractNumId w:val="4"/>
  </w:num>
  <w:num w:numId="28">
    <w:abstractNumId w:val="24"/>
  </w:num>
  <w:num w:numId="29">
    <w:abstractNumId w:val="2"/>
  </w:num>
  <w:num w:numId="30">
    <w:abstractNumId w:val="8"/>
  </w:num>
  <w:num w:numId="31">
    <w:abstractNumId w:val="25"/>
  </w:num>
  <w:num w:numId="32">
    <w:abstractNumId w:val="19"/>
  </w:num>
  <w:num w:numId="33">
    <w:abstractNumId w:val="15"/>
  </w:num>
  <w:num w:numId="34">
    <w:abstractNumId w:val="15"/>
  </w:num>
  <w:num w:numId="35">
    <w:abstractNumId w:val="10"/>
  </w:num>
  <w:num w:numId="3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F9"/>
    <w:rsid w:val="00000678"/>
    <w:rsid w:val="00000792"/>
    <w:rsid w:val="00000F04"/>
    <w:rsid w:val="00001813"/>
    <w:rsid w:val="00003C4F"/>
    <w:rsid w:val="00004E0A"/>
    <w:rsid w:val="00004FD3"/>
    <w:rsid w:val="0000683E"/>
    <w:rsid w:val="00006DF5"/>
    <w:rsid w:val="00006F95"/>
    <w:rsid w:val="00007023"/>
    <w:rsid w:val="0000709F"/>
    <w:rsid w:val="000071D6"/>
    <w:rsid w:val="00007F2D"/>
    <w:rsid w:val="00007FAC"/>
    <w:rsid w:val="00010A9C"/>
    <w:rsid w:val="00010ABA"/>
    <w:rsid w:val="00010BAA"/>
    <w:rsid w:val="00010C85"/>
    <w:rsid w:val="00010E15"/>
    <w:rsid w:val="00010F57"/>
    <w:rsid w:val="0001100C"/>
    <w:rsid w:val="00011188"/>
    <w:rsid w:val="00012555"/>
    <w:rsid w:val="00014236"/>
    <w:rsid w:val="0001475E"/>
    <w:rsid w:val="000148F6"/>
    <w:rsid w:val="00015217"/>
    <w:rsid w:val="000159D2"/>
    <w:rsid w:val="00016264"/>
    <w:rsid w:val="00016993"/>
    <w:rsid w:val="00016CAB"/>
    <w:rsid w:val="00016E5B"/>
    <w:rsid w:val="0001749B"/>
    <w:rsid w:val="00017D75"/>
    <w:rsid w:val="00017FE5"/>
    <w:rsid w:val="0002076E"/>
    <w:rsid w:val="000209A8"/>
    <w:rsid w:val="00021910"/>
    <w:rsid w:val="000220D1"/>
    <w:rsid w:val="00022E8D"/>
    <w:rsid w:val="00023287"/>
    <w:rsid w:val="0002348A"/>
    <w:rsid w:val="00024708"/>
    <w:rsid w:val="00024EE7"/>
    <w:rsid w:val="00025D06"/>
    <w:rsid w:val="00025F96"/>
    <w:rsid w:val="00025FAB"/>
    <w:rsid w:val="00026E89"/>
    <w:rsid w:val="0002737A"/>
    <w:rsid w:val="000275A3"/>
    <w:rsid w:val="00030558"/>
    <w:rsid w:val="00030699"/>
    <w:rsid w:val="00030725"/>
    <w:rsid w:val="00030DB8"/>
    <w:rsid w:val="00031A83"/>
    <w:rsid w:val="0003213A"/>
    <w:rsid w:val="00032A81"/>
    <w:rsid w:val="000340D8"/>
    <w:rsid w:val="0003427D"/>
    <w:rsid w:val="00034A16"/>
    <w:rsid w:val="00034DFA"/>
    <w:rsid w:val="000357ED"/>
    <w:rsid w:val="00035E15"/>
    <w:rsid w:val="0003640E"/>
    <w:rsid w:val="0003688A"/>
    <w:rsid w:val="000368FC"/>
    <w:rsid w:val="00036DA3"/>
    <w:rsid w:val="000379BF"/>
    <w:rsid w:val="00037BEC"/>
    <w:rsid w:val="000400D9"/>
    <w:rsid w:val="0004035C"/>
    <w:rsid w:val="00040860"/>
    <w:rsid w:val="00040BB4"/>
    <w:rsid w:val="00040CED"/>
    <w:rsid w:val="00040EA1"/>
    <w:rsid w:val="00041B51"/>
    <w:rsid w:val="0004205F"/>
    <w:rsid w:val="000423C6"/>
    <w:rsid w:val="00042EDB"/>
    <w:rsid w:val="00044A50"/>
    <w:rsid w:val="00044C65"/>
    <w:rsid w:val="000458C7"/>
    <w:rsid w:val="00045991"/>
    <w:rsid w:val="00045E5C"/>
    <w:rsid w:val="00046288"/>
    <w:rsid w:val="000462EA"/>
    <w:rsid w:val="000468E7"/>
    <w:rsid w:val="00047941"/>
    <w:rsid w:val="00047E41"/>
    <w:rsid w:val="000506D9"/>
    <w:rsid w:val="00050A22"/>
    <w:rsid w:val="00050E27"/>
    <w:rsid w:val="0005144F"/>
    <w:rsid w:val="00051AF1"/>
    <w:rsid w:val="00051D42"/>
    <w:rsid w:val="000538A1"/>
    <w:rsid w:val="00055375"/>
    <w:rsid w:val="00056319"/>
    <w:rsid w:val="000564E7"/>
    <w:rsid w:val="00056770"/>
    <w:rsid w:val="00057386"/>
    <w:rsid w:val="00057EEF"/>
    <w:rsid w:val="000619CB"/>
    <w:rsid w:val="00061E4B"/>
    <w:rsid w:val="00062387"/>
    <w:rsid w:val="00062F9D"/>
    <w:rsid w:val="000640F0"/>
    <w:rsid w:val="0006434D"/>
    <w:rsid w:val="000643A1"/>
    <w:rsid w:val="00064679"/>
    <w:rsid w:val="00064851"/>
    <w:rsid w:val="0006486A"/>
    <w:rsid w:val="00064A13"/>
    <w:rsid w:val="00064AF4"/>
    <w:rsid w:val="00064BC5"/>
    <w:rsid w:val="00064DB1"/>
    <w:rsid w:val="00065BA3"/>
    <w:rsid w:val="00065D3B"/>
    <w:rsid w:val="000667E9"/>
    <w:rsid w:val="00067128"/>
    <w:rsid w:val="000675CD"/>
    <w:rsid w:val="00067872"/>
    <w:rsid w:val="000678AC"/>
    <w:rsid w:val="000703B2"/>
    <w:rsid w:val="00070FBF"/>
    <w:rsid w:val="000711EE"/>
    <w:rsid w:val="0007180E"/>
    <w:rsid w:val="00071877"/>
    <w:rsid w:val="00071AE4"/>
    <w:rsid w:val="00071CB5"/>
    <w:rsid w:val="00071CCB"/>
    <w:rsid w:val="00071D03"/>
    <w:rsid w:val="0007232B"/>
    <w:rsid w:val="000735A2"/>
    <w:rsid w:val="00074765"/>
    <w:rsid w:val="0007517E"/>
    <w:rsid w:val="000756D3"/>
    <w:rsid w:val="000758D8"/>
    <w:rsid w:val="00075D29"/>
    <w:rsid w:val="00075FE1"/>
    <w:rsid w:val="00076667"/>
    <w:rsid w:val="00077473"/>
    <w:rsid w:val="00077481"/>
    <w:rsid w:val="000776F9"/>
    <w:rsid w:val="00077EE0"/>
    <w:rsid w:val="000802F9"/>
    <w:rsid w:val="000809E8"/>
    <w:rsid w:val="0008145A"/>
    <w:rsid w:val="0008162D"/>
    <w:rsid w:val="000831C8"/>
    <w:rsid w:val="00083F5E"/>
    <w:rsid w:val="00084567"/>
    <w:rsid w:val="00084FDB"/>
    <w:rsid w:val="0008505C"/>
    <w:rsid w:val="00085C46"/>
    <w:rsid w:val="0008686A"/>
    <w:rsid w:val="00087175"/>
    <w:rsid w:val="00087D35"/>
    <w:rsid w:val="00091796"/>
    <w:rsid w:val="00091BA2"/>
    <w:rsid w:val="00091CB0"/>
    <w:rsid w:val="00092DFD"/>
    <w:rsid w:val="00093CD6"/>
    <w:rsid w:val="00094018"/>
    <w:rsid w:val="00094344"/>
    <w:rsid w:val="0009539C"/>
    <w:rsid w:val="000953C6"/>
    <w:rsid w:val="000953F4"/>
    <w:rsid w:val="0009590C"/>
    <w:rsid w:val="000959E7"/>
    <w:rsid w:val="00095E7D"/>
    <w:rsid w:val="000964DE"/>
    <w:rsid w:val="00096E56"/>
    <w:rsid w:val="000972AB"/>
    <w:rsid w:val="00097AE0"/>
    <w:rsid w:val="00097B40"/>
    <w:rsid w:val="00097D0E"/>
    <w:rsid w:val="000A17EA"/>
    <w:rsid w:val="000A1C7A"/>
    <w:rsid w:val="000A2345"/>
    <w:rsid w:val="000A2394"/>
    <w:rsid w:val="000A245D"/>
    <w:rsid w:val="000A28F5"/>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AB"/>
    <w:rsid w:val="000B02BC"/>
    <w:rsid w:val="000B0498"/>
    <w:rsid w:val="000B0F36"/>
    <w:rsid w:val="000B1942"/>
    <w:rsid w:val="000B1BED"/>
    <w:rsid w:val="000B2240"/>
    <w:rsid w:val="000B2477"/>
    <w:rsid w:val="000B2600"/>
    <w:rsid w:val="000B36F9"/>
    <w:rsid w:val="000B4074"/>
    <w:rsid w:val="000B4732"/>
    <w:rsid w:val="000B4BCD"/>
    <w:rsid w:val="000B66DC"/>
    <w:rsid w:val="000B6D1F"/>
    <w:rsid w:val="000C062F"/>
    <w:rsid w:val="000C154A"/>
    <w:rsid w:val="000C17E7"/>
    <w:rsid w:val="000C3270"/>
    <w:rsid w:val="000C46AB"/>
    <w:rsid w:val="000C577E"/>
    <w:rsid w:val="000D03F9"/>
    <w:rsid w:val="000D04BA"/>
    <w:rsid w:val="000D0B6E"/>
    <w:rsid w:val="000D0D65"/>
    <w:rsid w:val="000D12E0"/>
    <w:rsid w:val="000D1944"/>
    <w:rsid w:val="000D1DD9"/>
    <w:rsid w:val="000D2172"/>
    <w:rsid w:val="000D293C"/>
    <w:rsid w:val="000D2BC1"/>
    <w:rsid w:val="000D337B"/>
    <w:rsid w:val="000D385A"/>
    <w:rsid w:val="000D38C2"/>
    <w:rsid w:val="000D3CA7"/>
    <w:rsid w:val="000D5B16"/>
    <w:rsid w:val="000D5FD6"/>
    <w:rsid w:val="000D6201"/>
    <w:rsid w:val="000D6488"/>
    <w:rsid w:val="000D7088"/>
    <w:rsid w:val="000D770B"/>
    <w:rsid w:val="000D788E"/>
    <w:rsid w:val="000E12B0"/>
    <w:rsid w:val="000E1BC8"/>
    <w:rsid w:val="000E1D32"/>
    <w:rsid w:val="000E26D8"/>
    <w:rsid w:val="000E2B94"/>
    <w:rsid w:val="000E3156"/>
    <w:rsid w:val="000E35B6"/>
    <w:rsid w:val="000E3BB8"/>
    <w:rsid w:val="000E3D9B"/>
    <w:rsid w:val="000E3DFD"/>
    <w:rsid w:val="000E4261"/>
    <w:rsid w:val="000E4697"/>
    <w:rsid w:val="000E4C98"/>
    <w:rsid w:val="000E58C5"/>
    <w:rsid w:val="000E6203"/>
    <w:rsid w:val="000E64CB"/>
    <w:rsid w:val="000E6BC4"/>
    <w:rsid w:val="000E722C"/>
    <w:rsid w:val="000E755B"/>
    <w:rsid w:val="000E786F"/>
    <w:rsid w:val="000E7DA7"/>
    <w:rsid w:val="000E7FA0"/>
    <w:rsid w:val="000F00BA"/>
    <w:rsid w:val="000F02F8"/>
    <w:rsid w:val="000F0409"/>
    <w:rsid w:val="000F049F"/>
    <w:rsid w:val="000F0642"/>
    <w:rsid w:val="000F07FA"/>
    <w:rsid w:val="000F0B5E"/>
    <w:rsid w:val="000F1D43"/>
    <w:rsid w:val="000F1FFF"/>
    <w:rsid w:val="000F20AA"/>
    <w:rsid w:val="000F2651"/>
    <w:rsid w:val="000F348D"/>
    <w:rsid w:val="000F369A"/>
    <w:rsid w:val="000F4463"/>
    <w:rsid w:val="000F5285"/>
    <w:rsid w:val="000F52E0"/>
    <w:rsid w:val="000F53A9"/>
    <w:rsid w:val="000F5717"/>
    <w:rsid w:val="000F629F"/>
    <w:rsid w:val="000F6464"/>
    <w:rsid w:val="000F6628"/>
    <w:rsid w:val="000F6C1A"/>
    <w:rsid w:val="000F6C25"/>
    <w:rsid w:val="000F76EB"/>
    <w:rsid w:val="000F78AE"/>
    <w:rsid w:val="000F7E25"/>
    <w:rsid w:val="001007E2"/>
    <w:rsid w:val="001007EE"/>
    <w:rsid w:val="00100B6B"/>
    <w:rsid w:val="00100F76"/>
    <w:rsid w:val="0010148E"/>
    <w:rsid w:val="0010253C"/>
    <w:rsid w:val="00102696"/>
    <w:rsid w:val="00102B7F"/>
    <w:rsid w:val="00102BD1"/>
    <w:rsid w:val="00104225"/>
    <w:rsid w:val="0010486A"/>
    <w:rsid w:val="0010561C"/>
    <w:rsid w:val="00105C0F"/>
    <w:rsid w:val="00105E39"/>
    <w:rsid w:val="00105F64"/>
    <w:rsid w:val="00106561"/>
    <w:rsid w:val="00106D63"/>
    <w:rsid w:val="001075F3"/>
    <w:rsid w:val="00107A01"/>
    <w:rsid w:val="00107C23"/>
    <w:rsid w:val="00107C57"/>
    <w:rsid w:val="00110307"/>
    <w:rsid w:val="00110C7F"/>
    <w:rsid w:val="00110EE2"/>
    <w:rsid w:val="00111A88"/>
    <w:rsid w:val="0011221A"/>
    <w:rsid w:val="00112C3B"/>
    <w:rsid w:val="00112F88"/>
    <w:rsid w:val="00113283"/>
    <w:rsid w:val="001137AE"/>
    <w:rsid w:val="00113B20"/>
    <w:rsid w:val="001147B3"/>
    <w:rsid w:val="001148F7"/>
    <w:rsid w:val="001149B2"/>
    <w:rsid w:val="00114C2D"/>
    <w:rsid w:val="00115125"/>
    <w:rsid w:val="001152F2"/>
    <w:rsid w:val="001157D7"/>
    <w:rsid w:val="00116382"/>
    <w:rsid w:val="00116484"/>
    <w:rsid w:val="00116949"/>
    <w:rsid w:val="00116ACF"/>
    <w:rsid w:val="00116B75"/>
    <w:rsid w:val="00116D5C"/>
    <w:rsid w:val="001172B2"/>
    <w:rsid w:val="00117F9B"/>
    <w:rsid w:val="00121211"/>
    <w:rsid w:val="00121628"/>
    <w:rsid w:val="0012167D"/>
    <w:rsid w:val="00122189"/>
    <w:rsid w:val="00122280"/>
    <w:rsid w:val="00122D42"/>
    <w:rsid w:val="00123345"/>
    <w:rsid w:val="001235B7"/>
    <w:rsid w:val="00123C46"/>
    <w:rsid w:val="0012470B"/>
    <w:rsid w:val="00125C75"/>
    <w:rsid w:val="00125C7E"/>
    <w:rsid w:val="00127945"/>
    <w:rsid w:val="00127D94"/>
    <w:rsid w:val="00127E90"/>
    <w:rsid w:val="001302C1"/>
    <w:rsid w:val="001306D3"/>
    <w:rsid w:val="001310BF"/>
    <w:rsid w:val="001327D4"/>
    <w:rsid w:val="00133E73"/>
    <w:rsid w:val="00133FDB"/>
    <w:rsid w:val="00134F4A"/>
    <w:rsid w:val="00135E4E"/>
    <w:rsid w:val="00136235"/>
    <w:rsid w:val="00136246"/>
    <w:rsid w:val="001364D4"/>
    <w:rsid w:val="001371C8"/>
    <w:rsid w:val="001372ED"/>
    <w:rsid w:val="001374C4"/>
    <w:rsid w:val="001412A4"/>
    <w:rsid w:val="001423D3"/>
    <w:rsid w:val="00142B50"/>
    <w:rsid w:val="00143873"/>
    <w:rsid w:val="001439E9"/>
    <w:rsid w:val="00143BF5"/>
    <w:rsid w:val="00143C55"/>
    <w:rsid w:val="00144C6F"/>
    <w:rsid w:val="00145089"/>
    <w:rsid w:val="001451E7"/>
    <w:rsid w:val="00145C8E"/>
    <w:rsid w:val="001462E3"/>
    <w:rsid w:val="0014720C"/>
    <w:rsid w:val="001472C2"/>
    <w:rsid w:val="00147300"/>
    <w:rsid w:val="00147458"/>
    <w:rsid w:val="00147E21"/>
    <w:rsid w:val="00150BA8"/>
    <w:rsid w:val="00150D19"/>
    <w:rsid w:val="0015160D"/>
    <w:rsid w:val="0015181B"/>
    <w:rsid w:val="001518BA"/>
    <w:rsid w:val="00151A9F"/>
    <w:rsid w:val="00152B87"/>
    <w:rsid w:val="00153A96"/>
    <w:rsid w:val="00153D1C"/>
    <w:rsid w:val="001543E2"/>
    <w:rsid w:val="00154DE8"/>
    <w:rsid w:val="00155B43"/>
    <w:rsid w:val="001565A2"/>
    <w:rsid w:val="001567C3"/>
    <w:rsid w:val="00156A12"/>
    <w:rsid w:val="00157B3F"/>
    <w:rsid w:val="00157F8A"/>
    <w:rsid w:val="0016081F"/>
    <w:rsid w:val="00160C3D"/>
    <w:rsid w:val="00161B24"/>
    <w:rsid w:val="00161C41"/>
    <w:rsid w:val="00161DD5"/>
    <w:rsid w:val="001633A4"/>
    <w:rsid w:val="001633B1"/>
    <w:rsid w:val="001634D6"/>
    <w:rsid w:val="001648DD"/>
    <w:rsid w:val="00165705"/>
    <w:rsid w:val="00166389"/>
    <w:rsid w:val="00166E03"/>
    <w:rsid w:val="00167E4C"/>
    <w:rsid w:val="00171449"/>
    <w:rsid w:val="0017199C"/>
    <w:rsid w:val="00171C7E"/>
    <w:rsid w:val="00171F35"/>
    <w:rsid w:val="00172552"/>
    <w:rsid w:val="00172873"/>
    <w:rsid w:val="00172CF7"/>
    <w:rsid w:val="0017319E"/>
    <w:rsid w:val="00173A1F"/>
    <w:rsid w:val="00173BC3"/>
    <w:rsid w:val="00173C55"/>
    <w:rsid w:val="00174128"/>
    <w:rsid w:val="00175C34"/>
    <w:rsid w:val="00175F9A"/>
    <w:rsid w:val="00176E98"/>
    <w:rsid w:val="00177996"/>
    <w:rsid w:val="00180B3F"/>
    <w:rsid w:val="00180C83"/>
    <w:rsid w:val="00180CE5"/>
    <w:rsid w:val="0018175B"/>
    <w:rsid w:val="001820A3"/>
    <w:rsid w:val="0018213E"/>
    <w:rsid w:val="0018332A"/>
    <w:rsid w:val="00183D80"/>
    <w:rsid w:val="001842C8"/>
    <w:rsid w:val="00185044"/>
    <w:rsid w:val="001850DB"/>
    <w:rsid w:val="0018599C"/>
    <w:rsid w:val="00185AD3"/>
    <w:rsid w:val="001869EE"/>
    <w:rsid w:val="00186D00"/>
    <w:rsid w:val="0018743A"/>
    <w:rsid w:val="00190A57"/>
    <w:rsid w:val="00190AD6"/>
    <w:rsid w:val="00190B3F"/>
    <w:rsid w:val="0019122C"/>
    <w:rsid w:val="00191908"/>
    <w:rsid w:val="001920A4"/>
    <w:rsid w:val="00192DF3"/>
    <w:rsid w:val="0019301F"/>
    <w:rsid w:val="00193286"/>
    <w:rsid w:val="001937B8"/>
    <w:rsid w:val="001944B1"/>
    <w:rsid w:val="00194BB7"/>
    <w:rsid w:val="00194CC5"/>
    <w:rsid w:val="001951B2"/>
    <w:rsid w:val="0019565D"/>
    <w:rsid w:val="00197564"/>
    <w:rsid w:val="00197EC2"/>
    <w:rsid w:val="00197ECE"/>
    <w:rsid w:val="001A1CED"/>
    <w:rsid w:val="001A279B"/>
    <w:rsid w:val="001A2DC3"/>
    <w:rsid w:val="001A2E87"/>
    <w:rsid w:val="001A3869"/>
    <w:rsid w:val="001A38C2"/>
    <w:rsid w:val="001A65C8"/>
    <w:rsid w:val="001A732E"/>
    <w:rsid w:val="001A7F30"/>
    <w:rsid w:val="001B06E2"/>
    <w:rsid w:val="001B103A"/>
    <w:rsid w:val="001B103D"/>
    <w:rsid w:val="001B1513"/>
    <w:rsid w:val="001B1767"/>
    <w:rsid w:val="001B2453"/>
    <w:rsid w:val="001B3D48"/>
    <w:rsid w:val="001B44ED"/>
    <w:rsid w:val="001B5AF9"/>
    <w:rsid w:val="001B6600"/>
    <w:rsid w:val="001B6B9B"/>
    <w:rsid w:val="001B6C27"/>
    <w:rsid w:val="001B7144"/>
    <w:rsid w:val="001B7B6C"/>
    <w:rsid w:val="001B7E91"/>
    <w:rsid w:val="001C147E"/>
    <w:rsid w:val="001C151B"/>
    <w:rsid w:val="001C19E5"/>
    <w:rsid w:val="001C3800"/>
    <w:rsid w:val="001C3C7B"/>
    <w:rsid w:val="001C6122"/>
    <w:rsid w:val="001C6587"/>
    <w:rsid w:val="001C69BE"/>
    <w:rsid w:val="001C6DB5"/>
    <w:rsid w:val="001C71AC"/>
    <w:rsid w:val="001C7316"/>
    <w:rsid w:val="001C7E5C"/>
    <w:rsid w:val="001D00CC"/>
    <w:rsid w:val="001D0494"/>
    <w:rsid w:val="001D07B7"/>
    <w:rsid w:val="001D1719"/>
    <w:rsid w:val="001D171B"/>
    <w:rsid w:val="001D1732"/>
    <w:rsid w:val="001D1E2E"/>
    <w:rsid w:val="001D2203"/>
    <w:rsid w:val="001D255C"/>
    <w:rsid w:val="001D2DEF"/>
    <w:rsid w:val="001D30BB"/>
    <w:rsid w:val="001D488C"/>
    <w:rsid w:val="001D4C52"/>
    <w:rsid w:val="001D4CDF"/>
    <w:rsid w:val="001D4F88"/>
    <w:rsid w:val="001D578D"/>
    <w:rsid w:val="001D5818"/>
    <w:rsid w:val="001D653A"/>
    <w:rsid w:val="001D7DEE"/>
    <w:rsid w:val="001E02CB"/>
    <w:rsid w:val="001E14FD"/>
    <w:rsid w:val="001E180F"/>
    <w:rsid w:val="001E1C64"/>
    <w:rsid w:val="001E1CEC"/>
    <w:rsid w:val="001E2ECB"/>
    <w:rsid w:val="001E3154"/>
    <w:rsid w:val="001E4B64"/>
    <w:rsid w:val="001E552A"/>
    <w:rsid w:val="001E57B9"/>
    <w:rsid w:val="001E6E8D"/>
    <w:rsid w:val="001E7EE4"/>
    <w:rsid w:val="001E7F76"/>
    <w:rsid w:val="001F0FAF"/>
    <w:rsid w:val="001F12BD"/>
    <w:rsid w:val="001F139F"/>
    <w:rsid w:val="001F2805"/>
    <w:rsid w:val="001F2E79"/>
    <w:rsid w:val="001F2F07"/>
    <w:rsid w:val="001F3123"/>
    <w:rsid w:val="001F376D"/>
    <w:rsid w:val="001F418C"/>
    <w:rsid w:val="001F4B2D"/>
    <w:rsid w:val="001F4D98"/>
    <w:rsid w:val="001F4F40"/>
    <w:rsid w:val="001F50E0"/>
    <w:rsid w:val="001F594C"/>
    <w:rsid w:val="001F69FC"/>
    <w:rsid w:val="001F6D62"/>
    <w:rsid w:val="001F7675"/>
    <w:rsid w:val="00200BEA"/>
    <w:rsid w:val="00200FAE"/>
    <w:rsid w:val="0020102D"/>
    <w:rsid w:val="002010E2"/>
    <w:rsid w:val="00201B73"/>
    <w:rsid w:val="00201C38"/>
    <w:rsid w:val="00202517"/>
    <w:rsid w:val="00202ADB"/>
    <w:rsid w:val="00202BB7"/>
    <w:rsid w:val="002032AA"/>
    <w:rsid w:val="0020435B"/>
    <w:rsid w:val="00204533"/>
    <w:rsid w:val="00204F2D"/>
    <w:rsid w:val="00205566"/>
    <w:rsid w:val="002063AA"/>
    <w:rsid w:val="00210549"/>
    <w:rsid w:val="0021069E"/>
    <w:rsid w:val="00210804"/>
    <w:rsid w:val="0021088F"/>
    <w:rsid w:val="002113FE"/>
    <w:rsid w:val="00211727"/>
    <w:rsid w:val="00211737"/>
    <w:rsid w:val="0021181B"/>
    <w:rsid w:val="0021230F"/>
    <w:rsid w:val="002125B0"/>
    <w:rsid w:val="00212A82"/>
    <w:rsid w:val="00214AA1"/>
    <w:rsid w:val="00214EA2"/>
    <w:rsid w:val="002160FA"/>
    <w:rsid w:val="002166DD"/>
    <w:rsid w:val="002168A2"/>
    <w:rsid w:val="00217167"/>
    <w:rsid w:val="00217867"/>
    <w:rsid w:val="002205E4"/>
    <w:rsid w:val="00220945"/>
    <w:rsid w:val="00220D67"/>
    <w:rsid w:val="002215F8"/>
    <w:rsid w:val="00221F80"/>
    <w:rsid w:val="0022273A"/>
    <w:rsid w:val="00222D28"/>
    <w:rsid w:val="00223CF4"/>
    <w:rsid w:val="00224220"/>
    <w:rsid w:val="00224398"/>
    <w:rsid w:val="00224590"/>
    <w:rsid w:val="00224A81"/>
    <w:rsid w:val="00224E91"/>
    <w:rsid w:val="00225B4C"/>
    <w:rsid w:val="00225E1E"/>
    <w:rsid w:val="00226129"/>
    <w:rsid w:val="0022614D"/>
    <w:rsid w:val="00226A8B"/>
    <w:rsid w:val="00226AA2"/>
    <w:rsid w:val="00227218"/>
    <w:rsid w:val="0022770A"/>
    <w:rsid w:val="00227BEE"/>
    <w:rsid w:val="00227FB4"/>
    <w:rsid w:val="0023057E"/>
    <w:rsid w:val="002312BC"/>
    <w:rsid w:val="002337E5"/>
    <w:rsid w:val="00233C06"/>
    <w:rsid w:val="00233F24"/>
    <w:rsid w:val="00234BBB"/>
    <w:rsid w:val="002356F4"/>
    <w:rsid w:val="00235F02"/>
    <w:rsid w:val="00236D28"/>
    <w:rsid w:val="00237D8E"/>
    <w:rsid w:val="00237FE4"/>
    <w:rsid w:val="00240656"/>
    <w:rsid w:val="00241610"/>
    <w:rsid w:val="00241AED"/>
    <w:rsid w:val="00243115"/>
    <w:rsid w:val="00243182"/>
    <w:rsid w:val="00243928"/>
    <w:rsid w:val="00243946"/>
    <w:rsid w:val="00243BC5"/>
    <w:rsid w:val="00243C7D"/>
    <w:rsid w:val="00243E9A"/>
    <w:rsid w:val="002442C3"/>
    <w:rsid w:val="00244371"/>
    <w:rsid w:val="00244AF8"/>
    <w:rsid w:val="00244BC5"/>
    <w:rsid w:val="00244E68"/>
    <w:rsid w:val="002456C5"/>
    <w:rsid w:val="00245ABE"/>
    <w:rsid w:val="00245C0B"/>
    <w:rsid w:val="00246EAE"/>
    <w:rsid w:val="00247116"/>
    <w:rsid w:val="002471E5"/>
    <w:rsid w:val="002517A8"/>
    <w:rsid w:val="00251EEE"/>
    <w:rsid w:val="00252704"/>
    <w:rsid w:val="00253177"/>
    <w:rsid w:val="002538B8"/>
    <w:rsid w:val="0025396F"/>
    <w:rsid w:val="00254319"/>
    <w:rsid w:val="0025539F"/>
    <w:rsid w:val="00256388"/>
    <w:rsid w:val="00256E44"/>
    <w:rsid w:val="00260919"/>
    <w:rsid w:val="002609D0"/>
    <w:rsid w:val="002612FD"/>
    <w:rsid w:val="002613DC"/>
    <w:rsid w:val="00261755"/>
    <w:rsid w:val="00261AAA"/>
    <w:rsid w:val="00261CF5"/>
    <w:rsid w:val="00262097"/>
    <w:rsid w:val="002622E2"/>
    <w:rsid w:val="00262D20"/>
    <w:rsid w:val="002634AB"/>
    <w:rsid w:val="002638E0"/>
    <w:rsid w:val="00263C19"/>
    <w:rsid w:val="00263E9F"/>
    <w:rsid w:val="00264F03"/>
    <w:rsid w:val="00264F8F"/>
    <w:rsid w:val="00265134"/>
    <w:rsid w:val="002655AE"/>
    <w:rsid w:val="0026591F"/>
    <w:rsid w:val="00265A65"/>
    <w:rsid w:val="002660F0"/>
    <w:rsid w:val="002675B6"/>
    <w:rsid w:val="00267A99"/>
    <w:rsid w:val="00270271"/>
    <w:rsid w:val="002703B7"/>
    <w:rsid w:val="00272174"/>
    <w:rsid w:val="002721A6"/>
    <w:rsid w:val="002722E0"/>
    <w:rsid w:val="002730EC"/>
    <w:rsid w:val="00273100"/>
    <w:rsid w:val="00273324"/>
    <w:rsid w:val="002735CC"/>
    <w:rsid w:val="00274588"/>
    <w:rsid w:val="00274A67"/>
    <w:rsid w:val="00274AA2"/>
    <w:rsid w:val="002756EF"/>
    <w:rsid w:val="00275708"/>
    <w:rsid w:val="002768CF"/>
    <w:rsid w:val="00276F82"/>
    <w:rsid w:val="00277CB6"/>
    <w:rsid w:val="002805DF"/>
    <w:rsid w:val="002806D7"/>
    <w:rsid w:val="0028092D"/>
    <w:rsid w:val="0028128E"/>
    <w:rsid w:val="002815D9"/>
    <w:rsid w:val="00282317"/>
    <w:rsid w:val="00282D25"/>
    <w:rsid w:val="00282DF9"/>
    <w:rsid w:val="00283A44"/>
    <w:rsid w:val="0028529F"/>
    <w:rsid w:val="00285687"/>
    <w:rsid w:val="00287649"/>
    <w:rsid w:val="00287DAB"/>
    <w:rsid w:val="00287FB6"/>
    <w:rsid w:val="002900C5"/>
    <w:rsid w:val="002901E0"/>
    <w:rsid w:val="0029075B"/>
    <w:rsid w:val="00290BB1"/>
    <w:rsid w:val="00291BC1"/>
    <w:rsid w:val="00291E9E"/>
    <w:rsid w:val="002933CA"/>
    <w:rsid w:val="00293A8F"/>
    <w:rsid w:val="00295155"/>
    <w:rsid w:val="00295D51"/>
    <w:rsid w:val="00296203"/>
    <w:rsid w:val="00296428"/>
    <w:rsid w:val="0029643D"/>
    <w:rsid w:val="0029706A"/>
    <w:rsid w:val="002972EE"/>
    <w:rsid w:val="00297F01"/>
    <w:rsid w:val="002A052D"/>
    <w:rsid w:val="002A0DF8"/>
    <w:rsid w:val="002A1928"/>
    <w:rsid w:val="002A1F1F"/>
    <w:rsid w:val="002A21B5"/>
    <w:rsid w:val="002A2631"/>
    <w:rsid w:val="002A2A0C"/>
    <w:rsid w:val="002A2BB6"/>
    <w:rsid w:val="002A30E0"/>
    <w:rsid w:val="002A310C"/>
    <w:rsid w:val="002A3521"/>
    <w:rsid w:val="002A35C5"/>
    <w:rsid w:val="002A37E1"/>
    <w:rsid w:val="002A3B61"/>
    <w:rsid w:val="002A402A"/>
    <w:rsid w:val="002A45AA"/>
    <w:rsid w:val="002A4B0B"/>
    <w:rsid w:val="002A4B6F"/>
    <w:rsid w:val="002A4FFF"/>
    <w:rsid w:val="002A533C"/>
    <w:rsid w:val="002A56E1"/>
    <w:rsid w:val="002A59BD"/>
    <w:rsid w:val="002A75CA"/>
    <w:rsid w:val="002A7889"/>
    <w:rsid w:val="002A799A"/>
    <w:rsid w:val="002B097D"/>
    <w:rsid w:val="002B11B2"/>
    <w:rsid w:val="002B18F7"/>
    <w:rsid w:val="002B2C5A"/>
    <w:rsid w:val="002B3ED7"/>
    <w:rsid w:val="002B4778"/>
    <w:rsid w:val="002B75B2"/>
    <w:rsid w:val="002B79B7"/>
    <w:rsid w:val="002C141D"/>
    <w:rsid w:val="002C19C0"/>
    <w:rsid w:val="002C1DD1"/>
    <w:rsid w:val="002C211E"/>
    <w:rsid w:val="002C2485"/>
    <w:rsid w:val="002C25E0"/>
    <w:rsid w:val="002C2A2D"/>
    <w:rsid w:val="002C33E1"/>
    <w:rsid w:val="002C36C0"/>
    <w:rsid w:val="002C3928"/>
    <w:rsid w:val="002C3B33"/>
    <w:rsid w:val="002C435E"/>
    <w:rsid w:val="002C43BB"/>
    <w:rsid w:val="002C44AB"/>
    <w:rsid w:val="002C5C3B"/>
    <w:rsid w:val="002C5E39"/>
    <w:rsid w:val="002C5FA2"/>
    <w:rsid w:val="002C7A02"/>
    <w:rsid w:val="002C7BD4"/>
    <w:rsid w:val="002C7CED"/>
    <w:rsid w:val="002D0107"/>
    <w:rsid w:val="002D062E"/>
    <w:rsid w:val="002D0A2A"/>
    <w:rsid w:val="002D0D43"/>
    <w:rsid w:val="002D15C2"/>
    <w:rsid w:val="002D2B10"/>
    <w:rsid w:val="002D2EFB"/>
    <w:rsid w:val="002D386A"/>
    <w:rsid w:val="002D4100"/>
    <w:rsid w:val="002D477F"/>
    <w:rsid w:val="002D4F48"/>
    <w:rsid w:val="002D519B"/>
    <w:rsid w:val="002D621E"/>
    <w:rsid w:val="002D66DA"/>
    <w:rsid w:val="002D693C"/>
    <w:rsid w:val="002D6B25"/>
    <w:rsid w:val="002D7027"/>
    <w:rsid w:val="002D70DC"/>
    <w:rsid w:val="002D758B"/>
    <w:rsid w:val="002D79BC"/>
    <w:rsid w:val="002D7A6B"/>
    <w:rsid w:val="002D7E58"/>
    <w:rsid w:val="002E0D31"/>
    <w:rsid w:val="002E0EFA"/>
    <w:rsid w:val="002E1073"/>
    <w:rsid w:val="002E12EC"/>
    <w:rsid w:val="002E146D"/>
    <w:rsid w:val="002E272B"/>
    <w:rsid w:val="002E29F8"/>
    <w:rsid w:val="002E2C52"/>
    <w:rsid w:val="002E342B"/>
    <w:rsid w:val="002E3B81"/>
    <w:rsid w:val="002E3D08"/>
    <w:rsid w:val="002E3E1D"/>
    <w:rsid w:val="002E3EEA"/>
    <w:rsid w:val="002E4D08"/>
    <w:rsid w:val="002E4DA5"/>
    <w:rsid w:val="002E52B8"/>
    <w:rsid w:val="002E5DBF"/>
    <w:rsid w:val="002E5E01"/>
    <w:rsid w:val="002E60F5"/>
    <w:rsid w:val="002E6536"/>
    <w:rsid w:val="002E69F5"/>
    <w:rsid w:val="002E6CAA"/>
    <w:rsid w:val="002E73EC"/>
    <w:rsid w:val="002F023D"/>
    <w:rsid w:val="002F107B"/>
    <w:rsid w:val="002F10EC"/>
    <w:rsid w:val="002F1136"/>
    <w:rsid w:val="002F1231"/>
    <w:rsid w:val="002F1521"/>
    <w:rsid w:val="002F15EE"/>
    <w:rsid w:val="002F353E"/>
    <w:rsid w:val="002F3632"/>
    <w:rsid w:val="002F3A02"/>
    <w:rsid w:val="002F3AFB"/>
    <w:rsid w:val="002F3C41"/>
    <w:rsid w:val="002F3CE5"/>
    <w:rsid w:val="002F4C8E"/>
    <w:rsid w:val="002F5076"/>
    <w:rsid w:val="002F51DC"/>
    <w:rsid w:val="002F5839"/>
    <w:rsid w:val="002F64D9"/>
    <w:rsid w:val="002F651D"/>
    <w:rsid w:val="002F6648"/>
    <w:rsid w:val="002F6E44"/>
    <w:rsid w:val="002F74FD"/>
    <w:rsid w:val="002F787B"/>
    <w:rsid w:val="002F7974"/>
    <w:rsid w:val="002F7D01"/>
    <w:rsid w:val="0030005C"/>
    <w:rsid w:val="00300369"/>
    <w:rsid w:val="00301112"/>
    <w:rsid w:val="00301D0A"/>
    <w:rsid w:val="0030204A"/>
    <w:rsid w:val="003027B8"/>
    <w:rsid w:val="0030293F"/>
    <w:rsid w:val="00302947"/>
    <w:rsid w:val="00302C50"/>
    <w:rsid w:val="003031C2"/>
    <w:rsid w:val="00303861"/>
    <w:rsid w:val="00304FFF"/>
    <w:rsid w:val="00305557"/>
    <w:rsid w:val="0030561F"/>
    <w:rsid w:val="00305CA3"/>
    <w:rsid w:val="00306E5C"/>
    <w:rsid w:val="00307C19"/>
    <w:rsid w:val="00310732"/>
    <w:rsid w:val="00310A04"/>
    <w:rsid w:val="00310BC9"/>
    <w:rsid w:val="00311762"/>
    <w:rsid w:val="00311979"/>
    <w:rsid w:val="00311E98"/>
    <w:rsid w:val="00312215"/>
    <w:rsid w:val="0031249C"/>
    <w:rsid w:val="003125C3"/>
    <w:rsid w:val="00312896"/>
    <w:rsid w:val="00313EAC"/>
    <w:rsid w:val="003142F4"/>
    <w:rsid w:val="0031454E"/>
    <w:rsid w:val="00314FF1"/>
    <w:rsid w:val="0031611F"/>
    <w:rsid w:val="0031712F"/>
    <w:rsid w:val="00317A33"/>
    <w:rsid w:val="00320339"/>
    <w:rsid w:val="00321214"/>
    <w:rsid w:val="003213D5"/>
    <w:rsid w:val="00323737"/>
    <w:rsid w:val="00323AD6"/>
    <w:rsid w:val="00323F27"/>
    <w:rsid w:val="003242EF"/>
    <w:rsid w:val="00325339"/>
    <w:rsid w:val="003255AA"/>
    <w:rsid w:val="0033090F"/>
    <w:rsid w:val="003314B6"/>
    <w:rsid w:val="00331A20"/>
    <w:rsid w:val="00331C49"/>
    <w:rsid w:val="00331E65"/>
    <w:rsid w:val="00332B07"/>
    <w:rsid w:val="00333107"/>
    <w:rsid w:val="0033343B"/>
    <w:rsid w:val="0033393C"/>
    <w:rsid w:val="003344B3"/>
    <w:rsid w:val="003357EE"/>
    <w:rsid w:val="00337368"/>
    <w:rsid w:val="00337B4D"/>
    <w:rsid w:val="003407A9"/>
    <w:rsid w:val="00340BA3"/>
    <w:rsid w:val="00340BAF"/>
    <w:rsid w:val="00340C2B"/>
    <w:rsid w:val="00340E4B"/>
    <w:rsid w:val="00340F9A"/>
    <w:rsid w:val="00341018"/>
    <w:rsid w:val="003420D9"/>
    <w:rsid w:val="003423E0"/>
    <w:rsid w:val="0034301A"/>
    <w:rsid w:val="00343D76"/>
    <w:rsid w:val="00344DFD"/>
    <w:rsid w:val="003451D3"/>
    <w:rsid w:val="00346631"/>
    <w:rsid w:val="00346AAD"/>
    <w:rsid w:val="00346D96"/>
    <w:rsid w:val="0034736A"/>
    <w:rsid w:val="0034747C"/>
    <w:rsid w:val="00347B6C"/>
    <w:rsid w:val="0035151C"/>
    <w:rsid w:val="00352254"/>
    <w:rsid w:val="003522A3"/>
    <w:rsid w:val="0035352A"/>
    <w:rsid w:val="00353929"/>
    <w:rsid w:val="00353F9E"/>
    <w:rsid w:val="003540D1"/>
    <w:rsid w:val="003545BF"/>
    <w:rsid w:val="0035586A"/>
    <w:rsid w:val="0035611A"/>
    <w:rsid w:val="0035659C"/>
    <w:rsid w:val="00356C3D"/>
    <w:rsid w:val="00357C93"/>
    <w:rsid w:val="003604BE"/>
    <w:rsid w:val="00360B75"/>
    <w:rsid w:val="0036151C"/>
    <w:rsid w:val="003618BB"/>
    <w:rsid w:val="00361A9B"/>
    <w:rsid w:val="00362CCF"/>
    <w:rsid w:val="003631DB"/>
    <w:rsid w:val="0036438E"/>
    <w:rsid w:val="00364524"/>
    <w:rsid w:val="0036513A"/>
    <w:rsid w:val="00365237"/>
    <w:rsid w:val="0036559C"/>
    <w:rsid w:val="0036587E"/>
    <w:rsid w:val="003660CD"/>
    <w:rsid w:val="00366407"/>
    <w:rsid w:val="00366B08"/>
    <w:rsid w:val="00367496"/>
    <w:rsid w:val="003678BE"/>
    <w:rsid w:val="00367B46"/>
    <w:rsid w:val="003700F8"/>
    <w:rsid w:val="00370949"/>
    <w:rsid w:val="0037243B"/>
    <w:rsid w:val="0037251C"/>
    <w:rsid w:val="0037272C"/>
    <w:rsid w:val="00372B9A"/>
    <w:rsid w:val="003731BF"/>
    <w:rsid w:val="00375287"/>
    <w:rsid w:val="00375791"/>
    <w:rsid w:val="00375826"/>
    <w:rsid w:val="00375994"/>
    <w:rsid w:val="00375C59"/>
    <w:rsid w:val="00375E05"/>
    <w:rsid w:val="00376BB7"/>
    <w:rsid w:val="00376EEE"/>
    <w:rsid w:val="00377BA1"/>
    <w:rsid w:val="00377FF0"/>
    <w:rsid w:val="00380616"/>
    <w:rsid w:val="00381022"/>
    <w:rsid w:val="003814B8"/>
    <w:rsid w:val="003816D1"/>
    <w:rsid w:val="00382909"/>
    <w:rsid w:val="00382EE1"/>
    <w:rsid w:val="00384258"/>
    <w:rsid w:val="00385131"/>
    <w:rsid w:val="0038620B"/>
    <w:rsid w:val="00387647"/>
    <w:rsid w:val="0038791A"/>
    <w:rsid w:val="00390056"/>
    <w:rsid w:val="0039020F"/>
    <w:rsid w:val="0039055C"/>
    <w:rsid w:val="00390718"/>
    <w:rsid w:val="00390767"/>
    <w:rsid w:val="00390883"/>
    <w:rsid w:val="00391470"/>
    <w:rsid w:val="003920C4"/>
    <w:rsid w:val="00392184"/>
    <w:rsid w:val="00392652"/>
    <w:rsid w:val="00392B41"/>
    <w:rsid w:val="0039337C"/>
    <w:rsid w:val="0039456F"/>
    <w:rsid w:val="003945C8"/>
    <w:rsid w:val="003946F7"/>
    <w:rsid w:val="0039480D"/>
    <w:rsid w:val="00395446"/>
    <w:rsid w:val="00395A23"/>
    <w:rsid w:val="00396725"/>
    <w:rsid w:val="00396904"/>
    <w:rsid w:val="0039720D"/>
    <w:rsid w:val="00397A28"/>
    <w:rsid w:val="00397E94"/>
    <w:rsid w:val="00397F05"/>
    <w:rsid w:val="003A0442"/>
    <w:rsid w:val="003A0899"/>
    <w:rsid w:val="003A1512"/>
    <w:rsid w:val="003A182A"/>
    <w:rsid w:val="003A1EB7"/>
    <w:rsid w:val="003A23F3"/>
    <w:rsid w:val="003A2D82"/>
    <w:rsid w:val="003A337C"/>
    <w:rsid w:val="003A36DA"/>
    <w:rsid w:val="003A38F1"/>
    <w:rsid w:val="003A3D1B"/>
    <w:rsid w:val="003A3F39"/>
    <w:rsid w:val="003A4296"/>
    <w:rsid w:val="003A4549"/>
    <w:rsid w:val="003A49B3"/>
    <w:rsid w:val="003A5085"/>
    <w:rsid w:val="003A55B4"/>
    <w:rsid w:val="003A5BD0"/>
    <w:rsid w:val="003A61B6"/>
    <w:rsid w:val="003A623F"/>
    <w:rsid w:val="003A71AD"/>
    <w:rsid w:val="003A7D1D"/>
    <w:rsid w:val="003B1688"/>
    <w:rsid w:val="003B1FA4"/>
    <w:rsid w:val="003B1FE6"/>
    <w:rsid w:val="003B3106"/>
    <w:rsid w:val="003B3974"/>
    <w:rsid w:val="003B39E0"/>
    <w:rsid w:val="003B3DAB"/>
    <w:rsid w:val="003B404D"/>
    <w:rsid w:val="003B4B34"/>
    <w:rsid w:val="003B4CDA"/>
    <w:rsid w:val="003B4F2D"/>
    <w:rsid w:val="003B5BD9"/>
    <w:rsid w:val="003B64A3"/>
    <w:rsid w:val="003B6DB8"/>
    <w:rsid w:val="003B72B9"/>
    <w:rsid w:val="003C0764"/>
    <w:rsid w:val="003C0887"/>
    <w:rsid w:val="003C08AF"/>
    <w:rsid w:val="003C170C"/>
    <w:rsid w:val="003C2EDD"/>
    <w:rsid w:val="003C3220"/>
    <w:rsid w:val="003C3A47"/>
    <w:rsid w:val="003C3A79"/>
    <w:rsid w:val="003C3BFE"/>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3583"/>
    <w:rsid w:val="003D391E"/>
    <w:rsid w:val="003D3B6F"/>
    <w:rsid w:val="003D40E8"/>
    <w:rsid w:val="003D455E"/>
    <w:rsid w:val="003D4ACC"/>
    <w:rsid w:val="003D5785"/>
    <w:rsid w:val="003D5A2D"/>
    <w:rsid w:val="003D5A9D"/>
    <w:rsid w:val="003D62C0"/>
    <w:rsid w:val="003D65F6"/>
    <w:rsid w:val="003D6911"/>
    <w:rsid w:val="003D7E4B"/>
    <w:rsid w:val="003E0035"/>
    <w:rsid w:val="003E0C14"/>
    <w:rsid w:val="003E0D6F"/>
    <w:rsid w:val="003E1591"/>
    <w:rsid w:val="003E1ACF"/>
    <w:rsid w:val="003E216C"/>
    <w:rsid w:val="003E236E"/>
    <w:rsid w:val="003E259D"/>
    <w:rsid w:val="003E26BA"/>
    <w:rsid w:val="003E2906"/>
    <w:rsid w:val="003E2969"/>
    <w:rsid w:val="003E2C1A"/>
    <w:rsid w:val="003E330F"/>
    <w:rsid w:val="003E3478"/>
    <w:rsid w:val="003E4E74"/>
    <w:rsid w:val="003E5F7D"/>
    <w:rsid w:val="003E6520"/>
    <w:rsid w:val="003E67E7"/>
    <w:rsid w:val="003E6B3C"/>
    <w:rsid w:val="003E6B95"/>
    <w:rsid w:val="003E70FF"/>
    <w:rsid w:val="003E7F1B"/>
    <w:rsid w:val="003F0B41"/>
    <w:rsid w:val="003F1E39"/>
    <w:rsid w:val="003F229D"/>
    <w:rsid w:val="003F25F0"/>
    <w:rsid w:val="003F2D5B"/>
    <w:rsid w:val="003F5AD2"/>
    <w:rsid w:val="003F5B9C"/>
    <w:rsid w:val="003F5CA4"/>
    <w:rsid w:val="003F6D50"/>
    <w:rsid w:val="003F7006"/>
    <w:rsid w:val="003F7507"/>
    <w:rsid w:val="003F7C72"/>
    <w:rsid w:val="003F7D10"/>
    <w:rsid w:val="00400422"/>
    <w:rsid w:val="004009B5"/>
    <w:rsid w:val="00401000"/>
    <w:rsid w:val="004016C6"/>
    <w:rsid w:val="0040179A"/>
    <w:rsid w:val="00401856"/>
    <w:rsid w:val="004028A2"/>
    <w:rsid w:val="00402FEB"/>
    <w:rsid w:val="00403344"/>
    <w:rsid w:val="00403C82"/>
    <w:rsid w:val="00404C44"/>
    <w:rsid w:val="00404EE8"/>
    <w:rsid w:val="0040510D"/>
    <w:rsid w:val="0040512D"/>
    <w:rsid w:val="0040602F"/>
    <w:rsid w:val="00406AFB"/>
    <w:rsid w:val="00407382"/>
    <w:rsid w:val="0040791B"/>
    <w:rsid w:val="00411958"/>
    <w:rsid w:val="00411B2A"/>
    <w:rsid w:val="00412973"/>
    <w:rsid w:val="00412D42"/>
    <w:rsid w:val="00412DA4"/>
    <w:rsid w:val="00412EB6"/>
    <w:rsid w:val="00413496"/>
    <w:rsid w:val="0041351F"/>
    <w:rsid w:val="004137C8"/>
    <w:rsid w:val="00413BF9"/>
    <w:rsid w:val="00413C25"/>
    <w:rsid w:val="00415531"/>
    <w:rsid w:val="00416330"/>
    <w:rsid w:val="004176C7"/>
    <w:rsid w:val="00417877"/>
    <w:rsid w:val="00417D9F"/>
    <w:rsid w:val="00420229"/>
    <w:rsid w:val="00420C65"/>
    <w:rsid w:val="00420DBA"/>
    <w:rsid w:val="00421311"/>
    <w:rsid w:val="00422462"/>
    <w:rsid w:val="00422E13"/>
    <w:rsid w:val="0042350F"/>
    <w:rsid w:val="00423599"/>
    <w:rsid w:val="0042384C"/>
    <w:rsid w:val="00423893"/>
    <w:rsid w:val="004239A2"/>
    <w:rsid w:val="00423BC9"/>
    <w:rsid w:val="00425442"/>
    <w:rsid w:val="004255B4"/>
    <w:rsid w:val="004256CC"/>
    <w:rsid w:val="00425DE5"/>
    <w:rsid w:val="00426766"/>
    <w:rsid w:val="004267D0"/>
    <w:rsid w:val="004279CA"/>
    <w:rsid w:val="00427A82"/>
    <w:rsid w:val="00427D47"/>
    <w:rsid w:val="00427EA2"/>
    <w:rsid w:val="00430115"/>
    <w:rsid w:val="00430A4B"/>
    <w:rsid w:val="004316C5"/>
    <w:rsid w:val="00431C46"/>
    <w:rsid w:val="004327E6"/>
    <w:rsid w:val="004329DC"/>
    <w:rsid w:val="00432AC6"/>
    <w:rsid w:val="00432D39"/>
    <w:rsid w:val="00434C5E"/>
    <w:rsid w:val="00435765"/>
    <w:rsid w:val="004360B6"/>
    <w:rsid w:val="004362E5"/>
    <w:rsid w:val="00436356"/>
    <w:rsid w:val="00437902"/>
    <w:rsid w:val="00440722"/>
    <w:rsid w:val="00440DEB"/>
    <w:rsid w:val="004425D9"/>
    <w:rsid w:val="0044263D"/>
    <w:rsid w:val="00443244"/>
    <w:rsid w:val="00444AF6"/>
    <w:rsid w:val="00444EFC"/>
    <w:rsid w:val="0044519D"/>
    <w:rsid w:val="00445544"/>
    <w:rsid w:val="00445C0B"/>
    <w:rsid w:val="00446195"/>
    <w:rsid w:val="004474A6"/>
    <w:rsid w:val="00447CD0"/>
    <w:rsid w:val="00447FC2"/>
    <w:rsid w:val="004502F4"/>
    <w:rsid w:val="00450534"/>
    <w:rsid w:val="004506F4"/>
    <w:rsid w:val="004509D1"/>
    <w:rsid w:val="00450A42"/>
    <w:rsid w:val="004513A5"/>
    <w:rsid w:val="00451D50"/>
    <w:rsid w:val="00452EC4"/>
    <w:rsid w:val="00453340"/>
    <w:rsid w:val="00453775"/>
    <w:rsid w:val="00453890"/>
    <w:rsid w:val="00454380"/>
    <w:rsid w:val="0045470C"/>
    <w:rsid w:val="004552C8"/>
    <w:rsid w:val="0045536C"/>
    <w:rsid w:val="004554AD"/>
    <w:rsid w:val="00455A07"/>
    <w:rsid w:val="00455AEB"/>
    <w:rsid w:val="0045603C"/>
    <w:rsid w:val="00456053"/>
    <w:rsid w:val="00456068"/>
    <w:rsid w:val="00456896"/>
    <w:rsid w:val="00456ADA"/>
    <w:rsid w:val="00456B0D"/>
    <w:rsid w:val="0045770D"/>
    <w:rsid w:val="0045790F"/>
    <w:rsid w:val="00457D63"/>
    <w:rsid w:val="00457E21"/>
    <w:rsid w:val="0046007E"/>
    <w:rsid w:val="0046024B"/>
    <w:rsid w:val="00460E36"/>
    <w:rsid w:val="00461155"/>
    <w:rsid w:val="00461AFD"/>
    <w:rsid w:val="0046218C"/>
    <w:rsid w:val="004623D4"/>
    <w:rsid w:val="00463944"/>
    <w:rsid w:val="00464AE1"/>
    <w:rsid w:val="0046512A"/>
    <w:rsid w:val="00465234"/>
    <w:rsid w:val="00465B24"/>
    <w:rsid w:val="00466858"/>
    <w:rsid w:val="00466D0F"/>
    <w:rsid w:val="00467287"/>
    <w:rsid w:val="00467544"/>
    <w:rsid w:val="004676BA"/>
    <w:rsid w:val="0046784C"/>
    <w:rsid w:val="00467B15"/>
    <w:rsid w:val="00467ECB"/>
    <w:rsid w:val="004710C3"/>
    <w:rsid w:val="00471459"/>
    <w:rsid w:val="00472274"/>
    <w:rsid w:val="004722D4"/>
    <w:rsid w:val="00472D9C"/>
    <w:rsid w:val="00473B60"/>
    <w:rsid w:val="00475AFF"/>
    <w:rsid w:val="00475D30"/>
    <w:rsid w:val="004760D1"/>
    <w:rsid w:val="0047612E"/>
    <w:rsid w:val="004765F4"/>
    <w:rsid w:val="00476B4D"/>
    <w:rsid w:val="00476CBC"/>
    <w:rsid w:val="00476E6C"/>
    <w:rsid w:val="00477282"/>
    <w:rsid w:val="00477947"/>
    <w:rsid w:val="00480FA1"/>
    <w:rsid w:val="0048107C"/>
    <w:rsid w:val="00481850"/>
    <w:rsid w:val="00481FD7"/>
    <w:rsid w:val="00482DE5"/>
    <w:rsid w:val="00483266"/>
    <w:rsid w:val="0048352E"/>
    <w:rsid w:val="004836A9"/>
    <w:rsid w:val="00483B23"/>
    <w:rsid w:val="004840D7"/>
    <w:rsid w:val="004846F4"/>
    <w:rsid w:val="00484F7A"/>
    <w:rsid w:val="00485C26"/>
    <w:rsid w:val="00485EC0"/>
    <w:rsid w:val="004875E1"/>
    <w:rsid w:val="00487B37"/>
    <w:rsid w:val="00490636"/>
    <w:rsid w:val="00490FF0"/>
    <w:rsid w:val="004910FE"/>
    <w:rsid w:val="00491198"/>
    <w:rsid w:val="004917E0"/>
    <w:rsid w:val="004919EB"/>
    <w:rsid w:val="00491BF6"/>
    <w:rsid w:val="00491FED"/>
    <w:rsid w:val="00492F82"/>
    <w:rsid w:val="004943C2"/>
    <w:rsid w:val="00494918"/>
    <w:rsid w:val="00494C65"/>
    <w:rsid w:val="00494F0C"/>
    <w:rsid w:val="00495557"/>
    <w:rsid w:val="0049618D"/>
    <w:rsid w:val="004965EF"/>
    <w:rsid w:val="0049719D"/>
    <w:rsid w:val="00497D93"/>
    <w:rsid w:val="00497FCD"/>
    <w:rsid w:val="004A0D1E"/>
    <w:rsid w:val="004A0E66"/>
    <w:rsid w:val="004A0EEC"/>
    <w:rsid w:val="004A130F"/>
    <w:rsid w:val="004A17EF"/>
    <w:rsid w:val="004A1BDA"/>
    <w:rsid w:val="004A22DA"/>
    <w:rsid w:val="004A2700"/>
    <w:rsid w:val="004A3361"/>
    <w:rsid w:val="004A36C8"/>
    <w:rsid w:val="004A3721"/>
    <w:rsid w:val="004A3742"/>
    <w:rsid w:val="004A37B8"/>
    <w:rsid w:val="004A3ED3"/>
    <w:rsid w:val="004A47BC"/>
    <w:rsid w:val="004A4AC6"/>
    <w:rsid w:val="004A4F5C"/>
    <w:rsid w:val="004B00BD"/>
    <w:rsid w:val="004B1199"/>
    <w:rsid w:val="004B16C4"/>
    <w:rsid w:val="004B1867"/>
    <w:rsid w:val="004B2A64"/>
    <w:rsid w:val="004B30BC"/>
    <w:rsid w:val="004B36EB"/>
    <w:rsid w:val="004B41DA"/>
    <w:rsid w:val="004B470D"/>
    <w:rsid w:val="004B4764"/>
    <w:rsid w:val="004B4846"/>
    <w:rsid w:val="004B5394"/>
    <w:rsid w:val="004B5775"/>
    <w:rsid w:val="004B5BDD"/>
    <w:rsid w:val="004B6A33"/>
    <w:rsid w:val="004B6E9E"/>
    <w:rsid w:val="004B6F83"/>
    <w:rsid w:val="004B7540"/>
    <w:rsid w:val="004B7C29"/>
    <w:rsid w:val="004C06E5"/>
    <w:rsid w:val="004C1B7D"/>
    <w:rsid w:val="004C1E3C"/>
    <w:rsid w:val="004C25F0"/>
    <w:rsid w:val="004C26DD"/>
    <w:rsid w:val="004C2B5D"/>
    <w:rsid w:val="004C2D68"/>
    <w:rsid w:val="004C2F56"/>
    <w:rsid w:val="004C339D"/>
    <w:rsid w:val="004C33E8"/>
    <w:rsid w:val="004C4307"/>
    <w:rsid w:val="004C4309"/>
    <w:rsid w:val="004C49E3"/>
    <w:rsid w:val="004C4E89"/>
    <w:rsid w:val="004C4E8A"/>
    <w:rsid w:val="004C514A"/>
    <w:rsid w:val="004C63B5"/>
    <w:rsid w:val="004C6572"/>
    <w:rsid w:val="004C6D4F"/>
    <w:rsid w:val="004C74FF"/>
    <w:rsid w:val="004C7541"/>
    <w:rsid w:val="004D1E71"/>
    <w:rsid w:val="004D2CDF"/>
    <w:rsid w:val="004D33CE"/>
    <w:rsid w:val="004D4AAE"/>
    <w:rsid w:val="004D67E9"/>
    <w:rsid w:val="004D7C86"/>
    <w:rsid w:val="004E0197"/>
    <w:rsid w:val="004E1122"/>
    <w:rsid w:val="004E1409"/>
    <w:rsid w:val="004E1A87"/>
    <w:rsid w:val="004E1B77"/>
    <w:rsid w:val="004E1BB0"/>
    <w:rsid w:val="004E3030"/>
    <w:rsid w:val="004E3311"/>
    <w:rsid w:val="004E38EC"/>
    <w:rsid w:val="004E3933"/>
    <w:rsid w:val="004E4549"/>
    <w:rsid w:val="004E4C83"/>
    <w:rsid w:val="004E4D53"/>
    <w:rsid w:val="004E4D84"/>
    <w:rsid w:val="004E4EBC"/>
    <w:rsid w:val="004E5104"/>
    <w:rsid w:val="004E558A"/>
    <w:rsid w:val="004E5B06"/>
    <w:rsid w:val="004E5FA8"/>
    <w:rsid w:val="004E684C"/>
    <w:rsid w:val="004E6A2B"/>
    <w:rsid w:val="004E6FF1"/>
    <w:rsid w:val="004E76DB"/>
    <w:rsid w:val="004E7A2A"/>
    <w:rsid w:val="004F1F90"/>
    <w:rsid w:val="004F2401"/>
    <w:rsid w:val="004F2A44"/>
    <w:rsid w:val="004F2DAD"/>
    <w:rsid w:val="004F34F7"/>
    <w:rsid w:val="004F402C"/>
    <w:rsid w:val="004F474A"/>
    <w:rsid w:val="004F55D6"/>
    <w:rsid w:val="004F565A"/>
    <w:rsid w:val="004F571B"/>
    <w:rsid w:val="004F64EB"/>
    <w:rsid w:val="004F7A74"/>
    <w:rsid w:val="00500250"/>
    <w:rsid w:val="00500264"/>
    <w:rsid w:val="00500824"/>
    <w:rsid w:val="00500DAB"/>
    <w:rsid w:val="00501144"/>
    <w:rsid w:val="005013EF"/>
    <w:rsid w:val="005019E0"/>
    <w:rsid w:val="00501F19"/>
    <w:rsid w:val="0050211F"/>
    <w:rsid w:val="005022E7"/>
    <w:rsid w:val="00502A93"/>
    <w:rsid w:val="005037F9"/>
    <w:rsid w:val="00506083"/>
    <w:rsid w:val="005068D6"/>
    <w:rsid w:val="00506B86"/>
    <w:rsid w:val="00506EEC"/>
    <w:rsid w:val="00506FD4"/>
    <w:rsid w:val="00510769"/>
    <w:rsid w:val="005107FF"/>
    <w:rsid w:val="00510CBC"/>
    <w:rsid w:val="0051102D"/>
    <w:rsid w:val="005112A5"/>
    <w:rsid w:val="00511F48"/>
    <w:rsid w:val="00512448"/>
    <w:rsid w:val="0051253A"/>
    <w:rsid w:val="0051266C"/>
    <w:rsid w:val="00513B72"/>
    <w:rsid w:val="00515277"/>
    <w:rsid w:val="005158C2"/>
    <w:rsid w:val="005169DE"/>
    <w:rsid w:val="0051754D"/>
    <w:rsid w:val="0051785D"/>
    <w:rsid w:val="00517913"/>
    <w:rsid w:val="0052005F"/>
    <w:rsid w:val="00520200"/>
    <w:rsid w:val="00520E2D"/>
    <w:rsid w:val="00520F04"/>
    <w:rsid w:val="00521717"/>
    <w:rsid w:val="005224B2"/>
    <w:rsid w:val="00523B23"/>
    <w:rsid w:val="00523DFA"/>
    <w:rsid w:val="005254BC"/>
    <w:rsid w:val="005256FC"/>
    <w:rsid w:val="00526C27"/>
    <w:rsid w:val="00526DFF"/>
    <w:rsid w:val="00527473"/>
    <w:rsid w:val="00527EF9"/>
    <w:rsid w:val="00530299"/>
    <w:rsid w:val="00530301"/>
    <w:rsid w:val="005305FF"/>
    <w:rsid w:val="00530C34"/>
    <w:rsid w:val="00530C9B"/>
    <w:rsid w:val="00532334"/>
    <w:rsid w:val="005324AF"/>
    <w:rsid w:val="00532CDD"/>
    <w:rsid w:val="0053402C"/>
    <w:rsid w:val="00534090"/>
    <w:rsid w:val="00534ABA"/>
    <w:rsid w:val="00535FFF"/>
    <w:rsid w:val="0053616F"/>
    <w:rsid w:val="005368AD"/>
    <w:rsid w:val="005370BC"/>
    <w:rsid w:val="00537B35"/>
    <w:rsid w:val="00537DE7"/>
    <w:rsid w:val="00537EC4"/>
    <w:rsid w:val="00537FE4"/>
    <w:rsid w:val="00540238"/>
    <w:rsid w:val="0054027D"/>
    <w:rsid w:val="0054064F"/>
    <w:rsid w:val="00540F63"/>
    <w:rsid w:val="00541222"/>
    <w:rsid w:val="00541A8D"/>
    <w:rsid w:val="00541C14"/>
    <w:rsid w:val="0054339D"/>
    <w:rsid w:val="00544DA0"/>
    <w:rsid w:val="005454BD"/>
    <w:rsid w:val="005457E4"/>
    <w:rsid w:val="00545EBE"/>
    <w:rsid w:val="00546B62"/>
    <w:rsid w:val="00546C49"/>
    <w:rsid w:val="0055010B"/>
    <w:rsid w:val="00550D59"/>
    <w:rsid w:val="0055110D"/>
    <w:rsid w:val="00551F81"/>
    <w:rsid w:val="0055210F"/>
    <w:rsid w:val="00552CD7"/>
    <w:rsid w:val="005533BE"/>
    <w:rsid w:val="00554B30"/>
    <w:rsid w:val="00554FFB"/>
    <w:rsid w:val="00555D93"/>
    <w:rsid w:val="005567EF"/>
    <w:rsid w:val="005568DE"/>
    <w:rsid w:val="00557C50"/>
    <w:rsid w:val="005606B6"/>
    <w:rsid w:val="005608D6"/>
    <w:rsid w:val="00560F19"/>
    <w:rsid w:val="00561598"/>
    <w:rsid w:val="00561E6B"/>
    <w:rsid w:val="005621D2"/>
    <w:rsid w:val="005621E0"/>
    <w:rsid w:val="00562D90"/>
    <w:rsid w:val="00563A23"/>
    <w:rsid w:val="00563A5A"/>
    <w:rsid w:val="00563C61"/>
    <w:rsid w:val="00563ECB"/>
    <w:rsid w:val="00563F47"/>
    <w:rsid w:val="005640BB"/>
    <w:rsid w:val="00564C23"/>
    <w:rsid w:val="00565406"/>
    <w:rsid w:val="00565570"/>
    <w:rsid w:val="005657DD"/>
    <w:rsid w:val="00565B29"/>
    <w:rsid w:val="005664CC"/>
    <w:rsid w:val="0056664B"/>
    <w:rsid w:val="00567588"/>
    <w:rsid w:val="00567992"/>
    <w:rsid w:val="00567C3C"/>
    <w:rsid w:val="005702F8"/>
    <w:rsid w:val="00571231"/>
    <w:rsid w:val="00571767"/>
    <w:rsid w:val="00571E44"/>
    <w:rsid w:val="00573E61"/>
    <w:rsid w:val="0057411B"/>
    <w:rsid w:val="00574525"/>
    <w:rsid w:val="00574778"/>
    <w:rsid w:val="0057498F"/>
    <w:rsid w:val="00574B00"/>
    <w:rsid w:val="00574DE9"/>
    <w:rsid w:val="00575DF4"/>
    <w:rsid w:val="0057652A"/>
    <w:rsid w:val="0057765D"/>
    <w:rsid w:val="005777FC"/>
    <w:rsid w:val="00577C9A"/>
    <w:rsid w:val="00580062"/>
    <w:rsid w:val="005808EB"/>
    <w:rsid w:val="00580D11"/>
    <w:rsid w:val="00580D37"/>
    <w:rsid w:val="00581EBF"/>
    <w:rsid w:val="00581FA0"/>
    <w:rsid w:val="00582B90"/>
    <w:rsid w:val="005831A7"/>
    <w:rsid w:val="00583321"/>
    <w:rsid w:val="0058341E"/>
    <w:rsid w:val="005846F5"/>
    <w:rsid w:val="00584F3A"/>
    <w:rsid w:val="005853AB"/>
    <w:rsid w:val="00585748"/>
    <w:rsid w:val="005859C5"/>
    <w:rsid w:val="00585C79"/>
    <w:rsid w:val="00585D2F"/>
    <w:rsid w:val="00585F8A"/>
    <w:rsid w:val="00586144"/>
    <w:rsid w:val="00587785"/>
    <w:rsid w:val="0058788D"/>
    <w:rsid w:val="00587E29"/>
    <w:rsid w:val="00587FE6"/>
    <w:rsid w:val="005911EC"/>
    <w:rsid w:val="00591698"/>
    <w:rsid w:val="00593B87"/>
    <w:rsid w:val="00593C1C"/>
    <w:rsid w:val="00593E94"/>
    <w:rsid w:val="00594143"/>
    <w:rsid w:val="00594543"/>
    <w:rsid w:val="00594612"/>
    <w:rsid w:val="00595873"/>
    <w:rsid w:val="00595CDD"/>
    <w:rsid w:val="005964BB"/>
    <w:rsid w:val="00596A70"/>
    <w:rsid w:val="00596BD3"/>
    <w:rsid w:val="00596BE7"/>
    <w:rsid w:val="00596C3E"/>
    <w:rsid w:val="005977DD"/>
    <w:rsid w:val="005A02B2"/>
    <w:rsid w:val="005A04BD"/>
    <w:rsid w:val="005A0A3F"/>
    <w:rsid w:val="005A0D27"/>
    <w:rsid w:val="005A114F"/>
    <w:rsid w:val="005A1F49"/>
    <w:rsid w:val="005A2364"/>
    <w:rsid w:val="005A2480"/>
    <w:rsid w:val="005A2B2C"/>
    <w:rsid w:val="005A2D6B"/>
    <w:rsid w:val="005A3252"/>
    <w:rsid w:val="005A33F7"/>
    <w:rsid w:val="005A40CF"/>
    <w:rsid w:val="005A4A9C"/>
    <w:rsid w:val="005A4BAE"/>
    <w:rsid w:val="005A4BBB"/>
    <w:rsid w:val="005A4F39"/>
    <w:rsid w:val="005A574D"/>
    <w:rsid w:val="005A5B5C"/>
    <w:rsid w:val="005A6E93"/>
    <w:rsid w:val="005A707A"/>
    <w:rsid w:val="005A7340"/>
    <w:rsid w:val="005A756E"/>
    <w:rsid w:val="005A7BD8"/>
    <w:rsid w:val="005A7EB2"/>
    <w:rsid w:val="005A7F93"/>
    <w:rsid w:val="005B06F8"/>
    <w:rsid w:val="005B07EA"/>
    <w:rsid w:val="005B0B20"/>
    <w:rsid w:val="005B0BB6"/>
    <w:rsid w:val="005B0BD6"/>
    <w:rsid w:val="005B0EFB"/>
    <w:rsid w:val="005B1060"/>
    <w:rsid w:val="005B12B9"/>
    <w:rsid w:val="005B17C1"/>
    <w:rsid w:val="005B21CC"/>
    <w:rsid w:val="005B3737"/>
    <w:rsid w:val="005B3A42"/>
    <w:rsid w:val="005B4586"/>
    <w:rsid w:val="005B5D40"/>
    <w:rsid w:val="005B5EFC"/>
    <w:rsid w:val="005B6412"/>
    <w:rsid w:val="005B6698"/>
    <w:rsid w:val="005B67C8"/>
    <w:rsid w:val="005B68A7"/>
    <w:rsid w:val="005B6AC3"/>
    <w:rsid w:val="005B7A63"/>
    <w:rsid w:val="005C055E"/>
    <w:rsid w:val="005C0FA1"/>
    <w:rsid w:val="005C139A"/>
    <w:rsid w:val="005C1615"/>
    <w:rsid w:val="005C1D98"/>
    <w:rsid w:val="005C1DA5"/>
    <w:rsid w:val="005C2559"/>
    <w:rsid w:val="005C2873"/>
    <w:rsid w:val="005C34FC"/>
    <w:rsid w:val="005C3B5C"/>
    <w:rsid w:val="005C3C7F"/>
    <w:rsid w:val="005C5143"/>
    <w:rsid w:val="005C5639"/>
    <w:rsid w:val="005C5742"/>
    <w:rsid w:val="005C760E"/>
    <w:rsid w:val="005C7E9E"/>
    <w:rsid w:val="005D18C9"/>
    <w:rsid w:val="005D18E3"/>
    <w:rsid w:val="005D1B72"/>
    <w:rsid w:val="005D2471"/>
    <w:rsid w:val="005D25A3"/>
    <w:rsid w:val="005D2779"/>
    <w:rsid w:val="005D3242"/>
    <w:rsid w:val="005D610C"/>
    <w:rsid w:val="005D74E7"/>
    <w:rsid w:val="005D7F7B"/>
    <w:rsid w:val="005E3BCD"/>
    <w:rsid w:val="005E4A87"/>
    <w:rsid w:val="005E4B63"/>
    <w:rsid w:val="005E4DA5"/>
    <w:rsid w:val="005E503E"/>
    <w:rsid w:val="005E59C7"/>
    <w:rsid w:val="005E5DE1"/>
    <w:rsid w:val="005E5E7B"/>
    <w:rsid w:val="005E6095"/>
    <w:rsid w:val="005E6A3F"/>
    <w:rsid w:val="005E6DB8"/>
    <w:rsid w:val="005E7228"/>
    <w:rsid w:val="005E7284"/>
    <w:rsid w:val="005E7BAC"/>
    <w:rsid w:val="005F0102"/>
    <w:rsid w:val="005F0E5C"/>
    <w:rsid w:val="005F134E"/>
    <w:rsid w:val="005F1365"/>
    <w:rsid w:val="005F1552"/>
    <w:rsid w:val="005F275C"/>
    <w:rsid w:val="005F2C1F"/>
    <w:rsid w:val="005F2E44"/>
    <w:rsid w:val="005F3690"/>
    <w:rsid w:val="005F3986"/>
    <w:rsid w:val="005F466B"/>
    <w:rsid w:val="005F4C57"/>
    <w:rsid w:val="005F6774"/>
    <w:rsid w:val="005F79AA"/>
    <w:rsid w:val="0060044B"/>
    <w:rsid w:val="006013D7"/>
    <w:rsid w:val="006014CA"/>
    <w:rsid w:val="006014DB"/>
    <w:rsid w:val="00601587"/>
    <w:rsid w:val="00602079"/>
    <w:rsid w:val="006022F3"/>
    <w:rsid w:val="00602579"/>
    <w:rsid w:val="006026D8"/>
    <w:rsid w:val="00602BA4"/>
    <w:rsid w:val="00602DA2"/>
    <w:rsid w:val="00602FF4"/>
    <w:rsid w:val="00603228"/>
    <w:rsid w:val="00604ACD"/>
    <w:rsid w:val="00604C15"/>
    <w:rsid w:val="00604DC2"/>
    <w:rsid w:val="006060C4"/>
    <w:rsid w:val="00607C35"/>
    <w:rsid w:val="00611777"/>
    <w:rsid w:val="0061189F"/>
    <w:rsid w:val="0061219B"/>
    <w:rsid w:val="00612D05"/>
    <w:rsid w:val="00613FB6"/>
    <w:rsid w:val="006140C6"/>
    <w:rsid w:val="00614134"/>
    <w:rsid w:val="00614241"/>
    <w:rsid w:val="0061428D"/>
    <w:rsid w:val="00615411"/>
    <w:rsid w:val="0061593B"/>
    <w:rsid w:val="0061599E"/>
    <w:rsid w:val="00615AC7"/>
    <w:rsid w:val="00615ED7"/>
    <w:rsid w:val="006162E6"/>
    <w:rsid w:val="00616C8A"/>
    <w:rsid w:val="006171A5"/>
    <w:rsid w:val="0061793D"/>
    <w:rsid w:val="00620309"/>
    <w:rsid w:val="0062159D"/>
    <w:rsid w:val="00621680"/>
    <w:rsid w:val="006218F6"/>
    <w:rsid w:val="00621EC5"/>
    <w:rsid w:val="006223E0"/>
    <w:rsid w:val="006224D0"/>
    <w:rsid w:val="00622BCE"/>
    <w:rsid w:val="00622E29"/>
    <w:rsid w:val="00623643"/>
    <w:rsid w:val="006236BE"/>
    <w:rsid w:val="00624018"/>
    <w:rsid w:val="006240C4"/>
    <w:rsid w:val="0062463C"/>
    <w:rsid w:val="00625304"/>
    <w:rsid w:val="0062560D"/>
    <w:rsid w:val="0062581B"/>
    <w:rsid w:val="006261F4"/>
    <w:rsid w:val="0063164E"/>
    <w:rsid w:val="0063191D"/>
    <w:rsid w:val="00633488"/>
    <w:rsid w:val="00633581"/>
    <w:rsid w:val="006339AF"/>
    <w:rsid w:val="00633C47"/>
    <w:rsid w:val="006348F7"/>
    <w:rsid w:val="0063512D"/>
    <w:rsid w:val="006358FB"/>
    <w:rsid w:val="00635AE2"/>
    <w:rsid w:val="00635E1E"/>
    <w:rsid w:val="0063677C"/>
    <w:rsid w:val="00636972"/>
    <w:rsid w:val="00636B69"/>
    <w:rsid w:val="00636BC2"/>
    <w:rsid w:val="006404D1"/>
    <w:rsid w:val="00640F43"/>
    <w:rsid w:val="006412CA"/>
    <w:rsid w:val="006420DA"/>
    <w:rsid w:val="00642A0A"/>
    <w:rsid w:val="00643AC1"/>
    <w:rsid w:val="00643D62"/>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907"/>
    <w:rsid w:val="00652E06"/>
    <w:rsid w:val="00653FC4"/>
    <w:rsid w:val="00654F91"/>
    <w:rsid w:val="00655361"/>
    <w:rsid w:val="00656253"/>
    <w:rsid w:val="00656799"/>
    <w:rsid w:val="00656B77"/>
    <w:rsid w:val="00656E72"/>
    <w:rsid w:val="006578A1"/>
    <w:rsid w:val="0066137B"/>
    <w:rsid w:val="0066174E"/>
    <w:rsid w:val="00661BBB"/>
    <w:rsid w:val="00661E57"/>
    <w:rsid w:val="006629E4"/>
    <w:rsid w:val="00663783"/>
    <w:rsid w:val="00663E47"/>
    <w:rsid w:val="006644A7"/>
    <w:rsid w:val="00664A93"/>
    <w:rsid w:val="00664BDE"/>
    <w:rsid w:val="0066565B"/>
    <w:rsid w:val="00665C44"/>
    <w:rsid w:val="00665F75"/>
    <w:rsid w:val="00666284"/>
    <w:rsid w:val="006667F3"/>
    <w:rsid w:val="00667AEA"/>
    <w:rsid w:val="006704FA"/>
    <w:rsid w:val="00670687"/>
    <w:rsid w:val="00670AC3"/>
    <w:rsid w:val="00670DC5"/>
    <w:rsid w:val="00671652"/>
    <w:rsid w:val="00671FAA"/>
    <w:rsid w:val="006727B3"/>
    <w:rsid w:val="00674B7A"/>
    <w:rsid w:val="00675DA5"/>
    <w:rsid w:val="0067665A"/>
    <w:rsid w:val="0067679D"/>
    <w:rsid w:val="00680482"/>
    <w:rsid w:val="006808DC"/>
    <w:rsid w:val="006816B6"/>
    <w:rsid w:val="006820EB"/>
    <w:rsid w:val="00682128"/>
    <w:rsid w:val="0068220C"/>
    <w:rsid w:val="00682AB1"/>
    <w:rsid w:val="00682E9F"/>
    <w:rsid w:val="00683252"/>
    <w:rsid w:val="0068343A"/>
    <w:rsid w:val="006834D4"/>
    <w:rsid w:val="0068413D"/>
    <w:rsid w:val="006842B2"/>
    <w:rsid w:val="006844BA"/>
    <w:rsid w:val="006845A2"/>
    <w:rsid w:val="00684BF8"/>
    <w:rsid w:val="00684D9B"/>
    <w:rsid w:val="006858AA"/>
    <w:rsid w:val="00685BCF"/>
    <w:rsid w:val="00685DBB"/>
    <w:rsid w:val="0068623C"/>
    <w:rsid w:val="006871D0"/>
    <w:rsid w:val="0068751F"/>
    <w:rsid w:val="006900D1"/>
    <w:rsid w:val="00690297"/>
    <w:rsid w:val="00690C0C"/>
    <w:rsid w:val="0069115A"/>
    <w:rsid w:val="006912F1"/>
    <w:rsid w:val="00691387"/>
    <w:rsid w:val="006927F2"/>
    <w:rsid w:val="006931E1"/>
    <w:rsid w:val="00694310"/>
    <w:rsid w:val="00694700"/>
    <w:rsid w:val="00694803"/>
    <w:rsid w:val="00694C18"/>
    <w:rsid w:val="00694CE8"/>
    <w:rsid w:val="0069569E"/>
    <w:rsid w:val="006956C6"/>
    <w:rsid w:val="00696243"/>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D14"/>
    <w:rsid w:val="006A561D"/>
    <w:rsid w:val="006A5A0C"/>
    <w:rsid w:val="006A5BA0"/>
    <w:rsid w:val="006A5BB1"/>
    <w:rsid w:val="006A5F88"/>
    <w:rsid w:val="006A7D95"/>
    <w:rsid w:val="006B063D"/>
    <w:rsid w:val="006B120D"/>
    <w:rsid w:val="006B13C1"/>
    <w:rsid w:val="006B2CC7"/>
    <w:rsid w:val="006B3AF9"/>
    <w:rsid w:val="006B44C5"/>
    <w:rsid w:val="006B555F"/>
    <w:rsid w:val="006B6242"/>
    <w:rsid w:val="006B6AC7"/>
    <w:rsid w:val="006B6C7C"/>
    <w:rsid w:val="006B6EA4"/>
    <w:rsid w:val="006B77BB"/>
    <w:rsid w:val="006B7F8F"/>
    <w:rsid w:val="006B7FC5"/>
    <w:rsid w:val="006C055E"/>
    <w:rsid w:val="006C0D13"/>
    <w:rsid w:val="006C17CB"/>
    <w:rsid w:val="006C187F"/>
    <w:rsid w:val="006C19BC"/>
    <w:rsid w:val="006C19D5"/>
    <w:rsid w:val="006C1B44"/>
    <w:rsid w:val="006C1F77"/>
    <w:rsid w:val="006C2211"/>
    <w:rsid w:val="006C3031"/>
    <w:rsid w:val="006C31D0"/>
    <w:rsid w:val="006C3607"/>
    <w:rsid w:val="006C3990"/>
    <w:rsid w:val="006C3ED2"/>
    <w:rsid w:val="006C4233"/>
    <w:rsid w:val="006C42E7"/>
    <w:rsid w:val="006C4301"/>
    <w:rsid w:val="006C4422"/>
    <w:rsid w:val="006C5CCA"/>
    <w:rsid w:val="006C625F"/>
    <w:rsid w:val="006C75E3"/>
    <w:rsid w:val="006C78A6"/>
    <w:rsid w:val="006C7AB4"/>
    <w:rsid w:val="006D006B"/>
    <w:rsid w:val="006D105C"/>
    <w:rsid w:val="006D12CA"/>
    <w:rsid w:val="006D30E7"/>
    <w:rsid w:val="006D48E7"/>
    <w:rsid w:val="006D4947"/>
    <w:rsid w:val="006D5F16"/>
    <w:rsid w:val="006D63AD"/>
    <w:rsid w:val="006D6764"/>
    <w:rsid w:val="006D67D9"/>
    <w:rsid w:val="006D6C93"/>
    <w:rsid w:val="006D6F7E"/>
    <w:rsid w:val="006D73D5"/>
    <w:rsid w:val="006D7573"/>
    <w:rsid w:val="006E0340"/>
    <w:rsid w:val="006E06F9"/>
    <w:rsid w:val="006E07A9"/>
    <w:rsid w:val="006E08B4"/>
    <w:rsid w:val="006E0D91"/>
    <w:rsid w:val="006E1706"/>
    <w:rsid w:val="006E3137"/>
    <w:rsid w:val="006E3CB2"/>
    <w:rsid w:val="006E3DA8"/>
    <w:rsid w:val="006E4ADA"/>
    <w:rsid w:val="006E5DAA"/>
    <w:rsid w:val="006E66A6"/>
    <w:rsid w:val="006E7006"/>
    <w:rsid w:val="006E7AE8"/>
    <w:rsid w:val="006F00E7"/>
    <w:rsid w:val="006F0EEB"/>
    <w:rsid w:val="006F0F6E"/>
    <w:rsid w:val="006F1B22"/>
    <w:rsid w:val="006F1BA4"/>
    <w:rsid w:val="006F2259"/>
    <w:rsid w:val="006F23E1"/>
    <w:rsid w:val="006F2F8F"/>
    <w:rsid w:val="006F2FDA"/>
    <w:rsid w:val="006F2FE5"/>
    <w:rsid w:val="006F3460"/>
    <w:rsid w:val="006F34FE"/>
    <w:rsid w:val="006F35BD"/>
    <w:rsid w:val="006F3615"/>
    <w:rsid w:val="006F3FA3"/>
    <w:rsid w:val="006F48BA"/>
    <w:rsid w:val="006F4AF9"/>
    <w:rsid w:val="006F4C50"/>
    <w:rsid w:val="006F54EB"/>
    <w:rsid w:val="006F5CC1"/>
    <w:rsid w:val="006F67A5"/>
    <w:rsid w:val="006F762D"/>
    <w:rsid w:val="00700492"/>
    <w:rsid w:val="0070167E"/>
    <w:rsid w:val="00701E1B"/>
    <w:rsid w:val="007028FC"/>
    <w:rsid w:val="007029FE"/>
    <w:rsid w:val="00702ED0"/>
    <w:rsid w:val="00703C09"/>
    <w:rsid w:val="0070434A"/>
    <w:rsid w:val="007048C4"/>
    <w:rsid w:val="00704CC4"/>
    <w:rsid w:val="00705345"/>
    <w:rsid w:val="0070638D"/>
    <w:rsid w:val="00706DBF"/>
    <w:rsid w:val="0070757F"/>
    <w:rsid w:val="00707A59"/>
    <w:rsid w:val="0071046B"/>
    <w:rsid w:val="00710AC6"/>
    <w:rsid w:val="00710C1D"/>
    <w:rsid w:val="007110A3"/>
    <w:rsid w:val="00711108"/>
    <w:rsid w:val="00711213"/>
    <w:rsid w:val="007112A1"/>
    <w:rsid w:val="00711996"/>
    <w:rsid w:val="00711B3B"/>
    <w:rsid w:val="00711BA3"/>
    <w:rsid w:val="00711C9D"/>
    <w:rsid w:val="00712099"/>
    <w:rsid w:val="00712B71"/>
    <w:rsid w:val="00712E55"/>
    <w:rsid w:val="00713023"/>
    <w:rsid w:val="0071322C"/>
    <w:rsid w:val="00713779"/>
    <w:rsid w:val="00713989"/>
    <w:rsid w:val="00713DCF"/>
    <w:rsid w:val="00714004"/>
    <w:rsid w:val="0071458E"/>
    <w:rsid w:val="007145C9"/>
    <w:rsid w:val="00714631"/>
    <w:rsid w:val="00714B6E"/>
    <w:rsid w:val="0071512F"/>
    <w:rsid w:val="00716256"/>
    <w:rsid w:val="007169AC"/>
    <w:rsid w:val="007169DD"/>
    <w:rsid w:val="007171FC"/>
    <w:rsid w:val="00717679"/>
    <w:rsid w:val="00717B67"/>
    <w:rsid w:val="007206A2"/>
    <w:rsid w:val="00720B38"/>
    <w:rsid w:val="00720CA7"/>
    <w:rsid w:val="0072147B"/>
    <w:rsid w:val="007217F5"/>
    <w:rsid w:val="0072181E"/>
    <w:rsid w:val="00722267"/>
    <w:rsid w:val="0072285E"/>
    <w:rsid w:val="00722C62"/>
    <w:rsid w:val="0072321F"/>
    <w:rsid w:val="00723295"/>
    <w:rsid w:val="007238E2"/>
    <w:rsid w:val="007239B4"/>
    <w:rsid w:val="00724446"/>
    <w:rsid w:val="00724584"/>
    <w:rsid w:val="00724AA1"/>
    <w:rsid w:val="00724D39"/>
    <w:rsid w:val="00725A19"/>
    <w:rsid w:val="00725CF7"/>
    <w:rsid w:val="00726356"/>
    <w:rsid w:val="007268C7"/>
    <w:rsid w:val="00726AAB"/>
    <w:rsid w:val="00727077"/>
    <w:rsid w:val="00730EA6"/>
    <w:rsid w:val="00731C15"/>
    <w:rsid w:val="00732045"/>
    <w:rsid w:val="007322A0"/>
    <w:rsid w:val="00732C1A"/>
    <w:rsid w:val="00733CDC"/>
    <w:rsid w:val="00734B9A"/>
    <w:rsid w:val="00735695"/>
    <w:rsid w:val="007360CB"/>
    <w:rsid w:val="007369EE"/>
    <w:rsid w:val="00737566"/>
    <w:rsid w:val="00737C7E"/>
    <w:rsid w:val="007404BF"/>
    <w:rsid w:val="00741771"/>
    <w:rsid w:val="00741BA2"/>
    <w:rsid w:val="00741CF4"/>
    <w:rsid w:val="00741DCC"/>
    <w:rsid w:val="00741DE2"/>
    <w:rsid w:val="007421A1"/>
    <w:rsid w:val="007427FE"/>
    <w:rsid w:val="00742C51"/>
    <w:rsid w:val="00743445"/>
    <w:rsid w:val="00744F8C"/>
    <w:rsid w:val="00745E01"/>
    <w:rsid w:val="0074666B"/>
    <w:rsid w:val="0074679E"/>
    <w:rsid w:val="007468D6"/>
    <w:rsid w:val="00746BFF"/>
    <w:rsid w:val="007473E1"/>
    <w:rsid w:val="00747897"/>
    <w:rsid w:val="00747E47"/>
    <w:rsid w:val="00750080"/>
    <w:rsid w:val="00750192"/>
    <w:rsid w:val="007504E1"/>
    <w:rsid w:val="00750544"/>
    <w:rsid w:val="00750804"/>
    <w:rsid w:val="007509AB"/>
    <w:rsid w:val="00751689"/>
    <w:rsid w:val="007524AA"/>
    <w:rsid w:val="00753744"/>
    <w:rsid w:val="007537F3"/>
    <w:rsid w:val="00753A93"/>
    <w:rsid w:val="00755663"/>
    <w:rsid w:val="00756386"/>
    <w:rsid w:val="00756603"/>
    <w:rsid w:val="00756E50"/>
    <w:rsid w:val="007575C0"/>
    <w:rsid w:val="00757D2F"/>
    <w:rsid w:val="0076000E"/>
    <w:rsid w:val="007604E0"/>
    <w:rsid w:val="00760C00"/>
    <w:rsid w:val="007610E9"/>
    <w:rsid w:val="00761728"/>
    <w:rsid w:val="00761C6C"/>
    <w:rsid w:val="00762B72"/>
    <w:rsid w:val="00763CCB"/>
    <w:rsid w:val="007642B4"/>
    <w:rsid w:val="00764C45"/>
    <w:rsid w:val="00766277"/>
    <w:rsid w:val="0076656A"/>
    <w:rsid w:val="00766701"/>
    <w:rsid w:val="00766911"/>
    <w:rsid w:val="00767793"/>
    <w:rsid w:val="007679D8"/>
    <w:rsid w:val="00770803"/>
    <w:rsid w:val="00770FF7"/>
    <w:rsid w:val="00771319"/>
    <w:rsid w:val="007713E8"/>
    <w:rsid w:val="00771794"/>
    <w:rsid w:val="00771CCF"/>
    <w:rsid w:val="00771F7D"/>
    <w:rsid w:val="00772C3E"/>
    <w:rsid w:val="007734A4"/>
    <w:rsid w:val="007736E8"/>
    <w:rsid w:val="00774ACE"/>
    <w:rsid w:val="0077575F"/>
    <w:rsid w:val="00775823"/>
    <w:rsid w:val="00775F57"/>
    <w:rsid w:val="00776584"/>
    <w:rsid w:val="007769EF"/>
    <w:rsid w:val="00776D4F"/>
    <w:rsid w:val="00776DDC"/>
    <w:rsid w:val="00776FC7"/>
    <w:rsid w:val="007770F9"/>
    <w:rsid w:val="00777179"/>
    <w:rsid w:val="00777945"/>
    <w:rsid w:val="00777D40"/>
    <w:rsid w:val="00780B8D"/>
    <w:rsid w:val="00780B8E"/>
    <w:rsid w:val="00781649"/>
    <w:rsid w:val="007823D6"/>
    <w:rsid w:val="0078254E"/>
    <w:rsid w:val="00782628"/>
    <w:rsid w:val="007826AB"/>
    <w:rsid w:val="007840E2"/>
    <w:rsid w:val="00785062"/>
    <w:rsid w:val="0078509A"/>
    <w:rsid w:val="0078569F"/>
    <w:rsid w:val="00785803"/>
    <w:rsid w:val="00785EB4"/>
    <w:rsid w:val="0078609A"/>
    <w:rsid w:val="00786F85"/>
    <w:rsid w:val="0078731A"/>
    <w:rsid w:val="00787487"/>
    <w:rsid w:val="007879F2"/>
    <w:rsid w:val="007906F1"/>
    <w:rsid w:val="00790EDA"/>
    <w:rsid w:val="00791349"/>
    <w:rsid w:val="00791D85"/>
    <w:rsid w:val="00791DAF"/>
    <w:rsid w:val="0079220B"/>
    <w:rsid w:val="007924CA"/>
    <w:rsid w:val="00794CBF"/>
    <w:rsid w:val="00795052"/>
    <w:rsid w:val="0079514B"/>
    <w:rsid w:val="00795365"/>
    <w:rsid w:val="0079567E"/>
    <w:rsid w:val="007961D5"/>
    <w:rsid w:val="00796A6F"/>
    <w:rsid w:val="00796C5D"/>
    <w:rsid w:val="00797B06"/>
    <w:rsid w:val="00797B9C"/>
    <w:rsid w:val="007A0483"/>
    <w:rsid w:val="007A076D"/>
    <w:rsid w:val="007A1065"/>
    <w:rsid w:val="007A185B"/>
    <w:rsid w:val="007A1D86"/>
    <w:rsid w:val="007A2A97"/>
    <w:rsid w:val="007A2CDC"/>
    <w:rsid w:val="007A371B"/>
    <w:rsid w:val="007A3832"/>
    <w:rsid w:val="007A3A0F"/>
    <w:rsid w:val="007A3E60"/>
    <w:rsid w:val="007A407D"/>
    <w:rsid w:val="007A464F"/>
    <w:rsid w:val="007A4798"/>
    <w:rsid w:val="007A50D9"/>
    <w:rsid w:val="007A6196"/>
    <w:rsid w:val="007A63D5"/>
    <w:rsid w:val="007A689A"/>
    <w:rsid w:val="007A68EA"/>
    <w:rsid w:val="007A6B7D"/>
    <w:rsid w:val="007A7629"/>
    <w:rsid w:val="007B0D83"/>
    <w:rsid w:val="007B100A"/>
    <w:rsid w:val="007B1027"/>
    <w:rsid w:val="007B1691"/>
    <w:rsid w:val="007B174F"/>
    <w:rsid w:val="007B1863"/>
    <w:rsid w:val="007B22E0"/>
    <w:rsid w:val="007B28CA"/>
    <w:rsid w:val="007B358D"/>
    <w:rsid w:val="007B5401"/>
    <w:rsid w:val="007B5E6D"/>
    <w:rsid w:val="007B5FB4"/>
    <w:rsid w:val="007B6B2B"/>
    <w:rsid w:val="007B7636"/>
    <w:rsid w:val="007B7949"/>
    <w:rsid w:val="007B7D30"/>
    <w:rsid w:val="007C0FA9"/>
    <w:rsid w:val="007C2413"/>
    <w:rsid w:val="007C25AE"/>
    <w:rsid w:val="007C3152"/>
    <w:rsid w:val="007C333B"/>
    <w:rsid w:val="007C3914"/>
    <w:rsid w:val="007C3CEA"/>
    <w:rsid w:val="007C3D92"/>
    <w:rsid w:val="007C3E98"/>
    <w:rsid w:val="007C5A8F"/>
    <w:rsid w:val="007C5B38"/>
    <w:rsid w:val="007C76E8"/>
    <w:rsid w:val="007D01E6"/>
    <w:rsid w:val="007D035E"/>
    <w:rsid w:val="007D0396"/>
    <w:rsid w:val="007D0644"/>
    <w:rsid w:val="007D1801"/>
    <w:rsid w:val="007D1FE0"/>
    <w:rsid w:val="007D20BB"/>
    <w:rsid w:val="007D261E"/>
    <w:rsid w:val="007D2F61"/>
    <w:rsid w:val="007D3004"/>
    <w:rsid w:val="007D3D0E"/>
    <w:rsid w:val="007D3D33"/>
    <w:rsid w:val="007D41C2"/>
    <w:rsid w:val="007D4F02"/>
    <w:rsid w:val="007D674C"/>
    <w:rsid w:val="007D6B7B"/>
    <w:rsid w:val="007D6CF1"/>
    <w:rsid w:val="007D7131"/>
    <w:rsid w:val="007D7BEC"/>
    <w:rsid w:val="007D7CE3"/>
    <w:rsid w:val="007E051A"/>
    <w:rsid w:val="007E0798"/>
    <w:rsid w:val="007E1B72"/>
    <w:rsid w:val="007E3EE3"/>
    <w:rsid w:val="007E57DE"/>
    <w:rsid w:val="007E5902"/>
    <w:rsid w:val="007E6072"/>
    <w:rsid w:val="007E6719"/>
    <w:rsid w:val="007E68ED"/>
    <w:rsid w:val="007E69ED"/>
    <w:rsid w:val="007E7B2D"/>
    <w:rsid w:val="007F0221"/>
    <w:rsid w:val="007F034B"/>
    <w:rsid w:val="007F0557"/>
    <w:rsid w:val="007F07B9"/>
    <w:rsid w:val="007F0928"/>
    <w:rsid w:val="007F15CE"/>
    <w:rsid w:val="007F1A16"/>
    <w:rsid w:val="007F1E88"/>
    <w:rsid w:val="007F2514"/>
    <w:rsid w:val="007F2CD7"/>
    <w:rsid w:val="007F3568"/>
    <w:rsid w:val="007F3F76"/>
    <w:rsid w:val="007F422D"/>
    <w:rsid w:val="007F4DBA"/>
    <w:rsid w:val="007F519C"/>
    <w:rsid w:val="007F534D"/>
    <w:rsid w:val="007F54A2"/>
    <w:rsid w:val="007F54FE"/>
    <w:rsid w:val="007F5535"/>
    <w:rsid w:val="007F5D32"/>
    <w:rsid w:val="007F6D5C"/>
    <w:rsid w:val="007F72DC"/>
    <w:rsid w:val="007F795F"/>
    <w:rsid w:val="0080019A"/>
    <w:rsid w:val="0080069C"/>
    <w:rsid w:val="008006FD"/>
    <w:rsid w:val="0080148D"/>
    <w:rsid w:val="0080156B"/>
    <w:rsid w:val="00801A3A"/>
    <w:rsid w:val="00804114"/>
    <w:rsid w:val="008045ED"/>
    <w:rsid w:val="00804634"/>
    <w:rsid w:val="008047E8"/>
    <w:rsid w:val="0080531E"/>
    <w:rsid w:val="00805723"/>
    <w:rsid w:val="00805C3D"/>
    <w:rsid w:val="00806F1D"/>
    <w:rsid w:val="008077ED"/>
    <w:rsid w:val="00807B6F"/>
    <w:rsid w:val="00807E93"/>
    <w:rsid w:val="00810172"/>
    <w:rsid w:val="00810762"/>
    <w:rsid w:val="00810858"/>
    <w:rsid w:val="00810EFF"/>
    <w:rsid w:val="00811314"/>
    <w:rsid w:val="00811A39"/>
    <w:rsid w:val="00811AE8"/>
    <w:rsid w:val="00811FFF"/>
    <w:rsid w:val="0081291B"/>
    <w:rsid w:val="00813622"/>
    <w:rsid w:val="00813DCF"/>
    <w:rsid w:val="00813FAB"/>
    <w:rsid w:val="008143C1"/>
    <w:rsid w:val="0081498C"/>
    <w:rsid w:val="00814AE1"/>
    <w:rsid w:val="0081597F"/>
    <w:rsid w:val="00815B7E"/>
    <w:rsid w:val="00815D31"/>
    <w:rsid w:val="0081601F"/>
    <w:rsid w:val="00816064"/>
    <w:rsid w:val="008172FB"/>
    <w:rsid w:val="008174B2"/>
    <w:rsid w:val="00817CFF"/>
    <w:rsid w:val="0082000D"/>
    <w:rsid w:val="0082037E"/>
    <w:rsid w:val="00820C9C"/>
    <w:rsid w:val="00820F55"/>
    <w:rsid w:val="00821572"/>
    <w:rsid w:val="0082219D"/>
    <w:rsid w:val="00822310"/>
    <w:rsid w:val="00823794"/>
    <w:rsid w:val="008237F4"/>
    <w:rsid w:val="00823F67"/>
    <w:rsid w:val="00824022"/>
    <w:rsid w:val="0082483A"/>
    <w:rsid w:val="00824A81"/>
    <w:rsid w:val="008257B8"/>
    <w:rsid w:val="008260ED"/>
    <w:rsid w:val="0082699D"/>
    <w:rsid w:val="00826E6B"/>
    <w:rsid w:val="008275FD"/>
    <w:rsid w:val="00830BA1"/>
    <w:rsid w:val="00830EB2"/>
    <w:rsid w:val="00830F5B"/>
    <w:rsid w:val="00831652"/>
    <w:rsid w:val="0083202E"/>
    <w:rsid w:val="00832965"/>
    <w:rsid w:val="0083304F"/>
    <w:rsid w:val="008334C9"/>
    <w:rsid w:val="0083398E"/>
    <w:rsid w:val="00833DAE"/>
    <w:rsid w:val="00834122"/>
    <w:rsid w:val="008352C5"/>
    <w:rsid w:val="008358A6"/>
    <w:rsid w:val="008359FB"/>
    <w:rsid w:val="00835C56"/>
    <w:rsid w:val="008360FC"/>
    <w:rsid w:val="00836B43"/>
    <w:rsid w:val="00836E81"/>
    <w:rsid w:val="008377C1"/>
    <w:rsid w:val="00837C90"/>
    <w:rsid w:val="00837EB1"/>
    <w:rsid w:val="0084042B"/>
    <w:rsid w:val="008406A6"/>
    <w:rsid w:val="008409BB"/>
    <w:rsid w:val="008412B6"/>
    <w:rsid w:val="0084184A"/>
    <w:rsid w:val="008423F2"/>
    <w:rsid w:val="00842A30"/>
    <w:rsid w:val="00842F71"/>
    <w:rsid w:val="00843179"/>
    <w:rsid w:val="0084386A"/>
    <w:rsid w:val="00843E0E"/>
    <w:rsid w:val="008442EA"/>
    <w:rsid w:val="00844589"/>
    <w:rsid w:val="00844794"/>
    <w:rsid w:val="00844FE7"/>
    <w:rsid w:val="00845969"/>
    <w:rsid w:val="00845F37"/>
    <w:rsid w:val="00845FF5"/>
    <w:rsid w:val="00846001"/>
    <w:rsid w:val="0084615D"/>
    <w:rsid w:val="0084642A"/>
    <w:rsid w:val="008465C4"/>
    <w:rsid w:val="00846710"/>
    <w:rsid w:val="008469E8"/>
    <w:rsid w:val="00846DBD"/>
    <w:rsid w:val="008478ED"/>
    <w:rsid w:val="00851728"/>
    <w:rsid w:val="00851DFF"/>
    <w:rsid w:val="00853084"/>
    <w:rsid w:val="00853142"/>
    <w:rsid w:val="008540A6"/>
    <w:rsid w:val="00854420"/>
    <w:rsid w:val="00854481"/>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E37"/>
    <w:rsid w:val="00866F9E"/>
    <w:rsid w:val="008672E2"/>
    <w:rsid w:val="00867737"/>
    <w:rsid w:val="0086793D"/>
    <w:rsid w:val="00867B1C"/>
    <w:rsid w:val="008713D6"/>
    <w:rsid w:val="00871643"/>
    <w:rsid w:val="0087281D"/>
    <w:rsid w:val="008732D8"/>
    <w:rsid w:val="00873377"/>
    <w:rsid w:val="00873577"/>
    <w:rsid w:val="0087409F"/>
    <w:rsid w:val="00874553"/>
    <w:rsid w:val="00874D58"/>
    <w:rsid w:val="008750D2"/>
    <w:rsid w:val="00875AB5"/>
    <w:rsid w:val="00875AFA"/>
    <w:rsid w:val="00875C91"/>
    <w:rsid w:val="00875F85"/>
    <w:rsid w:val="00876C6B"/>
    <w:rsid w:val="00876DC9"/>
    <w:rsid w:val="00877125"/>
    <w:rsid w:val="008777C2"/>
    <w:rsid w:val="008806C8"/>
    <w:rsid w:val="008811D6"/>
    <w:rsid w:val="00881511"/>
    <w:rsid w:val="00882448"/>
    <w:rsid w:val="00882A37"/>
    <w:rsid w:val="00882F1D"/>
    <w:rsid w:val="00883A4D"/>
    <w:rsid w:val="00883B21"/>
    <w:rsid w:val="00883F8F"/>
    <w:rsid w:val="00884235"/>
    <w:rsid w:val="00885285"/>
    <w:rsid w:val="00885985"/>
    <w:rsid w:val="00886699"/>
    <w:rsid w:val="0088709A"/>
    <w:rsid w:val="0089199F"/>
    <w:rsid w:val="00891C32"/>
    <w:rsid w:val="00891D7F"/>
    <w:rsid w:val="00892265"/>
    <w:rsid w:val="0089233E"/>
    <w:rsid w:val="0089330E"/>
    <w:rsid w:val="00893A8E"/>
    <w:rsid w:val="00893CD8"/>
    <w:rsid w:val="00893E27"/>
    <w:rsid w:val="008945F7"/>
    <w:rsid w:val="0089463D"/>
    <w:rsid w:val="0089554F"/>
    <w:rsid w:val="008955E6"/>
    <w:rsid w:val="00895B5F"/>
    <w:rsid w:val="0089637C"/>
    <w:rsid w:val="00896712"/>
    <w:rsid w:val="00896870"/>
    <w:rsid w:val="008969BD"/>
    <w:rsid w:val="008A13BD"/>
    <w:rsid w:val="008A1596"/>
    <w:rsid w:val="008A16CE"/>
    <w:rsid w:val="008A1EDF"/>
    <w:rsid w:val="008A2695"/>
    <w:rsid w:val="008A2DC9"/>
    <w:rsid w:val="008A2FF1"/>
    <w:rsid w:val="008A32D4"/>
    <w:rsid w:val="008A367F"/>
    <w:rsid w:val="008A37AF"/>
    <w:rsid w:val="008A3D62"/>
    <w:rsid w:val="008A448D"/>
    <w:rsid w:val="008A4A55"/>
    <w:rsid w:val="008A506F"/>
    <w:rsid w:val="008A528A"/>
    <w:rsid w:val="008A5298"/>
    <w:rsid w:val="008A535A"/>
    <w:rsid w:val="008A5FBC"/>
    <w:rsid w:val="008A62DB"/>
    <w:rsid w:val="008A69C9"/>
    <w:rsid w:val="008A720F"/>
    <w:rsid w:val="008A7C72"/>
    <w:rsid w:val="008B04F2"/>
    <w:rsid w:val="008B0D0E"/>
    <w:rsid w:val="008B12BB"/>
    <w:rsid w:val="008B1411"/>
    <w:rsid w:val="008B17A2"/>
    <w:rsid w:val="008B25F2"/>
    <w:rsid w:val="008B2643"/>
    <w:rsid w:val="008B2B2B"/>
    <w:rsid w:val="008B2FAE"/>
    <w:rsid w:val="008B3317"/>
    <w:rsid w:val="008B414B"/>
    <w:rsid w:val="008B45ED"/>
    <w:rsid w:val="008B4E0E"/>
    <w:rsid w:val="008B4FB9"/>
    <w:rsid w:val="008B5715"/>
    <w:rsid w:val="008B5A2D"/>
    <w:rsid w:val="008B5BC2"/>
    <w:rsid w:val="008B60BB"/>
    <w:rsid w:val="008B6732"/>
    <w:rsid w:val="008B6786"/>
    <w:rsid w:val="008B68EC"/>
    <w:rsid w:val="008B711E"/>
    <w:rsid w:val="008C042F"/>
    <w:rsid w:val="008C057B"/>
    <w:rsid w:val="008C0CAC"/>
    <w:rsid w:val="008C13B4"/>
    <w:rsid w:val="008C1557"/>
    <w:rsid w:val="008C1B8C"/>
    <w:rsid w:val="008C229B"/>
    <w:rsid w:val="008C2306"/>
    <w:rsid w:val="008C2378"/>
    <w:rsid w:val="008C26D1"/>
    <w:rsid w:val="008C2B7F"/>
    <w:rsid w:val="008C36AC"/>
    <w:rsid w:val="008C3C35"/>
    <w:rsid w:val="008C4953"/>
    <w:rsid w:val="008C4E44"/>
    <w:rsid w:val="008C6255"/>
    <w:rsid w:val="008C684B"/>
    <w:rsid w:val="008C6ABD"/>
    <w:rsid w:val="008C6F18"/>
    <w:rsid w:val="008C7685"/>
    <w:rsid w:val="008D007A"/>
    <w:rsid w:val="008D07DE"/>
    <w:rsid w:val="008D0831"/>
    <w:rsid w:val="008D0E40"/>
    <w:rsid w:val="008D1822"/>
    <w:rsid w:val="008D1E7F"/>
    <w:rsid w:val="008D2367"/>
    <w:rsid w:val="008D427A"/>
    <w:rsid w:val="008D4DD5"/>
    <w:rsid w:val="008D513D"/>
    <w:rsid w:val="008D5657"/>
    <w:rsid w:val="008D6752"/>
    <w:rsid w:val="008D69A5"/>
    <w:rsid w:val="008D69E7"/>
    <w:rsid w:val="008D6FC1"/>
    <w:rsid w:val="008D78FF"/>
    <w:rsid w:val="008E0140"/>
    <w:rsid w:val="008E01C0"/>
    <w:rsid w:val="008E0639"/>
    <w:rsid w:val="008E0688"/>
    <w:rsid w:val="008E0BEF"/>
    <w:rsid w:val="008E228F"/>
    <w:rsid w:val="008E266D"/>
    <w:rsid w:val="008E2D6C"/>
    <w:rsid w:val="008E2F0C"/>
    <w:rsid w:val="008E3E23"/>
    <w:rsid w:val="008E547B"/>
    <w:rsid w:val="008E5DF8"/>
    <w:rsid w:val="008E618D"/>
    <w:rsid w:val="008F0250"/>
    <w:rsid w:val="008F11F4"/>
    <w:rsid w:val="008F1952"/>
    <w:rsid w:val="008F254D"/>
    <w:rsid w:val="008F310B"/>
    <w:rsid w:val="008F322B"/>
    <w:rsid w:val="008F34CB"/>
    <w:rsid w:val="008F3519"/>
    <w:rsid w:val="008F3AD3"/>
    <w:rsid w:val="008F3CA7"/>
    <w:rsid w:val="008F443F"/>
    <w:rsid w:val="008F5DE5"/>
    <w:rsid w:val="008F5E42"/>
    <w:rsid w:val="008F63B1"/>
    <w:rsid w:val="008F6973"/>
    <w:rsid w:val="008F6E6A"/>
    <w:rsid w:val="008F7AA7"/>
    <w:rsid w:val="00900947"/>
    <w:rsid w:val="00900EB8"/>
    <w:rsid w:val="00900FBA"/>
    <w:rsid w:val="009025BA"/>
    <w:rsid w:val="00902E5B"/>
    <w:rsid w:val="00903FD9"/>
    <w:rsid w:val="00904CF5"/>
    <w:rsid w:val="00904F54"/>
    <w:rsid w:val="00905259"/>
    <w:rsid w:val="0090556C"/>
    <w:rsid w:val="00905633"/>
    <w:rsid w:val="00905EAE"/>
    <w:rsid w:val="009060C4"/>
    <w:rsid w:val="00906C91"/>
    <w:rsid w:val="00906C95"/>
    <w:rsid w:val="00907656"/>
    <w:rsid w:val="00907E47"/>
    <w:rsid w:val="009115EF"/>
    <w:rsid w:val="009116DD"/>
    <w:rsid w:val="00912D1C"/>
    <w:rsid w:val="00913019"/>
    <w:rsid w:val="00913F1E"/>
    <w:rsid w:val="00913FB2"/>
    <w:rsid w:val="009140C4"/>
    <w:rsid w:val="009144A9"/>
    <w:rsid w:val="0091468B"/>
    <w:rsid w:val="0091526F"/>
    <w:rsid w:val="009153D2"/>
    <w:rsid w:val="00915BC6"/>
    <w:rsid w:val="00915EC0"/>
    <w:rsid w:val="00916286"/>
    <w:rsid w:val="00916595"/>
    <w:rsid w:val="00916C47"/>
    <w:rsid w:val="0091713F"/>
    <w:rsid w:val="009171AD"/>
    <w:rsid w:val="00917569"/>
    <w:rsid w:val="00920174"/>
    <w:rsid w:val="00920852"/>
    <w:rsid w:val="009219D2"/>
    <w:rsid w:val="00921A4E"/>
    <w:rsid w:val="00921E37"/>
    <w:rsid w:val="00922511"/>
    <w:rsid w:val="00922F07"/>
    <w:rsid w:val="00923463"/>
    <w:rsid w:val="009236E7"/>
    <w:rsid w:val="00925238"/>
    <w:rsid w:val="00925ACF"/>
    <w:rsid w:val="0092615D"/>
    <w:rsid w:val="00926546"/>
    <w:rsid w:val="009265A1"/>
    <w:rsid w:val="00927700"/>
    <w:rsid w:val="0093036E"/>
    <w:rsid w:val="00931224"/>
    <w:rsid w:val="009333D3"/>
    <w:rsid w:val="009339B6"/>
    <w:rsid w:val="00933B4C"/>
    <w:rsid w:val="00933DC4"/>
    <w:rsid w:val="0093431B"/>
    <w:rsid w:val="009346D6"/>
    <w:rsid w:val="00934743"/>
    <w:rsid w:val="0093487E"/>
    <w:rsid w:val="00934FFE"/>
    <w:rsid w:val="00936405"/>
    <w:rsid w:val="00936B64"/>
    <w:rsid w:val="00937371"/>
    <w:rsid w:val="009379C4"/>
    <w:rsid w:val="0094041A"/>
    <w:rsid w:val="009404E8"/>
    <w:rsid w:val="00940938"/>
    <w:rsid w:val="00940D32"/>
    <w:rsid w:val="0094190D"/>
    <w:rsid w:val="00942354"/>
    <w:rsid w:val="00942681"/>
    <w:rsid w:val="00943A7E"/>
    <w:rsid w:val="00943E42"/>
    <w:rsid w:val="00943E5D"/>
    <w:rsid w:val="00944728"/>
    <w:rsid w:val="009453E8"/>
    <w:rsid w:val="00945664"/>
    <w:rsid w:val="00945AD1"/>
    <w:rsid w:val="0094613D"/>
    <w:rsid w:val="00946ECB"/>
    <w:rsid w:val="00947268"/>
    <w:rsid w:val="0094750E"/>
    <w:rsid w:val="00947C94"/>
    <w:rsid w:val="0095019C"/>
    <w:rsid w:val="009507C8"/>
    <w:rsid w:val="0095115E"/>
    <w:rsid w:val="0095118A"/>
    <w:rsid w:val="00951B55"/>
    <w:rsid w:val="00952468"/>
    <w:rsid w:val="0095463E"/>
    <w:rsid w:val="00954767"/>
    <w:rsid w:val="0095487A"/>
    <w:rsid w:val="009548FB"/>
    <w:rsid w:val="0095538B"/>
    <w:rsid w:val="00957AF7"/>
    <w:rsid w:val="009604CB"/>
    <w:rsid w:val="00960ACA"/>
    <w:rsid w:val="00960C4F"/>
    <w:rsid w:val="00960D36"/>
    <w:rsid w:val="00960E4F"/>
    <w:rsid w:val="0096217C"/>
    <w:rsid w:val="00962441"/>
    <w:rsid w:val="00963277"/>
    <w:rsid w:val="00964B53"/>
    <w:rsid w:val="00964C3F"/>
    <w:rsid w:val="00964C6C"/>
    <w:rsid w:val="00965176"/>
    <w:rsid w:val="00965240"/>
    <w:rsid w:val="00965847"/>
    <w:rsid w:val="00965A3E"/>
    <w:rsid w:val="00965C48"/>
    <w:rsid w:val="009669D6"/>
    <w:rsid w:val="00966C10"/>
    <w:rsid w:val="00966D9D"/>
    <w:rsid w:val="00966E4A"/>
    <w:rsid w:val="00967041"/>
    <w:rsid w:val="009670C6"/>
    <w:rsid w:val="00970918"/>
    <w:rsid w:val="0097099E"/>
    <w:rsid w:val="00970D6C"/>
    <w:rsid w:val="00971761"/>
    <w:rsid w:val="0097216F"/>
    <w:rsid w:val="00972C3B"/>
    <w:rsid w:val="00973057"/>
    <w:rsid w:val="00974D50"/>
    <w:rsid w:val="009751AF"/>
    <w:rsid w:val="00975326"/>
    <w:rsid w:val="00975DEA"/>
    <w:rsid w:val="009777E2"/>
    <w:rsid w:val="00977CDF"/>
    <w:rsid w:val="0098043F"/>
    <w:rsid w:val="00980D10"/>
    <w:rsid w:val="00981038"/>
    <w:rsid w:val="0098106E"/>
    <w:rsid w:val="00981511"/>
    <w:rsid w:val="00981D1C"/>
    <w:rsid w:val="00981E1C"/>
    <w:rsid w:val="00982118"/>
    <w:rsid w:val="00982C62"/>
    <w:rsid w:val="00982C91"/>
    <w:rsid w:val="00982F76"/>
    <w:rsid w:val="00982FA3"/>
    <w:rsid w:val="009840FD"/>
    <w:rsid w:val="009842EC"/>
    <w:rsid w:val="00984701"/>
    <w:rsid w:val="00984847"/>
    <w:rsid w:val="00984BEC"/>
    <w:rsid w:val="00985EB8"/>
    <w:rsid w:val="00985FB3"/>
    <w:rsid w:val="00986566"/>
    <w:rsid w:val="00986CC1"/>
    <w:rsid w:val="00986F4E"/>
    <w:rsid w:val="00987191"/>
    <w:rsid w:val="00987A5A"/>
    <w:rsid w:val="00987CB4"/>
    <w:rsid w:val="0099097E"/>
    <w:rsid w:val="009921FC"/>
    <w:rsid w:val="0099272B"/>
    <w:rsid w:val="00992A0E"/>
    <w:rsid w:val="00992E2B"/>
    <w:rsid w:val="0099399E"/>
    <w:rsid w:val="0099413C"/>
    <w:rsid w:val="00994230"/>
    <w:rsid w:val="0099479E"/>
    <w:rsid w:val="009951D8"/>
    <w:rsid w:val="00995355"/>
    <w:rsid w:val="0099586F"/>
    <w:rsid w:val="0099719E"/>
    <w:rsid w:val="009A0169"/>
    <w:rsid w:val="009A1B56"/>
    <w:rsid w:val="009A3C93"/>
    <w:rsid w:val="009A3FD0"/>
    <w:rsid w:val="009A48F3"/>
    <w:rsid w:val="009A5099"/>
    <w:rsid w:val="009A51C7"/>
    <w:rsid w:val="009A59EC"/>
    <w:rsid w:val="009A5B0D"/>
    <w:rsid w:val="009A5C56"/>
    <w:rsid w:val="009A5CA8"/>
    <w:rsid w:val="009A6AD0"/>
    <w:rsid w:val="009A6ED0"/>
    <w:rsid w:val="009A706A"/>
    <w:rsid w:val="009A71AB"/>
    <w:rsid w:val="009A7745"/>
    <w:rsid w:val="009A7C3D"/>
    <w:rsid w:val="009B00A0"/>
    <w:rsid w:val="009B0156"/>
    <w:rsid w:val="009B0295"/>
    <w:rsid w:val="009B05BA"/>
    <w:rsid w:val="009B0660"/>
    <w:rsid w:val="009B1B0E"/>
    <w:rsid w:val="009B2596"/>
    <w:rsid w:val="009B42B6"/>
    <w:rsid w:val="009B42CC"/>
    <w:rsid w:val="009B43D6"/>
    <w:rsid w:val="009B5081"/>
    <w:rsid w:val="009B57D7"/>
    <w:rsid w:val="009B6985"/>
    <w:rsid w:val="009B69B3"/>
    <w:rsid w:val="009B7011"/>
    <w:rsid w:val="009B71E4"/>
    <w:rsid w:val="009C00F7"/>
    <w:rsid w:val="009C04EE"/>
    <w:rsid w:val="009C0CD4"/>
    <w:rsid w:val="009C15E7"/>
    <w:rsid w:val="009C17C8"/>
    <w:rsid w:val="009C26D7"/>
    <w:rsid w:val="009C385B"/>
    <w:rsid w:val="009C3E3C"/>
    <w:rsid w:val="009C416A"/>
    <w:rsid w:val="009C424E"/>
    <w:rsid w:val="009C4353"/>
    <w:rsid w:val="009C49C2"/>
    <w:rsid w:val="009C4E2D"/>
    <w:rsid w:val="009C58BE"/>
    <w:rsid w:val="009C60BB"/>
    <w:rsid w:val="009C62C0"/>
    <w:rsid w:val="009C6A88"/>
    <w:rsid w:val="009C765D"/>
    <w:rsid w:val="009C7ADA"/>
    <w:rsid w:val="009D000A"/>
    <w:rsid w:val="009D01AA"/>
    <w:rsid w:val="009D1A86"/>
    <w:rsid w:val="009D1E12"/>
    <w:rsid w:val="009D2DA9"/>
    <w:rsid w:val="009D2E93"/>
    <w:rsid w:val="009D2EA9"/>
    <w:rsid w:val="009D3038"/>
    <w:rsid w:val="009D34C0"/>
    <w:rsid w:val="009D35FB"/>
    <w:rsid w:val="009D4BBE"/>
    <w:rsid w:val="009D4E16"/>
    <w:rsid w:val="009D5893"/>
    <w:rsid w:val="009D6620"/>
    <w:rsid w:val="009D6C54"/>
    <w:rsid w:val="009D72B0"/>
    <w:rsid w:val="009D77CE"/>
    <w:rsid w:val="009D7DE3"/>
    <w:rsid w:val="009E004A"/>
    <w:rsid w:val="009E066B"/>
    <w:rsid w:val="009E1515"/>
    <w:rsid w:val="009E1CFF"/>
    <w:rsid w:val="009E1FEE"/>
    <w:rsid w:val="009E23EA"/>
    <w:rsid w:val="009E2B9C"/>
    <w:rsid w:val="009E2D24"/>
    <w:rsid w:val="009E2EA0"/>
    <w:rsid w:val="009E305F"/>
    <w:rsid w:val="009E36FF"/>
    <w:rsid w:val="009E37D3"/>
    <w:rsid w:val="009E416E"/>
    <w:rsid w:val="009E5028"/>
    <w:rsid w:val="009E50FB"/>
    <w:rsid w:val="009E5280"/>
    <w:rsid w:val="009E5386"/>
    <w:rsid w:val="009E5DD1"/>
    <w:rsid w:val="009E60AD"/>
    <w:rsid w:val="009E60DB"/>
    <w:rsid w:val="009E68C8"/>
    <w:rsid w:val="009E6AB5"/>
    <w:rsid w:val="009E6DAB"/>
    <w:rsid w:val="009E6F4B"/>
    <w:rsid w:val="009E703C"/>
    <w:rsid w:val="009E7E4C"/>
    <w:rsid w:val="009F08F5"/>
    <w:rsid w:val="009F0956"/>
    <w:rsid w:val="009F0EE5"/>
    <w:rsid w:val="009F1264"/>
    <w:rsid w:val="009F245B"/>
    <w:rsid w:val="009F25E6"/>
    <w:rsid w:val="009F2BE8"/>
    <w:rsid w:val="009F2F09"/>
    <w:rsid w:val="009F39A7"/>
    <w:rsid w:val="009F40B7"/>
    <w:rsid w:val="009F4188"/>
    <w:rsid w:val="009F4302"/>
    <w:rsid w:val="009F4393"/>
    <w:rsid w:val="009F4BE9"/>
    <w:rsid w:val="009F5194"/>
    <w:rsid w:val="009F62D3"/>
    <w:rsid w:val="00A00112"/>
    <w:rsid w:val="00A008B5"/>
    <w:rsid w:val="00A017B4"/>
    <w:rsid w:val="00A01C53"/>
    <w:rsid w:val="00A01D38"/>
    <w:rsid w:val="00A02414"/>
    <w:rsid w:val="00A025B9"/>
    <w:rsid w:val="00A0355C"/>
    <w:rsid w:val="00A03A13"/>
    <w:rsid w:val="00A040CD"/>
    <w:rsid w:val="00A04429"/>
    <w:rsid w:val="00A06446"/>
    <w:rsid w:val="00A06697"/>
    <w:rsid w:val="00A06C40"/>
    <w:rsid w:val="00A07170"/>
    <w:rsid w:val="00A10517"/>
    <w:rsid w:val="00A10586"/>
    <w:rsid w:val="00A10707"/>
    <w:rsid w:val="00A10A48"/>
    <w:rsid w:val="00A110DA"/>
    <w:rsid w:val="00A1132B"/>
    <w:rsid w:val="00A11930"/>
    <w:rsid w:val="00A119A0"/>
    <w:rsid w:val="00A11B54"/>
    <w:rsid w:val="00A11CDC"/>
    <w:rsid w:val="00A1238C"/>
    <w:rsid w:val="00A123D0"/>
    <w:rsid w:val="00A1263D"/>
    <w:rsid w:val="00A12AF2"/>
    <w:rsid w:val="00A12D8A"/>
    <w:rsid w:val="00A12E6C"/>
    <w:rsid w:val="00A136D0"/>
    <w:rsid w:val="00A13D1A"/>
    <w:rsid w:val="00A14001"/>
    <w:rsid w:val="00A14DC2"/>
    <w:rsid w:val="00A14DD6"/>
    <w:rsid w:val="00A15D5E"/>
    <w:rsid w:val="00A15F5E"/>
    <w:rsid w:val="00A161F8"/>
    <w:rsid w:val="00A169FA"/>
    <w:rsid w:val="00A1766A"/>
    <w:rsid w:val="00A200F4"/>
    <w:rsid w:val="00A206C9"/>
    <w:rsid w:val="00A20C27"/>
    <w:rsid w:val="00A20E7D"/>
    <w:rsid w:val="00A216BC"/>
    <w:rsid w:val="00A23931"/>
    <w:rsid w:val="00A23FD6"/>
    <w:rsid w:val="00A25317"/>
    <w:rsid w:val="00A25706"/>
    <w:rsid w:val="00A25C43"/>
    <w:rsid w:val="00A25D84"/>
    <w:rsid w:val="00A26029"/>
    <w:rsid w:val="00A262E4"/>
    <w:rsid w:val="00A268EA"/>
    <w:rsid w:val="00A27448"/>
    <w:rsid w:val="00A31CE0"/>
    <w:rsid w:val="00A31FA9"/>
    <w:rsid w:val="00A333BF"/>
    <w:rsid w:val="00A33825"/>
    <w:rsid w:val="00A3398F"/>
    <w:rsid w:val="00A35583"/>
    <w:rsid w:val="00A363EF"/>
    <w:rsid w:val="00A36DFE"/>
    <w:rsid w:val="00A370FD"/>
    <w:rsid w:val="00A3798C"/>
    <w:rsid w:val="00A37DD9"/>
    <w:rsid w:val="00A40ED7"/>
    <w:rsid w:val="00A40F83"/>
    <w:rsid w:val="00A412BA"/>
    <w:rsid w:val="00A412CB"/>
    <w:rsid w:val="00A41416"/>
    <w:rsid w:val="00A4200D"/>
    <w:rsid w:val="00A424BF"/>
    <w:rsid w:val="00A4258E"/>
    <w:rsid w:val="00A4308E"/>
    <w:rsid w:val="00A432D1"/>
    <w:rsid w:val="00A43716"/>
    <w:rsid w:val="00A441C4"/>
    <w:rsid w:val="00A442C5"/>
    <w:rsid w:val="00A44712"/>
    <w:rsid w:val="00A44AF5"/>
    <w:rsid w:val="00A44B8B"/>
    <w:rsid w:val="00A44F67"/>
    <w:rsid w:val="00A45EC4"/>
    <w:rsid w:val="00A46EB0"/>
    <w:rsid w:val="00A47212"/>
    <w:rsid w:val="00A474EA"/>
    <w:rsid w:val="00A475BB"/>
    <w:rsid w:val="00A501B2"/>
    <w:rsid w:val="00A5034A"/>
    <w:rsid w:val="00A50FFA"/>
    <w:rsid w:val="00A539D1"/>
    <w:rsid w:val="00A54DAE"/>
    <w:rsid w:val="00A56D3B"/>
    <w:rsid w:val="00A57450"/>
    <w:rsid w:val="00A57479"/>
    <w:rsid w:val="00A57C08"/>
    <w:rsid w:val="00A600D9"/>
    <w:rsid w:val="00A604CD"/>
    <w:rsid w:val="00A621E7"/>
    <w:rsid w:val="00A628EC"/>
    <w:rsid w:val="00A637A0"/>
    <w:rsid w:val="00A63ECD"/>
    <w:rsid w:val="00A64093"/>
    <w:rsid w:val="00A640EB"/>
    <w:rsid w:val="00A647DC"/>
    <w:rsid w:val="00A64815"/>
    <w:rsid w:val="00A65043"/>
    <w:rsid w:val="00A66DF9"/>
    <w:rsid w:val="00A704E4"/>
    <w:rsid w:val="00A7136A"/>
    <w:rsid w:val="00A71C44"/>
    <w:rsid w:val="00A72296"/>
    <w:rsid w:val="00A7388E"/>
    <w:rsid w:val="00A73C57"/>
    <w:rsid w:val="00A74544"/>
    <w:rsid w:val="00A74548"/>
    <w:rsid w:val="00A74DF2"/>
    <w:rsid w:val="00A74E4D"/>
    <w:rsid w:val="00A7510A"/>
    <w:rsid w:val="00A7592E"/>
    <w:rsid w:val="00A75FC7"/>
    <w:rsid w:val="00A76913"/>
    <w:rsid w:val="00A76C1F"/>
    <w:rsid w:val="00A803FC"/>
    <w:rsid w:val="00A8071A"/>
    <w:rsid w:val="00A80B7C"/>
    <w:rsid w:val="00A80DD9"/>
    <w:rsid w:val="00A80FCA"/>
    <w:rsid w:val="00A81CBC"/>
    <w:rsid w:val="00A822D3"/>
    <w:rsid w:val="00A82506"/>
    <w:rsid w:val="00A837CE"/>
    <w:rsid w:val="00A83DB5"/>
    <w:rsid w:val="00A83FBA"/>
    <w:rsid w:val="00A84636"/>
    <w:rsid w:val="00A84FE1"/>
    <w:rsid w:val="00A85080"/>
    <w:rsid w:val="00A85E40"/>
    <w:rsid w:val="00A86406"/>
    <w:rsid w:val="00A86853"/>
    <w:rsid w:val="00A86B75"/>
    <w:rsid w:val="00A86E75"/>
    <w:rsid w:val="00A86F33"/>
    <w:rsid w:val="00A9065F"/>
    <w:rsid w:val="00A90B0E"/>
    <w:rsid w:val="00A91AA1"/>
    <w:rsid w:val="00A91C8C"/>
    <w:rsid w:val="00A91F0D"/>
    <w:rsid w:val="00A9235A"/>
    <w:rsid w:val="00A92FF7"/>
    <w:rsid w:val="00A93069"/>
    <w:rsid w:val="00A9468F"/>
    <w:rsid w:val="00A9498D"/>
    <w:rsid w:val="00A95335"/>
    <w:rsid w:val="00A9566B"/>
    <w:rsid w:val="00A9657F"/>
    <w:rsid w:val="00A9797D"/>
    <w:rsid w:val="00AA015F"/>
    <w:rsid w:val="00AA0C3A"/>
    <w:rsid w:val="00AA1723"/>
    <w:rsid w:val="00AA190D"/>
    <w:rsid w:val="00AA1FDD"/>
    <w:rsid w:val="00AA22C3"/>
    <w:rsid w:val="00AA230D"/>
    <w:rsid w:val="00AA3FB2"/>
    <w:rsid w:val="00AA4941"/>
    <w:rsid w:val="00AA49E9"/>
    <w:rsid w:val="00AA5475"/>
    <w:rsid w:val="00AA5876"/>
    <w:rsid w:val="00AA6733"/>
    <w:rsid w:val="00AA6A8A"/>
    <w:rsid w:val="00AA6DD8"/>
    <w:rsid w:val="00AA6FA3"/>
    <w:rsid w:val="00AA70BB"/>
    <w:rsid w:val="00AA757C"/>
    <w:rsid w:val="00AA7F10"/>
    <w:rsid w:val="00AB0309"/>
    <w:rsid w:val="00AB0391"/>
    <w:rsid w:val="00AB2151"/>
    <w:rsid w:val="00AB2C59"/>
    <w:rsid w:val="00AB2C8A"/>
    <w:rsid w:val="00AB42B6"/>
    <w:rsid w:val="00AB4D67"/>
    <w:rsid w:val="00AB545D"/>
    <w:rsid w:val="00AB54D7"/>
    <w:rsid w:val="00AB57D3"/>
    <w:rsid w:val="00AB59BE"/>
    <w:rsid w:val="00AB6886"/>
    <w:rsid w:val="00AB6AE4"/>
    <w:rsid w:val="00AB6E00"/>
    <w:rsid w:val="00AB6F37"/>
    <w:rsid w:val="00AB769E"/>
    <w:rsid w:val="00AB7D55"/>
    <w:rsid w:val="00AC0681"/>
    <w:rsid w:val="00AC154B"/>
    <w:rsid w:val="00AC1B72"/>
    <w:rsid w:val="00AC26FE"/>
    <w:rsid w:val="00AC350D"/>
    <w:rsid w:val="00AC3568"/>
    <w:rsid w:val="00AC3CF2"/>
    <w:rsid w:val="00AC47EC"/>
    <w:rsid w:val="00AC4BDB"/>
    <w:rsid w:val="00AC4E5D"/>
    <w:rsid w:val="00AC6C53"/>
    <w:rsid w:val="00AC6E85"/>
    <w:rsid w:val="00AC7284"/>
    <w:rsid w:val="00AC7CE6"/>
    <w:rsid w:val="00AD0828"/>
    <w:rsid w:val="00AD0B13"/>
    <w:rsid w:val="00AD0E69"/>
    <w:rsid w:val="00AD103D"/>
    <w:rsid w:val="00AD159C"/>
    <w:rsid w:val="00AD17FA"/>
    <w:rsid w:val="00AD19EC"/>
    <w:rsid w:val="00AD2717"/>
    <w:rsid w:val="00AD3DC4"/>
    <w:rsid w:val="00AD4FF4"/>
    <w:rsid w:val="00AD531D"/>
    <w:rsid w:val="00AD600C"/>
    <w:rsid w:val="00AD63D6"/>
    <w:rsid w:val="00AD6CD5"/>
    <w:rsid w:val="00AD733B"/>
    <w:rsid w:val="00AD7CA7"/>
    <w:rsid w:val="00AE0040"/>
    <w:rsid w:val="00AE096A"/>
    <w:rsid w:val="00AE184D"/>
    <w:rsid w:val="00AE1C03"/>
    <w:rsid w:val="00AE23E3"/>
    <w:rsid w:val="00AE2F65"/>
    <w:rsid w:val="00AE317E"/>
    <w:rsid w:val="00AE35A5"/>
    <w:rsid w:val="00AE4E2A"/>
    <w:rsid w:val="00AE5CF9"/>
    <w:rsid w:val="00AE5DB6"/>
    <w:rsid w:val="00AE5E01"/>
    <w:rsid w:val="00AE6C3C"/>
    <w:rsid w:val="00AE702E"/>
    <w:rsid w:val="00AE73E0"/>
    <w:rsid w:val="00AF03C0"/>
    <w:rsid w:val="00AF166F"/>
    <w:rsid w:val="00AF1C03"/>
    <w:rsid w:val="00AF2058"/>
    <w:rsid w:val="00AF2EAE"/>
    <w:rsid w:val="00AF39AF"/>
    <w:rsid w:val="00AF3E3B"/>
    <w:rsid w:val="00AF3E5A"/>
    <w:rsid w:val="00AF4136"/>
    <w:rsid w:val="00AF46FE"/>
    <w:rsid w:val="00AF486F"/>
    <w:rsid w:val="00AF510C"/>
    <w:rsid w:val="00AF548B"/>
    <w:rsid w:val="00AF55E0"/>
    <w:rsid w:val="00AF5666"/>
    <w:rsid w:val="00AF5870"/>
    <w:rsid w:val="00AF6619"/>
    <w:rsid w:val="00AF6CFD"/>
    <w:rsid w:val="00AF7DC1"/>
    <w:rsid w:val="00B000AE"/>
    <w:rsid w:val="00B0040B"/>
    <w:rsid w:val="00B0067B"/>
    <w:rsid w:val="00B00830"/>
    <w:rsid w:val="00B00AB5"/>
    <w:rsid w:val="00B00CC0"/>
    <w:rsid w:val="00B00F5C"/>
    <w:rsid w:val="00B019C1"/>
    <w:rsid w:val="00B0236E"/>
    <w:rsid w:val="00B02506"/>
    <w:rsid w:val="00B02ACE"/>
    <w:rsid w:val="00B03913"/>
    <w:rsid w:val="00B04CEA"/>
    <w:rsid w:val="00B05607"/>
    <w:rsid w:val="00B05A08"/>
    <w:rsid w:val="00B05F14"/>
    <w:rsid w:val="00B06737"/>
    <w:rsid w:val="00B0784C"/>
    <w:rsid w:val="00B07CE9"/>
    <w:rsid w:val="00B101D5"/>
    <w:rsid w:val="00B10633"/>
    <w:rsid w:val="00B10B08"/>
    <w:rsid w:val="00B11A78"/>
    <w:rsid w:val="00B11CFB"/>
    <w:rsid w:val="00B12111"/>
    <w:rsid w:val="00B13172"/>
    <w:rsid w:val="00B13E18"/>
    <w:rsid w:val="00B14109"/>
    <w:rsid w:val="00B14410"/>
    <w:rsid w:val="00B1486D"/>
    <w:rsid w:val="00B150D6"/>
    <w:rsid w:val="00B15373"/>
    <w:rsid w:val="00B15639"/>
    <w:rsid w:val="00B15D15"/>
    <w:rsid w:val="00B15E42"/>
    <w:rsid w:val="00B15EEE"/>
    <w:rsid w:val="00B16198"/>
    <w:rsid w:val="00B16A2C"/>
    <w:rsid w:val="00B16E83"/>
    <w:rsid w:val="00B16FB6"/>
    <w:rsid w:val="00B17022"/>
    <w:rsid w:val="00B17CE0"/>
    <w:rsid w:val="00B20934"/>
    <w:rsid w:val="00B21736"/>
    <w:rsid w:val="00B218B1"/>
    <w:rsid w:val="00B21A33"/>
    <w:rsid w:val="00B224AA"/>
    <w:rsid w:val="00B22998"/>
    <w:rsid w:val="00B229FE"/>
    <w:rsid w:val="00B2302B"/>
    <w:rsid w:val="00B24363"/>
    <w:rsid w:val="00B2456E"/>
    <w:rsid w:val="00B24979"/>
    <w:rsid w:val="00B250A5"/>
    <w:rsid w:val="00B25447"/>
    <w:rsid w:val="00B25651"/>
    <w:rsid w:val="00B26937"/>
    <w:rsid w:val="00B30243"/>
    <w:rsid w:val="00B30421"/>
    <w:rsid w:val="00B30DC8"/>
    <w:rsid w:val="00B315BB"/>
    <w:rsid w:val="00B31977"/>
    <w:rsid w:val="00B3235A"/>
    <w:rsid w:val="00B32403"/>
    <w:rsid w:val="00B32CB8"/>
    <w:rsid w:val="00B333FE"/>
    <w:rsid w:val="00B3382B"/>
    <w:rsid w:val="00B35094"/>
    <w:rsid w:val="00B350F0"/>
    <w:rsid w:val="00B357AC"/>
    <w:rsid w:val="00B35992"/>
    <w:rsid w:val="00B35E4B"/>
    <w:rsid w:val="00B35FCC"/>
    <w:rsid w:val="00B36518"/>
    <w:rsid w:val="00B378CC"/>
    <w:rsid w:val="00B3791B"/>
    <w:rsid w:val="00B37AF2"/>
    <w:rsid w:val="00B40DE9"/>
    <w:rsid w:val="00B41615"/>
    <w:rsid w:val="00B41FD8"/>
    <w:rsid w:val="00B420DF"/>
    <w:rsid w:val="00B428E2"/>
    <w:rsid w:val="00B42A2C"/>
    <w:rsid w:val="00B42A5C"/>
    <w:rsid w:val="00B42A98"/>
    <w:rsid w:val="00B42C64"/>
    <w:rsid w:val="00B448EF"/>
    <w:rsid w:val="00B44C9E"/>
    <w:rsid w:val="00B4743B"/>
    <w:rsid w:val="00B47493"/>
    <w:rsid w:val="00B474C8"/>
    <w:rsid w:val="00B474DF"/>
    <w:rsid w:val="00B47915"/>
    <w:rsid w:val="00B50494"/>
    <w:rsid w:val="00B50E18"/>
    <w:rsid w:val="00B513A9"/>
    <w:rsid w:val="00B51568"/>
    <w:rsid w:val="00B51610"/>
    <w:rsid w:val="00B5167B"/>
    <w:rsid w:val="00B520E3"/>
    <w:rsid w:val="00B52336"/>
    <w:rsid w:val="00B5388C"/>
    <w:rsid w:val="00B55CED"/>
    <w:rsid w:val="00B55D57"/>
    <w:rsid w:val="00B55F80"/>
    <w:rsid w:val="00B5618B"/>
    <w:rsid w:val="00B56480"/>
    <w:rsid w:val="00B565D6"/>
    <w:rsid w:val="00B5705A"/>
    <w:rsid w:val="00B576A4"/>
    <w:rsid w:val="00B57998"/>
    <w:rsid w:val="00B57CD0"/>
    <w:rsid w:val="00B57DA9"/>
    <w:rsid w:val="00B57EBE"/>
    <w:rsid w:val="00B60035"/>
    <w:rsid w:val="00B60177"/>
    <w:rsid w:val="00B60639"/>
    <w:rsid w:val="00B6308E"/>
    <w:rsid w:val="00B63D58"/>
    <w:rsid w:val="00B64E8A"/>
    <w:rsid w:val="00B65588"/>
    <w:rsid w:val="00B658D1"/>
    <w:rsid w:val="00B6600E"/>
    <w:rsid w:val="00B66064"/>
    <w:rsid w:val="00B66995"/>
    <w:rsid w:val="00B671A1"/>
    <w:rsid w:val="00B675A6"/>
    <w:rsid w:val="00B6794D"/>
    <w:rsid w:val="00B67B55"/>
    <w:rsid w:val="00B67C6C"/>
    <w:rsid w:val="00B70C61"/>
    <w:rsid w:val="00B70CEF"/>
    <w:rsid w:val="00B70E5A"/>
    <w:rsid w:val="00B71953"/>
    <w:rsid w:val="00B7220D"/>
    <w:rsid w:val="00B749B6"/>
    <w:rsid w:val="00B7509A"/>
    <w:rsid w:val="00B7613E"/>
    <w:rsid w:val="00B766C1"/>
    <w:rsid w:val="00B76966"/>
    <w:rsid w:val="00B76B96"/>
    <w:rsid w:val="00B76EFB"/>
    <w:rsid w:val="00B77129"/>
    <w:rsid w:val="00B771BB"/>
    <w:rsid w:val="00B77C37"/>
    <w:rsid w:val="00B807BF"/>
    <w:rsid w:val="00B809B1"/>
    <w:rsid w:val="00B8206A"/>
    <w:rsid w:val="00B82481"/>
    <w:rsid w:val="00B82543"/>
    <w:rsid w:val="00B82998"/>
    <w:rsid w:val="00B834B0"/>
    <w:rsid w:val="00B837F6"/>
    <w:rsid w:val="00B83DAE"/>
    <w:rsid w:val="00B84FB4"/>
    <w:rsid w:val="00B856A6"/>
    <w:rsid w:val="00B8756E"/>
    <w:rsid w:val="00B87DF9"/>
    <w:rsid w:val="00B91951"/>
    <w:rsid w:val="00B91A58"/>
    <w:rsid w:val="00B91B09"/>
    <w:rsid w:val="00B91EAD"/>
    <w:rsid w:val="00B920B9"/>
    <w:rsid w:val="00B930D2"/>
    <w:rsid w:val="00B937CD"/>
    <w:rsid w:val="00B938BC"/>
    <w:rsid w:val="00B93997"/>
    <w:rsid w:val="00B93C98"/>
    <w:rsid w:val="00B976BB"/>
    <w:rsid w:val="00BA01A7"/>
    <w:rsid w:val="00BA0224"/>
    <w:rsid w:val="00BA05C8"/>
    <w:rsid w:val="00BA09AA"/>
    <w:rsid w:val="00BA0AD5"/>
    <w:rsid w:val="00BA0CA0"/>
    <w:rsid w:val="00BA0E3C"/>
    <w:rsid w:val="00BA15F7"/>
    <w:rsid w:val="00BA1F74"/>
    <w:rsid w:val="00BA1F76"/>
    <w:rsid w:val="00BA1FE7"/>
    <w:rsid w:val="00BA2B1D"/>
    <w:rsid w:val="00BA3D14"/>
    <w:rsid w:val="00BA3EA9"/>
    <w:rsid w:val="00BA435A"/>
    <w:rsid w:val="00BA54BA"/>
    <w:rsid w:val="00BA5603"/>
    <w:rsid w:val="00BA56D9"/>
    <w:rsid w:val="00BA609E"/>
    <w:rsid w:val="00BA6194"/>
    <w:rsid w:val="00BA6FE7"/>
    <w:rsid w:val="00BA77C0"/>
    <w:rsid w:val="00BA7EEE"/>
    <w:rsid w:val="00BB2008"/>
    <w:rsid w:val="00BB29DF"/>
    <w:rsid w:val="00BB2CFC"/>
    <w:rsid w:val="00BB34DC"/>
    <w:rsid w:val="00BB35D0"/>
    <w:rsid w:val="00BB3AC4"/>
    <w:rsid w:val="00BB4999"/>
    <w:rsid w:val="00BB4BCD"/>
    <w:rsid w:val="00BB56C7"/>
    <w:rsid w:val="00BB5B62"/>
    <w:rsid w:val="00BB6502"/>
    <w:rsid w:val="00BB6BCD"/>
    <w:rsid w:val="00BB70F9"/>
    <w:rsid w:val="00BB7454"/>
    <w:rsid w:val="00BB7C9B"/>
    <w:rsid w:val="00BC1527"/>
    <w:rsid w:val="00BC21BD"/>
    <w:rsid w:val="00BC2306"/>
    <w:rsid w:val="00BC2B55"/>
    <w:rsid w:val="00BC2F31"/>
    <w:rsid w:val="00BC3CAF"/>
    <w:rsid w:val="00BC4036"/>
    <w:rsid w:val="00BC4F0A"/>
    <w:rsid w:val="00BC509F"/>
    <w:rsid w:val="00BC51D2"/>
    <w:rsid w:val="00BC590B"/>
    <w:rsid w:val="00BC64BE"/>
    <w:rsid w:val="00BC7155"/>
    <w:rsid w:val="00BC7550"/>
    <w:rsid w:val="00BC788B"/>
    <w:rsid w:val="00BD0931"/>
    <w:rsid w:val="00BD0B72"/>
    <w:rsid w:val="00BD0D87"/>
    <w:rsid w:val="00BD2668"/>
    <w:rsid w:val="00BD3924"/>
    <w:rsid w:val="00BD450F"/>
    <w:rsid w:val="00BD4512"/>
    <w:rsid w:val="00BD52AA"/>
    <w:rsid w:val="00BE0F0F"/>
    <w:rsid w:val="00BE1061"/>
    <w:rsid w:val="00BE1321"/>
    <w:rsid w:val="00BE2893"/>
    <w:rsid w:val="00BE2EB4"/>
    <w:rsid w:val="00BE2F5A"/>
    <w:rsid w:val="00BE37D3"/>
    <w:rsid w:val="00BE522A"/>
    <w:rsid w:val="00BE57B5"/>
    <w:rsid w:val="00BE7A7C"/>
    <w:rsid w:val="00BF0A44"/>
    <w:rsid w:val="00BF0CEC"/>
    <w:rsid w:val="00BF1323"/>
    <w:rsid w:val="00BF186C"/>
    <w:rsid w:val="00BF1A44"/>
    <w:rsid w:val="00BF1EDF"/>
    <w:rsid w:val="00BF4D3D"/>
    <w:rsid w:val="00BF5B8C"/>
    <w:rsid w:val="00BF66B7"/>
    <w:rsid w:val="00BF6A68"/>
    <w:rsid w:val="00BF7152"/>
    <w:rsid w:val="00BF7342"/>
    <w:rsid w:val="00BF73F0"/>
    <w:rsid w:val="00BF75B1"/>
    <w:rsid w:val="00BF75C9"/>
    <w:rsid w:val="00BF7BD3"/>
    <w:rsid w:val="00C00352"/>
    <w:rsid w:val="00C007CE"/>
    <w:rsid w:val="00C00A22"/>
    <w:rsid w:val="00C00F18"/>
    <w:rsid w:val="00C01D39"/>
    <w:rsid w:val="00C0200C"/>
    <w:rsid w:val="00C020A8"/>
    <w:rsid w:val="00C034A4"/>
    <w:rsid w:val="00C03DD0"/>
    <w:rsid w:val="00C04445"/>
    <w:rsid w:val="00C04705"/>
    <w:rsid w:val="00C04A7F"/>
    <w:rsid w:val="00C04E2B"/>
    <w:rsid w:val="00C051AA"/>
    <w:rsid w:val="00C060A0"/>
    <w:rsid w:val="00C07187"/>
    <w:rsid w:val="00C075C9"/>
    <w:rsid w:val="00C07FAD"/>
    <w:rsid w:val="00C106C4"/>
    <w:rsid w:val="00C111EA"/>
    <w:rsid w:val="00C119AD"/>
    <w:rsid w:val="00C1228D"/>
    <w:rsid w:val="00C13FED"/>
    <w:rsid w:val="00C14E7D"/>
    <w:rsid w:val="00C15722"/>
    <w:rsid w:val="00C16897"/>
    <w:rsid w:val="00C200C9"/>
    <w:rsid w:val="00C21D8E"/>
    <w:rsid w:val="00C2206B"/>
    <w:rsid w:val="00C22525"/>
    <w:rsid w:val="00C22EC8"/>
    <w:rsid w:val="00C23155"/>
    <w:rsid w:val="00C238B0"/>
    <w:rsid w:val="00C23DBB"/>
    <w:rsid w:val="00C23FE1"/>
    <w:rsid w:val="00C2410D"/>
    <w:rsid w:val="00C24BAF"/>
    <w:rsid w:val="00C25B8E"/>
    <w:rsid w:val="00C25F8B"/>
    <w:rsid w:val="00C2635A"/>
    <w:rsid w:val="00C265C0"/>
    <w:rsid w:val="00C26B9E"/>
    <w:rsid w:val="00C272EF"/>
    <w:rsid w:val="00C2732B"/>
    <w:rsid w:val="00C2753F"/>
    <w:rsid w:val="00C276A8"/>
    <w:rsid w:val="00C27975"/>
    <w:rsid w:val="00C300BC"/>
    <w:rsid w:val="00C3146C"/>
    <w:rsid w:val="00C318F7"/>
    <w:rsid w:val="00C319D2"/>
    <w:rsid w:val="00C31F85"/>
    <w:rsid w:val="00C32534"/>
    <w:rsid w:val="00C326EE"/>
    <w:rsid w:val="00C32951"/>
    <w:rsid w:val="00C32C02"/>
    <w:rsid w:val="00C33235"/>
    <w:rsid w:val="00C33677"/>
    <w:rsid w:val="00C34137"/>
    <w:rsid w:val="00C3476B"/>
    <w:rsid w:val="00C35240"/>
    <w:rsid w:val="00C368B3"/>
    <w:rsid w:val="00C36F07"/>
    <w:rsid w:val="00C37214"/>
    <w:rsid w:val="00C372E8"/>
    <w:rsid w:val="00C409DC"/>
    <w:rsid w:val="00C40B1B"/>
    <w:rsid w:val="00C40E88"/>
    <w:rsid w:val="00C416A3"/>
    <w:rsid w:val="00C41785"/>
    <w:rsid w:val="00C41FC1"/>
    <w:rsid w:val="00C42D60"/>
    <w:rsid w:val="00C432E5"/>
    <w:rsid w:val="00C434C2"/>
    <w:rsid w:val="00C43940"/>
    <w:rsid w:val="00C44342"/>
    <w:rsid w:val="00C44694"/>
    <w:rsid w:val="00C44744"/>
    <w:rsid w:val="00C457C1"/>
    <w:rsid w:val="00C46625"/>
    <w:rsid w:val="00C46870"/>
    <w:rsid w:val="00C47545"/>
    <w:rsid w:val="00C47593"/>
    <w:rsid w:val="00C5044B"/>
    <w:rsid w:val="00C506BD"/>
    <w:rsid w:val="00C507F4"/>
    <w:rsid w:val="00C509C9"/>
    <w:rsid w:val="00C50E55"/>
    <w:rsid w:val="00C51426"/>
    <w:rsid w:val="00C51622"/>
    <w:rsid w:val="00C51FB3"/>
    <w:rsid w:val="00C5223C"/>
    <w:rsid w:val="00C52A35"/>
    <w:rsid w:val="00C53213"/>
    <w:rsid w:val="00C53722"/>
    <w:rsid w:val="00C53917"/>
    <w:rsid w:val="00C541DE"/>
    <w:rsid w:val="00C54C11"/>
    <w:rsid w:val="00C54C67"/>
    <w:rsid w:val="00C54CC6"/>
    <w:rsid w:val="00C54E65"/>
    <w:rsid w:val="00C56324"/>
    <w:rsid w:val="00C5653B"/>
    <w:rsid w:val="00C565A3"/>
    <w:rsid w:val="00C577F7"/>
    <w:rsid w:val="00C60667"/>
    <w:rsid w:val="00C61AB9"/>
    <w:rsid w:val="00C61F84"/>
    <w:rsid w:val="00C62FF7"/>
    <w:rsid w:val="00C63135"/>
    <w:rsid w:val="00C637DC"/>
    <w:rsid w:val="00C63EE8"/>
    <w:rsid w:val="00C6432E"/>
    <w:rsid w:val="00C654E6"/>
    <w:rsid w:val="00C65718"/>
    <w:rsid w:val="00C65C81"/>
    <w:rsid w:val="00C66772"/>
    <w:rsid w:val="00C66D2B"/>
    <w:rsid w:val="00C67580"/>
    <w:rsid w:val="00C6781C"/>
    <w:rsid w:val="00C67EA1"/>
    <w:rsid w:val="00C70AEE"/>
    <w:rsid w:val="00C71D15"/>
    <w:rsid w:val="00C7234D"/>
    <w:rsid w:val="00C7244E"/>
    <w:rsid w:val="00C726C9"/>
    <w:rsid w:val="00C72801"/>
    <w:rsid w:val="00C72C0A"/>
    <w:rsid w:val="00C73E67"/>
    <w:rsid w:val="00C73FAD"/>
    <w:rsid w:val="00C74AE1"/>
    <w:rsid w:val="00C74E43"/>
    <w:rsid w:val="00C75457"/>
    <w:rsid w:val="00C755E6"/>
    <w:rsid w:val="00C757B8"/>
    <w:rsid w:val="00C76906"/>
    <w:rsid w:val="00C76B7C"/>
    <w:rsid w:val="00C76CC7"/>
    <w:rsid w:val="00C76F81"/>
    <w:rsid w:val="00C776A4"/>
    <w:rsid w:val="00C800DD"/>
    <w:rsid w:val="00C80920"/>
    <w:rsid w:val="00C80B03"/>
    <w:rsid w:val="00C8204B"/>
    <w:rsid w:val="00C821A9"/>
    <w:rsid w:val="00C8243F"/>
    <w:rsid w:val="00C8289B"/>
    <w:rsid w:val="00C82D54"/>
    <w:rsid w:val="00C82F3B"/>
    <w:rsid w:val="00C837C4"/>
    <w:rsid w:val="00C83829"/>
    <w:rsid w:val="00C83EDD"/>
    <w:rsid w:val="00C83F5B"/>
    <w:rsid w:val="00C84BF1"/>
    <w:rsid w:val="00C84CA2"/>
    <w:rsid w:val="00C85A36"/>
    <w:rsid w:val="00C85CD1"/>
    <w:rsid w:val="00C86C56"/>
    <w:rsid w:val="00C8759C"/>
    <w:rsid w:val="00C8773E"/>
    <w:rsid w:val="00C90601"/>
    <w:rsid w:val="00C90D16"/>
    <w:rsid w:val="00C9116A"/>
    <w:rsid w:val="00C9265D"/>
    <w:rsid w:val="00C92824"/>
    <w:rsid w:val="00C92B6F"/>
    <w:rsid w:val="00C937BA"/>
    <w:rsid w:val="00C938F2"/>
    <w:rsid w:val="00C949FC"/>
    <w:rsid w:val="00C960CF"/>
    <w:rsid w:val="00C964A0"/>
    <w:rsid w:val="00C96672"/>
    <w:rsid w:val="00C96678"/>
    <w:rsid w:val="00C96772"/>
    <w:rsid w:val="00C96CFA"/>
    <w:rsid w:val="00C96E5A"/>
    <w:rsid w:val="00C96EB5"/>
    <w:rsid w:val="00CA0257"/>
    <w:rsid w:val="00CA0917"/>
    <w:rsid w:val="00CA102B"/>
    <w:rsid w:val="00CA283D"/>
    <w:rsid w:val="00CA29D1"/>
    <w:rsid w:val="00CA2DD6"/>
    <w:rsid w:val="00CA3247"/>
    <w:rsid w:val="00CA3752"/>
    <w:rsid w:val="00CA3999"/>
    <w:rsid w:val="00CA39C0"/>
    <w:rsid w:val="00CA3A65"/>
    <w:rsid w:val="00CA5AD3"/>
    <w:rsid w:val="00CA62DD"/>
    <w:rsid w:val="00CA69BA"/>
    <w:rsid w:val="00CA7DE6"/>
    <w:rsid w:val="00CB0339"/>
    <w:rsid w:val="00CB0A75"/>
    <w:rsid w:val="00CB110E"/>
    <w:rsid w:val="00CB11F8"/>
    <w:rsid w:val="00CB225B"/>
    <w:rsid w:val="00CB2EF5"/>
    <w:rsid w:val="00CB33E4"/>
    <w:rsid w:val="00CB4207"/>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110F"/>
    <w:rsid w:val="00CC11B8"/>
    <w:rsid w:val="00CC1AF9"/>
    <w:rsid w:val="00CC1C7C"/>
    <w:rsid w:val="00CC20E0"/>
    <w:rsid w:val="00CC2818"/>
    <w:rsid w:val="00CC2EFB"/>
    <w:rsid w:val="00CC2F7A"/>
    <w:rsid w:val="00CC3A70"/>
    <w:rsid w:val="00CC4033"/>
    <w:rsid w:val="00CC40B8"/>
    <w:rsid w:val="00CC5444"/>
    <w:rsid w:val="00CC5631"/>
    <w:rsid w:val="00CC62A6"/>
    <w:rsid w:val="00CC676C"/>
    <w:rsid w:val="00CC7A11"/>
    <w:rsid w:val="00CD04A8"/>
    <w:rsid w:val="00CD051B"/>
    <w:rsid w:val="00CD1DB1"/>
    <w:rsid w:val="00CD22B5"/>
    <w:rsid w:val="00CD22F4"/>
    <w:rsid w:val="00CD25E1"/>
    <w:rsid w:val="00CD367C"/>
    <w:rsid w:val="00CD454A"/>
    <w:rsid w:val="00CD4D0F"/>
    <w:rsid w:val="00CD4F54"/>
    <w:rsid w:val="00CD4FFE"/>
    <w:rsid w:val="00CD57FA"/>
    <w:rsid w:val="00CD5A6E"/>
    <w:rsid w:val="00CD711F"/>
    <w:rsid w:val="00CD74A7"/>
    <w:rsid w:val="00CD79B2"/>
    <w:rsid w:val="00CE147B"/>
    <w:rsid w:val="00CE157C"/>
    <w:rsid w:val="00CE1AF6"/>
    <w:rsid w:val="00CE1E88"/>
    <w:rsid w:val="00CE2298"/>
    <w:rsid w:val="00CE3064"/>
    <w:rsid w:val="00CE39E4"/>
    <w:rsid w:val="00CE4282"/>
    <w:rsid w:val="00CE47B0"/>
    <w:rsid w:val="00CE54E1"/>
    <w:rsid w:val="00CE55B6"/>
    <w:rsid w:val="00CE5856"/>
    <w:rsid w:val="00CE5BDE"/>
    <w:rsid w:val="00CE6A6D"/>
    <w:rsid w:val="00CE774C"/>
    <w:rsid w:val="00CE7AC6"/>
    <w:rsid w:val="00CF012E"/>
    <w:rsid w:val="00CF04D4"/>
    <w:rsid w:val="00CF0B4C"/>
    <w:rsid w:val="00CF1680"/>
    <w:rsid w:val="00CF1BD7"/>
    <w:rsid w:val="00CF21A5"/>
    <w:rsid w:val="00CF2518"/>
    <w:rsid w:val="00CF2DDE"/>
    <w:rsid w:val="00CF344A"/>
    <w:rsid w:val="00CF39A0"/>
    <w:rsid w:val="00CF3B16"/>
    <w:rsid w:val="00CF3D1C"/>
    <w:rsid w:val="00CF4713"/>
    <w:rsid w:val="00CF4B12"/>
    <w:rsid w:val="00CF58FE"/>
    <w:rsid w:val="00CF5EBE"/>
    <w:rsid w:val="00CF783B"/>
    <w:rsid w:val="00CF7A80"/>
    <w:rsid w:val="00CF7D97"/>
    <w:rsid w:val="00CF7EEC"/>
    <w:rsid w:val="00D001C2"/>
    <w:rsid w:val="00D00779"/>
    <w:rsid w:val="00D009D8"/>
    <w:rsid w:val="00D012E1"/>
    <w:rsid w:val="00D01318"/>
    <w:rsid w:val="00D01665"/>
    <w:rsid w:val="00D01D1E"/>
    <w:rsid w:val="00D02580"/>
    <w:rsid w:val="00D03BF7"/>
    <w:rsid w:val="00D03EE9"/>
    <w:rsid w:val="00D03F1E"/>
    <w:rsid w:val="00D0428E"/>
    <w:rsid w:val="00D04426"/>
    <w:rsid w:val="00D0482F"/>
    <w:rsid w:val="00D04A33"/>
    <w:rsid w:val="00D05892"/>
    <w:rsid w:val="00D06824"/>
    <w:rsid w:val="00D06C03"/>
    <w:rsid w:val="00D1037A"/>
    <w:rsid w:val="00D10D09"/>
    <w:rsid w:val="00D1163E"/>
    <w:rsid w:val="00D11768"/>
    <w:rsid w:val="00D12362"/>
    <w:rsid w:val="00D128F4"/>
    <w:rsid w:val="00D12A4F"/>
    <w:rsid w:val="00D13100"/>
    <w:rsid w:val="00D14C15"/>
    <w:rsid w:val="00D1576D"/>
    <w:rsid w:val="00D15CB3"/>
    <w:rsid w:val="00D15F51"/>
    <w:rsid w:val="00D16ED5"/>
    <w:rsid w:val="00D202B1"/>
    <w:rsid w:val="00D20662"/>
    <w:rsid w:val="00D20EBD"/>
    <w:rsid w:val="00D21291"/>
    <w:rsid w:val="00D21C8A"/>
    <w:rsid w:val="00D2297E"/>
    <w:rsid w:val="00D22DE5"/>
    <w:rsid w:val="00D233BD"/>
    <w:rsid w:val="00D233D7"/>
    <w:rsid w:val="00D23511"/>
    <w:rsid w:val="00D23CBB"/>
    <w:rsid w:val="00D2490F"/>
    <w:rsid w:val="00D25806"/>
    <w:rsid w:val="00D25E9D"/>
    <w:rsid w:val="00D25F1C"/>
    <w:rsid w:val="00D26DE6"/>
    <w:rsid w:val="00D26EE7"/>
    <w:rsid w:val="00D30718"/>
    <w:rsid w:val="00D30FC1"/>
    <w:rsid w:val="00D322FB"/>
    <w:rsid w:val="00D32475"/>
    <w:rsid w:val="00D32EF4"/>
    <w:rsid w:val="00D33F81"/>
    <w:rsid w:val="00D34850"/>
    <w:rsid w:val="00D35060"/>
    <w:rsid w:val="00D369D4"/>
    <w:rsid w:val="00D36AD7"/>
    <w:rsid w:val="00D373E9"/>
    <w:rsid w:val="00D37C61"/>
    <w:rsid w:val="00D37E53"/>
    <w:rsid w:val="00D403FF"/>
    <w:rsid w:val="00D404C4"/>
    <w:rsid w:val="00D40CE9"/>
    <w:rsid w:val="00D412EB"/>
    <w:rsid w:val="00D42115"/>
    <w:rsid w:val="00D42EFD"/>
    <w:rsid w:val="00D457D1"/>
    <w:rsid w:val="00D458AA"/>
    <w:rsid w:val="00D46338"/>
    <w:rsid w:val="00D46BA2"/>
    <w:rsid w:val="00D47234"/>
    <w:rsid w:val="00D47281"/>
    <w:rsid w:val="00D47581"/>
    <w:rsid w:val="00D50295"/>
    <w:rsid w:val="00D5069A"/>
    <w:rsid w:val="00D50E43"/>
    <w:rsid w:val="00D51469"/>
    <w:rsid w:val="00D52B45"/>
    <w:rsid w:val="00D530EB"/>
    <w:rsid w:val="00D53393"/>
    <w:rsid w:val="00D535B6"/>
    <w:rsid w:val="00D55235"/>
    <w:rsid w:val="00D55390"/>
    <w:rsid w:val="00D55D78"/>
    <w:rsid w:val="00D56771"/>
    <w:rsid w:val="00D572B2"/>
    <w:rsid w:val="00D57AC6"/>
    <w:rsid w:val="00D57F53"/>
    <w:rsid w:val="00D60CAB"/>
    <w:rsid w:val="00D610FD"/>
    <w:rsid w:val="00D612AF"/>
    <w:rsid w:val="00D619F3"/>
    <w:rsid w:val="00D62A5B"/>
    <w:rsid w:val="00D62B43"/>
    <w:rsid w:val="00D62ECD"/>
    <w:rsid w:val="00D63748"/>
    <w:rsid w:val="00D639F0"/>
    <w:rsid w:val="00D63C1B"/>
    <w:rsid w:val="00D63D04"/>
    <w:rsid w:val="00D63D76"/>
    <w:rsid w:val="00D64690"/>
    <w:rsid w:val="00D64BFF"/>
    <w:rsid w:val="00D64DE1"/>
    <w:rsid w:val="00D64E3F"/>
    <w:rsid w:val="00D653D0"/>
    <w:rsid w:val="00D653FF"/>
    <w:rsid w:val="00D65804"/>
    <w:rsid w:val="00D6692A"/>
    <w:rsid w:val="00D66E55"/>
    <w:rsid w:val="00D674E9"/>
    <w:rsid w:val="00D6799A"/>
    <w:rsid w:val="00D7009C"/>
    <w:rsid w:val="00D70F17"/>
    <w:rsid w:val="00D712DA"/>
    <w:rsid w:val="00D719EF"/>
    <w:rsid w:val="00D72327"/>
    <w:rsid w:val="00D72491"/>
    <w:rsid w:val="00D727E0"/>
    <w:rsid w:val="00D7297D"/>
    <w:rsid w:val="00D72B87"/>
    <w:rsid w:val="00D72C72"/>
    <w:rsid w:val="00D74160"/>
    <w:rsid w:val="00D75D22"/>
    <w:rsid w:val="00D75DA5"/>
    <w:rsid w:val="00D75DBE"/>
    <w:rsid w:val="00D76C58"/>
    <w:rsid w:val="00D76CF2"/>
    <w:rsid w:val="00D76E32"/>
    <w:rsid w:val="00D76E7C"/>
    <w:rsid w:val="00D80B40"/>
    <w:rsid w:val="00D8155B"/>
    <w:rsid w:val="00D815C4"/>
    <w:rsid w:val="00D81E79"/>
    <w:rsid w:val="00D825A5"/>
    <w:rsid w:val="00D825B7"/>
    <w:rsid w:val="00D8290E"/>
    <w:rsid w:val="00D82AD1"/>
    <w:rsid w:val="00D82E6E"/>
    <w:rsid w:val="00D83040"/>
    <w:rsid w:val="00D8323B"/>
    <w:rsid w:val="00D83489"/>
    <w:rsid w:val="00D83703"/>
    <w:rsid w:val="00D83D13"/>
    <w:rsid w:val="00D841AC"/>
    <w:rsid w:val="00D8589D"/>
    <w:rsid w:val="00D858DE"/>
    <w:rsid w:val="00D85A81"/>
    <w:rsid w:val="00D85CEC"/>
    <w:rsid w:val="00D86466"/>
    <w:rsid w:val="00D870E8"/>
    <w:rsid w:val="00D87423"/>
    <w:rsid w:val="00D87452"/>
    <w:rsid w:val="00D87485"/>
    <w:rsid w:val="00D877B1"/>
    <w:rsid w:val="00D907CB"/>
    <w:rsid w:val="00D91BF2"/>
    <w:rsid w:val="00D91C48"/>
    <w:rsid w:val="00D937E4"/>
    <w:rsid w:val="00D93C1C"/>
    <w:rsid w:val="00D94026"/>
    <w:rsid w:val="00D94120"/>
    <w:rsid w:val="00D951DD"/>
    <w:rsid w:val="00D952ED"/>
    <w:rsid w:val="00D957FA"/>
    <w:rsid w:val="00D9664C"/>
    <w:rsid w:val="00D96888"/>
    <w:rsid w:val="00D97404"/>
    <w:rsid w:val="00D975A3"/>
    <w:rsid w:val="00D979D0"/>
    <w:rsid w:val="00DA08CA"/>
    <w:rsid w:val="00DA0B20"/>
    <w:rsid w:val="00DA0F37"/>
    <w:rsid w:val="00DA101A"/>
    <w:rsid w:val="00DA122C"/>
    <w:rsid w:val="00DA2501"/>
    <w:rsid w:val="00DA2FD5"/>
    <w:rsid w:val="00DA353E"/>
    <w:rsid w:val="00DA37B2"/>
    <w:rsid w:val="00DA4838"/>
    <w:rsid w:val="00DA4989"/>
    <w:rsid w:val="00DA5084"/>
    <w:rsid w:val="00DA5721"/>
    <w:rsid w:val="00DA6173"/>
    <w:rsid w:val="00DA6E00"/>
    <w:rsid w:val="00DA7477"/>
    <w:rsid w:val="00DA7573"/>
    <w:rsid w:val="00DA7BD4"/>
    <w:rsid w:val="00DB0191"/>
    <w:rsid w:val="00DB0359"/>
    <w:rsid w:val="00DB0789"/>
    <w:rsid w:val="00DB0EF6"/>
    <w:rsid w:val="00DB0F8A"/>
    <w:rsid w:val="00DB26A8"/>
    <w:rsid w:val="00DB27CF"/>
    <w:rsid w:val="00DB324C"/>
    <w:rsid w:val="00DB3FD3"/>
    <w:rsid w:val="00DB521E"/>
    <w:rsid w:val="00DB5366"/>
    <w:rsid w:val="00DB586E"/>
    <w:rsid w:val="00DB5F2A"/>
    <w:rsid w:val="00DB6A77"/>
    <w:rsid w:val="00DB6F45"/>
    <w:rsid w:val="00DB72B7"/>
    <w:rsid w:val="00DB7546"/>
    <w:rsid w:val="00DB7827"/>
    <w:rsid w:val="00DC0624"/>
    <w:rsid w:val="00DC0FC3"/>
    <w:rsid w:val="00DC1A58"/>
    <w:rsid w:val="00DC1AC0"/>
    <w:rsid w:val="00DC1CDD"/>
    <w:rsid w:val="00DC1D8E"/>
    <w:rsid w:val="00DC20C3"/>
    <w:rsid w:val="00DC227A"/>
    <w:rsid w:val="00DC2360"/>
    <w:rsid w:val="00DC26E4"/>
    <w:rsid w:val="00DC2BAE"/>
    <w:rsid w:val="00DC2CEE"/>
    <w:rsid w:val="00DC3257"/>
    <w:rsid w:val="00DC3279"/>
    <w:rsid w:val="00DC3BF1"/>
    <w:rsid w:val="00DC4D1D"/>
    <w:rsid w:val="00DC4D87"/>
    <w:rsid w:val="00DC4FED"/>
    <w:rsid w:val="00DC54EB"/>
    <w:rsid w:val="00DC580A"/>
    <w:rsid w:val="00DC5B50"/>
    <w:rsid w:val="00DC5C3E"/>
    <w:rsid w:val="00DC66BC"/>
    <w:rsid w:val="00DC727F"/>
    <w:rsid w:val="00DC7560"/>
    <w:rsid w:val="00DC7E78"/>
    <w:rsid w:val="00DD0493"/>
    <w:rsid w:val="00DD0924"/>
    <w:rsid w:val="00DD0CBF"/>
    <w:rsid w:val="00DD1071"/>
    <w:rsid w:val="00DD12FD"/>
    <w:rsid w:val="00DD1576"/>
    <w:rsid w:val="00DD2893"/>
    <w:rsid w:val="00DD4717"/>
    <w:rsid w:val="00DD4F74"/>
    <w:rsid w:val="00DD531F"/>
    <w:rsid w:val="00DD556C"/>
    <w:rsid w:val="00DD5737"/>
    <w:rsid w:val="00DD5E81"/>
    <w:rsid w:val="00DD6C46"/>
    <w:rsid w:val="00DD6C7A"/>
    <w:rsid w:val="00DD6F44"/>
    <w:rsid w:val="00DD7CCA"/>
    <w:rsid w:val="00DE0BDE"/>
    <w:rsid w:val="00DE10CF"/>
    <w:rsid w:val="00DE1270"/>
    <w:rsid w:val="00DE1CFE"/>
    <w:rsid w:val="00DE1E1E"/>
    <w:rsid w:val="00DE223E"/>
    <w:rsid w:val="00DE2951"/>
    <w:rsid w:val="00DE2D33"/>
    <w:rsid w:val="00DE34EB"/>
    <w:rsid w:val="00DE3592"/>
    <w:rsid w:val="00DE3E78"/>
    <w:rsid w:val="00DE41F8"/>
    <w:rsid w:val="00DE45AA"/>
    <w:rsid w:val="00DE4B9D"/>
    <w:rsid w:val="00DE50EA"/>
    <w:rsid w:val="00DE545C"/>
    <w:rsid w:val="00DE5C9F"/>
    <w:rsid w:val="00DE734E"/>
    <w:rsid w:val="00DE7887"/>
    <w:rsid w:val="00DE7BF8"/>
    <w:rsid w:val="00DF0DC3"/>
    <w:rsid w:val="00DF14F9"/>
    <w:rsid w:val="00DF1C2D"/>
    <w:rsid w:val="00DF1FAE"/>
    <w:rsid w:val="00DF2AD9"/>
    <w:rsid w:val="00DF54D0"/>
    <w:rsid w:val="00DF580C"/>
    <w:rsid w:val="00DF5C1A"/>
    <w:rsid w:val="00DF6BCB"/>
    <w:rsid w:val="00DF6D45"/>
    <w:rsid w:val="00DF7042"/>
    <w:rsid w:val="00DF747D"/>
    <w:rsid w:val="00DF78FD"/>
    <w:rsid w:val="00DF7EFE"/>
    <w:rsid w:val="00E00E15"/>
    <w:rsid w:val="00E00F63"/>
    <w:rsid w:val="00E01210"/>
    <w:rsid w:val="00E019EB"/>
    <w:rsid w:val="00E01D50"/>
    <w:rsid w:val="00E02358"/>
    <w:rsid w:val="00E02664"/>
    <w:rsid w:val="00E02C4D"/>
    <w:rsid w:val="00E031A5"/>
    <w:rsid w:val="00E0341B"/>
    <w:rsid w:val="00E0348F"/>
    <w:rsid w:val="00E035A6"/>
    <w:rsid w:val="00E038F5"/>
    <w:rsid w:val="00E03D67"/>
    <w:rsid w:val="00E04510"/>
    <w:rsid w:val="00E04784"/>
    <w:rsid w:val="00E05569"/>
    <w:rsid w:val="00E05A6C"/>
    <w:rsid w:val="00E05F59"/>
    <w:rsid w:val="00E0655D"/>
    <w:rsid w:val="00E072B7"/>
    <w:rsid w:val="00E1024A"/>
    <w:rsid w:val="00E10B17"/>
    <w:rsid w:val="00E10B67"/>
    <w:rsid w:val="00E12742"/>
    <w:rsid w:val="00E12AB9"/>
    <w:rsid w:val="00E12B67"/>
    <w:rsid w:val="00E13C38"/>
    <w:rsid w:val="00E141D3"/>
    <w:rsid w:val="00E14941"/>
    <w:rsid w:val="00E1526B"/>
    <w:rsid w:val="00E1534B"/>
    <w:rsid w:val="00E15408"/>
    <w:rsid w:val="00E156A8"/>
    <w:rsid w:val="00E15743"/>
    <w:rsid w:val="00E15C52"/>
    <w:rsid w:val="00E15EDA"/>
    <w:rsid w:val="00E15F0B"/>
    <w:rsid w:val="00E160E8"/>
    <w:rsid w:val="00E16199"/>
    <w:rsid w:val="00E16311"/>
    <w:rsid w:val="00E1702C"/>
    <w:rsid w:val="00E20CC5"/>
    <w:rsid w:val="00E21ACA"/>
    <w:rsid w:val="00E22B80"/>
    <w:rsid w:val="00E22C0E"/>
    <w:rsid w:val="00E22CFF"/>
    <w:rsid w:val="00E231CD"/>
    <w:rsid w:val="00E231E1"/>
    <w:rsid w:val="00E23888"/>
    <w:rsid w:val="00E23B9C"/>
    <w:rsid w:val="00E23CE3"/>
    <w:rsid w:val="00E23CF7"/>
    <w:rsid w:val="00E23E76"/>
    <w:rsid w:val="00E249DB"/>
    <w:rsid w:val="00E25289"/>
    <w:rsid w:val="00E253A3"/>
    <w:rsid w:val="00E25402"/>
    <w:rsid w:val="00E259B0"/>
    <w:rsid w:val="00E25AF8"/>
    <w:rsid w:val="00E2604C"/>
    <w:rsid w:val="00E26AEC"/>
    <w:rsid w:val="00E2757B"/>
    <w:rsid w:val="00E2792D"/>
    <w:rsid w:val="00E30828"/>
    <w:rsid w:val="00E30B37"/>
    <w:rsid w:val="00E3109C"/>
    <w:rsid w:val="00E311D1"/>
    <w:rsid w:val="00E31C2D"/>
    <w:rsid w:val="00E32432"/>
    <w:rsid w:val="00E3279F"/>
    <w:rsid w:val="00E33B1E"/>
    <w:rsid w:val="00E34277"/>
    <w:rsid w:val="00E3621B"/>
    <w:rsid w:val="00E36B4F"/>
    <w:rsid w:val="00E36F43"/>
    <w:rsid w:val="00E37F0C"/>
    <w:rsid w:val="00E40ADF"/>
    <w:rsid w:val="00E418E3"/>
    <w:rsid w:val="00E423DE"/>
    <w:rsid w:val="00E42543"/>
    <w:rsid w:val="00E42F07"/>
    <w:rsid w:val="00E4370F"/>
    <w:rsid w:val="00E4441D"/>
    <w:rsid w:val="00E45242"/>
    <w:rsid w:val="00E453AB"/>
    <w:rsid w:val="00E462E6"/>
    <w:rsid w:val="00E463A0"/>
    <w:rsid w:val="00E474DF"/>
    <w:rsid w:val="00E47839"/>
    <w:rsid w:val="00E51CDE"/>
    <w:rsid w:val="00E5210B"/>
    <w:rsid w:val="00E5273B"/>
    <w:rsid w:val="00E53197"/>
    <w:rsid w:val="00E53631"/>
    <w:rsid w:val="00E5388F"/>
    <w:rsid w:val="00E54239"/>
    <w:rsid w:val="00E54272"/>
    <w:rsid w:val="00E542BC"/>
    <w:rsid w:val="00E54521"/>
    <w:rsid w:val="00E54617"/>
    <w:rsid w:val="00E5484B"/>
    <w:rsid w:val="00E56023"/>
    <w:rsid w:val="00E56872"/>
    <w:rsid w:val="00E56D6E"/>
    <w:rsid w:val="00E56FEF"/>
    <w:rsid w:val="00E577F9"/>
    <w:rsid w:val="00E57FB5"/>
    <w:rsid w:val="00E60F14"/>
    <w:rsid w:val="00E61B23"/>
    <w:rsid w:val="00E625BE"/>
    <w:rsid w:val="00E6284B"/>
    <w:rsid w:val="00E62D07"/>
    <w:rsid w:val="00E62DF6"/>
    <w:rsid w:val="00E63A22"/>
    <w:rsid w:val="00E63B8F"/>
    <w:rsid w:val="00E63DD3"/>
    <w:rsid w:val="00E646B5"/>
    <w:rsid w:val="00E65427"/>
    <w:rsid w:val="00E6543F"/>
    <w:rsid w:val="00E661C0"/>
    <w:rsid w:val="00E663F5"/>
    <w:rsid w:val="00E66E97"/>
    <w:rsid w:val="00E70BD6"/>
    <w:rsid w:val="00E71305"/>
    <w:rsid w:val="00E72383"/>
    <w:rsid w:val="00E724D2"/>
    <w:rsid w:val="00E72D9F"/>
    <w:rsid w:val="00E73C41"/>
    <w:rsid w:val="00E74629"/>
    <w:rsid w:val="00E74933"/>
    <w:rsid w:val="00E74EDC"/>
    <w:rsid w:val="00E75737"/>
    <w:rsid w:val="00E75875"/>
    <w:rsid w:val="00E75886"/>
    <w:rsid w:val="00E75D6E"/>
    <w:rsid w:val="00E76007"/>
    <w:rsid w:val="00E76181"/>
    <w:rsid w:val="00E7639B"/>
    <w:rsid w:val="00E7700C"/>
    <w:rsid w:val="00E770F2"/>
    <w:rsid w:val="00E77E05"/>
    <w:rsid w:val="00E77EAC"/>
    <w:rsid w:val="00E81069"/>
    <w:rsid w:val="00E817AD"/>
    <w:rsid w:val="00E817EF"/>
    <w:rsid w:val="00E8184F"/>
    <w:rsid w:val="00E828D5"/>
    <w:rsid w:val="00E82D81"/>
    <w:rsid w:val="00E83259"/>
    <w:rsid w:val="00E839BE"/>
    <w:rsid w:val="00E83CAC"/>
    <w:rsid w:val="00E84C89"/>
    <w:rsid w:val="00E85E56"/>
    <w:rsid w:val="00E860DD"/>
    <w:rsid w:val="00E8713D"/>
    <w:rsid w:val="00E87B1D"/>
    <w:rsid w:val="00E90329"/>
    <w:rsid w:val="00E910D5"/>
    <w:rsid w:val="00E9147F"/>
    <w:rsid w:val="00E922C4"/>
    <w:rsid w:val="00E943AE"/>
    <w:rsid w:val="00E947B0"/>
    <w:rsid w:val="00E94C69"/>
    <w:rsid w:val="00E95D82"/>
    <w:rsid w:val="00E95F21"/>
    <w:rsid w:val="00E96273"/>
    <w:rsid w:val="00E96E97"/>
    <w:rsid w:val="00E97D49"/>
    <w:rsid w:val="00EA011D"/>
    <w:rsid w:val="00EA0251"/>
    <w:rsid w:val="00EA1065"/>
    <w:rsid w:val="00EA1434"/>
    <w:rsid w:val="00EA3818"/>
    <w:rsid w:val="00EA3C3E"/>
    <w:rsid w:val="00EA4694"/>
    <w:rsid w:val="00EA48D3"/>
    <w:rsid w:val="00EA520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31A3"/>
    <w:rsid w:val="00EB325B"/>
    <w:rsid w:val="00EB3E22"/>
    <w:rsid w:val="00EB59F8"/>
    <w:rsid w:val="00EB693B"/>
    <w:rsid w:val="00EB7BA9"/>
    <w:rsid w:val="00EB7D29"/>
    <w:rsid w:val="00EB7D75"/>
    <w:rsid w:val="00EC0B20"/>
    <w:rsid w:val="00EC0EE7"/>
    <w:rsid w:val="00EC1C3A"/>
    <w:rsid w:val="00EC1F51"/>
    <w:rsid w:val="00EC2B1D"/>
    <w:rsid w:val="00EC4233"/>
    <w:rsid w:val="00EC4544"/>
    <w:rsid w:val="00EC4A85"/>
    <w:rsid w:val="00EC57B2"/>
    <w:rsid w:val="00EC58F4"/>
    <w:rsid w:val="00EC650B"/>
    <w:rsid w:val="00EC65C4"/>
    <w:rsid w:val="00EC7808"/>
    <w:rsid w:val="00EC7BFA"/>
    <w:rsid w:val="00ED042E"/>
    <w:rsid w:val="00ED1295"/>
    <w:rsid w:val="00ED12BB"/>
    <w:rsid w:val="00ED2725"/>
    <w:rsid w:val="00ED34D1"/>
    <w:rsid w:val="00ED35CC"/>
    <w:rsid w:val="00ED367F"/>
    <w:rsid w:val="00ED4206"/>
    <w:rsid w:val="00ED58A2"/>
    <w:rsid w:val="00ED58C3"/>
    <w:rsid w:val="00ED5C71"/>
    <w:rsid w:val="00ED5EEE"/>
    <w:rsid w:val="00ED667C"/>
    <w:rsid w:val="00ED7966"/>
    <w:rsid w:val="00EE01CC"/>
    <w:rsid w:val="00EE04EE"/>
    <w:rsid w:val="00EE1760"/>
    <w:rsid w:val="00EE1FF0"/>
    <w:rsid w:val="00EE287D"/>
    <w:rsid w:val="00EE3B32"/>
    <w:rsid w:val="00EE3CFF"/>
    <w:rsid w:val="00EE3F39"/>
    <w:rsid w:val="00EE414C"/>
    <w:rsid w:val="00EE44FE"/>
    <w:rsid w:val="00EE4512"/>
    <w:rsid w:val="00EE5406"/>
    <w:rsid w:val="00EE5EF8"/>
    <w:rsid w:val="00EE6964"/>
    <w:rsid w:val="00EE6A1D"/>
    <w:rsid w:val="00EE6D18"/>
    <w:rsid w:val="00EE6DA0"/>
    <w:rsid w:val="00EE7E7A"/>
    <w:rsid w:val="00EF1230"/>
    <w:rsid w:val="00EF223B"/>
    <w:rsid w:val="00EF29DE"/>
    <w:rsid w:val="00EF3978"/>
    <w:rsid w:val="00EF3AAC"/>
    <w:rsid w:val="00EF4D42"/>
    <w:rsid w:val="00EF4FD1"/>
    <w:rsid w:val="00EF5318"/>
    <w:rsid w:val="00EF708A"/>
    <w:rsid w:val="00EF72C3"/>
    <w:rsid w:val="00EF755E"/>
    <w:rsid w:val="00EF79CE"/>
    <w:rsid w:val="00F00152"/>
    <w:rsid w:val="00F00352"/>
    <w:rsid w:val="00F00B1B"/>
    <w:rsid w:val="00F00E37"/>
    <w:rsid w:val="00F010EE"/>
    <w:rsid w:val="00F01383"/>
    <w:rsid w:val="00F0167D"/>
    <w:rsid w:val="00F0177A"/>
    <w:rsid w:val="00F019D5"/>
    <w:rsid w:val="00F0227C"/>
    <w:rsid w:val="00F02500"/>
    <w:rsid w:val="00F032E2"/>
    <w:rsid w:val="00F037E3"/>
    <w:rsid w:val="00F03FF2"/>
    <w:rsid w:val="00F04F9E"/>
    <w:rsid w:val="00F051F8"/>
    <w:rsid w:val="00F063A4"/>
    <w:rsid w:val="00F06A47"/>
    <w:rsid w:val="00F0717F"/>
    <w:rsid w:val="00F0747A"/>
    <w:rsid w:val="00F07849"/>
    <w:rsid w:val="00F07882"/>
    <w:rsid w:val="00F07883"/>
    <w:rsid w:val="00F10177"/>
    <w:rsid w:val="00F10D83"/>
    <w:rsid w:val="00F1196B"/>
    <w:rsid w:val="00F11A6A"/>
    <w:rsid w:val="00F120A9"/>
    <w:rsid w:val="00F126BD"/>
    <w:rsid w:val="00F13433"/>
    <w:rsid w:val="00F134FC"/>
    <w:rsid w:val="00F1350E"/>
    <w:rsid w:val="00F141C0"/>
    <w:rsid w:val="00F14419"/>
    <w:rsid w:val="00F1470E"/>
    <w:rsid w:val="00F147A5"/>
    <w:rsid w:val="00F147FB"/>
    <w:rsid w:val="00F14AA7"/>
    <w:rsid w:val="00F15884"/>
    <w:rsid w:val="00F15B8E"/>
    <w:rsid w:val="00F15C16"/>
    <w:rsid w:val="00F16665"/>
    <w:rsid w:val="00F16FB0"/>
    <w:rsid w:val="00F1733B"/>
    <w:rsid w:val="00F17474"/>
    <w:rsid w:val="00F201CC"/>
    <w:rsid w:val="00F20487"/>
    <w:rsid w:val="00F20F65"/>
    <w:rsid w:val="00F2106D"/>
    <w:rsid w:val="00F22337"/>
    <w:rsid w:val="00F22D65"/>
    <w:rsid w:val="00F23175"/>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684"/>
    <w:rsid w:val="00F32C70"/>
    <w:rsid w:val="00F34E02"/>
    <w:rsid w:val="00F3549E"/>
    <w:rsid w:val="00F365A7"/>
    <w:rsid w:val="00F3681C"/>
    <w:rsid w:val="00F3769D"/>
    <w:rsid w:val="00F404F4"/>
    <w:rsid w:val="00F406E3"/>
    <w:rsid w:val="00F4143E"/>
    <w:rsid w:val="00F4180E"/>
    <w:rsid w:val="00F41CC5"/>
    <w:rsid w:val="00F41D25"/>
    <w:rsid w:val="00F423C2"/>
    <w:rsid w:val="00F433F8"/>
    <w:rsid w:val="00F433FE"/>
    <w:rsid w:val="00F43627"/>
    <w:rsid w:val="00F43781"/>
    <w:rsid w:val="00F4463C"/>
    <w:rsid w:val="00F44A21"/>
    <w:rsid w:val="00F473A5"/>
    <w:rsid w:val="00F473F3"/>
    <w:rsid w:val="00F474B8"/>
    <w:rsid w:val="00F478CA"/>
    <w:rsid w:val="00F47CE2"/>
    <w:rsid w:val="00F501F3"/>
    <w:rsid w:val="00F50A98"/>
    <w:rsid w:val="00F50E5F"/>
    <w:rsid w:val="00F51460"/>
    <w:rsid w:val="00F51667"/>
    <w:rsid w:val="00F521DC"/>
    <w:rsid w:val="00F53199"/>
    <w:rsid w:val="00F541A1"/>
    <w:rsid w:val="00F54B09"/>
    <w:rsid w:val="00F54BEA"/>
    <w:rsid w:val="00F54E8A"/>
    <w:rsid w:val="00F559A8"/>
    <w:rsid w:val="00F55C21"/>
    <w:rsid w:val="00F55E5F"/>
    <w:rsid w:val="00F55F6D"/>
    <w:rsid w:val="00F563EF"/>
    <w:rsid w:val="00F5736B"/>
    <w:rsid w:val="00F57880"/>
    <w:rsid w:val="00F608AB"/>
    <w:rsid w:val="00F60AA0"/>
    <w:rsid w:val="00F60BE7"/>
    <w:rsid w:val="00F6159C"/>
    <w:rsid w:val="00F61714"/>
    <w:rsid w:val="00F6238F"/>
    <w:rsid w:val="00F63E59"/>
    <w:rsid w:val="00F64BE0"/>
    <w:rsid w:val="00F65B68"/>
    <w:rsid w:val="00F66DFD"/>
    <w:rsid w:val="00F67846"/>
    <w:rsid w:val="00F67B42"/>
    <w:rsid w:val="00F7001F"/>
    <w:rsid w:val="00F70B72"/>
    <w:rsid w:val="00F70DEF"/>
    <w:rsid w:val="00F70EA3"/>
    <w:rsid w:val="00F7127E"/>
    <w:rsid w:val="00F71398"/>
    <w:rsid w:val="00F718C7"/>
    <w:rsid w:val="00F7294C"/>
    <w:rsid w:val="00F72C5F"/>
    <w:rsid w:val="00F72CAD"/>
    <w:rsid w:val="00F72D52"/>
    <w:rsid w:val="00F73549"/>
    <w:rsid w:val="00F75782"/>
    <w:rsid w:val="00F773EB"/>
    <w:rsid w:val="00F80846"/>
    <w:rsid w:val="00F80C1D"/>
    <w:rsid w:val="00F81130"/>
    <w:rsid w:val="00F816F3"/>
    <w:rsid w:val="00F818F7"/>
    <w:rsid w:val="00F81F23"/>
    <w:rsid w:val="00F82E92"/>
    <w:rsid w:val="00F8325D"/>
    <w:rsid w:val="00F832A9"/>
    <w:rsid w:val="00F832B0"/>
    <w:rsid w:val="00F83307"/>
    <w:rsid w:val="00F833A5"/>
    <w:rsid w:val="00F8342D"/>
    <w:rsid w:val="00F844D3"/>
    <w:rsid w:val="00F84629"/>
    <w:rsid w:val="00F84B71"/>
    <w:rsid w:val="00F84F0E"/>
    <w:rsid w:val="00F8515D"/>
    <w:rsid w:val="00F8519E"/>
    <w:rsid w:val="00F85FF5"/>
    <w:rsid w:val="00F86BB4"/>
    <w:rsid w:val="00F870F5"/>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5E20"/>
    <w:rsid w:val="00F96370"/>
    <w:rsid w:val="00F97940"/>
    <w:rsid w:val="00F97BA3"/>
    <w:rsid w:val="00F97EA2"/>
    <w:rsid w:val="00F97F0D"/>
    <w:rsid w:val="00FA0B0A"/>
    <w:rsid w:val="00FA121C"/>
    <w:rsid w:val="00FA1407"/>
    <w:rsid w:val="00FA1A68"/>
    <w:rsid w:val="00FA1B1A"/>
    <w:rsid w:val="00FA2747"/>
    <w:rsid w:val="00FA2A33"/>
    <w:rsid w:val="00FA2A78"/>
    <w:rsid w:val="00FA2C8F"/>
    <w:rsid w:val="00FA2CF7"/>
    <w:rsid w:val="00FA3410"/>
    <w:rsid w:val="00FA360B"/>
    <w:rsid w:val="00FA3860"/>
    <w:rsid w:val="00FA3A50"/>
    <w:rsid w:val="00FA4763"/>
    <w:rsid w:val="00FA4830"/>
    <w:rsid w:val="00FA5032"/>
    <w:rsid w:val="00FA6980"/>
    <w:rsid w:val="00FA6CDF"/>
    <w:rsid w:val="00FA7BB5"/>
    <w:rsid w:val="00FA7C85"/>
    <w:rsid w:val="00FB12D8"/>
    <w:rsid w:val="00FB176A"/>
    <w:rsid w:val="00FB1CDC"/>
    <w:rsid w:val="00FB238A"/>
    <w:rsid w:val="00FB2446"/>
    <w:rsid w:val="00FB2C81"/>
    <w:rsid w:val="00FB3A5E"/>
    <w:rsid w:val="00FB3BC4"/>
    <w:rsid w:val="00FB3F9C"/>
    <w:rsid w:val="00FB3FDE"/>
    <w:rsid w:val="00FB4676"/>
    <w:rsid w:val="00FB5552"/>
    <w:rsid w:val="00FB5789"/>
    <w:rsid w:val="00FB5F3A"/>
    <w:rsid w:val="00FB606C"/>
    <w:rsid w:val="00FB64E5"/>
    <w:rsid w:val="00FB6AA9"/>
    <w:rsid w:val="00FB6AD4"/>
    <w:rsid w:val="00FB7F22"/>
    <w:rsid w:val="00FC00F3"/>
    <w:rsid w:val="00FC05C1"/>
    <w:rsid w:val="00FC0A33"/>
    <w:rsid w:val="00FC1416"/>
    <w:rsid w:val="00FC14B2"/>
    <w:rsid w:val="00FC1823"/>
    <w:rsid w:val="00FC2198"/>
    <w:rsid w:val="00FC26A4"/>
    <w:rsid w:val="00FC2C93"/>
    <w:rsid w:val="00FC325A"/>
    <w:rsid w:val="00FC33ED"/>
    <w:rsid w:val="00FC43AD"/>
    <w:rsid w:val="00FC5876"/>
    <w:rsid w:val="00FC62F5"/>
    <w:rsid w:val="00FC731E"/>
    <w:rsid w:val="00FD035A"/>
    <w:rsid w:val="00FD19F1"/>
    <w:rsid w:val="00FD1A7E"/>
    <w:rsid w:val="00FD2CC3"/>
    <w:rsid w:val="00FD31BF"/>
    <w:rsid w:val="00FD38D0"/>
    <w:rsid w:val="00FD3CC7"/>
    <w:rsid w:val="00FD4148"/>
    <w:rsid w:val="00FD4A7A"/>
    <w:rsid w:val="00FD4D5B"/>
    <w:rsid w:val="00FD4FFE"/>
    <w:rsid w:val="00FD6453"/>
    <w:rsid w:val="00FD67FD"/>
    <w:rsid w:val="00FD7CB2"/>
    <w:rsid w:val="00FD7D46"/>
    <w:rsid w:val="00FD7D8B"/>
    <w:rsid w:val="00FE0AF2"/>
    <w:rsid w:val="00FE1C47"/>
    <w:rsid w:val="00FE22DD"/>
    <w:rsid w:val="00FE28CA"/>
    <w:rsid w:val="00FE2CFB"/>
    <w:rsid w:val="00FE3F10"/>
    <w:rsid w:val="00FE4A60"/>
    <w:rsid w:val="00FE54E0"/>
    <w:rsid w:val="00FE55F0"/>
    <w:rsid w:val="00FE57DF"/>
    <w:rsid w:val="00FE6331"/>
    <w:rsid w:val="00FE685B"/>
    <w:rsid w:val="00FE69B3"/>
    <w:rsid w:val="00FE6C12"/>
    <w:rsid w:val="00FE7894"/>
    <w:rsid w:val="00FF01FA"/>
    <w:rsid w:val="00FF21B5"/>
    <w:rsid w:val="00FF21C3"/>
    <w:rsid w:val="00FF2A11"/>
    <w:rsid w:val="00FF2AA0"/>
    <w:rsid w:val="00FF3977"/>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2CF949F"/>
    <w:rsid w:val="037B9E7B"/>
    <w:rsid w:val="03911ED5"/>
    <w:rsid w:val="050AC09F"/>
    <w:rsid w:val="071CB7DB"/>
    <w:rsid w:val="0783C56A"/>
    <w:rsid w:val="0935AB13"/>
    <w:rsid w:val="094E5959"/>
    <w:rsid w:val="09C73FDD"/>
    <w:rsid w:val="09D2AD3C"/>
    <w:rsid w:val="0A4ACA47"/>
    <w:rsid w:val="0A7B6593"/>
    <w:rsid w:val="0B2F7AB8"/>
    <w:rsid w:val="0CD942BB"/>
    <w:rsid w:val="0DD0369D"/>
    <w:rsid w:val="0F0AAF76"/>
    <w:rsid w:val="0F92269D"/>
    <w:rsid w:val="0FB082EF"/>
    <w:rsid w:val="11978458"/>
    <w:rsid w:val="11B85219"/>
    <w:rsid w:val="11BBF3C0"/>
    <w:rsid w:val="11BED681"/>
    <w:rsid w:val="1228DE59"/>
    <w:rsid w:val="130F5729"/>
    <w:rsid w:val="146D317E"/>
    <w:rsid w:val="14712242"/>
    <w:rsid w:val="14C3A201"/>
    <w:rsid w:val="15CFC308"/>
    <w:rsid w:val="16DE3F62"/>
    <w:rsid w:val="1A97A52B"/>
    <w:rsid w:val="1CAE61EA"/>
    <w:rsid w:val="20AE78F4"/>
    <w:rsid w:val="217F9DA9"/>
    <w:rsid w:val="21B3703A"/>
    <w:rsid w:val="2436830E"/>
    <w:rsid w:val="25E68D5B"/>
    <w:rsid w:val="275171C0"/>
    <w:rsid w:val="27BCC2BE"/>
    <w:rsid w:val="28356C3E"/>
    <w:rsid w:val="28B401F6"/>
    <w:rsid w:val="28D5C1BE"/>
    <w:rsid w:val="2A1DE801"/>
    <w:rsid w:val="2A5F7339"/>
    <w:rsid w:val="2AF0AABD"/>
    <w:rsid w:val="2D9C9F0B"/>
    <w:rsid w:val="2E154098"/>
    <w:rsid w:val="2F5DEA7C"/>
    <w:rsid w:val="30E0E85F"/>
    <w:rsid w:val="318014BA"/>
    <w:rsid w:val="31D25B84"/>
    <w:rsid w:val="32FD13BB"/>
    <w:rsid w:val="349316DA"/>
    <w:rsid w:val="35365517"/>
    <w:rsid w:val="37F2790C"/>
    <w:rsid w:val="3976C5C7"/>
    <w:rsid w:val="3A125505"/>
    <w:rsid w:val="3A7D0CD5"/>
    <w:rsid w:val="3BD3B805"/>
    <w:rsid w:val="3C547F45"/>
    <w:rsid w:val="3C5A2B35"/>
    <w:rsid w:val="3E3C9CA3"/>
    <w:rsid w:val="3E9067F3"/>
    <w:rsid w:val="3EE392FB"/>
    <w:rsid w:val="40267EAC"/>
    <w:rsid w:val="469AA727"/>
    <w:rsid w:val="48AD03CB"/>
    <w:rsid w:val="49840553"/>
    <w:rsid w:val="4ABFB34F"/>
    <w:rsid w:val="4D30F38A"/>
    <w:rsid w:val="4D3296AF"/>
    <w:rsid w:val="50D373B4"/>
    <w:rsid w:val="51E677D5"/>
    <w:rsid w:val="53BA30AE"/>
    <w:rsid w:val="543991C2"/>
    <w:rsid w:val="573B2AB3"/>
    <w:rsid w:val="57835F6F"/>
    <w:rsid w:val="57A5F14F"/>
    <w:rsid w:val="580175AE"/>
    <w:rsid w:val="5A193151"/>
    <w:rsid w:val="5A79CDD6"/>
    <w:rsid w:val="5CBC9D91"/>
    <w:rsid w:val="5F271558"/>
    <w:rsid w:val="626B5E98"/>
    <w:rsid w:val="63C8FFC5"/>
    <w:rsid w:val="6464CC33"/>
    <w:rsid w:val="65171C6E"/>
    <w:rsid w:val="6731E774"/>
    <w:rsid w:val="679D9011"/>
    <w:rsid w:val="691075F6"/>
    <w:rsid w:val="69DC76C1"/>
    <w:rsid w:val="6A95227B"/>
    <w:rsid w:val="6B273AA9"/>
    <w:rsid w:val="6CCF3B0E"/>
    <w:rsid w:val="6D25D72D"/>
    <w:rsid w:val="6D26B9A0"/>
    <w:rsid w:val="6D40DFDB"/>
    <w:rsid w:val="6DAB383F"/>
    <w:rsid w:val="6E2BDE09"/>
    <w:rsid w:val="6F5DB097"/>
    <w:rsid w:val="71DF9933"/>
    <w:rsid w:val="71FFF277"/>
    <w:rsid w:val="7229EA2D"/>
    <w:rsid w:val="7394F82E"/>
    <w:rsid w:val="741953C5"/>
    <w:rsid w:val="741F388D"/>
    <w:rsid w:val="7447A775"/>
    <w:rsid w:val="75D00216"/>
    <w:rsid w:val="76BAC1E5"/>
    <w:rsid w:val="7855D343"/>
    <w:rsid w:val="78AB1347"/>
    <w:rsid w:val="79EBB37E"/>
    <w:rsid w:val="7AB194FD"/>
    <w:rsid w:val="7ADF2EA3"/>
    <w:rsid w:val="7B965D58"/>
    <w:rsid w:val="7C07F25E"/>
    <w:rsid w:val="7D5306F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87719F"/>
  <w14:defaultImageDpi w14:val="330"/>
  <w15:docId w15:val="{B56CDCDD-4E76-4ADE-A682-ACCBA4E0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252704"/>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uiPriority w:val="1"/>
    <w:qFormat/>
    <w:rsid w:val="008B68EC"/>
    <w:pPr>
      <w:keepNext/>
      <w:tabs>
        <w:tab w:val="left" w:pos="851"/>
      </w:tabs>
      <w:spacing w:before="0" w:after="360" w:line="240" w:lineRule="auto"/>
      <w:jc w:val="left"/>
      <w:outlineLvl w:val="0"/>
    </w:pPr>
    <w:rPr>
      <w:rFonts w:eastAsiaTheme="majorEastAsia" w:cstheme="majorBidi"/>
      <w:b/>
      <w:bCs/>
      <w:color w:val="1C556C"/>
      <w:sz w:val="48"/>
      <w:szCs w:val="28"/>
    </w:rPr>
  </w:style>
  <w:style w:type="paragraph" w:styleId="Heading2">
    <w:name w:val="heading 2"/>
    <w:basedOn w:val="Normal"/>
    <w:next w:val="BodyText"/>
    <w:link w:val="Heading2Char"/>
    <w:uiPriority w:val="1"/>
    <w:qFormat/>
    <w:rsid w:val="00B51610"/>
    <w:pPr>
      <w:keepNext/>
      <w:tabs>
        <w:tab w:val="left" w:pos="851"/>
      </w:tabs>
      <w:spacing w:before="360" w:after="0" w:line="240" w:lineRule="auto"/>
      <w:jc w:val="left"/>
      <w:outlineLvl w:val="1"/>
    </w:pPr>
    <w:rPr>
      <w:rFonts w:eastAsiaTheme="majorEastAsia" w:cstheme="majorBidi"/>
      <w:b/>
      <w:bCs/>
      <w:color w:val="0F7B7D"/>
      <w:sz w:val="36"/>
      <w:szCs w:val="26"/>
    </w:rPr>
  </w:style>
  <w:style w:type="paragraph" w:styleId="Heading3">
    <w:name w:val="heading 3"/>
    <w:basedOn w:val="Normal"/>
    <w:next w:val="BodyText"/>
    <w:link w:val="Heading3Char"/>
    <w:uiPriority w:val="1"/>
    <w:qFormat/>
    <w:rsid w:val="008B68EC"/>
    <w:pPr>
      <w:keepNext/>
      <w:tabs>
        <w:tab w:val="left" w:pos="851"/>
      </w:tabs>
      <w:spacing w:before="360" w:after="0" w:line="240" w:lineRule="auto"/>
      <w:jc w:val="left"/>
      <w:outlineLvl w:val="2"/>
    </w:pPr>
    <w:rPr>
      <w:rFonts w:eastAsiaTheme="majorEastAsia" w:cstheme="majorBidi"/>
      <w:b/>
      <w:bCs/>
      <w:sz w:val="28"/>
    </w:rPr>
  </w:style>
  <w:style w:type="paragraph" w:styleId="Heading4">
    <w:name w:val="heading 4"/>
    <w:basedOn w:val="Heading3"/>
    <w:next w:val="BodyText"/>
    <w:link w:val="Heading4Char"/>
    <w:uiPriority w:val="1"/>
    <w:qFormat/>
    <w:rsid w:val="00B51610"/>
    <w:pPr>
      <w:outlineLvl w:val="3"/>
    </w:pPr>
    <w:rPr>
      <w:color w:val="0F7B7D"/>
      <w:sz w:val="24"/>
    </w:rPr>
  </w:style>
  <w:style w:type="paragraph" w:styleId="Heading5">
    <w:name w:val="heading 5"/>
    <w:basedOn w:val="Normal"/>
    <w:next w:val="BodyText"/>
    <w:link w:val="Heading5Char"/>
    <w:uiPriority w:val="1"/>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uiPriority w:val="9"/>
    <w:semiHidden/>
    <w:qFormat/>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uiPriority w:val="9"/>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uiPriority w:val="9"/>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uiPriority w:val="9"/>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A6AD0"/>
    <w:rPr>
      <w:rFonts w:ascii="Calibri" w:eastAsiaTheme="majorEastAsia" w:hAnsi="Calibri" w:cstheme="majorBidi"/>
      <w:b/>
      <w:bCs/>
      <w:color w:val="1C556C"/>
      <w:sz w:val="48"/>
      <w:szCs w:val="28"/>
      <w:lang w:eastAsia="en-NZ"/>
    </w:rPr>
  </w:style>
  <w:style w:type="character" w:customStyle="1" w:styleId="Heading2Char">
    <w:name w:val="Heading 2 Char"/>
    <w:basedOn w:val="DefaultParagraphFont"/>
    <w:link w:val="Heading2"/>
    <w:uiPriority w:val="1"/>
    <w:rsid w:val="009A6AD0"/>
    <w:rPr>
      <w:rFonts w:ascii="Calibri" w:eastAsiaTheme="majorEastAsia" w:hAnsi="Calibri" w:cstheme="majorBidi"/>
      <w:b/>
      <w:bCs/>
      <w:color w:val="0F7B7D"/>
      <w:sz w:val="36"/>
      <w:szCs w:val="26"/>
      <w:lang w:eastAsia="en-NZ"/>
    </w:rPr>
  </w:style>
  <w:style w:type="character" w:customStyle="1" w:styleId="Heading3Char">
    <w:name w:val="Heading 3 Char"/>
    <w:basedOn w:val="DefaultParagraphFont"/>
    <w:link w:val="Heading3"/>
    <w:uiPriority w:val="1"/>
    <w:rsid w:val="009A6AD0"/>
    <w:rPr>
      <w:rFonts w:ascii="Calibri" w:eastAsiaTheme="majorEastAsia" w:hAnsi="Calibri" w:cstheme="majorBidi"/>
      <w:b/>
      <w:bCs/>
      <w:sz w:val="28"/>
      <w:lang w:eastAsia="en-NZ"/>
    </w:rPr>
  </w:style>
  <w:style w:type="character" w:customStyle="1" w:styleId="Heading4Char">
    <w:name w:val="Heading 4 Char"/>
    <w:basedOn w:val="DefaultParagraphFont"/>
    <w:link w:val="Heading4"/>
    <w:uiPriority w:val="1"/>
    <w:rsid w:val="009A6AD0"/>
    <w:rPr>
      <w:rFonts w:ascii="Calibri" w:eastAsiaTheme="majorEastAsia" w:hAnsi="Calibri" w:cstheme="majorBidi"/>
      <w:b/>
      <w:bCs/>
      <w:color w:val="0F7B7D"/>
      <w:sz w:val="24"/>
      <w:lang w:eastAsia="en-NZ"/>
    </w:rPr>
  </w:style>
  <w:style w:type="character" w:customStyle="1" w:styleId="Heading5Char">
    <w:name w:val="Heading 5 Char"/>
    <w:basedOn w:val="DefaultParagraphFont"/>
    <w:link w:val="Heading5"/>
    <w:uiPriority w:val="1"/>
    <w:rsid w:val="009A6AD0"/>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aliases w:val="RS Table Grid a"/>
    <w:basedOn w:val="TableNormal"/>
    <w:uiPriority w:val="3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29"/>
    <w:qFormat/>
    <w:rsid w:val="00684D9B"/>
    <w:pPr>
      <w:spacing w:before="60" w:after="60"/>
      <w:ind w:left="567" w:right="567"/>
      <w:jc w:val="left"/>
    </w:pPr>
    <w:rPr>
      <w:sz w:val="20"/>
    </w:rPr>
  </w:style>
  <w:style w:type="character" w:customStyle="1" w:styleId="QuoteChar">
    <w:name w:val="Quote Char"/>
    <w:basedOn w:val="DefaultParagraphFont"/>
    <w:link w:val="Quote"/>
    <w:uiPriority w:val="29"/>
    <w:rsid w:val="001944B1"/>
    <w:rPr>
      <w:rFonts w:ascii="Calibri" w:eastAsiaTheme="minorEastAsia" w:hAnsi="Calibri"/>
      <w:sz w:val="20"/>
      <w:lang w:eastAsia="en-NZ"/>
    </w:rPr>
  </w:style>
  <w:style w:type="paragraph" w:customStyle="1" w:styleId="Box">
    <w:name w:val="Box"/>
    <w:basedOn w:val="Normal"/>
    <w:uiPriority w:val="4"/>
    <w:semiHidden/>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
    <w:uiPriority w:val="4"/>
    <w:semiHidden/>
    <w:qFormat/>
    <w:rsid w:val="00A56D3B"/>
    <w:pPr>
      <w:tabs>
        <w:tab w:val="left" w:pos="680"/>
      </w:tabs>
      <w:spacing w:before="0"/>
      <w:ind w:left="681" w:hanging="397"/>
    </w:pPr>
  </w:style>
  <w:style w:type="paragraph" w:customStyle="1" w:styleId="Boxheading">
    <w:name w:val="Box heading"/>
    <w:basedOn w:val="Box"/>
    <w:next w:val="Box"/>
    <w:uiPriority w:val="4"/>
    <w:semiHidden/>
    <w:qFormat/>
    <w:rsid w:val="001820A3"/>
    <w:pPr>
      <w:keepNext/>
      <w:spacing w:after="0"/>
    </w:pPr>
    <w:rPr>
      <w:b/>
    </w:rPr>
  </w:style>
  <w:style w:type="paragraph" w:customStyle="1" w:styleId="Bullet">
    <w:name w:val="Bullet"/>
    <w:basedOn w:val="Normal"/>
    <w:link w:val="BulletChar"/>
    <w:qFormat/>
    <w:rsid w:val="003C170C"/>
    <w:pPr>
      <w:numPr>
        <w:numId w:val="14"/>
      </w:numPr>
      <w:spacing w:before="0" w:line="280" w:lineRule="exact"/>
      <w:jc w:val="left"/>
    </w:pPr>
    <w:rPr>
      <w:rFonts w:eastAsia="Times New Roman" w:cs="Times New Roman"/>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2A533C"/>
    <w:pPr>
      <w:numPr>
        <w:numId w:val="3"/>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3"/>
    <w:qFormat/>
    <w:rsid w:val="00554B30"/>
    <w:pPr>
      <w:spacing w:before="0" w:line="260" w:lineRule="atLeast"/>
      <w:jc w:val="left"/>
    </w:pPr>
    <w:rPr>
      <w:sz w:val="20"/>
    </w:rPr>
  </w:style>
  <w:style w:type="paragraph" w:customStyle="1" w:styleId="Source">
    <w:name w:val="Source"/>
    <w:basedOn w:val="Normal"/>
    <w:next w:val="Normal"/>
    <w:uiPriority w:val="1"/>
    <w:semiHidden/>
    <w:qFormat/>
    <w:rsid w:val="00EA64B4"/>
    <w:pPr>
      <w:tabs>
        <w:tab w:val="left" w:pos="680"/>
      </w:tabs>
      <w:jc w:val="left"/>
    </w:pPr>
    <w:rPr>
      <w:sz w:val="18"/>
    </w:rPr>
  </w:style>
  <w:style w:type="paragraph" w:styleId="Title">
    <w:name w:val="Title"/>
    <w:basedOn w:val="Normal"/>
    <w:link w:val="TitleChar"/>
    <w:uiPriority w:val="10"/>
    <w:semiHidden/>
    <w:qFormat/>
    <w:rsid w:val="00624018"/>
    <w:pPr>
      <w:spacing w:line="360" w:lineRule="auto"/>
      <w:jc w:val="center"/>
    </w:pPr>
    <w:rPr>
      <w:b/>
      <w:color w:val="17556C"/>
      <w:sz w:val="52"/>
    </w:rPr>
  </w:style>
  <w:style w:type="character" w:customStyle="1" w:styleId="TitleChar">
    <w:name w:val="Title Char"/>
    <w:basedOn w:val="DefaultParagraphFont"/>
    <w:link w:val="Title"/>
    <w:uiPriority w:val="10"/>
    <w:semiHidden/>
    <w:rsid w:val="001944B1"/>
    <w:rPr>
      <w:rFonts w:ascii="Calibri" w:eastAsiaTheme="minorEastAsia" w:hAnsi="Calibri"/>
      <w:b/>
      <w:color w:val="17556C"/>
      <w:sz w:val="52"/>
      <w:lang w:eastAsia="en-NZ"/>
    </w:rPr>
  </w:style>
  <w:style w:type="paragraph" w:styleId="Subtitle">
    <w:name w:val="Subtitle"/>
    <w:basedOn w:val="Title"/>
    <w:link w:val="SubtitleChar"/>
    <w:uiPriority w:val="11"/>
    <w:semiHidden/>
    <w:qFormat/>
    <w:rsid w:val="00D94120"/>
    <w:pPr>
      <w:spacing w:before="600" w:line="240" w:lineRule="auto"/>
    </w:pPr>
    <w:rPr>
      <w:sz w:val="36"/>
      <w:szCs w:val="36"/>
    </w:rPr>
  </w:style>
  <w:style w:type="character" w:customStyle="1" w:styleId="SubtitleChar">
    <w:name w:val="Subtitle Char"/>
    <w:basedOn w:val="DefaultParagraphFont"/>
    <w:link w:val="Subtitle"/>
    <w:uiPriority w:val="11"/>
    <w:semiHidden/>
    <w:rsid w:val="001944B1"/>
    <w:rPr>
      <w:rFonts w:ascii="Calibri" w:eastAsiaTheme="minorEastAsia" w:hAnsi="Calibri"/>
      <w:b/>
      <w:color w:val="17556C"/>
      <w:sz w:val="36"/>
      <w:szCs w:val="36"/>
      <w:lang w:eastAsia="en-NZ"/>
    </w:rPr>
  </w:style>
  <w:style w:type="paragraph" w:customStyle="1" w:styleId="Tableheading">
    <w:name w:val="Table heading"/>
    <w:basedOn w:val="Normal"/>
    <w:next w:val="Normal"/>
    <w:uiPriority w:val="2"/>
    <w:qFormat/>
    <w:rsid w:val="00EA64B4"/>
    <w:pPr>
      <w:keepNext/>
      <w:ind w:left="1134" w:hanging="1134"/>
      <w:jc w:val="left"/>
    </w:pPr>
    <w:rPr>
      <w:b/>
      <w:sz w:val="20"/>
    </w:rPr>
  </w:style>
  <w:style w:type="paragraph" w:customStyle="1" w:styleId="TableText">
    <w:name w:val="TableText"/>
    <w:basedOn w:val="Normal"/>
    <w:uiPriority w:val="2"/>
    <w:qFormat/>
    <w:rsid w:val="00EA64B4"/>
    <w:pPr>
      <w:spacing w:before="60" w:after="60" w:line="240" w:lineRule="atLeast"/>
      <w:jc w:val="left"/>
    </w:pPr>
    <w:rPr>
      <w:sz w:val="18"/>
    </w:rPr>
  </w:style>
  <w:style w:type="paragraph" w:customStyle="1" w:styleId="TableTextbold">
    <w:name w:val="TableText bold"/>
    <w:basedOn w:val="TableText"/>
    <w:uiPriority w:val="2"/>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DB0789"/>
    <w:pPr>
      <w:tabs>
        <w:tab w:val="right" w:pos="8505"/>
      </w:tabs>
      <w:spacing w:before="60" w:after="60" w:line="240" w:lineRule="auto"/>
      <w:ind w:left="567" w:right="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4"/>
    <w:semiHidden/>
    <w:qFormat/>
    <w:rsid w:val="00EA64B4"/>
    <w:pPr>
      <w:tabs>
        <w:tab w:val="left" w:pos="2835"/>
      </w:tabs>
      <w:spacing w:after="0"/>
      <w:jc w:val="left"/>
    </w:pPr>
  </w:style>
  <w:style w:type="paragraph" w:customStyle="1" w:styleId="Footerodd">
    <w:name w:val="Footer odd"/>
    <w:basedOn w:val="Normal"/>
    <w:uiPriority w:val="4"/>
    <w:rsid w:val="00EA64B4"/>
    <w:pPr>
      <w:tabs>
        <w:tab w:val="right" w:pos="7938"/>
        <w:tab w:val="right" w:pos="8505"/>
      </w:tabs>
      <w:jc w:val="left"/>
    </w:pPr>
    <w:rPr>
      <w:sz w:val="16"/>
    </w:rPr>
  </w:style>
  <w:style w:type="paragraph" w:customStyle="1" w:styleId="Footereven">
    <w:name w:val="Footer even"/>
    <w:basedOn w:val="Normal"/>
    <w:uiPriority w:val="4"/>
    <w:rsid w:val="00EA64B4"/>
    <w:pPr>
      <w:tabs>
        <w:tab w:val="left" w:pos="567"/>
      </w:tabs>
    </w:pPr>
    <w:rPr>
      <w:sz w:val="16"/>
    </w:rPr>
  </w:style>
  <w:style w:type="paragraph" w:customStyle="1" w:styleId="Numberedparagraph">
    <w:name w:val="Numbered paragraph"/>
    <w:basedOn w:val="Normal"/>
    <w:uiPriority w:val="1"/>
    <w:semiHidden/>
    <w:qFormat/>
    <w:rsid w:val="005B6698"/>
    <w:pPr>
      <w:numPr>
        <w:numId w:val="4"/>
      </w:numPr>
      <w:spacing w:before="0"/>
      <w:ind w:left="397" w:hanging="397"/>
      <w:jc w:val="left"/>
    </w:pPr>
  </w:style>
  <w:style w:type="paragraph" w:customStyle="1" w:styleId="Sub-lista">
    <w:name w:val="Sub-list a"/>
    <w:aliases w:val="b"/>
    <w:basedOn w:val="Normal"/>
    <w:uiPriority w:val="2"/>
    <w:rsid w:val="00E21ACA"/>
    <w:pPr>
      <w:numPr>
        <w:numId w:val="5"/>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semiHidden/>
    <w:rsid w:val="00EA64B4"/>
    <w:pPr>
      <w:ind w:left="440"/>
    </w:pPr>
  </w:style>
  <w:style w:type="paragraph" w:styleId="TableofFigures">
    <w:name w:val="table of figures"/>
    <w:basedOn w:val="Normal"/>
    <w:next w:val="Normal"/>
    <w:uiPriority w:val="99"/>
    <w:rsid w:val="000F629F"/>
    <w:pPr>
      <w:tabs>
        <w:tab w:val="right" w:pos="8494"/>
      </w:tabs>
      <w:spacing w:before="0"/>
      <w:ind w:left="1134" w:right="567" w:hanging="1134"/>
      <w:jc w:val="left"/>
    </w:pPr>
    <w:rPr>
      <w:noProof/>
    </w:rPr>
  </w:style>
  <w:style w:type="paragraph" w:customStyle="1" w:styleId="Sub-listi">
    <w:name w:val="Sub-list i"/>
    <w:aliases w:val="ii"/>
    <w:basedOn w:val="BodyText"/>
    <w:semiHidden/>
    <w:rsid w:val="00EA64B4"/>
    <w:pPr>
      <w:numPr>
        <w:numId w:val="6"/>
      </w:numPr>
      <w:spacing w:before="60" w:after="60"/>
    </w:pPr>
  </w:style>
  <w:style w:type="paragraph" w:customStyle="1" w:styleId="TableBullet">
    <w:name w:val="TableBullet"/>
    <w:basedOn w:val="Normal"/>
    <w:uiPriority w:val="2"/>
    <w:qFormat/>
    <w:rsid w:val="00523DFA"/>
    <w:pPr>
      <w:numPr>
        <w:numId w:val="7"/>
      </w:numPr>
      <w:spacing w:before="0" w:after="60" w:line="240" w:lineRule="atLeast"/>
      <w:jc w:val="left"/>
    </w:pPr>
    <w:rPr>
      <w:rFonts w:cs="Arial"/>
      <w:sz w:val="18"/>
      <w:szCs w:val="16"/>
    </w:rPr>
  </w:style>
  <w:style w:type="paragraph" w:customStyle="1" w:styleId="TableDash">
    <w:name w:val="TableDash"/>
    <w:basedOn w:val="TableBullet"/>
    <w:uiPriority w:val="2"/>
    <w:qFormat/>
    <w:rsid w:val="005E3BCD"/>
    <w:pPr>
      <w:numPr>
        <w:numId w:val="8"/>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uiPriority w:val="99"/>
    <w:semiHidden/>
    <w:unhideWhenUsed/>
    <w:rsid w:val="00EA64B4"/>
    <w:rPr>
      <w:rFonts w:ascii="Tahoma" w:hAnsi="Tahoma"/>
      <w:sz w:val="16"/>
      <w:szCs w:val="16"/>
    </w:rPr>
  </w:style>
  <w:style w:type="character" w:customStyle="1" w:styleId="BalloonTextChar">
    <w:name w:val="Balloon Text Char"/>
    <w:basedOn w:val="DefaultParagraphFont"/>
    <w:link w:val="BalloonText"/>
    <w:uiPriority w:val="99"/>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single" w:sz="8" w:space="0" w:color="19CCCF" w:themeColor="accent2" w:themeTint="BF"/>
      </w:tblBorders>
    </w:tblPr>
    <w:tblStylePr w:type="firstRow">
      <w:pPr>
        <w:spacing w:before="0" w:after="0" w:line="240" w:lineRule="auto"/>
      </w:pPr>
      <w:rPr>
        <w:b/>
        <w:bCs/>
        <w:color w:val="FFFFFF" w:themeColor="background1"/>
      </w:rPr>
      <w:tblPr/>
      <w:tcPr>
        <w:tcBorders>
          <w:top w:val="single" w:sz="8"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shd w:val="clear" w:color="auto" w:fill="0F7B7D" w:themeFill="accent2"/>
      </w:tcPr>
    </w:tblStylePr>
    <w:tblStylePr w:type="lastRow">
      <w:pPr>
        <w:spacing w:before="0" w:after="0" w:line="240" w:lineRule="auto"/>
      </w:pPr>
      <w:rPr>
        <w:b/>
        <w:bCs/>
      </w:rPr>
      <w:tblPr/>
      <w:tcPr>
        <w:tcBorders>
          <w:top w:val="double" w:sz="6" w:space="0" w:color="19CCCF" w:themeColor="accent2" w:themeTint="BF"/>
          <w:left w:val="single" w:sz="8" w:space="0" w:color="19CCCF" w:themeColor="accent2" w:themeTint="BF"/>
          <w:bottom w:val="single" w:sz="8" w:space="0" w:color="19CCCF" w:themeColor="accent2" w:themeTint="BF"/>
          <w:right w:val="single" w:sz="8" w:space="0" w:color="19CC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ADF3F5" w:themeFill="accent2" w:themeFillTint="3F"/>
      </w:tcPr>
    </w:tblStylePr>
    <w:tblStylePr w:type="band1Horz">
      <w:tblPr/>
      <w:tcPr>
        <w:tcBorders>
          <w:insideH w:val="nil"/>
          <w:insideV w:val="nil"/>
        </w:tcBorders>
        <w:shd w:val="clear" w:color="auto" w:fill="ADF3F5"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9"/>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eastAsia="Times New Roman" w:hAnsi="Arial" w:cs="Times New Roman"/>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eastAsia="Times New Roman" w:hAnsi="Arial" w:cs="Times New Roman"/>
      <w:b/>
      <w:color w:val="auto"/>
      <w:sz w:val="22"/>
      <w:szCs w:val="20"/>
      <w:lang w:eastAsia="en-GB"/>
    </w:rPr>
  </w:style>
  <w:style w:type="character" w:customStyle="1" w:styleId="Heading6Char">
    <w:name w:val="Heading 6 Char"/>
    <w:basedOn w:val="DefaultParagraphFont"/>
    <w:link w:val="Heading6"/>
    <w:uiPriority w:val="9"/>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uiPriority w:val="9"/>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uiPriority w:val="9"/>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uiPriority w:val="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3C170C"/>
    <w:rPr>
      <w:rFonts w:ascii="Calibri" w:eastAsia="Times New Roman" w:hAnsi="Calibri" w:cs="Times New Roman"/>
      <w:szCs w:val="20"/>
      <w:lang w:eastAsia="en-NZ"/>
    </w:rPr>
  </w:style>
  <w:style w:type="paragraph" w:customStyle="1" w:styleId="Casestudyheading">
    <w:name w:val="Case study heading"/>
    <w:basedOn w:val="BodyText"/>
    <w:uiPriority w:val="4"/>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2DDE2" w:themeColor="accent3"/>
        <w:left w:val="single" w:sz="8" w:space="0" w:color="D2DDE2" w:themeColor="accent3"/>
        <w:bottom w:val="single" w:sz="8" w:space="0" w:color="D2DDE2" w:themeColor="accent3"/>
        <w:right w:val="single" w:sz="8" w:space="0" w:color="D2DDE2" w:themeColor="accent3"/>
      </w:tblBorders>
    </w:tblPr>
    <w:tblStylePr w:type="firstRow">
      <w:pPr>
        <w:spacing w:before="0" w:after="0" w:line="240" w:lineRule="auto"/>
      </w:pPr>
      <w:rPr>
        <w:b/>
        <w:bCs/>
        <w:color w:val="FFFFFF" w:themeColor="background1"/>
      </w:rPr>
      <w:tblPr/>
      <w:tcPr>
        <w:shd w:val="clear" w:color="auto" w:fill="D2DDE2" w:themeFill="accent3"/>
      </w:tcPr>
    </w:tblStylePr>
    <w:tblStylePr w:type="lastRow">
      <w:pPr>
        <w:spacing w:before="0" w:after="0" w:line="240" w:lineRule="auto"/>
      </w:pPr>
      <w:rPr>
        <w:b/>
        <w:bCs/>
      </w:rPr>
      <w:tblPr/>
      <w:tcPr>
        <w:tcBorders>
          <w:top w:val="double" w:sz="6" w:space="0" w:color="D2DDE2" w:themeColor="accent3"/>
          <w:left w:val="single" w:sz="8" w:space="0" w:color="D2DDE2" w:themeColor="accent3"/>
          <w:bottom w:val="single" w:sz="8" w:space="0" w:color="D2DDE2" w:themeColor="accent3"/>
          <w:right w:val="single" w:sz="8" w:space="0" w:color="D2DDE2" w:themeColor="accent3"/>
        </w:tcBorders>
      </w:tcPr>
    </w:tblStylePr>
    <w:tblStylePr w:type="firstCol">
      <w:rPr>
        <w:b/>
        <w:bCs/>
      </w:rPr>
    </w:tblStylePr>
    <w:tblStylePr w:type="lastCol">
      <w:rPr>
        <w:b/>
        <w:bCs/>
      </w:rPr>
    </w:tblStylePr>
    <w:tblStylePr w:type="band1Vert">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tblStylePr w:type="band1Horz">
      <w:tblPr/>
      <w:tcPr>
        <w:tcBorders>
          <w:top w:val="single" w:sz="8" w:space="0" w:color="D2DDE2" w:themeColor="accent3"/>
          <w:left w:val="single" w:sz="8" w:space="0" w:color="D2DDE2" w:themeColor="accent3"/>
          <w:bottom w:val="single" w:sz="8" w:space="0" w:color="D2DDE2" w:themeColor="accent3"/>
          <w:right w:val="single" w:sz="8" w:space="0" w:color="D2DDE2" w:themeColor="accent3"/>
        </w:tcBorders>
      </w:tcPr>
    </w:tblStylePr>
  </w:style>
  <w:style w:type="numbering" w:customStyle="1" w:styleId="Style1">
    <w:name w:val="Style1"/>
    <w:uiPriority w:val="99"/>
    <w:rsid w:val="00B07CE9"/>
    <w:pPr>
      <w:numPr>
        <w:numId w:val="10"/>
      </w:numPr>
    </w:pPr>
  </w:style>
  <w:style w:type="numbering" w:customStyle="1" w:styleId="Style2">
    <w:name w:val="Style2"/>
    <w:uiPriority w:val="99"/>
    <w:rsid w:val="008E0688"/>
    <w:pPr>
      <w:numPr>
        <w:numId w:val="11"/>
      </w:numPr>
    </w:pPr>
  </w:style>
  <w:style w:type="paragraph" w:customStyle="1" w:styleId="Greenbullet-casestudytables">
    <w:name w:val="Green bullet - case study tables"/>
    <w:basedOn w:val="Greentext-casestudytables"/>
    <w:uiPriority w:val="4"/>
    <w:semiHidden/>
    <w:rsid w:val="00C15722"/>
    <w:pPr>
      <w:numPr>
        <w:numId w:val="12"/>
      </w:numPr>
      <w:spacing w:before="0"/>
      <w:ind w:left="681" w:hanging="397"/>
    </w:pPr>
  </w:style>
  <w:style w:type="paragraph" w:customStyle="1" w:styleId="Greentext-casestudytables">
    <w:name w:val="Green text - case study tables"/>
    <w:basedOn w:val="BodyText"/>
    <w:uiPriority w:val="4"/>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4"/>
    <w:semiHidden/>
    <w:rsid w:val="0051754D"/>
    <w:pPr>
      <w:keepNext/>
      <w:spacing w:before="240" w:after="0"/>
    </w:pPr>
    <w:rPr>
      <w:rFonts w:eastAsia="Times New Roman"/>
      <w:b/>
    </w:rPr>
  </w:style>
  <w:style w:type="numbering" w:customStyle="1" w:styleId="Style3">
    <w:name w:val="Style3"/>
    <w:uiPriority w:val="99"/>
    <w:rsid w:val="008B5A2D"/>
    <w:pPr>
      <w:numPr>
        <w:numId w:val="13"/>
      </w:numPr>
    </w:pPr>
  </w:style>
  <w:style w:type="paragraph" w:customStyle="1" w:styleId="Blueboxtext">
    <w:name w:val="Blue box text"/>
    <w:basedOn w:val="Normal"/>
    <w:uiPriority w:val="1"/>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qFormat/>
    <w:rsid w:val="005D3242"/>
    <w:pPr>
      <w:numPr>
        <w:numId w:val="2"/>
      </w:numPr>
      <w:tabs>
        <w:tab w:val="left" w:pos="680"/>
      </w:tabs>
      <w:spacing w:before="0"/>
      <w:ind w:left="681" w:hanging="397"/>
    </w:pPr>
    <w:rPr>
      <w:rFonts w:cs="Times New Roman"/>
      <w:szCs w:val="20"/>
    </w:rPr>
  </w:style>
  <w:style w:type="paragraph" w:customStyle="1" w:styleId="Blueboxheading">
    <w:name w:val="Blue box heading"/>
    <w:basedOn w:val="Blueboxtext"/>
    <w:next w:val="Blueboxtext"/>
    <w:uiPriority w:val="1"/>
    <w:qFormat/>
    <w:rsid w:val="007823D6"/>
    <w:pPr>
      <w:keepNext/>
      <w:spacing w:before="240" w:after="0"/>
    </w:pPr>
    <w:rPr>
      <w:rFonts w:cs="Times New Roman"/>
      <w:b/>
      <w:szCs w:val="20"/>
    </w:rPr>
  </w:style>
  <w:style w:type="paragraph" w:customStyle="1" w:styleId="Blue-boxsub-bullet">
    <w:name w:val="Blue-box sub-bullet"/>
    <w:basedOn w:val="Blueboxtext"/>
    <w:uiPriority w:val="1"/>
    <w:qFormat/>
    <w:rsid w:val="007823D6"/>
    <w:pPr>
      <w:numPr>
        <w:numId w:val="15"/>
      </w:numPr>
      <w:spacing w:before="0"/>
    </w:pPr>
    <w:rPr>
      <w:rFonts w:cs="Times New Roman"/>
      <w:szCs w:val="20"/>
    </w:rPr>
  </w:style>
  <w:style w:type="paragraph" w:customStyle="1" w:styleId="Greensub-bullet-casestudytables">
    <w:name w:val="Green sub-bullet - case study tables"/>
    <w:basedOn w:val="Greentext-casestudytables"/>
    <w:uiPriority w:val="4"/>
    <w:semiHidden/>
    <w:qFormat/>
    <w:rsid w:val="00C15722"/>
    <w:pPr>
      <w:numPr>
        <w:numId w:val="16"/>
      </w:numPr>
      <w:spacing w:before="0"/>
      <w:ind w:left="1077" w:hanging="397"/>
    </w:pPr>
  </w:style>
  <w:style w:type="paragraph" w:styleId="CommentText">
    <w:name w:val="annotation text"/>
    <w:basedOn w:val="Normal"/>
    <w:link w:val="CommentTextChar"/>
    <w:uiPriority w:val="99"/>
    <w:semiHidden/>
    <w:rsid w:val="00665F75"/>
    <w:pPr>
      <w:spacing w:line="240" w:lineRule="auto"/>
    </w:pPr>
    <w:rPr>
      <w:sz w:val="20"/>
      <w:szCs w:val="20"/>
    </w:rPr>
  </w:style>
  <w:style w:type="character" w:customStyle="1" w:styleId="CommentTextChar">
    <w:name w:val="Comment Text Char"/>
    <w:basedOn w:val="DefaultParagraphFont"/>
    <w:link w:val="CommentText"/>
    <w:uiPriority w:val="99"/>
    <w:semiHidden/>
    <w:rsid w:val="00665F75"/>
    <w:rPr>
      <w:rFonts w:ascii="Calibri" w:eastAsiaTheme="minorEastAsia" w:hAnsi="Calibri"/>
      <w:sz w:val="20"/>
      <w:szCs w:val="20"/>
      <w:lang w:eastAsia="en-NZ"/>
    </w:rPr>
  </w:style>
  <w:style w:type="character" w:styleId="Emphasis">
    <w:name w:val="Emphasis"/>
    <w:basedOn w:val="DefaultParagraphFont"/>
    <w:uiPriority w:val="20"/>
    <w:semiHidden/>
    <w:qFormat/>
    <w:rsid w:val="0078509A"/>
    <w:rPr>
      <w:b/>
      <w:i/>
      <w:spacing w:val="10"/>
      <w:shd w:val="clear" w:color="auto" w:fill="auto"/>
    </w:rPr>
  </w:style>
  <w:style w:type="paragraph" w:styleId="NoSpacing">
    <w:name w:val="No Spacing"/>
    <w:basedOn w:val="Normal"/>
    <w:link w:val="NoSpacingChar"/>
    <w:uiPriority w:val="1"/>
    <w:semiHidden/>
    <w:qFormat/>
    <w:rsid w:val="0078509A"/>
    <w:pPr>
      <w:spacing w:before="0" w:after="0" w:line="240" w:lineRule="auto"/>
      <w:jc w:val="left"/>
    </w:pPr>
    <w:rPr>
      <w:rFonts w:asciiTheme="minorHAnsi" w:hAnsiTheme="minorHAnsi" w:cs="Times New Roman"/>
      <w:lang w:val="en-US" w:eastAsia="en-US"/>
    </w:rPr>
  </w:style>
  <w:style w:type="paragraph" w:styleId="IntenseQuote">
    <w:name w:val="Intense Quote"/>
    <w:basedOn w:val="Normal"/>
    <w:next w:val="Normal"/>
    <w:link w:val="IntenseQuoteChar"/>
    <w:uiPriority w:val="30"/>
    <w:semiHidden/>
    <w:qFormat/>
    <w:rsid w:val="0078509A"/>
    <w:pPr>
      <w:pBdr>
        <w:bottom w:val="single" w:sz="4" w:space="1" w:color="auto"/>
      </w:pBdr>
      <w:spacing w:before="200" w:after="280" w:line="276" w:lineRule="auto"/>
      <w:ind w:left="1008" w:right="1152"/>
    </w:pPr>
    <w:rPr>
      <w:rFonts w:asciiTheme="minorHAnsi" w:hAnsiTheme="minorHAnsi" w:cs="Times New Roman"/>
      <w:b/>
      <w:bCs/>
      <w:i/>
      <w:iCs/>
      <w:lang w:val="en-US" w:eastAsia="en-US"/>
    </w:rPr>
  </w:style>
  <w:style w:type="character" w:customStyle="1" w:styleId="IntenseQuoteChar">
    <w:name w:val="Intense Quote Char"/>
    <w:basedOn w:val="DefaultParagraphFont"/>
    <w:link w:val="IntenseQuote"/>
    <w:uiPriority w:val="30"/>
    <w:semiHidden/>
    <w:rsid w:val="009A6AD0"/>
    <w:rPr>
      <w:rFonts w:eastAsiaTheme="minorEastAsia" w:cs="Times New Roman"/>
      <w:b/>
      <w:bCs/>
      <w:i/>
      <w:iCs/>
      <w:lang w:val="en-US"/>
    </w:rPr>
  </w:style>
  <w:style w:type="character" w:styleId="SubtleEmphasis">
    <w:name w:val="Subtle Emphasis"/>
    <w:basedOn w:val="DefaultParagraphFont"/>
    <w:uiPriority w:val="19"/>
    <w:semiHidden/>
    <w:qFormat/>
    <w:rsid w:val="0078509A"/>
    <w:rPr>
      <w:i/>
    </w:rPr>
  </w:style>
  <w:style w:type="character" w:styleId="IntenseEmphasis">
    <w:name w:val="Intense Emphasis"/>
    <w:basedOn w:val="DefaultParagraphFont"/>
    <w:uiPriority w:val="21"/>
    <w:semiHidden/>
    <w:qFormat/>
    <w:rsid w:val="0078509A"/>
    <w:rPr>
      <w:b/>
    </w:rPr>
  </w:style>
  <w:style w:type="character" w:styleId="SubtleReference">
    <w:name w:val="Subtle Reference"/>
    <w:basedOn w:val="DefaultParagraphFont"/>
    <w:uiPriority w:val="31"/>
    <w:semiHidden/>
    <w:qFormat/>
    <w:rsid w:val="0078509A"/>
    <w:rPr>
      <w:smallCaps/>
    </w:rPr>
  </w:style>
  <w:style w:type="character" w:styleId="IntenseReference">
    <w:name w:val="Intense Reference"/>
    <w:basedOn w:val="DefaultParagraphFont"/>
    <w:uiPriority w:val="32"/>
    <w:semiHidden/>
    <w:qFormat/>
    <w:rsid w:val="0078509A"/>
    <w:rPr>
      <w:smallCaps/>
      <w:spacing w:val="5"/>
      <w:u w:val="single"/>
    </w:rPr>
  </w:style>
  <w:style w:type="character" w:styleId="BookTitle">
    <w:name w:val="Book Title"/>
    <w:basedOn w:val="DefaultParagraphFont"/>
    <w:uiPriority w:val="33"/>
    <w:semiHidden/>
    <w:qFormat/>
    <w:rsid w:val="0078509A"/>
    <w:rPr>
      <w:i/>
      <w:smallCaps/>
      <w:spacing w:val="5"/>
    </w:rPr>
  </w:style>
  <w:style w:type="paragraph" w:styleId="TOCHeading">
    <w:name w:val="TOC Heading"/>
    <w:basedOn w:val="Heading1"/>
    <w:next w:val="Normal"/>
    <w:uiPriority w:val="39"/>
    <w:semiHidden/>
    <w:qFormat/>
    <w:rsid w:val="0078509A"/>
    <w:pPr>
      <w:keepNext w:val="0"/>
      <w:tabs>
        <w:tab w:val="clear" w:pos="851"/>
      </w:tabs>
      <w:spacing w:before="480" w:after="0" w:line="276" w:lineRule="auto"/>
      <w:contextualSpacing/>
      <w:outlineLvl w:val="9"/>
    </w:pPr>
    <w:rPr>
      <w:rFonts w:asciiTheme="majorHAnsi" w:hAnsiTheme="majorHAnsi" w:cs="Times New Roman"/>
      <w:color w:val="auto"/>
      <w:sz w:val="28"/>
      <w:lang w:val="en-US" w:eastAsia="en-US"/>
    </w:rPr>
  </w:style>
  <w:style w:type="character" w:customStyle="1" w:styleId="NoSpacingChar">
    <w:name w:val="No Spacing Char"/>
    <w:basedOn w:val="DefaultParagraphFont"/>
    <w:link w:val="NoSpacing"/>
    <w:uiPriority w:val="1"/>
    <w:semiHidden/>
    <w:locked/>
    <w:rsid w:val="009A6AD0"/>
    <w:rPr>
      <w:rFonts w:eastAsiaTheme="minorEastAsia" w:cs="Times New Roman"/>
      <w:lang w:val="en-US"/>
    </w:rPr>
  </w:style>
  <w:style w:type="paragraph" w:styleId="Bibliography">
    <w:name w:val="Bibliography"/>
    <w:basedOn w:val="Normal"/>
    <w:next w:val="Normal"/>
    <w:uiPriority w:val="37"/>
    <w:semiHidden/>
    <w:rsid w:val="0078509A"/>
    <w:pPr>
      <w:spacing w:before="0" w:after="240" w:line="240" w:lineRule="auto"/>
      <w:ind w:left="720" w:hanging="720"/>
      <w:jc w:val="left"/>
    </w:pPr>
    <w:rPr>
      <w:rFonts w:asciiTheme="minorHAnsi" w:hAnsiTheme="minorHAnsi" w:cs="Times New Roman"/>
      <w:lang w:val="en-US" w:eastAsia="en-US"/>
    </w:rPr>
  </w:style>
  <w:style w:type="numbering" w:customStyle="1" w:styleId="NoList1">
    <w:name w:val="No List1"/>
    <w:next w:val="NoList"/>
    <w:uiPriority w:val="99"/>
    <w:semiHidden/>
    <w:unhideWhenUsed/>
    <w:rsid w:val="0078509A"/>
  </w:style>
  <w:style w:type="table" w:customStyle="1" w:styleId="TableGrid1">
    <w:name w:val="Table Grid1"/>
    <w:basedOn w:val="TableNormal"/>
    <w:next w:val="TableGrid"/>
    <w:uiPriority w:val="59"/>
    <w:rsid w:val="0078509A"/>
    <w:pPr>
      <w:spacing w:after="0" w:line="240" w:lineRule="auto"/>
    </w:pPr>
    <w:rPr>
      <w:rFonts w:ascii="Calibri" w:eastAsia="Times New Roman"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F1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7B7636"/>
    <w:pPr>
      <w:spacing w:after="0" w:line="240" w:lineRule="auto"/>
    </w:pPr>
    <w:rPr>
      <w:rFonts w:ascii="Calibri" w:eastAsia="SimSun" w:hAnsi="Calibri" w:cs="Arial"/>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398E"/>
    <w:rPr>
      <w:color w:val="605E5C"/>
      <w:shd w:val="clear" w:color="auto" w:fill="E1DFDD"/>
    </w:rPr>
  </w:style>
  <w:style w:type="table" w:customStyle="1" w:styleId="TableGrid4">
    <w:name w:val="Table Grid4"/>
    <w:basedOn w:val="TableNormal"/>
    <w:next w:val="TableGrid"/>
    <w:uiPriority w:val="39"/>
    <w:rsid w:val="00226A8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5EBE"/>
    <w:rPr>
      <w:color w:val="605E5C"/>
      <w:shd w:val="clear" w:color="auto" w:fill="E1DFDD"/>
    </w:rPr>
  </w:style>
  <w:style w:type="character" w:customStyle="1" w:styleId="UnresolvedMention3">
    <w:name w:val="Unresolved Mention3"/>
    <w:basedOn w:val="DefaultParagraphFont"/>
    <w:uiPriority w:val="99"/>
    <w:semiHidden/>
    <w:unhideWhenUsed/>
    <w:rsid w:val="001E3154"/>
    <w:rPr>
      <w:color w:val="605E5C"/>
      <w:shd w:val="clear" w:color="auto" w:fill="E1DFDD"/>
    </w:rPr>
  </w:style>
  <w:style w:type="character" w:customStyle="1" w:styleId="UnresolvedMention">
    <w:name w:val="Unresolved Mention"/>
    <w:basedOn w:val="DefaultParagraphFont"/>
    <w:uiPriority w:val="99"/>
    <w:semiHidden/>
    <w:unhideWhenUsed/>
    <w:rsid w:val="009A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54174">
      <w:bodyDiv w:val="1"/>
      <w:marLeft w:val="0"/>
      <w:marRight w:val="0"/>
      <w:marTop w:val="0"/>
      <w:marBottom w:val="0"/>
      <w:divBdr>
        <w:top w:val="none" w:sz="0" w:space="0" w:color="auto"/>
        <w:left w:val="none" w:sz="0" w:space="0" w:color="auto"/>
        <w:bottom w:val="none" w:sz="0" w:space="0" w:color="auto"/>
        <w:right w:val="none" w:sz="0" w:space="0" w:color="auto"/>
      </w:divBdr>
    </w:div>
    <w:div w:id="193158336">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459149375">
      <w:bodyDiv w:val="1"/>
      <w:marLeft w:val="0"/>
      <w:marRight w:val="0"/>
      <w:marTop w:val="0"/>
      <w:marBottom w:val="0"/>
      <w:divBdr>
        <w:top w:val="none" w:sz="0" w:space="0" w:color="auto"/>
        <w:left w:val="none" w:sz="0" w:space="0" w:color="auto"/>
        <w:bottom w:val="none" w:sz="0" w:space="0" w:color="auto"/>
        <w:right w:val="none" w:sz="0" w:space="0" w:color="auto"/>
      </w:divBdr>
    </w:div>
    <w:div w:id="939415675">
      <w:bodyDiv w:val="1"/>
      <w:marLeft w:val="0"/>
      <w:marRight w:val="0"/>
      <w:marTop w:val="0"/>
      <w:marBottom w:val="0"/>
      <w:divBdr>
        <w:top w:val="none" w:sz="0" w:space="0" w:color="auto"/>
        <w:left w:val="none" w:sz="0" w:space="0" w:color="auto"/>
        <w:bottom w:val="none" w:sz="0" w:space="0" w:color="auto"/>
        <w:right w:val="none" w:sz="0" w:space="0" w:color="auto"/>
      </w:divBdr>
    </w:div>
    <w:div w:id="951519907">
      <w:bodyDiv w:val="1"/>
      <w:marLeft w:val="0"/>
      <w:marRight w:val="0"/>
      <w:marTop w:val="0"/>
      <w:marBottom w:val="0"/>
      <w:divBdr>
        <w:top w:val="none" w:sz="0" w:space="0" w:color="auto"/>
        <w:left w:val="none" w:sz="0" w:space="0" w:color="auto"/>
        <w:bottom w:val="none" w:sz="0" w:space="0" w:color="auto"/>
        <w:right w:val="none" w:sz="0" w:space="0" w:color="auto"/>
      </w:divBdr>
    </w:div>
    <w:div w:id="1104763384">
      <w:bodyDiv w:val="1"/>
      <w:marLeft w:val="0"/>
      <w:marRight w:val="0"/>
      <w:marTop w:val="0"/>
      <w:marBottom w:val="0"/>
      <w:divBdr>
        <w:top w:val="none" w:sz="0" w:space="0" w:color="auto"/>
        <w:left w:val="none" w:sz="0" w:space="0" w:color="auto"/>
        <w:bottom w:val="none" w:sz="0" w:space="0" w:color="auto"/>
        <w:right w:val="none" w:sz="0" w:space="0" w:color="auto"/>
      </w:divBdr>
    </w:div>
    <w:div w:id="1125729761">
      <w:bodyDiv w:val="1"/>
      <w:marLeft w:val="0"/>
      <w:marRight w:val="0"/>
      <w:marTop w:val="0"/>
      <w:marBottom w:val="0"/>
      <w:divBdr>
        <w:top w:val="none" w:sz="0" w:space="0" w:color="auto"/>
        <w:left w:val="none" w:sz="0" w:space="0" w:color="auto"/>
        <w:bottom w:val="none" w:sz="0" w:space="0" w:color="auto"/>
        <w:right w:val="none" w:sz="0" w:space="0" w:color="auto"/>
      </w:divBdr>
    </w:div>
    <w:div w:id="1152136182">
      <w:bodyDiv w:val="1"/>
      <w:marLeft w:val="0"/>
      <w:marRight w:val="0"/>
      <w:marTop w:val="0"/>
      <w:marBottom w:val="0"/>
      <w:divBdr>
        <w:top w:val="none" w:sz="0" w:space="0" w:color="auto"/>
        <w:left w:val="none" w:sz="0" w:space="0" w:color="auto"/>
        <w:bottom w:val="none" w:sz="0" w:space="0" w:color="auto"/>
        <w:right w:val="none" w:sz="0" w:space="0" w:color="auto"/>
      </w:divBdr>
    </w:div>
    <w:div w:id="1234703671">
      <w:bodyDiv w:val="1"/>
      <w:marLeft w:val="0"/>
      <w:marRight w:val="0"/>
      <w:marTop w:val="0"/>
      <w:marBottom w:val="0"/>
      <w:divBdr>
        <w:top w:val="none" w:sz="0" w:space="0" w:color="auto"/>
        <w:left w:val="none" w:sz="0" w:space="0" w:color="auto"/>
        <w:bottom w:val="none" w:sz="0" w:space="0" w:color="auto"/>
        <w:right w:val="none" w:sz="0" w:space="0" w:color="auto"/>
      </w:divBdr>
    </w:div>
    <w:div w:id="1293292164">
      <w:bodyDiv w:val="1"/>
      <w:marLeft w:val="0"/>
      <w:marRight w:val="0"/>
      <w:marTop w:val="0"/>
      <w:marBottom w:val="0"/>
      <w:divBdr>
        <w:top w:val="none" w:sz="0" w:space="0" w:color="auto"/>
        <w:left w:val="none" w:sz="0" w:space="0" w:color="auto"/>
        <w:bottom w:val="none" w:sz="0" w:space="0" w:color="auto"/>
        <w:right w:val="none" w:sz="0" w:space="0" w:color="auto"/>
      </w:divBdr>
    </w:div>
    <w:div w:id="1329673074">
      <w:bodyDiv w:val="1"/>
      <w:marLeft w:val="0"/>
      <w:marRight w:val="0"/>
      <w:marTop w:val="0"/>
      <w:marBottom w:val="0"/>
      <w:divBdr>
        <w:top w:val="none" w:sz="0" w:space="0" w:color="auto"/>
        <w:left w:val="none" w:sz="0" w:space="0" w:color="auto"/>
        <w:bottom w:val="none" w:sz="0" w:space="0" w:color="auto"/>
        <w:right w:val="none" w:sz="0" w:space="0" w:color="auto"/>
      </w:divBdr>
    </w:div>
    <w:div w:id="1407999308">
      <w:bodyDiv w:val="1"/>
      <w:marLeft w:val="0"/>
      <w:marRight w:val="0"/>
      <w:marTop w:val="0"/>
      <w:marBottom w:val="0"/>
      <w:divBdr>
        <w:top w:val="none" w:sz="0" w:space="0" w:color="auto"/>
        <w:left w:val="none" w:sz="0" w:space="0" w:color="auto"/>
        <w:bottom w:val="none" w:sz="0" w:space="0" w:color="auto"/>
        <w:right w:val="none" w:sz="0" w:space="0" w:color="auto"/>
      </w:divBdr>
    </w:div>
    <w:div w:id="1430463263">
      <w:bodyDiv w:val="1"/>
      <w:marLeft w:val="0"/>
      <w:marRight w:val="0"/>
      <w:marTop w:val="0"/>
      <w:marBottom w:val="0"/>
      <w:divBdr>
        <w:top w:val="none" w:sz="0" w:space="0" w:color="auto"/>
        <w:left w:val="none" w:sz="0" w:space="0" w:color="auto"/>
        <w:bottom w:val="none" w:sz="0" w:space="0" w:color="auto"/>
        <w:right w:val="none" w:sz="0" w:space="0" w:color="auto"/>
      </w:divBdr>
    </w:div>
    <w:div w:id="143663617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65331268">
      <w:bodyDiv w:val="1"/>
      <w:marLeft w:val="0"/>
      <w:marRight w:val="0"/>
      <w:marTop w:val="0"/>
      <w:marBottom w:val="0"/>
      <w:divBdr>
        <w:top w:val="none" w:sz="0" w:space="0" w:color="auto"/>
        <w:left w:val="none" w:sz="0" w:space="0" w:color="auto"/>
        <w:bottom w:val="none" w:sz="0" w:space="0" w:color="auto"/>
        <w:right w:val="none" w:sz="0" w:space="0" w:color="auto"/>
      </w:divBdr>
    </w:div>
    <w:div w:id="1571577867">
      <w:bodyDiv w:val="1"/>
      <w:marLeft w:val="0"/>
      <w:marRight w:val="0"/>
      <w:marTop w:val="0"/>
      <w:marBottom w:val="0"/>
      <w:divBdr>
        <w:top w:val="none" w:sz="0" w:space="0" w:color="auto"/>
        <w:left w:val="none" w:sz="0" w:space="0" w:color="auto"/>
        <w:bottom w:val="none" w:sz="0" w:space="0" w:color="auto"/>
        <w:right w:val="none" w:sz="0" w:space="0" w:color="auto"/>
      </w:divBdr>
    </w:div>
    <w:div w:id="1610969707">
      <w:bodyDiv w:val="1"/>
      <w:marLeft w:val="0"/>
      <w:marRight w:val="0"/>
      <w:marTop w:val="0"/>
      <w:marBottom w:val="0"/>
      <w:divBdr>
        <w:top w:val="none" w:sz="0" w:space="0" w:color="auto"/>
        <w:left w:val="none" w:sz="0" w:space="0" w:color="auto"/>
        <w:bottom w:val="none" w:sz="0" w:space="0" w:color="auto"/>
        <w:right w:val="none" w:sz="0" w:space="0" w:color="auto"/>
      </w:divBdr>
    </w:div>
    <w:div w:id="19199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www.mfe.govt.nz/publications/fresh-water/economic-effects-of-water-quality-proposals-modelling-scenarios%20(28" TargetMode="External"/><Relationship Id="rId3" Type="http://schemas.openxmlformats.org/officeDocument/2006/relationships/customXml" Target="../customXml/item3.xml"/><Relationship Id="rId21" Type="http://schemas.openxmlformats.org/officeDocument/2006/relationships/hyperlink" Target="https://www.mfe.govt.nz/action-for-healthy-waterways" TargetMode="External"/><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mpi.govt.nz/dmsdocument/16513/direct%20(28"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fe.govt.nz/publications/fresh-water/summary-of-modelling-inform-environmental-impact-assessment-of-nutrient%20(28"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mfe.govt.nz/publications/fresh-water/administrative-costs-of-proposed-essential-freshwater-package-regional%20(28" TargetMode="External"/><Relationship Id="rId28" Type="http://schemas.openxmlformats.org/officeDocument/2006/relationships/hyperlink" Target="https://www.mfe.govt.nz/publications/fresh-water/essential-freshwater-package-benefits-analysis"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fe.govt.nz" TargetMode="External"/><Relationship Id="rId22" Type="http://schemas.openxmlformats.org/officeDocument/2006/relationships/hyperlink" Target="http://www.mfe.govt.nz/sites/default/files/media/Fresh%20water/modelling-mitigation-strategies-on-farm-profitability.pdf%20(28" TargetMode="External"/><Relationship Id="rId27" Type="http://schemas.openxmlformats.org/officeDocument/2006/relationships/hyperlink" Target="https://www.mfe.govt.nz/publications/fresh-water/estimated-farm-economic-impacts-of-selected-mitigation-options" TargetMode="Externa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www.mpi.govt.nz/dmsdocument/16513/direct" TargetMode="External"/><Relationship Id="rId2" Type="http://schemas.openxmlformats.org/officeDocument/2006/relationships/hyperlink" Target="https://www.mfe.govt.nz/publications/fresh-water/modelling-of-mitigation-strategies-farm-profitability-testing-ag-package" TargetMode="External"/><Relationship Id="rId1" Type="http://schemas.openxmlformats.org/officeDocument/2006/relationships/hyperlink" Target="http://www.mfe.govt.nz/action-for-healthy-waterw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ttonv\AppData\Local\Microsoft\Windows\INetCache\IE\X5IYNSMW\MfE%20report%20template.dotx" TargetMode="External"/></Relationships>
</file>

<file path=word/theme/theme1.xml><?xml version="1.0" encoding="utf-8"?>
<a:theme xmlns:a="http://schemas.openxmlformats.org/drawingml/2006/main" name="MFE">
  <a:themeElements>
    <a:clrScheme name="MFE colours">
      <a:dk1>
        <a:sysClr val="windowText" lastClr="000000"/>
      </a:dk1>
      <a:lt1>
        <a:sysClr val="window" lastClr="FFFFFF"/>
      </a:lt1>
      <a:dk2>
        <a:srgbClr val="1F497D"/>
      </a:dk2>
      <a:lt2>
        <a:srgbClr val="EEECE1"/>
      </a:lt2>
      <a:accent1>
        <a:srgbClr val="1C556C"/>
      </a:accent1>
      <a:accent2>
        <a:srgbClr val="0F7B7D"/>
      </a:accent2>
      <a:accent3>
        <a:srgbClr val="D2DDE2"/>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CF34DA694D59409C456606C75C1889" ma:contentTypeVersion="6" ma:contentTypeDescription="Create a new document." ma:contentTypeScope="" ma:versionID="208bbfd2c19385880a822cc4e1a0baf9">
  <xsd:schema xmlns:xsd="http://www.w3.org/2001/XMLSchema" xmlns:xs="http://www.w3.org/2001/XMLSchema" xmlns:p="http://schemas.microsoft.com/office/2006/metadata/properties" xmlns:ns2="01f0e0f5-464e-4415-97dc-4a283b8b1a71" xmlns:ns3="1e95766b-1977-45c8-8e3d-4780b38aeb02" targetNamespace="http://schemas.microsoft.com/office/2006/metadata/properties" ma:root="true" ma:fieldsID="5182d4669b407eadbfcaaa0850c7367e" ns2:_="" ns3:_="">
    <xsd:import namespace="01f0e0f5-464e-4415-97dc-4a283b8b1a71"/>
    <xsd:import namespace="1e95766b-1977-45c8-8e3d-4780b38ae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0e0f5-464e-4415-97dc-4a283b8b1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95766b-1977-45c8-8e3d-4780b38aeb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e95766b-1977-45c8-8e3d-4780b38aeb02">
      <UserInfo>
        <DisplayName>Jennifer Price</DisplayName>
        <AccountId>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DE7097-728E-416B-9F83-D7512718BA84}">
  <ds:schemaRefs>
    <ds:schemaRef ds:uri="http://schemas.microsoft.com/sharepoint/v3/contenttype/forms"/>
  </ds:schemaRefs>
</ds:datastoreItem>
</file>

<file path=customXml/itemProps2.xml><?xml version="1.0" encoding="utf-8"?>
<ds:datastoreItem xmlns:ds="http://schemas.openxmlformats.org/officeDocument/2006/customXml" ds:itemID="{DE3FADF9-6F3F-427F-9C46-3DEA308A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0e0f5-464e-4415-97dc-4a283b8b1a71"/>
    <ds:schemaRef ds:uri="1e95766b-1977-45c8-8e3d-4780b38ae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7BD6B-FF68-4593-A07F-DFB455ABC7A4}">
  <ds:schemaRefs>
    <ds:schemaRef ds:uri="http://purl.org/dc/dcmitype/"/>
    <ds:schemaRef ds:uri="http://schemas.microsoft.com/office/infopath/2007/PartnerControls"/>
    <ds:schemaRef ds:uri="01f0e0f5-464e-4415-97dc-4a283b8b1a71"/>
    <ds:schemaRef ds:uri="http://purl.org/dc/elements/1.1/"/>
    <ds:schemaRef ds:uri="http://schemas.microsoft.com/office/2006/metadata/properties"/>
    <ds:schemaRef ds:uri="1e95766b-1977-45c8-8e3d-4780b38aeb02"/>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6C8C35B-682C-4A16-85F3-8D7D7B86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report template</Template>
  <TotalTime>31</TotalTime>
  <Pages>14</Pages>
  <Words>4644</Words>
  <Characters>26472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suttonv</dc:creator>
  <cp:lastModifiedBy>Dee Warring</cp:lastModifiedBy>
  <cp:revision>6</cp:revision>
  <cp:lastPrinted>2020-05-27T21:44:00Z</cp:lastPrinted>
  <dcterms:created xsi:type="dcterms:W3CDTF">2020-05-27T08:59:00Z</dcterms:created>
  <dcterms:modified xsi:type="dcterms:W3CDTF">2020-05-27T21:44:00Z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0x010100ACCF34DA694D59409C456606C75C1889</vt:lpwstr>
  </property>
</Properties>
</file>