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D6E" w:rsidRPr="00C76622" w:rsidRDefault="003A1FE9" w:rsidP="00176583">
      <w:pPr>
        <w:pStyle w:val="Title"/>
      </w:pPr>
      <w:bookmarkStart w:id="0" w:name="_GoBack"/>
      <w:bookmarkEnd w:id="0"/>
      <w:r w:rsidRPr="00C76622">
        <w:rPr>
          <w:noProof/>
          <w:lang w:eastAsia="en-NZ"/>
        </w:rPr>
        <w:drawing>
          <wp:anchor distT="0" distB="0" distL="114300" distR="114300" simplePos="0" relativeHeight="251655680" behindDoc="0" locked="0" layoutInCell="1" allowOverlap="1" wp14:anchorId="0424CF53" wp14:editId="133264A5">
            <wp:simplePos x="0" y="0"/>
            <wp:positionH relativeFrom="page">
              <wp:posOffset>504190</wp:posOffset>
            </wp:positionH>
            <wp:positionV relativeFrom="paragraph">
              <wp:posOffset>132715</wp:posOffset>
            </wp:positionV>
            <wp:extent cx="125730" cy="165735"/>
            <wp:effectExtent l="0" t="0" r="7620" b="5715"/>
            <wp:wrapTight wrapText="bothSides">
              <wp:wrapPolygon edited="0">
                <wp:start x="0" y="0"/>
                <wp:lineTo x="0" y="19862"/>
                <wp:lineTo x="16364" y="19862"/>
                <wp:lineTo x="19636" y="14897"/>
                <wp:lineTo x="19636" y="7448"/>
                <wp:lineTo x="13091" y="0"/>
                <wp:lineTo x="0" y="0"/>
              </wp:wrapPolygon>
            </wp:wrapTight>
            <wp:docPr id="7" name="Picture 4" descr="ETS_3DotArroweps_Trans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TS_3DotArroweps_Transparent"/>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 cy="165735"/>
                    </a:xfrm>
                    <a:prstGeom prst="rect">
                      <a:avLst/>
                    </a:prstGeom>
                    <a:noFill/>
                  </pic:spPr>
                </pic:pic>
              </a:graphicData>
            </a:graphic>
            <wp14:sizeRelH relativeFrom="page">
              <wp14:pctWidth>0</wp14:pctWidth>
            </wp14:sizeRelH>
            <wp14:sizeRelV relativeFrom="page">
              <wp14:pctHeight>0</wp14:pctHeight>
            </wp14:sizeRelV>
          </wp:anchor>
        </w:drawing>
      </w:r>
      <w:r w:rsidR="00340FDB" w:rsidRPr="00C76622">
        <w:rPr>
          <w:lang w:eastAsia="en-NZ"/>
        </w:rPr>
        <w:t>New Zealand Emission</w:t>
      </w:r>
      <w:r w:rsidR="0097459F" w:rsidRPr="00C76622">
        <w:rPr>
          <w:lang w:eastAsia="en-NZ"/>
        </w:rPr>
        <w:t>s</w:t>
      </w:r>
      <w:r w:rsidR="00340FDB" w:rsidRPr="00C76622">
        <w:rPr>
          <w:lang w:eastAsia="en-NZ"/>
        </w:rPr>
        <w:t xml:space="preserve"> Trading Scheme Review 2015/16</w:t>
      </w:r>
    </w:p>
    <w:p w:rsidR="008B7D6E" w:rsidRPr="00C76622" w:rsidRDefault="00340FDB" w:rsidP="00EA6D46">
      <w:pPr>
        <w:pStyle w:val="Subtitle"/>
      </w:pPr>
      <w:r w:rsidRPr="00C76622">
        <w:t xml:space="preserve">Summary of </w:t>
      </w:r>
      <w:r w:rsidR="00841FBF" w:rsidRPr="00C76622">
        <w:t xml:space="preserve">Stage </w:t>
      </w:r>
      <w:r w:rsidR="00865C88">
        <w:t>TWO</w:t>
      </w:r>
      <w:r w:rsidR="00841FBF" w:rsidRPr="00C76622">
        <w:t xml:space="preserve">: </w:t>
      </w:r>
      <w:r w:rsidR="00E4609E">
        <w:t>OTHER</w:t>
      </w:r>
      <w:r w:rsidR="00855109" w:rsidRPr="00C76622">
        <w:t xml:space="preserve"> issues </w:t>
      </w:r>
      <w:r w:rsidRPr="00C76622">
        <w:t>consultation responses</w:t>
      </w:r>
    </w:p>
    <w:p w:rsidR="008B7D6E" w:rsidRPr="00C76622" w:rsidRDefault="008B7D6E" w:rsidP="00EA6D46">
      <w:pPr>
        <w:pStyle w:val="BodyText"/>
      </w:pPr>
    </w:p>
    <w:p w:rsidR="008B7D6E" w:rsidRPr="00C76622" w:rsidRDefault="008B7D6E" w:rsidP="00EA6D46">
      <w:pPr>
        <w:pStyle w:val="BodyText"/>
      </w:pPr>
    </w:p>
    <w:p w:rsidR="008B7D6E" w:rsidRPr="00C76622" w:rsidRDefault="008B7D6E" w:rsidP="00EA6D46">
      <w:pPr>
        <w:pStyle w:val="BodyText"/>
      </w:pPr>
    </w:p>
    <w:p w:rsidR="001155FD" w:rsidRPr="00773C2C" w:rsidRDefault="00363868" w:rsidP="00EA6D46">
      <w:pPr>
        <w:pStyle w:val="Subtitle"/>
      </w:pPr>
      <w:r>
        <w:t>Octob</w:t>
      </w:r>
      <w:r w:rsidR="00F4174A">
        <w:t>er</w:t>
      </w:r>
      <w:r w:rsidRPr="00773C2C">
        <w:t xml:space="preserve"> </w:t>
      </w:r>
      <w:r w:rsidR="009A5556" w:rsidRPr="00773C2C">
        <w:t>2016</w:t>
      </w:r>
    </w:p>
    <w:p w:rsidR="008B7D6E" w:rsidRPr="00C76622" w:rsidRDefault="003A1FE9" w:rsidP="00EA6D46">
      <w:pPr>
        <w:sectPr w:rsidR="008B7D6E" w:rsidRPr="00C76622" w:rsidSect="004806FC">
          <w:headerReference w:type="even" r:id="rId9"/>
          <w:headerReference w:type="default" r:id="rId10"/>
          <w:footerReference w:type="even" r:id="rId11"/>
          <w:footerReference w:type="default" r:id="rId12"/>
          <w:headerReference w:type="first" r:id="rId13"/>
          <w:footerReference w:type="first" r:id="rId14"/>
          <w:pgSz w:w="11907" w:h="16839" w:code="9"/>
          <w:pgMar w:top="6067" w:right="1418" w:bottom="1701" w:left="1134" w:header="340" w:footer="340" w:gutter="0"/>
          <w:cols w:space="720"/>
        </w:sectPr>
      </w:pPr>
      <w:r w:rsidRPr="00C76622">
        <w:rPr>
          <w:noProof/>
          <w:lang w:eastAsia="en-NZ"/>
        </w:rPr>
        <w:drawing>
          <wp:anchor distT="0" distB="0" distL="114300" distR="114300" simplePos="0" relativeHeight="251656704" behindDoc="1" locked="0" layoutInCell="1" allowOverlap="1" wp14:anchorId="45E32E2F" wp14:editId="376FA2DB">
            <wp:simplePos x="0" y="0"/>
            <wp:positionH relativeFrom="margin">
              <wp:align>left</wp:align>
            </wp:positionH>
            <wp:positionV relativeFrom="page">
              <wp:posOffset>9721215</wp:posOffset>
            </wp:positionV>
            <wp:extent cx="1988185" cy="537210"/>
            <wp:effectExtent l="0" t="0" r="0" b="0"/>
            <wp:wrapNone/>
            <wp:docPr id="5" name="Picture 3" descr="Logo_MFE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MFE_Transpar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8185" cy="537210"/>
                    </a:xfrm>
                    <a:prstGeom prst="rect">
                      <a:avLst/>
                    </a:prstGeom>
                    <a:noFill/>
                  </pic:spPr>
                </pic:pic>
              </a:graphicData>
            </a:graphic>
            <wp14:sizeRelH relativeFrom="page">
              <wp14:pctWidth>0</wp14:pctWidth>
            </wp14:sizeRelH>
            <wp14:sizeRelV relativeFrom="page">
              <wp14:pctHeight>0</wp14:pctHeight>
            </wp14:sizeRelV>
          </wp:anchor>
        </w:drawing>
      </w:r>
    </w:p>
    <w:p w:rsidR="008B7D6E" w:rsidRPr="00C76622" w:rsidRDefault="008B7D6E" w:rsidP="0058067F">
      <w:pPr>
        <w:pStyle w:val="Imprint"/>
        <w:spacing w:before="0"/>
      </w:pPr>
      <w:r w:rsidRPr="00C76622">
        <w:lastRenderedPageBreak/>
        <w:t>This report may be cited as:</w:t>
      </w:r>
    </w:p>
    <w:p w:rsidR="008B7D6E" w:rsidRPr="00C76622" w:rsidRDefault="00A01095" w:rsidP="00A34EEB">
      <w:pPr>
        <w:pStyle w:val="Imprint"/>
      </w:pPr>
      <w:proofErr w:type="gramStart"/>
      <w:r w:rsidRPr="00C76622">
        <w:t>Ministry for the Environment.</w:t>
      </w:r>
      <w:proofErr w:type="gramEnd"/>
      <w:r w:rsidRPr="00C76622">
        <w:t xml:space="preserve"> 201</w:t>
      </w:r>
      <w:r w:rsidR="00FA2743" w:rsidRPr="00C76622">
        <w:t>6</w:t>
      </w:r>
      <w:r w:rsidR="00A34EEB" w:rsidRPr="00C76622">
        <w:t xml:space="preserve">. </w:t>
      </w:r>
      <w:r w:rsidR="007F5AFD" w:rsidRPr="00C76622">
        <w:rPr>
          <w:i/>
        </w:rPr>
        <w:t>New Zealand Emission</w:t>
      </w:r>
      <w:r w:rsidR="0097459F" w:rsidRPr="00C76622">
        <w:rPr>
          <w:i/>
        </w:rPr>
        <w:t>s</w:t>
      </w:r>
      <w:r w:rsidR="007F5AFD" w:rsidRPr="00C76622">
        <w:rPr>
          <w:i/>
        </w:rPr>
        <w:t xml:space="preserve"> Trading Scheme Review 2015/16 –Summary of Stage </w:t>
      </w:r>
      <w:r w:rsidR="00E4609E">
        <w:rPr>
          <w:i/>
        </w:rPr>
        <w:t>Two</w:t>
      </w:r>
      <w:r w:rsidR="007F5AFD" w:rsidRPr="00C76622">
        <w:rPr>
          <w:i/>
        </w:rPr>
        <w:t xml:space="preserve">: </w:t>
      </w:r>
      <w:r w:rsidR="00E4609E">
        <w:rPr>
          <w:i/>
        </w:rPr>
        <w:t>Other</w:t>
      </w:r>
      <w:r w:rsidR="007F5AFD" w:rsidRPr="00C76622">
        <w:rPr>
          <w:i/>
        </w:rPr>
        <w:t xml:space="preserve"> </w:t>
      </w:r>
      <w:r w:rsidR="0097459F" w:rsidRPr="00C76622">
        <w:rPr>
          <w:i/>
        </w:rPr>
        <w:t>Issues Consultation Responses</w:t>
      </w:r>
      <w:r w:rsidR="001D3AE3" w:rsidRPr="00C76622">
        <w:t xml:space="preserve">. </w:t>
      </w:r>
      <w:r w:rsidR="008B7D6E" w:rsidRPr="00C76622">
        <w:t>Wellington: Ministry for the</w:t>
      </w:r>
      <w:r w:rsidR="00474DBA" w:rsidRPr="00C76622">
        <w:t xml:space="preserve"> </w:t>
      </w:r>
      <w:r w:rsidR="008B7D6E" w:rsidRPr="00C76622">
        <w:t>Environment.</w:t>
      </w:r>
      <w:r w:rsidR="00C46839">
        <w:t xml:space="preserve">  </w:t>
      </w:r>
    </w:p>
    <w:p w:rsidR="008B7D6E" w:rsidRPr="00C76622" w:rsidRDefault="008B7D6E"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74306F" w:rsidRPr="00C76622" w:rsidRDefault="0074306F"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58067F" w:rsidRPr="00C76622" w:rsidRDefault="0058067F"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B3170F" w:rsidRPr="00C76622" w:rsidRDefault="00B3170F" w:rsidP="009E155D">
      <w:pPr>
        <w:pStyle w:val="Imprint"/>
        <w:spacing w:before="0" w:after="0"/>
      </w:pPr>
    </w:p>
    <w:p w:rsidR="00C92E29" w:rsidRPr="00C76622" w:rsidRDefault="00C92E29" w:rsidP="009E155D">
      <w:pPr>
        <w:pStyle w:val="Imprint"/>
        <w:spacing w:before="0" w:after="0"/>
      </w:pPr>
    </w:p>
    <w:p w:rsidR="008B7D6E" w:rsidRPr="00C76622" w:rsidRDefault="008B7D6E" w:rsidP="009E155D">
      <w:pPr>
        <w:pStyle w:val="Imprint"/>
        <w:spacing w:before="0" w:after="0"/>
      </w:pPr>
    </w:p>
    <w:p w:rsidR="00DC084B" w:rsidRPr="00C76622" w:rsidRDefault="00DC084B" w:rsidP="00BD047C">
      <w:pPr>
        <w:pStyle w:val="Imprint"/>
        <w:tabs>
          <w:tab w:val="left" w:pos="3761"/>
        </w:tabs>
        <w:spacing w:before="0" w:after="0"/>
      </w:pPr>
    </w:p>
    <w:p w:rsidR="00A34EEB" w:rsidRPr="00C76622" w:rsidRDefault="00A34EEB" w:rsidP="009E155D">
      <w:pPr>
        <w:pStyle w:val="Imprint"/>
        <w:spacing w:before="0" w:after="0"/>
      </w:pPr>
    </w:p>
    <w:p w:rsidR="0058067F" w:rsidRPr="00C76622" w:rsidRDefault="0058067F" w:rsidP="009E155D">
      <w:pPr>
        <w:pStyle w:val="Imprint"/>
        <w:spacing w:before="0" w:after="0"/>
      </w:pPr>
    </w:p>
    <w:p w:rsidR="006E332F" w:rsidRPr="00C76622" w:rsidRDefault="006E332F" w:rsidP="009E155D">
      <w:pPr>
        <w:pStyle w:val="Imprint"/>
        <w:spacing w:before="0" w:after="0"/>
      </w:pPr>
    </w:p>
    <w:p w:rsidR="008B7D6E" w:rsidRPr="00C76622" w:rsidRDefault="008B7D6E" w:rsidP="009E155D">
      <w:pPr>
        <w:pStyle w:val="Imprint"/>
        <w:spacing w:before="0" w:after="0"/>
      </w:pPr>
    </w:p>
    <w:p w:rsidR="008B7D6E" w:rsidRPr="00C76622" w:rsidRDefault="008B7D6E" w:rsidP="00C92E29">
      <w:pPr>
        <w:pStyle w:val="Imprint"/>
        <w:spacing w:after="0"/>
      </w:pPr>
      <w:r w:rsidRPr="00773C2C">
        <w:t xml:space="preserve">Published in </w:t>
      </w:r>
      <w:r w:rsidR="00363868">
        <w:t>Octo</w:t>
      </w:r>
      <w:r w:rsidR="00E200A5">
        <w:t>ber</w:t>
      </w:r>
      <w:r w:rsidR="00E200A5" w:rsidRPr="00773C2C">
        <w:t xml:space="preserve"> </w:t>
      </w:r>
      <w:r w:rsidR="00A34EEB" w:rsidRPr="00773C2C">
        <w:t>2016</w:t>
      </w:r>
      <w:r w:rsidRPr="00773C2C">
        <w:t xml:space="preserve"> by </w:t>
      </w:r>
      <w:r w:rsidRPr="00C76622">
        <w:t>the</w:t>
      </w:r>
      <w:r w:rsidRPr="00C76622">
        <w:br/>
        <w:t xml:space="preserve">Ministry for the Environment </w:t>
      </w:r>
      <w:r w:rsidRPr="00C76622">
        <w:br/>
      </w:r>
      <w:proofErr w:type="spellStart"/>
      <w:r w:rsidRPr="00C76622">
        <w:t>Manatū</w:t>
      </w:r>
      <w:proofErr w:type="spellEnd"/>
      <w:r w:rsidRPr="00C76622">
        <w:t xml:space="preserve"> </w:t>
      </w:r>
      <w:proofErr w:type="spellStart"/>
      <w:r w:rsidRPr="00C76622">
        <w:t>Mō</w:t>
      </w:r>
      <w:proofErr w:type="spellEnd"/>
      <w:r w:rsidRPr="00C76622">
        <w:t xml:space="preserve"> </w:t>
      </w:r>
      <w:proofErr w:type="spellStart"/>
      <w:r w:rsidRPr="00C76622">
        <w:t>Te</w:t>
      </w:r>
      <w:proofErr w:type="spellEnd"/>
      <w:r w:rsidRPr="00C76622">
        <w:t xml:space="preserve"> </w:t>
      </w:r>
      <w:proofErr w:type="spellStart"/>
      <w:r w:rsidRPr="00C76622">
        <w:t>Taiao</w:t>
      </w:r>
      <w:proofErr w:type="spellEnd"/>
      <w:r w:rsidRPr="00C76622">
        <w:br/>
        <w:t>PO Box 10362, Wellington 6143, New Zealand</w:t>
      </w:r>
    </w:p>
    <w:p w:rsidR="008B7D6E" w:rsidRPr="00C76622" w:rsidRDefault="008B7D6E" w:rsidP="009E155D">
      <w:pPr>
        <w:pStyle w:val="Imprint"/>
        <w:spacing w:before="0" w:after="0"/>
      </w:pPr>
    </w:p>
    <w:p w:rsidR="009055D6" w:rsidRPr="00B3170F" w:rsidRDefault="00E01EF4" w:rsidP="00EA1665">
      <w:pPr>
        <w:pStyle w:val="Imprint"/>
        <w:tabs>
          <w:tab w:val="left" w:pos="561"/>
        </w:tabs>
        <w:spacing w:after="0"/>
      </w:pPr>
      <w:r w:rsidRPr="00C76622">
        <w:t xml:space="preserve">ISBN: </w:t>
      </w:r>
      <w:r w:rsidR="00AC7DF8" w:rsidRPr="00B3170F">
        <w:t>978-0-908339-64-8</w:t>
      </w:r>
    </w:p>
    <w:p w:rsidR="009055D6" w:rsidRPr="00B3170F" w:rsidRDefault="009055D6" w:rsidP="00EA1665">
      <w:pPr>
        <w:pStyle w:val="Imprint"/>
        <w:spacing w:before="0" w:after="0"/>
      </w:pPr>
      <w:r w:rsidRPr="00B3170F">
        <w:t xml:space="preserve">Publication number: ME </w:t>
      </w:r>
      <w:r w:rsidR="00A34EEB" w:rsidRPr="00B3170F">
        <w:t>12</w:t>
      </w:r>
      <w:r w:rsidR="000D6A87">
        <w:t>70</w:t>
      </w:r>
    </w:p>
    <w:p w:rsidR="009055D6" w:rsidRPr="00B3170F" w:rsidRDefault="009055D6" w:rsidP="009E155D">
      <w:pPr>
        <w:pStyle w:val="Imprint"/>
        <w:spacing w:before="0" w:after="0"/>
      </w:pPr>
    </w:p>
    <w:p w:rsidR="009055D6" w:rsidRPr="00B3170F" w:rsidRDefault="009055D6" w:rsidP="00C92E29">
      <w:pPr>
        <w:pStyle w:val="Imprint"/>
        <w:spacing w:before="0" w:after="0"/>
      </w:pPr>
      <w:r w:rsidRPr="00B3170F">
        <w:t>© Crown copyright New Zealand 20</w:t>
      </w:r>
      <w:r w:rsidR="00A94E23" w:rsidRPr="00B3170F">
        <w:t>16</w:t>
      </w:r>
    </w:p>
    <w:p w:rsidR="009055D6" w:rsidRPr="00C76622" w:rsidRDefault="009055D6" w:rsidP="009E155D">
      <w:pPr>
        <w:pStyle w:val="Imprint"/>
        <w:spacing w:before="0" w:after="0"/>
      </w:pPr>
    </w:p>
    <w:p w:rsidR="009055D6" w:rsidRPr="00C76622" w:rsidRDefault="009055D6" w:rsidP="00C92E29">
      <w:pPr>
        <w:pStyle w:val="Imprint"/>
        <w:spacing w:before="0" w:after="0"/>
      </w:pPr>
      <w:r w:rsidRPr="00C76622">
        <w:t>This document is available on the Ministry for the Environment’s website</w:t>
      </w:r>
      <w:proofErr w:type="gramStart"/>
      <w:r w:rsidRPr="00C76622">
        <w:t>:</w:t>
      </w:r>
      <w:proofErr w:type="gramEnd"/>
      <w:r w:rsidRPr="00C76622">
        <w:br/>
      </w:r>
      <w:hyperlink r:id="rId16" w:history="1">
        <w:r w:rsidRPr="00C76622">
          <w:rPr>
            <w:color w:val="005984"/>
          </w:rPr>
          <w:t>www.mfe.govt.nz</w:t>
        </w:r>
      </w:hyperlink>
      <w:r w:rsidR="0097459F" w:rsidRPr="00C76622">
        <w:t>.</w:t>
      </w:r>
    </w:p>
    <w:p w:rsidR="009055D6" w:rsidRPr="00C76622" w:rsidRDefault="009055D6" w:rsidP="009E155D">
      <w:pPr>
        <w:pStyle w:val="Imprint"/>
        <w:spacing w:before="0" w:after="0"/>
      </w:pPr>
    </w:p>
    <w:p w:rsidR="0058067F" w:rsidRPr="00C76622" w:rsidRDefault="003A1FE9" w:rsidP="00EA6D46">
      <w:pPr>
        <w:pStyle w:val="Imprint"/>
      </w:pPr>
      <w:r w:rsidRPr="00C76622">
        <w:rPr>
          <w:noProof/>
          <w:lang w:eastAsia="en-NZ"/>
        </w:rPr>
        <w:drawing>
          <wp:inline distT="0" distB="0" distL="0" distR="0" wp14:anchorId="50C786F8" wp14:editId="1191C904">
            <wp:extent cx="1956435" cy="595630"/>
            <wp:effectExtent l="0" t="0" r="571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6435" cy="595630"/>
                    </a:xfrm>
                    <a:prstGeom prst="rect">
                      <a:avLst/>
                    </a:prstGeom>
                    <a:noFill/>
                    <a:ln>
                      <a:noFill/>
                    </a:ln>
                  </pic:spPr>
                </pic:pic>
              </a:graphicData>
            </a:graphic>
          </wp:inline>
        </w:drawing>
      </w:r>
    </w:p>
    <w:p w:rsidR="008B7D6E" w:rsidRPr="00C76622" w:rsidRDefault="008B7D6E" w:rsidP="00107BAF">
      <w:pPr>
        <w:spacing w:after="0"/>
        <w:sectPr w:rsidR="008B7D6E" w:rsidRPr="00C76622" w:rsidSect="004806FC">
          <w:headerReference w:type="even" r:id="rId18"/>
          <w:headerReference w:type="default" r:id="rId19"/>
          <w:footerReference w:type="even" r:id="rId20"/>
          <w:footerReference w:type="default" r:id="rId21"/>
          <w:headerReference w:type="first" r:id="rId22"/>
          <w:pgSz w:w="11907" w:h="16839" w:code="9"/>
          <w:pgMar w:top="1701" w:right="1418" w:bottom="1701" w:left="1418" w:header="567" w:footer="567" w:gutter="567"/>
          <w:pgNumType w:fmt="lowerRoman"/>
          <w:cols w:space="720"/>
        </w:sectPr>
      </w:pPr>
    </w:p>
    <w:p w:rsidR="008B7D6E" w:rsidRPr="00C76622" w:rsidRDefault="008B7D6E" w:rsidP="00592E08">
      <w:pPr>
        <w:pStyle w:val="Heading"/>
      </w:pPr>
      <w:r w:rsidRPr="00C76622">
        <w:lastRenderedPageBreak/>
        <w:t>Contents</w:t>
      </w:r>
    </w:p>
    <w:p w:rsidR="00832C07" w:rsidRDefault="00B92A85">
      <w:pPr>
        <w:pStyle w:val="TOC1"/>
        <w:rPr>
          <w:rFonts w:asciiTheme="minorHAnsi" w:eastAsiaTheme="minorEastAsia" w:hAnsiTheme="minorHAnsi" w:cstheme="minorBidi"/>
          <w:noProof/>
          <w:sz w:val="22"/>
          <w:szCs w:val="22"/>
          <w:lang w:eastAsia="en-NZ"/>
        </w:rPr>
      </w:pPr>
      <w:r w:rsidRPr="00813A5E">
        <w:rPr>
          <w:sz w:val="20"/>
        </w:rPr>
        <w:fldChar w:fldCharType="begin"/>
      </w:r>
      <w:r w:rsidR="008B7D6E" w:rsidRPr="00813A5E">
        <w:rPr>
          <w:sz w:val="20"/>
        </w:rPr>
        <w:instrText xml:space="preserve"> TOC \t "Heading 1,1,Heading 2,2" </w:instrText>
      </w:r>
      <w:r w:rsidRPr="00813A5E">
        <w:rPr>
          <w:sz w:val="20"/>
        </w:rPr>
        <w:fldChar w:fldCharType="separate"/>
      </w:r>
      <w:r w:rsidR="00832C07">
        <w:rPr>
          <w:noProof/>
        </w:rPr>
        <w:t>Abbreviations</w:t>
      </w:r>
      <w:r w:rsidR="00832C07">
        <w:rPr>
          <w:noProof/>
        </w:rPr>
        <w:tab/>
      </w:r>
      <w:r w:rsidR="00832C07">
        <w:rPr>
          <w:noProof/>
        </w:rPr>
        <w:fldChar w:fldCharType="begin"/>
      </w:r>
      <w:r w:rsidR="00832C07">
        <w:rPr>
          <w:noProof/>
        </w:rPr>
        <w:instrText xml:space="preserve"> PAGEREF _Toc463270108 \h </w:instrText>
      </w:r>
      <w:r w:rsidR="00832C07">
        <w:rPr>
          <w:noProof/>
        </w:rPr>
      </w:r>
      <w:r w:rsidR="00832C07">
        <w:rPr>
          <w:noProof/>
        </w:rPr>
        <w:fldChar w:fldCharType="separate"/>
      </w:r>
      <w:r w:rsidR="00960AAC">
        <w:rPr>
          <w:noProof/>
        </w:rPr>
        <w:t>vi</w:t>
      </w:r>
      <w:r w:rsidR="00832C07">
        <w:rPr>
          <w:noProof/>
        </w:rPr>
        <w:fldChar w:fldCharType="end"/>
      </w:r>
    </w:p>
    <w:p w:rsidR="00832C07" w:rsidRDefault="00832C07">
      <w:pPr>
        <w:pStyle w:val="TOC1"/>
        <w:rPr>
          <w:rFonts w:asciiTheme="minorHAnsi" w:eastAsiaTheme="minorEastAsia" w:hAnsiTheme="minorHAnsi" w:cstheme="minorBidi"/>
          <w:noProof/>
          <w:sz w:val="22"/>
          <w:szCs w:val="22"/>
          <w:lang w:eastAsia="en-NZ"/>
        </w:rPr>
      </w:pPr>
      <w:r>
        <w:rPr>
          <w:noProof/>
        </w:rPr>
        <w:t>1.</w:t>
      </w:r>
      <w:r>
        <w:rPr>
          <w:rFonts w:asciiTheme="minorHAnsi" w:eastAsiaTheme="minorEastAsia" w:hAnsiTheme="minorHAnsi" w:cstheme="minorBidi"/>
          <w:noProof/>
          <w:sz w:val="22"/>
          <w:szCs w:val="22"/>
          <w:lang w:eastAsia="en-NZ"/>
        </w:rPr>
        <w:tab/>
      </w:r>
      <w:r>
        <w:rPr>
          <w:noProof/>
        </w:rPr>
        <w:t>Executive Summary</w:t>
      </w:r>
      <w:r>
        <w:rPr>
          <w:noProof/>
        </w:rPr>
        <w:tab/>
      </w:r>
      <w:r>
        <w:rPr>
          <w:noProof/>
        </w:rPr>
        <w:fldChar w:fldCharType="begin"/>
      </w:r>
      <w:r>
        <w:rPr>
          <w:noProof/>
        </w:rPr>
        <w:instrText xml:space="preserve"> PAGEREF _Toc463270109 \h </w:instrText>
      </w:r>
      <w:r>
        <w:rPr>
          <w:noProof/>
        </w:rPr>
      </w:r>
      <w:r>
        <w:rPr>
          <w:noProof/>
        </w:rPr>
        <w:fldChar w:fldCharType="separate"/>
      </w:r>
      <w:r w:rsidR="00960AAC">
        <w:rPr>
          <w:noProof/>
        </w:rPr>
        <w:t>7</w:t>
      </w:r>
      <w:r>
        <w:rPr>
          <w:noProof/>
        </w:rPr>
        <w:fldChar w:fldCharType="end"/>
      </w:r>
    </w:p>
    <w:p w:rsidR="00832C07" w:rsidRDefault="00832C07">
      <w:pPr>
        <w:pStyle w:val="TOC1"/>
        <w:rPr>
          <w:rFonts w:asciiTheme="minorHAnsi" w:eastAsiaTheme="minorEastAsia" w:hAnsiTheme="minorHAnsi" w:cstheme="minorBidi"/>
          <w:noProof/>
          <w:sz w:val="22"/>
          <w:szCs w:val="22"/>
          <w:lang w:eastAsia="en-NZ"/>
        </w:rPr>
      </w:pPr>
      <w:r>
        <w:rPr>
          <w:noProof/>
        </w:rPr>
        <w:t>2.</w:t>
      </w:r>
      <w:r>
        <w:rPr>
          <w:rFonts w:asciiTheme="minorHAnsi" w:eastAsiaTheme="minorEastAsia" w:hAnsiTheme="minorHAnsi" w:cstheme="minorBidi"/>
          <w:noProof/>
          <w:sz w:val="22"/>
          <w:szCs w:val="22"/>
          <w:lang w:eastAsia="en-NZ"/>
        </w:rPr>
        <w:tab/>
      </w:r>
      <w:r>
        <w:rPr>
          <w:noProof/>
        </w:rPr>
        <w:t>Introduction</w:t>
      </w:r>
      <w:r>
        <w:rPr>
          <w:noProof/>
        </w:rPr>
        <w:tab/>
      </w:r>
      <w:r>
        <w:rPr>
          <w:noProof/>
        </w:rPr>
        <w:fldChar w:fldCharType="begin"/>
      </w:r>
      <w:r>
        <w:rPr>
          <w:noProof/>
        </w:rPr>
        <w:instrText xml:space="preserve"> PAGEREF _Toc463270110 \h </w:instrText>
      </w:r>
      <w:r>
        <w:rPr>
          <w:noProof/>
        </w:rPr>
      </w:r>
      <w:r>
        <w:rPr>
          <w:noProof/>
        </w:rPr>
        <w:fldChar w:fldCharType="separate"/>
      </w:r>
      <w:r w:rsidR="00960AAC">
        <w:rPr>
          <w:noProof/>
        </w:rPr>
        <w:t>10</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1.2</w:t>
      </w:r>
      <w:r>
        <w:rPr>
          <w:rFonts w:asciiTheme="minorHAnsi" w:eastAsiaTheme="minorEastAsia" w:hAnsiTheme="minorHAnsi" w:cstheme="minorBidi"/>
          <w:noProof/>
          <w:lang w:eastAsia="en-NZ"/>
        </w:rPr>
        <w:tab/>
      </w:r>
      <w:r>
        <w:rPr>
          <w:noProof/>
        </w:rPr>
        <w:t>Technical notes</w:t>
      </w:r>
      <w:r>
        <w:rPr>
          <w:noProof/>
        </w:rPr>
        <w:tab/>
      </w:r>
      <w:r>
        <w:rPr>
          <w:noProof/>
        </w:rPr>
        <w:fldChar w:fldCharType="begin"/>
      </w:r>
      <w:r>
        <w:rPr>
          <w:noProof/>
        </w:rPr>
        <w:instrText xml:space="preserve"> PAGEREF _Toc463270111 \h </w:instrText>
      </w:r>
      <w:r>
        <w:rPr>
          <w:noProof/>
        </w:rPr>
      </w:r>
      <w:r>
        <w:rPr>
          <w:noProof/>
        </w:rPr>
        <w:fldChar w:fldCharType="separate"/>
      </w:r>
      <w:r w:rsidR="00960AAC">
        <w:rPr>
          <w:noProof/>
        </w:rPr>
        <w:t>11</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sidRPr="002C56CE">
        <w:rPr>
          <w:noProof/>
        </w:rPr>
        <w:t>1.3</w:t>
      </w:r>
      <w:r>
        <w:rPr>
          <w:rFonts w:asciiTheme="minorHAnsi" w:eastAsiaTheme="minorEastAsia" w:hAnsiTheme="minorHAnsi" w:cstheme="minorBidi"/>
          <w:noProof/>
          <w:lang w:eastAsia="en-NZ"/>
        </w:rPr>
        <w:tab/>
      </w:r>
      <w:r w:rsidRPr="002C56CE">
        <w:rPr>
          <w:noProof/>
        </w:rPr>
        <w:t>Stage two consultation (other issues) and technical notes on forestry and operational matters</w:t>
      </w:r>
      <w:r>
        <w:rPr>
          <w:noProof/>
        </w:rPr>
        <w:tab/>
      </w:r>
      <w:r>
        <w:rPr>
          <w:noProof/>
        </w:rPr>
        <w:fldChar w:fldCharType="begin"/>
      </w:r>
      <w:r>
        <w:rPr>
          <w:noProof/>
        </w:rPr>
        <w:instrText xml:space="preserve"> PAGEREF _Toc463270112 \h </w:instrText>
      </w:r>
      <w:r>
        <w:rPr>
          <w:noProof/>
        </w:rPr>
      </w:r>
      <w:r>
        <w:rPr>
          <w:noProof/>
        </w:rPr>
        <w:fldChar w:fldCharType="separate"/>
      </w:r>
      <w:r w:rsidR="00960AAC">
        <w:rPr>
          <w:noProof/>
        </w:rPr>
        <w:t>11</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1.4</w:t>
      </w:r>
      <w:r>
        <w:rPr>
          <w:rFonts w:asciiTheme="minorHAnsi" w:eastAsiaTheme="minorEastAsia" w:hAnsiTheme="minorHAnsi" w:cstheme="minorBidi"/>
          <w:noProof/>
          <w:lang w:eastAsia="en-NZ"/>
        </w:rPr>
        <w:tab/>
      </w:r>
      <w:r>
        <w:rPr>
          <w:noProof/>
        </w:rPr>
        <w:t>Approach to analysis</w:t>
      </w:r>
      <w:r>
        <w:rPr>
          <w:noProof/>
        </w:rPr>
        <w:tab/>
      </w:r>
      <w:r>
        <w:rPr>
          <w:noProof/>
        </w:rPr>
        <w:fldChar w:fldCharType="begin"/>
      </w:r>
      <w:r>
        <w:rPr>
          <w:noProof/>
        </w:rPr>
        <w:instrText xml:space="preserve"> PAGEREF _Toc463270113 \h </w:instrText>
      </w:r>
      <w:r>
        <w:rPr>
          <w:noProof/>
        </w:rPr>
      </w:r>
      <w:r>
        <w:rPr>
          <w:noProof/>
        </w:rPr>
        <w:fldChar w:fldCharType="separate"/>
      </w:r>
      <w:r w:rsidR="00960AAC">
        <w:rPr>
          <w:noProof/>
        </w:rPr>
        <w:t>12</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1.5</w:t>
      </w:r>
      <w:r>
        <w:rPr>
          <w:rFonts w:asciiTheme="minorHAnsi" w:eastAsiaTheme="minorEastAsia" w:hAnsiTheme="minorHAnsi" w:cstheme="minorBidi"/>
          <w:noProof/>
          <w:lang w:eastAsia="en-NZ"/>
        </w:rPr>
        <w:tab/>
      </w:r>
      <w:r>
        <w:rPr>
          <w:noProof/>
        </w:rPr>
        <w:t>Notes on conventions used in this document</w:t>
      </w:r>
      <w:r>
        <w:rPr>
          <w:noProof/>
        </w:rPr>
        <w:tab/>
      </w:r>
      <w:r>
        <w:rPr>
          <w:noProof/>
        </w:rPr>
        <w:fldChar w:fldCharType="begin"/>
      </w:r>
      <w:r>
        <w:rPr>
          <w:noProof/>
        </w:rPr>
        <w:instrText xml:space="preserve"> PAGEREF _Toc463270114 \h </w:instrText>
      </w:r>
      <w:r>
        <w:rPr>
          <w:noProof/>
        </w:rPr>
      </w:r>
      <w:r>
        <w:rPr>
          <w:noProof/>
        </w:rPr>
        <w:fldChar w:fldCharType="separate"/>
      </w:r>
      <w:r w:rsidR="00960AAC">
        <w:rPr>
          <w:noProof/>
        </w:rPr>
        <w:t>12</w:t>
      </w:r>
      <w:r>
        <w:rPr>
          <w:noProof/>
        </w:rPr>
        <w:fldChar w:fldCharType="end"/>
      </w:r>
    </w:p>
    <w:p w:rsidR="00832C07" w:rsidRDefault="00832C07">
      <w:pPr>
        <w:pStyle w:val="TOC1"/>
        <w:rPr>
          <w:rFonts w:asciiTheme="minorHAnsi" w:eastAsiaTheme="minorEastAsia" w:hAnsiTheme="minorHAnsi" w:cstheme="minorBidi"/>
          <w:noProof/>
          <w:sz w:val="22"/>
          <w:szCs w:val="22"/>
          <w:lang w:eastAsia="en-NZ"/>
        </w:rPr>
      </w:pPr>
      <w:r>
        <w:rPr>
          <w:noProof/>
        </w:rPr>
        <w:t>2.</w:t>
      </w:r>
      <w:r>
        <w:rPr>
          <w:rFonts w:asciiTheme="minorHAnsi" w:eastAsiaTheme="minorEastAsia" w:hAnsiTheme="minorHAnsi" w:cstheme="minorBidi"/>
          <w:noProof/>
          <w:sz w:val="22"/>
          <w:szCs w:val="22"/>
          <w:lang w:eastAsia="en-NZ"/>
        </w:rPr>
        <w:tab/>
      </w:r>
      <w:r>
        <w:rPr>
          <w:noProof/>
        </w:rPr>
        <w:t>Who responded to the consultation?</w:t>
      </w:r>
      <w:r>
        <w:rPr>
          <w:noProof/>
        </w:rPr>
        <w:tab/>
      </w:r>
      <w:r>
        <w:rPr>
          <w:noProof/>
        </w:rPr>
        <w:fldChar w:fldCharType="begin"/>
      </w:r>
      <w:r>
        <w:rPr>
          <w:noProof/>
        </w:rPr>
        <w:instrText xml:space="preserve"> PAGEREF _Toc463270115 \h </w:instrText>
      </w:r>
      <w:r>
        <w:rPr>
          <w:noProof/>
        </w:rPr>
      </w:r>
      <w:r>
        <w:rPr>
          <w:noProof/>
        </w:rPr>
        <w:fldChar w:fldCharType="separate"/>
      </w:r>
      <w:r w:rsidR="00960AAC">
        <w:rPr>
          <w:noProof/>
        </w:rPr>
        <w:t>14</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2.1</w:t>
      </w:r>
      <w:r>
        <w:rPr>
          <w:rFonts w:asciiTheme="minorHAnsi" w:eastAsiaTheme="minorEastAsia" w:hAnsiTheme="minorHAnsi" w:cstheme="minorBidi"/>
          <w:noProof/>
          <w:lang w:eastAsia="en-NZ"/>
        </w:rPr>
        <w:tab/>
      </w:r>
      <w:r>
        <w:rPr>
          <w:noProof/>
        </w:rPr>
        <w:t>Number of submitters</w:t>
      </w:r>
      <w:r>
        <w:rPr>
          <w:noProof/>
        </w:rPr>
        <w:tab/>
      </w:r>
      <w:r>
        <w:rPr>
          <w:noProof/>
        </w:rPr>
        <w:fldChar w:fldCharType="begin"/>
      </w:r>
      <w:r>
        <w:rPr>
          <w:noProof/>
        </w:rPr>
        <w:instrText xml:space="preserve"> PAGEREF _Toc463270116 \h </w:instrText>
      </w:r>
      <w:r>
        <w:rPr>
          <w:noProof/>
        </w:rPr>
      </w:r>
      <w:r>
        <w:rPr>
          <w:noProof/>
        </w:rPr>
        <w:fldChar w:fldCharType="separate"/>
      </w:r>
      <w:r w:rsidR="00960AAC">
        <w:rPr>
          <w:noProof/>
        </w:rPr>
        <w:t>14</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2.2</w:t>
      </w:r>
      <w:r>
        <w:rPr>
          <w:rFonts w:asciiTheme="minorHAnsi" w:eastAsiaTheme="minorEastAsia" w:hAnsiTheme="minorHAnsi" w:cstheme="minorBidi"/>
          <w:noProof/>
          <w:lang w:eastAsia="en-NZ"/>
        </w:rPr>
        <w:tab/>
      </w:r>
      <w:r>
        <w:rPr>
          <w:noProof/>
        </w:rPr>
        <w:t>Types of submissions</w:t>
      </w:r>
      <w:r>
        <w:rPr>
          <w:noProof/>
        </w:rPr>
        <w:tab/>
      </w:r>
      <w:r>
        <w:rPr>
          <w:noProof/>
        </w:rPr>
        <w:fldChar w:fldCharType="begin"/>
      </w:r>
      <w:r>
        <w:rPr>
          <w:noProof/>
        </w:rPr>
        <w:instrText xml:space="preserve"> PAGEREF _Toc463270117 \h </w:instrText>
      </w:r>
      <w:r>
        <w:rPr>
          <w:noProof/>
        </w:rPr>
      </w:r>
      <w:r>
        <w:rPr>
          <w:noProof/>
        </w:rPr>
        <w:fldChar w:fldCharType="separate"/>
      </w:r>
      <w:r w:rsidR="00960AAC">
        <w:rPr>
          <w:noProof/>
        </w:rPr>
        <w:t>14</w:t>
      </w:r>
      <w:r>
        <w:rPr>
          <w:noProof/>
        </w:rPr>
        <w:fldChar w:fldCharType="end"/>
      </w:r>
    </w:p>
    <w:p w:rsidR="00832C07" w:rsidRDefault="00832C07">
      <w:pPr>
        <w:pStyle w:val="TOC1"/>
        <w:rPr>
          <w:rFonts w:asciiTheme="minorHAnsi" w:eastAsiaTheme="minorEastAsia" w:hAnsiTheme="minorHAnsi" w:cstheme="minorBidi"/>
          <w:noProof/>
          <w:sz w:val="22"/>
          <w:szCs w:val="22"/>
          <w:lang w:eastAsia="en-NZ"/>
        </w:rPr>
      </w:pPr>
      <w:r>
        <w:rPr>
          <w:noProof/>
        </w:rPr>
        <w:t>3.</w:t>
      </w:r>
      <w:r>
        <w:rPr>
          <w:rFonts w:asciiTheme="minorHAnsi" w:eastAsiaTheme="minorEastAsia" w:hAnsiTheme="minorHAnsi" w:cstheme="minorBidi"/>
          <w:noProof/>
          <w:sz w:val="22"/>
          <w:szCs w:val="22"/>
          <w:lang w:eastAsia="en-NZ"/>
        </w:rPr>
        <w:tab/>
      </w:r>
      <w:r>
        <w:rPr>
          <w:noProof/>
        </w:rPr>
        <w:t>Context and drivers for the review</w:t>
      </w:r>
      <w:r>
        <w:rPr>
          <w:noProof/>
        </w:rPr>
        <w:tab/>
      </w:r>
      <w:r>
        <w:rPr>
          <w:noProof/>
        </w:rPr>
        <w:fldChar w:fldCharType="begin"/>
      </w:r>
      <w:r>
        <w:rPr>
          <w:noProof/>
        </w:rPr>
        <w:instrText xml:space="preserve"> PAGEREF _Toc463270118 \h </w:instrText>
      </w:r>
      <w:r>
        <w:rPr>
          <w:noProof/>
        </w:rPr>
      </w:r>
      <w:r>
        <w:rPr>
          <w:noProof/>
        </w:rPr>
        <w:fldChar w:fldCharType="separate"/>
      </w:r>
      <w:r w:rsidR="00960AAC">
        <w:rPr>
          <w:noProof/>
        </w:rPr>
        <w:t>15</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 xml:space="preserve">3.1 </w:t>
      </w:r>
      <w:r>
        <w:rPr>
          <w:rFonts w:asciiTheme="minorHAnsi" w:eastAsiaTheme="minorEastAsia" w:hAnsiTheme="minorHAnsi" w:cstheme="minorBidi"/>
          <w:noProof/>
          <w:lang w:eastAsia="en-NZ"/>
        </w:rPr>
        <w:tab/>
      </w:r>
      <w:r>
        <w:rPr>
          <w:noProof/>
        </w:rPr>
        <w:t>Do you agree with the drivers for the review? (Question 1)</w:t>
      </w:r>
      <w:r>
        <w:rPr>
          <w:noProof/>
        </w:rPr>
        <w:tab/>
      </w:r>
      <w:r>
        <w:rPr>
          <w:noProof/>
        </w:rPr>
        <w:fldChar w:fldCharType="begin"/>
      </w:r>
      <w:r>
        <w:rPr>
          <w:noProof/>
        </w:rPr>
        <w:instrText xml:space="preserve"> PAGEREF _Toc463270119 \h </w:instrText>
      </w:r>
      <w:r>
        <w:rPr>
          <w:noProof/>
        </w:rPr>
      </w:r>
      <w:r>
        <w:rPr>
          <w:noProof/>
        </w:rPr>
        <w:fldChar w:fldCharType="separate"/>
      </w:r>
      <w:r w:rsidR="00960AAC">
        <w:rPr>
          <w:noProof/>
        </w:rPr>
        <w:t>15</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3.2</w:t>
      </w:r>
      <w:r>
        <w:rPr>
          <w:rFonts w:asciiTheme="minorHAnsi" w:eastAsiaTheme="minorEastAsia" w:hAnsiTheme="minorHAnsi" w:cstheme="minorBidi"/>
          <w:noProof/>
          <w:lang w:eastAsia="en-NZ"/>
        </w:rPr>
        <w:tab/>
      </w:r>
      <w:r>
        <w:rPr>
          <w:noProof/>
        </w:rPr>
        <w:t>What other factors should the Government be considering in this NZ ETS review? (Question 2)</w:t>
      </w:r>
      <w:r>
        <w:rPr>
          <w:noProof/>
        </w:rPr>
        <w:tab/>
      </w:r>
      <w:r>
        <w:rPr>
          <w:noProof/>
        </w:rPr>
        <w:fldChar w:fldCharType="begin"/>
      </w:r>
      <w:r>
        <w:rPr>
          <w:noProof/>
        </w:rPr>
        <w:instrText xml:space="preserve"> PAGEREF _Toc463270120 \h </w:instrText>
      </w:r>
      <w:r>
        <w:rPr>
          <w:noProof/>
        </w:rPr>
      </w:r>
      <w:r>
        <w:rPr>
          <w:noProof/>
        </w:rPr>
        <w:fldChar w:fldCharType="separate"/>
      </w:r>
      <w:r w:rsidR="00960AAC">
        <w:rPr>
          <w:noProof/>
        </w:rPr>
        <w:t>16</w:t>
      </w:r>
      <w:r>
        <w:rPr>
          <w:noProof/>
        </w:rPr>
        <w:fldChar w:fldCharType="end"/>
      </w:r>
    </w:p>
    <w:p w:rsidR="00832C07" w:rsidRDefault="00832C07">
      <w:pPr>
        <w:pStyle w:val="TOC1"/>
        <w:rPr>
          <w:rFonts w:asciiTheme="minorHAnsi" w:eastAsiaTheme="minorEastAsia" w:hAnsiTheme="minorHAnsi" w:cstheme="minorBidi"/>
          <w:noProof/>
          <w:sz w:val="22"/>
          <w:szCs w:val="22"/>
          <w:lang w:eastAsia="en-NZ"/>
        </w:rPr>
      </w:pPr>
      <w:r>
        <w:rPr>
          <w:noProof/>
        </w:rPr>
        <w:t xml:space="preserve">4. </w:t>
      </w:r>
      <w:r>
        <w:rPr>
          <w:rFonts w:asciiTheme="minorHAnsi" w:eastAsiaTheme="minorEastAsia" w:hAnsiTheme="minorHAnsi" w:cstheme="minorBidi"/>
          <w:noProof/>
          <w:sz w:val="22"/>
          <w:szCs w:val="22"/>
          <w:lang w:eastAsia="en-NZ"/>
        </w:rPr>
        <w:tab/>
      </w:r>
      <w:r>
        <w:rPr>
          <w:noProof/>
        </w:rPr>
        <w:t>Business responses to the New Zealand Emissions Trading Scheme (NZ ETS)</w:t>
      </w:r>
      <w:r>
        <w:rPr>
          <w:noProof/>
        </w:rPr>
        <w:tab/>
      </w:r>
      <w:r>
        <w:rPr>
          <w:noProof/>
        </w:rPr>
        <w:fldChar w:fldCharType="begin"/>
      </w:r>
      <w:r>
        <w:rPr>
          <w:noProof/>
        </w:rPr>
        <w:instrText xml:space="preserve"> PAGEREF _Toc463270121 \h </w:instrText>
      </w:r>
      <w:r>
        <w:rPr>
          <w:noProof/>
        </w:rPr>
      </w:r>
      <w:r>
        <w:rPr>
          <w:noProof/>
        </w:rPr>
        <w:fldChar w:fldCharType="separate"/>
      </w:r>
      <w:r w:rsidR="00960AAC">
        <w:rPr>
          <w:noProof/>
        </w:rPr>
        <w:t>19</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 xml:space="preserve">4.1 </w:t>
      </w:r>
      <w:r>
        <w:rPr>
          <w:rFonts w:asciiTheme="minorHAnsi" w:eastAsiaTheme="minorEastAsia" w:hAnsiTheme="minorHAnsi" w:cstheme="minorBidi"/>
          <w:noProof/>
          <w:lang w:eastAsia="en-NZ"/>
        </w:rPr>
        <w:tab/>
      </w:r>
      <w:r>
        <w:rPr>
          <w:noProof/>
        </w:rPr>
        <w:t>Do you consider the future cost of emissions in your business planning? If yes, how do you do this? (Question 9)</w:t>
      </w:r>
      <w:r>
        <w:rPr>
          <w:noProof/>
        </w:rPr>
        <w:tab/>
      </w:r>
      <w:r>
        <w:rPr>
          <w:noProof/>
        </w:rPr>
        <w:fldChar w:fldCharType="begin"/>
      </w:r>
      <w:r>
        <w:rPr>
          <w:noProof/>
        </w:rPr>
        <w:instrText xml:space="preserve"> PAGEREF _Toc463270122 \h </w:instrText>
      </w:r>
      <w:r>
        <w:rPr>
          <w:noProof/>
        </w:rPr>
      </w:r>
      <w:r>
        <w:rPr>
          <w:noProof/>
        </w:rPr>
        <w:fldChar w:fldCharType="separate"/>
      </w:r>
      <w:r w:rsidR="00960AAC">
        <w:rPr>
          <w:noProof/>
        </w:rPr>
        <w:t>19</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 xml:space="preserve">4.2 </w:t>
      </w:r>
      <w:r>
        <w:rPr>
          <w:rFonts w:asciiTheme="minorHAnsi" w:eastAsiaTheme="minorEastAsia" w:hAnsiTheme="minorHAnsi" w:cstheme="minorBidi"/>
          <w:noProof/>
          <w:lang w:eastAsia="en-NZ"/>
        </w:rPr>
        <w:tab/>
      </w:r>
      <w:r>
        <w:rPr>
          <w:noProof/>
        </w:rPr>
        <w:t>What would improve your ability to take into account the future cost of emissions in your business planning? (Question 10)</w:t>
      </w:r>
      <w:r>
        <w:rPr>
          <w:noProof/>
        </w:rPr>
        <w:tab/>
      </w:r>
      <w:r>
        <w:rPr>
          <w:noProof/>
        </w:rPr>
        <w:fldChar w:fldCharType="begin"/>
      </w:r>
      <w:r>
        <w:rPr>
          <w:noProof/>
        </w:rPr>
        <w:instrText xml:space="preserve"> PAGEREF _Toc463270123 \h </w:instrText>
      </w:r>
      <w:r>
        <w:rPr>
          <w:noProof/>
        </w:rPr>
      </w:r>
      <w:r>
        <w:rPr>
          <w:noProof/>
        </w:rPr>
        <w:fldChar w:fldCharType="separate"/>
      </w:r>
      <w:r w:rsidR="00960AAC">
        <w:rPr>
          <w:noProof/>
        </w:rPr>
        <w:t>21</w:t>
      </w:r>
      <w:r>
        <w:rPr>
          <w:noProof/>
        </w:rPr>
        <w:fldChar w:fldCharType="end"/>
      </w:r>
    </w:p>
    <w:p w:rsidR="00832C07" w:rsidRDefault="00832C07">
      <w:pPr>
        <w:pStyle w:val="TOC1"/>
        <w:rPr>
          <w:rFonts w:asciiTheme="minorHAnsi" w:eastAsiaTheme="minorEastAsia" w:hAnsiTheme="minorHAnsi" w:cstheme="minorBidi"/>
          <w:noProof/>
          <w:sz w:val="22"/>
          <w:szCs w:val="22"/>
          <w:lang w:eastAsia="en-NZ"/>
        </w:rPr>
      </w:pPr>
      <w:r>
        <w:rPr>
          <w:noProof/>
        </w:rPr>
        <w:t xml:space="preserve">5. </w:t>
      </w:r>
      <w:r>
        <w:rPr>
          <w:rFonts w:asciiTheme="minorHAnsi" w:eastAsiaTheme="minorEastAsia" w:hAnsiTheme="minorHAnsi" w:cstheme="minorBidi"/>
          <w:noProof/>
          <w:sz w:val="22"/>
          <w:szCs w:val="22"/>
          <w:lang w:eastAsia="en-NZ"/>
        </w:rPr>
        <w:tab/>
      </w:r>
      <w:r>
        <w:rPr>
          <w:noProof/>
        </w:rPr>
        <w:t>Protecting competitiveness through free allocation</w:t>
      </w:r>
      <w:r>
        <w:rPr>
          <w:noProof/>
        </w:rPr>
        <w:tab/>
      </w:r>
      <w:r>
        <w:rPr>
          <w:noProof/>
        </w:rPr>
        <w:fldChar w:fldCharType="begin"/>
      </w:r>
      <w:r>
        <w:rPr>
          <w:noProof/>
        </w:rPr>
        <w:instrText xml:space="preserve"> PAGEREF _Toc463270124 \h </w:instrText>
      </w:r>
      <w:r>
        <w:rPr>
          <w:noProof/>
        </w:rPr>
      </w:r>
      <w:r>
        <w:rPr>
          <w:noProof/>
        </w:rPr>
        <w:fldChar w:fldCharType="separate"/>
      </w:r>
      <w:r w:rsidR="00960AAC">
        <w:rPr>
          <w:noProof/>
        </w:rPr>
        <w:t>23</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 xml:space="preserve">5.1 </w:t>
      </w:r>
      <w:r>
        <w:rPr>
          <w:rFonts w:asciiTheme="minorHAnsi" w:eastAsiaTheme="minorEastAsia" w:hAnsiTheme="minorHAnsi" w:cstheme="minorBidi"/>
          <w:noProof/>
          <w:lang w:eastAsia="en-NZ"/>
        </w:rPr>
        <w:tab/>
      </w:r>
      <w:r>
        <w:rPr>
          <w:noProof/>
        </w:rPr>
        <w:t>Under what conditions should free allocation rates start to be reduced after 2020? (Question 11)</w:t>
      </w:r>
      <w:r>
        <w:rPr>
          <w:noProof/>
        </w:rPr>
        <w:tab/>
      </w:r>
      <w:r>
        <w:rPr>
          <w:noProof/>
        </w:rPr>
        <w:fldChar w:fldCharType="begin"/>
      </w:r>
      <w:r>
        <w:rPr>
          <w:noProof/>
        </w:rPr>
        <w:instrText xml:space="preserve"> PAGEREF _Toc463270125 \h </w:instrText>
      </w:r>
      <w:r>
        <w:rPr>
          <w:noProof/>
        </w:rPr>
      </w:r>
      <w:r>
        <w:rPr>
          <w:noProof/>
        </w:rPr>
        <w:fldChar w:fldCharType="separate"/>
      </w:r>
      <w:r w:rsidR="00960AAC">
        <w:rPr>
          <w:noProof/>
        </w:rPr>
        <w:t>23</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 xml:space="preserve">5.2 </w:t>
      </w:r>
      <w:r>
        <w:rPr>
          <w:rFonts w:asciiTheme="minorHAnsi" w:eastAsiaTheme="minorEastAsia" w:hAnsiTheme="minorHAnsi" w:cstheme="minorBidi"/>
          <w:noProof/>
          <w:lang w:eastAsia="en-NZ"/>
        </w:rPr>
        <w:tab/>
      </w:r>
      <w:r>
        <w:rPr>
          <w:noProof/>
        </w:rPr>
        <w:t>What impact would it have on your investment decisions over the next few years if there was a clear pathway or criteria for phasing out free allocation after 2020? (Question 12)</w:t>
      </w:r>
      <w:r>
        <w:rPr>
          <w:noProof/>
        </w:rPr>
        <w:tab/>
      </w:r>
      <w:r>
        <w:rPr>
          <w:noProof/>
        </w:rPr>
        <w:fldChar w:fldCharType="begin"/>
      </w:r>
      <w:r>
        <w:rPr>
          <w:noProof/>
        </w:rPr>
        <w:instrText xml:space="preserve"> PAGEREF _Toc463270126 \h </w:instrText>
      </w:r>
      <w:r>
        <w:rPr>
          <w:noProof/>
        </w:rPr>
      </w:r>
      <w:r>
        <w:rPr>
          <w:noProof/>
        </w:rPr>
        <w:fldChar w:fldCharType="separate"/>
      </w:r>
      <w:r w:rsidR="00960AAC">
        <w:rPr>
          <w:noProof/>
        </w:rPr>
        <w:t>25</w:t>
      </w:r>
      <w:r>
        <w:rPr>
          <w:noProof/>
        </w:rPr>
        <w:fldChar w:fldCharType="end"/>
      </w:r>
    </w:p>
    <w:p w:rsidR="00832C07" w:rsidRDefault="00832C07">
      <w:pPr>
        <w:pStyle w:val="TOC1"/>
        <w:rPr>
          <w:rFonts w:asciiTheme="minorHAnsi" w:eastAsiaTheme="minorEastAsia" w:hAnsiTheme="minorHAnsi" w:cstheme="minorBidi"/>
          <w:noProof/>
          <w:sz w:val="22"/>
          <w:szCs w:val="22"/>
          <w:lang w:eastAsia="en-NZ"/>
        </w:rPr>
      </w:pPr>
      <w:r>
        <w:rPr>
          <w:noProof/>
        </w:rPr>
        <w:t xml:space="preserve">6. </w:t>
      </w:r>
      <w:r>
        <w:rPr>
          <w:rFonts w:asciiTheme="minorHAnsi" w:eastAsiaTheme="minorEastAsia" w:hAnsiTheme="minorHAnsi" w:cstheme="minorBidi"/>
          <w:noProof/>
          <w:sz w:val="22"/>
          <w:szCs w:val="22"/>
          <w:lang w:eastAsia="en-NZ"/>
        </w:rPr>
        <w:tab/>
      </w:r>
      <w:r>
        <w:rPr>
          <w:noProof/>
        </w:rPr>
        <w:t>Managing unit supply</w:t>
      </w:r>
      <w:r>
        <w:rPr>
          <w:noProof/>
        </w:rPr>
        <w:tab/>
      </w:r>
      <w:r>
        <w:rPr>
          <w:noProof/>
        </w:rPr>
        <w:fldChar w:fldCharType="begin"/>
      </w:r>
      <w:r>
        <w:rPr>
          <w:noProof/>
        </w:rPr>
        <w:instrText xml:space="preserve"> PAGEREF _Toc463270127 \h </w:instrText>
      </w:r>
      <w:r>
        <w:rPr>
          <w:noProof/>
        </w:rPr>
      </w:r>
      <w:r>
        <w:rPr>
          <w:noProof/>
        </w:rPr>
        <w:fldChar w:fldCharType="separate"/>
      </w:r>
      <w:r w:rsidR="00960AAC">
        <w:rPr>
          <w:noProof/>
        </w:rPr>
        <w:t>27</w:t>
      </w:r>
      <w:r>
        <w:rPr>
          <w:noProof/>
        </w:rPr>
        <w:fldChar w:fldCharType="end"/>
      </w:r>
    </w:p>
    <w:p w:rsidR="00832C07" w:rsidRDefault="00832C07">
      <w:pPr>
        <w:pStyle w:val="TOC2"/>
        <w:rPr>
          <w:rFonts w:asciiTheme="minorHAnsi" w:eastAsiaTheme="minorEastAsia" w:hAnsiTheme="minorHAnsi" w:cstheme="minorBidi"/>
          <w:noProof/>
          <w:lang w:eastAsia="en-NZ"/>
        </w:rPr>
      </w:pPr>
      <w:r>
        <w:rPr>
          <w:noProof/>
        </w:rPr>
        <w:lastRenderedPageBreak/>
        <w:t>Forestry</w:t>
      </w:r>
      <w:r>
        <w:rPr>
          <w:noProof/>
        </w:rPr>
        <w:tab/>
      </w:r>
      <w:r>
        <w:rPr>
          <w:noProof/>
        </w:rPr>
        <w:fldChar w:fldCharType="begin"/>
      </w:r>
      <w:r>
        <w:rPr>
          <w:noProof/>
        </w:rPr>
        <w:instrText xml:space="preserve"> PAGEREF _Toc463270128 \h </w:instrText>
      </w:r>
      <w:r>
        <w:rPr>
          <w:noProof/>
        </w:rPr>
      </w:r>
      <w:r>
        <w:rPr>
          <w:noProof/>
        </w:rPr>
        <w:fldChar w:fldCharType="separate"/>
      </w:r>
      <w:r w:rsidR="00960AAC">
        <w:rPr>
          <w:noProof/>
        </w:rPr>
        <w:t>27</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 xml:space="preserve">6.1 </w:t>
      </w:r>
      <w:r>
        <w:rPr>
          <w:rFonts w:asciiTheme="minorHAnsi" w:eastAsiaTheme="minorEastAsia" w:hAnsiTheme="minorHAnsi" w:cstheme="minorBidi"/>
          <w:noProof/>
          <w:lang w:eastAsia="en-NZ"/>
        </w:rPr>
        <w:tab/>
      </w:r>
      <w:r>
        <w:rPr>
          <w:noProof/>
        </w:rPr>
        <w:t>How does carbon price impact your forestry investment decision-making? (Question 13)</w:t>
      </w:r>
      <w:r>
        <w:rPr>
          <w:noProof/>
        </w:rPr>
        <w:tab/>
      </w:r>
      <w:r>
        <w:rPr>
          <w:noProof/>
        </w:rPr>
        <w:fldChar w:fldCharType="begin"/>
      </w:r>
      <w:r>
        <w:rPr>
          <w:noProof/>
        </w:rPr>
        <w:instrText xml:space="preserve"> PAGEREF _Toc463270129 \h </w:instrText>
      </w:r>
      <w:r>
        <w:rPr>
          <w:noProof/>
        </w:rPr>
      </w:r>
      <w:r>
        <w:rPr>
          <w:noProof/>
        </w:rPr>
        <w:fldChar w:fldCharType="separate"/>
      </w:r>
      <w:r w:rsidR="00960AAC">
        <w:rPr>
          <w:noProof/>
        </w:rPr>
        <w:t>27</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 xml:space="preserve">6.2 </w:t>
      </w:r>
      <w:r>
        <w:rPr>
          <w:rFonts w:asciiTheme="minorHAnsi" w:eastAsiaTheme="minorEastAsia" w:hAnsiTheme="minorHAnsi" w:cstheme="minorBidi"/>
          <w:noProof/>
          <w:lang w:eastAsia="en-NZ"/>
        </w:rPr>
        <w:tab/>
      </w:r>
      <w:r>
        <w:rPr>
          <w:noProof/>
        </w:rPr>
        <w:t>Are there opportunities for the NZ ETS to increase incentives for forestry investments, outside of NZU price? What are your reasons for the above answer? (Question 14 and 15)</w:t>
      </w:r>
      <w:r>
        <w:rPr>
          <w:noProof/>
        </w:rPr>
        <w:tab/>
      </w:r>
      <w:r>
        <w:rPr>
          <w:noProof/>
        </w:rPr>
        <w:fldChar w:fldCharType="begin"/>
      </w:r>
      <w:r>
        <w:rPr>
          <w:noProof/>
        </w:rPr>
        <w:instrText xml:space="preserve"> PAGEREF _Toc463270130 \h </w:instrText>
      </w:r>
      <w:r>
        <w:rPr>
          <w:noProof/>
        </w:rPr>
      </w:r>
      <w:r>
        <w:rPr>
          <w:noProof/>
        </w:rPr>
        <w:fldChar w:fldCharType="separate"/>
      </w:r>
      <w:r w:rsidR="00960AAC">
        <w:rPr>
          <w:noProof/>
        </w:rPr>
        <w:t>28</w:t>
      </w:r>
      <w:r>
        <w:rPr>
          <w:noProof/>
        </w:rPr>
        <w:fldChar w:fldCharType="end"/>
      </w:r>
    </w:p>
    <w:p w:rsidR="00832C07" w:rsidRDefault="00832C07">
      <w:pPr>
        <w:pStyle w:val="TOC2"/>
        <w:rPr>
          <w:rFonts w:asciiTheme="minorHAnsi" w:eastAsiaTheme="minorEastAsia" w:hAnsiTheme="minorHAnsi" w:cstheme="minorBidi"/>
          <w:noProof/>
          <w:lang w:eastAsia="en-NZ"/>
        </w:rPr>
      </w:pPr>
      <w:r>
        <w:rPr>
          <w:noProof/>
        </w:rPr>
        <w:t>International units</w:t>
      </w:r>
      <w:r>
        <w:rPr>
          <w:noProof/>
        </w:rPr>
        <w:tab/>
      </w:r>
      <w:r>
        <w:rPr>
          <w:noProof/>
        </w:rPr>
        <w:fldChar w:fldCharType="begin"/>
      </w:r>
      <w:r>
        <w:rPr>
          <w:noProof/>
        </w:rPr>
        <w:instrText xml:space="preserve"> PAGEREF _Toc463270131 \h </w:instrText>
      </w:r>
      <w:r>
        <w:rPr>
          <w:noProof/>
        </w:rPr>
      </w:r>
      <w:r>
        <w:rPr>
          <w:noProof/>
        </w:rPr>
        <w:fldChar w:fldCharType="separate"/>
      </w:r>
      <w:r w:rsidR="00960AAC">
        <w:rPr>
          <w:noProof/>
        </w:rPr>
        <w:t>30</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 xml:space="preserve">6.3 </w:t>
      </w:r>
      <w:r>
        <w:rPr>
          <w:rFonts w:asciiTheme="minorHAnsi" w:eastAsiaTheme="minorEastAsia" w:hAnsiTheme="minorHAnsi" w:cstheme="minorBidi"/>
          <w:noProof/>
          <w:lang w:eastAsia="en-NZ"/>
        </w:rPr>
        <w:tab/>
      </w:r>
      <w:r>
        <w:rPr>
          <w:noProof/>
        </w:rPr>
        <w:t>If international units are eligible for NZ ETS compliance in the 2020s, should any of the following restrictions be placed on their use? (Question 16) (a) restrictions on where units can be sourced from (location of and/or types of projects) (b) restrictions on how many units can be surrendered (c) others (please explain)</w:t>
      </w:r>
      <w:r>
        <w:rPr>
          <w:noProof/>
        </w:rPr>
        <w:tab/>
      </w:r>
      <w:r>
        <w:rPr>
          <w:noProof/>
        </w:rPr>
        <w:fldChar w:fldCharType="begin"/>
      </w:r>
      <w:r>
        <w:rPr>
          <w:noProof/>
        </w:rPr>
        <w:instrText xml:space="preserve"> PAGEREF _Toc463270132 \h </w:instrText>
      </w:r>
      <w:r>
        <w:rPr>
          <w:noProof/>
        </w:rPr>
      </w:r>
      <w:r>
        <w:rPr>
          <w:noProof/>
        </w:rPr>
        <w:fldChar w:fldCharType="separate"/>
      </w:r>
      <w:r w:rsidR="00960AAC">
        <w:rPr>
          <w:noProof/>
        </w:rPr>
        <w:t>30</w:t>
      </w:r>
      <w:r>
        <w:rPr>
          <w:noProof/>
        </w:rPr>
        <w:fldChar w:fldCharType="end"/>
      </w:r>
    </w:p>
    <w:p w:rsidR="00832C07" w:rsidRDefault="00832C07">
      <w:pPr>
        <w:pStyle w:val="TOC2"/>
        <w:rPr>
          <w:rFonts w:asciiTheme="minorHAnsi" w:eastAsiaTheme="minorEastAsia" w:hAnsiTheme="minorHAnsi" w:cstheme="minorBidi"/>
          <w:noProof/>
          <w:lang w:eastAsia="en-NZ"/>
        </w:rPr>
      </w:pPr>
      <w:r>
        <w:rPr>
          <w:noProof/>
        </w:rPr>
        <w:t>Auctioning</w:t>
      </w:r>
      <w:r>
        <w:rPr>
          <w:noProof/>
        </w:rPr>
        <w:tab/>
      </w:r>
      <w:r>
        <w:rPr>
          <w:noProof/>
        </w:rPr>
        <w:fldChar w:fldCharType="begin"/>
      </w:r>
      <w:r>
        <w:rPr>
          <w:noProof/>
        </w:rPr>
        <w:instrText xml:space="preserve"> PAGEREF _Toc463270133 \h </w:instrText>
      </w:r>
      <w:r>
        <w:rPr>
          <w:noProof/>
        </w:rPr>
      </w:r>
      <w:r>
        <w:rPr>
          <w:noProof/>
        </w:rPr>
        <w:fldChar w:fldCharType="separate"/>
      </w:r>
      <w:r w:rsidR="00960AAC">
        <w:rPr>
          <w:noProof/>
        </w:rPr>
        <w:t>34</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 xml:space="preserve">6.4 </w:t>
      </w:r>
      <w:r>
        <w:rPr>
          <w:rFonts w:asciiTheme="minorHAnsi" w:eastAsiaTheme="minorEastAsia" w:hAnsiTheme="minorHAnsi" w:cstheme="minorBidi"/>
          <w:noProof/>
          <w:lang w:eastAsia="en-NZ"/>
        </w:rPr>
        <w:tab/>
      </w:r>
      <w:r>
        <w:rPr>
          <w:noProof/>
        </w:rPr>
        <w:t>Should auctioning be introduced in the NZ ETS? If yes, when? (Question 17)</w:t>
      </w:r>
      <w:r>
        <w:rPr>
          <w:noProof/>
        </w:rPr>
        <w:tab/>
      </w:r>
      <w:r>
        <w:rPr>
          <w:noProof/>
        </w:rPr>
        <w:fldChar w:fldCharType="begin"/>
      </w:r>
      <w:r>
        <w:rPr>
          <w:noProof/>
        </w:rPr>
        <w:instrText xml:space="preserve"> PAGEREF _Toc463270134 \h </w:instrText>
      </w:r>
      <w:r>
        <w:rPr>
          <w:noProof/>
        </w:rPr>
      </w:r>
      <w:r>
        <w:rPr>
          <w:noProof/>
        </w:rPr>
        <w:fldChar w:fldCharType="separate"/>
      </w:r>
      <w:r w:rsidR="00960AAC">
        <w:rPr>
          <w:noProof/>
        </w:rPr>
        <w:t>34</w:t>
      </w:r>
      <w:r>
        <w:rPr>
          <w:noProof/>
        </w:rPr>
        <w:fldChar w:fldCharType="end"/>
      </w:r>
    </w:p>
    <w:p w:rsidR="00832C07" w:rsidRDefault="00832C07">
      <w:pPr>
        <w:pStyle w:val="TOC2"/>
        <w:rPr>
          <w:rFonts w:asciiTheme="minorHAnsi" w:eastAsiaTheme="minorEastAsia" w:hAnsiTheme="minorHAnsi" w:cstheme="minorBidi"/>
          <w:noProof/>
          <w:lang w:eastAsia="en-NZ"/>
        </w:rPr>
      </w:pPr>
      <w:r>
        <w:rPr>
          <w:noProof/>
        </w:rPr>
        <w:t>a) in the next two to three years b) within five years (before 2020)  c) after five years (post 2020)</w:t>
      </w:r>
      <w:r>
        <w:rPr>
          <w:noProof/>
        </w:rPr>
        <w:tab/>
      </w:r>
      <w:r>
        <w:rPr>
          <w:noProof/>
        </w:rPr>
        <w:fldChar w:fldCharType="begin"/>
      </w:r>
      <w:r>
        <w:rPr>
          <w:noProof/>
        </w:rPr>
        <w:instrText xml:space="preserve"> PAGEREF _Toc463270135 \h </w:instrText>
      </w:r>
      <w:r>
        <w:rPr>
          <w:noProof/>
        </w:rPr>
      </w:r>
      <w:r>
        <w:rPr>
          <w:noProof/>
        </w:rPr>
        <w:fldChar w:fldCharType="separate"/>
      </w:r>
      <w:r w:rsidR="00960AAC">
        <w:rPr>
          <w:noProof/>
        </w:rPr>
        <w:t>34</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 xml:space="preserve">6.5 </w:t>
      </w:r>
      <w:r>
        <w:rPr>
          <w:rFonts w:asciiTheme="minorHAnsi" w:eastAsiaTheme="minorEastAsia" w:hAnsiTheme="minorHAnsi" w:cstheme="minorBidi"/>
          <w:noProof/>
          <w:lang w:eastAsia="en-NZ"/>
        </w:rPr>
        <w:tab/>
      </w:r>
      <w:r>
        <w:rPr>
          <w:noProof/>
        </w:rPr>
        <w:t>What should be the role or purpose of an auctioning function in the NZ ETS, if one were introduced? (Question 18) a) to align supply in the NZ ETS more closely with our international target b) to more actively manage NZU prices c) other</w:t>
      </w:r>
      <w:r>
        <w:rPr>
          <w:noProof/>
        </w:rPr>
        <w:tab/>
      </w:r>
      <w:r>
        <w:rPr>
          <w:noProof/>
        </w:rPr>
        <w:fldChar w:fldCharType="begin"/>
      </w:r>
      <w:r>
        <w:rPr>
          <w:noProof/>
        </w:rPr>
        <w:instrText xml:space="preserve"> PAGEREF _Toc463270136 \h </w:instrText>
      </w:r>
      <w:r>
        <w:rPr>
          <w:noProof/>
        </w:rPr>
      </w:r>
      <w:r>
        <w:rPr>
          <w:noProof/>
        </w:rPr>
        <w:fldChar w:fldCharType="separate"/>
      </w:r>
      <w:r w:rsidR="00960AAC">
        <w:rPr>
          <w:noProof/>
        </w:rPr>
        <w:t>37</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 xml:space="preserve">6.6 </w:t>
      </w:r>
      <w:r>
        <w:rPr>
          <w:rFonts w:asciiTheme="minorHAnsi" w:eastAsiaTheme="minorEastAsia" w:hAnsiTheme="minorHAnsi" w:cstheme="minorBidi"/>
          <w:noProof/>
          <w:lang w:eastAsia="en-NZ"/>
        </w:rPr>
        <w:tab/>
      </w:r>
      <w:r>
        <w:rPr>
          <w:noProof/>
        </w:rPr>
        <w:t>How should auctioned NZUs relate to other sources of unit supply in the NZ ETS, especially NZUs generated through forestry removals and/or international units? (Question 19)</w:t>
      </w:r>
      <w:r>
        <w:rPr>
          <w:noProof/>
        </w:rPr>
        <w:tab/>
      </w:r>
      <w:r>
        <w:rPr>
          <w:noProof/>
        </w:rPr>
        <w:fldChar w:fldCharType="begin"/>
      </w:r>
      <w:r>
        <w:rPr>
          <w:noProof/>
        </w:rPr>
        <w:instrText xml:space="preserve"> PAGEREF _Toc463270137 \h </w:instrText>
      </w:r>
      <w:r>
        <w:rPr>
          <w:noProof/>
        </w:rPr>
      </w:r>
      <w:r>
        <w:rPr>
          <w:noProof/>
        </w:rPr>
        <w:fldChar w:fldCharType="separate"/>
      </w:r>
      <w:r w:rsidR="00960AAC">
        <w:rPr>
          <w:noProof/>
        </w:rPr>
        <w:t>40</w:t>
      </w:r>
      <w:r>
        <w:rPr>
          <w:noProof/>
        </w:rPr>
        <w:fldChar w:fldCharType="end"/>
      </w:r>
    </w:p>
    <w:p w:rsidR="00832C07" w:rsidRDefault="00832C07">
      <w:pPr>
        <w:pStyle w:val="TOC1"/>
        <w:rPr>
          <w:rFonts w:asciiTheme="minorHAnsi" w:eastAsiaTheme="minorEastAsia" w:hAnsiTheme="minorHAnsi" w:cstheme="minorBidi"/>
          <w:noProof/>
          <w:sz w:val="22"/>
          <w:szCs w:val="22"/>
          <w:lang w:eastAsia="en-NZ"/>
        </w:rPr>
      </w:pPr>
      <w:r>
        <w:rPr>
          <w:noProof/>
        </w:rPr>
        <w:t xml:space="preserve">7. </w:t>
      </w:r>
      <w:r>
        <w:rPr>
          <w:rFonts w:asciiTheme="minorHAnsi" w:eastAsiaTheme="minorEastAsia" w:hAnsiTheme="minorHAnsi" w:cstheme="minorBidi"/>
          <w:noProof/>
          <w:sz w:val="22"/>
          <w:szCs w:val="22"/>
          <w:lang w:eastAsia="en-NZ"/>
        </w:rPr>
        <w:tab/>
      </w:r>
      <w:r>
        <w:rPr>
          <w:noProof/>
        </w:rPr>
        <w:t>Managing price stability</w:t>
      </w:r>
      <w:r>
        <w:rPr>
          <w:noProof/>
        </w:rPr>
        <w:tab/>
      </w:r>
      <w:r>
        <w:rPr>
          <w:noProof/>
        </w:rPr>
        <w:fldChar w:fldCharType="begin"/>
      </w:r>
      <w:r>
        <w:rPr>
          <w:noProof/>
        </w:rPr>
        <w:instrText xml:space="preserve"> PAGEREF _Toc463270138 \h </w:instrText>
      </w:r>
      <w:r>
        <w:rPr>
          <w:noProof/>
        </w:rPr>
      </w:r>
      <w:r>
        <w:rPr>
          <w:noProof/>
        </w:rPr>
        <w:fldChar w:fldCharType="separate"/>
      </w:r>
      <w:r w:rsidR="00960AAC">
        <w:rPr>
          <w:noProof/>
        </w:rPr>
        <w:t>42</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 xml:space="preserve">7.1 </w:t>
      </w:r>
      <w:r>
        <w:rPr>
          <w:rFonts w:asciiTheme="minorHAnsi" w:eastAsiaTheme="minorEastAsia" w:hAnsiTheme="minorHAnsi" w:cstheme="minorBidi"/>
          <w:noProof/>
          <w:lang w:eastAsia="en-NZ"/>
        </w:rPr>
        <w:tab/>
      </w:r>
      <w:r>
        <w:rPr>
          <w:noProof/>
        </w:rPr>
        <w:t>What impact has carbon price volatility in the NZ ETS had on your business? (Question 20)</w:t>
      </w:r>
      <w:r>
        <w:rPr>
          <w:noProof/>
        </w:rPr>
        <w:tab/>
      </w:r>
      <w:r>
        <w:rPr>
          <w:noProof/>
        </w:rPr>
        <w:fldChar w:fldCharType="begin"/>
      </w:r>
      <w:r>
        <w:rPr>
          <w:noProof/>
        </w:rPr>
        <w:instrText xml:space="preserve"> PAGEREF _Toc463270139 \h </w:instrText>
      </w:r>
      <w:r>
        <w:rPr>
          <w:noProof/>
        </w:rPr>
      </w:r>
      <w:r>
        <w:rPr>
          <w:noProof/>
        </w:rPr>
        <w:fldChar w:fldCharType="separate"/>
      </w:r>
      <w:r w:rsidR="00960AAC">
        <w:rPr>
          <w:noProof/>
        </w:rPr>
        <w:t>42</w:t>
      </w:r>
      <w:r>
        <w:rPr>
          <w:noProof/>
        </w:rPr>
        <w:fldChar w:fldCharType="end"/>
      </w:r>
    </w:p>
    <w:p w:rsidR="00832C07" w:rsidRDefault="00832C07">
      <w:pPr>
        <w:pStyle w:val="TOC2"/>
        <w:rPr>
          <w:rFonts w:asciiTheme="minorHAnsi" w:eastAsiaTheme="minorEastAsia" w:hAnsiTheme="minorHAnsi" w:cstheme="minorBidi"/>
          <w:noProof/>
          <w:lang w:eastAsia="en-NZ"/>
        </w:rPr>
      </w:pPr>
      <w:r>
        <w:rPr>
          <w:noProof/>
        </w:rPr>
        <w:t>a) minor b) moderate c) significant</w:t>
      </w:r>
      <w:r>
        <w:rPr>
          <w:noProof/>
        </w:rPr>
        <w:tab/>
      </w:r>
      <w:r>
        <w:rPr>
          <w:noProof/>
        </w:rPr>
        <w:fldChar w:fldCharType="begin"/>
      </w:r>
      <w:r>
        <w:rPr>
          <w:noProof/>
        </w:rPr>
        <w:instrText xml:space="preserve"> PAGEREF _Toc463270140 \h </w:instrText>
      </w:r>
      <w:r>
        <w:rPr>
          <w:noProof/>
        </w:rPr>
      </w:r>
      <w:r>
        <w:rPr>
          <w:noProof/>
        </w:rPr>
        <w:fldChar w:fldCharType="separate"/>
      </w:r>
      <w:r w:rsidR="00960AAC">
        <w:rPr>
          <w:noProof/>
        </w:rPr>
        <w:t>42</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 xml:space="preserve">7.2 </w:t>
      </w:r>
      <w:r>
        <w:rPr>
          <w:rFonts w:asciiTheme="minorHAnsi" w:eastAsiaTheme="minorEastAsia" w:hAnsiTheme="minorHAnsi" w:cstheme="minorBidi"/>
          <w:noProof/>
          <w:lang w:eastAsia="en-NZ"/>
        </w:rPr>
        <w:tab/>
      </w:r>
      <w:r>
        <w:rPr>
          <w:noProof/>
        </w:rPr>
        <w:t>Do you think measures should be in place to manage price stability? (Question 21)</w:t>
      </w:r>
      <w:r>
        <w:rPr>
          <w:noProof/>
        </w:rPr>
        <w:tab/>
      </w:r>
      <w:r>
        <w:rPr>
          <w:noProof/>
        </w:rPr>
        <w:fldChar w:fldCharType="begin"/>
      </w:r>
      <w:r>
        <w:rPr>
          <w:noProof/>
        </w:rPr>
        <w:instrText xml:space="preserve"> PAGEREF _Toc463270141 \h </w:instrText>
      </w:r>
      <w:r>
        <w:rPr>
          <w:noProof/>
        </w:rPr>
      </w:r>
      <w:r>
        <w:rPr>
          <w:noProof/>
        </w:rPr>
        <w:fldChar w:fldCharType="separate"/>
      </w:r>
      <w:r w:rsidR="00960AAC">
        <w:rPr>
          <w:noProof/>
        </w:rPr>
        <w:t>44</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7.3</w:t>
      </w:r>
      <w:r>
        <w:rPr>
          <w:rFonts w:asciiTheme="minorHAnsi" w:eastAsiaTheme="minorEastAsia" w:hAnsiTheme="minorHAnsi" w:cstheme="minorBidi"/>
          <w:noProof/>
          <w:lang w:eastAsia="en-NZ"/>
        </w:rPr>
        <w:tab/>
      </w:r>
      <w:r>
        <w:rPr>
          <w:noProof/>
        </w:rPr>
        <w:t>What do you consider are important factors for managing price stability? (Question 22)</w:t>
      </w:r>
      <w:r>
        <w:rPr>
          <w:noProof/>
        </w:rPr>
        <w:tab/>
      </w:r>
      <w:r>
        <w:rPr>
          <w:noProof/>
        </w:rPr>
        <w:fldChar w:fldCharType="begin"/>
      </w:r>
      <w:r>
        <w:rPr>
          <w:noProof/>
        </w:rPr>
        <w:instrText xml:space="preserve"> PAGEREF _Toc463270142 \h </w:instrText>
      </w:r>
      <w:r>
        <w:rPr>
          <w:noProof/>
        </w:rPr>
      </w:r>
      <w:r>
        <w:rPr>
          <w:noProof/>
        </w:rPr>
        <w:fldChar w:fldCharType="separate"/>
      </w:r>
      <w:r w:rsidR="00960AAC">
        <w:rPr>
          <w:noProof/>
        </w:rPr>
        <w:t>47</w:t>
      </w:r>
      <w:r>
        <w:rPr>
          <w:noProof/>
        </w:rPr>
        <w:fldChar w:fldCharType="end"/>
      </w:r>
    </w:p>
    <w:p w:rsidR="00832C07" w:rsidRDefault="00832C07">
      <w:pPr>
        <w:pStyle w:val="TOC2"/>
        <w:rPr>
          <w:rFonts w:asciiTheme="minorHAnsi" w:eastAsiaTheme="minorEastAsia" w:hAnsiTheme="minorHAnsi" w:cstheme="minorBidi"/>
          <w:noProof/>
          <w:lang w:eastAsia="en-NZ"/>
        </w:rPr>
      </w:pPr>
      <w:r>
        <w:rPr>
          <w:noProof/>
        </w:rPr>
        <w:t>a) upper price limits (eg, fixed price option, or a price ceiling implemented an auctioning mechanism) b) lower price limits (eg, price floor) c) other</w:t>
      </w:r>
      <w:r>
        <w:rPr>
          <w:noProof/>
        </w:rPr>
        <w:tab/>
      </w:r>
      <w:r>
        <w:rPr>
          <w:noProof/>
        </w:rPr>
        <w:fldChar w:fldCharType="begin"/>
      </w:r>
      <w:r>
        <w:rPr>
          <w:noProof/>
        </w:rPr>
        <w:instrText xml:space="preserve"> PAGEREF _Toc463270143 \h </w:instrText>
      </w:r>
      <w:r>
        <w:rPr>
          <w:noProof/>
        </w:rPr>
      </w:r>
      <w:r>
        <w:rPr>
          <w:noProof/>
        </w:rPr>
        <w:fldChar w:fldCharType="separate"/>
      </w:r>
      <w:r w:rsidR="00960AAC">
        <w:rPr>
          <w:noProof/>
        </w:rPr>
        <w:t>47</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7.4</w:t>
      </w:r>
      <w:r>
        <w:rPr>
          <w:rFonts w:asciiTheme="minorHAnsi" w:eastAsiaTheme="minorEastAsia" w:hAnsiTheme="minorHAnsi" w:cstheme="minorBidi"/>
          <w:noProof/>
          <w:lang w:eastAsia="en-NZ"/>
        </w:rPr>
        <w:tab/>
      </w:r>
      <w:r>
        <w:rPr>
          <w:noProof/>
        </w:rPr>
        <w:t>What should the Government consider when managing price stability? (Question 23)</w:t>
      </w:r>
      <w:r>
        <w:rPr>
          <w:noProof/>
        </w:rPr>
        <w:tab/>
      </w:r>
      <w:r>
        <w:rPr>
          <w:noProof/>
        </w:rPr>
        <w:fldChar w:fldCharType="begin"/>
      </w:r>
      <w:r>
        <w:rPr>
          <w:noProof/>
        </w:rPr>
        <w:instrText xml:space="preserve"> PAGEREF _Toc463270144 \h </w:instrText>
      </w:r>
      <w:r>
        <w:rPr>
          <w:noProof/>
        </w:rPr>
      </w:r>
      <w:r>
        <w:rPr>
          <w:noProof/>
        </w:rPr>
        <w:fldChar w:fldCharType="separate"/>
      </w:r>
      <w:r w:rsidR="00960AAC">
        <w:rPr>
          <w:noProof/>
        </w:rPr>
        <w:t>49</w:t>
      </w:r>
      <w:r>
        <w:rPr>
          <w:noProof/>
        </w:rPr>
        <w:fldChar w:fldCharType="end"/>
      </w:r>
    </w:p>
    <w:p w:rsidR="00832C07" w:rsidRDefault="00832C07">
      <w:pPr>
        <w:pStyle w:val="TOC1"/>
        <w:rPr>
          <w:rFonts w:asciiTheme="minorHAnsi" w:eastAsiaTheme="minorEastAsia" w:hAnsiTheme="minorHAnsi" w:cstheme="minorBidi"/>
          <w:noProof/>
          <w:sz w:val="22"/>
          <w:szCs w:val="22"/>
          <w:lang w:eastAsia="en-NZ"/>
        </w:rPr>
      </w:pPr>
      <w:r>
        <w:rPr>
          <w:noProof/>
        </w:rPr>
        <w:t xml:space="preserve">8. </w:t>
      </w:r>
      <w:r>
        <w:rPr>
          <w:rFonts w:asciiTheme="minorHAnsi" w:eastAsiaTheme="minorEastAsia" w:hAnsiTheme="minorHAnsi" w:cstheme="minorBidi"/>
          <w:noProof/>
          <w:sz w:val="22"/>
          <w:szCs w:val="22"/>
          <w:lang w:eastAsia="en-NZ"/>
        </w:rPr>
        <w:tab/>
      </w:r>
      <w:r>
        <w:rPr>
          <w:noProof/>
        </w:rPr>
        <w:t>Operational and technical matters</w:t>
      </w:r>
      <w:r>
        <w:rPr>
          <w:noProof/>
        </w:rPr>
        <w:tab/>
      </w:r>
      <w:r>
        <w:rPr>
          <w:noProof/>
        </w:rPr>
        <w:fldChar w:fldCharType="begin"/>
      </w:r>
      <w:r>
        <w:rPr>
          <w:noProof/>
        </w:rPr>
        <w:instrText xml:space="preserve"> PAGEREF _Toc463270145 \h </w:instrText>
      </w:r>
      <w:r>
        <w:rPr>
          <w:noProof/>
        </w:rPr>
      </w:r>
      <w:r>
        <w:rPr>
          <w:noProof/>
        </w:rPr>
        <w:fldChar w:fldCharType="separate"/>
      </w:r>
      <w:r w:rsidR="00960AAC">
        <w:rPr>
          <w:noProof/>
        </w:rPr>
        <w:t>52</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8.1</w:t>
      </w:r>
      <w:r>
        <w:rPr>
          <w:rFonts w:asciiTheme="minorHAnsi" w:eastAsiaTheme="minorEastAsia" w:hAnsiTheme="minorHAnsi" w:cstheme="minorBidi"/>
          <w:noProof/>
          <w:lang w:eastAsia="en-NZ"/>
        </w:rPr>
        <w:tab/>
      </w:r>
      <w:r>
        <w:rPr>
          <w:noProof/>
        </w:rPr>
        <w:t>Are you aware of ways the administrative efficiency of the NZ ETS could be improved? Can you provide further information to support your answer? (Questions 24 and 25)</w:t>
      </w:r>
      <w:r>
        <w:rPr>
          <w:noProof/>
        </w:rPr>
        <w:tab/>
      </w:r>
      <w:r>
        <w:rPr>
          <w:noProof/>
        </w:rPr>
        <w:fldChar w:fldCharType="begin"/>
      </w:r>
      <w:r>
        <w:rPr>
          <w:noProof/>
        </w:rPr>
        <w:instrText xml:space="preserve"> PAGEREF _Toc463270146 \h </w:instrText>
      </w:r>
      <w:r>
        <w:rPr>
          <w:noProof/>
        </w:rPr>
      </w:r>
      <w:r>
        <w:rPr>
          <w:noProof/>
        </w:rPr>
        <w:fldChar w:fldCharType="separate"/>
      </w:r>
      <w:r w:rsidR="00960AAC">
        <w:rPr>
          <w:noProof/>
        </w:rPr>
        <w:t>52</w:t>
      </w:r>
      <w:r>
        <w:rPr>
          <w:noProof/>
        </w:rPr>
        <w:fldChar w:fldCharType="end"/>
      </w:r>
    </w:p>
    <w:p w:rsidR="00832C07" w:rsidRDefault="00832C07">
      <w:pPr>
        <w:pStyle w:val="TOC1"/>
        <w:rPr>
          <w:rFonts w:asciiTheme="minorHAnsi" w:eastAsiaTheme="minorEastAsia" w:hAnsiTheme="minorHAnsi" w:cstheme="minorBidi"/>
          <w:noProof/>
          <w:sz w:val="22"/>
          <w:szCs w:val="22"/>
          <w:lang w:eastAsia="en-NZ"/>
        </w:rPr>
      </w:pPr>
      <w:r>
        <w:rPr>
          <w:noProof/>
        </w:rPr>
        <w:lastRenderedPageBreak/>
        <w:t xml:space="preserve">9. </w:t>
      </w:r>
      <w:r>
        <w:rPr>
          <w:rFonts w:asciiTheme="minorHAnsi" w:eastAsiaTheme="minorEastAsia" w:hAnsiTheme="minorHAnsi" w:cstheme="minorBidi"/>
          <w:noProof/>
          <w:sz w:val="22"/>
          <w:szCs w:val="22"/>
          <w:lang w:eastAsia="en-NZ"/>
        </w:rPr>
        <w:tab/>
      </w:r>
      <w:r>
        <w:rPr>
          <w:noProof/>
        </w:rPr>
        <w:t>Addressing barriers to the uptake of low emissions technologies</w:t>
      </w:r>
      <w:r>
        <w:rPr>
          <w:noProof/>
        </w:rPr>
        <w:tab/>
      </w:r>
      <w:r>
        <w:rPr>
          <w:noProof/>
        </w:rPr>
        <w:fldChar w:fldCharType="begin"/>
      </w:r>
      <w:r>
        <w:rPr>
          <w:noProof/>
        </w:rPr>
        <w:instrText xml:space="preserve"> PAGEREF _Toc463270147 \h </w:instrText>
      </w:r>
      <w:r>
        <w:rPr>
          <w:noProof/>
        </w:rPr>
      </w:r>
      <w:r>
        <w:rPr>
          <w:noProof/>
        </w:rPr>
        <w:fldChar w:fldCharType="separate"/>
      </w:r>
      <w:r w:rsidR="00960AAC">
        <w:rPr>
          <w:noProof/>
        </w:rPr>
        <w:t>55</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9.1</w:t>
      </w:r>
      <w:r>
        <w:rPr>
          <w:rFonts w:asciiTheme="minorHAnsi" w:eastAsiaTheme="minorEastAsia" w:hAnsiTheme="minorHAnsi" w:cstheme="minorBidi"/>
          <w:noProof/>
          <w:lang w:eastAsia="en-NZ"/>
        </w:rPr>
        <w:tab/>
      </w:r>
      <w:r>
        <w:rPr>
          <w:noProof/>
        </w:rPr>
        <w:t>Are there any barriers or market failures that will prevent the efficient uptake of opportunities and technologies for reducing emissions? (Question 26)</w:t>
      </w:r>
      <w:r>
        <w:rPr>
          <w:noProof/>
        </w:rPr>
        <w:tab/>
      </w:r>
      <w:r>
        <w:rPr>
          <w:noProof/>
        </w:rPr>
        <w:fldChar w:fldCharType="begin"/>
      </w:r>
      <w:r>
        <w:rPr>
          <w:noProof/>
        </w:rPr>
        <w:instrText xml:space="preserve"> PAGEREF _Toc463270148 \h </w:instrText>
      </w:r>
      <w:r>
        <w:rPr>
          <w:noProof/>
        </w:rPr>
      </w:r>
      <w:r>
        <w:rPr>
          <w:noProof/>
        </w:rPr>
        <w:fldChar w:fldCharType="separate"/>
      </w:r>
      <w:r w:rsidR="00960AAC">
        <w:rPr>
          <w:noProof/>
        </w:rPr>
        <w:t>55</w:t>
      </w:r>
      <w:r>
        <w:rPr>
          <w:noProof/>
        </w:rPr>
        <w:fldChar w:fldCharType="end"/>
      </w:r>
    </w:p>
    <w:p w:rsidR="00832C07" w:rsidRDefault="00832C07">
      <w:pPr>
        <w:pStyle w:val="TOC2"/>
        <w:tabs>
          <w:tab w:val="left" w:pos="1134"/>
        </w:tabs>
        <w:rPr>
          <w:rFonts w:asciiTheme="minorHAnsi" w:eastAsiaTheme="minorEastAsia" w:hAnsiTheme="minorHAnsi" w:cstheme="minorBidi"/>
          <w:noProof/>
          <w:lang w:eastAsia="en-NZ"/>
        </w:rPr>
      </w:pPr>
      <w:r>
        <w:rPr>
          <w:noProof/>
        </w:rPr>
        <w:t>9.2</w:t>
      </w:r>
      <w:r>
        <w:rPr>
          <w:rFonts w:asciiTheme="minorHAnsi" w:eastAsiaTheme="minorEastAsia" w:hAnsiTheme="minorHAnsi" w:cstheme="minorBidi"/>
          <w:noProof/>
          <w:lang w:eastAsia="en-NZ"/>
        </w:rPr>
        <w:tab/>
      </w:r>
      <w:r>
        <w:rPr>
          <w:noProof/>
        </w:rPr>
        <w:t>If so, is there a role for the Government in addressing these barriers of market failures and how should it do this? (Question 27)</w:t>
      </w:r>
      <w:r>
        <w:rPr>
          <w:noProof/>
        </w:rPr>
        <w:tab/>
      </w:r>
      <w:r>
        <w:rPr>
          <w:noProof/>
        </w:rPr>
        <w:fldChar w:fldCharType="begin"/>
      </w:r>
      <w:r>
        <w:rPr>
          <w:noProof/>
        </w:rPr>
        <w:instrText xml:space="preserve"> PAGEREF _Toc463270149 \h </w:instrText>
      </w:r>
      <w:r>
        <w:rPr>
          <w:noProof/>
        </w:rPr>
      </w:r>
      <w:r>
        <w:rPr>
          <w:noProof/>
        </w:rPr>
        <w:fldChar w:fldCharType="separate"/>
      </w:r>
      <w:r w:rsidR="00960AAC">
        <w:rPr>
          <w:noProof/>
        </w:rPr>
        <w:t>57</w:t>
      </w:r>
      <w:r>
        <w:rPr>
          <w:noProof/>
        </w:rPr>
        <w:fldChar w:fldCharType="end"/>
      </w:r>
    </w:p>
    <w:p w:rsidR="00832C07" w:rsidRDefault="00832C07">
      <w:pPr>
        <w:pStyle w:val="TOC1"/>
        <w:rPr>
          <w:rFonts w:asciiTheme="minorHAnsi" w:eastAsiaTheme="minorEastAsia" w:hAnsiTheme="minorHAnsi" w:cstheme="minorBidi"/>
          <w:noProof/>
          <w:sz w:val="22"/>
          <w:szCs w:val="22"/>
          <w:lang w:eastAsia="en-NZ"/>
        </w:rPr>
      </w:pPr>
      <w:r>
        <w:rPr>
          <w:noProof/>
        </w:rPr>
        <w:t>Appendix 1: Consultation meetings</w:t>
      </w:r>
      <w:r>
        <w:rPr>
          <w:noProof/>
        </w:rPr>
        <w:tab/>
      </w:r>
      <w:r>
        <w:rPr>
          <w:noProof/>
        </w:rPr>
        <w:fldChar w:fldCharType="begin"/>
      </w:r>
      <w:r>
        <w:rPr>
          <w:noProof/>
        </w:rPr>
        <w:instrText xml:space="preserve"> PAGEREF _Toc463270150 \h </w:instrText>
      </w:r>
      <w:r>
        <w:rPr>
          <w:noProof/>
        </w:rPr>
      </w:r>
      <w:r>
        <w:rPr>
          <w:noProof/>
        </w:rPr>
        <w:fldChar w:fldCharType="separate"/>
      </w:r>
      <w:r w:rsidR="00960AAC">
        <w:rPr>
          <w:noProof/>
        </w:rPr>
        <w:t>60</w:t>
      </w:r>
      <w:r>
        <w:rPr>
          <w:noProof/>
        </w:rPr>
        <w:fldChar w:fldCharType="end"/>
      </w:r>
    </w:p>
    <w:p w:rsidR="00832C07" w:rsidRDefault="00832C07">
      <w:pPr>
        <w:pStyle w:val="TOC1"/>
        <w:rPr>
          <w:rFonts w:asciiTheme="minorHAnsi" w:eastAsiaTheme="minorEastAsia" w:hAnsiTheme="minorHAnsi" w:cstheme="minorBidi"/>
          <w:noProof/>
          <w:sz w:val="22"/>
          <w:szCs w:val="22"/>
          <w:lang w:eastAsia="en-NZ"/>
        </w:rPr>
      </w:pPr>
      <w:r>
        <w:rPr>
          <w:noProof/>
        </w:rPr>
        <w:t>Appendix 2: List of submitters</w:t>
      </w:r>
      <w:r>
        <w:rPr>
          <w:noProof/>
        </w:rPr>
        <w:tab/>
      </w:r>
      <w:r>
        <w:rPr>
          <w:noProof/>
        </w:rPr>
        <w:fldChar w:fldCharType="begin"/>
      </w:r>
      <w:r>
        <w:rPr>
          <w:noProof/>
        </w:rPr>
        <w:instrText xml:space="preserve"> PAGEREF _Toc463270151 \h </w:instrText>
      </w:r>
      <w:r>
        <w:rPr>
          <w:noProof/>
        </w:rPr>
      </w:r>
      <w:r>
        <w:rPr>
          <w:noProof/>
        </w:rPr>
        <w:fldChar w:fldCharType="separate"/>
      </w:r>
      <w:r w:rsidR="00960AAC">
        <w:rPr>
          <w:noProof/>
        </w:rPr>
        <w:t>61</w:t>
      </w:r>
      <w:r>
        <w:rPr>
          <w:noProof/>
        </w:rPr>
        <w:fldChar w:fldCharType="end"/>
      </w:r>
    </w:p>
    <w:p w:rsidR="00832C07" w:rsidRDefault="00832C07">
      <w:pPr>
        <w:pStyle w:val="TOC1"/>
        <w:rPr>
          <w:rFonts w:asciiTheme="minorHAnsi" w:eastAsiaTheme="minorEastAsia" w:hAnsiTheme="minorHAnsi" w:cstheme="minorBidi"/>
          <w:noProof/>
          <w:sz w:val="22"/>
          <w:szCs w:val="22"/>
          <w:lang w:eastAsia="en-NZ"/>
        </w:rPr>
      </w:pPr>
      <w:r>
        <w:rPr>
          <w:noProof/>
        </w:rPr>
        <w:t>References</w:t>
      </w:r>
      <w:r>
        <w:rPr>
          <w:noProof/>
        </w:rPr>
        <w:tab/>
      </w:r>
      <w:r>
        <w:rPr>
          <w:noProof/>
        </w:rPr>
        <w:fldChar w:fldCharType="begin"/>
      </w:r>
      <w:r>
        <w:rPr>
          <w:noProof/>
        </w:rPr>
        <w:instrText xml:space="preserve"> PAGEREF _Toc463270152 \h </w:instrText>
      </w:r>
      <w:r>
        <w:rPr>
          <w:noProof/>
        </w:rPr>
      </w:r>
      <w:r>
        <w:rPr>
          <w:noProof/>
        </w:rPr>
        <w:fldChar w:fldCharType="separate"/>
      </w:r>
      <w:r w:rsidR="00960AAC">
        <w:rPr>
          <w:noProof/>
        </w:rPr>
        <w:t>66</w:t>
      </w:r>
      <w:r>
        <w:rPr>
          <w:noProof/>
        </w:rPr>
        <w:fldChar w:fldCharType="end"/>
      </w:r>
    </w:p>
    <w:p w:rsidR="00E30E95" w:rsidRPr="00C76622" w:rsidRDefault="00B92A85">
      <w:r w:rsidRPr="00813A5E">
        <w:rPr>
          <w:sz w:val="16"/>
        </w:rPr>
        <w:fldChar w:fldCharType="end"/>
      </w:r>
    </w:p>
    <w:p w:rsidR="00492FFB" w:rsidRDefault="00492FFB" w:rsidP="00813A5E">
      <w:pPr>
        <w:pStyle w:val="Heading"/>
        <w:ind w:left="0" w:firstLine="0"/>
      </w:pPr>
      <w:r>
        <w:t>Tables</w:t>
      </w:r>
    </w:p>
    <w:p w:rsidR="00832C07" w:rsidRDefault="00492FFB">
      <w:pPr>
        <w:pStyle w:val="TableofFigures"/>
        <w:tabs>
          <w:tab w:val="right" w:pos="8494"/>
        </w:tabs>
        <w:rPr>
          <w:rFonts w:asciiTheme="minorHAnsi" w:eastAsiaTheme="minorEastAsia" w:hAnsiTheme="minorHAnsi" w:cstheme="minorBidi"/>
          <w:noProof/>
          <w:sz w:val="22"/>
          <w:szCs w:val="22"/>
          <w:lang w:eastAsia="en-NZ"/>
        </w:rPr>
      </w:pPr>
      <w:r w:rsidRPr="000558B7">
        <w:rPr>
          <w:sz w:val="22"/>
          <w:szCs w:val="22"/>
        </w:rPr>
        <w:fldChar w:fldCharType="begin"/>
      </w:r>
      <w:r w:rsidRPr="000558B7">
        <w:rPr>
          <w:sz w:val="22"/>
          <w:szCs w:val="22"/>
        </w:rPr>
        <w:instrText xml:space="preserve"> TOC \t "Table heading" \c </w:instrText>
      </w:r>
      <w:r w:rsidRPr="000558B7">
        <w:rPr>
          <w:sz w:val="22"/>
          <w:szCs w:val="22"/>
        </w:rPr>
        <w:fldChar w:fldCharType="separate"/>
      </w:r>
      <w:r w:rsidR="00832C07">
        <w:rPr>
          <w:noProof/>
        </w:rPr>
        <w:t xml:space="preserve">Table 1: </w:t>
      </w:r>
      <w:r w:rsidR="00832C07">
        <w:rPr>
          <w:rFonts w:asciiTheme="minorHAnsi" w:eastAsiaTheme="minorEastAsia" w:hAnsiTheme="minorHAnsi" w:cstheme="minorBidi"/>
          <w:noProof/>
          <w:sz w:val="22"/>
          <w:szCs w:val="22"/>
          <w:lang w:eastAsia="en-NZ"/>
        </w:rPr>
        <w:tab/>
      </w:r>
      <w:r w:rsidR="00832C07">
        <w:rPr>
          <w:noProof/>
        </w:rPr>
        <w:t>The main sector interest of submitters across the NZ ETS review</w:t>
      </w:r>
      <w:r w:rsidR="00832C07">
        <w:rPr>
          <w:noProof/>
        </w:rPr>
        <w:tab/>
      </w:r>
      <w:r w:rsidR="00832C07">
        <w:rPr>
          <w:noProof/>
        </w:rPr>
        <w:fldChar w:fldCharType="begin"/>
      </w:r>
      <w:r w:rsidR="00832C07">
        <w:rPr>
          <w:noProof/>
        </w:rPr>
        <w:instrText xml:space="preserve"> PAGEREF _Toc463270165 \h </w:instrText>
      </w:r>
      <w:r w:rsidR="00832C07">
        <w:rPr>
          <w:noProof/>
        </w:rPr>
      </w:r>
      <w:r w:rsidR="00832C07">
        <w:rPr>
          <w:noProof/>
        </w:rPr>
        <w:fldChar w:fldCharType="separate"/>
      </w:r>
      <w:r w:rsidR="00960AAC">
        <w:rPr>
          <w:noProof/>
        </w:rPr>
        <w:t>14</w:t>
      </w:r>
      <w:r w:rsidR="00832C07">
        <w:rPr>
          <w:noProof/>
        </w:rPr>
        <w:fldChar w:fldCharType="end"/>
      </w:r>
    </w:p>
    <w:p w:rsidR="00832C07" w:rsidRDefault="00832C07">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2: </w:t>
      </w:r>
      <w:r>
        <w:rPr>
          <w:rFonts w:asciiTheme="minorHAnsi" w:eastAsiaTheme="minorEastAsia" w:hAnsiTheme="minorHAnsi" w:cstheme="minorBidi"/>
          <w:noProof/>
          <w:sz w:val="22"/>
          <w:szCs w:val="22"/>
          <w:lang w:eastAsia="en-NZ"/>
        </w:rPr>
        <w:tab/>
      </w:r>
      <w:r>
        <w:rPr>
          <w:noProof/>
        </w:rPr>
        <w:t xml:space="preserve">Submitter positions – </w:t>
      </w:r>
      <w:r w:rsidRPr="001444A2">
        <w:rPr>
          <w:i/>
          <w:noProof/>
        </w:rPr>
        <w:t>Do you agree with the drivers for the review?</w:t>
      </w:r>
      <w:r>
        <w:rPr>
          <w:noProof/>
        </w:rPr>
        <w:tab/>
      </w:r>
      <w:r>
        <w:rPr>
          <w:noProof/>
        </w:rPr>
        <w:fldChar w:fldCharType="begin"/>
      </w:r>
      <w:r>
        <w:rPr>
          <w:noProof/>
        </w:rPr>
        <w:instrText xml:space="preserve"> PAGEREF _Toc463270166 \h </w:instrText>
      </w:r>
      <w:r>
        <w:rPr>
          <w:noProof/>
        </w:rPr>
      </w:r>
      <w:r>
        <w:rPr>
          <w:noProof/>
        </w:rPr>
        <w:fldChar w:fldCharType="separate"/>
      </w:r>
      <w:r w:rsidR="00960AAC">
        <w:rPr>
          <w:noProof/>
        </w:rPr>
        <w:t>15</w:t>
      </w:r>
      <w:r>
        <w:rPr>
          <w:noProof/>
        </w:rPr>
        <w:fldChar w:fldCharType="end"/>
      </w:r>
    </w:p>
    <w:p w:rsidR="00832C07" w:rsidRDefault="00832C07">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3: </w:t>
      </w:r>
      <w:r>
        <w:rPr>
          <w:rFonts w:asciiTheme="minorHAnsi" w:eastAsiaTheme="minorEastAsia" w:hAnsiTheme="minorHAnsi" w:cstheme="minorBidi"/>
          <w:noProof/>
          <w:sz w:val="22"/>
          <w:szCs w:val="22"/>
          <w:lang w:eastAsia="en-NZ"/>
        </w:rPr>
        <w:tab/>
      </w:r>
      <w:r>
        <w:rPr>
          <w:noProof/>
        </w:rPr>
        <w:t xml:space="preserve">Submitter positions – </w:t>
      </w:r>
      <w:r w:rsidRPr="001444A2">
        <w:rPr>
          <w:i/>
          <w:noProof/>
        </w:rPr>
        <w:t>Do you consider the future cost of emissions in your business planning?</w:t>
      </w:r>
      <w:r>
        <w:rPr>
          <w:noProof/>
        </w:rPr>
        <w:tab/>
      </w:r>
      <w:r>
        <w:rPr>
          <w:noProof/>
        </w:rPr>
        <w:fldChar w:fldCharType="begin"/>
      </w:r>
      <w:r>
        <w:rPr>
          <w:noProof/>
        </w:rPr>
        <w:instrText xml:space="preserve"> PAGEREF _Toc463270167 \h </w:instrText>
      </w:r>
      <w:r>
        <w:rPr>
          <w:noProof/>
        </w:rPr>
      </w:r>
      <w:r>
        <w:rPr>
          <w:noProof/>
        </w:rPr>
        <w:fldChar w:fldCharType="separate"/>
      </w:r>
      <w:r w:rsidR="00960AAC">
        <w:rPr>
          <w:noProof/>
        </w:rPr>
        <w:t>20</w:t>
      </w:r>
      <w:r>
        <w:rPr>
          <w:noProof/>
        </w:rPr>
        <w:fldChar w:fldCharType="end"/>
      </w:r>
    </w:p>
    <w:p w:rsidR="00832C07" w:rsidRDefault="00832C07">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4: </w:t>
      </w:r>
      <w:r>
        <w:rPr>
          <w:rFonts w:asciiTheme="minorHAnsi" w:eastAsiaTheme="minorEastAsia" w:hAnsiTheme="minorHAnsi" w:cstheme="minorBidi"/>
          <w:noProof/>
          <w:sz w:val="22"/>
          <w:szCs w:val="22"/>
          <w:lang w:eastAsia="en-NZ"/>
        </w:rPr>
        <w:tab/>
      </w:r>
      <w:r>
        <w:rPr>
          <w:noProof/>
        </w:rPr>
        <w:t xml:space="preserve">Submitter positions – </w:t>
      </w:r>
      <w:r w:rsidRPr="001444A2">
        <w:rPr>
          <w:i/>
          <w:noProof/>
        </w:rPr>
        <w:t>If international units are eligible for NZ ETS compliance in the 2020s, should any of the following restrictions be placed on their use?</w:t>
      </w:r>
      <w:r>
        <w:rPr>
          <w:noProof/>
        </w:rPr>
        <w:tab/>
      </w:r>
      <w:r>
        <w:rPr>
          <w:noProof/>
        </w:rPr>
        <w:fldChar w:fldCharType="begin"/>
      </w:r>
      <w:r>
        <w:rPr>
          <w:noProof/>
        </w:rPr>
        <w:instrText xml:space="preserve"> PAGEREF _Toc463270168 \h </w:instrText>
      </w:r>
      <w:r>
        <w:rPr>
          <w:noProof/>
        </w:rPr>
      </w:r>
      <w:r>
        <w:rPr>
          <w:noProof/>
        </w:rPr>
        <w:fldChar w:fldCharType="separate"/>
      </w:r>
      <w:r w:rsidR="00960AAC">
        <w:rPr>
          <w:noProof/>
        </w:rPr>
        <w:t>33</w:t>
      </w:r>
      <w:r>
        <w:rPr>
          <w:noProof/>
        </w:rPr>
        <w:fldChar w:fldCharType="end"/>
      </w:r>
    </w:p>
    <w:p w:rsidR="00832C07" w:rsidRDefault="00832C07">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5: </w:t>
      </w:r>
      <w:r>
        <w:rPr>
          <w:rFonts w:asciiTheme="minorHAnsi" w:eastAsiaTheme="minorEastAsia" w:hAnsiTheme="minorHAnsi" w:cstheme="minorBidi"/>
          <w:noProof/>
          <w:sz w:val="22"/>
          <w:szCs w:val="22"/>
          <w:lang w:eastAsia="en-NZ"/>
        </w:rPr>
        <w:tab/>
      </w:r>
      <w:r>
        <w:rPr>
          <w:noProof/>
        </w:rPr>
        <w:t xml:space="preserve">Submitter positions – </w:t>
      </w:r>
      <w:r w:rsidRPr="001444A2">
        <w:rPr>
          <w:i/>
          <w:noProof/>
        </w:rPr>
        <w:t>Should auctioning be introduced in the NZ ETS?</w:t>
      </w:r>
      <w:r>
        <w:rPr>
          <w:noProof/>
        </w:rPr>
        <w:tab/>
      </w:r>
      <w:r>
        <w:rPr>
          <w:noProof/>
        </w:rPr>
        <w:fldChar w:fldCharType="begin"/>
      </w:r>
      <w:r>
        <w:rPr>
          <w:noProof/>
        </w:rPr>
        <w:instrText xml:space="preserve"> PAGEREF _Toc463270169 \h </w:instrText>
      </w:r>
      <w:r>
        <w:rPr>
          <w:noProof/>
        </w:rPr>
      </w:r>
      <w:r>
        <w:rPr>
          <w:noProof/>
        </w:rPr>
        <w:fldChar w:fldCharType="separate"/>
      </w:r>
      <w:r w:rsidR="00960AAC">
        <w:rPr>
          <w:noProof/>
        </w:rPr>
        <w:t>36</w:t>
      </w:r>
      <w:r>
        <w:rPr>
          <w:noProof/>
        </w:rPr>
        <w:fldChar w:fldCharType="end"/>
      </w:r>
    </w:p>
    <w:p w:rsidR="00832C07" w:rsidRDefault="00832C07">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6: </w:t>
      </w:r>
      <w:r>
        <w:rPr>
          <w:rFonts w:asciiTheme="minorHAnsi" w:eastAsiaTheme="minorEastAsia" w:hAnsiTheme="minorHAnsi" w:cstheme="minorBidi"/>
          <w:noProof/>
          <w:sz w:val="22"/>
          <w:szCs w:val="22"/>
          <w:lang w:eastAsia="en-NZ"/>
        </w:rPr>
        <w:tab/>
      </w:r>
      <w:r>
        <w:rPr>
          <w:noProof/>
        </w:rPr>
        <w:t xml:space="preserve">Submitter positions – </w:t>
      </w:r>
      <w:r w:rsidRPr="001444A2">
        <w:rPr>
          <w:i/>
          <w:noProof/>
        </w:rPr>
        <w:t>What should be the role or purpose of an auctioning function in the NZ ETS, if one were introduced?</w:t>
      </w:r>
      <w:r>
        <w:rPr>
          <w:noProof/>
        </w:rPr>
        <w:tab/>
      </w:r>
      <w:r>
        <w:rPr>
          <w:noProof/>
        </w:rPr>
        <w:fldChar w:fldCharType="begin"/>
      </w:r>
      <w:r>
        <w:rPr>
          <w:noProof/>
        </w:rPr>
        <w:instrText xml:space="preserve"> PAGEREF _Toc463270170 \h </w:instrText>
      </w:r>
      <w:r>
        <w:rPr>
          <w:noProof/>
        </w:rPr>
      </w:r>
      <w:r>
        <w:rPr>
          <w:noProof/>
        </w:rPr>
        <w:fldChar w:fldCharType="separate"/>
      </w:r>
      <w:r w:rsidR="00960AAC">
        <w:rPr>
          <w:noProof/>
        </w:rPr>
        <w:t>39</w:t>
      </w:r>
      <w:r>
        <w:rPr>
          <w:noProof/>
        </w:rPr>
        <w:fldChar w:fldCharType="end"/>
      </w:r>
    </w:p>
    <w:p w:rsidR="00832C07" w:rsidRDefault="00832C07">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7: </w:t>
      </w:r>
      <w:r>
        <w:rPr>
          <w:rFonts w:asciiTheme="minorHAnsi" w:eastAsiaTheme="minorEastAsia" w:hAnsiTheme="minorHAnsi" w:cstheme="minorBidi"/>
          <w:noProof/>
          <w:sz w:val="22"/>
          <w:szCs w:val="22"/>
          <w:lang w:eastAsia="en-NZ"/>
        </w:rPr>
        <w:tab/>
      </w:r>
      <w:r>
        <w:rPr>
          <w:noProof/>
        </w:rPr>
        <w:t xml:space="preserve">Submitter positions – </w:t>
      </w:r>
      <w:r w:rsidRPr="001444A2">
        <w:rPr>
          <w:i/>
          <w:noProof/>
        </w:rPr>
        <w:t>What impact has carbon price volatility in the NZ ETS had on your business?</w:t>
      </w:r>
      <w:r>
        <w:rPr>
          <w:noProof/>
        </w:rPr>
        <w:tab/>
      </w:r>
      <w:r>
        <w:rPr>
          <w:noProof/>
        </w:rPr>
        <w:fldChar w:fldCharType="begin"/>
      </w:r>
      <w:r>
        <w:rPr>
          <w:noProof/>
        </w:rPr>
        <w:instrText xml:space="preserve"> PAGEREF _Toc463270171 \h </w:instrText>
      </w:r>
      <w:r>
        <w:rPr>
          <w:noProof/>
        </w:rPr>
      </w:r>
      <w:r>
        <w:rPr>
          <w:noProof/>
        </w:rPr>
        <w:fldChar w:fldCharType="separate"/>
      </w:r>
      <w:r w:rsidR="00960AAC">
        <w:rPr>
          <w:noProof/>
        </w:rPr>
        <w:t>43</w:t>
      </w:r>
      <w:r>
        <w:rPr>
          <w:noProof/>
        </w:rPr>
        <w:fldChar w:fldCharType="end"/>
      </w:r>
    </w:p>
    <w:p w:rsidR="00832C07" w:rsidRDefault="00832C07">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8: </w:t>
      </w:r>
      <w:r>
        <w:rPr>
          <w:rFonts w:asciiTheme="minorHAnsi" w:eastAsiaTheme="minorEastAsia" w:hAnsiTheme="minorHAnsi" w:cstheme="minorBidi"/>
          <w:noProof/>
          <w:sz w:val="22"/>
          <w:szCs w:val="22"/>
          <w:lang w:eastAsia="en-NZ"/>
        </w:rPr>
        <w:tab/>
      </w:r>
      <w:r>
        <w:rPr>
          <w:noProof/>
        </w:rPr>
        <w:t xml:space="preserve">Submitter positions – </w:t>
      </w:r>
      <w:r w:rsidRPr="001444A2">
        <w:rPr>
          <w:i/>
          <w:noProof/>
        </w:rPr>
        <w:t>Do you think measures should be in place to manage price stability?</w:t>
      </w:r>
      <w:r>
        <w:rPr>
          <w:noProof/>
        </w:rPr>
        <w:tab/>
      </w:r>
      <w:r>
        <w:rPr>
          <w:noProof/>
        </w:rPr>
        <w:fldChar w:fldCharType="begin"/>
      </w:r>
      <w:r>
        <w:rPr>
          <w:noProof/>
        </w:rPr>
        <w:instrText xml:space="preserve"> PAGEREF _Toc463270172 \h </w:instrText>
      </w:r>
      <w:r>
        <w:rPr>
          <w:noProof/>
        </w:rPr>
      </w:r>
      <w:r>
        <w:rPr>
          <w:noProof/>
        </w:rPr>
        <w:fldChar w:fldCharType="separate"/>
      </w:r>
      <w:r w:rsidR="00960AAC">
        <w:rPr>
          <w:noProof/>
        </w:rPr>
        <w:t>46</w:t>
      </w:r>
      <w:r>
        <w:rPr>
          <w:noProof/>
        </w:rPr>
        <w:fldChar w:fldCharType="end"/>
      </w:r>
    </w:p>
    <w:p w:rsidR="00832C07" w:rsidRDefault="00832C07">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9: </w:t>
      </w:r>
      <w:r>
        <w:rPr>
          <w:rFonts w:asciiTheme="minorHAnsi" w:eastAsiaTheme="minorEastAsia" w:hAnsiTheme="minorHAnsi" w:cstheme="minorBidi"/>
          <w:noProof/>
          <w:sz w:val="22"/>
          <w:szCs w:val="22"/>
          <w:lang w:eastAsia="en-NZ"/>
        </w:rPr>
        <w:tab/>
      </w:r>
      <w:r>
        <w:rPr>
          <w:noProof/>
        </w:rPr>
        <w:t xml:space="preserve">Submitter positions – </w:t>
      </w:r>
      <w:r w:rsidRPr="001444A2">
        <w:rPr>
          <w:i/>
          <w:noProof/>
        </w:rPr>
        <w:t>What do you consider are important factors for managing price stability?</w:t>
      </w:r>
      <w:r>
        <w:rPr>
          <w:noProof/>
        </w:rPr>
        <w:tab/>
      </w:r>
      <w:r>
        <w:rPr>
          <w:noProof/>
        </w:rPr>
        <w:fldChar w:fldCharType="begin"/>
      </w:r>
      <w:r>
        <w:rPr>
          <w:noProof/>
        </w:rPr>
        <w:instrText xml:space="preserve"> PAGEREF _Toc463270173 \h </w:instrText>
      </w:r>
      <w:r>
        <w:rPr>
          <w:noProof/>
        </w:rPr>
      </w:r>
      <w:r>
        <w:rPr>
          <w:noProof/>
        </w:rPr>
        <w:fldChar w:fldCharType="separate"/>
      </w:r>
      <w:r w:rsidR="00960AAC">
        <w:rPr>
          <w:noProof/>
        </w:rPr>
        <w:t>48</w:t>
      </w:r>
      <w:r>
        <w:rPr>
          <w:noProof/>
        </w:rPr>
        <w:fldChar w:fldCharType="end"/>
      </w:r>
    </w:p>
    <w:p w:rsidR="00832C07" w:rsidRDefault="00832C07">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10: </w:t>
      </w:r>
      <w:r>
        <w:rPr>
          <w:rFonts w:asciiTheme="minorHAnsi" w:eastAsiaTheme="minorEastAsia" w:hAnsiTheme="minorHAnsi" w:cstheme="minorBidi"/>
          <w:noProof/>
          <w:sz w:val="22"/>
          <w:szCs w:val="22"/>
          <w:lang w:eastAsia="en-NZ"/>
        </w:rPr>
        <w:tab/>
      </w:r>
      <w:r>
        <w:rPr>
          <w:noProof/>
        </w:rPr>
        <w:t xml:space="preserve">Submitter positions – </w:t>
      </w:r>
      <w:r w:rsidRPr="001444A2">
        <w:rPr>
          <w:i/>
          <w:noProof/>
        </w:rPr>
        <w:t>Are you aware of ways the administrative efficiency of the NZ ETS could be improved?</w:t>
      </w:r>
      <w:r>
        <w:rPr>
          <w:noProof/>
        </w:rPr>
        <w:tab/>
      </w:r>
      <w:r>
        <w:rPr>
          <w:noProof/>
        </w:rPr>
        <w:fldChar w:fldCharType="begin"/>
      </w:r>
      <w:r>
        <w:rPr>
          <w:noProof/>
        </w:rPr>
        <w:instrText xml:space="preserve"> PAGEREF _Toc463270174 \h </w:instrText>
      </w:r>
      <w:r>
        <w:rPr>
          <w:noProof/>
        </w:rPr>
      </w:r>
      <w:r>
        <w:rPr>
          <w:noProof/>
        </w:rPr>
        <w:fldChar w:fldCharType="separate"/>
      </w:r>
      <w:r w:rsidR="00960AAC">
        <w:rPr>
          <w:noProof/>
        </w:rPr>
        <w:t>53</w:t>
      </w:r>
      <w:r>
        <w:rPr>
          <w:noProof/>
        </w:rPr>
        <w:fldChar w:fldCharType="end"/>
      </w:r>
    </w:p>
    <w:p w:rsidR="00832C07" w:rsidRDefault="00832C07">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11: </w:t>
      </w:r>
      <w:r>
        <w:rPr>
          <w:rFonts w:asciiTheme="minorHAnsi" w:eastAsiaTheme="minorEastAsia" w:hAnsiTheme="minorHAnsi" w:cstheme="minorBidi"/>
          <w:noProof/>
          <w:sz w:val="22"/>
          <w:szCs w:val="22"/>
          <w:lang w:eastAsia="en-NZ"/>
        </w:rPr>
        <w:tab/>
      </w:r>
      <w:r>
        <w:rPr>
          <w:noProof/>
        </w:rPr>
        <w:t xml:space="preserve">Submitter positions – </w:t>
      </w:r>
      <w:r w:rsidRPr="001444A2">
        <w:rPr>
          <w:i/>
          <w:noProof/>
        </w:rPr>
        <w:t>Are there any barriers or market failures that will prevent the efficient uptake of opportunities and technologies for reducing emissions?</w:t>
      </w:r>
      <w:r>
        <w:rPr>
          <w:noProof/>
        </w:rPr>
        <w:tab/>
      </w:r>
      <w:r>
        <w:rPr>
          <w:noProof/>
        </w:rPr>
        <w:fldChar w:fldCharType="begin"/>
      </w:r>
      <w:r>
        <w:rPr>
          <w:noProof/>
        </w:rPr>
        <w:instrText xml:space="preserve"> PAGEREF _Toc463270175 \h </w:instrText>
      </w:r>
      <w:r>
        <w:rPr>
          <w:noProof/>
        </w:rPr>
      </w:r>
      <w:r>
        <w:rPr>
          <w:noProof/>
        </w:rPr>
        <w:fldChar w:fldCharType="separate"/>
      </w:r>
      <w:r w:rsidR="00960AAC">
        <w:rPr>
          <w:noProof/>
        </w:rPr>
        <w:t>56</w:t>
      </w:r>
      <w:r>
        <w:rPr>
          <w:noProof/>
        </w:rPr>
        <w:fldChar w:fldCharType="end"/>
      </w:r>
    </w:p>
    <w:p w:rsidR="00492FFB" w:rsidRDefault="00492FFB" w:rsidP="00492FFB">
      <w:r w:rsidRPr="000558B7">
        <w:fldChar w:fldCharType="end"/>
      </w:r>
    </w:p>
    <w:p w:rsidR="00492FFB" w:rsidRDefault="00492FFB" w:rsidP="00492FFB"/>
    <w:p w:rsidR="00492FFB" w:rsidRDefault="00492FFB" w:rsidP="00492FFB">
      <w:pPr>
        <w:pStyle w:val="Heading"/>
      </w:pPr>
      <w:r>
        <w:lastRenderedPageBreak/>
        <w:t>Figures</w:t>
      </w:r>
    </w:p>
    <w:p w:rsidR="005D3D02" w:rsidRDefault="00492FFB">
      <w:pPr>
        <w:pStyle w:val="TableofFigures"/>
        <w:tabs>
          <w:tab w:val="right" w:pos="8494"/>
        </w:tabs>
        <w:rPr>
          <w:rFonts w:asciiTheme="minorHAnsi" w:eastAsiaTheme="minorEastAsia" w:hAnsiTheme="minorHAnsi" w:cstheme="minorBidi"/>
          <w:noProof/>
          <w:sz w:val="22"/>
          <w:szCs w:val="22"/>
          <w:lang w:eastAsia="en-NZ"/>
        </w:rPr>
      </w:pPr>
      <w:r w:rsidRPr="000558B7">
        <w:rPr>
          <w:sz w:val="22"/>
          <w:szCs w:val="22"/>
        </w:rPr>
        <w:fldChar w:fldCharType="begin"/>
      </w:r>
      <w:r w:rsidRPr="000558B7">
        <w:rPr>
          <w:sz w:val="22"/>
          <w:szCs w:val="22"/>
        </w:rPr>
        <w:instrText xml:space="preserve"> TOC \t "Figure heading" \c </w:instrText>
      </w:r>
      <w:r w:rsidRPr="000558B7">
        <w:rPr>
          <w:sz w:val="22"/>
          <w:szCs w:val="22"/>
        </w:rPr>
        <w:fldChar w:fldCharType="separate"/>
      </w:r>
      <w:r w:rsidR="005D3D02">
        <w:rPr>
          <w:noProof/>
        </w:rPr>
        <w:t xml:space="preserve">Figure 1: </w:t>
      </w:r>
      <w:r w:rsidR="005D3D02">
        <w:rPr>
          <w:rFonts w:asciiTheme="minorHAnsi" w:eastAsiaTheme="minorEastAsia" w:hAnsiTheme="minorHAnsi" w:cstheme="minorBidi"/>
          <w:noProof/>
          <w:sz w:val="22"/>
          <w:szCs w:val="22"/>
          <w:lang w:eastAsia="en-NZ"/>
        </w:rPr>
        <w:tab/>
      </w:r>
      <w:r w:rsidR="005D3D02">
        <w:rPr>
          <w:noProof/>
        </w:rPr>
        <w:t xml:space="preserve">Submitter positions – </w:t>
      </w:r>
      <w:r w:rsidR="005D3D02" w:rsidRPr="00902088">
        <w:rPr>
          <w:i/>
          <w:noProof/>
        </w:rPr>
        <w:t>Do you agree with the drivers for the review?</w:t>
      </w:r>
      <w:r w:rsidR="005D3D02">
        <w:rPr>
          <w:noProof/>
        </w:rPr>
        <w:tab/>
      </w:r>
      <w:r w:rsidR="005D3D02">
        <w:rPr>
          <w:noProof/>
        </w:rPr>
        <w:fldChar w:fldCharType="begin"/>
      </w:r>
      <w:r w:rsidR="005D3D02">
        <w:rPr>
          <w:noProof/>
        </w:rPr>
        <w:instrText xml:space="preserve"> PAGEREF _Toc462814462 \h </w:instrText>
      </w:r>
      <w:r w:rsidR="005D3D02">
        <w:rPr>
          <w:noProof/>
        </w:rPr>
      </w:r>
      <w:r w:rsidR="005D3D02">
        <w:rPr>
          <w:noProof/>
        </w:rPr>
        <w:fldChar w:fldCharType="separate"/>
      </w:r>
      <w:r w:rsidR="00960AAC">
        <w:rPr>
          <w:noProof/>
        </w:rPr>
        <w:t>16</w:t>
      </w:r>
      <w:r w:rsidR="005D3D02">
        <w:rPr>
          <w:noProof/>
        </w:rPr>
        <w:fldChar w:fldCharType="end"/>
      </w:r>
    </w:p>
    <w:p w:rsidR="005D3D02" w:rsidRDefault="005D3D02">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2: </w:t>
      </w:r>
      <w:r>
        <w:rPr>
          <w:rFonts w:asciiTheme="minorHAnsi" w:eastAsiaTheme="minorEastAsia" w:hAnsiTheme="minorHAnsi" w:cstheme="minorBidi"/>
          <w:noProof/>
          <w:sz w:val="22"/>
          <w:szCs w:val="22"/>
          <w:lang w:eastAsia="en-NZ"/>
        </w:rPr>
        <w:tab/>
      </w:r>
      <w:r>
        <w:rPr>
          <w:noProof/>
        </w:rPr>
        <w:t xml:space="preserve">Submitter positions – </w:t>
      </w:r>
      <w:r w:rsidRPr="00902088">
        <w:rPr>
          <w:i/>
          <w:noProof/>
        </w:rPr>
        <w:t>Do you consider the future cost of emissions in your business planning?</w:t>
      </w:r>
      <w:r>
        <w:rPr>
          <w:noProof/>
        </w:rPr>
        <w:tab/>
      </w:r>
      <w:r>
        <w:rPr>
          <w:noProof/>
        </w:rPr>
        <w:fldChar w:fldCharType="begin"/>
      </w:r>
      <w:r>
        <w:rPr>
          <w:noProof/>
        </w:rPr>
        <w:instrText xml:space="preserve"> PAGEREF _Toc462814463 \h </w:instrText>
      </w:r>
      <w:r>
        <w:rPr>
          <w:noProof/>
        </w:rPr>
      </w:r>
      <w:r>
        <w:rPr>
          <w:noProof/>
        </w:rPr>
        <w:fldChar w:fldCharType="separate"/>
      </w:r>
      <w:r w:rsidR="00960AAC">
        <w:rPr>
          <w:noProof/>
        </w:rPr>
        <w:t>21</w:t>
      </w:r>
      <w:r>
        <w:rPr>
          <w:noProof/>
        </w:rPr>
        <w:fldChar w:fldCharType="end"/>
      </w:r>
    </w:p>
    <w:p w:rsidR="005D3D02" w:rsidRDefault="005D3D02">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3: </w:t>
      </w:r>
      <w:r>
        <w:rPr>
          <w:rFonts w:asciiTheme="minorHAnsi" w:eastAsiaTheme="minorEastAsia" w:hAnsiTheme="minorHAnsi" w:cstheme="minorBidi"/>
          <w:noProof/>
          <w:sz w:val="22"/>
          <w:szCs w:val="22"/>
          <w:lang w:eastAsia="en-NZ"/>
        </w:rPr>
        <w:tab/>
      </w:r>
      <w:r>
        <w:rPr>
          <w:noProof/>
        </w:rPr>
        <w:t xml:space="preserve">Submitter positions – </w:t>
      </w:r>
      <w:r w:rsidRPr="00902088">
        <w:rPr>
          <w:i/>
          <w:noProof/>
        </w:rPr>
        <w:t>If international units are eligible for NZ ETS compliance in the 2020s, should any of the following restrictions be placed on their use?</w:t>
      </w:r>
      <w:r>
        <w:rPr>
          <w:noProof/>
        </w:rPr>
        <w:tab/>
      </w:r>
      <w:r>
        <w:rPr>
          <w:noProof/>
        </w:rPr>
        <w:fldChar w:fldCharType="begin"/>
      </w:r>
      <w:r>
        <w:rPr>
          <w:noProof/>
        </w:rPr>
        <w:instrText xml:space="preserve"> PAGEREF _Toc462814464 \h </w:instrText>
      </w:r>
      <w:r>
        <w:rPr>
          <w:noProof/>
        </w:rPr>
      </w:r>
      <w:r>
        <w:rPr>
          <w:noProof/>
        </w:rPr>
        <w:fldChar w:fldCharType="separate"/>
      </w:r>
      <w:r w:rsidR="00960AAC">
        <w:rPr>
          <w:noProof/>
        </w:rPr>
        <w:t>34</w:t>
      </w:r>
      <w:r>
        <w:rPr>
          <w:noProof/>
        </w:rPr>
        <w:fldChar w:fldCharType="end"/>
      </w:r>
    </w:p>
    <w:p w:rsidR="005D3D02" w:rsidRDefault="005D3D02">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4: </w:t>
      </w:r>
      <w:r>
        <w:rPr>
          <w:rFonts w:asciiTheme="minorHAnsi" w:eastAsiaTheme="minorEastAsia" w:hAnsiTheme="minorHAnsi" w:cstheme="minorBidi"/>
          <w:noProof/>
          <w:sz w:val="22"/>
          <w:szCs w:val="22"/>
          <w:lang w:eastAsia="en-NZ"/>
        </w:rPr>
        <w:tab/>
      </w:r>
      <w:r>
        <w:rPr>
          <w:noProof/>
        </w:rPr>
        <w:t xml:space="preserve">Submitter positions – </w:t>
      </w:r>
      <w:r w:rsidRPr="00902088">
        <w:rPr>
          <w:i/>
          <w:noProof/>
        </w:rPr>
        <w:t>Should auctioning be introduced in the NZ ETS?</w:t>
      </w:r>
      <w:r>
        <w:rPr>
          <w:noProof/>
        </w:rPr>
        <w:tab/>
      </w:r>
      <w:r>
        <w:rPr>
          <w:noProof/>
        </w:rPr>
        <w:fldChar w:fldCharType="begin"/>
      </w:r>
      <w:r>
        <w:rPr>
          <w:noProof/>
        </w:rPr>
        <w:instrText xml:space="preserve"> PAGEREF _Toc462814465 \h </w:instrText>
      </w:r>
      <w:r>
        <w:rPr>
          <w:noProof/>
        </w:rPr>
      </w:r>
      <w:r>
        <w:rPr>
          <w:noProof/>
        </w:rPr>
        <w:fldChar w:fldCharType="separate"/>
      </w:r>
      <w:r w:rsidR="00960AAC">
        <w:rPr>
          <w:noProof/>
        </w:rPr>
        <w:t>37</w:t>
      </w:r>
      <w:r>
        <w:rPr>
          <w:noProof/>
        </w:rPr>
        <w:fldChar w:fldCharType="end"/>
      </w:r>
    </w:p>
    <w:p w:rsidR="005D3D02" w:rsidRDefault="005D3D02">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5: </w:t>
      </w:r>
      <w:r>
        <w:rPr>
          <w:rFonts w:asciiTheme="minorHAnsi" w:eastAsiaTheme="minorEastAsia" w:hAnsiTheme="minorHAnsi" w:cstheme="minorBidi"/>
          <w:noProof/>
          <w:sz w:val="22"/>
          <w:szCs w:val="22"/>
          <w:lang w:eastAsia="en-NZ"/>
        </w:rPr>
        <w:tab/>
      </w:r>
      <w:r>
        <w:rPr>
          <w:noProof/>
        </w:rPr>
        <w:t xml:space="preserve">Submitter positions – </w:t>
      </w:r>
      <w:r w:rsidRPr="00902088">
        <w:rPr>
          <w:i/>
          <w:noProof/>
        </w:rPr>
        <w:t>What should be the role or purpose of an auctioning function in the NZ ETS, if one were introduced?</w:t>
      </w:r>
      <w:r>
        <w:rPr>
          <w:noProof/>
        </w:rPr>
        <w:tab/>
      </w:r>
      <w:r>
        <w:rPr>
          <w:noProof/>
        </w:rPr>
        <w:fldChar w:fldCharType="begin"/>
      </w:r>
      <w:r>
        <w:rPr>
          <w:noProof/>
        </w:rPr>
        <w:instrText xml:space="preserve"> PAGEREF _Toc462814466 \h </w:instrText>
      </w:r>
      <w:r>
        <w:rPr>
          <w:noProof/>
        </w:rPr>
      </w:r>
      <w:r>
        <w:rPr>
          <w:noProof/>
        </w:rPr>
        <w:fldChar w:fldCharType="separate"/>
      </w:r>
      <w:r w:rsidR="00960AAC">
        <w:rPr>
          <w:noProof/>
        </w:rPr>
        <w:t>40</w:t>
      </w:r>
      <w:r>
        <w:rPr>
          <w:noProof/>
        </w:rPr>
        <w:fldChar w:fldCharType="end"/>
      </w:r>
    </w:p>
    <w:p w:rsidR="005D3D02" w:rsidRDefault="005D3D02">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6: </w:t>
      </w:r>
      <w:r>
        <w:rPr>
          <w:rFonts w:asciiTheme="minorHAnsi" w:eastAsiaTheme="minorEastAsia" w:hAnsiTheme="minorHAnsi" w:cstheme="minorBidi"/>
          <w:noProof/>
          <w:sz w:val="22"/>
          <w:szCs w:val="22"/>
          <w:lang w:eastAsia="en-NZ"/>
        </w:rPr>
        <w:tab/>
      </w:r>
      <w:r>
        <w:rPr>
          <w:noProof/>
        </w:rPr>
        <w:t xml:space="preserve">Submitter positions – </w:t>
      </w:r>
      <w:r w:rsidRPr="00902088">
        <w:rPr>
          <w:i/>
          <w:noProof/>
        </w:rPr>
        <w:t>What impact has carbon price volatility in the NZ ETS had on your business?</w:t>
      </w:r>
      <w:r>
        <w:rPr>
          <w:noProof/>
        </w:rPr>
        <w:tab/>
      </w:r>
      <w:r>
        <w:rPr>
          <w:noProof/>
        </w:rPr>
        <w:fldChar w:fldCharType="begin"/>
      </w:r>
      <w:r>
        <w:rPr>
          <w:noProof/>
        </w:rPr>
        <w:instrText xml:space="preserve"> PAGEREF _Toc462814467 \h </w:instrText>
      </w:r>
      <w:r>
        <w:rPr>
          <w:noProof/>
        </w:rPr>
      </w:r>
      <w:r>
        <w:rPr>
          <w:noProof/>
        </w:rPr>
        <w:fldChar w:fldCharType="separate"/>
      </w:r>
      <w:r w:rsidR="00960AAC">
        <w:rPr>
          <w:noProof/>
        </w:rPr>
        <w:t>44</w:t>
      </w:r>
      <w:r>
        <w:rPr>
          <w:noProof/>
        </w:rPr>
        <w:fldChar w:fldCharType="end"/>
      </w:r>
    </w:p>
    <w:p w:rsidR="005D3D02" w:rsidRDefault="005D3D02">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7: </w:t>
      </w:r>
      <w:r>
        <w:rPr>
          <w:rFonts w:asciiTheme="minorHAnsi" w:eastAsiaTheme="minorEastAsia" w:hAnsiTheme="minorHAnsi" w:cstheme="minorBidi"/>
          <w:noProof/>
          <w:sz w:val="22"/>
          <w:szCs w:val="22"/>
          <w:lang w:eastAsia="en-NZ"/>
        </w:rPr>
        <w:tab/>
      </w:r>
      <w:r>
        <w:rPr>
          <w:noProof/>
        </w:rPr>
        <w:t xml:space="preserve">Submitter positions – </w:t>
      </w:r>
      <w:r w:rsidRPr="00902088">
        <w:rPr>
          <w:i/>
          <w:noProof/>
        </w:rPr>
        <w:t>Do you think measures should be in place to manage price stability?</w:t>
      </w:r>
      <w:r>
        <w:rPr>
          <w:noProof/>
        </w:rPr>
        <w:tab/>
      </w:r>
      <w:r>
        <w:rPr>
          <w:noProof/>
        </w:rPr>
        <w:fldChar w:fldCharType="begin"/>
      </w:r>
      <w:r>
        <w:rPr>
          <w:noProof/>
        </w:rPr>
        <w:instrText xml:space="preserve"> PAGEREF _Toc462814468 \h </w:instrText>
      </w:r>
      <w:r>
        <w:rPr>
          <w:noProof/>
        </w:rPr>
      </w:r>
      <w:r>
        <w:rPr>
          <w:noProof/>
        </w:rPr>
        <w:fldChar w:fldCharType="separate"/>
      </w:r>
      <w:r w:rsidR="00960AAC">
        <w:rPr>
          <w:noProof/>
        </w:rPr>
        <w:t>47</w:t>
      </w:r>
      <w:r>
        <w:rPr>
          <w:noProof/>
        </w:rPr>
        <w:fldChar w:fldCharType="end"/>
      </w:r>
    </w:p>
    <w:p w:rsidR="005D3D02" w:rsidRDefault="005D3D02">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8: </w:t>
      </w:r>
      <w:r>
        <w:rPr>
          <w:rFonts w:asciiTheme="minorHAnsi" w:eastAsiaTheme="minorEastAsia" w:hAnsiTheme="minorHAnsi" w:cstheme="minorBidi"/>
          <w:noProof/>
          <w:sz w:val="22"/>
          <w:szCs w:val="22"/>
          <w:lang w:eastAsia="en-NZ"/>
        </w:rPr>
        <w:tab/>
      </w:r>
      <w:r>
        <w:rPr>
          <w:noProof/>
        </w:rPr>
        <w:t xml:space="preserve">Submitter positions – </w:t>
      </w:r>
      <w:r w:rsidRPr="00902088">
        <w:rPr>
          <w:i/>
          <w:noProof/>
        </w:rPr>
        <w:t>What do you consider are important factors for managing price stability</w:t>
      </w:r>
      <w:r>
        <w:rPr>
          <w:noProof/>
        </w:rPr>
        <w:tab/>
      </w:r>
      <w:r>
        <w:rPr>
          <w:noProof/>
        </w:rPr>
        <w:fldChar w:fldCharType="begin"/>
      </w:r>
      <w:r>
        <w:rPr>
          <w:noProof/>
        </w:rPr>
        <w:instrText xml:space="preserve"> PAGEREF _Toc462814469 \h </w:instrText>
      </w:r>
      <w:r>
        <w:rPr>
          <w:noProof/>
        </w:rPr>
      </w:r>
      <w:r>
        <w:rPr>
          <w:noProof/>
        </w:rPr>
        <w:fldChar w:fldCharType="separate"/>
      </w:r>
      <w:r w:rsidR="00960AAC">
        <w:rPr>
          <w:noProof/>
        </w:rPr>
        <w:t>49</w:t>
      </w:r>
      <w:r>
        <w:rPr>
          <w:noProof/>
        </w:rPr>
        <w:fldChar w:fldCharType="end"/>
      </w:r>
    </w:p>
    <w:p w:rsidR="005D3D02" w:rsidRDefault="005D3D02">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9: </w:t>
      </w:r>
      <w:r>
        <w:rPr>
          <w:rFonts w:asciiTheme="minorHAnsi" w:eastAsiaTheme="minorEastAsia" w:hAnsiTheme="minorHAnsi" w:cstheme="minorBidi"/>
          <w:noProof/>
          <w:sz w:val="22"/>
          <w:szCs w:val="22"/>
          <w:lang w:eastAsia="en-NZ"/>
        </w:rPr>
        <w:tab/>
      </w:r>
      <w:r>
        <w:rPr>
          <w:noProof/>
        </w:rPr>
        <w:t xml:space="preserve">Submitter positions – </w:t>
      </w:r>
      <w:r w:rsidRPr="00902088">
        <w:rPr>
          <w:i/>
          <w:noProof/>
        </w:rPr>
        <w:t xml:space="preserve">Are you aware of ways the administrative efficiency of the NZ ETS could be improved? </w:t>
      </w:r>
      <w:r>
        <w:rPr>
          <w:noProof/>
        </w:rPr>
        <w:tab/>
      </w:r>
      <w:r>
        <w:rPr>
          <w:noProof/>
        </w:rPr>
        <w:fldChar w:fldCharType="begin"/>
      </w:r>
      <w:r>
        <w:rPr>
          <w:noProof/>
        </w:rPr>
        <w:instrText xml:space="preserve"> PAGEREF _Toc462814470 \h </w:instrText>
      </w:r>
      <w:r>
        <w:rPr>
          <w:noProof/>
        </w:rPr>
      </w:r>
      <w:r>
        <w:rPr>
          <w:noProof/>
        </w:rPr>
        <w:fldChar w:fldCharType="separate"/>
      </w:r>
      <w:r w:rsidR="00960AAC">
        <w:rPr>
          <w:noProof/>
        </w:rPr>
        <w:t>54</w:t>
      </w:r>
      <w:r>
        <w:rPr>
          <w:noProof/>
        </w:rPr>
        <w:fldChar w:fldCharType="end"/>
      </w:r>
    </w:p>
    <w:p w:rsidR="005D3D02" w:rsidRDefault="005D3D02">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10: </w:t>
      </w:r>
      <w:r>
        <w:rPr>
          <w:rFonts w:asciiTheme="minorHAnsi" w:eastAsiaTheme="minorEastAsia" w:hAnsiTheme="minorHAnsi" w:cstheme="minorBidi"/>
          <w:noProof/>
          <w:sz w:val="22"/>
          <w:szCs w:val="22"/>
          <w:lang w:eastAsia="en-NZ"/>
        </w:rPr>
        <w:tab/>
      </w:r>
      <w:r w:rsidRPr="00902088">
        <w:rPr>
          <w:i/>
          <w:noProof/>
        </w:rPr>
        <w:t>Are there any barriers or market failures that will prevent the efficient uptake of opportunities and technologies for reducing emissions?</w:t>
      </w:r>
      <w:r>
        <w:rPr>
          <w:noProof/>
        </w:rPr>
        <w:tab/>
      </w:r>
      <w:r>
        <w:rPr>
          <w:noProof/>
        </w:rPr>
        <w:fldChar w:fldCharType="begin"/>
      </w:r>
      <w:r>
        <w:rPr>
          <w:noProof/>
        </w:rPr>
        <w:instrText xml:space="preserve"> PAGEREF _Toc462814471 \h </w:instrText>
      </w:r>
      <w:r>
        <w:rPr>
          <w:noProof/>
        </w:rPr>
      </w:r>
      <w:r>
        <w:rPr>
          <w:noProof/>
        </w:rPr>
        <w:fldChar w:fldCharType="separate"/>
      </w:r>
      <w:r w:rsidR="00960AAC">
        <w:rPr>
          <w:noProof/>
        </w:rPr>
        <w:t>57</w:t>
      </w:r>
      <w:r>
        <w:rPr>
          <w:noProof/>
        </w:rPr>
        <w:fldChar w:fldCharType="end"/>
      </w:r>
    </w:p>
    <w:p w:rsidR="00492FFB" w:rsidRPr="00492FFB" w:rsidRDefault="00492FFB" w:rsidP="00492FFB">
      <w:r w:rsidRPr="000558B7">
        <w:fldChar w:fldCharType="end"/>
      </w:r>
    </w:p>
    <w:p w:rsidR="002D0DDF" w:rsidRPr="00C76622" w:rsidRDefault="006077FC" w:rsidP="00EA6D46">
      <w:pPr>
        <w:pStyle w:val="Heading1"/>
      </w:pPr>
      <w:bookmarkStart w:id="1" w:name="_Toc463270108"/>
      <w:r w:rsidRPr="00C76622">
        <w:rPr>
          <w:rStyle w:val="IntenseEmphasis"/>
          <w:b/>
          <w:bCs/>
          <w:i w:val="0"/>
          <w:iCs w:val="0"/>
          <w:color w:val="005984"/>
        </w:rPr>
        <w:t>Abbreviations</w:t>
      </w:r>
      <w:bookmarkEnd w:id="1"/>
    </w:p>
    <w:p w:rsidR="00011ABC" w:rsidRPr="00C76622" w:rsidRDefault="00011ABC" w:rsidP="00C27DC9">
      <w:pPr>
        <w:pStyle w:val="BodyText"/>
        <w:tabs>
          <w:tab w:val="left" w:pos="851"/>
        </w:tabs>
        <w:spacing w:before="80" w:after="80"/>
      </w:pPr>
      <w:r w:rsidRPr="00C76622">
        <w:t>EITE</w:t>
      </w:r>
      <w:r w:rsidRPr="00C76622">
        <w:tab/>
        <w:t xml:space="preserve">Emissions </w:t>
      </w:r>
      <w:r w:rsidR="007E0044" w:rsidRPr="00C76622">
        <w:t xml:space="preserve">intensive </w:t>
      </w:r>
      <w:r w:rsidRPr="00C76622">
        <w:t xml:space="preserve">and </w:t>
      </w:r>
      <w:r w:rsidR="007E0044" w:rsidRPr="00C76622">
        <w:t>trade exposed</w:t>
      </w:r>
    </w:p>
    <w:p w:rsidR="00841FBF" w:rsidRPr="00C76622" w:rsidRDefault="00841FBF" w:rsidP="00C27DC9">
      <w:pPr>
        <w:pStyle w:val="BodyText"/>
        <w:tabs>
          <w:tab w:val="left" w:pos="851"/>
        </w:tabs>
        <w:spacing w:before="80" w:after="80"/>
      </w:pPr>
      <w:r w:rsidRPr="00C76622">
        <w:t>EPA</w:t>
      </w:r>
      <w:r w:rsidRPr="00C76622">
        <w:tab/>
        <w:t>Environmental Protection Authority</w:t>
      </w:r>
    </w:p>
    <w:p w:rsidR="00954A66" w:rsidRPr="00C76622" w:rsidRDefault="00954A66" w:rsidP="00C27DC9">
      <w:pPr>
        <w:pStyle w:val="BodyText"/>
        <w:tabs>
          <w:tab w:val="left" w:pos="851"/>
        </w:tabs>
        <w:spacing w:before="80" w:after="80"/>
      </w:pPr>
      <w:r w:rsidRPr="00C76622">
        <w:t>GDP</w:t>
      </w:r>
      <w:r w:rsidRPr="00C76622">
        <w:tab/>
        <w:t>Gross Domestic Product</w:t>
      </w:r>
    </w:p>
    <w:p w:rsidR="006B796B" w:rsidRPr="00C76622" w:rsidRDefault="006B796B" w:rsidP="00C27DC9">
      <w:pPr>
        <w:pStyle w:val="BodyText"/>
        <w:tabs>
          <w:tab w:val="left" w:pos="851"/>
        </w:tabs>
        <w:spacing w:before="80" w:after="80"/>
      </w:pPr>
      <w:r w:rsidRPr="00C76622">
        <w:t>NGA</w:t>
      </w:r>
      <w:r w:rsidRPr="00C76622">
        <w:tab/>
        <w:t>Negotiated Greenhouse Agreement</w:t>
      </w:r>
    </w:p>
    <w:p w:rsidR="00841FBF" w:rsidRPr="00C76622" w:rsidRDefault="00841FBF" w:rsidP="00C27DC9">
      <w:pPr>
        <w:pStyle w:val="BodyText"/>
        <w:tabs>
          <w:tab w:val="left" w:pos="851"/>
        </w:tabs>
        <w:spacing w:before="80" w:after="80"/>
      </w:pPr>
      <w:r w:rsidRPr="00C76622">
        <w:t>NGO</w:t>
      </w:r>
      <w:r w:rsidRPr="00C76622">
        <w:tab/>
        <w:t>Non-</w:t>
      </w:r>
      <w:r w:rsidR="007E0044" w:rsidRPr="00C76622">
        <w:t>governmental organisation</w:t>
      </w:r>
    </w:p>
    <w:p w:rsidR="002D0DDF" w:rsidRPr="00C76622" w:rsidRDefault="00855109" w:rsidP="00C27DC9">
      <w:pPr>
        <w:pStyle w:val="BodyText"/>
        <w:tabs>
          <w:tab w:val="left" w:pos="851"/>
        </w:tabs>
        <w:spacing w:before="80" w:after="80"/>
      </w:pPr>
      <w:r w:rsidRPr="00C76622">
        <w:t>NZ</w:t>
      </w:r>
      <w:r w:rsidR="00BD6D49" w:rsidRPr="00C76622">
        <w:t xml:space="preserve"> </w:t>
      </w:r>
      <w:r w:rsidRPr="00C76622">
        <w:t>ETS</w:t>
      </w:r>
      <w:r w:rsidRPr="00C76622">
        <w:tab/>
        <w:t>New Zealand Emissions Trading Scheme</w:t>
      </w:r>
    </w:p>
    <w:p w:rsidR="00F81788" w:rsidRPr="00C76622" w:rsidRDefault="00F81788" w:rsidP="00C27DC9">
      <w:pPr>
        <w:pStyle w:val="BodyText"/>
        <w:tabs>
          <w:tab w:val="left" w:pos="851"/>
        </w:tabs>
        <w:spacing w:before="80" w:after="80"/>
      </w:pPr>
      <w:r w:rsidRPr="00C76622">
        <w:t>NZU</w:t>
      </w:r>
      <w:r w:rsidRPr="00C76622">
        <w:tab/>
        <w:t>New Zealand Units</w:t>
      </w:r>
    </w:p>
    <w:p w:rsidR="00C90CD6" w:rsidRPr="00C76622" w:rsidRDefault="00C90CD6" w:rsidP="00C27DC9">
      <w:pPr>
        <w:pStyle w:val="BodyText"/>
        <w:tabs>
          <w:tab w:val="left" w:pos="851"/>
        </w:tabs>
        <w:spacing w:before="80" w:after="80"/>
      </w:pPr>
      <w:r w:rsidRPr="00C76622">
        <w:t>PCE</w:t>
      </w:r>
      <w:r w:rsidRPr="00C76622">
        <w:tab/>
        <w:t>Parliamentary Commissioner for the Environment</w:t>
      </w:r>
    </w:p>
    <w:p w:rsidR="008973C4" w:rsidRPr="00C76622" w:rsidRDefault="008973C4" w:rsidP="00C27DC9">
      <w:pPr>
        <w:pStyle w:val="BodyText"/>
        <w:tabs>
          <w:tab w:val="left" w:pos="851"/>
        </w:tabs>
        <w:spacing w:before="80" w:after="80"/>
      </w:pPr>
      <w:r w:rsidRPr="00C76622">
        <w:t>SGG</w:t>
      </w:r>
      <w:r w:rsidRPr="00C76622">
        <w:tab/>
        <w:t xml:space="preserve">Synthetic </w:t>
      </w:r>
      <w:r w:rsidR="007E0044" w:rsidRPr="00C76622">
        <w:t>greenhouse gas</w:t>
      </w:r>
    </w:p>
    <w:p w:rsidR="00234BF1" w:rsidRPr="00C76622" w:rsidRDefault="00234BF1" w:rsidP="00592E08"/>
    <w:p w:rsidR="00592E08" w:rsidRPr="00C76622" w:rsidRDefault="00592E08" w:rsidP="00592E08">
      <w:pPr>
        <w:sectPr w:rsidR="00592E08" w:rsidRPr="00C76622" w:rsidSect="004806FC">
          <w:footerReference w:type="even" r:id="rId23"/>
          <w:footerReference w:type="default" r:id="rId24"/>
          <w:footerReference w:type="first" r:id="rId25"/>
          <w:type w:val="continuous"/>
          <w:pgSz w:w="11907" w:h="16839" w:code="9"/>
          <w:pgMar w:top="1701" w:right="1418" w:bottom="1701" w:left="1418" w:header="567" w:footer="567" w:gutter="567"/>
          <w:pgNumType w:fmt="lowerRoman"/>
          <w:cols w:space="720"/>
          <w:titlePg/>
          <w:docGrid w:linePitch="360"/>
        </w:sectPr>
      </w:pPr>
    </w:p>
    <w:p w:rsidR="0070360D" w:rsidRPr="008F2DEE" w:rsidRDefault="0070360D" w:rsidP="00BA7A35">
      <w:pPr>
        <w:pStyle w:val="Heading1"/>
        <w:numPr>
          <w:ilvl w:val="0"/>
          <w:numId w:val="12"/>
        </w:numPr>
        <w:ind w:hanging="1215"/>
      </w:pPr>
      <w:bookmarkStart w:id="2" w:name="_Toc463270109"/>
      <w:r w:rsidRPr="008F2DEE">
        <w:lastRenderedPageBreak/>
        <w:t>Executive Summary</w:t>
      </w:r>
      <w:bookmarkEnd w:id="2"/>
    </w:p>
    <w:p w:rsidR="0066221A" w:rsidRDefault="00527C5F" w:rsidP="0049148E">
      <w:r w:rsidRPr="00C76622">
        <w:t>This document provides a summary of consultation responses on stage</w:t>
      </w:r>
      <w:r>
        <w:t xml:space="preserve"> two</w:t>
      </w:r>
      <w:r w:rsidRPr="00C76622">
        <w:t xml:space="preserve"> </w:t>
      </w:r>
      <w:r>
        <w:t xml:space="preserve">(other </w:t>
      </w:r>
      <w:r w:rsidR="0056471D">
        <w:t>issues</w:t>
      </w:r>
      <w:r>
        <w:t xml:space="preserve">) </w:t>
      </w:r>
      <w:r w:rsidR="005D3D02">
        <w:t>of the NZ E</w:t>
      </w:r>
      <w:r w:rsidR="0066221A">
        <w:t xml:space="preserve">missions </w:t>
      </w:r>
      <w:r w:rsidR="005D3D02">
        <w:t>T</w:t>
      </w:r>
      <w:r w:rsidR="0066221A">
        <w:t xml:space="preserve">rading </w:t>
      </w:r>
      <w:r w:rsidR="005D3D02">
        <w:t>S</w:t>
      </w:r>
      <w:r w:rsidR="0066221A">
        <w:t>cheme (NZ ETS)</w:t>
      </w:r>
      <w:r w:rsidR="005D3D02">
        <w:t xml:space="preserve"> review</w:t>
      </w:r>
      <w:r>
        <w:t xml:space="preserve">. </w:t>
      </w:r>
      <w:r w:rsidR="0049148E">
        <w:t xml:space="preserve">The majority of submitters on </w:t>
      </w:r>
      <w:r w:rsidR="006A5029">
        <w:t>s</w:t>
      </w:r>
      <w:r w:rsidR="0049148E">
        <w:t xml:space="preserve">tage </w:t>
      </w:r>
      <w:r w:rsidR="006A5029">
        <w:t>t</w:t>
      </w:r>
      <w:r w:rsidR="0049148E">
        <w:t xml:space="preserve">wo were supportive of the drivers for the review.  Many submitters also provided other factors they thought should be considered in the review. These included </w:t>
      </w:r>
      <w:r w:rsidR="005D3D02">
        <w:t xml:space="preserve">considering </w:t>
      </w:r>
      <w:r w:rsidR="0049148E">
        <w:t>whether</w:t>
      </w:r>
    </w:p>
    <w:p w:rsidR="0066221A" w:rsidRDefault="0049148E" w:rsidP="0066221A">
      <w:pPr>
        <w:pStyle w:val="Bullet"/>
      </w:pPr>
      <w:r>
        <w:t xml:space="preserve"> an emissions trading scheme is the most appropriate response to climate change for New Zealand </w:t>
      </w:r>
    </w:p>
    <w:p w:rsidR="0066221A" w:rsidRDefault="0049148E" w:rsidP="0066221A">
      <w:pPr>
        <w:pStyle w:val="Bullet"/>
      </w:pPr>
      <w:r>
        <w:t xml:space="preserve">surrender obligations for biological emissions from agriculture </w:t>
      </w:r>
    </w:p>
    <w:p w:rsidR="0066221A" w:rsidRDefault="0049148E" w:rsidP="0066221A">
      <w:pPr>
        <w:pStyle w:val="Bullet"/>
      </w:pPr>
      <w:r>
        <w:t xml:space="preserve">continued engagement from the Government </w:t>
      </w:r>
    </w:p>
    <w:p w:rsidR="0066221A" w:rsidRDefault="0049148E" w:rsidP="0066221A">
      <w:pPr>
        <w:pStyle w:val="Bullet"/>
      </w:pPr>
      <w:r>
        <w:t>the role of the NZ ETS</w:t>
      </w:r>
    </w:p>
    <w:p w:rsidR="00527C5F" w:rsidRPr="00C76622" w:rsidRDefault="0049148E" w:rsidP="0066221A">
      <w:pPr>
        <w:pStyle w:val="Bullet"/>
      </w:pPr>
      <w:proofErr w:type="gramStart"/>
      <w:r>
        <w:t>the</w:t>
      </w:r>
      <w:proofErr w:type="gramEnd"/>
      <w:r>
        <w:t xml:space="preserve"> need for a long-term view of climate change.</w:t>
      </w:r>
    </w:p>
    <w:p w:rsidR="00527C5F" w:rsidRDefault="00527C5F" w:rsidP="00527C5F">
      <w:pPr>
        <w:pStyle w:val="Heading4"/>
      </w:pPr>
      <w:r>
        <w:t>Business responses to the NZ ETS</w:t>
      </w:r>
    </w:p>
    <w:p w:rsidR="00F87CC4" w:rsidRPr="00F87CC4" w:rsidRDefault="00F87CC4" w:rsidP="00164907">
      <w:r>
        <w:t xml:space="preserve">In general submitters said they consider the cost of emissions in their business planning, including the </w:t>
      </w:r>
      <w:r w:rsidR="005D3D02">
        <w:t xml:space="preserve">current </w:t>
      </w:r>
      <w:r>
        <w:t>New Zealand Unit (NZU) price.</w:t>
      </w:r>
      <w:r w:rsidRPr="001E2CB7">
        <w:t xml:space="preserve"> </w:t>
      </w:r>
      <w:r>
        <w:t xml:space="preserve">A common theme among submitters was that uncertainty limits the amount of planning they can do. </w:t>
      </w:r>
      <w:r w:rsidR="00964124">
        <w:t>I</w:t>
      </w:r>
      <w:r w:rsidR="005D3D02">
        <w:t>t</w:t>
      </w:r>
      <w:r w:rsidR="00964124">
        <w:t xml:space="preserve"> was therefore suggested by </w:t>
      </w:r>
      <w:r w:rsidR="00F45D45">
        <w:t xml:space="preserve">some </w:t>
      </w:r>
      <w:r w:rsidR="00964124">
        <w:t xml:space="preserve">submitters that policy and price stability would improve their ability to take the NZ ETS into account when making business decisions. </w:t>
      </w:r>
    </w:p>
    <w:p w:rsidR="00527C5F" w:rsidRDefault="00D92CB7" w:rsidP="00527C5F">
      <w:pPr>
        <w:pStyle w:val="Heading4"/>
      </w:pPr>
      <w:r>
        <w:t>P</w:t>
      </w:r>
      <w:r w:rsidR="00527C5F">
        <w:t>rotecting competitiveness through free allocation</w:t>
      </w:r>
    </w:p>
    <w:p w:rsidR="00D92CB7" w:rsidRPr="0070360D" w:rsidRDefault="00D92CB7" w:rsidP="00DD4CF2">
      <w:pPr>
        <w:pStyle w:val="BodyText"/>
      </w:pPr>
      <w:r w:rsidRPr="0070360D">
        <w:t>We sought views on whether and under what conditions free allocation rates should start to reduce after 2020</w:t>
      </w:r>
      <w:r w:rsidR="0009219A">
        <w:t xml:space="preserve"> </w:t>
      </w:r>
      <w:r w:rsidR="00DD4CF2">
        <w:t xml:space="preserve">and </w:t>
      </w:r>
      <w:r w:rsidR="005D57F6" w:rsidRPr="00DA4E9A">
        <w:t>received contrasti</w:t>
      </w:r>
      <w:r w:rsidR="00BA701E" w:rsidRPr="00DA4E9A">
        <w:t>ng</w:t>
      </w:r>
      <w:r w:rsidR="005D57F6" w:rsidRPr="00DA4E9A">
        <w:t xml:space="preserve"> views </w:t>
      </w:r>
      <w:r w:rsidR="00682205" w:rsidRPr="00DA4E9A">
        <w:t>from</w:t>
      </w:r>
      <w:r w:rsidR="00682205">
        <w:t xml:space="preserve"> submitter</w:t>
      </w:r>
      <w:r w:rsidR="005D57F6">
        <w:t>s</w:t>
      </w:r>
      <w:r w:rsidR="00DD4CF2">
        <w:t xml:space="preserve">. </w:t>
      </w:r>
      <w:r w:rsidR="00E87E79" w:rsidRPr="0070360D">
        <w:t>A</w:t>
      </w:r>
      <w:r w:rsidR="00E87E79">
        <w:t>pproximately</w:t>
      </w:r>
      <w:r w:rsidRPr="0070360D">
        <w:t xml:space="preserve"> 45 percent of submitters thought that it should be reduced regardless of conditions</w:t>
      </w:r>
      <w:r w:rsidR="00E87E79">
        <w:t xml:space="preserve"> and</w:t>
      </w:r>
      <w:r w:rsidR="00E00A9F">
        <w:t xml:space="preserve"> around</w:t>
      </w:r>
      <w:r w:rsidRPr="0070360D">
        <w:t xml:space="preserve"> 30 percent thought that </w:t>
      </w:r>
      <w:r w:rsidR="00E87E79">
        <w:t xml:space="preserve">free </w:t>
      </w:r>
      <w:r w:rsidRPr="0070360D">
        <w:t>allocation should only be reduced when New Zealand’s main trading partners have</w:t>
      </w:r>
      <w:r w:rsidR="001B5F30">
        <w:t xml:space="preserve"> equivalent</w:t>
      </w:r>
      <w:r w:rsidRPr="0070360D">
        <w:t xml:space="preserve"> emission reduction policies</w:t>
      </w:r>
      <w:r w:rsidR="00E87E79">
        <w:t xml:space="preserve">, </w:t>
      </w:r>
      <w:r w:rsidRPr="0070360D">
        <w:t>such as a price on carbon</w:t>
      </w:r>
      <w:r w:rsidR="00E87E79">
        <w:t>,</w:t>
      </w:r>
      <w:r w:rsidRPr="0070360D">
        <w:t xml:space="preserve"> to reduce the risk of carbon leakage. Many submitters thought having a clear plan for reducing free allocation would reduce uncertainty </w:t>
      </w:r>
      <w:r w:rsidR="00E87E79">
        <w:t xml:space="preserve">and </w:t>
      </w:r>
      <w:r w:rsidRPr="0070360D">
        <w:t>help with business planning.</w:t>
      </w:r>
    </w:p>
    <w:p w:rsidR="00FA71CA" w:rsidRDefault="00D92CB7" w:rsidP="00527C5F">
      <w:pPr>
        <w:pStyle w:val="Heading4"/>
      </w:pPr>
      <w:r>
        <w:t>M</w:t>
      </w:r>
      <w:r w:rsidR="00527C5F">
        <w:t>anaging unit supply</w:t>
      </w:r>
    </w:p>
    <w:p w:rsidR="00D92CB7" w:rsidRPr="008F2DEE" w:rsidRDefault="00FA71CA" w:rsidP="00D92CB7">
      <w:pPr>
        <w:pStyle w:val="BodyText"/>
      </w:pPr>
      <w:r w:rsidRPr="008F2DEE">
        <w:t>We sought views from submitters about how the supply of units into the NZ ETS should be managed up to and beyond 2020.</w:t>
      </w:r>
      <w:r w:rsidR="00704514" w:rsidRPr="008F2DEE">
        <w:t xml:space="preserve"> This</w:t>
      </w:r>
      <w:r w:rsidR="00527C5F" w:rsidRPr="008F2DEE">
        <w:t xml:space="preserve"> includ</w:t>
      </w:r>
      <w:r w:rsidR="00704514" w:rsidRPr="008F2DEE">
        <w:t>ed seeking views on</w:t>
      </w:r>
      <w:r w:rsidR="00527C5F" w:rsidRPr="008F2DEE">
        <w:t xml:space="preserve"> forestry, international units and selling New Zealand Units (NZUs) by auction</w:t>
      </w:r>
      <w:r w:rsidR="00704514" w:rsidRPr="008F2DEE">
        <w:t xml:space="preserve">. </w:t>
      </w:r>
      <w:r w:rsidR="00D92CB7" w:rsidRPr="008F2DEE">
        <w:t xml:space="preserve">A key theme across unit supply </w:t>
      </w:r>
      <w:r w:rsidR="001B5F30" w:rsidRPr="008F2DEE">
        <w:t xml:space="preserve">responses </w:t>
      </w:r>
      <w:r w:rsidR="00D92CB7" w:rsidRPr="008F2DEE">
        <w:t>was that there needed to be clarity on the future role of auctioning and international units to help businesses plan and make long-term investment decisions.</w:t>
      </w:r>
    </w:p>
    <w:p w:rsidR="000011B8" w:rsidRPr="0070360D" w:rsidRDefault="00D92CB7" w:rsidP="00E00A9F">
      <w:pPr>
        <w:pStyle w:val="BodyText"/>
      </w:pPr>
      <w:r w:rsidRPr="0070360D">
        <w:t>There was some wariness about the use of international units and auctioned units. A number of submitters had a preference for encouraging domestic emissions reductions.</w:t>
      </w:r>
      <w:r w:rsidR="00E00A9F" w:rsidRPr="00E00A9F">
        <w:t xml:space="preserve"> </w:t>
      </w:r>
      <w:r w:rsidR="00E00A9F">
        <w:t xml:space="preserve"> The majority</w:t>
      </w:r>
      <w:r w:rsidR="00E00A9F" w:rsidRPr="0070360D">
        <w:t xml:space="preserve"> of submitters thought there should be clear restrictions on</w:t>
      </w:r>
      <w:r w:rsidR="00E00A9F">
        <w:t xml:space="preserve"> the use of international units, with many </w:t>
      </w:r>
      <w:r w:rsidR="00D77A00">
        <w:t>commenting</w:t>
      </w:r>
      <w:r w:rsidR="00E00A9F">
        <w:t xml:space="preserve"> on the importance of ensuring </w:t>
      </w:r>
      <w:r w:rsidR="00D77A00">
        <w:t>international</w:t>
      </w:r>
      <w:r w:rsidR="00E00A9F">
        <w:t xml:space="preserve"> units have environmental integrity.</w:t>
      </w:r>
    </w:p>
    <w:p w:rsidR="00D92CB7" w:rsidRPr="0070360D" w:rsidRDefault="00D92CB7" w:rsidP="00D92CB7">
      <w:pPr>
        <w:pStyle w:val="BodyText"/>
      </w:pPr>
      <w:r w:rsidRPr="0070360D">
        <w:t xml:space="preserve">There </w:t>
      </w:r>
      <w:r w:rsidR="00C24AFC">
        <w:t xml:space="preserve">was a mix of </w:t>
      </w:r>
      <w:r w:rsidRPr="0070360D">
        <w:t>views about introduc</w:t>
      </w:r>
      <w:r w:rsidR="00C24AFC">
        <w:t>ing</w:t>
      </w:r>
      <w:r w:rsidRPr="0070360D">
        <w:t xml:space="preserve"> </w:t>
      </w:r>
      <w:r w:rsidRPr="00DA4E9A">
        <w:t>of</w:t>
      </w:r>
      <w:r w:rsidR="00D77A00" w:rsidRPr="00DA4E9A">
        <w:t xml:space="preserve"> auctioning</w:t>
      </w:r>
      <w:r w:rsidR="004E4EB8" w:rsidRPr="00DA4E9A">
        <w:t xml:space="preserve">. Those who supported the introduction of auctioning suggested it could be used to </w:t>
      </w:r>
      <w:r w:rsidR="000011B8" w:rsidRPr="00DA4E9A">
        <w:t xml:space="preserve">supply more units to the </w:t>
      </w:r>
      <w:r w:rsidR="004E4EB8" w:rsidRPr="00DA4E9A">
        <w:t>market. Some</w:t>
      </w:r>
      <w:r w:rsidR="004E4EB8">
        <w:t xml:space="preserve"> of those who did not </w:t>
      </w:r>
      <w:r w:rsidR="004E4EB8">
        <w:lastRenderedPageBreak/>
        <w:t>think auctioning should be introduced were</w:t>
      </w:r>
      <w:r w:rsidR="004E4EB8" w:rsidRPr="0070360D">
        <w:t xml:space="preserve"> concern</w:t>
      </w:r>
      <w:r w:rsidR="004E4EB8">
        <w:t>ed</w:t>
      </w:r>
      <w:r w:rsidR="004E4EB8" w:rsidRPr="0070360D">
        <w:t xml:space="preserve"> that auctioning could be used by the Government to manipulate the carbon price, introducing further uncertainty.</w:t>
      </w:r>
    </w:p>
    <w:p w:rsidR="00D92CB7" w:rsidRPr="0070360D" w:rsidRDefault="009610D2" w:rsidP="00D92CB7">
      <w:pPr>
        <w:pStyle w:val="BodyText"/>
      </w:pPr>
      <w:r>
        <w:t>Similarly, s</w:t>
      </w:r>
      <w:r w:rsidR="00D92CB7" w:rsidRPr="0070360D">
        <w:t>ubmitter</w:t>
      </w:r>
      <w:r w:rsidR="00C24AFC">
        <w:t xml:space="preserve"> response</w:t>
      </w:r>
      <w:r w:rsidR="00D92CB7" w:rsidRPr="0070360D">
        <w:t>s were split on what the role of auctioning should be</w:t>
      </w:r>
      <w:r w:rsidR="003B20D7">
        <w:t xml:space="preserve"> with</w:t>
      </w:r>
      <w:r w:rsidR="00D92CB7" w:rsidRPr="0070360D">
        <w:t xml:space="preserve"> </w:t>
      </w:r>
      <w:r w:rsidR="00CE711A" w:rsidRPr="0070360D">
        <w:t>su</w:t>
      </w:r>
      <w:r w:rsidR="00CE711A">
        <w:t>bmitter</w:t>
      </w:r>
      <w:r w:rsidR="00CE711A" w:rsidRPr="0070360D">
        <w:t xml:space="preserve">s </w:t>
      </w:r>
      <w:r w:rsidR="003B20D7">
        <w:t>supportive of</w:t>
      </w:r>
      <w:r w:rsidR="00CE711A">
        <w:t xml:space="preserve"> both </w:t>
      </w:r>
      <w:r w:rsidR="00D92CB7" w:rsidRPr="0070360D">
        <w:t>aligning supply with our international target</w:t>
      </w:r>
      <w:r w:rsidR="00CE711A">
        <w:t xml:space="preserve"> and</w:t>
      </w:r>
      <w:r w:rsidR="00D92CB7" w:rsidRPr="0070360D">
        <w:t xml:space="preserve"> more actively managing NZU prices. </w:t>
      </w:r>
      <w:r>
        <w:t>It was also noted that the use of auctioning c</w:t>
      </w:r>
      <w:r w:rsidR="00D92CB7" w:rsidRPr="0070360D">
        <w:t xml:space="preserve">ould improve price discovery and </w:t>
      </w:r>
      <w:r w:rsidR="00CE711A">
        <w:t xml:space="preserve">improve </w:t>
      </w:r>
      <w:r w:rsidR="00D92CB7" w:rsidRPr="0070360D">
        <w:t xml:space="preserve">transparency </w:t>
      </w:r>
      <w:r w:rsidR="00CE711A">
        <w:t>of</w:t>
      </w:r>
      <w:r w:rsidR="00D92CB7" w:rsidRPr="0070360D">
        <w:t xml:space="preserve"> the market. </w:t>
      </w:r>
    </w:p>
    <w:p w:rsidR="00D6028E" w:rsidRDefault="00D92CB7" w:rsidP="00D6028E">
      <w:pPr>
        <w:pStyle w:val="BodyText"/>
        <w:rPr>
          <w:highlight w:val="yellow"/>
        </w:rPr>
      </w:pPr>
      <w:r w:rsidRPr="0070360D">
        <w:t>Revenue recycling was also discussed, with several submitters commenting that revenue from auctioning should be used towards low emissions technologies and projects, or to provide assistance to low income households.</w:t>
      </w:r>
      <w:r w:rsidR="00D6028E" w:rsidRPr="00D6028E">
        <w:rPr>
          <w:highlight w:val="yellow"/>
        </w:rPr>
        <w:t xml:space="preserve"> </w:t>
      </w:r>
    </w:p>
    <w:p w:rsidR="00271758" w:rsidRDefault="00D6028E" w:rsidP="00D6028E">
      <w:pPr>
        <w:pStyle w:val="BodyText"/>
      </w:pPr>
      <w:r w:rsidRPr="008F2DEE">
        <w:t>We also sought views on how the carbon price impact</w:t>
      </w:r>
      <w:r w:rsidR="00EE056F" w:rsidRPr="008F2DEE">
        <w:t xml:space="preserve">s forestry investment decisions, and how the NZ ETS could </w:t>
      </w:r>
      <w:r w:rsidR="000D6E7F" w:rsidRPr="008F2DEE">
        <w:t xml:space="preserve">be improved to </w:t>
      </w:r>
      <w:r w:rsidR="00EE056F" w:rsidRPr="008F2DEE">
        <w:t xml:space="preserve">increase incentives for forestry, outside of NZU price. Submitters highlighted that </w:t>
      </w:r>
      <w:r w:rsidR="00DD3701">
        <w:t xml:space="preserve">the </w:t>
      </w:r>
      <w:r w:rsidR="00EE056F" w:rsidRPr="008F2DEE">
        <w:t xml:space="preserve">carbon price </w:t>
      </w:r>
      <w:r w:rsidR="00DD3701">
        <w:t xml:space="preserve">impacts </w:t>
      </w:r>
      <w:r w:rsidR="000D6E7F" w:rsidRPr="008F2DEE">
        <w:t>forestry investment</w:t>
      </w:r>
      <w:r w:rsidR="00DD3701" w:rsidRPr="00DD3701">
        <w:t xml:space="preserve"> decisions, </w:t>
      </w:r>
      <w:r w:rsidR="00271758">
        <w:t xml:space="preserve">but that there are also a range of other factors that impact these decisions, including wider NZ ETS settings and likely profitability of harvesting the forest. </w:t>
      </w:r>
    </w:p>
    <w:p w:rsidR="00D92CB7" w:rsidRDefault="00D6028E" w:rsidP="00D92CB7">
      <w:pPr>
        <w:pStyle w:val="BodyText"/>
      </w:pPr>
      <w:r w:rsidRPr="008F2DEE">
        <w:t>Foresters</w:t>
      </w:r>
      <w:r w:rsidR="000D6E7F" w:rsidRPr="008F2DEE">
        <w:t xml:space="preserve"> </w:t>
      </w:r>
      <w:r w:rsidR="00271758">
        <w:t xml:space="preserve">also </w:t>
      </w:r>
      <w:r w:rsidRPr="008F2DEE">
        <w:t xml:space="preserve">noted that increased </w:t>
      </w:r>
      <w:r w:rsidR="00DA4E9A" w:rsidRPr="008F2DEE">
        <w:t>policy predictability</w:t>
      </w:r>
      <w:r w:rsidRPr="008F2DEE">
        <w:t xml:space="preserve"> </w:t>
      </w:r>
      <w:r w:rsidR="00543049" w:rsidRPr="008F2DEE">
        <w:t>was</w:t>
      </w:r>
      <w:r w:rsidR="00271758">
        <w:t xml:space="preserve"> a </w:t>
      </w:r>
      <w:r w:rsidR="00543049" w:rsidRPr="008F2DEE">
        <w:t xml:space="preserve">key </w:t>
      </w:r>
      <w:r w:rsidR="00271758">
        <w:t xml:space="preserve">factor </w:t>
      </w:r>
      <w:r w:rsidR="00543049" w:rsidRPr="008F2DEE">
        <w:t>to increase</w:t>
      </w:r>
      <w:r w:rsidR="00271758">
        <w:t xml:space="preserve"> NZ ETS</w:t>
      </w:r>
      <w:r w:rsidR="00543049" w:rsidRPr="008F2DEE">
        <w:t xml:space="preserve"> incentives for</w:t>
      </w:r>
      <w:r w:rsidR="00271758">
        <w:t xml:space="preserve"> </w:t>
      </w:r>
      <w:r w:rsidR="00DA4E9A">
        <w:t>new</w:t>
      </w:r>
      <w:r w:rsidR="00DA4E9A" w:rsidRPr="008F2DEE">
        <w:t xml:space="preserve"> forest</w:t>
      </w:r>
      <w:r w:rsidRPr="008F2DEE">
        <w:t xml:space="preserve"> planting</w:t>
      </w:r>
      <w:r w:rsidR="00DA4E9A">
        <w:t>.</w:t>
      </w:r>
      <w:r w:rsidR="00543049" w:rsidRPr="00543049">
        <w:t xml:space="preserve"> Submitters also </w:t>
      </w:r>
      <w:r w:rsidR="00BA2A45">
        <w:t xml:space="preserve">discussed other </w:t>
      </w:r>
      <w:r w:rsidR="00EA7013">
        <w:t>possible improvements to the NZ ETS, including changes to accounting approaches for post-1989 forestry and a number of operational improvements.</w:t>
      </w:r>
    </w:p>
    <w:p w:rsidR="00527C5F" w:rsidRDefault="00D92CB7" w:rsidP="00527C5F">
      <w:pPr>
        <w:pStyle w:val="Heading4"/>
      </w:pPr>
      <w:r>
        <w:t>M</w:t>
      </w:r>
      <w:r w:rsidR="00527C5F">
        <w:t>anaging price stability</w:t>
      </w:r>
    </w:p>
    <w:p w:rsidR="00D92CB7" w:rsidRPr="0070360D" w:rsidRDefault="00D92CB7" w:rsidP="00D92CB7">
      <w:pPr>
        <w:pStyle w:val="BodyText"/>
      </w:pPr>
      <w:r w:rsidRPr="00A71C0D">
        <w:t>More than half of submitters thought that carbon price volatility had significant</w:t>
      </w:r>
      <w:r w:rsidR="00CB04F9" w:rsidRPr="00A71C0D">
        <w:t>ly</w:t>
      </w:r>
      <w:r w:rsidRPr="00A71C0D">
        <w:t xml:space="preserve"> impact</w:t>
      </w:r>
      <w:r w:rsidR="00CB04F9" w:rsidRPr="00A71C0D">
        <w:t>ed</w:t>
      </w:r>
      <w:r w:rsidRPr="00A71C0D">
        <w:t xml:space="preserve"> their business, especially</w:t>
      </w:r>
      <w:r w:rsidR="00B53AF6" w:rsidRPr="00A71C0D">
        <w:t xml:space="preserve"> submitters from</w:t>
      </w:r>
      <w:r w:rsidRPr="00A71C0D">
        <w:t xml:space="preserve"> the forestry sector. Many noted this had made it hard to plan and had reduced investments in low emiss</w:t>
      </w:r>
      <w:r w:rsidR="009610D2" w:rsidRPr="00A71C0D">
        <w:t xml:space="preserve">ions technologies and forestry. </w:t>
      </w:r>
      <w:r w:rsidR="00921D6A" w:rsidRPr="00DA4E9A">
        <w:t>M</w:t>
      </w:r>
      <w:r w:rsidR="009610D2" w:rsidRPr="00A71C0D">
        <w:t>any</w:t>
      </w:r>
      <w:r w:rsidR="002742FB" w:rsidRPr="00A71C0D">
        <w:t xml:space="preserve"> </w:t>
      </w:r>
      <w:r w:rsidRPr="00A71C0D">
        <w:t>submitters</w:t>
      </w:r>
      <w:r w:rsidRPr="0070360D">
        <w:t xml:space="preserve"> thought there should be measures in place to manage price stability, noting this was necessary due to the small size of the New Zealand market and to provide more certainty for business planning.</w:t>
      </w:r>
    </w:p>
    <w:p w:rsidR="00D92CB7" w:rsidRPr="0070360D" w:rsidRDefault="00D92CB7" w:rsidP="00D92CB7">
      <w:pPr>
        <w:pStyle w:val="BodyText"/>
      </w:pPr>
      <w:r w:rsidRPr="0070360D">
        <w:t>There was a range of views on the types of mechanisms that should be used, with s</w:t>
      </w:r>
      <w:r w:rsidR="002742FB">
        <w:t>ome</w:t>
      </w:r>
      <w:r w:rsidRPr="0070360D">
        <w:t xml:space="preserve"> submitters </w:t>
      </w:r>
      <w:r w:rsidR="00B53AF6">
        <w:t xml:space="preserve">supportive of both upper and lower price limits. Some submitters also </w:t>
      </w:r>
      <w:r w:rsidR="002742FB">
        <w:t>suggest</w:t>
      </w:r>
      <w:r w:rsidR="00B53AF6">
        <w:t>ed</w:t>
      </w:r>
      <w:r w:rsidRPr="0070360D">
        <w:t xml:space="preserve"> that the </w:t>
      </w:r>
      <w:r w:rsidR="002742FB">
        <w:t xml:space="preserve">price </w:t>
      </w:r>
      <w:r w:rsidRPr="0070360D">
        <w:t xml:space="preserve">limits should increase over time to drive </w:t>
      </w:r>
      <w:r w:rsidR="0041121A">
        <w:t xml:space="preserve">greater </w:t>
      </w:r>
      <w:r w:rsidRPr="0070360D">
        <w:t>emission reductions.</w:t>
      </w:r>
    </w:p>
    <w:p w:rsidR="00D92CB7" w:rsidRPr="0070360D" w:rsidRDefault="00D92CB7" w:rsidP="00D92CB7">
      <w:pPr>
        <w:pStyle w:val="BodyText"/>
      </w:pPr>
      <w:r w:rsidRPr="0070360D">
        <w:t>Submitters noted that the most important consideration for the government was policy stability. This included ensuring that policies had</w:t>
      </w:r>
      <w:r w:rsidR="00920053">
        <w:t xml:space="preserve"> cross-party</w:t>
      </w:r>
      <w:r w:rsidRPr="0070360D">
        <w:t xml:space="preserve"> political buy-in, reducing changes to the NZ ETS and ensuring any changes were predictable and transparent. Other considerations included protecting competitiveness of businesses, ensuring the NZU price drives emissions reductions and allowing the market to determine the price.</w:t>
      </w:r>
    </w:p>
    <w:p w:rsidR="00527C5F" w:rsidRDefault="00585D92" w:rsidP="00527C5F">
      <w:pPr>
        <w:pStyle w:val="Heading4"/>
      </w:pPr>
      <w:r>
        <w:t>Administrative efficiency of the NZ ETS</w:t>
      </w:r>
    </w:p>
    <w:p w:rsidR="00E74F9F" w:rsidRDefault="00E74F9F" w:rsidP="00CE58D8">
      <w:r w:rsidRPr="00E74F9F">
        <w:t>A key theme across submissions was that the NZ ETS is quite complex, and that efforts should be made to reduce this complexity, where possible, and to help participants better understand the NZ ETS. This view was especially prominent among submissions from the forestry sector. Another common theme was a call for the Government to provide more information about the NZ ETS, including information on the carbon market. A number of submitters also raised particular operational or technical matters they thought could be improved.</w:t>
      </w:r>
    </w:p>
    <w:p w:rsidR="00527C5F" w:rsidRDefault="00FD7C94" w:rsidP="00527C5F">
      <w:pPr>
        <w:pStyle w:val="Heading4"/>
      </w:pPr>
      <w:r>
        <w:lastRenderedPageBreak/>
        <w:t>A</w:t>
      </w:r>
      <w:r w:rsidR="00527C5F">
        <w:t>ddressing barriers to the uptak</w:t>
      </w:r>
      <w:r w:rsidR="008643C3">
        <w:t>e of low emission technologies</w:t>
      </w:r>
      <w:r w:rsidR="00527C5F">
        <w:t xml:space="preserve"> </w:t>
      </w:r>
    </w:p>
    <w:p w:rsidR="00FF3FCC" w:rsidRDefault="00FF3FCC" w:rsidP="0024236C">
      <w:pPr>
        <w:pStyle w:val="BodyText"/>
      </w:pPr>
      <w:r>
        <w:t xml:space="preserve">The majority of submitters that addressed the topic of barriers to the uptake of low emission technologies thought there were barriers. Common things cited as barriers included regulatory uncertainty, low carbon price, lack of alignment between policies, </w:t>
      </w:r>
      <w:r w:rsidR="0024236C">
        <w:t>along with barriers that are specific to certain activities.</w:t>
      </w:r>
    </w:p>
    <w:p w:rsidR="00204869" w:rsidRDefault="0024236C" w:rsidP="00DA4E9A">
      <w:pPr>
        <w:pStyle w:val="BodyText"/>
        <w:rPr>
          <w:color w:val="005984"/>
          <w:sz w:val="36"/>
          <w:szCs w:val="36"/>
        </w:rPr>
      </w:pPr>
      <w:r>
        <w:t xml:space="preserve">Submitters thought there would be a role for the Government in reducing barriers to the uptake of </w:t>
      </w:r>
      <w:r w:rsidR="00FD7C94">
        <w:t>low emissions technology. Some of the common suggestions included i</w:t>
      </w:r>
      <w:r>
        <w:t xml:space="preserve">ncreased predictability </w:t>
      </w:r>
      <w:r w:rsidR="00FD7C94">
        <w:t xml:space="preserve">of policies, early and clear communication of policy settings, making sure policies align and incentivising low emissions technologies </w:t>
      </w:r>
      <w:r w:rsidR="008F37C1">
        <w:t>especially through funding and supporting policies</w:t>
      </w:r>
      <w:r w:rsidR="00920053">
        <w:t xml:space="preserve"> outside the NZ ETS</w:t>
      </w:r>
      <w:r w:rsidR="008F37C1">
        <w:t>.</w:t>
      </w:r>
      <w:r w:rsidR="00204869">
        <w:br w:type="page"/>
      </w:r>
    </w:p>
    <w:p w:rsidR="002511F7" w:rsidRDefault="00D8361D" w:rsidP="00BA7A35">
      <w:pPr>
        <w:pStyle w:val="Heading1"/>
        <w:numPr>
          <w:ilvl w:val="0"/>
          <w:numId w:val="12"/>
        </w:numPr>
        <w:ind w:hanging="1215"/>
      </w:pPr>
      <w:bookmarkStart w:id="3" w:name="_Toc463270110"/>
      <w:r w:rsidRPr="00C76622">
        <w:lastRenderedPageBreak/>
        <w:t>Introduction</w:t>
      </w:r>
      <w:bookmarkEnd w:id="3"/>
      <w:r w:rsidRPr="00C76622">
        <w:t xml:space="preserve"> </w:t>
      </w:r>
    </w:p>
    <w:p w:rsidR="00F96A6F" w:rsidRPr="00C76622" w:rsidRDefault="00F96A6F" w:rsidP="00F96A6F">
      <w:pPr>
        <w:pStyle w:val="BodyText"/>
      </w:pPr>
      <w:r>
        <w:t>Th</w:t>
      </w:r>
      <w:r w:rsidRPr="00C76622">
        <w:t>e New Zealand Emissions Trading Scheme (NZ ETS)</w:t>
      </w:r>
      <w:r>
        <w:t xml:space="preserve"> r</w:t>
      </w:r>
      <w:r w:rsidRPr="00C76622">
        <w:t>eview began on 24 November 2015</w:t>
      </w:r>
      <w:r w:rsidR="00E200A5">
        <w:t>,</w:t>
      </w:r>
      <w:r w:rsidRPr="00C76622">
        <w:t xml:space="preserve"> with the release of a discussion documen</w:t>
      </w:r>
      <w:r w:rsidRPr="00832C07">
        <w:t>t and call for written submissions. The discussion document</w:t>
      </w:r>
      <w:r w:rsidR="00204869" w:rsidRPr="00832C07">
        <w:t xml:space="preserve"> (</w:t>
      </w:r>
      <w:r w:rsidR="00204869" w:rsidRPr="00832C07">
        <w:rPr>
          <w:rStyle w:val="Hyperlink"/>
        </w:rPr>
        <w:t>www.mfe.govt.nz/publications/climate-change/new-zealand-emissions-trading-scheme-review-2015-16-discussion-document</w:t>
      </w:r>
      <w:r w:rsidR="00204869" w:rsidRPr="00832C07">
        <w:t>)</w:t>
      </w:r>
      <w:r w:rsidRPr="00832C07">
        <w:t xml:space="preserve"> set out the</w:t>
      </w:r>
      <w:r w:rsidRPr="00C76622">
        <w:t xml:space="preserve"> terms of reference for the review, and issues for consultation. </w:t>
      </w:r>
    </w:p>
    <w:p w:rsidR="00F96A6F" w:rsidRPr="00C76622" w:rsidRDefault="00F96A6F" w:rsidP="00F96A6F">
      <w:pPr>
        <w:pStyle w:val="BodyText"/>
      </w:pPr>
      <w:r w:rsidRPr="00C76622">
        <w:t>The issues for consultation covered the following three key areas:</w:t>
      </w:r>
    </w:p>
    <w:p w:rsidR="00F96A6F" w:rsidRPr="00C76622" w:rsidRDefault="00F96A6F" w:rsidP="00F96A6F">
      <w:pPr>
        <w:pStyle w:val="Bullet"/>
      </w:pPr>
      <w:r w:rsidRPr="00C76622">
        <w:t>transition measures, with the exception of surrender obligations for biological emissions from agriculture</w:t>
      </w:r>
    </w:p>
    <w:p w:rsidR="00F96A6F" w:rsidRPr="00C76622" w:rsidRDefault="00F96A6F" w:rsidP="00F96A6F">
      <w:pPr>
        <w:pStyle w:val="Bullet"/>
      </w:pPr>
      <w:r w:rsidRPr="00C76622">
        <w:t xml:space="preserve">evolution of the NZ ETS design, taking into account the changing conditions in which </w:t>
      </w:r>
      <w:r w:rsidRPr="00C76622">
        <w:br/>
        <w:t>it operates</w:t>
      </w:r>
    </w:p>
    <w:p w:rsidR="00F96A6F" w:rsidRDefault="00F96A6F" w:rsidP="00F96A6F">
      <w:pPr>
        <w:pStyle w:val="Bullet"/>
      </w:pPr>
      <w:proofErr w:type="gramStart"/>
      <w:r w:rsidRPr="00C76622">
        <w:t>operational</w:t>
      </w:r>
      <w:proofErr w:type="gramEnd"/>
      <w:r w:rsidRPr="00C76622">
        <w:t xml:space="preserve"> and technical improvements.</w:t>
      </w:r>
    </w:p>
    <w:p w:rsidR="00F96A6F" w:rsidRPr="00C76622" w:rsidRDefault="00F96A6F" w:rsidP="00F96A6F">
      <w:pPr>
        <w:pStyle w:val="BodyText"/>
      </w:pPr>
      <w:r w:rsidRPr="00C76622">
        <w:t xml:space="preserve">From these issues, the Government identified two priority </w:t>
      </w:r>
      <w:r w:rsidR="0056471D">
        <w:t>issue</w:t>
      </w:r>
      <w:r w:rsidRPr="00C76622">
        <w:t>s for consultation. These were:</w:t>
      </w:r>
    </w:p>
    <w:p w:rsidR="00F96A6F" w:rsidRPr="00C76622" w:rsidRDefault="00F96A6F" w:rsidP="00F96A6F">
      <w:pPr>
        <w:pStyle w:val="Bullet"/>
      </w:pPr>
      <w:r w:rsidRPr="00C76622">
        <w:t>moving to full surrender obligations for the liquid fossil fuels, industrial processes, stationary energy and waste sectors</w:t>
      </w:r>
    </w:p>
    <w:p w:rsidR="00F96A6F" w:rsidRPr="00C76622" w:rsidRDefault="00F96A6F" w:rsidP="00F96A6F">
      <w:pPr>
        <w:pStyle w:val="Bullet"/>
      </w:pPr>
      <w:proofErr w:type="gramStart"/>
      <w:r w:rsidRPr="00C76622">
        <w:t>managing</w:t>
      </w:r>
      <w:proofErr w:type="gramEnd"/>
      <w:r w:rsidRPr="00C76622">
        <w:t xml:space="preserve"> the costs of those sectors moving to full surrender obligations.</w:t>
      </w:r>
    </w:p>
    <w:p w:rsidR="00F96A6F" w:rsidRPr="00C76622" w:rsidRDefault="00F96A6F" w:rsidP="00F96A6F">
      <w:pPr>
        <w:pStyle w:val="BodyText"/>
      </w:pPr>
      <w:r w:rsidRPr="00C76622">
        <w:t xml:space="preserve">The Government sought submissions on how changes to the priority </w:t>
      </w:r>
      <w:r w:rsidR="0056471D">
        <w:t>issues</w:t>
      </w:r>
      <w:r w:rsidR="0056471D" w:rsidRPr="00C76622">
        <w:t xml:space="preserve"> </w:t>
      </w:r>
      <w:r w:rsidRPr="00C76622">
        <w:t>would impact individuals, communities, businesses and other organisations.</w:t>
      </w:r>
      <w:r>
        <w:t xml:space="preserve"> </w:t>
      </w:r>
      <w:r w:rsidRPr="00C76622">
        <w:t xml:space="preserve">Consultation on priority issues </w:t>
      </w:r>
      <w:r>
        <w:t xml:space="preserve">closed on </w:t>
      </w:r>
      <w:r w:rsidRPr="00C76622">
        <w:t>19 February 2016.</w:t>
      </w:r>
    </w:p>
    <w:p w:rsidR="00F96A6F" w:rsidRDefault="00F96A6F" w:rsidP="00F96A6F">
      <w:pPr>
        <w:pStyle w:val="BodyText"/>
      </w:pPr>
      <w:r>
        <w:t xml:space="preserve">In July 2016 a summary of consultation responses on the priority </w:t>
      </w:r>
      <w:r w:rsidR="0056471D">
        <w:t>issue</w:t>
      </w:r>
      <w:r>
        <w:t>s was published on the Ministry for the Environment website (</w:t>
      </w:r>
      <w:r w:rsidR="00021A26" w:rsidRPr="00A818BC">
        <w:rPr>
          <w:rStyle w:val="Hyperlink"/>
        </w:rPr>
        <w:t>www.mfe.govt.nz/publications/climate-change/new-zealand-emissions-trading-scheme-review-201516-summary-stage-one</w:t>
      </w:r>
      <w:r>
        <w:t xml:space="preserve">). </w:t>
      </w:r>
      <w:r w:rsidRPr="00C76622">
        <w:t xml:space="preserve">The remaining issues under review were allocated a longer time for consultation. </w:t>
      </w:r>
      <w:r>
        <w:t xml:space="preserve">These </w:t>
      </w:r>
      <w:r w:rsidR="00506548">
        <w:t>issues included</w:t>
      </w:r>
      <w:r>
        <w:t xml:space="preserve"> the future direction of the NZ ETS</w:t>
      </w:r>
      <w:r w:rsidR="00E200A5">
        <w:t>,</w:t>
      </w:r>
      <w:r>
        <w:t xml:space="preserve"> including: </w:t>
      </w:r>
    </w:p>
    <w:p w:rsidR="00F96A6F" w:rsidRDefault="00F96A6F" w:rsidP="00F96A6F">
      <w:pPr>
        <w:pStyle w:val="BodyText"/>
        <w:numPr>
          <w:ilvl w:val="0"/>
          <w:numId w:val="16"/>
        </w:numPr>
        <w:ind w:left="426" w:hanging="426"/>
      </w:pPr>
      <w:r>
        <w:t>business responses to the NZ ETS</w:t>
      </w:r>
    </w:p>
    <w:p w:rsidR="00F96A6F" w:rsidRDefault="00F96A6F" w:rsidP="00F96A6F">
      <w:pPr>
        <w:pStyle w:val="BodyText"/>
        <w:numPr>
          <w:ilvl w:val="0"/>
          <w:numId w:val="16"/>
        </w:numPr>
        <w:ind w:left="426" w:hanging="426"/>
      </w:pPr>
      <w:r>
        <w:t>protecting competitiveness through free allocation</w:t>
      </w:r>
    </w:p>
    <w:p w:rsidR="00F96A6F" w:rsidRDefault="00F96A6F" w:rsidP="00F96A6F">
      <w:pPr>
        <w:pStyle w:val="BodyText"/>
        <w:numPr>
          <w:ilvl w:val="0"/>
          <w:numId w:val="16"/>
        </w:numPr>
        <w:ind w:left="426" w:hanging="426"/>
      </w:pPr>
      <w:r>
        <w:t>managing unit supply, including issues related to forestry, international units and selling N</w:t>
      </w:r>
      <w:r w:rsidR="00E200A5">
        <w:t xml:space="preserve">ew </w:t>
      </w:r>
      <w:r>
        <w:t>Z</w:t>
      </w:r>
      <w:r w:rsidR="00E200A5">
        <w:t xml:space="preserve">ealand </w:t>
      </w:r>
      <w:r>
        <w:t>U</w:t>
      </w:r>
      <w:r w:rsidR="00E200A5">
        <w:t>nit</w:t>
      </w:r>
      <w:r>
        <w:t>s</w:t>
      </w:r>
      <w:r w:rsidR="00E200A5">
        <w:t xml:space="preserve"> (NZUs)</w:t>
      </w:r>
      <w:r>
        <w:t xml:space="preserve"> by auction</w:t>
      </w:r>
    </w:p>
    <w:p w:rsidR="00F96A6F" w:rsidRDefault="00F96A6F" w:rsidP="00F96A6F">
      <w:pPr>
        <w:pStyle w:val="BodyText"/>
        <w:numPr>
          <w:ilvl w:val="0"/>
          <w:numId w:val="16"/>
        </w:numPr>
        <w:ind w:left="426" w:hanging="426"/>
      </w:pPr>
      <w:r>
        <w:t>managing price stability</w:t>
      </w:r>
    </w:p>
    <w:p w:rsidR="00F96A6F" w:rsidRDefault="00F96A6F" w:rsidP="00F96A6F">
      <w:pPr>
        <w:pStyle w:val="BodyText"/>
        <w:numPr>
          <w:ilvl w:val="0"/>
          <w:numId w:val="16"/>
        </w:numPr>
        <w:ind w:left="426" w:hanging="426"/>
      </w:pPr>
      <w:r>
        <w:t>operational and technical matters</w:t>
      </w:r>
    </w:p>
    <w:p w:rsidR="00F96A6F" w:rsidRDefault="00F96A6F" w:rsidP="00F96A6F">
      <w:pPr>
        <w:pStyle w:val="BodyText"/>
        <w:numPr>
          <w:ilvl w:val="0"/>
          <w:numId w:val="16"/>
        </w:numPr>
        <w:ind w:left="426" w:hanging="426"/>
      </w:pPr>
      <w:proofErr w:type="gramStart"/>
      <w:r>
        <w:t>addressing</w:t>
      </w:r>
      <w:proofErr w:type="gramEnd"/>
      <w:r>
        <w:t xml:space="preserve"> barriers to the uptake of low emission technologies.  </w:t>
      </w:r>
    </w:p>
    <w:p w:rsidR="00F96A6F" w:rsidRPr="00C76622" w:rsidRDefault="000E29F2" w:rsidP="00F96A6F">
      <w:pPr>
        <w:pStyle w:val="BodyText"/>
      </w:pPr>
      <w:r>
        <w:t>Submissions on the ‘</w:t>
      </w:r>
      <w:r w:rsidR="00F96A6F" w:rsidRPr="00C76622">
        <w:t xml:space="preserve">other </w:t>
      </w:r>
      <w:r w:rsidR="0056471D">
        <w:t>issues’</w:t>
      </w:r>
      <w:r w:rsidR="0056471D" w:rsidRPr="00C76622">
        <w:t xml:space="preserve"> </w:t>
      </w:r>
      <w:r w:rsidR="00F96A6F">
        <w:t>were</w:t>
      </w:r>
      <w:r w:rsidR="00F96A6F" w:rsidRPr="00C76622">
        <w:t xml:space="preserve"> accepted until 5.00</w:t>
      </w:r>
      <w:r w:rsidR="0026418D">
        <w:t xml:space="preserve"> </w:t>
      </w:r>
      <w:r w:rsidR="00F96A6F" w:rsidRPr="00C76622">
        <w:t>pm on 30 April 2016.</w:t>
      </w:r>
    </w:p>
    <w:p w:rsidR="00F96A6F" w:rsidRPr="006F2820" w:rsidRDefault="00F96A6F" w:rsidP="00F96A6F">
      <w:pPr>
        <w:pStyle w:val="BodyText"/>
        <w:rPr>
          <w:b/>
        </w:rPr>
      </w:pPr>
      <w:r w:rsidRPr="00C76622">
        <w:rPr>
          <w:b/>
        </w:rPr>
        <w:t>This document provides a summary of consultation responses on stage</w:t>
      </w:r>
      <w:r>
        <w:rPr>
          <w:b/>
        </w:rPr>
        <w:t xml:space="preserve"> two</w:t>
      </w:r>
      <w:r w:rsidRPr="00C76622">
        <w:rPr>
          <w:b/>
        </w:rPr>
        <w:t xml:space="preserve"> </w:t>
      </w:r>
      <w:r>
        <w:rPr>
          <w:b/>
        </w:rPr>
        <w:t xml:space="preserve">(other </w:t>
      </w:r>
      <w:r w:rsidR="0056471D">
        <w:rPr>
          <w:b/>
        </w:rPr>
        <w:t>issues</w:t>
      </w:r>
      <w:r>
        <w:rPr>
          <w:b/>
        </w:rPr>
        <w:t xml:space="preserve">) only. </w:t>
      </w:r>
    </w:p>
    <w:p w:rsidR="00F96A6F" w:rsidRDefault="00F96A6F" w:rsidP="00F96A6F">
      <w:pPr>
        <w:pStyle w:val="Heading2"/>
      </w:pPr>
      <w:bookmarkStart w:id="4" w:name="_Toc463270111"/>
      <w:r w:rsidRPr="00C76622">
        <w:lastRenderedPageBreak/>
        <w:t>1.2</w:t>
      </w:r>
      <w:r w:rsidRPr="00C76622">
        <w:tab/>
      </w:r>
      <w:r>
        <w:t>Technical notes</w:t>
      </w:r>
      <w:bookmarkEnd w:id="4"/>
    </w:p>
    <w:p w:rsidR="00F96A6F" w:rsidRPr="00D130FF" w:rsidRDefault="00F96A6F" w:rsidP="00F96A6F">
      <w:pPr>
        <w:pStyle w:val="NormalWeb"/>
        <w:rPr>
          <w:sz w:val="22"/>
          <w:szCs w:val="22"/>
        </w:rPr>
      </w:pPr>
      <w:r w:rsidRPr="00D130FF">
        <w:rPr>
          <w:sz w:val="22"/>
          <w:szCs w:val="22"/>
        </w:rPr>
        <w:t>Two technical notes were</w:t>
      </w:r>
      <w:r w:rsidR="00670489">
        <w:rPr>
          <w:sz w:val="22"/>
          <w:szCs w:val="22"/>
        </w:rPr>
        <w:t xml:space="preserve"> released during stage two of the NZ ETS review</w:t>
      </w:r>
      <w:r w:rsidR="0026418D">
        <w:rPr>
          <w:sz w:val="22"/>
          <w:szCs w:val="22"/>
        </w:rPr>
        <w:t>,</w:t>
      </w:r>
      <w:r w:rsidRPr="00D130FF">
        <w:rPr>
          <w:sz w:val="22"/>
          <w:szCs w:val="22"/>
        </w:rPr>
        <w:t xml:space="preserve"> to support </w:t>
      </w:r>
      <w:r w:rsidR="00865C88">
        <w:rPr>
          <w:sz w:val="22"/>
          <w:szCs w:val="22"/>
        </w:rPr>
        <w:t>consultation and seek</w:t>
      </w:r>
      <w:r w:rsidR="00F16356">
        <w:rPr>
          <w:sz w:val="22"/>
          <w:szCs w:val="22"/>
        </w:rPr>
        <w:t xml:space="preserve"> additional </w:t>
      </w:r>
      <w:r w:rsidR="00865C88">
        <w:rPr>
          <w:sz w:val="22"/>
          <w:szCs w:val="22"/>
        </w:rPr>
        <w:t xml:space="preserve">feedback on </w:t>
      </w:r>
      <w:r w:rsidR="001876F7">
        <w:rPr>
          <w:sz w:val="22"/>
          <w:szCs w:val="22"/>
        </w:rPr>
        <w:t>some specific issues</w:t>
      </w:r>
      <w:r w:rsidRPr="00D130FF">
        <w:rPr>
          <w:sz w:val="22"/>
          <w:szCs w:val="22"/>
        </w:rPr>
        <w:t>. The following documents were released on 3 March 2016</w:t>
      </w:r>
      <w:r w:rsidR="0026418D">
        <w:rPr>
          <w:sz w:val="22"/>
          <w:szCs w:val="22"/>
        </w:rPr>
        <w:t>,</w:t>
      </w:r>
      <w:r w:rsidRPr="00D130FF">
        <w:rPr>
          <w:sz w:val="22"/>
          <w:szCs w:val="22"/>
        </w:rPr>
        <w:t xml:space="preserve"> and published on the Ministry for the Environment website:</w:t>
      </w:r>
    </w:p>
    <w:p w:rsidR="00F96A6F" w:rsidRPr="00C76622" w:rsidRDefault="00F96A6F" w:rsidP="004F7929">
      <w:pPr>
        <w:pStyle w:val="Bullet"/>
      </w:pPr>
      <w:r w:rsidRPr="00C76622">
        <w:t>New Zealand Emissions Trading Scheme</w:t>
      </w:r>
      <w:r w:rsidR="00184BC1">
        <w:t xml:space="preserve"> Review 2015/16</w:t>
      </w:r>
      <w:r>
        <w:t xml:space="preserve">: Forestry Technical Note </w:t>
      </w:r>
      <w:r w:rsidR="004F7929">
        <w:t xml:space="preserve"> (</w:t>
      </w:r>
      <w:r w:rsidR="004F7929" w:rsidRPr="00DA4E9A">
        <w:rPr>
          <w:rStyle w:val="Hyperlink"/>
        </w:rPr>
        <w:t>www.mfe.govt.nz/publications/climate-change/forestry-technical-note</w:t>
      </w:r>
      <w:r w:rsidR="004F7929">
        <w:t>)</w:t>
      </w:r>
    </w:p>
    <w:p w:rsidR="00F96A6F" w:rsidRDefault="00F96A6F" w:rsidP="004F7929">
      <w:pPr>
        <w:pStyle w:val="Bullet"/>
      </w:pPr>
      <w:r w:rsidRPr="00C76622">
        <w:t>New Zealand Emissions Trading Scheme</w:t>
      </w:r>
      <w:r w:rsidR="00184BC1">
        <w:t xml:space="preserve"> Review 2015/16</w:t>
      </w:r>
      <w:r>
        <w:t xml:space="preserve">: Operational Matters Technical Note </w:t>
      </w:r>
      <w:r w:rsidR="004F7929">
        <w:t>(</w:t>
      </w:r>
      <w:r w:rsidR="004F7929" w:rsidRPr="00DA4E9A">
        <w:rPr>
          <w:rStyle w:val="Hyperlink"/>
        </w:rPr>
        <w:t>www.mfe.govt.nz/publications/climate-change/operational-matters-technical-note</w:t>
      </w:r>
      <w:r w:rsidR="004F7929">
        <w:t>)</w:t>
      </w:r>
    </w:p>
    <w:p w:rsidR="00F16356" w:rsidRPr="00C76622" w:rsidRDefault="00F16356" w:rsidP="00F16356">
      <w:pPr>
        <w:pStyle w:val="Bullet"/>
        <w:numPr>
          <w:ilvl w:val="0"/>
          <w:numId w:val="0"/>
        </w:numPr>
      </w:pPr>
      <w:r>
        <w:t>The</w:t>
      </w:r>
      <w:r w:rsidR="00284CB4">
        <w:t>se</w:t>
      </w:r>
      <w:r>
        <w:t xml:space="preserve"> technical notes</w:t>
      </w:r>
      <w:r w:rsidRPr="00F16356">
        <w:t xml:space="preserve"> provide</w:t>
      </w:r>
      <w:r>
        <w:t>d</w:t>
      </w:r>
      <w:r w:rsidRPr="00F16356">
        <w:t xml:space="preserve"> further detail on some</w:t>
      </w:r>
      <w:r>
        <w:t xml:space="preserve"> forestry and </w:t>
      </w:r>
      <w:r w:rsidRPr="00F16356">
        <w:t>operational issues not included in the NZ ETS review discussion document and sought stakeholder feedback on those issues.</w:t>
      </w:r>
    </w:p>
    <w:p w:rsidR="00F96A6F" w:rsidRDefault="00F96A6F" w:rsidP="00F96A6F">
      <w:pPr>
        <w:pStyle w:val="Bullet"/>
        <w:numPr>
          <w:ilvl w:val="0"/>
          <w:numId w:val="0"/>
        </w:numPr>
      </w:pPr>
      <w:r w:rsidRPr="00C76622">
        <w:t xml:space="preserve">A press release announcing the release of the technical notes was issued on the Beehive website </w:t>
      </w:r>
      <w:r w:rsidRPr="0026418D">
        <w:t>(</w:t>
      </w:r>
      <w:hyperlink r:id="rId26" w:history="1">
        <w:r w:rsidR="00081F22" w:rsidRPr="00764F5D">
          <w:rPr>
            <w:rStyle w:val="Hyperlink"/>
          </w:rPr>
          <w:t>www.beehive.govt.nz/release/second-phase-ets-review-documents-released</w:t>
        </w:r>
      </w:hyperlink>
      <w:r w:rsidRPr="0026418D">
        <w:t>).</w:t>
      </w:r>
      <w:r w:rsidRPr="00C76622">
        <w:t xml:space="preserve"> Emails were sent to members of the public who had requested direct notification of the release of the notes. </w:t>
      </w:r>
    </w:p>
    <w:p w:rsidR="007A0E55" w:rsidRDefault="001D5646" w:rsidP="00F96A6F">
      <w:pPr>
        <w:pStyle w:val="Bullet"/>
        <w:numPr>
          <w:ilvl w:val="0"/>
          <w:numId w:val="0"/>
        </w:numPr>
      </w:pPr>
      <w:r w:rsidRPr="007536DF">
        <w:t>Summaries of submissions received on these technical notes have been published as annexes to this document</w:t>
      </w:r>
      <w:r w:rsidR="007148FE">
        <w:t>:</w:t>
      </w:r>
      <w:r w:rsidRPr="007536DF">
        <w:t xml:space="preserve"> </w:t>
      </w:r>
    </w:p>
    <w:p w:rsidR="007148FE" w:rsidRDefault="00021A26" w:rsidP="007148FE">
      <w:pPr>
        <w:pStyle w:val="Bullet"/>
      </w:pPr>
      <w:r w:rsidRPr="008F6265">
        <w:rPr>
          <w:i/>
        </w:rPr>
        <w:t>New Zealand Emissions Trading Scheme Review 2015/16 –</w:t>
      </w:r>
      <w:r>
        <w:rPr>
          <w:i/>
        </w:rPr>
        <w:t xml:space="preserve"> Summary of Stage Two: Other Issues Consultation Responses. </w:t>
      </w:r>
      <w:r w:rsidRPr="008F6265">
        <w:rPr>
          <w:i/>
        </w:rPr>
        <w:t xml:space="preserve">Annex </w:t>
      </w:r>
      <w:r>
        <w:rPr>
          <w:i/>
        </w:rPr>
        <w:t>One</w:t>
      </w:r>
      <w:r w:rsidRPr="008F6265">
        <w:rPr>
          <w:i/>
        </w:rPr>
        <w:t xml:space="preserve">: </w:t>
      </w:r>
      <w:r>
        <w:rPr>
          <w:i/>
        </w:rPr>
        <w:t>Forestry</w:t>
      </w:r>
      <w:r w:rsidRPr="008F6265">
        <w:rPr>
          <w:i/>
        </w:rPr>
        <w:t xml:space="preserve"> Technical Note Responses</w:t>
      </w:r>
      <w:r w:rsidRPr="008F6265">
        <w:t xml:space="preserve">. </w:t>
      </w:r>
      <w:r w:rsidR="007148FE">
        <w:t>(</w:t>
      </w:r>
      <w:r w:rsidR="007148FE" w:rsidRPr="00A86759">
        <w:rPr>
          <w:rStyle w:val="Hyperlink"/>
        </w:rPr>
        <w:t>www.mfe.govt.nz/publications/climate-change/nz-ets-review-201516-summary-stage-two-annex-one</w:t>
      </w:r>
      <w:r w:rsidR="007148FE">
        <w:t>)</w:t>
      </w:r>
    </w:p>
    <w:p w:rsidR="007148FE" w:rsidRDefault="00184BC1" w:rsidP="007148FE">
      <w:pPr>
        <w:pStyle w:val="Bullet"/>
      </w:pPr>
      <w:r w:rsidRPr="008707E7">
        <w:rPr>
          <w:i/>
        </w:rPr>
        <w:t>New Zealand Emissions Trading Scheme Review 2015/16 –</w:t>
      </w:r>
      <w:r w:rsidRPr="00D202CF">
        <w:t xml:space="preserve"> </w:t>
      </w:r>
      <w:r w:rsidRPr="00A4038E">
        <w:rPr>
          <w:i/>
        </w:rPr>
        <w:t xml:space="preserve">Summary of </w:t>
      </w:r>
      <w:r w:rsidRPr="00D202CF">
        <w:rPr>
          <w:i/>
        </w:rPr>
        <w:t>Stage Two</w:t>
      </w:r>
      <w:r w:rsidRPr="00A4038E">
        <w:rPr>
          <w:i/>
        </w:rPr>
        <w:t xml:space="preserve">: </w:t>
      </w:r>
      <w:r w:rsidRPr="00D202CF">
        <w:rPr>
          <w:i/>
        </w:rPr>
        <w:t>Other Issues Consultation Responses</w:t>
      </w:r>
      <w:r>
        <w:rPr>
          <w:i/>
        </w:rPr>
        <w:t>.</w:t>
      </w:r>
      <w:r w:rsidRPr="008707E7">
        <w:rPr>
          <w:i/>
        </w:rPr>
        <w:t xml:space="preserve"> Annex Two: Operational Matters Technical Note Responses</w:t>
      </w:r>
      <w:r w:rsidR="007148FE">
        <w:t xml:space="preserve"> (</w:t>
      </w:r>
      <w:r w:rsidR="007148FE" w:rsidRPr="00A86759">
        <w:rPr>
          <w:rStyle w:val="Hyperlink"/>
        </w:rPr>
        <w:t>www.mfe.govt.nz/publications/climate-change/nz-ets-review-201516-summary-stage-two-annex-two</w:t>
      </w:r>
      <w:r w:rsidR="007148FE">
        <w:t>)</w:t>
      </w:r>
    </w:p>
    <w:p w:rsidR="00F96A6F" w:rsidRPr="00BC5F97" w:rsidRDefault="00F96A6F" w:rsidP="00F96A6F">
      <w:pPr>
        <w:pStyle w:val="Heading2"/>
        <w:rPr>
          <w:rStyle w:val="Heading3Char"/>
          <w:b/>
        </w:rPr>
      </w:pPr>
      <w:bookmarkStart w:id="5" w:name="_Toc463270112"/>
      <w:r>
        <w:rPr>
          <w:bCs w:val="0"/>
        </w:rPr>
        <w:t>1.3</w:t>
      </w:r>
      <w:r>
        <w:rPr>
          <w:bCs w:val="0"/>
        </w:rPr>
        <w:tab/>
        <w:t xml:space="preserve">Stage two consultation (other </w:t>
      </w:r>
      <w:r w:rsidR="00184BC1">
        <w:rPr>
          <w:bCs w:val="0"/>
        </w:rPr>
        <w:t>issues</w:t>
      </w:r>
      <w:r>
        <w:rPr>
          <w:bCs w:val="0"/>
        </w:rPr>
        <w:t>) and technical notes on forestry and operational matters</w:t>
      </w:r>
      <w:bookmarkEnd w:id="5"/>
    </w:p>
    <w:p w:rsidR="00F96A6F" w:rsidRDefault="00F96A6F" w:rsidP="00F96A6F">
      <w:pPr>
        <w:pStyle w:val="BodyText"/>
      </w:pPr>
      <w:r>
        <w:t xml:space="preserve">Consultation on the other </w:t>
      </w:r>
      <w:r w:rsidR="0056471D">
        <w:t xml:space="preserve">issues </w:t>
      </w:r>
      <w:r>
        <w:t xml:space="preserve">took place from 24 November 2015 to 30 April 2016. </w:t>
      </w:r>
      <w:r w:rsidRPr="00C76622">
        <w:t xml:space="preserve">As a technical subject with economy-wide impacts, consultation focused on engagement with experts and participants, </w:t>
      </w:r>
      <w:r w:rsidR="0026418D">
        <w:t>as well as</w:t>
      </w:r>
      <w:r w:rsidR="0026418D" w:rsidRPr="00C76622">
        <w:t xml:space="preserve"> </w:t>
      </w:r>
      <w:r w:rsidRPr="00C76622">
        <w:t>members of the broader public.</w:t>
      </w:r>
    </w:p>
    <w:p w:rsidR="00F96A6F" w:rsidRPr="00C76622" w:rsidRDefault="00F96A6F" w:rsidP="00F96A6F">
      <w:r w:rsidRPr="00C76622">
        <w:t>The review was promoted to increase awareness of the review process and timeframes, and encourage stakeholders to submit their views. Notification included:</w:t>
      </w:r>
    </w:p>
    <w:p w:rsidR="00F96A6F" w:rsidRPr="00C76622" w:rsidRDefault="00F96A6F" w:rsidP="00F96A6F">
      <w:pPr>
        <w:pStyle w:val="Bullet"/>
      </w:pPr>
      <w:r w:rsidRPr="00C76622">
        <w:t>announcement of the review and publication of a media release on the Beehive website (</w:t>
      </w:r>
      <w:hyperlink r:id="rId27" w:history="1">
        <w:r w:rsidRPr="00C76622">
          <w:rPr>
            <w:rStyle w:val="Hyperlink"/>
          </w:rPr>
          <w:t>www.beehive.govt.nz/release/government-begins-review-ets</w:t>
        </w:r>
      </w:hyperlink>
      <w:r w:rsidRPr="00C76622">
        <w:t xml:space="preserve">) </w:t>
      </w:r>
    </w:p>
    <w:p w:rsidR="00F96A6F" w:rsidRPr="00C76622" w:rsidRDefault="00F96A6F" w:rsidP="00F96A6F">
      <w:pPr>
        <w:pStyle w:val="Bullet"/>
      </w:pPr>
      <w:r w:rsidRPr="00C76622">
        <w:t>release of the discussion document and information on the review process on the Ministry’s website, including how to make a submission (</w:t>
      </w:r>
      <w:hyperlink r:id="rId28" w:history="1">
        <w:r w:rsidRPr="00C76622">
          <w:rPr>
            <w:rStyle w:val="Hyperlink"/>
          </w:rPr>
          <w:t>www.mfe.govt.nz/publications/climate-change/new-zealand-emissions-trading-scheme-review-2015-16-discussion-document</w:t>
        </w:r>
      </w:hyperlink>
      <w:r w:rsidRPr="00C76622">
        <w:t>)</w:t>
      </w:r>
    </w:p>
    <w:p w:rsidR="00F96A6F" w:rsidRPr="007536DF" w:rsidRDefault="00F96A6F" w:rsidP="00F96A6F">
      <w:pPr>
        <w:pStyle w:val="Bullet"/>
      </w:pPr>
      <w:r w:rsidRPr="007536DF">
        <w:t>publication of public notices in five major newspapers (</w:t>
      </w:r>
      <w:r w:rsidRPr="007536DF">
        <w:rPr>
          <w:i/>
        </w:rPr>
        <w:t>Christchurch Press</w:t>
      </w:r>
      <w:r w:rsidRPr="007536DF">
        <w:t xml:space="preserve">, </w:t>
      </w:r>
      <w:r w:rsidRPr="007536DF">
        <w:rPr>
          <w:i/>
        </w:rPr>
        <w:t>The Dominion Post</w:t>
      </w:r>
      <w:r w:rsidRPr="007536DF">
        <w:t xml:space="preserve">, </w:t>
      </w:r>
      <w:r w:rsidRPr="007536DF">
        <w:rPr>
          <w:i/>
        </w:rPr>
        <w:t>The New Zealand Herald</w:t>
      </w:r>
      <w:r w:rsidRPr="007536DF">
        <w:t xml:space="preserve">, </w:t>
      </w:r>
      <w:r w:rsidRPr="007536DF">
        <w:rPr>
          <w:i/>
        </w:rPr>
        <w:t xml:space="preserve">Waikato Times </w:t>
      </w:r>
      <w:r w:rsidRPr="007536DF">
        <w:t xml:space="preserve">and the </w:t>
      </w:r>
      <w:r w:rsidRPr="007536DF">
        <w:rPr>
          <w:i/>
        </w:rPr>
        <w:t>Otago Daily Times)</w:t>
      </w:r>
      <w:r w:rsidRPr="007536DF">
        <w:t xml:space="preserve"> on Saturday 9 April 2016, and in one major newspaper (the </w:t>
      </w:r>
      <w:r w:rsidRPr="007536DF">
        <w:rPr>
          <w:i/>
        </w:rPr>
        <w:t>Sunday Star-Times</w:t>
      </w:r>
      <w:r w:rsidRPr="007536DF">
        <w:t>) on Sunday 10 A</w:t>
      </w:r>
      <w:r w:rsidR="007536DF" w:rsidRPr="007536DF">
        <w:t xml:space="preserve">pril </w:t>
      </w:r>
      <w:r w:rsidR="00BE6126">
        <w:t>2016</w:t>
      </w:r>
    </w:p>
    <w:p w:rsidR="00F96A6F" w:rsidRPr="00C76622" w:rsidRDefault="00F96A6F" w:rsidP="00F96A6F">
      <w:pPr>
        <w:pStyle w:val="Bullet"/>
      </w:pPr>
      <w:proofErr w:type="gramStart"/>
      <w:r w:rsidRPr="00C76622">
        <w:t>placing</w:t>
      </w:r>
      <w:proofErr w:type="gramEnd"/>
      <w:r w:rsidRPr="00C76622">
        <w:t xml:space="preserve"> </w:t>
      </w:r>
      <w:r>
        <w:t>a</w:t>
      </w:r>
      <w:r w:rsidRPr="00C76622">
        <w:t xml:space="preserve"> notice in </w:t>
      </w:r>
      <w:r>
        <w:t xml:space="preserve">a </w:t>
      </w:r>
      <w:r w:rsidRPr="00C76622">
        <w:t>newsletter to</w:t>
      </w:r>
      <w:r w:rsidR="007148FE">
        <w:t xml:space="preserve"> New Zealand</w:t>
      </w:r>
      <w:r w:rsidRPr="00C76622">
        <w:t xml:space="preserve"> Emission Unit Register users through the Environmental Protection Authority (EPA). </w:t>
      </w:r>
      <w:r>
        <w:t xml:space="preserve"> </w:t>
      </w:r>
    </w:p>
    <w:p w:rsidR="00F96A6F" w:rsidRDefault="00F96A6F" w:rsidP="00F96A6F">
      <w:pPr>
        <w:pStyle w:val="BodyText"/>
      </w:pPr>
      <w:r>
        <w:lastRenderedPageBreak/>
        <w:t xml:space="preserve">Meetings </w:t>
      </w:r>
      <w:r w:rsidR="009E4B26">
        <w:t xml:space="preserve">were </w:t>
      </w:r>
      <w:r w:rsidRPr="00C76622">
        <w:t>held with targeted stakeholder groups</w:t>
      </w:r>
      <w:r w:rsidRPr="00C76622" w:rsidDel="00980AA6">
        <w:t xml:space="preserve"> </w:t>
      </w:r>
      <w:r w:rsidRPr="00C76622">
        <w:t xml:space="preserve">during </w:t>
      </w:r>
      <w:r w:rsidR="007A0E55">
        <w:t>stage two of</w:t>
      </w:r>
      <w:r w:rsidRPr="00C76622">
        <w:t xml:space="preserve"> consultation</w:t>
      </w:r>
      <w:r>
        <w:t xml:space="preserve"> to specifically discuss the</w:t>
      </w:r>
      <w:r w:rsidR="007A0E55">
        <w:t xml:space="preserve"> review’s</w:t>
      </w:r>
      <w:r>
        <w:t xml:space="preserve"> </w:t>
      </w:r>
      <w:r w:rsidR="007A0E55">
        <w:t xml:space="preserve">other </w:t>
      </w:r>
      <w:r w:rsidR="00184BC1">
        <w:t>issues</w:t>
      </w:r>
      <w:r w:rsidR="00284CB4">
        <w:t>,</w:t>
      </w:r>
      <w:r>
        <w:t xml:space="preserve"> and</w:t>
      </w:r>
      <w:r w:rsidR="00284CB4">
        <w:t xml:space="preserve"> the</w:t>
      </w:r>
      <w:r>
        <w:t xml:space="preserve"> technical notes on forestry and operational matters:</w:t>
      </w:r>
    </w:p>
    <w:p w:rsidR="00F96A6F" w:rsidRDefault="00F96A6F" w:rsidP="00F96A6F">
      <w:pPr>
        <w:pStyle w:val="Bullet"/>
      </w:pPr>
      <w:r>
        <w:t xml:space="preserve">Seven targeted meetings held between 5 and 15 April 2016 in Wellington, Christchurch, Dunedin and </w:t>
      </w:r>
      <w:proofErr w:type="spellStart"/>
      <w:r>
        <w:t>Rotorua</w:t>
      </w:r>
      <w:proofErr w:type="spellEnd"/>
      <w:r>
        <w:t xml:space="preserve">. This included an evening skype session. These were attended by approximately </w:t>
      </w:r>
      <w:r w:rsidR="00265CAA">
        <w:t>180</w:t>
      </w:r>
      <w:r>
        <w:t xml:space="preserve"> stakeholders. The purpose of the meeting was to provide information to stakeholders and seek their initial views on </w:t>
      </w:r>
      <w:r w:rsidR="003F199D">
        <w:t>stage two</w:t>
      </w:r>
      <w:r>
        <w:t xml:space="preserve"> review issues. </w:t>
      </w:r>
      <w:r w:rsidRPr="00EC1FCC">
        <w:rPr>
          <w:rFonts w:cs="Arial"/>
        </w:rPr>
        <w:t xml:space="preserve">Discussion and information was shared to help </w:t>
      </w:r>
      <w:r w:rsidRPr="00C76622">
        <w:t>attendees write submissions.</w:t>
      </w:r>
    </w:p>
    <w:p w:rsidR="00F96A6F" w:rsidRDefault="00F96A6F" w:rsidP="00F96A6F">
      <w:pPr>
        <w:pStyle w:val="Bullet"/>
        <w:numPr>
          <w:ilvl w:val="0"/>
          <w:numId w:val="0"/>
        </w:numPr>
      </w:pPr>
      <w:r>
        <w:t>This was in addition to meetings previously held during stage one</w:t>
      </w:r>
      <w:r w:rsidR="007A0E55">
        <w:t xml:space="preserve"> (priority issues) consultation. Detail on meetings held prior to the close of consultation on priority issues</w:t>
      </w:r>
      <w:r w:rsidR="00511EB7">
        <w:t xml:space="preserve"> can be found</w:t>
      </w:r>
      <w:r w:rsidR="009E4B26">
        <w:t xml:space="preserve"> in</w:t>
      </w:r>
      <w:r w:rsidR="00511EB7">
        <w:t xml:space="preserve"> </w:t>
      </w:r>
      <w:r w:rsidR="00C748FB" w:rsidRPr="00DC084B">
        <w:rPr>
          <w:i/>
        </w:rPr>
        <w:t>The New Zealand Emissions Trading Scheme</w:t>
      </w:r>
      <w:r w:rsidR="00C748FB">
        <w:rPr>
          <w:i/>
        </w:rPr>
        <w:t xml:space="preserve"> Review 2015/16: Summary of Stage One Priority Issues Consultation Responses</w:t>
      </w:r>
      <w:r w:rsidR="00081F22">
        <w:rPr>
          <w:i/>
        </w:rPr>
        <w:t xml:space="preserve"> </w:t>
      </w:r>
      <w:r w:rsidR="00081F22" w:rsidRPr="00DA4E9A">
        <w:t>(</w:t>
      </w:r>
      <w:r w:rsidR="00081F22" w:rsidRPr="00DA4E9A">
        <w:rPr>
          <w:rStyle w:val="Hyperlink"/>
        </w:rPr>
        <w:t>www.mfe.govt.nz/publications/climate-change/new-zealand-emissions-trading-scheme-review-201516-summary-stage-one</w:t>
      </w:r>
      <w:r w:rsidR="00081F22" w:rsidRPr="00DA4E9A">
        <w:t>)</w:t>
      </w:r>
      <w:r w:rsidR="00151153">
        <w:rPr>
          <w:i/>
        </w:rPr>
        <w:t>.</w:t>
      </w:r>
      <w:r w:rsidR="009E4B26">
        <w:rPr>
          <w:i/>
        </w:rPr>
        <w:t xml:space="preserve"> </w:t>
      </w:r>
    </w:p>
    <w:p w:rsidR="00F96A6F" w:rsidRDefault="00960AAC" w:rsidP="00F96A6F">
      <w:pPr>
        <w:pStyle w:val="Bullet"/>
        <w:numPr>
          <w:ilvl w:val="0"/>
          <w:numId w:val="0"/>
        </w:numPr>
      </w:pPr>
      <w:hyperlink w:anchor="_Appendix_1:_Consultation" w:history="1">
        <w:r w:rsidR="00F96A6F" w:rsidRPr="00C76622">
          <w:rPr>
            <w:rStyle w:val="Hyperlink"/>
          </w:rPr>
          <w:t>Appendix 1</w:t>
        </w:r>
      </w:hyperlink>
      <w:r w:rsidR="00F96A6F" w:rsidRPr="00C76622">
        <w:t xml:space="preserve"> provides a full list of meetings undertaken </w:t>
      </w:r>
      <w:r w:rsidR="00F96A6F">
        <w:t xml:space="preserve">during stage </w:t>
      </w:r>
      <w:r w:rsidR="00511EB7">
        <w:t>two</w:t>
      </w:r>
      <w:r w:rsidR="009E4B26">
        <w:t>,</w:t>
      </w:r>
      <w:r w:rsidR="00F96A6F">
        <w:t xml:space="preserve"> </w:t>
      </w:r>
      <w:r w:rsidR="00F96A6F" w:rsidRPr="00C76622">
        <w:t xml:space="preserve">and key themes </w:t>
      </w:r>
      <w:r w:rsidR="00F96A6F">
        <w:t xml:space="preserve">that were </w:t>
      </w:r>
      <w:r w:rsidR="00F96A6F" w:rsidRPr="00C76622">
        <w:t>raised by attendees.</w:t>
      </w:r>
    </w:p>
    <w:p w:rsidR="00F96A6F" w:rsidRPr="00C76622" w:rsidRDefault="00F96A6F" w:rsidP="00F96A6F">
      <w:pPr>
        <w:pStyle w:val="Heading2"/>
      </w:pPr>
      <w:bookmarkStart w:id="6" w:name="_Toc463270113"/>
      <w:r w:rsidRPr="00C748FB">
        <w:t>1.4</w:t>
      </w:r>
      <w:r w:rsidRPr="00C748FB">
        <w:tab/>
        <w:t>Approach to analysis</w:t>
      </w:r>
      <w:bookmarkEnd w:id="6"/>
    </w:p>
    <w:p w:rsidR="00F96A6F" w:rsidRDefault="009E4B26" w:rsidP="00F96A6F">
      <w:pPr>
        <w:pStyle w:val="BodyText"/>
      </w:pPr>
      <w:r>
        <w:t>S</w:t>
      </w:r>
      <w:r w:rsidR="00A32B3E" w:rsidRPr="00E1221D">
        <w:t>ubmissions were received from 345 individuals and organisations</w:t>
      </w:r>
      <w:r w:rsidR="00511EB7">
        <w:t xml:space="preserve"> across both stage one and two of the review</w:t>
      </w:r>
      <w:r w:rsidR="00A32B3E" w:rsidRPr="00E1221D">
        <w:t>.</w:t>
      </w:r>
      <w:r w:rsidR="00F96A6F" w:rsidRPr="00E1221D">
        <w:rPr>
          <w:rStyle w:val="FootnoteReference"/>
        </w:rPr>
        <w:footnoteReference w:id="1"/>
      </w:r>
      <w:r w:rsidR="00A32B3E" w:rsidRPr="00E1221D">
        <w:t xml:space="preserve"> This includes</w:t>
      </w:r>
      <w:r w:rsidR="00F96A6F" w:rsidRPr="00E1221D">
        <w:t xml:space="preserve"> submissions on </w:t>
      </w:r>
      <w:r w:rsidR="00511EB7">
        <w:t xml:space="preserve">the priority issues, </w:t>
      </w:r>
      <w:r w:rsidR="00F96A6F" w:rsidRPr="00E1221D">
        <w:t xml:space="preserve">other </w:t>
      </w:r>
      <w:r w:rsidR="00184BC1">
        <w:t>issue</w:t>
      </w:r>
      <w:r w:rsidR="00184BC1" w:rsidRPr="00E1221D">
        <w:t>s</w:t>
      </w:r>
      <w:r w:rsidR="00511EB7">
        <w:t>,</w:t>
      </w:r>
      <w:r w:rsidR="00F96A6F" w:rsidRPr="00E1221D">
        <w:t xml:space="preserve"> and</w:t>
      </w:r>
      <w:r>
        <w:t xml:space="preserve"> the</w:t>
      </w:r>
      <w:r w:rsidR="00F96A6F" w:rsidRPr="00E1221D">
        <w:t xml:space="preserve"> </w:t>
      </w:r>
      <w:r w:rsidR="00A32B3E" w:rsidRPr="00E1221D">
        <w:t xml:space="preserve">forestry and operational matters </w:t>
      </w:r>
      <w:r w:rsidR="00F96A6F" w:rsidRPr="00E1221D">
        <w:t xml:space="preserve">technical notes. </w:t>
      </w:r>
      <w:r w:rsidR="00C4322B">
        <w:t>D</w:t>
      </w:r>
      <w:r w:rsidR="00A32B3E" w:rsidRPr="00E1221D">
        <w:t xml:space="preserve">uring </w:t>
      </w:r>
      <w:r w:rsidR="00F96A6F" w:rsidRPr="00E1221D">
        <w:t>stage one (priority issues)</w:t>
      </w:r>
      <w:r w:rsidR="00C4322B">
        <w:t>, 278 submissions were received</w:t>
      </w:r>
      <w:r w:rsidR="00F96A6F" w:rsidRPr="00E1221D">
        <w:t xml:space="preserve">. As some of the stage one submissions </w:t>
      </w:r>
      <w:r w:rsidR="00C4322B" w:rsidRPr="005C3F1E">
        <w:t xml:space="preserve">addressed the ‘other </w:t>
      </w:r>
      <w:r w:rsidR="0056471D">
        <w:t>issues</w:t>
      </w:r>
      <w:r w:rsidR="0056471D" w:rsidRPr="005C3F1E">
        <w:t>’</w:t>
      </w:r>
      <w:r w:rsidR="00C4322B" w:rsidRPr="005C3F1E">
        <w:t>,</w:t>
      </w:r>
      <w:r w:rsidR="00F96A6F" w:rsidRPr="005C3F1E">
        <w:t xml:space="preserve"> these have </w:t>
      </w:r>
      <w:r w:rsidR="00C4322B" w:rsidRPr="005C3F1E">
        <w:t xml:space="preserve">also </w:t>
      </w:r>
      <w:r w:rsidR="00F96A6F" w:rsidRPr="005C3F1E">
        <w:t xml:space="preserve">been considered in the analysis of submissions for </w:t>
      </w:r>
      <w:r w:rsidR="00C4322B" w:rsidRPr="005C3F1E">
        <w:t>stage two</w:t>
      </w:r>
      <w:r w:rsidR="00F96A6F" w:rsidRPr="005C3F1E">
        <w:t xml:space="preserve">. The assessment of each question is based on the total number of submitters that </w:t>
      </w:r>
      <w:r w:rsidR="00776481">
        <w:t>addressed</w:t>
      </w:r>
      <w:r w:rsidR="00F96A6F" w:rsidRPr="005C3F1E">
        <w:t xml:space="preserve"> that particular question. The numbers of respondents between questions therefore varies.</w:t>
      </w:r>
    </w:p>
    <w:p w:rsidR="00F96A6F" w:rsidRDefault="005C3F1E" w:rsidP="00F96A6F">
      <w:pPr>
        <w:pStyle w:val="BodyText"/>
      </w:pPr>
      <w:r>
        <w:t>Many</w:t>
      </w:r>
      <w:r w:rsidR="00F96A6F" w:rsidRPr="00C76622">
        <w:t xml:space="preserve"> </w:t>
      </w:r>
      <w:r w:rsidR="00E744BC">
        <w:t>submitters</w:t>
      </w:r>
      <w:r w:rsidR="00E744BC" w:rsidRPr="00C76622">
        <w:t xml:space="preserve"> </w:t>
      </w:r>
      <w:r w:rsidR="00F96A6F" w:rsidRPr="00C76622">
        <w:t>provided more than one submission document or correspondence. In these cases, all documents were logged as a single combined submission to avoid duplication. Where a party made multiple submissions on behalf of multiple organisations or individuals, these were logged separately</w:t>
      </w:r>
      <w:r w:rsidR="00F96A6F">
        <w:t xml:space="preserve">. </w:t>
      </w:r>
      <w:r w:rsidR="00F96A6F" w:rsidRPr="00C76622">
        <w:t xml:space="preserve">All </w:t>
      </w:r>
      <w:r w:rsidR="00F96A6F">
        <w:t>submitters</w:t>
      </w:r>
      <w:r w:rsidR="00F96A6F" w:rsidRPr="00C76622">
        <w:t xml:space="preserve"> were assigned a unique identification number and entered into a central database. Each </w:t>
      </w:r>
      <w:r w:rsidR="00F96A6F">
        <w:t>submitter</w:t>
      </w:r>
      <w:r w:rsidR="00F96A6F" w:rsidRPr="00C76622">
        <w:t xml:space="preserve"> was attributed a main sector interest</w:t>
      </w:r>
      <w:r w:rsidR="009E4B26">
        <w:t>,</w:t>
      </w:r>
      <w:r w:rsidR="00F96A6F" w:rsidRPr="00C76622">
        <w:t xml:space="preserve"> and additional sector interests were noted for the analysis.</w:t>
      </w:r>
      <w:r w:rsidR="00F96A6F">
        <w:t xml:space="preserve"> </w:t>
      </w:r>
      <w:hyperlink w:anchor="_Appendix_2:_List" w:history="1">
        <w:r w:rsidR="00F96A6F" w:rsidRPr="00C76622">
          <w:rPr>
            <w:rStyle w:val="Hyperlink"/>
          </w:rPr>
          <w:t>Appendix 2</w:t>
        </w:r>
      </w:hyperlink>
      <w:r w:rsidR="00F96A6F" w:rsidRPr="00C76622">
        <w:t xml:space="preserve"> provides a full list of submitters. </w:t>
      </w:r>
    </w:p>
    <w:p w:rsidR="00F96A6F" w:rsidRPr="00C76622" w:rsidRDefault="00F96A6F" w:rsidP="00F96A6F">
      <w:pPr>
        <w:pStyle w:val="BodyText"/>
      </w:pPr>
      <w:r w:rsidRPr="00C76622">
        <w:t xml:space="preserve">A quality assurance process was undertaken and every effort has been made to ensure </w:t>
      </w:r>
      <w:r w:rsidR="005C3F1E">
        <w:t>this</w:t>
      </w:r>
      <w:r w:rsidRPr="00C76622">
        <w:t xml:space="preserve"> report accurately summarises the overall feedback on issues regarding stage </w:t>
      </w:r>
      <w:r>
        <w:t>two</w:t>
      </w:r>
      <w:r w:rsidRPr="00C76622">
        <w:t xml:space="preserve"> (</w:t>
      </w:r>
      <w:r>
        <w:t xml:space="preserve">other </w:t>
      </w:r>
      <w:r w:rsidR="0056471D">
        <w:t>issues</w:t>
      </w:r>
      <w:r w:rsidRPr="00C76622">
        <w:t>). We cannot guarantee that all views are reflected in this report.</w:t>
      </w:r>
    </w:p>
    <w:p w:rsidR="00F96A6F" w:rsidRPr="00C76622" w:rsidRDefault="00F96A6F" w:rsidP="00F96A6F">
      <w:pPr>
        <w:pStyle w:val="Heading2"/>
      </w:pPr>
      <w:bookmarkStart w:id="7" w:name="_Toc463270114"/>
      <w:r w:rsidRPr="00C76622">
        <w:t>1.5</w:t>
      </w:r>
      <w:r w:rsidRPr="00C76622">
        <w:tab/>
        <w:t>Notes on conventions used in this document</w:t>
      </w:r>
      <w:bookmarkEnd w:id="7"/>
    </w:p>
    <w:p w:rsidR="00F96A6F" w:rsidRPr="0017247F" w:rsidRDefault="00F96A6F" w:rsidP="00F96A6F">
      <w:pPr>
        <w:pStyle w:val="BodyText"/>
      </w:pPr>
      <w:r w:rsidRPr="0017247F">
        <w:t>Where numbers and percentages are used when referring to the number of submitters who responded to questions, these are based on interpretation of the submissions. Protocols were established to ensure as great a degree of consistency in interpretation as possible.</w:t>
      </w:r>
    </w:p>
    <w:p w:rsidR="00CF6E4F" w:rsidRDefault="00F96A6F" w:rsidP="00F96A6F">
      <w:pPr>
        <w:pStyle w:val="BodyText"/>
      </w:pPr>
      <w:r>
        <w:t xml:space="preserve">Comments received on stage two (other </w:t>
      </w:r>
      <w:r w:rsidR="0056471D">
        <w:t>issues</w:t>
      </w:r>
      <w:r>
        <w:t>) that were also relevant to questions contained within the technical notes have also been considered within the responses to the technical notes.</w:t>
      </w:r>
      <w:r w:rsidR="0096272C">
        <w:t xml:space="preserve"> </w:t>
      </w:r>
      <w:r w:rsidR="00CF6E4F">
        <w:lastRenderedPageBreak/>
        <w:t xml:space="preserve">Summaries of submissions received for both these technical notes have been published as annexes to this document: </w:t>
      </w:r>
    </w:p>
    <w:p w:rsidR="009E4B26" w:rsidRDefault="008545CE" w:rsidP="00BD1F48">
      <w:pPr>
        <w:pStyle w:val="Bullet"/>
      </w:pPr>
      <w:r w:rsidRPr="008F6265">
        <w:rPr>
          <w:i/>
        </w:rPr>
        <w:t>New Zealand Emissions Trading Scheme Review 2015/16 –</w:t>
      </w:r>
      <w:r>
        <w:rPr>
          <w:i/>
        </w:rPr>
        <w:t xml:space="preserve"> Summary of Stage Two: Other Issues Consultation Responses. </w:t>
      </w:r>
      <w:r w:rsidRPr="008F6265">
        <w:rPr>
          <w:i/>
        </w:rPr>
        <w:t xml:space="preserve">Annex </w:t>
      </w:r>
      <w:r>
        <w:rPr>
          <w:i/>
        </w:rPr>
        <w:t>One</w:t>
      </w:r>
      <w:r w:rsidRPr="008F6265">
        <w:rPr>
          <w:i/>
        </w:rPr>
        <w:t xml:space="preserve">: </w:t>
      </w:r>
      <w:r>
        <w:rPr>
          <w:i/>
        </w:rPr>
        <w:t>Forestry</w:t>
      </w:r>
      <w:r w:rsidRPr="008F6265">
        <w:rPr>
          <w:i/>
        </w:rPr>
        <w:t xml:space="preserve"> Technical Note Responses</w:t>
      </w:r>
      <w:r w:rsidRPr="008F6265">
        <w:t xml:space="preserve">. </w:t>
      </w:r>
      <w:r w:rsidR="009E4B26">
        <w:t>(</w:t>
      </w:r>
      <w:r w:rsidR="00BD1F48" w:rsidRPr="00833378">
        <w:rPr>
          <w:rStyle w:val="Hyperlink"/>
        </w:rPr>
        <w:t>www.mfe.govt.nz/publications/climate-change/nz-ets-review-201516-summary-stage-two-annex-one</w:t>
      </w:r>
      <w:r w:rsidR="00BD1F48">
        <w:t>)</w:t>
      </w:r>
    </w:p>
    <w:p w:rsidR="009E4B26" w:rsidRDefault="00184BC1" w:rsidP="00BD1F48">
      <w:pPr>
        <w:pStyle w:val="Bullet"/>
      </w:pPr>
      <w:r w:rsidRPr="008707E7">
        <w:rPr>
          <w:i/>
        </w:rPr>
        <w:t>New Zealand Emissions Trading Scheme Review 2015/16 –</w:t>
      </w:r>
      <w:r w:rsidRPr="00D202CF">
        <w:t xml:space="preserve"> </w:t>
      </w:r>
      <w:r w:rsidRPr="00A4038E">
        <w:rPr>
          <w:i/>
        </w:rPr>
        <w:t xml:space="preserve">Summary of </w:t>
      </w:r>
      <w:r w:rsidRPr="00D202CF">
        <w:rPr>
          <w:i/>
        </w:rPr>
        <w:t>Stage Two</w:t>
      </w:r>
      <w:r w:rsidRPr="00A4038E">
        <w:rPr>
          <w:i/>
        </w:rPr>
        <w:t xml:space="preserve">: </w:t>
      </w:r>
      <w:r w:rsidRPr="00D202CF">
        <w:rPr>
          <w:i/>
        </w:rPr>
        <w:t>Other Issues Consultation Responses</w:t>
      </w:r>
      <w:r>
        <w:rPr>
          <w:i/>
        </w:rPr>
        <w:t>.</w:t>
      </w:r>
      <w:r w:rsidRPr="008707E7">
        <w:rPr>
          <w:i/>
        </w:rPr>
        <w:t xml:space="preserve"> Annex Two: Operational Matters Technical Note Responses</w:t>
      </w:r>
      <w:r w:rsidRPr="00E00F75" w:rsidDel="00184BC1">
        <w:t xml:space="preserve"> </w:t>
      </w:r>
      <w:r w:rsidR="009E4B26">
        <w:t>(</w:t>
      </w:r>
      <w:r w:rsidR="00BD1F48" w:rsidRPr="00CE58D8">
        <w:rPr>
          <w:rStyle w:val="Hyperlink"/>
        </w:rPr>
        <w:t>www.mfe.govt.nz/publications/climate-change/nz-ets-review-201516-summary-stage-two-annex-two</w:t>
      </w:r>
      <w:r w:rsidR="009E4B26">
        <w:t>)</w:t>
      </w:r>
    </w:p>
    <w:p w:rsidR="00F96A6F" w:rsidRPr="00C76622" w:rsidRDefault="00F96A6F" w:rsidP="00F96A6F">
      <w:pPr>
        <w:pStyle w:val="BodyText"/>
      </w:pPr>
      <w:r w:rsidRPr="0017247F">
        <w:t>Selected quotes from submissions have been included in this summary document. These have been included for their value in illustrating issues raised by submitters, or because they articulate issues in a way that is difficult to paraphrase without losing the original meaning. Their inclusion in this</w:t>
      </w:r>
      <w:r w:rsidRPr="00C76622">
        <w:t xml:space="preserve"> document does not imply that they have been given more weight over and above submissions that have not been cited specifically.</w:t>
      </w:r>
    </w:p>
    <w:p w:rsidR="00F96A6F" w:rsidRPr="00C76622" w:rsidRDefault="00F96A6F" w:rsidP="00F96A6F">
      <w:pPr>
        <w:pStyle w:val="BodyText"/>
      </w:pPr>
      <w:r w:rsidRPr="00C76622">
        <w:t>Where quotes from submissions are used, any unexplained acronyms or minor typographical errors have been amended to allow for improved readability. Every effort has been made to ensure citations of submissions are accurate. Where these have been manually typed, however, there may be minor errors.</w:t>
      </w:r>
    </w:p>
    <w:p w:rsidR="00F96A6F" w:rsidRPr="00C76622" w:rsidRDefault="00F96A6F" w:rsidP="00F96A6F">
      <w:pPr>
        <w:pStyle w:val="BodyText"/>
      </w:pPr>
      <w:r w:rsidRPr="00C76622">
        <w:t xml:space="preserve">Percentages referred to in this document </w:t>
      </w:r>
      <w:r w:rsidR="00C748FB">
        <w:t>have been rounded</w:t>
      </w:r>
      <w:r w:rsidRPr="00C76622">
        <w:t xml:space="preserve">. As such, in some cases total values may not equal 100 </w:t>
      </w:r>
      <w:r w:rsidR="00634CBD">
        <w:t>per</w:t>
      </w:r>
      <w:r w:rsidR="00A124DA">
        <w:t xml:space="preserve"> </w:t>
      </w:r>
      <w:r w:rsidR="00634CBD">
        <w:t>cent</w:t>
      </w:r>
      <w:r w:rsidRPr="00C76622">
        <w:t>.</w:t>
      </w:r>
    </w:p>
    <w:p w:rsidR="00F96A6F" w:rsidRDefault="00F96A6F">
      <w:pPr>
        <w:pStyle w:val="Heading1"/>
      </w:pPr>
      <w:r>
        <w:br w:type="page"/>
      </w:r>
    </w:p>
    <w:p w:rsidR="00D85F05" w:rsidRPr="00943B01" w:rsidRDefault="00A93427">
      <w:pPr>
        <w:pStyle w:val="Heading1"/>
      </w:pPr>
      <w:bookmarkStart w:id="8" w:name="_Toc463270115"/>
      <w:r w:rsidRPr="00943B01">
        <w:lastRenderedPageBreak/>
        <w:t>2.</w:t>
      </w:r>
      <w:r w:rsidRPr="00943B01">
        <w:tab/>
      </w:r>
      <w:r w:rsidR="00D85F05" w:rsidRPr="00943B01">
        <w:t>Who responded to the consultation?</w:t>
      </w:r>
      <w:bookmarkEnd w:id="8"/>
    </w:p>
    <w:p w:rsidR="00FB30A7" w:rsidRPr="00943B01" w:rsidRDefault="00FB30A7" w:rsidP="006E332F">
      <w:pPr>
        <w:pStyle w:val="Heading2"/>
        <w:spacing w:before="240"/>
      </w:pPr>
      <w:bookmarkStart w:id="9" w:name="_Toc463270116"/>
      <w:r w:rsidRPr="00943B01">
        <w:t>2.1</w:t>
      </w:r>
      <w:r w:rsidRPr="00943B01">
        <w:tab/>
        <w:t xml:space="preserve">Number of </w:t>
      </w:r>
      <w:r w:rsidR="00E744BC">
        <w:t>submitters</w:t>
      </w:r>
      <w:bookmarkEnd w:id="9"/>
    </w:p>
    <w:p w:rsidR="003E40CD" w:rsidRDefault="00475A35" w:rsidP="00F96A6F">
      <w:pPr>
        <w:pStyle w:val="BodyText"/>
      </w:pPr>
      <w:bookmarkStart w:id="10" w:name="_Toc445043601"/>
      <w:bookmarkStart w:id="11" w:name="_Toc445043674"/>
      <w:r>
        <w:t xml:space="preserve">In total, submissions </w:t>
      </w:r>
      <w:r w:rsidR="00245859">
        <w:t>on the N</w:t>
      </w:r>
      <w:r w:rsidR="00A32627">
        <w:t xml:space="preserve">ew </w:t>
      </w:r>
      <w:r w:rsidR="00245859">
        <w:t>Z</w:t>
      </w:r>
      <w:r w:rsidR="00A32627">
        <w:t>ealand</w:t>
      </w:r>
      <w:r w:rsidR="00245859">
        <w:t xml:space="preserve"> E</w:t>
      </w:r>
      <w:r w:rsidR="00A32627">
        <w:t xml:space="preserve">missions </w:t>
      </w:r>
      <w:r w:rsidR="00245859">
        <w:t>T</w:t>
      </w:r>
      <w:r w:rsidR="00A32627">
        <w:t xml:space="preserve">rading </w:t>
      </w:r>
      <w:r w:rsidR="00245859">
        <w:t>S</w:t>
      </w:r>
      <w:r w:rsidR="00A32627">
        <w:t>cheme (NZ ETS) review</w:t>
      </w:r>
      <w:r w:rsidR="00245859">
        <w:t xml:space="preserve"> </w:t>
      </w:r>
      <w:r>
        <w:t xml:space="preserve">were received from 345 </w:t>
      </w:r>
      <w:r w:rsidR="00E744BC">
        <w:t>individuals and businesses</w:t>
      </w:r>
      <w:r>
        <w:t xml:space="preserve">. </w:t>
      </w:r>
      <w:r w:rsidR="003130FF">
        <w:t xml:space="preserve">Many of these submitters provided separate submissions for stage one (priority issues) and stage two (other </w:t>
      </w:r>
      <w:r w:rsidR="0056471D">
        <w:t>issues</w:t>
      </w:r>
      <w:r w:rsidR="003130FF">
        <w:t xml:space="preserve">) of the review. A number of </w:t>
      </w:r>
      <w:r w:rsidR="00C27668">
        <w:t xml:space="preserve">submitters </w:t>
      </w:r>
      <w:r w:rsidR="003130FF">
        <w:t xml:space="preserve">also provided additional submissions addressing the questions </w:t>
      </w:r>
      <w:r w:rsidR="00C7678F">
        <w:t>asked</w:t>
      </w:r>
      <w:r w:rsidR="003130FF">
        <w:t xml:space="preserve"> in the </w:t>
      </w:r>
      <w:r w:rsidR="003130FF" w:rsidRPr="003130FF">
        <w:rPr>
          <w:i/>
        </w:rPr>
        <w:t>Forestry technical note</w:t>
      </w:r>
      <w:r w:rsidR="003130FF">
        <w:t xml:space="preserve"> and the </w:t>
      </w:r>
      <w:r w:rsidR="003130FF" w:rsidRPr="003130FF">
        <w:rPr>
          <w:i/>
        </w:rPr>
        <w:t>Operational matters technical note</w:t>
      </w:r>
      <w:r w:rsidR="003130FF">
        <w:t xml:space="preserve">. </w:t>
      </w:r>
    </w:p>
    <w:p w:rsidR="00F96A6F" w:rsidRPr="00943B01" w:rsidRDefault="003130FF" w:rsidP="00F96A6F">
      <w:pPr>
        <w:pStyle w:val="BodyText"/>
      </w:pPr>
      <w:r w:rsidRPr="00E1221D">
        <w:t>Where a submitter provi</w:t>
      </w:r>
      <w:r w:rsidR="00C7678F" w:rsidRPr="00E1221D">
        <w:t xml:space="preserve">ded more than one submission, all documents were logged into </w:t>
      </w:r>
      <w:r w:rsidR="00E1221D" w:rsidRPr="00E1221D">
        <w:t xml:space="preserve">a single </w:t>
      </w:r>
      <w:r w:rsidR="00C7678F" w:rsidRPr="00E1221D">
        <w:t xml:space="preserve">submission to avoid duplication. </w:t>
      </w:r>
      <w:r w:rsidR="00F96A6F" w:rsidRPr="00E1221D">
        <w:t>The number</w:t>
      </w:r>
      <w:r w:rsidR="00A32627">
        <w:t>s</w:t>
      </w:r>
      <w:r w:rsidR="00F96A6F" w:rsidRPr="00E1221D">
        <w:t xml:space="preserve"> of </w:t>
      </w:r>
      <w:r w:rsidR="00C7678F" w:rsidRPr="00E1221D">
        <w:t>s</w:t>
      </w:r>
      <w:r w:rsidR="00A32627">
        <w:t>ubmitters who</w:t>
      </w:r>
      <w:r w:rsidR="00A32627" w:rsidRPr="00E1221D">
        <w:t xml:space="preserve"> </w:t>
      </w:r>
      <w:r w:rsidR="00C7678F" w:rsidRPr="00E1221D">
        <w:t xml:space="preserve">provided </w:t>
      </w:r>
      <w:r w:rsidR="003E40CD" w:rsidRPr="00E1221D">
        <w:t xml:space="preserve">submissions </w:t>
      </w:r>
      <w:r w:rsidR="00C7678F" w:rsidRPr="00E1221D">
        <w:t xml:space="preserve">across the </w:t>
      </w:r>
      <w:r w:rsidR="003E40CD" w:rsidRPr="00E1221D">
        <w:t>review</w:t>
      </w:r>
      <w:r w:rsidR="00C7678F" w:rsidRPr="00E1221D">
        <w:t xml:space="preserve"> </w:t>
      </w:r>
      <w:r w:rsidR="00F96A6F" w:rsidRPr="00E1221D">
        <w:t xml:space="preserve">are detailed </w:t>
      </w:r>
      <w:r w:rsidR="00284CB4">
        <w:t>below</w:t>
      </w:r>
      <w:r w:rsidR="00F96A6F" w:rsidRPr="00E1221D">
        <w:t>.</w:t>
      </w:r>
    </w:p>
    <w:p w:rsidR="00F96A6F" w:rsidRPr="00943B01" w:rsidRDefault="00F96A6F" w:rsidP="00F96A6F">
      <w:pPr>
        <w:pStyle w:val="Tableheading"/>
      </w:pPr>
      <w:bookmarkStart w:id="12" w:name="_Toc463270165"/>
      <w:r w:rsidRPr="00943B01">
        <w:t xml:space="preserve">Table </w:t>
      </w:r>
      <w:r w:rsidR="00331666">
        <w:t>1</w:t>
      </w:r>
      <w:r w:rsidRPr="00943B01">
        <w:t xml:space="preserve">: </w:t>
      </w:r>
      <w:r w:rsidRPr="00943B01">
        <w:tab/>
        <w:t xml:space="preserve">The main sector interest of submitters </w:t>
      </w:r>
      <w:r w:rsidR="00331666">
        <w:t>across the NZ ETS review</w:t>
      </w:r>
      <w:bookmarkEnd w:id="12"/>
      <w:r w:rsidRPr="00943B01">
        <w:t xml:space="preserve"> </w:t>
      </w:r>
    </w:p>
    <w:tbl>
      <w:tblPr>
        <w:tblW w:w="8789" w:type="dxa"/>
        <w:tblInd w:w="108" w:type="dxa"/>
        <w:tblBorders>
          <w:top w:val="single" w:sz="4" w:space="0" w:color="005984"/>
          <w:bottom w:val="single" w:sz="4" w:space="0" w:color="005984"/>
          <w:insideH w:val="single" w:sz="4" w:space="0" w:color="005984"/>
          <w:insideV w:val="single" w:sz="4" w:space="0" w:color="005984"/>
        </w:tblBorders>
        <w:tblLayout w:type="fixed"/>
        <w:tblLook w:val="04A0" w:firstRow="1" w:lastRow="0" w:firstColumn="1" w:lastColumn="0" w:noHBand="0" w:noVBand="1"/>
      </w:tblPr>
      <w:tblGrid>
        <w:gridCol w:w="6096"/>
        <w:gridCol w:w="1559"/>
        <w:gridCol w:w="1134"/>
      </w:tblGrid>
      <w:tr w:rsidR="00331666" w:rsidRPr="00943B01" w:rsidTr="00331666">
        <w:trPr>
          <w:trHeight w:val="300"/>
        </w:trPr>
        <w:tc>
          <w:tcPr>
            <w:tcW w:w="6096" w:type="dxa"/>
            <w:shd w:val="clear" w:color="auto" w:fill="005984"/>
            <w:noWrap/>
            <w:vAlign w:val="center"/>
          </w:tcPr>
          <w:p w:rsidR="00331666" w:rsidRPr="00943B01" w:rsidRDefault="00331666" w:rsidP="00A153C3">
            <w:pPr>
              <w:pStyle w:val="TableTextbold"/>
              <w:rPr>
                <w:color w:val="FFFFFF" w:themeColor="background1"/>
              </w:rPr>
            </w:pPr>
            <w:r w:rsidRPr="00943B01">
              <w:rPr>
                <w:color w:val="FFFFFF" w:themeColor="background1"/>
              </w:rPr>
              <w:t>Sector</w:t>
            </w:r>
          </w:p>
        </w:tc>
        <w:tc>
          <w:tcPr>
            <w:tcW w:w="1559" w:type="dxa"/>
            <w:shd w:val="clear" w:color="auto" w:fill="005984"/>
          </w:tcPr>
          <w:p w:rsidR="00331666" w:rsidRPr="00943B01" w:rsidRDefault="00331666" w:rsidP="00A153C3">
            <w:pPr>
              <w:pStyle w:val="TableTextbold"/>
              <w:jc w:val="center"/>
              <w:rPr>
                <w:color w:val="FFFFFF" w:themeColor="background1"/>
              </w:rPr>
            </w:pPr>
            <w:r w:rsidRPr="00943B01">
              <w:rPr>
                <w:color w:val="FFFFFF" w:themeColor="background1"/>
              </w:rPr>
              <w:t>No.</w:t>
            </w:r>
          </w:p>
        </w:tc>
        <w:tc>
          <w:tcPr>
            <w:tcW w:w="1134" w:type="dxa"/>
            <w:shd w:val="clear" w:color="auto" w:fill="005984"/>
          </w:tcPr>
          <w:p w:rsidR="00331666" w:rsidRPr="00943B01" w:rsidRDefault="00331666" w:rsidP="00A153C3">
            <w:pPr>
              <w:pStyle w:val="TableTextbold"/>
              <w:jc w:val="center"/>
              <w:rPr>
                <w:color w:val="FFFFFF" w:themeColor="background1"/>
              </w:rPr>
            </w:pPr>
            <w:r w:rsidRPr="00943B01">
              <w:rPr>
                <w:color w:val="FFFFFF" w:themeColor="background1"/>
              </w:rPr>
              <w:t>% of total</w:t>
            </w:r>
          </w:p>
        </w:tc>
      </w:tr>
      <w:tr w:rsidR="003130FF" w:rsidRPr="00943B01" w:rsidTr="00B25FE5">
        <w:trPr>
          <w:trHeight w:val="300"/>
        </w:trPr>
        <w:tc>
          <w:tcPr>
            <w:tcW w:w="6096" w:type="dxa"/>
            <w:shd w:val="clear" w:color="auto" w:fill="auto"/>
            <w:noWrap/>
            <w:vAlign w:val="center"/>
          </w:tcPr>
          <w:p w:rsidR="003130FF" w:rsidRPr="00943B01" w:rsidRDefault="003130FF" w:rsidP="00A153C3">
            <w:pPr>
              <w:pStyle w:val="TableText"/>
              <w:rPr>
                <w:lang w:eastAsia="en-NZ"/>
              </w:rPr>
            </w:pPr>
            <w:r w:rsidRPr="00943B01">
              <w:rPr>
                <w:lang w:eastAsia="en-NZ"/>
              </w:rPr>
              <w:t xml:space="preserve">Agriculture </w:t>
            </w:r>
          </w:p>
        </w:tc>
        <w:tc>
          <w:tcPr>
            <w:tcW w:w="1559" w:type="dxa"/>
          </w:tcPr>
          <w:p w:rsidR="003130FF" w:rsidRPr="00943B01" w:rsidRDefault="003130FF" w:rsidP="00A153C3">
            <w:pPr>
              <w:pStyle w:val="TableText"/>
              <w:jc w:val="center"/>
              <w:rPr>
                <w:lang w:eastAsia="en-NZ"/>
              </w:rPr>
            </w:pPr>
            <w:r>
              <w:rPr>
                <w:lang w:eastAsia="en-NZ"/>
              </w:rPr>
              <w:t>13</w:t>
            </w:r>
          </w:p>
        </w:tc>
        <w:tc>
          <w:tcPr>
            <w:tcW w:w="1134" w:type="dxa"/>
            <w:vAlign w:val="bottom"/>
          </w:tcPr>
          <w:p w:rsidR="003130FF" w:rsidRPr="003130FF" w:rsidRDefault="003130FF" w:rsidP="003130FF">
            <w:pPr>
              <w:pStyle w:val="TableText"/>
              <w:jc w:val="center"/>
              <w:rPr>
                <w:lang w:eastAsia="en-NZ"/>
              </w:rPr>
            </w:pPr>
            <w:r>
              <w:rPr>
                <w:lang w:eastAsia="en-NZ"/>
              </w:rPr>
              <w:t>4</w:t>
            </w:r>
          </w:p>
        </w:tc>
      </w:tr>
      <w:tr w:rsidR="003130FF" w:rsidRPr="00943B01" w:rsidTr="00B25FE5">
        <w:trPr>
          <w:trHeight w:val="300"/>
        </w:trPr>
        <w:tc>
          <w:tcPr>
            <w:tcW w:w="6096" w:type="dxa"/>
            <w:shd w:val="clear" w:color="auto" w:fill="auto"/>
            <w:noWrap/>
            <w:vAlign w:val="center"/>
          </w:tcPr>
          <w:p w:rsidR="003130FF" w:rsidRPr="00943B01" w:rsidRDefault="003130FF" w:rsidP="00A153C3">
            <w:pPr>
              <w:pStyle w:val="TableText"/>
              <w:rPr>
                <w:lang w:eastAsia="en-NZ"/>
              </w:rPr>
            </w:pPr>
            <w:r w:rsidRPr="00943B01">
              <w:rPr>
                <w:lang w:eastAsia="en-NZ"/>
              </w:rPr>
              <w:t>Business groups</w:t>
            </w:r>
          </w:p>
        </w:tc>
        <w:tc>
          <w:tcPr>
            <w:tcW w:w="1559" w:type="dxa"/>
          </w:tcPr>
          <w:p w:rsidR="003130FF" w:rsidRPr="00943B01" w:rsidRDefault="003130FF" w:rsidP="00A153C3">
            <w:pPr>
              <w:pStyle w:val="TableText"/>
              <w:jc w:val="center"/>
              <w:rPr>
                <w:lang w:eastAsia="en-NZ"/>
              </w:rPr>
            </w:pPr>
            <w:r>
              <w:rPr>
                <w:lang w:eastAsia="en-NZ"/>
              </w:rPr>
              <w:t>10</w:t>
            </w:r>
          </w:p>
        </w:tc>
        <w:tc>
          <w:tcPr>
            <w:tcW w:w="1134" w:type="dxa"/>
            <w:vAlign w:val="bottom"/>
          </w:tcPr>
          <w:p w:rsidR="003130FF" w:rsidRPr="003130FF" w:rsidRDefault="003130FF" w:rsidP="00B25FE5">
            <w:pPr>
              <w:pStyle w:val="TableText"/>
              <w:jc w:val="center"/>
              <w:rPr>
                <w:lang w:eastAsia="en-NZ"/>
              </w:rPr>
            </w:pPr>
            <w:r>
              <w:rPr>
                <w:lang w:eastAsia="en-NZ"/>
              </w:rPr>
              <w:t>3</w:t>
            </w:r>
          </w:p>
        </w:tc>
      </w:tr>
      <w:tr w:rsidR="003130FF" w:rsidRPr="00943B01" w:rsidTr="00B25FE5">
        <w:trPr>
          <w:trHeight w:val="300"/>
        </w:trPr>
        <w:tc>
          <w:tcPr>
            <w:tcW w:w="6096" w:type="dxa"/>
            <w:shd w:val="clear" w:color="auto" w:fill="auto"/>
            <w:noWrap/>
            <w:vAlign w:val="center"/>
            <w:hideMark/>
          </w:tcPr>
          <w:p w:rsidR="003130FF" w:rsidRPr="00943B01" w:rsidRDefault="003130FF" w:rsidP="00A153C3">
            <w:pPr>
              <w:pStyle w:val="TableText"/>
              <w:rPr>
                <w:lang w:eastAsia="en-NZ"/>
              </w:rPr>
            </w:pPr>
            <w:r w:rsidRPr="00943B01">
              <w:rPr>
                <w:lang w:eastAsia="en-NZ"/>
              </w:rPr>
              <w:t xml:space="preserve">Electricity </w:t>
            </w:r>
          </w:p>
        </w:tc>
        <w:tc>
          <w:tcPr>
            <w:tcW w:w="1559" w:type="dxa"/>
          </w:tcPr>
          <w:p w:rsidR="003130FF" w:rsidRPr="00943B01" w:rsidRDefault="003130FF" w:rsidP="00A153C3">
            <w:pPr>
              <w:pStyle w:val="TableText"/>
              <w:jc w:val="center"/>
              <w:rPr>
                <w:lang w:eastAsia="en-NZ"/>
              </w:rPr>
            </w:pPr>
            <w:r>
              <w:rPr>
                <w:lang w:eastAsia="en-NZ"/>
              </w:rPr>
              <w:t>9</w:t>
            </w:r>
          </w:p>
        </w:tc>
        <w:tc>
          <w:tcPr>
            <w:tcW w:w="1134" w:type="dxa"/>
            <w:vAlign w:val="bottom"/>
          </w:tcPr>
          <w:p w:rsidR="003130FF" w:rsidRPr="003130FF" w:rsidRDefault="003130FF" w:rsidP="003130FF">
            <w:pPr>
              <w:pStyle w:val="TableText"/>
              <w:jc w:val="center"/>
              <w:rPr>
                <w:lang w:eastAsia="en-NZ"/>
              </w:rPr>
            </w:pPr>
            <w:r w:rsidRPr="003130FF">
              <w:rPr>
                <w:lang w:eastAsia="en-NZ"/>
              </w:rPr>
              <w:t>3</w:t>
            </w:r>
          </w:p>
        </w:tc>
      </w:tr>
      <w:tr w:rsidR="003130FF" w:rsidRPr="00943B01" w:rsidTr="00B25FE5">
        <w:trPr>
          <w:trHeight w:val="300"/>
        </w:trPr>
        <w:tc>
          <w:tcPr>
            <w:tcW w:w="6096" w:type="dxa"/>
            <w:shd w:val="clear" w:color="auto" w:fill="auto"/>
            <w:noWrap/>
            <w:vAlign w:val="center"/>
            <w:hideMark/>
          </w:tcPr>
          <w:p w:rsidR="003130FF" w:rsidRPr="00943B01" w:rsidRDefault="003130FF" w:rsidP="00A153C3">
            <w:pPr>
              <w:pStyle w:val="TableText"/>
              <w:rPr>
                <w:lang w:eastAsia="en-NZ"/>
              </w:rPr>
            </w:pPr>
            <w:r w:rsidRPr="00943B01">
              <w:rPr>
                <w:lang w:eastAsia="en-NZ"/>
              </w:rPr>
              <w:t xml:space="preserve">Forestry </w:t>
            </w:r>
          </w:p>
        </w:tc>
        <w:tc>
          <w:tcPr>
            <w:tcW w:w="1559" w:type="dxa"/>
          </w:tcPr>
          <w:p w:rsidR="003130FF" w:rsidRPr="00943B01" w:rsidRDefault="003130FF" w:rsidP="00A153C3">
            <w:pPr>
              <w:pStyle w:val="TableText"/>
              <w:jc w:val="center"/>
              <w:rPr>
                <w:lang w:eastAsia="en-NZ"/>
              </w:rPr>
            </w:pPr>
            <w:r>
              <w:rPr>
                <w:lang w:eastAsia="en-NZ"/>
              </w:rPr>
              <w:t>56</w:t>
            </w:r>
          </w:p>
        </w:tc>
        <w:tc>
          <w:tcPr>
            <w:tcW w:w="1134" w:type="dxa"/>
            <w:vAlign w:val="bottom"/>
          </w:tcPr>
          <w:p w:rsidR="003130FF" w:rsidRPr="003130FF" w:rsidRDefault="00080535" w:rsidP="003130FF">
            <w:pPr>
              <w:pStyle w:val="TableText"/>
              <w:jc w:val="center"/>
              <w:rPr>
                <w:lang w:eastAsia="en-NZ"/>
              </w:rPr>
            </w:pPr>
            <w:r>
              <w:rPr>
                <w:lang w:eastAsia="en-NZ"/>
              </w:rPr>
              <w:t>16</w:t>
            </w:r>
          </w:p>
        </w:tc>
      </w:tr>
      <w:tr w:rsidR="003130FF" w:rsidRPr="00943B01" w:rsidTr="00B25FE5">
        <w:trPr>
          <w:trHeight w:val="300"/>
        </w:trPr>
        <w:tc>
          <w:tcPr>
            <w:tcW w:w="6096" w:type="dxa"/>
            <w:shd w:val="clear" w:color="auto" w:fill="auto"/>
            <w:noWrap/>
            <w:vAlign w:val="center"/>
          </w:tcPr>
          <w:p w:rsidR="003130FF" w:rsidRPr="00943B01" w:rsidRDefault="003130FF" w:rsidP="00A153C3">
            <w:pPr>
              <w:pStyle w:val="TableText"/>
              <w:rPr>
                <w:lang w:eastAsia="en-NZ"/>
              </w:rPr>
            </w:pPr>
            <w:r w:rsidRPr="00943B01">
              <w:rPr>
                <w:lang w:eastAsia="en-NZ"/>
              </w:rPr>
              <w:t>Individual</w:t>
            </w:r>
          </w:p>
        </w:tc>
        <w:tc>
          <w:tcPr>
            <w:tcW w:w="1559" w:type="dxa"/>
          </w:tcPr>
          <w:p w:rsidR="003130FF" w:rsidRPr="00943B01" w:rsidRDefault="003130FF" w:rsidP="00A153C3">
            <w:pPr>
              <w:pStyle w:val="TableText"/>
              <w:jc w:val="center"/>
              <w:rPr>
                <w:lang w:eastAsia="en-NZ"/>
              </w:rPr>
            </w:pPr>
            <w:r>
              <w:rPr>
                <w:lang w:eastAsia="en-NZ"/>
              </w:rPr>
              <w:t>136</w:t>
            </w:r>
          </w:p>
        </w:tc>
        <w:tc>
          <w:tcPr>
            <w:tcW w:w="1134" w:type="dxa"/>
            <w:vAlign w:val="bottom"/>
          </w:tcPr>
          <w:p w:rsidR="003130FF" w:rsidRPr="003130FF" w:rsidRDefault="00080535" w:rsidP="00B25FE5">
            <w:pPr>
              <w:pStyle w:val="TableText"/>
              <w:jc w:val="center"/>
              <w:rPr>
                <w:lang w:eastAsia="en-NZ"/>
              </w:rPr>
            </w:pPr>
            <w:r>
              <w:rPr>
                <w:lang w:eastAsia="en-NZ"/>
              </w:rPr>
              <w:t>39</w:t>
            </w:r>
          </w:p>
        </w:tc>
      </w:tr>
      <w:tr w:rsidR="003130FF" w:rsidRPr="00943B01" w:rsidTr="00B25FE5">
        <w:trPr>
          <w:trHeight w:val="300"/>
        </w:trPr>
        <w:tc>
          <w:tcPr>
            <w:tcW w:w="6096" w:type="dxa"/>
            <w:shd w:val="clear" w:color="auto" w:fill="auto"/>
            <w:noWrap/>
            <w:vAlign w:val="center"/>
          </w:tcPr>
          <w:p w:rsidR="003130FF" w:rsidRPr="00943B01" w:rsidRDefault="003130FF" w:rsidP="00A153C3">
            <w:pPr>
              <w:pStyle w:val="TableText"/>
              <w:rPr>
                <w:lang w:eastAsia="en-NZ"/>
              </w:rPr>
            </w:pPr>
            <w:r w:rsidRPr="00943B01">
              <w:rPr>
                <w:lang w:eastAsia="en-NZ"/>
              </w:rPr>
              <w:t>Industrial processors</w:t>
            </w:r>
          </w:p>
        </w:tc>
        <w:tc>
          <w:tcPr>
            <w:tcW w:w="1559" w:type="dxa"/>
          </w:tcPr>
          <w:p w:rsidR="003130FF" w:rsidRPr="00943B01" w:rsidRDefault="00EC342C" w:rsidP="00A153C3">
            <w:pPr>
              <w:pStyle w:val="TableText"/>
              <w:jc w:val="center"/>
              <w:rPr>
                <w:lang w:eastAsia="en-NZ"/>
              </w:rPr>
            </w:pPr>
            <w:r>
              <w:rPr>
                <w:lang w:eastAsia="en-NZ"/>
              </w:rPr>
              <w:t>12</w:t>
            </w:r>
          </w:p>
        </w:tc>
        <w:tc>
          <w:tcPr>
            <w:tcW w:w="1134" w:type="dxa"/>
            <w:vAlign w:val="bottom"/>
          </w:tcPr>
          <w:p w:rsidR="003130FF" w:rsidRPr="003130FF" w:rsidRDefault="00EC342C" w:rsidP="00B25FE5">
            <w:pPr>
              <w:pStyle w:val="TableText"/>
              <w:jc w:val="center"/>
              <w:rPr>
                <w:lang w:eastAsia="en-NZ"/>
              </w:rPr>
            </w:pPr>
            <w:r>
              <w:rPr>
                <w:lang w:eastAsia="en-NZ"/>
              </w:rPr>
              <w:t>3</w:t>
            </w:r>
          </w:p>
        </w:tc>
      </w:tr>
      <w:tr w:rsidR="003130FF" w:rsidRPr="00943B01" w:rsidTr="00B25FE5">
        <w:trPr>
          <w:trHeight w:val="300"/>
        </w:trPr>
        <w:tc>
          <w:tcPr>
            <w:tcW w:w="6096" w:type="dxa"/>
            <w:shd w:val="clear" w:color="auto" w:fill="auto"/>
            <w:noWrap/>
            <w:vAlign w:val="center"/>
            <w:hideMark/>
          </w:tcPr>
          <w:p w:rsidR="003130FF" w:rsidRPr="00943B01" w:rsidRDefault="003130FF" w:rsidP="00A153C3">
            <w:pPr>
              <w:pStyle w:val="TableText"/>
              <w:rPr>
                <w:lang w:eastAsia="en-NZ"/>
              </w:rPr>
            </w:pPr>
            <w:r w:rsidRPr="00943B01">
              <w:rPr>
                <w:lang w:eastAsia="en-NZ"/>
              </w:rPr>
              <w:t>Iwi/Māori</w:t>
            </w:r>
          </w:p>
        </w:tc>
        <w:tc>
          <w:tcPr>
            <w:tcW w:w="1559" w:type="dxa"/>
          </w:tcPr>
          <w:p w:rsidR="003130FF" w:rsidRPr="00943B01" w:rsidRDefault="003130FF" w:rsidP="00A153C3">
            <w:pPr>
              <w:pStyle w:val="TableText"/>
              <w:jc w:val="center"/>
              <w:rPr>
                <w:lang w:eastAsia="en-NZ"/>
              </w:rPr>
            </w:pPr>
            <w:r>
              <w:rPr>
                <w:lang w:eastAsia="en-NZ"/>
              </w:rPr>
              <w:t>12</w:t>
            </w:r>
          </w:p>
        </w:tc>
        <w:tc>
          <w:tcPr>
            <w:tcW w:w="1134" w:type="dxa"/>
            <w:vAlign w:val="bottom"/>
          </w:tcPr>
          <w:p w:rsidR="003130FF" w:rsidRPr="003130FF" w:rsidRDefault="00080535" w:rsidP="003130FF">
            <w:pPr>
              <w:pStyle w:val="TableText"/>
              <w:jc w:val="center"/>
              <w:rPr>
                <w:lang w:eastAsia="en-NZ"/>
              </w:rPr>
            </w:pPr>
            <w:r>
              <w:rPr>
                <w:lang w:eastAsia="en-NZ"/>
              </w:rPr>
              <w:t>3</w:t>
            </w:r>
          </w:p>
        </w:tc>
      </w:tr>
      <w:tr w:rsidR="003130FF" w:rsidRPr="00943B01" w:rsidTr="00B25FE5">
        <w:trPr>
          <w:trHeight w:val="300"/>
        </w:trPr>
        <w:tc>
          <w:tcPr>
            <w:tcW w:w="6096" w:type="dxa"/>
            <w:shd w:val="clear" w:color="auto" w:fill="auto"/>
            <w:noWrap/>
            <w:vAlign w:val="center"/>
          </w:tcPr>
          <w:p w:rsidR="003130FF" w:rsidRPr="00943B01" w:rsidRDefault="003130FF" w:rsidP="00A153C3">
            <w:pPr>
              <w:pStyle w:val="TableText"/>
              <w:rPr>
                <w:lang w:eastAsia="en-NZ"/>
              </w:rPr>
            </w:pPr>
            <w:r w:rsidRPr="00943B01">
              <w:rPr>
                <w:lang w:eastAsia="en-NZ"/>
              </w:rPr>
              <w:t>Liquid fossil fuels (transport)</w:t>
            </w:r>
          </w:p>
        </w:tc>
        <w:tc>
          <w:tcPr>
            <w:tcW w:w="1559" w:type="dxa"/>
          </w:tcPr>
          <w:p w:rsidR="003130FF" w:rsidRPr="00943B01" w:rsidRDefault="003130FF" w:rsidP="00A153C3">
            <w:pPr>
              <w:pStyle w:val="TableText"/>
              <w:jc w:val="center"/>
              <w:rPr>
                <w:lang w:eastAsia="en-NZ"/>
              </w:rPr>
            </w:pPr>
            <w:r>
              <w:rPr>
                <w:lang w:eastAsia="en-NZ"/>
              </w:rPr>
              <w:t>10</w:t>
            </w:r>
          </w:p>
        </w:tc>
        <w:tc>
          <w:tcPr>
            <w:tcW w:w="1134" w:type="dxa"/>
            <w:vAlign w:val="bottom"/>
          </w:tcPr>
          <w:p w:rsidR="003130FF" w:rsidRPr="003130FF" w:rsidRDefault="003130FF" w:rsidP="003130FF">
            <w:pPr>
              <w:pStyle w:val="TableText"/>
              <w:jc w:val="center"/>
              <w:rPr>
                <w:lang w:eastAsia="en-NZ"/>
              </w:rPr>
            </w:pPr>
            <w:r w:rsidRPr="003130FF">
              <w:rPr>
                <w:lang w:eastAsia="en-NZ"/>
              </w:rPr>
              <w:t>3</w:t>
            </w:r>
          </w:p>
        </w:tc>
      </w:tr>
      <w:tr w:rsidR="003130FF" w:rsidRPr="00943B01" w:rsidTr="00B25FE5">
        <w:trPr>
          <w:trHeight w:val="300"/>
        </w:trPr>
        <w:tc>
          <w:tcPr>
            <w:tcW w:w="6096" w:type="dxa"/>
            <w:shd w:val="clear" w:color="auto" w:fill="auto"/>
            <w:noWrap/>
            <w:vAlign w:val="center"/>
          </w:tcPr>
          <w:p w:rsidR="003130FF" w:rsidRPr="00943B01" w:rsidRDefault="003130FF" w:rsidP="00A153C3">
            <w:pPr>
              <w:pStyle w:val="TableText"/>
              <w:rPr>
                <w:lang w:eastAsia="en-NZ"/>
              </w:rPr>
            </w:pPr>
            <w:r w:rsidRPr="00943B01">
              <w:rPr>
                <w:lang w:eastAsia="en-NZ"/>
              </w:rPr>
              <w:t>Local government</w:t>
            </w:r>
          </w:p>
        </w:tc>
        <w:tc>
          <w:tcPr>
            <w:tcW w:w="1559" w:type="dxa"/>
          </w:tcPr>
          <w:p w:rsidR="003130FF" w:rsidRPr="00943B01" w:rsidRDefault="003130FF" w:rsidP="00A153C3">
            <w:pPr>
              <w:pStyle w:val="TableText"/>
              <w:jc w:val="center"/>
              <w:rPr>
                <w:lang w:eastAsia="en-NZ"/>
              </w:rPr>
            </w:pPr>
            <w:r>
              <w:rPr>
                <w:lang w:eastAsia="en-NZ"/>
              </w:rPr>
              <w:t>9</w:t>
            </w:r>
          </w:p>
        </w:tc>
        <w:tc>
          <w:tcPr>
            <w:tcW w:w="1134" w:type="dxa"/>
            <w:vAlign w:val="bottom"/>
          </w:tcPr>
          <w:p w:rsidR="003130FF" w:rsidRPr="003130FF" w:rsidRDefault="003130FF" w:rsidP="003130FF">
            <w:pPr>
              <w:pStyle w:val="TableText"/>
              <w:jc w:val="center"/>
              <w:rPr>
                <w:lang w:eastAsia="en-NZ"/>
              </w:rPr>
            </w:pPr>
            <w:r w:rsidRPr="003130FF">
              <w:rPr>
                <w:lang w:eastAsia="en-NZ"/>
              </w:rPr>
              <w:t>3</w:t>
            </w:r>
          </w:p>
        </w:tc>
      </w:tr>
      <w:tr w:rsidR="003130FF" w:rsidRPr="00943B01" w:rsidTr="00B25FE5">
        <w:trPr>
          <w:trHeight w:val="300"/>
        </w:trPr>
        <w:tc>
          <w:tcPr>
            <w:tcW w:w="6096" w:type="dxa"/>
            <w:shd w:val="clear" w:color="auto" w:fill="auto"/>
            <w:noWrap/>
            <w:vAlign w:val="center"/>
            <w:hideMark/>
          </w:tcPr>
          <w:p w:rsidR="003130FF" w:rsidRPr="00943B01" w:rsidRDefault="00A32627" w:rsidP="00A153C3">
            <w:pPr>
              <w:pStyle w:val="TableText"/>
              <w:rPr>
                <w:lang w:eastAsia="en-NZ"/>
              </w:rPr>
            </w:pPr>
            <w:r>
              <w:rPr>
                <w:lang w:eastAsia="en-NZ"/>
              </w:rPr>
              <w:t>Non-government organisations (</w:t>
            </w:r>
            <w:r w:rsidR="003130FF" w:rsidRPr="00943B01">
              <w:rPr>
                <w:lang w:eastAsia="en-NZ"/>
              </w:rPr>
              <w:t>NGO</w:t>
            </w:r>
            <w:r>
              <w:rPr>
                <w:lang w:eastAsia="en-NZ"/>
              </w:rPr>
              <w:t>s)</w:t>
            </w:r>
            <w:r w:rsidR="003130FF" w:rsidRPr="00943B01">
              <w:rPr>
                <w:lang w:eastAsia="en-NZ"/>
              </w:rPr>
              <w:t xml:space="preserve"> and community groups</w:t>
            </w:r>
          </w:p>
        </w:tc>
        <w:tc>
          <w:tcPr>
            <w:tcW w:w="1559" w:type="dxa"/>
          </w:tcPr>
          <w:p w:rsidR="003130FF" w:rsidRPr="00943B01" w:rsidRDefault="003130FF" w:rsidP="00A153C3">
            <w:pPr>
              <w:pStyle w:val="TableText"/>
              <w:jc w:val="center"/>
              <w:rPr>
                <w:lang w:eastAsia="en-NZ"/>
              </w:rPr>
            </w:pPr>
            <w:r>
              <w:rPr>
                <w:lang w:eastAsia="en-NZ"/>
              </w:rPr>
              <w:t>22</w:t>
            </w:r>
          </w:p>
        </w:tc>
        <w:tc>
          <w:tcPr>
            <w:tcW w:w="1134" w:type="dxa"/>
            <w:vAlign w:val="bottom"/>
          </w:tcPr>
          <w:p w:rsidR="003130FF" w:rsidRPr="003130FF" w:rsidRDefault="00080535" w:rsidP="003130FF">
            <w:pPr>
              <w:pStyle w:val="TableText"/>
              <w:jc w:val="center"/>
              <w:rPr>
                <w:lang w:eastAsia="en-NZ"/>
              </w:rPr>
            </w:pPr>
            <w:r>
              <w:rPr>
                <w:lang w:eastAsia="en-NZ"/>
              </w:rPr>
              <w:t>6</w:t>
            </w:r>
          </w:p>
        </w:tc>
      </w:tr>
      <w:tr w:rsidR="003130FF" w:rsidRPr="00943B01" w:rsidTr="00B25FE5">
        <w:trPr>
          <w:trHeight w:val="300"/>
        </w:trPr>
        <w:tc>
          <w:tcPr>
            <w:tcW w:w="6096" w:type="dxa"/>
            <w:shd w:val="clear" w:color="auto" w:fill="auto"/>
            <w:noWrap/>
            <w:vAlign w:val="center"/>
          </w:tcPr>
          <w:p w:rsidR="003130FF" w:rsidRPr="00943B01" w:rsidRDefault="003130FF" w:rsidP="00A153C3">
            <w:pPr>
              <w:pStyle w:val="TableText"/>
              <w:rPr>
                <w:lang w:eastAsia="en-NZ"/>
              </w:rPr>
            </w:pPr>
            <w:r w:rsidRPr="00943B01">
              <w:rPr>
                <w:lang w:eastAsia="en-NZ"/>
              </w:rPr>
              <w:t>Research and tertiary organisation</w:t>
            </w:r>
          </w:p>
        </w:tc>
        <w:tc>
          <w:tcPr>
            <w:tcW w:w="1559" w:type="dxa"/>
          </w:tcPr>
          <w:p w:rsidR="003130FF" w:rsidRPr="00943B01" w:rsidRDefault="003130FF" w:rsidP="00A153C3">
            <w:pPr>
              <w:pStyle w:val="TableText"/>
              <w:jc w:val="center"/>
              <w:rPr>
                <w:lang w:eastAsia="en-NZ"/>
              </w:rPr>
            </w:pPr>
            <w:r>
              <w:rPr>
                <w:lang w:eastAsia="en-NZ"/>
              </w:rPr>
              <w:t>11</w:t>
            </w:r>
          </w:p>
        </w:tc>
        <w:tc>
          <w:tcPr>
            <w:tcW w:w="1134" w:type="dxa"/>
            <w:vAlign w:val="bottom"/>
          </w:tcPr>
          <w:p w:rsidR="003130FF" w:rsidRPr="003130FF" w:rsidRDefault="003130FF" w:rsidP="003130FF">
            <w:pPr>
              <w:pStyle w:val="TableText"/>
              <w:jc w:val="center"/>
              <w:rPr>
                <w:lang w:eastAsia="en-NZ"/>
              </w:rPr>
            </w:pPr>
            <w:r w:rsidRPr="003130FF">
              <w:rPr>
                <w:lang w:eastAsia="en-NZ"/>
              </w:rPr>
              <w:t>3</w:t>
            </w:r>
          </w:p>
        </w:tc>
      </w:tr>
      <w:tr w:rsidR="003130FF" w:rsidRPr="00943B01" w:rsidTr="00B25FE5">
        <w:trPr>
          <w:trHeight w:val="300"/>
        </w:trPr>
        <w:tc>
          <w:tcPr>
            <w:tcW w:w="6096" w:type="dxa"/>
            <w:shd w:val="clear" w:color="auto" w:fill="auto"/>
            <w:noWrap/>
            <w:vAlign w:val="center"/>
          </w:tcPr>
          <w:p w:rsidR="003130FF" w:rsidRPr="00943B01" w:rsidRDefault="003130FF" w:rsidP="00A153C3">
            <w:pPr>
              <w:pStyle w:val="TableText"/>
              <w:rPr>
                <w:lang w:eastAsia="en-NZ"/>
              </w:rPr>
            </w:pPr>
            <w:r w:rsidRPr="00943B01">
              <w:rPr>
                <w:lang w:eastAsia="en-NZ"/>
              </w:rPr>
              <w:t xml:space="preserve">Stationary energy (excluding electricity) </w:t>
            </w:r>
          </w:p>
        </w:tc>
        <w:tc>
          <w:tcPr>
            <w:tcW w:w="1559" w:type="dxa"/>
          </w:tcPr>
          <w:p w:rsidR="003130FF" w:rsidRPr="00943B01" w:rsidRDefault="003130FF" w:rsidP="00A153C3">
            <w:pPr>
              <w:pStyle w:val="TableText"/>
              <w:jc w:val="center"/>
              <w:rPr>
                <w:lang w:eastAsia="en-NZ"/>
              </w:rPr>
            </w:pPr>
            <w:r>
              <w:rPr>
                <w:lang w:eastAsia="en-NZ"/>
              </w:rPr>
              <w:t>9</w:t>
            </w:r>
          </w:p>
        </w:tc>
        <w:tc>
          <w:tcPr>
            <w:tcW w:w="1134" w:type="dxa"/>
            <w:vAlign w:val="bottom"/>
          </w:tcPr>
          <w:p w:rsidR="003130FF" w:rsidRPr="003130FF" w:rsidRDefault="003130FF" w:rsidP="003130FF">
            <w:pPr>
              <w:pStyle w:val="TableText"/>
              <w:jc w:val="center"/>
              <w:rPr>
                <w:lang w:eastAsia="en-NZ"/>
              </w:rPr>
            </w:pPr>
            <w:r w:rsidRPr="003130FF">
              <w:rPr>
                <w:lang w:eastAsia="en-NZ"/>
              </w:rPr>
              <w:t>3</w:t>
            </w:r>
          </w:p>
        </w:tc>
      </w:tr>
      <w:tr w:rsidR="003130FF" w:rsidRPr="00943B01" w:rsidTr="00B25FE5">
        <w:trPr>
          <w:trHeight w:val="300"/>
        </w:trPr>
        <w:tc>
          <w:tcPr>
            <w:tcW w:w="6096" w:type="dxa"/>
            <w:shd w:val="clear" w:color="auto" w:fill="auto"/>
            <w:noWrap/>
            <w:vAlign w:val="center"/>
          </w:tcPr>
          <w:p w:rsidR="003130FF" w:rsidRPr="00943B01" w:rsidRDefault="003130FF" w:rsidP="00A153C3">
            <w:pPr>
              <w:pStyle w:val="TableText"/>
              <w:rPr>
                <w:lang w:eastAsia="en-NZ"/>
              </w:rPr>
            </w:pPr>
            <w:r w:rsidRPr="00943B01">
              <w:rPr>
                <w:lang w:eastAsia="en-NZ"/>
              </w:rPr>
              <w:t>Waste</w:t>
            </w:r>
          </w:p>
        </w:tc>
        <w:tc>
          <w:tcPr>
            <w:tcW w:w="1559" w:type="dxa"/>
          </w:tcPr>
          <w:p w:rsidR="003130FF" w:rsidRPr="00943B01" w:rsidRDefault="003130FF" w:rsidP="00A153C3">
            <w:pPr>
              <w:pStyle w:val="TableText"/>
              <w:jc w:val="center"/>
              <w:rPr>
                <w:lang w:eastAsia="en-NZ"/>
              </w:rPr>
            </w:pPr>
            <w:r>
              <w:rPr>
                <w:lang w:eastAsia="en-NZ"/>
              </w:rPr>
              <w:t>14</w:t>
            </w:r>
          </w:p>
        </w:tc>
        <w:tc>
          <w:tcPr>
            <w:tcW w:w="1134" w:type="dxa"/>
            <w:vAlign w:val="bottom"/>
          </w:tcPr>
          <w:p w:rsidR="003130FF" w:rsidRPr="003130FF" w:rsidRDefault="003130FF" w:rsidP="003130FF">
            <w:pPr>
              <w:pStyle w:val="TableText"/>
              <w:jc w:val="center"/>
              <w:rPr>
                <w:lang w:eastAsia="en-NZ"/>
              </w:rPr>
            </w:pPr>
            <w:r w:rsidRPr="003130FF">
              <w:rPr>
                <w:lang w:eastAsia="en-NZ"/>
              </w:rPr>
              <w:t>4</w:t>
            </w:r>
          </w:p>
        </w:tc>
      </w:tr>
      <w:tr w:rsidR="003130FF" w:rsidRPr="00943B01" w:rsidTr="00B25FE5">
        <w:trPr>
          <w:trHeight w:val="300"/>
        </w:trPr>
        <w:tc>
          <w:tcPr>
            <w:tcW w:w="6096" w:type="dxa"/>
            <w:shd w:val="clear" w:color="auto" w:fill="auto"/>
            <w:noWrap/>
            <w:vAlign w:val="center"/>
          </w:tcPr>
          <w:p w:rsidR="003130FF" w:rsidRPr="00943B01" w:rsidRDefault="003130FF" w:rsidP="00A153C3">
            <w:pPr>
              <w:pStyle w:val="TableText"/>
              <w:rPr>
                <w:lang w:eastAsia="en-NZ"/>
              </w:rPr>
            </w:pPr>
            <w:r w:rsidRPr="00943B01">
              <w:rPr>
                <w:lang w:eastAsia="en-NZ"/>
              </w:rPr>
              <w:t>Wood processors and manufacturers</w:t>
            </w:r>
          </w:p>
        </w:tc>
        <w:tc>
          <w:tcPr>
            <w:tcW w:w="1559" w:type="dxa"/>
          </w:tcPr>
          <w:p w:rsidR="003130FF" w:rsidRPr="00943B01" w:rsidRDefault="003130FF" w:rsidP="00A153C3">
            <w:pPr>
              <w:pStyle w:val="TableText"/>
              <w:jc w:val="center"/>
              <w:rPr>
                <w:lang w:eastAsia="en-NZ"/>
              </w:rPr>
            </w:pPr>
            <w:r>
              <w:rPr>
                <w:lang w:eastAsia="en-NZ"/>
              </w:rPr>
              <w:t>2</w:t>
            </w:r>
          </w:p>
        </w:tc>
        <w:tc>
          <w:tcPr>
            <w:tcW w:w="1134" w:type="dxa"/>
            <w:vAlign w:val="bottom"/>
          </w:tcPr>
          <w:p w:rsidR="003130FF" w:rsidRPr="003130FF" w:rsidRDefault="003130FF" w:rsidP="003130FF">
            <w:pPr>
              <w:pStyle w:val="TableText"/>
              <w:jc w:val="center"/>
              <w:rPr>
                <w:lang w:eastAsia="en-NZ"/>
              </w:rPr>
            </w:pPr>
            <w:r w:rsidRPr="003130FF">
              <w:rPr>
                <w:lang w:eastAsia="en-NZ"/>
              </w:rPr>
              <w:t>1</w:t>
            </w:r>
          </w:p>
        </w:tc>
      </w:tr>
      <w:tr w:rsidR="003130FF" w:rsidRPr="00943B01" w:rsidTr="00B25FE5">
        <w:trPr>
          <w:trHeight w:val="300"/>
        </w:trPr>
        <w:tc>
          <w:tcPr>
            <w:tcW w:w="6096" w:type="dxa"/>
            <w:shd w:val="clear" w:color="auto" w:fill="auto"/>
            <w:noWrap/>
            <w:vAlign w:val="center"/>
          </w:tcPr>
          <w:p w:rsidR="003130FF" w:rsidRPr="00943B01" w:rsidRDefault="003130FF" w:rsidP="00A153C3">
            <w:pPr>
              <w:pStyle w:val="TableText"/>
              <w:rPr>
                <w:lang w:eastAsia="en-NZ"/>
              </w:rPr>
            </w:pPr>
            <w:r w:rsidRPr="00943B01">
              <w:rPr>
                <w:lang w:eastAsia="en-NZ"/>
              </w:rPr>
              <w:t>Other</w:t>
            </w:r>
          </w:p>
        </w:tc>
        <w:tc>
          <w:tcPr>
            <w:tcW w:w="1559" w:type="dxa"/>
          </w:tcPr>
          <w:p w:rsidR="003130FF" w:rsidRPr="00943B01" w:rsidRDefault="003130FF" w:rsidP="00A153C3">
            <w:pPr>
              <w:pStyle w:val="TableText"/>
              <w:jc w:val="center"/>
              <w:rPr>
                <w:lang w:eastAsia="en-NZ"/>
              </w:rPr>
            </w:pPr>
            <w:r>
              <w:rPr>
                <w:lang w:eastAsia="en-NZ"/>
              </w:rPr>
              <w:t>2</w:t>
            </w:r>
            <w:r w:rsidR="00EC342C">
              <w:rPr>
                <w:lang w:eastAsia="en-NZ"/>
              </w:rPr>
              <w:t>0</w:t>
            </w:r>
          </w:p>
        </w:tc>
        <w:tc>
          <w:tcPr>
            <w:tcW w:w="1134" w:type="dxa"/>
            <w:vAlign w:val="bottom"/>
          </w:tcPr>
          <w:p w:rsidR="003130FF" w:rsidRPr="003130FF" w:rsidRDefault="00EC342C" w:rsidP="003130FF">
            <w:pPr>
              <w:pStyle w:val="TableText"/>
              <w:jc w:val="center"/>
              <w:rPr>
                <w:lang w:eastAsia="en-NZ"/>
              </w:rPr>
            </w:pPr>
            <w:r>
              <w:rPr>
                <w:lang w:eastAsia="en-NZ"/>
              </w:rPr>
              <w:t>6</w:t>
            </w:r>
          </w:p>
        </w:tc>
      </w:tr>
      <w:tr w:rsidR="003130FF" w:rsidRPr="00C74572" w:rsidTr="00331666">
        <w:trPr>
          <w:trHeight w:val="300"/>
        </w:trPr>
        <w:tc>
          <w:tcPr>
            <w:tcW w:w="6096" w:type="dxa"/>
            <w:shd w:val="clear" w:color="auto" w:fill="auto"/>
            <w:noWrap/>
            <w:vAlign w:val="center"/>
            <w:hideMark/>
          </w:tcPr>
          <w:p w:rsidR="003130FF" w:rsidRPr="00943B01" w:rsidRDefault="003130FF" w:rsidP="00A153C3">
            <w:pPr>
              <w:pStyle w:val="TableText"/>
              <w:rPr>
                <w:b/>
                <w:bCs/>
                <w:lang w:eastAsia="en-NZ"/>
              </w:rPr>
            </w:pPr>
            <w:r w:rsidRPr="00943B01">
              <w:rPr>
                <w:b/>
                <w:bCs/>
                <w:lang w:eastAsia="en-NZ"/>
              </w:rPr>
              <w:t>TOTAL</w:t>
            </w:r>
          </w:p>
        </w:tc>
        <w:tc>
          <w:tcPr>
            <w:tcW w:w="1559" w:type="dxa"/>
          </w:tcPr>
          <w:p w:rsidR="003130FF" w:rsidRPr="00943B01" w:rsidRDefault="003130FF" w:rsidP="00A153C3">
            <w:pPr>
              <w:pStyle w:val="TableText"/>
              <w:jc w:val="center"/>
              <w:rPr>
                <w:b/>
                <w:lang w:eastAsia="en-NZ"/>
              </w:rPr>
            </w:pPr>
            <w:r>
              <w:rPr>
                <w:b/>
                <w:lang w:eastAsia="en-NZ"/>
              </w:rPr>
              <w:t>345</w:t>
            </w:r>
          </w:p>
        </w:tc>
        <w:tc>
          <w:tcPr>
            <w:tcW w:w="1134" w:type="dxa"/>
          </w:tcPr>
          <w:p w:rsidR="003130FF" w:rsidRPr="00943B01" w:rsidRDefault="003130FF" w:rsidP="00AC575B">
            <w:pPr>
              <w:pStyle w:val="TableText"/>
              <w:jc w:val="center"/>
              <w:rPr>
                <w:b/>
                <w:lang w:eastAsia="en-NZ"/>
              </w:rPr>
            </w:pPr>
            <w:r w:rsidRPr="00943B01">
              <w:rPr>
                <w:b/>
                <w:lang w:eastAsia="en-NZ"/>
              </w:rPr>
              <w:t>10</w:t>
            </w:r>
            <w:r>
              <w:rPr>
                <w:b/>
                <w:lang w:eastAsia="en-NZ"/>
              </w:rPr>
              <w:t>0</w:t>
            </w:r>
            <w:r w:rsidRPr="00943B01">
              <w:rPr>
                <w:b/>
                <w:lang w:eastAsia="en-NZ"/>
              </w:rPr>
              <w:t>%</w:t>
            </w:r>
          </w:p>
        </w:tc>
      </w:tr>
    </w:tbl>
    <w:p w:rsidR="00F96A6F" w:rsidRPr="00921D6A" w:rsidRDefault="00F96A6F" w:rsidP="00F96A6F">
      <w:pPr>
        <w:pStyle w:val="Heading2"/>
        <w:spacing w:before="480"/>
      </w:pPr>
      <w:bookmarkStart w:id="13" w:name="_Toc463270117"/>
      <w:r w:rsidRPr="00C748FB">
        <w:t>2.2</w:t>
      </w:r>
      <w:r w:rsidRPr="00C748FB">
        <w:tab/>
      </w:r>
      <w:r w:rsidRPr="00921D6A">
        <w:t>Types of submissions</w:t>
      </w:r>
      <w:bookmarkEnd w:id="13"/>
      <w:r w:rsidR="009060FB" w:rsidRPr="00921D6A">
        <w:t xml:space="preserve"> </w:t>
      </w:r>
    </w:p>
    <w:p w:rsidR="00F96A6F" w:rsidRPr="00921D6A" w:rsidRDefault="00C23065" w:rsidP="00F96A6F">
      <w:pPr>
        <w:pStyle w:val="BodyText"/>
      </w:pPr>
      <w:r>
        <w:t>296</w:t>
      </w:r>
      <w:r w:rsidR="00C748FB" w:rsidRPr="00921D6A">
        <w:t xml:space="preserve"> </w:t>
      </w:r>
      <w:r w:rsidR="00F96A6F" w:rsidRPr="00921D6A">
        <w:t>submissions (</w:t>
      </w:r>
      <w:r w:rsidR="00C2449D">
        <w:t>approximately</w:t>
      </w:r>
      <w:r w:rsidR="00745BD5" w:rsidRPr="00921D6A">
        <w:t xml:space="preserve"> 85</w:t>
      </w:r>
      <w:r w:rsidR="00F96A6F" w:rsidRPr="00921D6A">
        <w:t xml:space="preserve"> </w:t>
      </w:r>
      <w:r w:rsidR="008E24E1" w:rsidRPr="00921D6A">
        <w:t>per cent</w:t>
      </w:r>
      <w:r w:rsidR="00F96A6F" w:rsidRPr="00921D6A">
        <w:t xml:space="preserve">) were unique. The remaining </w:t>
      </w:r>
      <w:r>
        <w:t>49</w:t>
      </w:r>
      <w:r w:rsidR="00F96A6F" w:rsidRPr="00921D6A">
        <w:t> (</w:t>
      </w:r>
      <w:r w:rsidR="00C2449D">
        <w:t>approximately</w:t>
      </w:r>
      <w:r w:rsidR="00A52D05">
        <w:t xml:space="preserve"> </w:t>
      </w:r>
      <w:r w:rsidR="00745BD5" w:rsidRPr="00921D6A">
        <w:t>15</w:t>
      </w:r>
      <w:r w:rsidR="00F96A6F" w:rsidRPr="00921D6A">
        <w:t> </w:t>
      </w:r>
      <w:r w:rsidR="008E24E1" w:rsidRPr="00921D6A">
        <w:t>per cent</w:t>
      </w:r>
      <w:r w:rsidR="00F96A6F" w:rsidRPr="00921D6A">
        <w:t xml:space="preserve">) were form submissions by the Morgan Foundation and largely completed by individuals. </w:t>
      </w:r>
    </w:p>
    <w:p w:rsidR="00F96A6F" w:rsidRDefault="00854C4B" w:rsidP="003B2495">
      <w:pPr>
        <w:pStyle w:val="BodyText"/>
      </w:pPr>
      <w:r w:rsidRPr="00921D6A">
        <w:t>58</w:t>
      </w:r>
      <w:r w:rsidR="00F96A6F" w:rsidRPr="00921D6A">
        <w:t xml:space="preserve"> submissions (</w:t>
      </w:r>
      <w:r w:rsidR="00C2449D">
        <w:t>approximately</w:t>
      </w:r>
      <w:r w:rsidRPr="00921D6A">
        <w:t xml:space="preserve"> 15</w:t>
      </w:r>
      <w:r w:rsidR="00F96A6F" w:rsidRPr="00921D6A">
        <w:t xml:space="preserve"> </w:t>
      </w:r>
      <w:r w:rsidR="008E24E1" w:rsidRPr="00921D6A">
        <w:t>per cent</w:t>
      </w:r>
      <w:r w:rsidR="00F96A6F" w:rsidRPr="00921D6A">
        <w:t xml:space="preserve">) were received through the online submission tool, </w:t>
      </w:r>
      <w:r w:rsidR="009A5424" w:rsidRPr="00921D6A">
        <w:t>276</w:t>
      </w:r>
      <w:r w:rsidR="00F96A6F" w:rsidRPr="00921D6A">
        <w:t xml:space="preserve"> (</w:t>
      </w:r>
      <w:r w:rsidR="00C2449D">
        <w:t>approximately</w:t>
      </w:r>
      <w:r w:rsidR="009A5424" w:rsidRPr="00921D6A">
        <w:t xml:space="preserve"> 80</w:t>
      </w:r>
      <w:r w:rsidR="00F96A6F" w:rsidRPr="00921D6A">
        <w:t xml:space="preserve"> </w:t>
      </w:r>
      <w:r w:rsidR="008E24E1" w:rsidRPr="00921D6A">
        <w:t>per cent</w:t>
      </w:r>
      <w:r w:rsidR="00F96A6F" w:rsidRPr="00921D6A">
        <w:t xml:space="preserve">) were emailed, and </w:t>
      </w:r>
      <w:r w:rsidR="009A5424" w:rsidRPr="00921D6A">
        <w:t>11</w:t>
      </w:r>
      <w:r w:rsidR="00F96A6F" w:rsidRPr="00921D6A">
        <w:t xml:space="preserve"> (</w:t>
      </w:r>
      <w:r w:rsidR="00C2449D">
        <w:t>approximately</w:t>
      </w:r>
      <w:r w:rsidR="009A5424" w:rsidRPr="00921D6A">
        <w:t xml:space="preserve"> 5</w:t>
      </w:r>
      <w:r w:rsidR="00F96A6F" w:rsidRPr="00921D6A">
        <w:t xml:space="preserve"> </w:t>
      </w:r>
      <w:r w:rsidR="008E24E1" w:rsidRPr="00921D6A">
        <w:t>per cent</w:t>
      </w:r>
      <w:r w:rsidR="00F96A6F" w:rsidRPr="00921D6A">
        <w:t>) were written submissions, received by post.</w:t>
      </w:r>
      <w:r w:rsidR="00F96A6F">
        <w:br w:type="page"/>
      </w:r>
    </w:p>
    <w:p w:rsidR="00BB007B" w:rsidRPr="00C76622" w:rsidRDefault="0040636D" w:rsidP="00AC0435">
      <w:pPr>
        <w:pStyle w:val="Heading1"/>
        <w:tabs>
          <w:tab w:val="clear" w:pos="851"/>
        </w:tabs>
      </w:pPr>
      <w:bookmarkStart w:id="14" w:name="_Toc463270118"/>
      <w:bookmarkEnd w:id="10"/>
      <w:bookmarkEnd w:id="11"/>
      <w:r>
        <w:lastRenderedPageBreak/>
        <w:t>3</w:t>
      </w:r>
      <w:r w:rsidR="004629E7">
        <w:t>.</w:t>
      </w:r>
      <w:r w:rsidR="00BB007B" w:rsidRPr="00C76622">
        <w:tab/>
      </w:r>
      <w:r w:rsidR="00AD0072">
        <w:t>Context and drivers for the review</w:t>
      </w:r>
      <w:bookmarkEnd w:id="14"/>
    </w:p>
    <w:p w:rsidR="002133A5" w:rsidRPr="00C76622" w:rsidRDefault="0040636D" w:rsidP="007931B6">
      <w:pPr>
        <w:pStyle w:val="Heading2"/>
        <w:spacing w:before="240" w:after="120"/>
      </w:pPr>
      <w:bookmarkStart w:id="15" w:name="_Toc463270119"/>
      <w:r>
        <w:t>3</w:t>
      </w:r>
      <w:r w:rsidR="002133A5">
        <w:t>.</w:t>
      </w:r>
      <w:r>
        <w:t>1</w:t>
      </w:r>
      <w:r w:rsidR="002133A5">
        <w:t xml:space="preserve"> </w:t>
      </w:r>
      <w:r w:rsidR="002133A5">
        <w:tab/>
        <w:t>Do you agree with the drivers for the review?</w:t>
      </w:r>
      <w:r w:rsidR="002133A5" w:rsidRPr="00C76622">
        <w:t xml:space="preserve"> </w:t>
      </w:r>
      <w:r w:rsidR="002133A5">
        <w:t>(Question 1</w:t>
      </w:r>
      <w:r w:rsidR="002133A5" w:rsidRPr="00C76622">
        <w:t>)</w:t>
      </w:r>
      <w:bookmarkEnd w:id="15"/>
    </w:p>
    <w:tbl>
      <w:tblPr>
        <w:tblW w:w="8505" w:type="dxa"/>
        <w:tblInd w:w="57"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DEEAF6"/>
        <w:tblLook w:val="04A0" w:firstRow="1" w:lastRow="0" w:firstColumn="1" w:lastColumn="0" w:noHBand="0" w:noVBand="1"/>
      </w:tblPr>
      <w:tblGrid>
        <w:gridCol w:w="8505"/>
      </w:tblGrid>
      <w:tr w:rsidR="002133A5" w:rsidRPr="00C76622" w:rsidTr="002133A5">
        <w:trPr>
          <w:trHeight w:val="1734"/>
        </w:trPr>
        <w:tc>
          <w:tcPr>
            <w:tcW w:w="8505" w:type="dxa"/>
            <w:shd w:val="clear" w:color="auto" w:fill="DEEAF6"/>
          </w:tcPr>
          <w:p w:rsidR="002133A5" w:rsidRPr="004629E7" w:rsidRDefault="002133A5" w:rsidP="00006F25">
            <w:pPr>
              <w:pStyle w:val="BodyText"/>
              <w:spacing w:line="276" w:lineRule="auto"/>
              <w:rPr>
                <w:rStyle w:val="IntenseEmphasis"/>
                <w:b w:val="0"/>
                <w:bCs w:val="0"/>
                <w:i w:val="0"/>
                <w:iCs w:val="0"/>
                <w:color w:val="auto"/>
                <w:sz w:val="20"/>
                <w:szCs w:val="20"/>
              </w:rPr>
            </w:pPr>
            <w:r w:rsidRPr="004629E7">
              <w:rPr>
                <w:rStyle w:val="IntenseEmphasis"/>
                <w:b w:val="0"/>
                <w:bCs w:val="0"/>
                <w:i w:val="0"/>
                <w:iCs w:val="0"/>
                <w:color w:val="auto"/>
                <w:sz w:val="20"/>
                <w:szCs w:val="20"/>
              </w:rPr>
              <w:t>The Government sees four key drivers for reviewing the NZ</w:t>
            </w:r>
            <w:r>
              <w:rPr>
                <w:rStyle w:val="IntenseEmphasis"/>
                <w:b w:val="0"/>
                <w:bCs w:val="0"/>
                <w:i w:val="0"/>
                <w:iCs w:val="0"/>
                <w:color w:val="auto"/>
                <w:sz w:val="20"/>
                <w:szCs w:val="20"/>
              </w:rPr>
              <w:t> </w:t>
            </w:r>
            <w:r w:rsidRPr="004629E7">
              <w:rPr>
                <w:rStyle w:val="IntenseEmphasis"/>
                <w:b w:val="0"/>
                <w:bCs w:val="0"/>
                <w:i w:val="0"/>
                <w:iCs w:val="0"/>
                <w:color w:val="auto"/>
                <w:sz w:val="20"/>
                <w:szCs w:val="20"/>
              </w:rPr>
              <w:t xml:space="preserve">ETS: </w:t>
            </w:r>
          </w:p>
          <w:p w:rsidR="002133A5" w:rsidRPr="004629E7" w:rsidRDefault="002133A5" w:rsidP="00006F25">
            <w:pPr>
              <w:pStyle w:val="Bullet"/>
              <w:spacing w:line="276" w:lineRule="auto"/>
              <w:rPr>
                <w:rStyle w:val="IntenseEmphasis"/>
                <w:b w:val="0"/>
                <w:bCs w:val="0"/>
                <w:i w:val="0"/>
                <w:iCs w:val="0"/>
                <w:color w:val="auto"/>
                <w:sz w:val="20"/>
                <w:szCs w:val="20"/>
              </w:rPr>
            </w:pPr>
            <w:r w:rsidRPr="004629E7">
              <w:rPr>
                <w:rStyle w:val="IntenseEmphasis"/>
                <w:b w:val="0"/>
                <w:bCs w:val="0"/>
                <w:i w:val="0"/>
                <w:iCs w:val="0"/>
                <w:color w:val="auto"/>
                <w:sz w:val="20"/>
                <w:szCs w:val="20"/>
              </w:rPr>
              <w:t>improving performance of the NZ ETS against its objectives</w:t>
            </w:r>
          </w:p>
          <w:p w:rsidR="002133A5" w:rsidRPr="004629E7" w:rsidRDefault="002133A5" w:rsidP="00006F25">
            <w:pPr>
              <w:pStyle w:val="Bullet"/>
              <w:spacing w:line="276" w:lineRule="auto"/>
              <w:rPr>
                <w:rStyle w:val="IntenseEmphasis"/>
                <w:b w:val="0"/>
                <w:bCs w:val="0"/>
                <w:i w:val="0"/>
                <w:iCs w:val="0"/>
                <w:color w:val="auto"/>
                <w:sz w:val="20"/>
                <w:szCs w:val="20"/>
              </w:rPr>
            </w:pPr>
            <w:r w:rsidRPr="004629E7">
              <w:rPr>
                <w:rStyle w:val="IntenseEmphasis"/>
                <w:b w:val="0"/>
                <w:bCs w:val="0"/>
                <w:i w:val="0"/>
                <w:iCs w:val="0"/>
                <w:color w:val="auto"/>
                <w:sz w:val="20"/>
                <w:szCs w:val="20"/>
              </w:rPr>
              <w:t>preparing for a more carbon-constrained future</w:t>
            </w:r>
          </w:p>
          <w:p w:rsidR="002133A5" w:rsidRPr="004629E7" w:rsidRDefault="002133A5" w:rsidP="00006F25">
            <w:pPr>
              <w:pStyle w:val="Bullet"/>
              <w:spacing w:line="276" w:lineRule="auto"/>
              <w:rPr>
                <w:rStyle w:val="IntenseEmphasis"/>
                <w:b w:val="0"/>
                <w:bCs w:val="0"/>
                <w:i w:val="0"/>
                <w:iCs w:val="0"/>
                <w:color w:val="auto"/>
                <w:sz w:val="20"/>
                <w:szCs w:val="20"/>
              </w:rPr>
            </w:pPr>
            <w:r w:rsidRPr="004629E7">
              <w:rPr>
                <w:rStyle w:val="IntenseEmphasis"/>
                <w:b w:val="0"/>
                <w:bCs w:val="0"/>
                <w:i w:val="0"/>
                <w:iCs w:val="0"/>
                <w:color w:val="auto"/>
                <w:sz w:val="20"/>
                <w:szCs w:val="20"/>
              </w:rPr>
              <w:t>increasing certainty about future policy settings</w:t>
            </w:r>
          </w:p>
          <w:p w:rsidR="002133A5" w:rsidRPr="00C76622" w:rsidRDefault="002133A5" w:rsidP="00006F25">
            <w:pPr>
              <w:pStyle w:val="Bullet"/>
              <w:spacing w:line="276" w:lineRule="auto"/>
            </w:pPr>
            <w:proofErr w:type="gramStart"/>
            <w:r w:rsidRPr="004629E7">
              <w:rPr>
                <w:rStyle w:val="IntenseEmphasis"/>
                <w:b w:val="0"/>
                <w:bCs w:val="0"/>
                <w:i w:val="0"/>
                <w:iCs w:val="0"/>
                <w:color w:val="auto"/>
                <w:sz w:val="20"/>
                <w:szCs w:val="20"/>
              </w:rPr>
              <w:t>managing</w:t>
            </w:r>
            <w:proofErr w:type="gramEnd"/>
            <w:r w:rsidRPr="004629E7">
              <w:rPr>
                <w:rStyle w:val="IntenseEmphasis"/>
                <w:b w:val="0"/>
                <w:bCs w:val="0"/>
                <w:i w:val="0"/>
                <w:iCs w:val="0"/>
                <w:color w:val="auto"/>
                <w:sz w:val="20"/>
                <w:szCs w:val="20"/>
              </w:rPr>
              <w:t xml:space="preserve"> banked emissions units.</w:t>
            </w:r>
          </w:p>
        </w:tc>
      </w:tr>
    </w:tbl>
    <w:p w:rsidR="002133A5" w:rsidRDefault="003C6A6F" w:rsidP="00B8466E">
      <w:r>
        <w:t>In total, 2</w:t>
      </w:r>
      <w:r w:rsidR="00D73803">
        <w:t>63</w:t>
      </w:r>
      <w:r w:rsidR="002133A5" w:rsidRPr="008E7EE7">
        <w:t xml:space="preserve"> submitters (</w:t>
      </w:r>
      <w:r w:rsidR="00C2449D">
        <w:t>approximately</w:t>
      </w:r>
      <w:r w:rsidR="00EE13F5">
        <w:t xml:space="preserve"> </w:t>
      </w:r>
      <w:r w:rsidR="00D73803">
        <w:t>75</w:t>
      </w:r>
      <w:r w:rsidR="002133A5">
        <w:t xml:space="preserve"> </w:t>
      </w:r>
      <w:r w:rsidR="008E24E1">
        <w:t>per cent</w:t>
      </w:r>
      <w:r>
        <w:t xml:space="preserve"> of all submitters</w:t>
      </w:r>
      <w:r w:rsidR="002133A5">
        <w:t xml:space="preserve">) </w:t>
      </w:r>
      <w:r>
        <w:t>addressed</w:t>
      </w:r>
      <w:r w:rsidR="002133A5">
        <w:t xml:space="preserve"> this question</w:t>
      </w:r>
      <w:r>
        <w:t xml:space="preserve">. </w:t>
      </w:r>
      <w:r w:rsidR="001E7578">
        <w:t>Two-hundred and two submitters (</w:t>
      </w:r>
      <w:r w:rsidR="00C2449D">
        <w:t>approximately</w:t>
      </w:r>
      <w:r w:rsidR="001E7578">
        <w:t xml:space="preserve"> 75 per cent)</w:t>
      </w:r>
      <w:r w:rsidR="009060FB">
        <w:t xml:space="preserve"> </w:t>
      </w:r>
      <w:r w:rsidR="002133A5">
        <w:t xml:space="preserve">agreed with </w:t>
      </w:r>
      <w:r w:rsidR="00AB423D">
        <w:t xml:space="preserve">some or all of the </w:t>
      </w:r>
      <w:r w:rsidR="002133A5">
        <w:t>drivers for the review. This included the majority of respondents in all sectors. Thirty</w:t>
      </w:r>
      <w:r w:rsidR="00723059">
        <w:t>-</w:t>
      </w:r>
      <w:r w:rsidR="002133A5">
        <w:t>one (</w:t>
      </w:r>
      <w:r w:rsidR="00C2449D">
        <w:t>approximately</w:t>
      </w:r>
      <w:r w:rsidR="00AB423D">
        <w:t xml:space="preserve"> 1</w:t>
      </w:r>
      <w:r w:rsidR="0063307E">
        <w:t>0</w:t>
      </w:r>
      <w:r w:rsidR="002133A5">
        <w:t xml:space="preserve"> </w:t>
      </w:r>
      <w:r w:rsidR="008E24E1">
        <w:t>per cent</w:t>
      </w:r>
      <w:r w:rsidR="002133A5">
        <w:t xml:space="preserve">) did not agree with the drivers, </w:t>
      </w:r>
      <w:r w:rsidR="00B12415">
        <w:t>while the remaining</w:t>
      </w:r>
      <w:r w:rsidR="00AB423D">
        <w:t xml:space="preserve"> </w:t>
      </w:r>
      <w:r w:rsidR="00737117">
        <w:t xml:space="preserve">submitters </w:t>
      </w:r>
      <w:r w:rsidR="00AB423D">
        <w:t>were unsure or did not provide a clear position in their answer</w:t>
      </w:r>
      <w:r w:rsidR="002133A5">
        <w:t xml:space="preserve">. </w:t>
      </w:r>
    </w:p>
    <w:p w:rsidR="00853153" w:rsidRDefault="00AB423D" w:rsidP="00B8466E">
      <w:r>
        <w:t xml:space="preserve">A number of submitters </w:t>
      </w:r>
      <w:r w:rsidR="00723059">
        <w:t xml:space="preserve">who </w:t>
      </w:r>
      <w:r>
        <w:t xml:space="preserve">addressed this question also provided additional information on the extent to which they agreed or disagreed with the review’s drivers. </w:t>
      </w:r>
      <w:r w:rsidR="00853153">
        <w:t>Many submitters commented that they considered the driver to ‘increase certainty about future policy settings’ should be a primary driver. These submitters often noted that they believe policy stability will increase the effectiveness of the N</w:t>
      </w:r>
      <w:r w:rsidR="00723059">
        <w:t xml:space="preserve">ew </w:t>
      </w:r>
      <w:r w:rsidR="00853153">
        <w:t>Z</w:t>
      </w:r>
      <w:r w:rsidR="00723059">
        <w:t>ealand</w:t>
      </w:r>
      <w:r w:rsidR="00853153">
        <w:t xml:space="preserve"> E</w:t>
      </w:r>
      <w:r w:rsidR="00723059">
        <w:t xml:space="preserve">missions </w:t>
      </w:r>
      <w:r w:rsidR="00853153">
        <w:t>T</w:t>
      </w:r>
      <w:r w:rsidR="00723059">
        <w:t xml:space="preserve">rading </w:t>
      </w:r>
      <w:r w:rsidR="00853153">
        <w:t>S</w:t>
      </w:r>
      <w:r w:rsidR="00723059">
        <w:t>cheme (NZ ETS)</w:t>
      </w:r>
      <w:r w:rsidR="00853153">
        <w:t>.</w:t>
      </w:r>
    </w:p>
    <w:p w:rsidR="0040636D" w:rsidRPr="00325373" w:rsidRDefault="000B4B00" w:rsidP="00325373">
      <w:pPr>
        <w:ind w:left="567" w:right="567"/>
        <w:rPr>
          <w:sz w:val="21"/>
          <w:szCs w:val="21"/>
        </w:rPr>
      </w:pPr>
      <w:r w:rsidRPr="00325373">
        <w:rPr>
          <w:sz w:val="21"/>
          <w:szCs w:val="21"/>
        </w:rPr>
        <w:t>“O-I particularly supports the objective of the ETS review to “increase certainty about future policy settings.” Maximising certainty regarding ETS settings, and signalling any changes clearly and with adequate time to allow businesses to prepare for the changes, is critical to enable business to properly factor the future cost of emissions into operat</w:t>
      </w:r>
      <w:r w:rsidR="0040636D" w:rsidRPr="00325373">
        <w:rPr>
          <w:sz w:val="21"/>
          <w:szCs w:val="21"/>
        </w:rPr>
        <w:t xml:space="preserve">ional and investment decisions.” (O-I ACI Operations New Zealand Limited, </w:t>
      </w:r>
      <w:r w:rsidR="001852F7">
        <w:rPr>
          <w:sz w:val="21"/>
          <w:szCs w:val="21"/>
        </w:rPr>
        <w:t>04030</w:t>
      </w:r>
      <w:r w:rsidR="0040636D" w:rsidRPr="00325373">
        <w:rPr>
          <w:sz w:val="21"/>
          <w:szCs w:val="21"/>
        </w:rPr>
        <w:t>)</w:t>
      </w:r>
    </w:p>
    <w:p w:rsidR="00E0750D" w:rsidRDefault="00853153" w:rsidP="00AE5F0D">
      <w:pPr>
        <w:pStyle w:val="BodyText"/>
      </w:pPr>
      <w:r>
        <w:t xml:space="preserve">Other </w:t>
      </w:r>
      <w:r w:rsidR="00C27668">
        <w:t xml:space="preserve">submitters </w:t>
      </w:r>
      <w:r>
        <w:t xml:space="preserve">noted </w:t>
      </w:r>
      <w:r w:rsidR="00AB423D">
        <w:t xml:space="preserve">that </w:t>
      </w:r>
      <w:r w:rsidR="00E0750D">
        <w:t>although they</w:t>
      </w:r>
      <w:r w:rsidR="00AB423D">
        <w:t xml:space="preserve"> agreed with Government’s drivers for the review, </w:t>
      </w:r>
      <w:r w:rsidR="00E0750D">
        <w:t xml:space="preserve">they did not think they were sufficient. </w:t>
      </w:r>
    </w:p>
    <w:p w:rsidR="00E0750D" w:rsidRPr="00325373" w:rsidRDefault="00E0750D" w:rsidP="00325373">
      <w:pPr>
        <w:ind w:left="567" w:right="567"/>
        <w:rPr>
          <w:sz w:val="21"/>
          <w:szCs w:val="21"/>
        </w:rPr>
      </w:pPr>
      <w:proofErr w:type="gramStart"/>
      <w:r w:rsidRPr="00325373">
        <w:rPr>
          <w:sz w:val="21"/>
          <w:szCs w:val="21"/>
        </w:rPr>
        <w:t>“</w:t>
      </w:r>
      <w:r w:rsidR="00AB423D" w:rsidRPr="00325373">
        <w:rPr>
          <w:sz w:val="21"/>
          <w:szCs w:val="21"/>
        </w:rPr>
        <w:t>﻿Not</w:t>
      </w:r>
      <w:proofErr w:type="gramEnd"/>
      <w:r w:rsidR="00AB423D" w:rsidRPr="00325373">
        <w:rPr>
          <w:sz w:val="21"/>
          <w:szCs w:val="21"/>
        </w:rPr>
        <w:t xml:space="preserve"> entirely – it is too structured in format for wide and robust consultation over the NZETS which is a complex and intertwined scheme for which changes and implications must be considered in its entirety, not just parts</w:t>
      </w:r>
      <w:r w:rsidRPr="00325373">
        <w:rPr>
          <w:sz w:val="21"/>
          <w:szCs w:val="21"/>
        </w:rPr>
        <w:t>.” (</w:t>
      </w:r>
      <w:proofErr w:type="spellStart"/>
      <w:r w:rsidRPr="00325373">
        <w:rPr>
          <w:sz w:val="21"/>
          <w:szCs w:val="21"/>
        </w:rPr>
        <w:t>Ngāti</w:t>
      </w:r>
      <w:proofErr w:type="spellEnd"/>
      <w:r w:rsidRPr="00325373">
        <w:rPr>
          <w:sz w:val="21"/>
          <w:szCs w:val="21"/>
        </w:rPr>
        <w:t xml:space="preserve"> Hine Forestry Trust, </w:t>
      </w:r>
      <w:r w:rsidR="001852F7">
        <w:rPr>
          <w:sz w:val="21"/>
          <w:szCs w:val="21"/>
        </w:rPr>
        <w:t>00066</w:t>
      </w:r>
      <w:r w:rsidRPr="00325373">
        <w:rPr>
          <w:sz w:val="21"/>
          <w:szCs w:val="21"/>
        </w:rPr>
        <w:t>)</w:t>
      </w:r>
    </w:p>
    <w:p w:rsidR="00853153" w:rsidRDefault="00853153" w:rsidP="00B8466E">
      <w:r w:rsidRPr="00C748FB">
        <w:t xml:space="preserve">The breakdown per sector is detailed in </w:t>
      </w:r>
      <w:r w:rsidR="00723059">
        <w:t>T</w:t>
      </w:r>
      <w:r w:rsidRPr="00C748FB">
        <w:t xml:space="preserve">able </w:t>
      </w:r>
      <w:r w:rsidR="00723059">
        <w:t>2</w:t>
      </w:r>
      <w:r w:rsidRPr="00C748FB">
        <w:t xml:space="preserve"> and illustrated in </w:t>
      </w:r>
      <w:r w:rsidR="00723059">
        <w:t>F</w:t>
      </w:r>
      <w:r w:rsidRPr="00C748FB">
        <w:t xml:space="preserve">igure </w:t>
      </w:r>
      <w:r w:rsidR="00723059">
        <w:t>1</w:t>
      </w:r>
      <w:r w:rsidRPr="00C748FB">
        <w:t>.</w:t>
      </w:r>
    </w:p>
    <w:p w:rsidR="002133A5" w:rsidRPr="00C76622" w:rsidRDefault="002133A5" w:rsidP="00650845">
      <w:pPr>
        <w:pStyle w:val="Tableheading"/>
      </w:pPr>
      <w:bookmarkStart w:id="16" w:name="_Toc463270166"/>
      <w:r w:rsidRPr="00C748FB">
        <w:t xml:space="preserve">Table </w:t>
      </w:r>
      <w:r w:rsidR="00723059">
        <w:t>2</w:t>
      </w:r>
      <w:r w:rsidRPr="00C748FB">
        <w:t xml:space="preserve">: </w:t>
      </w:r>
      <w:r w:rsidRPr="00C748FB">
        <w:tab/>
      </w:r>
      <w:r w:rsidR="00B556C0">
        <w:t>Submitter</w:t>
      </w:r>
      <w:r w:rsidRPr="00C748FB">
        <w:t xml:space="preserve"> positions – </w:t>
      </w:r>
      <w:r w:rsidRPr="00C748FB">
        <w:rPr>
          <w:i/>
        </w:rPr>
        <w:t>Do you agree with the drivers for the review?</w:t>
      </w:r>
      <w:bookmarkEnd w:id="16"/>
    </w:p>
    <w:tbl>
      <w:tblPr>
        <w:tblW w:w="9229" w:type="dxa"/>
        <w:tblInd w:w="93" w:type="dxa"/>
        <w:tblLayout w:type="fixed"/>
        <w:tblLook w:val="04A0" w:firstRow="1" w:lastRow="0" w:firstColumn="1" w:lastColumn="0" w:noHBand="0" w:noVBand="1"/>
      </w:tblPr>
      <w:tblGrid>
        <w:gridCol w:w="3326"/>
        <w:gridCol w:w="1475"/>
        <w:gridCol w:w="1476"/>
        <w:gridCol w:w="1476"/>
        <w:gridCol w:w="1476"/>
      </w:tblGrid>
      <w:tr w:rsidR="002C0A7F" w:rsidRPr="00C76622" w:rsidTr="00E4116C">
        <w:trPr>
          <w:trHeight w:val="300"/>
          <w:tblHeader/>
        </w:trPr>
        <w:tc>
          <w:tcPr>
            <w:tcW w:w="3326" w:type="dxa"/>
            <w:tcBorders>
              <w:top w:val="nil"/>
              <w:left w:val="nil"/>
              <w:bottom w:val="single" w:sz="4" w:space="0" w:color="005984"/>
              <w:right w:val="single" w:sz="4" w:space="0" w:color="005984"/>
            </w:tcBorders>
            <w:shd w:val="clear" w:color="auto" w:fill="auto"/>
            <w:noWrap/>
            <w:vAlign w:val="bottom"/>
            <w:hideMark/>
          </w:tcPr>
          <w:p w:rsidR="002C0A7F" w:rsidRPr="00C76622" w:rsidRDefault="002C0A7F" w:rsidP="002133A5">
            <w:pPr>
              <w:pStyle w:val="TableTextbold"/>
              <w:rPr>
                <w:lang w:eastAsia="en-NZ"/>
              </w:rPr>
            </w:pPr>
          </w:p>
        </w:tc>
        <w:tc>
          <w:tcPr>
            <w:tcW w:w="1475"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2C0A7F" w:rsidRPr="00C76622" w:rsidRDefault="002C0A7F" w:rsidP="002133A5">
            <w:pPr>
              <w:pStyle w:val="TableTextbold"/>
              <w:jc w:val="center"/>
              <w:rPr>
                <w:color w:val="FFFFFF"/>
                <w:lang w:eastAsia="en-NZ"/>
              </w:rPr>
            </w:pPr>
            <w:r w:rsidRPr="00C76622">
              <w:rPr>
                <w:color w:val="FFFFFF"/>
                <w:lang w:eastAsia="en-NZ"/>
              </w:rPr>
              <w:t>Yes</w:t>
            </w:r>
          </w:p>
        </w:tc>
        <w:tc>
          <w:tcPr>
            <w:tcW w:w="1476"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2C0A7F" w:rsidRPr="00C76622" w:rsidRDefault="002C0A7F" w:rsidP="002133A5">
            <w:pPr>
              <w:pStyle w:val="TableTextbold"/>
              <w:jc w:val="center"/>
              <w:rPr>
                <w:color w:val="FFFFFF"/>
                <w:lang w:eastAsia="en-NZ"/>
              </w:rPr>
            </w:pPr>
            <w:r w:rsidRPr="00C76622">
              <w:rPr>
                <w:color w:val="FFFFFF"/>
                <w:lang w:eastAsia="en-NZ"/>
              </w:rPr>
              <w:t>No</w:t>
            </w:r>
          </w:p>
        </w:tc>
        <w:tc>
          <w:tcPr>
            <w:tcW w:w="1476" w:type="dxa"/>
            <w:tcBorders>
              <w:top w:val="single" w:sz="4" w:space="0" w:color="005984"/>
              <w:left w:val="single" w:sz="4" w:space="0" w:color="005984"/>
              <w:bottom w:val="single" w:sz="4" w:space="0" w:color="005984"/>
            </w:tcBorders>
            <w:shd w:val="clear" w:color="auto" w:fill="005984"/>
            <w:noWrap/>
            <w:vAlign w:val="bottom"/>
            <w:hideMark/>
          </w:tcPr>
          <w:p w:rsidR="002C0A7F" w:rsidRPr="00C76622" w:rsidRDefault="002C0A7F" w:rsidP="002133A5">
            <w:pPr>
              <w:pStyle w:val="TableTextbold"/>
              <w:jc w:val="center"/>
              <w:rPr>
                <w:color w:val="FFFFFF"/>
                <w:lang w:eastAsia="en-NZ"/>
              </w:rPr>
            </w:pPr>
            <w:r w:rsidRPr="00C76622">
              <w:rPr>
                <w:color w:val="FFFFFF"/>
                <w:lang w:eastAsia="en-NZ"/>
              </w:rPr>
              <w:t>Unsure</w:t>
            </w:r>
            <w:r>
              <w:rPr>
                <w:color w:val="FFFFFF"/>
                <w:lang w:eastAsia="en-NZ"/>
              </w:rPr>
              <w:t>/ Unclear</w:t>
            </w:r>
          </w:p>
        </w:tc>
        <w:tc>
          <w:tcPr>
            <w:tcW w:w="1476" w:type="dxa"/>
            <w:tcBorders>
              <w:top w:val="single" w:sz="4" w:space="0" w:color="005984"/>
              <w:left w:val="single" w:sz="4" w:space="0" w:color="005984"/>
              <w:bottom w:val="single" w:sz="4" w:space="0" w:color="005984"/>
            </w:tcBorders>
            <w:shd w:val="clear" w:color="auto" w:fill="005984"/>
            <w:vAlign w:val="bottom"/>
          </w:tcPr>
          <w:p w:rsidR="002C0A7F" w:rsidRPr="00C76622" w:rsidRDefault="002C0A7F" w:rsidP="002133A5">
            <w:pPr>
              <w:pStyle w:val="TableTextbold"/>
              <w:jc w:val="center"/>
              <w:rPr>
                <w:color w:val="FFFFFF"/>
                <w:lang w:eastAsia="en-NZ"/>
              </w:rPr>
            </w:pPr>
            <w:r w:rsidRPr="00C76622">
              <w:rPr>
                <w:color w:val="FFFFFF"/>
                <w:lang w:eastAsia="en-NZ"/>
              </w:rPr>
              <w:t>Total</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F34E11" w:rsidRPr="00C76622" w:rsidRDefault="00F34E11" w:rsidP="002133A5">
            <w:pPr>
              <w:pStyle w:val="TableText"/>
              <w:rPr>
                <w:lang w:eastAsia="en-NZ"/>
              </w:rPr>
            </w:pPr>
            <w:r w:rsidRPr="00C76622">
              <w:rPr>
                <w:lang w:eastAsia="en-NZ"/>
              </w:rPr>
              <w:t xml:space="preserve">Agriculture </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E95EF5">
              <w:t>11</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307C47">
              <w:t>1</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F34E11" w:rsidP="002133A5">
            <w:pPr>
              <w:pStyle w:val="TableText"/>
              <w:jc w:val="center"/>
              <w:rPr>
                <w:lang w:eastAsia="en-NZ"/>
              </w:rPr>
            </w:pPr>
            <w:r w:rsidRPr="00D90DB9">
              <w:t>1</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870B9F">
              <w:t>13</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F34E11" w:rsidRPr="00C76622" w:rsidRDefault="00F34E11" w:rsidP="002133A5">
            <w:pPr>
              <w:pStyle w:val="TableText"/>
              <w:rPr>
                <w:lang w:eastAsia="en-NZ"/>
              </w:rPr>
            </w:pPr>
            <w:r w:rsidRPr="00C76622">
              <w:rPr>
                <w:lang w:eastAsia="en-NZ"/>
              </w:rPr>
              <w:t>Business groups</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E95EF5">
              <w:t>7</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473D30" w:rsidP="002133A5">
            <w:pPr>
              <w:pStyle w:val="TableText"/>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473D30" w:rsidP="002133A5">
            <w:pPr>
              <w:pStyle w:val="TableText"/>
              <w:jc w:val="center"/>
              <w:rPr>
                <w:lang w:eastAsia="en-NZ"/>
              </w:rPr>
            </w:pPr>
            <w:r>
              <w:t>0</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870B9F">
              <w:t>7</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F34E11" w:rsidRPr="00C76622" w:rsidRDefault="00F34E11" w:rsidP="002133A5">
            <w:pPr>
              <w:pStyle w:val="TableText"/>
              <w:rPr>
                <w:lang w:eastAsia="en-NZ"/>
              </w:rPr>
            </w:pPr>
            <w:r w:rsidRPr="00C76622">
              <w:rPr>
                <w:lang w:eastAsia="en-NZ"/>
              </w:rPr>
              <w:t xml:space="preserve">Electricity </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E95EF5">
              <w:t>8</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473D30" w:rsidP="002133A5">
            <w:pPr>
              <w:pStyle w:val="TableText"/>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473D30" w:rsidP="002133A5">
            <w:pPr>
              <w:pStyle w:val="TableText"/>
              <w:jc w:val="center"/>
              <w:rPr>
                <w:lang w:eastAsia="en-NZ"/>
              </w:rPr>
            </w:pPr>
            <w:r>
              <w:t>0</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870B9F">
              <w:t>8</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F34E11" w:rsidRPr="00C76622" w:rsidRDefault="00F34E11" w:rsidP="002133A5">
            <w:pPr>
              <w:pStyle w:val="TableText"/>
              <w:rPr>
                <w:lang w:eastAsia="en-NZ"/>
              </w:rPr>
            </w:pPr>
            <w:r w:rsidRPr="00C76622">
              <w:rPr>
                <w:lang w:eastAsia="en-NZ"/>
              </w:rPr>
              <w:t xml:space="preserve">Forestry </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E95EF5">
              <w:t>36</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307C47">
              <w:t>7</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F34E11" w:rsidP="002133A5">
            <w:pPr>
              <w:pStyle w:val="TableText"/>
              <w:jc w:val="center"/>
              <w:rPr>
                <w:lang w:eastAsia="en-NZ"/>
              </w:rPr>
            </w:pPr>
            <w:r w:rsidRPr="00D90DB9">
              <w:t>2</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870B9F">
              <w:t>45</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F34E11" w:rsidRPr="00C76622" w:rsidRDefault="00F34E11" w:rsidP="002133A5">
            <w:pPr>
              <w:pStyle w:val="TableText"/>
              <w:rPr>
                <w:lang w:eastAsia="en-NZ"/>
              </w:rPr>
            </w:pPr>
            <w:r w:rsidRPr="00C76622">
              <w:rPr>
                <w:lang w:eastAsia="en-NZ"/>
              </w:rPr>
              <w:t>Individual</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E95EF5">
              <w:t>72</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307C47">
              <w:t>14</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F34E11" w:rsidP="002133A5">
            <w:pPr>
              <w:pStyle w:val="TableText"/>
              <w:jc w:val="center"/>
              <w:rPr>
                <w:lang w:eastAsia="en-NZ"/>
              </w:rPr>
            </w:pPr>
            <w:r w:rsidRPr="00D90DB9">
              <w:t>19</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870B9F">
              <w:t>105</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F34E11" w:rsidRPr="00C76622" w:rsidRDefault="00F34E11" w:rsidP="002133A5">
            <w:pPr>
              <w:pStyle w:val="TableText"/>
              <w:rPr>
                <w:lang w:eastAsia="en-NZ"/>
              </w:rPr>
            </w:pPr>
            <w:r w:rsidRPr="00C76622">
              <w:rPr>
                <w:lang w:eastAsia="en-NZ"/>
              </w:rPr>
              <w:lastRenderedPageBreak/>
              <w:t xml:space="preserve">Industrial processors </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E95EF5">
              <w:t>7</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473D30" w:rsidP="002133A5">
            <w:pPr>
              <w:pStyle w:val="TableText"/>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F34E11" w:rsidP="002133A5">
            <w:pPr>
              <w:pStyle w:val="TableText"/>
              <w:jc w:val="center"/>
              <w:rPr>
                <w:lang w:eastAsia="en-NZ"/>
              </w:rPr>
            </w:pPr>
            <w:r w:rsidRPr="00D90DB9">
              <w:t>2</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870B9F">
              <w:t>9</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F34E11" w:rsidRPr="00C76622" w:rsidRDefault="00F34E11" w:rsidP="002133A5">
            <w:pPr>
              <w:pStyle w:val="TableText"/>
              <w:rPr>
                <w:lang w:eastAsia="en-NZ"/>
              </w:rPr>
            </w:pPr>
            <w:r w:rsidRPr="00C76622">
              <w:rPr>
                <w:lang w:eastAsia="en-NZ"/>
              </w:rPr>
              <w:t>Iwi/Māori</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E95EF5">
              <w:t>6</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473D30" w:rsidP="002133A5">
            <w:pPr>
              <w:pStyle w:val="TableText"/>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F34E11" w:rsidP="002133A5">
            <w:pPr>
              <w:pStyle w:val="TableText"/>
              <w:jc w:val="center"/>
              <w:rPr>
                <w:lang w:eastAsia="en-NZ"/>
              </w:rPr>
            </w:pPr>
            <w:r w:rsidRPr="00D90DB9">
              <w:t>1</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870B9F">
              <w:t>7</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F34E11" w:rsidRPr="00C76622" w:rsidRDefault="00F34E11" w:rsidP="002133A5">
            <w:pPr>
              <w:pStyle w:val="TableText"/>
              <w:rPr>
                <w:lang w:eastAsia="en-NZ"/>
              </w:rPr>
            </w:pPr>
            <w:r w:rsidRPr="00C76622">
              <w:rPr>
                <w:lang w:eastAsia="en-NZ"/>
              </w:rPr>
              <w:t xml:space="preserve">Liquid fossil fuels </w:t>
            </w:r>
            <w:r>
              <w:rPr>
                <w:lang w:eastAsia="en-NZ"/>
              </w:rPr>
              <w:t>(transport)</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E95EF5">
              <w:t>7</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473D30" w:rsidP="002133A5">
            <w:pPr>
              <w:pStyle w:val="TableText"/>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473D30" w:rsidP="002133A5">
            <w:pPr>
              <w:pStyle w:val="TableText"/>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870B9F">
              <w:t>7</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F34E11" w:rsidRPr="00C76622" w:rsidRDefault="00F34E11" w:rsidP="002133A5">
            <w:pPr>
              <w:pStyle w:val="TableText"/>
              <w:rPr>
                <w:lang w:eastAsia="en-NZ"/>
              </w:rPr>
            </w:pPr>
            <w:r w:rsidRPr="00C76622">
              <w:rPr>
                <w:lang w:eastAsia="en-NZ"/>
              </w:rPr>
              <w:t>Local government</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E95EF5">
              <w:t>4</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473D30" w:rsidP="002133A5">
            <w:pPr>
              <w:pStyle w:val="TableText"/>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F34E11" w:rsidP="002133A5">
            <w:pPr>
              <w:pStyle w:val="TableText"/>
              <w:jc w:val="center"/>
              <w:rPr>
                <w:lang w:eastAsia="en-NZ"/>
              </w:rPr>
            </w:pPr>
            <w:r w:rsidRPr="00D90DB9">
              <w:t>1</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870B9F">
              <w:t>5</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F34E11" w:rsidRPr="00C76622" w:rsidRDefault="00F34E11" w:rsidP="002133A5">
            <w:pPr>
              <w:pStyle w:val="TableText"/>
              <w:rPr>
                <w:lang w:eastAsia="en-NZ"/>
              </w:rPr>
            </w:pPr>
            <w:r w:rsidRPr="00C76622">
              <w:rPr>
                <w:lang w:eastAsia="en-NZ"/>
              </w:rPr>
              <w:t>NGO and community groups</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E95EF5">
              <w:t>13</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307C47">
              <w:t>1</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473D30" w:rsidP="002133A5">
            <w:pPr>
              <w:pStyle w:val="TableText"/>
              <w:jc w:val="center"/>
              <w:rPr>
                <w:lang w:eastAsia="en-NZ"/>
              </w:rPr>
            </w:pPr>
            <w:r>
              <w:t>0</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870B9F">
              <w:t>14</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F34E11" w:rsidRPr="00C76622" w:rsidRDefault="00F34E11" w:rsidP="002133A5">
            <w:pPr>
              <w:pStyle w:val="TableText"/>
              <w:rPr>
                <w:lang w:eastAsia="en-NZ"/>
              </w:rPr>
            </w:pPr>
            <w:r w:rsidRPr="00C76622">
              <w:rPr>
                <w:lang w:eastAsia="en-NZ"/>
              </w:rPr>
              <w:t>Research and tertiary organisations</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802D0C">
              <w:t>6</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473D30" w:rsidP="002133A5">
            <w:pPr>
              <w:pStyle w:val="TableText"/>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F34E11" w:rsidP="002133A5">
            <w:pPr>
              <w:pStyle w:val="TableText"/>
              <w:jc w:val="center"/>
              <w:rPr>
                <w:lang w:eastAsia="en-NZ"/>
              </w:rPr>
            </w:pPr>
            <w:r w:rsidRPr="00FA0E3F">
              <w:t>1</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C82052">
              <w:t>7</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F34E11" w:rsidRPr="00C76622" w:rsidRDefault="00F34E11" w:rsidP="002133A5">
            <w:pPr>
              <w:pStyle w:val="TableText"/>
              <w:rPr>
                <w:lang w:eastAsia="en-NZ"/>
              </w:rPr>
            </w:pPr>
            <w:r w:rsidRPr="00C76622">
              <w:rPr>
                <w:lang w:eastAsia="en-NZ"/>
              </w:rPr>
              <w:t xml:space="preserve">Stationary energy </w:t>
            </w:r>
            <w:r>
              <w:rPr>
                <w:lang w:eastAsia="en-NZ"/>
              </w:rPr>
              <w:t>(excluding electricity)</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802D0C">
              <w:t>5</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0131FF">
              <w:t>2</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473D30" w:rsidP="002133A5">
            <w:pPr>
              <w:pStyle w:val="TableText"/>
              <w:jc w:val="center"/>
              <w:rPr>
                <w:lang w:eastAsia="en-NZ"/>
              </w:rPr>
            </w:pPr>
            <w:r>
              <w:t>0</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C82052">
              <w:t>7</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F34E11" w:rsidRPr="00C76622" w:rsidRDefault="00F34E11" w:rsidP="002133A5">
            <w:pPr>
              <w:pStyle w:val="TableText"/>
              <w:rPr>
                <w:lang w:eastAsia="en-NZ"/>
              </w:rPr>
            </w:pPr>
            <w:r w:rsidRPr="00C76622">
              <w:rPr>
                <w:lang w:eastAsia="en-NZ"/>
              </w:rPr>
              <w:t>Waste sector</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802D0C">
              <w:t>9</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0131FF">
              <w:t>2</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F34E11" w:rsidP="002133A5">
            <w:pPr>
              <w:pStyle w:val="TableText"/>
              <w:jc w:val="center"/>
              <w:rPr>
                <w:lang w:eastAsia="en-NZ"/>
              </w:rPr>
            </w:pPr>
            <w:r w:rsidRPr="00FA0E3F">
              <w:t>2</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C82052">
              <w:t>13</w:t>
            </w:r>
          </w:p>
        </w:tc>
      </w:tr>
      <w:tr w:rsidR="00F34E11"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F34E11" w:rsidRPr="00C76622" w:rsidRDefault="00F34E11" w:rsidP="002133A5">
            <w:pPr>
              <w:pStyle w:val="TableText"/>
              <w:rPr>
                <w:lang w:eastAsia="en-NZ"/>
              </w:rPr>
            </w:pPr>
            <w:r w:rsidRPr="00C76622">
              <w:rPr>
                <w:lang w:eastAsia="en-NZ"/>
              </w:rPr>
              <w:t>Wood processors</w:t>
            </w:r>
            <w:r>
              <w:rPr>
                <w:lang w:eastAsia="en-NZ"/>
              </w:rPr>
              <w:t xml:space="preserve"> and manufacturers</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F34E11" w:rsidP="002133A5">
            <w:pPr>
              <w:pStyle w:val="TableText"/>
              <w:jc w:val="center"/>
              <w:rPr>
                <w:lang w:eastAsia="en-NZ"/>
              </w:rPr>
            </w:pPr>
            <w:r w:rsidRPr="00802D0C">
              <w:t>2</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tcPr>
          <w:p w:rsidR="00F34E11" w:rsidRPr="00C76622" w:rsidRDefault="00473D30" w:rsidP="002133A5">
            <w:pPr>
              <w:pStyle w:val="TableText"/>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tcPr>
          <w:p w:rsidR="00F34E11" w:rsidRPr="00C76622" w:rsidRDefault="00473D30" w:rsidP="002133A5">
            <w:pPr>
              <w:pStyle w:val="TableText"/>
              <w:jc w:val="center"/>
              <w:rPr>
                <w:lang w:eastAsia="en-NZ"/>
              </w:rPr>
            </w:pPr>
            <w:r>
              <w:t>0</w:t>
            </w:r>
          </w:p>
        </w:tc>
        <w:tc>
          <w:tcPr>
            <w:tcW w:w="1476" w:type="dxa"/>
            <w:tcBorders>
              <w:top w:val="single" w:sz="4" w:space="0" w:color="005984"/>
              <w:left w:val="single" w:sz="4" w:space="0" w:color="005984"/>
              <w:bottom w:val="single" w:sz="4" w:space="0" w:color="005984"/>
            </w:tcBorders>
          </w:tcPr>
          <w:p w:rsidR="00F34E11" w:rsidRPr="00C76622" w:rsidRDefault="00F34E11" w:rsidP="002133A5">
            <w:pPr>
              <w:pStyle w:val="TableText"/>
              <w:jc w:val="center"/>
              <w:rPr>
                <w:lang w:eastAsia="en-NZ"/>
              </w:rPr>
            </w:pPr>
            <w:r w:rsidRPr="00C82052">
              <w:t>2</w:t>
            </w:r>
          </w:p>
        </w:tc>
      </w:tr>
      <w:tr w:rsidR="002C0A7F"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2C0A7F" w:rsidRPr="00C76622" w:rsidRDefault="002C0A7F" w:rsidP="002133A5">
            <w:pPr>
              <w:pStyle w:val="TableText"/>
              <w:rPr>
                <w:lang w:eastAsia="en-NZ"/>
              </w:rPr>
            </w:pPr>
            <w:r w:rsidRPr="00C76622">
              <w:rPr>
                <w:lang w:eastAsia="en-NZ"/>
              </w:rPr>
              <w:t>Other</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2C0A7F" w:rsidRPr="00C76622" w:rsidRDefault="00F34E11" w:rsidP="002133A5">
            <w:pPr>
              <w:pStyle w:val="TableText"/>
              <w:jc w:val="center"/>
              <w:rPr>
                <w:lang w:eastAsia="en-NZ"/>
              </w:rPr>
            </w:pPr>
            <w:r w:rsidRPr="00F34E11">
              <w:rPr>
                <w:lang w:eastAsia="en-NZ"/>
              </w:rPr>
              <w:t>9</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2C0A7F" w:rsidRPr="00C76622" w:rsidRDefault="00F34E11" w:rsidP="002133A5">
            <w:pPr>
              <w:pStyle w:val="TableText"/>
              <w:jc w:val="center"/>
              <w:rPr>
                <w:lang w:eastAsia="en-NZ"/>
              </w:rPr>
            </w:pPr>
            <w:r w:rsidRPr="00F34E11">
              <w:rPr>
                <w:lang w:eastAsia="en-NZ"/>
              </w:rPr>
              <w:t>4</w:t>
            </w:r>
          </w:p>
        </w:tc>
        <w:tc>
          <w:tcPr>
            <w:tcW w:w="1476" w:type="dxa"/>
            <w:tcBorders>
              <w:top w:val="single" w:sz="4" w:space="0" w:color="005984"/>
              <w:left w:val="single" w:sz="4" w:space="0" w:color="005984"/>
              <w:bottom w:val="single" w:sz="4" w:space="0" w:color="005984"/>
            </w:tcBorders>
            <w:shd w:val="clear" w:color="auto" w:fill="auto"/>
            <w:noWrap/>
            <w:vAlign w:val="center"/>
          </w:tcPr>
          <w:p w:rsidR="002C0A7F" w:rsidRPr="00C76622" w:rsidRDefault="00F34E11" w:rsidP="002133A5">
            <w:pPr>
              <w:pStyle w:val="TableText"/>
              <w:jc w:val="center"/>
              <w:rPr>
                <w:lang w:eastAsia="en-NZ"/>
              </w:rPr>
            </w:pPr>
            <w:r w:rsidRPr="00F34E11">
              <w:rPr>
                <w:lang w:eastAsia="en-NZ"/>
              </w:rPr>
              <w:t>1</w:t>
            </w:r>
          </w:p>
        </w:tc>
        <w:tc>
          <w:tcPr>
            <w:tcW w:w="1476" w:type="dxa"/>
            <w:tcBorders>
              <w:top w:val="single" w:sz="4" w:space="0" w:color="005984"/>
              <w:left w:val="single" w:sz="4" w:space="0" w:color="005984"/>
              <w:bottom w:val="single" w:sz="4" w:space="0" w:color="005984"/>
            </w:tcBorders>
          </w:tcPr>
          <w:p w:rsidR="002C0A7F" w:rsidRPr="00C76622" w:rsidRDefault="00F34E11" w:rsidP="002133A5">
            <w:pPr>
              <w:pStyle w:val="TableText"/>
              <w:jc w:val="center"/>
              <w:rPr>
                <w:lang w:eastAsia="en-NZ"/>
              </w:rPr>
            </w:pPr>
            <w:r w:rsidRPr="00F34E11">
              <w:rPr>
                <w:lang w:eastAsia="en-NZ"/>
              </w:rPr>
              <w:t>14</w:t>
            </w:r>
          </w:p>
        </w:tc>
      </w:tr>
      <w:tr w:rsidR="002C0A7F" w:rsidRPr="00C76622" w:rsidTr="009060FB">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2C0A7F" w:rsidRPr="00C76622" w:rsidRDefault="002C0A7F" w:rsidP="002133A5">
            <w:pPr>
              <w:pStyle w:val="TableText"/>
              <w:rPr>
                <w:b/>
                <w:bCs/>
                <w:lang w:eastAsia="en-NZ"/>
              </w:rPr>
            </w:pPr>
            <w:r w:rsidRPr="00C76622">
              <w:rPr>
                <w:b/>
                <w:bCs/>
                <w:lang w:eastAsia="en-NZ"/>
              </w:rPr>
              <w:t>TOTAL</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2C0A7F" w:rsidRPr="00C76622" w:rsidRDefault="00CA328C" w:rsidP="002133A5">
            <w:pPr>
              <w:pStyle w:val="TableText"/>
              <w:jc w:val="center"/>
              <w:rPr>
                <w:b/>
                <w:lang w:eastAsia="en-NZ"/>
              </w:rPr>
            </w:pPr>
            <w:r>
              <w:rPr>
                <w:b/>
                <w:lang w:eastAsia="en-NZ"/>
              </w:rPr>
              <w:t>202</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2C0A7F" w:rsidRPr="00C76622" w:rsidRDefault="002C0A7F" w:rsidP="002133A5">
            <w:pPr>
              <w:pStyle w:val="TableText"/>
              <w:jc w:val="center"/>
              <w:rPr>
                <w:b/>
                <w:lang w:eastAsia="en-NZ"/>
              </w:rPr>
            </w:pPr>
            <w:r>
              <w:rPr>
                <w:b/>
                <w:lang w:eastAsia="en-NZ"/>
              </w:rPr>
              <w:t>31</w:t>
            </w:r>
          </w:p>
        </w:tc>
        <w:tc>
          <w:tcPr>
            <w:tcW w:w="1476" w:type="dxa"/>
            <w:tcBorders>
              <w:top w:val="single" w:sz="4" w:space="0" w:color="005984"/>
              <w:left w:val="single" w:sz="4" w:space="0" w:color="005984"/>
              <w:bottom w:val="single" w:sz="4" w:space="0" w:color="005984"/>
            </w:tcBorders>
            <w:shd w:val="clear" w:color="auto" w:fill="auto"/>
            <w:noWrap/>
            <w:vAlign w:val="center"/>
          </w:tcPr>
          <w:p w:rsidR="002C0A7F" w:rsidRPr="00C76622" w:rsidRDefault="002C0A7F" w:rsidP="002133A5">
            <w:pPr>
              <w:pStyle w:val="TableText"/>
              <w:jc w:val="center"/>
              <w:rPr>
                <w:b/>
                <w:lang w:eastAsia="en-NZ"/>
              </w:rPr>
            </w:pPr>
            <w:r>
              <w:rPr>
                <w:b/>
                <w:lang w:eastAsia="en-NZ"/>
              </w:rPr>
              <w:t>3</w:t>
            </w:r>
            <w:r w:rsidR="0080698F">
              <w:rPr>
                <w:b/>
                <w:lang w:eastAsia="en-NZ"/>
              </w:rPr>
              <w:t>0</w:t>
            </w:r>
          </w:p>
        </w:tc>
        <w:tc>
          <w:tcPr>
            <w:tcW w:w="1476" w:type="dxa"/>
            <w:tcBorders>
              <w:top w:val="single" w:sz="4" w:space="0" w:color="005984"/>
              <w:left w:val="single" w:sz="4" w:space="0" w:color="005984"/>
              <w:bottom w:val="single" w:sz="4" w:space="0" w:color="005984"/>
            </w:tcBorders>
          </w:tcPr>
          <w:p w:rsidR="002C0A7F" w:rsidRPr="00C76622" w:rsidRDefault="007A1C37" w:rsidP="002133A5">
            <w:pPr>
              <w:pStyle w:val="TableText"/>
              <w:jc w:val="center"/>
              <w:rPr>
                <w:b/>
                <w:lang w:eastAsia="en-NZ"/>
              </w:rPr>
            </w:pPr>
            <w:r>
              <w:rPr>
                <w:b/>
                <w:lang w:eastAsia="en-NZ"/>
              </w:rPr>
              <w:t>263</w:t>
            </w:r>
          </w:p>
        </w:tc>
      </w:tr>
    </w:tbl>
    <w:p w:rsidR="002133A5" w:rsidRPr="008E7EE7" w:rsidRDefault="002133A5" w:rsidP="00650845">
      <w:pPr>
        <w:pStyle w:val="Figureheading"/>
        <w:spacing w:before="240"/>
        <w:rPr>
          <w:color w:val="FF0000"/>
        </w:rPr>
      </w:pPr>
      <w:bookmarkStart w:id="17" w:name="_Toc462814462"/>
      <w:r w:rsidRPr="00C76622">
        <w:t xml:space="preserve">Figure </w:t>
      </w:r>
      <w:r w:rsidR="00CA328C">
        <w:t>1</w:t>
      </w:r>
      <w:r w:rsidRPr="00C76622">
        <w:t xml:space="preserve">: </w:t>
      </w:r>
      <w:r w:rsidRPr="00C76622">
        <w:tab/>
      </w:r>
      <w:r w:rsidR="00B556C0">
        <w:t>Submitter</w:t>
      </w:r>
      <w:r w:rsidRPr="00C76622">
        <w:t xml:space="preserve"> positions – </w:t>
      </w:r>
      <w:r w:rsidRPr="00ED5611">
        <w:rPr>
          <w:i/>
        </w:rPr>
        <w:t>Do you agree with the drivers for the review</w:t>
      </w:r>
      <w:r w:rsidRPr="00C76622">
        <w:rPr>
          <w:i/>
        </w:rPr>
        <w:t>?</w:t>
      </w:r>
      <w:bookmarkEnd w:id="17"/>
    </w:p>
    <w:p w:rsidR="002133A5" w:rsidRPr="00C76622" w:rsidRDefault="00D04EEC" w:rsidP="00113656">
      <w:pPr>
        <w:pStyle w:val="BodyText"/>
        <w:spacing w:before="240"/>
        <w:jc w:val="center"/>
      </w:pPr>
      <w:r>
        <w:rPr>
          <w:noProof/>
          <w:lang w:eastAsia="en-NZ"/>
        </w:rPr>
        <w:drawing>
          <wp:inline distT="0" distB="0" distL="0" distR="0" wp14:anchorId="6358740B">
            <wp:extent cx="5407660" cy="27495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7660" cy="2749550"/>
                    </a:xfrm>
                    <a:prstGeom prst="rect">
                      <a:avLst/>
                    </a:prstGeom>
                    <a:noFill/>
                  </pic:spPr>
                </pic:pic>
              </a:graphicData>
            </a:graphic>
          </wp:inline>
        </w:drawing>
      </w:r>
    </w:p>
    <w:p w:rsidR="00E93FD3" w:rsidRDefault="0040636D" w:rsidP="00E93FD3">
      <w:pPr>
        <w:pStyle w:val="Heading2"/>
        <w:spacing w:before="240"/>
      </w:pPr>
      <w:bookmarkStart w:id="18" w:name="_Toc463270120"/>
      <w:bookmarkStart w:id="19" w:name="_Toc456013876"/>
      <w:r>
        <w:t>3</w:t>
      </w:r>
      <w:r w:rsidR="00E93FD3" w:rsidRPr="000033F9">
        <w:t>.</w:t>
      </w:r>
      <w:r>
        <w:t>2</w:t>
      </w:r>
      <w:r w:rsidR="00E93FD3" w:rsidRPr="000033F9">
        <w:tab/>
        <w:t>What other factors should the Government be considering in this NZ ETS review? (Question 2)</w:t>
      </w:r>
      <w:bookmarkEnd w:id="18"/>
    </w:p>
    <w:p w:rsidR="00F379CD" w:rsidRDefault="00E93FD3" w:rsidP="00B8466E">
      <w:r w:rsidRPr="00E05375">
        <w:t>In total, 30</w:t>
      </w:r>
      <w:r w:rsidR="00AA09F5">
        <w:t>3</w:t>
      </w:r>
      <w:r w:rsidRPr="00E05375">
        <w:t xml:space="preserve"> submitters </w:t>
      </w:r>
      <w:r>
        <w:t>(</w:t>
      </w:r>
      <w:r w:rsidR="00C2449D">
        <w:t>approximately</w:t>
      </w:r>
      <w:r w:rsidR="00EE13F5">
        <w:t xml:space="preserve"> </w:t>
      </w:r>
      <w:r>
        <w:t xml:space="preserve">90 </w:t>
      </w:r>
      <w:r w:rsidR="008E24E1">
        <w:t>per cent</w:t>
      </w:r>
      <w:r>
        <w:t xml:space="preserve"> of all submitters) provided information about other drivers or factors the Government should be considering in the current NZ ETS review.</w:t>
      </w:r>
      <w:r w:rsidR="00F379CD" w:rsidRPr="00F379CD">
        <w:t xml:space="preserve"> </w:t>
      </w:r>
      <w:r w:rsidR="00F379CD">
        <w:t xml:space="preserve">Many of these submitters provided suggestions for other factors that the Government should be considering during this review </w:t>
      </w:r>
      <w:r w:rsidR="00695FC5">
        <w:t>despite</w:t>
      </w:r>
      <w:r w:rsidR="00F379CD">
        <w:t xml:space="preserve"> agree</w:t>
      </w:r>
      <w:r w:rsidR="00695FC5">
        <w:t>ing</w:t>
      </w:r>
      <w:r w:rsidR="00F379CD">
        <w:t xml:space="preserve"> with the Government’s review drivers.</w:t>
      </w:r>
    </w:p>
    <w:p w:rsidR="00E93FD3" w:rsidRPr="009210FA" w:rsidRDefault="00E93FD3" w:rsidP="009210FA">
      <w:pPr>
        <w:pStyle w:val="Heading4"/>
      </w:pPr>
      <w:r w:rsidRPr="009210FA">
        <w:t xml:space="preserve">The need for a long-term view of climate change </w:t>
      </w:r>
    </w:p>
    <w:p w:rsidR="008C7BF1" w:rsidRDefault="00E93FD3" w:rsidP="00B8466E">
      <w:r>
        <w:t>Many submitters called for a long</w:t>
      </w:r>
      <w:r w:rsidR="00723059">
        <w:t>-</w:t>
      </w:r>
      <w:r>
        <w:t>term plan to address climate change</w:t>
      </w:r>
      <w:r w:rsidR="00723059">
        <w:t>,</w:t>
      </w:r>
      <w:r w:rsidR="00D92ECF">
        <w:t xml:space="preserve"> and </w:t>
      </w:r>
      <w:r>
        <w:t xml:space="preserve">emphasised the importance of understanding how the NZ ETS fits within </w:t>
      </w:r>
      <w:r w:rsidR="008C7BF1">
        <w:t>this</w:t>
      </w:r>
      <w:r>
        <w:t xml:space="preserve"> plan. </w:t>
      </w:r>
      <w:r w:rsidR="00D92ECF">
        <w:t>Many of these submitters highlighted the need for Government leadership on climate change</w:t>
      </w:r>
      <w:r w:rsidR="008C7BF1">
        <w:t>.</w:t>
      </w:r>
    </w:p>
    <w:p w:rsidR="00507A66" w:rsidRPr="00325373" w:rsidRDefault="00507A66" w:rsidP="00325373">
      <w:pPr>
        <w:ind w:left="567" w:right="567"/>
        <w:rPr>
          <w:sz w:val="21"/>
          <w:szCs w:val="21"/>
        </w:rPr>
      </w:pPr>
      <w:r w:rsidRPr="00325373">
        <w:rPr>
          <w:sz w:val="21"/>
          <w:szCs w:val="21"/>
        </w:rPr>
        <w:lastRenderedPageBreak/>
        <w:t xml:space="preserve">“So while meeting short-term targets is important, it is more important to keep our eyes on the long-term goal – to map out a pathway toward a low-carbon economy. We cannot design such a pathway in detail because we cannot predict how technologies and society will evolve.” (The Parliamentary Commissioner for the Environment, </w:t>
      </w:r>
      <w:r w:rsidR="001852F7">
        <w:rPr>
          <w:sz w:val="21"/>
          <w:szCs w:val="21"/>
        </w:rPr>
        <w:t>00047</w:t>
      </w:r>
      <w:r w:rsidRPr="00325373">
        <w:rPr>
          <w:sz w:val="21"/>
          <w:szCs w:val="21"/>
        </w:rPr>
        <w:t>)</w:t>
      </w:r>
    </w:p>
    <w:p w:rsidR="00F744E8" w:rsidRDefault="00D92ECF" w:rsidP="00B8466E">
      <w:r>
        <w:t xml:space="preserve">A number of submitters </w:t>
      </w:r>
      <w:r w:rsidR="00695FC5">
        <w:t>emphasised that there</w:t>
      </w:r>
      <w:r>
        <w:t xml:space="preserve"> need</w:t>
      </w:r>
      <w:r w:rsidR="00695FC5">
        <w:t>s to be a plan for moving</w:t>
      </w:r>
      <w:r w:rsidR="00507A66">
        <w:t xml:space="preserve"> to a low emissions economy</w:t>
      </w:r>
      <w:r w:rsidR="00F744E8">
        <w:t>, with some submitters noting this</w:t>
      </w:r>
      <w:r w:rsidR="009B1F91">
        <w:t xml:space="preserve"> plan</w:t>
      </w:r>
      <w:r w:rsidR="00F744E8">
        <w:t xml:space="preserve"> needs to </w:t>
      </w:r>
      <w:r w:rsidR="003E372C">
        <w:t xml:space="preserve">address all </w:t>
      </w:r>
      <w:r w:rsidR="00F744E8">
        <w:t>sectors</w:t>
      </w:r>
      <w:r w:rsidR="003E372C">
        <w:t xml:space="preserve"> of the economy. </w:t>
      </w:r>
      <w:r w:rsidR="00F744E8">
        <w:t xml:space="preserve">Some of these submitters </w:t>
      </w:r>
      <w:r w:rsidR="003E372C">
        <w:t>discussed factors outside the NZ ETS</w:t>
      </w:r>
      <w:r w:rsidR="00723059">
        <w:t>,</w:t>
      </w:r>
      <w:r w:rsidR="00F744E8">
        <w:t xml:space="preserve"> or thought that other policies to work alongside the NZ ETS should be considered.</w:t>
      </w:r>
    </w:p>
    <w:p w:rsidR="00E4598E" w:rsidRPr="00325373" w:rsidRDefault="00553377" w:rsidP="00325373">
      <w:pPr>
        <w:ind w:left="567" w:right="567"/>
        <w:rPr>
          <w:sz w:val="21"/>
          <w:szCs w:val="21"/>
        </w:rPr>
      </w:pPr>
      <w:r w:rsidRPr="00325373">
        <w:rPr>
          <w:sz w:val="21"/>
          <w:szCs w:val="21"/>
        </w:rPr>
        <w:t xml:space="preserve">“The ETS should play a crucial role in New Zealand’s successful transition to a low-emission economy. However, it needs to be one of a number of domestic actions taken. It cannot be the only response. SBC members want to see an ambitious pathway established so all parties – business, government and civil society - can move towards a common goal.” (Sustainable Business Council, </w:t>
      </w:r>
      <w:r w:rsidR="00CA5B9D">
        <w:rPr>
          <w:sz w:val="21"/>
          <w:szCs w:val="21"/>
        </w:rPr>
        <w:t>00111</w:t>
      </w:r>
      <w:r w:rsidRPr="00325373">
        <w:rPr>
          <w:sz w:val="21"/>
          <w:szCs w:val="21"/>
        </w:rPr>
        <w:t>)</w:t>
      </w:r>
    </w:p>
    <w:p w:rsidR="00F379CD" w:rsidRDefault="00507A66" w:rsidP="00B8466E">
      <w:r>
        <w:t xml:space="preserve">Many submitters </w:t>
      </w:r>
      <w:r w:rsidR="00F379CD">
        <w:t>suggest</w:t>
      </w:r>
      <w:r w:rsidR="009F1778">
        <w:t>ed</w:t>
      </w:r>
      <w:r w:rsidR="00F744E8">
        <w:t xml:space="preserve"> other factors that would </w:t>
      </w:r>
      <w:r>
        <w:t xml:space="preserve">support </w:t>
      </w:r>
      <w:r w:rsidR="00F744E8">
        <w:t>a long-term</w:t>
      </w:r>
      <w:r>
        <w:t xml:space="preserve"> </w:t>
      </w:r>
      <w:r w:rsidR="00553377">
        <w:t>view of climate change</w:t>
      </w:r>
      <w:r w:rsidR="009210FA">
        <w:t>,</w:t>
      </w:r>
      <w:r>
        <w:t xml:space="preserve"> </w:t>
      </w:r>
      <w:r w:rsidR="00F744E8">
        <w:t xml:space="preserve">including </w:t>
      </w:r>
      <w:r>
        <w:t xml:space="preserve">cross-party support </w:t>
      </w:r>
      <w:r w:rsidR="00553377">
        <w:t>and</w:t>
      </w:r>
      <w:r w:rsidR="00F744E8">
        <w:t xml:space="preserve"> </w:t>
      </w:r>
      <w:r w:rsidR="00F379CD">
        <w:t xml:space="preserve">establishing an independent climate change commission. </w:t>
      </w:r>
    </w:p>
    <w:p w:rsidR="00553377" w:rsidRPr="00325373" w:rsidRDefault="00553377" w:rsidP="00325373">
      <w:pPr>
        <w:ind w:left="567" w:right="567"/>
        <w:rPr>
          <w:sz w:val="21"/>
          <w:szCs w:val="21"/>
        </w:rPr>
      </w:pPr>
      <w:r w:rsidRPr="00325373">
        <w:rPr>
          <w:sz w:val="21"/>
          <w:szCs w:val="21"/>
        </w:rPr>
        <w:t xml:space="preserve">“I agree with drivers for the review but think it is timely that NZ look far deeper and more effectively at where it is going with its carbon emissions. In my view if we are to make the changes required in order to address this issue, there should be a wider group making recommendations for </w:t>
      </w:r>
      <w:proofErr w:type="gramStart"/>
      <w:r w:rsidRPr="00325373">
        <w:rPr>
          <w:sz w:val="21"/>
          <w:szCs w:val="21"/>
        </w:rPr>
        <w:t>Government,</w:t>
      </w:r>
      <w:r w:rsidR="00920EE4">
        <w:rPr>
          <w:sz w:val="21"/>
          <w:szCs w:val="21"/>
        </w:rPr>
        <w:t xml:space="preserve"> </w:t>
      </w:r>
      <w:r w:rsidRPr="00325373">
        <w:rPr>
          <w:sz w:val="21"/>
          <w:szCs w:val="21"/>
        </w:rPr>
        <w:t>that</w:t>
      </w:r>
      <w:proofErr w:type="gramEnd"/>
      <w:r w:rsidRPr="00325373">
        <w:rPr>
          <w:sz w:val="21"/>
          <w:szCs w:val="21"/>
        </w:rPr>
        <w:t xml:space="preserve"> will take it outside political boundaries.” (</w:t>
      </w:r>
      <w:r w:rsidR="00473D30">
        <w:rPr>
          <w:sz w:val="21"/>
          <w:szCs w:val="21"/>
        </w:rPr>
        <w:t>Individual</w:t>
      </w:r>
      <w:r w:rsidRPr="00325373">
        <w:rPr>
          <w:sz w:val="21"/>
          <w:szCs w:val="21"/>
        </w:rPr>
        <w:t xml:space="preserve">, </w:t>
      </w:r>
      <w:r w:rsidR="00CA5B9D">
        <w:rPr>
          <w:sz w:val="21"/>
          <w:szCs w:val="21"/>
        </w:rPr>
        <w:t>00096</w:t>
      </w:r>
      <w:r w:rsidRPr="00325373">
        <w:rPr>
          <w:sz w:val="21"/>
          <w:szCs w:val="21"/>
        </w:rPr>
        <w:t>)</w:t>
      </w:r>
    </w:p>
    <w:p w:rsidR="003F3E82" w:rsidRDefault="003F3E82" w:rsidP="00FC67D0">
      <w:pPr>
        <w:pStyle w:val="Heading4"/>
      </w:pPr>
      <w:r>
        <w:t>Role of the NZ ETS</w:t>
      </w:r>
    </w:p>
    <w:p w:rsidR="0074689E" w:rsidRDefault="008C7BF1" w:rsidP="00B8466E">
      <w:r>
        <w:t>As well as discussing the need for a long term plan for climate change, many submitters asked for clarity about the role of the NZ ETS. Some submitters expressed this in terms of asking</w:t>
      </w:r>
      <w:r w:rsidR="003E372C">
        <w:t xml:space="preserve"> </w:t>
      </w:r>
      <w:r>
        <w:t>how the NZ ETS fits with New Zealand’s broad approach to climate change</w:t>
      </w:r>
      <w:r w:rsidR="003E372C">
        <w:t xml:space="preserve">. </w:t>
      </w:r>
      <w:r w:rsidR="00696F2C">
        <w:t>Some submitters suggested the NZ ETS needed to be supported by other policies to reduce emissions.</w:t>
      </w:r>
    </w:p>
    <w:p w:rsidR="0074689E" w:rsidRPr="00325373" w:rsidRDefault="00E26397" w:rsidP="00325373">
      <w:pPr>
        <w:ind w:left="567" w:right="567"/>
        <w:rPr>
          <w:sz w:val="21"/>
          <w:szCs w:val="21"/>
        </w:rPr>
      </w:pPr>
      <w:r w:rsidRPr="00325373">
        <w:rPr>
          <w:sz w:val="21"/>
          <w:szCs w:val="21"/>
        </w:rPr>
        <w:t>“We need an overall plan for NZ to have a zero emissions economy in almost three decades from now, based on known technology and with milestones on the way - including our 2030 target. This is the context for our ETS - the ETS must be one tool amongst a suite of emissions reductions policies and programmes for urgent public consultation and development.” (</w:t>
      </w:r>
      <w:proofErr w:type="spellStart"/>
      <w:r w:rsidRPr="00325373">
        <w:rPr>
          <w:sz w:val="21"/>
          <w:szCs w:val="21"/>
        </w:rPr>
        <w:t>OraTaiao</w:t>
      </w:r>
      <w:proofErr w:type="spellEnd"/>
      <w:r w:rsidRPr="00325373">
        <w:rPr>
          <w:sz w:val="21"/>
          <w:szCs w:val="21"/>
        </w:rPr>
        <w:t xml:space="preserve">: The New Zealand Climate and Health Council, </w:t>
      </w:r>
      <w:r w:rsidR="00CA5B9D">
        <w:rPr>
          <w:sz w:val="21"/>
          <w:szCs w:val="21"/>
        </w:rPr>
        <w:t>00203</w:t>
      </w:r>
      <w:r w:rsidRPr="00325373">
        <w:rPr>
          <w:sz w:val="21"/>
          <w:szCs w:val="21"/>
        </w:rPr>
        <w:t>)</w:t>
      </w:r>
    </w:p>
    <w:p w:rsidR="003E372C" w:rsidRDefault="003E372C" w:rsidP="00B8466E">
      <w:r>
        <w:t>O</w:t>
      </w:r>
      <w:r w:rsidR="008C7BF1">
        <w:t xml:space="preserve">ther </w:t>
      </w:r>
      <w:r>
        <w:t>submitters</w:t>
      </w:r>
      <w:r w:rsidR="008C7BF1">
        <w:t xml:space="preserve"> </w:t>
      </w:r>
      <w:r>
        <w:t xml:space="preserve">thought the role of the NZ ETS in meeting New Zealand’s international climate change targets needed to be made clearer. Some of these submitters suggested that the NZ ETS should be more strongly aligned </w:t>
      </w:r>
      <w:r w:rsidRPr="00FC6D84">
        <w:t xml:space="preserve">to our </w:t>
      </w:r>
      <w:r>
        <w:t xml:space="preserve">2030 </w:t>
      </w:r>
      <w:r w:rsidRPr="00FC6D84">
        <w:t>target under the Paris Agreement</w:t>
      </w:r>
      <w:r>
        <w:t>.</w:t>
      </w:r>
    </w:p>
    <w:p w:rsidR="003B010D" w:rsidRPr="00325373" w:rsidRDefault="003B010D" w:rsidP="00325373">
      <w:pPr>
        <w:ind w:left="567" w:right="567"/>
        <w:rPr>
          <w:sz w:val="21"/>
          <w:szCs w:val="21"/>
        </w:rPr>
      </w:pPr>
      <w:r w:rsidRPr="00325373">
        <w:rPr>
          <w:sz w:val="21"/>
          <w:szCs w:val="21"/>
        </w:rPr>
        <w:t xml:space="preserve">“Consider a more ambitious but realistic, cost- and time-efficient process to design a comprehensive plan on how ETS would contribute to achieving our 2030 target.” (Moana Ola Pasifika Public Health Network, </w:t>
      </w:r>
      <w:r w:rsidR="00CA5B9D">
        <w:rPr>
          <w:sz w:val="21"/>
          <w:szCs w:val="21"/>
        </w:rPr>
        <w:t>00202</w:t>
      </w:r>
      <w:r w:rsidRPr="00325373">
        <w:rPr>
          <w:sz w:val="21"/>
          <w:szCs w:val="21"/>
        </w:rPr>
        <w:t>)</w:t>
      </w:r>
    </w:p>
    <w:p w:rsidR="00507A66" w:rsidRPr="00507A66" w:rsidRDefault="00FC67D0" w:rsidP="00FC67D0">
      <w:pPr>
        <w:pStyle w:val="Heading4"/>
      </w:pPr>
      <w:r>
        <w:t xml:space="preserve">Continued engagement from the Government </w:t>
      </w:r>
    </w:p>
    <w:p w:rsidR="00523BE5" w:rsidRPr="00FA1D60" w:rsidRDefault="00523BE5" w:rsidP="00B8466E">
      <w:r w:rsidRPr="00BA3B89">
        <w:t xml:space="preserve">A number of submitters thought that the NZ ETS </w:t>
      </w:r>
      <w:r w:rsidR="00296962" w:rsidRPr="00BA3B89">
        <w:t xml:space="preserve">review </w:t>
      </w:r>
      <w:r w:rsidRPr="00BA3B89">
        <w:t xml:space="preserve">should also include consideration of how the Government </w:t>
      </w:r>
      <w:r w:rsidR="0032522E" w:rsidRPr="00BA3B89">
        <w:t>continue</w:t>
      </w:r>
      <w:r w:rsidR="009F1778">
        <w:t>s</w:t>
      </w:r>
      <w:r w:rsidR="0032522E" w:rsidRPr="00BA3B89">
        <w:t xml:space="preserve"> to </w:t>
      </w:r>
      <w:r w:rsidRPr="00BA3B89">
        <w:t xml:space="preserve">engage with stakeholders on the NZ ETS and broader climate change issues. </w:t>
      </w:r>
      <w:r w:rsidR="00BA3B89" w:rsidRPr="00BA3B89">
        <w:t>Some of these</w:t>
      </w:r>
      <w:r w:rsidR="0032522E" w:rsidRPr="00BA3B89">
        <w:t xml:space="preserve"> submitters </w:t>
      </w:r>
      <w:r w:rsidR="00CF6BF4" w:rsidRPr="00BA3B89">
        <w:t>commented</w:t>
      </w:r>
      <w:r w:rsidR="0032522E" w:rsidRPr="00BA3B89">
        <w:t xml:space="preserve"> that regular</w:t>
      </w:r>
      <w:r w:rsidR="00CF6BF4" w:rsidRPr="00BA3B89">
        <w:t xml:space="preserve"> </w:t>
      </w:r>
      <w:r w:rsidR="0032522E" w:rsidRPr="00BA3B89">
        <w:t xml:space="preserve">engagement </w:t>
      </w:r>
      <w:r w:rsidR="00BA3B89" w:rsidRPr="00BA3B89">
        <w:t xml:space="preserve">would </w:t>
      </w:r>
      <w:r w:rsidR="009F1778">
        <w:t>help</w:t>
      </w:r>
      <w:r w:rsidR="009F1778" w:rsidRPr="00BA3B89">
        <w:t xml:space="preserve"> </w:t>
      </w:r>
      <w:r w:rsidR="00BA3B89" w:rsidRPr="00BA3B89">
        <w:t xml:space="preserve">with moving to a low emissions economy. </w:t>
      </w:r>
      <w:r w:rsidR="0032522E" w:rsidRPr="00BA3B89">
        <w:t xml:space="preserve"> </w:t>
      </w:r>
    </w:p>
    <w:p w:rsidR="00E93FD3" w:rsidRPr="00325373" w:rsidRDefault="00E93FD3" w:rsidP="00325373">
      <w:pPr>
        <w:ind w:left="567" w:right="567"/>
        <w:rPr>
          <w:sz w:val="21"/>
          <w:szCs w:val="21"/>
        </w:rPr>
      </w:pPr>
      <w:r w:rsidRPr="00325373">
        <w:rPr>
          <w:sz w:val="21"/>
          <w:szCs w:val="21"/>
        </w:rPr>
        <w:lastRenderedPageBreak/>
        <w:t>“As the key source of low greenhouse gas solutions, business looks to work collaboratively with government and officials to further unlock a lower greenhouse gas future. But business wants to see any decisions taken on scheme design nested within a more long-term, strategic framing.” (Business N</w:t>
      </w:r>
      <w:r w:rsidR="00CA5B9D">
        <w:rPr>
          <w:sz w:val="21"/>
          <w:szCs w:val="21"/>
        </w:rPr>
        <w:t xml:space="preserve">ew </w:t>
      </w:r>
      <w:r w:rsidRPr="00325373">
        <w:rPr>
          <w:sz w:val="21"/>
          <w:szCs w:val="21"/>
        </w:rPr>
        <w:t>Z</w:t>
      </w:r>
      <w:r w:rsidR="00CA5B9D">
        <w:rPr>
          <w:sz w:val="21"/>
          <w:szCs w:val="21"/>
        </w:rPr>
        <w:t>ealand</w:t>
      </w:r>
      <w:r w:rsidRPr="00325373">
        <w:rPr>
          <w:sz w:val="21"/>
          <w:szCs w:val="21"/>
        </w:rPr>
        <w:t>,</w:t>
      </w:r>
      <w:r w:rsidR="00CA5B9D">
        <w:rPr>
          <w:sz w:val="21"/>
          <w:szCs w:val="21"/>
        </w:rPr>
        <w:t xml:space="preserve"> </w:t>
      </w:r>
      <w:r w:rsidR="00CA5B9D" w:rsidRPr="00C76622">
        <w:rPr>
          <w:rFonts w:asciiTheme="minorHAnsi" w:hAnsiTheme="minorHAnsi" w:cs="Times New Roman"/>
          <w:lang w:eastAsia="en-NZ"/>
        </w:rPr>
        <w:t>00131</w:t>
      </w:r>
      <w:r w:rsidR="00CA5B9D">
        <w:rPr>
          <w:rFonts w:asciiTheme="minorHAnsi" w:hAnsiTheme="minorHAnsi" w:cs="Times New Roman"/>
          <w:lang w:eastAsia="en-NZ"/>
        </w:rPr>
        <w:t>)</w:t>
      </w:r>
    </w:p>
    <w:p w:rsidR="00BA3B89" w:rsidRDefault="00BA3B89" w:rsidP="00B8466E">
      <w:r w:rsidRPr="00BA3B89">
        <w:t>The desire for regular engagement with Government on climate change was a common theme across submitters from all sectors</w:t>
      </w:r>
      <w:r>
        <w:t>, including the agriculture sector</w:t>
      </w:r>
      <w:r w:rsidRPr="00BA3B89">
        <w:t>.</w:t>
      </w:r>
    </w:p>
    <w:p w:rsidR="00AA1710" w:rsidRPr="00325373" w:rsidRDefault="00AA1710" w:rsidP="00325373">
      <w:pPr>
        <w:ind w:left="567" w:right="567"/>
        <w:rPr>
          <w:sz w:val="21"/>
          <w:szCs w:val="21"/>
        </w:rPr>
      </w:pPr>
      <w:r w:rsidRPr="00325373">
        <w:rPr>
          <w:sz w:val="21"/>
          <w:szCs w:val="21"/>
        </w:rPr>
        <w:t xml:space="preserve">“We support the Government adopting an approach to New Zealand’s domestic climate change policy framework which looks at the bigger picture and develops a long term plan to achieve the overarching objective of transitioning to a low carbon economy. </w:t>
      </w:r>
      <w:r w:rsidR="00BA3B89" w:rsidRPr="00325373">
        <w:rPr>
          <w:sz w:val="21"/>
          <w:szCs w:val="21"/>
        </w:rPr>
        <w:t xml:space="preserve">[…] </w:t>
      </w:r>
      <w:proofErr w:type="spellStart"/>
      <w:r w:rsidR="00BA3B89" w:rsidRPr="00325373">
        <w:rPr>
          <w:sz w:val="21"/>
          <w:szCs w:val="21"/>
        </w:rPr>
        <w:t>DairyNZ</w:t>
      </w:r>
      <w:proofErr w:type="spellEnd"/>
      <w:r w:rsidR="00BA3B89" w:rsidRPr="00325373">
        <w:rPr>
          <w:sz w:val="21"/>
          <w:szCs w:val="21"/>
        </w:rPr>
        <w:t xml:space="preserve"> supports establishing an alternative policy framework outside the ETS which examines the steps that could be taken over the longer term to address biological emissions through partnership with Government and the broader agricultural industry</w:t>
      </w:r>
      <w:r w:rsidRPr="00325373">
        <w:rPr>
          <w:sz w:val="21"/>
          <w:szCs w:val="21"/>
        </w:rPr>
        <w:t>.” (Dairy NZ,</w:t>
      </w:r>
      <w:r w:rsidR="00740FE2">
        <w:rPr>
          <w:sz w:val="21"/>
          <w:szCs w:val="21"/>
        </w:rPr>
        <w:t xml:space="preserve"> 00076</w:t>
      </w:r>
      <w:r w:rsidRPr="00325373">
        <w:rPr>
          <w:sz w:val="21"/>
          <w:szCs w:val="21"/>
        </w:rPr>
        <w:t>)</w:t>
      </w:r>
    </w:p>
    <w:p w:rsidR="00523BE5" w:rsidRPr="00C76622" w:rsidRDefault="00523BE5" w:rsidP="00523BE5">
      <w:pPr>
        <w:pStyle w:val="Heading4"/>
      </w:pPr>
      <w:r w:rsidRPr="00C76622">
        <w:t>Surrender obligations for biological emissions from agriculture</w:t>
      </w:r>
    </w:p>
    <w:p w:rsidR="00AA1710" w:rsidRPr="00E4598E" w:rsidRDefault="00523BE5" w:rsidP="00B8466E">
      <w:r w:rsidRPr="00C76622">
        <w:t xml:space="preserve">Many submitters criticised that the review excluded consideration of </w:t>
      </w:r>
      <w:r>
        <w:t xml:space="preserve">surrender </w:t>
      </w:r>
      <w:r w:rsidRPr="00C76622">
        <w:t>obligations for agricultural emissions. Some linked this exclusion of agriculture from the NZ ETS to New</w:t>
      </w:r>
      <w:r>
        <w:t> </w:t>
      </w:r>
      <w:r w:rsidRPr="00C76622">
        <w:t xml:space="preserve">Zealand’s ability to meet its future emissions reduction targets and the impacts these costs will have on </w:t>
      </w:r>
      <w:r w:rsidR="0042698E">
        <w:t>taxpayers and the wider economy.</w:t>
      </w:r>
      <w:r w:rsidR="00AA1710" w:rsidRPr="00AA1710">
        <w:t xml:space="preserve"> </w:t>
      </w:r>
      <w:r w:rsidR="00AA1710" w:rsidRPr="00F227ED">
        <w:t xml:space="preserve">A number of submitters, largely from the forestry sector, also </w:t>
      </w:r>
      <w:r w:rsidR="00F227ED" w:rsidRPr="00F227ED">
        <w:t>argued</w:t>
      </w:r>
      <w:r w:rsidR="00AA1710" w:rsidRPr="00F227ED">
        <w:t xml:space="preserve"> that excluding agriculture from the NZ ETS affects land prices and skews investment away from forestry.</w:t>
      </w:r>
    </w:p>
    <w:p w:rsidR="00FF6FCF" w:rsidRPr="00325373" w:rsidRDefault="00FF6FCF" w:rsidP="00FF6FCF">
      <w:pPr>
        <w:ind w:left="567" w:right="567"/>
        <w:rPr>
          <w:rFonts w:asciiTheme="minorHAnsi" w:hAnsiTheme="minorHAnsi"/>
          <w:sz w:val="21"/>
          <w:szCs w:val="21"/>
        </w:rPr>
      </w:pPr>
      <w:r w:rsidRPr="00325373">
        <w:rPr>
          <w:rFonts w:asciiTheme="minorHAnsi" w:hAnsiTheme="minorHAnsi"/>
          <w:sz w:val="21"/>
          <w:szCs w:val="21"/>
        </w:rPr>
        <w:t>“Agriculture is an important part of the problem and is also an important part of the solution. It needs to have the incentives to adapt. However, the current approach to relying on technical solutions to mitigate the emissions from the established ruminant dominated systems is too narrow.”</w:t>
      </w:r>
      <w:r w:rsidRPr="00325373">
        <w:rPr>
          <w:rStyle w:val="gq1"/>
          <w:rFonts w:asciiTheme="minorHAnsi" w:hAnsiTheme="minorHAnsi" w:cs="Helvetica"/>
          <w:color w:val="333333"/>
          <w:sz w:val="21"/>
          <w:szCs w:val="21"/>
        </w:rPr>
        <w:t xml:space="preserve"> (</w:t>
      </w:r>
      <w:r w:rsidRPr="00325373">
        <w:rPr>
          <w:rFonts w:asciiTheme="minorHAnsi" w:hAnsiTheme="minorHAnsi"/>
          <w:sz w:val="21"/>
          <w:szCs w:val="21"/>
        </w:rPr>
        <w:t xml:space="preserve">Tauranga Carbon Reduction Group, </w:t>
      </w:r>
      <w:r w:rsidR="00740FE2">
        <w:rPr>
          <w:rFonts w:asciiTheme="minorHAnsi" w:hAnsiTheme="minorHAnsi"/>
          <w:sz w:val="21"/>
          <w:szCs w:val="21"/>
        </w:rPr>
        <w:t>00067</w:t>
      </w:r>
      <w:r w:rsidRPr="00325373">
        <w:rPr>
          <w:rFonts w:asciiTheme="minorHAnsi" w:hAnsiTheme="minorHAnsi"/>
          <w:sz w:val="21"/>
          <w:szCs w:val="21"/>
        </w:rPr>
        <w:t>)</w:t>
      </w:r>
    </w:p>
    <w:p w:rsidR="003E3C4E" w:rsidRPr="00325373" w:rsidRDefault="003E3C4E" w:rsidP="00FF6FCF">
      <w:pPr>
        <w:ind w:left="567" w:right="567"/>
        <w:rPr>
          <w:rFonts w:asciiTheme="minorHAnsi" w:hAnsiTheme="minorHAnsi"/>
          <w:sz w:val="21"/>
          <w:szCs w:val="21"/>
        </w:rPr>
      </w:pPr>
      <w:r w:rsidRPr="00325373">
        <w:rPr>
          <w:rFonts w:asciiTheme="minorHAnsi" w:hAnsiTheme="minorHAnsi"/>
          <w:sz w:val="21"/>
          <w:szCs w:val="21"/>
        </w:rPr>
        <w:t xml:space="preserve">“The price of land for agriculture use is artificially inflated by the sector’s protection from ETS obligations. This situation </w:t>
      </w:r>
      <w:proofErr w:type="gramStart"/>
      <w:r w:rsidRPr="00325373">
        <w:rPr>
          <w:rFonts w:asciiTheme="minorHAnsi" w:hAnsiTheme="minorHAnsi"/>
          <w:sz w:val="21"/>
          <w:szCs w:val="21"/>
        </w:rPr>
        <w:t>mitigates</w:t>
      </w:r>
      <w:proofErr w:type="gramEnd"/>
      <w:r w:rsidRPr="00325373">
        <w:rPr>
          <w:rFonts w:asciiTheme="minorHAnsi" w:hAnsiTheme="minorHAnsi"/>
          <w:sz w:val="21"/>
          <w:szCs w:val="21"/>
        </w:rPr>
        <w:t xml:space="preserve"> against rational land use decisions, including conversion of some pasture land to trees on comparative economic grounds, with the double benefit of both reducing methane emissions from livestock and sequestering carbon as noted above.” (Forest &amp; Wood Action Group, </w:t>
      </w:r>
      <w:r w:rsidR="00740FE2">
        <w:rPr>
          <w:rFonts w:asciiTheme="minorHAnsi" w:hAnsiTheme="minorHAnsi"/>
          <w:sz w:val="21"/>
          <w:szCs w:val="21"/>
        </w:rPr>
        <w:t>05016</w:t>
      </w:r>
      <w:r w:rsidRPr="00325373">
        <w:rPr>
          <w:rFonts w:asciiTheme="minorHAnsi" w:hAnsiTheme="minorHAnsi"/>
          <w:sz w:val="21"/>
          <w:szCs w:val="21"/>
        </w:rPr>
        <w:t>)</w:t>
      </w:r>
    </w:p>
    <w:p w:rsidR="00523BE5" w:rsidRPr="00C76622" w:rsidRDefault="00523BE5" w:rsidP="00523BE5">
      <w:pPr>
        <w:pStyle w:val="Heading4"/>
      </w:pPr>
      <w:r w:rsidRPr="00C76622">
        <w:t>Whether an emissions trading scheme is the most appropriate response to climate change for New Zealand</w:t>
      </w:r>
    </w:p>
    <w:p w:rsidR="00AA1710" w:rsidRDefault="00AA1710" w:rsidP="00B8466E">
      <w:r>
        <w:t xml:space="preserve">A number of submitters </w:t>
      </w:r>
      <w:r w:rsidR="00523BE5" w:rsidRPr="00C76622">
        <w:t>stated that since the NZ ETS has not proven to be an effective tool in reducing emissions, it should be replaced by another mechanism, such as a carbon tax.</w:t>
      </w:r>
      <w:r w:rsidR="00523BE5">
        <w:t xml:space="preserve"> </w:t>
      </w:r>
    </w:p>
    <w:p w:rsidR="006A5029" w:rsidRPr="00325373" w:rsidRDefault="00F7798F" w:rsidP="00325373">
      <w:pPr>
        <w:ind w:left="567" w:right="567"/>
        <w:rPr>
          <w:bCs/>
          <w:sz w:val="21"/>
          <w:szCs w:val="21"/>
        </w:rPr>
      </w:pPr>
      <w:r w:rsidRPr="00325373">
        <w:rPr>
          <w:bCs/>
          <w:sz w:val="21"/>
          <w:szCs w:val="21"/>
        </w:rPr>
        <w:t>“</w:t>
      </w:r>
      <w:r w:rsidRPr="00325373">
        <w:rPr>
          <w:sz w:val="21"/>
          <w:szCs w:val="21"/>
        </w:rPr>
        <w:t>The Bioenergy Association reiterates its previous submission that a carbon tax would be a more effective mechanism than the ETS for shifting the economy to low carbon. It punishes polluters and provides incentives for renewable energy.</w:t>
      </w:r>
      <w:r w:rsidRPr="00325373">
        <w:rPr>
          <w:bCs/>
          <w:sz w:val="21"/>
          <w:szCs w:val="21"/>
        </w:rPr>
        <w:t xml:space="preserve">” (The Bioenergy Association, </w:t>
      </w:r>
      <w:r w:rsidR="00091D85">
        <w:rPr>
          <w:bCs/>
          <w:sz w:val="21"/>
          <w:szCs w:val="21"/>
        </w:rPr>
        <w:t>00070</w:t>
      </w:r>
      <w:r w:rsidRPr="00325373">
        <w:rPr>
          <w:bCs/>
          <w:sz w:val="21"/>
          <w:szCs w:val="21"/>
        </w:rPr>
        <w:t>)</w:t>
      </w:r>
    </w:p>
    <w:p w:rsidR="00920EE4" w:rsidRDefault="00920EE4">
      <w:pPr>
        <w:spacing w:before="0" w:after="0"/>
        <w:rPr>
          <w:b/>
          <w:bCs/>
          <w:color w:val="005984"/>
          <w:sz w:val="36"/>
          <w:szCs w:val="36"/>
        </w:rPr>
      </w:pPr>
      <w:r>
        <w:br w:type="page"/>
      </w:r>
    </w:p>
    <w:p w:rsidR="00D86050" w:rsidRPr="00C76622" w:rsidRDefault="0040636D" w:rsidP="00D86050">
      <w:pPr>
        <w:pStyle w:val="Heading1"/>
      </w:pPr>
      <w:bookmarkStart w:id="20" w:name="_Toc463270121"/>
      <w:r>
        <w:lastRenderedPageBreak/>
        <w:t>4</w:t>
      </w:r>
      <w:r w:rsidR="00D86050">
        <w:t xml:space="preserve">. </w:t>
      </w:r>
      <w:r w:rsidR="00D86050">
        <w:tab/>
        <w:t xml:space="preserve">Business responses to the </w:t>
      </w:r>
      <w:r w:rsidR="009F1778">
        <w:t>New Zealand Emissions Trading Scheme (</w:t>
      </w:r>
      <w:r w:rsidR="00D86050">
        <w:t>NZ ETS</w:t>
      </w:r>
      <w:r w:rsidR="009F1778">
        <w:t>)</w:t>
      </w:r>
      <w:bookmarkEnd w:id="20"/>
    </w:p>
    <w:p w:rsidR="00D86050" w:rsidRPr="00C76622" w:rsidRDefault="0040636D" w:rsidP="00D86050">
      <w:pPr>
        <w:pStyle w:val="Heading2"/>
        <w:spacing w:before="240"/>
      </w:pPr>
      <w:bookmarkStart w:id="21" w:name="_Toc463270122"/>
      <w:r>
        <w:t>4</w:t>
      </w:r>
      <w:r w:rsidR="00D86050">
        <w:t xml:space="preserve">.1 </w:t>
      </w:r>
      <w:r w:rsidR="00D86050">
        <w:tab/>
        <w:t xml:space="preserve">Do you consider the future cost of emissions in your business planning? If yes, how do you do this? </w:t>
      </w:r>
      <w:r w:rsidR="00D86050" w:rsidRPr="00C76622">
        <w:t>(Question</w:t>
      </w:r>
      <w:r w:rsidR="00D86050">
        <w:t> 9</w:t>
      </w:r>
      <w:r w:rsidR="00D86050" w:rsidRPr="00C76622">
        <w:t>)</w:t>
      </w:r>
      <w:bookmarkEnd w:id="21"/>
    </w:p>
    <w:p w:rsidR="00D86050" w:rsidRDefault="00D86050" w:rsidP="00B8466E">
      <w:r>
        <w:t>In total, 15</w:t>
      </w:r>
      <w:r w:rsidR="004E6813">
        <w:t>2</w:t>
      </w:r>
      <w:r>
        <w:t xml:space="preserve"> </w:t>
      </w:r>
      <w:r w:rsidR="00C27668">
        <w:t xml:space="preserve">submitters </w:t>
      </w:r>
      <w:r>
        <w:t>(</w:t>
      </w:r>
      <w:r w:rsidR="00C2449D">
        <w:t>approximately</w:t>
      </w:r>
      <w:r>
        <w:t xml:space="preserve"> 45 </w:t>
      </w:r>
      <w:r w:rsidR="008E24E1">
        <w:t>per cent</w:t>
      </w:r>
      <w:r>
        <w:t xml:space="preserve"> of </w:t>
      </w:r>
      <w:r w:rsidR="00006F25">
        <w:t xml:space="preserve">all </w:t>
      </w:r>
      <w:r>
        <w:t>submitters) addressed this question. The large majority of these submitters (</w:t>
      </w:r>
      <w:r w:rsidR="00C2449D">
        <w:t>approximately</w:t>
      </w:r>
      <w:r>
        <w:t xml:space="preserve"> 7</w:t>
      </w:r>
      <w:r w:rsidR="00FD7FE1">
        <w:t>5</w:t>
      </w:r>
      <w:r>
        <w:t xml:space="preserve"> </w:t>
      </w:r>
      <w:r w:rsidR="008E24E1">
        <w:t>per cent</w:t>
      </w:r>
      <w:r>
        <w:t xml:space="preserve">) stated </w:t>
      </w:r>
      <w:r w:rsidR="009F1778">
        <w:t xml:space="preserve">that </w:t>
      </w:r>
      <w:r>
        <w:t>they do consider the future costs of emissions in their business planning.</w:t>
      </w:r>
      <w:r w:rsidR="007F6111">
        <w:t xml:space="preserve"> </w:t>
      </w:r>
      <w:r w:rsidR="00FF6FCF">
        <w:t>A</w:t>
      </w:r>
      <w:r>
        <w:t>pprox</w:t>
      </w:r>
      <w:r w:rsidR="00C2096A">
        <w:t>imately</w:t>
      </w:r>
      <w:r>
        <w:t xml:space="preserve"> 1</w:t>
      </w:r>
      <w:r w:rsidR="00FD7FE1">
        <w:t>5</w:t>
      </w:r>
      <w:r>
        <w:t xml:space="preserve"> </w:t>
      </w:r>
      <w:r w:rsidR="008E24E1">
        <w:t>per cent</w:t>
      </w:r>
      <w:r>
        <w:t xml:space="preserve"> stated </w:t>
      </w:r>
      <w:r w:rsidR="009F1778">
        <w:t xml:space="preserve">that </w:t>
      </w:r>
      <w:r>
        <w:t>they do not consider the cost of emissions in their business planning, while the remaining 1</w:t>
      </w:r>
      <w:r w:rsidR="00FD7FE1">
        <w:t>0</w:t>
      </w:r>
      <w:r>
        <w:t xml:space="preserve"> </w:t>
      </w:r>
      <w:r w:rsidR="008E24E1">
        <w:t>per cent</w:t>
      </w:r>
      <w:r>
        <w:t xml:space="preserve"> were unsure or did not provide a clear position.</w:t>
      </w:r>
    </w:p>
    <w:p w:rsidR="00D86050" w:rsidRDefault="00D86050" w:rsidP="00B8466E">
      <w:r>
        <w:t xml:space="preserve">Submitters </w:t>
      </w:r>
      <w:r w:rsidR="009F1778">
        <w:t xml:space="preserve">who </w:t>
      </w:r>
      <w:r>
        <w:t xml:space="preserve">consider the cost of emissions in their business planning often stated they specifically take the </w:t>
      </w:r>
      <w:r w:rsidR="009F1778">
        <w:t>New Zealand Unit (</w:t>
      </w:r>
      <w:r>
        <w:t>NZU</w:t>
      </w:r>
      <w:r w:rsidR="009F1778">
        <w:t>)</w:t>
      </w:r>
      <w:r>
        <w:t xml:space="preserve"> price, or potential future prices, into account.</w:t>
      </w:r>
      <w:r w:rsidRPr="001E2CB7">
        <w:t xml:space="preserve"> </w:t>
      </w:r>
      <w:r>
        <w:t xml:space="preserve">A number of these submitters also commented that uncertainty limits the amount of planning they can do, while others stated that uncertainty leads them to make assumptions about carbon prices and policies in their planning. </w:t>
      </w:r>
    </w:p>
    <w:p w:rsidR="00FF6FCF" w:rsidRDefault="00D86050" w:rsidP="00FF6FCF">
      <w:pPr>
        <w:ind w:left="567" w:right="567"/>
        <w:rPr>
          <w:sz w:val="21"/>
          <w:szCs w:val="21"/>
        </w:rPr>
      </w:pPr>
      <w:r w:rsidRPr="00CB33F4">
        <w:rPr>
          <w:sz w:val="21"/>
          <w:szCs w:val="21"/>
        </w:rPr>
        <w:t xml:space="preserve">“Methanol production, using natural gas, is an emissions intensive process and so the future cost of carbon is at the fore of our planning, particularly in New Zealand. </w:t>
      </w:r>
      <w:proofErr w:type="spellStart"/>
      <w:r w:rsidRPr="00CB33F4">
        <w:rPr>
          <w:sz w:val="21"/>
          <w:szCs w:val="21"/>
        </w:rPr>
        <w:t>Methanex</w:t>
      </w:r>
      <w:proofErr w:type="spellEnd"/>
      <w:r w:rsidRPr="00CB33F4">
        <w:rPr>
          <w:sz w:val="21"/>
          <w:szCs w:val="21"/>
        </w:rPr>
        <w:t>’ planning horizon in New Zealand extends over at least the next ten years.” (</w:t>
      </w:r>
      <w:proofErr w:type="spellStart"/>
      <w:r w:rsidRPr="00CB33F4">
        <w:rPr>
          <w:sz w:val="21"/>
          <w:szCs w:val="21"/>
        </w:rPr>
        <w:t>Methanex</w:t>
      </w:r>
      <w:proofErr w:type="spellEnd"/>
      <w:r w:rsidR="00740FE2">
        <w:rPr>
          <w:sz w:val="21"/>
          <w:szCs w:val="21"/>
        </w:rPr>
        <w:t xml:space="preserve"> New Zealand Limited</w:t>
      </w:r>
      <w:r w:rsidRPr="00CB33F4">
        <w:rPr>
          <w:sz w:val="21"/>
          <w:szCs w:val="21"/>
        </w:rPr>
        <w:t xml:space="preserve">, </w:t>
      </w:r>
      <w:r w:rsidR="00740FE2">
        <w:rPr>
          <w:sz w:val="21"/>
          <w:szCs w:val="21"/>
        </w:rPr>
        <w:t>00137</w:t>
      </w:r>
      <w:r w:rsidRPr="00CB33F4">
        <w:rPr>
          <w:sz w:val="21"/>
          <w:szCs w:val="21"/>
        </w:rPr>
        <w:t>)</w:t>
      </w:r>
      <w:r w:rsidR="00FF6FCF" w:rsidRPr="00FF6FCF">
        <w:rPr>
          <w:sz w:val="21"/>
          <w:szCs w:val="21"/>
        </w:rPr>
        <w:t xml:space="preserve"> </w:t>
      </w:r>
    </w:p>
    <w:p w:rsidR="00FF6FCF" w:rsidRPr="00CB33F4" w:rsidRDefault="00FF6FCF" w:rsidP="00FF6FCF">
      <w:pPr>
        <w:ind w:left="567" w:right="567"/>
        <w:rPr>
          <w:sz w:val="21"/>
          <w:szCs w:val="21"/>
        </w:rPr>
      </w:pPr>
      <w:r w:rsidRPr="00CB33F4">
        <w:rPr>
          <w:sz w:val="21"/>
          <w:szCs w:val="21"/>
        </w:rPr>
        <w:t xml:space="preserve">“Longer term carbon prices are so uncertain that little cognizance has been taken to date when evaluating future investment in energy efficiency.” (Oji Fibre Solutions, </w:t>
      </w:r>
      <w:r w:rsidR="00740FE2">
        <w:rPr>
          <w:sz w:val="21"/>
          <w:szCs w:val="21"/>
        </w:rPr>
        <w:t>00071</w:t>
      </w:r>
      <w:r w:rsidRPr="00CB33F4">
        <w:rPr>
          <w:sz w:val="21"/>
          <w:szCs w:val="21"/>
        </w:rPr>
        <w:t>)</w:t>
      </w:r>
    </w:p>
    <w:p w:rsidR="00D86050" w:rsidRPr="00A40BB4" w:rsidRDefault="00D86050" w:rsidP="00B8466E">
      <w:r w:rsidRPr="00A40BB4">
        <w:t>A number of submitters provided examples of how they take the cost of emissions into account in their business planning and accounting processes. For example, some submitters discussed taking the cost of emissions into account when making decisions that affect energy efficiency.</w:t>
      </w:r>
    </w:p>
    <w:p w:rsidR="00D86050" w:rsidRPr="00CB33F4" w:rsidRDefault="00D86050" w:rsidP="00CB33F4">
      <w:pPr>
        <w:ind w:left="567" w:right="567"/>
        <w:rPr>
          <w:sz w:val="21"/>
          <w:szCs w:val="21"/>
        </w:rPr>
      </w:pPr>
      <w:r w:rsidRPr="00CB33F4">
        <w:rPr>
          <w:sz w:val="21"/>
          <w:szCs w:val="21"/>
        </w:rPr>
        <w:t xml:space="preserve">“All New Zealand business units of Fletcher Building factor the carbon emission costs from their use of fossil fuels into their budgets through an internal accounting process. […] Business units are also required to take energy management (and emission reduction) into consideration as part of the annual planning process, feeding into plan preparation and operational budget work.” (Fletcher Building Limited, </w:t>
      </w:r>
      <w:r w:rsidR="00740FE2" w:rsidRPr="00C76622">
        <w:rPr>
          <w:rFonts w:asciiTheme="minorHAnsi" w:hAnsiTheme="minorHAnsi" w:cs="Times New Roman"/>
          <w:lang w:eastAsia="en-NZ"/>
        </w:rPr>
        <w:t>00051</w:t>
      </w:r>
      <w:r w:rsidRPr="00CB33F4">
        <w:rPr>
          <w:sz w:val="21"/>
          <w:szCs w:val="21"/>
        </w:rPr>
        <w:t>)</w:t>
      </w:r>
    </w:p>
    <w:p w:rsidR="00D86050" w:rsidRPr="00CB33F4" w:rsidRDefault="00FF6FCF" w:rsidP="00CB33F4">
      <w:pPr>
        <w:ind w:left="567" w:right="567"/>
        <w:rPr>
          <w:sz w:val="21"/>
          <w:szCs w:val="21"/>
        </w:rPr>
      </w:pPr>
      <w:r w:rsidRPr="00CB33F4" w:rsidDel="00FF6FCF">
        <w:rPr>
          <w:sz w:val="21"/>
          <w:szCs w:val="21"/>
        </w:rPr>
        <w:t xml:space="preserve"> </w:t>
      </w:r>
      <w:r w:rsidR="00D86050" w:rsidRPr="00CB33F4">
        <w:rPr>
          <w:sz w:val="21"/>
          <w:szCs w:val="21"/>
        </w:rPr>
        <w:t>“Forecasting is a core part of our business profile and accuracy of those forecasts is essential. Plant efficiency, usage and long term viability are all taken into account in the forecasts and, consequently, the emissions profile of our business is assessed continuously.” (Genesis</w:t>
      </w:r>
      <w:r w:rsidR="004F3E0E">
        <w:rPr>
          <w:sz w:val="21"/>
          <w:szCs w:val="21"/>
        </w:rPr>
        <w:t xml:space="preserve"> Energy</w:t>
      </w:r>
      <w:r w:rsidR="00D86050" w:rsidRPr="00CB33F4">
        <w:rPr>
          <w:sz w:val="21"/>
          <w:szCs w:val="21"/>
        </w:rPr>
        <w:t xml:space="preserve">, </w:t>
      </w:r>
      <w:r w:rsidR="004F3E0E">
        <w:rPr>
          <w:sz w:val="21"/>
          <w:szCs w:val="21"/>
        </w:rPr>
        <w:t>00053</w:t>
      </w:r>
      <w:r w:rsidR="00D86050" w:rsidRPr="00CB33F4">
        <w:rPr>
          <w:sz w:val="21"/>
          <w:szCs w:val="21"/>
        </w:rPr>
        <w:t>)</w:t>
      </w:r>
    </w:p>
    <w:p w:rsidR="00D86050" w:rsidRDefault="00D86050" w:rsidP="00B8466E">
      <w:r>
        <w:t>A number of s</w:t>
      </w:r>
      <w:r w:rsidRPr="00182DE0">
        <w:t xml:space="preserve">ubmitters from the forestry sector </w:t>
      </w:r>
      <w:r>
        <w:t xml:space="preserve">provided information on how </w:t>
      </w:r>
      <w:r w:rsidRPr="00182DE0">
        <w:t>the</w:t>
      </w:r>
      <w:r>
        <w:t>y</w:t>
      </w:r>
      <w:r w:rsidRPr="00182DE0">
        <w:t xml:space="preserve"> take the cost of emissions into account</w:t>
      </w:r>
      <w:r>
        <w:t>. Some of these submitters discussed the current emissions price, rather than the future costs of emissions</w:t>
      </w:r>
      <w:r w:rsidRPr="00182DE0">
        <w:t xml:space="preserve">, </w:t>
      </w:r>
      <w:r>
        <w:t xml:space="preserve">with </w:t>
      </w:r>
      <w:r w:rsidRPr="00182DE0">
        <w:t xml:space="preserve">a number of submitters </w:t>
      </w:r>
      <w:r>
        <w:t>stating</w:t>
      </w:r>
      <w:r w:rsidRPr="00182DE0">
        <w:t xml:space="preserve"> they would plant more trees </w:t>
      </w:r>
      <w:r>
        <w:t xml:space="preserve">or register in the NZ ETS </w:t>
      </w:r>
      <w:r w:rsidRPr="00182DE0">
        <w:t xml:space="preserve">if the </w:t>
      </w:r>
      <w:r>
        <w:t xml:space="preserve">NZU </w:t>
      </w:r>
      <w:r w:rsidRPr="00182DE0">
        <w:t>price went up</w:t>
      </w:r>
      <w:r>
        <w:t>. O</w:t>
      </w:r>
      <w:r w:rsidRPr="00182DE0">
        <w:t>thers commented that they are waiting for NZU price to reach a certain level before they would consider selling units.</w:t>
      </w:r>
    </w:p>
    <w:p w:rsidR="00D86050" w:rsidRPr="00CB33F4" w:rsidRDefault="00D86050" w:rsidP="00CB33F4">
      <w:pPr>
        <w:ind w:left="567" w:right="567"/>
        <w:rPr>
          <w:sz w:val="21"/>
          <w:szCs w:val="21"/>
        </w:rPr>
      </w:pPr>
      <w:r w:rsidRPr="00CB33F4">
        <w:rPr>
          <w:sz w:val="21"/>
          <w:szCs w:val="21"/>
        </w:rPr>
        <w:t xml:space="preserve">“For pre-1990 forest owners and ETS-participating post-1989 forest owners, there are significant consequences that flow from the future cost of emissions and thus, inevitably it </w:t>
      </w:r>
      <w:r w:rsidRPr="00CB33F4">
        <w:rPr>
          <w:sz w:val="21"/>
          <w:szCs w:val="21"/>
        </w:rPr>
        <w:lastRenderedPageBreak/>
        <w:t xml:space="preserve">influences business planning and investment. Even for those not currently participating in the ETS though, it is something that typically must be monitored and will affect business planning.” (New Zealand Forest Owners Association, </w:t>
      </w:r>
      <w:r w:rsidR="007B7E74" w:rsidRPr="007B7E74">
        <w:rPr>
          <w:sz w:val="21"/>
          <w:szCs w:val="21"/>
        </w:rPr>
        <w:t>00039</w:t>
      </w:r>
      <w:r w:rsidRPr="00CB33F4">
        <w:rPr>
          <w:sz w:val="21"/>
          <w:szCs w:val="21"/>
        </w:rPr>
        <w:t>)</w:t>
      </w:r>
    </w:p>
    <w:p w:rsidR="00D86050" w:rsidRPr="00DB078E" w:rsidRDefault="00D86050" w:rsidP="00B8466E">
      <w:r w:rsidRPr="00DB078E">
        <w:t>There were also some submitters that expressed less clear views on how they take the future of cost of emissions into account. These submitters sometimes stated they are always looking to make efficiency gains in their business activities or discussed reducing emissions because of factors outside of the cost of emissions, such as company-wide sustainability efforts</w:t>
      </w:r>
      <w:r w:rsidR="00F227ED">
        <w:t>.</w:t>
      </w:r>
    </w:p>
    <w:p w:rsidR="00D86050" w:rsidRDefault="00D86050" w:rsidP="00B8466E">
      <w:r>
        <w:t>Some submitters also discussed challenges in considering the future cost of emissions in their business planning.  These submitters sometimes stated that they have already taken all realistic options to minimise emissions and any increase in cost of the NZ ETS will now have only a m</w:t>
      </w:r>
      <w:r w:rsidR="00612B5C">
        <w:t>inor</w:t>
      </w:r>
      <w:r>
        <w:t xml:space="preserve"> effect on their behaviour</w:t>
      </w:r>
      <w:r w:rsidR="00612B5C">
        <w:t>. O</w:t>
      </w:r>
      <w:r>
        <w:t>ther</w:t>
      </w:r>
      <w:r w:rsidR="00612B5C">
        <w:t>s</w:t>
      </w:r>
      <w:r>
        <w:t xml:space="preserve"> noted that they are </w:t>
      </w:r>
      <w:r w:rsidRPr="00AB74B9">
        <w:t>dependent on new technology being developed</w:t>
      </w:r>
      <w:r>
        <w:t xml:space="preserve"> to reduce emissions.</w:t>
      </w:r>
    </w:p>
    <w:p w:rsidR="00D86050" w:rsidRPr="00CB33F4" w:rsidRDefault="00D86050" w:rsidP="00CB33F4">
      <w:pPr>
        <w:ind w:left="567" w:right="567"/>
        <w:rPr>
          <w:sz w:val="21"/>
          <w:szCs w:val="21"/>
        </w:rPr>
      </w:pPr>
      <w:r w:rsidRPr="00CB33F4">
        <w:rPr>
          <w:sz w:val="21"/>
          <w:szCs w:val="21"/>
        </w:rPr>
        <w:t xml:space="preserve">“Air New Zealand is unlikely to itself develop new breakthrough technologies in either aircraft engine design or aviation biofuels that can substantially reduce greenhouse gas emissions. For the foreseeable future Air New Zealand will therefore be a purchaser of new technology rather than leading in the development of it, and will also be a purchaser of emissions units.” (Air New Zealand, </w:t>
      </w:r>
      <w:r w:rsidR="001D657A">
        <w:rPr>
          <w:sz w:val="21"/>
          <w:szCs w:val="21"/>
        </w:rPr>
        <w:t>00151</w:t>
      </w:r>
      <w:r w:rsidRPr="00CB33F4">
        <w:rPr>
          <w:sz w:val="21"/>
          <w:szCs w:val="21"/>
        </w:rPr>
        <w:t>)</w:t>
      </w:r>
    </w:p>
    <w:p w:rsidR="00D86050" w:rsidRPr="00DB078E" w:rsidRDefault="00D86050" w:rsidP="00B8466E">
      <w:pPr>
        <w:rPr>
          <w:szCs w:val="21"/>
        </w:rPr>
      </w:pPr>
      <w:r w:rsidRPr="00DB078E">
        <w:rPr>
          <w:szCs w:val="21"/>
        </w:rPr>
        <w:t>A few submitters commented that sectors that do not face full NZ ETS surrender obligations, such as</w:t>
      </w:r>
      <w:r>
        <w:t xml:space="preserve"> businesses that receive free allocation or the agriculture </w:t>
      </w:r>
      <w:proofErr w:type="gramStart"/>
      <w:r>
        <w:t>sector,</w:t>
      </w:r>
      <w:proofErr w:type="gramEnd"/>
      <w:r>
        <w:t xml:space="preserve"> may not incorporate the cost of emissions into their business decisions to the same extent as other businesses.  </w:t>
      </w:r>
    </w:p>
    <w:p w:rsidR="00D86050" w:rsidRPr="00C76622" w:rsidRDefault="006309F6" w:rsidP="00650845">
      <w:pPr>
        <w:pStyle w:val="Tableheading"/>
      </w:pPr>
      <w:bookmarkStart w:id="22" w:name="_Toc463270167"/>
      <w:r>
        <w:t>Table 3</w:t>
      </w:r>
      <w:r w:rsidR="00D86050" w:rsidRPr="00C76622">
        <w:t xml:space="preserve">: </w:t>
      </w:r>
      <w:r w:rsidR="00D86050" w:rsidRPr="00C76622">
        <w:tab/>
      </w:r>
      <w:r w:rsidR="00B556C0">
        <w:t>Submitter</w:t>
      </w:r>
      <w:r w:rsidR="00D86050" w:rsidRPr="00C76622">
        <w:t xml:space="preserve"> positions – </w:t>
      </w:r>
      <w:r w:rsidR="00D86050" w:rsidRPr="00160A13">
        <w:rPr>
          <w:i/>
        </w:rPr>
        <w:t>Do you consider the future cost of emissions in your business planning</w:t>
      </w:r>
      <w:r w:rsidR="00D86050" w:rsidRPr="00C76622">
        <w:rPr>
          <w:i/>
        </w:rPr>
        <w:t>?</w:t>
      </w:r>
      <w:bookmarkEnd w:id="22"/>
    </w:p>
    <w:tbl>
      <w:tblPr>
        <w:tblW w:w="9229" w:type="dxa"/>
        <w:tblInd w:w="93" w:type="dxa"/>
        <w:tblLayout w:type="fixed"/>
        <w:tblLook w:val="04A0" w:firstRow="1" w:lastRow="0" w:firstColumn="1" w:lastColumn="0" w:noHBand="0" w:noVBand="1"/>
      </w:tblPr>
      <w:tblGrid>
        <w:gridCol w:w="3440"/>
        <w:gridCol w:w="1447"/>
        <w:gridCol w:w="1447"/>
        <w:gridCol w:w="1447"/>
        <w:gridCol w:w="1448"/>
      </w:tblGrid>
      <w:tr w:rsidR="009F749A" w:rsidRPr="00C76622" w:rsidTr="00B0372E">
        <w:tc>
          <w:tcPr>
            <w:tcW w:w="3440" w:type="dxa"/>
            <w:tcBorders>
              <w:bottom w:val="single" w:sz="4" w:space="0" w:color="005984"/>
              <w:right w:val="single" w:sz="4" w:space="0" w:color="005984"/>
            </w:tcBorders>
            <w:shd w:val="clear" w:color="auto" w:fill="auto"/>
            <w:noWrap/>
            <w:vAlign w:val="bottom"/>
          </w:tcPr>
          <w:p w:rsidR="009F749A" w:rsidRPr="00C76622" w:rsidRDefault="009F749A" w:rsidP="00E93FD3">
            <w:pPr>
              <w:pStyle w:val="TableTextbold"/>
              <w:spacing w:before="50" w:after="50"/>
              <w:rPr>
                <w:color w:val="FFFFFF" w:themeColor="background1"/>
                <w:lang w:eastAsia="en-NZ"/>
              </w:rPr>
            </w:pPr>
          </w:p>
        </w:tc>
        <w:tc>
          <w:tcPr>
            <w:tcW w:w="1447" w:type="dxa"/>
            <w:tcBorders>
              <w:top w:val="single" w:sz="4" w:space="0" w:color="005984"/>
              <w:left w:val="single" w:sz="4" w:space="0" w:color="005984"/>
              <w:bottom w:val="single" w:sz="4" w:space="0" w:color="005984"/>
              <w:right w:val="single" w:sz="4" w:space="0" w:color="005984"/>
            </w:tcBorders>
            <w:shd w:val="clear" w:color="auto" w:fill="005984"/>
            <w:noWrap/>
            <w:vAlign w:val="center"/>
          </w:tcPr>
          <w:p w:rsidR="009F749A" w:rsidRPr="00C76622" w:rsidRDefault="009F749A" w:rsidP="00541238">
            <w:pPr>
              <w:pStyle w:val="TableTextbold"/>
              <w:spacing w:before="50" w:after="50"/>
              <w:jc w:val="center"/>
              <w:rPr>
                <w:color w:val="FFFFFF" w:themeColor="background1"/>
                <w:lang w:eastAsia="en-NZ"/>
              </w:rPr>
            </w:pPr>
            <w:r w:rsidRPr="00C76622">
              <w:rPr>
                <w:color w:val="FFFFFF" w:themeColor="background1"/>
              </w:rPr>
              <w:t>Yes</w:t>
            </w:r>
          </w:p>
        </w:tc>
        <w:tc>
          <w:tcPr>
            <w:tcW w:w="1447" w:type="dxa"/>
            <w:tcBorders>
              <w:top w:val="single" w:sz="4" w:space="0" w:color="005984"/>
              <w:left w:val="single" w:sz="4" w:space="0" w:color="005984"/>
              <w:bottom w:val="single" w:sz="4" w:space="0" w:color="005984"/>
              <w:right w:val="single" w:sz="4" w:space="0" w:color="005984"/>
            </w:tcBorders>
            <w:shd w:val="clear" w:color="auto" w:fill="005984"/>
            <w:noWrap/>
            <w:vAlign w:val="center"/>
          </w:tcPr>
          <w:p w:rsidR="009F749A" w:rsidRPr="00C76622" w:rsidRDefault="009F749A" w:rsidP="00541238">
            <w:pPr>
              <w:pStyle w:val="TableTextbold"/>
              <w:spacing w:before="50" w:after="50"/>
              <w:jc w:val="center"/>
              <w:rPr>
                <w:color w:val="FFFFFF" w:themeColor="background1"/>
                <w:lang w:eastAsia="en-NZ"/>
              </w:rPr>
            </w:pPr>
            <w:r w:rsidRPr="00C76622">
              <w:rPr>
                <w:color w:val="FFFFFF" w:themeColor="background1"/>
              </w:rPr>
              <w:t>No</w:t>
            </w:r>
          </w:p>
        </w:tc>
        <w:tc>
          <w:tcPr>
            <w:tcW w:w="1447" w:type="dxa"/>
            <w:tcBorders>
              <w:top w:val="single" w:sz="4" w:space="0" w:color="005984"/>
              <w:left w:val="single" w:sz="4" w:space="0" w:color="005984"/>
              <w:bottom w:val="single" w:sz="4" w:space="0" w:color="005984"/>
            </w:tcBorders>
            <w:shd w:val="clear" w:color="auto" w:fill="005984"/>
            <w:noWrap/>
            <w:vAlign w:val="center"/>
          </w:tcPr>
          <w:p w:rsidR="009F749A" w:rsidRPr="00C76622" w:rsidRDefault="009F749A" w:rsidP="00541238">
            <w:pPr>
              <w:pStyle w:val="TableTextbold"/>
              <w:spacing w:before="50" w:after="50"/>
              <w:jc w:val="center"/>
              <w:rPr>
                <w:color w:val="FFFFFF" w:themeColor="background1"/>
                <w:lang w:eastAsia="en-NZ"/>
              </w:rPr>
            </w:pPr>
            <w:r w:rsidRPr="00C76622">
              <w:rPr>
                <w:color w:val="FFFFFF" w:themeColor="background1"/>
              </w:rPr>
              <w:t>Unsure</w:t>
            </w:r>
            <w:r>
              <w:rPr>
                <w:color w:val="FFFFFF" w:themeColor="background1"/>
              </w:rPr>
              <w:t>/ Unclear</w:t>
            </w:r>
          </w:p>
        </w:tc>
        <w:tc>
          <w:tcPr>
            <w:tcW w:w="1448" w:type="dxa"/>
            <w:tcBorders>
              <w:top w:val="single" w:sz="4" w:space="0" w:color="005984"/>
              <w:left w:val="single" w:sz="4" w:space="0" w:color="005984"/>
              <w:bottom w:val="single" w:sz="4" w:space="0" w:color="005984"/>
            </w:tcBorders>
            <w:shd w:val="clear" w:color="auto" w:fill="005984"/>
            <w:vAlign w:val="center"/>
          </w:tcPr>
          <w:p w:rsidR="009F749A" w:rsidRPr="00C76622" w:rsidRDefault="009F749A" w:rsidP="00541238">
            <w:pPr>
              <w:pStyle w:val="TableTextbold"/>
              <w:spacing w:before="50" w:after="50"/>
              <w:jc w:val="center"/>
              <w:rPr>
                <w:color w:val="FFFFFF" w:themeColor="background1"/>
                <w:lang w:eastAsia="en-NZ"/>
              </w:rPr>
            </w:pPr>
            <w:r w:rsidRPr="00C76622">
              <w:rPr>
                <w:color w:val="FFFFFF" w:themeColor="background1"/>
              </w:rPr>
              <w:t>Total</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hideMark/>
          </w:tcPr>
          <w:p w:rsidR="009F749A" w:rsidRPr="00C76622" w:rsidRDefault="009F749A" w:rsidP="00E93FD3">
            <w:pPr>
              <w:pStyle w:val="TableText"/>
              <w:spacing w:before="50" w:after="50"/>
              <w:rPr>
                <w:lang w:eastAsia="en-NZ"/>
              </w:rPr>
            </w:pPr>
            <w:r w:rsidRPr="00C76622">
              <w:rPr>
                <w:lang w:eastAsia="en-NZ"/>
              </w:rPr>
              <w:t xml:space="preserve">Agriculture </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5</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1</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3</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9</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hideMark/>
          </w:tcPr>
          <w:p w:rsidR="009F749A" w:rsidRPr="00C76622" w:rsidRDefault="009F749A" w:rsidP="00E93FD3">
            <w:pPr>
              <w:pStyle w:val="TableText"/>
              <w:spacing w:before="50" w:after="50"/>
              <w:rPr>
                <w:lang w:eastAsia="en-NZ"/>
              </w:rPr>
            </w:pPr>
            <w:r w:rsidRPr="00C76622">
              <w:rPr>
                <w:lang w:eastAsia="en-NZ"/>
              </w:rPr>
              <w:t>Business groups</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1</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612B5C" w:rsidP="00541238">
            <w:pPr>
              <w:pStyle w:val="TableText"/>
              <w:jc w:val="center"/>
              <w:rPr>
                <w:lang w:eastAsia="en-NZ"/>
              </w:rPr>
            </w:pPr>
            <w:r>
              <w:rPr>
                <w:lang w:eastAsia="en-NZ"/>
              </w:rPr>
              <w:t>0</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2</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3</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hideMark/>
          </w:tcPr>
          <w:p w:rsidR="009F749A" w:rsidRPr="00C76622" w:rsidRDefault="009F749A" w:rsidP="00E93FD3">
            <w:pPr>
              <w:pStyle w:val="TableText"/>
              <w:spacing w:before="50" w:after="50"/>
              <w:rPr>
                <w:lang w:eastAsia="en-NZ"/>
              </w:rPr>
            </w:pPr>
            <w:r w:rsidRPr="00C76622">
              <w:rPr>
                <w:lang w:eastAsia="en-NZ"/>
              </w:rPr>
              <w:t>Electricity</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7</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612B5C" w:rsidP="00541238">
            <w:pPr>
              <w:pStyle w:val="TableText"/>
              <w:jc w:val="center"/>
              <w:rPr>
                <w:lang w:eastAsia="en-NZ"/>
              </w:rPr>
            </w:pPr>
            <w:r>
              <w:rPr>
                <w:lang w:eastAsia="en-NZ"/>
              </w:rPr>
              <w:t>0</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7F6111" w:rsidP="00541238">
            <w:pPr>
              <w:pStyle w:val="TableText"/>
              <w:jc w:val="center"/>
              <w:rPr>
                <w:lang w:eastAsia="en-NZ"/>
              </w:rPr>
            </w:pPr>
            <w:r>
              <w:rPr>
                <w:lang w:eastAsia="en-NZ"/>
              </w:rPr>
              <w:t>0</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7</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tcPr>
          <w:p w:rsidR="009F749A" w:rsidRPr="00C76622" w:rsidRDefault="009F749A" w:rsidP="00E93FD3">
            <w:pPr>
              <w:pStyle w:val="TableText"/>
              <w:spacing w:before="50" w:after="50"/>
              <w:rPr>
                <w:lang w:eastAsia="en-NZ"/>
              </w:rPr>
            </w:pPr>
            <w:r w:rsidRPr="00C76622">
              <w:rPr>
                <w:lang w:eastAsia="en-NZ"/>
              </w:rPr>
              <w:t>Forestry</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31</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4</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1</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36</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tcPr>
          <w:p w:rsidR="009F749A" w:rsidRPr="00C76622" w:rsidRDefault="009F749A" w:rsidP="00E93FD3">
            <w:pPr>
              <w:pStyle w:val="TableText"/>
              <w:spacing w:before="50" w:after="50"/>
              <w:rPr>
                <w:lang w:eastAsia="en-NZ"/>
              </w:rPr>
            </w:pPr>
            <w:r w:rsidRPr="00C76622">
              <w:rPr>
                <w:lang w:eastAsia="en-NZ"/>
              </w:rPr>
              <w:t>Individual</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22</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12</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1</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35</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tcPr>
          <w:p w:rsidR="009F749A" w:rsidRPr="00C76622" w:rsidRDefault="009F749A" w:rsidP="00E93FD3">
            <w:pPr>
              <w:pStyle w:val="TableText"/>
              <w:spacing w:before="50" w:after="50"/>
              <w:rPr>
                <w:lang w:eastAsia="en-NZ"/>
              </w:rPr>
            </w:pPr>
            <w:r w:rsidRPr="00C76622">
              <w:rPr>
                <w:lang w:eastAsia="en-NZ"/>
              </w:rPr>
              <w:t>Industrial processors</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10</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612B5C" w:rsidP="00541238">
            <w:pPr>
              <w:pStyle w:val="TableText"/>
              <w:jc w:val="center"/>
              <w:rPr>
                <w:lang w:eastAsia="en-NZ"/>
              </w:rPr>
            </w:pPr>
            <w:r>
              <w:rPr>
                <w:lang w:eastAsia="en-NZ"/>
              </w:rPr>
              <w:t>0</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7F6111" w:rsidP="00541238">
            <w:pPr>
              <w:pStyle w:val="TableText"/>
              <w:jc w:val="center"/>
              <w:rPr>
                <w:lang w:eastAsia="en-NZ"/>
              </w:rPr>
            </w:pPr>
            <w:r>
              <w:rPr>
                <w:lang w:eastAsia="en-NZ"/>
              </w:rPr>
              <w:t>0</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10</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tcPr>
          <w:p w:rsidR="009F749A" w:rsidRPr="00C76622" w:rsidRDefault="009F749A" w:rsidP="00E93FD3">
            <w:pPr>
              <w:pStyle w:val="TableText"/>
              <w:spacing w:before="50" w:after="50"/>
              <w:rPr>
                <w:lang w:eastAsia="en-NZ"/>
              </w:rPr>
            </w:pPr>
            <w:r w:rsidRPr="00C76622">
              <w:rPr>
                <w:lang w:eastAsia="en-NZ"/>
              </w:rPr>
              <w:t>Iwi/Māori</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5</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612B5C" w:rsidP="00541238">
            <w:pPr>
              <w:pStyle w:val="TableText"/>
              <w:jc w:val="center"/>
              <w:rPr>
                <w:lang w:eastAsia="en-NZ"/>
              </w:rPr>
            </w:pPr>
            <w:r>
              <w:rPr>
                <w:lang w:eastAsia="en-NZ"/>
              </w:rPr>
              <w:t>0</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1</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6</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tcPr>
          <w:p w:rsidR="009F749A" w:rsidRPr="00C76622" w:rsidRDefault="009F749A" w:rsidP="00E93FD3">
            <w:pPr>
              <w:pStyle w:val="TableText"/>
              <w:spacing w:before="50" w:after="50"/>
              <w:rPr>
                <w:lang w:eastAsia="en-NZ"/>
              </w:rPr>
            </w:pPr>
            <w:r w:rsidRPr="00C76622">
              <w:rPr>
                <w:lang w:eastAsia="en-NZ"/>
              </w:rPr>
              <w:t>Liquid fossil fuels</w:t>
            </w:r>
            <w:r>
              <w:rPr>
                <w:lang w:eastAsia="en-NZ"/>
              </w:rPr>
              <w:t xml:space="preserve"> (transport)</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4</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612B5C" w:rsidP="00541238">
            <w:pPr>
              <w:pStyle w:val="TableText"/>
              <w:jc w:val="center"/>
              <w:rPr>
                <w:lang w:eastAsia="en-NZ"/>
              </w:rPr>
            </w:pPr>
            <w:r>
              <w:rPr>
                <w:lang w:eastAsia="en-NZ"/>
              </w:rPr>
              <w:t>0</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3</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7</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tcPr>
          <w:p w:rsidR="009F749A" w:rsidRPr="00C76622" w:rsidRDefault="009F749A" w:rsidP="00E93FD3">
            <w:pPr>
              <w:pStyle w:val="TableText"/>
              <w:spacing w:before="50" w:after="50"/>
              <w:rPr>
                <w:lang w:eastAsia="en-NZ"/>
              </w:rPr>
            </w:pPr>
            <w:r w:rsidRPr="00C76622">
              <w:rPr>
                <w:lang w:eastAsia="en-NZ"/>
              </w:rPr>
              <w:t>Local government</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2</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1</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612B5C" w:rsidP="00541238">
            <w:pPr>
              <w:pStyle w:val="TableText"/>
              <w:jc w:val="center"/>
              <w:rPr>
                <w:lang w:eastAsia="en-NZ"/>
              </w:rPr>
            </w:pPr>
            <w:r>
              <w:rPr>
                <w:lang w:eastAsia="en-NZ"/>
              </w:rPr>
              <w:t>0</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3</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tcPr>
          <w:p w:rsidR="009F749A" w:rsidRPr="00C76622" w:rsidRDefault="009F749A" w:rsidP="00E93FD3">
            <w:pPr>
              <w:pStyle w:val="TableText"/>
              <w:spacing w:before="50" w:after="50"/>
              <w:rPr>
                <w:lang w:eastAsia="en-NZ"/>
              </w:rPr>
            </w:pPr>
            <w:r w:rsidRPr="00C76622">
              <w:rPr>
                <w:lang w:eastAsia="en-NZ"/>
              </w:rPr>
              <w:t>NGO and community groups</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1</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5963AF" w:rsidP="00541238">
            <w:pPr>
              <w:pStyle w:val="TableText"/>
              <w:jc w:val="center"/>
              <w:rPr>
                <w:lang w:eastAsia="en-NZ"/>
              </w:rPr>
            </w:pPr>
            <w:r>
              <w:rPr>
                <w:lang w:eastAsia="en-NZ"/>
              </w:rPr>
              <w:t>0</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2</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3</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tcPr>
          <w:p w:rsidR="009F749A" w:rsidRPr="00C76622" w:rsidRDefault="009F749A" w:rsidP="00E93FD3">
            <w:pPr>
              <w:pStyle w:val="TableText"/>
              <w:spacing w:before="50" w:after="50"/>
              <w:rPr>
                <w:lang w:eastAsia="en-NZ"/>
              </w:rPr>
            </w:pPr>
            <w:r w:rsidRPr="00C76622">
              <w:rPr>
                <w:lang w:eastAsia="en-NZ"/>
              </w:rPr>
              <w:t>Research and tertiary organisations</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2</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1</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5963AF" w:rsidP="00541238">
            <w:pPr>
              <w:pStyle w:val="TableText"/>
              <w:jc w:val="center"/>
              <w:rPr>
                <w:lang w:eastAsia="en-NZ"/>
              </w:rPr>
            </w:pPr>
            <w:r>
              <w:rPr>
                <w:lang w:eastAsia="en-NZ"/>
              </w:rPr>
              <w:t>0</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3</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tcPr>
          <w:p w:rsidR="009F749A" w:rsidRPr="00C76622" w:rsidRDefault="009F749A" w:rsidP="00E93FD3">
            <w:pPr>
              <w:pStyle w:val="TableText"/>
              <w:spacing w:before="50" w:after="50"/>
              <w:rPr>
                <w:lang w:eastAsia="en-NZ"/>
              </w:rPr>
            </w:pPr>
            <w:r w:rsidRPr="00C76622">
              <w:rPr>
                <w:lang w:eastAsia="en-NZ"/>
              </w:rPr>
              <w:t xml:space="preserve">Stationary energy </w:t>
            </w:r>
            <w:r>
              <w:rPr>
                <w:lang w:eastAsia="en-NZ"/>
              </w:rPr>
              <w:t>(excluding electricity)</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5</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5963AF" w:rsidP="00541238">
            <w:pPr>
              <w:pStyle w:val="TableText"/>
              <w:jc w:val="center"/>
              <w:rPr>
                <w:lang w:eastAsia="en-NZ"/>
              </w:rPr>
            </w:pPr>
            <w:r>
              <w:rPr>
                <w:lang w:eastAsia="en-NZ"/>
              </w:rPr>
              <w:t>0</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5963AF" w:rsidP="00541238">
            <w:pPr>
              <w:pStyle w:val="TableText"/>
              <w:jc w:val="center"/>
              <w:rPr>
                <w:lang w:eastAsia="en-NZ"/>
              </w:rPr>
            </w:pPr>
            <w:r>
              <w:rPr>
                <w:lang w:eastAsia="en-NZ"/>
              </w:rPr>
              <w:t>0</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5</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tcPr>
          <w:p w:rsidR="009F749A" w:rsidRPr="00C76622" w:rsidRDefault="009F749A" w:rsidP="00E93FD3">
            <w:pPr>
              <w:pStyle w:val="TableText"/>
              <w:spacing w:before="50" w:after="50"/>
              <w:rPr>
                <w:lang w:eastAsia="en-NZ"/>
              </w:rPr>
            </w:pPr>
            <w:r w:rsidRPr="00C76622">
              <w:rPr>
                <w:lang w:eastAsia="en-NZ"/>
              </w:rPr>
              <w:t>Waste</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10</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2</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5963AF" w:rsidP="00541238">
            <w:pPr>
              <w:pStyle w:val="TableText"/>
              <w:jc w:val="center"/>
              <w:rPr>
                <w:lang w:eastAsia="en-NZ"/>
              </w:rPr>
            </w:pPr>
            <w:r>
              <w:rPr>
                <w:lang w:eastAsia="en-NZ"/>
              </w:rPr>
              <w:t>0</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12</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tcPr>
          <w:p w:rsidR="009F749A" w:rsidRPr="00C76622" w:rsidRDefault="009F749A" w:rsidP="00E93FD3">
            <w:pPr>
              <w:pStyle w:val="TableText"/>
              <w:spacing w:before="50" w:after="50"/>
              <w:rPr>
                <w:lang w:eastAsia="en-NZ"/>
              </w:rPr>
            </w:pPr>
            <w:r w:rsidRPr="00C76622">
              <w:rPr>
                <w:lang w:eastAsia="en-NZ"/>
              </w:rPr>
              <w:t>Wood processors</w:t>
            </w:r>
            <w:r>
              <w:rPr>
                <w:lang w:eastAsia="en-NZ"/>
              </w:rPr>
              <w:t xml:space="preserve"> and manufacturers</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18511B" w:rsidRDefault="009F749A" w:rsidP="00541238">
            <w:pPr>
              <w:pStyle w:val="TableText"/>
              <w:jc w:val="center"/>
              <w:rPr>
                <w:lang w:eastAsia="en-NZ"/>
              </w:rPr>
            </w:pPr>
            <w:r w:rsidRPr="0018511B">
              <w:rPr>
                <w:lang w:eastAsia="en-NZ"/>
              </w:rPr>
              <w:t>1</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5963AF" w:rsidP="00541238">
            <w:pPr>
              <w:pStyle w:val="TableText"/>
              <w:jc w:val="center"/>
              <w:rPr>
                <w:lang w:eastAsia="en-NZ"/>
              </w:rPr>
            </w:pPr>
            <w:r>
              <w:rPr>
                <w:lang w:eastAsia="en-NZ"/>
              </w:rPr>
              <w:t>0</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5963AF" w:rsidP="00541238">
            <w:pPr>
              <w:pStyle w:val="TableText"/>
              <w:jc w:val="center"/>
              <w:rPr>
                <w:lang w:eastAsia="en-NZ"/>
              </w:rPr>
            </w:pPr>
            <w:r>
              <w:rPr>
                <w:lang w:eastAsia="en-NZ"/>
              </w:rPr>
              <w:t>0</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1</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tcPr>
          <w:p w:rsidR="009F749A" w:rsidRPr="00C76622" w:rsidRDefault="009F749A" w:rsidP="00E93FD3">
            <w:pPr>
              <w:pStyle w:val="TableText"/>
              <w:spacing w:before="50" w:after="50"/>
              <w:rPr>
                <w:lang w:eastAsia="en-NZ"/>
              </w:rPr>
            </w:pPr>
            <w:r w:rsidRPr="00C76622">
              <w:rPr>
                <w:lang w:eastAsia="en-NZ"/>
              </w:rPr>
              <w:t>Other</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Default="009F749A" w:rsidP="00541238">
            <w:pPr>
              <w:pStyle w:val="TableText"/>
              <w:jc w:val="center"/>
              <w:rPr>
                <w:lang w:eastAsia="en-NZ"/>
              </w:rPr>
            </w:pPr>
            <w:r w:rsidRPr="0018511B">
              <w:rPr>
                <w:lang w:eastAsia="en-NZ"/>
              </w:rPr>
              <w:t>8</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2</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9F749A" w:rsidP="00541238">
            <w:pPr>
              <w:pStyle w:val="TableText"/>
              <w:jc w:val="center"/>
              <w:rPr>
                <w:lang w:eastAsia="en-NZ"/>
              </w:rPr>
            </w:pPr>
            <w:r w:rsidRPr="00541238">
              <w:rPr>
                <w:lang w:eastAsia="en-NZ"/>
              </w:rPr>
              <w:t>2</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jc w:val="center"/>
              <w:rPr>
                <w:lang w:eastAsia="en-NZ"/>
              </w:rPr>
            </w:pPr>
            <w:r w:rsidRPr="00541238">
              <w:rPr>
                <w:lang w:eastAsia="en-NZ"/>
              </w:rPr>
              <w:t>12</w:t>
            </w:r>
          </w:p>
        </w:tc>
      </w:tr>
      <w:tr w:rsidR="009F749A" w:rsidRPr="00C76622" w:rsidTr="00B0372E">
        <w:tc>
          <w:tcPr>
            <w:tcW w:w="3440" w:type="dxa"/>
            <w:tcBorders>
              <w:top w:val="single" w:sz="4" w:space="0" w:color="005984"/>
              <w:bottom w:val="single" w:sz="4" w:space="0" w:color="005984"/>
              <w:right w:val="single" w:sz="4" w:space="0" w:color="005984"/>
            </w:tcBorders>
            <w:shd w:val="clear" w:color="auto" w:fill="auto"/>
            <w:noWrap/>
            <w:hideMark/>
          </w:tcPr>
          <w:p w:rsidR="009F749A" w:rsidRPr="00C76622" w:rsidRDefault="009F749A" w:rsidP="00E93FD3">
            <w:pPr>
              <w:pStyle w:val="TableText"/>
              <w:spacing w:before="50" w:after="50"/>
              <w:rPr>
                <w:b/>
                <w:bCs/>
                <w:lang w:eastAsia="en-NZ"/>
              </w:rPr>
            </w:pPr>
            <w:r w:rsidRPr="00C76622">
              <w:rPr>
                <w:b/>
                <w:bCs/>
                <w:lang w:eastAsia="en-NZ"/>
              </w:rPr>
              <w:t>TOTAL</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C76622" w:rsidRDefault="00541238" w:rsidP="00541238">
            <w:pPr>
              <w:pStyle w:val="TableText"/>
              <w:spacing w:before="50" w:after="50"/>
              <w:jc w:val="center"/>
              <w:rPr>
                <w:b/>
                <w:lang w:eastAsia="en-NZ"/>
              </w:rPr>
            </w:pPr>
            <w:r>
              <w:rPr>
                <w:b/>
                <w:lang w:eastAsia="en-NZ"/>
              </w:rPr>
              <w:t>114</w:t>
            </w:r>
          </w:p>
        </w:tc>
        <w:tc>
          <w:tcPr>
            <w:tcW w:w="1447"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9F749A" w:rsidRPr="00C76622" w:rsidRDefault="00541238" w:rsidP="00541238">
            <w:pPr>
              <w:pStyle w:val="TableText"/>
              <w:spacing w:before="50" w:after="50"/>
              <w:jc w:val="center"/>
              <w:rPr>
                <w:b/>
                <w:lang w:eastAsia="en-NZ"/>
              </w:rPr>
            </w:pPr>
            <w:r>
              <w:rPr>
                <w:b/>
                <w:lang w:eastAsia="en-NZ"/>
              </w:rPr>
              <w:t>23</w:t>
            </w:r>
          </w:p>
        </w:tc>
        <w:tc>
          <w:tcPr>
            <w:tcW w:w="1447" w:type="dxa"/>
            <w:tcBorders>
              <w:top w:val="single" w:sz="4" w:space="0" w:color="005984"/>
              <w:left w:val="single" w:sz="4" w:space="0" w:color="005984"/>
              <w:bottom w:val="single" w:sz="4" w:space="0" w:color="005984"/>
            </w:tcBorders>
            <w:shd w:val="clear" w:color="auto" w:fill="auto"/>
            <w:noWrap/>
            <w:vAlign w:val="center"/>
          </w:tcPr>
          <w:p w:rsidR="009F749A" w:rsidRPr="00541238" w:rsidRDefault="009F749A" w:rsidP="00541238">
            <w:pPr>
              <w:pStyle w:val="TableText"/>
              <w:spacing w:before="50" w:after="50"/>
              <w:jc w:val="center"/>
              <w:rPr>
                <w:b/>
                <w:lang w:eastAsia="en-NZ"/>
              </w:rPr>
            </w:pPr>
            <w:r w:rsidRPr="00541238">
              <w:rPr>
                <w:b/>
                <w:lang w:eastAsia="en-NZ"/>
              </w:rPr>
              <w:t>15</w:t>
            </w:r>
          </w:p>
        </w:tc>
        <w:tc>
          <w:tcPr>
            <w:tcW w:w="1448" w:type="dxa"/>
            <w:tcBorders>
              <w:top w:val="single" w:sz="4" w:space="0" w:color="005984"/>
              <w:left w:val="single" w:sz="4" w:space="0" w:color="005984"/>
              <w:bottom w:val="single" w:sz="4" w:space="0" w:color="005984"/>
            </w:tcBorders>
            <w:vAlign w:val="center"/>
          </w:tcPr>
          <w:p w:rsidR="009F749A" w:rsidRPr="00541238" w:rsidRDefault="009F749A" w:rsidP="00541238">
            <w:pPr>
              <w:pStyle w:val="TableText"/>
              <w:spacing w:before="50" w:after="50"/>
              <w:jc w:val="center"/>
              <w:rPr>
                <w:b/>
                <w:lang w:eastAsia="en-NZ"/>
              </w:rPr>
            </w:pPr>
            <w:r w:rsidRPr="00541238">
              <w:rPr>
                <w:b/>
                <w:lang w:eastAsia="en-NZ"/>
              </w:rPr>
              <w:t>152</w:t>
            </w:r>
          </w:p>
        </w:tc>
      </w:tr>
    </w:tbl>
    <w:p w:rsidR="00D86050" w:rsidRPr="00C76622" w:rsidRDefault="00D86050" w:rsidP="00D86050">
      <w:pPr>
        <w:pStyle w:val="Figureheading"/>
      </w:pPr>
      <w:bookmarkStart w:id="23" w:name="_Toc462814463"/>
      <w:r w:rsidRPr="00C76622">
        <w:lastRenderedPageBreak/>
        <w:t xml:space="preserve">Figure </w:t>
      </w:r>
      <w:r w:rsidR="00AD5B83">
        <w:t>2</w:t>
      </w:r>
      <w:r w:rsidRPr="00C76622">
        <w:t xml:space="preserve">: </w:t>
      </w:r>
      <w:r w:rsidRPr="00C76622">
        <w:tab/>
      </w:r>
      <w:r w:rsidR="00B556C0">
        <w:t>Submitter</w:t>
      </w:r>
      <w:r w:rsidRPr="00C76622">
        <w:t xml:space="preserve"> positions – </w:t>
      </w:r>
      <w:r w:rsidRPr="00160A13">
        <w:rPr>
          <w:i/>
        </w:rPr>
        <w:t>Do you consider the future cost of emissions in your business planning</w:t>
      </w:r>
      <w:r w:rsidRPr="00C76622">
        <w:rPr>
          <w:i/>
        </w:rPr>
        <w:t>?</w:t>
      </w:r>
      <w:bookmarkEnd w:id="23"/>
    </w:p>
    <w:p w:rsidR="00D86050" w:rsidRPr="00C76622" w:rsidRDefault="00D04EEC" w:rsidP="00113656">
      <w:pPr>
        <w:pStyle w:val="BodyText"/>
        <w:spacing w:before="60"/>
        <w:jc w:val="center"/>
      </w:pPr>
      <w:r>
        <w:rPr>
          <w:noProof/>
          <w:lang w:eastAsia="en-NZ"/>
        </w:rPr>
        <w:drawing>
          <wp:inline distT="0" distB="0" distL="0" distR="0" wp14:anchorId="6242D766" wp14:editId="394E5832">
            <wp:extent cx="5407660" cy="27495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7660" cy="2749550"/>
                    </a:xfrm>
                    <a:prstGeom prst="rect">
                      <a:avLst/>
                    </a:prstGeom>
                    <a:noFill/>
                  </pic:spPr>
                </pic:pic>
              </a:graphicData>
            </a:graphic>
          </wp:inline>
        </w:drawing>
      </w:r>
    </w:p>
    <w:p w:rsidR="00D86050" w:rsidRPr="00C76622" w:rsidRDefault="0040636D" w:rsidP="00D86050">
      <w:pPr>
        <w:pStyle w:val="Heading2"/>
        <w:spacing w:before="240"/>
      </w:pPr>
      <w:bookmarkStart w:id="24" w:name="_Toc463270123"/>
      <w:r>
        <w:t>4</w:t>
      </w:r>
      <w:r w:rsidR="00D86050">
        <w:t xml:space="preserve">.2 </w:t>
      </w:r>
      <w:r w:rsidR="00D86050">
        <w:tab/>
        <w:t xml:space="preserve">What would improve your ability to take into account the future cost of emissions in your business planning? </w:t>
      </w:r>
      <w:r w:rsidR="00D86050" w:rsidRPr="00C76622">
        <w:t xml:space="preserve">(Question </w:t>
      </w:r>
      <w:r w:rsidR="00D86050">
        <w:t>10</w:t>
      </w:r>
      <w:r w:rsidR="00D86050" w:rsidRPr="00C76622">
        <w:t>)</w:t>
      </w:r>
      <w:bookmarkEnd w:id="24"/>
    </w:p>
    <w:p w:rsidR="00D86050" w:rsidRPr="005D498C" w:rsidRDefault="00D86050" w:rsidP="00B8466E">
      <w:r w:rsidRPr="005D498C">
        <w:t xml:space="preserve">In total, 143 submitters provided information on </w:t>
      </w:r>
      <w:r w:rsidR="005971B4">
        <w:t>how they c</w:t>
      </w:r>
      <w:r w:rsidR="00612B5C">
        <w:t>ould</w:t>
      </w:r>
      <w:r w:rsidR="005971B4">
        <w:t xml:space="preserve"> better take</w:t>
      </w:r>
      <w:r>
        <w:t xml:space="preserve"> </w:t>
      </w:r>
      <w:r w:rsidRPr="005D498C">
        <w:t>future cost of emissions into account in their</w:t>
      </w:r>
      <w:r>
        <w:t xml:space="preserve"> business planning. </w:t>
      </w:r>
    </w:p>
    <w:p w:rsidR="00D86050" w:rsidRPr="00B8466E" w:rsidRDefault="00D86050" w:rsidP="00B8466E">
      <w:pPr>
        <w:pStyle w:val="Heading4"/>
      </w:pPr>
      <w:r w:rsidRPr="00B8466E">
        <w:t xml:space="preserve">Increased certainty about the </w:t>
      </w:r>
      <w:r w:rsidR="005971B4">
        <w:t>New Zealand Emissions Trading Scheme</w:t>
      </w:r>
      <w:r w:rsidR="005971B4" w:rsidRPr="00B8466E">
        <w:t xml:space="preserve"> </w:t>
      </w:r>
      <w:r w:rsidR="005971B4">
        <w:t>(</w:t>
      </w:r>
      <w:r w:rsidRPr="00B8466E">
        <w:t>NZ ETS</w:t>
      </w:r>
      <w:r w:rsidR="005971B4">
        <w:t>)</w:t>
      </w:r>
    </w:p>
    <w:p w:rsidR="00D86050" w:rsidRDefault="00D86050" w:rsidP="00B8466E">
      <w:r>
        <w:t>A large number of submitters thought that more certainty</w:t>
      </w:r>
      <w:r w:rsidR="00612B5C">
        <w:t xml:space="preserve"> or predictability</w:t>
      </w:r>
      <w:r>
        <w:t xml:space="preserve"> in general about the NZ ETS would help them take the future cost of emission</w:t>
      </w:r>
      <w:r w:rsidR="005971B4">
        <w:t>s</w:t>
      </w:r>
      <w:r>
        <w:t xml:space="preserve"> into account when making business decisions. Some of these submitters provided specific suggestions for increasing certainty about the NZ ETS, such as more predictability about the future regulatory framework</w:t>
      </w:r>
      <w:r w:rsidR="005971B4">
        <w:t>,</w:t>
      </w:r>
      <w:r>
        <w:t xml:space="preserve"> or asking for the development of a long</w:t>
      </w:r>
      <w:r w:rsidR="005971B4">
        <w:t>-</w:t>
      </w:r>
      <w:r>
        <w:t>term plan for climate change.</w:t>
      </w:r>
    </w:p>
    <w:p w:rsidR="00D86050" w:rsidRPr="00CB33F4" w:rsidRDefault="00D86050" w:rsidP="00612B5C">
      <w:pPr>
        <w:ind w:left="567" w:right="567"/>
        <w:rPr>
          <w:sz w:val="21"/>
          <w:szCs w:val="21"/>
        </w:rPr>
      </w:pPr>
      <w:r w:rsidRPr="00CB33F4">
        <w:rPr>
          <w:sz w:val="21"/>
          <w:szCs w:val="21"/>
        </w:rPr>
        <w:t>“Business cannot expect certainty […] what businesses want is predictability and stability of the conditions and frameworks in which they operate so they can plan with greater confidence, knowing that the assumptions they make about the future are broadly likely to hold.” (Business N</w:t>
      </w:r>
      <w:r w:rsidR="001D657A">
        <w:rPr>
          <w:sz w:val="21"/>
          <w:szCs w:val="21"/>
        </w:rPr>
        <w:t xml:space="preserve">ew </w:t>
      </w:r>
      <w:r w:rsidRPr="00CB33F4">
        <w:rPr>
          <w:sz w:val="21"/>
          <w:szCs w:val="21"/>
        </w:rPr>
        <w:t>Z</w:t>
      </w:r>
      <w:r w:rsidR="001D657A">
        <w:rPr>
          <w:sz w:val="21"/>
          <w:szCs w:val="21"/>
        </w:rPr>
        <w:t>ealand</w:t>
      </w:r>
      <w:r w:rsidRPr="00CB33F4">
        <w:rPr>
          <w:sz w:val="21"/>
          <w:szCs w:val="21"/>
        </w:rPr>
        <w:t xml:space="preserve">, </w:t>
      </w:r>
      <w:r w:rsidR="001D657A">
        <w:rPr>
          <w:sz w:val="21"/>
          <w:szCs w:val="21"/>
        </w:rPr>
        <w:t>00131</w:t>
      </w:r>
      <w:r w:rsidRPr="00CB33F4">
        <w:rPr>
          <w:sz w:val="21"/>
          <w:szCs w:val="21"/>
        </w:rPr>
        <w:t>)</w:t>
      </w:r>
    </w:p>
    <w:p w:rsidR="00D86050" w:rsidRPr="00295DEC" w:rsidRDefault="00D86050" w:rsidP="00B8466E">
      <w:r w:rsidRPr="00295DEC">
        <w:t xml:space="preserve">Some submitters also stated that increased </w:t>
      </w:r>
      <w:r w:rsidR="00295DEC" w:rsidRPr="00295DEC">
        <w:t>predictability</w:t>
      </w:r>
      <w:r w:rsidRPr="00295DEC">
        <w:t xml:space="preserve"> </w:t>
      </w:r>
      <w:r w:rsidR="00295DEC" w:rsidRPr="00295DEC">
        <w:t xml:space="preserve">of </w:t>
      </w:r>
      <w:r w:rsidRPr="00295DEC">
        <w:t xml:space="preserve">NZ ETS </w:t>
      </w:r>
      <w:r w:rsidR="00295DEC" w:rsidRPr="00295DEC">
        <w:t xml:space="preserve">rules </w:t>
      </w:r>
      <w:r w:rsidRPr="00295DEC">
        <w:t>would improve the scheme’s stability and the ability of businesses to take the cost of emissions into account. A small number of submitters also suggested that more signs from Government that action on climate change would be taken would help with incorporating the cost of emissions into business planning.</w:t>
      </w:r>
    </w:p>
    <w:p w:rsidR="00D86050" w:rsidRPr="006B07FC" w:rsidRDefault="00D86050" w:rsidP="006B07FC">
      <w:pPr>
        <w:ind w:left="567" w:right="567"/>
        <w:rPr>
          <w:sz w:val="21"/>
          <w:szCs w:val="21"/>
        </w:rPr>
      </w:pPr>
      <w:proofErr w:type="gramStart"/>
      <w:r w:rsidRPr="006B07FC">
        <w:rPr>
          <w:sz w:val="21"/>
          <w:szCs w:val="21"/>
        </w:rPr>
        <w:t>“More stability around the ETS rules and less political influence.”</w:t>
      </w:r>
      <w:proofErr w:type="gramEnd"/>
      <w:r w:rsidRPr="006B07FC">
        <w:rPr>
          <w:sz w:val="21"/>
          <w:szCs w:val="21"/>
        </w:rPr>
        <w:t xml:space="preserve"> (Forest Management NZ Ltd, </w:t>
      </w:r>
      <w:r w:rsidR="00091D85">
        <w:rPr>
          <w:sz w:val="21"/>
          <w:szCs w:val="21"/>
        </w:rPr>
        <w:t>05007</w:t>
      </w:r>
      <w:r w:rsidRPr="006B07FC">
        <w:rPr>
          <w:sz w:val="21"/>
          <w:szCs w:val="21"/>
        </w:rPr>
        <w:t>)</w:t>
      </w:r>
    </w:p>
    <w:p w:rsidR="00D86050" w:rsidRPr="006B07FC" w:rsidRDefault="00D86050" w:rsidP="00F72BD2">
      <w:pPr>
        <w:ind w:left="567" w:right="567"/>
        <w:rPr>
          <w:sz w:val="21"/>
          <w:szCs w:val="21"/>
        </w:rPr>
      </w:pPr>
      <w:r w:rsidRPr="006B07FC">
        <w:rPr>
          <w:sz w:val="21"/>
          <w:szCs w:val="21"/>
        </w:rPr>
        <w:t xml:space="preserve">“Certainty of NZ ETS settings, and reduced politicisation of scheme details, through greater cross-party agreement, </w:t>
      </w:r>
      <w:proofErr w:type="gramStart"/>
      <w:r w:rsidRPr="006B07FC">
        <w:rPr>
          <w:sz w:val="21"/>
          <w:szCs w:val="21"/>
        </w:rPr>
        <w:t>are</w:t>
      </w:r>
      <w:proofErr w:type="gramEnd"/>
      <w:r w:rsidRPr="006B07FC">
        <w:rPr>
          <w:sz w:val="21"/>
          <w:szCs w:val="21"/>
        </w:rPr>
        <w:t xml:space="preserve"> essential in order to maintain and encourage investment in low-carbon alternative fuels and technologies.”  (Z Energy</w:t>
      </w:r>
      <w:r w:rsidR="00F72BD2">
        <w:rPr>
          <w:sz w:val="21"/>
          <w:szCs w:val="21"/>
        </w:rPr>
        <w:t xml:space="preserve"> Limited</w:t>
      </w:r>
      <w:r w:rsidRPr="006B07FC">
        <w:rPr>
          <w:sz w:val="21"/>
          <w:szCs w:val="21"/>
        </w:rPr>
        <w:t xml:space="preserve">, </w:t>
      </w:r>
      <w:r w:rsidR="00F72BD2">
        <w:rPr>
          <w:sz w:val="21"/>
          <w:szCs w:val="21"/>
        </w:rPr>
        <w:t>00079</w:t>
      </w:r>
      <w:r w:rsidRPr="006B07FC">
        <w:rPr>
          <w:sz w:val="21"/>
          <w:szCs w:val="21"/>
        </w:rPr>
        <w:t>)</w:t>
      </w:r>
    </w:p>
    <w:p w:rsidR="00D86050" w:rsidRDefault="00D86050" w:rsidP="00D86050">
      <w:pPr>
        <w:pStyle w:val="Heading4"/>
      </w:pPr>
      <w:r>
        <w:lastRenderedPageBreak/>
        <w:t>A stable carbon price</w:t>
      </w:r>
    </w:p>
    <w:p w:rsidR="00D86050" w:rsidRDefault="00D86050" w:rsidP="00D86050">
      <w:r>
        <w:t>A number of submitters commented that reduce</w:t>
      </w:r>
      <w:r w:rsidR="005971B4">
        <w:t>d</w:t>
      </w:r>
      <w:r>
        <w:t xml:space="preserve"> price volatility would help them take the future cost of emissions into account when making business decisions, with some of these submitters referring to the impacts of the previous fall in the NZU price. A number of submitters commented that having confidence in a long</w:t>
      </w:r>
      <w:r w:rsidR="005971B4">
        <w:t>-</w:t>
      </w:r>
      <w:r>
        <w:t>term, stable carbon price was the most important aspect for incorporating the cost of emissions into their business planning.</w:t>
      </w:r>
    </w:p>
    <w:p w:rsidR="00D86050" w:rsidRPr="006B07FC" w:rsidRDefault="00D86050" w:rsidP="006B07FC">
      <w:pPr>
        <w:ind w:left="567" w:right="567"/>
        <w:rPr>
          <w:sz w:val="21"/>
          <w:szCs w:val="21"/>
        </w:rPr>
      </w:pPr>
      <w:r w:rsidRPr="006B07FC">
        <w:rPr>
          <w:sz w:val="21"/>
          <w:szCs w:val="21"/>
        </w:rPr>
        <w:t xml:space="preserve"> “The Dunedin City Council considers all significant financial costs in the context of its Long Term Plan, and carbon price certainty would assist the planning process.” (Dunedin City Council, </w:t>
      </w:r>
      <w:r w:rsidR="00ED2C81">
        <w:rPr>
          <w:sz w:val="21"/>
          <w:szCs w:val="21"/>
        </w:rPr>
        <w:t>04013</w:t>
      </w:r>
      <w:r w:rsidRPr="006B07FC">
        <w:rPr>
          <w:sz w:val="21"/>
          <w:szCs w:val="21"/>
        </w:rPr>
        <w:t>)</w:t>
      </w:r>
    </w:p>
    <w:p w:rsidR="00D86050" w:rsidRPr="006B07FC" w:rsidRDefault="00D86050" w:rsidP="006B07FC">
      <w:pPr>
        <w:ind w:left="567" w:right="567"/>
        <w:rPr>
          <w:sz w:val="21"/>
          <w:szCs w:val="21"/>
        </w:rPr>
      </w:pPr>
      <w:r w:rsidRPr="006B07FC">
        <w:rPr>
          <w:sz w:val="21"/>
          <w:szCs w:val="21"/>
        </w:rPr>
        <w:t>“Som</w:t>
      </w:r>
      <w:r w:rsidR="00AF4799" w:rsidRPr="006B07FC">
        <w:rPr>
          <w:sz w:val="21"/>
          <w:szCs w:val="21"/>
        </w:rPr>
        <w:t>e</w:t>
      </w:r>
      <w:r w:rsidRPr="006B07FC">
        <w:rPr>
          <w:sz w:val="21"/>
          <w:szCs w:val="21"/>
        </w:rPr>
        <w:t>, processors have attempted to use future emissions costs as part of their justification for energy efficiency programmes. However, those processors have found that uncertainty and great volatility in the cost for carbon emissions has meant that it is not possible to take into account the future cost of emissions in business planning.” (</w:t>
      </w:r>
      <w:proofErr w:type="spellStart"/>
      <w:r w:rsidRPr="006B07FC">
        <w:rPr>
          <w:sz w:val="21"/>
          <w:szCs w:val="21"/>
        </w:rPr>
        <w:t>Beef+Lamb</w:t>
      </w:r>
      <w:proofErr w:type="spellEnd"/>
      <w:r w:rsidRPr="006B07FC">
        <w:rPr>
          <w:sz w:val="21"/>
          <w:szCs w:val="21"/>
        </w:rPr>
        <w:t xml:space="preserve"> New Zealand, Deer Industry New Zealand and Meat Industry Association, </w:t>
      </w:r>
      <w:r w:rsidR="00ED2C81">
        <w:rPr>
          <w:sz w:val="21"/>
          <w:szCs w:val="21"/>
        </w:rPr>
        <w:t>00134</w:t>
      </w:r>
      <w:r w:rsidRPr="006B07FC">
        <w:rPr>
          <w:sz w:val="21"/>
          <w:szCs w:val="21"/>
        </w:rPr>
        <w:t>)</w:t>
      </w:r>
    </w:p>
    <w:p w:rsidR="00D86050" w:rsidRPr="006A7291" w:rsidRDefault="00D86050" w:rsidP="00D86050">
      <w:pPr>
        <w:pStyle w:val="Heading4"/>
      </w:pPr>
      <w:r>
        <w:t>More i</w:t>
      </w:r>
      <w:r w:rsidRPr="006A7291">
        <w:t>nformation</w:t>
      </w:r>
    </w:p>
    <w:p w:rsidR="00C61C05" w:rsidRDefault="00D86050" w:rsidP="00D86050">
      <w:pPr>
        <w:pStyle w:val="BodyText"/>
      </w:pPr>
      <w:r w:rsidRPr="00833378">
        <w:t>A number of submitters stated that providing more market information would improve</w:t>
      </w:r>
      <w:r w:rsidR="005971B4" w:rsidRPr="00833378">
        <w:t xml:space="preserve"> the ability of</w:t>
      </w:r>
      <w:r w:rsidRPr="00833378">
        <w:t xml:space="preserve"> business</w:t>
      </w:r>
      <w:r w:rsidR="005971B4" w:rsidRPr="00833378">
        <w:t xml:space="preserve">es </w:t>
      </w:r>
      <w:r w:rsidRPr="00833378">
        <w:t>to account for the cost of emissions when planning.</w:t>
      </w:r>
      <w:r w:rsidR="00375294" w:rsidRPr="00833378">
        <w:t xml:space="preserve"> </w:t>
      </w:r>
      <w:r w:rsidR="00ED5228" w:rsidRPr="00833378">
        <w:t>Some submitters</w:t>
      </w:r>
      <w:r w:rsidR="00ED5228">
        <w:t xml:space="preserve"> thought that providing more detailed or regular information about the NZ ETS would allow businesses to more easily take the cost of emissions into account when making investment decisions. These submitters often provided suggestions about the types of information they would find helpful, for </w:t>
      </w:r>
      <w:r w:rsidR="00807790">
        <w:t>example detailed</w:t>
      </w:r>
      <w:r w:rsidR="00ED5228">
        <w:t xml:space="preserve"> carbon market </w:t>
      </w:r>
      <w:r w:rsidR="00807790">
        <w:t>data.</w:t>
      </w:r>
      <w:r w:rsidR="00ED5228">
        <w:t xml:space="preserve">   </w:t>
      </w:r>
    </w:p>
    <w:p w:rsidR="00D86050" w:rsidRPr="006B07FC" w:rsidRDefault="00D86050" w:rsidP="006B07FC">
      <w:pPr>
        <w:ind w:left="567" w:right="567"/>
        <w:rPr>
          <w:sz w:val="21"/>
          <w:szCs w:val="21"/>
        </w:rPr>
      </w:pPr>
      <w:r w:rsidRPr="006B07FC">
        <w:rPr>
          <w:sz w:val="21"/>
          <w:szCs w:val="21"/>
        </w:rPr>
        <w:t xml:space="preserve">“Further assistance could also be provided by Government for businesses through consultants who may help businesses identify ways they can reduce their ETS expenses (and thus emissions).” (McGuiness Institute, </w:t>
      </w:r>
      <w:r w:rsidR="00ED2C81">
        <w:rPr>
          <w:sz w:val="21"/>
          <w:szCs w:val="21"/>
        </w:rPr>
        <w:t>05023</w:t>
      </w:r>
      <w:r w:rsidRPr="006B07FC">
        <w:rPr>
          <w:sz w:val="21"/>
          <w:szCs w:val="21"/>
        </w:rPr>
        <w:t>)</w:t>
      </w:r>
    </w:p>
    <w:p w:rsidR="00D86050" w:rsidRPr="006B07FC" w:rsidRDefault="00D86050" w:rsidP="006B07FC">
      <w:pPr>
        <w:ind w:left="567" w:right="567"/>
        <w:rPr>
          <w:sz w:val="21"/>
          <w:szCs w:val="21"/>
        </w:rPr>
      </w:pPr>
      <w:r w:rsidRPr="006B07FC">
        <w:rPr>
          <w:sz w:val="21"/>
          <w:szCs w:val="21"/>
        </w:rPr>
        <w:t xml:space="preserve">“There are currently no sufficiently active forward markets with respect to carbon prices to provide clarity about the future price of carbon units. This makes forecasting future carbon obligations or managing price risk difficult. This is exacerbated by the absence of international carbon markets that have the depth and scale to support futures/forwards markets. Without a credible basis for forecasting carbon prices and the ability to manage risk through futures/forward markets, investment decisions driven by mitigation of carbon liabilities are difficult to make.” (The Todd Corporation, </w:t>
      </w:r>
      <w:r w:rsidR="00FF52FE">
        <w:rPr>
          <w:sz w:val="21"/>
          <w:szCs w:val="21"/>
        </w:rPr>
        <w:t>00200</w:t>
      </w:r>
      <w:r w:rsidRPr="006B07FC">
        <w:rPr>
          <w:sz w:val="21"/>
          <w:szCs w:val="21"/>
        </w:rPr>
        <w:t>)</w:t>
      </w:r>
    </w:p>
    <w:p w:rsidR="006A5029" w:rsidRDefault="00375294">
      <w:pPr>
        <w:spacing w:before="0" w:after="0"/>
        <w:rPr>
          <w:b/>
          <w:bCs/>
          <w:color w:val="005984"/>
          <w:sz w:val="36"/>
          <w:szCs w:val="36"/>
        </w:rPr>
      </w:pPr>
      <w:r w:rsidDel="00375294">
        <w:t xml:space="preserve"> </w:t>
      </w:r>
      <w:r w:rsidR="006A5029">
        <w:br w:type="page"/>
      </w:r>
    </w:p>
    <w:p w:rsidR="00D215C5" w:rsidRDefault="0040636D" w:rsidP="00D215C5">
      <w:pPr>
        <w:pStyle w:val="Heading1"/>
      </w:pPr>
      <w:bookmarkStart w:id="25" w:name="_Toc463270124"/>
      <w:r>
        <w:lastRenderedPageBreak/>
        <w:t>5</w:t>
      </w:r>
      <w:r w:rsidR="00D215C5">
        <w:t xml:space="preserve">. </w:t>
      </w:r>
      <w:r w:rsidR="00D215C5">
        <w:tab/>
        <w:t>Protecting competitiveness through free allocation</w:t>
      </w:r>
      <w:bookmarkEnd w:id="19"/>
      <w:bookmarkEnd w:id="25"/>
    </w:p>
    <w:p w:rsidR="00D215C5" w:rsidRDefault="0040636D" w:rsidP="007931B6">
      <w:pPr>
        <w:pStyle w:val="Heading2"/>
        <w:spacing w:before="240" w:after="120"/>
      </w:pPr>
      <w:bookmarkStart w:id="26" w:name="_Toc456013877"/>
      <w:bookmarkStart w:id="27" w:name="_Toc463270125"/>
      <w:r>
        <w:t>5</w:t>
      </w:r>
      <w:r w:rsidR="00D215C5">
        <w:t xml:space="preserve">.1 </w:t>
      </w:r>
      <w:r w:rsidR="00D215C5">
        <w:tab/>
        <w:t xml:space="preserve">Under what conditions should free allocation rates start to be reduced after 2020? </w:t>
      </w:r>
      <w:r w:rsidR="00D215C5" w:rsidRPr="00C76622">
        <w:t xml:space="preserve">(Question </w:t>
      </w:r>
      <w:r w:rsidR="00D215C5">
        <w:t>11</w:t>
      </w:r>
      <w:r w:rsidR="00D215C5" w:rsidRPr="00C76622">
        <w:t>)</w:t>
      </w:r>
      <w:bookmarkEnd w:id="26"/>
      <w:bookmarkEnd w:id="27"/>
    </w:p>
    <w:tbl>
      <w:tblPr>
        <w:tblW w:w="8519" w:type="dxa"/>
        <w:tblInd w:w="57"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DEEAF6"/>
        <w:tblLook w:val="04A0" w:firstRow="1" w:lastRow="0" w:firstColumn="1" w:lastColumn="0" w:noHBand="0" w:noVBand="1"/>
      </w:tblPr>
      <w:tblGrid>
        <w:gridCol w:w="8519"/>
      </w:tblGrid>
      <w:tr w:rsidR="005506E6" w:rsidRPr="00C76622" w:rsidTr="00837A1C">
        <w:trPr>
          <w:trHeight w:val="1219"/>
        </w:trPr>
        <w:tc>
          <w:tcPr>
            <w:tcW w:w="8519" w:type="dxa"/>
            <w:shd w:val="clear" w:color="auto" w:fill="DEEAF6"/>
          </w:tcPr>
          <w:p w:rsidR="005506E6" w:rsidRPr="002E6530" w:rsidRDefault="005506E6" w:rsidP="00837A1C">
            <w:pPr>
              <w:pStyle w:val="BodyText"/>
              <w:spacing w:before="240"/>
              <w:jc w:val="both"/>
              <w:rPr>
                <w:sz w:val="20"/>
                <w:szCs w:val="20"/>
              </w:rPr>
            </w:pPr>
            <w:r w:rsidRPr="002E6530">
              <w:rPr>
                <w:sz w:val="20"/>
                <w:szCs w:val="20"/>
              </w:rPr>
              <w:t xml:space="preserve">The Government provides free allocation of </w:t>
            </w:r>
            <w:r w:rsidR="005971B4">
              <w:rPr>
                <w:sz w:val="20"/>
                <w:szCs w:val="20"/>
              </w:rPr>
              <w:t>New Zealand Units (</w:t>
            </w:r>
            <w:r w:rsidRPr="002E6530">
              <w:rPr>
                <w:sz w:val="20"/>
                <w:szCs w:val="20"/>
              </w:rPr>
              <w:t>NZUs</w:t>
            </w:r>
            <w:r w:rsidR="005971B4">
              <w:rPr>
                <w:sz w:val="20"/>
                <w:szCs w:val="20"/>
              </w:rPr>
              <w:t>)</w:t>
            </w:r>
            <w:r w:rsidRPr="002E6530">
              <w:rPr>
                <w:sz w:val="20"/>
                <w:szCs w:val="20"/>
              </w:rPr>
              <w:t xml:space="preserve"> to firms engaged in activities that are both emissions intensive and trade exposed. This is to prevent </w:t>
            </w:r>
            <w:r w:rsidR="005971B4">
              <w:rPr>
                <w:sz w:val="20"/>
                <w:szCs w:val="20"/>
              </w:rPr>
              <w:t>New Zealand Emissions Trading Scheme (</w:t>
            </w:r>
            <w:r w:rsidRPr="002E6530">
              <w:rPr>
                <w:sz w:val="20"/>
                <w:szCs w:val="20"/>
              </w:rPr>
              <w:t>NZ ETS</w:t>
            </w:r>
            <w:r w:rsidR="005971B4">
              <w:rPr>
                <w:sz w:val="20"/>
                <w:szCs w:val="20"/>
              </w:rPr>
              <w:t>)</w:t>
            </w:r>
            <w:r w:rsidRPr="002E6530">
              <w:rPr>
                <w:sz w:val="20"/>
                <w:szCs w:val="20"/>
              </w:rPr>
              <w:t xml:space="preserve"> costs from affecting international competitiveness, and to prevent the relocation of production to countries that do not have carbon pricing. </w:t>
            </w:r>
          </w:p>
          <w:p w:rsidR="005506E6" w:rsidRPr="00C10D0B" w:rsidRDefault="005506E6" w:rsidP="005971B4">
            <w:pPr>
              <w:pStyle w:val="BodyText"/>
              <w:spacing w:before="240"/>
              <w:jc w:val="both"/>
            </w:pPr>
            <w:r w:rsidRPr="002E6530">
              <w:rPr>
                <w:sz w:val="20"/>
                <w:szCs w:val="20"/>
              </w:rPr>
              <w:t>The Government supports continuing the free allocation regime until at least 2020.</w:t>
            </w:r>
            <w:r w:rsidR="005971B4">
              <w:rPr>
                <w:sz w:val="20"/>
                <w:szCs w:val="20"/>
              </w:rPr>
              <w:t>T</w:t>
            </w:r>
            <w:r w:rsidRPr="002E6530">
              <w:rPr>
                <w:sz w:val="20"/>
                <w:szCs w:val="20"/>
              </w:rPr>
              <w:t>here is</w:t>
            </w:r>
            <w:r w:rsidR="005971B4">
              <w:rPr>
                <w:sz w:val="20"/>
                <w:szCs w:val="20"/>
              </w:rPr>
              <w:t>, however,</w:t>
            </w:r>
            <w:r w:rsidRPr="002E6530">
              <w:rPr>
                <w:sz w:val="20"/>
                <w:szCs w:val="20"/>
              </w:rPr>
              <w:t xml:space="preserve"> a lack of clarity about the future of the free allocation regime, which may be a source of regulatory uncertainty.</w:t>
            </w:r>
          </w:p>
        </w:tc>
      </w:tr>
    </w:tbl>
    <w:p w:rsidR="00D36F41" w:rsidRDefault="00D36F41" w:rsidP="00A52D05">
      <w:r>
        <w:t>One hundred and forty-eight</w:t>
      </w:r>
      <w:r w:rsidRPr="00CA294B">
        <w:t xml:space="preserve"> submitters </w:t>
      </w:r>
      <w:r w:rsidRPr="00C76622">
        <w:t>(</w:t>
      </w:r>
      <w:r w:rsidR="00C2449D">
        <w:t>approximately</w:t>
      </w:r>
      <w:r>
        <w:t xml:space="preserve"> 45</w:t>
      </w:r>
      <w:r w:rsidRPr="00C76622">
        <w:t xml:space="preserve"> </w:t>
      </w:r>
      <w:r>
        <w:t>per cent of all submitters</w:t>
      </w:r>
      <w:r w:rsidRPr="00C76622">
        <w:t xml:space="preserve">) </w:t>
      </w:r>
      <w:r>
        <w:t xml:space="preserve">responded to this question. </w:t>
      </w:r>
    </w:p>
    <w:p w:rsidR="00382623" w:rsidRDefault="00382623" w:rsidP="007931B6">
      <w:pPr>
        <w:pStyle w:val="Heading4"/>
      </w:pPr>
      <w:r>
        <w:t>Allocation should be reduced regardless of conditions</w:t>
      </w:r>
    </w:p>
    <w:p w:rsidR="00D215C5" w:rsidRDefault="00D215C5" w:rsidP="00B8466E">
      <w:r w:rsidRPr="003222B8">
        <w:t>A</w:t>
      </w:r>
      <w:r w:rsidR="001177EF">
        <w:t>pprox</w:t>
      </w:r>
      <w:r w:rsidR="00271D16">
        <w:t>imately</w:t>
      </w:r>
      <w:r w:rsidRPr="003222B8">
        <w:t xml:space="preserve"> 45 </w:t>
      </w:r>
      <w:r w:rsidR="008E24E1">
        <w:t>per cent</w:t>
      </w:r>
      <w:r w:rsidRPr="003222B8">
        <w:t xml:space="preserve"> of </w:t>
      </w:r>
      <w:r w:rsidR="00BF0F65">
        <w:t xml:space="preserve">these </w:t>
      </w:r>
      <w:r w:rsidRPr="003222B8">
        <w:t>submitters</w:t>
      </w:r>
      <w:r>
        <w:t xml:space="preserve"> thought that free allocation rates should be reduced </w:t>
      </w:r>
      <w:r w:rsidRPr="00BF0F65">
        <w:t>regardless</w:t>
      </w:r>
      <w:r>
        <w:t xml:space="preserve"> of conditions. </w:t>
      </w:r>
      <w:r w:rsidR="00BF0F65">
        <w:t>Although the question in the discussion document was focused on conditions for reducing free allocation after 2020, m</w:t>
      </w:r>
      <w:r>
        <w:t>any submitters suggested the phase down should start before 2020</w:t>
      </w:r>
      <w:r w:rsidR="00CB4AC3">
        <w:t>,</w:t>
      </w:r>
      <w:r>
        <w:t xml:space="preserve"> or as soon as possible. This answer was </w:t>
      </w:r>
      <w:r w:rsidR="00BF0F65">
        <w:t>provided</w:t>
      </w:r>
      <w:r>
        <w:t xml:space="preserve"> by several submitters from </w:t>
      </w:r>
      <w:r w:rsidR="00CB4AC3">
        <w:t>non-government organisations (</w:t>
      </w:r>
      <w:r>
        <w:t>NGOs</w:t>
      </w:r>
      <w:r w:rsidR="00CB4AC3">
        <w:t>)</w:t>
      </w:r>
      <w:r>
        <w:t xml:space="preserve"> and community groups, the forestry sector and individuals.</w:t>
      </w:r>
    </w:p>
    <w:p w:rsidR="00784FBE" w:rsidRDefault="00D215C5" w:rsidP="00B8466E">
      <w:r w:rsidRPr="00833378">
        <w:t xml:space="preserve">A key theme across </w:t>
      </w:r>
      <w:r w:rsidR="003A3EEA" w:rsidRPr="00833378">
        <w:t xml:space="preserve">submitters </w:t>
      </w:r>
      <w:r w:rsidR="00DE20CF" w:rsidRPr="00833378">
        <w:t xml:space="preserve">who </w:t>
      </w:r>
      <w:r w:rsidR="003A3EEA" w:rsidRPr="00833378">
        <w:t xml:space="preserve">thought free allocation should be reduced </w:t>
      </w:r>
      <w:r w:rsidRPr="00833378">
        <w:t xml:space="preserve">before 2020 was that reducing free allocation would </w:t>
      </w:r>
      <w:r w:rsidR="005963AF" w:rsidRPr="00833378">
        <w:t xml:space="preserve">improve </w:t>
      </w:r>
      <w:r w:rsidRPr="00833378">
        <w:t xml:space="preserve">the effectiveness of the NZ ETS, increase emission reductions and encourage investment in low emissions technologies. Several of these submitters also noted the impact </w:t>
      </w:r>
      <w:r w:rsidR="003A3EEA" w:rsidRPr="00833378">
        <w:t>on</w:t>
      </w:r>
      <w:r w:rsidRPr="00833378">
        <w:t xml:space="preserve"> taxpayers and other sectors of continuing free allocation.</w:t>
      </w:r>
    </w:p>
    <w:p w:rsidR="00D215C5" w:rsidRPr="006B07FC" w:rsidRDefault="00B8466E" w:rsidP="006B07FC">
      <w:pPr>
        <w:ind w:left="567" w:right="567"/>
        <w:rPr>
          <w:sz w:val="21"/>
          <w:szCs w:val="21"/>
        </w:rPr>
      </w:pPr>
      <w:r w:rsidRPr="006B07FC">
        <w:rPr>
          <w:sz w:val="21"/>
          <w:szCs w:val="21"/>
        </w:rPr>
        <w:t>“</w:t>
      </w:r>
      <w:r w:rsidR="00D215C5" w:rsidRPr="006B07FC">
        <w:rPr>
          <w:sz w:val="21"/>
          <w:szCs w:val="21"/>
        </w:rPr>
        <w:t>We support reducing free allocation rates after 2020 regardless of other policy changes. Free allocation to emitters in specific sectors is likely to distort investment decisions, potentially locking New Zealand in to an emission-intensive economy on an ongoing basis. This may result in economic risks in the future: as other countries adopt higher carbon prices, New Zealand’s export competitiveness may be placed at risk.</w:t>
      </w:r>
      <w:r w:rsidRPr="006B07FC">
        <w:rPr>
          <w:sz w:val="21"/>
          <w:szCs w:val="21"/>
        </w:rPr>
        <w:t>”</w:t>
      </w:r>
      <w:r w:rsidR="00D215C5" w:rsidRPr="006B07FC">
        <w:rPr>
          <w:sz w:val="21"/>
          <w:szCs w:val="21"/>
        </w:rPr>
        <w:t xml:space="preserve"> </w:t>
      </w:r>
      <w:r w:rsidR="00470A07" w:rsidRPr="006B07FC">
        <w:rPr>
          <w:sz w:val="21"/>
          <w:szCs w:val="21"/>
        </w:rPr>
        <w:t>(</w:t>
      </w:r>
      <w:proofErr w:type="spellStart"/>
      <w:r w:rsidR="00D215C5" w:rsidRPr="006B07FC">
        <w:rPr>
          <w:sz w:val="21"/>
          <w:szCs w:val="21"/>
        </w:rPr>
        <w:t>MRCagney</w:t>
      </w:r>
      <w:proofErr w:type="spellEnd"/>
      <w:r w:rsidR="00D215C5" w:rsidRPr="006B07FC">
        <w:rPr>
          <w:sz w:val="21"/>
          <w:szCs w:val="21"/>
        </w:rPr>
        <w:t xml:space="preserve"> Pty Limited</w:t>
      </w:r>
      <w:r w:rsidR="00470A07" w:rsidRPr="006B07FC">
        <w:rPr>
          <w:sz w:val="21"/>
          <w:szCs w:val="21"/>
        </w:rPr>
        <w:t xml:space="preserve">, </w:t>
      </w:r>
      <w:r w:rsidR="00FF52FE">
        <w:rPr>
          <w:sz w:val="21"/>
          <w:szCs w:val="21"/>
        </w:rPr>
        <w:t>00099</w:t>
      </w:r>
      <w:r w:rsidR="00470A07" w:rsidRPr="006B07FC">
        <w:rPr>
          <w:sz w:val="21"/>
          <w:szCs w:val="21"/>
        </w:rPr>
        <w:t>)</w:t>
      </w:r>
    </w:p>
    <w:p w:rsidR="00CA2C90" w:rsidRPr="00760F17" w:rsidRDefault="00CA2C90" w:rsidP="00CA2C90">
      <w:pPr>
        <w:pStyle w:val="Heading4"/>
      </w:pPr>
      <w:r>
        <w:t xml:space="preserve">The importance of free allocation </w:t>
      </w:r>
    </w:p>
    <w:p w:rsidR="00CA2C90" w:rsidRDefault="00CA2C90" w:rsidP="00CA2C90">
      <w:r>
        <w:t>Several submitters, especially those that receive free allocation, highlighted the importance of ensuring that free allocation continues to protect business competitiveness.</w:t>
      </w:r>
      <w:r w:rsidRPr="00792E46">
        <w:t xml:space="preserve"> </w:t>
      </w:r>
      <w:r>
        <w:t xml:space="preserve">Other submitters noted </w:t>
      </w:r>
      <w:r w:rsidR="00382623">
        <w:t>that it would not</w:t>
      </w:r>
      <w:r>
        <w:t xml:space="preserve"> be suitable to reduce free allocation while access </w:t>
      </w:r>
      <w:r w:rsidR="00382623">
        <w:t xml:space="preserve">to </w:t>
      </w:r>
      <w:r>
        <w:t>international units</w:t>
      </w:r>
      <w:r w:rsidR="00382623">
        <w:t xml:space="preserve"> was restricted</w:t>
      </w:r>
      <w:r>
        <w:t>, and</w:t>
      </w:r>
      <w:r w:rsidR="00382623">
        <w:t xml:space="preserve"> while there was</w:t>
      </w:r>
      <w:r>
        <w:t xml:space="preserve"> </w:t>
      </w:r>
      <w:r w:rsidR="00382623">
        <w:t>no</w:t>
      </w:r>
      <w:r>
        <w:t xml:space="preserve"> auctioning me</w:t>
      </w:r>
      <w:r w:rsidR="00382623">
        <w:t>chanism in place.</w:t>
      </w:r>
    </w:p>
    <w:p w:rsidR="00CA2C90" w:rsidRPr="006B07FC" w:rsidRDefault="00CA2C90" w:rsidP="006B07FC">
      <w:pPr>
        <w:ind w:left="567" w:right="567"/>
        <w:rPr>
          <w:sz w:val="21"/>
          <w:szCs w:val="21"/>
        </w:rPr>
      </w:pPr>
      <w:r w:rsidRPr="006B07FC">
        <w:rPr>
          <w:sz w:val="21"/>
          <w:szCs w:val="21"/>
        </w:rPr>
        <w:t>“…the free allocation regime is critical to the viability of O-</w:t>
      </w:r>
      <w:proofErr w:type="gramStart"/>
      <w:r w:rsidRPr="006B07FC">
        <w:rPr>
          <w:sz w:val="21"/>
          <w:szCs w:val="21"/>
        </w:rPr>
        <w:t>I’s</w:t>
      </w:r>
      <w:proofErr w:type="gramEnd"/>
      <w:r w:rsidRPr="006B07FC">
        <w:rPr>
          <w:sz w:val="21"/>
          <w:szCs w:val="21"/>
        </w:rPr>
        <w:t xml:space="preserve"> operation in New Zealand. Put simply, without sufficient free allocation support, ETS costs could result in O-I’s New Zealand </w:t>
      </w:r>
      <w:r w:rsidRPr="006B07FC">
        <w:rPr>
          <w:sz w:val="21"/>
          <w:szCs w:val="21"/>
        </w:rPr>
        <w:lastRenderedPageBreak/>
        <w:t xml:space="preserve">manufacturing operations closing (and moving overseas).” (O-I ACI Operations New Zealand Limited, </w:t>
      </w:r>
      <w:r w:rsidR="004F3E0E">
        <w:rPr>
          <w:sz w:val="21"/>
          <w:szCs w:val="21"/>
        </w:rPr>
        <w:t>04030</w:t>
      </w:r>
      <w:r w:rsidRPr="006B07FC">
        <w:rPr>
          <w:sz w:val="21"/>
          <w:szCs w:val="21"/>
        </w:rPr>
        <w:t>)</w:t>
      </w:r>
    </w:p>
    <w:p w:rsidR="00CA2C90" w:rsidRPr="006B07FC" w:rsidRDefault="00CA2C90" w:rsidP="006B07FC">
      <w:pPr>
        <w:ind w:left="567" w:right="567"/>
        <w:rPr>
          <w:sz w:val="21"/>
          <w:szCs w:val="21"/>
        </w:rPr>
      </w:pPr>
      <w:r w:rsidRPr="006B07FC">
        <w:rPr>
          <w:sz w:val="21"/>
          <w:szCs w:val="21"/>
        </w:rPr>
        <w:t xml:space="preserve">“We support the free allocation of NZUs to particular activities to prevent NZ ETS costs from affecting New Zealand’s international competitiveness, and to prevent the relocation of domestic economic activity to countries that have not implemented a method of </w:t>
      </w:r>
      <w:r w:rsidR="004F3E0E">
        <w:rPr>
          <w:sz w:val="21"/>
          <w:szCs w:val="21"/>
        </w:rPr>
        <w:t>carbon pricing.” (</w:t>
      </w:r>
      <w:proofErr w:type="spellStart"/>
      <w:r w:rsidR="004F3E0E">
        <w:rPr>
          <w:sz w:val="21"/>
          <w:szCs w:val="21"/>
        </w:rPr>
        <w:t>Trustpower</w:t>
      </w:r>
      <w:proofErr w:type="spellEnd"/>
      <w:r w:rsidR="004F3E0E">
        <w:rPr>
          <w:sz w:val="21"/>
          <w:szCs w:val="21"/>
        </w:rPr>
        <w:t>, 00088</w:t>
      </w:r>
      <w:r w:rsidRPr="006B07FC">
        <w:rPr>
          <w:sz w:val="21"/>
          <w:szCs w:val="21"/>
        </w:rPr>
        <w:t>)</w:t>
      </w:r>
    </w:p>
    <w:p w:rsidR="00D215C5" w:rsidRDefault="0084592F" w:rsidP="00D215C5">
      <w:pPr>
        <w:pStyle w:val="Heading4"/>
      </w:pPr>
      <w:r>
        <w:t>Conditions for reducing free allocation</w:t>
      </w:r>
    </w:p>
    <w:p w:rsidR="00D215C5" w:rsidRDefault="00D215C5" w:rsidP="00B8466E">
      <w:r>
        <w:t xml:space="preserve">Around a third of submitters provided conditions for </w:t>
      </w:r>
      <w:r w:rsidR="003A3EEA">
        <w:t>reducing free</w:t>
      </w:r>
      <w:r>
        <w:t xml:space="preserve"> allocation after 2020. The most common </w:t>
      </w:r>
      <w:r w:rsidR="003A3EEA">
        <w:t>view</w:t>
      </w:r>
      <w:r>
        <w:t xml:space="preserve"> was that free allocation should only be reduced when New Zealand’s main trading partners also have a price on carbon</w:t>
      </w:r>
      <w:r w:rsidR="00861F9F">
        <w:t xml:space="preserve"> or other emissions reduction policies in place</w:t>
      </w:r>
      <w:r>
        <w:t xml:space="preserve">, </w:t>
      </w:r>
      <w:r w:rsidR="00861F9F">
        <w:t>which would reduce the</w:t>
      </w:r>
      <w:r>
        <w:t xml:space="preserve"> risk of carbon leakage. Some submitters also </w:t>
      </w:r>
      <w:r w:rsidR="00861F9F">
        <w:t xml:space="preserve">commented that </w:t>
      </w:r>
      <w:r w:rsidR="000C07CC">
        <w:t xml:space="preserve">the </w:t>
      </w:r>
      <w:r>
        <w:t xml:space="preserve">availability of low-emissions technologies </w:t>
      </w:r>
      <w:r w:rsidR="000C07CC">
        <w:t>should be considered b</w:t>
      </w:r>
      <w:r>
        <w:t>efore free allocation is reduced.</w:t>
      </w:r>
    </w:p>
    <w:p w:rsidR="00D215C5" w:rsidRPr="006B07FC" w:rsidRDefault="00B8466E" w:rsidP="006B07FC">
      <w:pPr>
        <w:ind w:left="567" w:right="567"/>
        <w:rPr>
          <w:sz w:val="21"/>
          <w:szCs w:val="21"/>
        </w:rPr>
      </w:pPr>
      <w:r w:rsidRPr="006B07FC">
        <w:rPr>
          <w:sz w:val="21"/>
          <w:szCs w:val="21"/>
        </w:rPr>
        <w:t>“</w:t>
      </w:r>
      <w:r w:rsidR="00D215C5" w:rsidRPr="006B07FC">
        <w:rPr>
          <w:sz w:val="21"/>
          <w:szCs w:val="21"/>
        </w:rPr>
        <w:t>Free allocations should not be reduced until NZ’s trading partners and potential international competitors face the same carbon price burden as New Zealand producers, and cost-effective, viable, alternative low-carbon fuel sources are widely available</w:t>
      </w:r>
      <w:r w:rsidR="00470A07" w:rsidRPr="006B07FC">
        <w:rPr>
          <w:sz w:val="21"/>
          <w:szCs w:val="21"/>
        </w:rPr>
        <w:t>.”</w:t>
      </w:r>
      <w:r w:rsidR="00D215C5" w:rsidRPr="006B07FC">
        <w:rPr>
          <w:sz w:val="21"/>
          <w:szCs w:val="21"/>
        </w:rPr>
        <w:t xml:space="preserve"> </w:t>
      </w:r>
      <w:r w:rsidR="00470A07" w:rsidRPr="006B07FC">
        <w:rPr>
          <w:sz w:val="21"/>
          <w:szCs w:val="21"/>
        </w:rPr>
        <w:t>(</w:t>
      </w:r>
      <w:r w:rsidR="00D215C5" w:rsidRPr="006B07FC">
        <w:rPr>
          <w:sz w:val="21"/>
          <w:szCs w:val="21"/>
        </w:rPr>
        <w:t>Horticulture New Zealand, Vegetables New Zealand Inc. and Tomatoes New Zealand</w:t>
      </w:r>
      <w:r w:rsidR="00470A07" w:rsidRPr="006B07FC">
        <w:rPr>
          <w:sz w:val="21"/>
          <w:szCs w:val="21"/>
        </w:rPr>
        <w:t xml:space="preserve">, </w:t>
      </w:r>
      <w:r w:rsidR="007B7E74">
        <w:rPr>
          <w:sz w:val="21"/>
          <w:szCs w:val="21"/>
        </w:rPr>
        <w:t>03004</w:t>
      </w:r>
      <w:r w:rsidR="00470A07" w:rsidRPr="006B07FC">
        <w:rPr>
          <w:sz w:val="21"/>
          <w:szCs w:val="21"/>
        </w:rPr>
        <w:t>)</w:t>
      </w:r>
    </w:p>
    <w:p w:rsidR="00D215C5" w:rsidRDefault="00D215C5" w:rsidP="00B8466E">
      <w:r>
        <w:t xml:space="preserve">Some submitters noted that having a predetermined timeline for phasing out free allocation would not necessarily align with what New Zealand’s trading partners were doing. A few submitters suggested specific criteria for </w:t>
      </w:r>
      <w:r w:rsidR="00D36F41">
        <w:t xml:space="preserve">assessing if and </w:t>
      </w:r>
      <w:r>
        <w:t>when</w:t>
      </w:r>
      <w:r w:rsidR="00D36F41">
        <w:t xml:space="preserve"> New Zealand’s</w:t>
      </w:r>
      <w:r>
        <w:t xml:space="preserve"> trade competitors </w:t>
      </w:r>
      <w:r w:rsidRPr="00455856">
        <w:t>ha</w:t>
      </w:r>
      <w:r w:rsidR="00D36F41" w:rsidRPr="00455856">
        <w:t xml:space="preserve">ve </w:t>
      </w:r>
      <w:r w:rsidR="00D36F41">
        <w:t>equivalent policies in place</w:t>
      </w:r>
      <w:r>
        <w:t>. Others noted that as well as carbon pricing, it would also be important to assess what protection measures New Zealand’s trading partners had in place for their trade</w:t>
      </w:r>
      <w:r w:rsidR="00DE20CF">
        <w:t>-</w:t>
      </w:r>
      <w:r>
        <w:t xml:space="preserve">exposed businesses. </w:t>
      </w:r>
    </w:p>
    <w:p w:rsidR="00D215C5" w:rsidRPr="006B07FC" w:rsidRDefault="00B8466E" w:rsidP="006B07FC">
      <w:pPr>
        <w:ind w:left="567" w:right="567"/>
        <w:rPr>
          <w:sz w:val="21"/>
          <w:szCs w:val="21"/>
        </w:rPr>
      </w:pPr>
      <w:r w:rsidRPr="006B07FC">
        <w:rPr>
          <w:sz w:val="21"/>
          <w:szCs w:val="21"/>
        </w:rPr>
        <w:t>“</w:t>
      </w:r>
      <w:r w:rsidR="00D215C5" w:rsidRPr="006B07FC">
        <w:rPr>
          <w:sz w:val="21"/>
          <w:szCs w:val="21"/>
        </w:rPr>
        <w:t>A pre-determined rate of reduction in free allocation levels risks creating a significant distortion in the international competiveness of affected businesses, unless it happens to coincidentally align with the pace at which obligations are applied globally … The focus should be on the development of suitable metrics based around the extent of global emissions covered by emissions pricing in other jurisdictions (at an economy and sectoral level) and comparable effort, in terms of GDP per capita or some other appropriate metric, as opp</w:t>
      </w:r>
      <w:r w:rsidR="00470A07" w:rsidRPr="006B07FC">
        <w:rPr>
          <w:sz w:val="21"/>
          <w:szCs w:val="21"/>
        </w:rPr>
        <w:t>osed to arbitrary time triggers.” (</w:t>
      </w:r>
      <w:r w:rsidR="00D215C5" w:rsidRPr="006B07FC">
        <w:rPr>
          <w:sz w:val="21"/>
          <w:szCs w:val="21"/>
        </w:rPr>
        <w:t>Petroleum Exploration and Production Association</w:t>
      </w:r>
      <w:r w:rsidR="00470A07" w:rsidRPr="006B07FC">
        <w:rPr>
          <w:sz w:val="21"/>
          <w:szCs w:val="21"/>
        </w:rPr>
        <w:t xml:space="preserve">, </w:t>
      </w:r>
      <w:r w:rsidR="007B7E74" w:rsidRPr="007B7E74">
        <w:rPr>
          <w:rFonts w:asciiTheme="minorHAnsi" w:hAnsiTheme="minorHAnsi" w:cs="Times New Roman"/>
          <w:sz w:val="21"/>
          <w:szCs w:val="21"/>
          <w:lang w:eastAsia="en-NZ"/>
        </w:rPr>
        <w:t>00114</w:t>
      </w:r>
      <w:r w:rsidR="00470A07" w:rsidRPr="006B07FC">
        <w:rPr>
          <w:sz w:val="21"/>
          <w:szCs w:val="21"/>
        </w:rPr>
        <w:t>)</w:t>
      </w:r>
    </w:p>
    <w:p w:rsidR="00D215C5" w:rsidRPr="009805DB" w:rsidRDefault="0084592F" w:rsidP="00D215C5">
      <w:pPr>
        <w:pStyle w:val="Heading4"/>
      </w:pPr>
      <w:r>
        <w:t>How allocation should be reduced</w:t>
      </w:r>
    </w:p>
    <w:p w:rsidR="00D215C5" w:rsidRPr="001A5DE1" w:rsidRDefault="00F813A6" w:rsidP="00B8466E">
      <w:r>
        <w:t xml:space="preserve">Many submitters also provided information on how free allocation should be phased out or removed. </w:t>
      </w:r>
      <w:r w:rsidR="00D215C5">
        <w:t xml:space="preserve">Some submitters, mainly </w:t>
      </w:r>
      <w:r w:rsidR="005814D0">
        <w:t xml:space="preserve">individuals and </w:t>
      </w:r>
      <w:r w:rsidR="00D215C5">
        <w:t>forestry</w:t>
      </w:r>
      <w:r w:rsidR="00C27668">
        <w:t xml:space="preserve"> sector</w:t>
      </w:r>
      <w:r w:rsidR="00D215C5">
        <w:t xml:space="preserve"> </w:t>
      </w:r>
      <w:r w:rsidR="00C27668">
        <w:t>submitters</w:t>
      </w:r>
      <w:r w:rsidR="005814D0">
        <w:t>,</w:t>
      </w:r>
      <w:r w:rsidR="00D215C5">
        <w:t xml:space="preserve"> suggested free allocation </w:t>
      </w:r>
      <w:proofErr w:type="gramStart"/>
      <w:r w:rsidR="00D215C5">
        <w:t>be</w:t>
      </w:r>
      <w:proofErr w:type="gramEnd"/>
      <w:r w:rsidR="00D215C5">
        <w:t xml:space="preserve"> phased out over a </w:t>
      </w:r>
      <w:r w:rsidR="00D215C5" w:rsidRPr="00F60D8E">
        <w:t>specifi</w:t>
      </w:r>
      <w:r w:rsidR="00D215C5">
        <w:t>ed</w:t>
      </w:r>
      <w:r w:rsidR="00D215C5" w:rsidRPr="00F60D8E">
        <w:t xml:space="preserve"> timeframe</w:t>
      </w:r>
      <w:r w:rsidR="00D215C5">
        <w:t>,</w:t>
      </w:r>
      <w:r w:rsidR="00D215C5" w:rsidRPr="00F60D8E">
        <w:t xml:space="preserve"> across </w:t>
      </w:r>
      <w:r w:rsidR="00D215C5">
        <w:t>all sectors</w:t>
      </w:r>
      <w:r w:rsidR="00D215C5" w:rsidRPr="00F60D8E">
        <w:t xml:space="preserve">. </w:t>
      </w:r>
      <w:r w:rsidR="005814D0" w:rsidRPr="008F2ABC">
        <w:t>A number</w:t>
      </w:r>
      <w:r w:rsidR="00D215C5" w:rsidRPr="008F2ABC">
        <w:t xml:space="preserve"> </w:t>
      </w:r>
      <w:r w:rsidR="005814D0" w:rsidRPr="008F2ABC">
        <w:t xml:space="preserve">of </w:t>
      </w:r>
      <w:proofErr w:type="gramStart"/>
      <w:r w:rsidR="00D215C5" w:rsidRPr="008F2ABC">
        <w:t>submitters</w:t>
      </w:r>
      <w:proofErr w:type="gramEnd"/>
      <w:r w:rsidR="00D215C5" w:rsidRPr="008F2ABC">
        <w:t xml:space="preserve"> recommended </w:t>
      </w:r>
      <w:r w:rsidR="005814D0" w:rsidRPr="008F2ABC">
        <w:t xml:space="preserve">free allocation be removed </w:t>
      </w:r>
      <w:r w:rsidR="00D215C5" w:rsidRPr="008F2ABC">
        <w:t>before 2030</w:t>
      </w:r>
      <w:r w:rsidR="00D215C5">
        <w:t xml:space="preserve">. </w:t>
      </w:r>
      <w:r w:rsidR="00D36F41">
        <w:t>S</w:t>
      </w:r>
      <w:r w:rsidR="00792E46">
        <w:t xml:space="preserve">ome </w:t>
      </w:r>
      <w:r w:rsidR="00D36F41">
        <w:t xml:space="preserve">other </w:t>
      </w:r>
      <w:r w:rsidR="00D215C5" w:rsidRPr="00F60D8E">
        <w:t xml:space="preserve">submitters </w:t>
      </w:r>
      <w:r w:rsidR="00792E46">
        <w:t>thought</w:t>
      </w:r>
      <w:r w:rsidR="00D215C5" w:rsidRPr="00F60D8E">
        <w:t xml:space="preserve"> </w:t>
      </w:r>
      <w:r w:rsidR="00792E46">
        <w:t xml:space="preserve">free </w:t>
      </w:r>
      <w:r w:rsidR="00D215C5" w:rsidRPr="00F60D8E">
        <w:t>allocation s</w:t>
      </w:r>
      <w:r w:rsidR="00792E46">
        <w:t xml:space="preserve">hould be phased out on a sector or </w:t>
      </w:r>
      <w:r w:rsidR="00D215C5" w:rsidRPr="00F60D8E">
        <w:t xml:space="preserve">activity </w:t>
      </w:r>
      <w:r w:rsidR="00792E46">
        <w:t>basis</w:t>
      </w:r>
      <w:r w:rsidR="00DE20CF">
        <w:t>,</w:t>
      </w:r>
      <w:r w:rsidR="00D215C5" w:rsidRPr="00F60D8E">
        <w:t xml:space="preserve"> determined by </w:t>
      </w:r>
      <w:r w:rsidR="00D215C5">
        <w:t>an assessment of trade exposure.</w:t>
      </w:r>
    </w:p>
    <w:p w:rsidR="00D215C5" w:rsidRPr="006B07FC" w:rsidRDefault="00792E46" w:rsidP="006B07FC">
      <w:pPr>
        <w:ind w:left="567" w:right="567"/>
        <w:rPr>
          <w:sz w:val="21"/>
          <w:szCs w:val="21"/>
        </w:rPr>
      </w:pPr>
      <w:r w:rsidRPr="006B07FC">
        <w:rPr>
          <w:sz w:val="21"/>
          <w:szCs w:val="21"/>
        </w:rPr>
        <w:t>“</w:t>
      </w:r>
      <w:r w:rsidR="00D215C5" w:rsidRPr="006B07FC">
        <w:rPr>
          <w:sz w:val="21"/>
          <w:szCs w:val="21"/>
        </w:rPr>
        <w:t xml:space="preserve">The FOA remains supportive of any change being introduced gradually and in a well signalled pathway. The free allocation was initially intended to be phased out at a rate of 1.3 </w:t>
      </w:r>
      <w:r w:rsidR="008E24E1" w:rsidRPr="006B07FC">
        <w:rPr>
          <w:sz w:val="21"/>
          <w:szCs w:val="21"/>
        </w:rPr>
        <w:t>per cent</w:t>
      </w:r>
      <w:r w:rsidR="00D215C5" w:rsidRPr="006B07FC">
        <w:rPr>
          <w:sz w:val="21"/>
          <w:szCs w:val="21"/>
        </w:rPr>
        <w:t xml:space="preserve"> per annum beginning in 2013, and reviewed on a five yearly basis. We consider that this 77 year time </w:t>
      </w:r>
      <w:proofErr w:type="gramStart"/>
      <w:r w:rsidR="00D215C5" w:rsidRPr="006B07FC">
        <w:rPr>
          <w:sz w:val="21"/>
          <w:szCs w:val="21"/>
        </w:rPr>
        <w:t>frame,</w:t>
      </w:r>
      <w:proofErr w:type="gramEnd"/>
      <w:r w:rsidR="00D215C5" w:rsidRPr="006B07FC">
        <w:rPr>
          <w:sz w:val="21"/>
          <w:szCs w:val="21"/>
        </w:rPr>
        <w:t xml:space="preserve"> or similar, provided security as well as certainty and c</w:t>
      </w:r>
      <w:r w:rsidRPr="006B07FC">
        <w:rPr>
          <w:sz w:val="21"/>
          <w:szCs w:val="21"/>
        </w:rPr>
        <w:t xml:space="preserve">ould be introduced before 2020.” </w:t>
      </w:r>
      <w:r w:rsidR="00243FA1" w:rsidRPr="006B07FC">
        <w:rPr>
          <w:sz w:val="21"/>
          <w:szCs w:val="21"/>
        </w:rPr>
        <w:t>(</w:t>
      </w:r>
      <w:r w:rsidR="00D215C5" w:rsidRPr="006B07FC">
        <w:rPr>
          <w:sz w:val="21"/>
          <w:szCs w:val="21"/>
        </w:rPr>
        <w:t>New Zealand Forest Owners Association</w:t>
      </w:r>
      <w:r w:rsidR="00243FA1" w:rsidRPr="006B07FC">
        <w:rPr>
          <w:sz w:val="21"/>
          <w:szCs w:val="21"/>
        </w:rPr>
        <w:t xml:space="preserve">, </w:t>
      </w:r>
      <w:r w:rsidR="007B7E74" w:rsidRPr="007B7E74">
        <w:rPr>
          <w:sz w:val="21"/>
          <w:szCs w:val="21"/>
        </w:rPr>
        <w:t>00039</w:t>
      </w:r>
      <w:r w:rsidR="00243FA1" w:rsidRPr="006B07FC">
        <w:rPr>
          <w:sz w:val="21"/>
          <w:szCs w:val="21"/>
        </w:rPr>
        <w:t>)</w:t>
      </w:r>
    </w:p>
    <w:p w:rsidR="00D215C5" w:rsidRPr="006B07FC" w:rsidRDefault="00B8466E" w:rsidP="006B07FC">
      <w:pPr>
        <w:ind w:left="567" w:right="567"/>
        <w:rPr>
          <w:sz w:val="21"/>
          <w:szCs w:val="21"/>
        </w:rPr>
      </w:pPr>
      <w:r w:rsidRPr="006B07FC">
        <w:rPr>
          <w:sz w:val="21"/>
          <w:szCs w:val="21"/>
        </w:rPr>
        <w:lastRenderedPageBreak/>
        <w:t>“</w:t>
      </w:r>
      <w:r w:rsidR="00D215C5" w:rsidRPr="006B07FC">
        <w:rPr>
          <w:sz w:val="21"/>
          <w:szCs w:val="21"/>
        </w:rPr>
        <w:t>Free allocation rates should start to be reduced only when the risk of trade exposure has materially reduced. This needs to be assessed on an activity by activity basis and not be a politicised decision that</w:t>
      </w:r>
      <w:r w:rsidR="00243FA1" w:rsidRPr="006B07FC">
        <w:rPr>
          <w:sz w:val="21"/>
          <w:szCs w:val="21"/>
        </w:rPr>
        <w:t xml:space="preserve"> blankets all EITE activities.” (</w:t>
      </w:r>
      <w:proofErr w:type="spellStart"/>
      <w:r w:rsidR="00D215C5" w:rsidRPr="006B07FC">
        <w:rPr>
          <w:sz w:val="21"/>
          <w:szCs w:val="21"/>
        </w:rPr>
        <w:t>Ballance</w:t>
      </w:r>
      <w:proofErr w:type="spellEnd"/>
      <w:r w:rsidR="00D215C5" w:rsidRPr="006B07FC">
        <w:rPr>
          <w:sz w:val="21"/>
          <w:szCs w:val="21"/>
        </w:rPr>
        <w:t xml:space="preserve"> </w:t>
      </w:r>
      <w:proofErr w:type="spellStart"/>
      <w:r w:rsidR="00D215C5" w:rsidRPr="006B07FC">
        <w:rPr>
          <w:sz w:val="21"/>
          <w:szCs w:val="21"/>
        </w:rPr>
        <w:t>Agrinutrients</w:t>
      </w:r>
      <w:proofErr w:type="spellEnd"/>
      <w:r w:rsidR="00243FA1" w:rsidRPr="006B07FC">
        <w:rPr>
          <w:sz w:val="21"/>
          <w:szCs w:val="21"/>
        </w:rPr>
        <w:t xml:space="preserve">, </w:t>
      </w:r>
      <w:r w:rsidR="007B7E74" w:rsidRPr="007B7E74">
        <w:rPr>
          <w:sz w:val="21"/>
          <w:szCs w:val="21"/>
        </w:rPr>
        <w:t>00074</w:t>
      </w:r>
      <w:r w:rsidR="00243FA1" w:rsidRPr="006B07FC">
        <w:rPr>
          <w:sz w:val="21"/>
          <w:szCs w:val="21"/>
        </w:rPr>
        <w:t>)</w:t>
      </w:r>
    </w:p>
    <w:p w:rsidR="00D215C5" w:rsidRPr="004E0322" w:rsidRDefault="00D215C5" w:rsidP="00D215C5">
      <w:pPr>
        <w:pStyle w:val="Heading4"/>
      </w:pPr>
      <w:r>
        <w:t>Other comments</w:t>
      </w:r>
    </w:p>
    <w:p w:rsidR="00D215C5" w:rsidRDefault="00D215C5" w:rsidP="00B8466E">
      <w:r>
        <w:t>A small number of submitters suggested that free allocation should be replaced with a reduced surrender obligation.</w:t>
      </w:r>
    </w:p>
    <w:p w:rsidR="00D215C5" w:rsidRPr="006B07FC" w:rsidRDefault="00B8466E" w:rsidP="006B07FC">
      <w:pPr>
        <w:ind w:left="567" w:right="567"/>
        <w:rPr>
          <w:sz w:val="21"/>
          <w:szCs w:val="21"/>
        </w:rPr>
      </w:pPr>
      <w:r w:rsidRPr="006B07FC">
        <w:rPr>
          <w:sz w:val="21"/>
          <w:szCs w:val="21"/>
        </w:rPr>
        <w:t>“</w:t>
      </w:r>
      <w:r w:rsidR="00D215C5" w:rsidRPr="006B07FC">
        <w:rPr>
          <w:sz w:val="21"/>
          <w:szCs w:val="21"/>
        </w:rPr>
        <w:t>Free NZU allocations for export exposed sectors should stop. These sectors should only be required to surrender offsets to cover a reduced % of their total emissions (</w:t>
      </w:r>
      <w:proofErr w:type="spellStart"/>
      <w:r w:rsidR="00D215C5" w:rsidRPr="006B07FC">
        <w:rPr>
          <w:sz w:val="21"/>
          <w:szCs w:val="21"/>
        </w:rPr>
        <w:t>eg</w:t>
      </w:r>
      <w:proofErr w:type="spellEnd"/>
      <w:r w:rsidR="00D215C5" w:rsidRPr="006B07FC">
        <w:rPr>
          <w:sz w:val="21"/>
          <w:szCs w:val="21"/>
        </w:rPr>
        <w:t xml:space="preserve"> 10% …up to 40%) but not be given free allocations with which to play the market (which caus</w:t>
      </w:r>
      <w:r w:rsidR="00243FA1" w:rsidRPr="006B07FC">
        <w:rPr>
          <w:sz w:val="21"/>
          <w:szCs w:val="21"/>
        </w:rPr>
        <w:t>es distortion and arbitrage).” (</w:t>
      </w:r>
      <w:r w:rsidR="00D215C5" w:rsidRPr="006B07FC">
        <w:rPr>
          <w:sz w:val="21"/>
          <w:szCs w:val="21"/>
        </w:rPr>
        <w:t>Permanent Forests New Zealand Limited</w:t>
      </w:r>
      <w:r w:rsidR="00243FA1" w:rsidRPr="006B07FC">
        <w:rPr>
          <w:sz w:val="21"/>
          <w:szCs w:val="21"/>
        </w:rPr>
        <w:t xml:space="preserve">, </w:t>
      </w:r>
      <w:r w:rsidR="007B7E74">
        <w:rPr>
          <w:sz w:val="21"/>
          <w:szCs w:val="21"/>
        </w:rPr>
        <w:t>00054</w:t>
      </w:r>
      <w:r w:rsidR="00243FA1" w:rsidRPr="006B07FC">
        <w:rPr>
          <w:sz w:val="21"/>
          <w:szCs w:val="21"/>
        </w:rPr>
        <w:t>)</w:t>
      </w:r>
    </w:p>
    <w:p w:rsidR="00D215C5" w:rsidRPr="00F03EAE" w:rsidRDefault="0040636D" w:rsidP="00D215C5">
      <w:pPr>
        <w:pStyle w:val="Heading2"/>
      </w:pPr>
      <w:bookmarkStart w:id="28" w:name="_Toc456013878"/>
      <w:bookmarkStart w:id="29" w:name="_Toc463270126"/>
      <w:r>
        <w:t>5</w:t>
      </w:r>
      <w:r w:rsidR="00D215C5" w:rsidRPr="00F03EAE">
        <w:t xml:space="preserve">.2 </w:t>
      </w:r>
      <w:r w:rsidR="00D215C5" w:rsidRPr="00F03EAE">
        <w:tab/>
        <w:t>What impact would it have on your investment decisions over the next few years if there was a clear pathway or criteria for phasing out free allocation after 2020? (Question 12)</w:t>
      </w:r>
      <w:bookmarkEnd w:id="28"/>
      <w:bookmarkEnd w:id="29"/>
    </w:p>
    <w:p w:rsidR="00D215C5" w:rsidRDefault="00224064" w:rsidP="00D215C5">
      <w:pPr>
        <w:pStyle w:val="Heading4"/>
      </w:pPr>
      <w:r>
        <w:t>Improve long-term planning and investment decisions</w:t>
      </w:r>
    </w:p>
    <w:p w:rsidR="00D215C5" w:rsidRDefault="00DA7FEB" w:rsidP="00B8466E">
      <w:r>
        <w:t xml:space="preserve">In total, </w:t>
      </w:r>
      <w:r w:rsidR="00D215C5" w:rsidRPr="004911A3">
        <w:t>10</w:t>
      </w:r>
      <w:r w:rsidR="00D215C5">
        <w:t>4</w:t>
      </w:r>
      <w:r w:rsidR="00D215C5" w:rsidRPr="004911A3">
        <w:t xml:space="preserve"> submitters</w:t>
      </w:r>
      <w:r w:rsidR="00D215C5">
        <w:t xml:space="preserve"> </w:t>
      </w:r>
      <w:r>
        <w:t>(</w:t>
      </w:r>
      <w:r w:rsidR="00C2449D">
        <w:t>approximately</w:t>
      </w:r>
      <w:r>
        <w:t xml:space="preserve"> 30 </w:t>
      </w:r>
      <w:r w:rsidR="008E24E1">
        <w:t>per cent</w:t>
      </w:r>
      <w:r>
        <w:t xml:space="preserve"> of submitters) </w:t>
      </w:r>
      <w:r w:rsidR="00D215C5">
        <w:t xml:space="preserve">addressed this question. </w:t>
      </w:r>
      <w:r>
        <w:t>A</w:t>
      </w:r>
      <w:r w:rsidR="00D215C5">
        <w:t xml:space="preserve">round half </w:t>
      </w:r>
      <w:r>
        <w:t xml:space="preserve">of these submitters </w:t>
      </w:r>
      <w:r w:rsidR="00D215C5">
        <w:t>thought that providing clear criteria for phasing out free allocation would assist them in making long-term investment decisions, with many foresters noting it would encourage investment in forest</w:t>
      </w:r>
      <w:r>
        <w:t>ry</w:t>
      </w:r>
      <w:r w:rsidR="00D215C5">
        <w:t xml:space="preserve">. Many submitters noted that having a clear plan would reduce uncertainty, </w:t>
      </w:r>
      <w:r>
        <w:t xml:space="preserve">which would help with </w:t>
      </w:r>
      <w:r w:rsidR="00D215C5">
        <w:t>business planning.</w:t>
      </w:r>
    </w:p>
    <w:p w:rsidR="00D215C5" w:rsidRPr="006B07FC" w:rsidRDefault="00243FA1" w:rsidP="006B07FC">
      <w:pPr>
        <w:ind w:left="567" w:right="567"/>
        <w:rPr>
          <w:sz w:val="21"/>
          <w:szCs w:val="21"/>
        </w:rPr>
      </w:pPr>
      <w:r w:rsidRPr="006B07FC">
        <w:rPr>
          <w:sz w:val="21"/>
          <w:szCs w:val="21"/>
        </w:rPr>
        <w:t>“</w:t>
      </w:r>
      <w:r w:rsidR="00D215C5" w:rsidRPr="006B07FC">
        <w:rPr>
          <w:sz w:val="21"/>
          <w:szCs w:val="21"/>
        </w:rPr>
        <w:t>Greater clarity on the proposed approach to transitional assistance, including free unit allocation, would assist investors in accurately pricing carbon risk into long term investment decisions. This would also serve to incentivize more investment into low carbon as investors are able to more accurately incorporate the costs and benefit</w:t>
      </w:r>
      <w:r w:rsidRPr="006B07FC">
        <w:rPr>
          <w:sz w:val="21"/>
          <w:szCs w:val="21"/>
        </w:rPr>
        <w:t>s of acting on climate change.” (</w:t>
      </w:r>
      <w:r w:rsidR="00D215C5" w:rsidRPr="006B07FC">
        <w:rPr>
          <w:sz w:val="21"/>
          <w:szCs w:val="21"/>
        </w:rPr>
        <w:t>Investor Group on Climate Change</w:t>
      </w:r>
      <w:r w:rsidRPr="006B07FC">
        <w:rPr>
          <w:sz w:val="21"/>
          <w:szCs w:val="21"/>
        </w:rPr>
        <w:t xml:space="preserve">, </w:t>
      </w:r>
      <w:r w:rsidR="007B7E74">
        <w:rPr>
          <w:sz w:val="21"/>
          <w:szCs w:val="21"/>
        </w:rPr>
        <w:t>00201</w:t>
      </w:r>
      <w:r w:rsidRPr="006B07FC">
        <w:rPr>
          <w:sz w:val="21"/>
          <w:szCs w:val="21"/>
        </w:rPr>
        <w:t>)</w:t>
      </w:r>
    </w:p>
    <w:p w:rsidR="00D215C5" w:rsidRPr="006B07FC" w:rsidRDefault="00243FA1" w:rsidP="006B07FC">
      <w:pPr>
        <w:ind w:left="567" w:right="567"/>
        <w:rPr>
          <w:sz w:val="21"/>
          <w:szCs w:val="21"/>
        </w:rPr>
      </w:pPr>
      <w:r w:rsidRPr="006B07FC">
        <w:rPr>
          <w:sz w:val="21"/>
          <w:szCs w:val="21"/>
        </w:rPr>
        <w:t>“</w:t>
      </w:r>
      <w:r w:rsidR="00D215C5" w:rsidRPr="006B07FC">
        <w:rPr>
          <w:sz w:val="21"/>
          <w:szCs w:val="21"/>
        </w:rPr>
        <w:t>Referring to a transition arrangement without having any guidance on when, and how, that will take place creates considerable investment uncertainty for all ETS participants. As part of the review that government should be providing a signal now on what will take place with free allo</w:t>
      </w:r>
      <w:r w:rsidRPr="006B07FC">
        <w:rPr>
          <w:sz w:val="21"/>
          <w:szCs w:val="21"/>
        </w:rPr>
        <w:t>cation both pre, and post 2020.” (</w:t>
      </w:r>
      <w:r w:rsidR="00D215C5" w:rsidRPr="006B07FC">
        <w:rPr>
          <w:sz w:val="21"/>
          <w:szCs w:val="21"/>
        </w:rPr>
        <w:t>New Zealand Forest Owners Association</w:t>
      </w:r>
      <w:r w:rsidRPr="006B07FC">
        <w:rPr>
          <w:sz w:val="21"/>
          <w:szCs w:val="21"/>
        </w:rPr>
        <w:t xml:space="preserve">, </w:t>
      </w:r>
      <w:r w:rsidR="007B7E74" w:rsidRPr="007B7E74">
        <w:rPr>
          <w:sz w:val="21"/>
          <w:szCs w:val="21"/>
        </w:rPr>
        <w:t>00039</w:t>
      </w:r>
      <w:r w:rsidRPr="006B07FC">
        <w:rPr>
          <w:sz w:val="21"/>
          <w:szCs w:val="21"/>
        </w:rPr>
        <w:t>)</w:t>
      </w:r>
    </w:p>
    <w:p w:rsidR="00D215C5" w:rsidRPr="00295DEC" w:rsidRDefault="00D215C5" w:rsidP="00D215C5">
      <w:pPr>
        <w:pStyle w:val="Heading4"/>
      </w:pPr>
      <w:r w:rsidRPr="00295DEC">
        <w:t>Limited impact</w:t>
      </w:r>
      <w:r w:rsidR="00224064" w:rsidRPr="00295DEC">
        <w:t xml:space="preserve"> on investments</w:t>
      </w:r>
    </w:p>
    <w:p w:rsidR="00D215C5" w:rsidRDefault="00D215C5" w:rsidP="006B07FC">
      <w:r>
        <w:t xml:space="preserve">Several submitters </w:t>
      </w:r>
      <w:r w:rsidR="00D36F41">
        <w:t>who</w:t>
      </w:r>
      <w:r w:rsidR="00DA7FEB">
        <w:t xml:space="preserve"> thought there </w:t>
      </w:r>
      <w:r>
        <w:t xml:space="preserve">would be limited impact on their </w:t>
      </w:r>
      <w:r w:rsidR="00DA7FEB">
        <w:t xml:space="preserve">own </w:t>
      </w:r>
      <w:r>
        <w:t xml:space="preserve">business </w:t>
      </w:r>
      <w:r w:rsidR="00DA7FEB">
        <w:t xml:space="preserve">still noted </w:t>
      </w:r>
      <w:r>
        <w:t xml:space="preserve">having clear criteria </w:t>
      </w:r>
      <w:r w:rsidR="00DA7FEB">
        <w:t xml:space="preserve">for phasing out free allocation </w:t>
      </w:r>
      <w:r>
        <w:t>would be advantageous.</w:t>
      </w:r>
    </w:p>
    <w:p w:rsidR="00D215C5" w:rsidRPr="006B07FC" w:rsidRDefault="00243FA1" w:rsidP="006B07FC">
      <w:pPr>
        <w:pStyle w:val="Quote"/>
        <w:ind w:left="567" w:right="567"/>
        <w:rPr>
          <w:sz w:val="21"/>
        </w:rPr>
      </w:pPr>
      <w:r w:rsidRPr="006B07FC">
        <w:rPr>
          <w:sz w:val="21"/>
        </w:rPr>
        <w:t>“</w:t>
      </w:r>
      <w:r w:rsidR="00D215C5" w:rsidRPr="006B07FC">
        <w:rPr>
          <w:sz w:val="21"/>
        </w:rPr>
        <w:t>Whilst phasing out free allocation would not directly impact the Gull business, a clear pathway or criteria may provide more certainty and therefore less volatility around NZU pricing which would be favourable to our customers.</w:t>
      </w:r>
      <w:r w:rsidRPr="006B07FC">
        <w:rPr>
          <w:sz w:val="21"/>
        </w:rPr>
        <w:t>”(</w:t>
      </w:r>
      <w:r w:rsidR="00D215C5" w:rsidRPr="006B07FC">
        <w:rPr>
          <w:sz w:val="21"/>
        </w:rPr>
        <w:t>Gull New Zealand Limited</w:t>
      </w:r>
      <w:r w:rsidRPr="006B07FC">
        <w:rPr>
          <w:sz w:val="21"/>
        </w:rPr>
        <w:t xml:space="preserve">, </w:t>
      </w:r>
      <w:r w:rsidR="007B7E74">
        <w:rPr>
          <w:sz w:val="21"/>
        </w:rPr>
        <w:t>03009</w:t>
      </w:r>
      <w:r w:rsidRPr="006B07FC">
        <w:rPr>
          <w:sz w:val="21"/>
        </w:rPr>
        <w:t>)</w:t>
      </w:r>
    </w:p>
    <w:p w:rsidR="00D215C5" w:rsidRPr="00295DEC" w:rsidRDefault="00D215C5" w:rsidP="00D215C5">
      <w:pPr>
        <w:pStyle w:val="Heading4"/>
      </w:pPr>
      <w:r w:rsidRPr="00295DEC">
        <w:lastRenderedPageBreak/>
        <w:t>Negative impact</w:t>
      </w:r>
      <w:r w:rsidR="00224064" w:rsidRPr="00295DEC">
        <w:t xml:space="preserve"> on investments</w:t>
      </w:r>
    </w:p>
    <w:p w:rsidR="00D215C5" w:rsidRDefault="002374EC" w:rsidP="006B07FC">
      <w:r>
        <w:t>Some</w:t>
      </w:r>
      <w:r w:rsidR="00455856">
        <w:t xml:space="preserve"> </w:t>
      </w:r>
      <w:r w:rsidR="00283221">
        <w:t>submitters</w:t>
      </w:r>
      <w:r w:rsidR="00D215C5" w:rsidRPr="007A2FB2">
        <w:t xml:space="preserve"> noted</w:t>
      </w:r>
      <w:r w:rsidR="00D215C5">
        <w:t xml:space="preserve"> that having a plan for reducing free allocation could h</w:t>
      </w:r>
      <w:r w:rsidR="00F20680">
        <w:t>ave a negative impact on their business</w:t>
      </w:r>
      <w:r w:rsidR="00D215C5">
        <w:t xml:space="preserve"> through increased financial implications and </w:t>
      </w:r>
      <w:r w:rsidR="00283221">
        <w:t>impacts on</w:t>
      </w:r>
      <w:r w:rsidR="00D215C5">
        <w:t xml:space="preserve"> competitiveness. </w:t>
      </w:r>
      <w:r w:rsidR="00F20680">
        <w:t>Several businesses noted the impact would depend on the details of the plan for reducing free allocation.</w:t>
      </w:r>
    </w:p>
    <w:p w:rsidR="00D215C5" w:rsidRPr="00DF4591" w:rsidRDefault="00243FA1" w:rsidP="00DF4591">
      <w:pPr>
        <w:ind w:left="567" w:right="567"/>
        <w:rPr>
          <w:sz w:val="21"/>
          <w:szCs w:val="21"/>
        </w:rPr>
      </w:pPr>
      <w:r w:rsidRPr="00DF4591">
        <w:rPr>
          <w:sz w:val="21"/>
          <w:szCs w:val="21"/>
        </w:rPr>
        <w:t>“</w:t>
      </w:r>
      <w:r w:rsidR="00D215C5" w:rsidRPr="00DF4591">
        <w:rPr>
          <w:sz w:val="21"/>
          <w:szCs w:val="21"/>
        </w:rPr>
        <w:t>Some of our customers operate energy intensive businesses and are going to be exposed to increased costs. Whether or not there remains a mechanism in place to enable those customers to compete against international competitors who are not necessarily exposed to carbon pricing will obviously affect their survival and ultimately impacts on our business.</w:t>
      </w:r>
      <w:r w:rsidRPr="00DF4591">
        <w:rPr>
          <w:sz w:val="21"/>
          <w:szCs w:val="21"/>
        </w:rPr>
        <w:t>”</w:t>
      </w:r>
      <w:r w:rsidR="00D215C5" w:rsidRPr="00DF4591">
        <w:rPr>
          <w:sz w:val="21"/>
          <w:szCs w:val="21"/>
        </w:rPr>
        <w:t xml:space="preserve"> (</w:t>
      </w:r>
      <w:proofErr w:type="spellStart"/>
      <w:r w:rsidR="00D215C5" w:rsidRPr="00DF4591">
        <w:rPr>
          <w:sz w:val="21"/>
          <w:szCs w:val="21"/>
        </w:rPr>
        <w:t>KiwiRail</w:t>
      </w:r>
      <w:proofErr w:type="spellEnd"/>
      <w:r w:rsidRPr="00DF4591">
        <w:rPr>
          <w:sz w:val="21"/>
          <w:szCs w:val="21"/>
        </w:rPr>
        <w:t xml:space="preserve">, </w:t>
      </w:r>
      <w:r w:rsidR="00ED2C81">
        <w:rPr>
          <w:sz w:val="21"/>
          <w:szCs w:val="21"/>
        </w:rPr>
        <w:t>02029</w:t>
      </w:r>
      <w:r w:rsidR="00D215C5" w:rsidRPr="00DF4591">
        <w:rPr>
          <w:sz w:val="21"/>
          <w:szCs w:val="21"/>
        </w:rPr>
        <w:t>)</w:t>
      </w:r>
    </w:p>
    <w:p w:rsidR="00D215C5" w:rsidRPr="00DF4591" w:rsidRDefault="00243FA1" w:rsidP="00DF4591">
      <w:pPr>
        <w:ind w:left="567" w:right="567"/>
        <w:rPr>
          <w:sz w:val="21"/>
          <w:szCs w:val="21"/>
        </w:rPr>
      </w:pPr>
      <w:r w:rsidRPr="00DF4591">
        <w:rPr>
          <w:sz w:val="21"/>
          <w:szCs w:val="21"/>
        </w:rPr>
        <w:t>“</w:t>
      </w:r>
      <w:r w:rsidR="00D215C5" w:rsidRPr="00DF4591">
        <w:rPr>
          <w:sz w:val="21"/>
          <w:szCs w:val="21"/>
        </w:rPr>
        <w:t>In the absence of a transparent, global, well-functioning climate change response framework, EITE businesses would consider moving to other countries where there is no price on carbon, or where there is a cheaper price of carbon, and/or would not consider investing in New Zealand. There can only be a “clear pathway or criteria” if our trading competitors are exposed to similar carbon prices to those applying to New Zealand businesses, and international carbon markets are established to which New Zealand has access at affordable prices</w:t>
      </w:r>
      <w:r w:rsidRPr="00DF4591">
        <w:rPr>
          <w:sz w:val="21"/>
          <w:szCs w:val="21"/>
        </w:rPr>
        <w:t>.”</w:t>
      </w:r>
      <w:r w:rsidR="00D215C5" w:rsidRPr="00DF4591">
        <w:rPr>
          <w:sz w:val="21"/>
          <w:szCs w:val="21"/>
        </w:rPr>
        <w:t xml:space="preserve"> </w:t>
      </w:r>
      <w:r w:rsidRPr="00DF4591">
        <w:rPr>
          <w:sz w:val="21"/>
          <w:szCs w:val="21"/>
        </w:rPr>
        <w:t>(</w:t>
      </w:r>
      <w:proofErr w:type="spellStart"/>
      <w:r w:rsidR="00ED2C81">
        <w:rPr>
          <w:sz w:val="21"/>
          <w:szCs w:val="21"/>
        </w:rPr>
        <w:t>Straterr</w:t>
      </w:r>
      <w:r w:rsidR="00ED2C81" w:rsidRPr="00ED2C81">
        <w:rPr>
          <w:sz w:val="21"/>
          <w:szCs w:val="21"/>
        </w:rPr>
        <w:t>a</w:t>
      </w:r>
      <w:proofErr w:type="spellEnd"/>
      <w:r w:rsidRPr="00ED2C81">
        <w:rPr>
          <w:sz w:val="21"/>
          <w:szCs w:val="21"/>
        </w:rPr>
        <w:t xml:space="preserve">, </w:t>
      </w:r>
      <w:r w:rsidR="00ED2C81" w:rsidRPr="00ED2C81">
        <w:rPr>
          <w:sz w:val="21"/>
          <w:szCs w:val="21"/>
        </w:rPr>
        <w:t>00102</w:t>
      </w:r>
      <w:r w:rsidRPr="00ED2C81">
        <w:rPr>
          <w:sz w:val="21"/>
          <w:szCs w:val="21"/>
        </w:rPr>
        <w:t>)</w:t>
      </w:r>
    </w:p>
    <w:p w:rsidR="00D215C5" w:rsidRDefault="00D215C5" w:rsidP="00D215C5">
      <w:pPr>
        <w:pStyle w:val="Heading4"/>
      </w:pPr>
      <w:r>
        <w:t>No impact</w:t>
      </w:r>
      <w:r w:rsidR="00470A07">
        <w:t xml:space="preserve"> on investments</w:t>
      </w:r>
    </w:p>
    <w:p w:rsidR="00D215C5" w:rsidRDefault="00283221" w:rsidP="00DF4591">
      <w:r>
        <w:t>A</w:t>
      </w:r>
      <w:r w:rsidR="00D36F41">
        <w:t>pproximat</w:t>
      </w:r>
      <w:r w:rsidR="00D36F41" w:rsidRPr="00455856">
        <w:t>ely</w:t>
      </w:r>
      <w:r w:rsidRPr="00455856">
        <w:t xml:space="preserve"> 1</w:t>
      </w:r>
      <w:r w:rsidR="00D215C5" w:rsidRPr="00455856">
        <w:t xml:space="preserve">5 </w:t>
      </w:r>
      <w:r w:rsidR="008E24E1" w:rsidRPr="00455856">
        <w:t>per cent</w:t>
      </w:r>
      <w:r w:rsidRPr="00455856">
        <w:t xml:space="preserve"> of sub</w:t>
      </w:r>
      <w:r>
        <w:t xml:space="preserve">mitters </w:t>
      </w:r>
      <w:r w:rsidR="00D215C5">
        <w:t xml:space="preserve">did not think </w:t>
      </w:r>
      <w:r w:rsidR="002374EC">
        <w:t xml:space="preserve">having a plan to </w:t>
      </w:r>
      <w:r w:rsidR="00D215C5">
        <w:t>phas</w:t>
      </w:r>
      <w:r w:rsidR="002374EC">
        <w:t>e</w:t>
      </w:r>
      <w:r w:rsidR="00D215C5">
        <w:t xml:space="preserve"> out free allocation would impact </w:t>
      </w:r>
      <w:r>
        <w:t>their business</w:t>
      </w:r>
      <w:r w:rsidR="00D215C5">
        <w:t>. Some of these submitters noted there would be no impact on them</w:t>
      </w:r>
      <w:r w:rsidR="003B0227">
        <w:t>,</w:t>
      </w:r>
      <w:r w:rsidR="00D215C5">
        <w:t xml:space="preserve"> as the Government could subsequently make changes to plans for reducing free allocation.</w:t>
      </w:r>
    </w:p>
    <w:p w:rsidR="00D215C5" w:rsidRDefault="00D215C5" w:rsidP="00D215C5">
      <w:pPr>
        <w:spacing w:before="0" w:after="0"/>
      </w:pPr>
    </w:p>
    <w:p w:rsidR="006A5029" w:rsidRDefault="006A5029">
      <w:pPr>
        <w:spacing w:before="0" w:after="0"/>
        <w:rPr>
          <w:b/>
          <w:bCs/>
          <w:color w:val="005984"/>
          <w:sz w:val="36"/>
          <w:szCs w:val="36"/>
        </w:rPr>
      </w:pPr>
      <w:r>
        <w:br w:type="page"/>
      </w:r>
    </w:p>
    <w:p w:rsidR="00D47573" w:rsidRDefault="0040636D" w:rsidP="00D47573">
      <w:pPr>
        <w:pStyle w:val="Heading1"/>
      </w:pPr>
      <w:bookmarkStart w:id="30" w:name="_Toc463270127"/>
      <w:r>
        <w:lastRenderedPageBreak/>
        <w:t>6</w:t>
      </w:r>
      <w:r w:rsidR="00EE091C">
        <w:t xml:space="preserve">. </w:t>
      </w:r>
      <w:r w:rsidR="00EE091C">
        <w:tab/>
        <w:t>M</w:t>
      </w:r>
      <w:r w:rsidR="00D47573">
        <w:t>anaging unit supply</w:t>
      </w:r>
      <w:bookmarkEnd w:id="30"/>
    </w:p>
    <w:p w:rsidR="000041BD" w:rsidRDefault="000041BD" w:rsidP="00813A5E">
      <w:pPr>
        <w:pStyle w:val="Heading2"/>
        <w:spacing w:before="0" w:after="240"/>
      </w:pPr>
      <w:bookmarkStart w:id="31" w:name="_Toc463270128"/>
      <w:r>
        <w:t>Forestry</w:t>
      </w:r>
      <w:bookmarkEnd w:id="31"/>
    </w:p>
    <w:tbl>
      <w:tblPr>
        <w:tblW w:w="8505" w:type="dxa"/>
        <w:tblInd w:w="57"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DEEAF6"/>
        <w:tblLook w:val="04A0" w:firstRow="1" w:lastRow="0" w:firstColumn="1" w:lastColumn="0" w:noHBand="0" w:noVBand="1"/>
      </w:tblPr>
      <w:tblGrid>
        <w:gridCol w:w="8505"/>
      </w:tblGrid>
      <w:tr w:rsidR="000041BD" w:rsidRPr="00C76622" w:rsidTr="00837A1C">
        <w:trPr>
          <w:trHeight w:val="274"/>
        </w:trPr>
        <w:tc>
          <w:tcPr>
            <w:tcW w:w="8505" w:type="dxa"/>
            <w:shd w:val="clear" w:color="auto" w:fill="DEEAF6"/>
          </w:tcPr>
          <w:p w:rsidR="000041BD" w:rsidRPr="008D7BEC" w:rsidRDefault="000041BD" w:rsidP="00E2517C">
            <w:pPr>
              <w:pStyle w:val="Bullet"/>
              <w:numPr>
                <w:ilvl w:val="0"/>
                <w:numId w:val="0"/>
              </w:numPr>
              <w:spacing w:before="120" w:line="276" w:lineRule="auto"/>
              <w:ind w:left="397"/>
              <w:rPr>
                <w:sz w:val="20"/>
                <w:szCs w:val="20"/>
              </w:rPr>
            </w:pPr>
            <w:r>
              <w:rPr>
                <w:sz w:val="20"/>
                <w:szCs w:val="20"/>
              </w:rPr>
              <w:t xml:space="preserve">The </w:t>
            </w:r>
            <w:r w:rsidR="003B0227">
              <w:rPr>
                <w:sz w:val="20"/>
                <w:szCs w:val="20"/>
              </w:rPr>
              <w:t>New Zealand Emissions Trading Scheme (</w:t>
            </w:r>
            <w:r>
              <w:rPr>
                <w:sz w:val="20"/>
                <w:szCs w:val="20"/>
              </w:rPr>
              <w:t>NZ ETS</w:t>
            </w:r>
            <w:r w:rsidR="003B0227">
              <w:rPr>
                <w:sz w:val="20"/>
                <w:szCs w:val="20"/>
              </w:rPr>
              <w:t>)</w:t>
            </w:r>
            <w:r>
              <w:rPr>
                <w:sz w:val="20"/>
                <w:szCs w:val="20"/>
              </w:rPr>
              <w:t xml:space="preserve"> is intended to encourage carbon removals through forestry by incentivising afforestation and re-planting and discouraging deforestation</w:t>
            </w:r>
            <w:r w:rsidR="002374EC">
              <w:rPr>
                <w:sz w:val="20"/>
                <w:szCs w:val="20"/>
              </w:rPr>
              <w:t>. N</w:t>
            </w:r>
            <w:r>
              <w:rPr>
                <w:sz w:val="20"/>
                <w:szCs w:val="20"/>
              </w:rPr>
              <w:t xml:space="preserve">Z ETS incentives to afforest or to avoid deforestation are partially linked to the price of emission units. Aspects of the NZ ETS other than </w:t>
            </w:r>
            <w:r w:rsidR="003B0227">
              <w:rPr>
                <w:sz w:val="20"/>
                <w:szCs w:val="20"/>
              </w:rPr>
              <w:t>New Zealand Unit (</w:t>
            </w:r>
            <w:r>
              <w:rPr>
                <w:sz w:val="20"/>
                <w:szCs w:val="20"/>
              </w:rPr>
              <w:t>NZU</w:t>
            </w:r>
            <w:r w:rsidR="003B0227">
              <w:rPr>
                <w:sz w:val="20"/>
                <w:szCs w:val="20"/>
              </w:rPr>
              <w:t>)</w:t>
            </w:r>
            <w:r>
              <w:rPr>
                <w:sz w:val="20"/>
                <w:szCs w:val="20"/>
              </w:rPr>
              <w:t xml:space="preserve"> price are also important in incentivising forestry and encouraging participation in the scheme. </w:t>
            </w:r>
          </w:p>
        </w:tc>
      </w:tr>
    </w:tbl>
    <w:p w:rsidR="00D47573" w:rsidRDefault="0040636D" w:rsidP="005506E6">
      <w:pPr>
        <w:pStyle w:val="Heading2"/>
        <w:spacing w:after="240"/>
      </w:pPr>
      <w:bookmarkStart w:id="32" w:name="_Toc463270129"/>
      <w:r>
        <w:t>6</w:t>
      </w:r>
      <w:r w:rsidR="00D47573">
        <w:t xml:space="preserve">.1 </w:t>
      </w:r>
      <w:r w:rsidR="00D47573">
        <w:tab/>
        <w:t xml:space="preserve">How does carbon price impact your forestry investment </w:t>
      </w:r>
      <w:r w:rsidR="00D47573" w:rsidRPr="005506E6">
        <w:t>decision</w:t>
      </w:r>
      <w:r w:rsidR="003B0227">
        <w:t>-</w:t>
      </w:r>
      <w:r w:rsidR="00D47573">
        <w:t xml:space="preserve">making? </w:t>
      </w:r>
      <w:r w:rsidR="00D47573" w:rsidRPr="00C76622">
        <w:t xml:space="preserve">(Question </w:t>
      </w:r>
      <w:r w:rsidR="00CA1C2D">
        <w:t>13</w:t>
      </w:r>
      <w:r w:rsidR="00D47573" w:rsidRPr="00C76622">
        <w:t>)</w:t>
      </w:r>
      <w:bookmarkEnd w:id="32"/>
    </w:p>
    <w:p w:rsidR="00440BDC" w:rsidRDefault="00176E0C" w:rsidP="00B8466E">
      <w:r>
        <w:t>Eighty-eight</w:t>
      </w:r>
      <w:r w:rsidR="00440BDC">
        <w:t xml:space="preserve"> submitters</w:t>
      </w:r>
      <w:r w:rsidR="00440BDC" w:rsidRPr="00FD3CF2">
        <w:t xml:space="preserve"> </w:t>
      </w:r>
      <w:r w:rsidR="00440BDC">
        <w:t>addressed this question</w:t>
      </w:r>
      <w:r w:rsidR="00283221">
        <w:t xml:space="preserve"> (</w:t>
      </w:r>
      <w:r w:rsidR="00C2449D">
        <w:t>approximately</w:t>
      </w:r>
      <w:r w:rsidR="00EE13F5">
        <w:t xml:space="preserve"> </w:t>
      </w:r>
      <w:r>
        <w:t>25</w:t>
      </w:r>
      <w:r w:rsidR="00D4026E">
        <w:t xml:space="preserve"> </w:t>
      </w:r>
      <w:r w:rsidR="008E24E1">
        <w:t>per cent</w:t>
      </w:r>
      <w:r w:rsidR="00D4026E">
        <w:t xml:space="preserve"> of submitters)</w:t>
      </w:r>
      <w:r w:rsidR="00440BDC" w:rsidRPr="00FD3CF2">
        <w:t xml:space="preserve">. </w:t>
      </w:r>
      <w:r w:rsidR="00440BDC" w:rsidRPr="00295DEC">
        <w:t xml:space="preserve">Around </w:t>
      </w:r>
      <w:r w:rsidR="00417ECA">
        <w:t>70</w:t>
      </w:r>
      <w:r w:rsidR="00440BDC" w:rsidRPr="00295DEC">
        <w:t xml:space="preserve"> </w:t>
      </w:r>
      <w:r w:rsidR="008E24E1">
        <w:t>per cent</w:t>
      </w:r>
      <w:r w:rsidR="00440BDC" w:rsidRPr="00295DEC">
        <w:t xml:space="preserve"> of </w:t>
      </w:r>
      <w:r w:rsidR="00D4026E" w:rsidRPr="00295DEC">
        <w:t xml:space="preserve">these </w:t>
      </w:r>
      <w:r w:rsidR="00440BDC" w:rsidRPr="00295DEC">
        <w:t>submitters commented that the carbon price impacts their forestry investment decision</w:t>
      </w:r>
      <w:r w:rsidR="003B0227">
        <w:t>-</w:t>
      </w:r>
      <w:r w:rsidR="00440BDC" w:rsidRPr="00295DEC">
        <w:t xml:space="preserve">making, </w:t>
      </w:r>
      <w:r w:rsidR="00D4026E" w:rsidRPr="00295DEC">
        <w:t>while</w:t>
      </w:r>
      <w:r w:rsidR="00440BDC" w:rsidRPr="00295DEC">
        <w:t xml:space="preserve"> approximately 10 </w:t>
      </w:r>
      <w:r w:rsidR="008E24E1">
        <w:t>per cent</w:t>
      </w:r>
      <w:r w:rsidR="00440BDC" w:rsidRPr="00295DEC">
        <w:t xml:space="preserve"> of submitters stated that the carbon price </w:t>
      </w:r>
      <w:r w:rsidR="00D4026E" w:rsidRPr="00295DEC">
        <w:t>has no</w:t>
      </w:r>
      <w:r w:rsidR="00440BDC" w:rsidRPr="00295DEC">
        <w:t xml:space="preserve"> impact their investment decision</w:t>
      </w:r>
      <w:r w:rsidR="003B0227">
        <w:t>-</w:t>
      </w:r>
      <w:r w:rsidR="00440BDC" w:rsidRPr="00295DEC">
        <w:t xml:space="preserve">making. The remaining submitters </w:t>
      </w:r>
      <w:r w:rsidR="00E4212E">
        <w:t>(</w:t>
      </w:r>
      <w:r w:rsidR="00C2449D">
        <w:t>approximately</w:t>
      </w:r>
      <w:r w:rsidR="00417ECA">
        <w:t xml:space="preserve"> 20 per cent</w:t>
      </w:r>
      <w:r w:rsidR="00E4212E">
        <w:t>)</w:t>
      </w:r>
      <w:r w:rsidR="00440BDC" w:rsidRPr="00295DEC">
        <w:t xml:space="preserve"> </w:t>
      </w:r>
      <w:r w:rsidR="003B0227">
        <w:t>who</w:t>
      </w:r>
      <w:r w:rsidR="00440BDC" w:rsidRPr="00295DEC">
        <w:t xml:space="preserve"> addressed this question </w:t>
      </w:r>
      <w:r w:rsidR="0074162C" w:rsidRPr="00295DEC">
        <w:t>did not provide a specific view in their answer</w:t>
      </w:r>
      <w:r w:rsidR="00440BDC" w:rsidRPr="00295DEC">
        <w:t xml:space="preserve">, with some </w:t>
      </w:r>
      <w:r w:rsidR="00D4026E" w:rsidRPr="00295DEC">
        <w:t xml:space="preserve">submitters noting </w:t>
      </w:r>
      <w:r w:rsidR="00440BDC" w:rsidRPr="00295DEC">
        <w:t>that they d</w:t>
      </w:r>
      <w:r w:rsidR="00D4026E" w:rsidRPr="00295DEC">
        <w:t>o</w:t>
      </w:r>
      <w:r w:rsidR="00440BDC" w:rsidRPr="00295DEC">
        <w:t xml:space="preserve"> not make investment decisions relating to forestry.</w:t>
      </w:r>
    </w:p>
    <w:p w:rsidR="003D6011" w:rsidRDefault="00E4212E" w:rsidP="003D6011">
      <w:pPr>
        <w:pStyle w:val="Heading4"/>
      </w:pPr>
      <w:r>
        <w:t>Factors outside the NZ ETS drive investment</w:t>
      </w:r>
    </w:p>
    <w:p w:rsidR="00440BDC" w:rsidRDefault="00440BDC" w:rsidP="00B8466E">
      <w:r>
        <w:t xml:space="preserve">Submitters </w:t>
      </w:r>
      <w:r w:rsidR="003B0227">
        <w:t xml:space="preserve">who </w:t>
      </w:r>
      <w:r>
        <w:t xml:space="preserve">commented </w:t>
      </w:r>
      <w:r w:rsidR="0074162C">
        <w:t xml:space="preserve">that </w:t>
      </w:r>
      <w:r>
        <w:t>the NZU price does not impact their forestry investment decisions often pointed to other factor</w:t>
      </w:r>
      <w:r w:rsidR="00D4026E">
        <w:t>s</w:t>
      </w:r>
      <w:r>
        <w:t xml:space="preserve"> as primary </w:t>
      </w:r>
      <w:r w:rsidR="0074162C">
        <w:t>drivers</w:t>
      </w:r>
      <w:r>
        <w:t xml:space="preserve"> </w:t>
      </w:r>
      <w:r w:rsidR="00D4026E">
        <w:t>their</w:t>
      </w:r>
      <w:r>
        <w:t xml:space="preserve"> decision</w:t>
      </w:r>
      <w:r w:rsidR="003B0227">
        <w:t>-</w:t>
      </w:r>
      <w:r w:rsidR="00D4026E">
        <w:t>making</w:t>
      </w:r>
      <w:r>
        <w:t xml:space="preserve">, such as the timber market and prevailing log prices. Some other submitters noted </w:t>
      </w:r>
      <w:r w:rsidR="00D4026E">
        <w:t xml:space="preserve">that in some </w:t>
      </w:r>
      <w:r>
        <w:t>cases</w:t>
      </w:r>
      <w:r w:rsidR="0074162C">
        <w:t xml:space="preserve"> </w:t>
      </w:r>
      <w:r>
        <w:t>the carbon price no longer affects forestry investment decision</w:t>
      </w:r>
      <w:r w:rsidR="003B0227">
        <w:t>-</w:t>
      </w:r>
      <w:r>
        <w:t xml:space="preserve">making due to a lack of confidence in the NZ ETS. </w:t>
      </w:r>
    </w:p>
    <w:p w:rsidR="00440BDC" w:rsidRPr="00DF4591" w:rsidRDefault="00440BDC" w:rsidP="00DF4591">
      <w:pPr>
        <w:ind w:left="567" w:right="567"/>
        <w:rPr>
          <w:sz w:val="21"/>
          <w:szCs w:val="21"/>
        </w:rPr>
      </w:pPr>
      <w:r w:rsidRPr="00DF4591">
        <w:rPr>
          <w:sz w:val="21"/>
          <w:szCs w:val="21"/>
        </w:rPr>
        <w:t xml:space="preserve">“I do not believe it is sensible to plant forestry if there </w:t>
      </w:r>
      <w:proofErr w:type="gramStart"/>
      <w:r w:rsidRPr="00DF4591">
        <w:rPr>
          <w:sz w:val="21"/>
          <w:szCs w:val="21"/>
        </w:rPr>
        <w:t>is not reasonable economic reasons</w:t>
      </w:r>
      <w:proofErr w:type="gramEnd"/>
      <w:r w:rsidRPr="00DF4591">
        <w:rPr>
          <w:sz w:val="21"/>
          <w:szCs w:val="21"/>
        </w:rPr>
        <w:t xml:space="preserve"> to plant for forestry products. Carbon might be an additional fillip to the price, but as a political market, it is high risk to plant with that as the main driver.” (</w:t>
      </w:r>
      <w:proofErr w:type="spellStart"/>
      <w:r w:rsidRPr="00DF4591">
        <w:rPr>
          <w:sz w:val="21"/>
          <w:szCs w:val="21"/>
        </w:rPr>
        <w:t>Castlepoint</w:t>
      </w:r>
      <w:proofErr w:type="spellEnd"/>
      <w:r w:rsidRPr="00DF4591">
        <w:rPr>
          <w:sz w:val="21"/>
          <w:szCs w:val="21"/>
        </w:rPr>
        <w:t xml:space="preserve"> Station Ltd</w:t>
      </w:r>
      <w:proofErr w:type="gramStart"/>
      <w:r w:rsidRPr="00DF4591">
        <w:rPr>
          <w:sz w:val="21"/>
          <w:szCs w:val="21"/>
        </w:rPr>
        <w:t>./</w:t>
      </w:r>
      <w:proofErr w:type="gramEnd"/>
      <w:r w:rsidRPr="00DF4591">
        <w:rPr>
          <w:sz w:val="21"/>
          <w:szCs w:val="21"/>
        </w:rPr>
        <w:t xml:space="preserve">Wai Ngaio Ltd, </w:t>
      </w:r>
      <w:r w:rsidR="00ED2C81">
        <w:rPr>
          <w:sz w:val="21"/>
          <w:szCs w:val="21"/>
        </w:rPr>
        <w:t>05006</w:t>
      </w:r>
      <w:r w:rsidRPr="00DF4591">
        <w:rPr>
          <w:sz w:val="21"/>
          <w:szCs w:val="21"/>
        </w:rPr>
        <w:t>)</w:t>
      </w:r>
    </w:p>
    <w:p w:rsidR="00440BDC" w:rsidRPr="00DF4591" w:rsidRDefault="00440BDC" w:rsidP="00DF4591">
      <w:pPr>
        <w:ind w:left="567" w:right="567"/>
        <w:rPr>
          <w:sz w:val="21"/>
          <w:szCs w:val="21"/>
        </w:rPr>
      </w:pPr>
      <w:r w:rsidRPr="00DF4591">
        <w:rPr>
          <w:sz w:val="21"/>
          <w:szCs w:val="21"/>
        </w:rPr>
        <w:t xml:space="preserve">“The Dunedin City Council currently manages its own forestry activities (for example, in reserves) in accordance with operational priorities, rather than in response to NZU pricing. The Dunedin City Council does not currently plan to increase its forestry investments.” (Dunedin City Council, </w:t>
      </w:r>
      <w:r w:rsidR="00ED2C81">
        <w:rPr>
          <w:sz w:val="21"/>
          <w:szCs w:val="21"/>
        </w:rPr>
        <w:t>04013</w:t>
      </w:r>
      <w:r w:rsidRPr="00DF4591">
        <w:rPr>
          <w:sz w:val="21"/>
          <w:szCs w:val="21"/>
        </w:rPr>
        <w:t xml:space="preserve">) </w:t>
      </w:r>
    </w:p>
    <w:p w:rsidR="00440BDC" w:rsidRPr="00DF4591" w:rsidRDefault="00440BDC" w:rsidP="00DF4591">
      <w:pPr>
        <w:ind w:left="567" w:right="567"/>
        <w:rPr>
          <w:sz w:val="21"/>
          <w:szCs w:val="21"/>
        </w:rPr>
      </w:pPr>
      <w:r w:rsidRPr="00DF4591">
        <w:rPr>
          <w:sz w:val="21"/>
          <w:szCs w:val="21"/>
        </w:rPr>
        <w:t xml:space="preserve">“Some </w:t>
      </w:r>
      <w:r w:rsidR="0074162C" w:rsidRPr="00DF4591">
        <w:rPr>
          <w:sz w:val="21"/>
          <w:szCs w:val="21"/>
        </w:rPr>
        <w:t xml:space="preserve">[in the forestry sector] </w:t>
      </w:r>
      <w:r w:rsidRPr="00DF4591">
        <w:rPr>
          <w:sz w:val="21"/>
          <w:szCs w:val="21"/>
        </w:rPr>
        <w:t xml:space="preserve">are now sufficiently disillusioned that no carbon price will entice them to enter the ETS. For most, economic rationale will likely prevail, but they can be expected to require more reassurance than previously especially given that they have to manage the liability that comes with the credit.” (Blakely Pacific Limited, </w:t>
      </w:r>
      <w:r w:rsidR="00091D85">
        <w:rPr>
          <w:sz w:val="21"/>
          <w:szCs w:val="21"/>
        </w:rPr>
        <w:t>00017</w:t>
      </w:r>
      <w:r w:rsidRPr="00DF4591">
        <w:rPr>
          <w:sz w:val="21"/>
          <w:szCs w:val="21"/>
        </w:rPr>
        <w:t xml:space="preserve">) </w:t>
      </w:r>
    </w:p>
    <w:p w:rsidR="003D6011" w:rsidRPr="00256641" w:rsidRDefault="003D6011" w:rsidP="003D6011">
      <w:pPr>
        <w:pStyle w:val="Heading4"/>
      </w:pPr>
      <w:r>
        <w:t>NZU price is a key driver</w:t>
      </w:r>
      <w:r w:rsidR="00E4212E">
        <w:t xml:space="preserve"> for some</w:t>
      </w:r>
    </w:p>
    <w:p w:rsidR="00440BDC" w:rsidRDefault="00440BDC" w:rsidP="00B8466E">
      <w:r>
        <w:t xml:space="preserve">Submitters that stated they are impacted by the </w:t>
      </w:r>
      <w:r w:rsidR="003E5314">
        <w:t>carbon</w:t>
      </w:r>
      <w:r>
        <w:t xml:space="preserve"> price when making forestry investment decisions often noted that the </w:t>
      </w:r>
      <w:r w:rsidR="003E5314">
        <w:t>NZU</w:t>
      </w:r>
      <w:r>
        <w:t xml:space="preserve"> price can be a primary driver for forestry investment, particularly </w:t>
      </w:r>
      <w:r w:rsidR="0074162C">
        <w:t>for</w:t>
      </w:r>
      <w:r>
        <w:t xml:space="preserve"> new planting. Some submitters discussed the impact of different NZU prices on forestry </w:t>
      </w:r>
      <w:r>
        <w:lastRenderedPageBreak/>
        <w:t>investment decision</w:t>
      </w:r>
      <w:r w:rsidR="00450166">
        <w:t>-</w:t>
      </w:r>
      <w:r>
        <w:t xml:space="preserve">making, with a number of submitters noting that a minimum price is required for the NZ ETS to affect their behaviour. </w:t>
      </w:r>
    </w:p>
    <w:p w:rsidR="00440BDC" w:rsidRPr="00DF4591" w:rsidRDefault="00440BDC" w:rsidP="00DF4591">
      <w:pPr>
        <w:ind w:left="567" w:right="567"/>
        <w:rPr>
          <w:sz w:val="21"/>
          <w:szCs w:val="21"/>
        </w:rPr>
      </w:pPr>
      <w:r w:rsidRPr="00DF4591">
        <w:rPr>
          <w:sz w:val="21"/>
          <w:szCs w:val="21"/>
        </w:rPr>
        <w:t>“Our analysis indicates that a well-supported NZU price will enable City Forests to compete effectively for rural land that is suitable for high</w:t>
      </w:r>
      <w:r w:rsidR="003E5314" w:rsidRPr="00DF4591">
        <w:rPr>
          <w:sz w:val="21"/>
          <w:szCs w:val="21"/>
        </w:rPr>
        <w:t xml:space="preserve">ly productive forestry </w:t>
      </w:r>
      <w:r w:rsidRPr="00DF4591">
        <w:rPr>
          <w:sz w:val="21"/>
          <w:szCs w:val="21"/>
        </w:rPr>
        <w:t xml:space="preserve">[…] Market prices for wood products will also have an influence but this can be reflected in an increased level of interest in existing forest plantations rather than in new forest investment. Carbon uniquely provides a level of cash-flow in the early part of a forest investment cycle where the returns are 30 years hence.” (City Forests, </w:t>
      </w:r>
      <w:r w:rsidR="00FF52FE">
        <w:rPr>
          <w:sz w:val="21"/>
          <w:szCs w:val="21"/>
        </w:rPr>
        <w:t>00032</w:t>
      </w:r>
      <w:r w:rsidRPr="00DF4591">
        <w:rPr>
          <w:sz w:val="21"/>
          <w:szCs w:val="21"/>
        </w:rPr>
        <w:t>)</w:t>
      </w:r>
    </w:p>
    <w:p w:rsidR="00440BDC" w:rsidRPr="00DF4591" w:rsidRDefault="00440BDC" w:rsidP="00DF4591">
      <w:pPr>
        <w:ind w:left="567" w:right="567"/>
        <w:rPr>
          <w:sz w:val="21"/>
          <w:szCs w:val="21"/>
        </w:rPr>
      </w:pPr>
      <w:r w:rsidRPr="00DF4591">
        <w:rPr>
          <w:sz w:val="21"/>
          <w:szCs w:val="21"/>
        </w:rPr>
        <w:t>“NZU prices under $15 have nominal impact upon our decisions, prices over $15 encourage us to consider carbon trading of our units, or further land purchase for forestry development. Log price is the major factor when carbon prices are low.” (The </w:t>
      </w:r>
      <w:proofErr w:type="spellStart"/>
      <w:r w:rsidRPr="00DF4591">
        <w:rPr>
          <w:sz w:val="21"/>
          <w:szCs w:val="21"/>
        </w:rPr>
        <w:t>Omapere</w:t>
      </w:r>
      <w:proofErr w:type="spellEnd"/>
      <w:r w:rsidRPr="00DF4591">
        <w:rPr>
          <w:sz w:val="21"/>
          <w:szCs w:val="21"/>
        </w:rPr>
        <w:t xml:space="preserve"> </w:t>
      </w:r>
      <w:proofErr w:type="spellStart"/>
      <w:r w:rsidRPr="00DF4591">
        <w:rPr>
          <w:sz w:val="21"/>
          <w:szCs w:val="21"/>
        </w:rPr>
        <w:t>Taraire</w:t>
      </w:r>
      <w:proofErr w:type="spellEnd"/>
      <w:r w:rsidRPr="00DF4591">
        <w:rPr>
          <w:sz w:val="21"/>
          <w:szCs w:val="21"/>
        </w:rPr>
        <w:t xml:space="preserve"> E &amp; </w:t>
      </w:r>
      <w:proofErr w:type="spellStart"/>
      <w:r w:rsidRPr="00DF4591">
        <w:rPr>
          <w:sz w:val="21"/>
          <w:szCs w:val="21"/>
        </w:rPr>
        <w:t>Rangihamama</w:t>
      </w:r>
      <w:proofErr w:type="spellEnd"/>
      <w:r w:rsidRPr="00DF4591">
        <w:rPr>
          <w:sz w:val="21"/>
          <w:szCs w:val="21"/>
        </w:rPr>
        <w:t xml:space="preserve"> X3A Ahu Whenua Trust, </w:t>
      </w:r>
      <w:r w:rsidR="00FF52FE">
        <w:rPr>
          <w:sz w:val="21"/>
          <w:szCs w:val="21"/>
        </w:rPr>
        <w:t>05021</w:t>
      </w:r>
      <w:r w:rsidRPr="00DF4591">
        <w:rPr>
          <w:sz w:val="21"/>
          <w:szCs w:val="21"/>
        </w:rPr>
        <w:t>)</w:t>
      </w:r>
    </w:p>
    <w:p w:rsidR="00160C5F" w:rsidRPr="00256641" w:rsidRDefault="00160C5F" w:rsidP="00160C5F">
      <w:pPr>
        <w:pStyle w:val="Heading4"/>
      </w:pPr>
      <w:r>
        <w:t xml:space="preserve">Other factors </w:t>
      </w:r>
      <w:r w:rsidR="00E4212E">
        <w:t>affect the impact of the carbon price</w:t>
      </w:r>
    </w:p>
    <w:p w:rsidR="003D1618" w:rsidRDefault="00440BDC" w:rsidP="00B8466E">
      <w:r w:rsidRPr="003D1618">
        <w:t>Many submitters also discussed other factors that impact their forestry investment decisions</w:t>
      </w:r>
      <w:r w:rsidR="003E5314" w:rsidRPr="003D1618">
        <w:t xml:space="preserve"> alongside the NZU prices</w:t>
      </w:r>
      <w:r w:rsidRPr="003D1618">
        <w:t xml:space="preserve">. </w:t>
      </w:r>
      <w:r w:rsidR="003D1618" w:rsidRPr="003D1618">
        <w:t xml:space="preserve">Common factors raised </w:t>
      </w:r>
      <w:r w:rsidR="006E5869" w:rsidRPr="003D1618">
        <w:t xml:space="preserve">include the impact of wider NZ </w:t>
      </w:r>
      <w:r w:rsidR="003D1618" w:rsidRPr="003D1618">
        <w:t>ETS structural settings and the</w:t>
      </w:r>
      <w:r w:rsidR="006E5869" w:rsidRPr="003D1618">
        <w:t xml:space="preserve"> perceived risk of </w:t>
      </w:r>
      <w:r w:rsidR="003D1618" w:rsidRPr="003D1618">
        <w:t xml:space="preserve">large </w:t>
      </w:r>
      <w:r w:rsidR="006E5869" w:rsidRPr="003D1618">
        <w:t>harvest liabilities</w:t>
      </w:r>
      <w:r w:rsidR="003D1618" w:rsidRPr="003D1618">
        <w:t>.</w:t>
      </w:r>
    </w:p>
    <w:p w:rsidR="00440BDC" w:rsidRDefault="00602C77" w:rsidP="00B8466E">
      <w:r>
        <w:t xml:space="preserve">The </w:t>
      </w:r>
      <w:r w:rsidR="006D184C">
        <w:t>impact</w:t>
      </w:r>
      <w:r w:rsidR="006E5869">
        <w:t xml:space="preserve"> of</w:t>
      </w:r>
      <w:r>
        <w:t xml:space="preserve"> NZ ETS policy stability was often raised</w:t>
      </w:r>
      <w:r w:rsidR="00440BDC">
        <w:t>, with a number of submitters considering policy stability to be a key factor affecting their investment</w:t>
      </w:r>
      <w:r>
        <w:t>s</w:t>
      </w:r>
      <w:r w:rsidR="00440BDC">
        <w:t xml:space="preserve"> alongside the NZU price. These submitters often </w:t>
      </w:r>
      <w:r>
        <w:t xml:space="preserve">emphasised </w:t>
      </w:r>
      <w:r w:rsidR="00440BDC">
        <w:t xml:space="preserve">the importance of policy stability and confidence in the NZ ETS </w:t>
      </w:r>
      <w:r w:rsidR="00450166">
        <w:t>with regard to</w:t>
      </w:r>
      <w:r w:rsidR="00440BDC">
        <w:t xml:space="preserve"> the long investment timeframes for forestry.</w:t>
      </w:r>
    </w:p>
    <w:p w:rsidR="00440BDC" w:rsidRPr="00DF4591" w:rsidRDefault="00440BDC" w:rsidP="00DF4591">
      <w:pPr>
        <w:ind w:left="567" w:right="567"/>
        <w:rPr>
          <w:sz w:val="21"/>
          <w:szCs w:val="21"/>
        </w:rPr>
      </w:pPr>
      <w:r w:rsidRPr="00DF4591">
        <w:rPr>
          <w:sz w:val="21"/>
          <w:szCs w:val="21"/>
        </w:rPr>
        <w:t xml:space="preserve">“Carbon price has a huge impact on forestry investment decision making. […] A forestry investment generally has a term of 20-30 years; therefore stability and certainty around the price range at which NZU trades over the life of the forestry investment matters to forestry investment decision making. Policy stability is required, with cross party support ensuring certainty around carbon price that trades within a range, over periods greater than one election cycle.” (PF Olsen, </w:t>
      </w:r>
      <w:r w:rsidR="00455856">
        <w:rPr>
          <w:sz w:val="21"/>
          <w:szCs w:val="21"/>
        </w:rPr>
        <w:t>00006</w:t>
      </w:r>
      <w:r w:rsidRPr="00DF4591">
        <w:rPr>
          <w:sz w:val="21"/>
          <w:szCs w:val="21"/>
        </w:rPr>
        <w:t>)</w:t>
      </w:r>
    </w:p>
    <w:p w:rsidR="00440BDC" w:rsidRPr="00DF4591" w:rsidRDefault="00440BDC" w:rsidP="00DF4591">
      <w:pPr>
        <w:ind w:left="567" w:right="567"/>
        <w:rPr>
          <w:sz w:val="21"/>
          <w:szCs w:val="21"/>
        </w:rPr>
      </w:pPr>
      <w:r w:rsidRPr="00DF4591">
        <w:rPr>
          <w:sz w:val="21"/>
          <w:szCs w:val="21"/>
        </w:rPr>
        <w:t>“The key points for us in terms of the scheme are that it needs to provide more certainty. There are currently too many if, but, maybe scenarios within the scheme. This is skewing the market for carbon and in effect pushing the price artificially downward. This is discouraging the planting of more trees and undermining the abilities of New Zealand to meet its international obligations in a post 2020 world.” (</w:t>
      </w:r>
      <w:proofErr w:type="spellStart"/>
      <w:r w:rsidRPr="00DF4591">
        <w:rPr>
          <w:sz w:val="21"/>
          <w:szCs w:val="21"/>
        </w:rPr>
        <w:t>Te</w:t>
      </w:r>
      <w:proofErr w:type="spellEnd"/>
      <w:r w:rsidRPr="00DF4591">
        <w:rPr>
          <w:sz w:val="21"/>
          <w:szCs w:val="21"/>
        </w:rPr>
        <w:t xml:space="preserve"> </w:t>
      </w:r>
      <w:proofErr w:type="spellStart"/>
      <w:r w:rsidRPr="00DF4591">
        <w:rPr>
          <w:sz w:val="21"/>
          <w:szCs w:val="21"/>
        </w:rPr>
        <w:t>Rūnanga</w:t>
      </w:r>
      <w:proofErr w:type="spellEnd"/>
      <w:r w:rsidRPr="00DF4591">
        <w:rPr>
          <w:sz w:val="21"/>
          <w:szCs w:val="21"/>
        </w:rPr>
        <w:t xml:space="preserve"> o </w:t>
      </w:r>
      <w:proofErr w:type="spellStart"/>
      <w:r w:rsidRPr="00DF4591">
        <w:rPr>
          <w:sz w:val="21"/>
          <w:szCs w:val="21"/>
        </w:rPr>
        <w:t>Ngāti</w:t>
      </w:r>
      <w:proofErr w:type="spellEnd"/>
      <w:r w:rsidRPr="00DF4591">
        <w:rPr>
          <w:sz w:val="21"/>
          <w:szCs w:val="21"/>
        </w:rPr>
        <w:t xml:space="preserve"> </w:t>
      </w:r>
      <w:proofErr w:type="spellStart"/>
      <w:proofErr w:type="gramStart"/>
      <w:r w:rsidRPr="00DF4591">
        <w:rPr>
          <w:sz w:val="21"/>
          <w:szCs w:val="21"/>
        </w:rPr>
        <w:t>Apa</w:t>
      </w:r>
      <w:proofErr w:type="spellEnd"/>
      <w:proofErr w:type="gramEnd"/>
      <w:r w:rsidRPr="00DF4591">
        <w:rPr>
          <w:sz w:val="21"/>
          <w:szCs w:val="21"/>
        </w:rPr>
        <w:t xml:space="preserve">, </w:t>
      </w:r>
      <w:r w:rsidR="00091D85">
        <w:rPr>
          <w:sz w:val="21"/>
          <w:szCs w:val="21"/>
        </w:rPr>
        <w:t>03011</w:t>
      </w:r>
      <w:r w:rsidRPr="00DF4591">
        <w:rPr>
          <w:sz w:val="21"/>
          <w:szCs w:val="21"/>
        </w:rPr>
        <w:t>)</w:t>
      </w:r>
    </w:p>
    <w:p w:rsidR="00D47573" w:rsidRDefault="0040636D" w:rsidP="00BB6B36">
      <w:pPr>
        <w:pStyle w:val="Heading2"/>
        <w:spacing w:before="240"/>
      </w:pPr>
      <w:bookmarkStart w:id="33" w:name="_Toc463270130"/>
      <w:r>
        <w:t>6</w:t>
      </w:r>
      <w:r w:rsidR="00BB6B36">
        <w:t xml:space="preserve">.2 </w:t>
      </w:r>
      <w:r w:rsidR="00BB6B36">
        <w:tab/>
        <w:t>Are there opportunities for the NZ ETS to increase incentives for forestry investments, outside of NZU price?</w:t>
      </w:r>
      <w:r w:rsidR="00440BDC">
        <w:t xml:space="preserve"> What are your reasons for the above answer?</w:t>
      </w:r>
      <w:r w:rsidR="00BB6B36">
        <w:t xml:space="preserve"> </w:t>
      </w:r>
      <w:r w:rsidR="007B4240">
        <w:t>(Question 14 and 15)</w:t>
      </w:r>
      <w:bookmarkEnd w:id="33"/>
    </w:p>
    <w:p w:rsidR="00440BDC" w:rsidRDefault="00440BDC" w:rsidP="00B8466E">
      <w:r w:rsidRPr="00884062">
        <w:t>In total, 1</w:t>
      </w:r>
      <w:r w:rsidR="006A6519">
        <w:t>1</w:t>
      </w:r>
      <w:r w:rsidRPr="00884062">
        <w:t xml:space="preserve">8 </w:t>
      </w:r>
      <w:r w:rsidR="00C27668">
        <w:t>submitters</w:t>
      </w:r>
      <w:r w:rsidR="00C27668" w:rsidRPr="00884062">
        <w:t xml:space="preserve"> </w:t>
      </w:r>
      <w:r>
        <w:t>addressed this question in their submission</w:t>
      </w:r>
      <w:r w:rsidR="006D184C">
        <w:t xml:space="preserve">, and </w:t>
      </w:r>
      <w:r w:rsidR="00EE13F5">
        <w:t>approx</w:t>
      </w:r>
      <w:r w:rsidR="004424EE">
        <w:t>imately</w:t>
      </w:r>
      <w:r w:rsidR="00EE13F5">
        <w:t xml:space="preserve"> </w:t>
      </w:r>
      <w:r>
        <w:t>6</w:t>
      </w:r>
      <w:r w:rsidR="006A6519">
        <w:t>5</w:t>
      </w:r>
      <w:r>
        <w:t xml:space="preserve"> </w:t>
      </w:r>
      <w:r w:rsidR="008E24E1">
        <w:t>per cent</w:t>
      </w:r>
      <w:r>
        <w:t xml:space="preserve"> commented that there are opportunities for the NZ ETS to increase incentives for forestry investment outside of NZU price. Approximately </w:t>
      </w:r>
      <w:r w:rsidR="006A6519">
        <w:t>10</w:t>
      </w:r>
      <w:r w:rsidR="00450166">
        <w:t xml:space="preserve"> </w:t>
      </w:r>
      <w:r w:rsidR="008E24E1">
        <w:t>per cent</w:t>
      </w:r>
      <w:r>
        <w:t xml:space="preserve"> of submitters thought there</w:t>
      </w:r>
      <w:r w:rsidR="002E1A7E">
        <w:t xml:space="preserve"> were no other opportunities,</w:t>
      </w:r>
      <w:r>
        <w:t xml:space="preserve"> while the remaining submitters commented that they were unsure or did not provide a specific position in their answer.</w:t>
      </w:r>
    </w:p>
    <w:p w:rsidR="002E1A7E" w:rsidRDefault="00440BDC" w:rsidP="00B8466E">
      <w:r>
        <w:lastRenderedPageBreak/>
        <w:t xml:space="preserve">Submitters </w:t>
      </w:r>
      <w:r w:rsidR="002E1A7E">
        <w:t xml:space="preserve">that </w:t>
      </w:r>
      <w:r>
        <w:t xml:space="preserve">considered that there were no </w:t>
      </w:r>
      <w:r w:rsidR="002E1A7E">
        <w:t xml:space="preserve">additional </w:t>
      </w:r>
      <w:r>
        <w:t xml:space="preserve">opportunities for the NZ ETS to increase forestry investments often </w:t>
      </w:r>
      <w:r w:rsidR="002E1A7E">
        <w:t xml:space="preserve">emphasised </w:t>
      </w:r>
      <w:r w:rsidR="006D184C">
        <w:t xml:space="preserve">the importance of price, and noted that the </w:t>
      </w:r>
      <w:r w:rsidR="002E1A7E">
        <w:t>NZU price</w:t>
      </w:r>
      <w:r>
        <w:t xml:space="preserve"> was the key </w:t>
      </w:r>
      <w:r w:rsidR="002E1A7E">
        <w:t xml:space="preserve">incentive for forestry investment provided by the NZ ETS. </w:t>
      </w:r>
    </w:p>
    <w:p w:rsidR="00440BDC" w:rsidRPr="00DF4591" w:rsidRDefault="00440BDC" w:rsidP="00DF4591">
      <w:pPr>
        <w:ind w:left="567" w:right="567"/>
        <w:rPr>
          <w:sz w:val="21"/>
          <w:szCs w:val="21"/>
        </w:rPr>
      </w:pPr>
      <w:r w:rsidRPr="00DF4591">
        <w:rPr>
          <w:sz w:val="21"/>
          <w:szCs w:val="21"/>
        </w:rPr>
        <w:t xml:space="preserve">“Price is the strongest signal a market based mechanism can deliver. We actively considered funding a forestry investment based on the carbon until the value fell to a level [where] it is meaningless.” (Individual, </w:t>
      </w:r>
      <w:r w:rsidR="00506A5C">
        <w:rPr>
          <w:sz w:val="21"/>
          <w:szCs w:val="21"/>
        </w:rPr>
        <w:t>02007</w:t>
      </w:r>
      <w:r w:rsidRPr="00DF4591">
        <w:rPr>
          <w:sz w:val="21"/>
          <w:szCs w:val="21"/>
        </w:rPr>
        <w:t>)</w:t>
      </w:r>
    </w:p>
    <w:p w:rsidR="00160C5F" w:rsidRDefault="00160C5F" w:rsidP="00160C5F">
      <w:pPr>
        <w:pStyle w:val="Heading4"/>
      </w:pPr>
      <w:r>
        <w:t xml:space="preserve">Increasing policy stability </w:t>
      </w:r>
    </w:p>
    <w:p w:rsidR="00475B65" w:rsidRPr="006D184C" w:rsidRDefault="00440BDC" w:rsidP="00B8466E">
      <w:r w:rsidRPr="006D184C">
        <w:t xml:space="preserve">Submitters </w:t>
      </w:r>
      <w:r w:rsidR="00450166">
        <w:t>who</w:t>
      </w:r>
      <w:r w:rsidR="00450166" w:rsidRPr="006D184C">
        <w:t xml:space="preserve"> </w:t>
      </w:r>
      <w:r w:rsidR="002E1A7E" w:rsidRPr="006D184C">
        <w:t>commented on</w:t>
      </w:r>
      <w:r w:rsidRPr="006D184C">
        <w:t xml:space="preserve"> opportunities for the NZ ETS to increase </w:t>
      </w:r>
      <w:r w:rsidR="00450166">
        <w:t xml:space="preserve">the </w:t>
      </w:r>
      <w:r w:rsidRPr="006D184C">
        <w:t xml:space="preserve">incentives for forestry investment </w:t>
      </w:r>
      <w:r w:rsidR="00450166">
        <w:t>(</w:t>
      </w:r>
      <w:r w:rsidRPr="006D184C">
        <w:t>outside of NZU price</w:t>
      </w:r>
      <w:r w:rsidR="004424EE">
        <w:t>)</w:t>
      </w:r>
      <w:r w:rsidRPr="006D184C">
        <w:t xml:space="preserve"> highlighted a range</w:t>
      </w:r>
      <w:r w:rsidR="00475B65" w:rsidRPr="006D184C">
        <w:t xml:space="preserve"> of possibilities</w:t>
      </w:r>
      <w:r w:rsidR="00963D49">
        <w:t xml:space="preserve">. </w:t>
      </w:r>
      <w:r w:rsidRPr="006D184C">
        <w:t xml:space="preserve">Many submitters commented that increased long-term policy stability and predictability </w:t>
      </w:r>
      <w:r w:rsidR="00475B65" w:rsidRPr="006D184C">
        <w:t xml:space="preserve">is </w:t>
      </w:r>
      <w:r w:rsidR="00963D49">
        <w:t>required</w:t>
      </w:r>
      <w:r w:rsidR="00475B65" w:rsidRPr="006D184C">
        <w:t xml:space="preserve"> for the NZ ETS to increase inc</w:t>
      </w:r>
      <w:r w:rsidR="00963D49">
        <w:t>entives for forestry investment</w:t>
      </w:r>
      <w:r w:rsidR="00475B65" w:rsidRPr="006D184C">
        <w:t xml:space="preserve">. These submitters often pointed to </w:t>
      </w:r>
      <w:r w:rsidR="00963D49">
        <w:t>the long</w:t>
      </w:r>
      <w:r w:rsidR="00450166">
        <w:t>-</w:t>
      </w:r>
      <w:r w:rsidR="00963D49">
        <w:t>term investment horizon</w:t>
      </w:r>
      <w:r w:rsidR="00475B65" w:rsidRPr="006D184C">
        <w:t xml:space="preserve"> associated with forestry and the resulting need for</w:t>
      </w:r>
      <w:r w:rsidR="00CB453E" w:rsidRPr="006D184C">
        <w:t xml:space="preserve"> long</w:t>
      </w:r>
      <w:r w:rsidR="00450166">
        <w:t>-</w:t>
      </w:r>
      <w:r w:rsidR="00CB453E" w:rsidRPr="006D184C">
        <w:t>term confidence</w:t>
      </w:r>
      <w:r w:rsidR="00475B65" w:rsidRPr="006D184C">
        <w:t xml:space="preserve"> in the NZ ETS.</w:t>
      </w:r>
    </w:p>
    <w:p w:rsidR="00440BDC" w:rsidRPr="00DF4591" w:rsidRDefault="00440BDC" w:rsidP="00DF4591">
      <w:pPr>
        <w:ind w:left="567" w:right="567"/>
        <w:rPr>
          <w:sz w:val="21"/>
          <w:szCs w:val="21"/>
        </w:rPr>
      </w:pPr>
      <w:r w:rsidRPr="00DF4591">
        <w:rPr>
          <w:sz w:val="21"/>
          <w:szCs w:val="21"/>
        </w:rPr>
        <w:t xml:space="preserve">“Forestry investments depend on long-term planning and predictable policy with respect to accounting for carbon benefits and liabilities. The best incentive for forestry, aside from a carbon price that makes carbon forestry profitable, is a clear long-term plan for reducing emissions that makes clear that forestry is and will continue to be a key part of climate mitigation efforts.” (Carbon Farm Limited, </w:t>
      </w:r>
      <w:r w:rsidR="005977A0">
        <w:rPr>
          <w:sz w:val="21"/>
          <w:szCs w:val="21"/>
        </w:rPr>
        <w:t>00121</w:t>
      </w:r>
      <w:r w:rsidRPr="00DF4591">
        <w:rPr>
          <w:sz w:val="21"/>
          <w:szCs w:val="21"/>
        </w:rPr>
        <w:t>)</w:t>
      </w:r>
    </w:p>
    <w:p w:rsidR="00440BDC" w:rsidRPr="00DF4591" w:rsidRDefault="00440BDC" w:rsidP="00DF4591">
      <w:pPr>
        <w:ind w:left="567" w:right="567"/>
        <w:rPr>
          <w:sz w:val="21"/>
          <w:szCs w:val="21"/>
        </w:rPr>
      </w:pPr>
      <w:r w:rsidRPr="00DF4591">
        <w:rPr>
          <w:sz w:val="21"/>
          <w:szCs w:val="21"/>
        </w:rPr>
        <w:t>“Government should remember the integrity of governance is like a fire, once kindled it is easy to maintain but once lost it is an arduous task to rekindle.” (</w:t>
      </w:r>
      <w:r w:rsidR="00506A5C">
        <w:rPr>
          <w:sz w:val="21"/>
          <w:szCs w:val="21"/>
        </w:rPr>
        <w:t>Individual</w:t>
      </w:r>
      <w:r w:rsidRPr="00DF4591">
        <w:rPr>
          <w:sz w:val="21"/>
          <w:szCs w:val="21"/>
        </w:rPr>
        <w:t xml:space="preserve">, </w:t>
      </w:r>
      <w:r w:rsidR="005977A0">
        <w:rPr>
          <w:sz w:val="21"/>
          <w:szCs w:val="21"/>
        </w:rPr>
        <w:t>00125</w:t>
      </w:r>
      <w:r w:rsidRPr="00DF4591">
        <w:rPr>
          <w:sz w:val="21"/>
          <w:szCs w:val="21"/>
        </w:rPr>
        <w:t xml:space="preserve">) </w:t>
      </w:r>
    </w:p>
    <w:p w:rsidR="00160C5F" w:rsidRDefault="00160C5F" w:rsidP="00160C5F">
      <w:pPr>
        <w:pStyle w:val="Heading4"/>
      </w:pPr>
      <w:r>
        <w:t>Changes to accounting approaches for post-1989 forestry</w:t>
      </w:r>
    </w:p>
    <w:p w:rsidR="00440BDC" w:rsidRPr="00A21EA9" w:rsidRDefault="00440BDC" w:rsidP="00B8466E">
      <w:r>
        <w:t xml:space="preserve">Another common </w:t>
      </w:r>
      <w:r w:rsidR="00963D49">
        <w:t>opportunity</w:t>
      </w:r>
      <w:r>
        <w:t xml:space="preserve"> </w:t>
      </w:r>
      <w:r w:rsidR="00CB453E">
        <w:t xml:space="preserve">discussed was </w:t>
      </w:r>
      <w:r>
        <w:t>introduc</w:t>
      </w:r>
      <w:r w:rsidR="00963D49">
        <w:t>ing</w:t>
      </w:r>
      <w:r>
        <w:t xml:space="preserve"> changes to the accounting approach for post-1989 forestry</w:t>
      </w:r>
      <w:r w:rsidR="00963D49">
        <w:t xml:space="preserve">, which </w:t>
      </w:r>
      <w:r w:rsidR="004424EE">
        <w:t>c</w:t>
      </w:r>
      <w:r w:rsidR="00CB453E">
        <w:t>ould make the NZ ETS more attractive</w:t>
      </w:r>
      <w:r>
        <w:t xml:space="preserve">. A number of submitters commented the current harvest liability was often </w:t>
      </w:r>
      <w:r w:rsidR="00963D49">
        <w:t>seen</w:t>
      </w:r>
      <w:r>
        <w:t xml:space="preserve"> as a barrier to entering the NZ ETS</w:t>
      </w:r>
      <w:r w:rsidR="00963D49">
        <w:t>. T</w:t>
      </w:r>
      <w:r w:rsidR="00CB453E">
        <w:t>hese submitters discussed</w:t>
      </w:r>
      <w:r w:rsidR="00963D49">
        <w:t xml:space="preserve"> the possible benefits of alte</w:t>
      </w:r>
      <w:r w:rsidR="00CB453E">
        <w:t>rnative accounting options</w:t>
      </w:r>
      <w:r w:rsidR="000A1500" w:rsidRPr="000A1500">
        <w:t xml:space="preserve"> </w:t>
      </w:r>
      <w:r w:rsidR="000A1500">
        <w:t>that would reduce this barrier</w:t>
      </w:r>
      <w:r w:rsidR="00CB453E">
        <w:t xml:space="preserve">, such </w:t>
      </w:r>
      <w:r w:rsidR="000A1500">
        <w:t xml:space="preserve">as </w:t>
      </w:r>
      <w:r w:rsidR="00963D49">
        <w:t xml:space="preserve">deferring liabilities for emissions from </w:t>
      </w:r>
      <w:r>
        <w:t>harvested wood product</w:t>
      </w:r>
      <w:r w:rsidR="000A1500">
        <w:t>s</w:t>
      </w:r>
      <w:r>
        <w:t xml:space="preserve"> or </w:t>
      </w:r>
      <w:r w:rsidR="000A1500">
        <w:t xml:space="preserve">introducing an </w:t>
      </w:r>
      <w:r>
        <w:t xml:space="preserve">averaging approach. </w:t>
      </w:r>
    </w:p>
    <w:p w:rsidR="00440BDC" w:rsidRPr="00DF4591" w:rsidRDefault="00440BDC" w:rsidP="00DF4591">
      <w:pPr>
        <w:ind w:left="567" w:right="567"/>
        <w:rPr>
          <w:sz w:val="21"/>
          <w:szCs w:val="21"/>
        </w:rPr>
      </w:pPr>
      <w:r w:rsidRPr="00DF4591">
        <w:rPr>
          <w:sz w:val="21"/>
          <w:szCs w:val="21"/>
        </w:rPr>
        <w:t xml:space="preserve">“The simplest and most effective incentive is by far the NZU price. However introducing Averaging or including Harvested Wood Products could significantly reduce forestry’s future liabilities, particularly for larger Plantation owners as opposed to narrow-aged Woodlot owners. This could lead to a greater volume of tradable NZUs, which to come extent may compensate for a lower NZU price.” (City Forests, </w:t>
      </w:r>
      <w:r w:rsidR="00FF52FE">
        <w:rPr>
          <w:sz w:val="21"/>
          <w:szCs w:val="21"/>
        </w:rPr>
        <w:t>00032</w:t>
      </w:r>
      <w:r w:rsidRPr="00DF4591">
        <w:rPr>
          <w:sz w:val="21"/>
          <w:szCs w:val="21"/>
        </w:rPr>
        <w:t>)</w:t>
      </w:r>
    </w:p>
    <w:p w:rsidR="00440BDC" w:rsidRPr="00DF4591" w:rsidRDefault="00440BDC" w:rsidP="00DF4591">
      <w:pPr>
        <w:ind w:left="567" w:right="567"/>
        <w:rPr>
          <w:sz w:val="21"/>
          <w:szCs w:val="21"/>
        </w:rPr>
      </w:pPr>
      <w:r w:rsidRPr="00DF4591">
        <w:rPr>
          <w:sz w:val="21"/>
          <w:szCs w:val="21"/>
        </w:rPr>
        <w:t xml:space="preserve">“Efforts need to be made to reduce compliance costs and minimise risk. The optional adoption of accounting to a long-term average is one way of reducing risk for participants.” (Scion (New Zealand Forest Research Institute), </w:t>
      </w:r>
      <w:r w:rsidR="00605B1B">
        <w:rPr>
          <w:sz w:val="21"/>
          <w:szCs w:val="21"/>
        </w:rPr>
        <w:t>00186</w:t>
      </w:r>
      <w:r w:rsidRPr="00DF4591">
        <w:rPr>
          <w:sz w:val="21"/>
          <w:szCs w:val="21"/>
        </w:rPr>
        <w:t>)</w:t>
      </w:r>
    </w:p>
    <w:p w:rsidR="00160C5F" w:rsidRDefault="00160C5F" w:rsidP="00160C5F">
      <w:pPr>
        <w:pStyle w:val="Heading4"/>
      </w:pPr>
      <w:r>
        <w:t>Impact of agriculture’s exclusion from the NZ ETS</w:t>
      </w:r>
    </w:p>
    <w:p w:rsidR="00440BDC" w:rsidRPr="00D27FD0" w:rsidRDefault="00440BDC" w:rsidP="00B8466E">
      <w:r w:rsidRPr="00D27FD0">
        <w:t xml:space="preserve">Although introducing surrender obligations for biological emissions from agriculture is out of scope of the NZ ETS review, a number of </w:t>
      </w:r>
      <w:r w:rsidR="00C27668">
        <w:t>submitters</w:t>
      </w:r>
      <w:r w:rsidR="00C27668" w:rsidRPr="00D27FD0">
        <w:t xml:space="preserve"> </w:t>
      </w:r>
      <w:r w:rsidRPr="00D27FD0">
        <w:t>raised the exclusion of agriculture from the NZ ETS in response to this question. These submitters often commented that excluding biological emissions from agriculture from the NZ ETS impacted land value</w:t>
      </w:r>
      <w:r w:rsidR="00CB453E" w:rsidRPr="00D27FD0">
        <w:t xml:space="preserve"> and land use decisions</w:t>
      </w:r>
      <w:r w:rsidRPr="00D27FD0">
        <w:t xml:space="preserve">, </w:t>
      </w:r>
      <w:r w:rsidR="002A0CE1">
        <w:t>and argued this had flow on effects for incentives for forestry investment</w:t>
      </w:r>
      <w:r w:rsidRPr="00D27FD0">
        <w:t>.</w:t>
      </w:r>
    </w:p>
    <w:p w:rsidR="00440BDC" w:rsidRPr="00DF4591" w:rsidRDefault="00440BDC" w:rsidP="00DF4591">
      <w:pPr>
        <w:ind w:left="567" w:right="567"/>
        <w:rPr>
          <w:sz w:val="21"/>
          <w:szCs w:val="21"/>
        </w:rPr>
      </w:pPr>
      <w:r w:rsidRPr="00DF4591">
        <w:rPr>
          <w:sz w:val="21"/>
          <w:szCs w:val="21"/>
        </w:rPr>
        <w:lastRenderedPageBreak/>
        <w:t xml:space="preserve">“In addition, equitable treatment of sectors is also important; a lack of consistency between sectors has been to forestry’s relative disadvantage since 2008. Making sure all participants have a level playing field that has a predictable set of rules is the best incentive for encouraging forestry.” (Gibbons Forestry Limited, </w:t>
      </w:r>
      <w:r w:rsidR="00605B1B">
        <w:rPr>
          <w:sz w:val="21"/>
          <w:szCs w:val="21"/>
        </w:rPr>
        <w:t>00130</w:t>
      </w:r>
      <w:r w:rsidRPr="00DF4591">
        <w:rPr>
          <w:sz w:val="21"/>
          <w:szCs w:val="21"/>
        </w:rPr>
        <w:t>)</w:t>
      </w:r>
    </w:p>
    <w:p w:rsidR="00440BDC" w:rsidRPr="00DF4591" w:rsidRDefault="00440BDC" w:rsidP="00DF4591">
      <w:pPr>
        <w:ind w:left="567" w:right="567"/>
        <w:rPr>
          <w:sz w:val="21"/>
          <w:szCs w:val="21"/>
        </w:rPr>
      </w:pPr>
      <w:r w:rsidRPr="00DF4591">
        <w:rPr>
          <w:sz w:val="21"/>
          <w:szCs w:val="21"/>
        </w:rPr>
        <w:t xml:space="preserve">“By excluding agriculture from the ETS the price of land becomes skewed. As the agriculturalists are not paying the full cost of their activities they can afford to pay more for the land, and hence forestry is unable to compete for land on price.” (Individual, </w:t>
      </w:r>
      <w:r w:rsidR="00605B1B">
        <w:rPr>
          <w:sz w:val="21"/>
          <w:szCs w:val="21"/>
        </w:rPr>
        <w:t>04003</w:t>
      </w:r>
      <w:r w:rsidRPr="00DF4591">
        <w:rPr>
          <w:sz w:val="21"/>
          <w:szCs w:val="21"/>
        </w:rPr>
        <w:t>)</w:t>
      </w:r>
    </w:p>
    <w:p w:rsidR="00440BDC" w:rsidRDefault="00440BDC" w:rsidP="00B8466E">
      <w:r>
        <w:t>Other opportunities</w:t>
      </w:r>
      <w:r w:rsidR="007D6C30">
        <w:t xml:space="preserve"> </w:t>
      </w:r>
      <w:r w:rsidR="00B0404C">
        <w:t xml:space="preserve">to increase incentives for forestry </w:t>
      </w:r>
      <w:r w:rsidR="007D6C30">
        <w:t>outside of NZU prices</w:t>
      </w:r>
      <w:r w:rsidR="00F67722">
        <w:t xml:space="preserve"> </w:t>
      </w:r>
      <w:r>
        <w:t>included providing more information for potential forestry participants; increas</w:t>
      </w:r>
      <w:r w:rsidR="00B0404C">
        <w:t>ing</w:t>
      </w:r>
      <w:r>
        <w:t xml:space="preserve"> transparency of the NZ ETS; ensuring there was a </w:t>
      </w:r>
      <w:r w:rsidR="00B0404C">
        <w:t xml:space="preserve">high, </w:t>
      </w:r>
      <w:r>
        <w:t>stable carbon price; and</w:t>
      </w:r>
      <w:r w:rsidR="007D6C30">
        <w:t xml:space="preserve"> </w:t>
      </w:r>
      <w:r w:rsidR="00B0404C">
        <w:t>implementing</w:t>
      </w:r>
      <w:r>
        <w:t xml:space="preserve"> operational changes to </w:t>
      </w:r>
      <w:r w:rsidR="00B0404C">
        <w:t>simplify</w:t>
      </w:r>
      <w:r>
        <w:t xml:space="preserve"> the </w:t>
      </w:r>
      <w:r w:rsidR="007D6C30">
        <w:t xml:space="preserve">administration </w:t>
      </w:r>
      <w:r>
        <w:t>of the NZ ETS.</w:t>
      </w:r>
    </w:p>
    <w:p w:rsidR="00440BDC" w:rsidRPr="00440BDC" w:rsidRDefault="00440BDC" w:rsidP="00B8466E">
      <w:pPr>
        <w:rPr>
          <w:i/>
        </w:rPr>
      </w:pPr>
      <w:r w:rsidRPr="00907101">
        <w:t xml:space="preserve">A number of </w:t>
      </w:r>
      <w:r w:rsidR="007D6C30" w:rsidRPr="00907101">
        <w:t>issues</w:t>
      </w:r>
      <w:r w:rsidRPr="00907101">
        <w:t xml:space="preserve"> raised by submitters in response to this question were discussed in detail in the </w:t>
      </w:r>
      <w:r w:rsidRPr="00907101">
        <w:rPr>
          <w:i/>
        </w:rPr>
        <w:t>Forestry Technical Note</w:t>
      </w:r>
      <w:r w:rsidR="008545CE">
        <w:rPr>
          <w:i/>
        </w:rPr>
        <w:t xml:space="preserve"> (</w:t>
      </w:r>
      <w:r w:rsidR="008545CE" w:rsidRPr="00A818BC">
        <w:rPr>
          <w:rStyle w:val="Hyperlink"/>
        </w:rPr>
        <w:t>www.mfe.govt.nz/publications/climate-change/nz-ets-review-201516-summary-stage-two-annex-one</w:t>
      </w:r>
      <w:r w:rsidR="008545CE">
        <w:rPr>
          <w:rStyle w:val="Hyperlink"/>
        </w:rPr>
        <w:t>)</w:t>
      </w:r>
      <w:r w:rsidRPr="00907101">
        <w:rPr>
          <w:i/>
        </w:rPr>
        <w:t xml:space="preserve"> </w:t>
      </w:r>
      <w:r w:rsidRPr="00907101">
        <w:t xml:space="preserve">and the </w:t>
      </w:r>
      <w:r w:rsidRPr="00907101">
        <w:rPr>
          <w:i/>
        </w:rPr>
        <w:t>Operational Matters Technical Note</w:t>
      </w:r>
      <w:r w:rsidR="00184BC1">
        <w:rPr>
          <w:i/>
        </w:rPr>
        <w:t xml:space="preserve"> (</w:t>
      </w:r>
      <w:r w:rsidR="00184BC1" w:rsidRPr="00A818BC">
        <w:rPr>
          <w:rStyle w:val="Hyperlink"/>
        </w:rPr>
        <w:t>www.mfe.govt.nz/publications/climate-change/nz-ets-review-201516-summary-stage-two-annex-</w:t>
      </w:r>
      <w:r w:rsidR="00386912">
        <w:rPr>
          <w:rStyle w:val="Hyperlink"/>
        </w:rPr>
        <w:t>two)</w:t>
      </w:r>
      <w:r w:rsidRPr="00907101">
        <w:t xml:space="preserve">. </w:t>
      </w:r>
    </w:p>
    <w:p w:rsidR="003D1618" w:rsidRDefault="000041BD" w:rsidP="000041BD">
      <w:pPr>
        <w:pStyle w:val="Heading2"/>
        <w:spacing w:after="240"/>
      </w:pPr>
      <w:bookmarkStart w:id="34" w:name="_Toc463270131"/>
      <w:r>
        <w:t>International units</w:t>
      </w:r>
      <w:bookmarkEnd w:id="34"/>
    </w:p>
    <w:tbl>
      <w:tblPr>
        <w:tblW w:w="8505" w:type="dxa"/>
        <w:tblInd w:w="57"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DEEAF6"/>
        <w:tblLook w:val="04A0" w:firstRow="1" w:lastRow="0" w:firstColumn="1" w:lastColumn="0" w:noHBand="0" w:noVBand="1"/>
      </w:tblPr>
      <w:tblGrid>
        <w:gridCol w:w="8505"/>
      </w:tblGrid>
      <w:tr w:rsidR="000041BD" w:rsidRPr="00C76622" w:rsidTr="00837A1C">
        <w:trPr>
          <w:trHeight w:val="274"/>
        </w:trPr>
        <w:tc>
          <w:tcPr>
            <w:tcW w:w="8505" w:type="dxa"/>
            <w:shd w:val="clear" w:color="auto" w:fill="DEEAF6"/>
          </w:tcPr>
          <w:p w:rsidR="000041BD" w:rsidRDefault="000041BD" w:rsidP="00837A1C">
            <w:pPr>
              <w:pStyle w:val="Bullet"/>
              <w:numPr>
                <w:ilvl w:val="0"/>
                <w:numId w:val="0"/>
              </w:numPr>
              <w:spacing w:before="240" w:line="276" w:lineRule="auto"/>
              <w:ind w:left="397"/>
              <w:rPr>
                <w:sz w:val="20"/>
                <w:szCs w:val="20"/>
              </w:rPr>
            </w:pPr>
            <w:r>
              <w:rPr>
                <w:sz w:val="20"/>
                <w:szCs w:val="20"/>
              </w:rPr>
              <w:t>New Zealand has fewer low-cost options for reducing our emissions compared to other developed countries. Access to international abatement allows New Zealand to take more ambitious emissions reduction targets.</w:t>
            </w:r>
          </w:p>
          <w:p w:rsidR="000041BD" w:rsidRPr="008D7BEC" w:rsidRDefault="000041BD" w:rsidP="00837A1C">
            <w:pPr>
              <w:pStyle w:val="Bullet"/>
              <w:numPr>
                <w:ilvl w:val="0"/>
                <w:numId w:val="0"/>
              </w:numPr>
              <w:spacing w:before="240" w:line="276" w:lineRule="auto"/>
              <w:ind w:left="397"/>
              <w:rPr>
                <w:sz w:val="20"/>
                <w:szCs w:val="20"/>
              </w:rPr>
            </w:pPr>
            <w:r>
              <w:rPr>
                <w:sz w:val="20"/>
                <w:szCs w:val="20"/>
              </w:rPr>
              <w:t>Currently only NZUs are available for surrender in the NZ ETS. This question relates to possible restrictions that could be placed on international units if they eligible for NZ ETS compliance in the 2020. Types of restrictions could include ‘qualitative’ restrictions, such as restrictions on the type of units available or the source of units, similar to those described in 16(a). It also includes quantitative restrictions, which would restrict the amount of units that can be surrendered in the NZ ETS, as noted in 16(b).</w:t>
            </w:r>
          </w:p>
        </w:tc>
      </w:tr>
    </w:tbl>
    <w:p w:rsidR="00477182" w:rsidRPr="00D760AA" w:rsidRDefault="0040636D" w:rsidP="00D760AA">
      <w:pPr>
        <w:pStyle w:val="Heading2"/>
      </w:pPr>
      <w:bookmarkStart w:id="35" w:name="_Toc463270132"/>
      <w:r>
        <w:t>6</w:t>
      </w:r>
      <w:r w:rsidR="00477182" w:rsidRPr="00D760AA">
        <w:t xml:space="preserve">.3 </w:t>
      </w:r>
      <w:r w:rsidR="0086449B" w:rsidRPr="00D760AA">
        <w:tab/>
      </w:r>
      <w:r w:rsidR="00477182" w:rsidRPr="00D760AA">
        <w:t xml:space="preserve">If international units are eligible for NZ ETS compliance in the 2020s, </w:t>
      </w:r>
      <w:r w:rsidR="009C3D15" w:rsidRPr="00D760AA">
        <w:t>should any of the following restrictions be placed on their use?</w:t>
      </w:r>
      <w:r w:rsidR="00E2489C" w:rsidRPr="00E2489C">
        <w:rPr>
          <w:sz w:val="22"/>
        </w:rPr>
        <w:t xml:space="preserve"> </w:t>
      </w:r>
      <w:r w:rsidR="00E2489C" w:rsidRPr="00E2489C">
        <w:t>(Question 16)</w:t>
      </w:r>
      <w:r w:rsidR="009C3D15" w:rsidRPr="00D760AA">
        <w:br/>
      </w:r>
      <w:r w:rsidR="009C3D15" w:rsidRPr="00E2489C">
        <w:rPr>
          <w:sz w:val="22"/>
        </w:rPr>
        <w:t>(</w:t>
      </w:r>
      <w:proofErr w:type="gramStart"/>
      <w:r w:rsidR="009C3D15" w:rsidRPr="00E2489C">
        <w:rPr>
          <w:sz w:val="22"/>
        </w:rPr>
        <w:t>a</w:t>
      </w:r>
      <w:proofErr w:type="gramEnd"/>
      <w:r w:rsidR="009C3D15" w:rsidRPr="00E2489C">
        <w:rPr>
          <w:sz w:val="22"/>
        </w:rPr>
        <w:t>) restrictions on where units can be sourced from (location of and/or types of projects)</w:t>
      </w:r>
      <w:r w:rsidR="009C3D15" w:rsidRPr="00E2489C">
        <w:rPr>
          <w:sz w:val="22"/>
        </w:rPr>
        <w:br/>
        <w:t>(b) restrictions on how many units can be surrendered</w:t>
      </w:r>
      <w:r w:rsidR="009C3D15" w:rsidRPr="00E2489C">
        <w:rPr>
          <w:sz w:val="22"/>
        </w:rPr>
        <w:br/>
        <w:t>(c) others (please explain)</w:t>
      </w:r>
      <w:bookmarkEnd w:id="35"/>
      <w:r w:rsidR="009C3D15" w:rsidRPr="00E2489C">
        <w:rPr>
          <w:sz w:val="22"/>
        </w:rPr>
        <w:t xml:space="preserve"> </w:t>
      </w:r>
    </w:p>
    <w:p w:rsidR="00C35531" w:rsidRDefault="009C3D15" w:rsidP="00B8466E">
      <w:r w:rsidRPr="00E54858">
        <w:t xml:space="preserve">In total, </w:t>
      </w:r>
      <w:r w:rsidR="008173EF" w:rsidRPr="00E54858">
        <w:t>19</w:t>
      </w:r>
      <w:r w:rsidR="00AF442D">
        <w:t>1</w:t>
      </w:r>
      <w:r w:rsidR="008173EF">
        <w:t xml:space="preserve"> </w:t>
      </w:r>
      <w:r w:rsidR="00C27668">
        <w:t xml:space="preserve">submitters </w:t>
      </w:r>
      <w:r w:rsidR="00454052">
        <w:t>(</w:t>
      </w:r>
      <w:r w:rsidR="00C2449D">
        <w:t>approximately</w:t>
      </w:r>
      <w:r w:rsidR="00454052">
        <w:t xml:space="preserve"> 5</w:t>
      </w:r>
      <w:r w:rsidR="00454052" w:rsidRPr="003D1618">
        <w:t xml:space="preserve">5 </w:t>
      </w:r>
      <w:r w:rsidR="008E24E1">
        <w:t>per cent</w:t>
      </w:r>
      <w:r w:rsidR="00454052" w:rsidRPr="003D1618">
        <w:t xml:space="preserve"> of all submitters) </w:t>
      </w:r>
      <w:r w:rsidR="001724D2" w:rsidRPr="003D1618">
        <w:t>addressed this</w:t>
      </w:r>
      <w:r w:rsidR="008173EF" w:rsidRPr="003D1618">
        <w:t xml:space="preserve"> question</w:t>
      </w:r>
      <w:r w:rsidR="001724D2" w:rsidRPr="003D1618">
        <w:t xml:space="preserve"> in their submissions</w:t>
      </w:r>
      <w:r w:rsidR="008173EF" w:rsidRPr="003D1618">
        <w:t>.</w:t>
      </w:r>
      <w:r w:rsidR="001724D2" w:rsidRPr="003D1618">
        <w:t xml:space="preserve"> </w:t>
      </w:r>
      <w:r w:rsidR="00AF442D">
        <w:t>Approximately 30 per cent of</w:t>
      </w:r>
      <w:r w:rsidR="00AF442D" w:rsidRPr="003D1618">
        <w:t xml:space="preserve"> submitters that </w:t>
      </w:r>
      <w:r w:rsidR="00AF442D">
        <w:t>responded to</w:t>
      </w:r>
      <w:r w:rsidR="00AF442D" w:rsidRPr="003D1618">
        <w:t xml:space="preserve"> this question expressed a preference for</w:t>
      </w:r>
      <w:r w:rsidR="00AF442D">
        <w:t xml:space="preserve"> both </w:t>
      </w:r>
      <w:r w:rsidR="00AF442D" w:rsidRPr="003D1618">
        <w:t>quantitative</w:t>
      </w:r>
      <w:r w:rsidR="00AF442D">
        <w:t xml:space="preserve"> and </w:t>
      </w:r>
      <w:r w:rsidR="00AF442D" w:rsidRPr="003D1618">
        <w:t>qualitative</w:t>
      </w:r>
      <w:r w:rsidR="00AF442D">
        <w:t xml:space="preserve"> restrictions </w:t>
      </w:r>
      <w:r w:rsidR="003E0D3B">
        <w:t xml:space="preserve">on </w:t>
      </w:r>
      <w:r w:rsidR="00AF442D" w:rsidRPr="003D1618">
        <w:t xml:space="preserve">international unit use. </w:t>
      </w:r>
      <w:r w:rsidR="001F4B58">
        <w:t>Approximately 25 per cent thought there should be only qualitative restrictions on the use of international units, while approx</w:t>
      </w:r>
      <w:r w:rsidR="00C35531">
        <w:t>imately</w:t>
      </w:r>
      <w:r w:rsidR="001F4B58">
        <w:t xml:space="preserve"> 10 per cent of submitters thought there should only be quantitative restrictions</w:t>
      </w:r>
      <w:r w:rsidR="00C35531">
        <w:t>.</w:t>
      </w:r>
      <w:r w:rsidR="001F4B58">
        <w:t xml:space="preserve"> </w:t>
      </w:r>
    </w:p>
    <w:p w:rsidR="008173EF" w:rsidRPr="003D1618" w:rsidRDefault="008173EF" w:rsidP="00B8466E">
      <w:r w:rsidRPr="003D1618">
        <w:lastRenderedPageBreak/>
        <w:t xml:space="preserve">The </w:t>
      </w:r>
      <w:r w:rsidR="00E54858" w:rsidRPr="003D1618">
        <w:t>remaining s</w:t>
      </w:r>
      <w:r w:rsidRPr="003D1618">
        <w:t xml:space="preserve">ubmitters </w:t>
      </w:r>
      <w:r w:rsidR="00E54858" w:rsidRPr="003D1618">
        <w:t xml:space="preserve">that addressed </w:t>
      </w:r>
      <w:r w:rsidRPr="003D1618">
        <w:t>this question</w:t>
      </w:r>
      <w:r w:rsidR="00E54858" w:rsidRPr="003D1618">
        <w:t xml:space="preserve"> discussed </w:t>
      </w:r>
      <w:r w:rsidRPr="003D1618">
        <w:t>international unit supply</w:t>
      </w:r>
      <w:r w:rsidR="00E54858" w:rsidRPr="003D1618">
        <w:t xml:space="preserve"> more generally</w:t>
      </w:r>
      <w:r w:rsidR="00CC438B">
        <w:t xml:space="preserve">, or did not think </w:t>
      </w:r>
      <w:r w:rsidR="004C2627">
        <w:t xml:space="preserve">there should be </w:t>
      </w:r>
      <w:r w:rsidR="00CC438B">
        <w:t>any restrictions on international units (</w:t>
      </w:r>
      <w:r w:rsidR="00C2449D">
        <w:t>approximately</w:t>
      </w:r>
      <w:r w:rsidR="00CC438B">
        <w:t xml:space="preserve"> 5 per cent)</w:t>
      </w:r>
      <w:r w:rsidRPr="003D1618">
        <w:t>.</w:t>
      </w:r>
      <w:r w:rsidR="00C35531" w:rsidRPr="00C35531">
        <w:t xml:space="preserve"> </w:t>
      </w:r>
      <w:r w:rsidR="00C35531" w:rsidRPr="003D1618">
        <w:t>Although this question assumes international units will be eligible in the NZ ETS in the 2020s, a number of submitters thought that international</w:t>
      </w:r>
      <w:r w:rsidR="00C35531">
        <w:t xml:space="preserve"> units should not be used in the NZ ETS.</w:t>
      </w:r>
    </w:p>
    <w:p w:rsidR="008173EF" w:rsidRDefault="008173EF" w:rsidP="008173EF">
      <w:pPr>
        <w:pStyle w:val="Heading4"/>
      </w:pPr>
      <w:r w:rsidRPr="00833378">
        <w:t>Environmental integrity</w:t>
      </w:r>
    </w:p>
    <w:p w:rsidR="008173EF" w:rsidRDefault="00111BED" w:rsidP="00B8466E">
      <w:r>
        <w:t xml:space="preserve">Submitters </w:t>
      </w:r>
      <w:r w:rsidR="00181E32">
        <w:t xml:space="preserve">who </w:t>
      </w:r>
      <w:r>
        <w:t>thought there should be qualitative restrictions on</w:t>
      </w:r>
      <w:r w:rsidR="001B50EF">
        <w:t xml:space="preserve"> the use of</w:t>
      </w:r>
      <w:r>
        <w:t xml:space="preserve"> international unit</w:t>
      </w:r>
      <w:r w:rsidR="001B50EF">
        <w:t>s</w:t>
      </w:r>
      <w:r>
        <w:t xml:space="preserve"> often commented o</w:t>
      </w:r>
      <w:r w:rsidR="008173EF">
        <w:t xml:space="preserve">n the importance of environmental integrity of international units, and the integrity of sources of these units. </w:t>
      </w:r>
      <w:r w:rsidR="00603271">
        <w:t xml:space="preserve">Many </w:t>
      </w:r>
      <w:r w:rsidR="00433929">
        <w:t xml:space="preserve">of these </w:t>
      </w:r>
      <w:r w:rsidR="00603271">
        <w:t xml:space="preserve">submitters commented that </w:t>
      </w:r>
      <w:r w:rsidR="00433929">
        <w:t xml:space="preserve">it was critical </w:t>
      </w:r>
      <w:r w:rsidR="008B04F1">
        <w:t xml:space="preserve">that any </w:t>
      </w:r>
      <w:r w:rsidR="00433929">
        <w:t>international units used in the NZ ETS represent</w:t>
      </w:r>
      <w:r w:rsidR="008B04F1">
        <w:t xml:space="preserve"> real emissions reductions. </w:t>
      </w:r>
      <w:r w:rsidR="00433929">
        <w:t xml:space="preserve"> </w:t>
      </w:r>
      <w:r w:rsidR="008B04F1">
        <w:t>A few s</w:t>
      </w:r>
      <w:r w:rsidR="00433929">
        <w:t xml:space="preserve">ubmitters </w:t>
      </w:r>
      <w:r w:rsidR="000B4E1C">
        <w:t>discussed</w:t>
      </w:r>
      <w:r w:rsidR="00505BD9">
        <w:t xml:space="preserve"> environment integrity</w:t>
      </w:r>
      <w:r w:rsidR="008173EF">
        <w:t xml:space="preserve"> in terms of environmental equivalence to NZUs.</w:t>
      </w:r>
    </w:p>
    <w:p w:rsidR="008173EF" w:rsidRPr="00966968" w:rsidRDefault="008173EF" w:rsidP="00966968">
      <w:pPr>
        <w:pStyle w:val="BodyText"/>
        <w:ind w:left="567" w:right="567"/>
        <w:rPr>
          <w:sz w:val="21"/>
          <w:szCs w:val="21"/>
        </w:rPr>
      </w:pPr>
      <w:r w:rsidRPr="00966968">
        <w:rPr>
          <w:sz w:val="21"/>
          <w:szCs w:val="21"/>
        </w:rPr>
        <w:t>“…it is critical to the reputation of the NZ ETS that international units are only allowed from sources where the provenance is evidenced and the registries are regulated to prevent fraudulent activity to maintain the credibility of the NZ ETS” (</w:t>
      </w:r>
      <w:r w:rsidR="004F3E0E" w:rsidRPr="00CB33F4">
        <w:rPr>
          <w:sz w:val="21"/>
          <w:szCs w:val="21"/>
        </w:rPr>
        <w:t>Genesis</w:t>
      </w:r>
      <w:r w:rsidR="004F3E0E">
        <w:rPr>
          <w:sz w:val="21"/>
          <w:szCs w:val="21"/>
        </w:rPr>
        <w:t xml:space="preserve"> Energy</w:t>
      </w:r>
      <w:r w:rsidR="004F3E0E" w:rsidRPr="00CB33F4">
        <w:rPr>
          <w:sz w:val="21"/>
          <w:szCs w:val="21"/>
        </w:rPr>
        <w:t xml:space="preserve">, </w:t>
      </w:r>
      <w:r w:rsidR="004F3E0E">
        <w:rPr>
          <w:sz w:val="21"/>
          <w:szCs w:val="21"/>
        </w:rPr>
        <w:t>00053</w:t>
      </w:r>
      <w:r w:rsidRPr="00966968">
        <w:rPr>
          <w:sz w:val="21"/>
          <w:szCs w:val="21"/>
        </w:rPr>
        <w:t>)</w:t>
      </w:r>
    </w:p>
    <w:p w:rsidR="008173EF" w:rsidRPr="00966968" w:rsidRDefault="008173EF" w:rsidP="00966968">
      <w:pPr>
        <w:pStyle w:val="BodyText"/>
        <w:ind w:left="567" w:right="567"/>
        <w:rPr>
          <w:sz w:val="21"/>
          <w:szCs w:val="21"/>
        </w:rPr>
      </w:pPr>
      <w:r w:rsidRPr="00966968">
        <w:rPr>
          <w:sz w:val="21"/>
          <w:szCs w:val="21"/>
        </w:rPr>
        <w:t xml:space="preserve">“… </w:t>
      </w:r>
      <w:proofErr w:type="gramStart"/>
      <w:r w:rsidRPr="00966968">
        <w:rPr>
          <w:sz w:val="21"/>
          <w:szCs w:val="21"/>
        </w:rPr>
        <w:t>any</w:t>
      </w:r>
      <w:proofErr w:type="gramEnd"/>
      <w:r w:rsidRPr="00966968">
        <w:rPr>
          <w:sz w:val="21"/>
          <w:szCs w:val="21"/>
        </w:rPr>
        <w:t xml:space="preserve"> imported units must be equivalent in their environmental integrity to NZUs.” (Climate Change Iwi Leaders Group</w:t>
      </w:r>
      <w:r w:rsidR="00E2489C" w:rsidRPr="00966968">
        <w:rPr>
          <w:sz w:val="21"/>
          <w:szCs w:val="21"/>
        </w:rPr>
        <w:t xml:space="preserve">, </w:t>
      </w:r>
      <w:r w:rsidR="004F3E0E">
        <w:rPr>
          <w:sz w:val="21"/>
          <w:szCs w:val="21"/>
        </w:rPr>
        <w:t>00180</w:t>
      </w:r>
      <w:r w:rsidRPr="00966968">
        <w:rPr>
          <w:sz w:val="21"/>
          <w:szCs w:val="21"/>
        </w:rPr>
        <w:t>)</w:t>
      </w:r>
    </w:p>
    <w:p w:rsidR="00274190" w:rsidRPr="00907101" w:rsidRDefault="00274190" w:rsidP="008173EF">
      <w:pPr>
        <w:pStyle w:val="Heading4"/>
      </w:pPr>
      <w:r w:rsidRPr="00907101">
        <w:t>Quantitative restrictions on international unit use</w:t>
      </w:r>
    </w:p>
    <w:p w:rsidR="00230B12" w:rsidRPr="00907101" w:rsidRDefault="006E1B17" w:rsidP="003E0D3B">
      <w:r w:rsidRPr="00907101">
        <w:t xml:space="preserve">Submitters who thought there should be quantitative restrictions on the use of international units often linked this with </w:t>
      </w:r>
      <w:r w:rsidR="00C97B08" w:rsidRPr="00907101">
        <w:t xml:space="preserve">promoting domestic emission reductions, and encourage tree planting. </w:t>
      </w:r>
    </w:p>
    <w:p w:rsidR="00FD10D6" w:rsidRPr="00966968" w:rsidRDefault="00FD10D6" w:rsidP="00542FA6">
      <w:pPr>
        <w:pStyle w:val="BodyText"/>
        <w:ind w:left="567" w:right="567"/>
        <w:rPr>
          <w:sz w:val="21"/>
          <w:szCs w:val="21"/>
        </w:rPr>
      </w:pPr>
      <w:r w:rsidRPr="00907101">
        <w:rPr>
          <w:sz w:val="21"/>
          <w:szCs w:val="21"/>
        </w:rPr>
        <w:t>O-I believes that there should be restrictions on the quantity of international units to help ensure NZ is a genuine contributor to domestic emission reductions</w:t>
      </w:r>
      <w:r w:rsidR="00A4531A" w:rsidRPr="00907101">
        <w:rPr>
          <w:sz w:val="21"/>
          <w:szCs w:val="21"/>
        </w:rPr>
        <w:t xml:space="preserve">. (O-I ACI Operations New Zealand Limited, </w:t>
      </w:r>
      <w:r w:rsidR="004F3E0E">
        <w:rPr>
          <w:sz w:val="21"/>
          <w:szCs w:val="21"/>
        </w:rPr>
        <w:t>04030</w:t>
      </w:r>
      <w:r w:rsidR="00A4531A" w:rsidRPr="00907101">
        <w:rPr>
          <w:sz w:val="21"/>
          <w:szCs w:val="21"/>
        </w:rPr>
        <w:t>)</w:t>
      </w:r>
    </w:p>
    <w:p w:rsidR="008173EF" w:rsidRDefault="008173EF" w:rsidP="008173EF">
      <w:pPr>
        <w:pStyle w:val="Heading4"/>
      </w:pPr>
      <w:r>
        <w:t>Role of international units</w:t>
      </w:r>
    </w:p>
    <w:p w:rsidR="008173EF" w:rsidRDefault="008173EF" w:rsidP="00B8466E">
      <w:r w:rsidRPr="00E4212E">
        <w:t>In answering this question many submitters expressed views on the role of international units in the NZ ETS.</w:t>
      </w:r>
      <w:r w:rsidR="00012FC7" w:rsidRPr="00E4212E">
        <w:t xml:space="preserve"> </w:t>
      </w:r>
      <w:r w:rsidRPr="00E4212E">
        <w:t xml:space="preserve">Some </w:t>
      </w:r>
      <w:r w:rsidR="00012FC7" w:rsidRPr="00E4212E">
        <w:t xml:space="preserve">submitters </w:t>
      </w:r>
      <w:r w:rsidR="001B50EF" w:rsidRPr="00E4212E">
        <w:t xml:space="preserve">thought </w:t>
      </w:r>
      <w:r w:rsidR="00C7488D" w:rsidRPr="00E4212E">
        <w:t>including</w:t>
      </w:r>
      <w:r w:rsidR="001B50EF" w:rsidRPr="00E4212E">
        <w:t xml:space="preserve"> </w:t>
      </w:r>
      <w:r w:rsidRPr="00E4212E">
        <w:t xml:space="preserve">international units </w:t>
      </w:r>
      <w:r w:rsidR="00C7488D" w:rsidRPr="00E4212E">
        <w:t xml:space="preserve">in the NZ ETS is important because it </w:t>
      </w:r>
      <w:r w:rsidR="00E4212E">
        <w:t xml:space="preserve">would </w:t>
      </w:r>
      <w:r w:rsidR="00C7488D" w:rsidRPr="00E4212E">
        <w:t xml:space="preserve">help align </w:t>
      </w:r>
      <w:r w:rsidRPr="00E4212E">
        <w:t xml:space="preserve">the NZU price </w:t>
      </w:r>
      <w:r w:rsidR="00C7488D" w:rsidRPr="00E4212E">
        <w:t xml:space="preserve">with </w:t>
      </w:r>
      <w:r w:rsidR="00E4212E" w:rsidRPr="00E4212E">
        <w:t xml:space="preserve">international </w:t>
      </w:r>
      <w:r w:rsidR="00C7488D" w:rsidRPr="00E4212E">
        <w:t xml:space="preserve">carbon </w:t>
      </w:r>
      <w:r w:rsidRPr="00E4212E">
        <w:t>prices</w:t>
      </w:r>
      <w:r w:rsidR="00C7488D" w:rsidRPr="00E4212E">
        <w:t xml:space="preserve">, or </w:t>
      </w:r>
      <w:r w:rsidR="009314F0">
        <w:t>provides</w:t>
      </w:r>
      <w:r w:rsidR="00C7488D" w:rsidRPr="00E4212E">
        <w:t xml:space="preserve"> businesses a</w:t>
      </w:r>
      <w:r w:rsidRPr="00E4212E">
        <w:t>ccess to lower cost abatement.</w:t>
      </w:r>
    </w:p>
    <w:p w:rsidR="008173EF" w:rsidRPr="00966968" w:rsidRDefault="008173EF" w:rsidP="00966968">
      <w:pPr>
        <w:ind w:left="567" w:right="567"/>
        <w:rPr>
          <w:sz w:val="21"/>
          <w:szCs w:val="21"/>
        </w:rPr>
      </w:pPr>
      <w:r w:rsidRPr="00966968">
        <w:rPr>
          <w:sz w:val="21"/>
          <w:szCs w:val="21"/>
        </w:rPr>
        <w:t>“Access to international emissions units remains an important mechanism that can contribute to creating a level international playing field for EITE industry, such as Refining NZ.” (Refining NZ</w:t>
      </w:r>
      <w:r w:rsidR="00E2489C" w:rsidRPr="00966968">
        <w:rPr>
          <w:sz w:val="21"/>
          <w:szCs w:val="21"/>
        </w:rPr>
        <w:t xml:space="preserve">, </w:t>
      </w:r>
      <w:r w:rsidR="00605B1B">
        <w:rPr>
          <w:sz w:val="21"/>
          <w:szCs w:val="21"/>
        </w:rPr>
        <w:t>00148</w:t>
      </w:r>
      <w:r w:rsidRPr="00966968">
        <w:rPr>
          <w:sz w:val="21"/>
          <w:szCs w:val="21"/>
        </w:rPr>
        <w:t>)</w:t>
      </w:r>
    </w:p>
    <w:p w:rsidR="008173EF" w:rsidRPr="00966968" w:rsidRDefault="008173EF" w:rsidP="00966968">
      <w:pPr>
        <w:ind w:left="567" w:right="567"/>
        <w:rPr>
          <w:sz w:val="21"/>
          <w:szCs w:val="21"/>
        </w:rPr>
      </w:pPr>
      <w:r w:rsidRPr="00966968">
        <w:rPr>
          <w:sz w:val="21"/>
          <w:szCs w:val="21"/>
        </w:rPr>
        <w:t>“Access to international units is a necessary feature of a viable and fully functioning liquid trading scheme. International trading (via either the one-way importation of units or the more complex scheme linking) is a vital economic safety-valve given New Zealand’s high domestic cost of abatement.” (Business New Zealand</w:t>
      </w:r>
      <w:r w:rsidR="00E2489C" w:rsidRPr="00966968">
        <w:rPr>
          <w:sz w:val="21"/>
          <w:szCs w:val="21"/>
        </w:rPr>
        <w:t xml:space="preserve">, </w:t>
      </w:r>
      <w:r w:rsidR="00CA5B9D" w:rsidRPr="001D657A">
        <w:rPr>
          <w:rFonts w:asciiTheme="minorHAnsi" w:hAnsiTheme="minorHAnsi" w:cs="Times New Roman"/>
          <w:sz w:val="21"/>
          <w:szCs w:val="21"/>
          <w:lang w:eastAsia="en-NZ"/>
        </w:rPr>
        <w:t>00131</w:t>
      </w:r>
      <w:r w:rsidRPr="00966968">
        <w:rPr>
          <w:sz w:val="21"/>
          <w:szCs w:val="21"/>
        </w:rPr>
        <w:t>)</w:t>
      </w:r>
    </w:p>
    <w:p w:rsidR="008173EF" w:rsidRDefault="008173EF" w:rsidP="00B8466E">
      <w:r w:rsidRPr="00012FC7">
        <w:t xml:space="preserve">Some </w:t>
      </w:r>
      <w:r w:rsidR="00012FC7" w:rsidRPr="00012FC7">
        <w:t xml:space="preserve">other submitters </w:t>
      </w:r>
      <w:r w:rsidR="00C7488D">
        <w:t>commented</w:t>
      </w:r>
      <w:r w:rsidRPr="00012FC7">
        <w:t xml:space="preserve"> that international units </w:t>
      </w:r>
      <w:r w:rsidRPr="00832C07">
        <w:t>should be supplementary to domestic</w:t>
      </w:r>
      <w:r>
        <w:t xml:space="preserve"> action, while others expressed wariness that international units would be used to su</w:t>
      </w:r>
      <w:r w:rsidR="00181E32">
        <w:t>p</w:t>
      </w:r>
      <w:r>
        <w:t>press the domestic NZU price.</w:t>
      </w:r>
    </w:p>
    <w:p w:rsidR="008173EF" w:rsidRPr="00966968" w:rsidRDefault="008173EF" w:rsidP="00966968">
      <w:pPr>
        <w:ind w:left="567" w:right="567"/>
        <w:rPr>
          <w:sz w:val="21"/>
          <w:szCs w:val="21"/>
        </w:rPr>
      </w:pPr>
      <w:r w:rsidRPr="00966968">
        <w:rPr>
          <w:sz w:val="21"/>
          <w:szCs w:val="21"/>
        </w:rPr>
        <w:t xml:space="preserve">“…it is important to ensure that the policy settings provide a strong and preferential signal for domestic action and that any additional units are of a quality that does not undermine </w:t>
      </w:r>
      <w:r w:rsidRPr="00966968">
        <w:rPr>
          <w:sz w:val="21"/>
          <w:szCs w:val="21"/>
        </w:rPr>
        <w:lastRenderedPageBreak/>
        <w:t>the integrity of the New Zealand ETS. Therefore, to retain international credibility, the settings for New Zealand ETS in the 2020’s, must primarily support domestic action, domestic planting and a preference for the surrender of NZU’s.” (New Zealand Carbon Farming</w:t>
      </w:r>
      <w:r w:rsidR="00E2489C" w:rsidRPr="00966968">
        <w:rPr>
          <w:sz w:val="21"/>
          <w:szCs w:val="21"/>
        </w:rPr>
        <w:t xml:space="preserve">, </w:t>
      </w:r>
      <w:r w:rsidR="001D657A">
        <w:rPr>
          <w:sz w:val="21"/>
          <w:szCs w:val="21"/>
        </w:rPr>
        <w:t>00069</w:t>
      </w:r>
      <w:r w:rsidRPr="00966968">
        <w:rPr>
          <w:sz w:val="21"/>
          <w:szCs w:val="21"/>
        </w:rPr>
        <w:t>)</w:t>
      </w:r>
    </w:p>
    <w:p w:rsidR="008173EF" w:rsidRPr="00966968" w:rsidRDefault="008173EF" w:rsidP="00966968">
      <w:pPr>
        <w:ind w:left="567" w:right="567"/>
        <w:rPr>
          <w:sz w:val="21"/>
          <w:szCs w:val="21"/>
        </w:rPr>
      </w:pPr>
      <w:r w:rsidRPr="00966968">
        <w:rPr>
          <w:sz w:val="21"/>
          <w:szCs w:val="21"/>
        </w:rPr>
        <w:t>“…including overseas units may undermine the ability of the NZ ETS to set a realistic price signal and drive the transformation of New Zealand's own economy.” (Auckland Council</w:t>
      </w:r>
      <w:r w:rsidR="00E2489C" w:rsidRPr="00966968">
        <w:rPr>
          <w:sz w:val="21"/>
          <w:szCs w:val="21"/>
        </w:rPr>
        <w:t xml:space="preserve">, </w:t>
      </w:r>
      <w:r w:rsidR="001D657A">
        <w:rPr>
          <w:sz w:val="21"/>
          <w:szCs w:val="21"/>
        </w:rPr>
        <w:t>00019</w:t>
      </w:r>
      <w:r w:rsidRPr="00966968">
        <w:rPr>
          <w:sz w:val="21"/>
          <w:szCs w:val="21"/>
        </w:rPr>
        <w:t>)</w:t>
      </w:r>
    </w:p>
    <w:p w:rsidR="008173EF" w:rsidRPr="00D760AA" w:rsidRDefault="008173EF" w:rsidP="008173EF">
      <w:pPr>
        <w:pStyle w:val="Heading4"/>
      </w:pPr>
      <w:r w:rsidRPr="00D760AA">
        <w:t>Timing and Clarity</w:t>
      </w:r>
    </w:p>
    <w:p w:rsidR="008173EF" w:rsidRPr="00D760AA" w:rsidRDefault="008173EF" w:rsidP="008173EF">
      <w:pPr>
        <w:pStyle w:val="BodyText"/>
      </w:pPr>
      <w:r w:rsidRPr="00D760AA">
        <w:t>A number of submitters commented that clarity on the future role of international units in the NZ ETS is important for New Zealand organisations to</w:t>
      </w:r>
      <w:r w:rsidR="00D760AA" w:rsidRPr="00D760AA">
        <w:t xml:space="preserve"> help</w:t>
      </w:r>
      <w:r w:rsidRPr="00D760AA">
        <w:t xml:space="preserve"> determine future investment decisions.</w:t>
      </w:r>
    </w:p>
    <w:p w:rsidR="008173EF" w:rsidRPr="00966968" w:rsidRDefault="008173EF" w:rsidP="00966968">
      <w:pPr>
        <w:ind w:left="567" w:right="567"/>
        <w:rPr>
          <w:sz w:val="21"/>
          <w:szCs w:val="21"/>
        </w:rPr>
      </w:pPr>
      <w:r w:rsidRPr="00966968">
        <w:rPr>
          <w:sz w:val="21"/>
          <w:szCs w:val="21"/>
        </w:rPr>
        <w:t>“Early clarification on this crucial element is vital including how the Government sees this being implemented, with what countries, what form of units and when. The potential danger in managing this poorly may limit NZ business/organisations interest in investing in localised technology to help reduce emissions if the cost of units (through international access) were to once again tumble.” (Chevron New Zealand</w:t>
      </w:r>
      <w:r w:rsidR="00E2489C" w:rsidRPr="00966968">
        <w:rPr>
          <w:sz w:val="21"/>
          <w:szCs w:val="21"/>
        </w:rPr>
        <w:t xml:space="preserve">, </w:t>
      </w:r>
      <w:r w:rsidR="001D657A">
        <w:rPr>
          <w:sz w:val="21"/>
          <w:szCs w:val="21"/>
        </w:rPr>
        <w:t>00013</w:t>
      </w:r>
      <w:r w:rsidRPr="00966968">
        <w:rPr>
          <w:sz w:val="21"/>
          <w:szCs w:val="21"/>
        </w:rPr>
        <w:t>)</w:t>
      </w:r>
    </w:p>
    <w:p w:rsidR="008173EF" w:rsidRPr="00D760AA" w:rsidRDefault="008173EF" w:rsidP="008173EF">
      <w:pPr>
        <w:pStyle w:val="Heading4"/>
      </w:pPr>
      <w:r w:rsidRPr="00D760AA">
        <w:t>Two way linking vs one-way importation</w:t>
      </w:r>
    </w:p>
    <w:p w:rsidR="008173EF" w:rsidRPr="00D760AA" w:rsidRDefault="008173EF" w:rsidP="008173EF">
      <w:pPr>
        <w:pStyle w:val="BodyText"/>
      </w:pPr>
      <w:r w:rsidRPr="00D760AA">
        <w:t xml:space="preserve">Some submitters commented on the possibility of two-way linking, rather </w:t>
      </w:r>
      <w:r w:rsidR="00D760AA">
        <w:t xml:space="preserve">than </w:t>
      </w:r>
      <w:r w:rsidR="0095395E">
        <w:t xml:space="preserve">only importing </w:t>
      </w:r>
      <w:r w:rsidR="00D760AA">
        <w:t>international units</w:t>
      </w:r>
      <w:r w:rsidRPr="00D760AA">
        <w:t>.</w:t>
      </w:r>
      <w:r w:rsidR="0095395E">
        <w:t xml:space="preserve"> Some of these submitters thought that international units should only be accepted in the NZ ETS if NZUs could also be exported.</w:t>
      </w:r>
    </w:p>
    <w:p w:rsidR="008173EF" w:rsidRPr="00966968" w:rsidRDefault="008173EF" w:rsidP="00966968">
      <w:pPr>
        <w:ind w:left="567" w:right="567"/>
        <w:rPr>
          <w:sz w:val="21"/>
          <w:szCs w:val="21"/>
        </w:rPr>
      </w:pPr>
      <w:r w:rsidRPr="00966968">
        <w:rPr>
          <w:sz w:val="21"/>
          <w:szCs w:val="21"/>
        </w:rPr>
        <w:t xml:space="preserve">“If linking with another scheme then the mutual recognition of emission units should be considered (including forestry NZUs). Environmental integrity is a two way street and mutual recognition of emission units would be an endorsement </w:t>
      </w:r>
      <w:r w:rsidR="008D7994">
        <w:rPr>
          <w:sz w:val="21"/>
          <w:szCs w:val="21"/>
        </w:rPr>
        <w:t>of the NZ ETS.” (</w:t>
      </w:r>
      <w:proofErr w:type="spellStart"/>
      <w:r w:rsidR="008D7994">
        <w:rPr>
          <w:sz w:val="21"/>
          <w:szCs w:val="21"/>
        </w:rPr>
        <w:t>Ballance</w:t>
      </w:r>
      <w:proofErr w:type="spellEnd"/>
      <w:r w:rsidR="008D7994">
        <w:rPr>
          <w:sz w:val="21"/>
          <w:szCs w:val="21"/>
        </w:rPr>
        <w:t xml:space="preserve"> </w:t>
      </w:r>
      <w:proofErr w:type="spellStart"/>
      <w:r w:rsidR="008D7994">
        <w:rPr>
          <w:sz w:val="21"/>
          <w:szCs w:val="21"/>
        </w:rPr>
        <w:t>Agrin</w:t>
      </w:r>
      <w:r w:rsidRPr="00966968">
        <w:rPr>
          <w:sz w:val="21"/>
          <w:szCs w:val="21"/>
        </w:rPr>
        <w:t>utrients</w:t>
      </w:r>
      <w:proofErr w:type="spellEnd"/>
      <w:r w:rsidR="00E2489C" w:rsidRPr="00966968">
        <w:rPr>
          <w:sz w:val="21"/>
          <w:szCs w:val="21"/>
        </w:rPr>
        <w:t xml:space="preserve">, </w:t>
      </w:r>
      <w:r w:rsidR="007B7E74" w:rsidRPr="007B7E74">
        <w:rPr>
          <w:sz w:val="21"/>
          <w:szCs w:val="21"/>
        </w:rPr>
        <w:t>00074</w:t>
      </w:r>
      <w:r w:rsidRPr="00966968">
        <w:rPr>
          <w:sz w:val="21"/>
          <w:szCs w:val="21"/>
        </w:rPr>
        <w:t>)</w:t>
      </w:r>
    </w:p>
    <w:p w:rsidR="008173EF" w:rsidRPr="00966968" w:rsidRDefault="008173EF" w:rsidP="00966968">
      <w:pPr>
        <w:ind w:left="567" w:right="567"/>
        <w:rPr>
          <w:sz w:val="21"/>
          <w:szCs w:val="21"/>
        </w:rPr>
      </w:pPr>
      <w:r w:rsidRPr="00966968">
        <w:rPr>
          <w:sz w:val="21"/>
          <w:szCs w:val="21"/>
        </w:rPr>
        <w:t>“It is unfair to New Zealand carbon producers if New Zealand can only import units but not export. That decreases the price of NZ units (or at best leaves them unchanged) and is another example of the market being tilted away from New Zealand carbon producers. If the New Zealand Government is incapable of negotiating reciprocal agreements where we can sell as well as buy, then the market should remain domestic-only” (</w:t>
      </w:r>
      <w:proofErr w:type="spellStart"/>
      <w:r w:rsidRPr="00966968">
        <w:rPr>
          <w:sz w:val="21"/>
          <w:szCs w:val="21"/>
        </w:rPr>
        <w:t>Tunakino</w:t>
      </w:r>
      <w:proofErr w:type="spellEnd"/>
      <w:r w:rsidRPr="00966968">
        <w:rPr>
          <w:sz w:val="21"/>
          <w:szCs w:val="21"/>
        </w:rPr>
        <w:t xml:space="preserve"> Forestry Limited</w:t>
      </w:r>
      <w:r w:rsidR="00E2489C" w:rsidRPr="00966968">
        <w:rPr>
          <w:sz w:val="21"/>
          <w:szCs w:val="21"/>
        </w:rPr>
        <w:t xml:space="preserve">, </w:t>
      </w:r>
      <w:r w:rsidR="001D657A">
        <w:rPr>
          <w:sz w:val="21"/>
          <w:szCs w:val="21"/>
        </w:rPr>
        <w:t>03002</w:t>
      </w:r>
      <w:r w:rsidRPr="00966968">
        <w:rPr>
          <w:sz w:val="21"/>
          <w:szCs w:val="21"/>
        </w:rPr>
        <w:t>)</w:t>
      </w:r>
    </w:p>
    <w:p w:rsidR="008173EF" w:rsidRDefault="008173EF" w:rsidP="008173EF">
      <w:pPr>
        <w:pStyle w:val="Heading4"/>
      </w:pPr>
      <w:r>
        <w:t>Past experiences</w:t>
      </w:r>
    </w:p>
    <w:p w:rsidR="008173EF" w:rsidRDefault="00D760AA" w:rsidP="008173EF">
      <w:pPr>
        <w:pStyle w:val="BodyText"/>
      </w:pPr>
      <w:r>
        <w:t>Several s</w:t>
      </w:r>
      <w:r w:rsidR="008173EF">
        <w:t xml:space="preserve">ubmitters commented on the past use of international units by firms and the Government. In particular they commented on these units decreasing the NZU price, </w:t>
      </w:r>
      <w:r w:rsidR="004D1D20">
        <w:t>lacking</w:t>
      </w:r>
      <w:r w:rsidR="008173EF">
        <w:t xml:space="preserve"> environmental integrity, or weakening domestic action.</w:t>
      </w:r>
    </w:p>
    <w:p w:rsidR="008173EF" w:rsidRPr="00966968" w:rsidRDefault="008173EF" w:rsidP="00966968">
      <w:pPr>
        <w:ind w:left="567" w:right="567"/>
        <w:rPr>
          <w:sz w:val="21"/>
          <w:szCs w:val="21"/>
        </w:rPr>
      </w:pPr>
      <w:r w:rsidRPr="00966968">
        <w:rPr>
          <w:sz w:val="21"/>
          <w:szCs w:val="21"/>
        </w:rPr>
        <w:t>“The 2011 collapse of the NZU market was caused by the import of low quality Emission Reduction Units (ERU). This collapse severely deva</w:t>
      </w:r>
      <w:r w:rsidR="003D1618" w:rsidRPr="00966968">
        <w:rPr>
          <w:sz w:val="21"/>
          <w:szCs w:val="21"/>
        </w:rPr>
        <w:t>lued the Trust’s NZU holdings…”</w:t>
      </w:r>
      <w:r w:rsidR="00E2489C" w:rsidRPr="00966968">
        <w:rPr>
          <w:sz w:val="21"/>
          <w:szCs w:val="21"/>
        </w:rPr>
        <w:t xml:space="preserve"> </w:t>
      </w:r>
      <w:r w:rsidR="003D1618" w:rsidRPr="00966968">
        <w:rPr>
          <w:sz w:val="21"/>
          <w:szCs w:val="21"/>
        </w:rPr>
        <w:t>(</w:t>
      </w:r>
      <w:r w:rsidRPr="00966968">
        <w:rPr>
          <w:sz w:val="21"/>
          <w:szCs w:val="21"/>
        </w:rPr>
        <w:t>The </w:t>
      </w:r>
      <w:proofErr w:type="spellStart"/>
      <w:r w:rsidRPr="00966968">
        <w:rPr>
          <w:sz w:val="21"/>
          <w:szCs w:val="21"/>
        </w:rPr>
        <w:t>Omapere</w:t>
      </w:r>
      <w:proofErr w:type="spellEnd"/>
      <w:r w:rsidRPr="00966968">
        <w:rPr>
          <w:sz w:val="21"/>
          <w:szCs w:val="21"/>
        </w:rPr>
        <w:t xml:space="preserve"> </w:t>
      </w:r>
      <w:proofErr w:type="spellStart"/>
      <w:r w:rsidRPr="00966968">
        <w:rPr>
          <w:sz w:val="21"/>
          <w:szCs w:val="21"/>
        </w:rPr>
        <w:t>Taraire</w:t>
      </w:r>
      <w:proofErr w:type="spellEnd"/>
      <w:r w:rsidRPr="00966968">
        <w:rPr>
          <w:sz w:val="21"/>
          <w:szCs w:val="21"/>
        </w:rPr>
        <w:t xml:space="preserve"> E &amp; </w:t>
      </w:r>
      <w:proofErr w:type="spellStart"/>
      <w:r w:rsidRPr="00966968">
        <w:rPr>
          <w:sz w:val="21"/>
          <w:szCs w:val="21"/>
        </w:rPr>
        <w:t>Rangihamama</w:t>
      </w:r>
      <w:proofErr w:type="spellEnd"/>
      <w:r w:rsidRPr="00966968">
        <w:rPr>
          <w:sz w:val="21"/>
          <w:szCs w:val="21"/>
        </w:rPr>
        <w:t xml:space="preserve"> X3A Ahu Whenua Trust</w:t>
      </w:r>
      <w:r w:rsidR="001971B3" w:rsidRPr="00966968">
        <w:rPr>
          <w:sz w:val="21"/>
          <w:szCs w:val="21"/>
        </w:rPr>
        <w:t xml:space="preserve">, </w:t>
      </w:r>
      <w:r w:rsidR="00FF52FE">
        <w:rPr>
          <w:sz w:val="21"/>
          <w:szCs w:val="21"/>
        </w:rPr>
        <w:t>05021</w:t>
      </w:r>
      <w:r w:rsidRPr="00966968">
        <w:rPr>
          <w:sz w:val="21"/>
          <w:szCs w:val="21"/>
        </w:rPr>
        <w:t>)</w:t>
      </w:r>
    </w:p>
    <w:p w:rsidR="008173EF" w:rsidRPr="00966968" w:rsidRDefault="008173EF" w:rsidP="00966968">
      <w:pPr>
        <w:ind w:left="567" w:right="567"/>
        <w:rPr>
          <w:sz w:val="21"/>
          <w:szCs w:val="21"/>
        </w:rPr>
      </w:pPr>
      <w:r w:rsidRPr="00966968">
        <w:rPr>
          <w:sz w:val="21"/>
          <w:szCs w:val="21"/>
        </w:rPr>
        <w:t>“In the past, the purpose and effectiveness of the ETS has been undermined by the ability to import international carbon units that were of dubious quality, in the sense that the carbon units had significant environmental integrity concerns and may not have been linked to real greenhouse gas reductions.” (Waikato Regional Council</w:t>
      </w:r>
      <w:r w:rsidR="001971B3" w:rsidRPr="00966968">
        <w:rPr>
          <w:sz w:val="21"/>
          <w:szCs w:val="21"/>
        </w:rPr>
        <w:t xml:space="preserve">, </w:t>
      </w:r>
      <w:r w:rsidR="00BD6965">
        <w:rPr>
          <w:sz w:val="21"/>
          <w:szCs w:val="21"/>
        </w:rPr>
        <w:t>03007</w:t>
      </w:r>
      <w:r w:rsidRPr="00966968">
        <w:rPr>
          <w:sz w:val="21"/>
          <w:szCs w:val="21"/>
        </w:rPr>
        <w:t>)</w:t>
      </w:r>
    </w:p>
    <w:p w:rsidR="008173EF" w:rsidRPr="00966968" w:rsidRDefault="008173EF" w:rsidP="00966968">
      <w:pPr>
        <w:ind w:left="567" w:right="567"/>
        <w:rPr>
          <w:sz w:val="21"/>
          <w:szCs w:val="21"/>
        </w:rPr>
      </w:pPr>
      <w:r w:rsidRPr="00966968">
        <w:rPr>
          <w:sz w:val="21"/>
          <w:szCs w:val="21"/>
        </w:rPr>
        <w:lastRenderedPageBreak/>
        <w:t>“…the Government’s allowance of cheap international units undermined the opportunity for NZ to establish a forestry-based carbon mitigation platform.” (</w:t>
      </w:r>
      <w:proofErr w:type="spellStart"/>
      <w:r w:rsidRPr="00966968">
        <w:rPr>
          <w:sz w:val="21"/>
          <w:szCs w:val="21"/>
        </w:rPr>
        <w:t>Ngāti</w:t>
      </w:r>
      <w:proofErr w:type="spellEnd"/>
      <w:r w:rsidRPr="00966968">
        <w:rPr>
          <w:sz w:val="21"/>
          <w:szCs w:val="21"/>
        </w:rPr>
        <w:t xml:space="preserve"> Hine Forestry Trust</w:t>
      </w:r>
      <w:r w:rsidR="001971B3" w:rsidRPr="00966968">
        <w:rPr>
          <w:sz w:val="21"/>
          <w:szCs w:val="21"/>
        </w:rPr>
        <w:t xml:space="preserve">, </w:t>
      </w:r>
      <w:r w:rsidR="00BD6965">
        <w:rPr>
          <w:sz w:val="21"/>
          <w:szCs w:val="21"/>
        </w:rPr>
        <w:t>00066</w:t>
      </w:r>
      <w:r w:rsidRPr="00966968">
        <w:rPr>
          <w:sz w:val="21"/>
          <w:szCs w:val="21"/>
        </w:rPr>
        <w:t>)</w:t>
      </w:r>
    </w:p>
    <w:p w:rsidR="00E54858" w:rsidRPr="00231D5A" w:rsidRDefault="006309F6" w:rsidP="00E54858">
      <w:pPr>
        <w:pStyle w:val="Tableheading"/>
      </w:pPr>
      <w:bookmarkStart w:id="36" w:name="_Toc463270168"/>
      <w:r>
        <w:t>Table 4</w:t>
      </w:r>
      <w:r w:rsidR="00E54858" w:rsidRPr="009314F0">
        <w:t xml:space="preserve">: </w:t>
      </w:r>
      <w:r w:rsidR="00E54858" w:rsidRPr="009314F0">
        <w:tab/>
      </w:r>
      <w:r w:rsidR="00B556C0">
        <w:t>Submitter</w:t>
      </w:r>
      <w:r w:rsidR="00E54858" w:rsidRPr="009314F0">
        <w:t xml:space="preserve"> positions – </w:t>
      </w:r>
      <w:r w:rsidR="00111BED" w:rsidRPr="009314F0">
        <w:rPr>
          <w:i/>
        </w:rPr>
        <w:t>If international units are eligible for NZ ETS compliance in the 2020s,</w:t>
      </w:r>
      <w:r w:rsidR="00111BED">
        <w:rPr>
          <w:i/>
        </w:rPr>
        <w:t xml:space="preserve"> should any of the following restrictions be placed on their use?</w:t>
      </w:r>
      <w:bookmarkEnd w:id="36"/>
    </w:p>
    <w:tbl>
      <w:tblPr>
        <w:tblW w:w="9541" w:type="dxa"/>
        <w:tblInd w:w="93" w:type="dxa"/>
        <w:tblLayout w:type="fixed"/>
        <w:tblLook w:val="04A0" w:firstRow="1" w:lastRow="0" w:firstColumn="1" w:lastColumn="0" w:noHBand="0" w:noVBand="1"/>
      </w:tblPr>
      <w:tblGrid>
        <w:gridCol w:w="2283"/>
        <w:gridCol w:w="1209"/>
        <w:gridCol w:w="1210"/>
        <w:gridCol w:w="1210"/>
        <w:gridCol w:w="1209"/>
        <w:gridCol w:w="1210"/>
        <w:gridCol w:w="1210"/>
      </w:tblGrid>
      <w:tr w:rsidR="003F1C1D" w:rsidRPr="00231D5A" w:rsidTr="003E0D3B">
        <w:trPr>
          <w:trHeight w:val="300"/>
        </w:trPr>
        <w:tc>
          <w:tcPr>
            <w:tcW w:w="2283" w:type="dxa"/>
            <w:tcBorders>
              <w:top w:val="nil"/>
              <w:left w:val="nil"/>
              <w:bottom w:val="single" w:sz="4" w:space="0" w:color="005984"/>
              <w:right w:val="single" w:sz="4" w:space="0" w:color="005984"/>
            </w:tcBorders>
            <w:noWrap/>
            <w:vAlign w:val="bottom"/>
            <w:hideMark/>
          </w:tcPr>
          <w:p w:rsidR="003F1C1D" w:rsidRPr="00231D5A" w:rsidRDefault="003F1C1D" w:rsidP="00327526">
            <w:pPr>
              <w:spacing w:before="0" w:after="0"/>
              <w:rPr>
                <w:rFonts w:ascii="Times New Roman" w:hAnsi="Times New Roman" w:cs="Times New Roman"/>
                <w:sz w:val="20"/>
                <w:szCs w:val="20"/>
                <w:lang w:eastAsia="en-NZ"/>
              </w:rPr>
            </w:pPr>
          </w:p>
        </w:tc>
        <w:tc>
          <w:tcPr>
            <w:tcW w:w="1209"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3F1C1D" w:rsidRPr="00231D5A" w:rsidRDefault="003F1C1D" w:rsidP="00164907">
            <w:pPr>
              <w:pStyle w:val="TableTextbold"/>
              <w:jc w:val="center"/>
              <w:rPr>
                <w:color w:val="FFFFFF"/>
                <w:lang w:eastAsia="en-NZ"/>
              </w:rPr>
            </w:pPr>
            <w:r>
              <w:rPr>
                <w:color w:val="FFFFFF"/>
                <w:lang w:eastAsia="en-NZ"/>
              </w:rPr>
              <w:t>Qualitative and quantitative restrictions</w:t>
            </w:r>
          </w:p>
        </w:tc>
        <w:tc>
          <w:tcPr>
            <w:tcW w:w="1210"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3F1C1D" w:rsidRPr="00231D5A" w:rsidRDefault="003F1C1D" w:rsidP="00151153">
            <w:pPr>
              <w:pStyle w:val="TableTextbold"/>
              <w:jc w:val="center"/>
              <w:rPr>
                <w:color w:val="FFFFFF"/>
                <w:lang w:eastAsia="en-NZ"/>
              </w:rPr>
            </w:pPr>
            <w:r>
              <w:rPr>
                <w:color w:val="FFFFFF"/>
                <w:lang w:eastAsia="en-NZ"/>
              </w:rPr>
              <w:t>Qualitative restriction</w:t>
            </w:r>
          </w:p>
        </w:tc>
        <w:tc>
          <w:tcPr>
            <w:tcW w:w="1210" w:type="dxa"/>
            <w:tcBorders>
              <w:top w:val="single" w:sz="4" w:space="0" w:color="005984"/>
              <w:left w:val="single" w:sz="4" w:space="0" w:color="005984"/>
              <w:bottom w:val="single" w:sz="4" w:space="0" w:color="005984"/>
              <w:right w:val="nil"/>
            </w:tcBorders>
            <w:shd w:val="clear" w:color="auto" w:fill="005984"/>
            <w:noWrap/>
            <w:vAlign w:val="center"/>
            <w:hideMark/>
          </w:tcPr>
          <w:p w:rsidR="003F1C1D" w:rsidRPr="00231D5A" w:rsidRDefault="003F1C1D" w:rsidP="00151153">
            <w:pPr>
              <w:pStyle w:val="TableTextbold"/>
              <w:jc w:val="center"/>
              <w:rPr>
                <w:color w:val="FFFFFF"/>
                <w:lang w:eastAsia="en-NZ"/>
              </w:rPr>
            </w:pPr>
            <w:r>
              <w:rPr>
                <w:color w:val="FFFFFF"/>
                <w:lang w:eastAsia="en-NZ"/>
              </w:rPr>
              <w:t>Quantitative restriction</w:t>
            </w:r>
          </w:p>
        </w:tc>
        <w:tc>
          <w:tcPr>
            <w:tcW w:w="1209" w:type="dxa"/>
            <w:tcBorders>
              <w:top w:val="single" w:sz="4" w:space="0" w:color="005984"/>
              <w:left w:val="single" w:sz="4" w:space="0" w:color="005984"/>
              <w:bottom w:val="single" w:sz="4" w:space="0" w:color="005984"/>
              <w:right w:val="single" w:sz="4" w:space="0" w:color="005984"/>
            </w:tcBorders>
            <w:shd w:val="clear" w:color="auto" w:fill="005984"/>
            <w:vAlign w:val="center"/>
            <w:hideMark/>
          </w:tcPr>
          <w:p w:rsidR="003F1C1D" w:rsidRPr="00231D5A" w:rsidRDefault="003F1C1D" w:rsidP="00151153">
            <w:pPr>
              <w:pStyle w:val="TableTextbold"/>
              <w:jc w:val="center"/>
              <w:rPr>
                <w:color w:val="FFFFFF"/>
                <w:lang w:eastAsia="en-NZ"/>
              </w:rPr>
            </w:pPr>
            <w:r>
              <w:rPr>
                <w:color w:val="FFFFFF"/>
                <w:lang w:eastAsia="en-NZ"/>
              </w:rPr>
              <w:t>No restriction</w:t>
            </w:r>
            <w:r w:rsidR="00677019">
              <w:rPr>
                <w:color w:val="FFFFFF"/>
                <w:lang w:eastAsia="en-NZ"/>
              </w:rPr>
              <w:t>s</w:t>
            </w:r>
          </w:p>
        </w:tc>
        <w:tc>
          <w:tcPr>
            <w:tcW w:w="1210" w:type="dxa"/>
            <w:tcBorders>
              <w:top w:val="single" w:sz="4" w:space="0" w:color="005984"/>
              <w:left w:val="single" w:sz="4" w:space="0" w:color="005984"/>
              <w:bottom w:val="single" w:sz="4" w:space="0" w:color="005984"/>
              <w:right w:val="nil"/>
            </w:tcBorders>
            <w:shd w:val="clear" w:color="auto" w:fill="005984"/>
            <w:vAlign w:val="center"/>
            <w:hideMark/>
          </w:tcPr>
          <w:p w:rsidR="003F1C1D" w:rsidRPr="00231D5A" w:rsidRDefault="003F1C1D" w:rsidP="009060FB">
            <w:pPr>
              <w:pStyle w:val="TableTextbold"/>
              <w:jc w:val="center"/>
              <w:rPr>
                <w:color w:val="FFFFFF"/>
                <w:lang w:eastAsia="en-NZ"/>
              </w:rPr>
            </w:pPr>
            <w:r>
              <w:rPr>
                <w:color w:val="FFFFFF"/>
                <w:lang w:eastAsia="en-NZ"/>
              </w:rPr>
              <w:t>Unsure/ unclear</w:t>
            </w:r>
          </w:p>
        </w:tc>
        <w:tc>
          <w:tcPr>
            <w:tcW w:w="1210" w:type="dxa"/>
            <w:tcBorders>
              <w:top w:val="single" w:sz="4" w:space="0" w:color="005984"/>
              <w:left w:val="single" w:sz="4" w:space="0" w:color="005984"/>
              <w:bottom w:val="single" w:sz="4" w:space="0" w:color="005984"/>
              <w:right w:val="nil"/>
            </w:tcBorders>
            <w:shd w:val="clear" w:color="auto" w:fill="005984"/>
            <w:vAlign w:val="center"/>
          </w:tcPr>
          <w:p w:rsidR="003F1C1D" w:rsidRPr="00231D5A" w:rsidDel="003F1C1D" w:rsidRDefault="003F1C1D" w:rsidP="009060FB">
            <w:pPr>
              <w:pStyle w:val="TableTextbold"/>
              <w:jc w:val="center"/>
              <w:rPr>
                <w:color w:val="FFFFFF"/>
                <w:lang w:eastAsia="en-NZ"/>
              </w:rPr>
            </w:pPr>
            <w:r>
              <w:rPr>
                <w:color w:val="FFFFFF"/>
                <w:lang w:eastAsia="en-NZ"/>
              </w:rPr>
              <w:t>Total</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 xml:space="preserve">Agriculture </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2</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Pr>
                <w:lang w:eastAsia="en-NZ"/>
              </w:rPr>
              <w:t>0</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sidRPr="003E0D3B">
              <w:rPr>
                <w:lang w:eastAsia="en-NZ"/>
              </w:rPr>
              <w:t>2</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4</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9</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Business groups</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3</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Pr>
                <w:lang w:eastAsia="en-NZ"/>
              </w:rPr>
              <w:t>0</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3</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 xml:space="preserve">Electricity </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4</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Pr>
                <w:lang w:eastAsia="en-NZ"/>
              </w:rPr>
              <w:t>0</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7</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 xml:space="preserve">Forestry </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21</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9</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sidRPr="003E0D3B">
              <w:rPr>
                <w:lang w:eastAsia="en-NZ"/>
              </w:rPr>
              <w:t>2</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9</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41</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Individual</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11</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11</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sidRPr="003E0D3B">
              <w:rPr>
                <w:lang w:eastAsia="en-NZ"/>
              </w:rPr>
              <w:t>10</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22</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54</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 xml:space="preserve">Industrial processors </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2</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2</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Pr>
                <w:lang w:eastAsia="en-NZ"/>
              </w:rPr>
              <w:t>0</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sidRPr="003E0D3B">
              <w:rPr>
                <w:lang w:eastAsia="en-NZ"/>
              </w:rPr>
              <w:t>4</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9</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Iwi/Māori</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3</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Pr>
                <w:lang w:eastAsia="en-NZ"/>
              </w:rPr>
              <w:t>0</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3</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7</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 xml:space="preserve">Liquid fossil fuels </w:t>
            </w:r>
            <w:r>
              <w:rPr>
                <w:lang w:eastAsia="en-NZ"/>
              </w:rPr>
              <w:t>(transport)</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Pr>
                <w:lang w:eastAsia="en-NZ"/>
              </w:rPr>
              <w:t>0</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3</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5</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Local government</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4</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5</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NGO and community groups</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4</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4</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sidRPr="003E0D3B">
              <w:rPr>
                <w:lang w:eastAsia="en-NZ"/>
              </w:rPr>
              <w:t>3</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12</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Research and tertiary organisations</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3</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sidRPr="003E0D3B">
              <w:rPr>
                <w:lang w:eastAsia="en-NZ"/>
              </w:rPr>
              <w:t>2</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3</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9</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 xml:space="preserve">Stationary energy </w:t>
            </w:r>
            <w:r>
              <w:rPr>
                <w:lang w:eastAsia="en-NZ"/>
              </w:rPr>
              <w:t>(excluding electricity)</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Pr>
                <w:lang w:eastAsia="en-NZ"/>
              </w:rPr>
              <w:t>0</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sidRPr="003E0D3B">
              <w:rPr>
                <w:lang w:eastAsia="en-NZ"/>
              </w:rPr>
              <w:t>4</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2</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8</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Waste sector</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3</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4</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Pr>
                <w:lang w:eastAsia="en-NZ"/>
              </w:rPr>
              <w:t>0</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8</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Wood processors</w:t>
            </w:r>
            <w:r>
              <w:rPr>
                <w:lang w:eastAsia="en-NZ"/>
              </w:rPr>
              <w:t xml:space="preserve"> and manufacturers</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Pr>
                <w:lang w:eastAsia="en-NZ"/>
              </w:rPr>
              <w:t>0</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1</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C76622" w:rsidRDefault="00677019" w:rsidP="003E0D3B">
            <w:pPr>
              <w:pStyle w:val="TableText"/>
              <w:spacing w:before="50" w:after="50"/>
              <w:rPr>
                <w:lang w:eastAsia="en-NZ"/>
              </w:rPr>
            </w:pPr>
            <w:r w:rsidRPr="00C76622">
              <w:rPr>
                <w:lang w:eastAsia="en-NZ"/>
              </w:rPr>
              <w:t>Other</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7</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231D5A" w:rsidRDefault="00677019" w:rsidP="003E0D3B">
            <w:pPr>
              <w:pStyle w:val="TableText"/>
              <w:spacing w:before="50" w:after="50"/>
              <w:jc w:val="center"/>
              <w:rPr>
                <w:lang w:eastAsia="en-NZ"/>
              </w:rPr>
            </w:pPr>
            <w:r w:rsidRPr="003E0D3B">
              <w:rPr>
                <w:lang w:eastAsia="en-NZ"/>
              </w:rPr>
              <w:t>2</w:t>
            </w:r>
          </w:p>
        </w:tc>
        <w:tc>
          <w:tcPr>
            <w:tcW w:w="1210" w:type="dxa"/>
            <w:tcBorders>
              <w:top w:val="single" w:sz="4" w:space="0" w:color="005984"/>
              <w:left w:val="single" w:sz="4" w:space="0" w:color="005984"/>
              <w:bottom w:val="single" w:sz="4" w:space="0" w:color="005984"/>
              <w:right w:val="nil"/>
            </w:tcBorders>
            <w:noWrap/>
            <w:vAlign w:val="center"/>
          </w:tcPr>
          <w:p w:rsidR="00677019" w:rsidRPr="00231D5A" w:rsidRDefault="00677019" w:rsidP="003E0D3B">
            <w:pPr>
              <w:pStyle w:val="TableText"/>
              <w:spacing w:before="50" w:after="50"/>
              <w:jc w:val="center"/>
              <w:rPr>
                <w:lang w:eastAsia="en-NZ"/>
              </w:rPr>
            </w:pPr>
            <w:r w:rsidRPr="003E0D3B">
              <w:rPr>
                <w:lang w:eastAsia="en-NZ"/>
              </w:rPr>
              <w:t>1</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231D5A" w:rsidRDefault="00677019" w:rsidP="003E0D3B">
            <w:pPr>
              <w:pStyle w:val="TableText"/>
              <w:spacing w:before="50" w:after="50"/>
              <w:jc w:val="center"/>
              <w:rPr>
                <w:lang w:eastAsia="en-NZ"/>
              </w:rPr>
            </w:pPr>
            <w:r>
              <w:rPr>
                <w:lang w:eastAsia="en-NZ"/>
              </w:rPr>
              <w:t>0</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2</w:t>
            </w:r>
          </w:p>
        </w:tc>
        <w:tc>
          <w:tcPr>
            <w:tcW w:w="1210" w:type="dxa"/>
            <w:tcBorders>
              <w:top w:val="single" w:sz="4" w:space="0" w:color="005984"/>
              <w:left w:val="single" w:sz="4" w:space="0" w:color="005984"/>
              <w:bottom w:val="single" w:sz="4" w:space="0" w:color="005984"/>
              <w:right w:val="nil"/>
            </w:tcBorders>
            <w:vAlign w:val="center"/>
          </w:tcPr>
          <w:p w:rsidR="00677019" w:rsidRPr="00231D5A" w:rsidRDefault="00677019" w:rsidP="003E0D3B">
            <w:pPr>
              <w:pStyle w:val="TableText"/>
              <w:spacing w:before="50" w:after="50"/>
              <w:jc w:val="center"/>
              <w:rPr>
                <w:lang w:eastAsia="en-NZ"/>
              </w:rPr>
            </w:pPr>
            <w:r w:rsidRPr="003E0D3B">
              <w:rPr>
                <w:lang w:eastAsia="en-NZ"/>
              </w:rPr>
              <w:t>12</w:t>
            </w:r>
          </w:p>
        </w:tc>
      </w:tr>
      <w:tr w:rsidR="00677019" w:rsidRPr="00231D5A" w:rsidTr="003E0D3B">
        <w:trPr>
          <w:trHeight w:val="300"/>
        </w:trPr>
        <w:tc>
          <w:tcPr>
            <w:tcW w:w="2283" w:type="dxa"/>
            <w:tcBorders>
              <w:top w:val="single" w:sz="4" w:space="0" w:color="005984"/>
              <w:left w:val="nil"/>
              <w:bottom w:val="single" w:sz="4" w:space="0" w:color="005984"/>
              <w:right w:val="single" w:sz="4" w:space="0" w:color="005984"/>
            </w:tcBorders>
            <w:noWrap/>
            <w:vAlign w:val="center"/>
          </w:tcPr>
          <w:p w:rsidR="00677019" w:rsidRPr="00151153" w:rsidRDefault="00677019" w:rsidP="003E0D3B">
            <w:pPr>
              <w:pStyle w:val="TableText"/>
              <w:spacing w:before="50" w:after="50"/>
              <w:rPr>
                <w:b/>
                <w:lang w:eastAsia="en-NZ"/>
              </w:rPr>
            </w:pPr>
            <w:r w:rsidRPr="00164907">
              <w:rPr>
                <w:b/>
                <w:lang w:eastAsia="en-NZ"/>
              </w:rPr>
              <w:t>TOTAL</w:t>
            </w:r>
          </w:p>
        </w:tc>
        <w:tc>
          <w:tcPr>
            <w:tcW w:w="1209" w:type="dxa"/>
            <w:tcBorders>
              <w:top w:val="single" w:sz="4" w:space="0" w:color="005984"/>
              <w:left w:val="single" w:sz="4" w:space="0" w:color="005984"/>
              <w:bottom w:val="single" w:sz="4" w:space="0" w:color="005984"/>
              <w:right w:val="single" w:sz="4" w:space="0" w:color="005984"/>
            </w:tcBorders>
            <w:noWrap/>
            <w:vAlign w:val="center"/>
          </w:tcPr>
          <w:p w:rsidR="00677019" w:rsidRPr="003E0D3B" w:rsidRDefault="00677019" w:rsidP="003E0D3B">
            <w:pPr>
              <w:pStyle w:val="TableText"/>
              <w:spacing w:before="50" w:after="50"/>
              <w:jc w:val="center"/>
              <w:rPr>
                <w:b/>
                <w:lang w:eastAsia="en-NZ"/>
              </w:rPr>
            </w:pPr>
            <w:r w:rsidRPr="003E0D3B">
              <w:rPr>
                <w:b/>
                <w:lang w:eastAsia="en-NZ"/>
              </w:rPr>
              <w:t>62</w:t>
            </w:r>
          </w:p>
        </w:tc>
        <w:tc>
          <w:tcPr>
            <w:tcW w:w="1210" w:type="dxa"/>
            <w:tcBorders>
              <w:top w:val="single" w:sz="4" w:space="0" w:color="005984"/>
              <w:left w:val="single" w:sz="4" w:space="0" w:color="005984"/>
              <w:bottom w:val="single" w:sz="4" w:space="0" w:color="005984"/>
              <w:right w:val="single" w:sz="4" w:space="0" w:color="005984"/>
            </w:tcBorders>
            <w:noWrap/>
            <w:vAlign w:val="center"/>
          </w:tcPr>
          <w:p w:rsidR="00677019" w:rsidRPr="003E0D3B" w:rsidRDefault="00677019" w:rsidP="003E0D3B">
            <w:pPr>
              <w:pStyle w:val="TableText"/>
              <w:spacing w:before="50" w:after="50"/>
              <w:jc w:val="center"/>
              <w:rPr>
                <w:b/>
                <w:lang w:eastAsia="en-NZ"/>
              </w:rPr>
            </w:pPr>
            <w:r w:rsidRPr="003E0D3B">
              <w:rPr>
                <w:b/>
                <w:lang w:eastAsia="en-NZ"/>
              </w:rPr>
              <w:t>46</w:t>
            </w:r>
          </w:p>
        </w:tc>
        <w:tc>
          <w:tcPr>
            <w:tcW w:w="1210" w:type="dxa"/>
            <w:tcBorders>
              <w:top w:val="single" w:sz="4" w:space="0" w:color="005984"/>
              <w:left w:val="single" w:sz="4" w:space="0" w:color="005984"/>
              <w:bottom w:val="single" w:sz="4" w:space="0" w:color="005984"/>
              <w:right w:val="nil"/>
            </w:tcBorders>
            <w:noWrap/>
            <w:vAlign w:val="center"/>
          </w:tcPr>
          <w:p w:rsidR="00677019" w:rsidRPr="003E0D3B" w:rsidRDefault="00677019" w:rsidP="003E0D3B">
            <w:pPr>
              <w:pStyle w:val="TableText"/>
              <w:spacing w:before="50" w:after="50"/>
              <w:jc w:val="center"/>
              <w:rPr>
                <w:b/>
                <w:lang w:eastAsia="en-NZ"/>
              </w:rPr>
            </w:pPr>
            <w:r w:rsidRPr="003E0D3B">
              <w:rPr>
                <w:b/>
                <w:lang w:eastAsia="en-NZ"/>
              </w:rPr>
              <w:t>19</w:t>
            </w:r>
          </w:p>
        </w:tc>
        <w:tc>
          <w:tcPr>
            <w:tcW w:w="1209" w:type="dxa"/>
            <w:tcBorders>
              <w:top w:val="single" w:sz="4" w:space="0" w:color="005984"/>
              <w:left w:val="single" w:sz="4" w:space="0" w:color="005984"/>
              <w:bottom w:val="single" w:sz="4" w:space="0" w:color="005984"/>
              <w:right w:val="single" w:sz="4" w:space="0" w:color="005984"/>
            </w:tcBorders>
            <w:vAlign w:val="center"/>
          </w:tcPr>
          <w:p w:rsidR="00677019" w:rsidRPr="003E0D3B" w:rsidRDefault="00677019" w:rsidP="003E0D3B">
            <w:pPr>
              <w:pStyle w:val="TableText"/>
              <w:spacing w:before="50" w:after="50"/>
              <w:jc w:val="center"/>
              <w:rPr>
                <w:b/>
                <w:lang w:eastAsia="en-NZ"/>
              </w:rPr>
            </w:pPr>
            <w:r w:rsidRPr="003E0D3B">
              <w:rPr>
                <w:b/>
                <w:lang w:eastAsia="en-NZ"/>
              </w:rPr>
              <w:t>12</w:t>
            </w:r>
          </w:p>
        </w:tc>
        <w:tc>
          <w:tcPr>
            <w:tcW w:w="1210" w:type="dxa"/>
            <w:tcBorders>
              <w:top w:val="single" w:sz="4" w:space="0" w:color="005984"/>
              <w:left w:val="single" w:sz="4" w:space="0" w:color="005984"/>
              <w:bottom w:val="single" w:sz="4" w:space="0" w:color="005984"/>
              <w:right w:val="nil"/>
            </w:tcBorders>
            <w:vAlign w:val="center"/>
          </w:tcPr>
          <w:p w:rsidR="00677019" w:rsidRPr="003E0D3B" w:rsidRDefault="00677019" w:rsidP="003E0D3B">
            <w:pPr>
              <w:pStyle w:val="TableText"/>
              <w:spacing w:before="50" w:after="50"/>
              <w:jc w:val="center"/>
              <w:rPr>
                <w:b/>
                <w:lang w:eastAsia="en-NZ"/>
              </w:rPr>
            </w:pPr>
            <w:r w:rsidRPr="003E0D3B">
              <w:rPr>
                <w:b/>
                <w:lang w:eastAsia="en-NZ"/>
              </w:rPr>
              <w:t>51</w:t>
            </w:r>
          </w:p>
        </w:tc>
        <w:tc>
          <w:tcPr>
            <w:tcW w:w="1210" w:type="dxa"/>
            <w:tcBorders>
              <w:top w:val="single" w:sz="4" w:space="0" w:color="005984"/>
              <w:left w:val="single" w:sz="4" w:space="0" w:color="005984"/>
              <w:bottom w:val="single" w:sz="4" w:space="0" w:color="005984"/>
              <w:right w:val="nil"/>
            </w:tcBorders>
            <w:vAlign w:val="center"/>
          </w:tcPr>
          <w:p w:rsidR="00677019" w:rsidRPr="003E0D3B" w:rsidRDefault="00677019" w:rsidP="003E0D3B">
            <w:pPr>
              <w:pStyle w:val="TableText"/>
              <w:spacing w:before="50" w:after="50"/>
              <w:jc w:val="center"/>
              <w:rPr>
                <w:b/>
                <w:lang w:eastAsia="en-NZ"/>
              </w:rPr>
            </w:pPr>
            <w:r w:rsidRPr="003E0D3B">
              <w:rPr>
                <w:b/>
                <w:lang w:eastAsia="en-NZ"/>
              </w:rPr>
              <w:t>190</w:t>
            </w:r>
          </w:p>
        </w:tc>
      </w:tr>
    </w:tbl>
    <w:p w:rsidR="00111BED" w:rsidRPr="00C76622" w:rsidRDefault="00111BED" w:rsidP="00111BED">
      <w:pPr>
        <w:pStyle w:val="Figureheading"/>
      </w:pPr>
      <w:bookmarkStart w:id="37" w:name="_Toc462814464"/>
      <w:r w:rsidRPr="00C76622">
        <w:lastRenderedPageBreak/>
        <w:t xml:space="preserve">Figure </w:t>
      </w:r>
      <w:r w:rsidR="00AD5B83">
        <w:t>3</w:t>
      </w:r>
      <w:r w:rsidRPr="00C76622">
        <w:t xml:space="preserve">: </w:t>
      </w:r>
      <w:r w:rsidRPr="00C76622">
        <w:tab/>
      </w:r>
      <w:r w:rsidR="00B556C0">
        <w:t>Submitter</w:t>
      </w:r>
      <w:r w:rsidRPr="00C76622">
        <w:t xml:space="preserve"> positions – </w:t>
      </w:r>
      <w:r>
        <w:rPr>
          <w:i/>
        </w:rPr>
        <w:t>If international units are eligible for NZ ETS compliance in the 2020s, should any of the following restrictions be placed on their use?</w:t>
      </w:r>
      <w:bookmarkEnd w:id="37"/>
      <w:r>
        <w:rPr>
          <w:i/>
        </w:rPr>
        <w:t xml:space="preserve"> </w:t>
      </w:r>
    </w:p>
    <w:p w:rsidR="00111BED" w:rsidRPr="00C76622" w:rsidRDefault="00C320BE" w:rsidP="00113656">
      <w:pPr>
        <w:pStyle w:val="BodyText"/>
        <w:spacing w:before="60"/>
        <w:jc w:val="center"/>
      </w:pPr>
      <w:r>
        <w:rPr>
          <w:noProof/>
          <w:lang w:eastAsia="en-NZ"/>
        </w:rPr>
        <w:drawing>
          <wp:inline distT="0" distB="0" distL="0" distR="0" wp14:anchorId="567F6858" wp14:editId="70D2DD32">
            <wp:extent cx="5407660" cy="274955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7660" cy="2749550"/>
                    </a:xfrm>
                    <a:prstGeom prst="rect">
                      <a:avLst/>
                    </a:prstGeom>
                    <a:noFill/>
                  </pic:spPr>
                </pic:pic>
              </a:graphicData>
            </a:graphic>
          </wp:inline>
        </w:drawing>
      </w:r>
    </w:p>
    <w:p w:rsidR="00F04448" w:rsidRDefault="000041BD" w:rsidP="00813A5E">
      <w:pPr>
        <w:pStyle w:val="Heading2"/>
        <w:spacing w:after="240"/>
      </w:pPr>
      <w:bookmarkStart w:id="38" w:name="_Toc463270133"/>
      <w:r>
        <w:t>Auctioning</w:t>
      </w:r>
      <w:bookmarkEnd w:id="38"/>
    </w:p>
    <w:tbl>
      <w:tblPr>
        <w:tblW w:w="8505" w:type="dxa"/>
        <w:tblInd w:w="57"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DEEAF6"/>
        <w:tblLook w:val="04A0" w:firstRow="1" w:lastRow="0" w:firstColumn="1" w:lastColumn="0" w:noHBand="0" w:noVBand="1"/>
      </w:tblPr>
      <w:tblGrid>
        <w:gridCol w:w="8505"/>
      </w:tblGrid>
      <w:tr w:rsidR="000041BD" w:rsidRPr="00C76622" w:rsidTr="00837A1C">
        <w:trPr>
          <w:trHeight w:val="1188"/>
        </w:trPr>
        <w:tc>
          <w:tcPr>
            <w:tcW w:w="8505" w:type="dxa"/>
            <w:shd w:val="clear" w:color="auto" w:fill="DEEAF6"/>
          </w:tcPr>
          <w:p w:rsidR="000041BD" w:rsidRPr="008D7BEC" w:rsidRDefault="000041BD" w:rsidP="00837A1C">
            <w:pPr>
              <w:pStyle w:val="Bullet"/>
              <w:numPr>
                <w:ilvl w:val="0"/>
                <w:numId w:val="0"/>
              </w:numPr>
              <w:spacing w:before="240" w:line="276" w:lineRule="auto"/>
              <w:ind w:left="397"/>
              <w:rPr>
                <w:sz w:val="20"/>
                <w:szCs w:val="20"/>
              </w:rPr>
            </w:pPr>
            <w:r>
              <w:rPr>
                <w:sz w:val="20"/>
                <w:szCs w:val="20"/>
              </w:rPr>
              <w:t xml:space="preserve">Auctioning mechanisms are primarily used as a way to efficiently distribute units to participants and ensure the number of units circulating reflects the emissions cap on the scheme and/or the national emissions reduction target. They can also be used to influence unit prices by controlling the supply of units. </w:t>
            </w:r>
          </w:p>
        </w:tc>
      </w:tr>
    </w:tbl>
    <w:p w:rsidR="00D215C5" w:rsidRDefault="0040636D" w:rsidP="00D215C5">
      <w:pPr>
        <w:pStyle w:val="Heading2"/>
        <w:spacing w:before="240"/>
      </w:pPr>
      <w:bookmarkStart w:id="39" w:name="_Toc456013883"/>
      <w:bookmarkStart w:id="40" w:name="_Toc463270134"/>
      <w:r>
        <w:t>6</w:t>
      </w:r>
      <w:r w:rsidR="00D215C5">
        <w:t xml:space="preserve">.4 </w:t>
      </w:r>
      <w:r w:rsidR="00D215C5">
        <w:tab/>
        <w:t>Should auctioning be introduced in the NZ ETS?</w:t>
      </w:r>
      <w:r w:rsidR="00D215C5" w:rsidRPr="0086449B">
        <w:t xml:space="preserve"> </w:t>
      </w:r>
      <w:r w:rsidR="00D215C5">
        <w:t>If yes, when? (Question 17)</w:t>
      </w:r>
      <w:bookmarkEnd w:id="39"/>
      <w:bookmarkEnd w:id="40"/>
    </w:p>
    <w:p w:rsidR="00DA59D9" w:rsidRPr="00DA59D9" w:rsidRDefault="00DA59D9" w:rsidP="00DA59D9">
      <w:pPr>
        <w:pStyle w:val="Heading2"/>
        <w:spacing w:before="165"/>
        <w:ind w:left="855" w:hanging="4"/>
        <w:contextualSpacing/>
        <w:rPr>
          <w:sz w:val="22"/>
          <w:szCs w:val="22"/>
        </w:rPr>
      </w:pPr>
      <w:bookmarkStart w:id="41" w:name="_Toc463270135"/>
      <w:r w:rsidRPr="003E0D3B">
        <w:rPr>
          <w:sz w:val="22"/>
          <w:szCs w:val="22"/>
        </w:rPr>
        <w:t xml:space="preserve">a) </w:t>
      </w:r>
      <w:proofErr w:type="gramStart"/>
      <w:r w:rsidRPr="003E0D3B">
        <w:rPr>
          <w:sz w:val="22"/>
          <w:szCs w:val="22"/>
        </w:rPr>
        <w:t>in</w:t>
      </w:r>
      <w:proofErr w:type="gramEnd"/>
      <w:r w:rsidRPr="003E0D3B">
        <w:rPr>
          <w:sz w:val="22"/>
          <w:szCs w:val="22"/>
        </w:rPr>
        <w:t xml:space="preserve"> the next two to three years</w:t>
      </w:r>
      <w:r w:rsidR="006262AA" w:rsidRPr="003E0D3B">
        <w:rPr>
          <w:sz w:val="22"/>
          <w:szCs w:val="22"/>
        </w:rPr>
        <w:br/>
      </w:r>
      <w:r w:rsidRPr="003E0D3B">
        <w:rPr>
          <w:sz w:val="22"/>
          <w:szCs w:val="22"/>
        </w:rPr>
        <w:t xml:space="preserve">b) within five years (before 2020) </w:t>
      </w:r>
      <w:r w:rsidR="006262AA" w:rsidRPr="003E0D3B">
        <w:rPr>
          <w:sz w:val="22"/>
          <w:szCs w:val="22"/>
        </w:rPr>
        <w:br/>
      </w:r>
      <w:r w:rsidRPr="003E0D3B">
        <w:rPr>
          <w:sz w:val="22"/>
          <w:szCs w:val="22"/>
        </w:rPr>
        <w:t>c) after five years (post 2020)</w:t>
      </w:r>
      <w:bookmarkEnd w:id="41"/>
    </w:p>
    <w:p w:rsidR="00D215C5" w:rsidRDefault="00395441" w:rsidP="00DA59D9">
      <w:pPr>
        <w:pStyle w:val="Heading4"/>
        <w:ind w:hanging="4"/>
      </w:pPr>
      <w:r>
        <w:t xml:space="preserve">Support for auctioning </w:t>
      </w:r>
    </w:p>
    <w:p w:rsidR="00D215C5" w:rsidRDefault="00671483" w:rsidP="00B8466E">
      <w:r>
        <w:t xml:space="preserve">One hundred and </w:t>
      </w:r>
      <w:r w:rsidR="00456DBD">
        <w:t>fifty-one</w:t>
      </w:r>
      <w:r w:rsidR="00271F0A">
        <w:t xml:space="preserve"> </w:t>
      </w:r>
      <w:r>
        <w:t>s</w:t>
      </w:r>
      <w:r w:rsidR="00D215C5" w:rsidRPr="004D4BA1">
        <w:t>ubmitters (</w:t>
      </w:r>
      <w:r w:rsidR="00C2449D">
        <w:t>approximately</w:t>
      </w:r>
      <w:r w:rsidR="00271F0A">
        <w:t xml:space="preserve"> </w:t>
      </w:r>
      <w:r w:rsidR="00D215C5" w:rsidRPr="004D4BA1">
        <w:t>4</w:t>
      </w:r>
      <w:r w:rsidR="00456DBD">
        <w:t>5</w:t>
      </w:r>
      <w:r w:rsidR="00D215C5" w:rsidRPr="004D4BA1">
        <w:t xml:space="preserve"> </w:t>
      </w:r>
      <w:r w:rsidR="008E24E1">
        <w:t>per cent</w:t>
      </w:r>
      <w:r w:rsidR="00456DBD">
        <w:t xml:space="preserve"> of the total of submitters</w:t>
      </w:r>
      <w:r w:rsidR="00D215C5" w:rsidRPr="004D4BA1">
        <w:t xml:space="preserve">) responded to this question. </w:t>
      </w:r>
      <w:r>
        <w:t>S</w:t>
      </w:r>
      <w:r w:rsidR="00456DBD">
        <w:t>eventy</w:t>
      </w:r>
      <w:r>
        <w:t xml:space="preserve"> </w:t>
      </w:r>
      <w:r w:rsidR="00D215C5" w:rsidRPr="004D4BA1">
        <w:t>submitters (</w:t>
      </w:r>
      <w:r w:rsidR="00C2449D">
        <w:t>approximately</w:t>
      </w:r>
      <w:r w:rsidR="00456DBD">
        <w:t xml:space="preserve"> </w:t>
      </w:r>
      <w:r w:rsidR="00D215C5" w:rsidRPr="004D4BA1">
        <w:t xml:space="preserve">45 </w:t>
      </w:r>
      <w:r w:rsidR="008E24E1">
        <w:t>per cent</w:t>
      </w:r>
      <w:r w:rsidR="00D215C5" w:rsidRPr="004D4BA1">
        <w:t xml:space="preserve">) thought that auctioning </w:t>
      </w:r>
      <w:r w:rsidR="00D215C5">
        <w:t xml:space="preserve">should </w:t>
      </w:r>
      <w:r w:rsidR="00D215C5" w:rsidRPr="004D4BA1">
        <w:t>be introduced into the NZ ETS</w:t>
      </w:r>
      <w:r>
        <w:t>, although some of these submitters recommended conditions for introducing auctioning</w:t>
      </w:r>
      <w:r w:rsidR="00D215C5" w:rsidRPr="004D4BA1">
        <w:t xml:space="preserve">. </w:t>
      </w:r>
      <w:r w:rsidR="00D215C5">
        <w:t xml:space="preserve">Submitters that supported the use of auctioning were mainly businesses, NGOs, community groups and research groups. </w:t>
      </w:r>
    </w:p>
    <w:p w:rsidR="00D215C5" w:rsidRDefault="00D215C5" w:rsidP="00B8466E">
      <w:r w:rsidRPr="004D4BA1">
        <w:t xml:space="preserve">Many </w:t>
      </w:r>
      <w:r>
        <w:t xml:space="preserve">of the submitters </w:t>
      </w:r>
      <w:r w:rsidR="00743E14">
        <w:t>who</w:t>
      </w:r>
      <w:r w:rsidR="00824BFA">
        <w:t xml:space="preserve"> thought</w:t>
      </w:r>
      <w:r>
        <w:t xml:space="preserve"> auctioning </w:t>
      </w:r>
      <w:r w:rsidR="00824BFA">
        <w:t xml:space="preserve">should be introduced commented that it </w:t>
      </w:r>
      <w:r>
        <w:t xml:space="preserve">was needed to provide more supply to the market. A few submitters noted that </w:t>
      </w:r>
      <w:r w:rsidR="00824BFA">
        <w:t>auctioning</w:t>
      </w:r>
      <w:r>
        <w:t xml:space="preserve"> should be introduced with a cap on the amount of units supplied to the market. </w:t>
      </w:r>
      <w:r w:rsidRPr="00D65F53">
        <w:t xml:space="preserve">Several submitters also </w:t>
      </w:r>
      <w:r w:rsidR="00824BFA">
        <w:t>commented on</w:t>
      </w:r>
      <w:r w:rsidRPr="00D65F53">
        <w:t xml:space="preserve"> the importance transparen</w:t>
      </w:r>
      <w:r w:rsidR="00824BFA">
        <w:t>cy</w:t>
      </w:r>
      <w:r>
        <w:t>,</w:t>
      </w:r>
      <w:r w:rsidRPr="00D65F53">
        <w:t xml:space="preserve"> </w:t>
      </w:r>
      <w:r>
        <w:t>consulting with stakeholders</w:t>
      </w:r>
      <w:r w:rsidR="00824BFA">
        <w:t>,</w:t>
      </w:r>
      <w:r>
        <w:t xml:space="preserve"> </w:t>
      </w:r>
      <w:r w:rsidRPr="00D65F53">
        <w:t xml:space="preserve">and </w:t>
      </w:r>
      <w:r>
        <w:t>clearly communicating the objective</w:t>
      </w:r>
      <w:r w:rsidR="00824BFA">
        <w:t>s</w:t>
      </w:r>
      <w:r>
        <w:t xml:space="preserve">, role, and design of </w:t>
      </w:r>
      <w:r w:rsidR="00824BFA">
        <w:t xml:space="preserve">an </w:t>
      </w:r>
      <w:r>
        <w:t xml:space="preserve">auctioning </w:t>
      </w:r>
      <w:r w:rsidR="00824BFA">
        <w:t xml:space="preserve">mechanism </w:t>
      </w:r>
      <w:r>
        <w:t>in advance.</w:t>
      </w:r>
    </w:p>
    <w:p w:rsidR="00D215C5" w:rsidRPr="00C540C3" w:rsidRDefault="00B8466E" w:rsidP="00C540C3">
      <w:pPr>
        <w:ind w:left="567" w:right="567"/>
        <w:rPr>
          <w:sz w:val="21"/>
          <w:szCs w:val="21"/>
        </w:rPr>
      </w:pPr>
      <w:r w:rsidRPr="00C540C3">
        <w:rPr>
          <w:sz w:val="21"/>
          <w:szCs w:val="21"/>
        </w:rPr>
        <w:lastRenderedPageBreak/>
        <w:t>“</w:t>
      </w:r>
      <w:proofErr w:type="spellStart"/>
      <w:r w:rsidR="00D215C5" w:rsidRPr="00C540C3">
        <w:rPr>
          <w:sz w:val="21"/>
          <w:szCs w:val="21"/>
        </w:rPr>
        <w:t>Graymont</w:t>
      </w:r>
      <w:proofErr w:type="spellEnd"/>
      <w:r w:rsidR="00D215C5" w:rsidRPr="00C540C3">
        <w:rPr>
          <w:sz w:val="21"/>
          <w:szCs w:val="21"/>
        </w:rPr>
        <w:t xml:space="preserve"> recommends the introduction of full auctioning</w:t>
      </w:r>
      <w:r w:rsidR="00843D9D">
        <w:rPr>
          <w:sz w:val="21"/>
          <w:szCs w:val="21"/>
        </w:rPr>
        <w:t xml:space="preserve"> in the next two to three years with pilot auctions established prior.</w:t>
      </w:r>
      <w:r w:rsidR="00D215C5" w:rsidRPr="00C540C3">
        <w:rPr>
          <w:sz w:val="21"/>
          <w:szCs w:val="21"/>
        </w:rPr>
        <w:t xml:space="preserve"> In the absence of international unit access, auctioning is required to ensure a liquid and functioning NZ ETS…The key auction settings need to be established as a priority and signalled in order to provide market certainty</w:t>
      </w:r>
      <w:r w:rsidRPr="00C540C3">
        <w:rPr>
          <w:sz w:val="21"/>
          <w:szCs w:val="21"/>
        </w:rPr>
        <w:t>”</w:t>
      </w:r>
      <w:r w:rsidR="00D215C5" w:rsidRPr="00C540C3">
        <w:rPr>
          <w:sz w:val="21"/>
          <w:szCs w:val="21"/>
        </w:rPr>
        <w:t xml:space="preserve">. </w:t>
      </w:r>
      <w:r w:rsidR="001971B3" w:rsidRPr="00C540C3">
        <w:rPr>
          <w:sz w:val="21"/>
          <w:szCs w:val="21"/>
        </w:rPr>
        <w:t>(</w:t>
      </w:r>
      <w:proofErr w:type="spellStart"/>
      <w:r w:rsidR="00D215C5" w:rsidRPr="00C540C3">
        <w:rPr>
          <w:sz w:val="21"/>
          <w:szCs w:val="21"/>
        </w:rPr>
        <w:t>Graymont</w:t>
      </w:r>
      <w:proofErr w:type="spellEnd"/>
      <w:r w:rsidR="001971B3" w:rsidRPr="00C540C3">
        <w:rPr>
          <w:sz w:val="21"/>
          <w:szCs w:val="21"/>
        </w:rPr>
        <w:t xml:space="preserve">, </w:t>
      </w:r>
      <w:r w:rsidR="00BD6965">
        <w:rPr>
          <w:sz w:val="21"/>
          <w:szCs w:val="21"/>
        </w:rPr>
        <w:t>00048</w:t>
      </w:r>
      <w:r w:rsidR="001971B3" w:rsidRPr="00C540C3">
        <w:rPr>
          <w:sz w:val="21"/>
          <w:szCs w:val="21"/>
        </w:rPr>
        <w:t>)</w:t>
      </w:r>
    </w:p>
    <w:p w:rsidR="00D215C5" w:rsidRPr="00D65F53" w:rsidRDefault="00D215C5" w:rsidP="00B8466E">
      <w:r w:rsidRPr="00D65F53">
        <w:t xml:space="preserve">Some submitters </w:t>
      </w:r>
      <w:r>
        <w:t>provided conditions for when auctioning should be introduced</w:t>
      </w:r>
      <w:r w:rsidRPr="00D65F53">
        <w:t>. The most common condition related to the supply of units. Several</w:t>
      </w:r>
      <w:r w:rsidR="00824BFA">
        <w:t xml:space="preserve"> submitters</w:t>
      </w:r>
      <w:r w:rsidRPr="00D65F53">
        <w:t xml:space="preserve"> thought auctioning should only be introduced if </w:t>
      </w:r>
      <w:r w:rsidR="00C118D3">
        <w:t>there was a need for additional</w:t>
      </w:r>
      <w:r w:rsidRPr="00D65F53">
        <w:t xml:space="preserve"> supply in the market</w:t>
      </w:r>
      <w:r w:rsidR="00C118D3">
        <w:t>. O</w:t>
      </w:r>
      <w:r w:rsidRPr="00D65F53">
        <w:t xml:space="preserve">thers thought </w:t>
      </w:r>
      <w:r w:rsidR="00C118D3">
        <w:t>auctioning</w:t>
      </w:r>
      <w:r w:rsidRPr="00D65F53">
        <w:t xml:space="preserve"> should only be introduced if other forms of supply (such as the </w:t>
      </w:r>
      <w:r w:rsidR="00C118D3">
        <w:t xml:space="preserve">fixed </w:t>
      </w:r>
      <w:r w:rsidRPr="00D65F53">
        <w:t xml:space="preserve">price </w:t>
      </w:r>
      <w:r w:rsidR="00C118D3">
        <w:t>surrender option</w:t>
      </w:r>
      <w:r w:rsidRPr="00D65F53">
        <w:t xml:space="preserve"> or international units) </w:t>
      </w:r>
      <w:r>
        <w:t>ceased</w:t>
      </w:r>
      <w:r w:rsidRPr="00D65F53">
        <w:t xml:space="preserve">. </w:t>
      </w:r>
    </w:p>
    <w:p w:rsidR="00D215C5" w:rsidRPr="00C540C3" w:rsidRDefault="001971B3" w:rsidP="00C540C3">
      <w:pPr>
        <w:ind w:left="567" w:right="567"/>
        <w:rPr>
          <w:sz w:val="21"/>
          <w:szCs w:val="21"/>
        </w:rPr>
      </w:pPr>
      <w:r w:rsidRPr="00C540C3">
        <w:rPr>
          <w:sz w:val="21"/>
          <w:szCs w:val="21"/>
        </w:rPr>
        <w:t>“</w:t>
      </w:r>
      <w:r w:rsidR="00D215C5" w:rsidRPr="00C540C3">
        <w:rPr>
          <w:sz w:val="21"/>
          <w:szCs w:val="21"/>
        </w:rPr>
        <w:t>Yes - if required to supplement unit supply. Auctioning has the potential to modify or distort supply and demand conditions in the NZ ETS so it is important that the conditions under which auctioning can take place, management of reserve pricing and auction volumes and other design criteria are clearly identified and consulted on prior to its introduction.</w:t>
      </w:r>
      <w:r w:rsidRPr="00C540C3">
        <w:rPr>
          <w:sz w:val="21"/>
          <w:szCs w:val="21"/>
        </w:rPr>
        <w:t>”</w:t>
      </w:r>
      <w:r w:rsidR="00D215C5" w:rsidRPr="00C540C3">
        <w:rPr>
          <w:sz w:val="21"/>
          <w:szCs w:val="21"/>
        </w:rPr>
        <w:t xml:space="preserve"> </w:t>
      </w:r>
      <w:r w:rsidRPr="00C540C3">
        <w:rPr>
          <w:sz w:val="21"/>
          <w:szCs w:val="21"/>
        </w:rPr>
        <w:t>(</w:t>
      </w:r>
      <w:r w:rsidR="00D215C5" w:rsidRPr="00C540C3">
        <w:rPr>
          <w:sz w:val="21"/>
          <w:szCs w:val="21"/>
        </w:rPr>
        <w:t>Carbon Farm Limited</w:t>
      </w:r>
      <w:r w:rsidRPr="00C540C3">
        <w:rPr>
          <w:sz w:val="21"/>
          <w:szCs w:val="21"/>
        </w:rPr>
        <w:t xml:space="preserve">, </w:t>
      </w:r>
      <w:r w:rsidR="00BD6965">
        <w:rPr>
          <w:sz w:val="21"/>
          <w:szCs w:val="21"/>
        </w:rPr>
        <w:t>00121</w:t>
      </w:r>
      <w:r w:rsidRPr="00C540C3">
        <w:rPr>
          <w:sz w:val="21"/>
          <w:szCs w:val="21"/>
        </w:rPr>
        <w:t>)</w:t>
      </w:r>
    </w:p>
    <w:p w:rsidR="00D215C5" w:rsidRDefault="00D215C5" w:rsidP="00D215C5">
      <w:pPr>
        <w:pStyle w:val="Heading4"/>
      </w:pPr>
      <w:r>
        <w:t xml:space="preserve">Unsure </w:t>
      </w:r>
      <w:r w:rsidR="00395441">
        <w:t xml:space="preserve">about the introduction of auctioning </w:t>
      </w:r>
    </w:p>
    <w:p w:rsidR="00D215C5" w:rsidRDefault="00C118D3" w:rsidP="00B8466E">
      <w:r>
        <w:t>Thirty</w:t>
      </w:r>
      <w:r w:rsidR="00743E14">
        <w:t>-</w:t>
      </w:r>
      <w:r w:rsidR="00456DBD">
        <w:t>three</w:t>
      </w:r>
      <w:r w:rsidR="00D215C5" w:rsidRPr="00AD301A">
        <w:t xml:space="preserve"> </w:t>
      </w:r>
      <w:r w:rsidR="00743E14" w:rsidRPr="00AD301A">
        <w:t xml:space="preserve">submitters </w:t>
      </w:r>
      <w:r w:rsidR="00D215C5" w:rsidRPr="00AD301A">
        <w:t>(</w:t>
      </w:r>
      <w:r w:rsidR="00C2449D">
        <w:t>approximately</w:t>
      </w:r>
      <w:r w:rsidR="00392C7F">
        <w:t xml:space="preserve"> </w:t>
      </w:r>
      <w:r w:rsidR="00D215C5" w:rsidRPr="00AD301A">
        <w:t>2</w:t>
      </w:r>
      <w:r w:rsidR="00392C7F">
        <w:t>0</w:t>
      </w:r>
      <w:r w:rsidR="00D215C5" w:rsidRPr="00AD301A">
        <w:t xml:space="preserve"> </w:t>
      </w:r>
      <w:r w:rsidR="008E24E1">
        <w:t>per cent</w:t>
      </w:r>
      <w:r w:rsidR="00D215C5" w:rsidRPr="00AD301A">
        <w:t xml:space="preserve">) </w:t>
      </w:r>
      <w:r w:rsidR="00D215C5">
        <w:t xml:space="preserve">were unsure </w:t>
      </w:r>
      <w:r w:rsidR="00581F7D">
        <w:t>if</w:t>
      </w:r>
      <w:r w:rsidR="00D215C5">
        <w:t xml:space="preserve"> auctioning sh</w:t>
      </w:r>
      <w:r w:rsidR="00581F7D">
        <w:t>ould be introduced</w:t>
      </w:r>
      <w:r w:rsidR="00D215C5">
        <w:t xml:space="preserve">. Several of these submitters noted that they needed more information and analysis to be able to provide their views. Some also noted that auctioning could create more uncertainty, especially if </w:t>
      </w:r>
      <w:r w:rsidR="00581F7D">
        <w:t>its</w:t>
      </w:r>
      <w:r w:rsidR="00D215C5">
        <w:t xml:space="preserve"> role</w:t>
      </w:r>
      <w:r w:rsidR="00581F7D">
        <w:t xml:space="preserve"> and </w:t>
      </w:r>
      <w:r w:rsidR="00193318">
        <w:t xml:space="preserve">other </w:t>
      </w:r>
      <w:r w:rsidR="00581F7D">
        <w:t>details, such as the use of a cap, are</w:t>
      </w:r>
      <w:r w:rsidR="00D215C5">
        <w:t xml:space="preserve"> </w:t>
      </w:r>
      <w:r w:rsidR="00581F7D">
        <w:t>un</w:t>
      </w:r>
      <w:r w:rsidR="00D215C5">
        <w:t>clear</w:t>
      </w:r>
      <w:r w:rsidR="00581F7D">
        <w:t xml:space="preserve"> or not well communicated</w:t>
      </w:r>
      <w:r w:rsidR="00D215C5">
        <w:t>.</w:t>
      </w:r>
    </w:p>
    <w:p w:rsidR="00D215C5" w:rsidRPr="00C540C3" w:rsidRDefault="00AC4E9D" w:rsidP="00C540C3">
      <w:pPr>
        <w:ind w:left="567" w:right="567"/>
        <w:rPr>
          <w:sz w:val="21"/>
          <w:szCs w:val="21"/>
        </w:rPr>
      </w:pPr>
      <w:r w:rsidRPr="00C540C3">
        <w:rPr>
          <w:sz w:val="21"/>
          <w:szCs w:val="21"/>
        </w:rPr>
        <w:t>“</w:t>
      </w:r>
      <w:r w:rsidR="00D215C5" w:rsidRPr="00C540C3">
        <w:rPr>
          <w:sz w:val="21"/>
          <w:szCs w:val="21"/>
        </w:rPr>
        <w:t xml:space="preserve">This is not a question that can be answered in isolation and calls for wider economic analysis. </w:t>
      </w:r>
      <w:proofErr w:type="gramStart"/>
      <w:r w:rsidR="00D215C5" w:rsidRPr="00C540C3">
        <w:rPr>
          <w:sz w:val="21"/>
          <w:szCs w:val="21"/>
        </w:rPr>
        <w:t>Auctioning needs to be considered as part of the debate on a New Zealand cap on C02.</w:t>
      </w:r>
      <w:r w:rsidRPr="00C540C3">
        <w:rPr>
          <w:sz w:val="21"/>
          <w:szCs w:val="21"/>
        </w:rPr>
        <w:t>”</w:t>
      </w:r>
      <w:proofErr w:type="gramEnd"/>
      <w:r w:rsidR="00D215C5" w:rsidRPr="00C540C3">
        <w:rPr>
          <w:sz w:val="21"/>
          <w:szCs w:val="21"/>
        </w:rPr>
        <w:t xml:space="preserve"> </w:t>
      </w:r>
      <w:r w:rsidRPr="00C540C3">
        <w:rPr>
          <w:sz w:val="21"/>
          <w:szCs w:val="21"/>
        </w:rPr>
        <w:t>(</w:t>
      </w:r>
      <w:r w:rsidR="00D215C5" w:rsidRPr="00C540C3">
        <w:rPr>
          <w:sz w:val="21"/>
          <w:szCs w:val="21"/>
        </w:rPr>
        <w:t>New Zealand Steel</w:t>
      </w:r>
      <w:r w:rsidRPr="00C540C3">
        <w:rPr>
          <w:sz w:val="21"/>
          <w:szCs w:val="21"/>
        </w:rPr>
        <w:t xml:space="preserve">, </w:t>
      </w:r>
      <w:r w:rsidR="00BD6965">
        <w:rPr>
          <w:sz w:val="21"/>
          <w:szCs w:val="21"/>
        </w:rPr>
        <w:t>00044</w:t>
      </w:r>
      <w:r w:rsidRPr="00C540C3">
        <w:rPr>
          <w:sz w:val="21"/>
          <w:szCs w:val="21"/>
        </w:rPr>
        <w:t>)</w:t>
      </w:r>
    </w:p>
    <w:p w:rsidR="00D215C5" w:rsidRDefault="00D215C5" w:rsidP="00D215C5">
      <w:pPr>
        <w:pStyle w:val="Heading4"/>
      </w:pPr>
      <w:r>
        <w:t xml:space="preserve">Not supportive of auctioning </w:t>
      </w:r>
    </w:p>
    <w:p w:rsidR="00D215C5" w:rsidRDefault="00193318" w:rsidP="00B8466E">
      <w:r>
        <w:t>Forty</w:t>
      </w:r>
      <w:r w:rsidR="00743E14">
        <w:t>-</w:t>
      </w:r>
      <w:r w:rsidR="00521708">
        <w:t>seven</w:t>
      </w:r>
      <w:r w:rsidR="00D215C5">
        <w:t xml:space="preserve"> submitters</w:t>
      </w:r>
      <w:r w:rsidR="00521708">
        <w:t xml:space="preserve"> (</w:t>
      </w:r>
      <w:r w:rsidR="00C2449D">
        <w:t>approximately</w:t>
      </w:r>
      <w:r w:rsidR="00521708">
        <w:t xml:space="preserve"> 30 percent)</w:t>
      </w:r>
      <w:r w:rsidR="00D215C5">
        <w:t xml:space="preserve"> did not think auctioning should be introduced to the NZ ETS. The most common reason </w:t>
      </w:r>
      <w:r>
        <w:t>provided</w:t>
      </w:r>
      <w:r w:rsidR="00D215C5">
        <w:t xml:space="preserve"> was that </w:t>
      </w:r>
      <w:r>
        <w:t>auctioning NZUs</w:t>
      </w:r>
      <w:r w:rsidR="00D215C5">
        <w:t xml:space="preserve"> may make it easier for the Government to manipulate the carbon price. Several submitters suggested that auctioning would introduce further uncertainty into the NZ ETS. S</w:t>
      </w:r>
      <w:r>
        <w:t>ome s</w:t>
      </w:r>
      <w:r w:rsidR="00D215C5">
        <w:t xml:space="preserve">ubmitters </w:t>
      </w:r>
      <w:r w:rsidR="004D1D20">
        <w:t>thought</w:t>
      </w:r>
      <w:r w:rsidR="00D215C5">
        <w:t xml:space="preserve"> the significant number of banked units and the availability of other forms of supply (such as the fixed price </w:t>
      </w:r>
      <w:r>
        <w:t xml:space="preserve">surrender </w:t>
      </w:r>
      <w:r w:rsidR="00D215C5">
        <w:t>option, forestry units and international units) meant that auctioning was not necessary.</w:t>
      </w:r>
    </w:p>
    <w:p w:rsidR="00D215C5" w:rsidRPr="00C540C3" w:rsidRDefault="00AC4E9D" w:rsidP="00C27B96">
      <w:pPr>
        <w:ind w:left="567" w:right="567"/>
        <w:rPr>
          <w:sz w:val="21"/>
          <w:szCs w:val="21"/>
        </w:rPr>
      </w:pPr>
      <w:r w:rsidRPr="00C540C3">
        <w:rPr>
          <w:sz w:val="21"/>
          <w:szCs w:val="21"/>
        </w:rPr>
        <w:t>“</w:t>
      </w:r>
      <w:r w:rsidR="00D215C5" w:rsidRPr="00C540C3">
        <w:rPr>
          <w:sz w:val="21"/>
          <w:szCs w:val="21"/>
        </w:rPr>
        <w:t>If sufficient Government-supplied NZUs are available at $25 there is no need to provide units through an auction. Indeed, some might regard the auction suggestion as a means of avoiding transparency. It would be more honest for the Government to publish the price of its NZUs, rather than to control supply and then argue that the price was actually set by “the market.” We need confidence and certainty, not covert intervention.</w:t>
      </w:r>
      <w:r w:rsidRPr="00C540C3">
        <w:rPr>
          <w:sz w:val="21"/>
          <w:szCs w:val="21"/>
        </w:rPr>
        <w:t>”</w:t>
      </w:r>
      <w:r w:rsidR="00D215C5" w:rsidRPr="00C540C3">
        <w:rPr>
          <w:sz w:val="21"/>
          <w:szCs w:val="21"/>
        </w:rPr>
        <w:t xml:space="preserve"> </w:t>
      </w:r>
      <w:r w:rsidRPr="00C540C3">
        <w:rPr>
          <w:sz w:val="21"/>
          <w:szCs w:val="21"/>
        </w:rPr>
        <w:t>(</w:t>
      </w:r>
      <w:r w:rsidR="00D215C5" w:rsidRPr="00C540C3">
        <w:rPr>
          <w:sz w:val="21"/>
          <w:szCs w:val="21"/>
        </w:rPr>
        <w:t>New Zealand Farm Forestry Association</w:t>
      </w:r>
      <w:r w:rsidRPr="00C540C3">
        <w:rPr>
          <w:sz w:val="21"/>
          <w:szCs w:val="21"/>
        </w:rPr>
        <w:t xml:space="preserve">, </w:t>
      </w:r>
      <w:r w:rsidR="00C27B96">
        <w:rPr>
          <w:sz w:val="21"/>
          <w:szCs w:val="21"/>
        </w:rPr>
        <w:t>00022</w:t>
      </w:r>
      <w:r w:rsidRPr="00C540C3">
        <w:rPr>
          <w:sz w:val="21"/>
          <w:szCs w:val="21"/>
        </w:rPr>
        <w:t>)</w:t>
      </w:r>
    </w:p>
    <w:p w:rsidR="00D215C5" w:rsidRPr="00C540C3" w:rsidRDefault="00AC4E9D" w:rsidP="00C540C3">
      <w:pPr>
        <w:ind w:left="567" w:right="567"/>
        <w:rPr>
          <w:sz w:val="21"/>
          <w:szCs w:val="21"/>
        </w:rPr>
      </w:pPr>
      <w:r w:rsidRPr="00C540C3">
        <w:rPr>
          <w:sz w:val="21"/>
          <w:szCs w:val="21"/>
        </w:rPr>
        <w:t>“</w:t>
      </w:r>
      <w:r w:rsidR="00D215C5" w:rsidRPr="00C540C3">
        <w:rPr>
          <w:sz w:val="21"/>
          <w:szCs w:val="21"/>
        </w:rPr>
        <w:t xml:space="preserve">NZIF has stated it believes the ETS needs to be able to operate as a free and open market. Therefore NZIF does not believe auctioning should be introduced into the ETS. Auctioning is similar to quantitative </w:t>
      </w:r>
      <w:proofErr w:type="gramStart"/>
      <w:r w:rsidR="00D215C5" w:rsidRPr="00C540C3">
        <w:rPr>
          <w:sz w:val="21"/>
          <w:szCs w:val="21"/>
        </w:rPr>
        <w:t>easing,</w:t>
      </w:r>
      <w:proofErr w:type="gramEnd"/>
      <w:r w:rsidR="00D215C5" w:rsidRPr="00C540C3">
        <w:rPr>
          <w:sz w:val="21"/>
          <w:szCs w:val="21"/>
        </w:rPr>
        <w:t xml:space="preserve"> it provides uncertainty for participants in the market and would discourage the market fun</w:t>
      </w:r>
      <w:r w:rsidRPr="00C540C3">
        <w:rPr>
          <w:sz w:val="21"/>
          <w:szCs w:val="21"/>
        </w:rPr>
        <w:t>ctioning to its full potential.”</w:t>
      </w:r>
      <w:r w:rsidR="00D215C5" w:rsidRPr="00C540C3">
        <w:rPr>
          <w:sz w:val="21"/>
          <w:szCs w:val="21"/>
        </w:rPr>
        <w:t xml:space="preserve"> </w:t>
      </w:r>
      <w:r w:rsidRPr="00C540C3">
        <w:rPr>
          <w:sz w:val="21"/>
          <w:szCs w:val="21"/>
        </w:rPr>
        <w:t>(</w:t>
      </w:r>
      <w:r w:rsidR="00D215C5" w:rsidRPr="00C540C3">
        <w:rPr>
          <w:sz w:val="21"/>
          <w:szCs w:val="21"/>
        </w:rPr>
        <w:t>New Zealand Institute of Forestry</w:t>
      </w:r>
      <w:r w:rsidRPr="00C540C3">
        <w:rPr>
          <w:sz w:val="21"/>
          <w:szCs w:val="21"/>
        </w:rPr>
        <w:t xml:space="preserve">, </w:t>
      </w:r>
      <w:r w:rsidR="00C27B96">
        <w:rPr>
          <w:sz w:val="21"/>
          <w:szCs w:val="21"/>
        </w:rPr>
        <w:t>00083</w:t>
      </w:r>
      <w:r w:rsidRPr="00C540C3">
        <w:rPr>
          <w:sz w:val="21"/>
          <w:szCs w:val="21"/>
        </w:rPr>
        <w:t>)</w:t>
      </w:r>
    </w:p>
    <w:p w:rsidR="00D215C5" w:rsidRDefault="00D215C5" w:rsidP="00D215C5">
      <w:pPr>
        <w:pStyle w:val="Heading4"/>
      </w:pPr>
      <w:r>
        <w:lastRenderedPageBreak/>
        <w:t>Auctioning before 2020</w:t>
      </w:r>
    </w:p>
    <w:p w:rsidR="004D1D20" w:rsidRDefault="005C2D50" w:rsidP="00B8466E">
      <w:r>
        <w:t xml:space="preserve">As well as providing information on </w:t>
      </w:r>
      <w:r w:rsidR="00743E14">
        <w:t xml:space="preserve">whether </w:t>
      </w:r>
      <w:r>
        <w:t>auctioning should be introduced</w:t>
      </w:r>
      <w:r w:rsidR="00743E14">
        <w:t xml:space="preserve"> into the NZ ETS</w:t>
      </w:r>
      <w:r>
        <w:t xml:space="preserve">, </w:t>
      </w:r>
      <w:r w:rsidR="00D3319B">
        <w:t>59</w:t>
      </w:r>
      <w:r w:rsidR="00D215C5">
        <w:t xml:space="preserve"> submitters addressed the question of when </w:t>
      </w:r>
      <w:r>
        <w:t>it</w:t>
      </w:r>
      <w:r w:rsidR="00D215C5">
        <w:t xml:space="preserve"> should be introduced. </w:t>
      </w:r>
      <w:r w:rsidR="00BB63A4">
        <w:t>Twenty</w:t>
      </w:r>
      <w:r w:rsidR="00743E14">
        <w:t>-</w:t>
      </w:r>
      <w:r w:rsidR="00BB63A4">
        <w:t>seven of these</w:t>
      </w:r>
      <w:r w:rsidR="00D215C5">
        <w:t xml:space="preserve"> submitters</w:t>
      </w:r>
      <w:r w:rsidR="00BB63A4">
        <w:t xml:space="preserve"> stated th</w:t>
      </w:r>
      <w:r w:rsidR="00D215C5">
        <w:t>at auctioning should be introduced within the next two</w:t>
      </w:r>
      <w:r w:rsidR="00743E14">
        <w:t xml:space="preserve"> to </w:t>
      </w:r>
      <w:r w:rsidR="00D215C5">
        <w:t>three years</w:t>
      </w:r>
      <w:r w:rsidR="00BB63A4">
        <w:t>, and a</w:t>
      </w:r>
      <w:r w:rsidR="00D215C5">
        <w:t xml:space="preserve">nother </w:t>
      </w:r>
      <w:r w:rsidR="00743E14">
        <w:t xml:space="preserve">nine </w:t>
      </w:r>
      <w:r w:rsidR="00D215C5">
        <w:t xml:space="preserve">submitters recommended it be introduced within the next </w:t>
      </w:r>
      <w:r w:rsidR="00743E14">
        <w:t xml:space="preserve">five </w:t>
      </w:r>
      <w:r w:rsidR="00D215C5">
        <w:t xml:space="preserve">years. </w:t>
      </w:r>
    </w:p>
    <w:p w:rsidR="00D215C5" w:rsidRDefault="00D215C5" w:rsidP="00B8466E">
      <w:r>
        <w:t xml:space="preserve">Many of these submitters </w:t>
      </w:r>
      <w:r w:rsidR="00BB63A4">
        <w:t>commented that it was</w:t>
      </w:r>
      <w:r>
        <w:t xml:space="preserve"> important</w:t>
      </w:r>
      <w:r w:rsidR="00BB63A4">
        <w:t xml:space="preserve"> to introduce auctioning </w:t>
      </w:r>
      <w:r>
        <w:t xml:space="preserve">before 2020 due to limited alternative supply from international units and banked units. </w:t>
      </w:r>
      <w:r w:rsidR="0053158D">
        <w:t>S</w:t>
      </w:r>
      <w:r>
        <w:t>ubmitters</w:t>
      </w:r>
      <w:r w:rsidR="0053158D">
        <w:t xml:space="preserve"> also</w:t>
      </w:r>
      <w:r>
        <w:t xml:space="preserve"> remarked on the need for the timeframe to be well signalled and consulted on with market participants. Several </w:t>
      </w:r>
      <w:r w:rsidR="00BB63A4">
        <w:t xml:space="preserve">submitters </w:t>
      </w:r>
      <w:r>
        <w:t xml:space="preserve">also recommended phasing in auctioning and using pilot auctions. </w:t>
      </w:r>
    </w:p>
    <w:p w:rsidR="00D215C5" w:rsidRPr="00C540C3" w:rsidRDefault="009314F0" w:rsidP="008B7D09">
      <w:pPr>
        <w:ind w:left="567" w:right="567"/>
        <w:rPr>
          <w:sz w:val="21"/>
          <w:szCs w:val="21"/>
        </w:rPr>
      </w:pPr>
      <w:r w:rsidRPr="00C540C3">
        <w:rPr>
          <w:sz w:val="21"/>
          <w:szCs w:val="21"/>
        </w:rPr>
        <w:t>“</w:t>
      </w:r>
      <w:r w:rsidR="008B7D09" w:rsidRPr="008B7D09">
        <w:rPr>
          <w:sz w:val="21"/>
          <w:szCs w:val="21"/>
        </w:rPr>
        <w:t>In the absence of international unit access, auctioning will</w:t>
      </w:r>
      <w:r w:rsidR="008B7D09">
        <w:rPr>
          <w:sz w:val="21"/>
          <w:szCs w:val="21"/>
        </w:rPr>
        <w:t xml:space="preserve"> </w:t>
      </w:r>
      <w:r w:rsidR="008B7D09" w:rsidRPr="008B7D09">
        <w:rPr>
          <w:sz w:val="21"/>
          <w:szCs w:val="21"/>
        </w:rPr>
        <w:t xml:space="preserve">be required to ensure a liquid </w:t>
      </w:r>
      <w:r w:rsidR="008B7D09">
        <w:rPr>
          <w:sz w:val="21"/>
          <w:szCs w:val="21"/>
        </w:rPr>
        <w:t>a</w:t>
      </w:r>
      <w:r w:rsidR="008B7D09" w:rsidRPr="008B7D09">
        <w:rPr>
          <w:sz w:val="21"/>
          <w:szCs w:val="21"/>
        </w:rPr>
        <w:t>nd functioning NZ ETS.</w:t>
      </w:r>
      <w:r w:rsidR="008B7D09">
        <w:rPr>
          <w:sz w:val="21"/>
          <w:szCs w:val="21"/>
        </w:rPr>
        <w:t xml:space="preserve"> </w:t>
      </w:r>
      <w:r w:rsidR="008B7D09" w:rsidRPr="008B7D09">
        <w:rPr>
          <w:sz w:val="21"/>
          <w:szCs w:val="21"/>
        </w:rPr>
        <w:t>Reliance on the ~140 million banked NZUs being</w:t>
      </w:r>
      <w:r w:rsidR="008B7D09">
        <w:rPr>
          <w:sz w:val="21"/>
          <w:szCs w:val="21"/>
        </w:rPr>
        <w:t xml:space="preserve"> </w:t>
      </w:r>
      <w:r w:rsidR="008B7D09" w:rsidRPr="008B7D09">
        <w:rPr>
          <w:sz w:val="21"/>
          <w:szCs w:val="21"/>
        </w:rPr>
        <w:t>made available is an unsound assumption as a</w:t>
      </w:r>
      <w:r w:rsidR="008B7D09">
        <w:rPr>
          <w:sz w:val="21"/>
          <w:szCs w:val="21"/>
        </w:rPr>
        <w:t xml:space="preserve"> </w:t>
      </w:r>
      <w:r w:rsidR="008B7D09" w:rsidRPr="008B7D09">
        <w:rPr>
          <w:sz w:val="21"/>
          <w:szCs w:val="21"/>
        </w:rPr>
        <w:t>significant proportion of these units will be withheld</w:t>
      </w:r>
      <w:r w:rsidR="008B7D09">
        <w:rPr>
          <w:sz w:val="21"/>
          <w:szCs w:val="21"/>
        </w:rPr>
        <w:t xml:space="preserve"> </w:t>
      </w:r>
      <w:r w:rsidR="008B7D09" w:rsidRPr="008B7D09">
        <w:rPr>
          <w:sz w:val="21"/>
          <w:szCs w:val="21"/>
        </w:rPr>
        <w:t>for the period post 2020 to accommodate post 89</w:t>
      </w:r>
      <w:r w:rsidR="008B7D09">
        <w:rPr>
          <w:sz w:val="21"/>
          <w:szCs w:val="21"/>
        </w:rPr>
        <w:t xml:space="preserve"> </w:t>
      </w:r>
      <w:r w:rsidR="008B7D09" w:rsidRPr="008B7D09">
        <w:rPr>
          <w:sz w:val="21"/>
          <w:szCs w:val="21"/>
        </w:rPr>
        <w:t>forest harvesting obligations and as a buffer against</w:t>
      </w:r>
      <w:r w:rsidR="008B7D09">
        <w:rPr>
          <w:sz w:val="21"/>
          <w:szCs w:val="21"/>
        </w:rPr>
        <w:t xml:space="preserve"> </w:t>
      </w:r>
      <w:r w:rsidR="008B7D09" w:rsidRPr="008B7D09">
        <w:rPr>
          <w:sz w:val="21"/>
          <w:szCs w:val="21"/>
        </w:rPr>
        <w:t>future emitter obligations.</w:t>
      </w:r>
      <w:r w:rsidR="008B7D09">
        <w:rPr>
          <w:sz w:val="21"/>
          <w:szCs w:val="21"/>
        </w:rPr>
        <w:t xml:space="preserve"> </w:t>
      </w:r>
      <w:r w:rsidR="008B7D09" w:rsidRPr="008B7D09">
        <w:rPr>
          <w:sz w:val="21"/>
          <w:szCs w:val="21"/>
        </w:rPr>
        <w:t>It would be best if auctioning is phased in with pilot</w:t>
      </w:r>
      <w:r w:rsidR="008B7D09">
        <w:rPr>
          <w:sz w:val="21"/>
          <w:szCs w:val="21"/>
        </w:rPr>
        <w:t xml:space="preserve"> </w:t>
      </w:r>
      <w:r w:rsidR="008B7D09" w:rsidRPr="008B7D09">
        <w:rPr>
          <w:sz w:val="21"/>
          <w:szCs w:val="21"/>
        </w:rPr>
        <w:t>auctions and subsequent full auctioning introduced</w:t>
      </w:r>
      <w:r w:rsidR="008B7D09">
        <w:rPr>
          <w:sz w:val="21"/>
          <w:szCs w:val="21"/>
        </w:rPr>
        <w:t xml:space="preserve"> </w:t>
      </w:r>
      <w:r w:rsidR="008B7D09" w:rsidRPr="008B7D09">
        <w:rPr>
          <w:sz w:val="21"/>
          <w:szCs w:val="21"/>
        </w:rPr>
        <w:t>prior to the NZ ETS becoming reliant on the of the</w:t>
      </w:r>
      <w:r w:rsidR="008B7D09">
        <w:rPr>
          <w:sz w:val="21"/>
          <w:szCs w:val="21"/>
        </w:rPr>
        <w:t xml:space="preserve"> </w:t>
      </w:r>
      <w:r w:rsidR="008B7D09" w:rsidRPr="008B7D09">
        <w:rPr>
          <w:sz w:val="21"/>
          <w:szCs w:val="21"/>
        </w:rPr>
        <w:t>Fixed Price fall back Option for NZU supply and the</w:t>
      </w:r>
      <w:r w:rsidR="008B7D09">
        <w:rPr>
          <w:sz w:val="21"/>
          <w:szCs w:val="21"/>
        </w:rPr>
        <w:t xml:space="preserve"> </w:t>
      </w:r>
      <w:r w:rsidR="008B7D09" w:rsidRPr="008B7D09">
        <w:rPr>
          <w:sz w:val="21"/>
          <w:szCs w:val="21"/>
        </w:rPr>
        <w:t>phasing in of 1 for 1 surrender. This requires action</w:t>
      </w:r>
      <w:r w:rsidR="008B7D09">
        <w:rPr>
          <w:sz w:val="21"/>
          <w:szCs w:val="21"/>
        </w:rPr>
        <w:t xml:space="preserve"> </w:t>
      </w:r>
      <w:r w:rsidR="008B7D09" w:rsidRPr="008B7D09">
        <w:rPr>
          <w:sz w:val="21"/>
          <w:szCs w:val="21"/>
        </w:rPr>
        <w:t>in the next 2-3 years.</w:t>
      </w:r>
      <w:r w:rsidR="008B7D09">
        <w:rPr>
          <w:sz w:val="21"/>
          <w:szCs w:val="21"/>
        </w:rPr>
        <w:t xml:space="preserve"> </w:t>
      </w:r>
      <w:r w:rsidR="008B7D09" w:rsidRPr="008B7D09">
        <w:rPr>
          <w:sz w:val="21"/>
          <w:szCs w:val="21"/>
        </w:rPr>
        <w:t xml:space="preserve">The key auction settings need to be established </w:t>
      </w:r>
      <w:r w:rsidR="008B7D09">
        <w:rPr>
          <w:sz w:val="21"/>
          <w:szCs w:val="21"/>
        </w:rPr>
        <w:t>a</w:t>
      </w:r>
      <w:r w:rsidR="008B7D09" w:rsidRPr="008B7D09">
        <w:rPr>
          <w:sz w:val="21"/>
          <w:szCs w:val="21"/>
        </w:rPr>
        <w:t>nd</w:t>
      </w:r>
      <w:r w:rsidR="008B7D09">
        <w:rPr>
          <w:sz w:val="21"/>
          <w:szCs w:val="21"/>
        </w:rPr>
        <w:t xml:space="preserve"> </w:t>
      </w:r>
      <w:r w:rsidR="008B7D09" w:rsidRPr="008B7D09">
        <w:rPr>
          <w:sz w:val="21"/>
          <w:szCs w:val="21"/>
        </w:rPr>
        <w:t>signalled well in advance as a priority in order to</w:t>
      </w:r>
      <w:r w:rsidR="008B7D09">
        <w:rPr>
          <w:sz w:val="21"/>
          <w:szCs w:val="21"/>
        </w:rPr>
        <w:t xml:space="preserve"> </w:t>
      </w:r>
      <w:r w:rsidR="008B7D09" w:rsidRPr="008B7D09">
        <w:rPr>
          <w:sz w:val="21"/>
          <w:szCs w:val="21"/>
        </w:rPr>
        <w:t>provide on-going market certainty.</w:t>
      </w:r>
      <w:r w:rsidR="00C27B96">
        <w:rPr>
          <w:sz w:val="21"/>
          <w:szCs w:val="21"/>
        </w:rPr>
        <w:t>”</w:t>
      </w:r>
      <w:r w:rsidR="001E1E74">
        <w:rPr>
          <w:sz w:val="21"/>
          <w:szCs w:val="21"/>
        </w:rPr>
        <w:t xml:space="preserve"> </w:t>
      </w:r>
      <w:r w:rsidR="001E1E74" w:rsidRPr="00C540C3">
        <w:rPr>
          <w:sz w:val="21"/>
          <w:szCs w:val="21"/>
        </w:rPr>
        <w:t>(</w:t>
      </w:r>
      <w:r w:rsidR="00D215C5" w:rsidRPr="00C540C3">
        <w:rPr>
          <w:sz w:val="21"/>
          <w:szCs w:val="21"/>
        </w:rPr>
        <w:t>Oji Fibre Solutions</w:t>
      </w:r>
      <w:r w:rsidRPr="00C540C3">
        <w:rPr>
          <w:sz w:val="21"/>
          <w:szCs w:val="21"/>
        </w:rPr>
        <w:t xml:space="preserve">, </w:t>
      </w:r>
      <w:r w:rsidR="00C27B96">
        <w:rPr>
          <w:sz w:val="21"/>
          <w:szCs w:val="21"/>
        </w:rPr>
        <w:t>00071</w:t>
      </w:r>
      <w:r w:rsidRPr="00C540C3">
        <w:rPr>
          <w:sz w:val="21"/>
          <w:szCs w:val="21"/>
        </w:rPr>
        <w:t>)</w:t>
      </w:r>
    </w:p>
    <w:p w:rsidR="00D215C5" w:rsidRPr="0071113E" w:rsidRDefault="00D215C5" w:rsidP="00D215C5">
      <w:pPr>
        <w:pStyle w:val="Heading4"/>
      </w:pPr>
      <w:r w:rsidRPr="0071113E">
        <w:t>Auctioning after 2020</w:t>
      </w:r>
    </w:p>
    <w:p w:rsidR="00D215C5" w:rsidRDefault="00906FFB" w:rsidP="00B8466E">
      <w:r>
        <w:t>Ten</w:t>
      </w:r>
      <w:r w:rsidR="007B50CB" w:rsidRPr="0071113E">
        <w:t xml:space="preserve"> submitters thought that</w:t>
      </w:r>
      <w:r w:rsidR="00D215C5" w:rsidRPr="0071113E">
        <w:t xml:space="preserve"> auctioning should</w:t>
      </w:r>
      <w:r w:rsidR="009B5D1C" w:rsidRPr="0071113E">
        <w:t xml:space="preserve"> be introduced </w:t>
      </w:r>
      <w:r w:rsidR="00D215C5" w:rsidRPr="0071113E">
        <w:t xml:space="preserve">after </w:t>
      </w:r>
      <w:r w:rsidR="009314F0" w:rsidRPr="0071113E">
        <w:t>2020</w:t>
      </w:r>
      <w:r w:rsidR="00D215C5" w:rsidRPr="0071113E">
        <w:t xml:space="preserve">. </w:t>
      </w:r>
      <w:r w:rsidR="00EB0B10" w:rsidRPr="0071113E">
        <w:t>Contrary to those who thought auctioning should be introduced before 2020, s</w:t>
      </w:r>
      <w:r w:rsidR="007B50CB" w:rsidRPr="0071113E">
        <w:t xml:space="preserve">ome of these submitters </w:t>
      </w:r>
      <w:r w:rsidR="00EB0B10" w:rsidRPr="0071113E">
        <w:t>suggested</w:t>
      </w:r>
      <w:r w:rsidR="007B50CB" w:rsidRPr="0071113E">
        <w:t xml:space="preserve"> there was sufficient </w:t>
      </w:r>
      <w:r w:rsidR="00EB0B10" w:rsidRPr="0071113E">
        <w:t xml:space="preserve">unit </w:t>
      </w:r>
      <w:r w:rsidR="007B50CB" w:rsidRPr="0071113E">
        <w:t>supply</w:t>
      </w:r>
      <w:r w:rsidR="000372C8" w:rsidRPr="0071113E">
        <w:t>, including the banked NZUs held in private accounts,</w:t>
      </w:r>
      <w:r w:rsidR="007B50CB" w:rsidRPr="0071113E">
        <w:t xml:space="preserve"> in the market until 2020.</w:t>
      </w:r>
    </w:p>
    <w:p w:rsidR="00D215C5" w:rsidRPr="00EE67E1" w:rsidRDefault="00D215C5" w:rsidP="00D215C5">
      <w:pPr>
        <w:pStyle w:val="Heading4"/>
      </w:pPr>
      <w:r>
        <w:t>Unsure when auctioning should be introduced</w:t>
      </w:r>
    </w:p>
    <w:p w:rsidR="00D215C5" w:rsidRDefault="00E70DFD" w:rsidP="00B8466E">
      <w:r>
        <w:t xml:space="preserve">The remaining submitters were unsure when auctioning should be introduced, or suggested other approaches. </w:t>
      </w:r>
      <w:r w:rsidR="009B5D1C">
        <w:t>A small number of submitters</w:t>
      </w:r>
      <w:r w:rsidR="00D215C5">
        <w:t xml:space="preserve"> suggested other approaches rather than timelines</w:t>
      </w:r>
      <w:r w:rsidR="009B5D1C">
        <w:t xml:space="preserve"> for introducing auctioning to the NZ ETS</w:t>
      </w:r>
      <w:r w:rsidR="00D215C5">
        <w:t xml:space="preserve">. Some submitters </w:t>
      </w:r>
      <w:r w:rsidR="009B5D1C">
        <w:t>recommended</w:t>
      </w:r>
      <w:r w:rsidR="00D215C5">
        <w:t xml:space="preserve"> that auctioning be introduced with the removal of one-for-two</w:t>
      </w:r>
      <w:r w:rsidR="009B5D1C">
        <w:t>, in order</w:t>
      </w:r>
      <w:r w:rsidR="00D215C5">
        <w:t xml:space="preserve"> t</w:t>
      </w:r>
      <w:r w:rsidR="009B5D1C">
        <w:t>o increase supply in the market</w:t>
      </w:r>
      <w:r w:rsidR="00D215C5">
        <w:t xml:space="preserve"> in line with the increase in demand. Other submitters noted that auctioning should</w:t>
      </w:r>
      <w:r w:rsidR="0053158D">
        <w:t xml:space="preserve"> </w:t>
      </w:r>
      <w:r w:rsidR="00D215C5">
        <w:t>n</w:t>
      </w:r>
      <w:r w:rsidR="0053158D">
        <w:t>o</w:t>
      </w:r>
      <w:r w:rsidR="00D215C5">
        <w:t xml:space="preserve">t be introduced while the fixed price option, free allocation and international units are </w:t>
      </w:r>
      <w:r w:rsidR="009B5D1C">
        <w:t>available</w:t>
      </w:r>
      <w:r w:rsidR="00D215C5">
        <w:t xml:space="preserve">. </w:t>
      </w:r>
    </w:p>
    <w:p w:rsidR="00FF2201" w:rsidRPr="00231D5A" w:rsidRDefault="00FF2201" w:rsidP="00650845">
      <w:pPr>
        <w:pStyle w:val="Tableheading"/>
      </w:pPr>
      <w:bookmarkStart w:id="42" w:name="_Toc463270169"/>
      <w:r w:rsidRPr="009314F0">
        <w:t xml:space="preserve">Table </w:t>
      </w:r>
      <w:r>
        <w:t>5</w:t>
      </w:r>
      <w:r w:rsidRPr="009314F0">
        <w:t xml:space="preserve">: </w:t>
      </w:r>
      <w:r w:rsidRPr="009314F0">
        <w:tab/>
      </w:r>
      <w:r>
        <w:t>Submitter</w:t>
      </w:r>
      <w:r w:rsidRPr="009314F0">
        <w:t xml:space="preserve"> positions – </w:t>
      </w:r>
      <w:r w:rsidRPr="008A3EDB">
        <w:rPr>
          <w:i/>
        </w:rPr>
        <w:t>Should auctioning be introduced in the NZ ETS?</w:t>
      </w:r>
      <w:bookmarkEnd w:id="42"/>
    </w:p>
    <w:tbl>
      <w:tblPr>
        <w:tblW w:w="9229" w:type="dxa"/>
        <w:tblInd w:w="93" w:type="dxa"/>
        <w:tblLayout w:type="fixed"/>
        <w:tblLook w:val="04A0" w:firstRow="1" w:lastRow="0" w:firstColumn="1" w:lastColumn="0" w:noHBand="0" w:noVBand="1"/>
      </w:tblPr>
      <w:tblGrid>
        <w:gridCol w:w="3326"/>
        <w:gridCol w:w="1509"/>
        <w:gridCol w:w="1362"/>
        <w:gridCol w:w="1615"/>
        <w:gridCol w:w="1417"/>
      </w:tblGrid>
      <w:tr w:rsidR="00A66D28" w:rsidRPr="00231D5A" w:rsidTr="006D3BC4">
        <w:trPr>
          <w:trHeight w:val="300"/>
          <w:tblHeader/>
        </w:trPr>
        <w:tc>
          <w:tcPr>
            <w:tcW w:w="3326" w:type="dxa"/>
            <w:tcBorders>
              <w:top w:val="nil"/>
              <w:left w:val="nil"/>
              <w:bottom w:val="single" w:sz="4" w:space="0" w:color="005984"/>
              <w:right w:val="single" w:sz="4" w:space="0" w:color="005984"/>
            </w:tcBorders>
            <w:noWrap/>
            <w:vAlign w:val="bottom"/>
            <w:hideMark/>
          </w:tcPr>
          <w:p w:rsidR="00A66D28" w:rsidRPr="00231D5A" w:rsidRDefault="00A66D28" w:rsidP="00113656">
            <w:pPr>
              <w:spacing w:before="0" w:after="0"/>
              <w:rPr>
                <w:rFonts w:ascii="Times New Roman" w:hAnsi="Times New Roman" w:cs="Times New Roman"/>
                <w:sz w:val="20"/>
                <w:szCs w:val="20"/>
                <w:lang w:eastAsia="en-NZ"/>
              </w:rPr>
            </w:pPr>
          </w:p>
        </w:tc>
        <w:tc>
          <w:tcPr>
            <w:tcW w:w="1509"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A66D28" w:rsidRPr="00231D5A" w:rsidRDefault="00A66D28" w:rsidP="00113656">
            <w:pPr>
              <w:pStyle w:val="TableTextbold"/>
              <w:jc w:val="center"/>
              <w:rPr>
                <w:color w:val="FFFFFF"/>
                <w:lang w:eastAsia="en-NZ"/>
              </w:rPr>
            </w:pPr>
            <w:r>
              <w:rPr>
                <w:color w:val="FFFFFF"/>
                <w:lang w:eastAsia="en-NZ"/>
              </w:rPr>
              <w:t>Yes</w:t>
            </w:r>
          </w:p>
        </w:tc>
        <w:tc>
          <w:tcPr>
            <w:tcW w:w="1362"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A66D28" w:rsidRPr="00231D5A" w:rsidRDefault="00A66D28" w:rsidP="00113656">
            <w:pPr>
              <w:pStyle w:val="TableTextbold"/>
              <w:jc w:val="center"/>
              <w:rPr>
                <w:color w:val="FFFFFF"/>
                <w:lang w:eastAsia="en-NZ"/>
              </w:rPr>
            </w:pPr>
            <w:r>
              <w:rPr>
                <w:color w:val="FFFFFF"/>
                <w:lang w:eastAsia="en-NZ"/>
              </w:rPr>
              <w:t>No</w:t>
            </w:r>
          </w:p>
        </w:tc>
        <w:tc>
          <w:tcPr>
            <w:tcW w:w="1615" w:type="dxa"/>
            <w:tcBorders>
              <w:top w:val="single" w:sz="4" w:space="0" w:color="005984"/>
              <w:left w:val="single" w:sz="4" w:space="0" w:color="005984"/>
              <w:bottom w:val="single" w:sz="4" w:space="0" w:color="005984"/>
              <w:right w:val="nil"/>
            </w:tcBorders>
            <w:shd w:val="clear" w:color="auto" w:fill="005984"/>
            <w:noWrap/>
            <w:vAlign w:val="bottom"/>
            <w:hideMark/>
          </w:tcPr>
          <w:p w:rsidR="00A66D28" w:rsidRPr="00231D5A" w:rsidRDefault="00A66D28" w:rsidP="00113656">
            <w:pPr>
              <w:pStyle w:val="TableTextbold"/>
              <w:jc w:val="center"/>
              <w:rPr>
                <w:color w:val="FFFFFF"/>
                <w:lang w:eastAsia="en-NZ"/>
              </w:rPr>
            </w:pPr>
            <w:r>
              <w:rPr>
                <w:color w:val="FFFFFF"/>
                <w:lang w:eastAsia="en-NZ"/>
              </w:rPr>
              <w:t>Unclear/unsure</w:t>
            </w:r>
          </w:p>
        </w:tc>
        <w:tc>
          <w:tcPr>
            <w:tcW w:w="1417" w:type="dxa"/>
            <w:tcBorders>
              <w:top w:val="single" w:sz="4" w:space="0" w:color="005984"/>
              <w:left w:val="single" w:sz="4" w:space="0" w:color="005984"/>
              <w:bottom w:val="single" w:sz="4" w:space="0" w:color="005984"/>
            </w:tcBorders>
            <w:shd w:val="clear" w:color="auto" w:fill="005984"/>
            <w:vAlign w:val="bottom"/>
            <w:hideMark/>
          </w:tcPr>
          <w:p w:rsidR="00A66D28" w:rsidRPr="00231D5A" w:rsidRDefault="00A66D28" w:rsidP="00113656">
            <w:pPr>
              <w:pStyle w:val="TableTextbold"/>
              <w:jc w:val="center"/>
              <w:rPr>
                <w:color w:val="FFFFFF"/>
                <w:lang w:eastAsia="en-NZ"/>
              </w:rPr>
            </w:pPr>
            <w:r>
              <w:rPr>
                <w:color w:val="FFFFFF"/>
                <w:lang w:eastAsia="en-NZ"/>
              </w:rPr>
              <w:t>Total</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 xml:space="preserve">Agriculture </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3</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A66D28" w:rsidP="00113656">
            <w:pPr>
              <w:spacing w:before="50" w:after="50"/>
              <w:jc w:val="right"/>
              <w:rPr>
                <w:sz w:val="18"/>
                <w:szCs w:val="18"/>
                <w:lang w:eastAsia="en-NZ"/>
              </w:rPr>
            </w:pPr>
            <w:r w:rsidRPr="00595ED7">
              <w:rPr>
                <w:sz w:val="18"/>
                <w:szCs w:val="18"/>
                <w:lang w:eastAsia="en-NZ"/>
              </w:rPr>
              <w:t>2</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3</w:t>
            </w:r>
          </w:p>
        </w:tc>
        <w:tc>
          <w:tcPr>
            <w:tcW w:w="1417" w:type="dxa"/>
            <w:tcBorders>
              <w:top w:val="single" w:sz="4" w:space="0" w:color="005984"/>
              <w:left w:val="single" w:sz="4" w:space="0" w:color="005984"/>
              <w:bottom w:val="single" w:sz="4" w:space="0" w:color="005984"/>
            </w:tcBorders>
            <w:vAlign w:val="bottom"/>
          </w:tcPr>
          <w:p w:rsidR="00A66D28" w:rsidRPr="00595ED7" w:rsidRDefault="00A66D28" w:rsidP="00113656">
            <w:pPr>
              <w:spacing w:before="50" w:after="50"/>
              <w:jc w:val="right"/>
              <w:rPr>
                <w:sz w:val="18"/>
                <w:szCs w:val="18"/>
                <w:lang w:eastAsia="en-NZ"/>
              </w:rPr>
            </w:pPr>
            <w:r>
              <w:rPr>
                <w:sz w:val="18"/>
                <w:szCs w:val="18"/>
                <w:lang w:eastAsia="en-NZ"/>
              </w:rPr>
              <w:t>8</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Business groups</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3</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1</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0</w:t>
            </w:r>
          </w:p>
        </w:tc>
        <w:tc>
          <w:tcPr>
            <w:tcW w:w="1417" w:type="dxa"/>
            <w:tcBorders>
              <w:top w:val="single" w:sz="4" w:space="0" w:color="005984"/>
              <w:left w:val="single" w:sz="4" w:space="0" w:color="005984"/>
              <w:bottom w:val="single" w:sz="4" w:space="0" w:color="005984"/>
            </w:tcBorders>
            <w:vAlign w:val="bottom"/>
          </w:tcPr>
          <w:p w:rsidR="00A66D28" w:rsidRPr="00595ED7" w:rsidRDefault="00A66D28" w:rsidP="00113656">
            <w:pPr>
              <w:spacing w:before="50" w:after="50"/>
              <w:jc w:val="right"/>
              <w:rPr>
                <w:sz w:val="18"/>
                <w:szCs w:val="18"/>
                <w:lang w:eastAsia="en-NZ"/>
              </w:rPr>
            </w:pPr>
            <w:r>
              <w:rPr>
                <w:sz w:val="18"/>
                <w:szCs w:val="18"/>
                <w:lang w:eastAsia="en-NZ"/>
              </w:rPr>
              <w:t>4</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 xml:space="preserve">Electricity </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6</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1</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0</w:t>
            </w:r>
          </w:p>
        </w:tc>
        <w:tc>
          <w:tcPr>
            <w:tcW w:w="1417" w:type="dxa"/>
            <w:tcBorders>
              <w:top w:val="single" w:sz="4" w:space="0" w:color="005984"/>
              <w:left w:val="single" w:sz="4" w:space="0" w:color="005984"/>
              <w:bottom w:val="single" w:sz="4" w:space="0" w:color="005984"/>
            </w:tcBorders>
            <w:vAlign w:val="bottom"/>
          </w:tcPr>
          <w:p w:rsidR="00A66D28" w:rsidRPr="00595ED7" w:rsidRDefault="00A66D28" w:rsidP="00113656">
            <w:pPr>
              <w:spacing w:before="50" w:after="50"/>
              <w:jc w:val="right"/>
              <w:rPr>
                <w:sz w:val="18"/>
                <w:szCs w:val="18"/>
                <w:lang w:eastAsia="en-NZ"/>
              </w:rPr>
            </w:pPr>
            <w:r>
              <w:rPr>
                <w:sz w:val="18"/>
                <w:szCs w:val="18"/>
                <w:lang w:eastAsia="en-NZ"/>
              </w:rPr>
              <w:t>7</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 xml:space="preserve">Forestry </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11</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23</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7</w:t>
            </w:r>
          </w:p>
        </w:tc>
        <w:tc>
          <w:tcPr>
            <w:tcW w:w="1417" w:type="dxa"/>
            <w:tcBorders>
              <w:top w:val="single" w:sz="4" w:space="0" w:color="005984"/>
              <w:left w:val="single" w:sz="4" w:space="0" w:color="005984"/>
              <w:bottom w:val="single" w:sz="4" w:space="0" w:color="005984"/>
            </w:tcBorders>
            <w:vAlign w:val="bottom"/>
          </w:tcPr>
          <w:p w:rsidR="00A66D28" w:rsidRPr="00595ED7" w:rsidRDefault="00A66D28" w:rsidP="00113656">
            <w:pPr>
              <w:spacing w:before="50" w:after="50"/>
              <w:jc w:val="right"/>
              <w:rPr>
                <w:sz w:val="18"/>
                <w:szCs w:val="18"/>
                <w:lang w:eastAsia="en-NZ"/>
              </w:rPr>
            </w:pPr>
            <w:r>
              <w:rPr>
                <w:sz w:val="18"/>
                <w:szCs w:val="18"/>
                <w:lang w:eastAsia="en-NZ"/>
              </w:rPr>
              <w:t>41</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Individual</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9</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9</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12</w:t>
            </w:r>
          </w:p>
        </w:tc>
        <w:tc>
          <w:tcPr>
            <w:tcW w:w="1417" w:type="dxa"/>
            <w:tcBorders>
              <w:top w:val="single" w:sz="4" w:space="0" w:color="005984"/>
              <w:left w:val="single" w:sz="4" w:space="0" w:color="005984"/>
              <w:bottom w:val="single" w:sz="4" w:space="0" w:color="005984"/>
            </w:tcBorders>
            <w:vAlign w:val="bottom"/>
          </w:tcPr>
          <w:p w:rsidR="00A66D28" w:rsidRPr="00595ED7" w:rsidRDefault="00A66D28" w:rsidP="00113656">
            <w:pPr>
              <w:spacing w:before="50" w:after="50"/>
              <w:jc w:val="right"/>
              <w:rPr>
                <w:sz w:val="18"/>
                <w:szCs w:val="18"/>
                <w:lang w:eastAsia="en-NZ"/>
              </w:rPr>
            </w:pPr>
            <w:r>
              <w:rPr>
                <w:sz w:val="18"/>
                <w:szCs w:val="18"/>
                <w:lang w:eastAsia="en-NZ"/>
              </w:rPr>
              <w:t>30</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 xml:space="preserve">Industrial processors </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5</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2</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2</w:t>
            </w:r>
          </w:p>
        </w:tc>
        <w:tc>
          <w:tcPr>
            <w:tcW w:w="1417" w:type="dxa"/>
            <w:tcBorders>
              <w:top w:val="single" w:sz="4" w:space="0" w:color="005984"/>
              <w:left w:val="single" w:sz="4" w:space="0" w:color="005984"/>
              <w:bottom w:val="single" w:sz="4" w:space="0" w:color="005984"/>
            </w:tcBorders>
            <w:vAlign w:val="bottom"/>
          </w:tcPr>
          <w:p w:rsidR="00A66D28" w:rsidRPr="00595ED7" w:rsidRDefault="00A66D28" w:rsidP="00113656">
            <w:pPr>
              <w:spacing w:before="50" w:after="50"/>
              <w:jc w:val="right"/>
              <w:rPr>
                <w:sz w:val="18"/>
                <w:szCs w:val="18"/>
                <w:lang w:eastAsia="en-NZ"/>
              </w:rPr>
            </w:pPr>
            <w:r>
              <w:rPr>
                <w:sz w:val="18"/>
                <w:szCs w:val="18"/>
                <w:lang w:eastAsia="en-NZ"/>
              </w:rPr>
              <w:t>9</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Iwi/Māori</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A66D28" w:rsidP="00113656">
            <w:pPr>
              <w:spacing w:before="50" w:after="50"/>
              <w:jc w:val="right"/>
              <w:rPr>
                <w:sz w:val="18"/>
                <w:szCs w:val="18"/>
                <w:lang w:eastAsia="en-NZ"/>
              </w:rPr>
            </w:pPr>
            <w:r>
              <w:rPr>
                <w:sz w:val="18"/>
                <w:szCs w:val="18"/>
                <w:lang w:eastAsia="en-NZ"/>
              </w:rPr>
              <w:t>4</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2</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0</w:t>
            </w:r>
          </w:p>
        </w:tc>
        <w:tc>
          <w:tcPr>
            <w:tcW w:w="1417" w:type="dxa"/>
            <w:tcBorders>
              <w:top w:val="single" w:sz="4" w:space="0" w:color="005984"/>
              <w:left w:val="single" w:sz="4" w:space="0" w:color="005984"/>
              <w:bottom w:val="single" w:sz="4" w:space="0" w:color="005984"/>
            </w:tcBorders>
            <w:vAlign w:val="bottom"/>
          </w:tcPr>
          <w:p w:rsidR="00A66D28" w:rsidRPr="00595ED7" w:rsidRDefault="00FF2201" w:rsidP="00113656">
            <w:pPr>
              <w:spacing w:before="50" w:after="50"/>
              <w:jc w:val="right"/>
              <w:rPr>
                <w:sz w:val="18"/>
                <w:szCs w:val="18"/>
                <w:lang w:eastAsia="en-NZ"/>
              </w:rPr>
            </w:pPr>
            <w:r>
              <w:rPr>
                <w:sz w:val="18"/>
                <w:szCs w:val="18"/>
                <w:lang w:eastAsia="en-NZ"/>
              </w:rPr>
              <w:t>6</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 xml:space="preserve">Liquid fossil fuels </w:t>
            </w:r>
            <w:r>
              <w:rPr>
                <w:lang w:eastAsia="en-NZ"/>
              </w:rPr>
              <w:t>(transport)</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3</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0</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0</w:t>
            </w:r>
          </w:p>
        </w:tc>
        <w:tc>
          <w:tcPr>
            <w:tcW w:w="1417" w:type="dxa"/>
            <w:tcBorders>
              <w:top w:val="single" w:sz="4" w:space="0" w:color="005984"/>
              <w:left w:val="single" w:sz="4" w:space="0" w:color="005984"/>
              <w:bottom w:val="single" w:sz="4" w:space="0" w:color="005984"/>
            </w:tcBorders>
            <w:vAlign w:val="bottom"/>
          </w:tcPr>
          <w:p w:rsidR="00A66D28" w:rsidRPr="00595ED7" w:rsidRDefault="00FF2201" w:rsidP="00113656">
            <w:pPr>
              <w:spacing w:before="50" w:after="50"/>
              <w:jc w:val="right"/>
              <w:rPr>
                <w:sz w:val="18"/>
                <w:szCs w:val="18"/>
                <w:lang w:eastAsia="en-NZ"/>
              </w:rPr>
            </w:pPr>
            <w:r>
              <w:rPr>
                <w:sz w:val="18"/>
                <w:szCs w:val="18"/>
                <w:lang w:eastAsia="en-NZ"/>
              </w:rPr>
              <w:t>3</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lastRenderedPageBreak/>
              <w:t>Local government</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1</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0</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0</w:t>
            </w:r>
          </w:p>
        </w:tc>
        <w:tc>
          <w:tcPr>
            <w:tcW w:w="1417" w:type="dxa"/>
            <w:tcBorders>
              <w:top w:val="single" w:sz="4" w:space="0" w:color="005984"/>
              <w:left w:val="single" w:sz="4" w:space="0" w:color="005984"/>
              <w:bottom w:val="single" w:sz="4" w:space="0" w:color="005984"/>
            </w:tcBorders>
            <w:vAlign w:val="bottom"/>
          </w:tcPr>
          <w:p w:rsidR="00A66D28" w:rsidRPr="00595ED7" w:rsidRDefault="00FF2201" w:rsidP="00113656">
            <w:pPr>
              <w:spacing w:before="50" w:after="50"/>
              <w:jc w:val="right"/>
              <w:rPr>
                <w:sz w:val="18"/>
                <w:szCs w:val="18"/>
                <w:lang w:eastAsia="en-NZ"/>
              </w:rPr>
            </w:pPr>
            <w:r>
              <w:rPr>
                <w:sz w:val="18"/>
                <w:szCs w:val="18"/>
                <w:lang w:eastAsia="en-NZ"/>
              </w:rPr>
              <w:t>1</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NGO and community groups</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8</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0</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2</w:t>
            </w:r>
          </w:p>
        </w:tc>
        <w:tc>
          <w:tcPr>
            <w:tcW w:w="1417" w:type="dxa"/>
            <w:tcBorders>
              <w:top w:val="single" w:sz="4" w:space="0" w:color="005984"/>
              <w:left w:val="single" w:sz="4" w:space="0" w:color="005984"/>
              <w:bottom w:val="single" w:sz="4" w:space="0" w:color="005984"/>
            </w:tcBorders>
            <w:vAlign w:val="bottom"/>
          </w:tcPr>
          <w:p w:rsidR="00A66D28" w:rsidRPr="00595ED7" w:rsidRDefault="00FF2201" w:rsidP="00113656">
            <w:pPr>
              <w:spacing w:before="50" w:after="50"/>
              <w:jc w:val="right"/>
              <w:rPr>
                <w:sz w:val="18"/>
                <w:szCs w:val="18"/>
                <w:lang w:eastAsia="en-NZ"/>
              </w:rPr>
            </w:pPr>
            <w:r>
              <w:rPr>
                <w:sz w:val="18"/>
                <w:szCs w:val="18"/>
                <w:lang w:eastAsia="en-NZ"/>
              </w:rPr>
              <w:t>10</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Research and tertiary organisations</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5</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1</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0</w:t>
            </w:r>
          </w:p>
        </w:tc>
        <w:tc>
          <w:tcPr>
            <w:tcW w:w="1417" w:type="dxa"/>
            <w:tcBorders>
              <w:top w:val="single" w:sz="4" w:space="0" w:color="005984"/>
              <w:left w:val="single" w:sz="4" w:space="0" w:color="005984"/>
              <w:bottom w:val="single" w:sz="4" w:space="0" w:color="005984"/>
            </w:tcBorders>
            <w:vAlign w:val="bottom"/>
          </w:tcPr>
          <w:p w:rsidR="00A66D28" w:rsidRPr="00595ED7" w:rsidRDefault="00FF2201" w:rsidP="00113656">
            <w:pPr>
              <w:spacing w:before="50" w:after="50"/>
              <w:jc w:val="right"/>
              <w:rPr>
                <w:sz w:val="18"/>
                <w:szCs w:val="18"/>
                <w:lang w:eastAsia="en-NZ"/>
              </w:rPr>
            </w:pPr>
            <w:r>
              <w:rPr>
                <w:sz w:val="18"/>
                <w:szCs w:val="18"/>
                <w:lang w:eastAsia="en-NZ"/>
              </w:rPr>
              <w:t>6</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 xml:space="preserve">Stationary energy </w:t>
            </w:r>
            <w:r>
              <w:rPr>
                <w:lang w:eastAsia="en-NZ"/>
              </w:rPr>
              <w:t>(excluding electricity)</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3</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0</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3</w:t>
            </w:r>
          </w:p>
        </w:tc>
        <w:tc>
          <w:tcPr>
            <w:tcW w:w="1417" w:type="dxa"/>
            <w:tcBorders>
              <w:top w:val="single" w:sz="4" w:space="0" w:color="005984"/>
              <w:left w:val="single" w:sz="4" w:space="0" w:color="005984"/>
              <w:bottom w:val="single" w:sz="4" w:space="0" w:color="005984"/>
            </w:tcBorders>
            <w:vAlign w:val="bottom"/>
          </w:tcPr>
          <w:p w:rsidR="00A66D28" w:rsidRPr="00595ED7" w:rsidRDefault="00FF2201" w:rsidP="00113656">
            <w:pPr>
              <w:spacing w:before="50" w:after="50"/>
              <w:jc w:val="right"/>
              <w:rPr>
                <w:sz w:val="18"/>
                <w:szCs w:val="18"/>
                <w:lang w:eastAsia="en-NZ"/>
              </w:rPr>
            </w:pPr>
            <w:r>
              <w:rPr>
                <w:sz w:val="18"/>
                <w:szCs w:val="18"/>
                <w:lang w:eastAsia="en-NZ"/>
              </w:rPr>
              <w:t>6</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Waste sector</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2</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3</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3</w:t>
            </w:r>
          </w:p>
        </w:tc>
        <w:tc>
          <w:tcPr>
            <w:tcW w:w="1417" w:type="dxa"/>
            <w:tcBorders>
              <w:top w:val="single" w:sz="4" w:space="0" w:color="005984"/>
              <w:left w:val="single" w:sz="4" w:space="0" w:color="005984"/>
              <w:bottom w:val="single" w:sz="4" w:space="0" w:color="005984"/>
            </w:tcBorders>
            <w:vAlign w:val="bottom"/>
          </w:tcPr>
          <w:p w:rsidR="00A66D28" w:rsidRPr="00595ED7" w:rsidRDefault="00FF2201" w:rsidP="00113656">
            <w:pPr>
              <w:spacing w:before="50" w:after="50"/>
              <w:jc w:val="right"/>
              <w:rPr>
                <w:sz w:val="18"/>
                <w:szCs w:val="18"/>
                <w:lang w:eastAsia="en-NZ"/>
              </w:rPr>
            </w:pPr>
            <w:r>
              <w:rPr>
                <w:sz w:val="18"/>
                <w:szCs w:val="18"/>
                <w:lang w:eastAsia="en-NZ"/>
              </w:rPr>
              <w:t>8</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Wood processors</w:t>
            </w:r>
            <w:r>
              <w:rPr>
                <w:lang w:eastAsia="en-NZ"/>
              </w:rPr>
              <w:t xml:space="preserve"> and manufacturers</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1</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0</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0</w:t>
            </w:r>
          </w:p>
        </w:tc>
        <w:tc>
          <w:tcPr>
            <w:tcW w:w="1417" w:type="dxa"/>
            <w:tcBorders>
              <w:top w:val="single" w:sz="4" w:space="0" w:color="005984"/>
              <w:left w:val="single" w:sz="4" w:space="0" w:color="005984"/>
              <w:bottom w:val="single" w:sz="4" w:space="0" w:color="005984"/>
            </w:tcBorders>
            <w:vAlign w:val="bottom"/>
          </w:tcPr>
          <w:p w:rsidR="00A66D28" w:rsidRPr="00595ED7" w:rsidRDefault="00FF2201" w:rsidP="00113656">
            <w:pPr>
              <w:spacing w:before="50" w:after="50"/>
              <w:jc w:val="right"/>
              <w:rPr>
                <w:sz w:val="18"/>
                <w:szCs w:val="18"/>
                <w:lang w:eastAsia="en-NZ"/>
              </w:rPr>
            </w:pPr>
            <w:r>
              <w:rPr>
                <w:sz w:val="18"/>
                <w:szCs w:val="18"/>
                <w:lang w:eastAsia="en-NZ"/>
              </w:rPr>
              <w:t>1</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C76622" w:rsidRDefault="00A66D28" w:rsidP="00113656">
            <w:pPr>
              <w:pStyle w:val="TableText"/>
              <w:spacing w:before="50" w:after="50"/>
              <w:rPr>
                <w:lang w:eastAsia="en-NZ"/>
              </w:rPr>
            </w:pPr>
            <w:r w:rsidRPr="00C76622">
              <w:rPr>
                <w:lang w:eastAsia="en-NZ"/>
              </w:rPr>
              <w:t>Other</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6</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3</w:t>
            </w:r>
          </w:p>
        </w:tc>
        <w:tc>
          <w:tcPr>
            <w:tcW w:w="1615" w:type="dxa"/>
            <w:tcBorders>
              <w:top w:val="single" w:sz="4" w:space="0" w:color="005984"/>
              <w:left w:val="single" w:sz="4" w:space="0" w:color="005984"/>
              <w:bottom w:val="single" w:sz="4" w:space="0" w:color="005984"/>
              <w:right w:val="nil"/>
            </w:tcBorders>
            <w:noWrap/>
            <w:vAlign w:val="bottom"/>
          </w:tcPr>
          <w:p w:rsidR="00A66D28" w:rsidRPr="00595ED7" w:rsidRDefault="00FF2201" w:rsidP="00113656">
            <w:pPr>
              <w:spacing w:before="50" w:after="50"/>
              <w:jc w:val="right"/>
              <w:rPr>
                <w:sz w:val="18"/>
                <w:szCs w:val="18"/>
                <w:lang w:eastAsia="en-NZ"/>
              </w:rPr>
            </w:pPr>
            <w:r>
              <w:rPr>
                <w:sz w:val="18"/>
                <w:szCs w:val="18"/>
                <w:lang w:eastAsia="en-NZ"/>
              </w:rPr>
              <w:t>2</w:t>
            </w:r>
          </w:p>
        </w:tc>
        <w:tc>
          <w:tcPr>
            <w:tcW w:w="1417" w:type="dxa"/>
            <w:tcBorders>
              <w:top w:val="single" w:sz="4" w:space="0" w:color="005984"/>
              <w:left w:val="single" w:sz="4" w:space="0" w:color="005984"/>
              <w:bottom w:val="single" w:sz="4" w:space="0" w:color="005984"/>
            </w:tcBorders>
            <w:vAlign w:val="bottom"/>
          </w:tcPr>
          <w:p w:rsidR="00A66D28" w:rsidRPr="00595ED7" w:rsidRDefault="00FF2201" w:rsidP="00113656">
            <w:pPr>
              <w:spacing w:before="50" w:after="50"/>
              <w:jc w:val="right"/>
              <w:rPr>
                <w:sz w:val="18"/>
                <w:szCs w:val="18"/>
                <w:lang w:eastAsia="en-NZ"/>
              </w:rPr>
            </w:pPr>
            <w:r>
              <w:rPr>
                <w:sz w:val="18"/>
                <w:szCs w:val="18"/>
                <w:lang w:eastAsia="en-NZ"/>
              </w:rPr>
              <w:t>11</w:t>
            </w:r>
          </w:p>
        </w:tc>
      </w:tr>
      <w:tr w:rsidR="00A66D28" w:rsidRPr="00231D5A" w:rsidTr="006D3BC4">
        <w:trPr>
          <w:trHeight w:val="300"/>
        </w:trPr>
        <w:tc>
          <w:tcPr>
            <w:tcW w:w="3326" w:type="dxa"/>
            <w:tcBorders>
              <w:top w:val="single" w:sz="4" w:space="0" w:color="005984"/>
              <w:left w:val="nil"/>
              <w:bottom w:val="single" w:sz="4" w:space="0" w:color="005984"/>
              <w:right w:val="single" w:sz="4" w:space="0" w:color="005984"/>
            </w:tcBorders>
            <w:noWrap/>
            <w:vAlign w:val="center"/>
          </w:tcPr>
          <w:p w:rsidR="00A66D28" w:rsidRPr="002F039F" w:rsidRDefault="00A66D28" w:rsidP="00113656">
            <w:pPr>
              <w:pStyle w:val="TableText"/>
              <w:spacing w:before="50" w:after="50"/>
              <w:rPr>
                <w:b/>
                <w:lang w:eastAsia="en-NZ"/>
              </w:rPr>
            </w:pPr>
            <w:r w:rsidRPr="002F039F">
              <w:rPr>
                <w:b/>
                <w:lang w:eastAsia="en-NZ"/>
              </w:rPr>
              <w:t>TOTAL</w:t>
            </w:r>
          </w:p>
        </w:tc>
        <w:tc>
          <w:tcPr>
            <w:tcW w:w="1509" w:type="dxa"/>
            <w:tcBorders>
              <w:top w:val="single" w:sz="4" w:space="0" w:color="005984"/>
              <w:left w:val="single" w:sz="4" w:space="0" w:color="005984"/>
              <w:bottom w:val="single" w:sz="4" w:space="0" w:color="005984"/>
              <w:right w:val="single" w:sz="4" w:space="0" w:color="005984"/>
            </w:tcBorders>
            <w:noWrap/>
            <w:vAlign w:val="bottom"/>
          </w:tcPr>
          <w:p w:rsidR="00A66D28" w:rsidRPr="002F039F" w:rsidRDefault="00FF2201" w:rsidP="00113656">
            <w:pPr>
              <w:spacing w:before="50" w:after="50"/>
              <w:jc w:val="right"/>
              <w:rPr>
                <w:b/>
                <w:sz w:val="18"/>
                <w:szCs w:val="18"/>
                <w:lang w:eastAsia="en-NZ"/>
              </w:rPr>
            </w:pPr>
            <w:r>
              <w:rPr>
                <w:b/>
                <w:sz w:val="18"/>
                <w:szCs w:val="18"/>
                <w:lang w:eastAsia="en-NZ"/>
              </w:rPr>
              <w:t>70</w:t>
            </w:r>
          </w:p>
        </w:tc>
        <w:tc>
          <w:tcPr>
            <w:tcW w:w="1362" w:type="dxa"/>
            <w:tcBorders>
              <w:top w:val="single" w:sz="4" w:space="0" w:color="005984"/>
              <w:left w:val="single" w:sz="4" w:space="0" w:color="005984"/>
              <w:bottom w:val="single" w:sz="4" w:space="0" w:color="005984"/>
              <w:right w:val="single" w:sz="4" w:space="0" w:color="005984"/>
            </w:tcBorders>
            <w:noWrap/>
            <w:vAlign w:val="bottom"/>
          </w:tcPr>
          <w:p w:rsidR="00A66D28" w:rsidRPr="002F039F" w:rsidRDefault="00FF2201" w:rsidP="00113656">
            <w:pPr>
              <w:spacing w:before="50" w:after="50"/>
              <w:jc w:val="right"/>
              <w:rPr>
                <w:b/>
                <w:sz w:val="18"/>
                <w:szCs w:val="18"/>
                <w:lang w:eastAsia="en-NZ"/>
              </w:rPr>
            </w:pPr>
            <w:r>
              <w:rPr>
                <w:b/>
                <w:sz w:val="18"/>
                <w:szCs w:val="18"/>
                <w:lang w:eastAsia="en-NZ"/>
              </w:rPr>
              <w:t>47</w:t>
            </w:r>
          </w:p>
        </w:tc>
        <w:tc>
          <w:tcPr>
            <w:tcW w:w="1615" w:type="dxa"/>
            <w:tcBorders>
              <w:top w:val="single" w:sz="4" w:space="0" w:color="005984"/>
              <w:left w:val="single" w:sz="4" w:space="0" w:color="005984"/>
              <w:bottom w:val="single" w:sz="4" w:space="0" w:color="005984"/>
              <w:right w:val="nil"/>
            </w:tcBorders>
            <w:noWrap/>
            <w:vAlign w:val="bottom"/>
          </w:tcPr>
          <w:p w:rsidR="00A66D28" w:rsidRPr="002F039F" w:rsidRDefault="00FF2201" w:rsidP="00113656">
            <w:pPr>
              <w:spacing w:before="50" w:after="50"/>
              <w:jc w:val="right"/>
              <w:rPr>
                <w:b/>
                <w:sz w:val="18"/>
                <w:szCs w:val="18"/>
                <w:lang w:eastAsia="en-NZ"/>
              </w:rPr>
            </w:pPr>
            <w:r>
              <w:rPr>
                <w:b/>
                <w:sz w:val="18"/>
                <w:szCs w:val="18"/>
                <w:lang w:eastAsia="en-NZ"/>
              </w:rPr>
              <w:t>34</w:t>
            </w:r>
          </w:p>
        </w:tc>
        <w:tc>
          <w:tcPr>
            <w:tcW w:w="1417" w:type="dxa"/>
            <w:tcBorders>
              <w:top w:val="single" w:sz="4" w:space="0" w:color="005984"/>
              <w:left w:val="single" w:sz="4" w:space="0" w:color="005984"/>
              <w:bottom w:val="single" w:sz="4" w:space="0" w:color="005984"/>
            </w:tcBorders>
            <w:vAlign w:val="bottom"/>
          </w:tcPr>
          <w:p w:rsidR="00A66D28" w:rsidRPr="002F039F" w:rsidRDefault="00FF2201" w:rsidP="00113656">
            <w:pPr>
              <w:spacing w:before="50" w:after="50"/>
              <w:jc w:val="right"/>
              <w:rPr>
                <w:b/>
                <w:sz w:val="18"/>
                <w:szCs w:val="18"/>
                <w:lang w:eastAsia="en-NZ"/>
              </w:rPr>
            </w:pPr>
            <w:r>
              <w:rPr>
                <w:b/>
                <w:sz w:val="18"/>
                <w:szCs w:val="18"/>
                <w:lang w:eastAsia="en-NZ"/>
              </w:rPr>
              <w:t>151</w:t>
            </w:r>
          </w:p>
        </w:tc>
      </w:tr>
    </w:tbl>
    <w:p w:rsidR="001969B0" w:rsidRDefault="000F5A2A" w:rsidP="00D805BF">
      <w:pPr>
        <w:pStyle w:val="Figureheading"/>
        <w:spacing w:before="240"/>
        <w:rPr>
          <w:i/>
        </w:rPr>
      </w:pPr>
      <w:bookmarkStart w:id="43" w:name="_Toc462814465"/>
      <w:r w:rsidRPr="00C76622">
        <w:t xml:space="preserve">Figure </w:t>
      </w:r>
      <w:r w:rsidR="00AD5B83">
        <w:t>4</w:t>
      </w:r>
      <w:r w:rsidRPr="00C76622">
        <w:t xml:space="preserve">: </w:t>
      </w:r>
      <w:r w:rsidRPr="00C76622">
        <w:tab/>
      </w:r>
      <w:r w:rsidR="00B556C0">
        <w:t>Submitter</w:t>
      </w:r>
      <w:r w:rsidRPr="00C76622">
        <w:t xml:space="preserve"> positions – </w:t>
      </w:r>
      <w:r w:rsidR="00906FFB" w:rsidRPr="00906FFB">
        <w:rPr>
          <w:i/>
        </w:rPr>
        <w:t>Should auctioning be introduced in the NZ ETS?</w:t>
      </w:r>
      <w:bookmarkEnd w:id="43"/>
      <w:r w:rsidR="00906FFB" w:rsidRPr="00906FFB">
        <w:rPr>
          <w:i/>
        </w:rPr>
        <w:t xml:space="preserve"> </w:t>
      </w:r>
    </w:p>
    <w:p w:rsidR="000F5A2A" w:rsidRPr="00C76622" w:rsidRDefault="00C320BE" w:rsidP="00113656">
      <w:pPr>
        <w:jc w:val="center"/>
      </w:pPr>
      <w:r>
        <w:rPr>
          <w:noProof/>
          <w:lang w:eastAsia="en-NZ"/>
        </w:rPr>
        <w:drawing>
          <wp:inline distT="0" distB="0" distL="0" distR="0" wp14:anchorId="7A4FC185">
            <wp:extent cx="5407660" cy="274955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7660" cy="2749550"/>
                    </a:xfrm>
                    <a:prstGeom prst="rect">
                      <a:avLst/>
                    </a:prstGeom>
                    <a:noFill/>
                  </pic:spPr>
                </pic:pic>
              </a:graphicData>
            </a:graphic>
          </wp:inline>
        </w:drawing>
      </w:r>
    </w:p>
    <w:p w:rsidR="00D215C5" w:rsidRPr="00B62D72" w:rsidRDefault="0040636D" w:rsidP="00E93FD3">
      <w:pPr>
        <w:pStyle w:val="Heading2"/>
        <w:spacing w:before="240"/>
      </w:pPr>
      <w:bookmarkStart w:id="44" w:name="_Toc456013884"/>
      <w:bookmarkStart w:id="45" w:name="_Toc463270136"/>
      <w:r w:rsidRPr="0071113E">
        <w:t>6</w:t>
      </w:r>
      <w:r w:rsidR="00D215C5" w:rsidRPr="0071113E">
        <w:t xml:space="preserve">.5 </w:t>
      </w:r>
      <w:r w:rsidR="00D215C5" w:rsidRPr="0071113E">
        <w:tab/>
        <w:t>What should be the role or purpose of an auctioning function in the NZ ETS, if one were introduced? (Question 18</w:t>
      </w:r>
      <w:proofErr w:type="gramStart"/>
      <w:r w:rsidR="00D215C5" w:rsidRPr="0071113E">
        <w:t>)</w:t>
      </w:r>
      <w:bookmarkEnd w:id="44"/>
      <w:proofErr w:type="gramEnd"/>
      <w:r w:rsidR="00E93FD3">
        <w:br/>
      </w:r>
      <w:r w:rsidR="00D215C5" w:rsidRPr="00006F25">
        <w:rPr>
          <w:sz w:val="22"/>
        </w:rPr>
        <w:t>a) to align supply in the NZ ETS more closely with our international target</w:t>
      </w:r>
      <w:r w:rsidR="00D215C5" w:rsidRPr="00006F25">
        <w:rPr>
          <w:sz w:val="22"/>
        </w:rPr>
        <w:br/>
        <w:t>b) to more actively manage NZU prices</w:t>
      </w:r>
      <w:r w:rsidR="00D215C5" w:rsidRPr="00006F25">
        <w:rPr>
          <w:sz w:val="22"/>
        </w:rPr>
        <w:br/>
        <w:t>c) other</w:t>
      </w:r>
      <w:bookmarkEnd w:id="45"/>
    </w:p>
    <w:p w:rsidR="00C9168E" w:rsidRDefault="00D67E0B" w:rsidP="00B8466E">
      <w:r w:rsidRPr="00833378">
        <w:t>One hundred and three submitters</w:t>
      </w:r>
      <w:r w:rsidR="00D215C5" w:rsidRPr="00833378">
        <w:t xml:space="preserve"> </w:t>
      </w:r>
      <w:r w:rsidR="00634CBD" w:rsidRPr="00833378">
        <w:t>(</w:t>
      </w:r>
      <w:r w:rsidR="00C2449D">
        <w:t>approximately</w:t>
      </w:r>
      <w:r w:rsidR="00634CBD" w:rsidRPr="00833378">
        <w:t xml:space="preserve"> </w:t>
      </w:r>
      <w:r w:rsidRPr="00833378">
        <w:t>30</w:t>
      </w:r>
      <w:r w:rsidR="00634CBD" w:rsidRPr="00833378">
        <w:t xml:space="preserve"> </w:t>
      </w:r>
      <w:r w:rsidR="008E24E1" w:rsidRPr="00833378">
        <w:t>per cent</w:t>
      </w:r>
      <w:r w:rsidR="00634CBD" w:rsidRPr="00833378">
        <w:t xml:space="preserve"> of </w:t>
      </w:r>
      <w:r w:rsidR="00E93FD3" w:rsidRPr="00833378">
        <w:t>all</w:t>
      </w:r>
      <w:r w:rsidR="00634CBD" w:rsidRPr="00833378">
        <w:t xml:space="preserve"> submitters) </w:t>
      </w:r>
      <w:r w:rsidR="00D215C5" w:rsidRPr="00833378">
        <w:t>addressed this question</w:t>
      </w:r>
      <w:r w:rsidR="001600B8">
        <w:t xml:space="preserve">, and there was no clear trend among </w:t>
      </w:r>
      <w:r w:rsidR="00231EFD">
        <w:t xml:space="preserve">these responses. </w:t>
      </w:r>
      <w:r w:rsidR="00D215C5" w:rsidRPr="00833378">
        <w:t>A</w:t>
      </w:r>
      <w:r w:rsidR="002810C9" w:rsidRPr="00833378">
        <w:t>pprox</w:t>
      </w:r>
      <w:r w:rsidR="0053158D" w:rsidRPr="00833378">
        <w:t>imately</w:t>
      </w:r>
      <w:r w:rsidR="00D215C5" w:rsidRPr="00833378">
        <w:t xml:space="preserve"> </w:t>
      </w:r>
      <w:r w:rsidR="00A43B2B" w:rsidRPr="00833378">
        <w:t>2</w:t>
      </w:r>
      <w:r w:rsidR="00D250CD" w:rsidRPr="00833378">
        <w:t>5</w:t>
      </w:r>
      <w:r w:rsidR="00634CBD" w:rsidRPr="00833378">
        <w:t xml:space="preserve"> </w:t>
      </w:r>
      <w:r w:rsidR="008E24E1" w:rsidRPr="00833378">
        <w:t>per cent</w:t>
      </w:r>
      <w:r w:rsidR="00335E37" w:rsidRPr="00833378">
        <w:t xml:space="preserve"> of submitters</w:t>
      </w:r>
      <w:r w:rsidR="00D215C5" w:rsidRPr="00833378">
        <w:t xml:space="preserve"> thought </w:t>
      </w:r>
      <w:r w:rsidR="00231EFD">
        <w:t xml:space="preserve">that </w:t>
      </w:r>
      <w:r w:rsidR="00D215C5" w:rsidRPr="00833378">
        <w:t xml:space="preserve">the role of auctioning should </w:t>
      </w:r>
      <w:r w:rsidR="00A43B2B" w:rsidRPr="00833378">
        <w:t xml:space="preserve">be both </w:t>
      </w:r>
      <w:r w:rsidR="00AB08B8" w:rsidRPr="00833378">
        <w:t>to</w:t>
      </w:r>
      <w:r w:rsidR="002810C9" w:rsidRPr="00833378">
        <w:t xml:space="preserve"> </w:t>
      </w:r>
      <w:r w:rsidR="00D215C5" w:rsidRPr="00833378">
        <w:t>align supply in the NZ ETS more closely with our international target</w:t>
      </w:r>
      <w:r w:rsidR="00AB08B8" w:rsidRPr="00833378">
        <w:t xml:space="preserve"> and to</w:t>
      </w:r>
      <w:r w:rsidR="002810C9" w:rsidRPr="00833378">
        <w:t xml:space="preserve"> more</w:t>
      </w:r>
      <w:r w:rsidR="00D215C5" w:rsidRPr="00833378">
        <w:t xml:space="preserve"> actively manag</w:t>
      </w:r>
      <w:r w:rsidR="003354BF">
        <w:t>e</w:t>
      </w:r>
      <w:r w:rsidR="00D215C5" w:rsidRPr="00833378">
        <w:t xml:space="preserve"> </w:t>
      </w:r>
      <w:r w:rsidR="00231EFD">
        <w:t xml:space="preserve">the </w:t>
      </w:r>
      <w:r w:rsidR="00D215C5" w:rsidRPr="00833378">
        <w:t xml:space="preserve">NZU price. </w:t>
      </w:r>
    </w:p>
    <w:p w:rsidR="00C9168E" w:rsidRDefault="00231EFD" w:rsidP="00B8466E">
      <w:r>
        <w:t>Approximately 20 per cent of submitters said the</w:t>
      </w:r>
      <w:r w:rsidR="00D81D70" w:rsidRPr="006D174F">
        <w:t xml:space="preserve"> main</w:t>
      </w:r>
      <w:r w:rsidR="000572A6" w:rsidRPr="00603B38">
        <w:t xml:space="preserve"> role</w:t>
      </w:r>
      <w:r w:rsidR="00D81D70" w:rsidRPr="00C24AFC">
        <w:t xml:space="preserve"> of auctioning</w:t>
      </w:r>
      <w:r w:rsidR="00B00B25" w:rsidRPr="00C24AFC">
        <w:t xml:space="preserve"> should be</w:t>
      </w:r>
      <w:r w:rsidR="00D81D70" w:rsidRPr="00B57077">
        <w:t xml:space="preserve"> </w:t>
      </w:r>
      <w:r w:rsidR="00B00B25" w:rsidRPr="00B57077">
        <w:t xml:space="preserve">to </w:t>
      </w:r>
      <w:r w:rsidR="00AB08B8" w:rsidRPr="009A5687">
        <w:t>align supply in the NZ ETS more closely with our international target</w:t>
      </w:r>
      <w:r w:rsidR="00C9168E">
        <w:t xml:space="preserve">, while a further </w:t>
      </w:r>
      <w:r>
        <w:t xml:space="preserve">20 per cent thought auctioning should be used to </w:t>
      </w:r>
      <w:r w:rsidR="00EB6BAD" w:rsidRPr="00603B38">
        <w:t>more actively manage NZU prices</w:t>
      </w:r>
      <w:r>
        <w:t>.</w:t>
      </w:r>
      <w:r w:rsidR="000572A6">
        <w:t xml:space="preserve"> Several</w:t>
      </w:r>
      <w:r w:rsidR="007D428A">
        <w:t xml:space="preserve"> </w:t>
      </w:r>
      <w:r w:rsidR="00C9168E">
        <w:t xml:space="preserve">of these </w:t>
      </w:r>
      <w:r w:rsidR="000572A6">
        <w:t>submitters also suggested</w:t>
      </w:r>
      <w:r w:rsidR="007D428A">
        <w:t xml:space="preserve"> </w:t>
      </w:r>
      <w:r w:rsidR="000572A6">
        <w:t>compl</w:t>
      </w:r>
      <w:r w:rsidR="001600B8">
        <w:t>e</w:t>
      </w:r>
      <w:r w:rsidR="000572A6">
        <w:t>mentary role</w:t>
      </w:r>
      <w:r w:rsidR="007D428A">
        <w:t>s that</w:t>
      </w:r>
      <w:r w:rsidR="000572A6">
        <w:t xml:space="preserve"> auctioning</w:t>
      </w:r>
      <w:r w:rsidR="007D428A">
        <w:t xml:space="preserve"> could</w:t>
      </w:r>
      <w:r w:rsidR="00C9168E">
        <w:t xml:space="preserve"> also</w:t>
      </w:r>
      <w:r w:rsidR="007D428A">
        <w:t xml:space="preserve"> play. </w:t>
      </w:r>
    </w:p>
    <w:p w:rsidR="00C9168E" w:rsidRDefault="00C9168E" w:rsidP="00B8466E">
      <w:r>
        <w:t>A</w:t>
      </w:r>
      <w:r w:rsidR="001F202B">
        <w:t>pproximately</w:t>
      </w:r>
      <w:r w:rsidR="007D428A">
        <w:t xml:space="preserve"> </w:t>
      </w:r>
      <w:r w:rsidR="00B00B25">
        <w:t>20 per cent of submitters suggest</w:t>
      </w:r>
      <w:r>
        <w:t>ed</w:t>
      </w:r>
      <w:r w:rsidR="00B00B25">
        <w:t xml:space="preserve"> </w:t>
      </w:r>
      <w:r>
        <w:t>a different</w:t>
      </w:r>
      <w:r w:rsidR="00B00B25">
        <w:t xml:space="preserve"> main </w:t>
      </w:r>
      <w:r w:rsidR="0069240B">
        <w:t xml:space="preserve">role or purpose for </w:t>
      </w:r>
      <w:r>
        <w:t xml:space="preserve">an </w:t>
      </w:r>
      <w:r w:rsidR="0069240B">
        <w:t>auctioning</w:t>
      </w:r>
      <w:r>
        <w:t xml:space="preserve"> function in the NZ ETS, and t</w:t>
      </w:r>
      <w:r w:rsidR="0069240B">
        <w:t xml:space="preserve">he remaining submitters </w:t>
      </w:r>
      <w:r>
        <w:t>noted they were</w:t>
      </w:r>
      <w:r w:rsidR="0069240B">
        <w:t xml:space="preserve"> unsure</w:t>
      </w:r>
      <w:r w:rsidR="00B00B25">
        <w:t xml:space="preserve"> or </w:t>
      </w:r>
      <w:r>
        <w:t xml:space="preserve">otherwise provided </w:t>
      </w:r>
      <w:r>
        <w:lastRenderedPageBreak/>
        <w:t>general comments on auctioning, without specifying a particular role or purpose for auctioning</w:t>
      </w:r>
      <w:r w:rsidR="006D174F">
        <w:t xml:space="preserve"> </w:t>
      </w:r>
      <w:r>
        <w:t xml:space="preserve">if it were introduced. </w:t>
      </w:r>
    </w:p>
    <w:p w:rsidR="00335E37" w:rsidRDefault="00335E37" w:rsidP="00335E37">
      <w:pPr>
        <w:pStyle w:val="Heading4"/>
      </w:pPr>
      <w:r>
        <w:t>Management of NZU prices</w:t>
      </w:r>
    </w:p>
    <w:p w:rsidR="008F4144" w:rsidRDefault="00D215C5" w:rsidP="00B8466E">
      <w:r>
        <w:t xml:space="preserve">Submitters </w:t>
      </w:r>
      <w:r w:rsidR="00743E14">
        <w:t xml:space="preserve">who </w:t>
      </w:r>
      <w:r>
        <w:t xml:space="preserve">thought the role of auctioning should be to manage NZU prices gave a range of views on </w:t>
      </w:r>
      <w:r w:rsidR="00335E37">
        <w:t xml:space="preserve">how </w:t>
      </w:r>
      <w:r w:rsidR="00260230">
        <w:t>the</w:t>
      </w:r>
      <w:r w:rsidR="00743E14">
        <w:t>se</w:t>
      </w:r>
      <w:r w:rsidR="00260230">
        <w:t xml:space="preserve"> </w:t>
      </w:r>
      <w:r w:rsidR="00335E37">
        <w:t>NZU price should be managed</w:t>
      </w:r>
      <w:r>
        <w:t xml:space="preserve">. Several submitters thought </w:t>
      </w:r>
      <w:r w:rsidR="00971AAF">
        <w:t>auctioning should be used to manage prices through implementing a</w:t>
      </w:r>
      <w:r>
        <w:t xml:space="preserve"> reserve price</w:t>
      </w:r>
      <w:r w:rsidR="00971AAF">
        <w:t>. A</w:t>
      </w:r>
      <w:r>
        <w:t xml:space="preserve"> few others suggest</w:t>
      </w:r>
      <w:r w:rsidR="00971AAF">
        <w:t xml:space="preserve">ed auctioning could be used to keep the price </w:t>
      </w:r>
      <w:r>
        <w:t xml:space="preserve">within a </w:t>
      </w:r>
      <w:r w:rsidR="00971AAF">
        <w:t>specific range</w:t>
      </w:r>
      <w:r>
        <w:t xml:space="preserve">. </w:t>
      </w:r>
    </w:p>
    <w:p w:rsidR="00D215C5" w:rsidRDefault="00D215C5" w:rsidP="00B8466E">
      <w:r>
        <w:t xml:space="preserve">Several submitters </w:t>
      </w:r>
      <w:r w:rsidR="00EF2933">
        <w:t>thought</w:t>
      </w:r>
      <w:r>
        <w:t xml:space="preserve"> </w:t>
      </w:r>
      <w:r w:rsidR="008F4144">
        <w:t xml:space="preserve">that using auctioning to manage the NZU price </w:t>
      </w:r>
      <w:r>
        <w:t xml:space="preserve">would provide more certainty for investment decisions and forestry. This view was mainly provided from NGOs and the forestry sector. </w:t>
      </w:r>
      <w:r w:rsidRPr="00AD2DD4">
        <w:t xml:space="preserve">A couple of submitters from the stationary energy sector thought </w:t>
      </w:r>
      <w:r w:rsidR="00260230" w:rsidRPr="00AD2DD4">
        <w:t xml:space="preserve">auctioning should be used to create an </w:t>
      </w:r>
      <w:r w:rsidRPr="00AD2DD4">
        <w:t>upper price limit.</w:t>
      </w:r>
    </w:p>
    <w:p w:rsidR="00D215C5" w:rsidRPr="00C540C3" w:rsidRDefault="008F4144" w:rsidP="00C27B96">
      <w:pPr>
        <w:ind w:left="567" w:right="567"/>
        <w:rPr>
          <w:sz w:val="21"/>
          <w:szCs w:val="21"/>
        </w:rPr>
      </w:pPr>
      <w:r w:rsidRPr="00C540C3">
        <w:rPr>
          <w:sz w:val="21"/>
          <w:szCs w:val="21"/>
        </w:rPr>
        <w:t>“</w:t>
      </w:r>
      <w:r w:rsidR="00D215C5" w:rsidRPr="00C540C3">
        <w:rPr>
          <w:sz w:val="21"/>
          <w:szCs w:val="21"/>
        </w:rPr>
        <w:t>Price needs to be managed to establish a sufficient price signal to drive action on emissions. The price uncertainty and poor policy settings so far have not provided the price signals necessary for long term investment. This can be achieved by a minimum price and an annual price escalator.</w:t>
      </w:r>
      <w:r w:rsidRPr="00C540C3">
        <w:rPr>
          <w:sz w:val="21"/>
          <w:szCs w:val="21"/>
        </w:rPr>
        <w:t>”</w:t>
      </w:r>
      <w:r w:rsidR="00D215C5" w:rsidRPr="00C540C3">
        <w:rPr>
          <w:sz w:val="21"/>
          <w:szCs w:val="21"/>
        </w:rPr>
        <w:t xml:space="preserve"> (Sustainable Initiatives </w:t>
      </w:r>
      <w:proofErr w:type="spellStart"/>
      <w:r w:rsidR="00D215C5" w:rsidRPr="00C540C3">
        <w:rPr>
          <w:sz w:val="21"/>
          <w:szCs w:val="21"/>
        </w:rPr>
        <w:t>Aotearoa</w:t>
      </w:r>
      <w:proofErr w:type="spellEnd"/>
      <w:r w:rsidRPr="00C540C3">
        <w:rPr>
          <w:sz w:val="21"/>
          <w:szCs w:val="21"/>
        </w:rPr>
        <w:t xml:space="preserve">, </w:t>
      </w:r>
      <w:r w:rsidR="00C27B96">
        <w:rPr>
          <w:sz w:val="21"/>
          <w:szCs w:val="21"/>
        </w:rPr>
        <w:t>02023</w:t>
      </w:r>
      <w:r w:rsidR="00D215C5" w:rsidRPr="00C540C3">
        <w:rPr>
          <w:sz w:val="21"/>
          <w:szCs w:val="21"/>
        </w:rPr>
        <w:t>)</w:t>
      </w:r>
    </w:p>
    <w:p w:rsidR="009515DA" w:rsidRDefault="009515DA" w:rsidP="009515DA">
      <w:pPr>
        <w:pStyle w:val="Heading4"/>
      </w:pPr>
      <w:r>
        <w:t>Aligning supply with international targets</w:t>
      </w:r>
    </w:p>
    <w:p w:rsidR="00D215C5" w:rsidRDefault="00D215C5" w:rsidP="00B8466E">
      <w:r>
        <w:t xml:space="preserve">Several submitters, especially those who thought the role of auctioning </w:t>
      </w:r>
      <w:r w:rsidR="008F4144">
        <w:t xml:space="preserve">should be </w:t>
      </w:r>
      <w:r>
        <w:t xml:space="preserve">to align supply more closely with our international target, </w:t>
      </w:r>
      <w:r w:rsidR="008F4144">
        <w:t xml:space="preserve">thought </w:t>
      </w:r>
      <w:r>
        <w:t xml:space="preserve">there should be a cap on the </w:t>
      </w:r>
      <w:r w:rsidR="00743E14">
        <w:t xml:space="preserve">number </w:t>
      </w:r>
      <w:r>
        <w:t>of units auctioned</w:t>
      </w:r>
      <w:r w:rsidR="00233612">
        <w:t xml:space="preserve">. These submitters often thought that </w:t>
      </w:r>
      <w:r>
        <w:t xml:space="preserve">auctioning </w:t>
      </w:r>
      <w:r w:rsidR="009515DA">
        <w:t>sho</w:t>
      </w:r>
      <w:r>
        <w:t xml:space="preserve">uld be used to </w:t>
      </w:r>
      <w:r w:rsidR="00233612">
        <w:t xml:space="preserve">help </w:t>
      </w:r>
      <w:r>
        <w:t>reduce domestic emissions and encourage forestry</w:t>
      </w:r>
      <w:r w:rsidR="00233612">
        <w:t xml:space="preserve"> investments</w:t>
      </w:r>
      <w:r>
        <w:t xml:space="preserve">. </w:t>
      </w:r>
      <w:r w:rsidR="008F4144" w:rsidRPr="00AD2DD4">
        <w:t xml:space="preserve">Some </w:t>
      </w:r>
      <w:r w:rsidRPr="00AD2DD4">
        <w:t xml:space="preserve">submitters </w:t>
      </w:r>
      <w:r w:rsidR="00743E14">
        <w:t>who</w:t>
      </w:r>
      <w:r w:rsidR="00743E14" w:rsidRPr="00AD2DD4">
        <w:t xml:space="preserve"> </w:t>
      </w:r>
      <w:r w:rsidR="008F4144" w:rsidRPr="00AD2DD4">
        <w:t xml:space="preserve">thought auctioning should be used to align NZ ETS supply with our international targets </w:t>
      </w:r>
      <w:r w:rsidRPr="00AD2DD4">
        <w:t xml:space="preserve">cautioned against </w:t>
      </w:r>
      <w:r w:rsidR="00233612" w:rsidRPr="00AD2DD4">
        <w:t xml:space="preserve">using auctioning to </w:t>
      </w:r>
      <w:r w:rsidRPr="00AD2DD4">
        <w:t xml:space="preserve">actively </w:t>
      </w:r>
      <w:r w:rsidR="00233612" w:rsidRPr="00AD2DD4">
        <w:t>manage</w:t>
      </w:r>
      <w:r w:rsidR="008F4144" w:rsidRPr="00AD2DD4">
        <w:t xml:space="preserve"> the</w:t>
      </w:r>
      <w:r w:rsidRPr="00AD2DD4">
        <w:t xml:space="preserve"> price</w:t>
      </w:r>
      <w:r w:rsidR="003623A4">
        <w:t>,</w:t>
      </w:r>
      <w:r w:rsidRPr="00AD2DD4">
        <w:t xml:space="preserve"> as they were concerned it would distort the market.</w:t>
      </w:r>
      <w:r>
        <w:t xml:space="preserve"> </w:t>
      </w:r>
    </w:p>
    <w:p w:rsidR="003E6EC7" w:rsidRPr="00C540C3" w:rsidRDefault="003E6EC7" w:rsidP="00C540C3">
      <w:pPr>
        <w:pStyle w:val="Quote"/>
        <w:ind w:left="567" w:right="567"/>
        <w:rPr>
          <w:sz w:val="21"/>
        </w:rPr>
      </w:pPr>
      <w:r w:rsidRPr="00C540C3">
        <w:rPr>
          <w:sz w:val="21"/>
        </w:rPr>
        <w:t>We believe that auctioning should be used to align the supply in the NZ ETS more closely with our international target, to ensure that New Zealand meets its international commitments. […] Using auctioning to manage NZU prices will create a significant distortion to the emissions market, and reduce confidence in the scheme.” (</w:t>
      </w:r>
      <w:proofErr w:type="spellStart"/>
      <w:r w:rsidRPr="00C540C3">
        <w:rPr>
          <w:sz w:val="21"/>
        </w:rPr>
        <w:t>Trustpower</w:t>
      </w:r>
      <w:proofErr w:type="spellEnd"/>
      <w:r w:rsidRPr="00C540C3">
        <w:rPr>
          <w:sz w:val="21"/>
        </w:rPr>
        <w:t xml:space="preserve">, </w:t>
      </w:r>
      <w:r w:rsidR="004F3E0E">
        <w:rPr>
          <w:sz w:val="21"/>
        </w:rPr>
        <w:t>00088</w:t>
      </w:r>
      <w:r w:rsidRPr="00C540C3">
        <w:rPr>
          <w:sz w:val="21"/>
        </w:rPr>
        <w:t>)</w:t>
      </w:r>
    </w:p>
    <w:p w:rsidR="00335E37" w:rsidRDefault="003E6EC7" w:rsidP="00335E37">
      <w:pPr>
        <w:pStyle w:val="Heading4"/>
      </w:pPr>
      <w:r>
        <w:t>Using a</w:t>
      </w:r>
      <w:r w:rsidR="00335E37">
        <w:t>uctioning to manage supply</w:t>
      </w:r>
      <w:r w:rsidR="009515DA">
        <w:t xml:space="preserve">, liquidity and </w:t>
      </w:r>
      <w:r>
        <w:t xml:space="preserve">price </w:t>
      </w:r>
      <w:r w:rsidR="009515DA">
        <w:t xml:space="preserve">volatility </w:t>
      </w:r>
    </w:p>
    <w:p w:rsidR="00335E37" w:rsidRDefault="00335E37" w:rsidP="00335E37">
      <w:pPr>
        <w:pStyle w:val="BodyText"/>
      </w:pPr>
      <w:r>
        <w:t xml:space="preserve">Several of the submitters, regardless of the role they believed auctioning should play, suggested that </w:t>
      </w:r>
      <w:r w:rsidR="003E6EC7">
        <w:t xml:space="preserve">introducing </w:t>
      </w:r>
      <w:r>
        <w:t>auctioning would reduce the risk of undersupply</w:t>
      </w:r>
      <w:r w:rsidR="003E6EC7">
        <w:t>,</w:t>
      </w:r>
      <w:r>
        <w:t xml:space="preserve"> and increase liqui</w:t>
      </w:r>
      <w:r w:rsidR="009515DA">
        <w:t>dity</w:t>
      </w:r>
      <w:r w:rsidR="003E6EC7">
        <w:t>,</w:t>
      </w:r>
      <w:r w:rsidR="009515DA">
        <w:t xml:space="preserve"> in the market. </w:t>
      </w:r>
      <w:r w:rsidR="000E0717">
        <w:t xml:space="preserve">A number of submitters </w:t>
      </w:r>
      <w:r w:rsidR="003E6EC7">
        <w:t xml:space="preserve">thought that increasing </w:t>
      </w:r>
      <w:r w:rsidR="006D3BAD">
        <w:t>the</w:t>
      </w:r>
      <w:r w:rsidR="000E0717">
        <w:t xml:space="preserve"> </w:t>
      </w:r>
      <w:r>
        <w:t>supply</w:t>
      </w:r>
      <w:r w:rsidR="000E0717">
        <w:t xml:space="preserve"> of units</w:t>
      </w:r>
      <w:r>
        <w:t xml:space="preserve"> </w:t>
      </w:r>
      <w:r w:rsidR="003E6EC7">
        <w:t>through auctioning w</w:t>
      </w:r>
      <w:r w:rsidR="006D3BAD">
        <w:t xml:space="preserve">ould </w:t>
      </w:r>
      <w:r w:rsidR="003E6EC7">
        <w:t xml:space="preserve">help </w:t>
      </w:r>
      <w:r>
        <w:t xml:space="preserve">reduce price volatility. Some </w:t>
      </w:r>
      <w:r w:rsidR="006D3BAD">
        <w:t xml:space="preserve">of these submitters </w:t>
      </w:r>
      <w:r w:rsidR="003E6EC7">
        <w:t xml:space="preserve">thought auctioning </w:t>
      </w:r>
      <w:r w:rsidR="006D3BAD">
        <w:t xml:space="preserve">could </w:t>
      </w:r>
      <w:r>
        <w:t xml:space="preserve">reduce the risk of the price reaching the price cap or prevent high prices that </w:t>
      </w:r>
      <w:r w:rsidR="006D3BAD">
        <w:t xml:space="preserve">would </w:t>
      </w:r>
      <w:r>
        <w:t>risk undermining the NZ ETS.</w:t>
      </w:r>
      <w:r w:rsidR="003E6EC7">
        <w:t xml:space="preserve"> A</w:t>
      </w:r>
      <w:r w:rsidR="000E0717">
        <w:t xml:space="preserve"> few</w:t>
      </w:r>
      <w:r>
        <w:t xml:space="preserve"> submitters</w:t>
      </w:r>
      <w:r w:rsidR="003E6EC7">
        <w:t>, however,</w:t>
      </w:r>
      <w:r>
        <w:t xml:space="preserve"> noted that caution was needed in managing supply to ensure the</w:t>
      </w:r>
      <w:r w:rsidR="000E0717">
        <w:t xml:space="preserve"> NZU</w:t>
      </w:r>
      <w:r>
        <w:t xml:space="preserve"> price </w:t>
      </w:r>
      <w:r w:rsidR="000E0717">
        <w:t>remained</w:t>
      </w:r>
      <w:r>
        <w:t xml:space="preserve"> significant enough to drive emission reductions. </w:t>
      </w:r>
    </w:p>
    <w:p w:rsidR="00335E37" w:rsidRPr="00C540C3" w:rsidRDefault="00D20017" w:rsidP="00C540C3">
      <w:pPr>
        <w:ind w:left="567" w:right="567"/>
        <w:rPr>
          <w:sz w:val="21"/>
          <w:szCs w:val="21"/>
        </w:rPr>
      </w:pPr>
      <w:r w:rsidRPr="00C540C3">
        <w:rPr>
          <w:sz w:val="21"/>
          <w:szCs w:val="21"/>
        </w:rPr>
        <w:t>“</w:t>
      </w:r>
      <w:r w:rsidR="00335E37" w:rsidRPr="00C540C3">
        <w:rPr>
          <w:sz w:val="21"/>
          <w:szCs w:val="21"/>
        </w:rPr>
        <w:t>Auctioning would help mitigate the risk of under supply of NZUs with resultant reliance on the Fixed Price Option, or if no Fixed Price Option is available, the risk that NZU prices become politically unacceptably high leading to intervention. In both cases the longer term NZ ETS policy would be undermined.</w:t>
      </w:r>
      <w:r w:rsidRPr="00C540C3">
        <w:rPr>
          <w:sz w:val="21"/>
          <w:szCs w:val="21"/>
        </w:rPr>
        <w:t>”</w:t>
      </w:r>
      <w:r w:rsidR="00335E37" w:rsidRPr="00C540C3">
        <w:rPr>
          <w:sz w:val="21"/>
          <w:szCs w:val="21"/>
        </w:rPr>
        <w:t xml:space="preserve"> (</w:t>
      </w:r>
      <w:proofErr w:type="spellStart"/>
      <w:r w:rsidR="00335E37" w:rsidRPr="00C540C3">
        <w:rPr>
          <w:sz w:val="21"/>
          <w:szCs w:val="21"/>
        </w:rPr>
        <w:t>Ballance</w:t>
      </w:r>
      <w:proofErr w:type="spellEnd"/>
      <w:r w:rsidR="00335E37" w:rsidRPr="00C540C3">
        <w:rPr>
          <w:sz w:val="21"/>
          <w:szCs w:val="21"/>
        </w:rPr>
        <w:t xml:space="preserve"> </w:t>
      </w:r>
      <w:proofErr w:type="spellStart"/>
      <w:r w:rsidR="00335E37" w:rsidRPr="00C540C3">
        <w:rPr>
          <w:sz w:val="21"/>
          <w:szCs w:val="21"/>
        </w:rPr>
        <w:t>Agrinutrients</w:t>
      </w:r>
      <w:proofErr w:type="spellEnd"/>
      <w:r w:rsidR="007B7E74">
        <w:rPr>
          <w:sz w:val="21"/>
          <w:szCs w:val="21"/>
        </w:rPr>
        <w:t xml:space="preserve">, </w:t>
      </w:r>
      <w:r w:rsidR="007B7E74" w:rsidRPr="007B7E74">
        <w:rPr>
          <w:sz w:val="21"/>
          <w:szCs w:val="21"/>
        </w:rPr>
        <w:t>00074</w:t>
      </w:r>
      <w:r w:rsidR="00335E37" w:rsidRPr="00C540C3">
        <w:rPr>
          <w:sz w:val="21"/>
          <w:szCs w:val="21"/>
        </w:rPr>
        <w:t>)</w:t>
      </w:r>
    </w:p>
    <w:p w:rsidR="000E0717" w:rsidRDefault="000E0717" w:rsidP="000E0717">
      <w:pPr>
        <w:pStyle w:val="Heading4"/>
      </w:pPr>
      <w:r>
        <w:lastRenderedPageBreak/>
        <w:t>Auctioning for price transparency</w:t>
      </w:r>
    </w:p>
    <w:p w:rsidR="000E0717" w:rsidRDefault="000E0717" w:rsidP="000E0717">
      <w:pPr>
        <w:pStyle w:val="BodyText"/>
      </w:pPr>
      <w:r>
        <w:t>A common suggestion from those who suggested other roles for auctioning was that auctioning wo</w:t>
      </w:r>
      <w:r w:rsidR="00945D56">
        <w:t>uld i</w:t>
      </w:r>
      <w:r w:rsidR="00EF2933">
        <w:t>mprove</w:t>
      </w:r>
      <w:r w:rsidR="00945D56">
        <w:t xml:space="preserve"> price </w:t>
      </w:r>
      <w:r>
        <w:t>discovery</w:t>
      </w:r>
      <w:r w:rsidR="003E5369">
        <w:t xml:space="preserve"> and</w:t>
      </w:r>
      <w:r w:rsidR="00EF2933">
        <w:t xml:space="preserve"> increase</w:t>
      </w:r>
      <w:r w:rsidR="003E5369">
        <w:t xml:space="preserve"> transparency in the market. Some of these submitters </w:t>
      </w:r>
      <w:r>
        <w:t>not</w:t>
      </w:r>
      <w:r w:rsidR="003E5369">
        <w:t>ed</w:t>
      </w:r>
      <w:r>
        <w:t xml:space="preserve"> </w:t>
      </w:r>
      <w:r w:rsidR="003E5369">
        <w:t xml:space="preserve">this </w:t>
      </w:r>
      <w:r>
        <w:t xml:space="preserve">would </w:t>
      </w:r>
      <w:r w:rsidR="003E5369">
        <w:t xml:space="preserve">help </w:t>
      </w:r>
      <w:r>
        <w:t xml:space="preserve">signal the marginal cost of abatement. Several </w:t>
      </w:r>
      <w:r w:rsidR="003E5369">
        <w:t xml:space="preserve">submitters </w:t>
      </w:r>
      <w:r>
        <w:t xml:space="preserve">also suggested </w:t>
      </w:r>
      <w:r w:rsidR="00945D56">
        <w:t xml:space="preserve">auctioning </w:t>
      </w:r>
      <w:r>
        <w:t xml:space="preserve">could be used to reduce the risk of the NZ ETS having too many international units. </w:t>
      </w:r>
    </w:p>
    <w:p w:rsidR="005B0EB3" w:rsidRPr="00C540C3" w:rsidRDefault="003E5369" w:rsidP="00C540C3">
      <w:pPr>
        <w:pStyle w:val="Quote"/>
        <w:ind w:left="567" w:right="567"/>
        <w:rPr>
          <w:sz w:val="21"/>
        </w:rPr>
      </w:pPr>
      <w:r w:rsidRPr="00C540C3">
        <w:rPr>
          <w:sz w:val="21"/>
        </w:rPr>
        <w:t>“</w:t>
      </w:r>
      <w:r w:rsidR="000E0717" w:rsidRPr="00C540C3">
        <w:rPr>
          <w:sz w:val="21"/>
        </w:rPr>
        <w:t>A secondary objective of auctioning or international unit mechanisms should be to bring increased price transparency into the market via access to a more liquid price index. Currently the only source of market pricing for the NZ ETS is through broker quotes. While broker quotes can give a relatively independent indication of market price at a point in time, settlement prices cannot be used to fairly set an appropriate index…Providing a transparent and independent marker via an average auction price and/or exchange traded price for international units, would provide for more a transparent and representative reference price to be set.</w:t>
      </w:r>
      <w:r w:rsidRPr="00C540C3">
        <w:rPr>
          <w:sz w:val="21"/>
        </w:rPr>
        <w:t>”</w:t>
      </w:r>
      <w:r w:rsidR="000E0717" w:rsidRPr="00C540C3">
        <w:rPr>
          <w:sz w:val="21"/>
        </w:rPr>
        <w:t xml:space="preserve"> </w:t>
      </w:r>
      <w:r w:rsidR="005B0EB3" w:rsidRPr="00C540C3">
        <w:rPr>
          <w:sz w:val="21"/>
        </w:rPr>
        <w:t>(BP Oil N</w:t>
      </w:r>
      <w:r w:rsidR="005977A0">
        <w:rPr>
          <w:sz w:val="21"/>
        </w:rPr>
        <w:t xml:space="preserve">ew </w:t>
      </w:r>
      <w:r w:rsidR="005B0EB3" w:rsidRPr="00C540C3">
        <w:rPr>
          <w:sz w:val="21"/>
        </w:rPr>
        <w:t>Z</w:t>
      </w:r>
      <w:r w:rsidR="005977A0">
        <w:rPr>
          <w:sz w:val="21"/>
        </w:rPr>
        <w:t>ealand, 00135</w:t>
      </w:r>
      <w:r w:rsidR="005B0EB3" w:rsidRPr="00C540C3">
        <w:rPr>
          <w:sz w:val="21"/>
        </w:rPr>
        <w:t>)</w:t>
      </w:r>
    </w:p>
    <w:p w:rsidR="005B0EB3" w:rsidRPr="005B0EB3" w:rsidRDefault="003E5369" w:rsidP="005B0EB3">
      <w:pPr>
        <w:pStyle w:val="Heading4"/>
      </w:pPr>
      <w:r>
        <w:t>The need for c</w:t>
      </w:r>
      <w:r w:rsidR="005B0EB3">
        <w:t xml:space="preserve">lear communication </w:t>
      </w:r>
      <w:r>
        <w:t xml:space="preserve">about </w:t>
      </w:r>
      <w:r w:rsidR="005B0EB3">
        <w:t>the role of auctioning</w:t>
      </w:r>
    </w:p>
    <w:p w:rsidR="00D215C5" w:rsidRDefault="00D215C5" w:rsidP="00D215C5">
      <w:pPr>
        <w:pStyle w:val="BodyText"/>
      </w:pPr>
      <w:r>
        <w:t xml:space="preserve">Several submitters, regardless of the role they thought auctioning should have, noted the importance of </w:t>
      </w:r>
      <w:r w:rsidR="003E5369">
        <w:t xml:space="preserve">the Government </w:t>
      </w:r>
      <w:r>
        <w:t>clear</w:t>
      </w:r>
      <w:r w:rsidR="003E5369">
        <w:t>ly communicating any</w:t>
      </w:r>
      <w:r>
        <w:t xml:space="preserve"> purpose </w:t>
      </w:r>
      <w:r w:rsidR="003E5369">
        <w:t xml:space="preserve">or role </w:t>
      </w:r>
      <w:r>
        <w:t>of auctioning</w:t>
      </w:r>
      <w:r w:rsidR="003E5369">
        <w:t xml:space="preserve"> in the NZ ETS</w:t>
      </w:r>
      <w:r>
        <w:t xml:space="preserve">. </w:t>
      </w:r>
      <w:r w:rsidR="003E5369">
        <w:t>R</w:t>
      </w:r>
      <w:r>
        <w:t>ecommendations</w:t>
      </w:r>
      <w:r w:rsidR="003E5369">
        <w:t xml:space="preserve"> from submitters included </w:t>
      </w:r>
      <w:r>
        <w:t xml:space="preserve">that </w:t>
      </w:r>
      <w:r w:rsidR="00557EFF">
        <w:t xml:space="preserve">an </w:t>
      </w:r>
      <w:r w:rsidR="003E5369">
        <w:t xml:space="preserve">auction </w:t>
      </w:r>
      <w:r w:rsidR="004F4D03">
        <w:t>function</w:t>
      </w:r>
      <w:r w:rsidR="003623A4">
        <w:t xml:space="preserve"> </w:t>
      </w:r>
      <w:r>
        <w:t>should be t</w:t>
      </w:r>
      <w:r w:rsidR="00945D56">
        <w:t xml:space="preserve">ransparent and simple in design, </w:t>
      </w:r>
      <w:r>
        <w:t xml:space="preserve">have </w:t>
      </w:r>
      <w:r w:rsidR="004F4D03">
        <w:t xml:space="preserve">any </w:t>
      </w:r>
      <w:r>
        <w:t>rules communicated in advance and have a clear</w:t>
      </w:r>
      <w:r w:rsidR="00945D56">
        <w:t>ly indicated</w:t>
      </w:r>
      <w:r>
        <w:t xml:space="preserve"> timeframe. </w:t>
      </w:r>
    </w:p>
    <w:p w:rsidR="00D215C5" w:rsidRPr="00C540C3" w:rsidRDefault="004F4D03" w:rsidP="00C540C3">
      <w:pPr>
        <w:pStyle w:val="Quote"/>
        <w:ind w:left="567" w:right="567"/>
        <w:rPr>
          <w:sz w:val="21"/>
        </w:rPr>
      </w:pPr>
      <w:r w:rsidRPr="00C540C3">
        <w:rPr>
          <w:sz w:val="21"/>
        </w:rPr>
        <w:t>“</w:t>
      </w:r>
      <w:r w:rsidR="00D215C5" w:rsidRPr="00C540C3">
        <w:rPr>
          <w:sz w:val="21"/>
        </w:rPr>
        <w:t>…an ideal auctioning method should follow these principles: Be open, transparent and simple; The bulk of the proceeds must be recycled to further the environmental objective; Provide long-term regulatory predictability; Be periodic, timetabled and coordinated; Cause no large distributive effects; Be implemented gradually; Take into account the need for new investment; Auctioning revenues should be reinvested for climate related purposed and to help ETS sectors.</w:t>
      </w:r>
      <w:r w:rsidRPr="00C540C3">
        <w:rPr>
          <w:sz w:val="21"/>
        </w:rPr>
        <w:t>”</w:t>
      </w:r>
      <w:r w:rsidR="00D215C5" w:rsidRPr="00C540C3">
        <w:rPr>
          <w:sz w:val="21"/>
        </w:rPr>
        <w:t xml:space="preserve"> (International Emissions Trading Association</w:t>
      </w:r>
      <w:r w:rsidRPr="00C540C3">
        <w:rPr>
          <w:sz w:val="21"/>
        </w:rPr>
        <w:t xml:space="preserve">, </w:t>
      </w:r>
      <w:r w:rsidR="00605B1B">
        <w:rPr>
          <w:sz w:val="21"/>
        </w:rPr>
        <w:t>04006</w:t>
      </w:r>
      <w:r w:rsidR="00D215C5" w:rsidRPr="00C540C3">
        <w:rPr>
          <w:sz w:val="21"/>
        </w:rPr>
        <w:t xml:space="preserve">) </w:t>
      </w:r>
    </w:p>
    <w:p w:rsidR="000F5A2A" w:rsidRPr="00231D5A" w:rsidRDefault="00465B2E" w:rsidP="000F5A2A">
      <w:pPr>
        <w:pStyle w:val="Tableheading"/>
      </w:pPr>
      <w:bookmarkStart w:id="46" w:name="_Toc463270170"/>
      <w:r>
        <w:t>Table 6</w:t>
      </w:r>
      <w:r w:rsidR="000F5A2A" w:rsidRPr="003E0D3B">
        <w:t xml:space="preserve">: </w:t>
      </w:r>
      <w:r w:rsidR="000F5A2A" w:rsidRPr="003E0D3B">
        <w:tab/>
      </w:r>
      <w:r w:rsidR="00B556C0" w:rsidRPr="003E0D3B">
        <w:t>Submitter</w:t>
      </w:r>
      <w:r w:rsidR="000F5A2A" w:rsidRPr="003E0D3B">
        <w:t xml:space="preserve"> positions – </w:t>
      </w:r>
      <w:r w:rsidR="008E6461" w:rsidRPr="003E0D3B">
        <w:rPr>
          <w:i/>
        </w:rPr>
        <w:t>What should be the role or purpose of an auctioning function in the NZ ETS, if one were introduced?</w:t>
      </w:r>
      <w:bookmarkEnd w:id="46"/>
      <w:r w:rsidR="00B85D2E" w:rsidRPr="00B85D2E">
        <w:rPr>
          <w:sz w:val="22"/>
        </w:rPr>
        <w:t xml:space="preserve"> </w:t>
      </w:r>
    </w:p>
    <w:tbl>
      <w:tblPr>
        <w:tblW w:w="9541" w:type="dxa"/>
        <w:tblInd w:w="93" w:type="dxa"/>
        <w:tblLayout w:type="fixed"/>
        <w:tblLook w:val="04A0" w:firstRow="1" w:lastRow="0" w:firstColumn="1" w:lastColumn="0" w:noHBand="0" w:noVBand="1"/>
      </w:tblPr>
      <w:tblGrid>
        <w:gridCol w:w="3326"/>
        <w:gridCol w:w="1035"/>
        <w:gridCol w:w="1036"/>
        <w:gridCol w:w="1036"/>
        <w:gridCol w:w="1036"/>
        <w:gridCol w:w="1036"/>
        <w:gridCol w:w="1036"/>
      </w:tblGrid>
      <w:tr w:rsidR="00B85D2E" w:rsidRPr="00231D5A" w:rsidTr="003E0D3B">
        <w:trPr>
          <w:trHeight w:val="300"/>
        </w:trPr>
        <w:tc>
          <w:tcPr>
            <w:tcW w:w="3326" w:type="dxa"/>
            <w:tcBorders>
              <w:top w:val="nil"/>
              <w:left w:val="nil"/>
              <w:bottom w:val="single" w:sz="4" w:space="0" w:color="005984"/>
              <w:right w:val="single" w:sz="4" w:space="0" w:color="005984"/>
            </w:tcBorders>
            <w:noWrap/>
            <w:vAlign w:val="bottom"/>
            <w:hideMark/>
          </w:tcPr>
          <w:p w:rsidR="00B85D2E" w:rsidRPr="00231D5A" w:rsidRDefault="00B85D2E" w:rsidP="000F5A2A">
            <w:pPr>
              <w:spacing w:before="0" w:after="0"/>
              <w:rPr>
                <w:rFonts w:ascii="Times New Roman" w:hAnsi="Times New Roman" w:cs="Times New Roman"/>
                <w:sz w:val="20"/>
                <w:szCs w:val="20"/>
                <w:lang w:eastAsia="en-NZ"/>
              </w:rPr>
            </w:pPr>
          </w:p>
        </w:tc>
        <w:tc>
          <w:tcPr>
            <w:tcW w:w="1035"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B85D2E" w:rsidRPr="00231D5A" w:rsidRDefault="00B85D2E" w:rsidP="00164907">
            <w:pPr>
              <w:pStyle w:val="TableTextbold"/>
              <w:jc w:val="center"/>
              <w:rPr>
                <w:color w:val="FFFFFF"/>
                <w:lang w:eastAsia="en-NZ"/>
              </w:rPr>
            </w:pPr>
            <w:r>
              <w:rPr>
                <w:color w:val="FFFFFF"/>
                <w:lang w:eastAsia="en-NZ"/>
              </w:rPr>
              <w:t>To both align supply and more actively manage NZU price</w:t>
            </w:r>
          </w:p>
        </w:tc>
        <w:tc>
          <w:tcPr>
            <w:tcW w:w="1036"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B85D2E" w:rsidRPr="00231D5A" w:rsidRDefault="00B85D2E" w:rsidP="00151153">
            <w:pPr>
              <w:pStyle w:val="TableTextbold"/>
              <w:jc w:val="center"/>
              <w:rPr>
                <w:color w:val="FFFFFF"/>
                <w:lang w:eastAsia="en-NZ"/>
              </w:rPr>
            </w:pPr>
            <w:r>
              <w:rPr>
                <w:color w:val="FFFFFF"/>
                <w:lang w:eastAsia="en-NZ"/>
              </w:rPr>
              <w:t>Align supply</w:t>
            </w:r>
          </w:p>
        </w:tc>
        <w:tc>
          <w:tcPr>
            <w:tcW w:w="1036" w:type="dxa"/>
            <w:tcBorders>
              <w:top w:val="single" w:sz="4" w:space="0" w:color="005984"/>
              <w:left w:val="single" w:sz="4" w:space="0" w:color="005984"/>
              <w:bottom w:val="single" w:sz="4" w:space="0" w:color="005984"/>
              <w:right w:val="nil"/>
            </w:tcBorders>
            <w:shd w:val="clear" w:color="auto" w:fill="005984"/>
            <w:noWrap/>
            <w:vAlign w:val="center"/>
            <w:hideMark/>
          </w:tcPr>
          <w:p w:rsidR="00B85D2E" w:rsidRPr="00231D5A" w:rsidRDefault="00B85D2E" w:rsidP="00151153">
            <w:pPr>
              <w:pStyle w:val="TableTextbold"/>
              <w:jc w:val="center"/>
              <w:rPr>
                <w:color w:val="FFFFFF"/>
                <w:lang w:eastAsia="en-NZ"/>
              </w:rPr>
            </w:pPr>
            <w:r>
              <w:rPr>
                <w:color w:val="FFFFFF"/>
                <w:lang w:eastAsia="en-NZ"/>
              </w:rPr>
              <w:t>More actively manage NZU price</w:t>
            </w:r>
          </w:p>
        </w:tc>
        <w:tc>
          <w:tcPr>
            <w:tcW w:w="1036" w:type="dxa"/>
            <w:tcBorders>
              <w:top w:val="single" w:sz="4" w:space="0" w:color="005984"/>
              <w:left w:val="single" w:sz="4" w:space="0" w:color="005984"/>
              <w:bottom w:val="single" w:sz="4" w:space="0" w:color="005984"/>
              <w:right w:val="single" w:sz="4" w:space="0" w:color="005984"/>
            </w:tcBorders>
            <w:shd w:val="clear" w:color="auto" w:fill="005984"/>
            <w:vAlign w:val="center"/>
            <w:hideMark/>
          </w:tcPr>
          <w:p w:rsidR="00B85D2E" w:rsidRPr="00231D5A" w:rsidRDefault="00B85D2E" w:rsidP="00151153">
            <w:pPr>
              <w:pStyle w:val="TableTextbold"/>
              <w:jc w:val="center"/>
              <w:rPr>
                <w:color w:val="FFFFFF"/>
                <w:lang w:eastAsia="en-NZ"/>
              </w:rPr>
            </w:pPr>
            <w:r>
              <w:rPr>
                <w:color w:val="FFFFFF"/>
                <w:lang w:eastAsia="en-NZ"/>
              </w:rPr>
              <w:t>Other</w:t>
            </w:r>
          </w:p>
        </w:tc>
        <w:tc>
          <w:tcPr>
            <w:tcW w:w="1036" w:type="dxa"/>
            <w:tcBorders>
              <w:top w:val="single" w:sz="4" w:space="0" w:color="005984"/>
              <w:left w:val="single" w:sz="4" w:space="0" w:color="005984"/>
              <w:bottom w:val="single" w:sz="4" w:space="0" w:color="005984"/>
              <w:right w:val="single" w:sz="4" w:space="0" w:color="005984"/>
            </w:tcBorders>
            <w:shd w:val="clear" w:color="auto" w:fill="005984"/>
            <w:vAlign w:val="center"/>
          </w:tcPr>
          <w:p w:rsidR="00B85D2E" w:rsidRPr="00231D5A" w:rsidRDefault="00B85D2E" w:rsidP="009060FB">
            <w:pPr>
              <w:pStyle w:val="TableTextbold"/>
              <w:jc w:val="center"/>
              <w:rPr>
                <w:color w:val="FFFFFF"/>
                <w:lang w:eastAsia="en-NZ"/>
              </w:rPr>
            </w:pPr>
            <w:r>
              <w:rPr>
                <w:color w:val="FFFFFF"/>
                <w:lang w:eastAsia="en-NZ"/>
              </w:rPr>
              <w:t>Unsure/</w:t>
            </w:r>
            <w:r w:rsidR="004B3DB7">
              <w:rPr>
                <w:color w:val="FFFFFF"/>
                <w:lang w:eastAsia="en-NZ"/>
              </w:rPr>
              <w:t xml:space="preserve"> </w:t>
            </w:r>
            <w:r>
              <w:rPr>
                <w:color w:val="FFFFFF"/>
                <w:lang w:eastAsia="en-NZ"/>
              </w:rPr>
              <w:t>unclear</w:t>
            </w:r>
          </w:p>
        </w:tc>
        <w:tc>
          <w:tcPr>
            <w:tcW w:w="1036" w:type="dxa"/>
            <w:tcBorders>
              <w:top w:val="single" w:sz="4" w:space="0" w:color="005984"/>
              <w:left w:val="single" w:sz="4" w:space="0" w:color="005984"/>
              <w:bottom w:val="single" w:sz="4" w:space="0" w:color="005984"/>
              <w:right w:val="nil"/>
            </w:tcBorders>
            <w:shd w:val="clear" w:color="auto" w:fill="005984"/>
            <w:vAlign w:val="center"/>
            <w:hideMark/>
          </w:tcPr>
          <w:p w:rsidR="00B85D2E" w:rsidRPr="00231D5A" w:rsidRDefault="00B85D2E" w:rsidP="009060FB">
            <w:pPr>
              <w:pStyle w:val="TableTextbold"/>
              <w:jc w:val="center"/>
              <w:rPr>
                <w:color w:val="FFFFFF"/>
                <w:lang w:eastAsia="en-NZ"/>
              </w:rPr>
            </w:pPr>
            <w:r w:rsidRPr="00231D5A">
              <w:rPr>
                <w:color w:val="FFFFFF"/>
                <w:lang w:eastAsia="en-NZ"/>
              </w:rPr>
              <w:t>Total</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 xml:space="preserve">Agriculture </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5</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Business groups</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4B3DB7" w:rsidP="003E0D3B">
            <w:pPr>
              <w:pStyle w:val="TableText"/>
              <w:spacing w:before="50" w:after="50"/>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3</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 xml:space="preserve">Electricity </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4B3DB7" w:rsidP="003E0D3B">
            <w:pPr>
              <w:pStyle w:val="TableText"/>
              <w:spacing w:before="50" w:after="50"/>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5</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 xml:space="preserve">Forestry </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3</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7</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3</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8</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23</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Individual</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3</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6</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4</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3</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18</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 xml:space="preserve">Industrial processors </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3</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8</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Iwi/Māori</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5</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 xml:space="preserve">Liquid fossil fuels </w:t>
            </w:r>
            <w:r>
              <w:rPr>
                <w:lang w:eastAsia="en-NZ"/>
              </w:rPr>
              <w:t>(transport)</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4B3DB7" w:rsidP="003E0D3B">
            <w:pPr>
              <w:pStyle w:val="TableText"/>
              <w:spacing w:before="50" w:after="50"/>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4B3DB7" w:rsidP="003E0D3B">
            <w:pPr>
              <w:pStyle w:val="TableText"/>
              <w:spacing w:before="50" w:after="50"/>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3</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Local government</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4B3DB7" w:rsidP="003E0D3B">
            <w:pPr>
              <w:pStyle w:val="TableText"/>
              <w:spacing w:before="50" w:after="50"/>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4B3DB7" w:rsidP="003E0D3B">
            <w:pPr>
              <w:pStyle w:val="TableText"/>
              <w:spacing w:before="50" w:after="50"/>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1</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NGO and community groups</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4</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4B3DB7" w:rsidP="003E0D3B">
            <w:pPr>
              <w:pStyle w:val="TableText"/>
              <w:spacing w:before="50" w:after="50"/>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4B3DB7" w:rsidP="003E0D3B">
            <w:pPr>
              <w:pStyle w:val="TableText"/>
              <w:spacing w:before="50" w:after="50"/>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7</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lastRenderedPageBreak/>
              <w:t>Research and tertiary organisations</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4B3DB7" w:rsidP="003E0D3B">
            <w:pPr>
              <w:pStyle w:val="TableText"/>
              <w:spacing w:before="50" w:after="50"/>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4</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 xml:space="preserve">Stationary energy </w:t>
            </w:r>
            <w:r>
              <w:rPr>
                <w:lang w:eastAsia="en-NZ"/>
              </w:rPr>
              <w:t>(excluding electricity)</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2</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4B3DB7" w:rsidP="003E0D3B">
            <w:pPr>
              <w:pStyle w:val="TableText"/>
              <w:spacing w:before="50" w:after="50"/>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6</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Waste sector</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4</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4B3DB7" w:rsidP="003E0D3B">
            <w:pPr>
              <w:pStyle w:val="TableText"/>
              <w:spacing w:before="50" w:after="50"/>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6</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Wood processors</w:t>
            </w:r>
            <w:r>
              <w:rPr>
                <w:lang w:eastAsia="en-NZ"/>
              </w:rPr>
              <w:t xml:space="preserve"> and manufacturers</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4B3DB7" w:rsidP="003E0D3B">
            <w:pPr>
              <w:pStyle w:val="TableText"/>
              <w:spacing w:before="50" w:after="50"/>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4B3DB7" w:rsidP="003E0D3B">
            <w:pPr>
              <w:pStyle w:val="TableText"/>
              <w:spacing w:before="50" w:after="50"/>
              <w:jc w:val="center"/>
              <w:rPr>
                <w:lang w:eastAsia="en-NZ"/>
              </w:rPr>
            </w:pPr>
            <w:r>
              <w:rPr>
                <w:lang w:eastAsia="en-NZ"/>
              </w:rPr>
              <w:t>0</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1</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C76622" w:rsidRDefault="00B85D2E" w:rsidP="003E0D3B">
            <w:pPr>
              <w:pStyle w:val="TableText"/>
              <w:spacing w:before="50" w:after="50"/>
              <w:rPr>
                <w:lang w:eastAsia="en-NZ"/>
              </w:rPr>
            </w:pPr>
            <w:r w:rsidRPr="00C76622">
              <w:rPr>
                <w:lang w:eastAsia="en-NZ"/>
              </w:rPr>
              <w:t>Other</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3</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231D5A" w:rsidRDefault="00B85D2E" w:rsidP="003E0D3B">
            <w:pPr>
              <w:pStyle w:val="TableText"/>
              <w:spacing w:before="50" w:after="50"/>
              <w:jc w:val="center"/>
              <w:rPr>
                <w:lang w:eastAsia="en-NZ"/>
              </w:rPr>
            </w:pPr>
            <w:r w:rsidRPr="003E0D3B">
              <w:rPr>
                <w:lang w:eastAsia="en-NZ"/>
              </w:rPr>
              <w:t>0</w:t>
            </w:r>
          </w:p>
        </w:tc>
        <w:tc>
          <w:tcPr>
            <w:tcW w:w="1036" w:type="dxa"/>
            <w:tcBorders>
              <w:top w:val="single" w:sz="4" w:space="0" w:color="005984"/>
              <w:left w:val="single" w:sz="4" w:space="0" w:color="005984"/>
              <w:bottom w:val="single" w:sz="4" w:space="0" w:color="005984"/>
              <w:right w:val="nil"/>
            </w:tcBorders>
            <w:noWrap/>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3</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231D5A" w:rsidRDefault="00B85D2E" w:rsidP="003E0D3B">
            <w:pPr>
              <w:pStyle w:val="TableText"/>
              <w:spacing w:before="50" w:after="50"/>
              <w:jc w:val="center"/>
              <w:rPr>
                <w:lang w:eastAsia="en-NZ"/>
              </w:rPr>
            </w:pPr>
            <w:r w:rsidRPr="003E0D3B">
              <w:rPr>
                <w:lang w:eastAsia="en-NZ"/>
              </w:rPr>
              <w:t>1</w:t>
            </w:r>
          </w:p>
        </w:tc>
        <w:tc>
          <w:tcPr>
            <w:tcW w:w="1036" w:type="dxa"/>
            <w:tcBorders>
              <w:top w:val="single" w:sz="4" w:space="0" w:color="005984"/>
              <w:left w:val="single" w:sz="4" w:space="0" w:color="005984"/>
              <w:bottom w:val="single" w:sz="4" w:space="0" w:color="005984"/>
              <w:right w:val="nil"/>
            </w:tcBorders>
            <w:vAlign w:val="bottom"/>
          </w:tcPr>
          <w:p w:rsidR="00B85D2E" w:rsidRPr="00231D5A" w:rsidRDefault="00B85D2E" w:rsidP="003E0D3B">
            <w:pPr>
              <w:pStyle w:val="TableText"/>
              <w:spacing w:before="50" w:after="50"/>
              <w:jc w:val="center"/>
              <w:rPr>
                <w:lang w:eastAsia="en-NZ"/>
              </w:rPr>
            </w:pPr>
            <w:r w:rsidRPr="003E0D3B">
              <w:rPr>
                <w:lang w:eastAsia="en-NZ"/>
              </w:rPr>
              <w:t>8</w:t>
            </w:r>
          </w:p>
        </w:tc>
      </w:tr>
      <w:tr w:rsidR="00B85D2E" w:rsidRPr="00231D5A" w:rsidTr="003E0D3B">
        <w:trPr>
          <w:trHeight w:val="300"/>
        </w:trPr>
        <w:tc>
          <w:tcPr>
            <w:tcW w:w="3326" w:type="dxa"/>
            <w:tcBorders>
              <w:top w:val="single" w:sz="4" w:space="0" w:color="005984"/>
              <w:left w:val="nil"/>
              <w:bottom w:val="single" w:sz="4" w:space="0" w:color="005984"/>
              <w:right w:val="single" w:sz="4" w:space="0" w:color="005984"/>
            </w:tcBorders>
            <w:noWrap/>
            <w:vAlign w:val="center"/>
          </w:tcPr>
          <w:p w:rsidR="00B85D2E" w:rsidRPr="003E0D3B" w:rsidRDefault="00B85D2E" w:rsidP="003E0D3B">
            <w:pPr>
              <w:pStyle w:val="TableText"/>
              <w:spacing w:before="50" w:after="50"/>
              <w:rPr>
                <w:lang w:eastAsia="en-NZ"/>
              </w:rPr>
            </w:pPr>
            <w:r w:rsidRPr="003E0D3B">
              <w:rPr>
                <w:lang w:eastAsia="en-NZ"/>
              </w:rPr>
              <w:t>TOTAL</w:t>
            </w:r>
          </w:p>
        </w:tc>
        <w:tc>
          <w:tcPr>
            <w:tcW w:w="1035" w:type="dxa"/>
            <w:tcBorders>
              <w:top w:val="single" w:sz="4" w:space="0" w:color="005984"/>
              <w:left w:val="single" w:sz="4" w:space="0" w:color="005984"/>
              <w:bottom w:val="single" w:sz="4" w:space="0" w:color="005984"/>
              <w:right w:val="single" w:sz="4" w:space="0" w:color="005984"/>
            </w:tcBorders>
            <w:noWrap/>
            <w:vAlign w:val="bottom"/>
          </w:tcPr>
          <w:p w:rsidR="00B85D2E" w:rsidRPr="003E0D3B" w:rsidRDefault="00B85D2E" w:rsidP="003E0D3B">
            <w:pPr>
              <w:pStyle w:val="TableText"/>
              <w:spacing w:before="50" w:after="50"/>
              <w:jc w:val="center"/>
              <w:rPr>
                <w:b/>
                <w:lang w:eastAsia="en-NZ"/>
              </w:rPr>
            </w:pPr>
            <w:r w:rsidRPr="003E0D3B">
              <w:rPr>
                <w:b/>
                <w:lang w:eastAsia="en-NZ"/>
              </w:rPr>
              <w:t>25</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B85D2E" w:rsidRPr="003E0D3B" w:rsidRDefault="00B85D2E" w:rsidP="003E0D3B">
            <w:pPr>
              <w:pStyle w:val="TableText"/>
              <w:spacing w:before="50" w:after="50"/>
              <w:jc w:val="center"/>
              <w:rPr>
                <w:b/>
                <w:lang w:eastAsia="en-NZ"/>
              </w:rPr>
            </w:pPr>
            <w:r w:rsidRPr="003E0D3B">
              <w:rPr>
                <w:b/>
                <w:lang w:eastAsia="en-NZ"/>
              </w:rPr>
              <w:t>20</w:t>
            </w:r>
          </w:p>
        </w:tc>
        <w:tc>
          <w:tcPr>
            <w:tcW w:w="1036" w:type="dxa"/>
            <w:tcBorders>
              <w:top w:val="single" w:sz="4" w:space="0" w:color="005984"/>
              <w:left w:val="single" w:sz="4" w:space="0" w:color="005984"/>
              <w:bottom w:val="single" w:sz="4" w:space="0" w:color="005984"/>
              <w:right w:val="nil"/>
            </w:tcBorders>
            <w:noWrap/>
            <w:vAlign w:val="bottom"/>
          </w:tcPr>
          <w:p w:rsidR="00B85D2E" w:rsidRPr="003E0D3B" w:rsidRDefault="00B85D2E" w:rsidP="003E0D3B">
            <w:pPr>
              <w:pStyle w:val="TableText"/>
              <w:spacing w:before="50" w:after="50"/>
              <w:jc w:val="center"/>
              <w:rPr>
                <w:b/>
                <w:lang w:eastAsia="en-NZ"/>
              </w:rPr>
            </w:pPr>
            <w:r w:rsidRPr="003E0D3B">
              <w:rPr>
                <w:b/>
                <w:lang w:eastAsia="en-NZ"/>
              </w:rPr>
              <w:t>20</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3E0D3B" w:rsidRDefault="00B85D2E" w:rsidP="003E0D3B">
            <w:pPr>
              <w:pStyle w:val="TableText"/>
              <w:spacing w:before="50" w:after="50"/>
              <w:jc w:val="center"/>
              <w:rPr>
                <w:b/>
                <w:lang w:eastAsia="en-NZ"/>
              </w:rPr>
            </w:pPr>
            <w:r w:rsidRPr="003E0D3B">
              <w:rPr>
                <w:b/>
                <w:lang w:eastAsia="en-NZ"/>
              </w:rPr>
              <w:t>22</w:t>
            </w:r>
          </w:p>
        </w:tc>
        <w:tc>
          <w:tcPr>
            <w:tcW w:w="1036" w:type="dxa"/>
            <w:tcBorders>
              <w:top w:val="single" w:sz="4" w:space="0" w:color="005984"/>
              <w:left w:val="single" w:sz="4" w:space="0" w:color="005984"/>
              <w:bottom w:val="single" w:sz="4" w:space="0" w:color="005984"/>
              <w:right w:val="single" w:sz="4" w:space="0" w:color="005984"/>
            </w:tcBorders>
            <w:vAlign w:val="bottom"/>
          </w:tcPr>
          <w:p w:rsidR="00B85D2E" w:rsidRPr="003E0D3B" w:rsidRDefault="00B85D2E" w:rsidP="003E0D3B">
            <w:pPr>
              <w:pStyle w:val="TableText"/>
              <w:spacing w:before="50" w:after="50"/>
              <w:jc w:val="center"/>
              <w:rPr>
                <w:b/>
                <w:lang w:eastAsia="en-NZ"/>
              </w:rPr>
            </w:pPr>
            <w:r w:rsidRPr="003E0D3B">
              <w:rPr>
                <w:b/>
                <w:lang w:eastAsia="en-NZ"/>
              </w:rPr>
              <w:t>16</w:t>
            </w:r>
          </w:p>
        </w:tc>
        <w:tc>
          <w:tcPr>
            <w:tcW w:w="1036" w:type="dxa"/>
            <w:tcBorders>
              <w:top w:val="single" w:sz="4" w:space="0" w:color="005984"/>
              <w:left w:val="single" w:sz="4" w:space="0" w:color="005984"/>
              <w:bottom w:val="single" w:sz="4" w:space="0" w:color="005984"/>
              <w:right w:val="nil"/>
            </w:tcBorders>
            <w:vAlign w:val="bottom"/>
          </w:tcPr>
          <w:p w:rsidR="00B85D2E" w:rsidRPr="003E0D3B" w:rsidRDefault="00B85D2E" w:rsidP="003E0D3B">
            <w:pPr>
              <w:pStyle w:val="TableText"/>
              <w:spacing w:before="50" w:after="50"/>
              <w:jc w:val="center"/>
              <w:rPr>
                <w:b/>
                <w:lang w:eastAsia="en-NZ"/>
              </w:rPr>
            </w:pPr>
            <w:r w:rsidRPr="003E0D3B">
              <w:rPr>
                <w:b/>
                <w:lang w:eastAsia="en-NZ"/>
              </w:rPr>
              <w:t>103</w:t>
            </w:r>
          </w:p>
        </w:tc>
      </w:tr>
    </w:tbl>
    <w:p w:rsidR="000F5A2A" w:rsidRDefault="000F5A2A" w:rsidP="000F5A2A">
      <w:pPr>
        <w:pStyle w:val="Figureheading"/>
      </w:pPr>
    </w:p>
    <w:p w:rsidR="000F5A2A" w:rsidRDefault="000F5A2A" w:rsidP="00650845">
      <w:pPr>
        <w:pStyle w:val="Figureheading"/>
        <w:spacing w:after="240"/>
        <w:rPr>
          <w:i/>
        </w:rPr>
      </w:pPr>
      <w:bookmarkStart w:id="47" w:name="_Toc462814466"/>
      <w:r w:rsidRPr="00C76622">
        <w:t xml:space="preserve">Figure </w:t>
      </w:r>
      <w:r w:rsidR="00AD5B83">
        <w:t>5</w:t>
      </w:r>
      <w:r w:rsidRPr="00C76622">
        <w:t xml:space="preserve">: </w:t>
      </w:r>
      <w:r w:rsidRPr="00C76622">
        <w:tab/>
      </w:r>
      <w:r w:rsidR="00B556C0">
        <w:t>Submitter</w:t>
      </w:r>
      <w:r w:rsidRPr="00C76622">
        <w:t xml:space="preserve"> positions – </w:t>
      </w:r>
      <w:r w:rsidR="008E6461" w:rsidRPr="008E6461">
        <w:rPr>
          <w:i/>
        </w:rPr>
        <w:t>What should be the role or purpose of an auctioning function in the NZ ETS, if one were introduced?</w:t>
      </w:r>
      <w:bookmarkEnd w:id="47"/>
    </w:p>
    <w:p w:rsidR="000F5A2A" w:rsidRDefault="002B582A" w:rsidP="00113656">
      <w:pPr>
        <w:pStyle w:val="BodyText"/>
        <w:spacing w:before="60"/>
        <w:jc w:val="center"/>
      </w:pPr>
      <w:r>
        <w:rPr>
          <w:noProof/>
          <w:lang w:eastAsia="en-NZ"/>
        </w:rPr>
        <w:drawing>
          <wp:inline distT="0" distB="0" distL="0" distR="0" wp14:anchorId="64692DAA">
            <wp:extent cx="5407660" cy="27495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7660" cy="2749550"/>
                    </a:xfrm>
                    <a:prstGeom prst="rect">
                      <a:avLst/>
                    </a:prstGeom>
                    <a:noFill/>
                  </pic:spPr>
                </pic:pic>
              </a:graphicData>
            </a:graphic>
          </wp:inline>
        </w:drawing>
      </w:r>
    </w:p>
    <w:p w:rsidR="00D215C5" w:rsidRDefault="0040636D" w:rsidP="00D215C5">
      <w:pPr>
        <w:pStyle w:val="Heading2"/>
        <w:spacing w:before="240"/>
      </w:pPr>
      <w:bookmarkStart w:id="48" w:name="_Toc456013885"/>
      <w:bookmarkStart w:id="49" w:name="_Toc463270137"/>
      <w:r>
        <w:t>6</w:t>
      </w:r>
      <w:r w:rsidR="00D215C5">
        <w:t xml:space="preserve">.6 </w:t>
      </w:r>
      <w:r w:rsidR="00D215C5">
        <w:tab/>
        <w:t>How should auctioned NZUs relate to other sources of unit supply in the NZ ETS, especially NZUs generated through forestry removals and/or international units? (Question 19)</w:t>
      </w:r>
      <w:bookmarkEnd w:id="48"/>
      <w:bookmarkEnd w:id="49"/>
    </w:p>
    <w:p w:rsidR="00282F94" w:rsidRPr="00C76622" w:rsidRDefault="003D195A" w:rsidP="00282F94">
      <w:pPr>
        <w:pStyle w:val="BodyText"/>
      </w:pPr>
      <w:r>
        <w:t>Eighty-eight</w:t>
      </w:r>
      <w:r w:rsidR="00282F94">
        <w:t xml:space="preserve"> submitters</w:t>
      </w:r>
      <w:r w:rsidR="0056387F">
        <w:t xml:space="preserve"> addressed this question (</w:t>
      </w:r>
      <w:r w:rsidR="00C2449D">
        <w:t>approximately</w:t>
      </w:r>
      <w:r w:rsidR="00282F94">
        <w:t xml:space="preserve"> 25 </w:t>
      </w:r>
      <w:r w:rsidR="008E24E1">
        <w:t>per cent</w:t>
      </w:r>
      <w:r w:rsidR="00282F94">
        <w:t>). Most submitters provided specific views of how auctioning NZUs should be treated</w:t>
      </w:r>
      <w:r w:rsidR="003623A4">
        <w:t>;</w:t>
      </w:r>
      <w:r w:rsidR="00282F94">
        <w:t xml:space="preserve"> however, 21 submitters were unsure or provided answers </w:t>
      </w:r>
      <w:r w:rsidR="003623A4">
        <w:t xml:space="preserve">that </w:t>
      </w:r>
      <w:r w:rsidR="00282F94">
        <w:t>did not address the question</w:t>
      </w:r>
      <w:r w:rsidR="003623A4">
        <w:t>,</w:t>
      </w:r>
      <w:r w:rsidR="00282F94">
        <w:t xml:space="preserve"> and several reiterated the view that auctioning should not be included in the NZ ETS.</w:t>
      </w:r>
    </w:p>
    <w:p w:rsidR="00D215C5" w:rsidRDefault="00D215C5" w:rsidP="00D215C5">
      <w:pPr>
        <w:pStyle w:val="Heading4"/>
      </w:pPr>
      <w:r>
        <w:t>Equal treatment</w:t>
      </w:r>
    </w:p>
    <w:p w:rsidR="00D215C5" w:rsidRDefault="0056387F" w:rsidP="00D215C5">
      <w:pPr>
        <w:pStyle w:val="BodyText"/>
      </w:pPr>
      <w:r>
        <w:t>Approx</w:t>
      </w:r>
      <w:r w:rsidR="00566631">
        <w:t>imately</w:t>
      </w:r>
      <w:r>
        <w:t xml:space="preserve"> 25 per cent</w:t>
      </w:r>
      <w:r w:rsidR="00D215C5">
        <w:t xml:space="preserve"> </w:t>
      </w:r>
      <w:r w:rsidR="005328CB" w:rsidRPr="00566C8E">
        <w:t xml:space="preserve">of submitters thought </w:t>
      </w:r>
      <w:r w:rsidR="00D215C5" w:rsidRPr="00566C8E">
        <w:t xml:space="preserve">that auctioned units and other units should be equally </w:t>
      </w:r>
      <w:r w:rsidR="003623A4" w:rsidRPr="00566C8E">
        <w:t xml:space="preserve">valid for compliance in </w:t>
      </w:r>
      <w:r w:rsidR="00D215C5" w:rsidRPr="00566C8E">
        <w:t>the NZ ETS.</w:t>
      </w:r>
      <w:r w:rsidR="00D215C5">
        <w:t xml:space="preserve"> Some submitters suggested this would reduce complexities. A few of these submitters also noted that although </w:t>
      </w:r>
      <w:r w:rsidR="00EF2933">
        <w:t xml:space="preserve">auctioned </w:t>
      </w:r>
      <w:proofErr w:type="gramStart"/>
      <w:r w:rsidR="00EF2933">
        <w:t xml:space="preserve">NZUs </w:t>
      </w:r>
      <w:r w:rsidR="005328CB">
        <w:t xml:space="preserve"> should</w:t>
      </w:r>
      <w:proofErr w:type="gramEnd"/>
      <w:r w:rsidR="005328CB">
        <w:t xml:space="preserve"> be </w:t>
      </w:r>
      <w:r w:rsidR="00D215C5">
        <w:t xml:space="preserve">treated equally, there should be some restrictions on the use of international units. </w:t>
      </w:r>
    </w:p>
    <w:p w:rsidR="00D215C5" w:rsidRPr="00811B86" w:rsidRDefault="00837A1C" w:rsidP="00811B86">
      <w:pPr>
        <w:pStyle w:val="Quote"/>
        <w:ind w:left="567" w:right="567"/>
        <w:rPr>
          <w:sz w:val="21"/>
        </w:rPr>
      </w:pPr>
      <w:r w:rsidRPr="00811B86">
        <w:rPr>
          <w:sz w:val="21"/>
        </w:rPr>
        <w:t>“</w:t>
      </w:r>
      <w:r w:rsidR="00D215C5" w:rsidRPr="00811B86">
        <w:rPr>
          <w:sz w:val="21"/>
        </w:rPr>
        <w:t xml:space="preserve">In the interests of reducing complexity, transaction costs and the potential for distorted market outcomes, it is desirable for all emissions units to be treated equally regardless of whether they are sourced from forestry, by auction, free allocation, or international market. </w:t>
      </w:r>
      <w:proofErr w:type="spellStart"/>
      <w:r w:rsidR="00D215C5" w:rsidRPr="00811B86">
        <w:rPr>
          <w:sz w:val="21"/>
        </w:rPr>
        <w:lastRenderedPageBreak/>
        <w:t>Fungibility</w:t>
      </w:r>
      <w:proofErr w:type="spellEnd"/>
      <w:r w:rsidR="00D215C5" w:rsidRPr="00811B86">
        <w:rPr>
          <w:sz w:val="21"/>
        </w:rPr>
        <w:t xml:space="preserve"> of units regardless of their source is desirable as it will help facilitate the further development of market trading mechanisms, including futures and forwards markets.</w:t>
      </w:r>
      <w:r w:rsidRPr="00811B86">
        <w:rPr>
          <w:sz w:val="21"/>
        </w:rPr>
        <w:t>”</w:t>
      </w:r>
      <w:r w:rsidR="00D215C5" w:rsidRPr="00811B86">
        <w:rPr>
          <w:sz w:val="21"/>
        </w:rPr>
        <w:t xml:space="preserve"> </w:t>
      </w:r>
      <w:r w:rsidRPr="00811B86">
        <w:rPr>
          <w:sz w:val="21"/>
        </w:rPr>
        <w:t>(</w:t>
      </w:r>
      <w:r w:rsidR="00D215C5" w:rsidRPr="00811B86">
        <w:rPr>
          <w:sz w:val="21"/>
        </w:rPr>
        <w:t>Petroleum Exploration and Production Association</w:t>
      </w:r>
      <w:r w:rsidRPr="00811B86">
        <w:rPr>
          <w:sz w:val="21"/>
        </w:rPr>
        <w:t xml:space="preserve">, </w:t>
      </w:r>
      <w:r w:rsidR="007B7E74" w:rsidRPr="00C76622">
        <w:rPr>
          <w:rFonts w:asciiTheme="minorHAnsi" w:hAnsiTheme="minorHAnsi" w:cs="Times New Roman"/>
          <w:lang w:eastAsia="en-NZ"/>
        </w:rPr>
        <w:t>00114</w:t>
      </w:r>
      <w:r w:rsidRPr="00811B86">
        <w:rPr>
          <w:sz w:val="21"/>
        </w:rPr>
        <w:t>)</w:t>
      </w:r>
    </w:p>
    <w:p w:rsidR="00D215C5" w:rsidRDefault="00D215C5" w:rsidP="00D215C5">
      <w:pPr>
        <w:pStyle w:val="Heading4"/>
      </w:pPr>
      <w:r>
        <w:t>Supplement other units</w:t>
      </w:r>
    </w:p>
    <w:p w:rsidR="00D215C5" w:rsidRDefault="00AB0C68" w:rsidP="00153E97">
      <w:pPr>
        <w:autoSpaceDE w:val="0"/>
        <w:autoSpaceDN w:val="0"/>
        <w:spacing w:after="0"/>
      </w:pPr>
      <w:r>
        <w:t>In contrast, s</w:t>
      </w:r>
      <w:r w:rsidR="00D215C5">
        <w:t xml:space="preserve">everal submitters, mainly from the forestry sector, suggested that auctioned units should </w:t>
      </w:r>
      <w:r w:rsidR="0008525D">
        <w:t xml:space="preserve">only be available for use if there </w:t>
      </w:r>
      <w:r w:rsidR="003060BE">
        <w:t>were</w:t>
      </w:r>
      <w:r w:rsidR="0008525D">
        <w:t xml:space="preserve"> insufficient</w:t>
      </w:r>
      <w:r w:rsidR="00D215C5">
        <w:t xml:space="preserve"> </w:t>
      </w:r>
      <w:r w:rsidR="00F57128">
        <w:t xml:space="preserve">supply of </w:t>
      </w:r>
      <w:r w:rsidR="00D215C5">
        <w:t>forestry units</w:t>
      </w:r>
      <w:r w:rsidR="00CB0C38">
        <w:t xml:space="preserve"> or international units</w:t>
      </w:r>
      <w:r w:rsidR="00D215C5">
        <w:t xml:space="preserve">. </w:t>
      </w:r>
      <w:r w:rsidR="003C1D66" w:rsidRPr="003C1D66">
        <w:t xml:space="preserve">A few </w:t>
      </w:r>
      <w:r w:rsidR="00153E97" w:rsidRPr="00153E97">
        <w:t>submitters</w:t>
      </w:r>
      <w:r w:rsidR="003C1D66" w:rsidRPr="003C1D66">
        <w:t xml:space="preserve"> were concerned that auctioned units do not represent emissions reductions. They </w:t>
      </w:r>
      <w:r w:rsidR="00153E97">
        <w:t>suggested that</w:t>
      </w:r>
      <w:r w:rsidR="003C1D66" w:rsidRPr="003C1D66">
        <w:t xml:space="preserve"> forestry </w:t>
      </w:r>
      <w:r w:rsidR="00153E97">
        <w:t>NZU</w:t>
      </w:r>
      <w:r w:rsidR="003C1D66" w:rsidRPr="003C1D66">
        <w:t>s</w:t>
      </w:r>
      <w:r w:rsidR="00153E97" w:rsidRPr="00153E97">
        <w:t xml:space="preserve"> </w:t>
      </w:r>
      <w:r w:rsidR="003C1D66" w:rsidRPr="003C1D66">
        <w:t>should have preferential treatment in the NZ ETS</w:t>
      </w:r>
      <w:r w:rsidR="003623A4">
        <w:t>,</w:t>
      </w:r>
      <w:r w:rsidR="00153E97" w:rsidRPr="00153E97">
        <w:t xml:space="preserve"> to support forestry investment. </w:t>
      </w:r>
      <w:r w:rsidR="003C1D66">
        <w:t xml:space="preserve">Others </w:t>
      </w:r>
      <w:r w:rsidR="00153E97">
        <w:t>noted that international units sh</w:t>
      </w:r>
      <w:r w:rsidR="003C1D66">
        <w:t>ould also be preferred over international units</w:t>
      </w:r>
      <w:r w:rsidR="00153E97">
        <w:t xml:space="preserve"> as</w:t>
      </w:r>
      <w:r w:rsidR="003C1D66">
        <w:t xml:space="preserve"> they represent real emissions reductions. </w:t>
      </w:r>
    </w:p>
    <w:p w:rsidR="00D215C5" w:rsidRPr="00811B86" w:rsidRDefault="00837A1C" w:rsidP="00811B86">
      <w:pPr>
        <w:pStyle w:val="Quote"/>
        <w:ind w:left="567" w:right="567"/>
        <w:rPr>
          <w:sz w:val="21"/>
        </w:rPr>
      </w:pPr>
      <w:r w:rsidRPr="00811B86">
        <w:rPr>
          <w:sz w:val="21"/>
        </w:rPr>
        <w:t>“</w:t>
      </w:r>
      <w:r w:rsidR="00D215C5" w:rsidRPr="00811B86">
        <w:rPr>
          <w:sz w:val="21"/>
        </w:rPr>
        <w:t>Auctioned units should be supplementary to forestry removal units and, probably, international units. Both of those units types have some impact on climate mitigation or adaptation through project-based mechanisms (tree planting = removal of carbon dioxide from the atmosphere, for example) whereas auctioned units may not be tied to any reductions or removals at all.</w:t>
      </w:r>
      <w:r w:rsidRPr="00811B86">
        <w:rPr>
          <w:sz w:val="21"/>
        </w:rPr>
        <w:t>” (</w:t>
      </w:r>
      <w:r w:rsidR="00D215C5" w:rsidRPr="00811B86">
        <w:rPr>
          <w:sz w:val="21"/>
        </w:rPr>
        <w:t>Gibbons Holdings Limited</w:t>
      </w:r>
      <w:r w:rsidRPr="00811B86">
        <w:rPr>
          <w:sz w:val="21"/>
        </w:rPr>
        <w:t xml:space="preserve">, </w:t>
      </w:r>
      <w:r w:rsidR="00605B1B">
        <w:rPr>
          <w:sz w:val="21"/>
        </w:rPr>
        <w:t>00130</w:t>
      </w:r>
      <w:r w:rsidRPr="00811B86">
        <w:rPr>
          <w:sz w:val="21"/>
        </w:rPr>
        <w:t>)</w:t>
      </w:r>
    </w:p>
    <w:p w:rsidR="00D215C5" w:rsidRDefault="00D215C5" w:rsidP="00D215C5">
      <w:pPr>
        <w:pStyle w:val="Heading4"/>
      </w:pPr>
      <w:r>
        <w:t>Revenue recycling</w:t>
      </w:r>
    </w:p>
    <w:p w:rsidR="00D215C5" w:rsidRDefault="00CC6FC8" w:rsidP="00D215C5">
      <w:pPr>
        <w:pStyle w:val="BodyText"/>
      </w:pPr>
      <w:r>
        <w:t xml:space="preserve">Some submitters also </w:t>
      </w:r>
      <w:r w:rsidR="00D215C5">
        <w:t>recommended that revenue generate</w:t>
      </w:r>
      <w:r>
        <w:t>d</w:t>
      </w:r>
      <w:r w:rsidR="00D215C5">
        <w:t xml:space="preserve"> by auctions </w:t>
      </w:r>
      <w:r w:rsidR="006F352B">
        <w:t xml:space="preserve">should </w:t>
      </w:r>
      <w:r w:rsidR="00D215C5">
        <w:t>be used towards low</w:t>
      </w:r>
      <w:r w:rsidR="003623A4">
        <w:t>-</w:t>
      </w:r>
      <w:r w:rsidR="00D215C5">
        <w:t xml:space="preserve">emissions technologies and projects. </w:t>
      </w:r>
      <w:r w:rsidR="00887489">
        <w:t>Other submitters</w:t>
      </w:r>
      <w:r w:rsidR="00D215C5">
        <w:t xml:space="preserve"> </w:t>
      </w:r>
      <w:r w:rsidR="00887489">
        <w:t>thought</w:t>
      </w:r>
      <w:r w:rsidR="00D215C5">
        <w:t xml:space="preserve"> </w:t>
      </w:r>
      <w:r w:rsidR="00887489">
        <w:t>auctioning revenue</w:t>
      </w:r>
      <w:r w:rsidR="00D215C5">
        <w:t xml:space="preserve"> should be used to provide assistance to low income households, or through reductions in tax. </w:t>
      </w:r>
    </w:p>
    <w:p w:rsidR="00D215C5" w:rsidRPr="00811B86" w:rsidRDefault="00837A1C" w:rsidP="00811B86">
      <w:pPr>
        <w:pStyle w:val="Quote"/>
        <w:ind w:left="567" w:right="567"/>
        <w:rPr>
          <w:sz w:val="21"/>
        </w:rPr>
      </w:pPr>
      <w:r w:rsidRPr="00811B86">
        <w:rPr>
          <w:sz w:val="21"/>
        </w:rPr>
        <w:t>“</w:t>
      </w:r>
      <w:r w:rsidR="00D215C5" w:rsidRPr="00811B86">
        <w:rPr>
          <w:sz w:val="21"/>
        </w:rPr>
        <w:t>Public understanding and support of the ETS will be increased if revenues from it are visibly used for purposes consistent with an optimal transition to a low emissions economy. These could include assistance to households disproportionately affected, promotion of and incentives for renewables and green technologies, adaptation etc.</w:t>
      </w:r>
      <w:r w:rsidRPr="00811B86">
        <w:rPr>
          <w:sz w:val="21"/>
        </w:rPr>
        <w:t>”</w:t>
      </w:r>
      <w:r w:rsidR="00D215C5" w:rsidRPr="00811B86">
        <w:rPr>
          <w:sz w:val="21"/>
        </w:rPr>
        <w:t xml:space="preserve"> </w:t>
      </w:r>
      <w:r w:rsidRPr="00811B86">
        <w:rPr>
          <w:sz w:val="21"/>
        </w:rPr>
        <w:t>(</w:t>
      </w:r>
      <w:r w:rsidR="00D215C5" w:rsidRPr="00811B86">
        <w:rPr>
          <w:sz w:val="21"/>
        </w:rPr>
        <w:t>Adrian Macey</w:t>
      </w:r>
      <w:r w:rsidRPr="00811B86">
        <w:rPr>
          <w:sz w:val="21"/>
        </w:rPr>
        <w:t xml:space="preserve">, </w:t>
      </w:r>
      <w:r w:rsidR="00F72BD2">
        <w:rPr>
          <w:sz w:val="21"/>
        </w:rPr>
        <w:t>00046</w:t>
      </w:r>
      <w:r w:rsidRPr="00811B86">
        <w:rPr>
          <w:sz w:val="21"/>
        </w:rPr>
        <w:t>)</w:t>
      </w:r>
    </w:p>
    <w:p w:rsidR="00282F94" w:rsidRDefault="00230A0F" w:rsidP="00282F94">
      <w:pPr>
        <w:pStyle w:val="Heading4"/>
      </w:pPr>
      <w:r w:rsidRPr="00230A0F">
        <w:t>Other comments</w:t>
      </w:r>
    </w:p>
    <w:p w:rsidR="00D215C5" w:rsidRDefault="00D215C5" w:rsidP="00B8466E">
      <w:r w:rsidRPr="00AD2DD4">
        <w:t xml:space="preserve">Several submitters </w:t>
      </w:r>
      <w:r w:rsidR="00282F94" w:rsidRPr="00AD2DD4">
        <w:t>thought it was important</w:t>
      </w:r>
      <w:r w:rsidRPr="00AD2DD4">
        <w:t xml:space="preserve"> that units </w:t>
      </w:r>
      <w:r w:rsidR="00230A0F" w:rsidRPr="00AD2DD4">
        <w:t xml:space="preserve">in the NZ ETS </w:t>
      </w:r>
      <w:r w:rsidRPr="00AD2DD4">
        <w:t xml:space="preserve">represent actual emission reductions, or help </w:t>
      </w:r>
      <w:r w:rsidR="00282F94" w:rsidRPr="00AD2DD4">
        <w:t xml:space="preserve">New Zealand meet its </w:t>
      </w:r>
      <w:r w:rsidRPr="00AD2DD4">
        <w:t>international climate change targets</w:t>
      </w:r>
      <w:r w:rsidR="00282F94" w:rsidRPr="00AD2DD4">
        <w:t>. Some of these submitters</w:t>
      </w:r>
      <w:r w:rsidRPr="00AD2DD4">
        <w:t xml:space="preserve"> not</w:t>
      </w:r>
      <w:r w:rsidR="00282F94" w:rsidRPr="00AD2DD4">
        <w:t>ed that</w:t>
      </w:r>
      <w:r w:rsidR="00230A0F" w:rsidRPr="00AD2DD4">
        <w:t xml:space="preserve"> </w:t>
      </w:r>
      <w:r w:rsidR="0028727E" w:rsidRPr="00AD2DD4">
        <w:t>unit supply settings</w:t>
      </w:r>
      <w:r w:rsidRPr="00AD2DD4">
        <w:t xml:space="preserve"> should encourage domestic abatement</w:t>
      </w:r>
      <w:r w:rsidR="00B75594" w:rsidRPr="00AD2DD4">
        <w:t xml:space="preserve">. </w:t>
      </w:r>
      <w:r w:rsidR="0028727E" w:rsidRPr="00AD2DD4">
        <w:t xml:space="preserve">A few submitters recommended </w:t>
      </w:r>
      <w:r w:rsidR="00603B38">
        <w:t>that</w:t>
      </w:r>
      <w:r w:rsidR="005D6819" w:rsidRPr="00AD2DD4">
        <w:t xml:space="preserve"> </w:t>
      </w:r>
      <w:r w:rsidR="008F23BC">
        <w:t>the Government</w:t>
      </w:r>
      <w:r w:rsidR="005D6819">
        <w:t xml:space="preserve"> </w:t>
      </w:r>
      <w:r w:rsidR="00603B38">
        <w:t xml:space="preserve">should </w:t>
      </w:r>
      <w:r w:rsidR="008F23BC">
        <w:t xml:space="preserve">be the sole purchaser of international </w:t>
      </w:r>
      <w:r w:rsidR="0028727E" w:rsidRPr="00AD2DD4">
        <w:t>units</w:t>
      </w:r>
      <w:r w:rsidR="008F23BC">
        <w:t xml:space="preserve">, </w:t>
      </w:r>
      <w:r w:rsidR="00603B38">
        <w:t>and then provide</w:t>
      </w:r>
      <w:r w:rsidR="008F23BC">
        <w:t xml:space="preserve"> these units </w:t>
      </w:r>
      <w:r w:rsidR="005D6819">
        <w:t xml:space="preserve">(or an equivalent number of NZUs) </w:t>
      </w:r>
      <w:r w:rsidR="008F23BC">
        <w:t xml:space="preserve">to the market </w:t>
      </w:r>
      <w:r w:rsidR="00603B38">
        <w:t xml:space="preserve">through </w:t>
      </w:r>
      <w:r w:rsidR="0028727E" w:rsidRPr="00AD2DD4">
        <w:t>auctioning</w:t>
      </w:r>
      <w:r w:rsidRPr="00AD2DD4">
        <w:t>.</w:t>
      </w:r>
      <w:r>
        <w:t xml:space="preserve"> </w:t>
      </w:r>
    </w:p>
    <w:p w:rsidR="00B01DDC" w:rsidRDefault="00B01DDC">
      <w:pPr>
        <w:spacing w:before="0" w:after="0"/>
        <w:rPr>
          <w:b/>
          <w:bCs/>
          <w:color w:val="005984"/>
          <w:sz w:val="36"/>
          <w:szCs w:val="36"/>
        </w:rPr>
      </w:pPr>
      <w:bookmarkStart w:id="50" w:name="_Toc456013886"/>
      <w:r>
        <w:br w:type="page"/>
      </w:r>
    </w:p>
    <w:p w:rsidR="00D215C5" w:rsidRDefault="0040636D" w:rsidP="00813A5E">
      <w:pPr>
        <w:pStyle w:val="Heading1"/>
        <w:spacing w:before="240"/>
      </w:pPr>
      <w:bookmarkStart w:id="51" w:name="_Toc463270138"/>
      <w:r>
        <w:lastRenderedPageBreak/>
        <w:t>7</w:t>
      </w:r>
      <w:r w:rsidR="00D215C5">
        <w:t xml:space="preserve">. </w:t>
      </w:r>
      <w:r w:rsidR="00D215C5">
        <w:tab/>
        <w:t>Managing price stability</w:t>
      </w:r>
      <w:bookmarkEnd w:id="50"/>
      <w:bookmarkEnd w:id="51"/>
    </w:p>
    <w:tbl>
      <w:tblPr>
        <w:tblW w:w="8505" w:type="dxa"/>
        <w:tblInd w:w="57"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DEEAF6"/>
        <w:tblLook w:val="04A0" w:firstRow="1" w:lastRow="0" w:firstColumn="1" w:lastColumn="0" w:noHBand="0" w:noVBand="1"/>
      </w:tblPr>
      <w:tblGrid>
        <w:gridCol w:w="8505"/>
      </w:tblGrid>
      <w:tr w:rsidR="000041BD" w:rsidRPr="00C76622" w:rsidTr="000041BD">
        <w:trPr>
          <w:trHeight w:val="274"/>
        </w:trPr>
        <w:tc>
          <w:tcPr>
            <w:tcW w:w="8505" w:type="dxa"/>
            <w:shd w:val="clear" w:color="auto" w:fill="DEEAF6"/>
          </w:tcPr>
          <w:p w:rsidR="000041BD" w:rsidRPr="008D7BEC" w:rsidRDefault="000041BD" w:rsidP="006375F1">
            <w:pPr>
              <w:pStyle w:val="Bullet"/>
              <w:numPr>
                <w:ilvl w:val="0"/>
                <w:numId w:val="0"/>
              </w:numPr>
              <w:spacing w:before="240" w:line="276" w:lineRule="auto"/>
              <w:ind w:left="397"/>
              <w:rPr>
                <w:sz w:val="20"/>
                <w:szCs w:val="20"/>
              </w:rPr>
            </w:pPr>
            <w:r>
              <w:rPr>
                <w:sz w:val="20"/>
                <w:szCs w:val="20"/>
              </w:rPr>
              <w:t xml:space="preserve">The </w:t>
            </w:r>
            <w:r w:rsidR="002E29D3">
              <w:rPr>
                <w:sz w:val="20"/>
                <w:szCs w:val="20"/>
              </w:rPr>
              <w:t>New Zealand Emissions Trading Scheme (</w:t>
            </w:r>
            <w:r>
              <w:rPr>
                <w:sz w:val="20"/>
                <w:szCs w:val="20"/>
              </w:rPr>
              <w:t>NZ ETS</w:t>
            </w:r>
            <w:r w:rsidR="002E29D3">
              <w:rPr>
                <w:sz w:val="20"/>
                <w:szCs w:val="20"/>
              </w:rPr>
              <w:t>)</w:t>
            </w:r>
            <w:r>
              <w:rPr>
                <w:sz w:val="20"/>
                <w:szCs w:val="20"/>
              </w:rPr>
              <w:t xml:space="preserve"> has a $25 fixed price surrender option to limit price increases or spikes. </w:t>
            </w:r>
            <w:r w:rsidRPr="006769DA">
              <w:rPr>
                <w:sz w:val="20"/>
                <w:szCs w:val="20"/>
              </w:rPr>
              <w:t>However, there is no mechanism to limit price decreases. The</w:t>
            </w:r>
            <w:r>
              <w:rPr>
                <w:sz w:val="20"/>
                <w:szCs w:val="20"/>
              </w:rPr>
              <w:t xml:space="preserve"> potential for price instability, such as significant price drops, may reduce the effectiveness of the NZ ETS in driving investment decisions to reduce emissions.</w:t>
            </w:r>
            <w:r w:rsidR="006375F1">
              <w:rPr>
                <w:sz w:val="20"/>
                <w:szCs w:val="20"/>
              </w:rPr>
              <w:br/>
            </w:r>
            <w:r w:rsidR="006375F1">
              <w:rPr>
                <w:sz w:val="20"/>
                <w:szCs w:val="20"/>
              </w:rPr>
              <w:br/>
            </w:r>
            <w:r>
              <w:rPr>
                <w:sz w:val="20"/>
                <w:szCs w:val="20"/>
              </w:rPr>
              <w:t xml:space="preserve">In order to reduce price volatility, the Government could take a more active role in managing the price of units, such as through lower price limits, upper price limits or both. </w:t>
            </w:r>
          </w:p>
        </w:tc>
      </w:tr>
    </w:tbl>
    <w:p w:rsidR="00D215C5" w:rsidRDefault="0040636D" w:rsidP="00D215C5">
      <w:pPr>
        <w:pStyle w:val="Heading2"/>
        <w:spacing w:before="240"/>
      </w:pPr>
      <w:bookmarkStart w:id="52" w:name="_Toc456013887"/>
      <w:bookmarkStart w:id="53" w:name="_Toc463270139"/>
      <w:r>
        <w:t>7</w:t>
      </w:r>
      <w:r w:rsidR="00D215C5">
        <w:t xml:space="preserve">.1 </w:t>
      </w:r>
      <w:r w:rsidR="00D215C5">
        <w:tab/>
        <w:t>What impact has carbon price volatility in the NZ ETS had on your business? (Question 20)</w:t>
      </w:r>
      <w:bookmarkEnd w:id="52"/>
      <w:bookmarkEnd w:id="53"/>
    </w:p>
    <w:p w:rsidR="00ED69A8" w:rsidRPr="00ED69A8" w:rsidRDefault="00ED69A8" w:rsidP="00ED69A8">
      <w:pPr>
        <w:pStyle w:val="Heading2"/>
        <w:spacing w:before="0"/>
        <w:rPr>
          <w:sz w:val="22"/>
          <w:szCs w:val="22"/>
        </w:rPr>
      </w:pPr>
      <w:r>
        <w:rPr>
          <w:sz w:val="22"/>
          <w:szCs w:val="22"/>
        </w:rPr>
        <w:tab/>
      </w:r>
      <w:bookmarkStart w:id="54" w:name="_Toc463270140"/>
      <w:r>
        <w:rPr>
          <w:sz w:val="22"/>
          <w:szCs w:val="22"/>
        </w:rPr>
        <w:t xml:space="preserve">a) </w:t>
      </w:r>
      <w:proofErr w:type="gramStart"/>
      <w:r>
        <w:rPr>
          <w:sz w:val="22"/>
          <w:szCs w:val="22"/>
        </w:rPr>
        <w:t>minor</w:t>
      </w:r>
      <w:proofErr w:type="gramEnd"/>
      <w:r>
        <w:rPr>
          <w:sz w:val="22"/>
          <w:szCs w:val="22"/>
        </w:rPr>
        <w:br/>
        <w:t>b) moderate</w:t>
      </w:r>
      <w:r>
        <w:rPr>
          <w:sz w:val="22"/>
          <w:szCs w:val="22"/>
        </w:rPr>
        <w:br/>
        <w:t>c) significant</w:t>
      </w:r>
      <w:bookmarkEnd w:id="54"/>
    </w:p>
    <w:p w:rsidR="00D215C5" w:rsidRPr="00FF4922" w:rsidRDefault="00A61C04" w:rsidP="00B8466E">
      <w:r>
        <w:t xml:space="preserve">In total, </w:t>
      </w:r>
      <w:r w:rsidR="00D215C5" w:rsidRPr="00FF4922">
        <w:t>11</w:t>
      </w:r>
      <w:r w:rsidR="00861C40">
        <w:t>6 submitters (</w:t>
      </w:r>
      <w:r w:rsidR="00C2449D">
        <w:t>approximately</w:t>
      </w:r>
      <w:r w:rsidR="00861C40">
        <w:t xml:space="preserve"> 35</w:t>
      </w:r>
      <w:r w:rsidR="00D215C5" w:rsidRPr="00FF4922">
        <w:t xml:space="preserve"> </w:t>
      </w:r>
      <w:r w:rsidR="008E24E1">
        <w:t>per cent</w:t>
      </w:r>
      <w:r w:rsidR="00D215C5" w:rsidRPr="00FF4922">
        <w:t xml:space="preserve"> of </w:t>
      </w:r>
      <w:r w:rsidR="002E29D3">
        <w:t>all</w:t>
      </w:r>
      <w:r w:rsidR="002E29D3" w:rsidRPr="00FF4922">
        <w:t xml:space="preserve"> </w:t>
      </w:r>
      <w:r w:rsidR="00D215C5" w:rsidRPr="00FF4922">
        <w:t>submitters) responded to this question.</w:t>
      </w:r>
      <w:r w:rsidR="00ED69A8">
        <w:t xml:space="preserve"> </w:t>
      </w:r>
      <w:r w:rsidR="00C2449D">
        <w:t>Approximately</w:t>
      </w:r>
      <w:r w:rsidR="00ED69A8">
        <w:t xml:space="preserve"> 15 per cent of submitters </w:t>
      </w:r>
      <w:r w:rsidR="00B56313">
        <w:t>provided gene</w:t>
      </w:r>
      <w:r w:rsidR="00D16C1B">
        <w:t>ral comments about carbon price or were unsure.</w:t>
      </w:r>
    </w:p>
    <w:p w:rsidR="00D215C5" w:rsidRDefault="00D215C5" w:rsidP="00D215C5">
      <w:pPr>
        <w:pStyle w:val="Heading4"/>
      </w:pPr>
      <w:r>
        <w:t>Minor impact</w:t>
      </w:r>
    </w:p>
    <w:p w:rsidR="00D215C5" w:rsidRDefault="00370BFE" w:rsidP="00B8466E">
      <w:r>
        <w:t>Approx</w:t>
      </w:r>
      <w:r w:rsidR="00542FA6">
        <w:t>imately</w:t>
      </w:r>
      <w:r>
        <w:t xml:space="preserve"> </w:t>
      </w:r>
      <w:r w:rsidR="00D215C5" w:rsidRPr="00FF4922">
        <w:t xml:space="preserve">25 </w:t>
      </w:r>
      <w:r w:rsidR="008E24E1">
        <w:t>per cent</w:t>
      </w:r>
      <w:r w:rsidR="00D215C5" w:rsidRPr="00FF4922">
        <w:t xml:space="preserve"> of </w:t>
      </w:r>
      <w:r w:rsidR="00A61C04">
        <w:t>submitters stated</w:t>
      </w:r>
      <w:r w:rsidR="00D215C5" w:rsidRPr="00FF4922">
        <w:t xml:space="preserve"> </w:t>
      </w:r>
      <w:r w:rsidR="00A61C04">
        <w:t xml:space="preserve">that </w:t>
      </w:r>
      <w:r w:rsidR="00D215C5" w:rsidRPr="00FF4922">
        <w:t xml:space="preserve">carbon price volatility had a minor impact on their business. Many of these submitters </w:t>
      </w:r>
      <w:r w:rsidR="00D215C5">
        <w:t xml:space="preserve">noted </w:t>
      </w:r>
      <w:r w:rsidR="002E29D3">
        <w:t xml:space="preserve">that the </w:t>
      </w:r>
      <w:r w:rsidR="00D215C5">
        <w:t>low carbon price</w:t>
      </w:r>
      <w:r w:rsidR="005C7DA2" w:rsidRPr="005C7DA2">
        <w:t xml:space="preserve"> </w:t>
      </w:r>
      <w:r w:rsidR="005C7DA2">
        <w:t>had impact</w:t>
      </w:r>
      <w:r w:rsidR="000D6FF2">
        <w:t>ed them rather</w:t>
      </w:r>
      <w:r w:rsidR="00D215C5">
        <w:t xml:space="preserve"> than price volatility. Some also noted that carbon price volatility </w:t>
      </w:r>
      <w:r w:rsidR="005C7DA2">
        <w:t>might</w:t>
      </w:r>
      <w:r w:rsidR="00D215C5">
        <w:t xml:space="preserve"> have a greater impact as the</w:t>
      </w:r>
      <w:r w:rsidR="000D6FF2">
        <w:t xml:space="preserve"> </w:t>
      </w:r>
      <w:r w:rsidR="002E29D3">
        <w:t>New Zealand Unit (</w:t>
      </w:r>
      <w:r w:rsidR="000D6FF2">
        <w:t>NZU</w:t>
      </w:r>
      <w:r w:rsidR="002E29D3">
        <w:t>)</w:t>
      </w:r>
      <w:r w:rsidR="00D215C5">
        <w:t xml:space="preserve"> price </w:t>
      </w:r>
      <w:r w:rsidR="00D215C5" w:rsidRPr="00AD2DD4">
        <w:t xml:space="preserve">increases. </w:t>
      </w:r>
      <w:r w:rsidR="00DB232A" w:rsidRPr="00AD2DD4">
        <w:t xml:space="preserve">Around 10 </w:t>
      </w:r>
      <w:r w:rsidR="008E24E1">
        <w:t>per cent</w:t>
      </w:r>
      <w:r w:rsidR="00DB232A" w:rsidRPr="00AD2DD4">
        <w:t xml:space="preserve"> of submitters thought that carbon price volatility had a moderate impact.</w:t>
      </w:r>
    </w:p>
    <w:p w:rsidR="00D215C5" w:rsidRPr="00811B86" w:rsidRDefault="00AD2DD4" w:rsidP="00811B86">
      <w:pPr>
        <w:ind w:left="567" w:right="567"/>
        <w:rPr>
          <w:sz w:val="21"/>
          <w:szCs w:val="21"/>
        </w:rPr>
      </w:pPr>
      <w:r w:rsidRPr="00811B86">
        <w:rPr>
          <w:sz w:val="21"/>
          <w:szCs w:val="21"/>
        </w:rPr>
        <w:t>“</w:t>
      </w:r>
      <w:r w:rsidR="00D215C5" w:rsidRPr="00811B86">
        <w:rPr>
          <w:sz w:val="21"/>
          <w:szCs w:val="21"/>
        </w:rPr>
        <w:t>To date, price volatility has been has had a minor impact on our business, as prices have been low. However, we anticipate the impact will become more significant as prices increase.</w:t>
      </w:r>
      <w:r w:rsidR="00837A1C" w:rsidRPr="00811B86">
        <w:rPr>
          <w:sz w:val="21"/>
          <w:szCs w:val="21"/>
        </w:rPr>
        <w:t>”</w:t>
      </w:r>
      <w:r w:rsidR="00D215C5" w:rsidRPr="00811B86">
        <w:rPr>
          <w:sz w:val="21"/>
          <w:szCs w:val="21"/>
        </w:rPr>
        <w:t xml:space="preserve"> </w:t>
      </w:r>
      <w:r w:rsidR="00837A1C" w:rsidRPr="00811B86">
        <w:rPr>
          <w:sz w:val="21"/>
          <w:szCs w:val="21"/>
        </w:rPr>
        <w:t>(</w:t>
      </w:r>
      <w:proofErr w:type="spellStart"/>
      <w:r w:rsidR="00D215C5" w:rsidRPr="00811B86">
        <w:rPr>
          <w:sz w:val="21"/>
          <w:szCs w:val="21"/>
        </w:rPr>
        <w:t>Trustpower</w:t>
      </w:r>
      <w:proofErr w:type="spellEnd"/>
      <w:r w:rsidR="00837A1C" w:rsidRPr="00811B86">
        <w:rPr>
          <w:sz w:val="21"/>
          <w:szCs w:val="21"/>
        </w:rPr>
        <w:t xml:space="preserve">, </w:t>
      </w:r>
      <w:r w:rsidR="004F3E0E">
        <w:rPr>
          <w:sz w:val="21"/>
          <w:szCs w:val="21"/>
        </w:rPr>
        <w:t>00088</w:t>
      </w:r>
      <w:r w:rsidR="00837A1C" w:rsidRPr="00811B86">
        <w:rPr>
          <w:sz w:val="21"/>
          <w:szCs w:val="21"/>
        </w:rPr>
        <w:t>)</w:t>
      </w:r>
    </w:p>
    <w:p w:rsidR="00D215C5" w:rsidRPr="00811B86" w:rsidRDefault="00D215C5" w:rsidP="00811B86">
      <w:pPr>
        <w:ind w:left="567" w:right="567"/>
        <w:rPr>
          <w:sz w:val="21"/>
          <w:szCs w:val="21"/>
        </w:rPr>
      </w:pPr>
      <w:r w:rsidRPr="00811B86">
        <w:rPr>
          <w:sz w:val="21"/>
          <w:szCs w:val="21"/>
        </w:rPr>
        <w:t>Forest investors currently manage significant fluctuations in the exchange rate, log prices and supply costs. Thus it is not volatility per se but rather the low carbon price and inconsistency in applying the policy that is problematic for the forest industry a</w:t>
      </w:r>
      <w:r w:rsidR="00837A1C" w:rsidRPr="00811B86">
        <w:rPr>
          <w:sz w:val="21"/>
          <w:szCs w:val="21"/>
        </w:rPr>
        <w:t>n</w:t>
      </w:r>
      <w:r w:rsidR="00605B1B">
        <w:rPr>
          <w:sz w:val="21"/>
          <w:szCs w:val="21"/>
        </w:rPr>
        <w:t xml:space="preserve">d its associated value chains.” </w:t>
      </w:r>
      <w:r w:rsidR="00837A1C" w:rsidRPr="00811B86">
        <w:rPr>
          <w:sz w:val="21"/>
          <w:szCs w:val="21"/>
        </w:rPr>
        <w:t>(</w:t>
      </w:r>
      <w:r w:rsidR="00605B1B" w:rsidRPr="00DF4591">
        <w:rPr>
          <w:sz w:val="21"/>
          <w:szCs w:val="21"/>
        </w:rPr>
        <w:t xml:space="preserve">Scion (New Zealand Forest Research Institute), </w:t>
      </w:r>
      <w:r w:rsidR="00605B1B">
        <w:rPr>
          <w:sz w:val="21"/>
          <w:szCs w:val="21"/>
        </w:rPr>
        <w:t>00186</w:t>
      </w:r>
      <w:r w:rsidR="00837A1C" w:rsidRPr="00811B86">
        <w:rPr>
          <w:sz w:val="21"/>
          <w:szCs w:val="21"/>
        </w:rPr>
        <w:t>)</w:t>
      </w:r>
    </w:p>
    <w:p w:rsidR="000D6FF2" w:rsidRPr="002E4304" w:rsidRDefault="00DB232A" w:rsidP="000D6FF2">
      <w:pPr>
        <w:pStyle w:val="Heading4"/>
      </w:pPr>
      <w:r w:rsidRPr="00DB232A">
        <w:t>Significant</w:t>
      </w:r>
      <w:r w:rsidR="000D6FF2" w:rsidRPr="00DB232A">
        <w:t xml:space="preserve"> impact</w:t>
      </w:r>
    </w:p>
    <w:p w:rsidR="000D6FF2" w:rsidRDefault="00F5084D" w:rsidP="00B8466E">
      <w:r>
        <w:t>Approx</w:t>
      </w:r>
      <w:r w:rsidR="00542FA6">
        <w:t>imately</w:t>
      </w:r>
      <w:r w:rsidR="000D6FF2">
        <w:t xml:space="preserve"> 50 </w:t>
      </w:r>
      <w:r w:rsidR="008E24E1">
        <w:t>per cent</w:t>
      </w:r>
      <w:r w:rsidR="00DB232A">
        <w:t xml:space="preserve"> of submitters</w:t>
      </w:r>
      <w:r w:rsidR="000D6FF2" w:rsidRPr="00AF4EFE">
        <w:t>, representing most sectors,</w:t>
      </w:r>
      <w:r w:rsidR="000D6FF2">
        <w:t xml:space="preserve"> </w:t>
      </w:r>
      <w:r w:rsidR="008C20A9">
        <w:t>commented</w:t>
      </w:r>
      <w:r w:rsidR="000D6FF2">
        <w:t xml:space="preserve"> </w:t>
      </w:r>
      <w:r w:rsidR="008C20A9">
        <w:t xml:space="preserve">that </w:t>
      </w:r>
      <w:r w:rsidR="000D6FF2">
        <w:t xml:space="preserve">the impact </w:t>
      </w:r>
      <w:r w:rsidR="008C20A9">
        <w:t xml:space="preserve">of carbon price volatility </w:t>
      </w:r>
      <w:r w:rsidR="000D6FF2">
        <w:t>had been significant</w:t>
      </w:r>
      <w:r w:rsidR="008C20A9">
        <w:t xml:space="preserve"> for their business</w:t>
      </w:r>
      <w:r w:rsidR="000D6FF2">
        <w:t xml:space="preserve">. </w:t>
      </w:r>
      <w:r w:rsidR="00EA102B">
        <w:t>In particular, a</w:t>
      </w:r>
      <w:r w:rsidR="000D6FF2">
        <w:t xml:space="preserve"> large majority</w:t>
      </w:r>
      <w:r w:rsidR="00EA102B">
        <w:t xml:space="preserve"> of the forestry sector</w:t>
      </w:r>
      <w:r w:rsidR="000D6FF2">
        <w:t xml:space="preserve"> suggest</w:t>
      </w:r>
      <w:r w:rsidR="00EA102B">
        <w:t>ed there had been a</w:t>
      </w:r>
      <w:r w:rsidR="008C20A9">
        <w:t xml:space="preserve"> significant </w:t>
      </w:r>
      <w:r w:rsidR="000D6FF2">
        <w:t>impact</w:t>
      </w:r>
      <w:r w:rsidR="00EA102B">
        <w:t xml:space="preserve"> on their business</w:t>
      </w:r>
      <w:r w:rsidR="000D6FF2">
        <w:t>.</w:t>
      </w:r>
    </w:p>
    <w:p w:rsidR="00D215C5" w:rsidRDefault="008C20A9" w:rsidP="00B8466E">
      <w:r>
        <w:t>Submitters from the</w:t>
      </w:r>
      <w:r w:rsidR="00D215C5">
        <w:t xml:space="preserve"> forestry sector noted the impact had mainly r</w:t>
      </w:r>
      <w:r>
        <w:t>esulted in reduced planting and</w:t>
      </w:r>
      <w:r w:rsidR="002E29D3">
        <w:t xml:space="preserve"> reduced</w:t>
      </w:r>
      <w:r w:rsidR="00D215C5">
        <w:t xml:space="preserve"> confidence in the scheme</w:t>
      </w:r>
      <w:r w:rsidR="00A63FB9">
        <w:t>, while those in o</w:t>
      </w:r>
      <w:r w:rsidR="00D215C5">
        <w:t xml:space="preserve">ther industries </w:t>
      </w:r>
      <w:r w:rsidR="00A63FB9">
        <w:t>commented on decreased investments in</w:t>
      </w:r>
      <w:r w:rsidR="00D215C5">
        <w:t xml:space="preserve"> low emissions </w:t>
      </w:r>
      <w:r w:rsidR="00A63FB9">
        <w:t>technologies</w:t>
      </w:r>
      <w:r w:rsidR="00D215C5">
        <w:t>.</w:t>
      </w:r>
    </w:p>
    <w:p w:rsidR="00D215C5" w:rsidRPr="00811B86" w:rsidRDefault="00837A1C" w:rsidP="00811B86">
      <w:pPr>
        <w:ind w:left="567" w:right="567"/>
        <w:rPr>
          <w:sz w:val="21"/>
          <w:szCs w:val="21"/>
        </w:rPr>
      </w:pPr>
      <w:r w:rsidRPr="00811B86">
        <w:rPr>
          <w:sz w:val="21"/>
          <w:szCs w:val="21"/>
        </w:rPr>
        <w:lastRenderedPageBreak/>
        <w:t>“</w:t>
      </w:r>
      <w:r w:rsidR="00D215C5" w:rsidRPr="00811B86">
        <w:rPr>
          <w:sz w:val="21"/>
          <w:szCs w:val="21"/>
        </w:rPr>
        <w:t>Carbon price volatility has had a major impact on our business. The collapse in the carbon price has undermined confidence in forestry investment and led to concerns about the viability of future investment. The extreme volatility of carbon pricing has also impacted funding for new projects, raising the risk premium on carbon projects to the point where few funders are interest</w:t>
      </w:r>
      <w:r w:rsidRPr="00811B86">
        <w:rPr>
          <w:sz w:val="21"/>
          <w:szCs w:val="21"/>
        </w:rPr>
        <w:t>ed in underwriting new projects.”</w:t>
      </w:r>
      <w:r w:rsidR="00D215C5" w:rsidRPr="00811B86">
        <w:rPr>
          <w:sz w:val="21"/>
          <w:szCs w:val="21"/>
        </w:rPr>
        <w:t xml:space="preserve"> </w:t>
      </w:r>
      <w:r w:rsidRPr="00811B86">
        <w:rPr>
          <w:sz w:val="21"/>
          <w:szCs w:val="21"/>
        </w:rPr>
        <w:t>(</w:t>
      </w:r>
      <w:r w:rsidR="00D215C5" w:rsidRPr="00811B86">
        <w:rPr>
          <w:sz w:val="21"/>
          <w:szCs w:val="21"/>
        </w:rPr>
        <w:t>Carbon Farm Limited</w:t>
      </w:r>
      <w:r w:rsidRPr="00811B86">
        <w:rPr>
          <w:sz w:val="21"/>
          <w:szCs w:val="21"/>
        </w:rPr>
        <w:t xml:space="preserve">, </w:t>
      </w:r>
      <w:r w:rsidR="005977A0">
        <w:rPr>
          <w:sz w:val="21"/>
          <w:szCs w:val="21"/>
        </w:rPr>
        <w:t>00121</w:t>
      </w:r>
      <w:r w:rsidRPr="00811B86">
        <w:rPr>
          <w:sz w:val="21"/>
          <w:szCs w:val="21"/>
        </w:rPr>
        <w:t>)</w:t>
      </w:r>
    </w:p>
    <w:p w:rsidR="00D215C5" w:rsidRPr="00811B86" w:rsidRDefault="00837A1C" w:rsidP="00811B86">
      <w:pPr>
        <w:ind w:left="567" w:right="567"/>
        <w:rPr>
          <w:sz w:val="21"/>
          <w:szCs w:val="21"/>
        </w:rPr>
      </w:pPr>
      <w:r w:rsidRPr="00811B86">
        <w:rPr>
          <w:sz w:val="21"/>
          <w:szCs w:val="21"/>
        </w:rPr>
        <w:t>“</w:t>
      </w:r>
      <w:r w:rsidR="00D215C5" w:rsidRPr="00811B86">
        <w:rPr>
          <w:sz w:val="21"/>
          <w:szCs w:val="21"/>
        </w:rPr>
        <w:t>Carbon price volatility inhibits BP from developing forward price expectations necessary -for business investment confidence, particularly for long-term primary offset abatement projects.</w:t>
      </w:r>
      <w:r w:rsidRPr="00811B86">
        <w:rPr>
          <w:sz w:val="21"/>
          <w:szCs w:val="21"/>
        </w:rPr>
        <w:t>”</w:t>
      </w:r>
      <w:r w:rsidR="00D215C5" w:rsidRPr="00811B86">
        <w:rPr>
          <w:sz w:val="21"/>
          <w:szCs w:val="21"/>
        </w:rPr>
        <w:t xml:space="preserve"> </w:t>
      </w:r>
      <w:r w:rsidRPr="00811B86">
        <w:rPr>
          <w:sz w:val="21"/>
          <w:szCs w:val="21"/>
        </w:rPr>
        <w:t>(</w:t>
      </w:r>
      <w:r w:rsidR="00D215C5" w:rsidRPr="00811B86">
        <w:rPr>
          <w:sz w:val="21"/>
          <w:szCs w:val="21"/>
        </w:rPr>
        <w:t>BP</w:t>
      </w:r>
      <w:r w:rsidR="005977A0">
        <w:rPr>
          <w:sz w:val="21"/>
          <w:szCs w:val="21"/>
        </w:rPr>
        <w:t xml:space="preserve"> Oil New Zealand</w:t>
      </w:r>
      <w:r w:rsidRPr="00811B86">
        <w:rPr>
          <w:sz w:val="21"/>
          <w:szCs w:val="21"/>
        </w:rPr>
        <w:t xml:space="preserve">, </w:t>
      </w:r>
      <w:r w:rsidR="005977A0">
        <w:rPr>
          <w:sz w:val="21"/>
          <w:szCs w:val="21"/>
        </w:rPr>
        <w:t>00135</w:t>
      </w:r>
      <w:r w:rsidRPr="00811B86">
        <w:rPr>
          <w:sz w:val="21"/>
          <w:szCs w:val="21"/>
        </w:rPr>
        <w:t>)</w:t>
      </w:r>
    </w:p>
    <w:p w:rsidR="00D215C5" w:rsidRDefault="00D215C5" w:rsidP="00D215C5">
      <w:pPr>
        <w:pStyle w:val="Heading4"/>
      </w:pPr>
      <w:r>
        <w:t>Policy stability and price stability</w:t>
      </w:r>
    </w:p>
    <w:p w:rsidR="00D215C5" w:rsidRDefault="00D215C5" w:rsidP="00B8466E">
      <w:r>
        <w:t xml:space="preserve">Some submitters </w:t>
      </w:r>
      <w:r w:rsidR="00A63FB9">
        <w:t xml:space="preserve">also </w:t>
      </w:r>
      <w:r>
        <w:t xml:space="preserve">noted that </w:t>
      </w:r>
      <w:r w:rsidR="002E29D3">
        <w:t xml:space="preserve">the </w:t>
      </w:r>
      <w:r>
        <w:t xml:space="preserve">unpredictable </w:t>
      </w:r>
      <w:r w:rsidR="00A63FB9">
        <w:t xml:space="preserve">carbon </w:t>
      </w:r>
      <w:r>
        <w:t>price had made it hard to plan.</w:t>
      </w:r>
      <w:r w:rsidRPr="006A5C40">
        <w:t xml:space="preserve"> </w:t>
      </w:r>
      <w:r>
        <w:t xml:space="preserve">Some submitters linked policy stability to price stability, noting that </w:t>
      </w:r>
      <w:r w:rsidR="00A63FB9">
        <w:t xml:space="preserve">increased </w:t>
      </w:r>
      <w:r>
        <w:t xml:space="preserve">policy stability would help reduce uncertainty, </w:t>
      </w:r>
      <w:r w:rsidR="00A63FB9">
        <w:t xml:space="preserve">which would </w:t>
      </w:r>
      <w:r>
        <w:t>enhanc</w:t>
      </w:r>
      <w:r w:rsidR="00A63FB9">
        <w:t>e</w:t>
      </w:r>
      <w:r>
        <w:t xml:space="preserve"> long</w:t>
      </w:r>
      <w:r w:rsidR="002E29D3">
        <w:t>-</w:t>
      </w:r>
      <w:r>
        <w:t>term planning and decision</w:t>
      </w:r>
      <w:r w:rsidR="002E29D3">
        <w:t>-</w:t>
      </w:r>
      <w:r>
        <w:t>making.</w:t>
      </w:r>
    </w:p>
    <w:p w:rsidR="00D215C5" w:rsidRPr="00811B86" w:rsidRDefault="00837A1C" w:rsidP="00811B86">
      <w:pPr>
        <w:ind w:left="567" w:right="567"/>
        <w:rPr>
          <w:sz w:val="21"/>
          <w:szCs w:val="21"/>
        </w:rPr>
      </w:pPr>
      <w:proofErr w:type="gramStart"/>
      <w:r w:rsidRPr="00811B86">
        <w:rPr>
          <w:sz w:val="21"/>
          <w:szCs w:val="21"/>
        </w:rPr>
        <w:t>“</w:t>
      </w:r>
      <w:r w:rsidR="00D215C5" w:rsidRPr="00811B86">
        <w:rPr>
          <w:sz w:val="21"/>
          <w:szCs w:val="21"/>
        </w:rPr>
        <w:t>The greater the volatility in the ETS then the greater the difficulties for Genesis Energy in planning and forecasting.</w:t>
      </w:r>
      <w:proofErr w:type="gramEnd"/>
      <w:r w:rsidR="00D215C5" w:rsidRPr="00811B86">
        <w:rPr>
          <w:sz w:val="21"/>
          <w:szCs w:val="21"/>
        </w:rPr>
        <w:t xml:space="preserve"> Genesis understands that markets fluctuate from time to time but there is a substantial amount that the Government can do to reduce volatility through transparent and long term policy announcements</w:t>
      </w:r>
      <w:r w:rsidRPr="00811B86">
        <w:rPr>
          <w:sz w:val="21"/>
          <w:szCs w:val="21"/>
        </w:rPr>
        <w:t>.”</w:t>
      </w:r>
      <w:r w:rsidR="00D215C5" w:rsidRPr="00811B86">
        <w:rPr>
          <w:sz w:val="21"/>
          <w:szCs w:val="21"/>
        </w:rPr>
        <w:t xml:space="preserve"> </w:t>
      </w:r>
      <w:r w:rsidRPr="00811B86">
        <w:rPr>
          <w:sz w:val="21"/>
          <w:szCs w:val="21"/>
        </w:rPr>
        <w:t>(</w:t>
      </w:r>
      <w:r w:rsidR="004F3E0E" w:rsidRPr="00CB33F4">
        <w:rPr>
          <w:sz w:val="21"/>
          <w:szCs w:val="21"/>
        </w:rPr>
        <w:t>Genesis</w:t>
      </w:r>
      <w:r w:rsidR="004F3E0E">
        <w:rPr>
          <w:sz w:val="21"/>
          <w:szCs w:val="21"/>
        </w:rPr>
        <w:t xml:space="preserve"> Energy</w:t>
      </w:r>
      <w:r w:rsidR="004F3E0E" w:rsidRPr="00CB33F4">
        <w:rPr>
          <w:sz w:val="21"/>
          <w:szCs w:val="21"/>
        </w:rPr>
        <w:t xml:space="preserve">, </w:t>
      </w:r>
      <w:r w:rsidR="004F3E0E">
        <w:rPr>
          <w:sz w:val="21"/>
          <w:szCs w:val="21"/>
        </w:rPr>
        <w:t>00053</w:t>
      </w:r>
      <w:r w:rsidRPr="00811B86">
        <w:rPr>
          <w:sz w:val="21"/>
          <w:szCs w:val="21"/>
        </w:rPr>
        <w:t>)</w:t>
      </w:r>
    </w:p>
    <w:p w:rsidR="00D215C5" w:rsidRPr="004D717A" w:rsidRDefault="00D215C5" w:rsidP="00D215C5">
      <w:pPr>
        <w:pStyle w:val="Heading4"/>
      </w:pPr>
      <w:r>
        <w:t>Administrative costs</w:t>
      </w:r>
    </w:p>
    <w:p w:rsidR="00D215C5" w:rsidRPr="004D717A" w:rsidRDefault="00D215C5" w:rsidP="00A61C04">
      <w:r w:rsidRPr="004D717A">
        <w:t xml:space="preserve">A </w:t>
      </w:r>
      <w:r w:rsidR="00A63FB9">
        <w:t xml:space="preserve">small </w:t>
      </w:r>
      <w:r w:rsidRPr="004D717A">
        <w:t xml:space="preserve">number of submitters mentioned that carbon price volatility increases administration costs, </w:t>
      </w:r>
      <w:r w:rsidR="00B90087">
        <w:t>such as by</w:t>
      </w:r>
      <w:r w:rsidRPr="004D717A">
        <w:t xml:space="preserve"> having to</w:t>
      </w:r>
      <w:r w:rsidR="00B90087">
        <w:t xml:space="preserve"> frequently</w:t>
      </w:r>
      <w:r w:rsidRPr="004D717A">
        <w:t xml:space="preserve"> update</w:t>
      </w:r>
      <w:r w:rsidR="00EA102B">
        <w:t xml:space="preserve"> prices for goods and services to reflect</w:t>
      </w:r>
      <w:r w:rsidRPr="004D717A">
        <w:t xml:space="preserve"> changing</w:t>
      </w:r>
      <w:r w:rsidR="00EA102B">
        <w:t xml:space="preserve"> carbon </w:t>
      </w:r>
      <w:r w:rsidRPr="004D717A">
        <w:t>prices and</w:t>
      </w:r>
      <w:r w:rsidR="00EA102B">
        <w:t xml:space="preserve"> having to</w:t>
      </w:r>
      <w:r w:rsidRPr="004D717A">
        <w:t xml:space="preserve"> review hedging </w:t>
      </w:r>
      <w:r w:rsidR="00B90087">
        <w:t>position</w:t>
      </w:r>
      <w:r w:rsidRPr="004D717A">
        <w:t>s</w:t>
      </w:r>
      <w:r w:rsidR="00EA102B">
        <w:t xml:space="preserve"> more often</w:t>
      </w:r>
      <w:r w:rsidR="00A63FB9">
        <w:t>.</w:t>
      </w:r>
      <w:r w:rsidRPr="004D717A">
        <w:t xml:space="preserve"> </w:t>
      </w:r>
    </w:p>
    <w:p w:rsidR="00D215C5" w:rsidRPr="00811B86" w:rsidRDefault="00837A1C" w:rsidP="00811B86">
      <w:pPr>
        <w:ind w:left="567" w:right="567"/>
        <w:rPr>
          <w:sz w:val="21"/>
          <w:szCs w:val="21"/>
        </w:rPr>
      </w:pPr>
      <w:r w:rsidRPr="00811B86">
        <w:rPr>
          <w:sz w:val="21"/>
          <w:szCs w:val="21"/>
        </w:rPr>
        <w:t>“</w:t>
      </w:r>
      <w:r w:rsidR="00D215C5" w:rsidRPr="00811B86">
        <w:rPr>
          <w:sz w:val="21"/>
          <w:szCs w:val="21"/>
        </w:rPr>
        <w:t>Z’s experience of carbon price volatility has mostly been in the administrative burden incurred through managing cost pass-</w:t>
      </w:r>
      <w:proofErr w:type="spellStart"/>
      <w:r w:rsidR="00D215C5" w:rsidRPr="00811B86">
        <w:rPr>
          <w:sz w:val="21"/>
          <w:szCs w:val="21"/>
        </w:rPr>
        <w:t>throughs</w:t>
      </w:r>
      <w:proofErr w:type="spellEnd"/>
      <w:r w:rsidR="00D215C5" w:rsidRPr="00811B86">
        <w:rPr>
          <w:sz w:val="21"/>
          <w:szCs w:val="21"/>
        </w:rPr>
        <w:t xml:space="preserve"> effectively; the legal and advisory costs associated with this, and in managing internal resource to manage the consequent process risks.</w:t>
      </w:r>
      <w:r w:rsidRPr="00811B86">
        <w:rPr>
          <w:sz w:val="21"/>
          <w:szCs w:val="21"/>
        </w:rPr>
        <w:t>”</w:t>
      </w:r>
      <w:r w:rsidR="00D215C5" w:rsidRPr="00811B86">
        <w:rPr>
          <w:sz w:val="21"/>
          <w:szCs w:val="21"/>
        </w:rPr>
        <w:t xml:space="preserve"> </w:t>
      </w:r>
      <w:r w:rsidRPr="00811B86">
        <w:rPr>
          <w:sz w:val="21"/>
          <w:szCs w:val="21"/>
        </w:rPr>
        <w:t>(</w:t>
      </w:r>
      <w:r w:rsidR="00D215C5" w:rsidRPr="00811B86">
        <w:rPr>
          <w:sz w:val="21"/>
          <w:szCs w:val="21"/>
        </w:rPr>
        <w:t>Z Energy</w:t>
      </w:r>
      <w:r w:rsidRPr="00811B86">
        <w:rPr>
          <w:sz w:val="21"/>
          <w:szCs w:val="21"/>
        </w:rPr>
        <w:t xml:space="preserve">, </w:t>
      </w:r>
      <w:r w:rsidR="00F72BD2">
        <w:rPr>
          <w:sz w:val="21"/>
          <w:szCs w:val="21"/>
        </w:rPr>
        <w:t>00079</w:t>
      </w:r>
      <w:r w:rsidRPr="00811B86">
        <w:rPr>
          <w:sz w:val="21"/>
          <w:szCs w:val="21"/>
        </w:rPr>
        <w:t>)</w:t>
      </w:r>
    </w:p>
    <w:p w:rsidR="000F5A2A" w:rsidRPr="00231D5A" w:rsidRDefault="00465B2E" w:rsidP="000F5A2A">
      <w:pPr>
        <w:pStyle w:val="Tableheading"/>
      </w:pPr>
      <w:bookmarkStart w:id="55" w:name="_Toc463270171"/>
      <w:r>
        <w:t>Table 7</w:t>
      </w:r>
      <w:r w:rsidR="000F5A2A" w:rsidRPr="009314F0">
        <w:t xml:space="preserve">: </w:t>
      </w:r>
      <w:r w:rsidR="000F5A2A" w:rsidRPr="009314F0">
        <w:tab/>
      </w:r>
      <w:r w:rsidR="00B556C0">
        <w:t>Submitter</w:t>
      </w:r>
      <w:r w:rsidR="000F5A2A" w:rsidRPr="009314F0">
        <w:t xml:space="preserve"> positions – </w:t>
      </w:r>
      <w:r w:rsidR="00F5084D">
        <w:rPr>
          <w:i/>
        </w:rPr>
        <w:t>What impact has carbon price volatility in the NZ ETS had on your business?</w:t>
      </w:r>
      <w:bookmarkEnd w:id="55"/>
    </w:p>
    <w:tbl>
      <w:tblPr>
        <w:tblW w:w="8505" w:type="dxa"/>
        <w:tblInd w:w="93" w:type="dxa"/>
        <w:tblLayout w:type="fixed"/>
        <w:tblLook w:val="04A0" w:firstRow="1" w:lastRow="0" w:firstColumn="1" w:lastColumn="0" w:noHBand="0" w:noVBand="1"/>
      </w:tblPr>
      <w:tblGrid>
        <w:gridCol w:w="3326"/>
        <w:gridCol w:w="1036"/>
        <w:gridCol w:w="1036"/>
        <w:gridCol w:w="1035"/>
        <w:gridCol w:w="1036"/>
        <w:gridCol w:w="1036"/>
      </w:tblGrid>
      <w:tr w:rsidR="000F5A2A" w:rsidRPr="00231D5A" w:rsidTr="00E4116C">
        <w:trPr>
          <w:trHeight w:val="300"/>
          <w:tblHeader/>
        </w:trPr>
        <w:tc>
          <w:tcPr>
            <w:tcW w:w="3326" w:type="dxa"/>
            <w:tcBorders>
              <w:top w:val="nil"/>
              <w:left w:val="nil"/>
              <w:bottom w:val="single" w:sz="4" w:space="0" w:color="005984"/>
              <w:right w:val="single" w:sz="4" w:space="0" w:color="005984"/>
            </w:tcBorders>
            <w:noWrap/>
            <w:vAlign w:val="bottom"/>
            <w:hideMark/>
          </w:tcPr>
          <w:p w:rsidR="000F5A2A" w:rsidRPr="00231D5A" w:rsidRDefault="000F5A2A" w:rsidP="000F5A2A">
            <w:pPr>
              <w:spacing w:before="0" w:after="0"/>
              <w:rPr>
                <w:rFonts w:ascii="Times New Roman" w:hAnsi="Times New Roman" w:cs="Times New Roman"/>
                <w:sz w:val="20"/>
                <w:szCs w:val="20"/>
                <w:lang w:eastAsia="en-NZ"/>
              </w:rPr>
            </w:pPr>
          </w:p>
        </w:tc>
        <w:tc>
          <w:tcPr>
            <w:tcW w:w="1036"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0F5A2A" w:rsidRPr="00231D5A" w:rsidRDefault="006E7116" w:rsidP="000F5A2A">
            <w:pPr>
              <w:pStyle w:val="TableTextbold"/>
              <w:jc w:val="center"/>
              <w:rPr>
                <w:color w:val="FFFFFF"/>
                <w:lang w:eastAsia="en-NZ"/>
              </w:rPr>
            </w:pPr>
            <w:r>
              <w:rPr>
                <w:color w:val="FFFFFF"/>
                <w:lang w:eastAsia="en-NZ"/>
              </w:rPr>
              <w:t>Minor</w:t>
            </w:r>
          </w:p>
        </w:tc>
        <w:tc>
          <w:tcPr>
            <w:tcW w:w="1036"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0F5A2A" w:rsidRPr="00231D5A" w:rsidRDefault="006E7116" w:rsidP="000F5A2A">
            <w:pPr>
              <w:pStyle w:val="TableTextbold"/>
              <w:jc w:val="center"/>
              <w:rPr>
                <w:color w:val="FFFFFF"/>
                <w:lang w:eastAsia="en-NZ"/>
              </w:rPr>
            </w:pPr>
            <w:r>
              <w:rPr>
                <w:color w:val="FFFFFF"/>
                <w:lang w:eastAsia="en-NZ"/>
              </w:rPr>
              <w:t>Moderate</w:t>
            </w:r>
          </w:p>
        </w:tc>
        <w:tc>
          <w:tcPr>
            <w:tcW w:w="1035" w:type="dxa"/>
            <w:tcBorders>
              <w:top w:val="single" w:sz="4" w:space="0" w:color="005984"/>
              <w:left w:val="single" w:sz="4" w:space="0" w:color="005984"/>
              <w:bottom w:val="single" w:sz="4" w:space="0" w:color="005984"/>
              <w:right w:val="nil"/>
            </w:tcBorders>
            <w:shd w:val="clear" w:color="auto" w:fill="005984"/>
            <w:noWrap/>
            <w:vAlign w:val="bottom"/>
            <w:hideMark/>
          </w:tcPr>
          <w:p w:rsidR="000F5A2A" w:rsidRPr="00231D5A" w:rsidRDefault="006E7116" w:rsidP="000F5A2A">
            <w:pPr>
              <w:pStyle w:val="TableTextbold"/>
              <w:jc w:val="center"/>
              <w:rPr>
                <w:color w:val="FFFFFF"/>
                <w:lang w:eastAsia="en-NZ"/>
              </w:rPr>
            </w:pPr>
            <w:r>
              <w:rPr>
                <w:color w:val="FFFFFF"/>
                <w:lang w:eastAsia="en-NZ"/>
              </w:rPr>
              <w:t>Significant</w:t>
            </w:r>
          </w:p>
        </w:tc>
        <w:tc>
          <w:tcPr>
            <w:tcW w:w="1036" w:type="dxa"/>
            <w:tcBorders>
              <w:top w:val="single" w:sz="4" w:space="0" w:color="005984"/>
              <w:left w:val="single" w:sz="4" w:space="0" w:color="005984"/>
              <w:bottom w:val="single" w:sz="4" w:space="0" w:color="005984"/>
              <w:right w:val="single" w:sz="4" w:space="0" w:color="005984"/>
            </w:tcBorders>
            <w:shd w:val="clear" w:color="auto" w:fill="005984"/>
            <w:vAlign w:val="bottom"/>
            <w:hideMark/>
          </w:tcPr>
          <w:p w:rsidR="000F5A2A" w:rsidRPr="00231D5A" w:rsidRDefault="006E7116" w:rsidP="000F5A2A">
            <w:pPr>
              <w:pStyle w:val="TableTextbold"/>
              <w:jc w:val="center"/>
              <w:rPr>
                <w:color w:val="FFFFFF"/>
                <w:lang w:eastAsia="en-NZ"/>
              </w:rPr>
            </w:pPr>
            <w:r>
              <w:rPr>
                <w:color w:val="FFFFFF"/>
                <w:lang w:eastAsia="en-NZ"/>
              </w:rPr>
              <w:t>Unsure/ unclear</w:t>
            </w:r>
          </w:p>
        </w:tc>
        <w:tc>
          <w:tcPr>
            <w:tcW w:w="1036" w:type="dxa"/>
            <w:tcBorders>
              <w:top w:val="single" w:sz="4" w:space="0" w:color="005984"/>
              <w:left w:val="single" w:sz="4" w:space="0" w:color="005984"/>
              <w:bottom w:val="single" w:sz="4" w:space="0" w:color="005984"/>
              <w:right w:val="nil"/>
            </w:tcBorders>
            <w:shd w:val="clear" w:color="auto" w:fill="005984"/>
            <w:vAlign w:val="bottom"/>
            <w:hideMark/>
          </w:tcPr>
          <w:p w:rsidR="000F5A2A" w:rsidRPr="00231D5A" w:rsidRDefault="000F5A2A" w:rsidP="000F5A2A">
            <w:pPr>
              <w:pStyle w:val="TableTextbold"/>
              <w:jc w:val="center"/>
              <w:rPr>
                <w:color w:val="FFFFFF"/>
                <w:lang w:eastAsia="en-NZ"/>
              </w:rPr>
            </w:pPr>
            <w:r w:rsidRPr="00231D5A">
              <w:rPr>
                <w:color w:val="FFFFFF"/>
                <w:lang w:eastAsia="en-NZ"/>
              </w:rPr>
              <w:t>Total</w:t>
            </w:r>
          </w:p>
        </w:tc>
      </w:tr>
      <w:tr w:rsidR="006E7116"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6E7116" w:rsidRPr="00C76622" w:rsidRDefault="006E7116" w:rsidP="002F039F">
            <w:pPr>
              <w:pStyle w:val="TableText"/>
              <w:spacing w:before="50" w:after="50"/>
              <w:rPr>
                <w:lang w:eastAsia="en-NZ"/>
              </w:rPr>
            </w:pPr>
            <w:r w:rsidRPr="00C76622">
              <w:rPr>
                <w:lang w:eastAsia="en-NZ"/>
              </w:rPr>
              <w:t xml:space="preserve">Agriculture </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6E7116" w:rsidRPr="00595ED7" w:rsidRDefault="006E7116" w:rsidP="002F039F">
            <w:pPr>
              <w:spacing w:before="50" w:after="50"/>
              <w:jc w:val="right"/>
              <w:rPr>
                <w:sz w:val="18"/>
                <w:szCs w:val="18"/>
                <w:lang w:eastAsia="en-NZ"/>
              </w:rPr>
            </w:pPr>
            <w:r w:rsidRPr="00595ED7">
              <w:rPr>
                <w:sz w:val="18"/>
                <w:szCs w:val="18"/>
                <w:lang w:eastAsia="en-NZ"/>
              </w:rPr>
              <w:t>1</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6E7116" w:rsidRPr="00595ED7" w:rsidRDefault="006E7116" w:rsidP="002F039F">
            <w:pPr>
              <w:spacing w:before="50" w:after="50"/>
              <w:jc w:val="right"/>
              <w:rPr>
                <w:sz w:val="18"/>
                <w:szCs w:val="18"/>
                <w:lang w:eastAsia="en-NZ"/>
              </w:rPr>
            </w:pPr>
            <w:r w:rsidRPr="00595ED7">
              <w:rPr>
                <w:sz w:val="18"/>
                <w:szCs w:val="18"/>
                <w:lang w:eastAsia="en-NZ"/>
              </w:rPr>
              <w:t>2</w:t>
            </w:r>
          </w:p>
        </w:tc>
        <w:tc>
          <w:tcPr>
            <w:tcW w:w="1035" w:type="dxa"/>
            <w:tcBorders>
              <w:top w:val="single" w:sz="4" w:space="0" w:color="005984"/>
              <w:left w:val="single" w:sz="4" w:space="0" w:color="005984"/>
              <w:bottom w:val="single" w:sz="4" w:space="0" w:color="005984"/>
              <w:right w:val="nil"/>
            </w:tcBorders>
            <w:noWrap/>
            <w:vAlign w:val="bottom"/>
          </w:tcPr>
          <w:p w:rsidR="006E7116" w:rsidRPr="00595ED7" w:rsidRDefault="006E7116" w:rsidP="002F039F">
            <w:pPr>
              <w:spacing w:before="50" w:after="50"/>
              <w:jc w:val="right"/>
              <w:rPr>
                <w:sz w:val="18"/>
                <w:szCs w:val="18"/>
                <w:lang w:eastAsia="en-NZ"/>
              </w:rPr>
            </w:pPr>
            <w:r w:rsidRPr="00595ED7">
              <w:rPr>
                <w:sz w:val="18"/>
                <w:szCs w:val="18"/>
                <w:lang w:eastAsia="en-NZ"/>
              </w:rPr>
              <w:t>3</w:t>
            </w:r>
          </w:p>
        </w:tc>
        <w:tc>
          <w:tcPr>
            <w:tcW w:w="1036" w:type="dxa"/>
            <w:tcBorders>
              <w:top w:val="single" w:sz="4" w:space="0" w:color="005984"/>
              <w:left w:val="single" w:sz="4" w:space="0" w:color="005984"/>
              <w:bottom w:val="single" w:sz="4" w:space="0" w:color="005984"/>
              <w:right w:val="single" w:sz="4" w:space="0" w:color="005984"/>
            </w:tcBorders>
            <w:vAlign w:val="bottom"/>
          </w:tcPr>
          <w:p w:rsidR="006E7116" w:rsidRPr="00595ED7" w:rsidRDefault="006E7116" w:rsidP="002F039F">
            <w:pPr>
              <w:spacing w:before="50" w:after="50"/>
              <w:jc w:val="right"/>
              <w:rPr>
                <w:sz w:val="18"/>
                <w:szCs w:val="18"/>
                <w:lang w:eastAsia="en-NZ"/>
              </w:rPr>
            </w:pPr>
            <w:r w:rsidRPr="00595ED7">
              <w:rPr>
                <w:sz w:val="18"/>
                <w:szCs w:val="18"/>
                <w:lang w:eastAsia="en-NZ"/>
              </w:rPr>
              <w:t>0</w:t>
            </w:r>
          </w:p>
        </w:tc>
        <w:tc>
          <w:tcPr>
            <w:tcW w:w="1036" w:type="dxa"/>
            <w:tcBorders>
              <w:top w:val="single" w:sz="4" w:space="0" w:color="005984"/>
              <w:left w:val="single" w:sz="4" w:space="0" w:color="005984"/>
              <w:bottom w:val="single" w:sz="4" w:space="0" w:color="005984"/>
              <w:right w:val="nil"/>
            </w:tcBorders>
            <w:vAlign w:val="bottom"/>
          </w:tcPr>
          <w:p w:rsidR="006E7116" w:rsidRPr="00595ED7" w:rsidRDefault="006E7116" w:rsidP="002F039F">
            <w:pPr>
              <w:spacing w:before="50" w:after="50"/>
              <w:jc w:val="right"/>
              <w:rPr>
                <w:sz w:val="18"/>
                <w:szCs w:val="18"/>
                <w:lang w:eastAsia="en-NZ"/>
              </w:rPr>
            </w:pPr>
            <w:r w:rsidRPr="00595ED7">
              <w:rPr>
                <w:sz w:val="18"/>
                <w:szCs w:val="18"/>
                <w:lang w:eastAsia="en-NZ"/>
              </w:rPr>
              <w:t>6</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t>Business groups</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Pr>
                <w:sz w:val="18"/>
                <w:szCs w:val="18"/>
                <w:lang w:eastAsia="en-NZ"/>
              </w:rPr>
              <w:t>0</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Pr>
                <w:sz w:val="18"/>
                <w:szCs w:val="18"/>
                <w:lang w:eastAsia="en-NZ"/>
              </w:rPr>
              <w:t>0</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Pr>
                <w:sz w:val="18"/>
                <w:szCs w:val="18"/>
                <w:lang w:eastAsia="en-NZ"/>
              </w:rPr>
              <w:t>0</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Pr>
                <w:sz w:val="18"/>
                <w:szCs w:val="18"/>
                <w:lang w:eastAsia="en-NZ"/>
              </w:rPr>
              <w:t>0</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Pr>
                <w:sz w:val="18"/>
                <w:szCs w:val="18"/>
                <w:lang w:eastAsia="en-NZ"/>
              </w:rPr>
              <w:t>0</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t xml:space="preserve">Electricity </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1</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3</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6</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t xml:space="preserve">Forestry </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5</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25</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3</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35</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t>Individual</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7</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9</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3</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21</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t xml:space="preserve">Industrial processors </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4</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1</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7</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t>Iwi/Māori</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3</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3</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6</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t xml:space="preserve">Liquid fossil fuels </w:t>
            </w:r>
            <w:r>
              <w:rPr>
                <w:lang w:eastAsia="en-NZ"/>
              </w:rPr>
              <w:t>(transport)</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1</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3</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t>Local government</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t>NGO and community groups</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1</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1</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3</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5</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t>Research and tertiary organisations</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4</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t xml:space="preserve">Stationary energy </w:t>
            </w:r>
            <w:r>
              <w:rPr>
                <w:lang w:eastAsia="en-NZ"/>
              </w:rPr>
              <w:t>(excluding electricity)</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1</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5</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lastRenderedPageBreak/>
              <w:t>Waste sector</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2</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3</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3</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10</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t>Wood processors</w:t>
            </w:r>
            <w:r>
              <w:rPr>
                <w:lang w:eastAsia="en-NZ"/>
              </w:rPr>
              <w:t xml:space="preserve"> and manufacturers</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1</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1</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C76622" w:rsidRDefault="00595ED7" w:rsidP="002F039F">
            <w:pPr>
              <w:pStyle w:val="TableText"/>
              <w:spacing w:before="50" w:after="50"/>
              <w:rPr>
                <w:lang w:eastAsia="en-NZ"/>
              </w:rPr>
            </w:pPr>
            <w:r w:rsidRPr="00C76622">
              <w:rPr>
                <w:lang w:eastAsia="en-NZ"/>
              </w:rPr>
              <w:t>Other</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1</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0</w:t>
            </w:r>
          </w:p>
        </w:tc>
        <w:tc>
          <w:tcPr>
            <w:tcW w:w="1035" w:type="dxa"/>
            <w:tcBorders>
              <w:top w:val="single" w:sz="4" w:space="0" w:color="005984"/>
              <w:left w:val="single" w:sz="4" w:space="0" w:color="005984"/>
              <w:bottom w:val="single" w:sz="4" w:space="0" w:color="005984"/>
              <w:right w:val="nil"/>
            </w:tcBorders>
            <w:noWrap/>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3</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1</w:t>
            </w:r>
          </w:p>
        </w:tc>
        <w:tc>
          <w:tcPr>
            <w:tcW w:w="1036" w:type="dxa"/>
            <w:tcBorders>
              <w:top w:val="single" w:sz="4" w:space="0" w:color="005984"/>
              <w:left w:val="single" w:sz="4" w:space="0" w:color="005984"/>
              <w:bottom w:val="single" w:sz="4" w:space="0" w:color="005984"/>
              <w:right w:val="nil"/>
            </w:tcBorders>
            <w:vAlign w:val="bottom"/>
          </w:tcPr>
          <w:p w:rsidR="00595ED7" w:rsidRPr="00595ED7" w:rsidRDefault="00595ED7" w:rsidP="002F039F">
            <w:pPr>
              <w:spacing w:before="50" w:after="50"/>
              <w:jc w:val="right"/>
              <w:rPr>
                <w:sz w:val="18"/>
                <w:szCs w:val="18"/>
                <w:lang w:eastAsia="en-NZ"/>
              </w:rPr>
            </w:pPr>
            <w:r w:rsidRPr="00595ED7">
              <w:rPr>
                <w:sz w:val="18"/>
                <w:szCs w:val="18"/>
                <w:lang w:eastAsia="en-NZ"/>
              </w:rPr>
              <w:t>5</w:t>
            </w:r>
          </w:p>
        </w:tc>
      </w:tr>
      <w:tr w:rsidR="00595ED7" w:rsidRPr="00231D5A" w:rsidTr="00404182">
        <w:trPr>
          <w:trHeight w:val="300"/>
        </w:trPr>
        <w:tc>
          <w:tcPr>
            <w:tcW w:w="3326" w:type="dxa"/>
            <w:tcBorders>
              <w:top w:val="single" w:sz="4" w:space="0" w:color="005984"/>
              <w:left w:val="nil"/>
              <w:bottom w:val="single" w:sz="4" w:space="0" w:color="005984"/>
              <w:right w:val="single" w:sz="4" w:space="0" w:color="005984"/>
            </w:tcBorders>
            <w:noWrap/>
            <w:vAlign w:val="center"/>
          </w:tcPr>
          <w:p w:rsidR="00595ED7" w:rsidRPr="002F039F" w:rsidRDefault="00595ED7" w:rsidP="002F039F">
            <w:pPr>
              <w:pStyle w:val="TableText"/>
              <w:spacing w:before="50" w:after="50"/>
              <w:rPr>
                <w:b/>
                <w:lang w:eastAsia="en-NZ"/>
              </w:rPr>
            </w:pPr>
            <w:r w:rsidRPr="002F039F">
              <w:rPr>
                <w:b/>
                <w:lang w:eastAsia="en-NZ"/>
              </w:rPr>
              <w:t>TOTAL</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2F039F" w:rsidRDefault="00595ED7" w:rsidP="002F039F">
            <w:pPr>
              <w:spacing w:before="50" w:after="50"/>
              <w:jc w:val="right"/>
              <w:rPr>
                <w:b/>
                <w:sz w:val="18"/>
                <w:szCs w:val="18"/>
                <w:lang w:eastAsia="en-NZ"/>
              </w:rPr>
            </w:pPr>
            <w:r w:rsidRPr="002F039F">
              <w:rPr>
                <w:b/>
                <w:sz w:val="18"/>
                <w:szCs w:val="18"/>
                <w:lang w:eastAsia="en-NZ"/>
              </w:rPr>
              <w:t>29</w:t>
            </w:r>
          </w:p>
        </w:tc>
        <w:tc>
          <w:tcPr>
            <w:tcW w:w="1036" w:type="dxa"/>
            <w:tcBorders>
              <w:top w:val="single" w:sz="4" w:space="0" w:color="005984"/>
              <w:left w:val="single" w:sz="4" w:space="0" w:color="005984"/>
              <w:bottom w:val="single" w:sz="4" w:space="0" w:color="005984"/>
              <w:right w:val="single" w:sz="4" w:space="0" w:color="005984"/>
            </w:tcBorders>
            <w:noWrap/>
            <w:vAlign w:val="bottom"/>
          </w:tcPr>
          <w:p w:rsidR="00595ED7" w:rsidRPr="002F039F" w:rsidRDefault="00595ED7" w:rsidP="002F039F">
            <w:pPr>
              <w:spacing w:before="50" w:after="50"/>
              <w:jc w:val="right"/>
              <w:rPr>
                <w:b/>
                <w:sz w:val="18"/>
                <w:szCs w:val="18"/>
                <w:lang w:eastAsia="en-NZ"/>
              </w:rPr>
            </w:pPr>
            <w:r w:rsidRPr="002F039F">
              <w:rPr>
                <w:b/>
                <w:sz w:val="18"/>
                <w:szCs w:val="18"/>
                <w:lang w:eastAsia="en-NZ"/>
              </w:rPr>
              <w:t>12</w:t>
            </w:r>
          </w:p>
        </w:tc>
        <w:tc>
          <w:tcPr>
            <w:tcW w:w="1035" w:type="dxa"/>
            <w:tcBorders>
              <w:top w:val="single" w:sz="4" w:space="0" w:color="005984"/>
              <w:left w:val="single" w:sz="4" w:space="0" w:color="005984"/>
              <w:bottom w:val="single" w:sz="4" w:space="0" w:color="005984"/>
              <w:right w:val="nil"/>
            </w:tcBorders>
            <w:noWrap/>
            <w:vAlign w:val="bottom"/>
          </w:tcPr>
          <w:p w:rsidR="00595ED7" w:rsidRPr="002F039F" w:rsidRDefault="00595ED7" w:rsidP="002F039F">
            <w:pPr>
              <w:spacing w:before="50" w:after="50"/>
              <w:jc w:val="right"/>
              <w:rPr>
                <w:b/>
                <w:sz w:val="18"/>
                <w:szCs w:val="18"/>
                <w:lang w:eastAsia="en-NZ"/>
              </w:rPr>
            </w:pPr>
            <w:r w:rsidRPr="002F039F">
              <w:rPr>
                <w:b/>
                <w:sz w:val="18"/>
                <w:szCs w:val="18"/>
                <w:lang w:eastAsia="en-NZ"/>
              </w:rPr>
              <w:t>59</w:t>
            </w:r>
          </w:p>
        </w:tc>
        <w:tc>
          <w:tcPr>
            <w:tcW w:w="1036" w:type="dxa"/>
            <w:tcBorders>
              <w:top w:val="single" w:sz="4" w:space="0" w:color="005984"/>
              <w:left w:val="single" w:sz="4" w:space="0" w:color="005984"/>
              <w:bottom w:val="single" w:sz="4" w:space="0" w:color="005984"/>
              <w:right w:val="single" w:sz="4" w:space="0" w:color="005984"/>
            </w:tcBorders>
            <w:vAlign w:val="bottom"/>
          </w:tcPr>
          <w:p w:rsidR="00595ED7" w:rsidRPr="002F039F" w:rsidRDefault="00595ED7" w:rsidP="002F039F">
            <w:pPr>
              <w:spacing w:before="50" w:after="50"/>
              <w:jc w:val="right"/>
              <w:rPr>
                <w:b/>
                <w:sz w:val="18"/>
                <w:szCs w:val="18"/>
                <w:lang w:eastAsia="en-NZ"/>
              </w:rPr>
            </w:pPr>
            <w:r w:rsidRPr="002F039F">
              <w:rPr>
                <w:b/>
                <w:sz w:val="18"/>
                <w:szCs w:val="18"/>
                <w:lang w:eastAsia="en-NZ"/>
              </w:rPr>
              <w:t>16</w:t>
            </w:r>
          </w:p>
        </w:tc>
        <w:tc>
          <w:tcPr>
            <w:tcW w:w="1036" w:type="dxa"/>
            <w:tcBorders>
              <w:top w:val="single" w:sz="4" w:space="0" w:color="005984"/>
              <w:left w:val="single" w:sz="4" w:space="0" w:color="005984"/>
              <w:bottom w:val="single" w:sz="4" w:space="0" w:color="005984"/>
              <w:right w:val="nil"/>
            </w:tcBorders>
            <w:vAlign w:val="bottom"/>
          </w:tcPr>
          <w:p w:rsidR="00595ED7" w:rsidRPr="002F039F" w:rsidRDefault="00595ED7" w:rsidP="002F039F">
            <w:pPr>
              <w:spacing w:before="50" w:after="50"/>
              <w:jc w:val="right"/>
              <w:rPr>
                <w:b/>
                <w:sz w:val="18"/>
                <w:szCs w:val="18"/>
                <w:lang w:eastAsia="en-NZ"/>
              </w:rPr>
            </w:pPr>
            <w:r w:rsidRPr="002F039F">
              <w:rPr>
                <w:b/>
                <w:sz w:val="18"/>
                <w:szCs w:val="18"/>
                <w:lang w:eastAsia="en-NZ"/>
              </w:rPr>
              <w:t>116</w:t>
            </w:r>
          </w:p>
        </w:tc>
      </w:tr>
    </w:tbl>
    <w:p w:rsidR="000F5A2A" w:rsidRDefault="000F5A2A" w:rsidP="00113656">
      <w:pPr>
        <w:pStyle w:val="Figureheading"/>
        <w:spacing w:before="240"/>
        <w:rPr>
          <w:i/>
        </w:rPr>
      </w:pPr>
      <w:bookmarkStart w:id="56" w:name="_Toc462814467"/>
      <w:r w:rsidRPr="00C76622">
        <w:t xml:space="preserve">Figure </w:t>
      </w:r>
      <w:r w:rsidR="00AD5B83">
        <w:t>6</w:t>
      </w:r>
      <w:r w:rsidRPr="00C76622">
        <w:t xml:space="preserve">: </w:t>
      </w:r>
      <w:r w:rsidRPr="00C76622">
        <w:tab/>
      </w:r>
      <w:r w:rsidR="00B556C0">
        <w:t>Submitter</w:t>
      </w:r>
      <w:r w:rsidRPr="00C76622">
        <w:t xml:space="preserve"> positions – </w:t>
      </w:r>
      <w:r w:rsidR="00F5084D">
        <w:rPr>
          <w:i/>
        </w:rPr>
        <w:t>What impact has carbon price volatility in the NZ ETS had on your business?</w:t>
      </w:r>
      <w:bookmarkEnd w:id="56"/>
    </w:p>
    <w:p w:rsidR="000F5A2A" w:rsidRPr="00C76622" w:rsidRDefault="00996A3C" w:rsidP="00996A3C">
      <w:pPr>
        <w:ind w:firstLine="284"/>
      </w:pPr>
      <w:r>
        <w:rPr>
          <w:noProof/>
          <w:lang w:eastAsia="en-NZ"/>
        </w:rPr>
        <w:drawing>
          <wp:inline distT="0" distB="0" distL="0" distR="0" wp14:anchorId="2C90EE64">
            <wp:extent cx="5407660" cy="27495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7660" cy="2749550"/>
                    </a:xfrm>
                    <a:prstGeom prst="rect">
                      <a:avLst/>
                    </a:prstGeom>
                    <a:noFill/>
                  </pic:spPr>
                </pic:pic>
              </a:graphicData>
            </a:graphic>
          </wp:inline>
        </w:drawing>
      </w:r>
    </w:p>
    <w:p w:rsidR="00D215C5" w:rsidRPr="004D717A" w:rsidRDefault="0040636D" w:rsidP="00D215C5">
      <w:pPr>
        <w:pStyle w:val="Heading2"/>
      </w:pPr>
      <w:bookmarkStart w:id="57" w:name="_Toc456013888"/>
      <w:bookmarkStart w:id="58" w:name="_Toc463270141"/>
      <w:r>
        <w:t>7</w:t>
      </w:r>
      <w:r w:rsidR="00D215C5" w:rsidRPr="004D717A">
        <w:t xml:space="preserve">.2 </w:t>
      </w:r>
      <w:r w:rsidR="00D215C5" w:rsidRPr="004D717A">
        <w:tab/>
        <w:t>Do you think measures should be in place to manage price stability? (Question 21)</w:t>
      </w:r>
      <w:bookmarkEnd w:id="57"/>
      <w:bookmarkEnd w:id="58"/>
    </w:p>
    <w:p w:rsidR="00D215C5" w:rsidRPr="004D717A" w:rsidRDefault="00A63FB9" w:rsidP="00B8466E">
      <w:r>
        <w:t xml:space="preserve">In total, </w:t>
      </w:r>
      <w:r w:rsidR="00632468">
        <w:t>164 submitters (</w:t>
      </w:r>
      <w:r w:rsidR="00C2449D">
        <w:t>approximately</w:t>
      </w:r>
      <w:r w:rsidR="00632468">
        <w:t xml:space="preserve"> 50</w:t>
      </w:r>
      <w:r w:rsidR="00D215C5" w:rsidRPr="004D717A">
        <w:t xml:space="preserve"> </w:t>
      </w:r>
      <w:r w:rsidR="008E24E1">
        <w:t>per cent</w:t>
      </w:r>
      <w:r w:rsidR="00D215C5" w:rsidRPr="004D717A">
        <w:t xml:space="preserve"> of </w:t>
      </w:r>
      <w:r w:rsidR="00D172CA">
        <w:t xml:space="preserve">the </w:t>
      </w:r>
      <w:r w:rsidR="00D215C5" w:rsidRPr="004D717A">
        <w:t xml:space="preserve">total number of submitters) addressed this question. </w:t>
      </w:r>
      <w:r w:rsidR="00505E53">
        <w:t>A</w:t>
      </w:r>
      <w:r w:rsidR="001A3EBE">
        <w:t>pprox</w:t>
      </w:r>
      <w:r w:rsidR="00B90087">
        <w:t>imately</w:t>
      </w:r>
      <w:r w:rsidR="00D215C5" w:rsidRPr="004D717A">
        <w:t xml:space="preserve"> 6</w:t>
      </w:r>
      <w:r w:rsidR="00632468">
        <w:t>5</w:t>
      </w:r>
      <w:r w:rsidR="00D215C5" w:rsidRPr="004D717A">
        <w:t xml:space="preserve"> </w:t>
      </w:r>
      <w:r w:rsidR="008E24E1">
        <w:t>per cent</w:t>
      </w:r>
      <w:r w:rsidR="00505E53">
        <w:t xml:space="preserve"> of these submitters</w:t>
      </w:r>
      <w:r w:rsidR="00D215C5" w:rsidRPr="004D717A">
        <w:t xml:space="preserve"> </w:t>
      </w:r>
      <w:r w:rsidR="00505E53">
        <w:t>thought</w:t>
      </w:r>
      <w:r w:rsidR="00D215C5" w:rsidRPr="004D717A">
        <w:t xml:space="preserve"> there should be measures in place to manage price stability, </w:t>
      </w:r>
      <w:r w:rsidR="00505E53">
        <w:t xml:space="preserve">although some suggested </w:t>
      </w:r>
      <w:r w:rsidR="00D215C5" w:rsidRPr="004D717A">
        <w:t>conditions</w:t>
      </w:r>
      <w:r w:rsidR="00505E53">
        <w:t xml:space="preserve"> for these measures</w:t>
      </w:r>
      <w:r w:rsidR="00D215C5" w:rsidRPr="004D717A">
        <w:t>.</w:t>
      </w:r>
    </w:p>
    <w:p w:rsidR="00D215C5" w:rsidRPr="004D717A" w:rsidRDefault="00637E24" w:rsidP="00D215C5">
      <w:pPr>
        <w:pStyle w:val="Heading4"/>
      </w:pPr>
      <w:r>
        <w:t xml:space="preserve">To </w:t>
      </w:r>
      <w:r w:rsidR="007C13DC">
        <w:t>reduce risk of price volatility</w:t>
      </w:r>
    </w:p>
    <w:p w:rsidR="00D215C5" w:rsidRPr="004D717A" w:rsidRDefault="00D215C5" w:rsidP="00B8466E">
      <w:r w:rsidRPr="004D717A">
        <w:t xml:space="preserve">Some submitters </w:t>
      </w:r>
      <w:r w:rsidR="00505E53">
        <w:t xml:space="preserve">thought </w:t>
      </w:r>
      <w:r w:rsidRPr="004D717A">
        <w:t xml:space="preserve">that price </w:t>
      </w:r>
      <w:r w:rsidR="00505E53">
        <w:t xml:space="preserve">stability </w:t>
      </w:r>
      <w:r w:rsidRPr="004D717A">
        <w:t xml:space="preserve">mechanisms were necessary </w:t>
      </w:r>
      <w:r w:rsidR="00D172CA">
        <w:t>because</w:t>
      </w:r>
      <w:r w:rsidRPr="004D717A">
        <w:t xml:space="preserve"> the small size of the N</w:t>
      </w:r>
      <w:r w:rsidR="00CC6CA2">
        <w:t xml:space="preserve">ew </w:t>
      </w:r>
      <w:r w:rsidRPr="004D717A">
        <w:t>Z</w:t>
      </w:r>
      <w:r w:rsidR="00CC6CA2">
        <w:t>ealand carbon</w:t>
      </w:r>
      <w:r w:rsidRPr="004D717A">
        <w:t xml:space="preserve"> market </w:t>
      </w:r>
      <w:r w:rsidR="00D667C6">
        <w:t>increas</w:t>
      </w:r>
      <w:r w:rsidR="00514A4C">
        <w:t>es</w:t>
      </w:r>
      <w:r w:rsidR="00D667C6">
        <w:t xml:space="preserve"> the risk of volatility due to </w:t>
      </w:r>
      <w:r w:rsidRPr="004D717A">
        <w:t xml:space="preserve">unit supply-demand imbalances. A few noted that </w:t>
      </w:r>
      <w:r w:rsidR="00CC6CA2">
        <w:t>price stability mechanisms</w:t>
      </w:r>
      <w:r w:rsidRPr="004D717A">
        <w:t xml:space="preserve"> would be important while there is no access to international units.</w:t>
      </w:r>
    </w:p>
    <w:p w:rsidR="00D215C5" w:rsidRPr="00811B86" w:rsidRDefault="00837A1C" w:rsidP="00811B86">
      <w:pPr>
        <w:ind w:left="567" w:right="567"/>
        <w:rPr>
          <w:sz w:val="21"/>
          <w:szCs w:val="21"/>
        </w:rPr>
      </w:pPr>
      <w:r w:rsidRPr="00811B86">
        <w:rPr>
          <w:sz w:val="21"/>
          <w:szCs w:val="21"/>
        </w:rPr>
        <w:t>“</w:t>
      </w:r>
      <w:r w:rsidR="00D215C5" w:rsidRPr="00811B86">
        <w:rPr>
          <w:sz w:val="21"/>
          <w:szCs w:val="21"/>
        </w:rPr>
        <w:t>Significant price volatility, which is a material risk given the current market design and small market size, would potentially be damaging to domestic consumers (through price increases) and could also undermine confidence in the market and create investment uncertainty.</w:t>
      </w:r>
      <w:r w:rsidRPr="00811B86">
        <w:rPr>
          <w:sz w:val="21"/>
          <w:szCs w:val="21"/>
        </w:rPr>
        <w:t>”</w:t>
      </w:r>
      <w:r w:rsidR="00D215C5" w:rsidRPr="00811B86">
        <w:rPr>
          <w:sz w:val="21"/>
          <w:szCs w:val="21"/>
        </w:rPr>
        <w:t xml:space="preserve"> </w:t>
      </w:r>
      <w:r w:rsidRPr="00811B86">
        <w:rPr>
          <w:sz w:val="21"/>
          <w:szCs w:val="21"/>
        </w:rPr>
        <w:t>(</w:t>
      </w:r>
      <w:r w:rsidR="00D215C5" w:rsidRPr="00811B86">
        <w:rPr>
          <w:sz w:val="21"/>
          <w:szCs w:val="21"/>
        </w:rPr>
        <w:t>Petroleum Exploration and Production Association</w:t>
      </w:r>
      <w:r w:rsidRPr="00811B86">
        <w:rPr>
          <w:sz w:val="21"/>
          <w:szCs w:val="21"/>
        </w:rPr>
        <w:t xml:space="preserve">, </w:t>
      </w:r>
      <w:r w:rsidR="007B7E74" w:rsidRPr="007B7E74">
        <w:rPr>
          <w:rFonts w:asciiTheme="minorHAnsi" w:hAnsiTheme="minorHAnsi" w:cs="Times New Roman"/>
          <w:sz w:val="21"/>
          <w:szCs w:val="21"/>
          <w:lang w:eastAsia="en-NZ"/>
        </w:rPr>
        <w:t>00114</w:t>
      </w:r>
      <w:r w:rsidRPr="00811B86">
        <w:rPr>
          <w:sz w:val="21"/>
          <w:szCs w:val="21"/>
        </w:rPr>
        <w:t>)</w:t>
      </w:r>
    </w:p>
    <w:p w:rsidR="00D215C5" w:rsidRPr="004D717A" w:rsidRDefault="00637E24" w:rsidP="00D215C5">
      <w:pPr>
        <w:pStyle w:val="Heading4"/>
      </w:pPr>
      <w:r>
        <w:lastRenderedPageBreak/>
        <w:t>To provide c</w:t>
      </w:r>
      <w:r w:rsidR="00D215C5" w:rsidRPr="004D717A">
        <w:t>ertainty for investments</w:t>
      </w:r>
    </w:p>
    <w:p w:rsidR="00D215C5" w:rsidRPr="004D717A" w:rsidRDefault="00D215C5" w:rsidP="00B8466E">
      <w:r w:rsidRPr="004D717A">
        <w:t>Several submitters noted that price stability mechanisms would enable better long-term planning for businesses</w:t>
      </w:r>
      <w:r w:rsidR="006765BC">
        <w:t>,</w:t>
      </w:r>
      <w:r w:rsidRPr="004D717A">
        <w:t xml:space="preserve"> which would </w:t>
      </w:r>
      <w:r w:rsidR="006765BC">
        <w:t xml:space="preserve">help </w:t>
      </w:r>
      <w:r w:rsidRPr="004D717A">
        <w:t>promote long-term investment</w:t>
      </w:r>
      <w:r w:rsidR="006765BC">
        <w:t>s</w:t>
      </w:r>
      <w:r w:rsidRPr="004D717A">
        <w:t xml:space="preserve"> in forestry and low-emissions technologies. </w:t>
      </w:r>
    </w:p>
    <w:p w:rsidR="00D215C5" w:rsidRPr="00811B86" w:rsidRDefault="00837A1C" w:rsidP="00811B86">
      <w:pPr>
        <w:pStyle w:val="Quote"/>
        <w:ind w:left="567" w:right="567"/>
        <w:rPr>
          <w:sz w:val="21"/>
        </w:rPr>
      </w:pPr>
      <w:r w:rsidRPr="00811B86">
        <w:rPr>
          <w:sz w:val="21"/>
        </w:rPr>
        <w:t>“</w:t>
      </w:r>
      <w:r w:rsidR="00D215C5" w:rsidRPr="00811B86">
        <w:rPr>
          <w:sz w:val="21"/>
        </w:rPr>
        <w:t>We have stressed above that in order to make investment decisions on projects that may have a life of many decades it is vital that the decisions are made with a full and reasonably accurate estimation of the carbon price over those decades. It is likely that major investments in our New Zealand businesses will have a significant Carbon element and uncertainty as to the cost of carbon over the lifetime of a project would likely lead to limiting the risk by taking conservative decisions.</w:t>
      </w:r>
      <w:r w:rsidRPr="00811B86">
        <w:rPr>
          <w:sz w:val="21"/>
        </w:rPr>
        <w:t>”</w:t>
      </w:r>
      <w:r w:rsidR="00D215C5" w:rsidRPr="00811B86">
        <w:rPr>
          <w:sz w:val="21"/>
        </w:rPr>
        <w:t xml:space="preserve"> </w:t>
      </w:r>
      <w:r w:rsidRPr="00811B86">
        <w:rPr>
          <w:sz w:val="21"/>
        </w:rPr>
        <w:t>(</w:t>
      </w:r>
      <w:r w:rsidR="00D215C5" w:rsidRPr="00811B86">
        <w:rPr>
          <w:sz w:val="21"/>
        </w:rPr>
        <w:t>Fletcher Building Limited</w:t>
      </w:r>
      <w:r w:rsidRPr="00811B86">
        <w:rPr>
          <w:sz w:val="21"/>
        </w:rPr>
        <w:t xml:space="preserve">, </w:t>
      </w:r>
      <w:r w:rsidR="00740FE2" w:rsidRPr="00C76622">
        <w:rPr>
          <w:rFonts w:asciiTheme="minorHAnsi" w:hAnsiTheme="minorHAnsi" w:cs="Times New Roman"/>
          <w:lang w:eastAsia="en-NZ"/>
        </w:rPr>
        <w:t>00051</w:t>
      </w:r>
      <w:r w:rsidRPr="00811B86">
        <w:rPr>
          <w:sz w:val="21"/>
        </w:rPr>
        <w:t>)</w:t>
      </w:r>
    </w:p>
    <w:p w:rsidR="00D215C5" w:rsidRPr="00811B86" w:rsidRDefault="001629C8" w:rsidP="00811B86">
      <w:pPr>
        <w:pStyle w:val="Quote"/>
        <w:ind w:left="567" w:right="567"/>
        <w:rPr>
          <w:sz w:val="21"/>
        </w:rPr>
      </w:pPr>
      <w:r w:rsidRPr="00811B86">
        <w:rPr>
          <w:sz w:val="21"/>
        </w:rPr>
        <w:t>“</w:t>
      </w:r>
      <w:r w:rsidR="00D215C5" w:rsidRPr="00811B86">
        <w:rPr>
          <w:sz w:val="21"/>
        </w:rPr>
        <w:t>Yes. Given how “managed” our carbon price already is (that is, our carbon price is generated simply by domestic policy settings; and buyers and sellers’ expectations of changes to those settings), I am not averse to policy makers simply “managing” our carbon price more openly and transparently by working out what price we need to meet our long-term emissions targets, then setting a price floor and price ceiling that reflects this.</w:t>
      </w:r>
      <w:r w:rsidRPr="00811B86">
        <w:rPr>
          <w:sz w:val="21"/>
        </w:rPr>
        <w:t>” (</w:t>
      </w:r>
      <w:r w:rsidR="00F72BD2">
        <w:rPr>
          <w:sz w:val="21"/>
        </w:rPr>
        <w:t>Individual</w:t>
      </w:r>
      <w:r w:rsidRPr="00811B86">
        <w:rPr>
          <w:sz w:val="21"/>
        </w:rPr>
        <w:t xml:space="preserve">, </w:t>
      </w:r>
      <w:r w:rsidR="00F72BD2">
        <w:rPr>
          <w:sz w:val="21"/>
        </w:rPr>
        <w:t>05010</w:t>
      </w:r>
      <w:r w:rsidRPr="00811B86">
        <w:rPr>
          <w:sz w:val="21"/>
        </w:rPr>
        <w:t>)</w:t>
      </w:r>
    </w:p>
    <w:p w:rsidR="00D215C5" w:rsidRPr="009C20CD" w:rsidRDefault="00F26356" w:rsidP="00D215C5">
      <w:pPr>
        <w:pStyle w:val="BodyText"/>
      </w:pPr>
      <w:r w:rsidRPr="009C20CD">
        <w:t>Some submitters thought</w:t>
      </w:r>
      <w:r w:rsidR="00D215C5" w:rsidRPr="009C20CD">
        <w:t xml:space="preserve"> that price mechanisms should </w:t>
      </w:r>
      <w:r w:rsidR="00943834" w:rsidRPr="009C20CD">
        <w:t>be used to</w:t>
      </w:r>
      <w:r w:rsidR="00D65EE5" w:rsidRPr="009C20CD">
        <w:t xml:space="preserve"> create a </w:t>
      </w:r>
      <w:r w:rsidR="009C20CD" w:rsidRPr="009C20CD">
        <w:t>predictable</w:t>
      </w:r>
      <w:r w:rsidR="00D65EE5" w:rsidRPr="009C20CD">
        <w:t xml:space="preserve"> price </w:t>
      </w:r>
      <w:r w:rsidR="001A3EBE">
        <w:t>to</w:t>
      </w:r>
      <w:r w:rsidR="001A3EBE" w:rsidRPr="009C20CD">
        <w:t xml:space="preserve"> ensure</w:t>
      </w:r>
      <w:r w:rsidR="002F1E37" w:rsidRPr="009C20CD">
        <w:t xml:space="preserve"> the NZ ETS </w:t>
      </w:r>
      <w:r w:rsidR="00D65EE5" w:rsidRPr="009C20CD">
        <w:t xml:space="preserve">drives emissions </w:t>
      </w:r>
      <w:r w:rsidR="001A3EBE" w:rsidRPr="009C20CD">
        <w:t>reductions,</w:t>
      </w:r>
      <w:r w:rsidR="009C20CD" w:rsidRPr="009C20CD">
        <w:t xml:space="preserve"> </w:t>
      </w:r>
      <w:r w:rsidR="00D65EE5" w:rsidRPr="009C20CD">
        <w:t>rather than</w:t>
      </w:r>
      <w:r w:rsidR="009C20CD" w:rsidRPr="009C20CD">
        <w:t xml:space="preserve"> be</w:t>
      </w:r>
      <w:r w:rsidR="00943834" w:rsidRPr="009C20CD">
        <w:t xml:space="preserve"> focus</w:t>
      </w:r>
      <w:r w:rsidR="009C20CD" w:rsidRPr="009C20CD">
        <w:t xml:space="preserve">ed </w:t>
      </w:r>
      <w:r w:rsidR="00943834" w:rsidRPr="009C20CD">
        <w:t xml:space="preserve">on </w:t>
      </w:r>
      <w:r w:rsidR="009C20CD" w:rsidRPr="009C20CD">
        <w:t>reducing</w:t>
      </w:r>
      <w:r w:rsidR="00943834" w:rsidRPr="009C20CD">
        <w:t xml:space="preserve"> price volatili</w:t>
      </w:r>
      <w:r w:rsidR="00D65EE5" w:rsidRPr="009C20CD">
        <w:t>ty.</w:t>
      </w:r>
    </w:p>
    <w:p w:rsidR="00D215C5" w:rsidRPr="00811B86" w:rsidRDefault="009C20CD" w:rsidP="00811B86">
      <w:pPr>
        <w:ind w:left="567" w:right="567"/>
        <w:rPr>
          <w:sz w:val="21"/>
          <w:szCs w:val="21"/>
        </w:rPr>
      </w:pPr>
      <w:r w:rsidRPr="00811B86">
        <w:rPr>
          <w:sz w:val="21"/>
          <w:szCs w:val="21"/>
        </w:rPr>
        <w:t>“</w:t>
      </w:r>
      <w:r w:rsidR="00D215C5" w:rsidRPr="00811B86">
        <w:rPr>
          <w:sz w:val="21"/>
          <w:szCs w:val="21"/>
        </w:rPr>
        <w:t>A degree of price stability is important for the political credibility and durability of the NZ ETS in its current form as a domestic-only trading scheme. Prices that are excessively high or low undermine the performance of the NZ ETS against its objectives. However, the emphasis on achieving this should be on good design of the system’s fundamental price drivers rather than on price stabilisation mechanisms. The price level should reflect the level of ambition in the policy framework and clear signals about the direction of trave</w:t>
      </w:r>
      <w:r w:rsidRPr="00811B86">
        <w:rPr>
          <w:sz w:val="21"/>
          <w:szCs w:val="21"/>
        </w:rPr>
        <w:t xml:space="preserve">l are required to deliver this.” (Shell </w:t>
      </w:r>
      <w:r w:rsidR="00D215C5" w:rsidRPr="00811B86">
        <w:rPr>
          <w:sz w:val="21"/>
          <w:szCs w:val="21"/>
        </w:rPr>
        <w:t>New Zealand</w:t>
      </w:r>
      <w:r w:rsidRPr="00811B86">
        <w:rPr>
          <w:sz w:val="21"/>
          <w:szCs w:val="21"/>
        </w:rPr>
        <w:t xml:space="preserve">, </w:t>
      </w:r>
      <w:r w:rsidR="004A3501">
        <w:rPr>
          <w:sz w:val="21"/>
          <w:szCs w:val="21"/>
        </w:rPr>
        <w:t>00085</w:t>
      </w:r>
      <w:r w:rsidRPr="00811B86">
        <w:rPr>
          <w:sz w:val="21"/>
          <w:szCs w:val="21"/>
        </w:rPr>
        <w:t>)</w:t>
      </w:r>
    </w:p>
    <w:p w:rsidR="00D215C5" w:rsidRDefault="00D215C5" w:rsidP="00D215C5">
      <w:pPr>
        <w:pStyle w:val="Heading4"/>
      </w:pPr>
      <w:r>
        <w:t>Conditions for the use of price mechanisms</w:t>
      </w:r>
    </w:p>
    <w:p w:rsidR="00D215C5" w:rsidRPr="004D717A" w:rsidRDefault="00D215C5" w:rsidP="00B8466E">
      <w:r w:rsidRPr="00CE58D8">
        <w:t xml:space="preserve">Some submitters </w:t>
      </w:r>
      <w:r w:rsidR="00DB1A3F" w:rsidRPr="00CE58D8">
        <w:t>thought</w:t>
      </w:r>
      <w:r w:rsidRPr="00CE58D8">
        <w:t xml:space="preserve"> </w:t>
      </w:r>
      <w:r w:rsidR="00DB1A3F" w:rsidRPr="00CE58D8">
        <w:t xml:space="preserve">price mechanisms should only be used in certain </w:t>
      </w:r>
      <w:r w:rsidRPr="00CE58D8">
        <w:t xml:space="preserve">conditions. These included </w:t>
      </w:r>
      <w:r w:rsidR="00DB1A3F" w:rsidRPr="00CE58D8">
        <w:t xml:space="preserve">ensuring any mechanism was </w:t>
      </w:r>
      <w:r w:rsidRPr="00CE58D8">
        <w:t>transparen</w:t>
      </w:r>
      <w:r w:rsidR="00DB1A3F" w:rsidRPr="00CE58D8">
        <w:t>t</w:t>
      </w:r>
      <w:r w:rsidRPr="00CE58D8">
        <w:t xml:space="preserve"> </w:t>
      </w:r>
      <w:r w:rsidR="00EF69D2" w:rsidRPr="00CE58D8">
        <w:t>and taking into consideration availability of units</w:t>
      </w:r>
      <w:r w:rsidR="005D2E76" w:rsidRPr="00CE58D8">
        <w:t xml:space="preserve"> in the NZ ETS</w:t>
      </w:r>
      <w:r w:rsidR="001C31CE" w:rsidRPr="00CE58D8">
        <w:t xml:space="preserve"> (for example, whether </w:t>
      </w:r>
      <w:r w:rsidR="005D2E76" w:rsidRPr="00CE58D8">
        <w:t xml:space="preserve">the NZ ETS includes </w:t>
      </w:r>
      <w:r w:rsidR="001C31CE" w:rsidRPr="00CE58D8">
        <w:t xml:space="preserve">auctioning or </w:t>
      </w:r>
      <w:r w:rsidR="00885D73" w:rsidRPr="00CE58D8">
        <w:t xml:space="preserve">the use of </w:t>
      </w:r>
      <w:r w:rsidR="001C31CE" w:rsidRPr="00CE58D8">
        <w:t>international units)</w:t>
      </w:r>
      <w:r w:rsidR="00EF69D2" w:rsidRPr="00CE58D8">
        <w:t xml:space="preserve">. Other submitters also thought there needed to be </w:t>
      </w:r>
      <w:r w:rsidRPr="00CE58D8">
        <w:t xml:space="preserve">a timeframe for increasing and/or removing the </w:t>
      </w:r>
      <w:r w:rsidR="004E0443" w:rsidRPr="00CE58D8">
        <w:t xml:space="preserve">fixed </w:t>
      </w:r>
      <w:r w:rsidRPr="00CE58D8">
        <w:t xml:space="preserve">price </w:t>
      </w:r>
      <w:r w:rsidR="004E0443" w:rsidRPr="00CE58D8">
        <w:t>option</w:t>
      </w:r>
      <w:r w:rsidR="00EF69D2" w:rsidRPr="00CE58D8">
        <w:t>.</w:t>
      </w:r>
      <w:r w:rsidRPr="004D717A">
        <w:t xml:space="preserve"> </w:t>
      </w:r>
    </w:p>
    <w:p w:rsidR="00D215C5" w:rsidRPr="00811B86" w:rsidRDefault="001629C8" w:rsidP="00811B86">
      <w:pPr>
        <w:pStyle w:val="Quote"/>
        <w:ind w:left="567" w:right="567"/>
        <w:rPr>
          <w:sz w:val="21"/>
        </w:rPr>
      </w:pPr>
      <w:r w:rsidRPr="00811B86">
        <w:rPr>
          <w:sz w:val="21"/>
        </w:rPr>
        <w:t>“</w:t>
      </w:r>
      <w:r w:rsidR="00D215C5" w:rsidRPr="00811B86">
        <w:rPr>
          <w:sz w:val="21"/>
        </w:rPr>
        <w:t>After a substantial and liquid international market has been established, and has matured, there may be less need for domestic measures such as carbon price caps and floors or for other measures designed to reduce price volatility, except in the most extreme scenarios such as market failure.</w:t>
      </w:r>
      <w:r w:rsidRPr="00811B86">
        <w:rPr>
          <w:sz w:val="21"/>
        </w:rPr>
        <w:t xml:space="preserve">” </w:t>
      </w:r>
      <w:r w:rsidR="00D215C5" w:rsidRPr="00811B86">
        <w:rPr>
          <w:sz w:val="21"/>
        </w:rPr>
        <w:t>(Todd Corporation</w:t>
      </w:r>
      <w:r w:rsidRPr="00811B86">
        <w:rPr>
          <w:sz w:val="21"/>
        </w:rPr>
        <w:t xml:space="preserve">, </w:t>
      </w:r>
      <w:r w:rsidR="00FF52FE">
        <w:rPr>
          <w:sz w:val="21"/>
        </w:rPr>
        <w:t>00200</w:t>
      </w:r>
      <w:r w:rsidR="00D215C5" w:rsidRPr="00811B86">
        <w:rPr>
          <w:sz w:val="21"/>
        </w:rPr>
        <w:t>)</w:t>
      </w:r>
    </w:p>
    <w:p w:rsidR="00D215C5" w:rsidRDefault="00D215C5" w:rsidP="00D215C5">
      <w:pPr>
        <w:pStyle w:val="Heading4"/>
      </w:pPr>
      <w:r>
        <w:t>Market should determine price</w:t>
      </w:r>
    </w:p>
    <w:p w:rsidR="00D215C5" w:rsidRDefault="007C13DC" w:rsidP="00B8466E">
      <w:r>
        <w:t>Forty</w:t>
      </w:r>
      <w:r w:rsidR="00D215C5" w:rsidRPr="001F62A5">
        <w:t xml:space="preserve"> submitters who </w:t>
      </w:r>
      <w:r w:rsidR="00BA1847">
        <w:t xml:space="preserve">addressed this question </w:t>
      </w:r>
      <w:r w:rsidR="00D215C5" w:rsidRPr="001F62A5">
        <w:t>(</w:t>
      </w:r>
      <w:r w:rsidR="00C2449D">
        <w:t>approximately</w:t>
      </w:r>
      <w:r w:rsidR="00D215C5" w:rsidRPr="001F62A5">
        <w:t xml:space="preserve"> 25 </w:t>
      </w:r>
      <w:r w:rsidR="008E24E1">
        <w:t>per cent</w:t>
      </w:r>
      <w:r w:rsidR="00D215C5" w:rsidRPr="001F62A5">
        <w:t xml:space="preserve">) </w:t>
      </w:r>
      <w:r w:rsidR="006E17DD">
        <w:t xml:space="preserve">thought </w:t>
      </w:r>
      <w:r w:rsidR="00D215C5" w:rsidRPr="001F62A5">
        <w:t>there should be no measures in place</w:t>
      </w:r>
      <w:r w:rsidR="00913EB9">
        <w:t xml:space="preserve"> to manage price</w:t>
      </w:r>
      <w:r w:rsidR="00D215C5" w:rsidRPr="001F62A5">
        <w:t xml:space="preserve">. Most </w:t>
      </w:r>
      <w:r w:rsidR="00D215C5">
        <w:t xml:space="preserve">of these submitters </w:t>
      </w:r>
      <w:r w:rsidR="006E17DD">
        <w:t xml:space="preserve">emphasised that </w:t>
      </w:r>
      <w:r w:rsidR="00D215C5">
        <w:t>the market should determine the price</w:t>
      </w:r>
      <w:r w:rsidR="00FA769E">
        <w:t xml:space="preserve"> instead</w:t>
      </w:r>
      <w:r w:rsidR="00D215C5">
        <w:t xml:space="preserve">. Several </w:t>
      </w:r>
      <w:r w:rsidR="003D00A8">
        <w:t xml:space="preserve">submitters </w:t>
      </w:r>
      <w:r w:rsidR="00D215C5">
        <w:t>also thought</w:t>
      </w:r>
      <w:r w:rsidR="00BA1847">
        <w:t xml:space="preserve"> that</w:t>
      </w:r>
      <w:r w:rsidR="00D215C5">
        <w:t xml:space="preserve"> focus</w:t>
      </w:r>
      <w:r w:rsidR="003D00A8">
        <w:t xml:space="preserve">ing </w:t>
      </w:r>
      <w:r w:rsidR="00D215C5">
        <w:t xml:space="preserve">on ensuring </w:t>
      </w:r>
      <w:r w:rsidR="003D00A8">
        <w:t xml:space="preserve">NZ </w:t>
      </w:r>
      <w:r w:rsidR="00D215C5">
        <w:t xml:space="preserve">ETS settings are simple and </w:t>
      </w:r>
      <w:r w:rsidR="003D00A8">
        <w:t xml:space="preserve">well-designed </w:t>
      </w:r>
      <w:r w:rsidR="00BA1847">
        <w:t xml:space="preserve">will </w:t>
      </w:r>
      <w:r w:rsidR="003D00A8">
        <w:t>help increase price stability</w:t>
      </w:r>
      <w:r w:rsidR="00D215C5">
        <w:t>. A few submitters noted that if there was sufficient liquidity in the market (for example through auctioning or international units) then price mechanisms would not be necessary.</w:t>
      </w:r>
    </w:p>
    <w:p w:rsidR="00D215C5" w:rsidRPr="00811B86" w:rsidRDefault="001629C8" w:rsidP="00811B86">
      <w:pPr>
        <w:pStyle w:val="Quote"/>
        <w:ind w:left="567" w:right="567"/>
        <w:rPr>
          <w:sz w:val="21"/>
        </w:rPr>
      </w:pPr>
      <w:r w:rsidRPr="00811B86">
        <w:rPr>
          <w:sz w:val="21"/>
        </w:rPr>
        <w:lastRenderedPageBreak/>
        <w:t>“</w:t>
      </w:r>
      <w:r w:rsidR="00D215C5" w:rsidRPr="00811B86">
        <w:rPr>
          <w:sz w:val="21"/>
        </w:rPr>
        <w:t>Clear policy settings are preferable to regulation of carbon prices which run the risk of reducing the efficiency of investment signals provided by the ETS. We support an uncapped price consistent with the principle that businesses and consumers should face the true cost of emissions.</w:t>
      </w:r>
      <w:r w:rsidRPr="00811B86">
        <w:rPr>
          <w:sz w:val="21"/>
        </w:rPr>
        <w:t>”</w:t>
      </w:r>
      <w:r w:rsidR="00D215C5" w:rsidRPr="00811B86">
        <w:rPr>
          <w:sz w:val="21"/>
        </w:rPr>
        <w:t xml:space="preserve"> </w:t>
      </w:r>
      <w:r w:rsidRPr="00811B86">
        <w:rPr>
          <w:sz w:val="21"/>
        </w:rPr>
        <w:t>(</w:t>
      </w:r>
      <w:r w:rsidR="00D215C5" w:rsidRPr="00811B86">
        <w:rPr>
          <w:sz w:val="21"/>
        </w:rPr>
        <w:t>Mighty River Power</w:t>
      </w:r>
      <w:r w:rsidRPr="00811B86">
        <w:rPr>
          <w:sz w:val="21"/>
        </w:rPr>
        <w:t xml:space="preserve">, </w:t>
      </w:r>
      <w:r w:rsidR="00F72BD2">
        <w:rPr>
          <w:sz w:val="21"/>
        </w:rPr>
        <w:t>00152</w:t>
      </w:r>
      <w:r w:rsidRPr="00811B86">
        <w:rPr>
          <w:sz w:val="21"/>
        </w:rPr>
        <w:t>)</w:t>
      </w:r>
    </w:p>
    <w:p w:rsidR="00D215C5" w:rsidRPr="00811B86" w:rsidRDefault="001629C8" w:rsidP="00811B86">
      <w:pPr>
        <w:pStyle w:val="Quote"/>
        <w:ind w:left="567" w:right="567"/>
        <w:rPr>
          <w:sz w:val="21"/>
        </w:rPr>
      </w:pPr>
      <w:r w:rsidRPr="00811B86">
        <w:rPr>
          <w:sz w:val="21"/>
        </w:rPr>
        <w:t>“</w:t>
      </w:r>
      <w:r w:rsidR="00D215C5" w:rsidRPr="00811B86">
        <w:rPr>
          <w:sz w:val="21"/>
        </w:rPr>
        <w:t>No. All markets show rises and falls in value; the fall in the carbon price was not the fault of the ETS not working but reflected poor design and regulation… Caps and floors increase complexity and distort market forces, including forward pricing. It is better to regulate th</w:t>
      </w:r>
      <w:r w:rsidR="00605B1B">
        <w:rPr>
          <w:sz w:val="21"/>
        </w:rPr>
        <w:t>e market properly to achieve it</w:t>
      </w:r>
      <w:r w:rsidR="00D215C5" w:rsidRPr="00811B86">
        <w:rPr>
          <w:sz w:val="21"/>
        </w:rPr>
        <w:t>s objectives (emissions reduction) rather than manipulate the price.</w:t>
      </w:r>
      <w:r w:rsidRPr="00811B86">
        <w:rPr>
          <w:sz w:val="21"/>
        </w:rPr>
        <w:t>”</w:t>
      </w:r>
      <w:r w:rsidR="00D215C5" w:rsidRPr="00811B86">
        <w:rPr>
          <w:sz w:val="21"/>
        </w:rPr>
        <w:t xml:space="preserve"> (Gibbons Holdings Limited</w:t>
      </w:r>
      <w:r w:rsidRPr="00811B86">
        <w:rPr>
          <w:sz w:val="21"/>
        </w:rPr>
        <w:t xml:space="preserve">, </w:t>
      </w:r>
      <w:r w:rsidR="00605B1B">
        <w:rPr>
          <w:sz w:val="21"/>
        </w:rPr>
        <w:t>00130</w:t>
      </w:r>
      <w:r w:rsidR="00D215C5" w:rsidRPr="00811B86">
        <w:rPr>
          <w:sz w:val="21"/>
        </w:rPr>
        <w:t>)</w:t>
      </w:r>
    </w:p>
    <w:p w:rsidR="00BA1847" w:rsidRDefault="002A0CE1" w:rsidP="00BA1847">
      <w:pPr>
        <w:pStyle w:val="BodyText"/>
      </w:pPr>
      <w:r w:rsidRPr="003F3D6E">
        <w:t xml:space="preserve">A few submitters </w:t>
      </w:r>
      <w:r w:rsidR="00D215C5" w:rsidRPr="003F3D6E">
        <w:t xml:space="preserve">noted </w:t>
      </w:r>
      <w:r w:rsidRPr="003F3D6E">
        <w:t xml:space="preserve">that it would be important </w:t>
      </w:r>
      <w:r w:rsidR="00E831A4" w:rsidRPr="003F3D6E">
        <w:t xml:space="preserve">for their business to </w:t>
      </w:r>
      <w:r w:rsidR="001F5D74" w:rsidRPr="003F3D6E">
        <w:t>align the</w:t>
      </w:r>
      <w:r w:rsidR="00E831A4" w:rsidRPr="003F3D6E">
        <w:t xml:space="preserve"> NZU price </w:t>
      </w:r>
      <w:r w:rsidRPr="003F3D6E">
        <w:t xml:space="preserve">with </w:t>
      </w:r>
      <w:r w:rsidR="001F5D74" w:rsidRPr="003F3D6E">
        <w:t xml:space="preserve">the </w:t>
      </w:r>
      <w:r w:rsidRPr="003F3D6E">
        <w:t>international carbon price to reduce</w:t>
      </w:r>
      <w:r w:rsidR="001F5D74" w:rsidRPr="003F3D6E">
        <w:t xml:space="preserve"> competitiveness risks.</w:t>
      </w:r>
      <w:r w:rsidR="00BA1847" w:rsidRPr="00BA1847">
        <w:t xml:space="preserve"> </w:t>
      </w:r>
    </w:p>
    <w:p w:rsidR="00BA1847" w:rsidRPr="00545307" w:rsidRDefault="00BA1847" w:rsidP="00BA1847">
      <w:pPr>
        <w:pStyle w:val="BodyText"/>
      </w:pPr>
      <w:r w:rsidRPr="00545307">
        <w:t>A few submitters (</w:t>
      </w:r>
      <w:r>
        <w:t>fewer</w:t>
      </w:r>
      <w:r w:rsidRPr="00545307">
        <w:t xml:space="preserve"> than 10 </w:t>
      </w:r>
      <w:r>
        <w:t>per cent</w:t>
      </w:r>
      <w:r w:rsidRPr="00545307">
        <w:t>) were unsure whether there need</w:t>
      </w:r>
      <w:r>
        <w:t>ed</w:t>
      </w:r>
      <w:r w:rsidRPr="00545307">
        <w:t xml:space="preserve"> to be price mechanisms. Some of these submitters were concerned about price stability mechanisms distorting the market, but noted the importan</w:t>
      </w:r>
      <w:r>
        <w:t>ce</w:t>
      </w:r>
      <w:r w:rsidRPr="00545307">
        <w:t xml:space="preserve"> of reducing extreme volatility.</w:t>
      </w:r>
    </w:p>
    <w:p w:rsidR="00BA1847" w:rsidRPr="00811B86" w:rsidRDefault="00BA1847" w:rsidP="00BA1847">
      <w:pPr>
        <w:pStyle w:val="Quote"/>
        <w:ind w:left="567" w:right="567"/>
        <w:rPr>
          <w:sz w:val="21"/>
        </w:rPr>
      </w:pPr>
      <w:r w:rsidRPr="00811B86">
        <w:rPr>
          <w:sz w:val="21"/>
        </w:rPr>
        <w:t>“Managing price stability introduces uncertainty and distortions to the price making process. It would be far more beneficial to the ETS to examine the reasons for that price instability than trying to control the outcomes. The need for price stability measures would be minimised by the Government being clear in the objectives and policy announcements around the ETS. Managing price stability can have the effect of introducing distortions rather than allowing a market led outcome.” (</w:t>
      </w:r>
      <w:r w:rsidR="004F3E0E" w:rsidRPr="00CB33F4">
        <w:rPr>
          <w:sz w:val="21"/>
        </w:rPr>
        <w:t>Genesis</w:t>
      </w:r>
      <w:r w:rsidR="004F3E0E">
        <w:rPr>
          <w:sz w:val="21"/>
        </w:rPr>
        <w:t xml:space="preserve"> Energy</w:t>
      </w:r>
      <w:r w:rsidR="004F3E0E" w:rsidRPr="00CB33F4">
        <w:rPr>
          <w:sz w:val="21"/>
        </w:rPr>
        <w:t xml:space="preserve">, </w:t>
      </w:r>
      <w:r w:rsidR="004F3E0E">
        <w:rPr>
          <w:sz w:val="21"/>
        </w:rPr>
        <w:t>00053</w:t>
      </w:r>
      <w:r w:rsidRPr="00811B86">
        <w:rPr>
          <w:sz w:val="21"/>
        </w:rPr>
        <w:t>)</w:t>
      </w:r>
    </w:p>
    <w:p w:rsidR="000F5A2A" w:rsidRPr="00231D5A" w:rsidRDefault="00465B2E" w:rsidP="000F5A2A">
      <w:pPr>
        <w:pStyle w:val="Tableheading"/>
      </w:pPr>
      <w:bookmarkStart w:id="59" w:name="_Toc463270172"/>
      <w:r>
        <w:t>Table 8</w:t>
      </w:r>
      <w:r w:rsidR="000F5A2A" w:rsidRPr="009314F0">
        <w:t xml:space="preserve">: </w:t>
      </w:r>
      <w:r w:rsidR="000F5A2A" w:rsidRPr="009314F0">
        <w:tab/>
      </w:r>
      <w:r w:rsidR="00B556C0">
        <w:t>Submitter</w:t>
      </w:r>
      <w:r w:rsidR="000F5A2A" w:rsidRPr="009314F0">
        <w:t xml:space="preserve"> positions – </w:t>
      </w:r>
      <w:r w:rsidR="00E61DF2">
        <w:rPr>
          <w:i/>
        </w:rPr>
        <w:t>Do you think measures should be in place to manage price stability?</w:t>
      </w:r>
      <w:bookmarkEnd w:id="59"/>
    </w:p>
    <w:tbl>
      <w:tblPr>
        <w:tblW w:w="9229" w:type="dxa"/>
        <w:tblInd w:w="93" w:type="dxa"/>
        <w:tblLayout w:type="fixed"/>
        <w:tblLook w:val="04A0" w:firstRow="1" w:lastRow="0" w:firstColumn="1" w:lastColumn="0" w:noHBand="0" w:noVBand="1"/>
      </w:tblPr>
      <w:tblGrid>
        <w:gridCol w:w="3326"/>
        <w:gridCol w:w="1475"/>
        <w:gridCol w:w="1476"/>
        <w:gridCol w:w="1476"/>
        <w:gridCol w:w="1476"/>
      </w:tblGrid>
      <w:tr w:rsidR="00073389" w:rsidRPr="00231D5A" w:rsidTr="00073389">
        <w:trPr>
          <w:trHeight w:val="300"/>
        </w:trPr>
        <w:tc>
          <w:tcPr>
            <w:tcW w:w="3326" w:type="dxa"/>
            <w:tcBorders>
              <w:top w:val="nil"/>
              <w:left w:val="nil"/>
              <w:bottom w:val="single" w:sz="4" w:space="0" w:color="005984"/>
              <w:right w:val="single" w:sz="4" w:space="0" w:color="005984"/>
            </w:tcBorders>
            <w:noWrap/>
            <w:vAlign w:val="bottom"/>
            <w:hideMark/>
          </w:tcPr>
          <w:p w:rsidR="00073389" w:rsidRPr="00231D5A" w:rsidRDefault="00073389" w:rsidP="000F5A2A">
            <w:pPr>
              <w:spacing w:before="0" w:after="0"/>
              <w:rPr>
                <w:rFonts w:ascii="Times New Roman" w:hAnsi="Times New Roman" w:cs="Times New Roman"/>
                <w:sz w:val="20"/>
                <w:szCs w:val="20"/>
                <w:lang w:eastAsia="en-NZ"/>
              </w:rPr>
            </w:pPr>
          </w:p>
        </w:tc>
        <w:tc>
          <w:tcPr>
            <w:tcW w:w="1475"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073389" w:rsidRPr="00231D5A" w:rsidRDefault="00073389" w:rsidP="000F5A2A">
            <w:pPr>
              <w:pStyle w:val="TableTextbold"/>
              <w:jc w:val="center"/>
              <w:rPr>
                <w:color w:val="FFFFFF"/>
                <w:lang w:eastAsia="en-NZ"/>
              </w:rPr>
            </w:pPr>
            <w:r>
              <w:rPr>
                <w:color w:val="FFFFFF"/>
                <w:lang w:eastAsia="en-NZ"/>
              </w:rPr>
              <w:t>Yes</w:t>
            </w:r>
          </w:p>
        </w:tc>
        <w:tc>
          <w:tcPr>
            <w:tcW w:w="1476"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073389" w:rsidRPr="00231D5A" w:rsidRDefault="00073389" w:rsidP="000F5A2A">
            <w:pPr>
              <w:pStyle w:val="TableTextbold"/>
              <w:jc w:val="center"/>
              <w:rPr>
                <w:color w:val="FFFFFF"/>
                <w:lang w:eastAsia="en-NZ"/>
              </w:rPr>
            </w:pPr>
            <w:r>
              <w:rPr>
                <w:color w:val="FFFFFF"/>
                <w:lang w:eastAsia="en-NZ"/>
              </w:rPr>
              <w:t>No</w:t>
            </w:r>
          </w:p>
        </w:tc>
        <w:tc>
          <w:tcPr>
            <w:tcW w:w="1476" w:type="dxa"/>
            <w:tcBorders>
              <w:top w:val="single" w:sz="4" w:space="0" w:color="005984"/>
              <w:left w:val="single" w:sz="4" w:space="0" w:color="005984"/>
              <w:bottom w:val="single" w:sz="4" w:space="0" w:color="005984"/>
              <w:right w:val="nil"/>
            </w:tcBorders>
            <w:shd w:val="clear" w:color="auto" w:fill="005984"/>
            <w:noWrap/>
            <w:vAlign w:val="bottom"/>
            <w:hideMark/>
          </w:tcPr>
          <w:p w:rsidR="00073389" w:rsidRPr="00231D5A" w:rsidRDefault="00073389" w:rsidP="000F5A2A">
            <w:pPr>
              <w:pStyle w:val="TableTextbold"/>
              <w:jc w:val="center"/>
              <w:rPr>
                <w:color w:val="FFFFFF"/>
                <w:lang w:eastAsia="en-NZ"/>
              </w:rPr>
            </w:pPr>
            <w:r>
              <w:rPr>
                <w:color w:val="FFFFFF"/>
                <w:lang w:eastAsia="en-NZ"/>
              </w:rPr>
              <w:t>Unsure/ unclear</w:t>
            </w:r>
          </w:p>
        </w:tc>
        <w:tc>
          <w:tcPr>
            <w:tcW w:w="1476" w:type="dxa"/>
            <w:tcBorders>
              <w:top w:val="single" w:sz="4" w:space="0" w:color="005984"/>
              <w:left w:val="single" w:sz="4" w:space="0" w:color="005984"/>
              <w:bottom w:val="single" w:sz="4" w:space="0" w:color="005984"/>
              <w:right w:val="nil"/>
            </w:tcBorders>
            <w:shd w:val="clear" w:color="auto" w:fill="005984"/>
            <w:vAlign w:val="bottom"/>
            <w:hideMark/>
          </w:tcPr>
          <w:p w:rsidR="00073389" w:rsidRPr="00231D5A" w:rsidRDefault="00073389" w:rsidP="000F5A2A">
            <w:pPr>
              <w:pStyle w:val="TableTextbold"/>
              <w:jc w:val="center"/>
              <w:rPr>
                <w:color w:val="FFFFFF"/>
                <w:lang w:eastAsia="en-NZ"/>
              </w:rPr>
            </w:pPr>
            <w:r w:rsidRPr="00231D5A">
              <w:rPr>
                <w:color w:val="FFFFFF"/>
                <w:lang w:eastAsia="en-NZ"/>
              </w:rPr>
              <w:t>Total</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 xml:space="preserve">Agriculture </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5</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2</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0</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7</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Business groups</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0</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3</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4</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 xml:space="preserve">Electricity </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3</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2</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6</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 xml:space="preserve">Forestry </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18</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17</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6</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41</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Individual</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20</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10</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6</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36</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 xml:space="preserve">Industrial processors </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8</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0</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9</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Iwi/Māori</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7</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0</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8</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 xml:space="preserve">Liquid fossil fuels </w:t>
            </w:r>
            <w:r>
              <w:rPr>
                <w:lang w:eastAsia="en-NZ"/>
              </w:rPr>
              <w:t>(transport)</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3</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5</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Local government</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3</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0</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0</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3</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NGO and community groups</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6</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8</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Research and tertiary organisations</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3</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2</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6</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 xml:space="preserve">Stationary energy </w:t>
            </w:r>
            <w:r>
              <w:rPr>
                <w:lang w:eastAsia="en-NZ"/>
              </w:rPr>
              <w:t>(excluding electricity)</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6</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0</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0</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6</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Waste sector</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10</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0</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0</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10</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Wood processors</w:t>
            </w:r>
            <w:r>
              <w:rPr>
                <w:lang w:eastAsia="en-NZ"/>
              </w:rPr>
              <w:t xml:space="preserve"> and manufacturers</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0</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0</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C76622" w:rsidRDefault="00073389" w:rsidP="00073389">
            <w:pPr>
              <w:pStyle w:val="TableText"/>
              <w:spacing w:before="50" w:after="50"/>
              <w:rPr>
                <w:lang w:eastAsia="en-NZ"/>
              </w:rPr>
            </w:pPr>
            <w:r w:rsidRPr="00C76622">
              <w:rPr>
                <w:lang w:eastAsia="en-NZ"/>
              </w:rPr>
              <w:t>Other</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12</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0</w:t>
            </w:r>
          </w:p>
        </w:tc>
        <w:tc>
          <w:tcPr>
            <w:tcW w:w="1476" w:type="dxa"/>
            <w:tcBorders>
              <w:top w:val="single" w:sz="4" w:space="0" w:color="005984"/>
              <w:left w:val="single" w:sz="4" w:space="0" w:color="005984"/>
              <w:bottom w:val="single" w:sz="4" w:space="0" w:color="005984"/>
              <w:right w:val="nil"/>
            </w:tcBorders>
            <w:noWrap/>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2</w:t>
            </w:r>
          </w:p>
        </w:tc>
        <w:tc>
          <w:tcPr>
            <w:tcW w:w="1476" w:type="dxa"/>
            <w:tcBorders>
              <w:top w:val="single" w:sz="4" w:space="0" w:color="005984"/>
              <w:left w:val="single" w:sz="4" w:space="0" w:color="005984"/>
              <w:bottom w:val="single" w:sz="4" w:space="0" w:color="005984"/>
              <w:right w:val="nil"/>
            </w:tcBorders>
            <w:vAlign w:val="bottom"/>
          </w:tcPr>
          <w:p w:rsidR="00073389" w:rsidRPr="00073389" w:rsidRDefault="00073389" w:rsidP="00073389">
            <w:pPr>
              <w:spacing w:before="50" w:after="50"/>
              <w:jc w:val="right"/>
              <w:rPr>
                <w:sz w:val="18"/>
                <w:szCs w:val="18"/>
                <w:lang w:eastAsia="en-NZ"/>
              </w:rPr>
            </w:pPr>
            <w:r w:rsidRPr="00073389">
              <w:rPr>
                <w:sz w:val="18"/>
                <w:szCs w:val="18"/>
                <w:lang w:eastAsia="en-NZ"/>
              </w:rPr>
              <w:t>14</w:t>
            </w:r>
          </w:p>
        </w:tc>
      </w:tr>
      <w:tr w:rsidR="00073389" w:rsidRPr="00231D5A" w:rsidTr="00073389">
        <w:trPr>
          <w:trHeight w:val="300"/>
        </w:trPr>
        <w:tc>
          <w:tcPr>
            <w:tcW w:w="3326" w:type="dxa"/>
            <w:tcBorders>
              <w:top w:val="single" w:sz="4" w:space="0" w:color="005984"/>
              <w:left w:val="nil"/>
              <w:bottom w:val="single" w:sz="4" w:space="0" w:color="005984"/>
              <w:right w:val="single" w:sz="4" w:space="0" w:color="005984"/>
            </w:tcBorders>
            <w:noWrap/>
            <w:vAlign w:val="center"/>
          </w:tcPr>
          <w:p w:rsidR="00073389" w:rsidRPr="00BE7841" w:rsidRDefault="00073389" w:rsidP="00073389">
            <w:pPr>
              <w:pStyle w:val="TableText"/>
              <w:spacing w:before="50" w:after="50"/>
              <w:rPr>
                <w:b/>
                <w:lang w:eastAsia="en-NZ"/>
              </w:rPr>
            </w:pPr>
            <w:r w:rsidRPr="00BE7841">
              <w:rPr>
                <w:b/>
                <w:lang w:eastAsia="en-NZ"/>
              </w:rPr>
              <w:t>TOTAL</w:t>
            </w:r>
          </w:p>
        </w:tc>
        <w:tc>
          <w:tcPr>
            <w:tcW w:w="1475" w:type="dxa"/>
            <w:tcBorders>
              <w:top w:val="single" w:sz="4" w:space="0" w:color="005984"/>
              <w:left w:val="single" w:sz="4" w:space="0" w:color="005984"/>
              <w:bottom w:val="single" w:sz="4" w:space="0" w:color="005984"/>
              <w:right w:val="single" w:sz="4" w:space="0" w:color="005984"/>
            </w:tcBorders>
            <w:noWrap/>
            <w:vAlign w:val="bottom"/>
          </w:tcPr>
          <w:p w:rsidR="00073389" w:rsidRPr="00BE7841" w:rsidRDefault="00073389" w:rsidP="00073389">
            <w:pPr>
              <w:spacing w:before="50" w:after="50"/>
              <w:jc w:val="right"/>
              <w:rPr>
                <w:b/>
                <w:sz w:val="18"/>
                <w:szCs w:val="18"/>
                <w:lang w:eastAsia="en-NZ"/>
              </w:rPr>
            </w:pPr>
            <w:r w:rsidRPr="00BE7841">
              <w:rPr>
                <w:b/>
                <w:sz w:val="18"/>
                <w:szCs w:val="18"/>
                <w:lang w:eastAsia="en-NZ"/>
              </w:rPr>
              <w:t>105</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073389" w:rsidRPr="00BE7841" w:rsidRDefault="00073389" w:rsidP="00073389">
            <w:pPr>
              <w:spacing w:before="50" w:after="50"/>
              <w:jc w:val="right"/>
              <w:rPr>
                <w:b/>
                <w:sz w:val="18"/>
                <w:szCs w:val="18"/>
                <w:lang w:eastAsia="en-NZ"/>
              </w:rPr>
            </w:pPr>
            <w:r w:rsidRPr="00BE7841">
              <w:rPr>
                <w:b/>
                <w:sz w:val="18"/>
                <w:szCs w:val="18"/>
                <w:lang w:eastAsia="en-NZ"/>
              </w:rPr>
              <w:t>40</w:t>
            </w:r>
          </w:p>
        </w:tc>
        <w:tc>
          <w:tcPr>
            <w:tcW w:w="1476" w:type="dxa"/>
            <w:tcBorders>
              <w:top w:val="single" w:sz="4" w:space="0" w:color="005984"/>
              <w:left w:val="single" w:sz="4" w:space="0" w:color="005984"/>
              <w:bottom w:val="single" w:sz="4" w:space="0" w:color="005984"/>
              <w:right w:val="nil"/>
            </w:tcBorders>
            <w:noWrap/>
            <w:vAlign w:val="bottom"/>
          </w:tcPr>
          <w:p w:rsidR="00073389" w:rsidRPr="00BE7841" w:rsidRDefault="00073389" w:rsidP="00073389">
            <w:pPr>
              <w:spacing w:before="50" w:after="50"/>
              <w:jc w:val="right"/>
              <w:rPr>
                <w:b/>
                <w:sz w:val="18"/>
                <w:szCs w:val="18"/>
                <w:lang w:eastAsia="en-NZ"/>
              </w:rPr>
            </w:pPr>
            <w:r w:rsidRPr="00BE7841">
              <w:rPr>
                <w:b/>
                <w:sz w:val="18"/>
                <w:szCs w:val="18"/>
                <w:lang w:eastAsia="en-NZ"/>
              </w:rPr>
              <w:t>19</w:t>
            </w:r>
          </w:p>
        </w:tc>
        <w:tc>
          <w:tcPr>
            <w:tcW w:w="1476" w:type="dxa"/>
            <w:tcBorders>
              <w:top w:val="single" w:sz="4" w:space="0" w:color="005984"/>
              <w:left w:val="single" w:sz="4" w:space="0" w:color="005984"/>
              <w:bottom w:val="single" w:sz="4" w:space="0" w:color="005984"/>
              <w:right w:val="nil"/>
            </w:tcBorders>
            <w:vAlign w:val="bottom"/>
          </w:tcPr>
          <w:p w:rsidR="00073389" w:rsidRPr="00BE7841" w:rsidRDefault="00073389" w:rsidP="00073389">
            <w:pPr>
              <w:spacing w:before="50" w:after="50"/>
              <w:jc w:val="right"/>
              <w:rPr>
                <w:b/>
                <w:sz w:val="18"/>
                <w:szCs w:val="18"/>
                <w:lang w:eastAsia="en-NZ"/>
              </w:rPr>
            </w:pPr>
            <w:r w:rsidRPr="00BE7841">
              <w:rPr>
                <w:b/>
                <w:sz w:val="18"/>
                <w:szCs w:val="18"/>
                <w:lang w:eastAsia="en-NZ"/>
              </w:rPr>
              <w:t>164</w:t>
            </w:r>
          </w:p>
        </w:tc>
      </w:tr>
    </w:tbl>
    <w:p w:rsidR="000F5A2A" w:rsidRDefault="000F5A2A" w:rsidP="000F5A2A">
      <w:pPr>
        <w:pStyle w:val="Figureheading"/>
      </w:pPr>
    </w:p>
    <w:p w:rsidR="000F5A2A" w:rsidRPr="00C76622" w:rsidRDefault="000F5A2A" w:rsidP="000F5A2A">
      <w:pPr>
        <w:pStyle w:val="Figureheading"/>
      </w:pPr>
      <w:bookmarkStart w:id="60" w:name="_Toc462814468"/>
      <w:r w:rsidRPr="00C76622">
        <w:t xml:space="preserve">Figure </w:t>
      </w:r>
      <w:r w:rsidR="00AD5B83">
        <w:t>7</w:t>
      </w:r>
      <w:r w:rsidRPr="00C76622">
        <w:t xml:space="preserve">: </w:t>
      </w:r>
      <w:r w:rsidRPr="00C76622">
        <w:tab/>
      </w:r>
      <w:r w:rsidR="00B556C0">
        <w:t>Submitter</w:t>
      </w:r>
      <w:r w:rsidRPr="00C76622">
        <w:t xml:space="preserve"> positions – </w:t>
      </w:r>
      <w:r w:rsidR="00E61DF2">
        <w:rPr>
          <w:i/>
        </w:rPr>
        <w:t>Do you think measures should be in place to manage price stability?</w:t>
      </w:r>
      <w:bookmarkEnd w:id="60"/>
    </w:p>
    <w:p w:rsidR="000F5A2A" w:rsidRPr="00C76622" w:rsidRDefault="00996A3C" w:rsidP="00113656">
      <w:pPr>
        <w:pStyle w:val="BodyText"/>
        <w:spacing w:before="60"/>
        <w:jc w:val="center"/>
      </w:pPr>
      <w:r>
        <w:rPr>
          <w:noProof/>
          <w:lang w:eastAsia="en-NZ"/>
        </w:rPr>
        <w:drawing>
          <wp:inline distT="0" distB="0" distL="0" distR="0" wp14:anchorId="6DD3A065">
            <wp:extent cx="5407660" cy="27495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7660" cy="2749550"/>
                    </a:xfrm>
                    <a:prstGeom prst="rect">
                      <a:avLst/>
                    </a:prstGeom>
                    <a:noFill/>
                  </pic:spPr>
                </pic:pic>
              </a:graphicData>
            </a:graphic>
          </wp:inline>
        </w:drawing>
      </w:r>
    </w:p>
    <w:p w:rsidR="00D215C5" w:rsidRDefault="0040636D" w:rsidP="00D215C5">
      <w:pPr>
        <w:pStyle w:val="Heading2"/>
        <w:spacing w:before="240"/>
      </w:pPr>
      <w:bookmarkStart w:id="61" w:name="_Toc456013889"/>
      <w:bookmarkStart w:id="62" w:name="_Toc463270142"/>
      <w:r>
        <w:t>7</w:t>
      </w:r>
      <w:r w:rsidR="00D215C5">
        <w:t>.3</w:t>
      </w:r>
      <w:r w:rsidR="00D215C5">
        <w:tab/>
        <w:t>What do you consider are important factors for managing price stability? (Question 22)</w:t>
      </w:r>
      <w:bookmarkEnd w:id="61"/>
      <w:bookmarkEnd w:id="62"/>
      <w:r w:rsidR="00D215C5">
        <w:t xml:space="preserve"> </w:t>
      </w:r>
    </w:p>
    <w:p w:rsidR="00AC0BD6" w:rsidRPr="00885D73" w:rsidRDefault="00AC0BD6" w:rsidP="00CE58D8">
      <w:pPr>
        <w:pStyle w:val="Heading2"/>
        <w:spacing w:before="0"/>
        <w:ind w:firstLine="0"/>
        <w:rPr>
          <w:sz w:val="22"/>
          <w:szCs w:val="22"/>
        </w:rPr>
      </w:pPr>
      <w:bookmarkStart w:id="63" w:name="_Toc463270143"/>
      <w:proofErr w:type="gramStart"/>
      <w:r w:rsidRPr="00885D73">
        <w:rPr>
          <w:sz w:val="22"/>
          <w:szCs w:val="22"/>
        </w:rPr>
        <w:t>a</w:t>
      </w:r>
      <w:proofErr w:type="gramEnd"/>
      <w:r w:rsidRPr="00885D73">
        <w:rPr>
          <w:sz w:val="22"/>
          <w:szCs w:val="22"/>
        </w:rPr>
        <w:t>) upper price limits (</w:t>
      </w:r>
      <w:proofErr w:type="spellStart"/>
      <w:r w:rsidRPr="00885D73">
        <w:rPr>
          <w:sz w:val="22"/>
          <w:szCs w:val="22"/>
        </w:rPr>
        <w:t>eg</w:t>
      </w:r>
      <w:proofErr w:type="spellEnd"/>
      <w:r w:rsidRPr="00885D73">
        <w:rPr>
          <w:sz w:val="22"/>
          <w:szCs w:val="22"/>
        </w:rPr>
        <w:t>, fixed price option, or a price ceiling implemented an auctioning mechanism)</w:t>
      </w:r>
      <w:r w:rsidRPr="00885D73">
        <w:rPr>
          <w:sz w:val="22"/>
          <w:szCs w:val="22"/>
        </w:rPr>
        <w:br/>
        <w:t>b) lower price limits (</w:t>
      </w:r>
      <w:proofErr w:type="spellStart"/>
      <w:r w:rsidRPr="00885D73">
        <w:rPr>
          <w:sz w:val="22"/>
          <w:szCs w:val="22"/>
        </w:rPr>
        <w:t>eg</w:t>
      </w:r>
      <w:proofErr w:type="spellEnd"/>
      <w:r w:rsidRPr="00885D73">
        <w:rPr>
          <w:sz w:val="22"/>
          <w:szCs w:val="22"/>
        </w:rPr>
        <w:t>, price floor)</w:t>
      </w:r>
      <w:r w:rsidRPr="00885D73">
        <w:rPr>
          <w:sz w:val="22"/>
          <w:szCs w:val="22"/>
        </w:rPr>
        <w:br/>
        <w:t>c) other</w:t>
      </w:r>
      <w:bookmarkEnd w:id="63"/>
      <w:r w:rsidRPr="00885D73">
        <w:rPr>
          <w:sz w:val="22"/>
          <w:szCs w:val="22"/>
        </w:rPr>
        <w:t xml:space="preserve"> </w:t>
      </w:r>
    </w:p>
    <w:p w:rsidR="00D215C5" w:rsidRDefault="00D215C5" w:rsidP="00D215C5">
      <w:pPr>
        <w:pStyle w:val="BodyText"/>
      </w:pPr>
      <w:r>
        <w:t xml:space="preserve">This question refers to the mechanisms that submitters suggest could be used for managing price. Answers </w:t>
      </w:r>
      <w:r w:rsidR="00FA769E">
        <w:t xml:space="preserve">that </w:t>
      </w:r>
      <w:r>
        <w:t xml:space="preserve">relate to other considerations are summarised under </w:t>
      </w:r>
      <w:r w:rsidR="00E5018B">
        <w:t>7</w:t>
      </w:r>
      <w:r>
        <w:t>.4 (</w:t>
      </w:r>
      <w:r w:rsidR="00FA769E">
        <w:t>q</w:t>
      </w:r>
      <w:r>
        <w:t>uestion 23).</w:t>
      </w:r>
      <w:r w:rsidRPr="00330E16">
        <w:t xml:space="preserve"> </w:t>
      </w:r>
      <w:r w:rsidR="007F66C7">
        <w:t>One hundred and fifty-four submitters (</w:t>
      </w:r>
      <w:r w:rsidR="00C2449D">
        <w:t>approximately</w:t>
      </w:r>
      <w:r w:rsidR="007F66C7">
        <w:t xml:space="preserve"> </w:t>
      </w:r>
      <w:r w:rsidRPr="001F62A5">
        <w:t xml:space="preserve">45 </w:t>
      </w:r>
      <w:r w:rsidR="008E24E1">
        <w:t>per cent</w:t>
      </w:r>
      <w:r>
        <w:t xml:space="preserve"> of </w:t>
      </w:r>
      <w:r w:rsidR="007F66C7">
        <w:t>total respondents)</w:t>
      </w:r>
      <w:r>
        <w:t xml:space="preserve"> addressed this question</w:t>
      </w:r>
      <w:r w:rsidR="00FA769E">
        <w:t>,</w:t>
      </w:r>
      <w:r>
        <w:t xml:space="preserve"> giving a wide range of views.</w:t>
      </w:r>
      <w:r w:rsidR="00327A29">
        <w:t xml:space="preserve"> Approx</w:t>
      </w:r>
      <w:r w:rsidR="00AC0BD6">
        <w:t>imately</w:t>
      </w:r>
      <w:r w:rsidR="00327A29">
        <w:t xml:space="preserve"> 25 per cent of submitters suggested other factors, with many </w:t>
      </w:r>
      <w:r w:rsidR="00F30C21">
        <w:t>noting the importance of</w:t>
      </w:r>
      <w:r w:rsidR="00327A29">
        <w:t xml:space="preserve"> </w:t>
      </w:r>
      <w:r w:rsidR="00F30C21">
        <w:t xml:space="preserve">policy stability. This is further discussed in </w:t>
      </w:r>
      <w:r w:rsidR="00E5018B">
        <w:t>7</w:t>
      </w:r>
      <w:r w:rsidR="00F30C21">
        <w:t>.4 (question 23).</w:t>
      </w:r>
    </w:p>
    <w:p w:rsidR="00D215C5" w:rsidRDefault="00D215C5" w:rsidP="00D215C5">
      <w:pPr>
        <w:pStyle w:val="Heading4"/>
      </w:pPr>
      <w:r>
        <w:t>Price band</w:t>
      </w:r>
      <w:r w:rsidR="00750701">
        <w:t xml:space="preserve"> or corridor </w:t>
      </w:r>
    </w:p>
    <w:p w:rsidR="00D215C5" w:rsidRDefault="00715E35" w:rsidP="00D215C5">
      <w:pPr>
        <w:pStyle w:val="BodyText"/>
      </w:pPr>
      <w:r>
        <w:t>Many submitters (</w:t>
      </w:r>
      <w:r w:rsidR="00C2449D">
        <w:t>approximately</w:t>
      </w:r>
      <w:r>
        <w:t xml:space="preserve"> 30 </w:t>
      </w:r>
      <w:r w:rsidR="008E24E1">
        <w:t>per cent</w:t>
      </w:r>
      <w:r>
        <w:t>) recommended the use</w:t>
      </w:r>
      <w:r w:rsidR="00D215C5">
        <w:t xml:space="preserve"> of both lower and upper limits to manage price</w:t>
      </w:r>
      <w:r>
        <w:t xml:space="preserve">, with some of these submitters also </w:t>
      </w:r>
      <w:r w:rsidR="00D215C5">
        <w:t>suggest</w:t>
      </w:r>
      <w:r>
        <w:t>ing</w:t>
      </w:r>
      <w:r w:rsidR="00D215C5">
        <w:t xml:space="preserve"> other mechanisms</w:t>
      </w:r>
      <w:r>
        <w:t xml:space="preserve"> as well</w:t>
      </w:r>
      <w:r w:rsidR="00D215C5">
        <w:t xml:space="preserve">. Some of these submitters </w:t>
      </w:r>
      <w:r>
        <w:t xml:space="preserve">thought </w:t>
      </w:r>
      <w:r w:rsidR="00D215C5">
        <w:t xml:space="preserve">a price band </w:t>
      </w:r>
      <w:r w:rsidR="00E31394">
        <w:t xml:space="preserve">would help provide some protection and </w:t>
      </w:r>
      <w:r w:rsidR="00D215C5">
        <w:t xml:space="preserve">certainty </w:t>
      </w:r>
      <w:r w:rsidR="00E31394">
        <w:t>for businesses in their planning</w:t>
      </w:r>
      <w:r w:rsidR="00D215C5">
        <w:t xml:space="preserve">. </w:t>
      </w:r>
    </w:p>
    <w:p w:rsidR="00D215C5" w:rsidRPr="00811B86" w:rsidRDefault="001629C8" w:rsidP="00811B86">
      <w:pPr>
        <w:pStyle w:val="Quote"/>
        <w:ind w:left="567" w:right="567"/>
        <w:rPr>
          <w:sz w:val="21"/>
        </w:rPr>
      </w:pPr>
      <w:r w:rsidRPr="00811B86">
        <w:rPr>
          <w:sz w:val="21"/>
        </w:rPr>
        <w:t>“</w:t>
      </w:r>
      <w:r w:rsidR="00D215C5" w:rsidRPr="00811B86">
        <w:rPr>
          <w:sz w:val="21"/>
        </w:rPr>
        <w:t>It is crucial to restore integrity to the ETS, and the establishment of a price floor is essential in doing so, with an annual escalator. Auctioning could then take place above that level and a price ceiling could be established to provide predictability on the maximum level.</w:t>
      </w:r>
      <w:r w:rsidRPr="00811B86">
        <w:rPr>
          <w:sz w:val="21"/>
        </w:rPr>
        <w:t xml:space="preserve">” </w:t>
      </w:r>
      <w:r w:rsidR="00D215C5" w:rsidRPr="00811B86">
        <w:rPr>
          <w:sz w:val="21"/>
        </w:rPr>
        <w:t xml:space="preserve">(Sustainable Initiatives </w:t>
      </w:r>
      <w:proofErr w:type="spellStart"/>
      <w:r w:rsidR="00D215C5" w:rsidRPr="00811B86">
        <w:rPr>
          <w:sz w:val="21"/>
        </w:rPr>
        <w:t>Aotearoa</w:t>
      </w:r>
      <w:proofErr w:type="spellEnd"/>
      <w:r w:rsidRPr="00811B86">
        <w:rPr>
          <w:sz w:val="21"/>
        </w:rPr>
        <w:t xml:space="preserve">, </w:t>
      </w:r>
      <w:r w:rsidR="00C27B96">
        <w:rPr>
          <w:sz w:val="21"/>
        </w:rPr>
        <w:t>02023</w:t>
      </w:r>
      <w:r w:rsidR="00D215C5" w:rsidRPr="00811B86">
        <w:rPr>
          <w:sz w:val="21"/>
        </w:rPr>
        <w:t>)</w:t>
      </w:r>
    </w:p>
    <w:p w:rsidR="00D215C5" w:rsidRDefault="00D215C5" w:rsidP="00D215C5">
      <w:pPr>
        <w:pStyle w:val="Heading4"/>
      </w:pPr>
      <w:r>
        <w:t>Lower price limits</w:t>
      </w:r>
    </w:p>
    <w:p w:rsidR="00D215C5" w:rsidRDefault="00E31394" w:rsidP="00D215C5">
      <w:pPr>
        <w:pStyle w:val="BodyText"/>
      </w:pPr>
      <w:r>
        <w:t>A</w:t>
      </w:r>
      <w:r w:rsidR="00B9267A">
        <w:t>pproximately</w:t>
      </w:r>
      <w:r w:rsidR="00D215C5">
        <w:t xml:space="preserve"> </w:t>
      </w:r>
      <w:r w:rsidR="00D215C5" w:rsidRPr="00DA0596">
        <w:t xml:space="preserve">25 </w:t>
      </w:r>
      <w:r w:rsidR="008E24E1">
        <w:t>per cent</w:t>
      </w:r>
      <w:r w:rsidR="00D215C5">
        <w:t xml:space="preserve"> of submitters</w:t>
      </w:r>
      <w:r>
        <w:t xml:space="preserve"> thought </w:t>
      </w:r>
      <w:r w:rsidR="00D215C5" w:rsidRPr="00DA0596">
        <w:t xml:space="preserve">there should be lower price limits. </w:t>
      </w:r>
      <w:r w:rsidR="008563AF">
        <w:t xml:space="preserve">Lower price limits were </w:t>
      </w:r>
      <w:r w:rsidR="00D215C5" w:rsidRPr="00DA0596">
        <w:t xml:space="preserve">especially supported by submitters from the forestry </w:t>
      </w:r>
      <w:r w:rsidR="00D215C5">
        <w:t>sector</w:t>
      </w:r>
      <w:r w:rsidR="008563AF">
        <w:t>, with</w:t>
      </w:r>
      <w:r w:rsidR="00D215C5">
        <w:t xml:space="preserve"> </w:t>
      </w:r>
      <w:r w:rsidR="008563AF">
        <w:t>s</w:t>
      </w:r>
      <w:r w:rsidR="00D215C5">
        <w:t xml:space="preserve">everal submitters </w:t>
      </w:r>
      <w:r w:rsidR="00CD7943">
        <w:lastRenderedPageBreak/>
        <w:t>emphasising</w:t>
      </w:r>
      <w:r w:rsidR="00D215C5">
        <w:t xml:space="preserve"> the importance of a price floor to prevent the</w:t>
      </w:r>
      <w:r w:rsidR="008563AF">
        <w:t xml:space="preserve"> p</w:t>
      </w:r>
      <w:r w:rsidR="00D215C5">
        <w:t>rice</w:t>
      </w:r>
      <w:r w:rsidR="00CD7943">
        <w:t xml:space="preserve"> from</w:t>
      </w:r>
      <w:r w:rsidR="00D215C5">
        <w:t xml:space="preserve"> collapsing again. Many submitters from the forestry sector noted the </w:t>
      </w:r>
      <w:r w:rsidR="007209A8">
        <w:t xml:space="preserve">usefulness of a lower price limits for </w:t>
      </w:r>
      <w:r w:rsidR="008563AF">
        <w:t>p</w:t>
      </w:r>
      <w:r w:rsidR="00D215C5">
        <w:t xml:space="preserve">roviding certainty </w:t>
      </w:r>
      <w:r w:rsidR="008563AF">
        <w:t xml:space="preserve">for </w:t>
      </w:r>
      <w:r w:rsidR="00D215C5">
        <w:t>long-term forestry investments.</w:t>
      </w:r>
    </w:p>
    <w:p w:rsidR="00D215C5" w:rsidRPr="00811B86" w:rsidRDefault="001629C8" w:rsidP="00811B86">
      <w:pPr>
        <w:pStyle w:val="Quote"/>
        <w:ind w:left="567" w:right="567"/>
        <w:rPr>
          <w:sz w:val="21"/>
        </w:rPr>
      </w:pPr>
      <w:r w:rsidRPr="00811B86">
        <w:rPr>
          <w:sz w:val="21"/>
        </w:rPr>
        <w:t>“</w:t>
      </w:r>
      <w:r w:rsidR="00D215C5" w:rsidRPr="00811B86">
        <w:rPr>
          <w:sz w:val="21"/>
        </w:rPr>
        <w:t>A price floor would provide long-term certainty to commercial and permanent forest owners, enabling them to have confidence in forest investments with reasonable rates of return.</w:t>
      </w:r>
      <w:r w:rsidRPr="00811B86">
        <w:rPr>
          <w:sz w:val="21"/>
        </w:rPr>
        <w:t>”</w:t>
      </w:r>
      <w:r w:rsidR="00D215C5" w:rsidRPr="00811B86">
        <w:rPr>
          <w:sz w:val="21"/>
        </w:rPr>
        <w:t xml:space="preserve"> (</w:t>
      </w:r>
      <w:r w:rsidR="0029766E">
        <w:rPr>
          <w:sz w:val="21"/>
        </w:rPr>
        <w:t>Individual</w:t>
      </w:r>
      <w:r w:rsidRPr="00811B86">
        <w:rPr>
          <w:sz w:val="21"/>
        </w:rPr>
        <w:t xml:space="preserve">, </w:t>
      </w:r>
      <w:r w:rsidR="0029766E">
        <w:rPr>
          <w:sz w:val="21"/>
        </w:rPr>
        <w:t>05010</w:t>
      </w:r>
      <w:r w:rsidR="00D215C5" w:rsidRPr="00811B86">
        <w:rPr>
          <w:sz w:val="21"/>
        </w:rPr>
        <w:t>)</w:t>
      </w:r>
    </w:p>
    <w:p w:rsidR="00D215C5" w:rsidRDefault="00D215C5" w:rsidP="00D215C5">
      <w:pPr>
        <w:pStyle w:val="Heading4"/>
      </w:pPr>
      <w:r>
        <w:t>Upper price limits</w:t>
      </w:r>
    </w:p>
    <w:p w:rsidR="00D215C5" w:rsidRDefault="00D215C5" w:rsidP="00811B86">
      <w:pPr>
        <w:pStyle w:val="BodyText"/>
      </w:pPr>
      <w:r w:rsidRPr="00DA0596">
        <w:t xml:space="preserve">The use of </w:t>
      </w:r>
      <w:r w:rsidR="007209A8">
        <w:t xml:space="preserve">an </w:t>
      </w:r>
      <w:r w:rsidRPr="00DA0596">
        <w:t>upper price limit was also supported by many submitters (</w:t>
      </w:r>
      <w:r w:rsidR="00C2449D">
        <w:t>approximately</w:t>
      </w:r>
      <w:r w:rsidRPr="00DA0596">
        <w:t xml:space="preserve"> 20 </w:t>
      </w:r>
      <w:r w:rsidR="008E24E1">
        <w:t>per cent</w:t>
      </w:r>
      <w:r w:rsidRPr="00DA0596">
        <w:t xml:space="preserve">), especially those from non-forestry sectors of the NZ ETS. A few </w:t>
      </w:r>
      <w:r>
        <w:t xml:space="preserve">submitters </w:t>
      </w:r>
      <w:r w:rsidRPr="00DA0596">
        <w:t>mentioned there should continue to be a fixed price</w:t>
      </w:r>
      <w:r w:rsidR="007209A8">
        <w:t xml:space="preserve"> surrender</w:t>
      </w:r>
      <w:r w:rsidRPr="00DA0596">
        <w:t xml:space="preserve"> </w:t>
      </w:r>
      <w:r>
        <w:t>option until other forms of supply (such as auctioning or international units) were introduced</w:t>
      </w:r>
      <w:r w:rsidR="007209A8">
        <w:t xml:space="preserve"> to the NZ ETS</w:t>
      </w:r>
      <w:r>
        <w:t xml:space="preserve">. Some </w:t>
      </w:r>
      <w:r w:rsidR="007209A8">
        <w:t xml:space="preserve">submitters </w:t>
      </w:r>
      <w:r>
        <w:t>suggested</w:t>
      </w:r>
      <w:r w:rsidR="00FA769E">
        <w:t xml:space="preserve"> that</w:t>
      </w:r>
      <w:r>
        <w:t xml:space="preserve"> </w:t>
      </w:r>
      <w:r w:rsidR="007209A8">
        <w:t>there should be an upper price limit that a</w:t>
      </w:r>
      <w:r>
        <w:t>lign</w:t>
      </w:r>
      <w:r w:rsidR="007209A8">
        <w:t>s</w:t>
      </w:r>
      <w:r>
        <w:t xml:space="preserve"> with international carbon prices, while others </w:t>
      </w:r>
      <w:r w:rsidR="00CD7943">
        <w:t>thought that it should be set at a level to</w:t>
      </w:r>
      <w:r>
        <w:t xml:space="preserve"> encourage emissions reductions. </w:t>
      </w:r>
    </w:p>
    <w:p w:rsidR="00D215C5" w:rsidRPr="00811B86" w:rsidRDefault="001629C8" w:rsidP="00811B86">
      <w:pPr>
        <w:pStyle w:val="Quote"/>
        <w:ind w:left="567" w:right="567"/>
        <w:rPr>
          <w:sz w:val="21"/>
        </w:rPr>
      </w:pPr>
      <w:r w:rsidRPr="00811B86">
        <w:rPr>
          <w:sz w:val="21"/>
        </w:rPr>
        <w:t>“</w:t>
      </w:r>
      <w:r w:rsidR="00D215C5" w:rsidRPr="00811B86">
        <w:rPr>
          <w:sz w:val="21"/>
        </w:rPr>
        <w:t>We also strongly recommend the Government adopt rational and transparent policies that are clearly aimed at achieving real emissions reductions. Explanation: A fixed price upper limit clearly signals to emitters the Government’s assessment of the costs of GHG emissions. This enables emitters to make rational investment decisions in an atmosphere of confidence and certainty.</w:t>
      </w:r>
      <w:r w:rsidRPr="00811B86">
        <w:rPr>
          <w:sz w:val="21"/>
        </w:rPr>
        <w:t>”</w:t>
      </w:r>
      <w:r w:rsidR="00D215C5" w:rsidRPr="00811B86">
        <w:rPr>
          <w:sz w:val="21"/>
        </w:rPr>
        <w:t xml:space="preserve"> (New Zealand Farm Forestry Association</w:t>
      </w:r>
      <w:r w:rsidRPr="00811B86">
        <w:rPr>
          <w:sz w:val="21"/>
        </w:rPr>
        <w:t xml:space="preserve">, </w:t>
      </w:r>
      <w:r w:rsidR="00C27B96">
        <w:rPr>
          <w:sz w:val="21"/>
        </w:rPr>
        <w:t>00022</w:t>
      </w:r>
      <w:r w:rsidR="00D215C5" w:rsidRPr="00811B86">
        <w:rPr>
          <w:sz w:val="21"/>
        </w:rPr>
        <w:t>)</w:t>
      </w:r>
      <w:r w:rsidR="00EB0219" w:rsidRPr="00811B86">
        <w:rPr>
          <w:sz w:val="21"/>
        </w:rPr>
        <w:t xml:space="preserve"> </w:t>
      </w:r>
    </w:p>
    <w:p w:rsidR="00D215C5" w:rsidRDefault="00D215C5" w:rsidP="00D215C5">
      <w:pPr>
        <w:pStyle w:val="Heading4"/>
      </w:pPr>
      <w:r>
        <w:t>Rising price limits</w:t>
      </w:r>
    </w:p>
    <w:p w:rsidR="00D215C5" w:rsidRDefault="00D215C5" w:rsidP="00811B86">
      <w:pPr>
        <w:pStyle w:val="BodyText"/>
      </w:pPr>
      <w:r>
        <w:t xml:space="preserve">A common theme </w:t>
      </w:r>
      <w:r w:rsidR="007209A8">
        <w:t xml:space="preserve">among </w:t>
      </w:r>
      <w:r w:rsidR="00BE7A31">
        <w:t xml:space="preserve">many </w:t>
      </w:r>
      <w:r w:rsidR="007209A8">
        <w:t>submitters</w:t>
      </w:r>
      <w:r>
        <w:t xml:space="preserve"> was that, regardless of the mechanism</w:t>
      </w:r>
      <w:r w:rsidR="006D4301">
        <w:t xml:space="preserve"> used</w:t>
      </w:r>
      <w:r>
        <w:t xml:space="preserve">, </w:t>
      </w:r>
      <w:r w:rsidR="006D4301">
        <w:t>price limits</w:t>
      </w:r>
      <w:r>
        <w:t xml:space="preserve"> should rise over time. Some suggested </w:t>
      </w:r>
      <w:r w:rsidR="006D4301">
        <w:t>price</w:t>
      </w:r>
      <w:r>
        <w:t xml:space="preserve"> </w:t>
      </w:r>
      <w:r w:rsidR="006D4301">
        <w:t xml:space="preserve">limits </w:t>
      </w:r>
      <w:r>
        <w:t>should increase in line with recommendation</w:t>
      </w:r>
      <w:r w:rsidR="006D4301">
        <w:t>s made by the 2011 Review Panel</w:t>
      </w:r>
      <w:r w:rsidR="00FA769E">
        <w:t>,</w:t>
      </w:r>
      <w:r>
        <w:t xml:space="preserve"> or adjusted similarly to </w:t>
      </w:r>
      <w:r w:rsidR="00BE7A31">
        <w:t xml:space="preserve">how the Reserve Bank manages inflation. </w:t>
      </w:r>
      <w:r>
        <w:t>Many of these submitters suggested rising limits would encourage emission reductions and long-term low emission investments.</w:t>
      </w:r>
    </w:p>
    <w:p w:rsidR="00D215C5" w:rsidRPr="00811B86" w:rsidRDefault="001629C8" w:rsidP="00811B86">
      <w:pPr>
        <w:pStyle w:val="Quote"/>
        <w:ind w:left="567" w:right="567"/>
        <w:rPr>
          <w:sz w:val="21"/>
        </w:rPr>
      </w:pPr>
      <w:r w:rsidRPr="00811B86">
        <w:rPr>
          <w:sz w:val="21"/>
        </w:rPr>
        <w:t>“</w:t>
      </w:r>
      <w:r w:rsidR="00D215C5" w:rsidRPr="00811B86">
        <w:rPr>
          <w:sz w:val="21"/>
        </w:rPr>
        <w:t>All the evidence indicates that the carbon price will work most effectively and efficiently, with lowest costs to society, if it is started low (say within a $15-25/tonne band) and is then steadily increased over time.  On the emission permit supply side, a further pre-requisite for establishing, and maintaining, a significant carbon price is to keep a true cap on the quantity if price is to be the regulatory engine of emissions reduction.</w:t>
      </w:r>
      <w:r w:rsidRPr="00811B86">
        <w:rPr>
          <w:sz w:val="21"/>
        </w:rPr>
        <w:t>”</w:t>
      </w:r>
      <w:r w:rsidR="00D215C5" w:rsidRPr="00811B86">
        <w:rPr>
          <w:sz w:val="21"/>
        </w:rPr>
        <w:t xml:space="preserve"> (Environment and Conservation Organisations of New Zealand</w:t>
      </w:r>
      <w:r w:rsidRPr="00811B86">
        <w:rPr>
          <w:sz w:val="21"/>
        </w:rPr>
        <w:t xml:space="preserve">, </w:t>
      </w:r>
      <w:r w:rsidR="0029766E">
        <w:rPr>
          <w:sz w:val="21"/>
        </w:rPr>
        <w:t>00157</w:t>
      </w:r>
      <w:r w:rsidR="00D215C5" w:rsidRPr="00811B86">
        <w:rPr>
          <w:sz w:val="21"/>
        </w:rPr>
        <w:t>)</w:t>
      </w:r>
    </w:p>
    <w:p w:rsidR="000F5A2A" w:rsidRPr="00231D5A" w:rsidRDefault="00465B2E" w:rsidP="000F5A2A">
      <w:pPr>
        <w:pStyle w:val="Tableheading"/>
      </w:pPr>
      <w:bookmarkStart w:id="64" w:name="_Toc463270173"/>
      <w:r>
        <w:t>Table 9</w:t>
      </w:r>
      <w:r w:rsidR="000F5A2A" w:rsidRPr="009314F0">
        <w:t xml:space="preserve">: </w:t>
      </w:r>
      <w:r w:rsidR="000F5A2A" w:rsidRPr="009314F0">
        <w:tab/>
      </w:r>
      <w:r w:rsidR="00B556C0">
        <w:t>Submitter</w:t>
      </w:r>
      <w:r w:rsidR="000F5A2A" w:rsidRPr="009314F0">
        <w:t xml:space="preserve"> positions – </w:t>
      </w:r>
      <w:r w:rsidR="002861B5">
        <w:rPr>
          <w:i/>
        </w:rPr>
        <w:t>W</w:t>
      </w:r>
      <w:r w:rsidR="00F54613">
        <w:rPr>
          <w:i/>
        </w:rPr>
        <w:t>hat do you consider are important factors for managing price stability</w:t>
      </w:r>
      <w:r w:rsidR="000F5A2A">
        <w:rPr>
          <w:i/>
        </w:rPr>
        <w:t>?</w:t>
      </w:r>
      <w:bookmarkEnd w:id="64"/>
    </w:p>
    <w:tbl>
      <w:tblPr>
        <w:tblW w:w="9229" w:type="dxa"/>
        <w:tblInd w:w="93" w:type="dxa"/>
        <w:tblLayout w:type="fixed"/>
        <w:tblLook w:val="04A0" w:firstRow="1" w:lastRow="0" w:firstColumn="1" w:lastColumn="0" w:noHBand="0" w:noVBand="1"/>
      </w:tblPr>
      <w:tblGrid>
        <w:gridCol w:w="3326"/>
        <w:gridCol w:w="1180"/>
        <w:gridCol w:w="1181"/>
        <w:gridCol w:w="1180"/>
        <w:gridCol w:w="1181"/>
        <w:gridCol w:w="1181"/>
      </w:tblGrid>
      <w:tr w:rsidR="000F5A2A" w:rsidRPr="00231D5A" w:rsidTr="005F5A37">
        <w:trPr>
          <w:trHeight w:val="300"/>
          <w:tblHeader/>
        </w:trPr>
        <w:tc>
          <w:tcPr>
            <w:tcW w:w="3326" w:type="dxa"/>
            <w:tcBorders>
              <w:top w:val="nil"/>
              <w:left w:val="nil"/>
              <w:bottom w:val="single" w:sz="4" w:space="0" w:color="005984"/>
              <w:right w:val="single" w:sz="4" w:space="0" w:color="005984"/>
            </w:tcBorders>
            <w:noWrap/>
            <w:vAlign w:val="bottom"/>
            <w:hideMark/>
          </w:tcPr>
          <w:p w:rsidR="000F5A2A" w:rsidRPr="00231D5A" w:rsidRDefault="000F5A2A" w:rsidP="000F5A2A">
            <w:pPr>
              <w:spacing w:before="0" w:after="0"/>
              <w:rPr>
                <w:rFonts w:ascii="Times New Roman" w:hAnsi="Times New Roman" w:cs="Times New Roman"/>
                <w:sz w:val="20"/>
                <w:szCs w:val="20"/>
                <w:lang w:eastAsia="en-NZ"/>
              </w:rPr>
            </w:pPr>
          </w:p>
        </w:tc>
        <w:tc>
          <w:tcPr>
            <w:tcW w:w="1180"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0F5A2A" w:rsidRPr="00231D5A" w:rsidRDefault="00853E94" w:rsidP="00853E94">
            <w:pPr>
              <w:pStyle w:val="TableTextbold"/>
              <w:jc w:val="center"/>
              <w:rPr>
                <w:color w:val="FFFFFF"/>
                <w:lang w:eastAsia="en-NZ"/>
              </w:rPr>
            </w:pPr>
            <w:r>
              <w:rPr>
                <w:color w:val="FFFFFF"/>
                <w:lang w:eastAsia="en-NZ"/>
              </w:rPr>
              <w:t>Upper and lower price limits</w:t>
            </w:r>
          </w:p>
        </w:tc>
        <w:tc>
          <w:tcPr>
            <w:tcW w:w="1181"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0F5A2A" w:rsidRPr="00231D5A" w:rsidRDefault="00853E94" w:rsidP="00853E94">
            <w:pPr>
              <w:pStyle w:val="TableTextbold"/>
              <w:jc w:val="center"/>
              <w:rPr>
                <w:color w:val="FFFFFF"/>
                <w:lang w:eastAsia="en-NZ"/>
              </w:rPr>
            </w:pPr>
            <w:r>
              <w:rPr>
                <w:color w:val="FFFFFF"/>
                <w:lang w:eastAsia="en-NZ"/>
              </w:rPr>
              <w:t>Upper price limits</w:t>
            </w:r>
          </w:p>
        </w:tc>
        <w:tc>
          <w:tcPr>
            <w:tcW w:w="1180" w:type="dxa"/>
            <w:tcBorders>
              <w:top w:val="single" w:sz="4" w:space="0" w:color="005984"/>
              <w:left w:val="single" w:sz="4" w:space="0" w:color="005984"/>
              <w:bottom w:val="single" w:sz="4" w:space="0" w:color="005984"/>
              <w:right w:val="nil"/>
            </w:tcBorders>
            <w:shd w:val="clear" w:color="auto" w:fill="005984"/>
            <w:noWrap/>
            <w:vAlign w:val="center"/>
            <w:hideMark/>
          </w:tcPr>
          <w:p w:rsidR="000F5A2A" w:rsidRPr="00231D5A" w:rsidRDefault="00853E94" w:rsidP="00853E94">
            <w:pPr>
              <w:pStyle w:val="TableTextbold"/>
              <w:jc w:val="center"/>
              <w:rPr>
                <w:color w:val="FFFFFF"/>
                <w:lang w:eastAsia="en-NZ"/>
              </w:rPr>
            </w:pPr>
            <w:r>
              <w:rPr>
                <w:color w:val="FFFFFF"/>
                <w:lang w:eastAsia="en-NZ"/>
              </w:rPr>
              <w:t>Lower price limits</w:t>
            </w:r>
          </w:p>
        </w:tc>
        <w:tc>
          <w:tcPr>
            <w:tcW w:w="1181" w:type="dxa"/>
            <w:tcBorders>
              <w:top w:val="single" w:sz="4" w:space="0" w:color="005984"/>
              <w:left w:val="single" w:sz="4" w:space="0" w:color="005984"/>
              <w:bottom w:val="single" w:sz="4" w:space="0" w:color="005984"/>
              <w:right w:val="single" w:sz="4" w:space="0" w:color="005984"/>
            </w:tcBorders>
            <w:shd w:val="clear" w:color="auto" w:fill="005984"/>
            <w:vAlign w:val="center"/>
            <w:hideMark/>
          </w:tcPr>
          <w:p w:rsidR="000F5A2A" w:rsidRPr="00231D5A" w:rsidRDefault="00853E94" w:rsidP="00853E94">
            <w:pPr>
              <w:pStyle w:val="TableTextbold"/>
              <w:jc w:val="center"/>
              <w:rPr>
                <w:color w:val="FFFFFF"/>
                <w:lang w:eastAsia="en-NZ"/>
              </w:rPr>
            </w:pPr>
            <w:r>
              <w:rPr>
                <w:color w:val="FFFFFF"/>
                <w:lang w:eastAsia="en-NZ"/>
              </w:rPr>
              <w:t>Unsure/ unclear</w:t>
            </w:r>
          </w:p>
        </w:tc>
        <w:tc>
          <w:tcPr>
            <w:tcW w:w="1181" w:type="dxa"/>
            <w:tcBorders>
              <w:top w:val="single" w:sz="4" w:space="0" w:color="005984"/>
              <w:left w:val="single" w:sz="4" w:space="0" w:color="005984"/>
              <w:bottom w:val="single" w:sz="4" w:space="0" w:color="005984"/>
              <w:right w:val="nil"/>
            </w:tcBorders>
            <w:shd w:val="clear" w:color="auto" w:fill="005984"/>
            <w:vAlign w:val="center"/>
            <w:hideMark/>
          </w:tcPr>
          <w:p w:rsidR="000F5A2A" w:rsidRPr="00231D5A" w:rsidRDefault="000F5A2A" w:rsidP="00853E94">
            <w:pPr>
              <w:pStyle w:val="TableTextbold"/>
              <w:jc w:val="center"/>
              <w:rPr>
                <w:color w:val="FFFFFF"/>
                <w:lang w:eastAsia="en-NZ"/>
              </w:rPr>
            </w:pPr>
            <w:r w:rsidRPr="00231D5A">
              <w:rPr>
                <w:color w:val="FFFFFF"/>
                <w:lang w:eastAsia="en-NZ"/>
              </w:rPr>
              <w:t>Total</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Agriculture</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2</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4</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Business groups</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3</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4</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Electricity</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3</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2</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6</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Forestry</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8</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12</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11</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32</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Individual</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9</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5</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14</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10</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38</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Industrial processors</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3</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5</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8</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Iwi/Māori</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3</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2</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7</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lastRenderedPageBreak/>
              <w:t xml:space="preserve">Liquid fossil fuels </w:t>
            </w:r>
            <w:r>
              <w:rPr>
                <w:lang w:eastAsia="en-NZ"/>
              </w:rPr>
              <w:t>(transport)</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2</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4</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Local government</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NGO and community groups</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6</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4</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12</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Research and tertiary organisations</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5</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3</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8</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 xml:space="preserve">Stationary energy </w:t>
            </w:r>
            <w:r>
              <w:rPr>
                <w:lang w:eastAsia="en-NZ"/>
              </w:rPr>
              <w:t>(excluding electricity)</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2</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2</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6</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Waste sector</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2</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6</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10</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Wood processors</w:t>
            </w:r>
            <w:r>
              <w:rPr>
                <w:lang w:eastAsia="en-NZ"/>
              </w:rPr>
              <w:t xml:space="preserve"> and manufacturers</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0</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C76622" w:rsidRDefault="006678C6" w:rsidP="0029766E">
            <w:pPr>
              <w:pStyle w:val="TableText"/>
              <w:spacing w:before="50" w:after="50"/>
              <w:rPr>
                <w:lang w:eastAsia="en-NZ"/>
              </w:rPr>
            </w:pPr>
            <w:r w:rsidRPr="00C76622">
              <w:rPr>
                <w:lang w:eastAsia="en-NZ"/>
              </w:rPr>
              <w:t>Other</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5</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3</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2</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3</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sz w:val="18"/>
                <w:szCs w:val="18"/>
                <w:lang w:eastAsia="en-NZ"/>
              </w:rPr>
            </w:pPr>
            <w:r w:rsidRPr="006678C6">
              <w:rPr>
                <w:sz w:val="18"/>
                <w:szCs w:val="18"/>
                <w:lang w:eastAsia="en-NZ"/>
              </w:rPr>
              <w:t>13</w:t>
            </w:r>
          </w:p>
        </w:tc>
      </w:tr>
      <w:tr w:rsidR="006678C6" w:rsidRPr="00231D5A" w:rsidTr="006678C6">
        <w:trPr>
          <w:trHeight w:val="300"/>
        </w:trPr>
        <w:tc>
          <w:tcPr>
            <w:tcW w:w="3326" w:type="dxa"/>
            <w:tcBorders>
              <w:top w:val="single" w:sz="4" w:space="0" w:color="005984"/>
              <w:left w:val="nil"/>
              <w:bottom w:val="single" w:sz="4" w:space="0" w:color="005984"/>
              <w:right w:val="single" w:sz="4" w:space="0" w:color="005984"/>
            </w:tcBorders>
            <w:noWrap/>
            <w:vAlign w:val="center"/>
          </w:tcPr>
          <w:p w:rsidR="006678C6" w:rsidRPr="006678C6" w:rsidRDefault="006678C6" w:rsidP="006678C6">
            <w:pPr>
              <w:pStyle w:val="TableText"/>
              <w:spacing w:before="50" w:after="50"/>
              <w:jc w:val="center"/>
              <w:rPr>
                <w:b/>
                <w:lang w:eastAsia="en-NZ"/>
              </w:rPr>
            </w:pPr>
            <w:r w:rsidRPr="006678C6">
              <w:rPr>
                <w:b/>
                <w:lang w:eastAsia="en-NZ"/>
              </w:rPr>
              <w:t>TOTAL</w:t>
            </w:r>
          </w:p>
        </w:tc>
        <w:tc>
          <w:tcPr>
            <w:tcW w:w="1180"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b/>
                <w:sz w:val="18"/>
                <w:szCs w:val="18"/>
                <w:lang w:eastAsia="en-NZ"/>
              </w:rPr>
            </w:pPr>
            <w:r w:rsidRPr="006678C6">
              <w:rPr>
                <w:b/>
                <w:sz w:val="18"/>
                <w:szCs w:val="18"/>
                <w:lang w:eastAsia="en-NZ"/>
              </w:rPr>
              <w:t>49</w:t>
            </w:r>
          </w:p>
        </w:tc>
        <w:tc>
          <w:tcPr>
            <w:tcW w:w="1181" w:type="dxa"/>
            <w:tcBorders>
              <w:top w:val="single" w:sz="4" w:space="0" w:color="005984"/>
              <w:left w:val="single" w:sz="4" w:space="0" w:color="005984"/>
              <w:bottom w:val="single" w:sz="4" w:space="0" w:color="005984"/>
              <w:right w:val="single" w:sz="4" w:space="0" w:color="005984"/>
            </w:tcBorders>
            <w:noWrap/>
            <w:vAlign w:val="center"/>
          </w:tcPr>
          <w:p w:rsidR="006678C6" w:rsidRPr="006678C6" w:rsidRDefault="006678C6" w:rsidP="006678C6">
            <w:pPr>
              <w:spacing w:before="50" w:after="50"/>
              <w:jc w:val="center"/>
              <w:rPr>
                <w:b/>
                <w:sz w:val="18"/>
                <w:szCs w:val="18"/>
                <w:lang w:eastAsia="en-NZ"/>
              </w:rPr>
            </w:pPr>
            <w:r w:rsidRPr="006678C6">
              <w:rPr>
                <w:b/>
                <w:sz w:val="18"/>
                <w:szCs w:val="18"/>
                <w:lang w:eastAsia="en-NZ"/>
              </w:rPr>
              <w:t>31</w:t>
            </w:r>
          </w:p>
        </w:tc>
        <w:tc>
          <w:tcPr>
            <w:tcW w:w="1180" w:type="dxa"/>
            <w:tcBorders>
              <w:top w:val="single" w:sz="4" w:space="0" w:color="005984"/>
              <w:left w:val="single" w:sz="4" w:space="0" w:color="005984"/>
              <w:bottom w:val="single" w:sz="4" w:space="0" w:color="005984"/>
              <w:right w:val="nil"/>
            </w:tcBorders>
            <w:noWrap/>
            <w:vAlign w:val="center"/>
          </w:tcPr>
          <w:p w:rsidR="006678C6" w:rsidRPr="006678C6" w:rsidRDefault="006678C6" w:rsidP="006678C6">
            <w:pPr>
              <w:spacing w:before="50" w:after="50"/>
              <w:jc w:val="center"/>
              <w:rPr>
                <w:b/>
                <w:sz w:val="18"/>
                <w:szCs w:val="18"/>
                <w:lang w:eastAsia="en-NZ"/>
              </w:rPr>
            </w:pPr>
            <w:r w:rsidRPr="006678C6">
              <w:rPr>
                <w:b/>
                <w:sz w:val="18"/>
                <w:szCs w:val="18"/>
                <w:lang w:eastAsia="en-NZ"/>
              </w:rPr>
              <w:t>37</w:t>
            </w:r>
          </w:p>
        </w:tc>
        <w:tc>
          <w:tcPr>
            <w:tcW w:w="1181" w:type="dxa"/>
            <w:tcBorders>
              <w:top w:val="single" w:sz="4" w:space="0" w:color="005984"/>
              <w:left w:val="single" w:sz="4" w:space="0" w:color="005984"/>
              <w:bottom w:val="single" w:sz="4" w:space="0" w:color="005984"/>
              <w:right w:val="single" w:sz="4" w:space="0" w:color="005984"/>
            </w:tcBorders>
            <w:vAlign w:val="center"/>
          </w:tcPr>
          <w:p w:rsidR="006678C6" w:rsidRPr="006678C6" w:rsidRDefault="006678C6" w:rsidP="006678C6">
            <w:pPr>
              <w:spacing w:before="50" w:after="50"/>
              <w:jc w:val="center"/>
              <w:rPr>
                <w:b/>
                <w:sz w:val="18"/>
                <w:szCs w:val="18"/>
                <w:lang w:eastAsia="en-NZ"/>
              </w:rPr>
            </w:pPr>
            <w:r w:rsidRPr="006678C6">
              <w:rPr>
                <w:b/>
                <w:sz w:val="18"/>
                <w:szCs w:val="18"/>
                <w:lang w:eastAsia="en-NZ"/>
              </w:rPr>
              <w:t>37</w:t>
            </w:r>
          </w:p>
        </w:tc>
        <w:tc>
          <w:tcPr>
            <w:tcW w:w="1181" w:type="dxa"/>
            <w:tcBorders>
              <w:top w:val="single" w:sz="4" w:space="0" w:color="005984"/>
              <w:left w:val="single" w:sz="4" w:space="0" w:color="005984"/>
              <w:bottom w:val="single" w:sz="4" w:space="0" w:color="005984"/>
              <w:right w:val="nil"/>
            </w:tcBorders>
            <w:vAlign w:val="center"/>
          </w:tcPr>
          <w:p w:rsidR="006678C6" w:rsidRPr="006678C6" w:rsidRDefault="006678C6" w:rsidP="006678C6">
            <w:pPr>
              <w:spacing w:before="50" w:after="50"/>
              <w:jc w:val="center"/>
              <w:rPr>
                <w:b/>
                <w:sz w:val="18"/>
                <w:szCs w:val="18"/>
                <w:lang w:eastAsia="en-NZ"/>
              </w:rPr>
            </w:pPr>
            <w:r w:rsidRPr="006678C6">
              <w:rPr>
                <w:b/>
                <w:sz w:val="18"/>
                <w:szCs w:val="18"/>
                <w:lang w:eastAsia="en-NZ"/>
              </w:rPr>
              <w:t>154</w:t>
            </w:r>
          </w:p>
        </w:tc>
      </w:tr>
    </w:tbl>
    <w:p w:rsidR="000F5A2A" w:rsidRDefault="000F5A2A" w:rsidP="000F5A2A">
      <w:pPr>
        <w:pStyle w:val="Figureheading"/>
      </w:pPr>
    </w:p>
    <w:p w:rsidR="000F5A2A" w:rsidRPr="00C76622" w:rsidRDefault="000F5A2A" w:rsidP="000F5A2A">
      <w:pPr>
        <w:pStyle w:val="Figureheading"/>
      </w:pPr>
      <w:bookmarkStart w:id="65" w:name="_Toc462814469"/>
      <w:r w:rsidRPr="00C76622">
        <w:t xml:space="preserve">Figure </w:t>
      </w:r>
      <w:r w:rsidR="00AD5B83">
        <w:t>8</w:t>
      </w:r>
      <w:r w:rsidRPr="00C76622">
        <w:t xml:space="preserve">: </w:t>
      </w:r>
      <w:r w:rsidRPr="00C76622">
        <w:tab/>
      </w:r>
      <w:r w:rsidR="00B556C0">
        <w:t>Submitter</w:t>
      </w:r>
      <w:r w:rsidRPr="00C76622">
        <w:t xml:space="preserve"> positions – </w:t>
      </w:r>
      <w:r w:rsidR="00F54613">
        <w:rPr>
          <w:i/>
        </w:rPr>
        <w:t>What do you consider are important factors for managing price stability</w:t>
      </w:r>
      <w:bookmarkEnd w:id="65"/>
    </w:p>
    <w:p w:rsidR="000F5A2A" w:rsidRPr="00C76622" w:rsidRDefault="00095739" w:rsidP="00095739">
      <w:pPr>
        <w:pStyle w:val="BodyText"/>
        <w:spacing w:before="60"/>
        <w:ind w:firstLine="142"/>
        <w:jc w:val="center"/>
      </w:pPr>
      <w:r>
        <w:rPr>
          <w:noProof/>
          <w:lang w:eastAsia="en-NZ"/>
        </w:rPr>
        <w:drawing>
          <wp:inline distT="0" distB="0" distL="0" distR="0" wp14:anchorId="759B6023">
            <wp:extent cx="5400000" cy="2752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2752725"/>
                    </a:xfrm>
                    <a:prstGeom prst="rect">
                      <a:avLst/>
                    </a:prstGeom>
                    <a:noFill/>
                  </pic:spPr>
                </pic:pic>
              </a:graphicData>
            </a:graphic>
          </wp:inline>
        </w:drawing>
      </w:r>
    </w:p>
    <w:p w:rsidR="00D215C5" w:rsidRDefault="0040636D" w:rsidP="00D215C5">
      <w:pPr>
        <w:pStyle w:val="Heading2"/>
        <w:spacing w:before="240"/>
      </w:pPr>
      <w:bookmarkStart w:id="66" w:name="_Toc456013890"/>
      <w:bookmarkStart w:id="67" w:name="_Toc463270144"/>
      <w:r>
        <w:t>7</w:t>
      </w:r>
      <w:r w:rsidR="00D215C5">
        <w:t>.4</w:t>
      </w:r>
      <w:r w:rsidR="00D215C5">
        <w:tab/>
        <w:t>What should the Government consider when managing price stability? (Question 23)</w:t>
      </w:r>
      <w:bookmarkEnd w:id="66"/>
      <w:bookmarkEnd w:id="67"/>
    </w:p>
    <w:p w:rsidR="00D215C5" w:rsidRDefault="006D4301" w:rsidP="00D215C5">
      <w:pPr>
        <w:pStyle w:val="BodyText"/>
      </w:pPr>
      <w:r>
        <w:t xml:space="preserve">In total, </w:t>
      </w:r>
      <w:r w:rsidR="00FB7A41">
        <w:t>194 submitters (</w:t>
      </w:r>
      <w:r w:rsidR="00C2449D">
        <w:t>approximately</w:t>
      </w:r>
      <w:r w:rsidR="00FB7A41">
        <w:t xml:space="preserve"> 5</w:t>
      </w:r>
      <w:r w:rsidR="00D215C5">
        <w:t xml:space="preserve">5 </w:t>
      </w:r>
      <w:r w:rsidR="008E24E1">
        <w:t>per cent</w:t>
      </w:r>
      <w:r w:rsidR="00D215C5">
        <w:t xml:space="preserve"> of submitters) addressed this question. Submitters highlighted several issues </w:t>
      </w:r>
      <w:r w:rsidR="00FA769E">
        <w:t xml:space="preserve">that </w:t>
      </w:r>
      <w:r w:rsidR="00D215C5">
        <w:t>they believe the Government should consider when managing price stability.</w:t>
      </w:r>
    </w:p>
    <w:p w:rsidR="00D215C5" w:rsidRDefault="00D215C5" w:rsidP="00D215C5">
      <w:pPr>
        <w:pStyle w:val="Heading4"/>
      </w:pPr>
      <w:r>
        <w:t>Policy stability</w:t>
      </w:r>
    </w:p>
    <w:p w:rsidR="00D215C5" w:rsidRDefault="00D215C5" w:rsidP="00D215C5">
      <w:pPr>
        <w:pStyle w:val="BodyText"/>
      </w:pPr>
      <w:r w:rsidRPr="009C4B9A">
        <w:t xml:space="preserve">A large number of submitters </w:t>
      </w:r>
      <w:r w:rsidR="00545F8E" w:rsidRPr="009C4B9A">
        <w:t>discussed</w:t>
      </w:r>
      <w:r w:rsidRPr="009C4B9A">
        <w:t xml:space="preserve"> the importance of policy stability in reducing price volatility</w:t>
      </w:r>
      <w:r w:rsidR="003A779D" w:rsidRPr="009C4B9A">
        <w:t xml:space="preserve">. Many </w:t>
      </w:r>
      <w:r w:rsidR="00524330" w:rsidRPr="009C4B9A">
        <w:t>submitters thought policy stability was</w:t>
      </w:r>
      <w:r w:rsidRPr="009C4B9A">
        <w:t xml:space="preserve"> the most important consideration, rather than the use of </w:t>
      </w:r>
      <w:r w:rsidR="00545F8E" w:rsidRPr="009C4B9A">
        <w:t>upper or lower price limits</w:t>
      </w:r>
      <w:r w:rsidRPr="009C4B9A">
        <w:t xml:space="preserve">. </w:t>
      </w:r>
      <w:r w:rsidR="00841EA7" w:rsidRPr="009C4B9A">
        <w:t>Suggestions for increasing policy stability in</w:t>
      </w:r>
      <w:r w:rsidRPr="009C4B9A">
        <w:t xml:space="preserve">cluded </w:t>
      </w:r>
      <w:r w:rsidR="006678C6" w:rsidRPr="009C4B9A">
        <w:t>recommending policies</w:t>
      </w:r>
      <w:r w:rsidR="004E30CD" w:rsidRPr="009C4B9A">
        <w:t xml:space="preserve"> have</w:t>
      </w:r>
      <w:r w:rsidRPr="009C4B9A">
        <w:t xml:space="preserve"> </w:t>
      </w:r>
      <w:r w:rsidR="002A39BD">
        <w:t xml:space="preserve">cross-party </w:t>
      </w:r>
      <w:r w:rsidRPr="009C4B9A">
        <w:t xml:space="preserve">political buy-in </w:t>
      </w:r>
      <w:r w:rsidR="004E30CD" w:rsidRPr="009C4B9A">
        <w:t>to ensure they would not</w:t>
      </w:r>
      <w:r w:rsidRPr="009C4B9A">
        <w:t xml:space="preserve"> be subject to change with a change in Government; </w:t>
      </w:r>
      <w:r w:rsidR="004E30CD" w:rsidRPr="009C4B9A">
        <w:t>creating a durable scheme by reducing changes to NZ ETS settings</w:t>
      </w:r>
      <w:r w:rsidRPr="009C4B9A">
        <w:t>;</w:t>
      </w:r>
      <w:r w:rsidR="004E30CD" w:rsidRPr="009C4B9A">
        <w:t xml:space="preserve"> and</w:t>
      </w:r>
      <w:r w:rsidRPr="009C4B9A">
        <w:t xml:space="preserve"> </w:t>
      </w:r>
      <w:r w:rsidRPr="009C4B9A">
        <w:lastRenderedPageBreak/>
        <w:t>ensuring that any changes</w:t>
      </w:r>
      <w:r w:rsidR="004E30CD" w:rsidRPr="009C4B9A">
        <w:t xml:space="preserve"> that do occur</w:t>
      </w:r>
      <w:r w:rsidRPr="009C4B9A">
        <w:t xml:space="preserve"> </w:t>
      </w:r>
      <w:r w:rsidR="004E30CD" w:rsidRPr="009C4B9A">
        <w:t>are predictable and transparent. Submitters also commented that</w:t>
      </w:r>
      <w:r w:rsidRPr="009C4B9A">
        <w:t xml:space="preserve"> the market should be allowed to drive the price.</w:t>
      </w:r>
    </w:p>
    <w:p w:rsidR="00D215C5" w:rsidRDefault="00D215C5" w:rsidP="00D215C5">
      <w:pPr>
        <w:pStyle w:val="BodyText"/>
      </w:pPr>
      <w:r>
        <w:t xml:space="preserve">Many of these submitters, especially businesses and foresters, also cautioned that </w:t>
      </w:r>
      <w:r w:rsidR="00EF2EAC">
        <w:t>using</w:t>
      </w:r>
      <w:r>
        <w:t xml:space="preserve"> price management mechanisms c</w:t>
      </w:r>
      <w:r w:rsidR="00EF2EAC">
        <w:t>ould</w:t>
      </w:r>
      <w:r>
        <w:t xml:space="preserve"> create more uncertainty for businesses. Several submitters suggested that early signalling of any changes, with clear processes and timeframes</w:t>
      </w:r>
      <w:r w:rsidR="00FA769E">
        <w:t>,</w:t>
      </w:r>
      <w:r>
        <w:t xml:space="preserve"> would also reduce volatility.</w:t>
      </w:r>
    </w:p>
    <w:p w:rsidR="00D215C5" w:rsidRPr="00811B86" w:rsidRDefault="001629C8" w:rsidP="00811B86">
      <w:pPr>
        <w:pStyle w:val="Quote"/>
        <w:ind w:left="567" w:right="567"/>
        <w:rPr>
          <w:sz w:val="21"/>
        </w:rPr>
      </w:pPr>
      <w:r w:rsidRPr="00811B86">
        <w:rPr>
          <w:sz w:val="21"/>
        </w:rPr>
        <w:t>“</w:t>
      </w:r>
      <w:r w:rsidR="00D215C5" w:rsidRPr="00811B86">
        <w:rPr>
          <w:sz w:val="21"/>
        </w:rPr>
        <w:t>Stable, predictable and transparent policy design and decision-making processes, including implementation timeframes, are one of the key levers which Government and regulators can apply to reduce price volatility.</w:t>
      </w:r>
      <w:r w:rsidRPr="00811B86">
        <w:rPr>
          <w:sz w:val="21"/>
        </w:rPr>
        <w:t>”</w:t>
      </w:r>
      <w:r w:rsidR="00D215C5" w:rsidRPr="00811B86">
        <w:rPr>
          <w:sz w:val="21"/>
        </w:rPr>
        <w:t xml:space="preserve"> (Investor Group on Climate Change</w:t>
      </w:r>
      <w:r w:rsidRPr="00811B86">
        <w:rPr>
          <w:sz w:val="21"/>
        </w:rPr>
        <w:t xml:space="preserve">, </w:t>
      </w:r>
      <w:r w:rsidR="007B7E74">
        <w:rPr>
          <w:sz w:val="21"/>
        </w:rPr>
        <w:t>00201</w:t>
      </w:r>
      <w:r w:rsidR="00D215C5" w:rsidRPr="00811B86">
        <w:rPr>
          <w:sz w:val="21"/>
        </w:rPr>
        <w:t>)</w:t>
      </w:r>
    </w:p>
    <w:p w:rsidR="00D215C5" w:rsidRPr="00811B86" w:rsidRDefault="001629C8" w:rsidP="00811B86">
      <w:pPr>
        <w:pStyle w:val="Quote"/>
        <w:ind w:left="567" w:right="567"/>
        <w:rPr>
          <w:sz w:val="21"/>
        </w:rPr>
      </w:pPr>
      <w:r w:rsidRPr="00811B86">
        <w:rPr>
          <w:sz w:val="21"/>
        </w:rPr>
        <w:t>“</w:t>
      </w:r>
      <w:proofErr w:type="spellStart"/>
      <w:r w:rsidR="00D215C5" w:rsidRPr="00811B86">
        <w:rPr>
          <w:sz w:val="21"/>
        </w:rPr>
        <w:t>Aotearoa</w:t>
      </w:r>
      <w:proofErr w:type="spellEnd"/>
      <w:r w:rsidR="00D215C5" w:rsidRPr="00811B86">
        <w:rPr>
          <w:sz w:val="21"/>
        </w:rPr>
        <w:t xml:space="preserve"> must have certainty in domestic carbon legislation and the price of NZU’s. Only then can emitters and sequesters of carbon respond with economic efficiency in reducing our net emissions. Domestic carbon legislation needs to be rational, effective and stable.</w:t>
      </w:r>
      <w:r w:rsidRPr="00811B86">
        <w:rPr>
          <w:sz w:val="21"/>
        </w:rPr>
        <w:t>”</w:t>
      </w:r>
      <w:r w:rsidR="00D215C5" w:rsidRPr="00811B86">
        <w:rPr>
          <w:sz w:val="21"/>
        </w:rPr>
        <w:t xml:space="preserve"> </w:t>
      </w:r>
      <w:r w:rsidRPr="00811B86">
        <w:rPr>
          <w:sz w:val="21"/>
        </w:rPr>
        <w:t>(</w:t>
      </w:r>
      <w:proofErr w:type="spellStart"/>
      <w:r w:rsidR="00D215C5" w:rsidRPr="00811B86">
        <w:rPr>
          <w:sz w:val="21"/>
        </w:rPr>
        <w:t>Te</w:t>
      </w:r>
      <w:proofErr w:type="spellEnd"/>
      <w:r w:rsidR="00D215C5" w:rsidRPr="00811B86">
        <w:rPr>
          <w:sz w:val="21"/>
        </w:rPr>
        <w:t xml:space="preserve"> </w:t>
      </w:r>
      <w:proofErr w:type="spellStart"/>
      <w:r w:rsidR="00D215C5" w:rsidRPr="00811B86">
        <w:rPr>
          <w:sz w:val="21"/>
        </w:rPr>
        <w:t>Rūnanga</w:t>
      </w:r>
      <w:proofErr w:type="spellEnd"/>
      <w:r w:rsidR="00D215C5" w:rsidRPr="00811B86">
        <w:rPr>
          <w:sz w:val="21"/>
        </w:rPr>
        <w:t xml:space="preserve"> o </w:t>
      </w:r>
      <w:proofErr w:type="spellStart"/>
      <w:r w:rsidR="00D215C5" w:rsidRPr="00811B86">
        <w:rPr>
          <w:sz w:val="21"/>
        </w:rPr>
        <w:t>Ngāi</w:t>
      </w:r>
      <w:proofErr w:type="spellEnd"/>
      <w:r w:rsidR="00D215C5" w:rsidRPr="00811B86">
        <w:rPr>
          <w:sz w:val="21"/>
        </w:rPr>
        <w:t xml:space="preserve"> </w:t>
      </w:r>
      <w:proofErr w:type="spellStart"/>
      <w:r w:rsidR="00D215C5" w:rsidRPr="00811B86">
        <w:rPr>
          <w:sz w:val="21"/>
        </w:rPr>
        <w:t>Tahu</w:t>
      </w:r>
      <w:proofErr w:type="spellEnd"/>
      <w:r w:rsidRPr="00811B86">
        <w:rPr>
          <w:sz w:val="21"/>
        </w:rPr>
        <w:t xml:space="preserve">, </w:t>
      </w:r>
      <w:r w:rsidR="0029766E">
        <w:rPr>
          <w:sz w:val="21"/>
        </w:rPr>
        <w:t>00154</w:t>
      </w:r>
      <w:r w:rsidRPr="00811B86">
        <w:rPr>
          <w:sz w:val="21"/>
        </w:rPr>
        <w:t>)</w:t>
      </w:r>
    </w:p>
    <w:p w:rsidR="00D215C5" w:rsidRDefault="00D215C5" w:rsidP="00D215C5">
      <w:pPr>
        <w:pStyle w:val="Heading4"/>
      </w:pPr>
      <w:r>
        <w:t xml:space="preserve">Supply and demand </w:t>
      </w:r>
    </w:p>
    <w:p w:rsidR="00D215C5" w:rsidRDefault="00D215C5" w:rsidP="00D215C5">
      <w:pPr>
        <w:pStyle w:val="BodyText"/>
      </w:pPr>
      <w:r>
        <w:t xml:space="preserve">Another consideration submitters thought was important was the liquidity of the market, and the supply-demand balance. Some </w:t>
      </w:r>
      <w:r w:rsidR="00EB15F7">
        <w:t xml:space="preserve">thought </w:t>
      </w:r>
      <w:r>
        <w:t>price mechanisms would only be necessary if there is reduced liquidity in the market, so would be less importan</w:t>
      </w:r>
      <w:r w:rsidR="003C7116">
        <w:t>t</w:t>
      </w:r>
      <w:r>
        <w:t xml:space="preserve"> once auctioning or international units were introduced. </w:t>
      </w:r>
    </w:p>
    <w:p w:rsidR="00D215C5" w:rsidRPr="00811B86" w:rsidRDefault="001F5D74" w:rsidP="00811B86">
      <w:pPr>
        <w:pStyle w:val="Quote"/>
        <w:ind w:left="567" w:right="567"/>
        <w:rPr>
          <w:sz w:val="21"/>
        </w:rPr>
      </w:pPr>
      <w:r w:rsidRPr="00811B86">
        <w:rPr>
          <w:sz w:val="21"/>
        </w:rPr>
        <w:t>“</w:t>
      </w:r>
      <w:r w:rsidR="00D215C5" w:rsidRPr="00811B86">
        <w:rPr>
          <w:sz w:val="21"/>
        </w:rPr>
        <w:t xml:space="preserve">We note that increasing the scale of the market, for example through enhanced international connections, may reduce many of the risks that direct measures to manage price stability would be designed to address by improving market depth and liquidity, improving futures and forward markets and maintaining international competitiveness </w:t>
      </w:r>
      <w:r w:rsidRPr="00811B86">
        <w:rPr>
          <w:sz w:val="21"/>
        </w:rPr>
        <w:t>in terms of emissions pricing.” (</w:t>
      </w:r>
      <w:r w:rsidR="00D215C5" w:rsidRPr="00811B86">
        <w:rPr>
          <w:sz w:val="21"/>
        </w:rPr>
        <w:t>Petroleum Exploration and Production Association</w:t>
      </w:r>
      <w:r w:rsidRPr="00811B86">
        <w:rPr>
          <w:sz w:val="21"/>
        </w:rPr>
        <w:t xml:space="preserve">, </w:t>
      </w:r>
      <w:r w:rsidR="007B7E74" w:rsidRPr="007B7E74">
        <w:rPr>
          <w:rFonts w:asciiTheme="minorHAnsi" w:hAnsiTheme="minorHAnsi" w:cs="Times New Roman"/>
          <w:sz w:val="21"/>
          <w:lang w:eastAsia="en-NZ"/>
        </w:rPr>
        <w:t>00114</w:t>
      </w:r>
      <w:r w:rsidRPr="00811B86">
        <w:rPr>
          <w:sz w:val="21"/>
        </w:rPr>
        <w:t xml:space="preserve">)       </w:t>
      </w:r>
    </w:p>
    <w:p w:rsidR="00D215C5" w:rsidRDefault="00D215C5" w:rsidP="00D215C5">
      <w:pPr>
        <w:pStyle w:val="Heading4"/>
      </w:pPr>
      <w:r>
        <w:t>Competitiveness and impacts on economy</w:t>
      </w:r>
    </w:p>
    <w:p w:rsidR="00D215C5" w:rsidRDefault="00D215C5" w:rsidP="00D215C5">
      <w:pPr>
        <w:pStyle w:val="BodyText"/>
      </w:pPr>
      <w:r>
        <w:t>Several submitters, especially non-forestry</w:t>
      </w:r>
      <w:r w:rsidR="003C7116">
        <w:t xml:space="preserve"> NZ ETS participants,</w:t>
      </w:r>
      <w:r>
        <w:t xml:space="preserve"> thought an important consideration was the competitiveness of New Zealand businesses, the impacts on the New Zealand economy and the importance of aligning with international carbon price. </w:t>
      </w:r>
    </w:p>
    <w:p w:rsidR="00D215C5" w:rsidRPr="00F751BB" w:rsidRDefault="00F92745" w:rsidP="00F751BB">
      <w:pPr>
        <w:pStyle w:val="Quote"/>
        <w:ind w:left="567" w:right="567"/>
        <w:rPr>
          <w:sz w:val="21"/>
        </w:rPr>
      </w:pPr>
      <w:r w:rsidRPr="00F751BB">
        <w:rPr>
          <w:sz w:val="21"/>
        </w:rPr>
        <w:t>“</w:t>
      </w:r>
      <w:r w:rsidR="00D215C5" w:rsidRPr="00F751BB">
        <w:rPr>
          <w:sz w:val="21"/>
        </w:rPr>
        <w:t>Price stability needs to include regular monitoring of the international costs of carbon and the evolution of trading and taxation schemes globally to ensure competitiveness and consistency.</w:t>
      </w:r>
      <w:r w:rsidRPr="00F751BB">
        <w:rPr>
          <w:sz w:val="21"/>
        </w:rPr>
        <w:t>”</w:t>
      </w:r>
      <w:r w:rsidR="00D215C5" w:rsidRPr="00F751BB">
        <w:rPr>
          <w:sz w:val="21"/>
        </w:rPr>
        <w:t xml:space="preserve"> </w:t>
      </w:r>
      <w:r w:rsidRPr="00F751BB">
        <w:rPr>
          <w:sz w:val="21"/>
        </w:rPr>
        <w:t>(</w:t>
      </w:r>
      <w:r w:rsidR="00D215C5" w:rsidRPr="00F751BB">
        <w:rPr>
          <w:sz w:val="21"/>
        </w:rPr>
        <w:t>Doug Heffernan</w:t>
      </w:r>
      <w:r w:rsidRPr="00F751BB">
        <w:rPr>
          <w:sz w:val="21"/>
        </w:rPr>
        <w:t xml:space="preserve">, </w:t>
      </w:r>
      <w:r w:rsidR="0029766E">
        <w:rPr>
          <w:sz w:val="21"/>
        </w:rPr>
        <w:t>00045</w:t>
      </w:r>
      <w:r w:rsidRPr="00F751BB">
        <w:rPr>
          <w:sz w:val="21"/>
        </w:rPr>
        <w:t>)</w:t>
      </w:r>
    </w:p>
    <w:p w:rsidR="00D215C5" w:rsidRPr="00F751BB" w:rsidRDefault="00F92745" w:rsidP="00F751BB">
      <w:pPr>
        <w:pStyle w:val="Quote"/>
        <w:ind w:left="567" w:right="567"/>
        <w:rPr>
          <w:sz w:val="21"/>
        </w:rPr>
      </w:pPr>
      <w:r w:rsidRPr="00F751BB">
        <w:rPr>
          <w:sz w:val="21"/>
        </w:rPr>
        <w:t>“</w:t>
      </w:r>
      <w:r w:rsidR="00D215C5" w:rsidRPr="00F751BB">
        <w:rPr>
          <w:sz w:val="21"/>
        </w:rPr>
        <w:t>It is critical that the Government ensures that the carbon costs faced by New Zealand businesses and households do not exceed the effective carbon cost in other countries.</w:t>
      </w:r>
      <w:r w:rsidRPr="00F751BB">
        <w:rPr>
          <w:sz w:val="21"/>
        </w:rPr>
        <w:t>”</w:t>
      </w:r>
      <w:r w:rsidR="00D215C5" w:rsidRPr="00F751BB">
        <w:rPr>
          <w:sz w:val="21"/>
        </w:rPr>
        <w:t xml:space="preserve"> </w:t>
      </w:r>
      <w:r w:rsidRPr="00F751BB">
        <w:rPr>
          <w:sz w:val="21"/>
        </w:rPr>
        <w:t>(</w:t>
      </w:r>
      <w:proofErr w:type="spellStart"/>
      <w:r w:rsidR="00740FE2" w:rsidRPr="00CB33F4">
        <w:rPr>
          <w:sz w:val="21"/>
        </w:rPr>
        <w:t>Methanex</w:t>
      </w:r>
      <w:proofErr w:type="spellEnd"/>
      <w:r w:rsidR="00740FE2">
        <w:rPr>
          <w:sz w:val="21"/>
        </w:rPr>
        <w:t xml:space="preserve"> New Zealand Limited</w:t>
      </w:r>
      <w:r w:rsidR="00740FE2" w:rsidRPr="00CB33F4">
        <w:rPr>
          <w:sz w:val="21"/>
        </w:rPr>
        <w:t xml:space="preserve">, </w:t>
      </w:r>
      <w:r w:rsidR="00740FE2">
        <w:rPr>
          <w:sz w:val="21"/>
        </w:rPr>
        <w:t>00137</w:t>
      </w:r>
      <w:r w:rsidRPr="00F751BB">
        <w:rPr>
          <w:sz w:val="21"/>
        </w:rPr>
        <w:t>)</w:t>
      </w:r>
    </w:p>
    <w:p w:rsidR="00D215C5" w:rsidRDefault="00D215C5" w:rsidP="00D215C5">
      <w:pPr>
        <w:pStyle w:val="Heading4"/>
      </w:pPr>
      <w:r>
        <w:t>Rising price</w:t>
      </w:r>
    </w:p>
    <w:p w:rsidR="00D215C5" w:rsidRPr="00F601C6" w:rsidRDefault="00D215C5" w:rsidP="00D215C5">
      <w:pPr>
        <w:pStyle w:val="BodyText"/>
      </w:pPr>
      <w:r>
        <w:t xml:space="preserve">As noted under </w:t>
      </w:r>
      <w:r w:rsidR="00EF2EAC">
        <w:t>q</w:t>
      </w:r>
      <w:r>
        <w:t xml:space="preserve">uestion 22, many submitters suggested that the carbon price needs to </w:t>
      </w:r>
      <w:r w:rsidR="00492E11">
        <w:t>increase</w:t>
      </w:r>
      <w:r w:rsidR="00EF2EAC">
        <w:t xml:space="preserve"> over time</w:t>
      </w:r>
      <w:r>
        <w:t xml:space="preserve">, and that price mechanisms could be used to </w:t>
      </w:r>
      <w:r w:rsidR="00492E11">
        <w:t xml:space="preserve">achieve </w:t>
      </w:r>
      <w:r w:rsidR="00EF2EAC">
        <w:t>this</w:t>
      </w:r>
      <w:r>
        <w:t xml:space="preserve">. </w:t>
      </w:r>
      <w:r w:rsidR="00492E11" w:rsidRPr="00BC0158">
        <w:t>M</w:t>
      </w:r>
      <w:r w:rsidRPr="00BC0158">
        <w:t xml:space="preserve">any submitters </w:t>
      </w:r>
      <w:r w:rsidR="002A39BD">
        <w:t>thought</w:t>
      </w:r>
      <w:r w:rsidR="002A39BD" w:rsidRPr="00BC0158">
        <w:t xml:space="preserve"> </w:t>
      </w:r>
      <w:r w:rsidRPr="00BC0158">
        <w:t xml:space="preserve">that </w:t>
      </w:r>
      <w:r w:rsidR="00B11568" w:rsidRPr="00BC0158">
        <w:t>the</w:t>
      </w:r>
      <w:r w:rsidRPr="00BC0158">
        <w:t xml:space="preserve"> Government should consider </w:t>
      </w:r>
      <w:r w:rsidR="00BC0158" w:rsidRPr="00BC0158">
        <w:t>what</w:t>
      </w:r>
      <w:r w:rsidRPr="00BC0158">
        <w:t xml:space="preserve"> price </w:t>
      </w:r>
      <w:r w:rsidR="00BC0158" w:rsidRPr="00BC0158">
        <w:t xml:space="preserve">is </w:t>
      </w:r>
      <w:r w:rsidRPr="00BC0158">
        <w:t>required to drive emissions reductions,</w:t>
      </w:r>
      <w:r w:rsidR="00A638E7" w:rsidRPr="00BC0158">
        <w:t xml:space="preserve"> such as</w:t>
      </w:r>
      <w:r w:rsidRPr="00BC0158">
        <w:t xml:space="preserve"> forestry investments and investments in low-emissions </w:t>
      </w:r>
      <w:r w:rsidR="00BC0158" w:rsidRPr="00BC0158">
        <w:t>technologies</w:t>
      </w:r>
      <w:r w:rsidR="00520A30">
        <w:t>,</w:t>
      </w:r>
      <w:r w:rsidR="002A39BD">
        <w:t xml:space="preserve"> when using price stability mechanisms</w:t>
      </w:r>
      <w:r w:rsidR="00BC0158" w:rsidRPr="00BC0158">
        <w:t xml:space="preserve">. </w:t>
      </w:r>
      <w:r w:rsidR="00AE2193">
        <w:lastRenderedPageBreak/>
        <w:t>Some submitters thought</w:t>
      </w:r>
      <w:r w:rsidRPr="00BC0158">
        <w:t xml:space="preserve"> that the price </w:t>
      </w:r>
      <w:r w:rsidR="00AE2193">
        <w:t>should</w:t>
      </w:r>
      <w:r w:rsidRPr="00BC0158">
        <w:t xml:space="preserve"> reflect the social cost of carbon, and </w:t>
      </w:r>
      <w:r w:rsidR="008A7BED" w:rsidRPr="00BC0158">
        <w:t>that the carbon price</w:t>
      </w:r>
      <w:r w:rsidR="00492E11" w:rsidRPr="00BC0158">
        <w:t xml:space="preserve"> should</w:t>
      </w:r>
      <w:r w:rsidRPr="00BC0158">
        <w:t xml:space="preserve"> enable</w:t>
      </w:r>
      <w:r w:rsidR="008A7BED" w:rsidRPr="00BC0158">
        <w:t xml:space="preserve"> the</w:t>
      </w:r>
      <w:r w:rsidRPr="00BC0158">
        <w:t xml:space="preserve"> </w:t>
      </w:r>
      <w:r w:rsidR="00492E11" w:rsidRPr="00BC0158">
        <w:t>NZ</w:t>
      </w:r>
      <w:r w:rsidR="00492E11">
        <w:t xml:space="preserve"> ETS</w:t>
      </w:r>
      <w:r>
        <w:t xml:space="preserve"> to drive behaviour change and </w:t>
      </w:r>
      <w:r w:rsidR="008A7BED">
        <w:t>reduce</w:t>
      </w:r>
      <w:r>
        <w:t xml:space="preserve"> domestic emission</w:t>
      </w:r>
      <w:r w:rsidR="008A7BED">
        <w:t>s</w:t>
      </w:r>
      <w:r>
        <w:t>.</w:t>
      </w:r>
    </w:p>
    <w:p w:rsidR="00D215C5" w:rsidRPr="00F751BB" w:rsidRDefault="00F92745" w:rsidP="00F751BB">
      <w:pPr>
        <w:pStyle w:val="Quote"/>
        <w:ind w:left="567" w:right="567"/>
        <w:rPr>
          <w:sz w:val="21"/>
        </w:rPr>
      </w:pPr>
      <w:r w:rsidRPr="00F751BB">
        <w:rPr>
          <w:sz w:val="21"/>
        </w:rPr>
        <w:t>“</w:t>
      </w:r>
      <w:r w:rsidR="00D215C5" w:rsidRPr="00F751BB">
        <w:rPr>
          <w:sz w:val="21"/>
        </w:rPr>
        <w:t xml:space="preserve">The NZ ETS will be effective at helping to shift investment, and increase afforestation rates, only if: </w:t>
      </w:r>
      <w:proofErr w:type="spellStart"/>
      <w:r w:rsidR="00D215C5" w:rsidRPr="00F751BB">
        <w:rPr>
          <w:sz w:val="21"/>
        </w:rPr>
        <w:t>i</w:t>
      </w:r>
      <w:proofErr w:type="spellEnd"/>
      <w:r w:rsidR="00D215C5" w:rsidRPr="00F751BB">
        <w:rPr>
          <w:sz w:val="21"/>
        </w:rPr>
        <w:t>)</w:t>
      </w:r>
      <w:r w:rsidR="00750701" w:rsidRPr="00F751BB">
        <w:rPr>
          <w:sz w:val="21"/>
        </w:rPr>
        <w:t xml:space="preserve"> </w:t>
      </w:r>
      <w:r w:rsidR="00D215C5" w:rsidRPr="00F751BB">
        <w:rPr>
          <w:sz w:val="21"/>
        </w:rPr>
        <w:t>the indicative carbon price is significant and rising; and ii)the market believes that the pricing arrangements will be maintained over the longer term and will not change with a change of Government</w:t>
      </w:r>
      <w:r w:rsidRPr="00F751BB">
        <w:rPr>
          <w:sz w:val="21"/>
        </w:rPr>
        <w:t>”</w:t>
      </w:r>
      <w:r w:rsidR="00D215C5" w:rsidRPr="00F751BB">
        <w:rPr>
          <w:sz w:val="21"/>
        </w:rPr>
        <w:t xml:space="preserve"> </w:t>
      </w:r>
      <w:r w:rsidRPr="00F751BB">
        <w:rPr>
          <w:sz w:val="21"/>
        </w:rPr>
        <w:t>(</w:t>
      </w:r>
      <w:r w:rsidR="00D215C5" w:rsidRPr="00F751BB">
        <w:rPr>
          <w:sz w:val="21"/>
        </w:rPr>
        <w:t>Environment and Conservation Organisations of New Zealand</w:t>
      </w:r>
      <w:r w:rsidRPr="00F751BB">
        <w:rPr>
          <w:sz w:val="21"/>
        </w:rPr>
        <w:t xml:space="preserve">, </w:t>
      </w:r>
      <w:r w:rsidR="0029766E">
        <w:rPr>
          <w:sz w:val="21"/>
        </w:rPr>
        <w:t>00157</w:t>
      </w:r>
      <w:r w:rsidRPr="00F751BB">
        <w:rPr>
          <w:sz w:val="21"/>
        </w:rPr>
        <w:t>)</w:t>
      </w:r>
    </w:p>
    <w:p w:rsidR="00D215C5" w:rsidRPr="00F751BB" w:rsidRDefault="00F92745" w:rsidP="00F751BB">
      <w:pPr>
        <w:pStyle w:val="Quote"/>
        <w:ind w:left="567" w:right="567"/>
        <w:rPr>
          <w:sz w:val="21"/>
        </w:rPr>
      </w:pPr>
      <w:r w:rsidRPr="00F751BB">
        <w:rPr>
          <w:sz w:val="21"/>
        </w:rPr>
        <w:t>“</w:t>
      </w:r>
      <w:r w:rsidR="00D215C5" w:rsidRPr="00F751BB">
        <w:rPr>
          <w:sz w:val="21"/>
        </w:rPr>
        <w:t>Prices that are excessively high or low undermine the performance of the NZ ETS against its objectives. However, the emphasis on achieving this should be on good design of the system’s fundamental price drivers rather than on price stabilisation mechanisms. The price level should reflect the level of ambition in the policy framework and clear signals about the direction of travel are required to deliver this.</w:t>
      </w:r>
      <w:r w:rsidRPr="00F751BB">
        <w:rPr>
          <w:sz w:val="21"/>
        </w:rPr>
        <w:t>” (</w:t>
      </w:r>
      <w:r w:rsidR="00D215C5" w:rsidRPr="00F751BB">
        <w:rPr>
          <w:sz w:val="21"/>
        </w:rPr>
        <w:t>Shell New Zealand</w:t>
      </w:r>
      <w:r w:rsidRPr="00F751BB">
        <w:rPr>
          <w:sz w:val="21"/>
        </w:rPr>
        <w:t xml:space="preserve">, </w:t>
      </w:r>
      <w:r w:rsidR="004A3501">
        <w:rPr>
          <w:sz w:val="21"/>
        </w:rPr>
        <w:t>00085</w:t>
      </w:r>
      <w:r w:rsidRPr="00F751BB">
        <w:rPr>
          <w:sz w:val="21"/>
        </w:rPr>
        <w:t>)</w:t>
      </w:r>
    </w:p>
    <w:p w:rsidR="00B01DDC" w:rsidRDefault="00B01DDC">
      <w:pPr>
        <w:spacing w:before="0" w:after="0"/>
        <w:rPr>
          <w:b/>
          <w:bCs/>
          <w:color w:val="005984"/>
          <w:sz w:val="36"/>
          <w:szCs w:val="36"/>
        </w:rPr>
      </w:pPr>
      <w:r>
        <w:br w:type="page"/>
      </w:r>
    </w:p>
    <w:p w:rsidR="00152186" w:rsidRDefault="006375F1" w:rsidP="0071113E">
      <w:pPr>
        <w:pStyle w:val="Heading1"/>
        <w:spacing w:before="240"/>
        <w:ind w:left="0" w:firstLine="0"/>
      </w:pPr>
      <w:bookmarkStart w:id="68" w:name="_Toc463270145"/>
      <w:r>
        <w:lastRenderedPageBreak/>
        <w:t>8</w:t>
      </w:r>
      <w:r w:rsidR="00152186">
        <w:t xml:space="preserve">. </w:t>
      </w:r>
      <w:r w:rsidR="00152186">
        <w:tab/>
      </w:r>
      <w:r w:rsidR="00276962">
        <w:t>Operational and technical matters</w:t>
      </w:r>
      <w:bookmarkEnd w:id="68"/>
    </w:p>
    <w:p w:rsidR="00F801E9" w:rsidRDefault="0040636D" w:rsidP="00F801E9">
      <w:pPr>
        <w:pStyle w:val="Heading2"/>
        <w:spacing w:before="240"/>
      </w:pPr>
      <w:bookmarkStart w:id="69" w:name="_Toc463270146"/>
      <w:r>
        <w:t>8</w:t>
      </w:r>
      <w:r w:rsidR="00F801E9">
        <w:t>.1</w:t>
      </w:r>
      <w:r w:rsidR="00F801E9">
        <w:tab/>
        <w:t>Are you aware of ways the administrative efficiency of</w:t>
      </w:r>
      <w:r w:rsidR="004D2A62">
        <w:t xml:space="preserve"> the NZ ETS could be improved? </w:t>
      </w:r>
      <w:r w:rsidR="00F801E9">
        <w:t>Can you provide further information to support your answer? (Question</w:t>
      </w:r>
      <w:r w:rsidR="004D2A62">
        <w:t>s 24 and</w:t>
      </w:r>
      <w:r w:rsidR="00F801E9">
        <w:t xml:space="preserve"> 25)</w:t>
      </w:r>
      <w:bookmarkEnd w:id="69"/>
    </w:p>
    <w:p w:rsidR="00F801E9" w:rsidRPr="00D56972" w:rsidRDefault="00F801E9" w:rsidP="00163CD4">
      <w:r w:rsidRPr="008C0FC6">
        <w:t>In total, 12</w:t>
      </w:r>
      <w:r w:rsidR="00E10E3C">
        <w:t>3</w:t>
      </w:r>
      <w:r w:rsidRPr="008C0FC6">
        <w:t xml:space="preserve"> </w:t>
      </w:r>
      <w:r w:rsidR="00C27668">
        <w:t>submitters</w:t>
      </w:r>
      <w:r w:rsidR="00C27668" w:rsidRPr="008C0FC6">
        <w:t xml:space="preserve"> </w:t>
      </w:r>
      <w:r w:rsidRPr="008C0FC6">
        <w:t xml:space="preserve">addressed </w:t>
      </w:r>
      <w:r>
        <w:t xml:space="preserve">the operational and technical matters </w:t>
      </w:r>
      <w:r w:rsidRPr="008C0FC6">
        <w:t>question</w:t>
      </w:r>
      <w:r>
        <w:t>s</w:t>
      </w:r>
      <w:r w:rsidRPr="008C0FC6">
        <w:t xml:space="preserve"> in their submissions. Over half of </w:t>
      </w:r>
      <w:r w:rsidRPr="00D56972">
        <w:t>these submitters (</w:t>
      </w:r>
      <w:r w:rsidR="00C2449D">
        <w:t>approximately</w:t>
      </w:r>
      <w:r w:rsidR="00E10E3C">
        <w:t xml:space="preserve"> </w:t>
      </w:r>
      <w:r w:rsidR="00750701" w:rsidRPr="0071113E">
        <w:t>5</w:t>
      </w:r>
      <w:r w:rsidR="00E10E3C">
        <w:t>5</w:t>
      </w:r>
      <w:r w:rsidR="00750701" w:rsidRPr="0071113E">
        <w:t xml:space="preserve"> </w:t>
      </w:r>
      <w:r w:rsidR="008E24E1">
        <w:t>per cent</w:t>
      </w:r>
      <w:r w:rsidRPr="00D56972">
        <w:t xml:space="preserve">) noted </w:t>
      </w:r>
      <w:r w:rsidR="00641104">
        <w:t xml:space="preserve">that </w:t>
      </w:r>
      <w:r w:rsidRPr="00D56972">
        <w:t>they were aware of ways the administrative efficiency of the NZ ETS could be improved,</w:t>
      </w:r>
      <w:r w:rsidR="00E10E3C">
        <w:t xml:space="preserve"> while</w:t>
      </w:r>
      <w:r w:rsidRPr="00D56972">
        <w:t xml:space="preserve"> around </w:t>
      </w:r>
      <w:r w:rsidR="00750701" w:rsidRPr="0071113E">
        <w:t xml:space="preserve">25 </w:t>
      </w:r>
      <w:r w:rsidR="008E24E1">
        <w:t>per cent</w:t>
      </w:r>
      <w:r w:rsidR="00750701" w:rsidRPr="0071113E">
        <w:t xml:space="preserve"> stated </w:t>
      </w:r>
      <w:r w:rsidRPr="00D56972">
        <w:t>they were not</w:t>
      </w:r>
      <w:r w:rsidR="00641104">
        <w:t>. T</w:t>
      </w:r>
      <w:r w:rsidRPr="00D56972">
        <w:t>he remaining submitters (</w:t>
      </w:r>
      <w:r w:rsidR="00C2449D">
        <w:t>approximately</w:t>
      </w:r>
      <w:r w:rsidR="00E10E3C">
        <w:t xml:space="preserve"> 20</w:t>
      </w:r>
      <w:r w:rsidR="00750701" w:rsidRPr="0071113E">
        <w:t xml:space="preserve"> </w:t>
      </w:r>
      <w:r w:rsidR="008E24E1">
        <w:t>per cent</w:t>
      </w:r>
      <w:r w:rsidR="00750701" w:rsidRPr="00D56972">
        <w:t xml:space="preserve">) </w:t>
      </w:r>
      <w:r w:rsidRPr="00D56972">
        <w:t>were unsure or did not provide an explicit view.</w:t>
      </w:r>
    </w:p>
    <w:p w:rsidR="00F801E9" w:rsidRDefault="00F801E9" w:rsidP="00163CD4">
      <w:r w:rsidRPr="00D56972">
        <w:t xml:space="preserve">Submitters </w:t>
      </w:r>
      <w:r w:rsidR="00641104">
        <w:t>who</w:t>
      </w:r>
      <w:r w:rsidR="00641104" w:rsidRPr="00D56972">
        <w:t xml:space="preserve"> </w:t>
      </w:r>
      <w:r w:rsidR="00520A30">
        <w:t xml:space="preserve">did not think there were ways the administrative efficiency of the NZ ETS </w:t>
      </w:r>
      <w:r>
        <w:t xml:space="preserve">could be improved often </w:t>
      </w:r>
      <w:r w:rsidR="00885D73">
        <w:t xml:space="preserve">still </w:t>
      </w:r>
      <w:r w:rsidR="00520A30">
        <w:t>provided</w:t>
      </w:r>
      <w:r>
        <w:t xml:space="preserve"> information </w:t>
      </w:r>
      <w:r w:rsidR="00641104">
        <w:t xml:space="preserve">about </w:t>
      </w:r>
      <w:r>
        <w:t xml:space="preserve">their experience with the scheme. These submitters generally thought the NZ ETS was administered </w:t>
      </w:r>
      <w:r w:rsidR="008A7BED">
        <w:t>well</w:t>
      </w:r>
      <w:r>
        <w:t xml:space="preserve">, although a few submitters did acknowledge the </w:t>
      </w:r>
      <w:r w:rsidR="00641104">
        <w:t xml:space="preserve">scheme’s </w:t>
      </w:r>
      <w:r>
        <w:t xml:space="preserve">complexity.  </w:t>
      </w:r>
    </w:p>
    <w:p w:rsidR="00F801E9" w:rsidRPr="00F751BB" w:rsidRDefault="00F801E9" w:rsidP="00F751BB">
      <w:pPr>
        <w:ind w:left="567" w:right="567"/>
        <w:rPr>
          <w:sz w:val="21"/>
          <w:szCs w:val="21"/>
        </w:rPr>
      </w:pPr>
      <w:r w:rsidRPr="00F751BB">
        <w:rPr>
          <w:sz w:val="21"/>
          <w:szCs w:val="21"/>
        </w:rPr>
        <w:t xml:space="preserve">“Participation in the ETS is involved, but not difficult. The structure of the scheme has logic. The administrative requirements take professional dedication but the time required is not disproportionate to the importance of the process.” (New Zealand Steel, </w:t>
      </w:r>
      <w:r w:rsidR="00BD6965">
        <w:rPr>
          <w:sz w:val="21"/>
          <w:szCs w:val="21"/>
        </w:rPr>
        <w:t>00044</w:t>
      </w:r>
      <w:r w:rsidRPr="00F751BB">
        <w:rPr>
          <w:sz w:val="21"/>
          <w:szCs w:val="21"/>
        </w:rPr>
        <w:t>)</w:t>
      </w:r>
    </w:p>
    <w:p w:rsidR="00F801E9" w:rsidRPr="00F751BB" w:rsidRDefault="006D7A72" w:rsidP="00F751BB">
      <w:pPr>
        <w:ind w:left="567" w:right="567"/>
        <w:rPr>
          <w:sz w:val="21"/>
          <w:szCs w:val="21"/>
        </w:rPr>
      </w:pPr>
      <w:r w:rsidRPr="00F751BB">
        <w:rPr>
          <w:sz w:val="21"/>
          <w:szCs w:val="21"/>
        </w:rPr>
        <w:t xml:space="preserve"> </w:t>
      </w:r>
      <w:r w:rsidR="00F801E9" w:rsidRPr="00F751BB">
        <w:rPr>
          <w:sz w:val="21"/>
          <w:szCs w:val="21"/>
        </w:rPr>
        <w:t xml:space="preserve">“Unsure – However, I am generally satisfied that the ETS administrative efficiency from a forestry perspective has been ok. It was a massive legislative and administrative change to NZ and has been introduced professionally and operated competently.” (Ogle Consulting Limited, </w:t>
      </w:r>
      <w:r w:rsidR="0029766E">
        <w:rPr>
          <w:sz w:val="21"/>
          <w:szCs w:val="21"/>
        </w:rPr>
        <w:t>00041</w:t>
      </w:r>
      <w:r w:rsidR="00F801E9" w:rsidRPr="00F751BB">
        <w:rPr>
          <w:sz w:val="21"/>
          <w:szCs w:val="21"/>
        </w:rPr>
        <w:t xml:space="preserve">) </w:t>
      </w:r>
    </w:p>
    <w:p w:rsidR="00F801E9" w:rsidRDefault="00F801E9" w:rsidP="00163CD4">
      <w:r>
        <w:t xml:space="preserve">Most submitters </w:t>
      </w:r>
      <w:r w:rsidR="00641104">
        <w:t xml:space="preserve">who </w:t>
      </w:r>
      <w:r>
        <w:t xml:space="preserve">thought there were ways the administrative efficiency of the scheme could be improved also provided further information, including suggestions or examples of possible improvements. </w:t>
      </w:r>
    </w:p>
    <w:p w:rsidR="00F801E9" w:rsidRPr="00545AD2" w:rsidRDefault="00F801E9" w:rsidP="00163CD4">
      <w:r>
        <w:t xml:space="preserve">A key theme across submissions was that the NZ ETS </w:t>
      </w:r>
      <w:r w:rsidR="00520A30">
        <w:t>i</w:t>
      </w:r>
      <w:r>
        <w:t xml:space="preserve">s very complex, and that efforts should be made to reduce this complexity where possible. This was especially </w:t>
      </w:r>
      <w:r w:rsidRPr="009E6EAB">
        <w:t>prominent</w:t>
      </w:r>
      <w:r>
        <w:t xml:space="preserve"> among submissions from the forestry sector, with many submitters commenting on the complexity of </w:t>
      </w:r>
      <w:r w:rsidR="006D7A72">
        <w:t>some</w:t>
      </w:r>
      <w:r>
        <w:t xml:space="preserve"> NZ ETS forestry settings, including the Forest Management Approach, the voluntary and mandatory emissions reporting timeframes, and cost of complying with emissions reporting </w:t>
      </w:r>
      <w:r w:rsidR="006D7A72">
        <w:t>requirements</w:t>
      </w:r>
      <w:r>
        <w:t xml:space="preserve">. </w:t>
      </w:r>
    </w:p>
    <w:p w:rsidR="00F801E9" w:rsidRPr="00F751BB" w:rsidRDefault="00F801E9" w:rsidP="00F751BB">
      <w:pPr>
        <w:ind w:left="567" w:right="567"/>
        <w:rPr>
          <w:sz w:val="21"/>
          <w:szCs w:val="21"/>
        </w:rPr>
      </w:pPr>
      <w:r w:rsidRPr="00F751BB">
        <w:rPr>
          <w:sz w:val="21"/>
          <w:szCs w:val="21"/>
        </w:rPr>
        <w:t xml:space="preserve">“It is reasonable to assume that many NZ ETS participants are not in the business of trading carbon units. An efficient Scheme with low compliance costs would enable participants to focus on running and ensuring the success of their businesses, not on complying with regulatory requirements.” (Vector Limited, </w:t>
      </w:r>
      <w:r w:rsidR="0029766E">
        <w:rPr>
          <w:sz w:val="21"/>
          <w:szCs w:val="21"/>
        </w:rPr>
        <w:t>04033</w:t>
      </w:r>
      <w:r w:rsidRPr="00F751BB">
        <w:rPr>
          <w:sz w:val="21"/>
          <w:szCs w:val="21"/>
        </w:rPr>
        <w:t>)</w:t>
      </w:r>
    </w:p>
    <w:p w:rsidR="00F801E9" w:rsidRPr="00F751BB" w:rsidRDefault="00F801E9" w:rsidP="00F751BB">
      <w:pPr>
        <w:ind w:left="567" w:right="567"/>
        <w:rPr>
          <w:sz w:val="21"/>
          <w:szCs w:val="21"/>
        </w:rPr>
      </w:pPr>
      <w:r w:rsidRPr="00F751BB">
        <w:rPr>
          <w:sz w:val="21"/>
          <w:szCs w:val="21"/>
        </w:rPr>
        <w:t xml:space="preserve">“The NZ ETS for Post 1989 forest participants is complex through having a myriad of new </w:t>
      </w:r>
      <w:r w:rsidR="00641104" w:rsidRPr="00F751BB">
        <w:rPr>
          <w:sz w:val="21"/>
          <w:szCs w:val="21"/>
        </w:rPr>
        <w:t>terminology</w:t>
      </w:r>
      <w:r w:rsidRPr="00F751BB">
        <w:rPr>
          <w:sz w:val="21"/>
          <w:szCs w:val="21"/>
        </w:rPr>
        <w:t xml:space="preserve"> and concepts. However, the </w:t>
      </w:r>
      <w:r w:rsidR="00641104" w:rsidRPr="00F751BB">
        <w:rPr>
          <w:sz w:val="21"/>
          <w:szCs w:val="21"/>
        </w:rPr>
        <w:t>greatest</w:t>
      </w:r>
      <w:r w:rsidRPr="00F751BB">
        <w:rPr>
          <w:sz w:val="21"/>
          <w:szCs w:val="21"/>
        </w:rPr>
        <w:t xml:space="preserve"> complexity and cost is around managing the FMA approach for participants over 100 ha</w:t>
      </w:r>
      <w:r w:rsidR="006D7A72" w:rsidRPr="00F751BB">
        <w:rPr>
          <w:sz w:val="21"/>
          <w:szCs w:val="21"/>
        </w:rPr>
        <w:t>…</w:t>
      </w:r>
      <w:r w:rsidRPr="00F751BB">
        <w:rPr>
          <w:sz w:val="21"/>
          <w:szCs w:val="21"/>
        </w:rPr>
        <w:t>.” (Woburn Investments L</w:t>
      </w:r>
      <w:r w:rsidR="0029766E">
        <w:rPr>
          <w:sz w:val="21"/>
          <w:szCs w:val="21"/>
        </w:rPr>
        <w:t>imited</w:t>
      </w:r>
      <w:r w:rsidRPr="00F751BB">
        <w:rPr>
          <w:sz w:val="21"/>
          <w:szCs w:val="21"/>
        </w:rPr>
        <w:t xml:space="preserve">, </w:t>
      </w:r>
      <w:r w:rsidR="0029766E">
        <w:rPr>
          <w:sz w:val="21"/>
          <w:szCs w:val="21"/>
        </w:rPr>
        <w:t>00126</w:t>
      </w:r>
      <w:r w:rsidRPr="00F751BB">
        <w:rPr>
          <w:sz w:val="21"/>
          <w:szCs w:val="21"/>
        </w:rPr>
        <w:t>)</w:t>
      </w:r>
    </w:p>
    <w:p w:rsidR="00F801E9" w:rsidRDefault="00F801E9" w:rsidP="00163CD4">
      <w:r>
        <w:t xml:space="preserve">Another common theme was </w:t>
      </w:r>
      <w:r w:rsidR="006D7A72">
        <w:t>a</w:t>
      </w:r>
      <w:r>
        <w:t xml:space="preserve"> call for </w:t>
      </w:r>
      <w:r w:rsidR="006D7A72">
        <w:t xml:space="preserve">the </w:t>
      </w:r>
      <w:r w:rsidR="008B5DCE">
        <w:t xml:space="preserve">Government </w:t>
      </w:r>
      <w:r w:rsidR="006D7A72">
        <w:t xml:space="preserve">to provide </w:t>
      </w:r>
      <w:r>
        <w:t>more information about the NZ ETS. These submitters sometimes noted that the NZ ETS was difficult to understand</w:t>
      </w:r>
      <w:r w:rsidR="008B5DCE">
        <w:t>,</w:t>
      </w:r>
      <w:r>
        <w:t xml:space="preserve"> and </w:t>
      </w:r>
      <w:r w:rsidR="008B5DCE">
        <w:t xml:space="preserve">they </w:t>
      </w:r>
      <w:r w:rsidR="006D7A72">
        <w:t xml:space="preserve">thought that </w:t>
      </w:r>
      <w:r>
        <w:t xml:space="preserve">more education and communication </w:t>
      </w:r>
      <w:r w:rsidR="005438EC">
        <w:t xml:space="preserve">with participants, and the broader public, </w:t>
      </w:r>
      <w:r w:rsidR="006D7A72">
        <w:t>would improve the scheme</w:t>
      </w:r>
      <w:r>
        <w:t>.</w:t>
      </w:r>
    </w:p>
    <w:p w:rsidR="00F801E9" w:rsidRPr="00F751BB" w:rsidRDefault="00F801E9" w:rsidP="00F751BB">
      <w:pPr>
        <w:ind w:left="567" w:right="567"/>
        <w:rPr>
          <w:sz w:val="21"/>
          <w:szCs w:val="21"/>
        </w:rPr>
      </w:pPr>
      <w:r w:rsidRPr="00F751BB">
        <w:rPr>
          <w:sz w:val="21"/>
          <w:szCs w:val="21"/>
        </w:rPr>
        <w:lastRenderedPageBreak/>
        <w:t xml:space="preserve">“It is a very opaque scheme that does not allow people to make informed choices and the impacts have been negligible so </w:t>
      </w:r>
      <w:proofErr w:type="gramStart"/>
      <w:r w:rsidRPr="00F751BB">
        <w:rPr>
          <w:sz w:val="21"/>
          <w:szCs w:val="21"/>
        </w:rPr>
        <w:t>have</w:t>
      </w:r>
      <w:proofErr w:type="gramEnd"/>
      <w:r w:rsidRPr="00F751BB">
        <w:rPr>
          <w:sz w:val="21"/>
          <w:szCs w:val="21"/>
        </w:rPr>
        <w:t xml:space="preserve"> been ignored. The way the ETS operates needs to be modified so that it is fully transparent so that we can see and understand what steps New Zealand is taking to address climate change, how effective these steps are, and how they are affecting prices for goods and services.” (The Sustainable Energy Forum, </w:t>
      </w:r>
      <w:r w:rsidR="008F4867">
        <w:rPr>
          <w:sz w:val="21"/>
          <w:szCs w:val="21"/>
        </w:rPr>
        <w:t>05028</w:t>
      </w:r>
      <w:r w:rsidRPr="00F751BB">
        <w:rPr>
          <w:sz w:val="21"/>
          <w:szCs w:val="21"/>
        </w:rPr>
        <w:t>)</w:t>
      </w:r>
    </w:p>
    <w:p w:rsidR="00F801E9" w:rsidRPr="00D56972" w:rsidRDefault="00F801E9" w:rsidP="00163CD4">
      <w:r w:rsidRPr="005438EC">
        <w:t xml:space="preserve">As well as a call for more general NZ ETS information, a number of submitters discussed the need </w:t>
      </w:r>
      <w:r w:rsidR="005438EC" w:rsidRPr="005438EC">
        <w:t xml:space="preserve">for access to </w:t>
      </w:r>
      <w:r w:rsidR="005438EC" w:rsidRPr="00D56972">
        <w:t xml:space="preserve">additional </w:t>
      </w:r>
      <w:r w:rsidRPr="00D56972">
        <w:t>carbon market data. These submitters provided suggestions for specific data that could be published</w:t>
      </w:r>
      <w:r w:rsidR="008B5DCE">
        <w:t>,</w:t>
      </w:r>
      <w:r w:rsidRPr="00D56972">
        <w:t xml:space="preserve"> </w:t>
      </w:r>
      <w:r w:rsidRPr="0071113E">
        <w:t xml:space="preserve">and emphasised the importance of the </w:t>
      </w:r>
      <w:r w:rsidR="00750701" w:rsidRPr="0071113E">
        <w:t xml:space="preserve">understanding the carbon </w:t>
      </w:r>
      <w:r w:rsidRPr="0071113E">
        <w:t>market</w:t>
      </w:r>
      <w:r w:rsidRPr="00D56972">
        <w:t>.</w:t>
      </w:r>
    </w:p>
    <w:p w:rsidR="00F801E9" w:rsidRPr="00F751BB" w:rsidRDefault="00F801E9" w:rsidP="00F751BB">
      <w:pPr>
        <w:ind w:left="567" w:right="567"/>
        <w:rPr>
          <w:sz w:val="21"/>
          <w:szCs w:val="21"/>
        </w:rPr>
      </w:pPr>
      <w:r w:rsidRPr="00F751BB">
        <w:rPr>
          <w:sz w:val="21"/>
          <w:szCs w:val="21"/>
        </w:rPr>
        <w:t>“Genesis Energy wants to see the NZ ETS evolve into a strong and appealing market for participants. As well as greater policy certainty, this requires improved market structures and greater liquidity. We are of the view that the NZ ETS needs to be viewed as a market, rather than a scheme, and carbon units need to be viewed as tradeable financial instruments.” (</w:t>
      </w:r>
      <w:r w:rsidR="004F3E0E" w:rsidRPr="00CB33F4">
        <w:rPr>
          <w:sz w:val="21"/>
          <w:szCs w:val="21"/>
        </w:rPr>
        <w:t>Genesis</w:t>
      </w:r>
      <w:r w:rsidR="004F3E0E">
        <w:rPr>
          <w:sz w:val="21"/>
          <w:szCs w:val="21"/>
        </w:rPr>
        <w:t xml:space="preserve"> Energy</w:t>
      </w:r>
      <w:r w:rsidR="004F3E0E" w:rsidRPr="00CB33F4">
        <w:rPr>
          <w:sz w:val="21"/>
          <w:szCs w:val="21"/>
        </w:rPr>
        <w:t xml:space="preserve">, </w:t>
      </w:r>
      <w:r w:rsidR="004F3E0E">
        <w:rPr>
          <w:sz w:val="21"/>
          <w:szCs w:val="21"/>
        </w:rPr>
        <w:t>00053</w:t>
      </w:r>
      <w:r w:rsidRPr="00F751BB">
        <w:rPr>
          <w:sz w:val="21"/>
          <w:szCs w:val="21"/>
        </w:rPr>
        <w:t>)</w:t>
      </w:r>
    </w:p>
    <w:p w:rsidR="00F801E9" w:rsidRPr="00F751BB" w:rsidRDefault="00F801E9" w:rsidP="00F751BB">
      <w:pPr>
        <w:ind w:left="567" w:right="567"/>
        <w:rPr>
          <w:sz w:val="21"/>
          <w:szCs w:val="21"/>
        </w:rPr>
      </w:pPr>
      <w:r w:rsidRPr="00F751BB">
        <w:rPr>
          <w:sz w:val="21"/>
          <w:szCs w:val="21"/>
        </w:rPr>
        <w:t>“We support the introduction of appropriate market rules to improve the operational efficiency of the NZ ETS. Clear and concise market rules should reduce complexity around market participation and improve transparency around reporting and other compliance activities.” (</w:t>
      </w:r>
      <w:proofErr w:type="spellStart"/>
      <w:r w:rsidRPr="00F751BB">
        <w:rPr>
          <w:sz w:val="21"/>
          <w:szCs w:val="21"/>
        </w:rPr>
        <w:t>Trustpower</w:t>
      </w:r>
      <w:proofErr w:type="spellEnd"/>
      <w:r w:rsidRPr="00F751BB">
        <w:rPr>
          <w:sz w:val="21"/>
          <w:szCs w:val="21"/>
        </w:rPr>
        <w:t xml:space="preserve">, </w:t>
      </w:r>
      <w:r w:rsidR="004F3E0E">
        <w:rPr>
          <w:sz w:val="21"/>
          <w:szCs w:val="21"/>
        </w:rPr>
        <w:t>00088</w:t>
      </w:r>
      <w:r w:rsidRPr="00F751BB">
        <w:rPr>
          <w:sz w:val="21"/>
          <w:szCs w:val="21"/>
        </w:rPr>
        <w:t>)</w:t>
      </w:r>
    </w:p>
    <w:p w:rsidR="00F801E9" w:rsidRPr="00E10E3C" w:rsidRDefault="00F801E9" w:rsidP="00163CD4">
      <w:r w:rsidRPr="00885D73">
        <w:t xml:space="preserve">Some </w:t>
      </w:r>
      <w:r w:rsidRPr="005726A4">
        <w:t xml:space="preserve">participants also </w:t>
      </w:r>
      <w:r w:rsidR="005438EC" w:rsidRPr="005726A4">
        <w:t>discussed</w:t>
      </w:r>
      <w:r w:rsidRPr="005726A4">
        <w:t xml:space="preserve"> particular operational or technical matters that they thought could be improved. These</w:t>
      </w:r>
      <w:r w:rsidRPr="00375FCC">
        <w:t xml:space="preserve"> were often specific to a certain aspect of the NZ ETS. Examples included improvements </w:t>
      </w:r>
      <w:r w:rsidR="008B5DCE" w:rsidRPr="00375FCC">
        <w:t>in</w:t>
      </w:r>
      <w:r w:rsidRPr="00DE1710">
        <w:t xml:space="preserve"> how liquid fossil fuel opt-in participants report their emissions and improvements </w:t>
      </w:r>
      <w:r w:rsidR="008B5DCE" w:rsidRPr="00E10E3C">
        <w:t xml:space="preserve">in </w:t>
      </w:r>
      <w:r w:rsidRPr="00E10E3C">
        <w:t>how a unique emissions factor (UEF) is calculated for geothermal participants.</w:t>
      </w:r>
    </w:p>
    <w:p w:rsidR="0032662B" w:rsidRPr="005A45A3" w:rsidRDefault="0032662B" w:rsidP="0032662B">
      <w:r w:rsidRPr="00E10E3C">
        <w:t>Other common suggestions to improve the administrative efficiency of the NZ ETS included reducing</w:t>
      </w:r>
      <w:r>
        <w:t xml:space="preserve"> costs of compliance where appropriate; increasing flexibility regarding penalties; and simplifying the process for approving a UEF.</w:t>
      </w:r>
    </w:p>
    <w:p w:rsidR="00F801E9" w:rsidRDefault="0032662B" w:rsidP="0032662B">
      <w:r>
        <w:t xml:space="preserve">A number of issues raised </w:t>
      </w:r>
      <w:r w:rsidRPr="00D56972">
        <w:t xml:space="preserve">by submitters in response to this question were discussed in detail in the </w:t>
      </w:r>
      <w:r w:rsidRPr="00D56972">
        <w:rPr>
          <w:i/>
        </w:rPr>
        <w:t>Forestry Technical Note</w:t>
      </w:r>
      <w:r w:rsidR="00CE58D8">
        <w:rPr>
          <w:i/>
        </w:rPr>
        <w:t xml:space="preserve"> </w:t>
      </w:r>
      <w:r w:rsidR="008545CE">
        <w:rPr>
          <w:i/>
        </w:rPr>
        <w:t>(</w:t>
      </w:r>
      <w:r w:rsidR="008545CE" w:rsidRPr="00A818BC">
        <w:rPr>
          <w:rStyle w:val="Hyperlink"/>
        </w:rPr>
        <w:t>www.mfe.govt.nz/publications/climate-change/nz-ets-review-201516-summary-stage-two-annex-one</w:t>
      </w:r>
      <w:r w:rsidR="008545CE">
        <w:rPr>
          <w:rStyle w:val="Hyperlink"/>
        </w:rPr>
        <w:t>)</w:t>
      </w:r>
      <w:r w:rsidRPr="00D56972">
        <w:rPr>
          <w:i/>
        </w:rPr>
        <w:t xml:space="preserve"> </w:t>
      </w:r>
      <w:r w:rsidRPr="00D56972">
        <w:t xml:space="preserve">and the </w:t>
      </w:r>
      <w:r w:rsidRPr="00D56972">
        <w:rPr>
          <w:i/>
        </w:rPr>
        <w:t>Operational Matters Technical Note</w:t>
      </w:r>
      <w:r w:rsidR="00386912">
        <w:rPr>
          <w:i/>
        </w:rPr>
        <w:t xml:space="preserve"> </w:t>
      </w:r>
      <w:r w:rsidR="00CE58D8" w:rsidRPr="00CE58D8">
        <w:t>(</w:t>
      </w:r>
      <w:r w:rsidR="00386912" w:rsidRPr="00A818BC">
        <w:rPr>
          <w:rStyle w:val="Hyperlink"/>
        </w:rPr>
        <w:t>www.mfe.govt.nz/publications/climate-change/nz-ets-review-20</w:t>
      </w:r>
      <w:r w:rsidR="00386912">
        <w:rPr>
          <w:rStyle w:val="Hyperlink"/>
        </w:rPr>
        <w:t>1516-summary-stage-two-annex-two)</w:t>
      </w:r>
      <w:r w:rsidRPr="00D56972">
        <w:t>.</w:t>
      </w:r>
    </w:p>
    <w:p w:rsidR="00F801E9" w:rsidRPr="00231D5A" w:rsidRDefault="00F801E9" w:rsidP="00F801E9">
      <w:pPr>
        <w:pStyle w:val="Tableheading"/>
      </w:pPr>
      <w:bookmarkStart w:id="70" w:name="_Toc463270174"/>
      <w:r w:rsidRPr="00231D5A">
        <w:t xml:space="preserve">Table </w:t>
      </w:r>
      <w:r w:rsidR="00465B2E">
        <w:t>10</w:t>
      </w:r>
      <w:r w:rsidRPr="00231D5A">
        <w:t xml:space="preserve">: </w:t>
      </w:r>
      <w:r w:rsidRPr="00231D5A">
        <w:tab/>
      </w:r>
      <w:r w:rsidR="00B556C0">
        <w:t>Submitter</w:t>
      </w:r>
      <w:r w:rsidRPr="00231D5A">
        <w:t xml:space="preserve"> positions – </w:t>
      </w:r>
      <w:r w:rsidRPr="00A962C3">
        <w:rPr>
          <w:i/>
        </w:rPr>
        <w:t>Are you aware of ways the administrative efficiency of the NZ ETS could be improved?</w:t>
      </w:r>
      <w:bookmarkEnd w:id="70"/>
    </w:p>
    <w:tbl>
      <w:tblPr>
        <w:tblW w:w="9230" w:type="dxa"/>
        <w:tblInd w:w="93" w:type="dxa"/>
        <w:tblLayout w:type="fixed"/>
        <w:tblLook w:val="04A0" w:firstRow="1" w:lastRow="0" w:firstColumn="1" w:lastColumn="0" w:noHBand="0" w:noVBand="1"/>
      </w:tblPr>
      <w:tblGrid>
        <w:gridCol w:w="3326"/>
        <w:gridCol w:w="1476"/>
        <w:gridCol w:w="1476"/>
        <w:gridCol w:w="1476"/>
        <w:gridCol w:w="1476"/>
      </w:tblGrid>
      <w:tr w:rsidR="00F801E9" w:rsidRPr="00231D5A" w:rsidTr="005F5A37">
        <w:trPr>
          <w:trHeight w:val="300"/>
          <w:tblHeader/>
        </w:trPr>
        <w:tc>
          <w:tcPr>
            <w:tcW w:w="3326" w:type="dxa"/>
            <w:tcBorders>
              <w:top w:val="nil"/>
              <w:left w:val="nil"/>
              <w:bottom w:val="single" w:sz="4" w:space="0" w:color="005984"/>
              <w:right w:val="single" w:sz="4" w:space="0" w:color="005984"/>
            </w:tcBorders>
            <w:noWrap/>
            <w:vAlign w:val="bottom"/>
            <w:hideMark/>
          </w:tcPr>
          <w:p w:rsidR="00F801E9" w:rsidRPr="00231D5A" w:rsidRDefault="00F801E9" w:rsidP="00C66F99">
            <w:pPr>
              <w:spacing w:after="0"/>
              <w:rPr>
                <w:rFonts w:ascii="Times New Roman" w:hAnsi="Times New Roman" w:cs="Times New Roman"/>
                <w:sz w:val="20"/>
                <w:szCs w:val="20"/>
                <w:lang w:eastAsia="en-NZ"/>
              </w:rPr>
            </w:pPr>
          </w:p>
        </w:tc>
        <w:tc>
          <w:tcPr>
            <w:tcW w:w="1476"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F801E9" w:rsidRPr="00231D5A" w:rsidRDefault="00F801E9" w:rsidP="00C66F99">
            <w:pPr>
              <w:pStyle w:val="TableTextbold"/>
              <w:jc w:val="center"/>
              <w:rPr>
                <w:color w:val="FFFFFF"/>
                <w:lang w:eastAsia="en-NZ"/>
              </w:rPr>
            </w:pPr>
            <w:r w:rsidRPr="00231D5A">
              <w:rPr>
                <w:color w:val="FFFFFF"/>
                <w:lang w:eastAsia="en-NZ"/>
              </w:rPr>
              <w:t>Yes</w:t>
            </w:r>
          </w:p>
        </w:tc>
        <w:tc>
          <w:tcPr>
            <w:tcW w:w="1476" w:type="dxa"/>
            <w:tcBorders>
              <w:top w:val="single" w:sz="4" w:space="0" w:color="005984"/>
              <w:left w:val="single" w:sz="4" w:space="0" w:color="005984"/>
              <w:bottom w:val="single" w:sz="4" w:space="0" w:color="005984"/>
              <w:right w:val="single" w:sz="4" w:space="0" w:color="005984"/>
            </w:tcBorders>
            <w:shd w:val="clear" w:color="auto" w:fill="005984"/>
            <w:noWrap/>
            <w:vAlign w:val="bottom"/>
            <w:hideMark/>
          </w:tcPr>
          <w:p w:rsidR="00F801E9" w:rsidRPr="00231D5A" w:rsidRDefault="00F801E9" w:rsidP="00C66F99">
            <w:pPr>
              <w:pStyle w:val="TableTextbold"/>
              <w:jc w:val="center"/>
              <w:rPr>
                <w:color w:val="FFFFFF"/>
                <w:lang w:eastAsia="en-NZ"/>
              </w:rPr>
            </w:pPr>
            <w:r w:rsidRPr="00231D5A">
              <w:rPr>
                <w:color w:val="FFFFFF"/>
                <w:lang w:eastAsia="en-NZ"/>
              </w:rPr>
              <w:t>No</w:t>
            </w:r>
          </w:p>
        </w:tc>
        <w:tc>
          <w:tcPr>
            <w:tcW w:w="1476" w:type="dxa"/>
            <w:tcBorders>
              <w:top w:val="single" w:sz="4" w:space="0" w:color="005984"/>
              <w:left w:val="single" w:sz="4" w:space="0" w:color="005984"/>
              <w:bottom w:val="single" w:sz="4" w:space="0" w:color="005984"/>
              <w:right w:val="nil"/>
            </w:tcBorders>
            <w:shd w:val="clear" w:color="auto" w:fill="005984"/>
            <w:noWrap/>
            <w:vAlign w:val="bottom"/>
            <w:hideMark/>
          </w:tcPr>
          <w:p w:rsidR="00F801E9" w:rsidRPr="00231D5A" w:rsidRDefault="00451A30" w:rsidP="00C66F99">
            <w:pPr>
              <w:pStyle w:val="TableTextbold"/>
              <w:jc w:val="center"/>
              <w:rPr>
                <w:color w:val="FFFFFF"/>
                <w:lang w:eastAsia="en-NZ"/>
              </w:rPr>
            </w:pPr>
            <w:r>
              <w:rPr>
                <w:color w:val="FFFFFF"/>
                <w:lang w:eastAsia="en-NZ"/>
              </w:rPr>
              <w:t>Unsure / u</w:t>
            </w:r>
            <w:r w:rsidR="00F801E9" w:rsidRPr="00231D5A">
              <w:rPr>
                <w:color w:val="FFFFFF"/>
                <w:lang w:eastAsia="en-NZ"/>
              </w:rPr>
              <w:t>nclear</w:t>
            </w:r>
          </w:p>
        </w:tc>
        <w:tc>
          <w:tcPr>
            <w:tcW w:w="1476" w:type="dxa"/>
            <w:tcBorders>
              <w:top w:val="single" w:sz="4" w:space="0" w:color="005984"/>
              <w:left w:val="single" w:sz="4" w:space="0" w:color="005984"/>
              <w:bottom w:val="single" w:sz="4" w:space="0" w:color="005984"/>
              <w:right w:val="nil"/>
            </w:tcBorders>
            <w:shd w:val="clear" w:color="auto" w:fill="005984"/>
            <w:vAlign w:val="bottom"/>
            <w:hideMark/>
          </w:tcPr>
          <w:p w:rsidR="00F801E9" w:rsidRPr="00231D5A" w:rsidRDefault="00F801E9" w:rsidP="00C66F99">
            <w:pPr>
              <w:pStyle w:val="TableTextbold"/>
              <w:jc w:val="center"/>
              <w:rPr>
                <w:color w:val="FFFFFF"/>
                <w:lang w:eastAsia="en-NZ"/>
              </w:rPr>
            </w:pPr>
            <w:r w:rsidRPr="00231D5A">
              <w:rPr>
                <w:color w:val="FFFFFF"/>
                <w:lang w:eastAsia="en-NZ"/>
              </w:rPr>
              <w:t>Total</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 xml:space="preserve">Agriculture </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4</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1</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1</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6</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Business groups</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0</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0</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0</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0</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 xml:space="preserve">Electricity </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5</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1</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0</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6</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 xml:space="preserve">Forestry </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20</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7</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6</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33</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Individual</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8</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8</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8</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24</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 xml:space="preserve">Industrial processors </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4</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3</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1</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8</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Iwi/Māori</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4</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0</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2</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6</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 xml:space="preserve">Liquid fossil fuels </w:t>
            </w:r>
            <w:r>
              <w:rPr>
                <w:lang w:eastAsia="en-NZ"/>
              </w:rPr>
              <w:t>(transport)</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3</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0</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2</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5</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Local government</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0</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1</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0</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1</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NGO and community groups</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4</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0</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1</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5</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lastRenderedPageBreak/>
              <w:t>Research and tertiary organisations</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2</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1</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1</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4</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 xml:space="preserve">Stationary energy </w:t>
            </w:r>
            <w:r>
              <w:rPr>
                <w:lang w:eastAsia="en-NZ"/>
              </w:rPr>
              <w:t>(excluding electricity)</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3</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2</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2</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7</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Waste sector</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5</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5</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0</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10</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Wood processors</w:t>
            </w:r>
            <w:r>
              <w:rPr>
                <w:lang w:eastAsia="en-NZ"/>
              </w:rPr>
              <w:t xml:space="preserve"> and manufacturers</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1</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0</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0</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1</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tcPr>
          <w:p w:rsidR="00DA55BA" w:rsidRPr="00C76622" w:rsidRDefault="00DA55BA" w:rsidP="00DE1710">
            <w:pPr>
              <w:pStyle w:val="TableText"/>
              <w:spacing w:before="0" w:after="0"/>
              <w:rPr>
                <w:lang w:eastAsia="en-NZ"/>
              </w:rPr>
            </w:pPr>
            <w:r w:rsidRPr="00C76622">
              <w:rPr>
                <w:lang w:eastAsia="en-NZ"/>
              </w:rPr>
              <w:t>Other</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4</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2</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color w:val="000000"/>
                <w:sz w:val="18"/>
                <w:szCs w:val="18"/>
              </w:rPr>
            </w:pPr>
            <w:r w:rsidRPr="00DE1710">
              <w:rPr>
                <w:color w:val="000000"/>
                <w:sz w:val="18"/>
                <w:szCs w:val="18"/>
              </w:rPr>
              <w:t>1</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color w:val="000000"/>
                <w:sz w:val="18"/>
                <w:szCs w:val="18"/>
              </w:rPr>
            </w:pPr>
            <w:r w:rsidRPr="00DE1710">
              <w:rPr>
                <w:color w:val="000000"/>
                <w:sz w:val="18"/>
                <w:szCs w:val="18"/>
              </w:rPr>
              <w:t>7</w:t>
            </w:r>
          </w:p>
        </w:tc>
      </w:tr>
      <w:tr w:rsidR="00DA55BA" w:rsidRPr="00231D5A" w:rsidTr="00647AFD">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DA55BA" w:rsidRPr="00DA55BA" w:rsidRDefault="00DA55BA" w:rsidP="00DE1710">
            <w:pPr>
              <w:pStyle w:val="TableText"/>
              <w:spacing w:before="0" w:after="0"/>
              <w:rPr>
                <w:b/>
                <w:bCs/>
                <w:lang w:eastAsia="en-NZ"/>
              </w:rPr>
            </w:pPr>
            <w:r w:rsidRPr="00DA55BA">
              <w:rPr>
                <w:b/>
                <w:bCs/>
                <w:lang w:eastAsia="en-NZ"/>
              </w:rPr>
              <w:t>TOTAL</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b/>
                <w:color w:val="000000"/>
                <w:sz w:val="18"/>
                <w:szCs w:val="18"/>
              </w:rPr>
            </w:pPr>
            <w:r w:rsidRPr="00DE1710">
              <w:rPr>
                <w:b/>
                <w:color w:val="000000"/>
                <w:sz w:val="18"/>
                <w:szCs w:val="18"/>
              </w:rPr>
              <w:t>67</w:t>
            </w:r>
          </w:p>
        </w:tc>
        <w:tc>
          <w:tcPr>
            <w:tcW w:w="1476" w:type="dxa"/>
            <w:tcBorders>
              <w:top w:val="single" w:sz="4" w:space="0" w:color="005984"/>
              <w:left w:val="single" w:sz="4" w:space="0" w:color="005984"/>
              <w:bottom w:val="single" w:sz="4" w:space="0" w:color="005984"/>
              <w:right w:val="single" w:sz="4" w:space="0" w:color="005984"/>
            </w:tcBorders>
            <w:noWrap/>
            <w:vAlign w:val="bottom"/>
          </w:tcPr>
          <w:p w:rsidR="00DA55BA" w:rsidRPr="00DE1710" w:rsidRDefault="00DA55BA" w:rsidP="00DE1710">
            <w:pPr>
              <w:spacing w:before="0" w:after="0"/>
              <w:jc w:val="right"/>
              <w:rPr>
                <w:b/>
                <w:color w:val="000000"/>
                <w:sz w:val="18"/>
                <w:szCs w:val="18"/>
              </w:rPr>
            </w:pPr>
            <w:r w:rsidRPr="00DE1710">
              <w:rPr>
                <w:b/>
                <w:color w:val="000000"/>
                <w:sz w:val="18"/>
                <w:szCs w:val="18"/>
              </w:rPr>
              <w:t>31</w:t>
            </w:r>
          </w:p>
        </w:tc>
        <w:tc>
          <w:tcPr>
            <w:tcW w:w="1476" w:type="dxa"/>
            <w:tcBorders>
              <w:top w:val="single" w:sz="4" w:space="0" w:color="005984"/>
              <w:left w:val="single" w:sz="4" w:space="0" w:color="005984"/>
              <w:bottom w:val="single" w:sz="4" w:space="0" w:color="005984"/>
              <w:right w:val="nil"/>
            </w:tcBorders>
            <w:noWrap/>
            <w:vAlign w:val="bottom"/>
          </w:tcPr>
          <w:p w:rsidR="00DA55BA" w:rsidRPr="00DE1710" w:rsidRDefault="00DA55BA" w:rsidP="00DE1710">
            <w:pPr>
              <w:spacing w:before="0" w:after="0"/>
              <w:jc w:val="right"/>
              <w:rPr>
                <w:b/>
                <w:color w:val="000000"/>
                <w:sz w:val="18"/>
                <w:szCs w:val="18"/>
              </w:rPr>
            </w:pPr>
            <w:r w:rsidRPr="00DE1710">
              <w:rPr>
                <w:b/>
                <w:color w:val="000000"/>
                <w:sz w:val="18"/>
                <w:szCs w:val="18"/>
              </w:rPr>
              <w:t>25</w:t>
            </w:r>
          </w:p>
        </w:tc>
        <w:tc>
          <w:tcPr>
            <w:tcW w:w="1476" w:type="dxa"/>
            <w:tcBorders>
              <w:top w:val="single" w:sz="4" w:space="0" w:color="005984"/>
              <w:left w:val="single" w:sz="4" w:space="0" w:color="005984"/>
              <w:bottom w:val="single" w:sz="4" w:space="0" w:color="005984"/>
              <w:right w:val="nil"/>
            </w:tcBorders>
            <w:vAlign w:val="bottom"/>
          </w:tcPr>
          <w:p w:rsidR="00DA55BA" w:rsidRPr="00DE1710" w:rsidRDefault="00DA55BA" w:rsidP="00DE1710">
            <w:pPr>
              <w:spacing w:before="0" w:after="0"/>
              <w:jc w:val="right"/>
              <w:rPr>
                <w:b/>
                <w:color w:val="000000"/>
                <w:sz w:val="18"/>
                <w:szCs w:val="18"/>
              </w:rPr>
            </w:pPr>
            <w:r w:rsidRPr="00DE1710">
              <w:rPr>
                <w:b/>
                <w:color w:val="000000"/>
                <w:sz w:val="18"/>
                <w:szCs w:val="18"/>
              </w:rPr>
              <w:t>123</w:t>
            </w:r>
          </w:p>
        </w:tc>
      </w:tr>
    </w:tbl>
    <w:p w:rsidR="00F801E9" w:rsidRPr="00231D5A" w:rsidRDefault="00F801E9" w:rsidP="00113656">
      <w:pPr>
        <w:pStyle w:val="Figureheading"/>
        <w:spacing w:before="240"/>
        <w:rPr>
          <w:color w:val="FF0000"/>
        </w:rPr>
      </w:pPr>
      <w:bookmarkStart w:id="71" w:name="_Toc462814470"/>
      <w:r w:rsidRPr="00231D5A">
        <w:t xml:space="preserve">Figure </w:t>
      </w:r>
      <w:r w:rsidR="00AD5B83">
        <w:t>9</w:t>
      </w:r>
      <w:r w:rsidRPr="00231D5A">
        <w:t xml:space="preserve">: </w:t>
      </w:r>
      <w:r w:rsidRPr="00231D5A">
        <w:tab/>
      </w:r>
      <w:r w:rsidR="00B556C0">
        <w:t>Submitter</w:t>
      </w:r>
      <w:r w:rsidRPr="00231D5A">
        <w:t xml:space="preserve"> positions – </w:t>
      </w:r>
      <w:r w:rsidRPr="00A962C3">
        <w:rPr>
          <w:i/>
        </w:rPr>
        <w:t xml:space="preserve">Are you aware of ways the administrative efficiency of the NZ ETS could be improved? </w:t>
      </w:r>
      <w:bookmarkEnd w:id="71"/>
    </w:p>
    <w:p w:rsidR="00F801E9" w:rsidRDefault="00095739" w:rsidP="00113656">
      <w:pPr>
        <w:pStyle w:val="BodyText"/>
        <w:jc w:val="center"/>
      </w:pPr>
      <w:r>
        <w:rPr>
          <w:noProof/>
          <w:lang w:eastAsia="en-NZ"/>
        </w:rPr>
        <w:drawing>
          <wp:inline distT="0" distB="0" distL="0" distR="0" wp14:anchorId="2A685E2D">
            <wp:extent cx="5407660" cy="274955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7660" cy="2749550"/>
                    </a:xfrm>
                    <a:prstGeom prst="rect">
                      <a:avLst/>
                    </a:prstGeom>
                    <a:noFill/>
                  </pic:spPr>
                </pic:pic>
              </a:graphicData>
            </a:graphic>
          </wp:inline>
        </w:drawing>
      </w:r>
    </w:p>
    <w:p w:rsidR="00DA55BA" w:rsidRPr="00231D5A" w:rsidRDefault="00DA55BA" w:rsidP="00F801E9">
      <w:pPr>
        <w:pStyle w:val="BodyText"/>
      </w:pPr>
    </w:p>
    <w:p w:rsidR="00B01DDC" w:rsidRDefault="00B01DDC">
      <w:pPr>
        <w:spacing w:before="0" w:after="0"/>
        <w:rPr>
          <w:b/>
          <w:bCs/>
          <w:color w:val="005984"/>
          <w:sz w:val="36"/>
          <w:szCs w:val="36"/>
        </w:rPr>
      </w:pPr>
      <w:bookmarkStart w:id="72" w:name="_Toc459742913"/>
      <w:r>
        <w:br w:type="page"/>
      </w:r>
    </w:p>
    <w:p w:rsidR="00BC5A44" w:rsidRDefault="00BC5A44" w:rsidP="00BC5A44">
      <w:pPr>
        <w:pStyle w:val="Heading1"/>
      </w:pPr>
      <w:bookmarkStart w:id="73" w:name="_Toc463270147"/>
      <w:r>
        <w:lastRenderedPageBreak/>
        <w:t xml:space="preserve">9. </w:t>
      </w:r>
      <w:r>
        <w:tab/>
        <w:t>Addressing barriers to the uptake of low emissions technologies</w:t>
      </w:r>
      <w:bookmarkEnd w:id="72"/>
      <w:bookmarkEnd w:id="73"/>
    </w:p>
    <w:tbl>
      <w:tblPr>
        <w:tblW w:w="8505" w:type="dxa"/>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DEEAF6"/>
        <w:tblLook w:val="04A0" w:firstRow="1" w:lastRow="0" w:firstColumn="1" w:lastColumn="0" w:noHBand="0" w:noVBand="1"/>
      </w:tblPr>
      <w:tblGrid>
        <w:gridCol w:w="8505"/>
      </w:tblGrid>
      <w:tr w:rsidR="006375F1" w:rsidRPr="00C76622" w:rsidTr="00006F25">
        <w:trPr>
          <w:trHeight w:val="278"/>
        </w:trPr>
        <w:tc>
          <w:tcPr>
            <w:tcW w:w="8505" w:type="dxa"/>
            <w:shd w:val="clear" w:color="auto" w:fill="DEEAF6"/>
          </w:tcPr>
          <w:p w:rsidR="006375F1" w:rsidRPr="008D7BEC" w:rsidRDefault="006375F1" w:rsidP="0043200C">
            <w:pPr>
              <w:pStyle w:val="Bullet"/>
              <w:numPr>
                <w:ilvl w:val="0"/>
                <w:numId w:val="0"/>
              </w:numPr>
              <w:spacing w:before="240" w:line="276" w:lineRule="auto"/>
              <w:ind w:left="397"/>
              <w:rPr>
                <w:sz w:val="20"/>
                <w:szCs w:val="20"/>
              </w:rPr>
            </w:pPr>
            <w:r>
              <w:rPr>
                <w:sz w:val="20"/>
                <w:szCs w:val="20"/>
              </w:rPr>
              <w:t xml:space="preserve">The Government’s main policy response to reducing emissions is the </w:t>
            </w:r>
            <w:r w:rsidR="008B5DCE">
              <w:rPr>
                <w:sz w:val="20"/>
                <w:szCs w:val="20"/>
              </w:rPr>
              <w:t>New Zealand Emissions Trading Scheme (</w:t>
            </w:r>
            <w:r>
              <w:rPr>
                <w:sz w:val="20"/>
                <w:szCs w:val="20"/>
              </w:rPr>
              <w:t>NZ ETS</w:t>
            </w:r>
            <w:r w:rsidR="008B5DCE">
              <w:rPr>
                <w:sz w:val="20"/>
                <w:szCs w:val="20"/>
              </w:rPr>
              <w:t>), but</w:t>
            </w:r>
            <w:r>
              <w:rPr>
                <w:sz w:val="20"/>
                <w:szCs w:val="20"/>
              </w:rPr>
              <w:t xml:space="preserve"> the NZ ETS alone will not drive New Zealand towards a low emissions economy. The carbon price incentive from the NZ ETS should encourage the efficient uptake of opportunities and technologies for reducing emissions.</w:t>
            </w:r>
            <w:r w:rsidR="0043200C">
              <w:rPr>
                <w:sz w:val="20"/>
                <w:szCs w:val="20"/>
              </w:rPr>
              <w:t xml:space="preserve"> </w:t>
            </w:r>
            <w:r w:rsidR="00F448C7">
              <w:rPr>
                <w:sz w:val="20"/>
                <w:szCs w:val="20"/>
              </w:rPr>
              <w:t>I</w:t>
            </w:r>
            <w:r>
              <w:rPr>
                <w:sz w:val="20"/>
                <w:szCs w:val="20"/>
              </w:rPr>
              <w:t xml:space="preserve">n some sectors or cases, </w:t>
            </w:r>
            <w:r w:rsidR="00F448C7">
              <w:rPr>
                <w:sz w:val="20"/>
                <w:szCs w:val="20"/>
              </w:rPr>
              <w:t xml:space="preserve">however, </w:t>
            </w:r>
            <w:r>
              <w:rPr>
                <w:sz w:val="20"/>
                <w:szCs w:val="20"/>
              </w:rPr>
              <w:t xml:space="preserve">there may be other market barriers or market failures that also need to be addressed. </w:t>
            </w:r>
          </w:p>
        </w:tc>
      </w:tr>
    </w:tbl>
    <w:p w:rsidR="00BC5A44" w:rsidRDefault="00BC5A44" w:rsidP="00BC5A44">
      <w:pPr>
        <w:pStyle w:val="Heading2"/>
        <w:spacing w:before="240"/>
      </w:pPr>
      <w:bookmarkStart w:id="74" w:name="_Toc456013894"/>
      <w:bookmarkStart w:id="75" w:name="_Toc463270148"/>
      <w:bookmarkStart w:id="76" w:name="_Toc459742915"/>
      <w:r>
        <w:t>9.1</w:t>
      </w:r>
      <w:r>
        <w:tab/>
        <w:t>Are there any barriers or market failures that will prevent the efficient uptake of opportunities and technologies for reducing emissions? (Question 26)</w:t>
      </w:r>
      <w:bookmarkEnd w:id="74"/>
      <w:bookmarkEnd w:id="75"/>
    </w:p>
    <w:p w:rsidR="00BC5A44" w:rsidRDefault="00BC5A44" w:rsidP="00BC5A44">
      <w:r>
        <w:t>In total, 11</w:t>
      </w:r>
      <w:r w:rsidR="00B8508C">
        <w:t>8</w:t>
      </w:r>
      <w:r>
        <w:t xml:space="preserve"> submitters (</w:t>
      </w:r>
      <w:r w:rsidR="00C2449D">
        <w:t>approximately</w:t>
      </w:r>
      <w:r w:rsidR="00B8508C">
        <w:t xml:space="preserve"> </w:t>
      </w:r>
      <w:r>
        <w:t>3</w:t>
      </w:r>
      <w:r w:rsidR="00B8508C">
        <w:t>5</w:t>
      </w:r>
      <w:r>
        <w:t xml:space="preserve"> </w:t>
      </w:r>
      <w:r w:rsidR="008E24E1">
        <w:t>per cent</w:t>
      </w:r>
      <w:r>
        <w:t xml:space="preserve"> of all submitters) answered this question. The majority of these submitters (</w:t>
      </w:r>
      <w:r w:rsidR="00C2449D">
        <w:t>approximately</w:t>
      </w:r>
      <w:r w:rsidR="00B8508C">
        <w:t xml:space="preserve"> </w:t>
      </w:r>
      <w:r>
        <w:t xml:space="preserve">80 </w:t>
      </w:r>
      <w:r w:rsidR="008E24E1">
        <w:t>per cent</w:t>
      </w:r>
      <w:r>
        <w:t xml:space="preserve">) </w:t>
      </w:r>
      <w:r w:rsidR="005726A4">
        <w:t>thought</w:t>
      </w:r>
      <w:r>
        <w:t xml:space="preserve"> that there are barriers or market failures that will prevent the efficient uptake of opportunities and technologies for reducing </w:t>
      </w:r>
      <w:r w:rsidRPr="00750701">
        <w:t xml:space="preserve">emissions. </w:t>
      </w:r>
      <w:r w:rsidR="005726A4">
        <w:t>A</w:t>
      </w:r>
      <w:r w:rsidR="00B8508C">
        <w:t>pproximately two</w:t>
      </w:r>
      <w:r w:rsidRPr="00750701">
        <w:t xml:space="preserve"> </w:t>
      </w:r>
      <w:r w:rsidR="008E24E1">
        <w:t>per cent</w:t>
      </w:r>
      <w:r w:rsidRPr="00750701">
        <w:t xml:space="preserve"> did not think there were any barriers or market failures</w:t>
      </w:r>
      <w:r w:rsidR="005726A4">
        <w:t>,</w:t>
      </w:r>
      <w:r w:rsidRPr="00750701">
        <w:t xml:space="preserve"> and </w:t>
      </w:r>
      <w:r w:rsidR="00647AFD">
        <w:t>the remaining submitters were unsure or did not provide a clear position</w:t>
      </w:r>
      <w:r w:rsidRPr="00750701">
        <w:t>.</w:t>
      </w:r>
      <w:r>
        <w:t xml:space="preserve">  </w:t>
      </w:r>
    </w:p>
    <w:p w:rsidR="00BC5A44" w:rsidRDefault="00BC5A44" w:rsidP="00BC5A44">
      <w:pPr>
        <w:pStyle w:val="Heading4"/>
      </w:pPr>
      <w:r>
        <w:t>Regulatory certainty and the design of the NZ ETS</w:t>
      </w:r>
      <w:r w:rsidRPr="008A6D9C">
        <w:t xml:space="preserve"> </w:t>
      </w:r>
      <w:r>
        <w:t>and low carbon price</w:t>
      </w:r>
    </w:p>
    <w:p w:rsidR="00BC5A44" w:rsidRDefault="00BC5A44" w:rsidP="00BC5A44">
      <w:pPr>
        <w:pStyle w:val="BodyText"/>
      </w:pPr>
      <w:r w:rsidRPr="0078786F">
        <w:t xml:space="preserve">Submitters commonly identified a lack of regulatory certainty as a barrier </w:t>
      </w:r>
      <w:r w:rsidRPr="00FC7CF8">
        <w:t>for invest</w:t>
      </w:r>
      <w:r w:rsidR="004F7721">
        <w:t>ing</w:t>
      </w:r>
      <w:r w:rsidRPr="00FC7CF8">
        <w:t xml:space="preserve"> in low-emissions projects and technologies</w:t>
      </w:r>
      <w:r w:rsidRPr="0078786F">
        <w:t>.</w:t>
      </w:r>
      <w:r>
        <w:t xml:space="preserve"> Several submitters noted that uncertainty around NZ ETS settings and the low carbon price had prevented long-term investment decisions in low-emissions technologies. </w:t>
      </w:r>
    </w:p>
    <w:p w:rsidR="00BC5A44" w:rsidRPr="00F751BB" w:rsidRDefault="00BC5A44" w:rsidP="00F751BB">
      <w:pPr>
        <w:pStyle w:val="BodyText"/>
        <w:ind w:left="567" w:right="567"/>
        <w:rPr>
          <w:sz w:val="21"/>
          <w:szCs w:val="21"/>
        </w:rPr>
      </w:pPr>
      <w:r w:rsidRPr="00F751BB">
        <w:rPr>
          <w:sz w:val="21"/>
          <w:szCs w:val="21"/>
        </w:rPr>
        <w:t xml:space="preserve">“…clear and durable policy settings, which encourage long-term investment pathways, and effectively result in cross-subsidisation of low-emissions projects would most likely result in efficient uptake of opportunities and technologies for reducing the emissions.” (Z Energy Limited, </w:t>
      </w:r>
      <w:r w:rsidR="00F72BD2">
        <w:rPr>
          <w:sz w:val="21"/>
          <w:szCs w:val="21"/>
        </w:rPr>
        <w:t>00079</w:t>
      </w:r>
      <w:r w:rsidRPr="00F751BB">
        <w:rPr>
          <w:sz w:val="21"/>
          <w:szCs w:val="21"/>
        </w:rPr>
        <w:t>)</w:t>
      </w:r>
    </w:p>
    <w:p w:rsidR="00BC5A44" w:rsidRDefault="00BC5A44" w:rsidP="00BC5A44">
      <w:pPr>
        <w:pStyle w:val="Heading4"/>
      </w:pPr>
      <w:r>
        <w:t>Alignment between policies</w:t>
      </w:r>
    </w:p>
    <w:p w:rsidR="00BC5A44" w:rsidRDefault="00BC5A44" w:rsidP="00BC5A44">
      <w:pPr>
        <w:pStyle w:val="BodyText"/>
      </w:pPr>
      <w:r>
        <w:t xml:space="preserve">A few submitters </w:t>
      </w:r>
      <w:r w:rsidR="00C9435C">
        <w:t xml:space="preserve">thought there should </w:t>
      </w:r>
      <w:r>
        <w:t xml:space="preserve">be </w:t>
      </w:r>
      <w:r w:rsidR="00C9435C">
        <w:t xml:space="preserve">a </w:t>
      </w:r>
      <w:r>
        <w:t xml:space="preserve">sector-by-sector analysis to identify </w:t>
      </w:r>
      <w:r w:rsidR="00C9435C">
        <w:t xml:space="preserve">any </w:t>
      </w:r>
      <w:r>
        <w:t>barriers</w:t>
      </w:r>
      <w:r w:rsidR="00C9435C">
        <w:t xml:space="preserve"> and to </w:t>
      </w:r>
      <w:r>
        <w:t xml:space="preserve">identify </w:t>
      </w:r>
      <w:r w:rsidR="00C9435C">
        <w:t xml:space="preserve">any </w:t>
      </w:r>
      <w:r>
        <w:t>issues</w:t>
      </w:r>
      <w:r w:rsidR="00C9435C">
        <w:t xml:space="preserve"> with current policies</w:t>
      </w:r>
      <w:r>
        <w:t xml:space="preserve">. </w:t>
      </w:r>
      <w:r w:rsidRPr="0078786F">
        <w:t>Some</w:t>
      </w:r>
      <w:r>
        <w:t xml:space="preserve"> submitters suggested </w:t>
      </w:r>
      <w:r w:rsidR="005726A4">
        <w:t xml:space="preserve">a </w:t>
      </w:r>
      <w:r>
        <w:t xml:space="preserve">lack of integration of climate change considerations into wider Government policy reduced the uptake of low emissions technologies. A few submitters </w:t>
      </w:r>
      <w:r w:rsidR="005726A4">
        <w:t>highlighted particular</w:t>
      </w:r>
      <w:r>
        <w:t xml:space="preserve"> issues with consenting processes and urban planning under the Resource Management Act</w:t>
      </w:r>
      <w:r w:rsidR="00F448C7">
        <w:t xml:space="preserve"> 1991</w:t>
      </w:r>
      <w:r>
        <w:t>. Other submitters noted issues with the Electricity Authority preventing investments in solar power.</w:t>
      </w:r>
    </w:p>
    <w:p w:rsidR="00BC5A44" w:rsidRPr="00F751BB" w:rsidRDefault="00BC5A44" w:rsidP="00F751BB">
      <w:pPr>
        <w:pStyle w:val="BodyText"/>
        <w:ind w:left="567" w:right="567"/>
        <w:rPr>
          <w:sz w:val="21"/>
          <w:szCs w:val="21"/>
        </w:rPr>
      </w:pPr>
      <w:r w:rsidRPr="00F751BB">
        <w:rPr>
          <w:sz w:val="21"/>
          <w:szCs w:val="21"/>
        </w:rPr>
        <w:t>“Two kinds of analysis are crucial. The first is quantitative analysis – number crunching. [b]The second is a scan of all aspects of government laws, regulations, and policies to identify barriers to reducing greenhouse gas emissions.” (</w:t>
      </w:r>
      <w:r w:rsidR="00F448C7" w:rsidRPr="00F751BB">
        <w:rPr>
          <w:sz w:val="21"/>
          <w:szCs w:val="21"/>
        </w:rPr>
        <w:t>Parliamentary</w:t>
      </w:r>
      <w:r w:rsidRPr="00F751BB">
        <w:rPr>
          <w:sz w:val="21"/>
          <w:szCs w:val="21"/>
        </w:rPr>
        <w:t xml:space="preserve"> Commissioner for the Environment, </w:t>
      </w:r>
      <w:r w:rsidR="008D7994">
        <w:rPr>
          <w:sz w:val="21"/>
          <w:szCs w:val="21"/>
        </w:rPr>
        <w:t>00047</w:t>
      </w:r>
      <w:r w:rsidRPr="00F751BB">
        <w:rPr>
          <w:sz w:val="21"/>
          <w:szCs w:val="21"/>
        </w:rPr>
        <w:t>)</w:t>
      </w:r>
    </w:p>
    <w:p w:rsidR="00BC5A44" w:rsidRDefault="00BC5A44" w:rsidP="00BC5A44">
      <w:pPr>
        <w:pStyle w:val="Heading4"/>
      </w:pPr>
      <w:r>
        <w:lastRenderedPageBreak/>
        <w:t>Transport</w:t>
      </w:r>
    </w:p>
    <w:p w:rsidR="00BC5A44" w:rsidRPr="004E2B68" w:rsidRDefault="00BC5A44" w:rsidP="00BC5A44">
      <w:pPr>
        <w:pStyle w:val="BodyText"/>
      </w:pPr>
      <w:r>
        <w:t xml:space="preserve">Many submitters commented on barriers and failures in the transport sector, with some noting that it would take a significant carbon price to impact demand for vehicle fuel. Several submitters also </w:t>
      </w:r>
      <w:r w:rsidR="00FA0867">
        <w:t xml:space="preserve">discussed </w:t>
      </w:r>
      <w:r>
        <w:t>barriers to increasing the use of electric vehicles</w:t>
      </w:r>
      <w:r w:rsidR="00FA0867">
        <w:t>,</w:t>
      </w:r>
      <w:r>
        <w:t xml:space="preserve"> such as lack of charging infrastructure.</w:t>
      </w:r>
    </w:p>
    <w:p w:rsidR="00BC5A44" w:rsidRPr="00F751BB" w:rsidRDefault="00BC5A44" w:rsidP="00F751BB">
      <w:pPr>
        <w:ind w:left="567" w:right="567"/>
        <w:rPr>
          <w:sz w:val="21"/>
          <w:szCs w:val="21"/>
        </w:rPr>
      </w:pPr>
      <w:r w:rsidRPr="00F751BB">
        <w:rPr>
          <w:sz w:val="21"/>
          <w:szCs w:val="21"/>
        </w:rPr>
        <w:t xml:space="preserve">“Transport electrification will substantially reduce our emissions while improving our balance of payments, offering significant fuel cost savings to consumers (equivalent to 30c per litre of petrol according to EECA) and reducing health related costs due to poor air quality. While an effective carbon price will assist in realising these benefits, there remain a number of non-price barriers that could be addressed to encourage electric vehicle uptake. Public electric vehicle charging infrastructure is also important to promote consumer confidence around reliability and range of electric vehicles.” (Mighty River Power, </w:t>
      </w:r>
      <w:r w:rsidR="00F72BD2">
        <w:rPr>
          <w:sz w:val="21"/>
          <w:szCs w:val="21"/>
        </w:rPr>
        <w:t>00152</w:t>
      </w:r>
      <w:r w:rsidRPr="00F751BB">
        <w:rPr>
          <w:sz w:val="21"/>
          <w:szCs w:val="21"/>
        </w:rPr>
        <w:t>)</w:t>
      </w:r>
    </w:p>
    <w:p w:rsidR="00BC5A44" w:rsidRPr="003F3D6E" w:rsidRDefault="00BC5A44" w:rsidP="00BC5A44">
      <w:pPr>
        <w:pStyle w:val="Heading4"/>
      </w:pPr>
      <w:r w:rsidRPr="003F3D6E">
        <w:t>Barriers and market failures are different for each sector</w:t>
      </w:r>
    </w:p>
    <w:p w:rsidR="00BC5A44" w:rsidRPr="003F3D6E" w:rsidRDefault="00BC5A44" w:rsidP="00BC5A44">
      <w:pPr>
        <w:rPr>
          <w:lang w:eastAsia="en-NZ"/>
        </w:rPr>
      </w:pPr>
      <w:r w:rsidRPr="003F3D6E">
        <w:rPr>
          <w:lang w:eastAsia="en-NZ"/>
        </w:rPr>
        <w:t xml:space="preserve">Across </w:t>
      </w:r>
      <w:r w:rsidR="005726A4">
        <w:rPr>
          <w:lang w:eastAsia="en-NZ"/>
        </w:rPr>
        <w:t xml:space="preserve">all </w:t>
      </w:r>
      <w:r w:rsidRPr="003F3D6E">
        <w:rPr>
          <w:lang w:eastAsia="en-NZ"/>
        </w:rPr>
        <w:t xml:space="preserve">sectors, many submitters noted </w:t>
      </w:r>
      <w:r w:rsidR="00FA0867" w:rsidRPr="003F3D6E">
        <w:rPr>
          <w:lang w:eastAsia="en-NZ"/>
        </w:rPr>
        <w:t xml:space="preserve">that </w:t>
      </w:r>
      <w:r w:rsidRPr="003F3D6E">
        <w:rPr>
          <w:lang w:eastAsia="en-NZ"/>
        </w:rPr>
        <w:t xml:space="preserve">a major barrier to reducing emissions was </w:t>
      </w:r>
      <w:r w:rsidR="00FA0867" w:rsidRPr="003F3D6E">
        <w:rPr>
          <w:lang w:eastAsia="en-NZ"/>
        </w:rPr>
        <w:t xml:space="preserve">a </w:t>
      </w:r>
      <w:r w:rsidRPr="003F3D6E">
        <w:rPr>
          <w:lang w:eastAsia="en-NZ"/>
        </w:rPr>
        <w:t>lack of viable low</w:t>
      </w:r>
      <w:r w:rsidR="00F448C7">
        <w:rPr>
          <w:lang w:eastAsia="en-NZ"/>
        </w:rPr>
        <w:t>-</w:t>
      </w:r>
      <w:r w:rsidRPr="003F3D6E">
        <w:rPr>
          <w:lang w:eastAsia="en-NZ"/>
        </w:rPr>
        <w:t>emissions alternatives in their industry. Submitters also comment</w:t>
      </w:r>
      <w:r w:rsidR="00F448C7">
        <w:rPr>
          <w:lang w:eastAsia="en-NZ"/>
        </w:rPr>
        <w:t>ed</w:t>
      </w:r>
      <w:r w:rsidRPr="003F3D6E">
        <w:rPr>
          <w:lang w:eastAsia="en-NZ"/>
        </w:rPr>
        <w:t xml:space="preserve"> on issues that were specific to their sector or </w:t>
      </w:r>
      <w:r w:rsidRPr="00F35AB4">
        <w:rPr>
          <w:lang w:eastAsia="en-NZ"/>
        </w:rPr>
        <w:t xml:space="preserve">business.  Examples </w:t>
      </w:r>
      <w:r w:rsidR="007312D7" w:rsidRPr="00F35AB4">
        <w:rPr>
          <w:lang w:eastAsia="en-NZ"/>
        </w:rPr>
        <w:t xml:space="preserve">of sector-specific barriers </w:t>
      </w:r>
      <w:r w:rsidRPr="00F35AB4">
        <w:rPr>
          <w:lang w:eastAsia="en-NZ"/>
        </w:rPr>
        <w:t>include</w:t>
      </w:r>
      <w:r w:rsidR="005726A4" w:rsidRPr="00F35AB4">
        <w:rPr>
          <w:lang w:eastAsia="en-NZ"/>
        </w:rPr>
        <w:t>d</w:t>
      </w:r>
      <w:r w:rsidRPr="00F35AB4">
        <w:rPr>
          <w:lang w:eastAsia="en-NZ"/>
        </w:rPr>
        <w:t xml:space="preserve"> issues with the pricing of distributed electricity generation, which could impact the uptake of solar electricity generation; </w:t>
      </w:r>
      <w:r w:rsidR="00FA0867" w:rsidRPr="00F35AB4">
        <w:rPr>
          <w:lang w:eastAsia="en-NZ"/>
        </w:rPr>
        <w:t xml:space="preserve">expensive </w:t>
      </w:r>
      <w:r w:rsidRPr="00F35AB4">
        <w:rPr>
          <w:lang w:eastAsia="en-NZ"/>
        </w:rPr>
        <w:t>approval processes for new, lower emission</w:t>
      </w:r>
      <w:r w:rsidR="00FA0867" w:rsidRPr="00F35AB4">
        <w:rPr>
          <w:lang w:eastAsia="en-NZ"/>
        </w:rPr>
        <w:t>s</w:t>
      </w:r>
      <w:r w:rsidRPr="00F35AB4">
        <w:rPr>
          <w:lang w:eastAsia="en-NZ"/>
        </w:rPr>
        <w:t xml:space="preserve"> chemicals; </w:t>
      </w:r>
      <w:r w:rsidR="00FA0867" w:rsidRPr="00F35AB4">
        <w:rPr>
          <w:lang w:eastAsia="en-NZ"/>
        </w:rPr>
        <w:t xml:space="preserve">and </w:t>
      </w:r>
      <w:r w:rsidRPr="00F35AB4">
        <w:rPr>
          <w:lang w:eastAsia="en-NZ"/>
        </w:rPr>
        <w:t>unintended consequences of waste regulations.</w:t>
      </w:r>
    </w:p>
    <w:p w:rsidR="00BC5A44" w:rsidRDefault="00BC5A44" w:rsidP="00BC5A44">
      <w:pPr>
        <w:pStyle w:val="BodyText"/>
      </w:pPr>
      <w:r>
        <w:t xml:space="preserve">Some submitters also noted that a lack of funding, </w:t>
      </w:r>
      <w:r w:rsidR="00B84B5C">
        <w:t xml:space="preserve">from </w:t>
      </w:r>
      <w:r>
        <w:t xml:space="preserve">both </w:t>
      </w:r>
      <w:r w:rsidR="00F448C7">
        <w:t>G</w:t>
      </w:r>
      <w:r>
        <w:t xml:space="preserve">overnment and business, meant </w:t>
      </w:r>
      <w:r w:rsidR="00B84B5C">
        <w:t xml:space="preserve">investments were not being made in </w:t>
      </w:r>
      <w:r>
        <w:t xml:space="preserve">new </w:t>
      </w:r>
      <w:r w:rsidR="00B84B5C">
        <w:t>low</w:t>
      </w:r>
      <w:r w:rsidR="00F448C7">
        <w:t>-</w:t>
      </w:r>
      <w:r w:rsidR="00B84B5C">
        <w:t xml:space="preserve">emissions </w:t>
      </w:r>
      <w:r>
        <w:t xml:space="preserve">technologies. Some submitters also noted there was a lack of expertise in New Zealand </w:t>
      </w:r>
      <w:r w:rsidR="00F448C7">
        <w:t xml:space="preserve">that </w:t>
      </w:r>
      <w:r>
        <w:t xml:space="preserve">meant opportunities for reducing emissions were not being taken advantage of. </w:t>
      </w:r>
    </w:p>
    <w:p w:rsidR="00BC5A44" w:rsidRPr="00F751BB" w:rsidRDefault="00BC5A44" w:rsidP="00F751BB">
      <w:pPr>
        <w:ind w:left="567" w:right="567"/>
        <w:rPr>
          <w:rFonts w:cs="Times New Roman"/>
          <w:color w:val="000000"/>
          <w:sz w:val="21"/>
          <w:szCs w:val="21"/>
          <w:lang w:eastAsia="en-NZ"/>
        </w:rPr>
      </w:pPr>
      <w:r w:rsidRPr="00F751BB">
        <w:rPr>
          <w:rFonts w:cs="Times New Roman"/>
          <w:color w:val="000000"/>
          <w:sz w:val="21"/>
          <w:szCs w:val="21"/>
          <w:lang w:eastAsia="en-NZ"/>
        </w:rPr>
        <w:t xml:space="preserve">“The ETS drives carbon reduction, but there is no market incentive to research alternative opportunities for carbon sequestration (e.g., riparian planting, biochar). As a reflection of the NZ ETS design, </w:t>
      </w:r>
      <w:proofErr w:type="spellStart"/>
      <w:r w:rsidRPr="00F751BB">
        <w:rPr>
          <w:rFonts w:cs="Times New Roman"/>
          <w:color w:val="000000"/>
          <w:sz w:val="21"/>
          <w:szCs w:val="21"/>
          <w:lang w:eastAsia="en-NZ"/>
        </w:rPr>
        <w:t>Ballance</w:t>
      </w:r>
      <w:proofErr w:type="spellEnd"/>
      <w:r w:rsidRPr="00F751BB">
        <w:rPr>
          <w:rFonts w:cs="Times New Roman"/>
          <w:color w:val="000000"/>
          <w:sz w:val="21"/>
          <w:szCs w:val="21"/>
          <w:lang w:eastAsia="en-NZ"/>
        </w:rPr>
        <w:t xml:space="preserve"> undertakes limited research into greenhouse gas emission reductions through the agriculture sector. This is because the current scheme design provides no market incentive to invest in the significant opportunities of carbon soil sinks or nitrous oxide reduction through inhibitors.” (</w:t>
      </w:r>
      <w:proofErr w:type="spellStart"/>
      <w:r w:rsidRPr="00F751BB">
        <w:rPr>
          <w:rFonts w:cs="Times New Roman"/>
          <w:color w:val="000000"/>
          <w:sz w:val="21"/>
          <w:szCs w:val="21"/>
          <w:lang w:eastAsia="en-NZ"/>
        </w:rPr>
        <w:t>Bal</w:t>
      </w:r>
      <w:r w:rsidR="008D7994">
        <w:rPr>
          <w:rFonts w:cs="Times New Roman"/>
          <w:color w:val="000000"/>
          <w:sz w:val="21"/>
          <w:szCs w:val="21"/>
          <w:lang w:eastAsia="en-NZ"/>
        </w:rPr>
        <w:t>l</w:t>
      </w:r>
      <w:r w:rsidRPr="00F751BB">
        <w:rPr>
          <w:rFonts w:cs="Times New Roman"/>
          <w:color w:val="000000"/>
          <w:sz w:val="21"/>
          <w:szCs w:val="21"/>
          <w:lang w:eastAsia="en-NZ"/>
        </w:rPr>
        <w:t>ance</w:t>
      </w:r>
      <w:proofErr w:type="spellEnd"/>
      <w:r w:rsidRPr="00F751BB">
        <w:rPr>
          <w:rFonts w:cs="Times New Roman"/>
          <w:color w:val="000000"/>
          <w:sz w:val="21"/>
          <w:szCs w:val="21"/>
          <w:lang w:eastAsia="en-NZ"/>
        </w:rPr>
        <w:t xml:space="preserve"> </w:t>
      </w:r>
      <w:proofErr w:type="spellStart"/>
      <w:r w:rsidRPr="00F751BB">
        <w:rPr>
          <w:rFonts w:cs="Times New Roman"/>
          <w:color w:val="000000"/>
          <w:sz w:val="21"/>
          <w:szCs w:val="21"/>
          <w:lang w:eastAsia="en-NZ"/>
        </w:rPr>
        <w:t>Agrinutrients</w:t>
      </w:r>
      <w:proofErr w:type="spellEnd"/>
      <w:r w:rsidRPr="00F751BB">
        <w:rPr>
          <w:rFonts w:cs="Times New Roman"/>
          <w:color w:val="000000"/>
          <w:sz w:val="21"/>
          <w:szCs w:val="21"/>
          <w:lang w:eastAsia="en-NZ"/>
        </w:rPr>
        <w:t xml:space="preserve">, </w:t>
      </w:r>
      <w:r w:rsidR="007B7E74" w:rsidRPr="007B7E74">
        <w:rPr>
          <w:sz w:val="21"/>
          <w:szCs w:val="21"/>
        </w:rPr>
        <w:t>00074</w:t>
      </w:r>
      <w:r w:rsidRPr="00F751BB">
        <w:rPr>
          <w:rFonts w:cs="Times New Roman"/>
          <w:color w:val="000000"/>
          <w:sz w:val="21"/>
          <w:szCs w:val="21"/>
          <w:lang w:eastAsia="en-NZ"/>
        </w:rPr>
        <w:t>)</w:t>
      </w:r>
    </w:p>
    <w:p w:rsidR="00BC5A44" w:rsidRPr="00D7278F" w:rsidRDefault="00F4185E" w:rsidP="00D7278F">
      <w:pPr>
        <w:pStyle w:val="Tableheading"/>
      </w:pPr>
      <w:bookmarkStart w:id="77" w:name="_Toc463270175"/>
      <w:r>
        <w:t>Table 11</w:t>
      </w:r>
      <w:r w:rsidR="00BC5A44" w:rsidRPr="00F4185E">
        <w:t>:</w:t>
      </w:r>
      <w:r w:rsidR="00BC5A44" w:rsidRPr="00D7278F">
        <w:t xml:space="preserve"> </w:t>
      </w:r>
      <w:r w:rsidR="00BC5A44" w:rsidRPr="00D7278F">
        <w:tab/>
      </w:r>
      <w:r w:rsidR="00B556C0">
        <w:t>Submitter</w:t>
      </w:r>
      <w:r w:rsidR="00BC5A44" w:rsidRPr="00B556C0">
        <w:t xml:space="preserve"> positions</w:t>
      </w:r>
      <w:r w:rsidR="00BC5A44" w:rsidRPr="00D7278F">
        <w:t xml:space="preserve"> – </w:t>
      </w:r>
      <w:r w:rsidR="00B556C0" w:rsidRPr="00D7278F">
        <w:rPr>
          <w:i/>
        </w:rPr>
        <w:t>Are there any barriers or market failures that will prevent the efficient uptake of opportunities and technologies for reducing emissions?</w:t>
      </w:r>
      <w:bookmarkEnd w:id="77"/>
    </w:p>
    <w:tbl>
      <w:tblPr>
        <w:tblW w:w="9229" w:type="dxa"/>
        <w:tblInd w:w="93" w:type="dxa"/>
        <w:tblLayout w:type="fixed"/>
        <w:tblLook w:val="04A0" w:firstRow="1" w:lastRow="0" w:firstColumn="1" w:lastColumn="0" w:noHBand="0" w:noVBand="1"/>
      </w:tblPr>
      <w:tblGrid>
        <w:gridCol w:w="3326"/>
        <w:gridCol w:w="1475"/>
        <w:gridCol w:w="1476"/>
        <w:gridCol w:w="1476"/>
        <w:gridCol w:w="1476"/>
      </w:tblGrid>
      <w:tr w:rsidR="00404182" w:rsidRPr="00C76622" w:rsidTr="005F5A37">
        <w:trPr>
          <w:trHeight w:val="300"/>
          <w:tblHeader/>
        </w:trPr>
        <w:tc>
          <w:tcPr>
            <w:tcW w:w="3326" w:type="dxa"/>
            <w:tcBorders>
              <w:top w:val="nil"/>
              <w:left w:val="nil"/>
              <w:bottom w:val="single" w:sz="4" w:space="0" w:color="005984"/>
              <w:right w:val="single" w:sz="4" w:space="0" w:color="005984"/>
            </w:tcBorders>
            <w:shd w:val="clear" w:color="auto" w:fill="auto"/>
            <w:noWrap/>
            <w:vAlign w:val="center"/>
            <w:hideMark/>
          </w:tcPr>
          <w:p w:rsidR="00404182" w:rsidRPr="00C76622" w:rsidRDefault="00404182" w:rsidP="00451A30">
            <w:pPr>
              <w:pStyle w:val="TableTextbold"/>
              <w:rPr>
                <w:lang w:eastAsia="en-NZ"/>
              </w:rPr>
            </w:pPr>
          </w:p>
        </w:tc>
        <w:tc>
          <w:tcPr>
            <w:tcW w:w="1475"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404182" w:rsidRPr="00C76622" w:rsidRDefault="00404182" w:rsidP="00451A30">
            <w:pPr>
              <w:pStyle w:val="TableTextbold"/>
              <w:jc w:val="center"/>
              <w:rPr>
                <w:color w:val="FFFFFF"/>
                <w:lang w:eastAsia="en-NZ"/>
              </w:rPr>
            </w:pPr>
            <w:r w:rsidRPr="00C76622">
              <w:rPr>
                <w:color w:val="FFFFFF"/>
                <w:lang w:eastAsia="en-NZ"/>
              </w:rPr>
              <w:t>Yes</w:t>
            </w:r>
          </w:p>
        </w:tc>
        <w:tc>
          <w:tcPr>
            <w:tcW w:w="1476"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404182" w:rsidRPr="00C76622" w:rsidRDefault="00404182" w:rsidP="00451A30">
            <w:pPr>
              <w:pStyle w:val="TableTextbold"/>
              <w:jc w:val="center"/>
              <w:rPr>
                <w:color w:val="FFFFFF"/>
                <w:lang w:eastAsia="en-NZ"/>
              </w:rPr>
            </w:pPr>
            <w:r w:rsidRPr="00C76622">
              <w:rPr>
                <w:color w:val="FFFFFF"/>
                <w:lang w:eastAsia="en-NZ"/>
              </w:rPr>
              <w:t>No</w:t>
            </w:r>
          </w:p>
        </w:tc>
        <w:tc>
          <w:tcPr>
            <w:tcW w:w="1476" w:type="dxa"/>
            <w:tcBorders>
              <w:top w:val="single" w:sz="4" w:space="0" w:color="005984"/>
              <w:left w:val="single" w:sz="4" w:space="0" w:color="005984"/>
              <w:bottom w:val="single" w:sz="4" w:space="0" w:color="005984"/>
            </w:tcBorders>
            <w:shd w:val="clear" w:color="auto" w:fill="005984"/>
            <w:noWrap/>
            <w:vAlign w:val="center"/>
            <w:hideMark/>
          </w:tcPr>
          <w:p w:rsidR="00404182" w:rsidRPr="00C76622" w:rsidRDefault="00404182" w:rsidP="00451A30">
            <w:pPr>
              <w:pStyle w:val="TableTextbold"/>
              <w:jc w:val="center"/>
              <w:rPr>
                <w:color w:val="FFFFFF"/>
                <w:lang w:eastAsia="en-NZ"/>
              </w:rPr>
            </w:pPr>
            <w:r w:rsidRPr="00C76622">
              <w:rPr>
                <w:color w:val="FFFFFF"/>
                <w:lang w:eastAsia="en-NZ"/>
              </w:rPr>
              <w:t>Unsure</w:t>
            </w:r>
            <w:r w:rsidR="00451A30">
              <w:rPr>
                <w:color w:val="FFFFFF"/>
                <w:lang w:eastAsia="en-NZ"/>
              </w:rPr>
              <w:t xml:space="preserve"> / </w:t>
            </w:r>
            <w:r w:rsidR="00CF228E">
              <w:rPr>
                <w:color w:val="FFFFFF"/>
                <w:lang w:eastAsia="en-NZ"/>
              </w:rPr>
              <w:t>U</w:t>
            </w:r>
            <w:r>
              <w:rPr>
                <w:color w:val="FFFFFF"/>
                <w:lang w:eastAsia="en-NZ"/>
              </w:rPr>
              <w:t>nclear</w:t>
            </w:r>
          </w:p>
        </w:tc>
        <w:tc>
          <w:tcPr>
            <w:tcW w:w="1476" w:type="dxa"/>
            <w:tcBorders>
              <w:top w:val="single" w:sz="4" w:space="0" w:color="005984"/>
              <w:left w:val="single" w:sz="4" w:space="0" w:color="005984"/>
              <w:bottom w:val="single" w:sz="4" w:space="0" w:color="005984"/>
            </w:tcBorders>
            <w:shd w:val="clear" w:color="auto" w:fill="005984"/>
            <w:vAlign w:val="center"/>
          </w:tcPr>
          <w:p w:rsidR="00404182" w:rsidRPr="00C76622" w:rsidRDefault="00404182" w:rsidP="00451A30">
            <w:pPr>
              <w:pStyle w:val="TableTextbold"/>
              <w:jc w:val="center"/>
              <w:rPr>
                <w:color w:val="FFFFFF"/>
                <w:lang w:eastAsia="en-NZ"/>
              </w:rPr>
            </w:pPr>
            <w:r w:rsidRPr="00C76622">
              <w:rPr>
                <w:color w:val="FFFFFF"/>
                <w:lang w:eastAsia="en-NZ"/>
              </w:rPr>
              <w:t>Total</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647AFD" w:rsidRPr="00C76622" w:rsidRDefault="00647AFD" w:rsidP="00451A30">
            <w:pPr>
              <w:pStyle w:val="TableText"/>
              <w:spacing w:before="0" w:after="0"/>
              <w:rPr>
                <w:lang w:eastAsia="en-NZ"/>
              </w:rPr>
            </w:pPr>
            <w:r w:rsidRPr="00C76622">
              <w:rPr>
                <w:lang w:eastAsia="en-NZ"/>
              </w:rPr>
              <w:t>Agriculture</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7</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0</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7</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647AFD" w:rsidRPr="00C76622" w:rsidRDefault="00647AFD" w:rsidP="00451A30">
            <w:pPr>
              <w:pStyle w:val="TableText"/>
              <w:spacing w:before="0" w:after="0"/>
              <w:rPr>
                <w:lang w:eastAsia="en-NZ"/>
              </w:rPr>
            </w:pPr>
            <w:r w:rsidRPr="00C76622">
              <w:rPr>
                <w:lang w:eastAsia="en-NZ"/>
              </w:rPr>
              <w:t>Business groups</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5</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0</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5</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647AFD" w:rsidRPr="00C76622" w:rsidRDefault="00647AFD" w:rsidP="00451A30">
            <w:pPr>
              <w:pStyle w:val="TableText"/>
              <w:spacing w:before="0" w:after="0"/>
              <w:rPr>
                <w:lang w:eastAsia="en-NZ"/>
              </w:rPr>
            </w:pPr>
            <w:r w:rsidRPr="00C76622">
              <w:rPr>
                <w:lang w:eastAsia="en-NZ"/>
              </w:rPr>
              <w:t>Electricity</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5</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2</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7</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rPr>
                <w:lang w:eastAsia="en-NZ"/>
              </w:rPr>
            </w:pPr>
            <w:r w:rsidRPr="00C76622">
              <w:rPr>
                <w:lang w:eastAsia="en-NZ"/>
              </w:rPr>
              <w:t>Forestry</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18</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3</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21</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647AFD" w:rsidRPr="00C76622" w:rsidRDefault="00647AFD" w:rsidP="00451A30">
            <w:pPr>
              <w:pStyle w:val="TableText"/>
              <w:spacing w:before="0" w:after="0"/>
              <w:rPr>
                <w:lang w:eastAsia="en-NZ"/>
              </w:rPr>
            </w:pPr>
            <w:r w:rsidRPr="00C76622">
              <w:rPr>
                <w:lang w:eastAsia="en-NZ"/>
              </w:rPr>
              <w:t>Individual</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16</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1</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3</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20</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rPr>
                <w:lang w:eastAsia="en-NZ"/>
              </w:rPr>
            </w:pPr>
            <w:r w:rsidRPr="00C76622">
              <w:rPr>
                <w:lang w:eastAsia="en-NZ"/>
              </w:rPr>
              <w:t>Industrial processors</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4</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3</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7</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rPr>
                <w:lang w:eastAsia="en-NZ"/>
              </w:rPr>
            </w:pPr>
            <w:r w:rsidRPr="00C76622">
              <w:rPr>
                <w:lang w:eastAsia="en-NZ"/>
              </w:rPr>
              <w:t>Iwi/Māori</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2</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1</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3</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6</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rPr>
                <w:lang w:eastAsia="en-NZ"/>
              </w:rPr>
            </w:pPr>
            <w:r w:rsidRPr="00C76622">
              <w:rPr>
                <w:lang w:eastAsia="en-NZ"/>
              </w:rPr>
              <w:t xml:space="preserve">Liquid fossil fuels </w:t>
            </w:r>
            <w:r>
              <w:rPr>
                <w:lang w:eastAsia="en-NZ"/>
              </w:rPr>
              <w:t>(transport)</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2</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3</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5</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647AFD" w:rsidRPr="00C76622" w:rsidRDefault="00647AFD" w:rsidP="00451A30">
            <w:pPr>
              <w:pStyle w:val="TableText"/>
              <w:spacing w:before="0" w:after="0"/>
              <w:rPr>
                <w:lang w:eastAsia="en-NZ"/>
              </w:rPr>
            </w:pPr>
            <w:r w:rsidRPr="00C76622">
              <w:rPr>
                <w:lang w:eastAsia="en-NZ"/>
              </w:rPr>
              <w:t>Local government</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3</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1</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4</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rPr>
                <w:lang w:eastAsia="en-NZ"/>
              </w:rPr>
            </w:pPr>
            <w:r w:rsidRPr="00C76622">
              <w:rPr>
                <w:lang w:eastAsia="en-NZ"/>
              </w:rPr>
              <w:t>NGO and community groups</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6</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0</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6</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647AFD" w:rsidRPr="00C76622" w:rsidRDefault="00647AFD" w:rsidP="00451A30">
            <w:pPr>
              <w:pStyle w:val="TableText"/>
              <w:spacing w:before="0" w:after="0"/>
              <w:rPr>
                <w:lang w:eastAsia="en-NZ"/>
              </w:rPr>
            </w:pPr>
            <w:r w:rsidRPr="00C76622">
              <w:rPr>
                <w:lang w:eastAsia="en-NZ"/>
              </w:rPr>
              <w:lastRenderedPageBreak/>
              <w:t>Research and tertiary organisations</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5</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0</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5</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rPr>
                <w:lang w:eastAsia="en-NZ"/>
              </w:rPr>
            </w:pPr>
            <w:r w:rsidRPr="00C76622">
              <w:rPr>
                <w:lang w:eastAsia="en-NZ"/>
              </w:rPr>
              <w:t xml:space="preserve">Stationary energy </w:t>
            </w:r>
            <w:r>
              <w:rPr>
                <w:lang w:eastAsia="en-NZ"/>
              </w:rPr>
              <w:t>(excluding electricity)</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2</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2</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4</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647AFD" w:rsidRPr="00C76622" w:rsidRDefault="00647AFD" w:rsidP="00451A30">
            <w:pPr>
              <w:pStyle w:val="TableText"/>
              <w:spacing w:before="0" w:after="0"/>
              <w:rPr>
                <w:lang w:eastAsia="en-NZ"/>
              </w:rPr>
            </w:pPr>
            <w:r w:rsidRPr="00C76622">
              <w:rPr>
                <w:lang w:eastAsia="en-NZ"/>
              </w:rPr>
              <w:t>Waste sector</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8</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0</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8</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647AFD" w:rsidRPr="00C76622" w:rsidRDefault="00647AFD" w:rsidP="00451A30">
            <w:pPr>
              <w:pStyle w:val="TableText"/>
              <w:spacing w:before="0" w:after="0"/>
              <w:rPr>
                <w:lang w:eastAsia="en-NZ"/>
              </w:rPr>
            </w:pPr>
            <w:r w:rsidRPr="00C76622">
              <w:rPr>
                <w:lang w:eastAsia="en-NZ"/>
              </w:rPr>
              <w:t>Wood processors</w:t>
            </w:r>
            <w:r>
              <w:rPr>
                <w:lang w:eastAsia="en-NZ"/>
              </w:rPr>
              <w:t xml:space="preserve"> and manufacturers</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1</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1</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2</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rPr>
                <w:lang w:eastAsia="en-NZ"/>
              </w:rPr>
            </w:pPr>
            <w:r w:rsidRPr="00C76622">
              <w:rPr>
                <w:lang w:eastAsia="en-NZ"/>
              </w:rPr>
              <w:t>Other</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10</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C76622" w:rsidRDefault="00647AFD" w:rsidP="00451A30">
            <w:pPr>
              <w:pStyle w:val="TableText"/>
              <w:spacing w:before="0" w:after="0"/>
              <w:jc w:val="center"/>
              <w:rPr>
                <w:lang w:eastAsia="en-NZ"/>
              </w:rPr>
            </w:pPr>
            <w:r>
              <w:rPr>
                <w:lang w:eastAsia="en-NZ"/>
              </w:rPr>
              <w:t>0</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sz w:val="18"/>
                <w:szCs w:val="18"/>
                <w:lang w:eastAsia="en-NZ"/>
              </w:rPr>
            </w:pPr>
            <w:r w:rsidRPr="00451A30">
              <w:rPr>
                <w:sz w:val="18"/>
                <w:szCs w:val="18"/>
                <w:lang w:eastAsia="en-NZ"/>
              </w:rPr>
              <w:t>1</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sz w:val="18"/>
                <w:szCs w:val="18"/>
                <w:lang w:eastAsia="en-NZ"/>
              </w:rPr>
            </w:pPr>
            <w:r w:rsidRPr="00451A30">
              <w:rPr>
                <w:sz w:val="18"/>
                <w:szCs w:val="18"/>
                <w:lang w:eastAsia="en-NZ"/>
              </w:rPr>
              <w:t>11</w:t>
            </w:r>
          </w:p>
        </w:tc>
      </w:tr>
      <w:tr w:rsidR="00647AFD" w:rsidRPr="00451A30" w:rsidTr="00451A30">
        <w:trPr>
          <w:trHeight w:val="300"/>
        </w:trPr>
        <w:tc>
          <w:tcPr>
            <w:tcW w:w="3326" w:type="dxa"/>
            <w:tcBorders>
              <w:top w:val="single" w:sz="4" w:space="0" w:color="005984"/>
              <w:bottom w:val="single" w:sz="4" w:space="0" w:color="005984"/>
              <w:right w:val="single" w:sz="4" w:space="0" w:color="005984"/>
            </w:tcBorders>
            <w:shd w:val="clear" w:color="auto" w:fill="auto"/>
            <w:noWrap/>
            <w:vAlign w:val="center"/>
            <w:hideMark/>
          </w:tcPr>
          <w:p w:rsidR="00647AFD" w:rsidRPr="00451A30" w:rsidRDefault="00647AFD" w:rsidP="00451A30">
            <w:pPr>
              <w:pStyle w:val="TableText"/>
              <w:spacing w:before="0" w:after="0"/>
              <w:rPr>
                <w:b/>
                <w:lang w:eastAsia="en-NZ"/>
              </w:rPr>
            </w:pPr>
            <w:r w:rsidRPr="00451A30">
              <w:rPr>
                <w:b/>
                <w:lang w:eastAsia="en-NZ"/>
              </w:rPr>
              <w:t>TOTAL</w:t>
            </w:r>
          </w:p>
        </w:tc>
        <w:tc>
          <w:tcPr>
            <w:tcW w:w="1475"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spacing w:before="0" w:after="0"/>
              <w:jc w:val="center"/>
              <w:rPr>
                <w:b/>
                <w:sz w:val="18"/>
                <w:szCs w:val="18"/>
                <w:lang w:eastAsia="en-NZ"/>
              </w:rPr>
            </w:pPr>
            <w:r w:rsidRPr="00451A30">
              <w:rPr>
                <w:b/>
                <w:sz w:val="18"/>
                <w:szCs w:val="18"/>
                <w:lang w:eastAsia="en-NZ"/>
              </w:rPr>
              <w:t>94</w:t>
            </w:r>
          </w:p>
        </w:tc>
        <w:tc>
          <w:tcPr>
            <w:tcW w:w="1476" w:type="dxa"/>
            <w:tcBorders>
              <w:top w:val="single" w:sz="4" w:space="0" w:color="005984"/>
              <w:left w:val="single" w:sz="4" w:space="0" w:color="005984"/>
              <w:bottom w:val="single" w:sz="4" w:space="0" w:color="005984"/>
              <w:right w:val="single" w:sz="4" w:space="0" w:color="005984"/>
            </w:tcBorders>
            <w:shd w:val="clear" w:color="auto" w:fill="auto"/>
            <w:noWrap/>
            <w:vAlign w:val="center"/>
          </w:tcPr>
          <w:p w:rsidR="00647AFD" w:rsidRPr="00451A30" w:rsidRDefault="00647AFD" w:rsidP="00451A30">
            <w:pPr>
              <w:pStyle w:val="TableText"/>
              <w:spacing w:before="0" w:after="0"/>
              <w:jc w:val="center"/>
              <w:rPr>
                <w:b/>
                <w:lang w:eastAsia="en-NZ"/>
              </w:rPr>
            </w:pPr>
            <w:r w:rsidRPr="00451A30">
              <w:rPr>
                <w:b/>
                <w:lang w:eastAsia="en-NZ"/>
              </w:rPr>
              <w:t>2</w:t>
            </w:r>
          </w:p>
        </w:tc>
        <w:tc>
          <w:tcPr>
            <w:tcW w:w="1476" w:type="dxa"/>
            <w:tcBorders>
              <w:top w:val="single" w:sz="4" w:space="0" w:color="005984"/>
              <w:left w:val="single" w:sz="4" w:space="0" w:color="005984"/>
              <w:bottom w:val="single" w:sz="4" w:space="0" w:color="005984"/>
            </w:tcBorders>
            <w:shd w:val="clear" w:color="auto" w:fill="auto"/>
            <w:noWrap/>
            <w:vAlign w:val="center"/>
          </w:tcPr>
          <w:p w:rsidR="00647AFD" w:rsidRPr="00451A30" w:rsidRDefault="00647AFD" w:rsidP="00451A30">
            <w:pPr>
              <w:spacing w:before="0" w:after="0"/>
              <w:jc w:val="center"/>
              <w:rPr>
                <w:b/>
                <w:sz w:val="18"/>
                <w:szCs w:val="18"/>
                <w:lang w:eastAsia="en-NZ"/>
              </w:rPr>
            </w:pPr>
            <w:r w:rsidRPr="00451A30">
              <w:rPr>
                <w:b/>
                <w:sz w:val="18"/>
                <w:szCs w:val="18"/>
                <w:lang w:eastAsia="en-NZ"/>
              </w:rPr>
              <w:t>22</w:t>
            </w:r>
          </w:p>
        </w:tc>
        <w:tc>
          <w:tcPr>
            <w:tcW w:w="1476" w:type="dxa"/>
            <w:tcBorders>
              <w:top w:val="single" w:sz="4" w:space="0" w:color="005984"/>
              <w:left w:val="single" w:sz="4" w:space="0" w:color="005984"/>
              <w:bottom w:val="single" w:sz="4" w:space="0" w:color="005984"/>
            </w:tcBorders>
            <w:vAlign w:val="center"/>
          </w:tcPr>
          <w:p w:rsidR="00647AFD" w:rsidRPr="00451A30" w:rsidRDefault="00647AFD" w:rsidP="00451A30">
            <w:pPr>
              <w:spacing w:before="0" w:after="0"/>
              <w:jc w:val="center"/>
              <w:rPr>
                <w:b/>
                <w:sz w:val="18"/>
                <w:szCs w:val="18"/>
                <w:lang w:eastAsia="en-NZ"/>
              </w:rPr>
            </w:pPr>
            <w:r w:rsidRPr="00451A30">
              <w:rPr>
                <w:b/>
                <w:sz w:val="18"/>
                <w:szCs w:val="18"/>
                <w:lang w:eastAsia="en-NZ"/>
              </w:rPr>
              <w:t>118</w:t>
            </w:r>
          </w:p>
        </w:tc>
      </w:tr>
    </w:tbl>
    <w:p w:rsidR="00BC5A44" w:rsidRPr="008E7EE7" w:rsidRDefault="00BC5A44" w:rsidP="00113656">
      <w:pPr>
        <w:pStyle w:val="Figureheading"/>
        <w:spacing w:before="240"/>
        <w:rPr>
          <w:color w:val="FF0000"/>
        </w:rPr>
      </w:pPr>
      <w:bookmarkStart w:id="78" w:name="_Toc462814471"/>
      <w:r w:rsidRPr="00C76622">
        <w:t xml:space="preserve">Figure </w:t>
      </w:r>
      <w:r w:rsidR="00AD5B83">
        <w:t>10</w:t>
      </w:r>
      <w:r w:rsidRPr="00C76622">
        <w:t xml:space="preserve">: </w:t>
      </w:r>
      <w:r w:rsidRPr="00C76622">
        <w:tab/>
      </w:r>
      <w:r>
        <w:rPr>
          <w:i/>
        </w:rPr>
        <w:t>Are there any barriers or market failures that will prevent the efficient uptake of opportunities and technologies for reducing emissions</w:t>
      </w:r>
      <w:r w:rsidR="00F448C7">
        <w:rPr>
          <w:i/>
        </w:rPr>
        <w:t>?</w:t>
      </w:r>
      <w:bookmarkEnd w:id="78"/>
    </w:p>
    <w:p w:rsidR="00BC5A44" w:rsidRDefault="00095739" w:rsidP="00113656">
      <w:pPr>
        <w:pStyle w:val="BodyText"/>
        <w:jc w:val="center"/>
      </w:pPr>
      <w:r>
        <w:rPr>
          <w:noProof/>
          <w:lang w:eastAsia="en-NZ"/>
        </w:rPr>
        <w:drawing>
          <wp:inline distT="0" distB="0" distL="0" distR="0" wp14:anchorId="00A1E69D">
            <wp:extent cx="5407660" cy="274955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7660" cy="2749550"/>
                    </a:xfrm>
                    <a:prstGeom prst="rect">
                      <a:avLst/>
                    </a:prstGeom>
                    <a:noFill/>
                  </pic:spPr>
                </pic:pic>
              </a:graphicData>
            </a:graphic>
          </wp:inline>
        </w:drawing>
      </w:r>
    </w:p>
    <w:p w:rsidR="00BC5A44" w:rsidRDefault="00BC5A44" w:rsidP="00BC5A44">
      <w:pPr>
        <w:pStyle w:val="Heading2"/>
        <w:spacing w:before="240"/>
      </w:pPr>
      <w:bookmarkStart w:id="79" w:name="_Toc463270149"/>
      <w:r>
        <w:t>9.2</w:t>
      </w:r>
      <w:r>
        <w:tab/>
        <w:t xml:space="preserve">If so, is there a role for the Government in addressing these barriers of market </w:t>
      </w:r>
      <w:r w:rsidR="00B84B5C">
        <w:t>f</w:t>
      </w:r>
      <w:r>
        <w:t>ailures and how should it do this? (Question 27)</w:t>
      </w:r>
      <w:bookmarkEnd w:id="79"/>
    </w:p>
    <w:p w:rsidR="00BC5A44" w:rsidRPr="008E7EE7" w:rsidRDefault="00BC5A44" w:rsidP="00BC5A44">
      <w:r>
        <w:t xml:space="preserve">One hundred and nine submitters (around 30 </w:t>
      </w:r>
      <w:r w:rsidR="008E24E1">
        <w:t>per cent</w:t>
      </w:r>
      <w:r>
        <w:t xml:space="preserve">) answered this question. Only four submitters </w:t>
      </w:r>
      <w:r w:rsidR="00B84B5C">
        <w:t xml:space="preserve">commented </w:t>
      </w:r>
      <w:r>
        <w:t xml:space="preserve">that there was no role for the </w:t>
      </w:r>
      <w:r w:rsidR="00F448C7">
        <w:t>G</w:t>
      </w:r>
      <w:r>
        <w:t xml:space="preserve">overnment in addressing barriers and failures. </w:t>
      </w:r>
    </w:p>
    <w:p w:rsidR="00BC5A44" w:rsidRDefault="00BC5A44" w:rsidP="00BC5A44">
      <w:pPr>
        <w:pStyle w:val="Heading4"/>
      </w:pPr>
      <w:r>
        <w:t>Incentivise low emissions technologies</w:t>
      </w:r>
    </w:p>
    <w:p w:rsidR="00BC5A44" w:rsidRDefault="00BC5A44" w:rsidP="00BC5A44">
      <w:pPr>
        <w:pStyle w:val="BodyText"/>
      </w:pPr>
      <w:r>
        <w:t xml:space="preserve">Submitters commonly noted that the most important role for </w:t>
      </w:r>
      <w:r w:rsidR="00F448C7">
        <w:t>G</w:t>
      </w:r>
      <w:r>
        <w:t>overnment in addressing market barriers and failures is to incentivise low</w:t>
      </w:r>
      <w:r w:rsidR="00F448C7">
        <w:t>-</w:t>
      </w:r>
      <w:r>
        <w:t xml:space="preserve">emissions technologies. Several submitters also </w:t>
      </w:r>
      <w:r w:rsidR="00745C31">
        <w:t>thought</w:t>
      </w:r>
      <w:r>
        <w:t xml:space="preserve"> that the </w:t>
      </w:r>
      <w:r w:rsidR="00745C31">
        <w:t>G</w:t>
      </w:r>
      <w:r>
        <w:t xml:space="preserve">overnment should provide more funding </w:t>
      </w:r>
      <w:r w:rsidR="00745C31">
        <w:t>for</w:t>
      </w:r>
      <w:r>
        <w:t xml:space="preserve"> low</w:t>
      </w:r>
      <w:r w:rsidR="00F448C7">
        <w:t>-</w:t>
      </w:r>
      <w:r>
        <w:t>emissions technologies and forestry programmes.</w:t>
      </w:r>
    </w:p>
    <w:p w:rsidR="00BC5A44" w:rsidRPr="00820025" w:rsidRDefault="00BC5A44" w:rsidP="00820025">
      <w:pPr>
        <w:ind w:left="567" w:right="567"/>
        <w:rPr>
          <w:sz w:val="21"/>
          <w:szCs w:val="21"/>
        </w:rPr>
      </w:pPr>
      <w:r w:rsidRPr="00820025">
        <w:rPr>
          <w:sz w:val="21"/>
          <w:szCs w:val="21"/>
        </w:rPr>
        <w:t xml:space="preserve">“IGCC also believes there is a role for climate change policy to facilitate and accelerate technological and market support for climate change solutions. Policy responses should incorporate the flexibility required to support investment in the innovation, clean energy and </w:t>
      </w:r>
      <w:proofErr w:type="spellStart"/>
      <w:r w:rsidRPr="00820025">
        <w:rPr>
          <w:sz w:val="21"/>
          <w:szCs w:val="21"/>
        </w:rPr>
        <w:t>CleanTech</w:t>
      </w:r>
      <w:proofErr w:type="spellEnd"/>
      <w:r w:rsidRPr="00820025">
        <w:rPr>
          <w:sz w:val="21"/>
          <w:szCs w:val="21"/>
        </w:rPr>
        <w:t xml:space="preserve"> solutions required to reduce the market costs of transition. Supporting </w:t>
      </w:r>
      <w:r w:rsidRPr="00820025">
        <w:rPr>
          <w:sz w:val="21"/>
          <w:szCs w:val="21"/>
        </w:rPr>
        <w:lastRenderedPageBreak/>
        <w:t xml:space="preserve">private sector investment and growth opportunities will ultimately reduce public costs and deliver greater cost effectiveness.” (Investor Group on Climate Change, </w:t>
      </w:r>
      <w:r w:rsidR="007B7E74">
        <w:rPr>
          <w:sz w:val="21"/>
          <w:szCs w:val="21"/>
        </w:rPr>
        <w:t>00201</w:t>
      </w:r>
      <w:r w:rsidRPr="00820025">
        <w:rPr>
          <w:sz w:val="21"/>
          <w:szCs w:val="21"/>
        </w:rPr>
        <w:t>)</w:t>
      </w:r>
    </w:p>
    <w:p w:rsidR="00BC5A44" w:rsidRDefault="00B84B5C" w:rsidP="00BC5A44">
      <w:pPr>
        <w:pStyle w:val="Heading4"/>
      </w:pPr>
      <w:r>
        <w:t xml:space="preserve">Supporting </w:t>
      </w:r>
      <w:r w:rsidR="00BC5A44">
        <w:t>policies to reduce barriers</w:t>
      </w:r>
    </w:p>
    <w:p w:rsidR="00BC5A44" w:rsidRDefault="00BC5A44" w:rsidP="00BC5A44">
      <w:pPr>
        <w:pStyle w:val="BodyText"/>
      </w:pPr>
      <w:r>
        <w:t xml:space="preserve">Many submitters </w:t>
      </w:r>
      <w:r w:rsidR="00745C31">
        <w:t xml:space="preserve">thought </w:t>
      </w:r>
      <w:r>
        <w:t xml:space="preserve">that other policies </w:t>
      </w:r>
      <w:r w:rsidR="00745C31">
        <w:t xml:space="preserve">outside the NZ ETS </w:t>
      </w:r>
      <w:r>
        <w:t>need</w:t>
      </w:r>
      <w:r w:rsidR="008F47DE">
        <w:t xml:space="preserve"> to be introduced </w:t>
      </w:r>
      <w:r>
        <w:t xml:space="preserve">to reduce barriers. A few submitters </w:t>
      </w:r>
      <w:r w:rsidR="00B84B5C">
        <w:t xml:space="preserve">suggested </w:t>
      </w:r>
      <w:r>
        <w:t>that</w:t>
      </w:r>
      <w:r w:rsidR="008F47DE">
        <w:t>, as a first step,</w:t>
      </w:r>
      <w:r>
        <w:t xml:space="preserve"> current policies </w:t>
      </w:r>
      <w:r w:rsidR="00B84B5C">
        <w:t xml:space="preserve">should be analysed to identify </w:t>
      </w:r>
      <w:r>
        <w:t>any misalignments</w:t>
      </w:r>
      <w:r w:rsidR="008F47DE">
        <w:t xml:space="preserve"> with encouraging the uptake of low emissions technologies</w:t>
      </w:r>
      <w:r>
        <w:t xml:space="preserve">. </w:t>
      </w:r>
      <w:r w:rsidRPr="00CA5978">
        <w:t xml:space="preserve">Several submitters provided specific suggestions for where the </w:t>
      </w:r>
      <w:r w:rsidR="00FD144C" w:rsidRPr="00CA5978">
        <w:t>G</w:t>
      </w:r>
      <w:r w:rsidRPr="00CA5978">
        <w:t>overnment should intervene to overcome barriers. These included providing more investment, research</w:t>
      </w:r>
      <w:r w:rsidR="00F1775F">
        <w:t>,</w:t>
      </w:r>
      <w:r w:rsidRPr="00CA5978">
        <w:t xml:space="preserve"> funding </w:t>
      </w:r>
      <w:r w:rsidR="00F1775F">
        <w:t>and policy improvements in</w:t>
      </w:r>
      <w:r w:rsidRPr="00CA5978">
        <w:t xml:space="preserve"> </w:t>
      </w:r>
      <w:r w:rsidR="00DB13B7" w:rsidRPr="00CA5978">
        <w:t xml:space="preserve">a variety of areas, including </w:t>
      </w:r>
      <w:r w:rsidRPr="00CA5978">
        <w:t>electric vehicles</w:t>
      </w:r>
      <w:r w:rsidR="001670BD">
        <w:t>;</w:t>
      </w:r>
      <w:r w:rsidRPr="00CA5978">
        <w:t xml:space="preserve"> public transport</w:t>
      </w:r>
      <w:r w:rsidR="001670BD">
        <w:t>;</w:t>
      </w:r>
      <w:r w:rsidRPr="00CA5978">
        <w:t xml:space="preserve"> freight transportation by </w:t>
      </w:r>
      <w:r w:rsidR="00F1775F" w:rsidRPr="00C44CB1">
        <w:t>rail</w:t>
      </w:r>
      <w:r w:rsidR="00F1775F" w:rsidRPr="00F1775F">
        <w:t xml:space="preserve"> </w:t>
      </w:r>
      <w:r w:rsidR="00F1775F" w:rsidRPr="00B23B35">
        <w:t>or</w:t>
      </w:r>
      <w:r w:rsidR="00F1775F" w:rsidRPr="00F1775F">
        <w:t xml:space="preserve"> ship</w:t>
      </w:r>
      <w:r w:rsidR="001670BD">
        <w:t>;</w:t>
      </w:r>
      <w:r w:rsidR="00DB13B7" w:rsidRPr="00CA5978">
        <w:t xml:space="preserve"> </w:t>
      </w:r>
      <w:r w:rsidRPr="00F35AB4">
        <w:t>bioenergy</w:t>
      </w:r>
      <w:r w:rsidR="00F1775F" w:rsidRPr="00F35AB4">
        <w:t>;</w:t>
      </w:r>
      <w:r w:rsidR="001670BD" w:rsidRPr="00F35AB4">
        <w:t xml:space="preserve"> </w:t>
      </w:r>
      <w:r w:rsidRPr="00F35AB4">
        <w:t xml:space="preserve">electricity </w:t>
      </w:r>
      <w:r w:rsidR="00DB13B7" w:rsidRPr="00F35AB4">
        <w:t>generation</w:t>
      </w:r>
      <w:r w:rsidR="00070F3E" w:rsidRPr="00F35AB4">
        <w:t xml:space="preserve"> and distribution</w:t>
      </w:r>
      <w:r w:rsidR="001670BD" w:rsidRPr="00F35AB4">
        <w:t>;</w:t>
      </w:r>
      <w:r w:rsidRPr="00F35AB4">
        <w:t xml:space="preserve"> urban planning</w:t>
      </w:r>
      <w:r w:rsidR="001670BD" w:rsidRPr="00F35AB4">
        <w:t>;</w:t>
      </w:r>
      <w:r w:rsidRPr="00F35AB4">
        <w:t xml:space="preserve"> building improvements and waste disposal.</w:t>
      </w:r>
      <w:r>
        <w:t xml:space="preserve"> </w:t>
      </w:r>
    </w:p>
    <w:p w:rsidR="00CA5978" w:rsidRPr="00CA5978" w:rsidRDefault="00C137D9" w:rsidP="00CA5978">
      <w:pPr>
        <w:ind w:left="567" w:right="567"/>
        <w:rPr>
          <w:sz w:val="21"/>
          <w:szCs w:val="21"/>
        </w:rPr>
      </w:pPr>
      <w:r>
        <w:rPr>
          <w:sz w:val="21"/>
          <w:szCs w:val="21"/>
        </w:rPr>
        <w:t>“</w:t>
      </w:r>
      <w:r w:rsidRPr="00C137D9">
        <w:rPr>
          <w:sz w:val="21"/>
          <w:szCs w:val="21"/>
        </w:rPr>
        <w:t>The ETS is only one tool within the government’s policy tool box (e.g., incentives for electric vehicles or renewable energy, public funding to retire agricultural land).</w:t>
      </w:r>
      <w:r>
        <w:rPr>
          <w:sz w:val="21"/>
          <w:szCs w:val="21"/>
        </w:rPr>
        <w:t>” (</w:t>
      </w:r>
      <w:proofErr w:type="spellStart"/>
      <w:r w:rsidRPr="00C137D9">
        <w:rPr>
          <w:sz w:val="21"/>
          <w:szCs w:val="21"/>
        </w:rPr>
        <w:t>Ballance</w:t>
      </w:r>
      <w:proofErr w:type="spellEnd"/>
      <w:r w:rsidRPr="00C137D9">
        <w:rPr>
          <w:sz w:val="21"/>
          <w:szCs w:val="21"/>
        </w:rPr>
        <w:t xml:space="preserve"> </w:t>
      </w:r>
      <w:proofErr w:type="spellStart"/>
      <w:r w:rsidRPr="00C137D9">
        <w:rPr>
          <w:sz w:val="21"/>
          <w:szCs w:val="21"/>
        </w:rPr>
        <w:t>Agrinutrients</w:t>
      </w:r>
      <w:proofErr w:type="spellEnd"/>
      <w:r>
        <w:rPr>
          <w:sz w:val="21"/>
          <w:szCs w:val="21"/>
        </w:rPr>
        <w:t xml:space="preserve">, </w:t>
      </w:r>
      <w:r w:rsidR="007B7E74" w:rsidRPr="007B7E74">
        <w:rPr>
          <w:sz w:val="21"/>
          <w:szCs w:val="21"/>
        </w:rPr>
        <w:t>00074</w:t>
      </w:r>
      <w:r>
        <w:rPr>
          <w:sz w:val="21"/>
          <w:szCs w:val="21"/>
        </w:rPr>
        <w:t xml:space="preserve">) </w:t>
      </w:r>
    </w:p>
    <w:p w:rsidR="00BC5A44" w:rsidRPr="008C1171" w:rsidRDefault="00BC5A44" w:rsidP="00BC5A44">
      <w:pPr>
        <w:pStyle w:val="Heading4"/>
      </w:pPr>
      <w:r w:rsidRPr="008C1171">
        <w:t>Consider all greenhouse gases and all sectors</w:t>
      </w:r>
    </w:p>
    <w:p w:rsidR="00BC5A44" w:rsidRDefault="00BC5A44" w:rsidP="00BC5A44">
      <w:pPr>
        <w:pStyle w:val="BodyText"/>
      </w:pPr>
      <w:r>
        <w:t>Several submitters mentioned the need for equity in NZ ETS settings, highlighting the importance of finding a way to reduce emissions from all sectors. Some</w:t>
      </w:r>
      <w:r w:rsidR="008F47DE">
        <w:t>,</w:t>
      </w:r>
      <w:r>
        <w:t xml:space="preserve"> however</w:t>
      </w:r>
      <w:r w:rsidR="008F47DE">
        <w:t>,</w:t>
      </w:r>
      <w:r>
        <w:t xml:space="preserve"> note</w:t>
      </w:r>
      <w:r w:rsidR="008F47DE">
        <w:t>d</w:t>
      </w:r>
      <w:r>
        <w:t xml:space="preserve"> that for those sectors not currently covered by the NZ ETS, other mechanisms could be equally important.</w:t>
      </w:r>
    </w:p>
    <w:p w:rsidR="00BC5A44" w:rsidRPr="00820025" w:rsidRDefault="00BC5A44" w:rsidP="00820025">
      <w:pPr>
        <w:ind w:left="567" w:right="567"/>
        <w:rPr>
          <w:sz w:val="21"/>
          <w:szCs w:val="21"/>
        </w:rPr>
      </w:pPr>
      <w:r w:rsidRPr="00820025">
        <w:rPr>
          <w:sz w:val="21"/>
          <w:szCs w:val="21"/>
        </w:rPr>
        <w:t>“Government needs to treat all parties equitably, without favouring others’ interests who may have financial gain as their main driver to an extent where they are prepared to act in a manner that may not be in the best interests of the land, earth, sea and sky, and those of the people.” (</w:t>
      </w:r>
      <w:proofErr w:type="spellStart"/>
      <w:r w:rsidRPr="00820025">
        <w:rPr>
          <w:sz w:val="21"/>
          <w:szCs w:val="21"/>
        </w:rPr>
        <w:t>Ngāti</w:t>
      </w:r>
      <w:proofErr w:type="spellEnd"/>
      <w:r w:rsidRPr="00820025">
        <w:rPr>
          <w:sz w:val="21"/>
          <w:szCs w:val="21"/>
        </w:rPr>
        <w:t xml:space="preserve"> Hine Forestry Trust, </w:t>
      </w:r>
      <w:r w:rsidR="00BD6965">
        <w:rPr>
          <w:sz w:val="21"/>
          <w:szCs w:val="21"/>
        </w:rPr>
        <w:t>00066)</w:t>
      </w:r>
    </w:p>
    <w:p w:rsidR="00BC5A44" w:rsidRDefault="00BC5A44" w:rsidP="00BC5A44">
      <w:pPr>
        <w:pStyle w:val="Heading4"/>
      </w:pPr>
      <w:r w:rsidRPr="003F3D6E">
        <w:t xml:space="preserve">Communicate clearly and </w:t>
      </w:r>
      <w:r w:rsidR="00444F9A" w:rsidRPr="003F3D6E">
        <w:t xml:space="preserve">encourage </w:t>
      </w:r>
      <w:r w:rsidRPr="003F3D6E">
        <w:t>certainty</w:t>
      </w:r>
    </w:p>
    <w:p w:rsidR="00BC5A44" w:rsidRDefault="00BC5A44" w:rsidP="00BC5A44">
      <w:pPr>
        <w:pStyle w:val="BodyText"/>
      </w:pPr>
      <w:r>
        <w:t xml:space="preserve">Some submitters highlighted the importance of engaging with businesses, local government and communities. They also called for further education on the NZ ETS, to encourage greater understanding. A number of submitters suggested that education, if combined with engagement from the </w:t>
      </w:r>
      <w:r w:rsidR="00FD144C">
        <w:t>G</w:t>
      </w:r>
      <w:r>
        <w:t xml:space="preserve">overnment, would </w:t>
      </w:r>
      <w:r w:rsidR="000E35A2">
        <w:t>encourage the</w:t>
      </w:r>
      <w:r w:rsidR="00501E04">
        <w:t xml:space="preserve"> us</w:t>
      </w:r>
      <w:r w:rsidR="000E35A2">
        <w:t>e</w:t>
      </w:r>
      <w:r>
        <w:t xml:space="preserve"> of low emissions technologies. </w:t>
      </w:r>
    </w:p>
    <w:p w:rsidR="00BC5A44" w:rsidRPr="00820025" w:rsidRDefault="00BC5A44" w:rsidP="00820025">
      <w:pPr>
        <w:ind w:left="567" w:right="567"/>
        <w:rPr>
          <w:sz w:val="21"/>
          <w:szCs w:val="21"/>
        </w:rPr>
      </w:pPr>
      <w:r w:rsidRPr="00820025">
        <w:rPr>
          <w:sz w:val="21"/>
          <w:szCs w:val="21"/>
        </w:rPr>
        <w:t>“The ETS must be easy as possible to use and understand. The ETS must be a key influence on decisions by senior business management and small business operators alike. Administration needs an extremely business-friendly ethos – the ETS is a tool to support NZ’s businesses in transitioning as easily and quickly as possible to the realities of our zero net emissions future. The businesses who adapt quickly will be the most successful. Widespread publicity and easy access helplines are in NZ’s best interests.” (</w:t>
      </w:r>
      <w:r w:rsidR="00264625">
        <w:rPr>
          <w:sz w:val="21"/>
          <w:szCs w:val="21"/>
        </w:rPr>
        <w:t>Individual</w:t>
      </w:r>
      <w:r w:rsidRPr="00820025">
        <w:rPr>
          <w:sz w:val="21"/>
          <w:szCs w:val="21"/>
        </w:rPr>
        <w:t xml:space="preserve">, </w:t>
      </w:r>
      <w:r w:rsidR="00264625">
        <w:rPr>
          <w:sz w:val="21"/>
          <w:szCs w:val="21"/>
        </w:rPr>
        <w:t>05025</w:t>
      </w:r>
      <w:r w:rsidRPr="00820025">
        <w:rPr>
          <w:sz w:val="21"/>
          <w:szCs w:val="21"/>
        </w:rPr>
        <w:t>)</w:t>
      </w:r>
    </w:p>
    <w:p w:rsidR="00BC5A44" w:rsidRDefault="00444F9A" w:rsidP="00BC5A44">
      <w:pPr>
        <w:pStyle w:val="Heading4"/>
      </w:pPr>
      <w:r>
        <w:t>Increased predictability</w:t>
      </w:r>
      <w:r w:rsidR="00BC5A44">
        <w:t xml:space="preserve"> </w:t>
      </w:r>
    </w:p>
    <w:p w:rsidR="00BC5A44" w:rsidRDefault="00444F9A" w:rsidP="00BC5A44">
      <w:pPr>
        <w:pStyle w:val="BodyText"/>
      </w:pPr>
      <w:r>
        <w:t xml:space="preserve">A number of </w:t>
      </w:r>
      <w:r w:rsidR="00BC5A44">
        <w:t xml:space="preserve">submitters also </w:t>
      </w:r>
      <w:r>
        <w:t xml:space="preserve">commented that </w:t>
      </w:r>
      <w:r w:rsidR="00BC5A44">
        <w:t>having predictable climate change policies would reduce barriers to low</w:t>
      </w:r>
      <w:r w:rsidR="00FD144C">
        <w:t>-</w:t>
      </w:r>
      <w:r w:rsidR="00BC5A44">
        <w:t xml:space="preserve">emissions technologies. Some of these submitters noted that having a plan </w:t>
      </w:r>
      <w:r>
        <w:t xml:space="preserve">to address </w:t>
      </w:r>
      <w:r w:rsidR="00BC5A44">
        <w:t xml:space="preserve">climate change would help provide </w:t>
      </w:r>
      <w:r>
        <w:t>this sort of predictability</w:t>
      </w:r>
      <w:r w:rsidR="00BC5A44">
        <w:t xml:space="preserve">. Others recognised that cross-party support would also provide more certainty.  </w:t>
      </w:r>
    </w:p>
    <w:p w:rsidR="00BC5A44" w:rsidRPr="00820025" w:rsidRDefault="00BC5A44" w:rsidP="00820025">
      <w:pPr>
        <w:ind w:left="567" w:right="567"/>
        <w:rPr>
          <w:sz w:val="21"/>
          <w:szCs w:val="21"/>
          <w:highlight w:val="yellow"/>
          <w:lang w:eastAsia="en-NZ"/>
        </w:rPr>
      </w:pPr>
      <w:r w:rsidRPr="00820025">
        <w:rPr>
          <w:sz w:val="21"/>
          <w:szCs w:val="21"/>
        </w:rPr>
        <w:lastRenderedPageBreak/>
        <w:t xml:space="preserve">“The government needs to create a low carbon development plan that demonstrates, sector by sector, how emissions reduction will be achieved over time. Set in place policies to kick start the transition. Critical in kick starting the transition towards a low carbon economy will be facilitating a ‘whole of government’ approach. While challenging to implement, will be essential to it ensure the various arms of government are pulling in the same direction. There is also a need for transparency in reporting back to parliament and the public on whether we are on-track to meet emissions reduction targets”. (WWF New Zealand, </w:t>
      </w:r>
      <w:r w:rsidR="00264625">
        <w:rPr>
          <w:sz w:val="21"/>
          <w:szCs w:val="21"/>
        </w:rPr>
        <w:t>00028</w:t>
      </w:r>
      <w:r w:rsidRPr="00820025">
        <w:rPr>
          <w:sz w:val="21"/>
          <w:szCs w:val="21"/>
        </w:rPr>
        <w:t>)</w:t>
      </w:r>
      <w:r w:rsidRPr="00820025">
        <w:rPr>
          <w:sz w:val="21"/>
          <w:szCs w:val="21"/>
          <w:highlight w:val="yellow"/>
          <w:lang w:eastAsia="en-NZ"/>
        </w:rPr>
        <w:t xml:space="preserve"> </w:t>
      </w:r>
    </w:p>
    <w:p w:rsidR="00BC5A44" w:rsidRDefault="00BC5A44" w:rsidP="00BC5A44">
      <w:pPr>
        <w:pStyle w:val="Figureheading"/>
        <w:ind w:left="0" w:firstLine="0"/>
      </w:pPr>
    </w:p>
    <w:bookmarkEnd w:id="76"/>
    <w:p w:rsidR="00BC5A44" w:rsidRPr="00DC084B" w:rsidRDefault="00BC5A44" w:rsidP="00BC5A44">
      <w:pPr>
        <w:keepNext/>
        <w:ind w:left="1134" w:hanging="1134"/>
      </w:pPr>
    </w:p>
    <w:p w:rsidR="00857C99" w:rsidRDefault="00857C99">
      <w:pPr>
        <w:spacing w:before="0" w:after="0"/>
      </w:pPr>
      <w:r>
        <w:br w:type="page"/>
      </w:r>
    </w:p>
    <w:p w:rsidR="00F840B9" w:rsidRPr="00C76622" w:rsidRDefault="003071E4" w:rsidP="009B5A30">
      <w:pPr>
        <w:pStyle w:val="Heading1"/>
      </w:pPr>
      <w:bookmarkStart w:id="80" w:name="_Toc463270150"/>
      <w:r w:rsidRPr="00C76622">
        <w:lastRenderedPageBreak/>
        <w:t xml:space="preserve">Appendix 1: Consultation </w:t>
      </w:r>
      <w:r w:rsidR="0015099D" w:rsidRPr="00C76622">
        <w:t>m</w:t>
      </w:r>
      <w:r w:rsidRPr="00C76622">
        <w:t>eetings</w:t>
      </w:r>
      <w:bookmarkEnd w:id="80"/>
    </w:p>
    <w:p w:rsidR="005D4F30" w:rsidRPr="00C76622" w:rsidRDefault="000E29F2" w:rsidP="009B5A30">
      <w:pPr>
        <w:pStyle w:val="Heading3"/>
        <w:rPr>
          <w:sz w:val="32"/>
        </w:rPr>
      </w:pPr>
      <w:bookmarkStart w:id="81" w:name="_Toc445886450"/>
      <w:r>
        <w:rPr>
          <w:sz w:val="32"/>
        </w:rPr>
        <w:t>T</w:t>
      </w:r>
      <w:r w:rsidR="00175C7A" w:rsidRPr="00C76622">
        <w:rPr>
          <w:sz w:val="32"/>
        </w:rPr>
        <w:t xml:space="preserve">argeted consultation </w:t>
      </w:r>
      <w:r w:rsidR="005D4F30" w:rsidRPr="00C76622">
        <w:rPr>
          <w:sz w:val="32"/>
        </w:rPr>
        <w:t>meetings</w:t>
      </w:r>
      <w:bookmarkEnd w:id="81"/>
      <w:r>
        <w:rPr>
          <w:sz w:val="32"/>
        </w:rPr>
        <w:t xml:space="preserve"> held during stage two of the review</w:t>
      </w:r>
    </w:p>
    <w:p w:rsidR="00B25FE5" w:rsidRPr="000E29F2" w:rsidRDefault="000F47CF" w:rsidP="009B5A30">
      <w:pPr>
        <w:pStyle w:val="BodyText"/>
      </w:pPr>
      <w:r w:rsidRPr="000E29F2">
        <w:t>S</w:t>
      </w:r>
      <w:r w:rsidR="005D4F30" w:rsidRPr="000E29F2">
        <w:t>takeholders were invited</w:t>
      </w:r>
      <w:r w:rsidR="00FD144C">
        <w:t xml:space="preserve"> to</w:t>
      </w:r>
      <w:r w:rsidR="005D4F30" w:rsidRPr="000E29F2">
        <w:t xml:space="preserve"> </w:t>
      </w:r>
      <w:r w:rsidRPr="000E29F2">
        <w:t xml:space="preserve">targeted consultation </w:t>
      </w:r>
      <w:r w:rsidR="005D4F30" w:rsidRPr="000E29F2">
        <w:t>meetings</w:t>
      </w:r>
      <w:r w:rsidR="004E67DC" w:rsidRPr="000E29F2">
        <w:t xml:space="preserve"> to discuss the second stage of the</w:t>
      </w:r>
      <w:r w:rsidR="00FD144C" w:rsidRPr="00FD144C">
        <w:t xml:space="preserve"> </w:t>
      </w:r>
      <w:r w:rsidR="00FD144C">
        <w:t>New Zealand Emissions Trading Scheme</w:t>
      </w:r>
      <w:r w:rsidR="004E67DC" w:rsidRPr="000E29F2">
        <w:t xml:space="preserve"> </w:t>
      </w:r>
      <w:r w:rsidR="00FD144C">
        <w:t>(</w:t>
      </w:r>
      <w:r w:rsidR="004E67DC" w:rsidRPr="000E29F2">
        <w:t>NZ ETS</w:t>
      </w:r>
      <w:r w:rsidR="00FD144C">
        <w:t>)</w:t>
      </w:r>
      <w:r w:rsidR="004E67DC" w:rsidRPr="000E29F2">
        <w:t xml:space="preserve"> review. These meetings </w:t>
      </w:r>
      <w:r w:rsidR="00B25FE5" w:rsidRPr="000E29F2">
        <w:t xml:space="preserve">focused on </w:t>
      </w:r>
      <w:r w:rsidR="004E67DC" w:rsidRPr="000E29F2">
        <w:t xml:space="preserve">the </w:t>
      </w:r>
      <w:r w:rsidR="00B25FE5" w:rsidRPr="000E29F2">
        <w:t xml:space="preserve">‘other </w:t>
      </w:r>
      <w:r w:rsidR="0056471D">
        <w:t>issue</w:t>
      </w:r>
      <w:r w:rsidR="00B25FE5" w:rsidRPr="000E29F2">
        <w:t xml:space="preserve">s’ from the discussion document, </w:t>
      </w:r>
      <w:r w:rsidR="00EE32DF" w:rsidRPr="000E29F2">
        <w:t xml:space="preserve">and </w:t>
      </w:r>
      <w:r w:rsidR="00B25FE5" w:rsidRPr="000E29F2">
        <w:t>includ</w:t>
      </w:r>
      <w:r w:rsidR="00EE32DF" w:rsidRPr="000E29F2">
        <w:t>ed discussion of</w:t>
      </w:r>
      <w:r w:rsidR="00B25FE5" w:rsidRPr="000E29F2">
        <w:t xml:space="preserve"> the following topics:</w:t>
      </w:r>
    </w:p>
    <w:p w:rsidR="00B25FE5" w:rsidRPr="000E29F2" w:rsidRDefault="00B25FE5" w:rsidP="00B25FE5">
      <w:pPr>
        <w:pStyle w:val="Bullet"/>
      </w:pPr>
      <w:r w:rsidRPr="000E29F2">
        <w:t>NZ ETS supply and demand</w:t>
      </w:r>
    </w:p>
    <w:p w:rsidR="00B25FE5" w:rsidRPr="000E29F2" w:rsidRDefault="00FD144C" w:rsidP="00B25FE5">
      <w:pPr>
        <w:pStyle w:val="Bullet"/>
      </w:pPr>
      <w:r>
        <w:t>b</w:t>
      </w:r>
      <w:r w:rsidR="00B25FE5" w:rsidRPr="000E29F2">
        <w:t>arriers to the uptake of low emission technology</w:t>
      </w:r>
    </w:p>
    <w:p w:rsidR="00B25FE5" w:rsidRPr="000E29F2" w:rsidRDefault="00FD144C" w:rsidP="00B25FE5">
      <w:pPr>
        <w:pStyle w:val="Bullet"/>
      </w:pPr>
      <w:r>
        <w:t>f</w:t>
      </w:r>
      <w:r w:rsidR="00B25FE5" w:rsidRPr="000E29F2">
        <w:t xml:space="preserve">orestry matters </w:t>
      </w:r>
    </w:p>
    <w:p w:rsidR="00B25FE5" w:rsidRDefault="00FD144C" w:rsidP="00B25FE5">
      <w:pPr>
        <w:pStyle w:val="Bullet"/>
      </w:pPr>
      <w:proofErr w:type="gramStart"/>
      <w:r>
        <w:t>t</w:t>
      </w:r>
      <w:r w:rsidR="00B25FE5">
        <w:t>echnical</w:t>
      </w:r>
      <w:proofErr w:type="gramEnd"/>
      <w:r w:rsidR="00B25FE5">
        <w:t xml:space="preserve"> operation of the NZ ETS</w:t>
      </w:r>
      <w:r>
        <w:t>.</w:t>
      </w:r>
      <w:r w:rsidR="00B25FE5">
        <w:t xml:space="preserve"> </w:t>
      </w:r>
    </w:p>
    <w:p w:rsidR="00CC76D5" w:rsidRDefault="00071BA3" w:rsidP="00071BA3">
      <w:r>
        <w:t>M</w:t>
      </w:r>
      <w:r w:rsidR="00EE32DF">
        <w:t>eetings</w:t>
      </w:r>
      <w:r w:rsidR="005D4F30" w:rsidRPr="00C76622">
        <w:t xml:space="preserve"> </w:t>
      </w:r>
      <w:r w:rsidR="004E67DC">
        <w:t>were held on a regional basis, with</w:t>
      </w:r>
      <w:r w:rsidR="00B25FE5">
        <w:t xml:space="preserve"> cross-sect</w:t>
      </w:r>
      <w:r w:rsidR="00CC76D5">
        <w:t>oral attendance at each meeting</w:t>
      </w:r>
      <w:r w:rsidR="004E67DC">
        <w:t xml:space="preserve">. </w:t>
      </w:r>
      <w:r w:rsidR="008C2F7A">
        <w:t xml:space="preserve">Attendees were encouraged to stay for the whole day, </w:t>
      </w:r>
      <w:r w:rsidR="00CC76D5">
        <w:t xml:space="preserve">but welcome to attend </w:t>
      </w:r>
      <w:r>
        <w:t>parts of</w:t>
      </w:r>
      <w:r w:rsidR="00CC76D5">
        <w:t xml:space="preserve"> the meeting</w:t>
      </w:r>
      <w:r>
        <w:t>. A</w:t>
      </w:r>
      <w:r w:rsidR="00FD144C">
        <w:t xml:space="preserve"> </w:t>
      </w:r>
      <w:r>
        <w:t xml:space="preserve">Skype meeting was held for people unable to attend one of the other meetings. </w:t>
      </w:r>
    </w:p>
    <w:p w:rsidR="005D4F30" w:rsidRPr="00C76622" w:rsidRDefault="000F47CF" w:rsidP="00071BA3">
      <w:r w:rsidRPr="00071BA3">
        <w:t>S</w:t>
      </w:r>
      <w:r w:rsidR="005D4F30" w:rsidRPr="00071BA3">
        <w:t xml:space="preserve">takeholders </w:t>
      </w:r>
      <w:r w:rsidR="00F83D01" w:rsidRPr="00071BA3">
        <w:t>were directly contacted by officials, and all NZ ETS participants were informed of targeted meetings through a</w:t>
      </w:r>
      <w:r w:rsidR="007B251E" w:rsidRPr="00071BA3">
        <w:t>n</w:t>
      </w:r>
      <w:r w:rsidR="00F83D01" w:rsidRPr="00071BA3">
        <w:t xml:space="preserve"> Environmental Protection Authority newsletter. Invitees </w:t>
      </w:r>
      <w:r w:rsidR="005D4F30" w:rsidRPr="00071BA3">
        <w:t xml:space="preserve">were encouraged to provide the Ministry </w:t>
      </w:r>
      <w:r w:rsidR="00FD144C">
        <w:t xml:space="preserve">for the Environment </w:t>
      </w:r>
      <w:r w:rsidR="005D4F30" w:rsidRPr="00071BA3">
        <w:t>with details of any</w:t>
      </w:r>
      <w:r w:rsidR="00E744BC">
        <w:t>one</w:t>
      </w:r>
      <w:r w:rsidR="005D4F30" w:rsidRPr="00071BA3">
        <w:t xml:space="preserve"> </w:t>
      </w:r>
      <w:r w:rsidR="00FD144C">
        <w:t>else</w:t>
      </w:r>
      <w:r w:rsidR="00113656">
        <w:t xml:space="preserve"> </w:t>
      </w:r>
      <w:r w:rsidR="005D4F30" w:rsidRPr="00071BA3">
        <w:t>interested in attending meetings so they could be invited also.</w:t>
      </w:r>
    </w:p>
    <w:p w:rsidR="000D694B" w:rsidRPr="00071BA3" w:rsidRDefault="004E67DC" w:rsidP="00113656">
      <w:pPr>
        <w:pStyle w:val="Heading4"/>
        <w:spacing w:before="120" w:after="120"/>
      </w:pPr>
      <w:r w:rsidRPr="00071BA3">
        <w:t>NZ ETS review stage two</w:t>
      </w:r>
      <w:r w:rsidR="003A48D9" w:rsidRPr="00071BA3">
        <w:t xml:space="preserve"> meetings</w:t>
      </w:r>
    </w:p>
    <w:tbl>
      <w:tblPr>
        <w:tblW w:w="8562" w:type="dxa"/>
        <w:tblInd w:w="91" w:type="dxa"/>
        <w:tblBorders>
          <w:top w:val="single" w:sz="4" w:space="0" w:color="005984"/>
          <w:bottom w:val="single" w:sz="4" w:space="0" w:color="005984"/>
          <w:insideH w:val="single" w:sz="4" w:space="0" w:color="005984"/>
          <w:insideV w:val="single" w:sz="4" w:space="0" w:color="005984"/>
        </w:tblBorders>
        <w:tblLayout w:type="fixed"/>
        <w:tblLook w:val="04A0" w:firstRow="1" w:lastRow="0" w:firstColumn="1" w:lastColumn="0" w:noHBand="0" w:noVBand="1"/>
      </w:tblPr>
      <w:tblGrid>
        <w:gridCol w:w="2853"/>
        <w:gridCol w:w="3402"/>
        <w:gridCol w:w="2307"/>
      </w:tblGrid>
      <w:tr w:rsidR="009B5A30" w:rsidRPr="00C76622" w:rsidTr="008415A9">
        <w:tc>
          <w:tcPr>
            <w:tcW w:w="2853" w:type="dxa"/>
            <w:shd w:val="clear" w:color="auto" w:fill="005984"/>
            <w:vAlign w:val="bottom"/>
          </w:tcPr>
          <w:p w:rsidR="003A48D9" w:rsidRPr="00C76622" w:rsidRDefault="003A48D9" w:rsidP="008C2F7A">
            <w:pPr>
              <w:pStyle w:val="TableTextbold"/>
              <w:rPr>
                <w:color w:val="FFFFFF" w:themeColor="background1"/>
              </w:rPr>
            </w:pPr>
            <w:r w:rsidRPr="00C76622">
              <w:rPr>
                <w:color w:val="FFFFFF" w:themeColor="background1"/>
              </w:rPr>
              <w:t xml:space="preserve">Date </w:t>
            </w:r>
          </w:p>
        </w:tc>
        <w:tc>
          <w:tcPr>
            <w:tcW w:w="3402" w:type="dxa"/>
            <w:shd w:val="clear" w:color="auto" w:fill="005984"/>
            <w:vAlign w:val="bottom"/>
          </w:tcPr>
          <w:p w:rsidR="003A48D9" w:rsidRPr="00C76622" w:rsidRDefault="008C2F7A" w:rsidP="009B5A30">
            <w:pPr>
              <w:pStyle w:val="TableTextbold"/>
              <w:rPr>
                <w:color w:val="FFFFFF" w:themeColor="background1"/>
              </w:rPr>
            </w:pPr>
            <w:r>
              <w:rPr>
                <w:color w:val="FFFFFF" w:themeColor="background1"/>
              </w:rPr>
              <w:t>Location</w:t>
            </w:r>
          </w:p>
        </w:tc>
        <w:tc>
          <w:tcPr>
            <w:tcW w:w="2307" w:type="dxa"/>
            <w:shd w:val="clear" w:color="auto" w:fill="005984"/>
            <w:vAlign w:val="bottom"/>
          </w:tcPr>
          <w:p w:rsidR="003A48D9" w:rsidRPr="00C76622" w:rsidRDefault="003A48D9" w:rsidP="009B5A30">
            <w:pPr>
              <w:pStyle w:val="TableTextbold"/>
              <w:rPr>
                <w:color w:val="FFFFFF" w:themeColor="background1"/>
              </w:rPr>
            </w:pPr>
            <w:r w:rsidRPr="00C76622">
              <w:rPr>
                <w:color w:val="FFFFFF" w:themeColor="background1"/>
              </w:rPr>
              <w:t>Approx. number of attendees</w:t>
            </w:r>
          </w:p>
        </w:tc>
      </w:tr>
      <w:tr w:rsidR="003A48D9" w:rsidRPr="00C76622" w:rsidTr="008415A9">
        <w:tc>
          <w:tcPr>
            <w:tcW w:w="2853" w:type="dxa"/>
          </w:tcPr>
          <w:p w:rsidR="003A48D9" w:rsidRPr="00C76622" w:rsidRDefault="008C2F7A" w:rsidP="008C2F7A">
            <w:pPr>
              <w:pStyle w:val="TableText"/>
            </w:pPr>
            <w:r>
              <w:t>5 April 2016</w:t>
            </w:r>
          </w:p>
        </w:tc>
        <w:tc>
          <w:tcPr>
            <w:tcW w:w="3402" w:type="dxa"/>
            <w:shd w:val="clear" w:color="auto" w:fill="auto"/>
          </w:tcPr>
          <w:p w:rsidR="003A48D9" w:rsidRPr="00C76622" w:rsidRDefault="008C2F7A" w:rsidP="009B5A30">
            <w:pPr>
              <w:pStyle w:val="TableText"/>
            </w:pPr>
            <w:r>
              <w:t>Wellington</w:t>
            </w:r>
          </w:p>
        </w:tc>
        <w:tc>
          <w:tcPr>
            <w:tcW w:w="2307" w:type="dxa"/>
            <w:shd w:val="clear" w:color="auto" w:fill="auto"/>
          </w:tcPr>
          <w:p w:rsidR="003A48D9" w:rsidRPr="00265CAA" w:rsidRDefault="00DD6104" w:rsidP="009F160A">
            <w:pPr>
              <w:pStyle w:val="TableText"/>
            </w:pPr>
            <w:r w:rsidRPr="00265CAA">
              <w:t>32</w:t>
            </w:r>
          </w:p>
        </w:tc>
      </w:tr>
      <w:tr w:rsidR="003A48D9" w:rsidRPr="00C76622" w:rsidTr="008415A9">
        <w:tc>
          <w:tcPr>
            <w:tcW w:w="2853" w:type="dxa"/>
          </w:tcPr>
          <w:p w:rsidR="003A48D9" w:rsidRPr="00C76622" w:rsidRDefault="008C2F7A" w:rsidP="008C2F7A">
            <w:pPr>
              <w:pStyle w:val="TableText"/>
            </w:pPr>
            <w:r>
              <w:t>6 April 2016</w:t>
            </w:r>
          </w:p>
        </w:tc>
        <w:tc>
          <w:tcPr>
            <w:tcW w:w="3402" w:type="dxa"/>
            <w:shd w:val="clear" w:color="auto" w:fill="auto"/>
          </w:tcPr>
          <w:p w:rsidR="003A48D9" w:rsidRPr="00C76622" w:rsidRDefault="008C2F7A" w:rsidP="009B5A30">
            <w:pPr>
              <w:pStyle w:val="TableText"/>
            </w:pPr>
            <w:r>
              <w:t>Wellington</w:t>
            </w:r>
          </w:p>
        </w:tc>
        <w:tc>
          <w:tcPr>
            <w:tcW w:w="2307" w:type="dxa"/>
            <w:shd w:val="clear" w:color="auto" w:fill="auto"/>
          </w:tcPr>
          <w:p w:rsidR="003A48D9" w:rsidRPr="00265CAA" w:rsidRDefault="009C5A14" w:rsidP="009F160A">
            <w:pPr>
              <w:pStyle w:val="TableText"/>
            </w:pPr>
            <w:r w:rsidRPr="00265CAA">
              <w:t>30</w:t>
            </w:r>
          </w:p>
        </w:tc>
      </w:tr>
      <w:tr w:rsidR="003A48D9" w:rsidRPr="00C76622" w:rsidTr="008415A9">
        <w:tc>
          <w:tcPr>
            <w:tcW w:w="2853" w:type="dxa"/>
          </w:tcPr>
          <w:p w:rsidR="003A48D9" w:rsidRPr="00C76622" w:rsidRDefault="009C5A14" w:rsidP="009B5A30">
            <w:pPr>
              <w:pStyle w:val="TableText"/>
            </w:pPr>
            <w:r>
              <w:t>7 April 2016</w:t>
            </w:r>
          </w:p>
        </w:tc>
        <w:tc>
          <w:tcPr>
            <w:tcW w:w="3402" w:type="dxa"/>
            <w:shd w:val="clear" w:color="auto" w:fill="auto"/>
          </w:tcPr>
          <w:p w:rsidR="003A48D9" w:rsidRPr="00C76622" w:rsidRDefault="008C2F7A" w:rsidP="009B5A30">
            <w:pPr>
              <w:pStyle w:val="TableText"/>
            </w:pPr>
            <w:r>
              <w:t>Auckland</w:t>
            </w:r>
          </w:p>
        </w:tc>
        <w:tc>
          <w:tcPr>
            <w:tcW w:w="2307" w:type="dxa"/>
            <w:shd w:val="clear" w:color="auto" w:fill="auto"/>
          </w:tcPr>
          <w:p w:rsidR="003A48D9" w:rsidRPr="00265CAA" w:rsidRDefault="00AA7FF6" w:rsidP="009F160A">
            <w:pPr>
              <w:pStyle w:val="TableText"/>
            </w:pPr>
            <w:r w:rsidRPr="00265CAA">
              <w:t>22</w:t>
            </w:r>
          </w:p>
        </w:tc>
      </w:tr>
      <w:tr w:rsidR="003A48D9" w:rsidRPr="00C76622" w:rsidTr="008415A9">
        <w:tc>
          <w:tcPr>
            <w:tcW w:w="2853" w:type="dxa"/>
          </w:tcPr>
          <w:p w:rsidR="003A48D9" w:rsidRPr="00C76622" w:rsidRDefault="009C5A14" w:rsidP="009B5A30">
            <w:pPr>
              <w:pStyle w:val="TableText"/>
            </w:pPr>
            <w:r>
              <w:t>8 April 2016</w:t>
            </w:r>
          </w:p>
        </w:tc>
        <w:tc>
          <w:tcPr>
            <w:tcW w:w="3402" w:type="dxa"/>
            <w:shd w:val="clear" w:color="auto" w:fill="auto"/>
          </w:tcPr>
          <w:p w:rsidR="003A48D9" w:rsidRPr="00C76622" w:rsidRDefault="008C2F7A" w:rsidP="009B5A30">
            <w:pPr>
              <w:pStyle w:val="TableText"/>
            </w:pPr>
            <w:r>
              <w:t>Auckland</w:t>
            </w:r>
          </w:p>
        </w:tc>
        <w:tc>
          <w:tcPr>
            <w:tcW w:w="2307" w:type="dxa"/>
            <w:shd w:val="clear" w:color="auto" w:fill="auto"/>
          </w:tcPr>
          <w:p w:rsidR="003A48D9" w:rsidRPr="00265CAA" w:rsidRDefault="008D58C2" w:rsidP="00AA7FF6">
            <w:pPr>
              <w:pStyle w:val="TableText"/>
            </w:pPr>
            <w:r w:rsidRPr="00265CAA">
              <w:t>15</w:t>
            </w:r>
          </w:p>
        </w:tc>
      </w:tr>
      <w:tr w:rsidR="003A48D9" w:rsidRPr="00C76622" w:rsidTr="008415A9">
        <w:tc>
          <w:tcPr>
            <w:tcW w:w="2853" w:type="dxa"/>
          </w:tcPr>
          <w:p w:rsidR="003A48D9" w:rsidRPr="00C76622" w:rsidRDefault="009C5A14" w:rsidP="008C2F7A">
            <w:pPr>
              <w:pStyle w:val="TableText"/>
            </w:pPr>
            <w:r>
              <w:t>11 April 2016</w:t>
            </w:r>
          </w:p>
        </w:tc>
        <w:tc>
          <w:tcPr>
            <w:tcW w:w="3402" w:type="dxa"/>
            <w:shd w:val="clear" w:color="auto" w:fill="auto"/>
          </w:tcPr>
          <w:p w:rsidR="003A48D9" w:rsidRPr="00C76622" w:rsidRDefault="008C2F7A" w:rsidP="009B5A30">
            <w:pPr>
              <w:pStyle w:val="TableText"/>
              <w:rPr>
                <w:b/>
              </w:rPr>
            </w:pPr>
            <w:r w:rsidRPr="00C76622">
              <w:t>Christchurch</w:t>
            </w:r>
          </w:p>
        </w:tc>
        <w:tc>
          <w:tcPr>
            <w:tcW w:w="2307" w:type="dxa"/>
            <w:shd w:val="clear" w:color="auto" w:fill="auto"/>
          </w:tcPr>
          <w:p w:rsidR="003A48D9" w:rsidRPr="00265CAA" w:rsidRDefault="009C5A14" w:rsidP="009B5A30">
            <w:pPr>
              <w:pStyle w:val="TableText"/>
            </w:pPr>
            <w:r w:rsidRPr="00265CAA">
              <w:t>25</w:t>
            </w:r>
          </w:p>
        </w:tc>
      </w:tr>
      <w:tr w:rsidR="003A48D9" w:rsidRPr="00C76622" w:rsidTr="008415A9">
        <w:tc>
          <w:tcPr>
            <w:tcW w:w="2853" w:type="dxa"/>
          </w:tcPr>
          <w:p w:rsidR="003A48D9" w:rsidRPr="00C76622" w:rsidRDefault="00AA7FF6" w:rsidP="008C2F7A">
            <w:pPr>
              <w:pStyle w:val="TableText"/>
            </w:pPr>
            <w:r>
              <w:t>12 April 2016</w:t>
            </w:r>
          </w:p>
        </w:tc>
        <w:tc>
          <w:tcPr>
            <w:tcW w:w="3402" w:type="dxa"/>
            <w:shd w:val="clear" w:color="auto" w:fill="auto"/>
          </w:tcPr>
          <w:p w:rsidR="003A48D9" w:rsidRPr="00C76622" w:rsidRDefault="008C2F7A" w:rsidP="009B5A30">
            <w:pPr>
              <w:pStyle w:val="TableText"/>
            </w:pPr>
            <w:r>
              <w:t>Dunedin</w:t>
            </w:r>
          </w:p>
        </w:tc>
        <w:tc>
          <w:tcPr>
            <w:tcW w:w="2307" w:type="dxa"/>
            <w:shd w:val="clear" w:color="auto" w:fill="auto"/>
          </w:tcPr>
          <w:p w:rsidR="003A48D9" w:rsidRPr="00265CAA" w:rsidRDefault="009F160A" w:rsidP="009B5A30">
            <w:pPr>
              <w:pStyle w:val="TableText"/>
            </w:pPr>
            <w:r w:rsidRPr="00265CAA">
              <w:t>16</w:t>
            </w:r>
          </w:p>
        </w:tc>
      </w:tr>
      <w:tr w:rsidR="00CC76D5" w:rsidRPr="00C76622" w:rsidTr="008415A9">
        <w:tc>
          <w:tcPr>
            <w:tcW w:w="2853" w:type="dxa"/>
          </w:tcPr>
          <w:p w:rsidR="00CC76D5" w:rsidRDefault="00CC76D5" w:rsidP="008C2F7A">
            <w:pPr>
              <w:pStyle w:val="TableText"/>
            </w:pPr>
            <w:r>
              <w:t>13 April 2016</w:t>
            </w:r>
          </w:p>
        </w:tc>
        <w:tc>
          <w:tcPr>
            <w:tcW w:w="3402" w:type="dxa"/>
            <w:shd w:val="clear" w:color="auto" w:fill="auto"/>
          </w:tcPr>
          <w:p w:rsidR="00CC76D5" w:rsidRDefault="00CC76D5" w:rsidP="009B5A30">
            <w:pPr>
              <w:pStyle w:val="TableText"/>
            </w:pPr>
            <w:r>
              <w:t>via Skype</w:t>
            </w:r>
          </w:p>
        </w:tc>
        <w:tc>
          <w:tcPr>
            <w:tcW w:w="2307" w:type="dxa"/>
            <w:shd w:val="clear" w:color="auto" w:fill="auto"/>
          </w:tcPr>
          <w:p w:rsidR="00CC76D5" w:rsidRPr="00265CAA" w:rsidRDefault="00EE32DF" w:rsidP="009B5A30">
            <w:pPr>
              <w:pStyle w:val="TableText"/>
            </w:pPr>
            <w:r w:rsidRPr="00265CAA">
              <w:t>1</w:t>
            </w:r>
            <w:r w:rsidR="00265CAA" w:rsidRPr="00265CAA">
              <w:t>3</w:t>
            </w:r>
          </w:p>
        </w:tc>
      </w:tr>
      <w:tr w:rsidR="008C2F7A" w:rsidRPr="00C76622" w:rsidTr="008415A9">
        <w:tc>
          <w:tcPr>
            <w:tcW w:w="2853" w:type="dxa"/>
          </w:tcPr>
          <w:p w:rsidR="008C2F7A" w:rsidRPr="00C76622" w:rsidRDefault="009F160A" w:rsidP="009B5A30">
            <w:pPr>
              <w:pStyle w:val="TableText"/>
            </w:pPr>
            <w:r>
              <w:t>15 April 2016</w:t>
            </w:r>
          </w:p>
        </w:tc>
        <w:tc>
          <w:tcPr>
            <w:tcW w:w="3402" w:type="dxa"/>
            <w:shd w:val="clear" w:color="auto" w:fill="auto"/>
          </w:tcPr>
          <w:p w:rsidR="008C2F7A" w:rsidRPr="00C76622" w:rsidRDefault="008C2F7A" w:rsidP="009B5A30">
            <w:pPr>
              <w:pStyle w:val="TableText"/>
            </w:pPr>
            <w:proofErr w:type="spellStart"/>
            <w:r>
              <w:t>Rotorua</w:t>
            </w:r>
            <w:proofErr w:type="spellEnd"/>
          </w:p>
        </w:tc>
        <w:tc>
          <w:tcPr>
            <w:tcW w:w="2307" w:type="dxa"/>
            <w:shd w:val="clear" w:color="auto" w:fill="auto"/>
          </w:tcPr>
          <w:p w:rsidR="008C2F7A" w:rsidRPr="00265CAA" w:rsidRDefault="009F160A" w:rsidP="009B5A30">
            <w:pPr>
              <w:pStyle w:val="TableText"/>
            </w:pPr>
            <w:r w:rsidRPr="00265CAA">
              <w:t>28</w:t>
            </w:r>
          </w:p>
        </w:tc>
      </w:tr>
    </w:tbl>
    <w:p w:rsidR="008D58C2" w:rsidRPr="00C76622" w:rsidRDefault="008D58C2" w:rsidP="008D58C2">
      <w:pPr>
        <w:pStyle w:val="BodyText"/>
        <w:spacing w:before="240"/>
      </w:pPr>
      <w:r w:rsidRPr="000E29F2">
        <w:t xml:space="preserve">The meetings provided information </w:t>
      </w:r>
      <w:r w:rsidRPr="000E29F2">
        <w:rPr>
          <w:rFonts w:cs="Arial"/>
        </w:rPr>
        <w:t xml:space="preserve">on the issues being considered in the </w:t>
      </w:r>
      <w:r w:rsidR="00EE32DF" w:rsidRPr="000E29F2">
        <w:rPr>
          <w:rFonts w:cs="Arial"/>
        </w:rPr>
        <w:t>second stage of the review</w:t>
      </w:r>
      <w:r w:rsidR="00884D0A">
        <w:rPr>
          <w:rFonts w:cs="Arial"/>
        </w:rPr>
        <w:t>. This was</w:t>
      </w:r>
      <w:r w:rsidR="00EE32DF" w:rsidRPr="000E29F2">
        <w:rPr>
          <w:rFonts w:cs="Arial"/>
        </w:rPr>
        <w:t xml:space="preserve"> </w:t>
      </w:r>
      <w:r w:rsidRPr="000E29F2">
        <w:rPr>
          <w:rFonts w:cs="Arial"/>
        </w:rPr>
        <w:t xml:space="preserve">to help </w:t>
      </w:r>
      <w:r w:rsidRPr="000E29F2">
        <w:t>attendees write their submissions</w:t>
      </w:r>
      <w:r w:rsidR="00884D0A">
        <w:t>,</w:t>
      </w:r>
      <w:r w:rsidR="00EE32DF" w:rsidRPr="000E29F2">
        <w:t xml:space="preserve"> and allow</w:t>
      </w:r>
      <w:r w:rsidR="000E29F2" w:rsidRPr="000E29F2">
        <w:t>ed</w:t>
      </w:r>
      <w:r w:rsidR="00EE32DF" w:rsidRPr="000E29F2">
        <w:t xml:space="preserve"> officials to gather initial feedback on the </w:t>
      </w:r>
      <w:r w:rsidR="000E29F2" w:rsidRPr="000E29F2">
        <w:t>questions being asked</w:t>
      </w:r>
      <w:r w:rsidRPr="000E29F2">
        <w:t xml:space="preserve">. Key </w:t>
      </w:r>
      <w:r w:rsidRPr="00CA5978">
        <w:t xml:space="preserve">themes </w:t>
      </w:r>
      <w:r w:rsidRPr="000E29F2">
        <w:t>raised in</w:t>
      </w:r>
      <w:r w:rsidR="00EE32DF" w:rsidRPr="000E29F2">
        <w:t xml:space="preserve"> these </w:t>
      </w:r>
      <w:r w:rsidRPr="000E29F2">
        <w:t>meetings included:</w:t>
      </w:r>
    </w:p>
    <w:p w:rsidR="005C0B3C" w:rsidRDefault="0040636D" w:rsidP="00F53A73">
      <w:pPr>
        <w:pStyle w:val="Bullet"/>
      </w:pPr>
      <w:r>
        <w:t>future supply of units in the NZ ETS</w:t>
      </w:r>
    </w:p>
    <w:p w:rsidR="002627A4" w:rsidRDefault="002627A4" w:rsidP="00F53A73">
      <w:pPr>
        <w:pStyle w:val="Bullet"/>
      </w:pPr>
      <w:r>
        <w:t>different carbon accounting options for post-1989 forestry</w:t>
      </w:r>
    </w:p>
    <w:p w:rsidR="00CA5978" w:rsidRDefault="00CA5978" w:rsidP="0069440B">
      <w:pPr>
        <w:pStyle w:val="Bullet"/>
      </w:pPr>
      <w:r>
        <w:t>operational improvements to the NZ ETS</w:t>
      </w:r>
    </w:p>
    <w:p w:rsidR="0069440B" w:rsidRDefault="002F647D" w:rsidP="0069440B">
      <w:pPr>
        <w:pStyle w:val="Bullet"/>
      </w:pPr>
      <w:proofErr w:type="gramStart"/>
      <w:r>
        <w:t>the</w:t>
      </w:r>
      <w:proofErr w:type="gramEnd"/>
      <w:r>
        <w:t xml:space="preserve"> need for </w:t>
      </w:r>
      <w:r w:rsidR="00857C99" w:rsidRPr="00265CAA">
        <w:t>ongoing, regula</w:t>
      </w:r>
      <w:r w:rsidR="00265CAA" w:rsidRPr="00265CAA">
        <w:t xml:space="preserve">r engagement from the </w:t>
      </w:r>
      <w:r w:rsidR="00884D0A">
        <w:t>G</w:t>
      </w:r>
      <w:r w:rsidR="00265CAA" w:rsidRPr="00265CAA">
        <w:t>overnment</w:t>
      </w:r>
      <w:r w:rsidR="00BE6126">
        <w:t>.</w:t>
      </w:r>
    </w:p>
    <w:p w:rsidR="002627A4" w:rsidRDefault="002627A4">
      <w:pPr>
        <w:spacing w:before="0" w:after="0"/>
      </w:pPr>
      <w:r>
        <w:br w:type="page"/>
      </w:r>
    </w:p>
    <w:p w:rsidR="00A90728" w:rsidRPr="00C76622" w:rsidRDefault="003071E4" w:rsidP="00C63402">
      <w:pPr>
        <w:pStyle w:val="Heading1"/>
        <w:sectPr w:rsidR="00A90728" w:rsidRPr="00C76622" w:rsidSect="00577577">
          <w:footerReference w:type="even" r:id="rId39"/>
          <w:footerReference w:type="default" r:id="rId40"/>
          <w:footerReference w:type="first" r:id="rId41"/>
          <w:pgSz w:w="11907" w:h="16839" w:code="9"/>
          <w:pgMar w:top="1701" w:right="1418" w:bottom="1701" w:left="851" w:header="567" w:footer="567" w:gutter="567"/>
          <w:cols w:space="720"/>
          <w:titlePg/>
          <w:docGrid w:linePitch="360"/>
        </w:sectPr>
      </w:pPr>
      <w:bookmarkStart w:id="82" w:name="_Appendix_2:_List"/>
      <w:bookmarkStart w:id="83" w:name="_Toc463270151"/>
      <w:bookmarkEnd w:id="82"/>
      <w:r w:rsidRPr="00F35AB4">
        <w:lastRenderedPageBreak/>
        <w:t xml:space="preserve">Appendix 2: List of </w:t>
      </w:r>
      <w:r w:rsidR="007F5AFD" w:rsidRPr="00F35AB4">
        <w:t>s</w:t>
      </w:r>
      <w:r w:rsidRPr="00F35AB4">
        <w:t>ubmitters</w:t>
      </w:r>
      <w:bookmarkEnd w:id="83"/>
    </w:p>
    <w:tbl>
      <w:tblPr>
        <w:tblW w:w="3940" w:type="dxa"/>
        <w:tblInd w:w="93" w:type="dxa"/>
        <w:tblLook w:val="04A0" w:firstRow="1" w:lastRow="0" w:firstColumn="1" w:lastColumn="0" w:noHBand="0" w:noVBand="1"/>
      </w:tblPr>
      <w:tblGrid>
        <w:gridCol w:w="15"/>
        <w:gridCol w:w="2692"/>
        <w:gridCol w:w="426"/>
        <w:gridCol w:w="743"/>
        <w:gridCol w:w="64"/>
      </w:tblGrid>
      <w:tr w:rsidR="008C6798" w:rsidRPr="00C63402" w:rsidTr="009C3083">
        <w:trPr>
          <w:gridAfter w:val="1"/>
          <w:wAfter w:w="64" w:type="dxa"/>
          <w:trHeight w:val="452"/>
          <w:tblHeader/>
        </w:trPr>
        <w:tc>
          <w:tcPr>
            <w:tcW w:w="2707" w:type="dxa"/>
            <w:gridSpan w:val="2"/>
            <w:tcBorders>
              <w:top w:val="single" w:sz="8" w:space="0" w:color="005984"/>
              <w:left w:val="nil"/>
              <w:bottom w:val="single" w:sz="8" w:space="0" w:color="005984"/>
              <w:right w:val="single" w:sz="8" w:space="0" w:color="005984"/>
            </w:tcBorders>
            <w:shd w:val="clear" w:color="000000" w:fill="005984"/>
            <w:vAlign w:val="center"/>
            <w:hideMark/>
          </w:tcPr>
          <w:p w:rsidR="008C6798" w:rsidRPr="00C63402" w:rsidRDefault="008C6798" w:rsidP="0009219A">
            <w:pPr>
              <w:spacing w:before="0" w:after="0"/>
              <w:rPr>
                <w:rFonts w:cs="Times New Roman"/>
                <w:b/>
                <w:bCs/>
                <w:color w:val="FFFFFF"/>
                <w:sz w:val="18"/>
                <w:szCs w:val="18"/>
                <w:lang w:eastAsia="en-NZ"/>
              </w:rPr>
            </w:pPr>
            <w:r w:rsidRPr="00C63402">
              <w:rPr>
                <w:rFonts w:cs="Times New Roman"/>
                <w:b/>
                <w:bCs/>
                <w:color w:val="FFFFFF" w:themeColor="background1"/>
                <w:sz w:val="18"/>
                <w:szCs w:val="18"/>
                <w:lang w:eastAsia="en-NZ"/>
              </w:rPr>
              <w:lastRenderedPageBreak/>
              <w:t>Name/organisation</w:t>
            </w:r>
          </w:p>
        </w:tc>
        <w:tc>
          <w:tcPr>
            <w:tcW w:w="1169" w:type="dxa"/>
            <w:gridSpan w:val="2"/>
            <w:tcBorders>
              <w:top w:val="single" w:sz="8" w:space="0" w:color="005984"/>
              <w:left w:val="nil"/>
              <w:bottom w:val="single" w:sz="8" w:space="0" w:color="005984"/>
              <w:right w:val="nil"/>
            </w:tcBorders>
            <w:shd w:val="clear" w:color="000000" w:fill="005984"/>
            <w:vAlign w:val="center"/>
            <w:hideMark/>
          </w:tcPr>
          <w:p w:rsidR="008C6798" w:rsidRPr="00C63402" w:rsidRDefault="008C6798" w:rsidP="0009219A">
            <w:pPr>
              <w:spacing w:before="0" w:after="0"/>
              <w:rPr>
                <w:rFonts w:cs="Times New Roman"/>
                <w:b/>
                <w:bCs/>
                <w:color w:val="FFFFFF"/>
                <w:sz w:val="18"/>
                <w:szCs w:val="18"/>
                <w:lang w:eastAsia="en-NZ"/>
              </w:rPr>
            </w:pPr>
            <w:r w:rsidRPr="00C63402">
              <w:rPr>
                <w:rFonts w:cs="Times New Roman"/>
                <w:b/>
                <w:bCs/>
                <w:color w:val="FFFFFF" w:themeColor="background1"/>
                <w:sz w:val="18"/>
                <w:szCs w:val="18"/>
                <w:lang w:eastAsia="en-NZ"/>
              </w:rPr>
              <w:t>Unique number</w:t>
            </w:r>
          </w:p>
        </w:tc>
      </w:tr>
      <w:tr w:rsidR="008C6798"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AB Lime </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bCs/>
                <w:lang w:eastAsia="en-NZ"/>
              </w:rPr>
              <w:t>00029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Air New Zealand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00151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Allen, Elisabeth </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00159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Anderson, C Patrick</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00125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Anderson, Marlene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00110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Anonymous</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02003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Anonymous</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02005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ArborGen</w:t>
            </w:r>
            <w:proofErr w:type="spellEnd"/>
            <w:r w:rsidRPr="00CE58D8">
              <w:rPr>
                <w:rFonts w:asciiTheme="minorHAnsi" w:hAnsiTheme="minorHAnsi" w:cs="Times New Roman"/>
                <w:bCs/>
                <w:lang w:eastAsia="en-NZ"/>
              </w:rPr>
              <w:t xml:space="preserve"> and Devenish Ltd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05000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Auckland Council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00019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Ballance</w:t>
            </w:r>
            <w:proofErr w:type="spellEnd"/>
            <w:r w:rsidRPr="00CE58D8">
              <w:rPr>
                <w:rFonts w:asciiTheme="minorHAnsi" w:hAnsiTheme="minorHAnsi" w:cs="Times New Roman"/>
                <w:bCs/>
                <w:lang w:eastAsia="en-NZ"/>
              </w:rPr>
              <w:t xml:space="preserve"> </w:t>
            </w:r>
            <w:proofErr w:type="spellStart"/>
            <w:r w:rsidRPr="00CE58D8">
              <w:rPr>
                <w:rFonts w:asciiTheme="minorHAnsi" w:hAnsiTheme="minorHAnsi" w:cs="Times New Roman"/>
                <w:bCs/>
                <w:lang w:eastAsia="en-NZ"/>
              </w:rPr>
              <w:t>Agrinutrients</w:t>
            </w:r>
            <w:proofErr w:type="spellEnd"/>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00074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Ballantine, Trudy</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00015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Barr, Hugh</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00145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Bathurst Resources</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00050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52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Beef+Lamb</w:t>
            </w:r>
            <w:proofErr w:type="spellEnd"/>
            <w:r w:rsidRPr="00CE58D8">
              <w:rPr>
                <w:rFonts w:asciiTheme="minorHAnsi" w:hAnsiTheme="minorHAnsi" w:cs="Times New Roman"/>
                <w:bCs/>
                <w:lang w:eastAsia="en-NZ"/>
              </w:rPr>
              <w:t xml:space="preserve"> New Zealand, Deer Industry New Zealand and Meat Industry Association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00134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BetterWorld</w:t>
            </w:r>
            <w:proofErr w:type="spellEnd"/>
            <w:r w:rsidRPr="00CE58D8">
              <w:rPr>
                <w:rFonts w:asciiTheme="minorHAnsi" w:hAnsiTheme="minorHAnsi" w:cs="Times New Roman"/>
                <w:bCs/>
                <w:lang w:eastAsia="en-NZ"/>
              </w:rPr>
              <w:t xml:space="preserve"> NZ</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02014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Bioenergy Association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00070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Birchfield Coal Mines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02051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Blakely Pacific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00017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BOC</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00155</w:t>
            </w:r>
          </w:p>
        </w:tc>
      </w:tr>
      <w:tr w:rsidR="008C6798" w:rsidRPr="005D1656"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BP Oil New Zealand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00135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Bradley, Francesca</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02037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Brill, Barry</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00174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Brown, Brendan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02010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Business Central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00147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Business New Zealand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00131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Cameron, Gordon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02007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Campbell-Hunt, Colin</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04037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Carbon Farm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00121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Carbon Forest Services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00081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Caritas </w:t>
            </w:r>
            <w:proofErr w:type="spellStart"/>
            <w:r w:rsidRPr="00CE58D8">
              <w:rPr>
                <w:rFonts w:asciiTheme="minorHAnsi" w:hAnsiTheme="minorHAnsi" w:cs="Times New Roman"/>
                <w:bCs/>
                <w:lang w:eastAsia="en-NZ"/>
              </w:rPr>
              <w:t>Aotearoa</w:t>
            </w:r>
            <w:proofErr w:type="spellEnd"/>
            <w:r w:rsidRPr="00CE58D8">
              <w:rPr>
                <w:rFonts w:asciiTheme="minorHAnsi" w:hAnsiTheme="minorHAnsi" w:cs="Times New Roman"/>
                <w:bCs/>
                <w:lang w:eastAsia="en-NZ"/>
              </w:rPr>
              <w:t xml:space="preserve"> New Zealand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00080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Castlepoint</w:t>
            </w:r>
            <w:proofErr w:type="spellEnd"/>
            <w:r w:rsidRPr="00CE58D8">
              <w:rPr>
                <w:rFonts w:asciiTheme="minorHAnsi" w:hAnsiTheme="minorHAnsi" w:cs="Times New Roman"/>
                <w:bCs/>
                <w:lang w:eastAsia="en-NZ"/>
              </w:rPr>
              <w:t xml:space="preserve"> Station Limited/</w:t>
            </w:r>
            <w:r w:rsidRPr="00CE58D8">
              <w:t xml:space="preserve"> </w:t>
            </w:r>
            <w:r w:rsidRPr="00CE58D8">
              <w:rPr>
                <w:rFonts w:asciiTheme="minorHAnsi" w:hAnsiTheme="minorHAnsi" w:cs="Times New Roman"/>
                <w:bCs/>
                <w:lang w:eastAsia="en-NZ"/>
              </w:rPr>
              <w:t>Wai Ngaio Ltd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05006</w:t>
            </w:r>
          </w:p>
        </w:tc>
      </w:tr>
      <w:tr w:rsidR="008C6798" w:rsidRPr="00C76622" w:rsidTr="00F35AB4">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cantSplit/>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lastRenderedPageBreak/>
              <w:t>Chapman, Ralph,  Renwick,  James and Dodge, Nadine (Victoria University, Wellington)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00156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Chevron New Zealand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00013</w:t>
            </w:r>
          </w:p>
        </w:tc>
      </w:tr>
      <w:tr w:rsidR="008C6798" w:rsidRPr="00B938F7"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City Forests</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00032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Clark, Diana and Frank</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05022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Clark, Ross</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00113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000000" w:fill="FFFFFF"/>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Climate Change Iwi Leaders Group</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00180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cantSplit/>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Climate Justice Taranaki Inc.</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00120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CNI Iwi Holdings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03006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Contact Energy</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00143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Corbett-Davies, Joseph</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02034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Cown</w:t>
            </w:r>
            <w:proofErr w:type="spellEnd"/>
            <w:r w:rsidRPr="00CE58D8">
              <w:rPr>
                <w:rFonts w:asciiTheme="minorHAnsi" w:hAnsiTheme="minorHAnsi" w:cs="Times New Roman"/>
                <w:bCs/>
                <w:lang w:eastAsia="en-NZ"/>
              </w:rPr>
              <w:t>, David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02055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Craigmore</w:t>
            </w:r>
            <w:proofErr w:type="spellEnd"/>
            <w:r w:rsidRPr="00CE58D8">
              <w:rPr>
                <w:rFonts w:asciiTheme="minorHAnsi" w:hAnsiTheme="minorHAnsi" w:cs="Times New Roman"/>
                <w:bCs/>
                <w:lang w:eastAsia="en-NZ"/>
              </w:rPr>
              <w:t xml:space="preserve"> Forestry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00105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Dairy Companies Association of New Zealand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00146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Dairy NZ</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00076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Daly, Sharon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00014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Davidson, Michael</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04035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De Lu, Dirk</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00026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DeVantier</w:t>
            </w:r>
            <w:proofErr w:type="spellEnd"/>
            <w:r w:rsidRPr="00CE58D8">
              <w:rPr>
                <w:rFonts w:asciiTheme="minorHAnsi" w:hAnsiTheme="minorHAnsi" w:cs="Times New Roman"/>
                <w:bCs/>
                <w:lang w:eastAsia="en-NZ"/>
              </w:rPr>
              <w:t>, Lyndon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00117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Diaz-Rainey, Ivan and Tulloch, Daniel J.</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04026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Downing, Zella</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00150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Dunedin City Council</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04013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Earthwater</w:t>
            </w:r>
            <w:proofErr w:type="spellEnd"/>
            <w:r w:rsidRPr="00CE58D8">
              <w:rPr>
                <w:rFonts w:asciiTheme="minorHAnsi" w:hAnsiTheme="minorHAnsi" w:cs="Times New Roman"/>
                <w:bCs/>
                <w:lang w:eastAsia="en-NZ"/>
              </w:rPr>
              <w:t xml:space="preserve"> Environmental Consulting</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02006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Edwards, Graeme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00011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Elwell-Sutton, Paul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00008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Employers &amp; Manufacturers Association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00098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Energy Management Association of New Zealand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04025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Engineers for Social Responsibility</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00025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52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Environment and Conservation Organisations of New Zealand </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00157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lastRenderedPageBreak/>
              <w:t>Environmental Defence Society</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00065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EnviroNZ</w:t>
            </w:r>
            <w:proofErr w:type="spellEnd"/>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00149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Ernslaw</w:t>
            </w:r>
            <w:proofErr w:type="spellEnd"/>
            <w:r w:rsidRPr="00CE58D8">
              <w:rPr>
                <w:rFonts w:asciiTheme="minorHAnsi" w:hAnsiTheme="minorHAnsi" w:cs="Times New Roman"/>
                <w:bCs/>
                <w:lang w:eastAsia="en-NZ"/>
              </w:rPr>
              <w:t xml:space="preserve"> One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04031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Evonik</w:t>
            </w:r>
            <w:proofErr w:type="spellEnd"/>
            <w:r w:rsidRPr="00CE58D8">
              <w:rPr>
                <w:rFonts w:asciiTheme="minorHAnsi" w:hAnsiTheme="minorHAnsi" w:cs="Times New Roman"/>
                <w:bCs/>
                <w:lang w:eastAsia="en-NZ"/>
              </w:rPr>
              <w:t xml:space="preserve"> Peroxide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00021</w:t>
            </w:r>
          </w:p>
        </w:tc>
      </w:tr>
      <w:tr w:rsidR="008C6798" w:rsidRPr="00986EC3" w:rsidTr="00CE58D8">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Farrell, Nicholas Brian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02031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Federated Farmers of New Zealand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00115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Federation of Maori Authorities</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00140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Fitzsimons, Jeanette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00030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Fletcher Building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00051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Flightworks</w:t>
            </w:r>
            <w:proofErr w:type="spellEnd"/>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00108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Fonterra Co-operative Group</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00144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Forest &amp; Wood Action Group</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05016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Forest Management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00024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Forest Management NZ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05007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cantSplit/>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Frame, Dave (Victoria University Wellington)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02000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Fursdon</w:t>
            </w:r>
            <w:proofErr w:type="spellEnd"/>
            <w:r w:rsidRPr="00CE58D8">
              <w:rPr>
                <w:rFonts w:asciiTheme="minorHAnsi" w:hAnsiTheme="minorHAnsi" w:cs="Times New Roman"/>
                <w:bCs/>
                <w:lang w:eastAsia="en-NZ"/>
              </w:rPr>
              <w:t>, Sonia</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02019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52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Futures Committee of the Religious Society of Friends (Quakers) of </w:t>
            </w:r>
            <w:proofErr w:type="spellStart"/>
            <w:r w:rsidRPr="00CE58D8">
              <w:rPr>
                <w:rFonts w:asciiTheme="minorHAnsi" w:hAnsiTheme="minorHAnsi" w:cs="Times New Roman"/>
                <w:bCs/>
                <w:lang w:eastAsia="en-NZ"/>
              </w:rPr>
              <w:t>Aotearoa</w:t>
            </w:r>
            <w:proofErr w:type="spellEnd"/>
            <w:r w:rsidRPr="00CE58D8">
              <w:rPr>
                <w:rFonts w:asciiTheme="minorHAnsi" w:hAnsiTheme="minorHAnsi" w:cs="Times New Roman"/>
                <w:bCs/>
                <w:lang w:eastAsia="en-NZ"/>
              </w:rPr>
              <w:t xml:space="preserve"> New Zealand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00037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Geddes, Patrick</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02035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Generation Zero</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00198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Genesis Energy</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00053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Gibbons Holdings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00130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Gifford, Murray</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05011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Gilmore, Shannon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02043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Graeme, Basil and Anne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00164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Graeme, Kate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02053</w:t>
            </w:r>
          </w:p>
        </w:tc>
      </w:tr>
      <w:tr w:rsidR="008C6798" w:rsidRPr="00020444"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Graymont</w:t>
            </w:r>
            <w:proofErr w:type="spellEnd"/>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00048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Greater Wellington Regional Council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00197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Green Party of </w:t>
            </w:r>
            <w:proofErr w:type="spellStart"/>
            <w:r w:rsidRPr="00CE58D8">
              <w:rPr>
                <w:rFonts w:asciiTheme="minorHAnsi" w:hAnsiTheme="minorHAnsi" w:cs="Times New Roman"/>
                <w:bCs/>
                <w:lang w:eastAsia="en-NZ"/>
              </w:rPr>
              <w:t>Aotearoa</w:t>
            </w:r>
            <w:proofErr w:type="spellEnd"/>
            <w:r w:rsidRPr="00CE58D8">
              <w:rPr>
                <w:rFonts w:asciiTheme="minorHAnsi" w:hAnsiTheme="minorHAnsi" w:cs="Times New Roman"/>
                <w:bCs/>
                <w:lang w:eastAsia="en-NZ"/>
              </w:rPr>
              <w:t xml:space="preserve"> New Zealand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00124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Guardians of New Zealand Superannuation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00077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Gull New Zealand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03009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lastRenderedPageBreak/>
              <w:t>Hall, David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05010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Hall, Peter William</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04003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Harbour Head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05001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Harding, Bill</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04021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Hastings District Council (</w:t>
            </w:r>
            <w:proofErr w:type="spellStart"/>
            <w:r w:rsidRPr="00CE58D8">
              <w:rPr>
                <w:rFonts w:asciiTheme="minorHAnsi" w:hAnsiTheme="minorHAnsi" w:cs="Times New Roman"/>
                <w:bCs/>
                <w:lang w:eastAsia="en-NZ"/>
              </w:rPr>
              <w:t>Omarunui</w:t>
            </w:r>
            <w:proofErr w:type="spellEnd"/>
            <w:r w:rsidRPr="00CE58D8">
              <w:rPr>
                <w:rFonts w:asciiTheme="minorHAnsi" w:hAnsiTheme="minorHAnsi" w:cs="Times New Roman"/>
                <w:bCs/>
                <w:lang w:eastAsia="en-NZ"/>
              </w:rPr>
              <w:t xml:space="preserve"> Landfill)</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00127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Hearle</w:t>
            </w:r>
            <w:proofErr w:type="spellEnd"/>
            <w:r w:rsidRPr="00CE58D8">
              <w:rPr>
                <w:rFonts w:asciiTheme="minorHAnsi" w:hAnsiTheme="minorHAnsi" w:cs="Times New Roman"/>
                <w:bCs/>
                <w:lang w:eastAsia="en-NZ"/>
              </w:rPr>
              <w:t>, Kevin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00023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Heffman</w:t>
            </w:r>
            <w:proofErr w:type="spellEnd"/>
            <w:r w:rsidRPr="00CE58D8">
              <w:rPr>
                <w:rFonts w:asciiTheme="minorHAnsi" w:hAnsiTheme="minorHAnsi" w:cs="Times New Roman"/>
                <w:bCs/>
                <w:lang w:eastAsia="en-NZ"/>
              </w:rPr>
              <w:t>, Doug</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00045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Henderson, Neil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00118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Holcim (New Zealand)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00038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Horizons Regional Council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00027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lang w:eastAsia="en-NZ"/>
              </w:rPr>
            </w:pPr>
            <w:proofErr w:type="spellStart"/>
            <w:r w:rsidRPr="00CE58D8">
              <w:rPr>
                <w:rFonts w:asciiTheme="minorHAnsi" w:hAnsiTheme="minorHAnsi" w:cs="Times New Roman"/>
                <w:lang w:eastAsia="en-NZ"/>
              </w:rPr>
              <w:t>Horowhenua</w:t>
            </w:r>
            <w:proofErr w:type="spellEnd"/>
            <w:r w:rsidRPr="00CE58D8">
              <w:rPr>
                <w:rFonts w:asciiTheme="minorHAnsi" w:hAnsiTheme="minorHAnsi" w:cs="Times New Roman"/>
                <w:lang w:eastAsia="en-NZ"/>
              </w:rPr>
              <w:t xml:space="preserve"> District Council</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05024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52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Horticulture New Zealand, Vegetables New Zealand Inc. and Tomatoes New Zealand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03004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Hyson, Michael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00005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IFS Growth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04004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Independent Electricity Generators Association</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04027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Industrial Symbiosis </w:t>
            </w:r>
            <w:proofErr w:type="spellStart"/>
            <w:r w:rsidRPr="00CE58D8">
              <w:rPr>
                <w:rFonts w:asciiTheme="minorHAnsi" w:hAnsiTheme="minorHAnsi" w:cs="Times New Roman"/>
                <w:bCs/>
                <w:lang w:eastAsia="en-NZ"/>
              </w:rPr>
              <w:t>Kawerau</w:t>
            </w:r>
            <w:proofErr w:type="spellEnd"/>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05014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Inglis</w:t>
            </w:r>
            <w:proofErr w:type="spellEnd"/>
            <w:r w:rsidRPr="00CE58D8">
              <w:rPr>
                <w:rFonts w:asciiTheme="minorHAnsi" w:hAnsiTheme="minorHAnsi" w:cs="Times New Roman"/>
                <w:bCs/>
                <w:lang w:eastAsia="en-NZ"/>
              </w:rPr>
              <w:t>, Murray</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00031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International Emissions Trading Association</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04006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Investor Group on Climate Change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00201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Jenkin, </w:t>
            </w:r>
            <w:proofErr w:type="spellStart"/>
            <w:r w:rsidRPr="00CE58D8">
              <w:rPr>
                <w:rFonts w:asciiTheme="minorHAnsi" w:hAnsiTheme="minorHAnsi" w:cs="Times New Roman"/>
                <w:bCs/>
                <w:lang w:eastAsia="en-NZ"/>
              </w:rPr>
              <w:t>Rosalee</w:t>
            </w:r>
            <w:proofErr w:type="spellEnd"/>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02050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Johnston, George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02048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Jonasen</w:t>
            </w:r>
            <w:proofErr w:type="spellEnd"/>
            <w:r w:rsidRPr="00CE58D8">
              <w:rPr>
                <w:rFonts w:asciiTheme="minorHAnsi" w:hAnsiTheme="minorHAnsi" w:cs="Times New Roman"/>
                <w:bCs/>
                <w:lang w:eastAsia="en-NZ"/>
              </w:rPr>
              <w:t>, Chris</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04001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Jones, Philip</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02021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cantSplit/>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JTL Carbon Farming Consultancy </w:t>
            </w:r>
          </w:p>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02024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Kahui</w:t>
            </w:r>
            <w:proofErr w:type="spellEnd"/>
            <w:r w:rsidRPr="00CE58D8">
              <w:rPr>
                <w:rFonts w:asciiTheme="minorHAnsi" w:hAnsiTheme="minorHAnsi" w:cs="Times New Roman"/>
                <w:bCs/>
                <w:lang w:eastAsia="en-NZ"/>
              </w:rPr>
              <w:t>, Jean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00100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Kaipara Hills Forest Partnership</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02002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Keith, Suze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02016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Kerr, Suzi and </w:t>
            </w:r>
            <w:proofErr w:type="spellStart"/>
            <w:r w:rsidRPr="00CE58D8">
              <w:rPr>
                <w:rFonts w:asciiTheme="minorHAnsi" w:hAnsiTheme="minorHAnsi" w:cs="Times New Roman"/>
                <w:bCs/>
                <w:lang w:eastAsia="en-NZ"/>
              </w:rPr>
              <w:t>Leining</w:t>
            </w:r>
            <w:proofErr w:type="spellEnd"/>
            <w:r w:rsidRPr="00CE58D8">
              <w:rPr>
                <w:rFonts w:asciiTheme="minorHAnsi" w:hAnsiTheme="minorHAnsi" w:cs="Times New Roman"/>
                <w:bCs/>
                <w:lang w:eastAsia="en-NZ"/>
              </w:rPr>
              <w:t>, Catherine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00158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Kim, Victoria</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02032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KiwiRail</w:t>
            </w:r>
            <w:proofErr w:type="spellEnd"/>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02029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Kupa</w:t>
            </w:r>
            <w:proofErr w:type="spellEnd"/>
            <w:r w:rsidRPr="00CE58D8">
              <w:rPr>
                <w:rFonts w:asciiTheme="minorHAnsi" w:hAnsiTheme="minorHAnsi" w:cs="Times New Roman"/>
                <w:bCs/>
                <w:lang w:eastAsia="en-NZ"/>
              </w:rPr>
              <w:t xml:space="preserve">, Tania </w:t>
            </w:r>
            <w:proofErr w:type="spellStart"/>
            <w:r w:rsidRPr="00CE58D8">
              <w:rPr>
                <w:rFonts w:asciiTheme="minorHAnsi" w:hAnsiTheme="minorHAnsi" w:cs="Times New Roman"/>
                <w:bCs/>
                <w:lang w:eastAsia="en-NZ"/>
              </w:rPr>
              <w:t>Huata</w:t>
            </w:r>
            <w:proofErr w:type="spellEnd"/>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04020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52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lastRenderedPageBreak/>
              <w:t xml:space="preserve">Lake </w:t>
            </w:r>
            <w:proofErr w:type="spellStart"/>
            <w:r w:rsidRPr="00CE58D8">
              <w:rPr>
                <w:rFonts w:asciiTheme="minorHAnsi" w:hAnsiTheme="minorHAnsi" w:cs="Times New Roman"/>
                <w:bCs/>
                <w:lang w:eastAsia="en-NZ"/>
              </w:rPr>
              <w:t>Taupo</w:t>
            </w:r>
            <w:proofErr w:type="spellEnd"/>
            <w:r w:rsidRPr="00CE58D8">
              <w:rPr>
                <w:rFonts w:asciiTheme="minorHAnsi" w:hAnsiTheme="minorHAnsi" w:cs="Times New Roman"/>
                <w:bCs/>
                <w:lang w:eastAsia="en-NZ"/>
              </w:rPr>
              <w:t xml:space="preserve"> Forest Trust and the Lake </w:t>
            </w:r>
            <w:proofErr w:type="spellStart"/>
            <w:r w:rsidRPr="00CE58D8">
              <w:rPr>
                <w:rFonts w:asciiTheme="minorHAnsi" w:hAnsiTheme="minorHAnsi" w:cs="Times New Roman"/>
                <w:bCs/>
                <w:lang w:eastAsia="en-NZ"/>
              </w:rPr>
              <w:t>Rotoaira</w:t>
            </w:r>
            <w:proofErr w:type="spellEnd"/>
            <w:r w:rsidRPr="00CE58D8">
              <w:rPr>
                <w:rFonts w:asciiTheme="minorHAnsi" w:hAnsiTheme="minorHAnsi" w:cs="Times New Roman"/>
                <w:bCs/>
                <w:lang w:eastAsia="en-NZ"/>
              </w:rPr>
              <w:t xml:space="preserve"> Forest Trust</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00139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247"/>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Lambert, Rod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05015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247"/>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Landcare</w:t>
            </w:r>
            <w:proofErr w:type="spellEnd"/>
            <w:r w:rsidRPr="00CE58D8">
              <w:rPr>
                <w:rFonts w:asciiTheme="minorHAnsi" w:hAnsiTheme="minorHAnsi" w:cs="Times New Roman"/>
                <w:bCs/>
                <w:lang w:eastAsia="en-NZ"/>
              </w:rPr>
              <w:t xml:space="preserve"> Research</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04034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52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Lansdowne Forestry Limited and Fraser Forest Partnership</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03001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Laurie Forestry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02020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Leijen, Linda and Sam</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04036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Lees-Green, Rachel </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02038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Lindsay, Catherine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00001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Livesey</w:t>
            </w:r>
            <w:proofErr w:type="spellEnd"/>
            <w:r w:rsidRPr="00CE58D8">
              <w:rPr>
                <w:rFonts w:asciiTheme="minorHAnsi" w:hAnsiTheme="minorHAnsi" w:cs="Times New Roman"/>
                <w:bCs/>
                <w:lang w:eastAsia="en-NZ"/>
              </w:rPr>
              <w:t>, Chris</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00016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Lloyd, David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06000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LN Bosman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04024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Macey, Adrian (Victoria University, Wellington)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00046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Mackwell</w:t>
            </w:r>
            <w:proofErr w:type="spellEnd"/>
            <w:r w:rsidRPr="00CE58D8">
              <w:rPr>
                <w:rFonts w:asciiTheme="minorHAnsi" w:hAnsiTheme="minorHAnsi" w:cs="Times New Roman"/>
                <w:bCs/>
                <w:lang w:eastAsia="en-NZ"/>
              </w:rPr>
              <w:t xml:space="preserve"> Locomotive Company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05027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MacLennan, Anne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00208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MacTavish, </w:t>
            </w:r>
            <w:proofErr w:type="spellStart"/>
            <w:r w:rsidRPr="00CE58D8">
              <w:rPr>
                <w:rFonts w:asciiTheme="minorHAnsi" w:hAnsiTheme="minorHAnsi" w:cs="Times New Roman"/>
                <w:bCs/>
                <w:lang w:eastAsia="en-NZ"/>
              </w:rPr>
              <w:t>Dugald</w:t>
            </w:r>
            <w:proofErr w:type="spellEnd"/>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05026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Main, Nicholas</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00078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Manks</w:t>
            </w:r>
            <w:proofErr w:type="spellEnd"/>
            <w:r w:rsidRPr="00CE58D8">
              <w:rPr>
                <w:rFonts w:asciiTheme="minorHAnsi" w:hAnsiTheme="minorHAnsi" w:cs="Times New Roman"/>
                <w:bCs/>
                <w:lang w:eastAsia="en-NZ"/>
              </w:rPr>
              <w:t>, Jeremy</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00087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Mapp, Jennifer</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00170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Margaree</w:t>
            </w:r>
            <w:proofErr w:type="spellEnd"/>
            <w:r w:rsidRPr="00CE58D8">
              <w:rPr>
                <w:rFonts w:asciiTheme="minorHAnsi" w:hAnsiTheme="minorHAnsi" w:cs="Times New Roman"/>
                <w:bCs/>
                <w:lang w:eastAsia="en-NZ"/>
              </w:rPr>
              <w:t xml:space="preserve"> Consultants </w:t>
            </w:r>
            <w:proofErr w:type="spellStart"/>
            <w:r w:rsidRPr="00CE58D8">
              <w:rPr>
                <w:rFonts w:asciiTheme="minorHAnsi" w:hAnsiTheme="minorHAnsi" w:cs="Times New Roman"/>
                <w:bCs/>
                <w:lang w:eastAsia="en-NZ"/>
              </w:rPr>
              <w:t>Inc</w:t>
            </w:r>
            <w:proofErr w:type="spellEnd"/>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02004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Margules</w:t>
            </w:r>
            <w:proofErr w:type="spellEnd"/>
            <w:r w:rsidRPr="00CE58D8">
              <w:rPr>
                <w:rFonts w:asciiTheme="minorHAnsi" w:hAnsiTheme="minorHAnsi" w:cs="Times New Roman"/>
                <w:bCs/>
                <w:lang w:eastAsia="en-NZ"/>
              </w:rPr>
              <w:t xml:space="preserve"> </w:t>
            </w:r>
            <w:proofErr w:type="spellStart"/>
            <w:r w:rsidRPr="00CE58D8">
              <w:rPr>
                <w:rFonts w:asciiTheme="minorHAnsi" w:hAnsiTheme="minorHAnsi" w:cs="Times New Roman"/>
                <w:bCs/>
                <w:lang w:eastAsia="en-NZ"/>
              </w:rPr>
              <w:t>Groome</w:t>
            </w:r>
            <w:proofErr w:type="spellEnd"/>
            <w:r w:rsidRPr="00CE58D8">
              <w:rPr>
                <w:rFonts w:asciiTheme="minorHAnsi" w:hAnsiTheme="minorHAnsi" w:cs="Times New Roman"/>
                <w:bCs/>
                <w:lang w:eastAsia="en-NZ"/>
              </w:rPr>
              <w:t xml:space="preserve"> Consulting</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02017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Marlborough District Council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00010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Marquardt, Maurice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02022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Mason, Professor Euan G.</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00136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Matariki</w:t>
            </w:r>
            <w:proofErr w:type="spellEnd"/>
            <w:r w:rsidRPr="00CE58D8">
              <w:rPr>
                <w:rFonts w:asciiTheme="minorHAnsi" w:hAnsiTheme="minorHAnsi" w:cs="Times New Roman"/>
                <w:bCs/>
                <w:lang w:eastAsia="en-NZ"/>
              </w:rPr>
              <w:t xml:space="preserve"> Forests</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04019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Maxted</w:t>
            </w:r>
            <w:proofErr w:type="spellEnd"/>
            <w:r w:rsidRPr="00CE58D8">
              <w:rPr>
                <w:rFonts w:asciiTheme="minorHAnsi" w:hAnsiTheme="minorHAnsi" w:cs="Times New Roman"/>
                <w:bCs/>
                <w:lang w:eastAsia="en-NZ"/>
              </w:rPr>
              <w:t>, Suzanne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02012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McClintock, Murray</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02046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McEwen, Andrew</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00184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McGuiness Institute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05023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Meads, Sarah</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00187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Meridian Energy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00057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Methanex</w:t>
            </w:r>
            <w:proofErr w:type="spellEnd"/>
            <w:r w:rsidRPr="00CE58D8">
              <w:rPr>
                <w:rFonts w:asciiTheme="minorHAnsi" w:hAnsiTheme="minorHAnsi" w:cs="Times New Roman"/>
                <w:bCs/>
                <w:lang w:eastAsia="en-NZ"/>
              </w:rPr>
              <w:t xml:space="preserve"> New Zealand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00137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Mighty River Power</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00152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Moana Ola Pasifika Public Health Network</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00202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lastRenderedPageBreak/>
              <w:t>Moleta</w:t>
            </w:r>
            <w:proofErr w:type="spellEnd"/>
            <w:r w:rsidRPr="00CE58D8">
              <w:rPr>
                <w:rFonts w:asciiTheme="minorHAnsi" w:hAnsiTheme="minorHAnsi" w:cs="Times New Roman"/>
                <w:bCs/>
                <w:lang w:eastAsia="en-NZ"/>
              </w:rPr>
              <w:t>, Nick</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02044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Morgan Foundation </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00093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cantSplit/>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Morgan F</w:t>
            </w:r>
            <w:r w:rsidR="00091D85">
              <w:rPr>
                <w:rFonts w:asciiTheme="minorHAnsi" w:hAnsiTheme="minorHAnsi" w:cs="Times New Roman"/>
                <w:bCs/>
                <w:lang w:eastAsia="en-NZ"/>
              </w:rPr>
              <w:t xml:space="preserve">oundation </w:t>
            </w:r>
            <w:r w:rsidR="00091D85">
              <w:rPr>
                <w:rFonts w:asciiTheme="minorHAnsi" w:hAnsiTheme="minorHAnsi" w:cs="Times New Roman"/>
                <w:bCs/>
                <w:lang w:eastAsia="en-NZ"/>
              </w:rPr>
              <w:br/>
              <w:t>(form submission x49)</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Mortimer Forestry Management</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00004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cantSplit/>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Motor Industry Association of New Zealand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00090</w:t>
            </w:r>
          </w:p>
        </w:tc>
      </w:tr>
      <w:tr w:rsidR="008C6798" w:rsidRPr="00C76622" w:rsidTr="00CE58D8">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MRCagney</w:t>
            </w:r>
            <w:proofErr w:type="spellEnd"/>
            <w:r w:rsidRPr="00CE58D8">
              <w:rPr>
                <w:rFonts w:asciiTheme="minorHAnsi" w:hAnsiTheme="minorHAnsi" w:cs="Times New Roman"/>
                <w:bCs/>
                <w:lang w:eastAsia="en-NZ"/>
              </w:rPr>
              <w:t xml:space="preserve"> Pty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00099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Mueller-</w:t>
            </w:r>
            <w:proofErr w:type="spellStart"/>
            <w:r w:rsidRPr="00CE58D8">
              <w:rPr>
                <w:rFonts w:asciiTheme="minorHAnsi" w:hAnsiTheme="minorHAnsi" w:cs="Times New Roman"/>
                <w:bCs/>
                <w:lang w:eastAsia="en-NZ"/>
              </w:rPr>
              <w:t>Glodde</w:t>
            </w:r>
            <w:proofErr w:type="spellEnd"/>
            <w:r w:rsidRPr="00CE58D8">
              <w:rPr>
                <w:rFonts w:asciiTheme="minorHAnsi" w:hAnsiTheme="minorHAnsi" w:cs="Times New Roman"/>
                <w:bCs/>
                <w:lang w:eastAsia="en-NZ"/>
              </w:rPr>
              <w:t>, Rolf</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04000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Murupaenga-Ikenn</w:t>
            </w:r>
            <w:proofErr w:type="spellEnd"/>
            <w:r w:rsidRPr="00CE58D8">
              <w:rPr>
                <w:rFonts w:asciiTheme="minorHAnsi" w:hAnsiTheme="minorHAnsi" w:cs="Times New Roman"/>
                <w:bCs/>
                <w:lang w:eastAsia="en-NZ"/>
              </w:rPr>
              <w:t>, Catherine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04010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keepNext/>
              <w:rPr>
                <w:rFonts w:asciiTheme="minorHAnsi" w:hAnsiTheme="minorHAnsi" w:cs="Times New Roman"/>
                <w:bCs/>
                <w:lang w:eastAsia="en-NZ"/>
              </w:rPr>
            </w:pPr>
            <w:r w:rsidRPr="00CE58D8">
              <w:rPr>
                <w:rFonts w:asciiTheme="minorHAnsi" w:hAnsiTheme="minorHAnsi" w:cs="Times New Roman"/>
                <w:bCs/>
                <w:lang w:eastAsia="en-NZ"/>
              </w:rPr>
              <w:t>National Council of Women New Zealand</w:t>
            </w:r>
          </w:p>
        </w:tc>
        <w:tc>
          <w:tcPr>
            <w:tcW w:w="1169" w:type="dxa"/>
            <w:gridSpan w:val="2"/>
            <w:shd w:val="clear" w:color="auto" w:fill="auto"/>
            <w:noWrap/>
            <w:hideMark/>
          </w:tcPr>
          <w:p w:rsidR="008C6798" w:rsidRPr="00CE58D8" w:rsidRDefault="008C6798" w:rsidP="0009219A">
            <w:pPr>
              <w:pStyle w:val="TableText"/>
              <w:keepNext/>
              <w:rPr>
                <w:rFonts w:asciiTheme="minorHAnsi" w:hAnsiTheme="minorHAnsi" w:cs="Times New Roman"/>
                <w:lang w:eastAsia="en-NZ"/>
              </w:rPr>
            </w:pPr>
            <w:r w:rsidRPr="00CE58D8">
              <w:rPr>
                <w:rFonts w:asciiTheme="minorHAnsi" w:hAnsiTheme="minorHAnsi" w:cs="Times New Roman"/>
                <w:lang w:eastAsia="en-NZ"/>
              </w:rPr>
              <w:t>00042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National Energy Research Institute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00040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Natural Solutions Marine &amp; Terrestrial Ecologists Ltd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05019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52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Automobile Association Incorporated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00082</w:t>
            </w:r>
          </w:p>
        </w:tc>
      </w:tr>
      <w:tr w:rsidR="008C6798" w:rsidRPr="00F772CE"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Carbon Farming Group</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00069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Coal and Carbon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00094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52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New Zealand Council of Trade Unions </w:t>
            </w:r>
            <w:proofErr w:type="spellStart"/>
            <w:r w:rsidRPr="00CE58D8">
              <w:rPr>
                <w:rFonts w:asciiTheme="minorHAnsi" w:hAnsiTheme="minorHAnsi" w:cs="Times New Roman"/>
                <w:bCs/>
                <w:lang w:eastAsia="en-NZ"/>
              </w:rPr>
              <w:t>Te</w:t>
            </w:r>
            <w:proofErr w:type="spellEnd"/>
            <w:r w:rsidRPr="00CE58D8">
              <w:rPr>
                <w:rFonts w:asciiTheme="minorHAnsi" w:hAnsiTheme="minorHAnsi" w:cs="Times New Roman"/>
                <w:bCs/>
                <w:lang w:eastAsia="en-NZ"/>
              </w:rPr>
              <w:t xml:space="preserve"> </w:t>
            </w:r>
            <w:proofErr w:type="spellStart"/>
            <w:r w:rsidRPr="00CE58D8">
              <w:rPr>
                <w:rFonts w:asciiTheme="minorHAnsi" w:hAnsiTheme="minorHAnsi" w:cs="Times New Roman"/>
                <w:bCs/>
                <w:lang w:eastAsia="en-NZ"/>
              </w:rPr>
              <w:t>Kauae</w:t>
            </w:r>
            <w:proofErr w:type="spellEnd"/>
            <w:r w:rsidRPr="00CE58D8">
              <w:rPr>
                <w:rFonts w:asciiTheme="minorHAnsi" w:hAnsiTheme="minorHAnsi" w:cs="Times New Roman"/>
                <w:bCs/>
                <w:lang w:eastAsia="en-NZ"/>
              </w:rPr>
              <w:t xml:space="preserve"> </w:t>
            </w:r>
            <w:proofErr w:type="spellStart"/>
            <w:r w:rsidRPr="00CE58D8">
              <w:rPr>
                <w:rFonts w:asciiTheme="minorHAnsi" w:hAnsiTheme="minorHAnsi" w:cs="Times New Roman"/>
                <w:bCs/>
                <w:lang w:eastAsia="en-NZ"/>
              </w:rPr>
              <w:t>Kaimahi</w:t>
            </w:r>
            <w:proofErr w:type="spellEnd"/>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00153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Farm Forestry Association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00022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Forest Owners Association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00039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Green Building Council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00086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Institute of Forestry</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00083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Labour Party</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00103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Native Forests Reforestation Trust</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03000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Nurses Organisation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00181</w:t>
            </w:r>
          </w:p>
        </w:tc>
      </w:tr>
      <w:tr w:rsidR="008C6798" w:rsidRPr="00F772CE"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Oil and Gas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00160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Shipping Federation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00101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Steel</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00044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New Zealand Timber Industry Federation </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05005</w:t>
            </w:r>
          </w:p>
        </w:tc>
      </w:tr>
      <w:tr w:rsidR="008C6798" w:rsidRPr="00C76622" w:rsidTr="00F35AB4">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cantSplit/>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lastRenderedPageBreak/>
              <w:t>New Zealand Wind Energy Association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00052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New Zealand Youth Delegation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00205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Ngāti</w:t>
            </w:r>
            <w:proofErr w:type="spellEnd"/>
            <w:r w:rsidRPr="00CE58D8">
              <w:rPr>
                <w:rFonts w:asciiTheme="minorHAnsi" w:hAnsiTheme="minorHAnsi" w:cs="Times New Roman"/>
                <w:bCs/>
                <w:lang w:eastAsia="en-NZ"/>
              </w:rPr>
              <w:t xml:space="preserve"> Hine Forestry Trust</w:t>
            </w:r>
          </w:p>
        </w:tc>
        <w:tc>
          <w:tcPr>
            <w:tcW w:w="1169" w:type="dxa"/>
            <w:gridSpan w:val="2"/>
            <w:shd w:val="clear" w:color="auto" w:fill="FFFFFF" w:themeFill="background1"/>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00066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Northland Regional Landfill Partnership</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02042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Northland Waste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00112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Nortona</w:t>
            </w:r>
            <w:proofErr w:type="spellEnd"/>
            <w:r w:rsidRPr="00CE58D8">
              <w:rPr>
                <w:rFonts w:asciiTheme="minorHAnsi" w:hAnsiTheme="minorHAnsi" w:cs="Times New Roman"/>
                <w:bCs/>
                <w:lang w:eastAsia="en-NZ"/>
              </w:rPr>
              <w:t xml:space="preserve">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03003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O’Connor, Katie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00141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Ogle Consulting Limited </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00041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O-I ACI Operations New Zealand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04030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Oji Fibre Solutions</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00071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Oliver, Jared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02057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Olorenshaw</w:t>
            </w:r>
            <w:proofErr w:type="spellEnd"/>
            <w:r w:rsidRPr="00CE58D8">
              <w:rPr>
                <w:rFonts w:asciiTheme="minorHAnsi" w:hAnsiTheme="minorHAnsi" w:cs="Times New Roman"/>
                <w:bCs/>
                <w:lang w:eastAsia="en-NZ"/>
              </w:rPr>
              <w:t>, Peter</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02025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t>OraTaiao</w:t>
            </w:r>
            <w:proofErr w:type="spellEnd"/>
            <w:r w:rsidRPr="00CE58D8">
              <w:t>: The New Zealand Climate and Health Council</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00203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Origin Energy</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00089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Otago Regional Council</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03010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Owhaoko</w:t>
            </w:r>
            <w:proofErr w:type="spellEnd"/>
            <w:r w:rsidRPr="00CE58D8">
              <w:rPr>
                <w:rFonts w:asciiTheme="minorHAnsi" w:hAnsiTheme="minorHAnsi" w:cs="Times New Roman"/>
                <w:bCs/>
                <w:lang w:eastAsia="en-NZ"/>
              </w:rPr>
              <w:t xml:space="preserve"> B&amp;D Trust</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02054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Pacific Aluminium</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00122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Papps</w:t>
            </w:r>
            <w:proofErr w:type="spellEnd"/>
            <w:r w:rsidRPr="00CE58D8">
              <w:rPr>
                <w:rFonts w:asciiTheme="minorHAnsi" w:hAnsiTheme="minorHAnsi" w:cs="Times New Roman"/>
                <w:bCs/>
                <w:lang w:eastAsia="en-NZ"/>
              </w:rPr>
              <w:t>, Simon</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05002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Parker, John</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02033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Parliamentary Commissioner for the Environment</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00047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52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Pastoral Farming – Climate Research</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00072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Paterson, Matthew</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00058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Penwarden</w:t>
            </w:r>
            <w:proofErr w:type="spellEnd"/>
            <w:r w:rsidRPr="00CE58D8">
              <w:rPr>
                <w:rFonts w:asciiTheme="minorHAnsi" w:hAnsiTheme="minorHAnsi" w:cs="Times New Roman"/>
                <w:bCs/>
                <w:lang w:eastAsia="en-NZ"/>
              </w:rPr>
              <w:t>, Rosemary</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00209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Permanent Forests New Zealand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00054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Petroleum Exploration and Production Association</w:t>
            </w:r>
          </w:p>
        </w:tc>
        <w:tc>
          <w:tcPr>
            <w:tcW w:w="1169" w:type="dxa"/>
            <w:gridSpan w:val="2"/>
            <w:shd w:val="clear" w:color="auto" w:fill="FFFFFF" w:themeFill="background1"/>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00114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52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PF Olsen</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00006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Phillips, Brent</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02047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Pioneer Energy</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00133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Pivac, Jack</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02018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Pivac, Steve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00096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Poole, Barry (</w:t>
            </w:r>
            <w:proofErr w:type="spellStart"/>
            <w:r w:rsidRPr="00CE58D8">
              <w:rPr>
                <w:rFonts w:asciiTheme="minorHAnsi" w:hAnsiTheme="minorHAnsi" w:cs="Times New Roman"/>
                <w:bCs/>
                <w:lang w:eastAsia="en-NZ"/>
              </w:rPr>
              <w:t>Kakaho</w:t>
            </w:r>
            <w:proofErr w:type="spellEnd"/>
            <w:r w:rsidRPr="00CE58D8">
              <w:rPr>
                <w:rFonts w:asciiTheme="minorHAnsi" w:hAnsiTheme="minorHAnsi" w:cs="Times New Roman"/>
                <w:bCs/>
                <w:lang w:eastAsia="en-NZ"/>
              </w:rPr>
              <w:t xml:space="preserve"> Bay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00035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lastRenderedPageBreak/>
              <w:t>Powerco</w:t>
            </w:r>
            <w:proofErr w:type="spellEnd"/>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04009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Preddy</w:t>
            </w:r>
            <w:proofErr w:type="spellEnd"/>
            <w:r w:rsidRPr="00CE58D8">
              <w:rPr>
                <w:rFonts w:asciiTheme="minorHAnsi" w:hAnsiTheme="minorHAnsi" w:cs="Times New Roman"/>
                <w:bCs/>
                <w:lang w:eastAsia="en-NZ"/>
              </w:rPr>
              <w:t>, George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04005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Proprietors of </w:t>
            </w:r>
            <w:proofErr w:type="spellStart"/>
            <w:r w:rsidRPr="00CE58D8">
              <w:rPr>
                <w:rFonts w:asciiTheme="minorHAnsi" w:hAnsiTheme="minorHAnsi" w:cs="Times New Roman"/>
                <w:bCs/>
                <w:lang w:eastAsia="en-NZ"/>
              </w:rPr>
              <w:t>Nuhiti</w:t>
            </w:r>
            <w:proofErr w:type="spellEnd"/>
            <w:r w:rsidRPr="00CE58D8">
              <w:rPr>
                <w:rFonts w:asciiTheme="minorHAnsi" w:hAnsiTheme="minorHAnsi" w:cs="Times New Roman"/>
                <w:bCs/>
                <w:lang w:eastAsia="en-NZ"/>
              </w:rPr>
              <w:t xml:space="preserve"> Q Incorporation</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05018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Pugmire, Sue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00063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Pukaki</w:t>
            </w:r>
            <w:proofErr w:type="spellEnd"/>
            <w:r w:rsidRPr="00CE58D8">
              <w:rPr>
                <w:rFonts w:asciiTheme="minorHAnsi" w:hAnsiTheme="minorHAnsi" w:cs="Times New Roman"/>
                <w:bCs/>
                <w:lang w:eastAsia="en-NZ"/>
              </w:rPr>
              <w:t xml:space="preserve"> Forestry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00097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Purchase, Rosalie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05020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Pure Advantage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05008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Rameka</w:t>
            </w:r>
            <w:proofErr w:type="spellEnd"/>
            <w:r w:rsidRPr="00CE58D8">
              <w:rPr>
                <w:rFonts w:asciiTheme="minorHAnsi" w:hAnsiTheme="minorHAnsi" w:cs="Times New Roman"/>
                <w:bCs/>
                <w:lang w:eastAsia="en-NZ"/>
              </w:rPr>
              <w:t xml:space="preserve"> Forest Restoration Charitable Trust</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00091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000000" w:fill="FFFFFF"/>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Rangitikei District Council</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00007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Refining NZ</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00148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Roberts, Martin</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02028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Robertson, Jodie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02045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Robson Holdings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02009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Rotorua</w:t>
            </w:r>
            <w:proofErr w:type="spellEnd"/>
            <w:r w:rsidRPr="00CE58D8">
              <w:rPr>
                <w:rFonts w:asciiTheme="minorHAnsi" w:hAnsiTheme="minorHAnsi" w:cs="Times New Roman"/>
                <w:bCs/>
                <w:lang w:eastAsia="en-NZ"/>
              </w:rPr>
              <w:t xml:space="preserve"> Lakes Council</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00075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Rushton, Emily</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02058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Schwartfeger</w:t>
            </w:r>
            <w:proofErr w:type="spellEnd"/>
            <w:r w:rsidRPr="00CE58D8">
              <w:rPr>
                <w:rFonts w:asciiTheme="minorHAnsi" w:hAnsiTheme="minorHAnsi" w:cs="Times New Roman"/>
                <w:bCs/>
                <w:lang w:eastAsia="en-NZ"/>
              </w:rPr>
              <w:t>, Luke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02040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Scion (New Zealand Forest Research Institute)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00186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Senanyake</w:t>
            </w:r>
            <w:proofErr w:type="spellEnd"/>
            <w:r w:rsidRPr="00CE58D8">
              <w:rPr>
                <w:rFonts w:asciiTheme="minorHAnsi" w:hAnsiTheme="minorHAnsi" w:cs="Times New Roman"/>
                <w:bCs/>
                <w:lang w:eastAsia="en-NZ"/>
              </w:rPr>
              <w:t xml:space="preserve">, </w:t>
            </w:r>
            <w:proofErr w:type="spellStart"/>
            <w:r w:rsidRPr="00CE58D8">
              <w:rPr>
                <w:rFonts w:asciiTheme="minorHAnsi" w:hAnsiTheme="minorHAnsi" w:cs="Times New Roman"/>
                <w:bCs/>
                <w:lang w:eastAsia="en-NZ"/>
              </w:rPr>
              <w:t>Pubudu</w:t>
            </w:r>
            <w:proofErr w:type="spellEnd"/>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02041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Sharp, Sarah</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02049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Shearer, Ian</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02026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Sheha</w:t>
            </w:r>
            <w:proofErr w:type="spellEnd"/>
            <w:r w:rsidRPr="00CE58D8">
              <w:rPr>
                <w:rFonts w:asciiTheme="minorHAnsi" w:hAnsiTheme="minorHAnsi" w:cs="Times New Roman"/>
                <w:bCs/>
                <w:lang w:eastAsia="en-NZ"/>
              </w:rPr>
              <w:t xml:space="preserve">, </w:t>
            </w:r>
            <w:proofErr w:type="spellStart"/>
            <w:r w:rsidRPr="00CE58D8">
              <w:rPr>
                <w:rFonts w:asciiTheme="minorHAnsi" w:hAnsiTheme="minorHAnsi" w:cs="Times New Roman"/>
                <w:bCs/>
                <w:lang w:eastAsia="en-NZ"/>
              </w:rPr>
              <w:t>Anver</w:t>
            </w:r>
            <w:proofErr w:type="spellEnd"/>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02027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Shell New Zealand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00085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Shirley, James</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02059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Southern Forests NZ Limited and Carbon Solutions NZ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05003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Springford, Liz</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05025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Springford, Owen</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00020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Stinson, Chris</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02036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Straterra</w:t>
            </w:r>
            <w:proofErr w:type="spellEnd"/>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00102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Sustainability Council of New Zealand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00204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Sustainable Business Council</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00111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Sustainable Initiatives </w:t>
            </w:r>
            <w:proofErr w:type="spellStart"/>
            <w:r w:rsidRPr="00CE58D8">
              <w:rPr>
                <w:rFonts w:asciiTheme="minorHAnsi" w:hAnsiTheme="minorHAnsi" w:cs="Times New Roman"/>
                <w:bCs/>
                <w:lang w:eastAsia="en-NZ"/>
              </w:rPr>
              <w:t>Aotearoa</w:t>
            </w:r>
            <w:proofErr w:type="spellEnd"/>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02023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Taranaki Energy Watch </w:t>
            </w:r>
            <w:proofErr w:type="spellStart"/>
            <w:r w:rsidRPr="00CE58D8">
              <w:rPr>
                <w:rFonts w:asciiTheme="minorHAnsi" w:hAnsiTheme="minorHAnsi" w:cs="Times New Roman"/>
                <w:bCs/>
                <w:lang w:eastAsia="en-NZ"/>
              </w:rPr>
              <w:t>Inc</w:t>
            </w:r>
            <w:proofErr w:type="spellEnd"/>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00142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Taumano</w:t>
            </w:r>
            <w:proofErr w:type="spellEnd"/>
            <w:r w:rsidRPr="00CE58D8">
              <w:rPr>
                <w:rFonts w:asciiTheme="minorHAnsi" w:hAnsiTheme="minorHAnsi" w:cs="Times New Roman"/>
                <w:bCs/>
                <w:lang w:eastAsia="en-NZ"/>
              </w:rPr>
              <w:t xml:space="preserve"> Limited </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00172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lastRenderedPageBreak/>
              <w:t>Taupo</w:t>
            </w:r>
            <w:proofErr w:type="spellEnd"/>
            <w:r w:rsidRPr="00CE58D8">
              <w:rPr>
                <w:rFonts w:asciiTheme="minorHAnsi" w:hAnsiTheme="minorHAnsi" w:cs="Times New Roman"/>
                <w:bCs/>
                <w:lang w:eastAsia="en-NZ"/>
              </w:rPr>
              <w:t xml:space="preserve"> District Council</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00061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Tauranga Carbon Reduction Group</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00067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Taylor, George</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00043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Te</w:t>
            </w:r>
            <w:proofErr w:type="spellEnd"/>
            <w:r w:rsidRPr="00CE58D8">
              <w:rPr>
                <w:rFonts w:asciiTheme="minorHAnsi" w:hAnsiTheme="minorHAnsi" w:cs="Times New Roman"/>
                <w:bCs/>
                <w:lang w:eastAsia="en-NZ"/>
              </w:rPr>
              <w:t xml:space="preserve"> </w:t>
            </w:r>
            <w:proofErr w:type="spellStart"/>
            <w:r w:rsidRPr="00CE58D8">
              <w:rPr>
                <w:rFonts w:asciiTheme="minorHAnsi" w:hAnsiTheme="minorHAnsi" w:cs="Times New Roman"/>
                <w:bCs/>
                <w:lang w:eastAsia="en-NZ"/>
              </w:rPr>
              <w:t>Rūnanga</w:t>
            </w:r>
            <w:proofErr w:type="spellEnd"/>
            <w:r w:rsidRPr="00CE58D8">
              <w:rPr>
                <w:rFonts w:asciiTheme="minorHAnsi" w:hAnsiTheme="minorHAnsi" w:cs="Times New Roman"/>
                <w:bCs/>
                <w:lang w:eastAsia="en-NZ"/>
              </w:rPr>
              <w:t xml:space="preserve"> o </w:t>
            </w:r>
            <w:proofErr w:type="spellStart"/>
            <w:r w:rsidRPr="00CE58D8">
              <w:rPr>
                <w:rFonts w:asciiTheme="minorHAnsi" w:hAnsiTheme="minorHAnsi" w:cs="Times New Roman"/>
                <w:bCs/>
                <w:lang w:eastAsia="en-NZ"/>
              </w:rPr>
              <w:t>Ngāi</w:t>
            </w:r>
            <w:proofErr w:type="spellEnd"/>
            <w:r w:rsidRPr="00CE58D8">
              <w:rPr>
                <w:rFonts w:asciiTheme="minorHAnsi" w:hAnsiTheme="minorHAnsi" w:cs="Times New Roman"/>
                <w:bCs/>
                <w:lang w:eastAsia="en-NZ"/>
              </w:rPr>
              <w:t xml:space="preserve"> </w:t>
            </w:r>
            <w:proofErr w:type="spellStart"/>
            <w:r w:rsidRPr="00CE58D8">
              <w:rPr>
                <w:rFonts w:asciiTheme="minorHAnsi" w:hAnsiTheme="minorHAnsi" w:cs="Times New Roman"/>
                <w:bCs/>
                <w:lang w:eastAsia="en-NZ"/>
              </w:rPr>
              <w:t>Tahu</w:t>
            </w:r>
            <w:proofErr w:type="spellEnd"/>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00154</w:t>
            </w:r>
          </w:p>
        </w:tc>
      </w:tr>
      <w:tr w:rsidR="008C6798" w:rsidRPr="003A114E"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Te</w:t>
            </w:r>
            <w:proofErr w:type="spellEnd"/>
            <w:r w:rsidRPr="00CE58D8">
              <w:rPr>
                <w:rFonts w:asciiTheme="minorHAnsi" w:hAnsiTheme="minorHAnsi" w:cs="Times New Roman"/>
                <w:bCs/>
                <w:lang w:eastAsia="en-NZ"/>
              </w:rPr>
              <w:t xml:space="preserve"> </w:t>
            </w:r>
            <w:proofErr w:type="spellStart"/>
            <w:r w:rsidRPr="00CE58D8">
              <w:rPr>
                <w:rFonts w:asciiTheme="minorHAnsi" w:hAnsiTheme="minorHAnsi" w:cs="Times New Roman"/>
                <w:bCs/>
                <w:lang w:eastAsia="en-NZ"/>
              </w:rPr>
              <w:t>Rūnanga</w:t>
            </w:r>
            <w:proofErr w:type="spellEnd"/>
            <w:r w:rsidRPr="00CE58D8">
              <w:rPr>
                <w:rFonts w:asciiTheme="minorHAnsi" w:hAnsiTheme="minorHAnsi" w:cs="Times New Roman"/>
                <w:bCs/>
                <w:lang w:eastAsia="en-NZ"/>
              </w:rPr>
              <w:t xml:space="preserve"> o </w:t>
            </w:r>
            <w:proofErr w:type="spellStart"/>
            <w:r w:rsidRPr="00CE58D8">
              <w:rPr>
                <w:rFonts w:asciiTheme="minorHAnsi" w:hAnsiTheme="minorHAnsi" w:cs="Times New Roman"/>
                <w:bCs/>
                <w:lang w:eastAsia="en-NZ"/>
              </w:rPr>
              <w:t>Ngāti</w:t>
            </w:r>
            <w:proofErr w:type="spellEnd"/>
            <w:r w:rsidRPr="00CE58D8">
              <w:rPr>
                <w:rFonts w:asciiTheme="minorHAnsi" w:hAnsiTheme="minorHAnsi" w:cs="Times New Roman"/>
                <w:bCs/>
                <w:lang w:eastAsia="en-NZ"/>
              </w:rPr>
              <w:t xml:space="preserve"> </w:t>
            </w:r>
            <w:proofErr w:type="spellStart"/>
            <w:r w:rsidRPr="00CE58D8">
              <w:rPr>
                <w:rFonts w:asciiTheme="minorHAnsi" w:hAnsiTheme="minorHAnsi" w:cs="Times New Roman"/>
                <w:bCs/>
                <w:lang w:eastAsia="en-NZ"/>
              </w:rPr>
              <w:t>Apa</w:t>
            </w:r>
            <w:proofErr w:type="spellEnd"/>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03011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Te</w:t>
            </w:r>
            <w:proofErr w:type="spellEnd"/>
            <w:r w:rsidRPr="00CE58D8">
              <w:rPr>
                <w:rFonts w:asciiTheme="minorHAnsi" w:hAnsiTheme="minorHAnsi" w:cs="Times New Roman"/>
                <w:bCs/>
                <w:lang w:eastAsia="en-NZ"/>
              </w:rPr>
              <w:t xml:space="preserve"> Tumu </w:t>
            </w:r>
            <w:proofErr w:type="spellStart"/>
            <w:r w:rsidRPr="00CE58D8">
              <w:rPr>
                <w:rFonts w:asciiTheme="minorHAnsi" w:hAnsiTheme="minorHAnsi" w:cs="Times New Roman"/>
                <w:bCs/>
                <w:lang w:eastAsia="en-NZ"/>
              </w:rPr>
              <w:t>Paeroa</w:t>
            </w:r>
            <w:proofErr w:type="spellEnd"/>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00095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Tegel</w:t>
            </w:r>
            <w:proofErr w:type="spellEnd"/>
            <w:r w:rsidRPr="00CE58D8">
              <w:rPr>
                <w:rFonts w:asciiTheme="minorHAnsi" w:hAnsiTheme="minorHAnsi" w:cs="Times New Roman"/>
                <w:bCs/>
                <w:lang w:eastAsia="en-NZ"/>
              </w:rPr>
              <w:t xml:space="preserve"> Foods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00185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000000" w:fill="FFFFFF"/>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Temperzone</w:t>
            </w:r>
            <w:proofErr w:type="spellEnd"/>
          </w:p>
        </w:tc>
        <w:tc>
          <w:tcPr>
            <w:tcW w:w="1169" w:type="dxa"/>
            <w:gridSpan w:val="2"/>
            <w:shd w:val="clear" w:color="000000" w:fill="FFFFFF"/>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03005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Tewhiti</w:t>
            </w:r>
            <w:proofErr w:type="spellEnd"/>
            <w:r w:rsidRPr="00CE58D8">
              <w:rPr>
                <w:rFonts w:asciiTheme="minorHAnsi" w:hAnsiTheme="minorHAnsi" w:cs="Times New Roman"/>
                <w:bCs/>
                <w:lang w:eastAsia="en-NZ"/>
              </w:rPr>
              <w:t>, Terry</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02013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The Carbon Shop</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05017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The </w:t>
            </w:r>
            <w:proofErr w:type="spellStart"/>
            <w:r w:rsidRPr="00CE58D8">
              <w:rPr>
                <w:rFonts w:asciiTheme="minorHAnsi" w:hAnsiTheme="minorHAnsi" w:cs="Times New Roman"/>
                <w:bCs/>
                <w:lang w:eastAsia="en-NZ"/>
              </w:rPr>
              <w:t>Omapere</w:t>
            </w:r>
            <w:proofErr w:type="spellEnd"/>
            <w:r w:rsidRPr="00CE58D8">
              <w:rPr>
                <w:rFonts w:asciiTheme="minorHAnsi" w:hAnsiTheme="minorHAnsi" w:cs="Times New Roman"/>
                <w:bCs/>
                <w:lang w:eastAsia="en-NZ"/>
              </w:rPr>
              <w:t xml:space="preserve"> </w:t>
            </w:r>
            <w:proofErr w:type="spellStart"/>
            <w:r w:rsidRPr="00CE58D8">
              <w:rPr>
                <w:rFonts w:asciiTheme="minorHAnsi" w:hAnsiTheme="minorHAnsi" w:cs="Times New Roman"/>
                <w:bCs/>
                <w:lang w:eastAsia="en-NZ"/>
              </w:rPr>
              <w:t>Taraire</w:t>
            </w:r>
            <w:proofErr w:type="spellEnd"/>
            <w:r w:rsidRPr="00CE58D8">
              <w:rPr>
                <w:rFonts w:asciiTheme="minorHAnsi" w:hAnsiTheme="minorHAnsi" w:cs="Times New Roman"/>
                <w:bCs/>
                <w:lang w:eastAsia="en-NZ"/>
              </w:rPr>
              <w:t xml:space="preserve"> E &amp; </w:t>
            </w:r>
            <w:proofErr w:type="spellStart"/>
            <w:r w:rsidRPr="00CE58D8">
              <w:rPr>
                <w:rFonts w:asciiTheme="minorHAnsi" w:hAnsiTheme="minorHAnsi" w:cs="Times New Roman"/>
                <w:bCs/>
                <w:lang w:eastAsia="en-NZ"/>
              </w:rPr>
              <w:t>Rangihamama</w:t>
            </w:r>
            <w:proofErr w:type="spellEnd"/>
            <w:r w:rsidRPr="00CE58D8">
              <w:rPr>
                <w:rFonts w:asciiTheme="minorHAnsi" w:hAnsiTheme="minorHAnsi" w:cs="Times New Roman"/>
                <w:bCs/>
                <w:lang w:eastAsia="en-NZ"/>
              </w:rPr>
              <w:t xml:space="preserve"> X3A Ahu Whenua Trust</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05021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 xml:space="preserve">The Properties of </w:t>
            </w:r>
            <w:proofErr w:type="spellStart"/>
            <w:r w:rsidRPr="00CE58D8">
              <w:rPr>
                <w:rFonts w:asciiTheme="minorHAnsi" w:hAnsiTheme="minorHAnsi" w:cs="Times New Roman"/>
                <w:bCs/>
                <w:lang w:eastAsia="en-NZ"/>
              </w:rPr>
              <w:t>Hauhungaroa</w:t>
            </w:r>
            <w:proofErr w:type="spellEnd"/>
            <w:r w:rsidRPr="00CE58D8">
              <w:rPr>
                <w:rFonts w:asciiTheme="minorHAnsi" w:hAnsiTheme="minorHAnsi" w:cs="Times New Roman"/>
                <w:bCs/>
                <w:lang w:eastAsia="en-NZ"/>
              </w:rPr>
              <w:t xml:space="preserve"> 1 C Incorporation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02011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The Sustainable Energy Forum</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05028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Thompson, Geoffrey</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05012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Thorn, Therese</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00003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Todd Corporation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00200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Toop</w:t>
            </w:r>
            <w:proofErr w:type="spellEnd"/>
            <w:r w:rsidRPr="00CE58D8">
              <w:rPr>
                <w:rFonts w:asciiTheme="minorHAnsi" w:hAnsiTheme="minorHAnsi" w:cs="Times New Roman"/>
                <w:bCs/>
                <w:lang w:eastAsia="en-NZ"/>
              </w:rPr>
              <w:t>, Martin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00064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Transwaste</w:t>
            </w:r>
            <w:proofErr w:type="spellEnd"/>
            <w:r w:rsidRPr="00CE58D8">
              <w:rPr>
                <w:rFonts w:asciiTheme="minorHAnsi" w:hAnsiTheme="minorHAnsi" w:cs="Times New Roman"/>
                <w:bCs/>
                <w:lang w:eastAsia="en-NZ"/>
              </w:rPr>
              <w:t xml:space="preserve"> Canterbury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02052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Trustpower</w:t>
            </w:r>
            <w:proofErr w:type="spellEnd"/>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00088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Tunakino</w:t>
            </w:r>
            <w:proofErr w:type="spellEnd"/>
            <w:r w:rsidRPr="00CE58D8">
              <w:rPr>
                <w:rFonts w:asciiTheme="minorHAnsi" w:hAnsiTheme="minorHAnsi" w:cs="Times New Roman"/>
                <w:bCs/>
                <w:lang w:eastAsia="en-NZ"/>
              </w:rPr>
              <w:t xml:space="preserve"> Forestry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03002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Vector Limited</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04033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52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Victoria University of Wellington Students Association</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00207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Vivid Economics</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05009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Waiheke Local Board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00211</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Waikato Regional Council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03007</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Waitemata</w:t>
            </w:r>
            <w:proofErr w:type="spellEnd"/>
            <w:r w:rsidRPr="00CE58D8">
              <w:rPr>
                <w:rFonts w:asciiTheme="minorHAnsi" w:hAnsiTheme="minorHAnsi" w:cs="Times New Roman"/>
                <w:bCs/>
                <w:lang w:eastAsia="en-NZ"/>
              </w:rPr>
              <w:t xml:space="preserve"> Local Board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00210</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Walker, Neil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00009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Warren Forestry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00092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Waste Management New Zealand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00129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Weatherburn</w:t>
            </w:r>
            <w:proofErr w:type="spellEnd"/>
            <w:r w:rsidRPr="00CE58D8">
              <w:rPr>
                <w:rFonts w:asciiTheme="minorHAnsi" w:hAnsiTheme="minorHAnsi" w:cs="Times New Roman"/>
                <w:bCs/>
                <w:lang w:eastAsia="en-NZ"/>
              </w:rPr>
              <w:t>, Finlay</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05004</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lastRenderedPageBreak/>
              <w:t>Wellington City Council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00084</w:t>
            </w:r>
          </w:p>
        </w:tc>
      </w:tr>
      <w:tr w:rsidR="009C3083"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9C3083" w:rsidRPr="00CE58D8" w:rsidRDefault="009C3083"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Wellspring Farms and Forests</w:t>
            </w:r>
          </w:p>
        </w:tc>
        <w:tc>
          <w:tcPr>
            <w:tcW w:w="1169" w:type="dxa"/>
            <w:gridSpan w:val="2"/>
            <w:shd w:val="clear" w:color="auto" w:fill="auto"/>
            <w:noWrap/>
          </w:tcPr>
          <w:p w:rsidR="009C3083" w:rsidRPr="00CE58D8" w:rsidRDefault="009C3083" w:rsidP="0009219A">
            <w:pPr>
              <w:pStyle w:val="TableText"/>
              <w:rPr>
                <w:rFonts w:asciiTheme="minorHAnsi" w:hAnsiTheme="minorHAnsi" w:cs="Times New Roman"/>
                <w:lang w:eastAsia="en-NZ"/>
              </w:rPr>
            </w:pPr>
            <w:r w:rsidRPr="00CE58D8">
              <w:rPr>
                <w:rFonts w:asciiTheme="minorHAnsi" w:hAnsiTheme="minorHAnsi" w:cs="Times New Roman"/>
                <w:lang w:eastAsia="en-NZ"/>
              </w:rPr>
              <w:t>00002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Wendekreisen</w:t>
            </w:r>
            <w:proofErr w:type="spellEnd"/>
            <w:r w:rsidRPr="00CE58D8">
              <w:rPr>
                <w:rFonts w:asciiTheme="minorHAnsi" w:hAnsiTheme="minorHAnsi" w:cs="Times New Roman"/>
                <w:bCs/>
                <w:lang w:eastAsia="en-NZ"/>
              </w:rPr>
              <w:t xml:space="preserve"> Travel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00012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Westland Milk Products</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03008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FFFFFF" w:themeFill="background1"/>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Westpac New Zealand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00132</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Whangarei</w:t>
            </w:r>
            <w:proofErr w:type="spellEnd"/>
            <w:r w:rsidRPr="00CE58D8">
              <w:rPr>
                <w:rFonts w:asciiTheme="minorHAnsi" w:hAnsiTheme="minorHAnsi" w:cs="Times New Roman"/>
                <w:bCs/>
                <w:lang w:eastAsia="en-NZ"/>
              </w:rPr>
              <w:t xml:space="preserve"> District Council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00163</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Whittaker, John</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04015</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Wise Response Society</w:t>
            </w:r>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04029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Woburn Investments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00126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Wood Council of New Zealand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00116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52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Wood Processors and Manufacturers of New Zealand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00119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tcPr>
          <w:p w:rsidR="008C6798" w:rsidRPr="00CE58D8" w:rsidRDefault="008C6798" w:rsidP="0009219A">
            <w:pPr>
              <w:pStyle w:val="TableText"/>
              <w:rPr>
                <w:rFonts w:asciiTheme="minorHAnsi" w:hAnsiTheme="minorHAnsi" w:cs="Times New Roman"/>
                <w:bCs/>
                <w:lang w:eastAsia="en-NZ"/>
              </w:rPr>
            </w:pPr>
            <w:proofErr w:type="spellStart"/>
            <w:r w:rsidRPr="00CE58D8">
              <w:rPr>
                <w:rFonts w:asciiTheme="minorHAnsi" w:hAnsiTheme="minorHAnsi" w:cs="Times New Roman"/>
                <w:bCs/>
                <w:lang w:eastAsia="en-NZ"/>
              </w:rPr>
              <w:t>Woodnet</w:t>
            </w:r>
            <w:proofErr w:type="spellEnd"/>
          </w:p>
        </w:tc>
        <w:tc>
          <w:tcPr>
            <w:tcW w:w="1169" w:type="dxa"/>
            <w:gridSpan w:val="2"/>
            <w:shd w:val="clear" w:color="auto" w:fill="auto"/>
            <w:noWrap/>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00109</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Woodrow, Neil</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02056</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WWF New Zealand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00028</w:t>
            </w:r>
          </w:p>
        </w:tc>
      </w:tr>
      <w:tr w:rsidR="008C6798" w:rsidRPr="00C76622" w:rsidTr="009C3083">
        <w:tblPrEx>
          <w:tblBorders>
            <w:top w:val="single" w:sz="4" w:space="0" w:color="005984"/>
            <w:bottom w:val="single" w:sz="4" w:space="0" w:color="005984"/>
            <w:insideH w:val="single" w:sz="4" w:space="0" w:color="005984"/>
            <w:insideV w:val="single" w:sz="4" w:space="0" w:color="005984"/>
          </w:tblBorders>
        </w:tblPrEx>
        <w:trPr>
          <w:gridBefore w:val="1"/>
          <w:gridAfter w:val="1"/>
          <w:wBefore w:w="15" w:type="dxa"/>
          <w:wAfter w:w="64" w:type="dxa"/>
          <w:trHeight w:val="315"/>
        </w:trPr>
        <w:tc>
          <w:tcPr>
            <w:tcW w:w="2692" w:type="dxa"/>
            <w:shd w:val="clear" w:color="auto" w:fill="auto"/>
            <w:vAlign w:val="center"/>
            <w:hideMark/>
          </w:tcPr>
          <w:p w:rsidR="008C6798" w:rsidRPr="00CE58D8" w:rsidRDefault="008C6798" w:rsidP="0009219A">
            <w:pPr>
              <w:pStyle w:val="TableText"/>
              <w:rPr>
                <w:rFonts w:asciiTheme="minorHAnsi" w:hAnsiTheme="minorHAnsi" w:cs="Times New Roman"/>
                <w:bCs/>
                <w:lang w:eastAsia="en-NZ"/>
              </w:rPr>
            </w:pPr>
            <w:r w:rsidRPr="00CE58D8">
              <w:rPr>
                <w:rFonts w:asciiTheme="minorHAnsi" w:hAnsiTheme="minorHAnsi" w:cs="Times New Roman"/>
                <w:bCs/>
                <w:lang w:eastAsia="en-NZ"/>
              </w:rPr>
              <w:t>Z Energy Limited</w:t>
            </w:r>
          </w:p>
        </w:tc>
        <w:tc>
          <w:tcPr>
            <w:tcW w:w="1169" w:type="dxa"/>
            <w:gridSpan w:val="2"/>
            <w:shd w:val="clear" w:color="auto" w:fill="auto"/>
            <w:noWrap/>
            <w:hideMark/>
          </w:tcPr>
          <w:p w:rsidR="008C6798" w:rsidRPr="00CE58D8" w:rsidRDefault="008C6798" w:rsidP="0009219A">
            <w:pPr>
              <w:pStyle w:val="TableText"/>
              <w:rPr>
                <w:rFonts w:asciiTheme="minorHAnsi" w:hAnsiTheme="minorHAnsi" w:cs="Times New Roman"/>
                <w:lang w:eastAsia="en-NZ"/>
              </w:rPr>
            </w:pPr>
            <w:r w:rsidRPr="00CE58D8">
              <w:rPr>
                <w:rFonts w:asciiTheme="minorHAnsi" w:hAnsiTheme="minorHAnsi" w:cs="Times New Roman"/>
                <w:lang w:eastAsia="en-NZ"/>
              </w:rPr>
              <w:t>00079</w:t>
            </w:r>
          </w:p>
        </w:tc>
      </w:tr>
      <w:tr w:rsidR="008C6798" w:rsidRPr="00E359CE" w:rsidTr="009C3083">
        <w:trPr>
          <w:trHeight w:val="454"/>
        </w:trPr>
        <w:tc>
          <w:tcPr>
            <w:tcW w:w="3133" w:type="dxa"/>
            <w:gridSpan w:val="3"/>
            <w:tcBorders>
              <w:top w:val="nil"/>
              <w:lef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c>
          <w:tcPr>
            <w:tcW w:w="807" w:type="dxa"/>
            <w:gridSpan w:val="2"/>
            <w:tcBorders>
              <w:top w:val="nil"/>
              <w:righ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r>
      <w:tr w:rsidR="008C6798" w:rsidRPr="00E359CE" w:rsidTr="009C3083">
        <w:trPr>
          <w:trHeight w:val="454"/>
        </w:trPr>
        <w:tc>
          <w:tcPr>
            <w:tcW w:w="3133" w:type="dxa"/>
            <w:gridSpan w:val="3"/>
            <w:tcBorders>
              <w:top w:val="nil"/>
              <w:lef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c>
          <w:tcPr>
            <w:tcW w:w="807" w:type="dxa"/>
            <w:gridSpan w:val="2"/>
            <w:tcBorders>
              <w:top w:val="nil"/>
              <w:righ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r>
      <w:tr w:rsidR="008C6798" w:rsidRPr="00E359CE" w:rsidTr="009C3083">
        <w:trPr>
          <w:trHeight w:val="454"/>
        </w:trPr>
        <w:tc>
          <w:tcPr>
            <w:tcW w:w="3133" w:type="dxa"/>
            <w:gridSpan w:val="3"/>
            <w:tcBorders>
              <w:top w:val="nil"/>
              <w:lef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c>
          <w:tcPr>
            <w:tcW w:w="807" w:type="dxa"/>
            <w:gridSpan w:val="2"/>
            <w:tcBorders>
              <w:top w:val="nil"/>
              <w:righ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r>
      <w:tr w:rsidR="008C6798" w:rsidRPr="00E359CE" w:rsidTr="009C3083">
        <w:trPr>
          <w:trHeight w:val="454"/>
        </w:trPr>
        <w:tc>
          <w:tcPr>
            <w:tcW w:w="3133" w:type="dxa"/>
            <w:gridSpan w:val="3"/>
            <w:tcBorders>
              <w:top w:val="nil"/>
              <w:lef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c>
          <w:tcPr>
            <w:tcW w:w="807" w:type="dxa"/>
            <w:gridSpan w:val="2"/>
            <w:tcBorders>
              <w:top w:val="nil"/>
              <w:righ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r>
      <w:tr w:rsidR="008C6798" w:rsidRPr="00E359CE" w:rsidTr="009C3083">
        <w:trPr>
          <w:trHeight w:val="454"/>
        </w:trPr>
        <w:tc>
          <w:tcPr>
            <w:tcW w:w="3133" w:type="dxa"/>
            <w:gridSpan w:val="3"/>
            <w:tcBorders>
              <w:top w:val="nil"/>
              <w:lef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c>
          <w:tcPr>
            <w:tcW w:w="807" w:type="dxa"/>
            <w:gridSpan w:val="2"/>
            <w:tcBorders>
              <w:top w:val="nil"/>
              <w:righ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r>
      <w:tr w:rsidR="008C6798" w:rsidRPr="00E359CE" w:rsidTr="009C3083">
        <w:trPr>
          <w:trHeight w:val="454"/>
        </w:trPr>
        <w:tc>
          <w:tcPr>
            <w:tcW w:w="3133" w:type="dxa"/>
            <w:gridSpan w:val="3"/>
            <w:tcBorders>
              <w:top w:val="nil"/>
              <w:lef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c>
          <w:tcPr>
            <w:tcW w:w="807" w:type="dxa"/>
            <w:gridSpan w:val="2"/>
            <w:tcBorders>
              <w:top w:val="nil"/>
              <w:righ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r>
      <w:tr w:rsidR="008C6798" w:rsidRPr="00E359CE" w:rsidTr="009C3083">
        <w:trPr>
          <w:trHeight w:val="454"/>
        </w:trPr>
        <w:tc>
          <w:tcPr>
            <w:tcW w:w="3133" w:type="dxa"/>
            <w:gridSpan w:val="3"/>
            <w:tcBorders>
              <w:top w:val="nil"/>
              <w:lef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c>
          <w:tcPr>
            <w:tcW w:w="807" w:type="dxa"/>
            <w:gridSpan w:val="2"/>
            <w:tcBorders>
              <w:top w:val="nil"/>
              <w:righ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r>
      <w:tr w:rsidR="008C6798" w:rsidRPr="00E359CE" w:rsidTr="009C3083">
        <w:trPr>
          <w:trHeight w:val="454"/>
        </w:trPr>
        <w:tc>
          <w:tcPr>
            <w:tcW w:w="3133" w:type="dxa"/>
            <w:gridSpan w:val="3"/>
            <w:tcBorders>
              <w:top w:val="nil"/>
              <w:lef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c>
          <w:tcPr>
            <w:tcW w:w="807" w:type="dxa"/>
            <w:gridSpan w:val="2"/>
            <w:tcBorders>
              <w:top w:val="nil"/>
              <w:righ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r>
      <w:tr w:rsidR="008C6798" w:rsidRPr="00E359CE" w:rsidTr="009C3083">
        <w:trPr>
          <w:trHeight w:val="454"/>
        </w:trPr>
        <w:tc>
          <w:tcPr>
            <w:tcW w:w="3133" w:type="dxa"/>
            <w:gridSpan w:val="3"/>
            <w:tcBorders>
              <w:top w:val="nil"/>
              <w:lef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c>
          <w:tcPr>
            <w:tcW w:w="807" w:type="dxa"/>
            <w:gridSpan w:val="2"/>
            <w:tcBorders>
              <w:top w:val="nil"/>
              <w:righ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r>
      <w:tr w:rsidR="008C6798" w:rsidRPr="00E359CE" w:rsidTr="009C3083">
        <w:trPr>
          <w:trHeight w:val="454"/>
        </w:trPr>
        <w:tc>
          <w:tcPr>
            <w:tcW w:w="3133" w:type="dxa"/>
            <w:gridSpan w:val="3"/>
            <w:tcBorders>
              <w:top w:val="nil"/>
              <w:lef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c>
          <w:tcPr>
            <w:tcW w:w="807" w:type="dxa"/>
            <w:gridSpan w:val="2"/>
            <w:tcBorders>
              <w:top w:val="nil"/>
              <w:righ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r>
      <w:tr w:rsidR="008C6798" w:rsidRPr="00E359CE" w:rsidTr="009C3083">
        <w:trPr>
          <w:trHeight w:val="454"/>
        </w:trPr>
        <w:tc>
          <w:tcPr>
            <w:tcW w:w="3133" w:type="dxa"/>
            <w:gridSpan w:val="3"/>
            <w:tcBorders>
              <w:top w:val="nil"/>
              <w:lef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c>
          <w:tcPr>
            <w:tcW w:w="807" w:type="dxa"/>
            <w:gridSpan w:val="2"/>
            <w:tcBorders>
              <w:top w:val="nil"/>
              <w:righ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r>
      <w:tr w:rsidR="008C6798" w:rsidRPr="00E359CE" w:rsidTr="009C3083">
        <w:trPr>
          <w:trHeight w:val="454"/>
        </w:trPr>
        <w:tc>
          <w:tcPr>
            <w:tcW w:w="3133" w:type="dxa"/>
            <w:gridSpan w:val="3"/>
            <w:tcBorders>
              <w:top w:val="nil"/>
              <w:lef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c>
          <w:tcPr>
            <w:tcW w:w="807" w:type="dxa"/>
            <w:gridSpan w:val="2"/>
            <w:tcBorders>
              <w:top w:val="nil"/>
              <w:righ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r>
      <w:tr w:rsidR="008C6798" w:rsidRPr="00E359CE" w:rsidTr="009C3083">
        <w:trPr>
          <w:trHeight w:val="454"/>
        </w:trPr>
        <w:tc>
          <w:tcPr>
            <w:tcW w:w="3133" w:type="dxa"/>
            <w:gridSpan w:val="3"/>
            <w:tcBorders>
              <w:top w:val="nil"/>
              <w:lef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c>
          <w:tcPr>
            <w:tcW w:w="807" w:type="dxa"/>
            <w:gridSpan w:val="2"/>
            <w:tcBorders>
              <w:top w:val="nil"/>
              <w:right w:val="nil"/>
            </w:tcBorders>
            <w:shd w:val="clear" w:color="auto" w:fill="auto"/>
            <w:vAlign w:val="center"/>
            <w:hideMark/>
          </w:tcPr>
          <w:p w:rsidR="008C6798" w:rsidRPr="00E359CE" w:rsidRDefault="008C6798" w:rsidP="0009219A">
            <w:pPr>
              <w:spacing w:before="0" w:after="0"/>
              <w:rPr>
                <w:rFonts w:cs="Times New Roman"/>
                <w:color w:val="333333"/>
                <w:sz w:val="18"/>
                <w:szCs w:val="18"/>
                <w:lang w:eastAsia="en-NZ"/>
              </w:rPr>
            </w:pPr>
            <w:r w:rsidRPr="00E359CE">
              <w:rPr>
                <w:rFonts w:cs="Times New Roman"/>
                <w:color w:val="333333"/>
                <w:sz w:val="18"/>
                <w:szCs w:val="18"/>
                <w:lang w:eastAsia="en-NZ"/>
              </w:rPr>
              <w:t> </w:t>
            </w:r>
          </w:p>
        </w:tc>
      </w:tr>
    </w:tbl>
    <w:p w:rsidR="008537FA" w:rsidRDefault="00BB596C" w:rsidP="00C63402">
      <w:pPr>
        <w:pStyle w:val="Heading1"/>
        <w:ind w:left="0" w:firstLine="0"/>
        <w:sectPr w:rsidR="008537FA" w:rsidSect="004806FC">
          <w:headerReference w:type="default" r:id="rId42"/>
          <w:footerReference w:type="even" r:id="rId43"/>
          <w:type w:val="continuous"/>
          <w:pgSz w:w="11907" w:h="16839" w:code="9"/>
          <w:pgMar w:top="1701" w:right="1418" w:bottom="1701" w:left="1418" w:header="567" w:footer="567" w:gutter="567"/>
          <w:cols w:num="2" w:space="720"/>
          <w:titlePg/>
          <w:docGrid w:linePitch="360"/>
        </w:sectPr>
      </w:pPr>
      <w:r w:rsidRPr="00C76622">
        <w:br w:type="page"/>
      </w:r>
    </w:p>
    <w:p w:rsidR="00D131F6" w:rsidRPr="00C76622" w:rsidRDefault="00D131F6" w:rsidP="00C63402">
      <w:pPr>
        <w:pStyle w:val="Heading1"/>
        <w:ind w:left="0" w:firstLine="0"/>
      </w:pPr>
      <w:bookmarkStart w:id="84" w:name="_Toc463270152"/>
      <w:r w:rsidRPr="00C76622">
        <w:lastRenderedPageBreak/>
        <w:t>References</w:t>
      </w:r>
      <w:bookmarkEnd w:id="84"/>
    </w:p>
    <w:p w:rsidR="00FB4283" w:rsidRDefault="00FB4283" w:rsidP="00FB4283">
      <w:proofErr w:type="gramStart"/>
      <w:r>
        <w:t>Ministry for the Environment.</w:t>
      </w:r>
      <w:proofErr w:type="gramEnd"/>
      <w:r>
        <w:t xml:space="preserve"> 2015: </w:t>
      </w:r>
      <w:r>
        <w:rPr>
          <w:i/>
        </w:rPr>
        <w:t xml:space="preserve">New Zealand Emissions Trading Scheme Review 2015/16: Discussion Document and call for written submissions. </w:t>
      </w:r>
      <w:r w:rsidRPr="00DC084B">
        <w:t>Wellington: Ministry for the Environment.</w:t>
      </w:r>
    </w:p>
    <w:p w:rsidR="009E7C0F" w:rsidRPr="006A4DBF" w:rsidRDefault="009E7C0F" w:rsidP="00175F2F">
      <w:pPr>
        <w:rPr>
          <w:i/>
        </w:rPr>
      </w:pPr>
      <w:proofErr w:type="gramStart"/>
      <w:r w:rsidRPr="00DC084B">
        <w:t>Ministry for the Environment.</w:t>
      </w:r>
      <w:proofErr w:type="gramEnd"/>
      <w:r w:rsidRPr="00DC084B">
        <w:t xml:space="preserve"> 2016</w:t>
      </w:r>
      <w:r w:rsidR="00FB4283">
        <w:t>a</w:t>
      </w:r>
      <w:r w:rsidRPr="00DC084B">
        <w:t xml:space="preserve">. </w:t>
      </w:r>
      <w:r w:rsidRPr="00DC084B">
        <w:rPr>
          <w:i/>
        </w:rPr>
        <w:t>New Zealand Emissions Trading Scheme</w:t>
      </w:r>
      <w:r>
        <w:rPr>
          <w:i/>
        </w:rPr>
        <w:t xml:space="preserve"> Review 2015/16: Summary of Stage One: Priority Issues Consultation Responses</w:t>
      </w:r>
      <w:r w:rsidRPr="00DC084B">
        <w:t>. Wellington</w:t>
      </w:r>
      <w:r>
        <w:t>: Ministry for the Environment.</w:t>
      </w:r>
    </w:p>
    <w:p w:rsidR="00EF3037" w:rsidRDefault="00EF3037" w:rsidP="000D218C">
      <w:pPr>
        <w:rPr>
          <w:i/>
        </w:rPr>
      </w:pPr>
      <w:proofErr w:type="gramStart"/>
      <w:r>
        <w:t>Ministry for the Environment, 2016</w:t>
      </w:r>
      <w:r w:rsidR="00FB4283">
        <w:t>b</w:t>
      </w:r>
      <w:r>
        <w:t>.</w:t>
      </w:r>
      <w:proofErr w:type="gramEnd"/>
      <w:r>
        <w:t xml:space="preserve"> </w:t>
      </w:r>
      <w:r w:rsidRPr="00EF3037">
        <w:rPr>
          <w:i/>
        </w:rPr>
        <w:t>New Zealand Emissions Trading Scheme</w:t>
      </w:r>
      <w:r w:rsidR="00354FE4">
        <w:rPr>
          <w:i/>
        </w:rPr>
        <w:t xml:space="preserve"> Review 2015/16</w:t>
      </w:r>
      <w:r>
        <w:rPr>
          <w:i/>
        </w:rPr>
        <w:t xml:space="preserve">: Forestry Technical Note. </w:t>
      </w:r>
      <w:r w:rsidRPr="00DC084B">
        <w:t>Wellington</w:t>
      </w:r>
      <w:r>
        <w:t>: Ministry for the Environment.</w:t>
      </w:r>
    </w:p>
    <w:p w:rsidR="00EF3037" w:rsidRPr="00EF3037" w:rsidRDefault="00EF3037" w:rsidP="000D218C">
      <w:pPr>
        <w:rPr>
          <w:i/>
        </w:rPr>
      </w:pPr>
      <w:proofErr w:type="gramStart"/>
      <w:r>
        <w:t>Ministry for the Environment, 2016</w:t>
      </w:r>
      <w:r w:rsidR="00FB4283">
        <w:t>c</w:t>
      </w:r>
      <w:r>
        <w:t>.</w:t>
      </w:r>
      <w:proofErr w:type="gramEnd"/>
      <w:r>
        <w:t xml:space="preserve"> </w:t>
      </w:r>
      <w:r w:rsidRPr="00EF3037">
        <w:rPr>
          <w:i/>
        </w:rPr>
        <w:t>New Zealand Emissions Trading Schem</w:t>
      </w:r>
      <w:r w:rsidR="001954A2">
        <w:rPr>
          <w:i/>
        </w:rPr>
        <w:t>e</w:t>
      </w:r>
      <w:r w:rsidR="00354FE4">
        <w:rPr>
          <w:i/>
        </w:rPr>
        <w:t xml:space="preserve"> Review 2015/16</w:t>
      </w:r>
      <w:r>
        <w:rPr>
          <w:i/>
        </w:rPr>
        <w:t xml:space="preserve">: Operational Matters Technical Note. </w:t>
      </w:r>
      <w:r w:rsidRPr="00DC084B">
        <w:t>Wellington</w:t>
      </w:r>
      <w:r>
        <w:t>: Ministry for the Environment.</w:t>
      </w:r>
    </w:p>
    <w:p w:rsidR="008545CE" w:rsidRPr="00C76622" w:rsidRDefault="008545CE" w:rsidP="008545CE">
      <w:pPr>
        <w:pStyle w:val="Imprint"/>
      </w:pPr>
      <w:proofErr w:type="gramStart"/>
      <w:r w:rsidRPr="008F6265">
        <w:t>Ministry for the Environment.</w:t>
      </w:r>
      <w:proofErr w:type="gramEnd"/>
      <w:r w:rsidRPr="008F6265">
        <w:t xml:space="preserve"> 2016</w:t>
      </w:r>
      <w:r>
        <w:t>d</w:t>
      </w:r>
      <w:r w:rsidRPr="008F6265">
        <w:t xml:space="preserve">. </w:t>
      </w:r>
      <w:r w:rsidRPr="008F6265">
        <w:rPr>
          <w:i/>
        </w:rPr>
        <w:t>New Zealand Emissions Trading Scheme Review 2015/16 –</w:t>
      </w:r>
      <w:r>
        <w:rPr>
          <w:i/>
        </w:rPr>
        <w:t xml:space="preserve"> Summary of Stage Two: Other Issues Consultation Responses. </w:t>
      </w:r>
      <w:r w:rsidRPr="008F6265">
        <w:rPr>
          <w:i/>
        </w:rPr>
        <w:t xml:space="preserve">Annex </w:t>
      </w:r>
      <w:r>
        <w:rPr>
          <w:i/>
        </w:rPr>
        <w:t>One</w:t>
      </w:r>
      <w:r w:rsidRPr="008F6265">
        <w:rPr>
          <w:i/>
        </w:rPr>
        <w:t xml:space="preserve">: </w:t>
      </w:r>
      <w:r>
        <w:rPr>
          <w:i/>
        </w:rPr>
        <w:t>Forestry</w:t>
      </w:r>
      <w:r w:rsidRPr="008F6265">
        <w:rPr>
          <w:i/>
        </w:rPr>
        <w:t xml:space="preserve"> Technical Note Responses</w:t>
      </w:r>
      <w:r w:rsidRPr="008F6265">
        <w:t>. Wellington: Ministry for the Environment.</w:t>
      </w:r>
    </w:p>
    <w:p w:rsidR="00265CAA" w:rsidRPr="00EF3037" w:rsidRDefault="00265CAA" w:rsidP="00265CAA">
      <w:pPr>
        <w:rPr>
          <w:i/>
        </w:rPr>
      </w:pPr>
      <w:proofErr w:type="gramStart"/>
      <w:r>
        <w:t>Ministry for the Environment, 2016</w:t>
      </w:r>
      <w:r w:rsidR="00FB4283">
        <w:t>e</w:t>
      </w:r>
      <w:r>
        <w:t>.</w:t>
      </w:r>
      <w:proofErr w:type="gramEnd"/>
      <w:r>
        <w:t xml:space="preserve"> </w:t>
      </w:r>
      <w:r w:rsidRPr="00EF3037">
        <w:rPr>
          <w:i/>
        </w:rPr>
        <w:t>New Zealand Emissions Trading Schem</w:t>
      </w:r>
      <w:r>
        <w:rPr>
          <w:i/>
        </w:rPr>
        <w:t>e</w:t>
      </w:r>
      <w:r w:rsidR="00354FE4">
        <w:rPr>
          <w:i/>
        </w:rPr>
        <w:t xml:space="preserve"> Review 2015/16 – Summary of Stage Two</w:t>
      </w:r>
      <w:r>
        <w:rPr>
          <w:i/>
        </w:rPr>
        <w:t xml:space="preserve">: </w:t>
      </w:r>
      <w:r w:rsidR="00354FE4" w:rsidRPr="00D202CF">
        <w:rPr>
          <w:i/>
        </w:rPr>
        <w:t>Other Issues Consultation Responses</w:t>
      </w:r>
      <w:r w:rsidR="00354FE4">
        <w:rPr>
          <w:i/>
        </w:rPr>
        <w:t>.</w:t>
      </w:r>
      <w:r w:rsidR="00354FE4" w:rsidRPr="008707E7">
        <w:rPr>
          <w:i/>
        </w:rPr>
        <w:t xml:space="preserve"> Annex Two: Operational Matters Technical Note Responses</w:t>
      </w:r>
      <w:r>
        <w:rPr>
          <w:i/>
        </w:rPr>
        <w:t xml:space="preserve">. </w:t>
      </w:r>
      <w:r w:rsidRPr="00DC084B">
        <w:t>Wellington</w:t>
      </w:r>
      <w:r>
        <w:t>: Ministry for the Environment.</w:t>
      </w:r>
    </w:p>
    <w:p w:rsidR="00FB4283" w:rsidRPr="00F35AB4" w:rsidRDefault="00FB4283" w:rsidP="00FB4283">
      <w:proofErr w:type="gramStart"/>
      <w:r w:rsidRPr="00F35AB4">
        <w:t>New Zealand Government.</w:t>
      </w:r>
      <w:proofErr w:type="gramEnd"/>
      <w:r w:rsidRPr="00F35AB4">
        <w:t xml:space="preserve"> 2015. </w:t>
      </w:r>
      <w:r w:rsidRPr="00F35AB4">
        <w:rPr>
          <w:i/>
        </w:rPr>
        <w:t>Government begins review of ETS</w:t>
      </w:r>
      <w:r w:rsidRPr="00F35AB4">
        <w:t xml:space="preserve">. Retrieved from </w:t>
      </w:r>
      <w:hyperlink r:id="rId44" w:history="1">
        <w:r w:rsidRPr="00F35AB4">
          <w:rPr>
            <w:rStyle w:val="Hyperlink"/>
          </w:rPr>
          <w:t>www.beehive.govt.nz/release/government-begins-review-ets</w:t>
        </w:r>
      </w:hyperlink>
      <w:r w:rsidRPr="00F35AB4">
        <w:t xml:space="preserve"> (30 August 2016).</w:t>
      </w:r>
    </w:p>
    <w:p w:rsidR="00FB4283" w:rsidRPr="00DC084B" w:rsidRDefault="00FB4283" w:rsidP="00FB4283">
      <w:proofErr w:type="gramStart"/>
      <w:r w:rsidRPr="00F35AB4">
        <w:t>New Zealand Government.</w:t>
      </w:r>
      <w:proofErr w:type="gramEnd"/>
      <w:r w:rsidRPr="00F35AB4">
        <w:t xml:space="preserve"> 2016. </w:t>
      </w:r>
      <w:r w:rsidRPr="00F35AB4">
        <w:rPr>
          <w:i/>
        </w:rPr>
        <w:t>Second Phase ETS Review documents released</w:t>
      </w:r>
      <w:r w:rsidRPr="00F35AB4">
        <w:t xml:space="preserve">. Retrieved from </w:t>
      </w:r>
      <w:hyperlink r:id="rId45" w:history="1">
        <w:r w:rsidRPr="00F35AB4">
          <w:rPr>
            <w:rStyle w:val="Hyperlink"/>
          </w:rPr>
          <w:t>www.beehive.govt.nz/release/second-phase-ets-review-documents-released</w:t>
        </w:r>
      </w:hyperlink>
      <w:r w:rsidRPr="00F35AB4">
        <w:rPr>
          <w:rStyle w:val="Hyperlink"/>
        </w:rPr>
        <w:t xml:space="preserve"> </w:t>
      </w:r>
      <w:r w:rsidRPr="00F35AB4">
        <w:t>(30 August 2016).</w:t>
      </w:r>
    </w:p>
    <w:p w:rsidR="00D131F6" w:rsidRPr="00DC084B" w:rsidRDefault="00D131F6" w:rsidP="000D218C"/>
    <w:sectPr w:rsidR="00D131F6" w:rsidRPr="00DC084B" w:rsidSect="008537FA">
      <w:type w:val="continuous"/>
      <w:pgSz w:w="11907" w:h="16839" w:code="9"/>
      <w:pgMar w:top="1701" w:right="1418" w:bottom="1701" w:left="1418" w:header="567" w:footer="567" w:gutter="56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B68" w:rsidRDefault="00DE5B68">
      <w:r>
        <w:separator/>
      </w:r>
    </w:p>
    <w:p w:rsidR="00DE5B68" w:rsidRDefault="00DE5B68"/>
    <w:p w:rsidR="00DE5B68" w:rsidRDefault="00DE5B68"/>
    <w:p w:rsidR="00DE5B68" w:rsidRDefault="00DE5B68"/>
    <w:p w:rsidR="00DE5B68" w:rsidRDefault="00DE5B68"/>
  </w:endnote>
  <w:endnote w:type="continuationSeparator" w:id="0">
    <w:p w:rsidR="00DE5B68" w:rsidRDefault="00DE5B68">
      <w:r>
        <w:continuationSeparator/>
      </w:r>
    </w:p>
    <w:p w:rsidR="00DE5B68" w:rsidRDefault="00DE5B68"/>
    <w:p w:rsidR="00DE5B68" w:rsidRDefault="00DE5B68"/>
    <w:p w:rsidR="00DE5B68" w:rsidRDefault="00DE5B68"/>
    <w:p w:rsidR="00DE5B68" w:rsidRDefault="00DE5B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rsidP="007C2B68">
    <w:pPr>
      <w:pStyle w:val="Footerodd"/>
    </w:pPr>
    <w:r>
      <w:tab/>
      <w:t>Summary of Stage Two: Other Issues Consultation Responses</w:t>
    </w:r>
    <w:r>
      <w:tab/>
    </w:r>
    <w:r w:rsidRPr="007C2B68">
      <w:rPr>
        <w:b/>
        <w:sz w:val="20"/>
        <w:szCs w:val="20"/>
      </w:rPr>
      <w:fldChar w:fldCharType="begin"/>
    </w:r>
    <w:r w:rsidRPr="007C2B68">
      <w:rPr>
        <w:b/>
        <w:sz w:val="20"/>
        <w:szCs w:val="20"/>
      </w:rPr>
      <w:instrText xml:space="preserve"> PAGE   \* MERGEFORMAT </w:instrText>
    </w:r>
    <w:r w:rsidRPr="007C2B68">
      <w:rPr>
        <w:b/>
        <w:sz w:val="20"/>
        <w:szCs w:val="20"/>
      </w:rPr>
      <w:fldChar w:fldCharType="separate"/>
    </w:r>
    <w:r w:rsidR="00960AAC">
      <w:rPr>
        <w:b/>
        <w:noProof/>
        <w:sz w:val="20"/>
        <w:szCs w:val="20"/>
      </w:rPr>
      <w:t>65</w:t>
    </w:r>
    <w:r w:rsidRPr="007C2B68">
      <w:rPr>
        <w:b/>
        <w:noProof/>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rsidP="009C60B7">
    <w:pPr>
      <w:pStyle w:val="Footereven"/>
    </w:pPr>
    <w:r w:rsidRPr="007C2B68">
      <w:rPr>
        <w:b/>
        <w:sz w:val="20"/>
        <w:szCs w:val="20"/>
      </w:rPr>
      <w:fldChar w:fldCharType="begin"/>
    </w:r>
    <w:r w:rsidRPr="007C2B68">
      <w:rPr>
        <w:b/>
        <w:sz w:val="20"/>
        <w:szCs w:val="20"/>
      </w:rPr>
      <w:instrText xml:space="preserve"> PAGE   \* MERGEFORMAT </w:instrText>
    </w:r>
    <w:r w:rsidRPr="007C2B68">
      <w:rPr>
        <w:b/>
        <w:sz w:val="20"/>
        <w:szCs w:val="20"/>
      </w:rPr>
      <w:fldChar w:fldCharType="separate"/>
    </w:r>
    <w:r w:rsidR="00960AAC">
      <w:rPr>
        <w:b/>
        <w:noProof/>
        <w:sz w:val="20"/>
        <w:szCs w:val="20"/>
      </w:rPr>
      <w:t>66</w:t>
    </w:r>
    <w:r w:rsidRPr="007C2B68">
      <w:rPr>
        <w:b/>
        <w:noProof/>
        <w:sz w:val="20"/>
        <w:szCs w:val="20"/>
      </w:rPr>
      <w:fldChar w:fldCharType="end"/>
    </w:r>
    <w:r>
      <w:tab/>
      <w:t>Summary of Stage Two: Other Issues Consultation Responses</w:t>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rsidP="00D904AD">
    <w:pPr>
      <w:pStyle w:val="Footereven"/>
    </w:pP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960AAC">
      <w:rPr>
        <w:rStyle w:val="PageNumber"/>
        <w:noProof/>
      </w:rPr>
      <w:t>64</w:t>
    </w:r>
    <w:r w:rsidRPr="009116D7">
      <w:rPr>
        <w:rStyle w:val="PageNumber"/>
      </w:rPr>
      <w:fldChar w:fldCharType="end"/>
    </w:r>
    <w:r>
      <w:tab/>
      <w:t>Summary of Stage Two: Other Issues Consultation Responses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rsidP="00592E08">
    <w:pPr>
      <w:pStyle w:val="Footerodd"/>
    </w:pPr>
    <w:r>
      <w:tab/>
      <w:t>Summary of Stage One: Priority Issues Consultation Responses</w:t>
    </w:r>
    <w:r>
      <w:tab/>
    </w:r>
    <w:r w:rsidRPr="007C2B68">
      <w:rPr>
        <w:b/>
        <w:sz w:val="20"/>
        <w:szCs w:val="20"/>
      </w:rPr>
      <w:fldChar w:fldCharType="begin"/>
    </w:r>
    <w:r w:rsidRPr="007C2B68">
      <w:rPr>
        <w:b/>
        <w:sz w:val="20"/>
        <w:szCs w:val="20"/>
      </w:rPr>
      <w:instrText xml:space="preserve"> PAGE   \* MERGEFORMAT </w:instrText>
    </w:r>
    <w:r w:rsidRPr="007C2B68">
      <w:rPr>
        <w:b/>
        <w:sz w:val="20"/>
        <w:szCs w:val="20"/>
      </w:rPr>
      <w:fldChar w:fldCharType="separate"/>
    </w:r>
    <w:r>
      <w:rPr>
        <w:b/>
        <w:noProof/>
        <w:sz w:val="20"/>
        <w:szCs w:val="20"/>
      </w:rPr>
      <w:t>iii</w:t>
    </w:r>
    <w:r w:rsidRPr="007C2B68">
      <w:rPr>
        <w:b/>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rsidP="007C2B68">
    <w:pPr>
      <w:pStyle w:val="Footereven"/>
    </w:pP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960AAC">
      <w:rPr>
        <w:rStyle w:val="PageNumber"/>
        <w:noProof/>
      </w:rPr>
      <w:t>vi</w:t>
    </w:r>
    <w:r w:rsidRPr="009116D7">
      <w:rPr>
        <w:rStyle w:val="PageNumber"/>
      </w:rPr>
      <w:fldChar w:fldCharType="end"/>
    </w:r>
    <w:r>
      <w:tab/>
      <w:t>Summary of Stage Two: Other Issues Consultation Responses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rsidP="007C2B68">
    <w:pPr>
      <w:pStyle w:val="Footerodd"/>
    </w:pPr>
    <w:r>
      <w:tab/>
      <w:t>Summary of Stage Two: Other Issues Consultation Responses</w:t>
    </w:r>
    <w:r>
      <w:tab/>
    </w:r>
    <w:r w:rsidRPr="007C2B68">
      <w:rPr>
        <w:b/>
        <w:sz w:val="20"/>
        <w:szCs w:val="20"/>
      </w:rPr>
      <w:fldChar w:fldCharType="begin"/>
    </w:r>
    <w:r w:rsidRPr="007C2B68">
      <w:rPr>
        <w:b/>
        <w:sz w:val="20"/>
        <w:szCs w:val="20"/>
      </w:rPr>
      <w:instrText xml:space="preserve"> PAGE   \* MERGEFORMAT </w:instrText>
    </w:r>
    <w:r w:rsidRPr="007C2B68">
      <w:rPr>
        <w:b/>
        <w:sz w:val="20"/>
        <w:szCs w:val="20"/>
      </w:rPr>
      <w:fldChar w:fldCharType="separate"/>
    </w:r>
    <w:r w:rsidR="00960AAC">
      <w:rPr>
        <w:b/>
        <w:noProof/>
        <w:sz w:val="20"/>
        <w:szCs w:val="20"/>
      </w:rPr>
      <w:t>v</w:t>
    </w:r>
    <w:r w:rsidRPr="007C2B68">
      <w:rPr>
        <w:b/>
        <w:noProof/>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rsidP="00592E08">
    <w:pPr>
      <w:pStyle w:val="Footerodd"/>
    </w:pPr>
    <w:r>
      <w:tab/>
      <w:t>Summary of Stage Two: Other Issues Consultation Responses</w:t>
    </w:r>
    <w:r>
      <w:tab/>
    </w:r>
    <w:r w:rsidRPr="007C2B68">
      <w:rPr>
        <w:b/>
        <w:sz w:val="20"/>
        <w:szCs w:val="20"/>
      </w:rPr>
      <w:fldChar w:fldCharType="begin"/>
    </w:r>
    <w:r w:rsidRPr="007C2B68">
      <w:rPr>
        <w:b/>
        <w:sz w:val="20"/>
        <w:szCs w:val="20"/>
      </w:rPr>
      <w:instrText xml:space="preserve"> PAGE   \* MERGEFORMAT </w:instrText>
    </w:r>
    <w:r w:rsidRPr="007C2B68">
      <w:rPr>
        <w:b/>
        <w:sz w:val="20"/>
        <w:szCs w:val="20"/>
      </w:rPr>
      <w:fldChar w:fldCharType="separate"/>
    </w:r>
    <w:r w:rsidR="00960AAC">
      <w:rPr>
        <w:b/>
        <w:noProof/>
        <w:sz w:val="20"/>
        <w:szCs w:val="20"/>
      </w:rPr>
      <w:t>iii</w:t>
    </w:r>
    <w:r w:rsidRPr="007C2B68">
      <w:rPr>
        <w:b/>
        <w:noProof/>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rsidP="007C2B68">
    <w:pPr>
      <w:pStyle w:val="Footereven"/>
    </w:pP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960AAC">
      <w:rPr>
        <w:rStyle w:val="PageNumber"/>
        <w:noProof/>
      </w:rPr>
      <w:t>60</w:t>
    </w:r>
    <w:r w:rsidRPr="009116D7">
      <w:rPr>
        <w:rStyle w:val="PageNumber"/>
      </w:rPr>
      <w:fldChar w:fldCharType="end"/>
    </w:r>
    <w:r>
      <w:tab/>
      <w:t>Summary of Stage Two: Other Issues Consultation Responses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B68" w:rsidRDefault="00DE5B68" w:rsidP="00BF2618">
      <w:pPr>
        <w:spacing w:after="60"/>
      </w:pPr>
      <w:r>
        <w:separator/>
      </w:r>
    </w:p>
  </w:footnote>
  <w:footnote w:type="continuationSeparator" w:id="0">
    <w:p w:rsidR="00DE5B68" w:rsidRDefault="00DE5B68">
      <w:r>
        <w:continuationSeparator/>
      </w:r>
    </w:p>
    <w:p w:rsidR="00DE5B68" w:rsidRDefault="00DE5B68"/>
    <w:p w:rsidR="00DE5B68" w:rsidRDefault="00DE5B68"/>
    <w:p w:rsidR="00DE5B68" w:rsidRDefault="00DE5B68"/>
    <w:p w:rsidR="00DE5B68" w:rsidRDefault="00DE5B68"/>
  </w:footnote>
  <w:footnote w:id="1">
    <w:p w:rsidR="00DE5B68" w:rsidRDefault="00DE5B68" w:rsidP="00F96A6F">
      <w:pPr>
        <w:pStyle w:val="FootnoteText"/>
      </w:pPr>
      <w:r>
        <w:rPr>
          <w:rStyle w:val="FootnoteReference"/>
        </w:rPr>
        <w:footnoteRef/>
      </w:r>
      <w:r>
        <w:t xml:space="preserve"> </w:t>
      </w:r>
      <w:r w:rsidRPr="0017247F">
        <w:t xml:space="preserve">Consultation </w:t>
      </w:r>
      <w:r>
        <w:t xml:space="preserve">on stage two </w:t>
      </w:r>
      <w:r w:rsidRPr="0017247F">
        <w:t xml:space="preserve">closed at 5.00 pm on 30 April 2016. Some submitters </w:t>
      </w:r>
      <w:r>
        <w:t>were granted extensions, and t</w:t>
      </w:r>
      <w:r w:rsidRPr="0017247F">
        <w:t>hese submissions are included in the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rsidP="00F51F59">
    <w:pPr>
      <w:ind w:left="-57"/>
    </w:pPr>
    <w:r>
      <w:rPr>
        <w:noProof/>
        <w:lang w:eastAsia="en-NZ"/>
      </w:rPr>
      <mc:AlternateContent>
        <mc:Choice Requires="wps">
          <w:drawing>
            <wp:anchor distT="0" distB="0" distL="114300" distR="114300" simplePos="0" relativeHeight="251657728" behindDoc="1" locked="0" layoutInCell="1" allowOverlap="1" wp14:anchorId="7497779C" wp14:editId="71D499B3">
              <wp:simplePos x="0" y="0"/>
              <wp:positionH relativeFrom="page">
                <wp:posOffset>213995</wp:posOffset>
              </wp:positionH>
              <wp:positionV relativeFrom="page">
                <wp:posOffset>3636645</wp:posOffset>
              </wp:positionV>
              <wp:extent cx="7127875" cy="6804025"/>
              <wp:effectExtent l="4445" t="0" r="190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6804025"/>
                      </a:xfrm>
                      <a:prstGeom prst="rect">
                        <a:avLst/>
                      </a:prstGeom>
                      <a:solidFill>
                        <a:srgbClr val="E1E4DD"/>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6.85pt;margin-top:286.35pt;width:561.25pt;height:535.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" fillcolor="#e1e4dd" stroked="f" strokecolor="#4a7ebb" strokeweight="1.5pt">
              <v:shadow opacity="22938f" offset="0"/>
              <v:textbox inset=",7.2pt,,7.2pt"/>
              <w10:wrap anchorx="page" anchory="page"/>
            </v:rect>
          </w:pict>
        </mc:Fallback>
      </mc:AlternateContent>
    </w:r>
    <w:r>
      <w:rPr>
        <w:noProof/>
        <w:lang w:eastAsia="en-NZ"/>
      </w:rPr>
      <w:drawing>
        <wp:anchor distT="0" distB="0" distL="114300" distR="114300" simplePos="0" relativeHeight="251656704" behindDoc="0" locked="0" layoutInCell="1" allowOverlap="1" wp14:anchorId="041955CD" wp14:editId="5AFD50FE">
          <wp:simplePos x="0" y="0"/>
          <wp:positionH relativeFrom="column">
            <wp:posOffset>-492760</wp:posOffset>
          </wp:positionH>
          <wp:positionV relativeFrom="paragraph">
            <wp:posOffset>35560</wp:posOffset>
          </wp:positionV>
          <wp:extent cx="7142480" cy="3269615"/>
          <wp:effectExtent l="0" t="0" r="127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2480" cy="32696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Pr="000A1488" w:rsidRDefault="00DE5B68" w:rsidP="0058752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Default="00DE5B68" w:rsidP="00592E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68" w:rsidRPr="00B06B37" w:rsidRDefault="00DE5B68" w:rsidP="00B06B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033D"/>
    <w:multiLevelType w:val="hybridMultilevel"/>
    <w:tmpl w:val="E17C143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
    <w:nsid w:val="208C5CF5"/>
    <w:multiLevelType w:val="hybridMultilevel"/>
    <w:tmpl w:val="C0D685A2"/>
    <w:lvl w:ilvl="0" w:tplc="17A45124">
      <w:start w:val="1"/>
      <w:numFmt w:val="lowerLetter"/>
      <w:pStyle w:val="Sub-lista"/>
      <w:lvlText w:val="%1)"/>
      <w:lvlJc w:val="left"/>
      <w:pPr>
        <w:tabs>
          <w:tab w:val="num" w:pos="794"/>
        </w:tabs>
        <w:ind w:left="794" w:hanging="397"/>
      </w:pPr>
      <w:rPr>
        <w:rFonts w:hint="default"/>
        <w:b w:val="0"/>
        <w:bCs w:val="0"/>
        <w:i w:val="0"/>
        <w:iCs w:val="0"/>
        <w:color w:val="auto"/>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
    <w:nsid w:val="248A6D6C"/>
    <w:multiLevelType w:val="hybridMultilevel"/>
    <w:tmpl w:val="25DCE774"/>
    <w:lvl w:ilvl="0" w:tplc="D550F554">
      <w:start w:val="1"/>
      <w:numFmt w:val="bullet"/>
      <w:lvlText w:val="•"/>
      <w:lvlJc w:val="left"/>
      <w:pPr>
        <w:tabs>
          <w:tab w:val="num" w:pos="720"/>
        </w:tabs>
        <w:ind w:left="720" w:hanging="360"/>
      </w:pPr>
      <w:rPr>
        <w:rFonts w:ascii="Times New Roman" w:hAnsi="Times New Roman"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9A58D0D0">
      <w:start w:val="811"/>
      <w:numFmt w:val="bullet"/>
      <w:lvlText w:val="•"/>
      <w:lvlJc w:val="left"/>
      <w:pPr>
        <w:tabs>
          <w:tab w:val="num" w:pos="2160"/>
        </w:tabs>
        <w:ind w:left="2160" w:hanging="360"/>
      </w:pPr>
      <w:rPr>
        <w:rFonts w:ascii="Times New Roman" w:hAnsi="Times New Roman" w:hint="default"/>
      </w:rPr>
    </w:lvl>
    <w:lvl w:ilvl="3" w:tplc="75420618" w:tentative="1">
      <w:start w:val="1"/>
      <w:numFmt w:val="bullet"/>
      <w:lvlText w:val="•"/>
      <w:lvlJc w:val="left"/>
      <w:pPr>
        <w:tabs>
          <w:tab w:val="num" w:pos="2880"/>
        </w:tabs>
        <w:ind w:left="2880" w:hanging="360"/>
      </w:pPr>
      <w:rPr>
        <w:rFonts w:ascii="Times New Roman" w:hAnsi="Times New Roman" w:hint="default"/>
      </w:rPr>
    </w:lvl>
    <w:lvl w:ilvl="4" w:tplc="09821486" w:tentative="1">
      <w:start w:val="1"/>
      <w:numFmt w:val="bullet"/>
      <w:lvlText w:val="•"/>
      <w:lvlJc w:val="left"/>
      <w:pPr>
        <w:tabs>
          <w:tab w:val="num" w:pos="3600"/>
        </w:tabs>
        <w:ind w:left="3600" w:hanging="360"/>
      </w:pPr>
      <w:rPr>
        <w:rFonts w:ascii="Times New Roman" w:hAnsi="Times New Roman" w:hint="default"/>
      </w:rPr>
    </w:lvl>
    <w:lvl w:ilvl="5" w:tplc="A532DD00" w:tentative="1">
      <w:start w:val="1"/>
      <w:numFmt w:val="bullet"/>
      <w:lvlText w:val="•"/>
      <w:lvlJc w:val="left"/>
      <w:pPr>
        <w:tabs>
          <w:tab w:val="num" w:pos="4320"/>
        </w:tabs>
        <w:ind w:left="4320" w:hanging="360"/>
      </w:pPr>
      <w:rPr>
        <w:rFonts w:ascii="Times New Roman" w:hAnsi="Times New Roman" w:hint="default"/>
      </w:rPr>
    </w:lvl>
    <w:lvl w:ilvl="6" w:tplc="CF8E1BCA" w:tentative="1">
      <w:start w:val="1"/>
      <w:numFmt w:val="bullet"/>
      <w:lvlText w:val="•"/>
      <w:lvlJc w:val="left"/>
      <w:pPr>
        <w:tabs>
          <w:tab w:val="num" w:pos="5040"/>
        </w:tabs>
        <w:ind w:left="5040" w:hanging="360"/>
      </w:pPr>
      <w:rPr>
        <w:rFonts w:ascii="Times New Roman" w:hAnsi="Times New Roman" w:hint="default"/>
      </w:rPr>
    </w:lvl>
    <w:lvl w:ilvl="7" w:tplc="5FDE478C" w:tentative="1">
      <w:start w:val="1"/>
      <w:numFmt w:val="bullet"/>
      <w:lvlText w:val="•"/>
      <w:lvlJc w:val="left"/>
      <w:pPr>
        <w:tabs>
          <w:tab w:val="num" w:pos="5760"/>
        </w:tabs>
        <w:ind w:left="5760" w:hanging="360"/>
      </w:pPr>
      <w:rPr>
        <w:rFonts w:ascii="Times New Roman" w:hAnsi="Times New Roman" w:hint="default"/>
      </w:rPr>
    </w:lvl>
    <w:lvl w:ilvl="8" w:tplc="4ADE7686" w:tentative="1">
      <w:start w:val="1"/>
      <w:numFmt w:val="bullet"/>
      <w:lvlText w:val="•"/>
      <w:lvlJc w:val="left"/>
      <w:pPr>
        <w:tabs>
          <w:tab w:val="num" w:pos="6480"/>
        </w:tabs>
        <w:ind w:left="6480" w:hanging="360"/>
      </w:pPr>
      <w:rPr>
        <w:rFonts w:ascii="Times New Roman" w:hAnsi="Times New Roman" w:hint="default"/>
      </w:rPr>
    </w:lvl>
  </w:abstractNum>
  <w:abstractNum w:abstractNumId="3">
    <w:nsid w:val="25BE18A8"/>
    <w:multiLevelType w:val="hybridMultilevel"/>
    <w:tmpl w:val="343E79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690240A"/>
    <w:multiLevelType w:val="hybridMultilevel"/>
    <w:tmpl w:val="AC1642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72A3434"/>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B940584"/>
    <w:multiLevelType w:val="hybridMultilevel"/>
    <w:tmpl w:val="82DEDC58"/>
    <w:lvl w:ilvl="0" w:tplc="0E60B7C4">
      <w:start w:val="1"/>
      <w:numFmt w:val="decimal"/>
      <w:pStyle w:val="Numberedparagraph"/>
      <w:lvlText w:val="%1"/>
      <w:lvlJc w:val="left"/>
      <w:pPr>
        <w:tabs>
          <w:tab w:val="num" w:pos="397"/>
        </w:tabs>
        <w:ind w:left="397" w:hanging="397"/>
      </w:pPr>
      <w:rPr>
        <w:rFonts w:ascii="Calibri" w:hAnsi="Calibri" w:cs="Calibri"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nsid w:val="33EA4F9A"/>
    <w:multiLevelType w:val="multilevel"/>
    <w:tmpl w:val="2328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203EE2"/>
    <w:multiLevelType w:val="hybridMultilevel"/>
    <w:tmpl w:val="FD94E4A4"/>
    <w:lvl w:ilvl="0" w:tplc="041E5AB0">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427701FB"/>
    <w:multiLevelType w:val="hybridMultilevel"/>
    <w:tmpl w:val="87A07910"/>
    <w:lvl w:ilvl="0" w:tplc="C04A679E">
      <w:start w:val="1"/>
      <w:numFmt w:val="bullet"/>
      <w:pStyle w:val="Sub-list"/>
      <w:lvlText w:val=""/>
      <w:lvlJc w:val="left"/>
      <w:pPr>
        <w:tabs>
          <w:tab w:val="num" w:pos="397"/>
        </w:tabs>
        <w:ind w:left="397"/>
      </w:pPr>
      <w:rPr>
        <w:rFonts w:ascii="Symbol" w:hAnsi="Symbol" w:cs="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cs="Wingdings" w:hint="default"/>
      </w:rPr>
    </w:lvl>
    <w:lvl w:ilvl="3" w:tplc="14090001" w:tentative="1">
      <w:start w:val="1"/>
      <w:numFmt w:val="bullet"/>
      <w:lvlText w:val=""/>
      <w:lvlJc w:val="left"/>
      <w:pPr>
        <w:tabs>
          <w:tab w:val="num" w:pos="2880"/>
        </w:tabs>
        <w:ind w:left="2880" w:hanging="360"/>
      </w:pPr>
      <w:rPr>
        <w:rFonts w:ascii="Symbol" w:hAnsi="Symbol" w:cs="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cs="Wingdings" w:hint="default"/>
      </w:rPr>
    </w:lvl>
    <w:lvl w:ilvl="6" w:tplc="14090001" w:tentative="1">
      <w:start w:val="1"/>
      <w:numFmt w:val="bullet"/>
      <w:lvlText w:val=""/>
      <w:lvlJc w:val="left"/>
      <w:pPr>
        <w:tabs>
          <w:tab w:val="num" w:pos="5040"/>
        </w:tabs>
        <w:ind w:left="5040" w:hanging="360"/>
      </w:pPr>
      <w:rPr>
        <w:rFonts w:ascii="Symbol" w:hAnsi="Symbol" w:cs="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cs="Wingdings" w:hint="default"/>
      </w:rPr>
    </w:lvl>
  </w:abstractNum>
  <w:abstractNum w:abstractNumId="10">
    <w:nsid w:val="42CD7F7A"/>
    <w:multiLevelType w:val="hybridMultilevel"/>
    <w:tmpl w:val="F5F41D1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cs="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cs="Wingdings" w:hint="default"/>
      </w:rPr>
    </w:lvl>
    <w:lvl w:ilvl="3" w:tplc="14090001" w:tentative="1">
      <w:start w:val="1"/>
      <w:numFmt w:val="bullet"/>
      <w:lvlText w:val=""/>
      <w:lvlJc w:val="left"/>
      <w:pPr>
        <w:tabs>
          <w:tab w:val="num" w:pos="2880"/>
        </w:tabs>
        <w:ind w:left="2880" w:hanging="360"/>
      </w:pPr>
      <w:rPr>
        <w:rFonts w:ascii="Symbol" w:hAnsi="Symbol" w:cs="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cs="Wingdings" w:hint="default"/>
      </w:rPr>
    </w:lvl>
    <w:lvl w:ilvl="6" w:tplc="14090001" w:tentative="1">
      <w:start w:val="1"/>
      <w:numFmt w:val="bullet"/>
      <w:lvlText w:val=""/>
      <w:lvlJc w:val="left"/>
      <w:pPr>
        <w:tabs>
          <w:tab w:val="num" w:pos="5040"/>
        </w:tabs>
        <w:ind w:left="5040" w:hanging="360"/>
      </w:pPr>
      <w:rPr>
        <w:rFonts w:ascii="Symbol" w:hAnsi="Symbol" w:cs="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cs="Wingdings" w:hint="default"/>
      </w:rPr>
    </w:lvl>
  </w:abstractNum>
  <w:abstractNum w:abstractNumId="12">
    <w:nsid w:val="463D6104"/>
    <w:multiLevelType w:val="hybridMultilevel"/>
    <w:tmpl w:val="F89C2DEC"/>
    <w:lvl w:ilvl="0" w:tplc="FBF6B1A2">
      <w:start w:val="1"/>
      <w:numFmt w:val="lowerRoman"/>
      <w:pStyle w:val="Sub-listi"/>
      <w:lvlText w:val="%1."/>
      <w:lvlJc w:val="left"/>
      <w:pPr>
        <w:tabs>
          <w:tab w:val="num" w:pos="1191"/>
        </w:tabs>
        <w:ind w:left="1191" w:hanging="397"/>
      </w:pPr>
      <w:rPr>
        <w:rFonts w:ascii="Calibri" w:hAnsi="Calibri" w:cs="Calibri" w:hint="default"/>
        <w:b w:val="0"/>
        <w:bCs w:val="0"/>
        <w:i w:val="0"/>
        <w:iCs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3">
    <w:nsid w:val="479731D9"/>
    <w:multiLevelType w:val="hybridMultilevel"/>
    <w:tmpl w:val="421817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4C51082D"/>
    <w:multiLevelType w:val="hybridMultilevel"/>
    <w:tmpl w:val="0F1A9FAC"/>
    <w:lvl w:ilvl="0" w:tplc="1409000F">
      <w:start w:val="1"/>
      <w:numFmt w:val="decimal"/>
      <w:lvlText w:val="%1."/>
      <w:lvlJc w:val="left"/>
      <w:pPr>
        <w:ind w:left="360" w:hanging="360"/>
      </w:pPr>
      <w:rPr>
        <w:rFonts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53535234"/>
    <w:multiLevelType w:val="singleLevel"/>
    <w:tmpl w:val="3024397C"/>
    <w:lvl w:ilvl="0">
      <w:start w:val="1"/>
      <w:numFmt w:val="bullet"/>
      <w:pStyle w:val="Boxbullet"/>
      <w:lvlText w:val=""/>
      <w:lvlJc w:val="left"/>
      <w:pPr>
        <w:tabs>
          <w:tab w:val="num" w:pos="851"/>
        </w:tabs>
        <w:ind w:left="851" w:hanging="567"/>
      </w:pPr>
      <w:rPr>
        <w:rFonts w:ascii="Symbol" w:hAnsi="Symbol" w:cs="Symbol" w:hint="default"/>
        <w:sz w:val="16"/>
        <w:szCs w:val="16"/>
      </w:rPr>
    </w:lvl>
  </w:abstractNum>
  <w:abstractNum w:abstractNumId="16">
    <w:nsid w:val="6862479E"/>
    <w:multiLevelType w:val="hybridMultilevel"/>
    <w:tmpl w:val="A50651F6"/>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717E2C8C"/>
    <w:multiLevelType w:val="multilevel"/>
    <w:tmpl w:val="1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73FC6052"/>
    <w:multiLevelType w:val="hybridMultilevel"/>
    <w:tmpl w:val="A06A8B0C"/>
    <w:lvl w:ilvl="0" w:tplc="BF0EF012">
      <w:start w:val="1"/>
      <w:numFmt w:val="decimal"/>
      <w:lvlText w:val="%1."/>
      <w:lvlJc w:val="left"/>
      <w:pPr>
        <w:ind w:left="1215" w:hanging="85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75811DDE"/>
    <w:multiLevelType w:val="hybridMultilevel"/>
    <w:tmpl w:val="5784BADA"/>
    <w:lvl w:ilvl="0" w:tplc="1EC27450">
      <w:start w:val="1"/>
      <w:numFmt w:val="bullet"/>
      <w:pStyle w:val="TableDash"/>
      <w:lvlText w:val=""/>
      <w:lvlJc w:val="left"/>
      <w:pPr>
        <w:tabs>
          <w:tab w:val="num" w:pos="567"/>
        </w:tabs>
        <w:ind w:left="567" w:hanging="283"/>
      </w:pPr>
      <w:rPr>
        <w:rFonts w:ascii="Symbol" w:hAnsi="Symbol" w:cs="Symbol" w:hint="default"/>
        <w:color w:val="auto"/>
        <w:sz w:val="16"/>
        <w:szCs w:val="16"/>
      </w:rPr>
    </w:lvl>
    <w:lvl w:ilvl="1" w:tplc="A1DE5D40">
      <w:start w:val="1"/>
      <w:numFmt w:val="bullet"/>
      <w:lvlText w:val="o"/>
      <w:lvlJc w:val="left"/>
      <w:pPr>
        <w:tabs>
          <w:tab w:val="num" w:pos="1440"/>
        </w:tabs>
        <w:ind w:left="1440" w:hanging="360"/>
      </w:pPr>
      <w:rPr>
        <w:rFonts w:ascii="Courier New" w:hAnsi="Courier New" w:cs="Courier New" w:hint="default"/>
      </w:rPr>
    </w:lvl>
    <w:lvl w:ilvl="2" w:tplc="EBAEF034" w:tentative="1">
      <w:start w:val="1"/>
      <w:numFmt w:val="bullet"/>
      <w:lvlText w:val=""/>
      <w:lvlJc w:val="left"/>
      <w:pPr>
        <w:tabs>
          <w:tab w:val="num" w:pos="2160"/>
        </w:tabs>
        <w:ind w:left="2160" w:hanging="360"/>
      </w:pPr>
      <w:rPr>
        <w:rFonts w:ascii="Wingdings" w:hAnsi="Wingdings" w:cs="Wingdings" w:hint="default"/>
      </w:rPr>
    </w:lvl>
    <w:lvl w:ilvl="3" w:tplc="8B1C3BD6" w:tentative="1">
      <w:start w:val="1"/>
      <w:numFmt w:val="bullet"/>
      <w:lvlText w:val=""/>
      <w:lvlJc w:val="left"/>
      <w:pPr>
        <w:tabs>
          <w:tab w:val="num" w:pos="2880"/>
        </w:tabs>
        <w:ind w:left="2880" w:hanging="360"/>
      </w:pPr>
      <w:rPr>
        <w:rFonts w:ascii="Symbol" w:hAnsi="Symbol" w:cs="Symbol" w:hint="default"/>
      </w:rPr>
    </w:lvl>
    <w:lvl w:ilvl="4" w:tplc="D2104BBA" w:tentative="1">
      <w:start w:val="1"/>
      <w:numFmt w:val="bullet"/>
      <w:lvlText w:val="o"/>
      <w:lvlJc w:val="left"/>
      <w:pPr>
        <w:tabs>
          <w:tab w:val="num" w:pos="3600"/>
        </w:tabs>
        <w:ind w:left="3600" w:hanging="360"/>
      </w:pPr>
      <w:rPr>
        <w:rFonts w:ascii="Courier New" w:hAnsi="Courier New" w:cs="Courier New" w:hint="default"/>
      </w:rPr>
    </w:lvl>
    <w:lvl w:ilvl="5" w:tplc="A7829BE0" w:tentative="1">
      <w:start w:val="1"/>
      <w:numFmt w:val="bullet"/>
      <w:lvlText w:val=""/>
      <w:lvlJc w:val="left"/>
      <w:pPr>
        <w:tabs>
          <w:tab w:val="num" w:pos="4320"/>
        </w:tabs>
        <w:ind w:left="4320" w:hanging="360"/>
      </w:pPr>
      <w:rPr>
        <w:rFonts w:ascii="Wingdings" w:hAnsi="Wingdings" w:cs="Wingdings" w:hint="default"/>
      </w:rPr>
    </w:lvl>
    <w:lvl w:ilvl="6" w:tplc="7C80C2D2" w:tentative="1">
      <w:start w:val="1"/>
      <w:numFmt w:val="bullet"/>
      <w:lvlText w:val=""/>
      <w:lvlJc w:val="left"/>
      <w:pPr>
        <w:tabs>
          <w:tab w:val="num" w:pos="5040"/>
        </w:tabs>
        <w:ind w:left="5040" w:hanging="360"/>
      </w:pPr>
      <w:rPr>
        <w:rFonts w:ascii="Symbol" w:hAnsi="Symbol" w:cs="Symbol" w:hint="default"/>
      </w:rPr>
    </w:lvl>
    <w:lvl w:ilvl="7" w:tplc="A4502342" w:tentative="1">
      <w:start w:val="1"/>
      <w:numFmt w:val="bullet"/>
      <w:lvlText w:val="o"/>
      <w:lvlJc w:val="left"/>
      <w:pPr>
        <w:tabs>
          <w:tab w:val="num" w:pos="5760"/>
        </w:tabs>
        <w:ind w:left="5760" w:hanging="360"/>
      </w:pPr>
      <w:rPr>
        <w:rFonts w:ascii="Courier New" w:hAnsi="Courier New" w:cs="Courier New" w:hint="default"/>
      </w:rPr>
    </w:lvl>
    <w:lvl w:ilvl="8" w:tplc="DEC27688" w:tentative="1">
      <w:start w:val="1"/>
      <w:numFmt w:val="bullet"/>
      <w:lvlText w:val=""/>
      <w:lvlJc w:val="left"/>
      <w:pPr>
        <w:tabs>
          <w:tab w:val="num" w:pos="6480"/>
        </w:tabs>
        <w:ind w:left="6480" w:hanging="360"/>
      </w:pPr>
      <w:rPr>
        <w:rFonts w:ascii="Wingdings" w:hAnsi="Wingdings" w:cs="Wingdings" w:hint="default"/>
      </w:rPr>
    </w:lvl>
  </w:abstractNum>
  <w:abstractNum w:abstractNumId="20">
    <w:nsid w:val="7A8509E8"/>
    <w:multiLevelType w:val="hybridMultilevel"/>
    <w:tmpl w:val="600ACBB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7E4D254A"/>
    <w:multiLevelType w:val="singleLevel"/>
    <w:tmpl w:val="3D7651AA"/>
    <w:lvl w:ilvl="0">
      <w:start w:val="1"/>
      <w:numFmt w:val="bullet"/>
      <w:pStyle w:val="Bullet"/>
      <w:lvlText w:val=""/>
      <w:lvlJc w:val="left"/>
      <w:pPr>
        <w:tabs>
          <w:tab w:val="num" w:pos="397"/>
        </w:tabs>
        <w:ind w:left="397" w:hanging="397"/>
      </w:pPr>
      <w:rPr>
        <w:rFonts w:ascii="Symbol" w:hAnsi="Symbol" w:cs="Symbol" w:hint="default"/>
        <w:sz w:val="20"/>
        <w:szCs w:val="20"/>
      </w:rPr>
    </w:lvl>
  </w:abstractNum>
  <w:abstractNum w:abstractNumId="22">
    <w:nsid w:val="7FBB6A67"/>
    <w:multiLevelType w:val="multilevel"/>
    <w:tmpl w:val="1409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15"/>
  </w:num>
  <w:num w:numId="2">
    <w:abstractNumId w:val="21"/>
  </w:num>
  <w:num w:numId="3">
    <w:abstractNumId w:val="9"/>
  </w:num>
  <w:num w:numId="4">
    <w:abstractNumId w:val="1"/>
  </w:num>
  <w:num w:numId="5">
    <w:abstractNumId w:val="12"/>
  </w:num>
  <w:num w:numId="6">
    <w:abstractNumId w:val="19"/>
  </w:num>
  <w:num w:numId="7">
    <w:abstractNumId w:val="11"/>
  </w:num>
  <w:num w:numId="8">
    <w:abstractNumId w:val="6"/>
  </w:num>
  <w:num w:numId="9">
    <w:abstractNumId w:val="17"/>
  </w:num>
  <w:num w:numId="10">
    <w:abstractNumId w:val="5"/>
  </w:num>
  <w:num w:numId="11">
    <w:abstractNumId w:val="22"/>
  </w:num>
  <w:num w:numId="12">
    <w:abstractNumId w:val="18"/>
  </w:num>
  <w:num w:numId="13">
    <w:abstractNumId w:val="4"/>
  </w:num>
  <w:num w:numId="14">
    <w:abstractNumId w:val="7"/>
  </w:num>
  <w:num w:numId="15">
    <w:abstractNumId w:val="13"/>
  </w:num>
  <w:num w:numId="16">
    <w:abstractNumId w:val="3"/>
  </w:num>
  <w:num w:numId="17">
    <w:abstractNumId w:val="0"/>
  </w:num>
  <w:num w:numId="18">
    <w:abstractNumId w:val="2"/>
  </w:num>
  <w:num w:numId="19">
    <w:abstractNumId w:val="8"/>
  </w:num>
  <w:num w:numId="20">
    <w:abstractNumId w:val="21"/>
  </w:num>
  <w:num w:numId="21">
    <w:abstractNumId w:val="21"/>
  </w:num>
  <w:num w:numId="22">
    <w:abstractNumId w:val="20"/>
  </w:num>
  <w:num w:numId="23">
    <w:abstractNumId w:val="10"/>
  </w:num>
  <w:num w:numId="24">
    <w:abstractNumId w:val="14"/>
  </w:num>
  <w:num w:numId="25">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397"/>
  <w:evenAndOddHeaders/>
  <w:drawingGridHorizontalSpacing w:val="187"/>
  <w:displayVerticalDrawingGridEvery w:val="2"/>
  <w:characterSpacingControl w:val="doNotCompress"/>
  <w:doNotValidateAgainstSchema/>
  <w:doNotDemarcateInvalidXml/>
  <w:hdrShapeDefaults>
    <o:shapedefaults v:ext="edit" spidmax="23553"/>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D33"/>
    <w:rsid w:val="00000CC6"/>
    <w:rsid w:val="00000FB6"/>
    <w:rsid w:val="000011B8"/>
    <w:rsid w:val="000013A9"/>
    <w:rsid w:val="00001877"/>
    <w:rsid w:val="0000280B"/>
    <w:rsid w:val="00002886"/>
    <w:rsid w:val="000033F9"/>
    <w:rsid w:val="00003546"/>
    <w:rsid w:val="00003E81"/>
    <w:rsid w:val="000041BD"/>
    <w:rsid w:val="000042BE"/>
    <w:rsid w:val="000056C3"/>
    <w:rsid w:val="000068C6"/>
    <w:rsid w:val="00006B0C"/>
    <w:rsid w:val="00006D93"/>
    <w:rsid w:val="00006F25"/>
    <w:rsid w:val="00007339"/>
    <w:rsid w:val="00007ABB"/>
    <w:rsid w:val="00007FEB"/>
    <w:rsid w:val="00010278"/>
    <w:rsid w:val="0001038E"/>
    <w:rsid w:val="00011147"/>
    <w:rsid w:val="000116BA"/>
    <w:rsid w:val="00011ABC"/>
    <w:rsid w:val="00011B85"/>
    <w:rsid w:val="00011E13"/>
    <w:rsid w:val="000128DF"/>
    <w:rsid w:val="00012FC7"/>
    <w:rsid w:val="00014FD5"/>
    <w:rsid w:val="000154A4"/>
    <w:rsid w:val="00016087"/>
    <w:rsid w:val="000165E2"/>
    <w:rsid w:val="00016DC0"/>
    <w:rsid w:val="000171D2"/>
    <w:rsid w:val="000206FC"/>
    <w:rsid w:val="00021538"/>
    <w:rsid w:val="00021A26"/>
    <w:rsid w:val="00021A57"/>
    <w:rsid w:val="00021ACF"/>
    <w:rsid w:val="00021B24"/>
    <w:rsid w:val="000231EE"/>
    <w:rsid w:val="0002383B"/>
    <w:rsid w:val="00024437"/>
    <w:rsid w:val="00024EAF"/>
    <w:rsid w:val="00027A04"/>
    <w:rsid w:val="00030220"/>
    <w:rsid w:val="0003147C"/>
    <w:rsid w:val="0003221A"/>
    <w:rsid w:val="00032A28"/>
    <w:rsid w:val="00032C14"/>
    <w:rsid w:val="00032FFC"/>
    <w:rsid w:val="000334F4"/>
    <w:rsid w:val="000341D9"/>
    <w:rsid w:val="000354E1"/>
    <w:rsid w:val="0003570B"/>
    <w:rsid w:val="00035AFF"/>
    <w:rsid w:val="00035F1E"/>
    <w:rsid w:val="00036031"/>
    <w:rsid w:val="000362AE"/>
    <w:rsid w:val="00036928"/>
    <w:rsid w:val="000369CB"/>
    <w:rsid w:val="00036E6A"/>
    <w:rsid w:val="000372C8"/>
    <w:rsid w:val="00037804"/>
    <w:rsid w:val="00037D00"/>
    <w:rsid w:val="00041342"/>
    <w:rsid w:val="00041703"/>
    <w:rsid w:val="00041CC2"/>
    <w:rsid w:val="00043783"/>
    <w:rsid w:val="000458E2"/>
    <w:rsid w:val="00045E53"/>
    <w:rsid w:val="000477C0"/>
    <w:rsid w:val="00050008"/>
    <w:rsid w:val="00050CDB"/>
    <w:rsid w:val="00051777"/>
    <w:rsid w:val="0005179B"/>
    <w:rsid w:val="0005256A"/>
    <w:rsid w:val="0005256B"/>
    <w:rsid w:val="000558B7"/>
    <w:rsid w:val="00055D1C"/>
    <w:rsid w:val="000561F9"/>
    <w:rsid w:val="000572A6"/>
    <w:rsid w:val="00061840"/>
    <w:rsid w:val="00061B6E"/>
    <w:rsid w:val="00062350"/>
    <w:rsid w:val="0006241F"/>
    <w:rsid w:val="00062619"/>
    <w:rsid w:val="00063D27"/>
    <w:rsid w:val="000640F5"/>
    <w:rsid w:val="000679DD"/>
    <w:rsid w:val="000703EB"/>
    <w:rsid w:val="00070811"/>
    <w:rsid w:val="00070F3E"/>
    <w:rsid w:val="000711AD"/>
    <w:rsid w:val="00071233"/>
    <w:rsid w:val="00071BA3"/>
    <w:rsid w:val="0007222A"/>
    <w:rsid w:val="00072789"/>
    <w:rsid w:val="00073186"/>
    <w:rsid w:val="00073389"/>
    <w:rsid w:val="000741A1"/>
    <w:rsid w:val="0007468D"/>
    <w:rsid w:val="00074A16"/>
    <w:rsid w:val="00074F1D"/>
    <w:rsid w:val="0007720A"/>
    <w:rsid w:val="00080047"/>
    <w:rsid w:val="0008036B"/>
    <w:rsid w:val="00080535"/>
    <w:rsid w:val="00081F22"/>
    <w:rsid w:val="0008308A"/>
    <w:rsid w:val="0008309E"/>
    <w:rsid w:val="00083BD6"/>
    <w:rsid w:val="000844CA"/>
    <w:rsid w:val="00084CFC"/>
    <w:rsid w:val="00084D73"/>
    <w:rsid w:val="00084DB1"/>
    <w:rsid w:val="0008525D"/>
    <w:rsid w:val="00085601"/>
    <w:rsid w:val="00086A55"/>
    <w:rsid w:val="00086C63"/>
    <w:rsid w:val="0008743E"/>
    <w:rsid w:val="00087C4A"/>
    <w:rsid w:val="00090483"/>
    <w:rsid w:val="00090805"/>
    <w:rsid w:val="00090C80"/>
    <w:rsid w:val="00091D85"/>
    <w:rsid w:val="0009219A"/>
    <w:rsid w:val="00092353"/>
    <w:rsid w:val="00092AC3"/>
    <w:rsid w:val="00094BDC"/>
    <w:rsid w:val="00094EFC"/>
    <w:rsid w:val="000954DE"/>
    <w:rsid w:val="00095739"/>
    <w:rsid w:val="00096611"/>
    <w:rsid w:val="00096DAE"/>
    <w:rsid w:val="00096E8D"/>
    <w:rsid w:val="000979D9"/>
    <w:rsid w:val="000A04AE"/>
    <w:rsid w:val="000A095E"/>
    <w:rsid w:val="000A0A24"/>
    <w:rsid w:val="000A1488"/>
    <w:rsid w:val="000A1500"/>
    <w:rsid w:val="000A373F"/>
    <w:rsid w:val="000A37BB"/>
    <w:rsid w:val="000A454C"/>
    <w:rsid w:val="000A47BC"/>
    <w:rsid w:val="000A5C0E"/>
    <w:rsid w:val="000A64D4"/>
    <w:rsid w:val="000A6CDC"/>
    <w:rsid w:val="000A7018"/>
    <w:rsid w:val="000A79A9"/>
    <w:rsid w:val="000B132C"/>
    <w:rsid w:val="000B2FC2"/>
    <w:rsid w:val="000B35C5"/>
    <w:rsid w:val="000B46C5"/>
    <w:rsid w:val="000B4B00"/>
    <w:rsid w:val="000B4DC7"/>
    <w:rsid w:val="000B4E1C"/>
    <w:rsid w:val="000B5914"/>
    <w:rsid w:val="000B6D9A"/>
    <w:rsid w:val="000B6F9D"/>
    <w:rsid w:val="000B7ABD"/>
    <w:rsid w:val="000C07CC"/>
    <w:rsid w:val="000C0C7A"/>
    <w:rsid w:val="000C1686"/>
    <w:rsid w:val="000C20A6"/>
    <w:rsid w:val="000C57CF"/>
    <w:rsid w:val="000C5EB7"/>
    <w:rsid w:val="000C628C"/>
    <w:rsid w:val="000C62BF"/>
    <w:rsid w:val="000C6DCA"/>
    <w:rsid w:val="000C6F07"/>
    <w:rsid w:val="000C7936"/>
    <w:rsid w:val="000D0A5C"/>
    <w:rsid w:val="000D0BD1"/>
    <w:rsid w:val="000D0E18"/>
    <w:rsid w:val="000D1409"/>
    <w:rsid w:val="000D14EA"/>
    <w:rsid w:val="000D1AF4"/>
    <w:rsid w:val="000D218C"/>
    <w:rsid w:val="000D459B"/>
    <w:rsid w:val="000D4EEA"/>
    <w:rsid w:val="000D53E3"/>
    <w:rsid w:val="000D5C95"/>
    <w:rsid w:val="000D694B"/>
    <w:rsid w:val="000D6A87"/>
    <w:rsid w:val="000D6E7F"/>
    <w:rsid w:val="000D6F11"/>
    <w:rsid w:val="000D6FF2"/>
    <w:rsid w:val="000D710D"/>
    <w:rsid w:val="000D77F6"/>
    <w:rsid w:val="000E02B5"/>
    <w:rsid w:val="000E0717"/>
    <w:rsid w:val="000E1199"/>
    <w:rsid w:val="000E29F2"/>
    <w:rsid w:val="000E35A2"/>
    <w:rsid w:val="000E4785"/>
    <w:rsid w:val="000E4A22"/>
    <w:rsid w:val="000E554E"/>
    <w:rsid w:val="000E5808"/>
    <w:rsid w:val="000E5EC3"/>
    <w:rsid w:val="000E720B"/>
    <w:rsid w:val="000E771A"/>
    <w:rsid w:val="000E785F"/>
    <w:rsid w:val="000F08F2"/>
    <w:rsid w:val="000F3268"/>
    <w:rsid w:val="000F46AA"/>
    <w:rsid w:val="000F47CF"/>
    <w:rsid w:val="000F4DEF"/>
    <w:rsid w:val="000F5A2A"/>
    <w:rsid w:val="000F600A"/>
    <w:rsid w:val="000F66FE"/>
    <w:rsid w:val="000F6AA3"/>
    <w:rsid w:val="001009AF"/>
    <w:rsid w:val="00100ED8"/>
    <w:rsid w:val="00100FC5"/>
    <w:rsid w:val="001014F0"/>
    <w:rsid w:val="001032B5"/>
    <w:rsid w:val="0010365C"/>
    <w:rsid w:val="00103F02"/>
    <w:rsid w:val="00103F70"/>
    <w:rsid w:val="00104B3A"/>
    <w:rsid w:val="00104EC0"/>
    <w:rsid w:val="001051D5"/>
    <w:rsid w:val="00105616"/>
    <w:rsid w:val="001064C3"/>
    <w:rsid w:val="00106CF9"/>
    <w:rsid w:val="00107BAF"/>
    <w:rsid w:val="0011114B"/>
    <w:rsid w:val="0011143E"/>
    <w:rsid w:val="001115A9"/>
    <w:rsid w:val="001118B8"/>
    <w:rsid w:val="00111B9B"/>
    <w:rsid w:val="00111BED"/>
    <w:rsid w:val="00112450"/>
    <w:rsid w:val="00113656"/>
    <w:rsid w:val="0011410B"/>
    <w:rsid w:val="00114374"/>
    <w:rsid w:val="00114C0B"/>
    <w:rsid w:val="001155FD"/>
    <w:rsid w:val="00116768"/>
    <w:rsid w:val="00116E1B"/>
    <w:rsid w:val="001170D5"/>
    <w:rsid w:val="00117209"/>
    <w:rsid w:val="001177EF"/>
    <w:rsid w:val="00117CB6"/>
    <w:rsid w:val="001211E2"/>
    <w:rsid w:val="001221C3"/>
    <w:rsid w:val="00123C36"/>
    <w:rsid w:val="00124150"/>
    <w:rsid w:val="0012503B"/>
    <w:rsid w:val="001264D2"/>
    <w:rsid w:val="00131C5B"/>
    <w:rsid w:val="001320D0"/>
    <w:rsid w:val="00132349"/>
    <w:rsid w:val="00132591"/>
    <w:rsid w:val="001331FC"/>
    <w:rsid w:val="00133910"/>
    <w:rsid w:val="00133DA8"/>
    <w:rsid w:val="001340A7"/>
    <w:rsid w:val="001359C4"/>
    <w:rsid w:val="00135BB4"/>
    <w:rsid w:val="00137082"/>
    <w:rsid w:val="001370A5"/>
    <w:rsid w:val="00141E53"/>
    <w:rsid w:val="00142D30"/>
    <w:rsid w:val="00143F8E"/>
    <w:rsid w:val="001447A4"/>
    <w:rsid w:val="00147348"/>
    <w:rsid w:val="00147712"/>
    <w:rsid w:val="00147BA4"/>
    <w:rsid w:val="00147F18"/>
    <w:rsid w:val="001508A8"/>
    <w:rsid w:val="001508D1"/>
    <w:rsid w:val="0015099D"/>
    <w:rsid w:val="00150C37"/>
    <w:rsid w:val="00151153"/>
    <w:rsid w:val="00152186"/>
    <w:rsid w:val="001535DB"/>
    <w:rsid w:val="00153E97"/>
    <w:rsid w:val="00155439"/>
    <w:rsid w:val="00155A89"/>
    <w:rsid w:val="00156230"/>
    <w:rsid w:val="00156DB6"/>
    <w:rsid w:val="001600B8"/>
    <w:rsid w:val="00160A13"/>
    <w:rsid w:val="00160AB4"/>
    <w:rsid w:val="00160C5F"/>
    <w:rsid w:val="00161A27"/>
    <w:rsid w:val="001622D3"/>
    <w:rsid w:val="0016253C"/>
    <w:rsid w:val="001629C8"/>
    <w:rsid w:val="00162CD4"/>
    <w:rsid w:val="00163CD4"/>
    <w:rsid w:val="00163E6D"/>
    <w:rsid w:val="00163F3D"/>
    <w:rsid w:val="001647B3"/>
    <w:rsid w:val="00164907"/>
    <w:rsid w:val="001654F2"/>
    <w:rsid w:val="00166821"/>
    <w:rsid w:val="00166B72"/>
    <w:rsid w:val="00166DA1"/>
    <w:rsid w:val="00166FCC"/>
    <w:rsid w:val="001670BD"/>
    <w:rsid w:val="0017075E"/>
    <w:rsid w:val="00171EDC"/>
    <w:rsid w:val="001721E7"/>
    <w:rsid w:val="001724D2"/>
    <w:rsid w:val="00172DC6"/>
    <w:rsid w:val="00175C7A"/>
    <w:rsid w:val="00175F2F"/>
    <w:rsid w:val="00176583"/>
    <w:rsid w:val="001767FE"/>
    <w:rsid w:val="00176DC2"/>
    <w:rsid w:val="00176E0C"/>
    <w:rsid w:val="00177A0B"/>
    <w:rsid w:val="001807DA"/>
    <w:rsid w:val="001818B8"/>
    <w:rsid w:val="00181E32"/>
    <w:rsid w:val="00182DE0"/>
    <w:rsid w:val="001838A5"/>
    <w:rsid w:val="001841AB"/>
    <w:rsid w:val="00184824"/>
    <w:rsid w:val="00184A78"/>
    <w:rsid w:val="00184BC1"/>
    <w:rsid w:val="001852F7"/>
    <w:rsid w:val="001858EC"/>
    <w:rsid w:val="0018652F"/>
    <w:rsid w:val="00186543"/>
    <w:rsid w:val="00186B49"/>
    <w:rsid w:val="00186B7D"/>
    <w:rsid w:val="00186F1B"/>
    <w:rsid w:val="001876F7"/>
    <w:rsid w:val="00190E18"/>
    <w:rsid w:val="00192948"/>
    <w:rsid w:val="00192D63"/>
    <w:rsid w:val="00193318"/>
    <w:rsid w:val="00193514"/>
    <w:rsid w:val="00194260"/>
    <w:rsid w:val="00194508"/>
    <w:rsid w:val="001947FE"/>
    <w:rsid w:val="001954A2"/>
    <w:rsid w:val="001958E8"/>
    <w:rsid w:val="001969B0"/>
    <w:rsid w:val="001971B3"/>
    <w:rsid w:val="00197A5D"/>
    <w:rsid w:val="001A0BD6"/>
    <w:rsid w:val="001A10EC"/>
    <w:rsid w:val="001A1997"/>
    <w:rsid w:val="001A26E4"/>
    <w:rsid w:val="001A3004"/>
    <w:rsid w:val="001A3601"/>
    <w:rsid w:val="001A3EBE"/>
    <w:rsid w:val="001A490A"/>
    <w:rsid w:val="001A4A79"/>
    <w:rsid w:val="001A53D1"/>
    <w:rsid w:val="001A5DE1"/>
    <w:rsid w:val="001A5F5E"/>
    <w:rsid w:val="001A63D7"/>
    <w:rsid w:val="001B04C7"/>
    <w:rsid w:val="001B1738"/>
    <w:rsid w:val="001B1DDF"/>
    <w:rsid w:val="001B2C97"/>
    <w:rsid w:val="001B2EB4"/>
    <w:rsid w:val="001B2EC3"/>
    <w:rsid w:val="001B50EF"/>
    <w:rsid w:val="001B52EE"/>
    <w:rsid w:val="001B53BA"/>
    <w:rsid w:val="001B5F30"/>
    <w:rsid w:val="001B6217"/>
    <w:rsid w:val="001B7FC4"/>
    <w:rsid w:val="001C062F"/>
    <w:rsid w:val="001C1483"/>
    <w:rsid w:val="001C19E1"/>
    <w:rsid w:val="001C2B00"/>
    <w:rsid w:val="001C301A"/>
    <w:rsid w:val="001C31CE"/>
    <w:rsid w:val="001C5455"/>
    <w:rsid w:val="001C5AF9"/>
    <w:rsid w:val="001C696B"/>
    <w:rsid w:val="001C7462"/>
    <w:rsid w:val="001C7682"/>
    <w:rsid w:val="001D0627"/>
    <w:rsid w:val="001D0ACD"/>
    <w:rsid w:val="001D217C"/>
    <w:rsid w:val="001D2D41"/>
    <w:rsid w:val="001D3AE3"/>
    <w:rsid w:val="001D49B7"/>
    <w:rsid w:val="001D4DF3"/>
    <w:rsid w:val="001D5646"/>
    <w:rsid w:val="001D581A"/>
    <w:rsid w:val="001D5C92"/>
    <w:rsid w:val="001D657A"/>
    <w:rsid w:val="001D6ACA"/>
    <w:rsid w:val="001E0751"/>
    <w:rsid w:val="001E1D42"/>
    <w:rsid w:val="001E1E74"/>
    <w:rsid w:val="001E2CB7"/>
    <w:rsid w:val="001E39B3"/>
    <w:rsid w:val="001E448C"/>
    <w:rsid w:val="001E4AB6"/>
    <w:rsid w:val="001E56D0"/>
    <w:rsid w:val="001E7312"/>
    <w:rsid w:val="001E7578"/>
    <w:rsid w:val="001E7898"/>
    <w:rsid w:val="001E7F06"/>
    <w:rsid w:val="001F0D30"/>
    <w:rsid w:val="001F202B"/>
    <w:rsid w:val="001F2A28"/>
    <w:rsid w:val="001F4045"/>
    <w:rsid w:val="001F4B58"/>
    <w:rsid w:val="001F5D74"/>
    <w:rsid w:val="001F7B7C"/>
    <w:rsid w:val="00200153"/>
    <w:rsid w:val="00200E2E"/>
    <w:rsid w:val="0020160D"/>
    <w:rsid w:val="0020313E"/>
    <w:rsid w:val="0020460A"/>
    <w:rsid w:val="00204869"/>
    <w:rsid w:val="00205B0C"/>
    <w:rsid w:val="00207193"/>
    <w:rsid w:val="0020774C"/>
    <w:rsid w:val="00207ABF"/>
    <w:rsid w:val="00210861"/>
    <w:rsid w:val="00210B7B"/>
    <w:rsid w:val="002133A5"/>
    <w:rsid w:val="00213650"/>
    <w:rsid w:val="0021455D"/>
    <w:rsid w:val="00215997"/>
    <w:rsid w:val="0021635D"/>
    <w:rsid w:val="00217811"/>
    <w:rsid w:val="00217947"/>
    <w:rsid w:val="00217AD5"/>
    <w:rsid w:val="00220272"/>
    <w:rsid w:val="002215BB"/>
    <w:rsid w:val="002231DB"/>
    <w:rsid w:val="00224064"/>
    <w:rsid w:val="00224215"/>
    <w:rsid w:val="00225443"/>
    <w:rsid w:val="00225E8B"/>
    <w:rsid w:val="00226B14"/>
    <w:rsid w:val="00226CA1"/>
    <w:rsid w:val="00227149"/>
    <w:rsid w:val="00227394"/>
    <w:rsid w:val="0023019D"/>
    <w:rsid w:val="00230826"/>
    <w:rsid w:val="00230A0F"/>
    <w:rsid w:val="00230B12"/>
    <w:rsid w:val="00230B16"/>
    <w:rsid w:val="0023117F"/>
    <w:rsid w:val="002315DE"/>
    <w:rsid w:val="00231ADE"/>
    <w:rsid w:val="00231EFD"/>
    <w:rsid w:val="00232F07"/>
    <w:rsid w:val="002330EA"/>
    <w:rsid w:val="002331E5"/>
    <w:rsid w:val="00233612"/>
    <w:rsid w:val="00233BF6"/>
    <w:rsid w:val="00234BF1"/>
    <w:rsid w:val="00234E42"/>
    <w:rsid w:val="0023552E"/>
    <w:rsid w:val="00235A01"/>
    <w:rsid w:val="0023632E"/>
    <w:rsid w:val="00237272"/>
    <w:rsid w:val="002374EC"/>
    <w:rsid w:val="00237A22"/>
    <w:rsid w:val="00237CB4"/>
    <w:rsid w:val="0024015B"/>
    <w:rsid w:val="002420A9"/>
    <w:rsid w:val="0024221E"/>
    <w:rsid w:val="0024236C"/>
    <w:rsid w:val="002424AD"/>
    <w:rsid w:val="0024273D"/>
    <w:rsid w:val="0024367F"/>
    <w:rsid w:val="00243E31"/>
    <w:rsid w:val="00243FA1"/>
    <w:rsid w:val="00244133"/>
    <w:rsid w:val="00244802"/>
    <w:rsid w:val="00245551"/>
    <w:rsid w:val="002457DD"/>
    <w:rsid w:val="00245859"/>
    <w:rsid w:val="0024593F"/>
    <w:rsid w:val="00245BEA"/>
    <w:rsid w:val="002466A0"/>
    <w:rsid w:val="00247FC6"/>
    <w:rsid w:val="00250E08"/>
    <w:rsid w:val="00250F0C"/>
    <w:rsid w:val="002511DD"/>
    <w:rsid w:val="002511F7"/>
    <w:rsid w:val="002512AA"/>
    <w:rsid w:val="002525FE"/>
    <w:rsid w:val="00252C29"/>
    <w:rsid w:val="00252CC3"/>
    <w:rsid w:val="002538D5"/>
    <w:rsid w:val="002539FB"/>
    <w:rsid w:val="00253E20"/>
    <w:rsid w:val="00254A06"/>
    <w:rsid w:val="00254BAB"/>
    <w:rsid w:val="00256641"/>
    <w:rsid w:val="00256A5F"/>
    <w:rsid w:val="00257608"/>
    <w:rsid w:val="00257AE7"/>
    <w:rsid w:val="00260230"/>
    <w:rsid w:val="00261088"/>
    <w:rsid w:val="00261572"/>
    <w:rsid w:val="00261B9C"/>
    <w:rsid w:val="00261E4B"/>
    <w:rsid w:val="002627A4"/>
    <w:rsid w:val="00262F0F"/>
    <w:rsid w:val="0026311A"/>
    <w:rsid w:val="002631ED"/>
    <w:rsid w:val="0026375F"/>
    <w:rsid w:val="0026418D"/>
    <w:rsid w:val="00264625"/>
    <w:rsid w:val="00264DCE"/>
    <w:rsid w:val="0026598D"/>
    <w:rsid w:val="00265CAA"/>
    <w:rsid w:val="00266983"/>
    <w:rsid w:val="0026712B"/>
    <w:rsid w:val="0026762A"/>
    <w:rsid w:val="002677AB"/>
    <w:rsid w:val="00267F0C"/>
    <w:rsid w:val="00270E37"/>
    <w:rsid w:val="002710AB"/>
    <w:rsid w:val="00271758"/>
    <w:rsid w:val="00271D16"/>
    <w:rsid w:val="00271F0A"/>
    <w:rsid w:val="00271FD9"/>
    <w:rsid w:val="002724A5"/>
    <w:rsid w:val="00273B84"/>
    <w:rsid w:val="00273C02"/>
    <w:rsid w:val="00274190"/>
    <w:rsid w:val="002742FB"/>
    <w:rsid w:val="00274A69"/>
    <w:rsid w:val="00276962"/>
    <w:rsid w:val="0027740A"/>
    <w:rsid w:val="00280D27"/>
    <w:rsid w:val="002810C9"/>
    <w:rsid w:val="00281930"/>
    <w:rsid w:val="00281943"/>
    <w:rsid w:val="00282751"/>
    <w:rsid w:val="00282F94"/>
    <w:rsid w:val="00283221"/>
    <w:rsid w:val="002834CC"/>
    <w:rsid w:val="00283EF6"/>
    <w:rsid w:val="00284CB4"/>
    <w:rsid w:val="00284FD6"/>
    <w:rsid w:val="0028581A"/>
    <w:rsid w:val="0028587E"/>
    <w:rsid w:val="002861B5"/>
    <w:rsid w:val="0028727E"/>
    <w:rsid w:val="002877F8"/>
    <w:rsid w:val="00290AF5"/>
    <w:rsid w:val="00290BB1"/>
    <w:rsid w:val="00290D91"/>
    <w:rsid w:val="002924F0"/>
    <w:rsid w:val="00293F91"/>
    <w:rsid w:val="00294057"/>
    <w:rsid w:val="00294442"/>
    <w:rsid w:val="002950CE"/>
    <w:rsid w:val="00295B2A"/>
    <w:rsid w:val="00295BE4"/>
    <w:rsid w:val="00295DEC"/>
    <w:rsid w:val="00296962"/>
    <w:rsid w:val="0029766E"/>
    <w:rsid w:val="00297A2D"/>
    <w:rsid w:val="002A0CE1"/>
    <w:rsid w:val="002A1569"/>
    <w:rsid w:val="002A1EE7"/>
    <w:rsid w:val="002A29AA"/>
    <w:rsid w:val="002A39BD"/>
    <w:rsid w:val="002A3E78"/>
    <w:rsid w:val="002A5631"/>
    <w:rsid w:val="002A600E"/>
    <w:rsid w:val="002A7740"/>
    <w:rsid w:val="002A7A07"/>
    <w:rsid w:val="002B0D5C"/>
    <w:rsid w:val="002B1982"/>
    <w:rsid w:val="002B1C5A"/>
    <w:rsid w:val="002B1D13"/>
    <w:rsid w:val="002B2299"/>
    <w:rsid w:val="002B3284"/>
    <w:rsid w:val="002B4B64"/>
    <w:rsid w:val="002B582A"/>
    <w:rsid w:val="002B6491"/>
    <w:rsid w:val="002B6E09"/>
    <w:rsid w:val="002C0A7F"/>
    <w:rsid w:val="002C0E85"/>
    <w:rsid w:val="002C128F"/>
    <w:rsid w:val="002C1537"/>
    <w:rsid w:val="002C27B8"/>
    <w:rsid w:val="002C2AC9"/>
    <w:rsid w:val="002C2B45"/>
    <w:rsid w:val="002C5E61"/>
    <w:rsid w:val="002C61BF"/>
    <w:rsid w:val="002C6844"/>
    <w:rsid w:val="002C7191"/>
    <w:rsid w:val="002C7756"/>
    <w:rsid w:val="002C7CE7"/>
    <w:rsid w:val="002D0864"/>
    <w:rsid w:val="002D0BDB"/>
    <w:rsid w:val="002D0DDF"/>
    <w:rsid w:val="002D163F"/>
    <w:rsid w:val="002D2E1E"/>
    <w:rsid w:val="002D420A"/>
    <w:rsid w:val="002D43A7"/>
    <w:rsid w:val="002D5413"/>
    <w:rsid w:val="002D6056"/>
    <w:rsid w:val="002D60DB"/>
    <w:rsid w:val="002D7E7F"/>
    <w:rsid w:val="002E02FB"/>
    <w:rsid w:val="002E0A0A"/>
    <w:rsid w:val="002E0DD6"/>
    <w:rsid w:val="002E10F9"/>
    <w:rsid w:val="002E1A7E"/>
    <w:rsid w:val="002E1D6D"/>
    <w:rsid w:val="002E29D3"/>
    <w:rsid w:val="002E3BE1"/>
    <w:rsid w:val="002E4B7A"/>
    <w:rsid w:val="002E65FB"/>
    <w:rsid w:val="002E67ED"/>
    <w:rsid w:val="002E75E1"/>
    <w:rsid w:val="002F039F"/>
    <w:rsid w:val="002F134A"/>
    <w:rsid w:val="002F1D51"/>
    <w:rsid w:val="002F1E37"/>
    <w:rsid w:val="002F2643"/>
    <w:rsid w:val="002F2A3B"/>
    <w:rsid w:val="002F3BD3"/>
    <w:rsid w:val="002F430A"/>
    <w:rsid w:val="002F5201"/>
    <w:rsid w:val="002F647D"/>
    <w:rsid w:val="00300389"/>
    <w:rsid w:val="003009DE"/>
    <w:rsid w:val="00300C82"/>
    <w:rsid w:val="003018FD"/>
    <w:rsid w:val="00301D01"/>
    <w:rsid w:val="00302268"/>
    <w:rsid w:val="00302D73"/>
    <w:rsid w:val="00302D84"/>
    <w:rsid w:val="003060BE"/>
    <w:rsid w:val="00306708"/>
    <w:rsid w:val="0030675C"/>
    <w:rsid w:val="00306F17"/>
    <w:rsid w:val="003071E4"/>
    <w:rsid w:val="00307570"/>
    <w:rsid w:val="003101DA"/>
    <w:rsid w:val="003103C3"/>
    <w:rsid w:val="00310A99"/>
    <w:rsid w:val="00312ACD"/>
    <w:rsid w:val="00313000"/>
    <w:rsid w:val="003130FF"/>
    <w:rsid w:val="003149B3"/>
    <w:rsid w:val="00315760"/>
    <w:rsid w:val="00317519"/>
    <w:rsid w:val="00320163"/>
    <w:rsid w:val="0032020D"/>
    <w:rsid w:val="003204D5"/>
    <w:rsid w:val="00320CDF"/>
    <w:rsid w:val="00321A0D"/>
    <w:rsid w:val="0032378A"/>
    <w:rsid w:val="00324CDB"/>
    <w:rsid w:val="0032522E"/>
    <w:rsid w:val="0032536F"/>
    <w:rsid w:val="00325373"/>
    <w:rsid w:val="003254A3"/>
    <w:rsid w:val="00325B02"/>
    <w:rsid w:val="0032662B"/>
    <w:rsid w:val="00327526"/>
    <w:rsid w:val="00327A29"/>
    <w:rsid w:val="0033128A"/>
    <w:rsid w:val="00331666"/>
    <w:rsid w:val="003317E8"/>
    <w:rsid w:val="003321CD"/>
    <w:rsid w:val="003322FA"/>
    <w:rsid w:val="00333216"/>
    <w:rsid w:val="003335B0"/>
    <w:rsid w:val="0033394E"/>
    <w:rsid w:val="003354BF"/>
    <w:rsid w:val="00335E37"/>
    <w:rsid w:val="00336885"/>
    <w:rsid w:val="0033695A"/>
    <w:rsid w:val="003377D7"/>
    <w:rsid w:val="00340FDB"/>
    <w:rsid w:val="00341E34"/>
    <w:rsid w:val="003427EA"/>
    <w:rsid w:val="00343AE2"/>
    <w:rsid w:val="0034558F"/>
    <w:rsid w:val="00345821"/>
    <w:rsid w:val="003458C5"/>
    <w:rsid w:val="003458F0"/>
    <w:rsid w:val="003460FE"/>
    <w:rsid w:val="003463F6"/>
    <w:rsid w:val="00346E72"/>
    <w:rsid w:val="00347B82"/>
    <w:rsid w:val="00350B05"/>
    <w:rsid w:val="003511B0"/>
    <w:rsid w:val="00351CE8"/>
    <w:rsid w:val="0035251A"/>
    <w:rsid w:val="00352FB6"/>
    <w:rsid w:val="00354A5E"/>
    <w:rsid w:val="00354FE4"/>
    <w:rsid w:val="00355BC4"/>
    <w:rsid w:val="00355BCB"/>
    <w:rsid w:val="0035627A"/>
    <w:rsid w:val="0036044F"/>
    <w:rsid w:val="00360D08"/>
    <w:rsid w:val="0036116D"/>
    <w:rsid w:val="003611B7"/>
    <w:rsid w:val="003623A4"/>
    <w:rsid w:val="003636F0"/>
    <w:rsid w:val="00363868"/>
    <w:rsid w:val="003655FF"/>
    <w:rsid w:val="0036716D"/>
    <w:rsid w:val="003674A0"/>
    <w:rsid w:val="00370BFE"/>
    <w:rsid w:val="00372767"/>
    <w:rsid w:val="00372D21"/>
    <w:rsid w:val="003730BD"/>
    <w:rsid w:val="00373BAF"/>
    <w:rsid w:val="003740B4"/>
    <w:rsid w:val="003741B5"/>
    <w:rsid w:val="00374834"/>
    <w:rsid w:val="00374AEA"/>
    <w:rsid w:val="00375294"/>
    <w:rsid w:val="0037590E"/>
    <w:rsid w:val="00375B81"/>
    <w:rsid w:val="00375D55"/>
    <w:rsid w:val="00375FCC"/>
    <w:rsid w:val="0037631F"/>
    <w:rsid w:val="0037655F"/>
    <w:rsid w:val="003776E0"/>
    <w:rsid w:val="00377AAD"/>
    <w:rsid w:val="00381940"/>
    <w:rsid w:val="0038251A"/>
    <w:rsid w:val="00382623"/>
    <w:rsid w:val="00382679"/>
    <w:rsid w:val="00383207"/>
    <w:rsid w:val="00383379"/>
    <w:rsid w:val="00383708"/>
    <w:rsid w:val="00384192"/>
    <w:rsid w:val="00384249"/>
    <w:rsid w:val="003846FF"/>
    <w:rsid w:val="00384917"/>
    <w:rsid w:val="00385329"/>
    <w:rsid w:val="00385B99"/>
    <w:rsid w:val="00386912"/>
    <w:rsid w:val="00387A77"/>
    <w:rsid w:val="00390186"/>
    <w:rsid w:val="00390273"/>
    <w:rsid w:val="00390353"/>
    <w:rsid w:val="003915F4"/>
    <w:rsid w:val="00391BF0"/>
    <w:rsid w:val="003927D6"/>
    <w:rsid w:val="00392C42"/>
    <w:rsid w:val="00392C7F"/>
    <w:rsid w:val="00392EB5"/>
    <w:rsid w:val="00392EC7"/>
    <w:rsid w:val="003939FF"/>
    <w:rsid w:val="00395441"/>
    <w:rsid w:val="00395CD3"/>
    <w:rsid w:val="00395E84"/>
    <w:rsid w:val="00397561"/>
    <w:rsid w:val="00397A7C"/>
    <w:rsid w:val="00397D2B"/>
    <w:rsid w:val="003A01B7"/>
    <w:rsid w:val="003A04C1"/>
    <w:rsid w:val="003A0B17"/>
    <w:rsid w:val="003A150C"/>
    <w:rsid w:val="003A1FE9"/>
    <w:rsid w:val="003A2310"/>
    <w:rsid w:val="003A2723"/>
    <w:rsid w:val="003A3EEA"/>
    <w:rsid w:val="003A46AE"/>
    <w:rsid w:val="003A48D9"/>
    <w:rsid w:val="003A4DE1"/>
    <w:rsid w:val="003A5147"/>
    <w:rsid w:val="003A52EC"/>
    <w:rsid w:val="003A745A"/>
    <w:rsid w:val="003A7545"/>
    <w:rsid w:val="003A779D"/>
    <w:rsid w:val="003B010D"/>
    <w:rsid w:val="003B0227"/>
    <w:rsid w:val="003B20D7"/>
    <w:rsid w:val="003B2358"/>
    <w:rsid w:val="003B2371"/>
    <w:rsid w:val="003B2495"/>
    <w:rsid w:val="003B2CAD"/>
    <w:rsid w:val="003B2CE5"/>
    <w:rsid w:val="003B3AAF"/>
    <w:rsid w:val="003B408B"/>
    <w:rsid w:val="003B4801"/>
    <w:rsid w:val="003B4836"/>
    <w:rsid w:val="003B48CB"/>
    <w:rsid w:val="003B667C"/>
    <w:rsid w:val="003B7910"/>
    <w:rsid w:val="003B7CBE"/>
    <w:rsid w:val="003C1381"/>
    <w:rsid w:val="003C1D66"/>
    <w:rsid w:val="003C252F"/>
    <w:rsid w:val="003C2615"/>
    <w:rsid w:val="003C339E"/>
    <w:rsid w:val="003C4184"/>
    <w:rsid w:val="003C4B77"/>
    <w:rsid w:val="003C4BC1"/>
    <w:rsid w:val="003C55AD"/>
    <w:rsid w:val="003C6A6F"/>
    <w:rsid w:val="003C7001"/>
    <w:rsid w:val="003C7116"/>
    <w:rsid w:val="003C7DEF"/>
    <w:rsid w:val="003D00A3"/>
    <w:rsid w:val="003D00A8"/>
    <w:rsid w:val="003D1618"/>
    <w:rsid w:val="003D1786"/>
    <w:rsid w:val="003D195A"/>
    <w:rsid w:val="003D3AFA"/>
    <w:rsid w:val="003D53A1"/>
    <w:rsid w:val="003D5682"/>
    <w:rsid w:val="003D6011"/>
    <w:rsid w:val="003D782E"/>
    <w:rsid w:val="003D7CC3"/>
    <w:rsid w:val="003E0698"/>
    <w:rsid w:val="003E0D3B"/>
    <w:rsid w:val="003E1A26"/>
    <w:rsid w:val="003E1ACD"/>
    <w:rsid w:val="003E2703"/>
    <w:rsid w:val="003E315E"/>
    <w:rsid w:val="003E33B8"/>
    <w:rsid w:val="003E33EE"/>
    <w:rsid w:val="003E372C"/>
    <w:rsid w:val="003E3744"/>
    <w:rsid w:val="003E37CB"/>
    <w:rsid w:val="003E3C4E"/>
    <w:rsid w:val="003E3E72"/>
    <w:rsid w:val="003E40CD"/>
    <w:rsid w:val="003E4CF4"/>
    <w:rsid w:val="003E4F90"/>
    <w:rsid w:val="003E5314"/>
    <w:rsid w:val="003E5369"/>
    <w:rsid w:val="003E60D8"/>
    <w:rsid w:val="003E6315"/>
    <w:rsid w:val="003E6EC7"/>
    <w:rsid w:val="003E7E7F"/>
    <w:rsid w:val="003F0E06"/>
    <w:rsid w:val="003F199D"/>
    <w:rsid w:val="003F1C1D"/>
    <w:rsid w:val="003F1E49"/>
    <w:rsid w:val="003F2704"/>
    <w:rsid w:val="003F2B24"/>
    <w:rsid w:val="003F2C9D"/>
    <w:rsid w:val="003F3D6E"/>
    <w:rsid w:val="003F3E82"/>
    <w:rsid w:val="003F570F"/>
    <w:rsid w:val="003F6450"/>
    <w:rsid w:val="003F7628"/>
    <w:rsid w:val="0040044A"/>
    <w:rsid w:val="00400E3B"/>
    <w:rsid w:val="00400F92"/>
    <w:rsid w:val="004011CE"/>
    <w:rsid w:val="00402DDC"/>
    <w:rsid w:val="00404182"/>
    <w:rsid w:val="0040631A"/>
    <w:rsid w:val="0040636D"/>
    <w:rsid w:val="00406A74"/>
    <w:rsid w:val="00410126"/>
    <w:rsid w:val="0041044C"/>
    <w:rsid w:val="0041121A"/>
    <w:rsid w:val="00411CAE"/>
    <w:rsid w:val="0041315F"/>
    <w:rsid w:val="00413172"/>
    <w:rsid w:val="004140A9"/>
    <w:rsid w:val="00414223"/>
    <w:rsid w:val="004157E9"/>
    <w:rsid w:val="00415FED"/>
    <w:rsid w:val="00417961"/>
    <w:rsid w:val="00417ECA"/>
    <w:rsid w:val="00420155"/>
    <w:rsid w:val="004213E1"/>
    <w:rsid w:val="004215F9"/>
    <w:rsid w:val="00421B22"/>
    <w:rsid w:val="00422081"/>
    <w:rsid w:val="004229F3"/>
    <w:rsid w:val="00422A4C"/>
    <w:rsid w:val="00422C72"/>
    <w:rsid w:val="00422DDE"/>
    <w:rsid w:val="00422DE5"/>
    <w:rsid w:val="00422FD2"/>
    <w:rsid w:val="00423846"/>
    <w:rsid w:val="0042424B"/>
    <w:rsid w:val="00424AC7"/>
    <w:rsid w:val="00424CB0"/>
    <w:rsid w:val="004256F3"/>
    <w:rsid w:val="0042698E"/>
    <w:rsid w:val="004279C3"/>
    <w:rsid w:val="00430482"/>
    <w:rsid w:val="00430B96"/>
    <w:rsid w:val="00430E45"/>
    <w:rsid w:val="0043152E"/>
    <w:rsid w:val="00431AB6"/>
    <w:rsid w:val="0043200C"/>
    <w:rsid w:val="00432373"/>
    <w:rsid w:val="0043244A"/>
    <w:rsid w:val="00432524"/>
    <w:rsid w:val="00432E6B"/>
    <w:rsid w:val="00433929"/>
    <w:rsid w:val="0043504C"/>
    <w:rsid w:val="00435156"/>
    <w:rsid w:val="00435F5C"/>
    <w:rsid w:val="0043640A"/>
    <w:rsid w:val="004374CB"/>
    <w:rsid w:val="004376AF"/>
    <w:rsid w:val="00437C33"/>
    <w:rsid w:val="004401B8"/>
    <w:rsid w:val="00440BDC"/>
    <w:rsid w:val="00440DB2"/>
    <w:rsid w:val="00441C23"/>
    <w:rsid w:val="004424EE"/>
    <w:rsid w:val="0044357F"/>
    <w:rsid w:val="00443AED"/>
    <w:rsid w:val="004442AD"/>
    <w:rsid w:val="0044442C"/>
    <w:rsid w:val="00444F9A"/>
    <w:rsid w:val="00445E7F"/>
    <w:rsid w:val="00446C01"/>
    <w:rsid w:val="00446FC5"/>
    <w:rsid w:val="004478F4"/>
    <w:rsid w:val="00447F71"/>
    <w:rsid w:val="00450166"/>
    <w:rsid w:val="00451A30"/>
    <w:rsid w:val="00451CF0"/>
    <w:rsid w:val="00452E63"/>
    <w:rsid w:val="00454052"/>
    <w:rsid w:val="00455856"/>
    <w:rsid w:val="00455ABA"/>
    <w:rsid w:val="0045642C"/>
    <w:rsid w:val="0045652C"/>
    <w:rsid w:val="00456DBD"/>
    <w:rsid w:val="00457E7A"/>
    <w:rsid w:val="0046099D"/>
    <w:rsid w:val="00460BC2"/>
    <w:rsid w:val="004617E3"/>
    <w:rsid w:val="004629E7"/>
    <w:rsid w:val="00463333"/>
    <w:rsid w:val="00463A30"/>
    <w:rsid w:val="00465967"/>
    <w:rsid w:val="00465B2E"/>
    <w:rsid w:val="004664D0"/>
    <w:rsid w:val="004669A4"/>
    <w:rsid w:val="0046757A"/>
    <w:rsid w:val="004676CF"/>
    <w:rsid w:val="00467715"/>
    <w:rsid w:val="004678DB"/>
    <w:rsid w:val="00467958"/>
    <w:rsid w:val="00470A07"/>
    <w:rsid w:val="00471084"/>
    <w:rsid w:val="004729C2"/>
    <w:rsid w:val="00472C0A"/>
    <w:rsid w:val="004733E0"/>
    <w:rsid w:val="00473D30"/>
    <w:rsid w:val="00474868"/>
    <w:rsid w:val="00474DBA"/>
    <w:rsid w:val="00475275"/>
    <w:rsid w:val="00475485"/>
    <w:rsid w:val="00475A35"/>
    <w:rsid w:val="00475B65"/>
    <w:rsid w:val="00477182"/>
    <w:rsid w:val="004776DF"/>
    <w:rsid w:val="00477903"/>
    <w:rsid w:val="004802A9"/>
    <w:rsid w:val="0048044E"/>
    <w:rsid w:val="004805A3"/>
    <w:rsid w:val="004806FC"/>
    <w:rsid w:val="0048160B"/>
    <w:rsid w:val="00482805"/>
    <w:rsid w:val="00482AFB"/>
    <w:rsid w:val="00483BBB"/>
    <w:rsid w:val="00484B33"/>
    <w:rsid w:val="00484DF4"/>
    <w:rsid w:val="00486079"/>
    <w:rsid w:val="00486400"/>
    <w:rsid w:val="0048681A"/>
    <w:rsid w:val="00487FB5"/>
    <w:rsid w:val="004909AF"/>
    <w:rsid w:val="00490EB0"/>
    <w:rsid w:val="00490EC0"/>
    <w:rsid w:val="0049148E"/>
    <w:rsid w:val="00491565"/>
    <w:rsid w:val="004921B4"/>
    <w:rsid w:val="004922DB"/>
    <w:rsid w:val="00492CD1"/>
    <w:rsid w:val="00492E11"/>
    <w:rsid w:val="00492FFB"/>
    <w:rsid w:val="004932E1"/>
    <w:rsid w:val="00494745"/>
    <w:rsid w:val="00495EF4"/>
    <w:rsid w:val="00495F6E"/>
    <w:rsid w:val="00496377"/>
    <w:rsid w:val="00497D86"/>
    <w:rsid w:val="00497EF6"/>
    <w:rsid w:val="004A0916"/>
    <w:rsid w:val="004A142C"/>
    <w:rsid w:val="004A1944"/>
    <w:rsid w:val="004A2D8F"/>
    <w:rsid w:val="004A2EF7"/>
    <w:rsid w:val="004A3501"/>
    <w:rsid w:val="004A3BBC"/>
    <w:rsid w:val="004A3D08"/>
    <w:rsid w:val="004A5319"/>
    <w:rsid w:val="004A552F"/>
    <w:rsid w:val="004A618E"/>
    <w:rsid w:val="004A6236"/>
    <w:rsid w:val="004A7569"/>
    <w:rsid w:val="004A78B6"/>
    <w:rsid w:val="004B01DB"/>
    <w:rsid w:val="004B0BBF"/>
    <w:rsid w:val="004B1C4C"/>
    <w:rsid w:val="004B1E17"/>
    <w:rsid w:val="004B3172"/>
    <w:rsid w:val="004B3DB7"/>
    <w:rsid w:val="004B4781"/>
    <w:rsid w:val="004B4D52"/>
    <w:rsid w:val="004B4D53"/>
    <w:rsid w:val="004B6378"/>
    <w:rsid w:val="004B7066"/>
    <w:rsid w:val="004C062B"/>
    <w:rsid w:val="004C0D44"/>
    <w:rsid w:val="004C1171"/>
    <w:rsid w:val="004C16B4"/>
    <w:rsid w:val="004C1762"/>
    <w:rsid w:val="004C1AF8"/>
    <w:rsid w:val="004C2627"/>
    <w:rsid w:val="004C37AB"/>
    <w:rsid w:val="004C3CB4"/>
    <w:rsid w:val="004C43E9"/>
    <w:rsid w:val="004C493D"/>
    <w:rsid w:val="004C4D1C"/>
    <w:rsid w:val="004C60B1"/>
    <w:rsid w:val="004C610F"/>
    <w:rsid w:val="004C62B1"/>
    <w:rsid w:val="004C63D2"/>
    <w:rsid w:val="004C700F"/>
    <w:rsid w:val="004C7144"/>
    <w:rsid w:val="004D0959"/>
    <w:rsid w:val="004D1013"/>
    <w:rsid w:val="004D15CB"/>
    <w:rsid w:val="004D163D"/>
    <w:rsid w:val="004D17B9"/>
    <w:rsid w:val="004D1C95"/>
    <w:rsid w:val="004D1D20"/>
    <w:rsid w:val="004D2442"/>
    <w:rsid w:val="004D28BA"/>
    <w:rsid w:val="004D2A62"/>
    <w:rsid w:val="004D2C23"/>
    <w:rsid w:val="004D36C7"/>
    <w:rsid w:val="004D69C8"/>
    <w:rsid w:val="004D7631"/>
    <w:rsid w:val="004E0443"/>
    <w:rsid w:val="004E070B"/>
    <w:rsid w:val="004E0B71"/>
    <w:rsid w:val="004E0BA1"/>
    <w:rsid w:val="004E0C15"/>
    <w:rsid w:val="004E0D0C"/>
    <w:rsid w:val="004E30CD"/>
    <w:rsid w:val="004E3B1C"/>
    <w:rsid w:val="004E3E59"/>
    <w:rsid w:val="004E4365"/>
    <w:rsid w:val="004E47B9"/>
    <w:rsid w:val="004E4B2C"/>
    <w:rsid w:val="004E4EB8"/>
    <w:rsid w:val="004E67DC"/>
    <w:rsid w:val="004E6813"/>
    <w:rsid w:val="004E7062"/>
    <w:rsid w:val="004F0074"/>
    <w:rsid w:val="004F02E9"/>
    <w:rsid w:val="004F171C"/>
    <w:rsid w:val="004F3E0E"/>
    <w:rsid w:val="004F44D7"/>
    <w:rsid w:val="004F4D03"/>
    <w:rsid w:val="004F73B3"/>
    <w:rsid w:val="004F7721"/>
    <w:rsid w:val="004F7929"/>
    <w:rsid w:val="005010FF"/>
    <w:rsid w:val="00501E04"/>
    <w:rsid w:val="00502C0A"/>
    <w:rsid w:val="005031E6"/>
    <w:rsid w:val="00504B3B"/>
    <w:rsid w:val="005052C1"/>
    <w:rsid w:val="00505BD9"/>
    <w:rsid w:val="00505E53"/>
    <w:rsid w:val="005061AA"/>
    <w:rsid w:val="0050625E"/>
    <w:rsid w:val="00506548"/>
    <w:rsid w:val="005068BC"/>
    <w:rsid w:val="005069FC"/>
    <w:rsid w:val="00506A5C"/>
    <w:rsid w:val="00507A66"/>
    <w:rsid w:val="005105EC"/>
    <w:rsid w:val="00510C09"/>
    <w:rsid w:val="005113BD"/>
    <w:rsid w:val="00511EB7"/>
    <w:rsid w:val="005122E3"/>
    <w:rsid w:val="00512401"/>
    <w:rsid w:val="00513898"/>
    <w:rsid w:val="00514A4C"/>
    <w:rsid w:val="00515DCB"/>
    <w:rsid w:val="005168B7"/>
    <w:rsid w:val="00516A94"/>
    <w:rsid w:val="005175FD"/>
    <w:rsid w:val="00517FB2"/>
    <w:rsid w:val="0052050D"/>
    <w:rsid w:val="005208EE"/>
    <w:rsid w:val="00520A30"/>
    <w:rsid w:val="00521708"/>
    <w:rsid w:val="00522431"/>
    <w:rsid w:val="00523BE5"/>
    <w:rsid w:val="00524330"/>
    <w:rsid w:val="0052668A"/>
    <w:rsid w:val="005267D4"/>
    <w:rsid w:val="00527C5F"/>
    <w:rsid w:val="00530257"/>
    <w:rsid w:val="0053158D"/>
    <w:rsid w:val="005319EC"/>
    <w:rsid w:val="005328CB"/>
    <w:rsid w:val="0053299F"/>
    <w:rsid w:val="00532C65"/>
    <w:rsid w:val="005337B5"/>
    <w:rsid w:val="00533ABB"/>
    <w:rsid w:val="00534586"/>
    <w:rsid w:val="00534857"/>
    <w:rsid w:val="00534EA4"/>
    <w:rsid w:val="00534F22"/>
    <w:rsid w:val="00534FC5"/>
    <w:rsid w:val="00535129"/>
    <w:rsid w:val="005353FA"/>
    <w:rsid w:val="00535768"/>
    <w:rsid w:val="005357F2"/>
    <w:rsid w:val="00535D56"/>
    <w:rsid w:val="00536448"/>
    <w:rsid w:val="0053651E"/>
    <w:rsid w:val="00540207"/>
    <w:rsid w:val="00540475"/>
    <w:rsid w:val="005407D5"/>
    <w:rsid w:val="00541238"/>
    <w:rsid w:val="00542FA6"/>
    <w:rsid w:val="00543049"/>
    <w:rsid w:val="0054331D"/>
    <w:rsid w:val="005438EC"/>
    <w:rsid w:val="00545F8E"/>
    <w:rsid w:val="005460CA"/>
    <w:rsid w:val="00546B70"/>
    <w:rsid w:val="0054743D"/>
    <w:rsid w:val="005475FC"/>
    <w:rsid w:val="00547CCF"/>
    <w:rsid w:val="005506E6"/>
    <w:rsid w:val="00550B32"/>
    <w:rsid w:val="005528AA"/>
    <w:rsid w:val="00553377"/>
    <w:rsid w:val="005535BA"/>
    <w:rsid w:val="00553A45"/>
    <w:rsid w:val="00553D18"/>
    <w:rsid w:val="0055457D"/>
    <w:rsid w:val="00556209"/>
    <w:rsid w:val="005568B0"/>
    <w:rsid w:val="00557C03"/>
    <w:rsid w:val="00557DCD"/>
    <w:rsid w:val="00557EFF"/>
    <w:rsid w:val="005600B7"/>
    <w:rsid w:val="0056045F"/>
    <w:rsid w:val="00560586"/>
    <w:rsid w:val="00560688"/>
    <w:rsid w:val="0056120E"/>
    <w:rsid w:val="0056126A"/>
    <w:rsid w:val="00561DCC"/>
    <w:rsid w:val="005629B3"/>
    <w:rsid w:val="005630B0"/>
    <w:rsid w:val="00563414"/>
    <w:rsid w:val="00563568"/>
    <w:rsid w:val="0056365E"/>
    <w:rsid w:val="0056387F"/>
    <w:rsid w:val="0056471D"/>
    <w:rsid w:val="0056641A"/>
    <w:rsid w:val="00566631"/>
    <w:rsid w:val="00566C8E"/>
    <w:rsid w:val="00567120"/>
    <w:rsid w:val="00567F4A"/>
    <w:rsid w:val="005711E0"/>
    <w:rsid w:val="00571BBE"/>
    <w:rsid w:val="005720F2"/>
    <w:rsid w:val="005726A4"/>
    <w:rsid w:val="00574C5C"/>
    <w:rsid w:val="00574D33"/>
    <w:rsid w:val="00575B99"/>
    <w:rsid w:val="0057678F"/>
    <w:rsid w:val="00577577"/>
    <w:rsid w:val="0058067F"/>
    <w:rsid w:val="0058099D"/>
    <w:rsid w:val="005814D0"/>
    <w:rsid w:val="00581F7D"/>
    <w:rsid w:val="00582B48"/>
    <w:rsid w:val="00582F5E"/>
    <w:rsid w:val="00582FD9"/>
    <w:rsid w:val="005837A9"/>
    <w:rsid w:val="0058447C"/>
    <w:rsid w:val="0058485B"/>
    <w:rsid w:val="00584EC8"/>
    <w:rsid w:val="00585033"/>
    <w:rsid w:val="00585C9E"/>
    <w:rsid w:val="00585D92"/>
    <w:rsid w:val="00585E09"/>
    <w:rsid w:val="0058644C"/>
    <w:rsid w:val="00586A55"/>
    <w:rsid w:val="00587528"/>
    <w:rsid w:val="00587781"/>
    <w:rsid w:val="005877D6"/>
    <w:rsid w:val="00587A84"/>
    <w:rsid w:val="00590CD9"/>
    <w:rsid w:val="00591BBB"/>
    <w:rsid w:val="00592E08"/>
    <w:rsid w:val="0059332A"/>
    <w:rsid w:val="00593DF0"/>
    <w:rsid w:val="005946EE"/>
    <w:rsid w:val="00595E8F"/>
    <w:rsid w:val="00595ED7"/>
    <w:rsid w:val="0059614C"/>
    <w:rsid w:val="00596280"/>
    <w:rsid w:val="005963AF"/>
    <w:rsid w:val="00596603"/>
    <w:rsid w:val="00596C72"/>
    <w:rsid w:val="005971B4"/>
    <w:rsid w:val="0059724E"/>
    <w:rsid w:val="0059728C"/>
    <w:rsid w:val="005977A0"/>
    <w:rsid w:val="00597A74"/>
    <w:rsid w:val="005A0910"/>
    <w:rsid w:val="005A10C5"/>
    <w:rsid w:val="005A1254"/>
    <w:rsid w:val="005A25C9"/>
    <w:rsid w:val="005A27B2"/>
    <w:rsid w:val="005A2952"/>
    <w:rsid w:val="005A2C1A"/>
    <w:rsid w:val="005A36F8"/>
    <w:rsid w:val="005A4286"/>
    <w:rsid w:val="005A50F9"/>
    <w:rsid w:val="005A5801"/>
    <w:rsid w:val="005A6AB3"/>
    <w:rsid w:val="005B0D3D"/>
    <w:rsid w:val="005B0EB3"/>
    <w:rsid w:val="005B0F70"/>
    <w:rsid w:val="005B10B0"/>
    <w:rsid w:val="005B1A41"/>
    <w:rsid w:val="005B2FEE"/>
    <w:rsid w:val="005B508C"/>
    <w:rsid w:val="005B50B3"/>
    <w:rsid w:val="005B5255"/>
    <w:rsid w:val="005B53CF"/>
    <w:rsid w:val="005B57E3"/>
    <w:rsid w:val="005B645D"/>
    <w:rsid w:val="005B7266"/>
    <w:rsid w:val="005C0B3C"/>
    <w:rsid w:val="005C1771"/>
    <w:rsid w:val="005C2898"/>
    <w:rsid w:val="005C2D50"/>
    <w:rsid w:val="005C30C6"/>
    <w:rsid w:val="005C3696"/>
    <w:rsid w:val="005C3CD0"/>
    <w:rsid w:val="005C3F1E"/>
    <w:rsid w:val="005C416E"/>
    <w:rsid w:val="005C5A38"/>
    <w:rsid w:val="005C6A61"/>
    <w:rsid w:val="005C7186"/>
    <w:rsid w:val="005C7527"/>
    <w:rsid w:val="005C7DA2"/>
    <w:rsid w:val="005D033E"/>
    <w:rsid w:val="005D0523"/>
    <w:rsid w:val="005D0688"/>
    <w:rsid w:val="005D1656"/>
    <w:rsid w:val="005D1C3A"/>
    <w:rsid w:val="005D2E76"/>
    <w:rsid w:val="005D300B"/>
    <w:rsid w:val="005D3D02"/>
    <w:rsid w:val="005D3DC5"/>
    <w:rsid w:val="005D498C"/>
    <w:rsid w:val="005D4F30"/>
    <w:rsid w:val="005D4F89"/>
    <w:rsid w:val="005D54C8"/>
    <w:rsid w:val="005D57F6"/>
    <w:rsid w:val="005D6819"/>
    <w:rsid w:val="005D7BC7"/>
    <w:rsid w:val="005D7EC1"/>
    <w:rsid w:val="005E1D0D"/>
    <w:rsid w:val="005E31E0"/>
    <w:rsid w:val="005E3E6C"/>
    <w:rsid w:val="005E4014"/>
    <w:rsid w:val="005E43DD"/>
    <w:rsid w:val="005E489B"/>
    <w:rsid w:val="005E6A94"/>
    <w:rsid w:val="005F18B8"/>
    <w:rsid w:val="005F1D33"/>
    <w:rsid w:val="005F1E2A"/>
    <w:rsid w:val="005F1ECD"/>
    <w:rsid w:val="005F2AB8"/>
    <w:rsid w:val="005F4605"/>
    <w:rsid w:val="005F4889"/>
    <w:rsid w:val="005F4D56"/>
    <w:rsid w:val="005F5406"/>
    <w:rsid w:val="005F5A37"/>
    <w:rsid w:val="005F601E"/>
    <w:rsid w:val="005F756C"/>
    <w:rsid w:val="005F790D"/>
    <w:rsid w:val="00601D69"/>
    <w:rsid w:val="00602837"/>
    <w:rsid w:val="00602C77"/>
    <w:rsid w:val="00603202"/>
    <w:rsid w:val="0060320B"/>
    <w:rsid w:val="00603271"/>
    <w:rsid w:val="00603363"/>
    <w:rsid w:val="006033FD"/>
    <w:rsid w:val="00603667"/>
    <w:rsid w:val="00603B38"/>
    <w:rsid w:val="00603FC0"/>
    <w:rsid w:val="006043ED"/>
    <w:rsid w:val="006053DE"/>
    <w:rsid w:val="00605501"/>
    <w:rsid w:val="00605B1B"/>
    <w:rsid w:val="0060680C"/>
    <w:rsid w:val="00606DDF"/>
    <w:rsid w:val="006077FC"/>
    <w:rsid w:val="0061133D"/>
    <w:rsid w:val="00611B5A"/>
    <w:rsid w:val="00612B5C"/>
    <w:rsid w:val="006137EA"/>
    <w:rsid w:val="0061402C"/>
    <w:rsid w:val="00615264"/>
    <w:rsid w:val="00617130"/>
    <w:rsid w:val="00620A2A"/>
    <w:rsid w:val="00620BF3"/>
    <w:rsid w:val="006221FF"/>
    <w:rsid w:val="006229A4"/>
    <w:rsid w:val="006237D7"/>
    <w:rsid w:val="00623B65"/>
    <w:rsid w:val="0062428A"/>
    <w:rsid w:val="00624EB3"/>
    <w:rsid w:val="006251D3"/>
    <w:rsid w:val="0062583C"/>
    <w:rsid w:val="006262AA"/>
    <w:rsid w:val="00630522"/>
    <w:rsid w:val="006309F6"/>
    <w:rsid w:val="00630ACD"/>
    <w:rsid w:val="00630C3A"/>
    <w:rsid w:val="00631354"/>
    <w:rsid w:val="006317B9"/>
    <w:rsid w:val="00631911"/>
    <w:rsid w:val="00631E48"/>
    <w:rsid w:val="0063200A"/>
    <w:rsid w:val="00632468"/>
    <w:rsid w:val="00632BF4"/>
    <w:rsid w:val="0063307E"/>
    <w:rsid w:val="006331EC"/>
    <w:rsid w:val="00633673"/>
    <w:rsid w:val="00634B91"/>
    <w:rsid w:val="00634CBD"/>
    <w:rsid w:val="006369BE"/>
    <w:rsid w:val="00636BF0"/>
    <w:rsid w:val="00636CFA"/>
    <w:rsid w:val="0063724F"/>
    <w:rsid w:val="006375F1"/>
    <w:rsid w:val="00637CE3"/>
    <w:rsid w:val="00637E24"/>
    <w:rsid w:val="00637EE0"/>
    <w:rsid w:val="006408FD"/>
    <w:rsid w:val="006410DD"/>
    <w:rsid w:val="00641104"/>
    <w:rsid w:val="006418C7"/>
    <w:rsid w:val="006418F7"/>
    <w:rsid w:val="00641FF3"/>
    <w:rsid w:val="006431B4"/>
    <w:rsid w:val="00643A09"/>
    <w:rsid w:val="00643BAA"/>
    <w:rsid w:val="00644443"/>
    <w:rsid w:val="00644879"/>
    <w:rsid w:val="00646063"/>
    <w:rsid w:val="00646A2A"/>
    <w:rsid w:val="00646DB2"/>
    <w:rsid w:val="00646F2A"/>
    <w:rsid w:val="006479E3"/>
    <w:rsid w:val="00647AFD"/>
    <w:rsid w:val="00647F94"/>
    <w:rsid w:val="00650845"/>
    <w:rsid w:val="006512F1"/>
    <w:rsid w:val="00652654"/>
    <w:rsid w:val="00653031"/>
    <w:rsid w:val="00653354"/>
    <w:rsid w:val="00653363"/>
    <w:rsid w:val="006535FA"/>
    <w:rsid w:val="00653B8B"/>
    <w:rsid w:val="00653D76"/>
    <w:rsid w:val="00654B1F"/>
    <w:rsid w:val="006572F2"/>
    <w:rsid w:val="006603DC"/>
    <w:rsid w:val="00660A53"/>
    <w:rsid w:val="00660D5D"/>
    <w:rsid w:val="006611D6"/>
    <w:rsid w:val="006619AA"/>
    <w:rsid w:val="00661C66"/>
    <w:rsid w:val="0066202A"/>
    <w:rsid w:val="0066221A"/>
    <w:rsid w:val="006623B4"/>
    <w:rsid w:val="0066252A"/>
    <w:rsid w:val="00662E34"/>
    <w:rsid w:val="0066345E"/>
    <w:rsid w:val="006638A7"/>
    <w:rsid w:val="00663B32"/>
    <w:rsid w:val="006642D6"/>
    <w:rsid w:val="00665768"/>
    <w:rsid w:val="006673A3"/>
    <w:rsid w:val="00667867"/>
    <w:rsid w:val="006678C6"/>
    <w:rsid w:val="00670489"/>
    <w:rsid w:val="00670A4A"/>
    <w:rsid w:val="00670AAB"/>
    <w:rsid w:val="00671483"/>
    <w:rsid w:val="006717E7"/>
    <w:rsid w:val="00671F0B"/>
    <w:rsid w:val="00672043"/>
    <w:rsid w:val="006720A0"/>
    <w:rsid w:val="006721E9"/>
    <w:rsid w:val="006729BB"/>
    <w:rsid w:val="00672EF9"/>
    <w:rsid w:val="00673CBD"/>
    <w:rsid w:val="00674571"/>
    <w:rsid w:val="00674CA1"/>
    <w:rsid w:val="0067588E"/>
    <w:rsid w:val="006765BC"/>
    <w:rsid w:val="006769DA"/>
    <w:rsid w:val="00677019"/>
    <w:rsid w:val="006806EA"/>
    <w:rsid w:val="006806FC"/>
    <w:rsid w:val="00680AC0"/>
    <w:rsid w:val="00680FB8"/>
    <w:rsid w:val="00681A24"/>
    <w:rsid w:val="00681A69"/>
    <w:rsid w:val="0068219B"/>
    <w:rsid w:val="00682205"/>
    <w:rsid w:val="006830B5"/>
    <w:rsid w:val="00683747"/>
    <w:rsid w:val="00683C89"/>
    <w:rsid w:val="006854E1"/>
    <w:rsid w:val="0068569D"/>
    <w:rsid w:val="00686249"/>
    <w:rsid w:val="0068674C"/>
    <w:rsid w:val="00687504"/>
    <w:rsid w:val="00690508"/>
    <w:rsid w:val="0069062A"/>
    <w:rsid w:val="006913CC"/>
    <w:rsid w:val="006919C3"/>
    <w:rsid w:val="0069240B"/>
    <w:rsid w:val="006929CD"/>
    <w:rsid w:val="00693395"/>
    <w:rsid w:val="0069375D"/>
    <w:rsid w:val="00693989"/>
    <w:rsid w:val="0069440B"/>
    <w:rsid w:val="00694587"/>
    <w:rsid w:val="00694733"/>
    <w:rsid w:val="00694AC2"/>
    <w:rsid w:val="00694C7A"/>
    <w:rsid w:val="00694E96"/>
    <w:rsid w:val="006952BC"/>
    <w:rsid w:val="00695FC5"/>
    <w:rsid w:val="00696614"/>
    <w:rsid w:val="006968EA"/>
    <w:rsid w:val="00696F2C"/>
    <w:rsid w:val="006970C2"/>
    <w:rsid w:val="006A0A1B"/>
    <w:rsid w:val="006A0C74"/>
    <w:rsid w:val="006A0CFD"/>
    <w:rsid w:val="006A0F42"/>
    <w:rsid w:val="006A10E2"/>
    <w:rsid w:val="006A3C56"/>
    <w:rsid w:val="006A47B4"/>
    <w:rsid w:val="006A4B9A"/>
    <w:rsid w:val="006A4DBF"/>
    <w:rsid w:val="006A4E5F"/>
    <w:rsid w:val="006A5029"/>
    <w:rsid w:val="006A5C40"/>
    <w:rsid w:val="006A63FD"/>
    <w:rsid w:val="006A6437"/>
    <w:rsid w:val="006A6519"/>
    <w:rsid w:val="006A69F0"/>
    <w:rsid w:val="006A704F"/>
    <w:rsid w:val="006A7AA3"/>
    <w:rsid w:val="006B02A2"/>
    <w:rsid w:val="006B07FC"/>
    <w:rsid w:val="006B0825"/>
    <w:rsid w:val="006B088C"/>
    <w:rsid w:val="006B13E8"/>
    <w:rsid w:val="006B15FF"/>
    <w:rsid w:val="006B2756"/>
    <w:rsid w:val="006B49DF"/>
    <w:rsid w:val="006B5791"/>
    <w:rsid w:val="006B6827"/>
    <w:rsid w:val="006B7016"/>
    <w:rsid w:val="006B7323"/>
    <w:rsid w:val="006B796B"/>
    <w:rsid w:val="006B7BD7"/>
    <w:rsid w:val="006B7C18"/>
    <w:rsid w:val="006C1384"/>
    <w:rsid w:val="006C2678"/>
    <w:rsid w:val="006C31B6"/>
    <w:rsid w:val="006C36FF"/>
    <w:rsid w:val="006C38B6"/>
    <w:rsid w:val="006C4511"/>
    <w:rsid w:val="006C49B0"/>
    <w:rsid w:val="006C5167"/>
    <w:rsid w:val="006C6035"/>
    <w:rsid w:val="006C7615"/>
    <w:rsid w:val="006C7A3C"/>
    <w:rsid w:val="006D0A8E"/>
    <w:rsid w:val="006D0E10"/>
    <w:rsid w:val="006D174F"/>
    <w:rsid w:val="006D184C"/>
    <w:rsid w:val="006D1FDD"/>
    <w:rsid w:val="006D22D1"/>
    <w:rsid w:val="006D3BAD"/>
    <w:rsid w:val="006D3BC4"/>
    <w:rsid w:val="006D412F"/>
    <w:rsid w:val="006D4177"/>
    <w:rsid w:val="006D4301"/>
    <w:rsid w:val="006D4A86"/>
    <w:rsid w:val="006D4F57"/>
    <w:rsid w:val="006D5151"/>
    <w:rsid w:val="006D5A28"/>
    <w:rsid w:val="006D6ED0"/>
    <w:rsid w:val="006D7832"/>
    <w:rsid w:val="006D79C1"/>
    <w:rsid w:val="006D7A72"/>
    <w:rsid w:val="006E17DD"/>
    <w:rsid w:val="006E1B17"/>
    <w:rsid w:val="006E202B"/>
    <w:rsid w:val="006E332F"/>
    <w:rsid w:val="006E3B0B"/>
    <w:rsid w:val="006E57B5"/>
    <w:rsid w:val="006E5869"/>
    <w:rsid w:val="006E5E0C"/>
    <w:rsid w:val="006E7116"/>
    <w:rsid w:val="006E7C11"/>
    <w:rsid w:val="006F15B9"/>
    <w:rsid w:val="006F1ED6"/>
    <w:rsid w:val="006F2820"/>
    <w:rsid w:val="006F2DBB"/>
    <w:rsid w:val="006F352B"/>
    <w:rsid w:val="006F3AD7"/>
    <w:rsid w:val="006F3BA9"/>
    <w:rsid w:val="006F4AA2"/>
    <w:rsid w:val="006F4AF9"/>
    <w:rsid w:val="006F61A2"/>
    <w:rsid w:val="007001EE"/>
    <w:rsid w:val="00700539"/>
    <w:rsid w:val="00700934"/>
    <w:rsid w:val="00700B5B"/>
    <w:rsid w:val="00701219"/>
    <w:rsid w:val="00701683"/>
    <w:rsid w:val="00701FB1"/>
    <w:rsid w:val="00702B8D"/>
    <w:rsid w:val="0070360D"/>
    <w:rsid w:val="00703CE7"/>
    <w:rsid w:val="00704514"/>
    <w:rsid w:val="00704607"/>
    <w:rsid w:val="007046A7"/>
    <w:rsid w:val="007062D2"/>
    <w:rsid w:val="00706A48"/>
    <w:rsid w:val="0070709D"/>
    <w:rsid w:val="0071113E"/>
    <w:rsid w:val="007119DF"/>
    <w:rsid w:val="00711B9F"/>
    <w:rsid w:val="00711DCB"/>
    <w:rsid w:val="00712304"/>
    <w:rsid w:val="007133FA"/>
    <w:rsid w:val="007134FA"/>
    <w:rsid w:val="00713816"/>
    <w:rsid w:val="00713EAC"/>
    <w:rsid w:val="007148FE"/>
    <w:rsid w:val="00714E90"/>
    <w:rsid w:val="00714FF5"/>
    <w:rsid w:val="007158B2"/>
    <w:rsid w:val="00715E35"/>
    <w:rsid w:val="00716C37"/>
    <w:rsid w:val="00717331"/>
    <w:rsid w:val="007174EB"/>
    <w:rsid w:val="007209A8"/>
    <w:rsid w:val="00720FC0"/>
    <w:rsid w:val="00721BC5"/>
    <w:rsid w:val="0072289E"/>
    <w:rsid w:val="00723059"/>
    <w:rsid w:val="007231B0"/>
    <w:rsid w:val="007243B1"/>
    <w:rsid w:val="007246E6"/>
    <w:rsid w:val="0072597E"/>
    <w:rsid w:val="00725A18"/>
    <w:rsid w:val="00726103"/>
    <w:rsid w:val="0072621F"/>
    <w:rsid w:val="00726C05"/>
    <w:rsid w:val="00727CCB"/>
    <w:rsid w:val="007308DA"/>
    <w:rsid w:val="00730C6D"/>
    <w:rsid w:val="007312D7"/>
    <w:rsid w:val="0073199C"/>
    <w:rsid w:val="00731D63"/>
    <w:rsid w:val="007320CD"/>
    <w:rsid w:val="007321CA"/>
    <w:rsid w:val="007329DD"/>
    <w:rsid w:val="00732B1C"/>
    <w:rsid w:val="00734593"/>
    <w:rsid w:val="0073463D"/>
    <w:rsid w:val="00734C21"/>
    <w:rsid w:val="00734D7D"/>
    <w:rsid w:val="007355EF"/>
    <w:rsid w:val="00735E2E"/>
    <w:rsid w:val="007370D9"/>
    <w:rsid w:val="00737117"/>
    <w:rsid w:val="0073718B"/>
    <w:rsid w:val="00737E65"/>
    <w:rsid w:val="00737E8D"/>
    <w:rsid w:val="0074030A"/>
    <w:rsid w:val="00740763"/>
    <w:rsid w:val="00740A1B"/>
    <w:rsid w:val="00740FE2"/>
    <w:rsid w:val="00741075"/>
    <w:rsid w:val="007415BE"/>
    <w:rsid w:val="0074162C"/>
    <w:rsid w:val="00741DC7"/>
    <w:rsid w:val="00742C44"/>
    <w:rsid w:val="0074306F"/>
    <w:rsid w:val="00743E14"/>
    <w:rsid w:val="00745BD5"/>
    <w:rsid w:val="00745C31"/>
    <w:rsid w:val="00746402"/>
    <w:rsid w:val="007467C9"/>
    <w:rsid w:val="00746851"/>
    <w:rsid w:val="0074689E"/>
    <w:rsid w:val="00746962"/>
    <w:rsid w:val="00747914"/>
    <w:rsid w:val="00750701"/>
    <w:rsid w:val="0075100F"/>
    <w:rsid w:val="007517FD"/>
    <w:rsid w:val="0075191A"/>
    <w:rsid w:val="0075225F"/>
    <w:rsid w:val="00752E1D"/>
    <w:rsid w:val="007536DF"/>
    <w:rsid w:val="00753F96"/>
    <w:rsid w:val="007543E0"/>
    <w:rsid w:val="0075474D"/>
    <w:rsid w:val="00754946"/>
    <w:rsid w:val="00754D26"/>
    <w:rsid w:val="00754D9F"/>
    <w:rsid w:val="007555D5"/>
    <w:rsid w:val="007563B9"/>
    <w:rsid w:val="00757EA5"/>
    <w:rsid w:val="00760468"/>
    <w:rsid w:val="00760B68"/>
    <w:rsid w:val="00761981"/>
    <w:rsid w:val="00761D87"/>
    <w:rsid w:val="00761F73"/>
    <w:rsid w:val="00762294"/>
    <w:rsid w:val="00762E39"/>
    <w:rsid w:val="0076320B"/>
    <w:rsid w:val="007633C2"/>
    <w:rsid w:val="00763EB6"/>
    <w:rsid w:val="00764FE8"/>
    <w:rsid w:val="00765A47"/>
    <w:rsid w:val="00765B41"/>
    <w:rsid w:val="0076638E"/>
    <w:rsid w:val="007663B0"/>
    <w:rsid w:val="007665D8"/>
    <w:rsid w:val="00766CD7"/>
    <w:rsid w:val="00766DD3"/>
    <w:rsid w:val="007671EA"/>
    <w:rsid w:val="007674F8"/>
    <w:rsid w:val="00767899"/>
    <w:rsid w:val="00770AA3"/>
    <w:rsid w:val="00770E82"/>
    <w:rsid w:val="00771353"/>
    <w:rsid w:val="00772273"/>
    <w:rsid w:val="007722A4"/>
    <w:rsid w:val="00772E94"/>
    <w:rsid w:val="007731B9"/>
    <w:rsid w:val="00773C2C"/>
    <w:rsid w:val="00773FB7"/>
    <w:rsid w:val="00774E3B"/>
    <w:rsid w:val="00774F9F"/>
    <w:rsid w:val="0077552C"/>
    <w:rsid w:val="00776481"/>
    <w:rsid w:val="0077742F"/>
    <w:rsid w:val="00777760"/>
    <w:rsid w:val="007804D2"/>
    <w:rsid w:val="00780709"/>
    <w:rsid w:val="00780EBE"/>
    <w:rsid w:val="00781E56"/>
    <w:rsid w:val="00782FAE"/>
    <w:rsid w:val="00783F87"/>
    <w:rsid w:val="00784130"/>
    <w:rsid w:val="00784156"/>
    <w:rsid w:val="007844AB"/>
    <w:rsid w:val="00784E7E"/>
    <w:rsid w:val="00784FBE"/>
    <w:rsid w:val="00787526"/>
    <w:rsid w:val="0078777A"/>
    <w:rsid w:val="00787D66"/>
    <w:rsid w:val="00790423"/>
    <w:rsid w:val="00790977"/>
    <w:rsid w:val="00792025"/>
    <w:rsid w:val="00792E46"/>
    <w:rsid w:val="007931B6"/>
    <w:rsid w:val="00793524"/>
    <w:rsid w:val="00793FAB"/>
    <w:rsid w:val="00794448"/>
    <w:rsid w:val="0079646F"/>
    <w:rsid w:val="007967AD"/>
    <w:rsid w:val="007A0113"/>
    <w:rsid w:val="007A09A4"/>
    <w:rsid w:val="007A0E55"/>
    <w:rsid w:val="007A1C37"/>
    <w:rsid w:val="007A265D"/>
    <w:rsid w:val="007A2B89"/>
    <w:rsid w:val="007A3CC1"/>
    <w:rsid w:val="007A3D99"/>
    <w:rsid w:val="007A402D"/>
    <w:rsid w:val="007A4290"/>
    <w:rsid w:val="007A47CF"/>
    <w:rsid w:val="007A614E"/>
    <w:rsid w:val="007A66FB"/>
    <w:rsid w:val="007A6D14"/>
    <w:rsid w:val="007A721D"/>
    <w:rsid w:val="007B028B"/>
    <w:rsid w:val="007B1100"/>
    <w:rsid w:val="007B1D71"/>
    <w:rsid w:val="007B1F32"/>
    <w:rsid w:val="007B1F6C"/>
    <w:rsid w:val="007B251E"/>
    <w:rsid w:val="007B2F3F"/>
    <w:rsid w:val="007B38EB"/>
    <w:rsid w:val="007B3948"/>
    <w:rsid w:val="007B4240"/>
    <w:rsid w:val="007B50CB"/>
    <w:rsid w:val="007B5588"/>
    <w:rsid w:val="007B5946"/>
    <w:rsid w:val="007B5A51"/>
    <w:rsid w:val="007B6013"/>
    <w:rsid w:val="007B684D"/>
    <w:rsid w:val="007B7222"/>
    <w:rsid w:val="007B773A"/>
    <w:rsid w:val="007B7AC4"/>
    <w:rsid w:val="007B7E74"/>
    <w:rsid w:val="007C13DC"/>
    <w:rsid w:val="007C13EF"/>
    <w:rsid w:val="007C2186"/>
    <w:rsid w:val="007C2B68"/>
    <w:rsid w:val="007C2E5F"/>
    <w:rsid w:val="007C413B"/>
    <w:rsid w:val="007C4257"/>
    <w:rsid w:val="007C4429"/>
    <w:rsid w:val="007C4A86"/>
    <w:rsid w:val="007C4D0A"/>
    <w:rsid w:val="007C5B19"/>
    <w:rsid w:val="007C6003"/>
    <w:rsid w:val="007C776F"/>
    <w:rsid w:val="007D07CF"/>
    <w:rsid w:val="007D0D89"/>
    <w:rsid w:val="007D107C"/>
    <w:rsid w:val="007D428A"/>
    <w:rsid w:val="007D53E0"/>
    <w:rsid w:val="007D5522"/>
    <w:rsid w:val="007D6C30"/>
    <w:rsid w:val="007D7186"/>
    <w:rsid w:val="007D79C9"/>
    <w:rsid w:val="007E0044"/>
    <w:rsid w:val="007E0F6F"/>
    <w:rsid w:val="007E2143"/>
    <w:rsid w:val="007E3889"/>
    <w:rsid w:val="007E4F0D"/>
    <w:rsid w:val="007E59A6"/>
    <w:rsid w:val="007E6426"/>
    <w:rsid w:val="007E6D50"/>
    <w:rsid w:val="007E7B24"/>
    <w:rsid w:val="007F01DE"/>
    <w:rsid w:val="007F05A0"/>
    <w:rsid w:val="007F1B6E"/>
    <w:rsid w:val="007F2233"/>
    <w:rsid w:val="007F2486"/>
    <w:rsid w:val="007F28C6"/>
    <w:rsid w:val="007F2DDC"/>
    <w:rsid w:val="007F3E26"/>
    <w:rsid w:val="007F4531"/>
    <w:rsid w:val="007F4B6D"/>
    <w:rsid w:val="007F5AFD"/>
    <w:rsid w:val="007F6111"/>
    <w:rsid w:val="007F66C7"/>
    <w:rsid w:val="007F79C6"/>
    <w:rsid w:val="00800047"/>
    <w:rsid w:val="00800A2B"/>
    <w:rsid w:val="00800F33"/>
    <w:rsid w:val="00802459"/>
    <w:rsid w:val="008030B1"/>
    <w:rsid w:val="00803FD0"/>
    <w:rsid w:val="00804536"/>
    <w:rsid w:val="008049F5"/>
    <w:rsid w:val="00804CF4"/>
    <w:rsid w:val="008051F6"/>
    <w:rsid w:val="008057BF"/>
    <w:rsid w:val="0080626E"/>
    <w:rsid w:val="0080698F"/>
    <w:rsid w:val="00807790"/>
    <w:rsid w:val="008104F0"/>
    <w:rsid w:val="00811B86"/>
    <w:rsid w:val="00811BBA"/>
    <w:rsid w:val="008120B6"/>
    <w:rsid w:val="008127EE"/>
    <w:rsid w:val="008130C7"/>
    <w:rsid w:val="0081328C"/>
    <w:rsid w:val="008136D8"/>
    <w:rsid w:val="00813A5E"/>
    <w:rsid w:val="00813AAE"/>
    <w:rsid w:val="0081582B"/>
    <w:rsid w:val="008158F4"/>
    <w:rsid w:val="00816866"/>
    <w:rsid w:val="008173EF"/>
    <w:rsid w:val="00820025"/>
    <w:rsid w:val="0082006A"/>
    <w:rsid w:val="008209B9"/>
    <w:rsid w:val="0082169F"/>
    <w:rsid w:val="008219A2"/>
    <w:rsid w:val="008220BB"/>
    <w:rsid w:val="008222EA"/>
    <w:rsid w:val="0082301A"/>
    <w:rsid w:val="008248E5"/>
    <w:rsid w:val="00824BFA"/>
    <w:rsid w:val="00825410"/>
    <w:rsid w:val="00827E58"/>
    <w:rsid w:val="00830A9D"/>
    <w:rsid w:val="00831D0D"/>
    <w:rsid w:val="008321C0"/>
    <w:rsid w:val="00832AE0"/>
    <w:rsid w:val="00832C07"/>
    <w:rsid w:val="00833378"/>
    <w:rsid w:val="008333BD"/>
    <w:rsid w:val="00833DE2"/>
    <w:rsid w:val="008343DE"/>
    <w:rsid w:val="008345B4"/>
    <w:rsid w:val="008350AD"/>
    <w:rsid w:val="008357C7"/>
    <w:rsid w:val="00836533"/>
    <w:rsid w:val="00837558"/>
    <w:rsid w:val="00837A1C"/>
    <w:rsid w:val="00840543"/>
    <w:rsid w:val="00841140"/>
    <w:rsid w:val="008415A9"/>
    <w:rsid w:val="00841EA7"/>
    <w:rsid w:val="00841FBF"/>
    <w:rsid w:val="0084236A"/>
    <w:rsid w:val="00842515"/>
    <w:rsid w:val="00843793"/>
    <w:rsid w:val="00843D9D"/>
    <w:rsid w:val="008442EB"/>
    <w:rsid w:val="00844476"/>
    <w:rsid w:val="0084592F"/>
    <w:rsid w:val="008463B0"/>
    <w:rsid w:val="00846E92"/>
    <w:rsid w:val="00847578"/>
    <w:rsid w:val="0085029C"/>
    <w:rsid w:val="008505B5"/>
    <w:rsid w:val="008519A7"/>
    <w:rsid w:val="00851DB3"/>
    <w:rsid w:val="00853153"/>
    <w:rsid w:val="008537FA"/>
    <w:rsid w:val="00853E94"/>
    <w:rsid w:val="008545CE"/>
    <w:rsid w:val="00854C4B"/>
    <w:rsid w:val="00855109"/>
    <w:rsid w:val="008563AF"/>
    <w:rsid w:val="008564F3"/>
    <w:rsid w:val="00857294"/>
    <w:rsid w:val="008575F2"/>
    <w:rsid w:val="00857C09"/>
    <w:rsid w:val="00857C99"/>
    <w:rsid w:val="00857DFB"/>
    <w:rsid w:val="00861C40"/>
    <w:rsid w:val="00861F9F"/>
    <w:rsid w:val="00862E1F"/>
    <w:rsid w:val="008631AF"/>
    <w:rsid w:val="008637B7"/>
    <w:rsid w:val="00864186"/>
    <w:rsid w:val="008643C3"/>
    <w:rsid w:val="0086449B"/>
    <w:rsid w:val="00865BDE"/>
    <w:rsid w:val="00865C88"/>
    <w:rsid w:val="008675C5"/>
    <w:rsid w:val="00867607"/>
    <w:rsid w:val="00867817"/>
    <w:rsid w:val="00871B73"/>
    <w:rsid w:val="008723ED"/>
    <w:rsid w:val="008728FD"/>
    <w:rsid w:val="00872C52"/>
    <w:rsid w:val="00873FE6"/>
    <w:rsid w:val="0087405C"/>
    <w:rsid w:val="008743C8"/>
    <w:rsid w:val="00874BB6"/>
    <w:rsid w:val="00874D23"/>
    <w:rsid w:val="00874DBE"/>
    <w:rsid w:val="0087648E"/>
    <w:rsid w:val="008777CA"/>
    <w:rsid w:val="00880C42"/>
    <w:rsid w:val="00880E1A"/>
    <w:rsid w:val="00881742"/>
    <w:rsid w:val="00881A20"/>
    <w:rsid w:val="00881B25"/>
    <w:rsid w:val="00882299"/>
    <w:rsid w:val="00882AC7"/>
    <w:rsid w:val="00883777"/>
    <w:rsid w:val="00884D0A"/>
    <w:rsid w:val="0088526E"/>
    <w:rsid w:val="00885D2A"/>
    <w:rsid w:val="00885D73"/>
    <w:rsid w:val="0088617A"/>
    <w:rsid w:val="00887489"/>
    <w:rsid w:val="008875AC"/>
    <w:rsid w:val="00887A80"/>
    <w:rsid w:val="008905A9"/>
    <w:rsid w:val="00891E03"/>
    <w:rsid w:val="00892A26"/>
    <w:rsid w:val="0089489A"/>
    <w:rsid w:val="00894A73"/>
    <w:rsid w:val="00894D0F"/>
    <w:rsid w:val="00894E20"/>
    <w:rsid w:val="008959D0"/>
    <w:rsid w:val="00895FF9"/>
    <w:rsid w:val="008973C4"/>
    <w:rsid w:val="00897596"/>
    <w:rsid w:val="00897D18"/>
    <w:rsid w:val="008A0162"/>
    <w:rsid w:val="008A11F1"/>
    <w:rsid w:val="008A27E0"/>
    <w:rsid w:val="008A281E"/>
    <w:rsid w:val="008A3EDB"/>
    <w:rsid w:val="008A4610"/>
    <w:rsid w:val="008A465A"/>
    <w:rsid w:val="008A4D98"/>
    <w:rsid w:val="008A53C6"/>
    <w:rsid w:val="008A584E"/>
    <w:rsid w:val="008A6113"/>
    <w:rsid w:val="008A624E"/>
    <w:rsid w:val="008A7462"/>
    <w:rsid w:val="008A7BED"/>
    <w:rsid w:val="008B04F1"/>
    <w:rsid w:val="008B0B09"/>
    <w:rsid w:val="008B0CD3"/>
    <w:rsid w:val="008B171D"/>
    <w:rsid w:val="008B2400"/>
    <w:rsid w:val="008B253A"/>
    <w:rsid w:val="008B279F"/>
    <w:rsid w:val="008B2CCF"/>
    <w:rsid w:val="008B3745"/>
    <w:rsid w:val="008B454B"/>
    <w:rsid w:val="008B4932"/>
    <w:rsid w:val="008B5C8E"/>
    <w:rsid w:val="008B5DCE"/>
    <w:rsid w:val="008B7D09"/>
    <w:rsid w:val="008B7D6E"/>
    <w:rsid w:val="008B7D75"/>
    <w:rsid w:val="008C0A6F"/>
    <w:rsid w:val="008C0D86"/>
    <w:rsid w:val="008C1171"/>
    <w:rsid w:val="008C188B"/>
    <w:rsid w:val="008C20A9"/>
    <w:rsid w:val="008C2F7A"/>
    <w:rsid w:val="008C427F"/>
    <w:rsid w:val="008C4C90"/>
    <w:rsid w:val="008C5B96"/>
    <w:rsid w:val="008C5C3E"/>
    <w:rsid w:val="008C6195"/>
    <w:rsid w:val="008C65D6"/>
    <w:rsid w:val="008C6798"/>
    <w:rsid w:val="008C6B64"/>
    <w:rsid w:val="008C7BF1"/>
    <w:rsid w:val="008C7C61"/>
    <w:rsid w:val="008C7D3D"/>
    <w:rsid w:val="008C7F68"/>
    <w:rsid w:val="008D064B"/>
    <w:rsid w:val="008D2CB8"/>
    <w:rsid w:val="008D3265"/>
    <w:rsid w:val="008D498C"/>
    <w:rsid w:val="008D4C30"/>
    <w:rsid w:val="008D58C2"/>
    <w:rsid w:val="008D5E07"/>
    <w:rsid w:val="008D5E56"/>
    <w:rsid w:val="008D63D2"/>
    <w:rsid w:val="008D7994"/>
    <w:rsid w:val="008D7BEC"/>
    <w:rsid w:val="008E0D56"/>
    <w:rsid w:val="008E22F4"/>
    <w:rsid w:val="008E24E1"/>
    <w:rsid w:val="008E3088"/>
    <w:rsid w:val="008E380C"/>
    <w:rsid w:val="008E5041"/>
    <w:rsid w:val="008E633C"/>
    <w:rsid w:val="008E6461"/>
    <w:rsid w:val="008E6BA2"/>
    <w:rsid w:val="008F04F9"/>
    <w:rsid w:val="008F1505"/>
    <w:rsid w:val="008F23BC"/>
    <w:rsid w:val="008F25D2"/>
    <w:rsid w:val="008F2ABC"/>
    <w:rsid w:val="008F2DEE"/>
    <w:rsid w:val="008F37C1"/>
    <w:rsid w:val="008F40E1"/>
    <w:rsid w:val="008F4144"/>
    <w:rsid w:val="008F47DE"/>
    <w:rsid w:val="008F4867"/>
    <w:rsid w:val="008F554A"/>
    <w:rsid w:val="008F560D"/>
    <w:rsid w:val="008F6302"/>
    <w:rsid w:val="008F7B8C"/>
    <w:rsid w:val="00900271"/>
    <w:rsid w:val="00900431"/>
    <w:rsid w:val="00900A93"/>
    <w:rsid w:val="00900F82"/>
    <w:rsid w:val="0090157D"/>
    <w:rsid w:val="00901771"/>
    <w:rsid w:val="0090232C"/>
    <w:rsid w:val="00902363"/>
    <w:rsid w:val="00903B0D"/>
    <w:rsid w:val="00904221"/>
    <w:rsid w:val="00904786"/>
    <w:rsid w:val="009055D6"/>
    <w:rsid w:val="009056E2"/>
    <w:rsid w:val="00905AC0"/>
    <w:rsid w:val="009060FB"/>
    <w:rsid w:val="009069CC"/>
    <w:rsid w:val="00906FFB"/>
    <w:rsid w:val="00907101"/>
    <w:rsid w:val="009072F2"/>
    <w:rsid w:val="009115CF"/>
    <w:rsid w:val="009116D7"/>
    <w:rsid w:val="009119EF"/>
    <w:rsid w:val="00912397"/>
    <w:rsid w:val="00912A87"/>
    <w:rsid w:val="00913140"/>
    <w:rsid w:val="00913EB9"/>
    <w:rsid w:val="00914124"/>
    <w:rsid w:val="00914CC6"/>
    <w:rsid w:val="00916076"/>
    <w:rsid w:val="00916686"/>
    <w:rsid w:val="009167E9"/>
    <w:rsid w:val="00916AB1"/>
    <w:rsid w:val="009172EB"/>
    <w:rsid w:val="009175EA"/>
    <w:rsid w:val="00917AFB"/>
    <w:rsid w:val="00920053"/>
    <w:rsid w:val="009203B7"/>
    <w:rsid w:val="009205B7"/>
    <w:rsid w:val="00920D32"/>
    <w:rsid w:val="00920EE4"/>
    <w:rsid w:val="009210FA"/>
    <w:rsid w:val="00921D6A"/>
    <w:rsid w:val="00921FB3"/>
    <w:rsid w:val="0092229F"/>
    <w:rsid w:val="009228F6"/>
    <w:rsid w:val="00923570"/>
    <w:rsid w:val="00923D62"/>
    <w:rsid w:val="00923E9B"/>
    <w:rsid w:val="00924D81"/>
    <w:rsid w:val="00925311"/>
    <w:rsid w:val="009253B8"/>
    <w:rsid w:val="00926930"/>
    <w:rsid w:val="00926D25"/>
    <w:rsid w:val="00926EDC"/>
    <w:rsid w:val="0092790B"/>
    <w:rsid w:val="009314F0"/>
    <w:rsid w:val="00932067"/>
    <w:rsid w:val="009321F2"/>
    <w:rsid w:val="00932DA0"/>
    <w:rsid w:val="00932F25"/>
    <w:rsid w:val="00933510"/>
    <w:rsid w:val="00933681"/>
    <w:rsid w:val="0093544C"/>
    <w:rsid w:val="009362C6"/>
    <w:rsid w:val="009364DA"/>
    <w:rsid w:val="00936D58"/>
    <w:rsid w:val="00940872"/>
    <w:rsid w:val="00940E11"/>
    <w:rsid w:val="00941C76"/>
    <w:rsid w:val="0094284F"/>
    <w:rsid w:val="00942977"/>
    <w:rsid w:val="00943834"/>
    <w:rsid w:val="00943B01"/>
    <w:rsid w:val="00945D56"/>
    <w:rsid w:val="00947561"/>
    <w:rsid w:val="00947686"/>
    <w:rsid w:val="00947BE2"/>
    <w:rsid w:val="009506EE"/>
    <w:rsid w:val="00951167"/>
    <w:rsid w:val="009515DA"/>
    <w:rsid w:val="0095169F"/>
    <w:rsid w:val="00951D9F"/>
    <w:rsid w:val="0095262C"/>
    <w:rsid w:val="00953088"/>
    <w:rsid w:val="0095395E"/>
    <w:rsid w:val="0095458D"/>
    <w:rsid w:val="00954A66"/>
    <w:rsid w:val="009555F5"/>
    <w:rsid w:val="0095796D"/>
    <w:rsid w:val="00957FDC"/>
    <w:rsid w:val="00960AAC"/>
    <w:rsid w:val="009610D2"/>
    <w:rsid w:val="0096254A"/>
    <w:rsid w:val="0096272C"/>
    <w:rsid w:val="00962F49"/>
    <w:rsid w:val="00963939"/>
    <w:rsid w:val="00963D49"/>
    <w:rsid w:val="00963F54"/>
    <w:rsid w:val="00964124"/>
    <w:rsid w:val="009641D1"/>
    <w:rsid w:val="00964825"/>
    <w:rsid w:val="009649E8"/>
    <w:rsid w:val="0096540A"/>
    <w:rsid w:val="009656FA"/>
    <w:rsid w:val="00966968"/>
    <w:rsid w:val="00967E5F"/>
    <w:rsid w:val="00970081"/>
    <w:rsid w:val="00970803"/>
    <w:rsid w:val="0097121D"/>
    <w:rsid w:val="009713B3"/>
    <w:rsid w:val="00971AAF"/>
    <w:rsid w:val="00971D85"/>
    <w:rsid w:val="00971F8A"/>
    <w:rsid w:val="00972B3F"/>
    <w:rsid w:val="00972FB5"/>
    <w:rsid w:val="00973557"/>
    <w:rsid w:val="0097400C"/>
    <w:rsid w:val="0097437F"/>
    <w:rsid w:val="0097459F"/>
    <w:rsid w:val="009751FA"/>
    <w:rsid w:val="00975911"/>
    <w:rsid w:val="00975D44"/>
    <w:rsid w:val="009805DB"/>
    <w:rsid w:val="009807B5"/>
    <w:rsid w:val="009808EF"/>
    <w:rsid w:val="00980AA6"/>
    <w:rsid w:val="00982849"/>
    <w:rsid w:val="00982CF0"/>
    <w:rsid w:val="00983981"/>
    <w:rsid w:val="009840D0"/>
    <w:rsid w:val="0098496E"/>
    <w:rsid w:val="00984D85"/>
    <w:rsid w:val="009873B5"/>
    <w:rsid w:val="00987938"/>
    <w:rsid w:val="00987EAF"/>
    <w:rsid w:val="009902C9"/>
    <w:rsid w:val="009919A6"/>
    <w:rsid w:val="00992DE7"/>
    <w:rsid w:val="00993129"/>
    <w:rsid w:val="00994B88"/>
    <w:rsid w:val="00994C4E"/>
    <w:rsid w:val="00994FE8"/>
    <w:rsid w:val="009965D7"/>
    <w:rsid w:val="00996A3C"/>
    <w:rsid w:val="00996B30"/>
    <w:rsid w:val="009A000D"/>
    <w:rsid w:val="009A0EBF"/>
    <w:rsid w:val="009A1CF9"/>
    <w:rsid w:val="009A4054"/>
    <w:rsid w:val="009A502B"/>
    <w:rsid w:val="009A5424"/>
    <w:rsid w:val="009A5556"/>
    <w:rsid w:val="009A5687"/>
    <w:rsid w:val="009A5AB3"/>
    <w:rsid w:val="009A5ACF"/>
    <w:rsid w:val="009A5F75"/>
    <w:rsid w:val="009A7A02"/>
    <w:rsid w:val="009B080C"/>
    <w:rsid w:val="009B1653"/>
    <w:rsid w:val="009B1912"/>
    <w:rsid w:val="009B1F91"/>
    <w:rsid w:val="009B2007"/>
    <w:rsid w:val="009B2387"/>
    <w:rsid w:val="009B2A9D"/>
    <w:rsid w:val="009B31E0"/>
    <w:rsid w:val="009B3F3D"/>
    <w:rsid w:val="009B5A30"/>
    <w:rsid w:val="009B5D1C"/>
    <w:rsid w:val="009B61D0"/>
    <w:rsid w:val="009B64C4"/>
    <w:rsid w:val="009C083A"/>
    <w:rsid w:val="009C20CD"/>
    <w:rsid w:val="009C26E7"/>
    <w:rsid w:val="009C2BBE"/>
    <w:rsid w:val="009C3083"/>
    <w:rsid w:val="009C3360"/>
    <w:rsid w:val="009C3D15"/>
    <w:rsid w:val="009C3F46"/>
    <w:rsid w:val="009C3F81"/>
    <w:rsid w:val="009C450D"/>
    <w:rsid w:val="009C478E"/>
    <w:rsid w:val="009C4B9A"/>
    <w:rsid w:val="009C594E"/>
    <w:rsid w:val="009C5A14"/>
    <w:rsid w:val="009C5D2A"/>
    <w:rsid w:val="009C60B7"/>
    <w:rsid w:val="009C6294"/>
    <w:rsid w:val="009C7B5E"/>
    <w:rsid w:val="009D3151"/>
    <w:rsid w:val="009D570E"/>
    <w:rsid w:val="009D6308"/>
    <w:rsid w:val="009D701C"/>
    <w:rsid w:val="009D7028"/>
    <w:rsid w:val="009D717F"/>
    <w:rsid w:val="009D7DBE"/>
    <w:rsid w:val="009E0E12"/>
    <w:rsid w:val="009E107F"/>
    <w:rsid w:val="009E155D"/>
    <w:rsid w:val="009E2561"/>
    <w:rsid w:val="009E4B26"/>
    <w:rsid w:val="009E4F97"/>
    <w:rsid w:val="009E761C"/>
    <w:rsid w:val="009E7C0F"/>
    <w:rsid w:val="009F1470"/>
    <w:rsid w:val="009F160A"/>
    <w:rsid w:val="009F1778"/>
    <w:rsid w:val="009F1F1F"/>
    <w:rsid w:val="009F3727"/>
    <w:rsid w:val="009F635A"/>
    <w:rsid w:val="009F653C"/>
    <w:rsid w:val="009F6C25"/>
    <w:rsid w:val="009F749A"/>
    <w:rsid w:val="009F7973"/>
    <w:rsid w:val="00A000B2"/>
    <w:rsid w:val="00A01095"/>
    <w:rsid w:val="00A01F1D"/>
    <w:rsid w:val="00A028C4"/>
    <w:rsid w:val="00A02BFD"/>
    <w:rsid w:val="00A039C5"/>
    <w:rsid w:val="00A04A4C"/>
    <w:rsid w:val="00A05A0A"/>
    <w:rsid w:val="00A05D40"/>
    <w:rsid w:val="00A074F5"/>
    <w:rsid w:val="00A07D7B"/>
    <w:rsid w:val="00A1015B"/>
    <w:rsid w:val="00A106CD"/>
    <w:rsid w:val="00A10760"/>
    <w:rsid w:val="00A11B15"/>
    <w:rsid w:val="00A124DA"/>
    <w:rsid w:val="00A12EE5"/>
    <w:rsid w:val="00A12F85"/>
    <w:rsid w:val="00A13407"/>
    <w:rsid w:val="00A1443B"/>
    <w:rsid w:val="00A14954"/>
    <w:rsid w:val="00A1515A"/>
    <w:rsid w:val="00A153C3"/>
    <w:rsid w:val="00A1575F"/>
    <w:rsid w:val="00A15953"/>
    <w:rsid w:val="00A15CF6"/>
    <w:rsid w:val="00A163A5"/>
    <w:rsid w:val="00A16411"/>
    <w:rsid w:val="00A1678E"/>
    <w:rsid w:val="00A16A3A"/>
    <w:rsid w:val="00A16B6E"/>
    <w:rsid w:val="00A17DF5"/>
    <w:rsid w:val="00A207A1"/>
    <w:rsid w:val="00A249E7"/>
    <w:rsid w:val="00A24E43"/>
    <w:rsid w:val="00A25847"/>
    <w:rsid w:val="00A26B69"/>
    <w:rsid w:val="00A3077D"/>
    <w:rsid w:val="00A307E2"/>
    <w:rsid w:val="00A30A77"/>
    <w:rsid w:val="00A31C88"/>
    <w:rsid w:val="00A32627"/>
    <w:rsid w:val="00A3282A"/>
    <w:rsid w:val="00A329AD"/>
    <w:rsid w:val="00A32B3E"/>
    <w:rsid w:val="00A330AA"/>
    <w:rsid w:val="00A33107"/>
    <w:rsid w:val="00A331C6"/>
    <w:rsid w:val="00A331E7"/>
    <w:rsid w:val="00A333BC"/>
    <w:rsid w:val="00A334F5"/>
    <w:rsid w:val="00A34353"/>
    <w:rsid w:val="00A349CF"/>
    <w:rsid w:val="00A34EEB"/>
    <w:rsid w:val="00A36FFF"/>
    <w:rsid w:val="00A37117"/>
    <w:rsid w:val="00A37830"/>
    <w:rsid w:val="00A40BB4"/>
    <w:rsid w:val="00A419E5"/>
    <w:rsid w:val="00A41C3C"/>
    <w:rsid w:val="00A4218A"/>
    <w:rsid w:val="00A432B3"/>
    <w:rsid w:val="00A43B2B"/>
    <w:rsid w:val="00A44659"/>
    <w:rsid w:val="00A44F03"/>
    <w:rsid w:val="00A4531A"/>
    <w:rsid w:val="00A4652C"/>
    <w:rsid w:val="00A46ECA"/>
    <w:rsid w:val="00A46FD3"/>
    <w:rsid w:val="00A47C3A"/>
    <w:rsid w:val="00A512C5"/>
    <w:rsid w:val="00A52C37"/>
    <w:rsid w:val="00A52D05"/>
    <w:rsid w:val="00A52E5C"/>
    <w:rsid w:val="00A5312E"/>
    <w:rsid w:val="00A53312"/>
    <w:rsid w:val="00A53C8A"/>
    <w:rsid w:val="00A54121"/>
    <w:rsid w:val="00A54C17"/>
    <w:rsid w:val="00A5514E"/>
    <w:rsid w:val="00A55AFD"/>
    <w:rsid w:val="00A55F69"/>
    <w:rsid w:val="00A575E0"/>
    <w:rsid w:val="00A5771B"/>
    <w:rsid w:val="00A57D42"/>
    <w:rsid w:val="00A61835"/>
    <w:rsid w:val="00A61B5D"/>
    <w:rsid w:val="00A61C04"/>
    <w:rsid w:val="00A6296E"/>
    <w:rsid w:val="00A6314A"/>
    <w:rsid w:val="00A631E1"/>
    <w:rsid w:val="00A6387E"/>
    <w:rsid w:val="00A638E7"/>
    <w:rsid w:val="00A63B9C"/>
    <w:rsid w:val="00A63FB9"/>
    <w:rsid w:val="00A65756"/>
    <w:rsid w:val="00A65DF4"/>
    <w:rsid w:val="00A662BA"/>
    <w:rsid w:val="00A66844"/>
    <w:rsid w:val="00A66A01"/>
    <w:rsid w:val="00A66C27"/>
    <w:rsid w:val="00A66D28"/>
    <w:rsid w:val="00A67738"/>
    <w:rsid w:val="00A70033"/>
    <w:rsid w:val="00A70AAA"/>
    <w:rsid w:val="00A71C0D"/>
    <w:rsid w:val="00A7212B"/>
    <w:rsid w:val="00A73A93"/>
    <w:rsid w:val="00A73E46"/>
    <w:rsid w:val="00A74CBC"/>
    <w:rsid w:val="00A75690"/>
    <w:rsid w:val="00A7635D"/>
    <w:rsid w:val="00A771B8"/>
    <w:rsid w:val="00A775B4"/>
    <w:rsid w:val="00A77699"/>
    <w:rsid w:val="00A77958"/>
    <w:rsid w:val="00A8036A"/>
    <w:rsid w:val="00A81031"/>
    <w:rsid w:val="00A81967"/>
    <w:rsid w:val="00A81CE4"/>
    <w:rsid w:val="00A82097"/>
    <w:rsid w:val="00A821D0"/>
    <w:rsid w:val="00A8299D"/>
    <w:rsid w:val="00A84C8C"/>
    <w:rsid w:val="00A855E0"/>
    <w:rsid w:val="00A859FC"/>
    <w:rsid w:val="00A85C5F"/>
    <w:rsid w:val="00A87A15"/>
    <w:rsid w:val="00A90728"/>
    <w:rsid w:val="00A90BAD"/>
    <w:rsid w:val="00A91A5E"/>
    <w:rsid w:val="00A91CAA"/>
    <w:rsid w:val="00A93427"/>
    <w:rsid w:val="00A93448"/>
    <w:rsid w:val="00A94142"/>
    <w:rsid w:val="00A947F9"/>
    <w:rsid w:val="00A94BFF"/>
    <w:rsid w:val="00A94E23"/>
    <w:rsid w:val="00A94F2C"/>
    <w:rsid w:val="00A95F74"/>
    <w:rsid w:val="00AA09F5"/>
    <w:rsid w:val="00AA16AE"/>
    <w:rsid w:val="00AA1710"/>
    <w:rsid w:val="00AA2B30"/>
    <w:rsid w:val="00AA2E38"/>
    <w:rsid w:val="00AA2ED8"/>
    <w:rsid w:val="00AA2FEE"/>
    <w:rsid w:val="00AA3DEF"/>
    <w:rsid w:val="00AA5024"/>
    <w:rsid w:val="00AA61E5"/>
    <w:rsid w:val="00AA63F3"/>
    <w:rsid w:val="00AA659D"/>
    <w:rsid w:val="00AA76B4"/>
    <w:rsid w:val="00AA76F2"/>
    <w:rsid w:val="00AA7FF6"/>
    <w:rsid w:val="00AB08B8"/>
    <w:rsid w:val="00AB0C68"/>
    <w:rsid w:val="00AB166D"/>
    <w:rsid w:val="00AB188A"/>
    <w:rsid w:val="00AB1A53"/>
    <w:rsid w:val="00AB2F3E"/>
    <w:rsid w:val="00AB305F"/>
    <w:rsid w:val="00AB3849"/>
    <w:rsid w:val="00AB38CF"/>
    <w:rsid w:val="00AB3A4F"/>
    <w:rsid w:val="00AB423D"/>
    <w:rsid w:val="00AB56E8"/>
    <w:rsid w:val="00AB5C24"/>
    <w:rsid w:val="00AB5EDD"/>
    <w:rsid w:val="00AB6793"/>
    <w:rsid w:val="00AB6DEF"/>
    <w:rsid w:val="00AB74B9"/>
    <w:rsid w:val="00AB77CA"/>
    <w:rsid w:val="00AC0435"/>
    <w:rsid w:val="00AC0A85"/>
    <w:rsid w:val="00AC0BD6"/>
    <w:rsid w:val="00AC1B22"/>
    <w:rsid w:val="00AC2A2E"/>
    <w:rsid w:val="00AC2D6A"/>
    <w:rsid w:val="00AC3497"/>
    <w:rsid w:val="00AC4E9D"/>
    <w:rsid w:val="00AC52B7"/>
    <w:rsid w:val="00AC5405"/>
    <w:rsid w:val="00AC575B"/>
    <w:rsid w:val="00AC5A5F"/>
    <w:rsid w:val="00AC6212"/>
    <w:rsid w:val="00AC6399"/>
    <w:rsid w:val="00AC6967"/>
    <w:rsid w:val="00AC6987"/>
    <w:rsid w:val="00AC7BAA"/>
    <w:rsid w:val="00AC7C69"/>
    <w:rsid w:val="00AC7DF8"/>
    <w:rsid w:val="00AC7E33"/>
    <w:rsid w:val="00AD0072"/>
    <w:rsid w:val="00AD213E"/>
    <w:rsid w:val="00AD2DD4"/>
    <w:rsid w:val="00AD3EE7"/>
    <w:rsid w:val="00AD51F5"/>
    <w:rsid w:val="00AD5B83"/>
    <w:rsid w:val="00AD5C69"/>
    <w:rsid w:val="00AD6E46"/>
    <w:rsid w:val="00AE0CB3"/>
    <w:rsid w:val="00AE1094"/>
    <w:rsid w:val="00AE1761"/>
    <w:rsid w:val="00AE17C9"/>
    <w:rsid w:val="00AE2193"/>
    <w:rsid w:val="00AE3829"/>
    <w:rsid w:val="00AE3F77"/>
    <w:rsid w:val="00AE3F9D"/>
    <w:rsid w:val="00AE50C6"/>
    <w:rsid w:val="00AE555B"/>
    <w:rsid w:val="00AE5F0D"/>
    <w:rsid w:val="00AE75FD"/>
    <w:rsid w:val="00AE7BC8"/>
    <w:rsid w:val="00AE7C47"/>
    <w:rsid w:val="00AF0205"/>
    <w:rsid w:val="00AF10C9"/>
    <w:rsid w:val="00AF169C"/>
    <w:rsid w:val="00AF2204"/>
    <w:rsid w:val="00AF297A"/>
    <w:rsid w:val="00AF4362"/>
    <w:rsid w:val="00AF442D"/>
    <w:rsid w:val="00AF4799"/>
    <w:rsid w:val="00AF4B7D"/>
    <w:rsid w:val="00AF5337"/>
    <w:rsid w:val="00AF7E88"/>
    <w:rsid w:val="00B00B25"/>
    <w:rsid w:val="00B018ED"/>
    <w:rsid w:val="00B01DDC"/>
    <w:rsid w:val="00B0372E"/>
    <w:rsid w:val="00B0404C"/>
    <w:rsid w:val="00B04505"/>
    <w:rsid w:val="00B0472A"/>
    <w:rsid w:val="00B0521E"/>
    <w:rsid w:val="00B0566D"/>
    <w:rsid w:val="00B05F52"/>
    <w:rsid w:val="00B06B37"/>
    <w:rsid w:val="00B07A0E"/>
    <w:rsid w:val="00B10E14"/>
    <w:rsid w:val="00B11568"/>
    <w:rsid w:val="00B116DC"/>
    <w:rsid w:val="00B12415"/>
    <w:rsid w:val="00B12F0E"/>
    <w:rsid w:val="00B1377B"/>
    <w:rsid w:val="00B1380A"/>
    <w:rsid w:val="00B13AD2"/>
    <w:rsid w:val="00B163FE"/>
    <w:rsid w:val="00B16CAC"/>
    <w:rsid w:val="00B17BD6"/>
    <w:rsid w:val="00B17CF6"/>
    <w:rsid w:val="00B2199A"/>
    <w:rsid w:val="00B21A6F"/>
    <w:rsid w:val="00B22172"/>
    <w:rsid w:val="00B239C0"/>
    <w:rsid w:val="00B23C1A"/>
    <w:rsid w:val="00B23D01"/>
    <w:rsid w:val="00B245D8"/>
    <w:rsid w:val="00B24911"/>
    <w:rsid w:val="00B25FE5"/>
    <w:rsid w:val="00B262A7"/>
    <w:rsid w:val="00B2680C"/>
    <w:rsid w:val="00B2722B"/>
    <w:rsid w:val="00B313B4"/>
    <w:rsid w:val="00B3170F"/>
    <w:rsid w:val="00B31884"/>
    <w:rsid w:val="00B34F0D"/>
    <w:rsid w:val="00B34F21"/>
    <w:rsid w:val="00B36903"/>
    <w:rsid w:val="00B3740B"/>
    <w:rsid w:val="00B37DE8"/>
    <w:rsid w:val="00B40A95"/>
    <w:rsid w:val="00B40EC0"/>
    <w:rsid w:val="00B41376"/>
    <w:rsid w:val="00B418D7"/>
    <w:rsid w:val="00B42D95"/>
    <w:rsid w:val="00B42E3D"/>
    <w:rsid w:val="00B43A18"/>
    <w:rsid w:val="00B440A7"/>
    <w:rsid w:val="00B443E6"/>
    <w:rsid w:val="00B47A57"/>
    <w:rsid w:val="00B51AF1"/>
    <w:rsid w:val="00B51DA5"/>
    <w:rsid w:val="00B522BE"/>
    <w:rsid w:val="00B5259C"/>
    <w:rsid w:val="00B53AF6"/>
    <w:rsid w:val="00B53DD3"/>
    <w:rsid w:val="00B5432F"/>
    <w:rsid w:val="00B5532E"/>
    <w:rsid w:val="00B556C0"/>
    <w:rsid w:val="00B56313"/>
    <w:rsid w:val="00B56367"/>
    <w:rsid w:val="00B57077"/>
    <w:rsid w:val="00B57854"/>
    <w:rsid w:val="00B602E8"/>
    <w:rsid w:val="00B622EE"/>
    <w:rsid w:val="00B62D72"/>
    <w:rsid w:val="00B63901"/>
    <w:rsid w:val="00B6399D"/>
    <w:rsid w:val="00B63EE8"/>
    <w:rsid w:val="00B64C38"/>
    <w:rsid w:val="00B64EF7"/>
    <w:rsid w:val="00B66A92"/>
    <w:rsid w:val="00B6715C"/>
    <w:rsid w:val="00B67CC8"/>
    <w:rsid w:val="00B73813"/>
    <w:rsid w:val="00B73FF4"/>
    <w:rsid w:val="00B74286"/>
    <w:rsid w:val="00B742D8"/>
    <w:rsid w:val="00B742FD"/>
    <w:rsid w:val="00B75415"/>
    <w:rsid w:val="00B75450"/>
    <w:rsid w:val="00B75594"/>
    <w:rsid w:val="00B75D5C"/>
    <w:rsid w:val="00B76D01"/>
    <w:rsid w:val="00B806CC"/>
    <w:rsid w:val="00B806E7"/>
    <w:rsid w:val="00B80717"/>
    <w:rsid w:val="00B80C4B"/>
    <w:rsid w:val="00B810E1"/>
    <w:rsid w:val="00B81AA6"/>
    <w:rsid w:val="00B82F27"/>
    <w:rsid w:val="00B835EB"/>
    <w:rsid w:val="00B83A58"/>
    <w:rsid w:val="00B83CA8"/>
    <w:rsid w:val="00B83F77"/>
    <w:rsid w:val="00B8417B"/>
    <w:rsid w:val="00B841CD"/>
    <w:rsid w:val="00B84653"/>
    <w:rsid w:val="00B8466E"/>
    <w:rsid w:val="00B84953"/>
    <w:rsid w:val="00B84B5C"/>
    <w:rsid w:val="00B84D0B"/>
    <w:rsid w:val="00B8508C"/>
    <w:rsid w:val="00B85D2E"/>
    <w:rsid w:val="00B86FDE"/>
    <w:rsid w:val="00B90087"/>
    <w:rsid w:val="00B90814"/>
    <w:rsid w:val="00B9096E"/>
    <w:rsid w:val="00B92346"/>
    <w:rsid w:val="00B92424"/>
    <w:rsid w:val="00B9252C"/>
    <w:rsid w:val="00B9267A"/>
    <w:rsid w:val="00B926F9"/>
    <w:rsid w:val="00B92A85"/>
    <w:rsid w:val="00B94651"/>
    <w:rsid w:val="00B96127"/>
    <w:rsid w:val="00B966A7"/>
    <w:rsid w:val="00B97171"/>
    <w:rsid w:val="00BA0611"/>
    <w:rsid w:val="00BA1847"/>
    <w:rsid w:val="00BA1FA9"/>
    <w:rsid w:val="00BA2A45"/>
    <w:rsid w:val="00BA2BC0"/>
    <w:rsid w:val="00BA2F44"/>
    <w:rsid w:val="00BA2F56"/>
    <w:rsid w:val="00BA35C6"/>
    <w:rsid w:val="00BA35DE"/>
    <w:rsid w:val="00BA3B89"/>
    <w:rsid w:val="00BA5223"/>
    <w:rsid w:val="00BA5441"/>
    <w:rsid w:val="00BA5F27"/>
    <w:rsid w:val="00BA5F7E"/>
    <w:rsid w:val="00BA66B9"/>
    <w:rsid w:val="00BA701E"/>
    <w:rsid w:val="00BA72FA"/>
    <w:rsid w:val="00BA7A35"/>
    <w:rsid w:val="00BA7A41"/>
    <w:rsid w:val="00BB007B"/>
    <w:rsid w:val="00BB159A"/>
    <w:rsid w:val="00BB1EBC"/>
    <w:rsid w:val="00BB232F"/>
    <w:rsid w:val="00BB596C"/>
    <w:rsid w:val="00BB6105"/>
    <w:rsid w:val="00BB614B"/>
    <w:rsid w:val="00BB63A4"/>
    <w:rsid w:val="00BB6B36"/>
    <w:rsid w:val="00BB7018"/>
    <w:rsid w:val="00BB7551"/>
    <w:rsid w:val="00BC0158"/>
    <w:rsid w:val="00BC10EE"/>
    <w:rsid w:val="00BC1D60"/>
    <w:rsid w:val="00BC25D3"/>
    <w:rsid w:val="00BC3023"/>
    <w:rsid w:val="00BC3114"/>
    <w:rsid w:val="00BC3143"/>
    <w:rsid w:val="00BC316C"/>
    <w:rsid w:val="00BC3BE8"/>
    <w:rsid w:val="00BC4DDE"/>
    <w:rsid w:val="00BC4E3F"/>
    <w:rsid w:val="00BC5A44"/>
    <w:rsid w:val="00BC5B36"/>
    <w:rsid w:val="00BC5F97"/>
    <w:rsid w:val="00BC6248"/>
    <w:rsid w:val="00BC6B2F"/>
    <w:rsid w:val="00BC6F12"/>
    <w:rsid w:val="00BC712B"/>
    <w:rsid w:val="00BC7673"/>
    <w:rsid w:val="00BD0202"/>
    <w:rsid w:val="00BD047C"/>
    <w:rsid w:val="00BD1093"/>
    <w:rsid w:val="00BD1C0F"/>
    <w:rsid w:val="00BD1F48"/>
    <w:rsid w:val="00BD1FD2"/>
    <w:rsid w:val="00BD20E3"/>
    <w:rsid w:val="00BD212E"/>
    <w:rsid w:val="00BD366F"/>
    <w:rsid w:val="00BD41E9"/>
    <w:rsid w:val="00BD42D1"/>
    <w:rsid w:val="00BD4EDF"/>
    <w:rsid w:val="00BD6965"/>
    <w:rsid w:val="00BD6D49"/>
    <w:rsid w:val="00BD7539"/>
    <w:rsid w:val="00BD7BEB"/>
    <w:rsid w:val="00BD7DE4"/>
    <w:rsid w:val="00BE00FD"/>
    <w:rsid w:val="00BE0BA0"/>
    <w:rsid w:val="00BE0D3C"/>
    <w:rsid w:val="00BE11EB"/>
    <w:rsid w:val="00BE175D"/>
    <w:rsid w:val="00BE2F50"/>
    <w:rsid w:val="00BE3155"/>
    <w:rsid w:val="00BE3941"/>
    <w:rsid w:val="00BE4F9C"/>
    <w:rsid w:val="00BE53C0"/>
    <w:rsid w:val="00BE5BC0"/>
    <w:rsid w:val="00BE6126"/>
    <w:rsid w:val="00BE648F"/>
    <w:rsid w:val="00BE7841"/>
    <w:rsid w:val="00BE7A31"/>
    <w:rsid w:val="00BE7D9B"/>
    <w:rsid w:val="00BF0779"/>
    <w:rsid w:val="00BF0DE3"/>
    <w:rsid w:val="00BF0F65"/>
    <w:rsid w:val="00BF196C"/>
    <w:rsid w:val="00BF19CC"/>
    <w:rsid w:val="00BF2002"/>
    <w:rsid w:val="00BF2618"/>
    <w:rsid w:val="00BF308C"/>
    <w:rsid w:val="00BF32DC"/>
    <w:rsid w:val="00BF4C03"/>
    <w:rsid w:val="00BF6F5D"/>
    <w:rsid w:val="00BF77FC"/>
    <w:rsid w:val="00C00765"/>
    <w:rsid w:val="00C00A4D"/>
    <w:rsid w:val="00C0101A"/>
    <w:rsid w:val="00C016FB"/>
    <w:rsid w:val="00C0246E"/>
    <w:rsid w:val="00C03393"/>
    <w:rsid w:val="00C05A42"/>
    <w:rsid w:val="00C05D59"/>
    <w:rsid w:val="00C063E1"/>
    <w:rsid w:val="00C064DA"/>
    <w:rsid w:val="00C10464"/>
    <w:rsid w:val="00C109CB"/>
    <w:rsid w:val="00C118D3"/>
    <w:rsid w:val="00C11D4A"/>
    <w:rsid w:val="00C1225F"/>
    <w:rsid w:val="00C122A2"/>
    <w:rsid w:val="00C123DB"/>
    <w:rsid w:val="00C1288B"/>
    <w:rsid w:val="00C12B4A"/>
    <w:rsid w:val="00C13170"/>
    <w:rsid w:val="00C137D9"/>
    <w:rsid w:val="00C13A2B"/>
    <w:rsid w:val="00C13D33"/>
    <w:rsid w:val="00C15665"/>
    <w:rsid w:val="00C179A9"/>
    <w:rsid w:val="00C17C39"/>
    <w:rsid w:val="00C20039"/>
    <w:rsid w:val="00C2096A"/>
    <w:rsid w:val="00C20E7F"/>
    <w:rsid w:val="00C20EB0"/>
    <w:rsid w:val="00C21474"/>
    <w:rsid w:val="00C21D14"/>
    <w:rsid w:val="00C225C7"/>
    <w:rsid w:val="00C2298C"/>
    <w:rsid w:val="00C23065"/>
    <w:rsid w:val="00C23FC2"/>
    <w:rsid w:val="00C2449D"/>
    <w:rsid w:val="00C24AFC"/>
    <w:rsid w:val="00C25726"/>
    <w:rsid w:val="00C260AF"/>
    <w:rsid w:val="00C26A5B"/>
    <w:rsid w:val="00C27668"/>
    <w:rsid w:val="00C27B96"/>
    <w:rsid w:val="00C27D74"/>
    <w:rsid w:val="00C27DC9"/>
    <w:rsid w:val="00C304EC"/>
    <w:rsid w:val="00C30EA3"/>
    <w:rsid w:val="00C3188F"/>
    <w:rsid w:val="00C31ED3"/>
    <w:rsid w:val="00C320BE"/>
    <w:rsid w:val="00C35531"/>
    <w:rsid w:val="00C35F68"/>
    <w:rsid w:val="00C36B7F"/>
    <w:rsid w:val="00C379DE"/>
    <w:rsid w:val="00C37F12"/>
    <w:rsid w:val="00C40967"/>
    <w:rsid w:val="00C40CE6"/>
    <w:rsid w:val="00C4190C"/>
    <w:rsid w:val="00C4279F"/>
    <w:rsid w:val="00C427AE"/>
    <w:rsid w:val="00C43083"/>
    <w:rsid w:val="00C4322B"/>
    <w:rsid w:val="00C43A9B"/>
    <w:rsid w:val="00C43F64"/>
    <w:rsid w:val="00C44FCF"/>
    <w:rsid w:val="00C45E92"/>
    <w:rsid w:val="00C46839"/>
    <w:rsid w:val="00C47501"/>
    <w:rsid w:val="00C506B7"/>
    <w:rsid w:val="00C50ADF"/>
    <w:rsid w:val="00C50D6E"/>
    <w:rsid w:val="00C51033"/>
    <w:rsid w:val="00C51A7E"/>
    <w:rsid w:val="00C5272F"/>
    <w:rsid w:val="00C540C3"/>
    <w:rsid w:val="00C55EDB"/>
    <w:rsid w:val="00C57B4A"/>
    <w:rsid w:val="00C60E84"/>
    <w:rsid w:val="00C61C05"/>
    <w:rsid w:val="00C61EB1"/>
    <w:rsid w:val="00C633A0"/>
    <w:rsid w:val="00C63402"/>
    <w:rsid w:val="00C63900"/>
    <w:rsid w:val="00C63CFE"/>
    <w:rsid w:val="00C63D43"/>
    <w:rsid w:val="00C655A8"/>
    <w:rsid w:val="00C660AF"/>
    <w:rsid w:val="00C667B0"/>
    <w:rsid w:val="00C66C41"/>
    <w:rsid w:val="00C66F99"/>
    <w:rsid w:val="00C679D9"/>
    <w:rsid w:val="00C7035F"/>
    <w:rsid w:val="00C70C4A"/>
    <w:rsid w:val="00C7203D"/>
    <w:rsid w:val="00C74134"/>
    <w:rsid w:val="00C74572"/>
    <w:rsid w:val="00C7488D"/>
    <w:rsid w:val="00C748FB"/>
    <w:rsid w:val="00C76622"/>
    <w:rsid w:val="00C7678F"/>
    <w:rsid w:val="00C769C4"/>
    <w:rsid w:val="00C8163D"/>
    <w:rsid w:val="00C8196F"/>
    <w:rsid w:val="00C81C46"/>
    <w:rsid w:val="00C81C64"/>
    <w:rsid w:val="00C81E0D"/>
    <w:rsid w:val="00C82154"/>
    <w:rsid w:val="00C8228C"/>
    <w:rsid w:val="00C823B1"/>
    <w:rsid w:val="00C831A2"/>
    <w:rsid w:val="00C838D9"/>
    <w:rsid w:val="00C83DA3"/>
    <w:rsid w:val="00C843DB"/>
    <w:rsid w:val="00C861E2"/>
    <w:rsid w:val="00C86307"/>
    <w:rsid w:val="00C869CE"/>
    <w:rsid w:val="00C86CC4"/>
    <w:rsid w:val="00C8740A"/>
    <w:rsid w:val="00C90CD6"/>
    <w:rsid w:val="00C90F11"/>
    <w:rsid w:val="00C9140B"/>
    <w:rsid w:val="00C91514"/>
    <w:rsid w:val="00C9168E"/>
    <w:rsid w:val="00C92E29"/>
    <w:rsid w:val="00C93F45"/>
    <w:rsid w:val="00C9435C"/>
    <w:rsid w:val="00C94F58"/>
    <w:rsid w:val="00C97B08"/>
    <w:rsid w:val="00CA0781"/>
    <w:rsid w:val="00CA0B7A"/>
    <w:rsid w:val="00CA18D5"/>
    <w:rsid w:val="00CA1C0D"/>
    <w:rsid w:val="00CA1C2D"/>
    <w:rsid w:val="00CA21A4"/>
    <w:rsid w:val="00CA271E"/>
    <w:rsid w:val="00CA2BD6"/>
    <w:rsid w:val="00CA2C90"/>
    <w:rsid w:val="00CA328C"/>
    <w:rsid w:val="00CA4D29"/>
    <w:rsid w:val="00CA524B"/>
    <w:rsid w:val="00CA5978"/>
    <w:rsid w:val="00CA5AFB"/>
    <w:rsid w:val="00CA5B9D"/>
    <w:rsid w:val="00CA5DBE"/>
    <w:rsid w:val="00CA5E02"/>
    <w:rsid w:val="00CA6471"/>
    <w:rsid w:val="00CB0059"/>
    <w:rsid w:val="00CB04F9"/>
    <w:rsid w:val="00CB0C38"/>
    <w:rsid w:val="00CB16E6"/>
    <w:rsid w:val="00CB1F3B"/>
    <w:rsid w:val="00CB2CA4"/>
    <w:rsid w:val="00CB2DE6"/>
    <w:rsid w:val="00CB33F4"/>
    <w:rsid w:val="00CB3EF3"/>
    <w:rsid w:val="00CB453E"/>
    <w:rsid w:val="00CB4A6E"/>
    <w:rsid w:val="00CB4AC3"/>
    <w:rsid w:val="00CB4F90"/>
    <w:rsid w:val="00CB5AD0"/>
    <w:rsid w:val="00CB5CDE"/>
    <w:rsid w:val="00CB6061"/>
    <w:rsid w:val="00CB6CB7"/>
    <w:rsid w:val="00CB7414"/>
    <w:rsid w:val="00CC21FB"/>
    <w:rsid w:val="00CC25B2"/>
    <w:rsid w:val="00CC2903"/>
    <w:rsid w:val="00CC299A"/>
    <w:rsid w:val="00CC2B25"/>
    <w:rsid w:val="00CC349C"/>
    <w:rsid w:val="00CC3F29"/>
    <w:rsid w:val="00CC438B"/>
    <w:rsid w:val="00CC45CF"/>
    <w:rsid w:val="00CC4689"/>
    <w:rsid w:val="00CC4FD7"/>
    <w:rsid w:val="00CC5B83"/>
    <w:rsid w:val="00CC67E2"/>
    <w:rsid w:val="00CC6A3C"/>
    <w:rsid w:val="00CC6CA2"/>
    <w:rsid w:val="00CC6FC8"/>
    <w:rsid w:val="00CC7263"/>
    <w:rsid w:val="00CC7589"/>
    <w:rsid w:val="00CC76D5"/>
    <w:rsid w:val="00CC78A2"/>
    <w:rsid w:val="00CC7CCB"/>
    <w:rsid w:val="00CD0843"/>
    <w:rsid w:val="00CD0A96"/>
    <w:rsid w:val="00CD15D0"/>
    <w:rsid w:val="00CD16EB"/>
    <w:rsid w:val="00CD441F"/>
    <w:rsid w:val="00CD4CAB"/>
    <w:rsid w:val="00CD4F1A"/>
    <w:rsid w:val="00CD56A1"/>
    <w:rsid w:val="00CD59FE"/>
    <w:rsid w:val="00CD6FCB"/>
    <w:rsid w:val="00CD7943"/>
    <w:rsid w:val="00CE1A36"/>
    <w:rsid w:val="00CE236D"/>
    <w:rsid w:val="00CE3474"/>
    <w:rsid w:val="00CE3725"/>
    <w:rsid w:val="00CE42D5"/>
    <w:rsid w:val="00CE4843"/>
    <w:rsid w:val="00CE4B43"/>
    <w:rsid w:val="00CE58D8"/>
    <w:rsid w:val="00CE66B1"/>
    <w:rsid w:val="00CE711A"/>
    <w:rsid w:val="00CE76AD"/>
    <w:rsid w:val="00CE7AB3"/>
    <w:rsid w:val="00CF0573"/>
    <w:rsid w:val="00CF086C"/>
    <w:rsid w:val="00CF0CEB"/>
    <w:rsid w:val="00CF0E0D"/>
    <w:rsid w:val="00CF168A"/>
    <w:rsid w:val="00CF228E"/>
    <w:rsid w:val="00CF2AC8"/>
    <w:rsid w:val="00CF5D74"/>
    <w:rsid w:val="00CF5F31"/>
    <w:rsid w:val="00CF6106"/>
    <w:rsid w:val="00CF6BF4"/>
    <w:rsid w:val="00CF6C62"/>
    <w:rsid w:val="00CF6E4F"/>
    <w:rsid w:val="00CF76B1"/>
    <w:rsid w:val="00CF7A14"/>
    <w:rsid w:val="00CF7B29"/>
    <w:rsid w:val="00D007C7"/>
    <w:rsid w:val="00D01CFE"/>
    <w:rsid w:val="00D01F81"/>
    <w:rsid w:val="00D025D1"/>
    <w:rsid w:val="00D036D4"/>
    <w:rsid w:val="00D03731"/>
    <w:rsid w:val="00D04EEC"/>
    <w:rsid w:val="00D07C4B"/>
    <w:rsid w:val="00D11081"/>
    <w:rsid w:val="00D12A83"/>
    <w:rsid w:val="00D131F6"/>
    <w:rsid w:val="00D144F7"/>
    <w:rsid w:val="00D148E1"/>
    <w:rsid w:val="00D14F8E"/>
    <w:rsid w:val="00D161D8"/>
    <w:rsid w:val="00D1674B"/>
    <w:rsid w:val="00D16C1B"/>
    <w:rsid w:val="00D172CA"/>
    <w:rsid w:val="00D174B7"/>
    <w:rsid w:val="00D17CB8"/>
    <w:rsid w:val="00D20017"/>
    <w:rsid w:val="00D2018E"/>
    <w:rsid w:val="00D201DD"/>
    <w:rsid w:val="00D2124A"/>
    <w:rsid w:val="00D215C5"/>
    <w:rsid w:val="00D225D8"/>
    <w:rsid w:val="00D229C2"/>
    <w:rsid w:val="00D250CD"/>
    <w:rsid w:val="00D2610F"/>
    <w:rsid w:val="00D276D1"/>
    <w:rsid w:val="00D27FD0"/>
    <w:rsid w:val="00D30653"/>
    <w:rsid w:val="00D3319B"/>
    <w:rsid w:val="00D33684"/>
    <w:rsid w:val="00D336C9"/>
    <w:rsid w:val="00D33A2E"/>
    <w:rsid w:val="00D344B1"/>
    <w:rsid w:val="00D34A4D"/>
    <w:rsid w:val="00D36EBF"/>
    <w:rsid w:val="00D36F41"/>
    <w:rsid w:val="00D37612"/>
    <w:rsid w:val="00D37E5C"/>
    <w:rsid w:val="00D4026E"/>
    <w:rsid w:val="00D40871"/>
    <w:rsid w:val="00D415B8"/>
    <w:rsid w:val="00D417C2"/>
    <w:rsid w:val="00D438DA"/>
    <w:rsid w:val="00D44364"/>
    <w:rsid w:val="00D4459E"/>
    <w:rsid w:val="00D462E5"/>
    <w:rsid w:val="00D46350"/>
    <w:rsid w:val="00D46EAA"/>
    <w:rsid w:val="00D4738C"/>
    <w:rsid w:val="00D47573"/>
    <w:rsid w:val="00D5086A"/>
    <w:rsid w:val="00D510CB"/>
    <w:rsid w:val="00D52097"/>
    <w:rsid w:val="00D5244D"/>
    <w:rsid w:val="00D52B33"/>
    <w:rsid w:val="00D535C0"/>
    <w:rsid w:val="00D54888"/>
    <w:rsid w:val="00D548CB"/>
    <w:rsid w:val="00D551D1"/>
    <w:rsid w:val="00D5654F"/>
    <w:rsid w:val="00D56972"/>
    <w:rsid w:val="00D575AE"/>
    <w:rsid w:val="00D57B84"/>
    <w:rsid w:val="00D6028E"/>
    <w:rsid w:val="00D60577"/>
    <w:rsid w:val="00D609ED"/>
    <w:rsid w:val="00D61624"/>
    <w:rsid w:val="00D629B9"/>
    <w:rsid w:val="00D62C5B"/>
    <w:rsid w:val="00D62E09"/>
    <w:rsid w:val="00D63FEF"/>
    <w:rsid w:val="00D6400C"/>
    <w:rsid w:val="00D6482F"/>
    <w:rsid w:val="00D64D23"/>
    <w:rsid w:val="00D65E90"/>
    <w:rsid w:val="00D65EE5"/>
    <w:rsid w:val="00D6664C"/>
    <w:rsid w:val="00D667C6"/>
    <w:rsid w:val="00D667DB"/>
    <w:rsid w:val="00D67E0B"/>
    <w:rsid w:val="00D70505"/>
    <w:rsid w:val="00D70AA5"/>
    <w:rsid w:val="00D71ABD"/>
    <w:rsid w:val="00D71BED"/>
    <w:rsid w:val="00D7207A"/>
    <w:rsid w:val="00D7278F"/>
    <w:rsid w:val="00D73803"/>
    <w:rsid w:val="00D74237"/>
    <w:rsid w:val="00D755FA"/>
    <w:rsid w:val="00D76019"/>
    <w:rsid w:val="00D760AA"/>
    <w:rsid w:val="00D76ACA"/>
    <w:rsid w:val="00D77A00"/>
    <w:rsid w:val="00D77DBC"/>
    <w:rsid w:val="00D805BF"/>
    <w:rsid w:val="00D80A7E"/>
    <w:rsid w:val="00D80E14"/>
    <w:rsid w:val="00D81D70"/>
    <w:rsid w:val="00D8255E"/>
    <w:rsid w:val="00D832ED"/>
    <w:rsid w:val="00D8361D"/>
    <w:rsid w:val="00D83698"/>
    <w:rsid w:val="00D83B66"/>
    <w:rsid w:val="00D8474E"/>
    <w:rsid w:val="00D850C5"/>
    <w:rsid w:val="00D856FA"/>
    <w:rsid w:val="00D85E3C"/>
    <w:rsid w:val="00D85F05"/>
    <w:rsid w:val="00D86050"/>
    <w:rsid w:val="00D865B1"/>
    <w:rsid w:val="00D872BF"/>
    <w:rsid w:val="00D9026D"/>
    <w:rsid w:val="00D90418"/>
    <w:rsid w:val="00D904AD"/>
    <w:rsid w:val="00D925F2"/>
    <w:rsid w:val="00D92639"/>
    <w:rsid w:val="00D92CB7"/>
    <w:rsid w:val="00D92ECF"/>
    <w:rsid w:val="00D9412D"/>
    <w:rsid w:val="00D95C4E"/>
    <w:rsid w:val="00D96B41"/>
    <w:rsid w:val="00D976E1"/>
    <w:rsid w:val="00D979C2"/>
    <w:rsid w:val="00DA0815"/>
    <w:rsid w:val="00DA2273"/>
    <w:rsid w:val="00DA274E"/>
    <w:rsid w:val="00DA3384"/>
    <w:rsid w:val="00DA3F04"/>
    <w:rsid w:val="00DA47AD"/>
    <w:rsid w:val="00DA4E9A"/>
    <w:rsid w:val="00DA55BA"/>
    <w:rsid w:val="00DA5799"/>
    <w:rsid w:val="00DA59D9"/>
    <w:rsid w:val="00DA61FE"/>
    <w:rsid w:val="00DA7A3D"/>
    <w:rsid w:val="00DA7FEB"/>
    <w:rsid w:val="00DB007E"/>
    <w:rsid w:val="00DB0FA7"/>
    <w:rsid w:val="00DB13B7"/>
    <w:rsid w:val="00DB1A3F"/>
    <w:rsid w:val="00DB1A7B"/>
    <w:rsid w:val="00DB1A88"/>
    <w:rsid w:val="00DB232A"/>
    <w:rsid w:val="00DB2A4E"/>
    <w:rsid w:val="00DB2EFD"/>
    <w:rsid w:val="00DB3373"/>
    <w:rsid w:val="00DB3C70"/>
    <w:rsid w:val="00DB512B"/>
    <w:rsid w:val="00DB5903"/>
    <w:rsid w:val="00DB5D96"/>
    <w:rsid w:val="00DB6502"/>
    <w:rsid w:val="00DB6A2C"/>
    <w:rsid w:val="00DC05E8"/>
    <w:rsid w:val="00DC075A"/>
    <w:rsid w:val="00DC084B"/>
    <w:rsid w:val="00DC0B39"/>
    <w:rsid w:val="00DC1901"/>
    <w:rsid w:val="00DC19D1"/>
    <w:rsid w:val="00DC268C"/>
    <w:rsid w:val="00DC3029"/>
    <w:rsid w:val="00DC517A"/>
    <w:rsid w:val="00DD0822"/>
    <w:rsid w:val="00DD0DED"/>
    <w:rsid w:val="00DD3509"/>
    <w:rsid w:val="00DD355E"/>
    <w:rsid w:val="00DD3701"/>
    <w:rsid w:val="00DD3809"/>
    <w:rsid w:val="00DD4CF2"/>
    <w:rsid w:val="00DD5100"/>
    <w:rsid w:val="00DD6104"/>
    <w:rsid w:val="00DD644C"/>
    <w:rsid w:val="00DD735D"/>
    <w:rsid w:val="00DD78B0"/>
    <w:rsid w:val="00DE01F6"/>
    <w:rsid w:val="00DE1710"/>
    <w:rsid w:val="00DE20CF"/>
    <w:rsid w:val="00DE3769"/>
    <w:rsid w:val="00DE4223"/>
    <w:rsid w:val="00DE5607"/>
    <w:rsid w:val="00DE583D"/>
    <w:rsid w:val="00DE5B68"/>
    <w:rsid w:val="00DE611A"/>
    <w:rsid w:val="00DE62E0"/>
    <w:rsid w:val="00DE68BE"/>
    <w:rsid w:val="00DE6F52"/>
    <w:rsid w:val="00DE72DC"/>
    <w:rsid w:val="00DF14C4"/>
    <w:rsid w:val="00DF1F3C"/>
    <w:rsid w:val="00DF35DB"/>
    <w:rsid w:val="00DF4591"/>
    <w:rsid w:val="00DF517B"/>
    <w:rsid w:val="00DF5628"/>
    <w:rsid w:val="00DF624F"/>
    <w:rsid w:val="00DF65A9"/>
    <w:rsid w:val="00DF6A4E"/>
    <w:rsid w:val="00DF6DF8"/>
    <w:rsid w:val="00DF74D6"/>
    <w:rsid w:val="00DF76A3"/>
    <w:rsid w:val="00DF7C2F"/>
    <w:rsid w:val="00E0091A"/>
    <w:rsid w:val="00E00A9F"/>
    <w:rsid w:val="00E015B6"/>
    <w:rsid w:val="00E0184E"/>
    <w:rsid w:val="00E01EF4"/>
    <w:rsid w:val="00E03596"/>
    <w:rsid w:val="00E038CF"/>
    <w:rsid w:val="00E03A4D"/>
    <w:rsid w:val="00E04DCE"/>
    <w:rsid w:val="00E05DF1"/>
    <w:rsid w:val="00E06D10"/>
    <w:rsid w:val="00E0750D"/>
    <w:rsid w:val="00E0772B"/>
    <w:rsid w:val="00E07844"/>
    <w:rsid w:val="00E10990"/>
    <w:rsid w:val="00E10E3C"/>
    <w:rsid w:val="00E11DB0"/>
    <w:rsid w:val="00E1221D"/>
    <w:rsid w:val="00E146F0"/>
    <w:rsid w:val="00E15234"/>
    <w:rsid w:val="00E16C82"/>
    <w:rsid w:val="00E17D09"/>
    <w:rsid w:val="00E200A5"/>
    <w:rsid w:val="00E2014E"/>
    <w:rsid w:val="00E20434"/>
    <w:rsid w:val="00E20458"/>
    <w:rsid w:val="00E2124B"/>
    <w:rsid w:val="00E21341"/>
    <w:rsid w:val="00E23519"/>
    <w:rsid w:val="00E2489C"/>
    <w:rsid w:val="00E2517C"/>
    <w:rsid w:val="00E253FE"/>
    <w:rsid w:val="00E26397"/>
    <w:rsid w:val="00E2696F"/>
    <w:rsid w:val="00E30149"/>
    <w:rsid w:val="00E30E95"/>
    <w:rsid w:val="00E30F0D"/>
    <w:rsid w:val="00E31394"/>
    <w:rsid w:val="00E32C27"/>
    <w:rsid w:val="00E32C48"/>
    <w:rsid w:val="00E3372B"/>
    <w:rsid w:val="00E33795"/>
    <w:rsid w:val="00E35229"/>
    <w:rsid w:val="00E359CE"/>
    <w:rsid w:val="00E366DE"/>
    <w:rsid w:val="00E3671D"/>
    <w:rsid w:val="00E37BB3"/>
    <w:rsid w:val="00E4017A"/>
    <w:rsid w:val="00E40A47"/>
    <w:rsid w:val="00E4116C"/>
    <w:rsid w:val="00E4139A"/>
    <w:rsid w:val="00E41828"/>
    <w:rsid w:val="00E418EF"/>
    <w:rsid w:val="00E41B4D"/>
    <w:rsid w:val="00E4212E"/>
    <w:rsid w:val="00E427F2"/>
    <w:rsid w:val="00E43C1C"/>
    <w:rsid w:val="00E444AA"/>
    <w:rsid w:val="00E45203"/>
    <w:rsid w:val="00E4522D"/>
    <w:rsid w:val="00E4598E"/>
    <w:rsid w:val="00E4601C"/>
    <w:rsid w:val="00E4609E"/>
    <w:rsid w:val="00E46827"/>
    <w:rsid w:val="00E46B9D"/>
    <w:rsid w:val="00E46EC8"/>
    <w:rsid w:val="00E47849"/>
    <w:rsid w:val="00E478B3"/>
    <w:rsid w:val="00E47DA9"/>
    <w:rsid w:val="00E47F2D"/>
    <w:rsid w:val="00E5018B"/>
    <w:rsid w:val="00E502FF"/>
    <w:rsid w:val="00E50600"/>
    <w:rsid w:val="00E507B5"/>
    <w:rsid w:val="00E51300"/>
    <w:rsid w:val="00E51EBA"/>
    <w:rsid w:val="00E544C2"/>
    <w:rsid w:val="00E54858"/>
    <w:rsid w:val="00E56487"/>
    <w:rsid w:val="00E5766F"/>
    <w:rsid w:val="00E57816"/>
    <w:rsid w:val="00E609C0"/>
    <w:rsid w:val="00E60BA2"/>
    <w:rsid w:val="00E60DCD"/>
    <w:rsid w:val="00E61DF2"/>
    <w:rsid w:val="00E62003"/>
    <w:rsid w:val="00E62623"/>
    <w:rsid w:val="00E63081"/>
    <w:rsid w:val="00E63B1B"/>
    <w:rsid w:val="00E63CEB"/>
    <w:rsid w:val="00E640B9"/>
    <w:rsid w:val="00E64683"/>
    <w:rsid w:val="00E65024"/>
    <w:rsid w:val="00E66F00"/>
    <w:rsid w:val="00E67A73"/>
    <w:rsid w:val="00E700FE"/>
    <w:rsid w:val="00E703CE"/>
    <w:rsid w:val="00E70A2E"/>
    <w:rsid w:val="00E70BD7"/>
    <w:rsid w:val="00E70DFD"/>
    <w:rsid w:val="00E70F06"/>
    <w:rsid w:val="00E7142A"/>
    <w:rsid w:val="00E7146A"/>
    <w:rsid w:val="00E7309F"/>
    <w:rsid w:val="00E744BC"/>
    <w:rsid w:val="00E74BA1"/>
    <w:rsid w:val="00E74F9F"/>
    <w:rsid w:val="00E75194"/>
    <w:rsid w:val="00E753AB"/>
    <w:rsid w:val="00E755CC"/>
    <w:rsid w:val="00E75E18"/>
    <w:rsid w:val="00E75FB8"/>
    <w:rsid w:val="00E77236"/>
    <w:rsid w:val="00E7746C"/>
    <w:rsid w:val="00E77FC0"/>
    <w:rsid w:val="00E8161F"/>
    <w:rsid w:val="00E8295C"/>
    <w:rsid w:val="00E831A4"/>
    <w:rsid w:val="00E83336"/>
    <w:rsid w:val="00E838C1"/>
    <w:rsid w:val="00E84BC7"/>
    <w:rsid w:val="00E84CE7"/>
    <w:rsid w:val="00E86C65"/>
    <w:rsid w:val="00E873D7"/>
    <w:rsid w:val="00E87E41"/>
    <w:rsid w:val="00E87E79"/>
    <w:rsid w:val="00E9009F"/>
    <w:rsid w:val="00E901D7"/>
    <w:rsid w:val="00E90BBE"/>
    <w:rsid w:val="00E90C7B"/>
    <w:rsid w:val="00E9190A"/>
    <w:rsid w:val="00E91D90"/>
    <w:rsid w:val="00E925E0"/>
    <w:rsid w:val="00E93FD3"/>
    <w:rsid w:val="00E94862"/>
    <w:rsid w:val="00E95D17"/>
    <w:rsid w:val="00E96012"/>
    <w:rsid w:val="00E968EB"/>
    <w:rsid w:val="00E96F2F"/>
    <w:rsid w:val="00E971B4"/>
    <w:rsid w:val="00E97816"/>
    <w:rsid w:val="00E97CB8"/>
    <w:rsid w:val="00E97D65"/>
    <w:rsid w:val="00EA012C"/>
    <w:rsid w:val="00EA0520"/>
    <w:rsid w:val="00EA0817"/>
    <w:rsid w:val="00EA102B"/>
    <w:rsid w:val="00EA1665"/>
    <w:rsid w:val="00EA21C7"/>
    <w:rsid w:val="00EA3131"/>
    <w:rsid w:val="00EA441E"/>
    <w:rsid w:val="00EA4E3C"/>
    <w:rsid w:val="00EA65E3"/>
    <w:rsid w:val="00EA6D46"/>
    <w:rsid w:val="00EA7013"/>
    <w:rsid w:val="00EA7C48"/>
    <w:rsid w:val="00EB0219"/>
    <w:rsid w:val="00EB0B10"/>
    <w:rsid w:val="00EB15F7"/>
    <w:rsid w:val="00EB2E0E"/>
    <w:rsid w:val="00EB3607"/>
    <w:rsid w:val="00EB498B"/>
    <w:rsid w:val="00EB51C8"/>
    <w:rsid w:val="00EB629F"/>
    <w:rsid w:val="00EB6BAD"/>
    <w:rsid w:val="00EB6EDA"/>
    <w:rsid w:val="00EB7D79"/>
    <w:rsid w:val="00EC0277"/>
    <w:rsid w:val="00EC083F"/>
    <w:rsid w:val="00EC13CB"/>
    <w:rsid w:val="00EC152F"/>
    <w:rsid w:val="00EC1657"/>
    <w:rsid w:val="00EC342C"/>
    <w:rsid w:val="00EC40F5"/>
    <w:rsid w:val="00EC5115"/>
    <w:rsid w:val="00EC593F"/>
    <w:rsid w:val="00EC5A1D"/>
    <w:rsid w:val="00EC6A18"/>
    <w:rsid w:val="00EC6B6A"/>
    <w:rsid w:val="00EC7296"/>
    <w:rsid w:val="00EC765F"/>
    <w:rsid w:val="00ED03E1"/>
    <w:rsid w:val="00ED1FCC"/>
    <w:rsid w:val="00ED201C"/>
    <w:rsid w:val="00ED27D4"/>
    <w:rsid w:val="00ED2C81"/>
    <w:rsid w:val="00ED5228"/>
    <w:rsid w:val="00ED5611"/>
    <w:rsid w:val="00ED574D"/>
    <w:rsid w:val="00ED6403"/>
    <w:rsid w:val="00ED69A8"/>
    <w:rsid w:val="00ED6FE7"/>
    <w:rsid w:val="00ED74F6"/>
    <w:rsid w:val="00EE0272"/>
    <w:rsid w:val="00EE056F"/>
    <w:rsid w:val="00EE091C"/>
    <w:rsid w:val="00EE0FC0"/>
    <w:rsid w:val="00EE13F5"/>
    <w:rsid w:val="00EE1897"/>
    <w:rsid w:val="00EE32DF"/>
    <w:rsid w:val="00EE4793"/>
    <w:rsid w:val="00EE4BD1"/>
    <w:rsid w:val="00EE4D63"/>
    <w:rsid w:val="00EE68B5"/>
    <w:rsid w:val="00EE6A24"/>
    <w:rsid w:val="00EE6E33"/>
    <w:rsid w:val="00EE79F8"/>
    <w:rsid w:val="00EE7B2B"/>
    <w:rsid w:val="00EE7D8D"/>
    <w:rsid w:val="00EF0426"/>
    <w:rsid w:val="00EF10BD"/>
    <w:rsid w:val="00EF1DCE"/>
    <w:rsid w:val="00EF219D"/>
    <w:rsid w:val="00EF2494"/>
    <w:rsid w:val="00EF2735"/>
    <w:rsid w:val="00EF2933"/>
    <w:rsid w:val="00EF2B76"/>
    <w:rsid w:val="00EF2EAC"/>
    <w:rsid w:val="00EF3030"/>
    <w:rsid w:val="00EF3037"/>
    <w:rsid w:val="00EF3373"/>
    <w:rsid w:val="00EF3553"/>
    <w:rsid w:val="00EF3B2B"/>
    <w:rsid w:val="00EF604A"/>
    <w:rsid w:val="00EF63F4"/>
    <w:rsid w:val="00EF69D2"/>
    <w:rsid w:val="00EF6FE6"/>
    <w:rsid w:val="00EF7791"/>
    <w:rsid w:val="00EF7DA3"/>
    <w:rsid w:val="00F003BD"/>
    <w:rsid w:val="00F00A36"/>
    <w:rsid w:val="00F00EE9"/>
    <w:rsid w:val="00F028DB"/>
    <w:rsid w:val="00F033BF"/>
    <w:rsid w:val="00F041FC"/>
    <w:rsid w:val="00F04448"/>
    <w:rsid w:val="00F04E31"/>
    <w:rsid w:val="00F05BDC"/>
    <w:rsid w:val="00F05DE2"/>
    <w:rsid w:val="00F06463"/>
    <w:rsid w:val="00F0685E"/>
    <w:rsid w:val="00F069FB"/>
    <w:rsid w:val="00F06A07"/>
    <w:rsid w:val="00F07CB7"/>
    <w:rsid w:val="00F10E0B"/>
    <w:rsid w:val="00F1221A"/>
    <w:rsid w:val="00F153FC"/>
    <w:rsid w:val="00F1605A"/>
    <w:rsid w:val="00F16356"/>
    <w:rsid w:val="00F16508"/>
    <w:rsid w:val="00F170AE"/>
    <w:rsid w:val="00F1712B"/>
    <w:rsid w:val="00F1775F"/>
    <w:rsid w:val="00F2022B"/>
    <w:rsid w:val="00F20680"/>
    <w:rsid w:val="00F21B49"/>
    <w:rsid w:val="00F222E8"/>
    <w:rsid w:val="00F227ED"/>
    <w:rsid w:val="00F22A24"/>
    <w:rsid w:val="00F23506"/>
    <w:rsid w:val="00F23AFC"/>
    <w:rsid w:val="00F24A82"/>
    <w:rsid w:val="00F26356"/>
    <w:rsid w:val="00F2765C"/>
    <w:rsid w:val="00F3025B"/>
    <w:rsid w:val="00F30A1B"/>
    <w:rsid w:val="00F30C21"/>
    <w:rsid w:val="00F30CFF"/>
    <w:rsid w:val="00F313F3"/>
    <w:rsid w:val="00F315C6"/>
    <w:rsid w:val="00F3223E"/>
    <w:rsid w:val="00F325E9"/>
    <w:rsid w:val="00F32B57"/>
    <w:rsid w:val="00F32C35"/>
    <w:rsid w:val="00F34E11"/>
    <w:rsid w:val="00F35755"/>
    <w:rsid w:val="00F35AB4"/>
    <w:rsid w:val="00F363FD"/>
    <w:rsid w:val="00F36B3D"/>
    <w:rsid w:val="00F3708E"/>
    <w:rsid w:val="00F3748E"/>
    <w:rsid w:val="00F379CD"/>
    <w:rsid w:val="00F37EC4"/>
    <w:rsid w:val="00F4003B"/>
    <w:rsid w:val="00F40FED"/>
    <w:rsid w:val="00F4148B"/>
    <w:rsid w:val="00F4174A"/>
    <w:rsid w:val="00F4185E"/>
    <w:rsid w:val="00F43E41"/>
    <w:rsid w:val="00F448C7"/>
    <w:rsid w:val="00F449EC"/>
    <w:rsid w:val="00F45585"/>
    <w:rsid w:val="00F45D45"/>
    <w:rsid w:val="00F46045"/>
    <w:rsid w:val="00F46E97"/>
    <w:rsid w:val="00F47096"/>
    <w:rsid w:val="00F47244"/>
    <w:rsid w:val="00F47D18"/>
    <w:rsid w:val="00F5084D"/>
    <w:rsid w:val="00F509D8"/>
    <w:rsid w:val="00F50CB0"/>
    <w:rsid w:val="00F50D29"/>
    <w:rsid w:val="00F50FE5"/>
    <w:rsid w:val="00F51016"/>
    <w:rsid w:val="00F515F5"/>
    <w:rsid w:val="00F51F59"/>
    <w:rsid w:val="00F52613"/>
    <w:rsid w:val="00F53A73"/>
    <w:rsid w:val="00F54602"/>
    <w:rsid w:val="00F54613"/>
    <w:rsid w:val="00F54961"/>
    <w:rsid w:val="00F55016"/>
    <w:rsid w:val="00F55070"/>
    <w:rsid w:val="00F550E0"/>
    <w:rsid w:val="00F55A55"/>
    <w:rsid w:val="00F56006"/>
    <w:rsid w:val="00F57128"/>
    <w:rsid w:val="00F572A9"/>
    <w:rsid w:val="00F601C6"/>
    <w:rsid w:val="00F60532"/>
    <w:rsid w:val="00F613D7"/>
    <w:rsid w:val="00F6192B"/>
    <w:rsid w:val="00F61DBD"/>
    <w:rsid w:val="00F62310"/>
    <w:rsid w:val="00F6410D"/>
    <w:rsid w:val="00F6445E"/>
    <w:rsid w:val="00F64536"/>
    <w:rsid w:val="00F64A5B"/>
    <w:rsid w:val="00F65118"/>
    <w:rsid w:val="00F653BD"/>
    <w:rsid w:val="00F658BB"/>
    <w:rsid w:val="00F666EB"/>
    <w:rsid w:val="00F67722"/>
    <w:rsid w:val="00F712FF"/>
    <w:rsid w:val="00F71658"/>
    <w:rsid w:val="00F7166D"/>
    <w:rsid w:val="00F71D93"/>
    <w:rsid w:val="00F71E22"/>
    <w:rsid w:val="00F722D8"/>
    <w:rsid w:val="00F72B4F"/>
    <w:rsid w:val="00F72BD2"/>
    <w:rsid w:val="00F73456"/>
    <w:rsid w:val="00F73930"/>
    <w:rsid w:val="00F73ADE"/>
    <w:rsid w:val="00F73F69"/>
    <w:rsid w:val="00F744E8"/>
    <w:rsid w:val="00F751BB"/>
    <w:rsid w:val="00F755A1"/>
    <w:rsid w:val="00F756F8"/>
    <w:rsid w:val="00F759D0"/>
    <w:rsid w:val="00F76926"/>
    <w:rsid w:val="00F77467"/>
    <w:rsid w:val="00F7798F"/>
    <w:rsid w:val="00F779F3"/>
    <w:rsid w:val="00F801E9"/>
    <w:rsid w:val="00F813A6"/>
    <w:rsid w:val="00F81788"/>
    <w:rsid w:val="00F8295F"/>
    <w:rsid w:val="00F82F66"/>
    <w:rsid w:val="00F83D01"/>
    <w:rsid w:val="00F840B9"/>
    <w:rsid w:val="00F84AD3"/>
    <w:rsid w:val="00F84CF5"/>
    <w:rsid w:val="00F85074"/>
    <w:rsid w:val="00F85DA2"/>
    <w:rsid w:val="00F86E62"/>
    <w:rsid w:val="00F86FE7"/>
    <w:rsid w:val="00F87CC4"/>
    <w:rsid w:val="00F905A8"/>
    <w:rsid w:val="00F90DDC"/>
    <w:rsid w:val="00F90FA4"/>
    <w:rsid w:val="00F913F4"/>
    <w:rsid w:val="00F91F92"/>
    <w:rsid w:val="00F92745"/>
    <w:rsid w:val="00F96440"/>
    <w:rsid w:val="00F96A6F"/>
    <w:rsid w:val="00FA0867"/>
    <w:rsid w:val="00FA2706"/>
    <w:rsid w:val="00FA2743"/>
    <w:rsid w:val="00FA2A33"/>
    <w:rsid w:val="00FA2A96"/>
    <w:rsid w:val="00FA3A5E"/>
    <w:rsid w:val="00FA3EEB"/>
    <w:rsid w:val="00FA558E"/>
    <w:rsid w:val="00FA56CB"/>
    <w:rsid w:val="00FA5810"/>
    <w:rsid w:val="00FA5F45"/>
    <w:rsid w:val="00FA60B0"/>
    <w:rsid w:val="00FA63DE"/>
    <w:rsid w:val="00FA71CA"/>
    <w:rsid w:val="00FA769E"/>
    <w:rsid w:val="00FA7736"/>
    <w:rsid w:val="00FA78ED"/>
    <w:rsid w:val="00FA7E72"/>
    <w:rsid w:val="00FB1BA1"/>
    <w:rsid w:val="00FB21C5"/>
    <w:rsid w:val="00FB2FF4"/>
    <w:rsid w:val="00FB30A7"/>
    <w:rsid w:val="00FB37DB"/>
    <w:rsid w:val="00FB38D3"/>
    <w:rsid w:val="00FB4283"/>
    <w:rsid w:val="00FB46A9"/>
    <w:rsid w:val="00FB5A28"/>
    <w:rsid w:val="00FB727B"/>
    <w:rsid w:val="00FB7A41"/>
    <w:rsid w:val="00FC0246"/>
    <w:rsid w:val="00FC0345"/>
    <w:rsid w:val="00FC2750"/>
    <w:rsid w:val="00FC2C59"/>
    <w:rsid w:val="00FC3A00"/>
    <w:rsid w:val="00FC3EE4"/>
    <w:rsid w:val="00FC4509"/>
    <w:rsid w:val="00FC4D5F"/>
    <w:rsid w:val="00FC5DBF"/>
    <w:rsid w:val="00FC67D0"/>
    <w:rsid w:val="00FC7200"/>
    <w:rsid w:val="00FC795B"/>
    <w:rsid w:val="00FD0592"/>
    <w:rsid w:val="00FD10D6"/>
    <w:rsid w:val="00FD144C"/>
    <w:rsid w:val="00FD178C"/>
    <w:rsid w:val="00FD197D"/>
    <w:rsid w:val="00FD29C0"/>
    <w:rsid w:val="00FD3E0C"/>
    <w:rsid w:val="00FD4379"/>
    <w:rsid w:val="00FD5BA5"/>
    <w:rsid w:val="00FD5D69"/>
    <w:rsid w:val="00FD676B"/>
    <w:rsid w:val="00FD7359"/>
    <w:rsid w:val="00FD7C94"/>
    <w:rsid w:val="00FD7FE1"/>
    <w:rsid w:val="00FE07B2"/>
    <w:rsid w:val="00FE1092"/>
    <w:rsid w:val="00FE10DC"/>
    <w:rsid w:val="00FE1C3D"/>
    <w:rsid w:val="00FE1FBB"/>
    <w:rsid w:val="00FE2D3D"/>
    <w:rsid w:val="00FE3776"/>
    <w:rsid w:val="00FE432E"/>
    <w:rsid w:val="00FE5262"/>
    <w:rsid w:val="00FE7661"/>
    <w:rsid w:val="00FE7698"/>
    <w:rsid w:val="00FF00E2"/>
    <w:rsid w:val="00FF107D"/>
    <w:rsid w:val="00FF15FB"/>
    <w:rsid w:val="00FF18D4"/>
    <w:rsid w:val="00FF2201"/>
    <w:rsid w:val="00FF3042"/>
    <w:rsid w:val="00FF3BD0"/>
    <w:rsid w:val="00FF3FCC"/>
    <w:rsid w:val="00FF45F8"/>
    <w:rsid w:val="00FF465D"/>
    <w:rsid w:val="00FF4864"/>
    <w:rsid w:val="00FF5153"/>
    <w:rsid w:val="00FF52FE"/>
    <w:rsid w:val="00FF6AF4"/>
    <w:rsid w:val="00FF6B07"/>
    <w:rsid w:val="00FF6FCF"/>
    <w:rsid w:val="00FF7664"/>
    <w:rsid w:val="00FF7B16"/>
    <w:rsid w:val="00FF7EB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nhideWhenUsed="0"/>
    <w:lsdException w:name="List 4" w:unhideWhenUsed="0"/>
    <w:lsdException w:name="List 5" w:unhideWhenUsed="0"/>
    <w:lsdException w:name="Title" w:semiHidden="0" w:unhideWhenUsed="0"/>
    <w:lsdException w:name="Body Text" w:uiPriority="0"/>
    <w:lsdException w:name="Subtitle" w:semiHidden="0" w:uiPriority="0" w:unhideWhenUsed="0" w:qFormat="1"/>
    <w:lsdException w:name="Salutation" w:unhideWhenUsed="0"/>
    <w:lsdException w:name="Date" w:unhideWhenUsed="0"/>
    <w:lsdException w:name="Body Text First Indent"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3655FF"/>
    <w:pPr>
      <w:spacing w:before="120" w:after="120"/>
    </w:pPr>
    <w:rPr>
      <w:rFonts w:ascii="Calibri" w:hAnsi="Calibri" w:cs="Calibri"/>
      <w:sz w:val="22"/>
      <w:szCs w:val="22"/>
    </w:rPr>
  </w:style>
  <w:style w:type="paragraph" w:styleId="Heading1">
    <w:name w:val="heading 1"/>
    <w:basedOn w:val="Normal"/>
    <w:next w:val="BodyText"/>
    <w:link w:val="Heading1Char"/>
    <w:qFormat/>
    <w:rsid w:val="007C2B68"/>
    <w:pPr>
      <w:tabs>
        <w:tab w:val="left" w:pos="851"/>
      </w:tabs>
      <w:spacing w:before="0" w:after="240"/>
      <w:ind w:left="851" w:hanging="851"/>
      <w:outlineLvl w:val="0"/>
    </w:pPr>
    <w:rPr>
      <w:b/>
      <w:bCs/>
      <w:color w:val="005984"/>
      <w:sz w:val="36"/>
      <w:szCs w:val="36"/>
    </w:rPr>
  </w:style>
  <w:style w:type="paragraph" w:styleId="Heading2">
    <w:name w:val="heading 2"/>
    <w:basedOn w:val="Normal"/>
    <w:next w:val="BodyText"/>
    <w:link w:val="Heading2Char"/>
    <w:qFormat/>
    <w:rsid w:val="006E332F"/>
    <w:pPr>
      <w:keepNext/>
      <w:tabs>
        <w:tab w:val="left" w:pos="851"/>
      </w:tabs>
      <w:spacing w:before="320" w:after="0"/>
      <w:ind w:left="851" w:hanging="851"/>
      <w:outlineLvl w:val="1"/>
    </w:pPr>
    <w:rPr>
      <w:b/>
      <w:bCs/>
      <w:color w:val="387C2B"/>
      <w:sz w:val="32"/>
      <w:szCs w:val="32"/>
    </w:rPr>
  </w:style>
  <w:style w:type="paragraph" w:styleId="Heading3">
    <w:name w:val="heading 3"/>
    <w:basedOn w:val="Normal"/>
    <w:next w:val="BodyText"/>
    <w:link w:val="Heading3Char"/>
    <w:qFormat/>
    <w:rsid w:val="00C30EA3"/>
    <w:pPr>
      <w:keepNext/>
      <w:spacing w:before="240" w:after="0"/>
      <w:outlineLvl w:val="2"/>
    </w:pPr>
    <w:rPr>
      <w:b/>
      <w:bCs/>
      <w:color w:val="387C2B"/>
      <w:sz w:val="28"/>
      <w:szCs w:val="28"/>
    </w:rPr>
  </w:style>
  <w:style w:type="paragraph" w:styleId="Heading4">
    <w:name w:val="heading 4"/>
    <w:basedOn w:val="Normal"/>
    <w:next w:val="BodyText"/>
    <w:link w:val="Heading4Char"/>
    <w:qFormat/>
    <w:rsid w:val="008631AF"/>
    <w:pPr>
      <w:keepNext/>
      <w:spacing w:before="240" w:after="0"/>
      <w:outlineLvl w:val="3"/>
    </w:pPr>
    <w:rPr>
      <w:b/>
      <w:bCs/>
      <w:sz w:val="24"/>
      <w:szCs w:val="24"/>
    </w:rPr>
  </w:style>
  <w:style w:type="paragraph" w:styleId="Heading5">
    <w:name w:val="heading 5"/>
    <w:basedOn w:val="Normal"/>
    <w:next w:val="BodyText"/>
    <w:link w:val="Heading5Char"/>
    <w:uiPriority w:val="99"/>
    <w:semiHidden/>
    <w:qFormat/>
    <w:rsid w:val="00AC7BAA"/>
    <w:pPr>
      <w:keepNext/>
      <w:numPr>
        <w:ilvl w:val="4"/>
        <w:numId w:val="11"/>
      </w:numPr>
      <w:spacing w:before="240" w:after="60"/>
      <w:outlineLvl w:val="4"/>
    </w:pPr>
    <w:rPr>
      <w:rFonts w:ascii="Arial" w:hAnsi="Arial" w:cs="Arial"/>
      <w:i/>
      <w:iCs/>
    </w:rPr>
  </w:style>
  <w:style w:type="paragraph" w:styleId="Heading6">
    <w:name w:val="heading 6"/>
    <w:basedOn w:val="Normal"/>
    <w:next w:val="Normal"/>
    <w:link w:val="Heading6Char"/>
    <w:uiPriority w:val="99"/>
    <w:semiHidden/>
    <w:qFormat/>
    <w:rsid w:val="00AC7BAA"/>
    <w:pPr>
      <w:numPr>
        <w:ilvl w:val="5"/>
        <w:numId w:val="11"/>
      </w:numPr>
      <w:spacing w:before="240" w:after="60"/>
      <w:outlineLvl w:val="5"/>
    </w:pPr>
    <w:rPr>
      <w:b/>
      <w:bCs/>
    </w:rPr>
  </w:style>
  <w:style w:type="paragraph" w:styleId="Heading7">
    <w:name w:val="heading 7"/>
    <w:basedOn w:val="Normal"/>
    <w:next w:val="Normal"/>
    <w:link w:val="Heading7Char"/>
    <w:uiPriority w:val="99"/>
    <w:semiHidden/>
    <w:qFormat/>
    <w:rsid w:val="00AC7BAA"/>
    <w:pPr>
      <w:numPr>
        <w:ilvl w:val="6"/>
        <w:numId w:val="11"/>
      </w:numPr>
      <w:spacing w:before="240" w:after="60"/>
      <w:outlineLvl w:val="6"/>
    </w:pPr>
    <w:rPr>
      <w:sz w:val="24"/>
      <w:szCs w:val="24"/>
    </w:rPr>
  </w:style>
  <w:style w:type="paragraph" w:styleId="Heading8">
    <w:name w:val="heading 8"/>
    <w:basedOn w:val="Normal"/>
    <w:next w:val="Normal"/>
    <w:link w:val="Heading8Char"/>
    <w:uiPriority w:val="99"/>
    <w:semiHidden/>
    <w:qFormat/>
    <w:rsid w:val="00AC7BAA"/>
    <w:pPr>
      <w:numPr>
        <w:ilvl w:val="7"/>
        <w:numId w:val="11"/>
      </w:numPr>
      <w:spacing w:before="240" w:after="60"/>
      <w:outlineLvl w:val="7"/>
    </w:pPr>
    <w:rPr>
      <w:i/>
      <w:iCs/>
      <w:sz w:val="24"/>
      <w:szCs w:val="24"/>
    </w:rPr>
  </w:style>
  <w:style w:type="paragraph" w:styleId="Heading9">
    <w:name w:val="heading 9"/>
    <w:basedOn w:val="Normal"/>
    <w:next w:val="Normal"/>
    <w:link w:val="Heading9Char"/>
    <w:uiPriority w:val="99"/>
    <w:semiHidden/>
    <w:qFormat/>
    <w:rsid w:val="00AC7BAA"/>
    <w:pPr>
      <w:numPr>
        <w:ilvl w:val="8"/>
        <w:numId w:val="1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C2B68"/>
    <w:rPr>
      <w:rFonts w:ascii="Calibri" w:hAnsi="Calibri" w:cs="Calibri"/>
      <w:b/>
      <w:bCs/>
      <w:color w:val="005984"/>
      <w:sz w:val="36"/>
      <w:szCs w:val="36"/>
      <w:lang w:eastAsia="en-US"/>
    </w:rPr>
  </w:style>
  <w:style w:type="character" w:customStyle="1" w:styleId="Heading2Char">
    <w:name w:val="Heading 2 Char"/>
    <w:link w:val="Heading2"/>
    <w:rsid w:val="006E332F"/>
    <w:rPr>
      <w:rFonts w:ascii="Calibri" w:hAnsi="Calibri" w:cs="Calibri"/>
      <w:b/>
      <w:bCs/>
      <w:color w:val="387C2B"/>
      <w:sz w:val="32"/>
      <w:szCs w:val="32"/>
      <w:lang w:eastAsia="en-US"/>
    </w:rPr>
  </w:style>
  <w:style w:type="character" w:customStyle="1" w:styleId="Heading3Char">
    <w:name w:val="Heading 3 Char"/>
    <w:link w:val="Heading3"/>
    <w:rsid w:val="00C30EA3"/>
    <w:rPr>
      <w:rFonts w:ascii="Calibri" w:hAnsi="Calibri" w:cs="Calibri"/>
      <w:b/>
      <w:bCs/>
      <w:color w:val="387C2B"/>
      <w:sz w:val="28"/>
      <w:szCs w:val="28"/>
      <w:lang w:eastAsia="en-US"/>
    </w:rPr>
  </w:style>
  <w:style w:type="character" w:customStyle="1" w:styleId="Heading4Char">
    <w:name w:val="Heading 4 Char"/>
    <w:link w:val="Heading4"/>
    <w:rsid w:val="008631AF"/>
    <w:rPr>
      <w:rFonts w:ascii="Calibri" w:hAnsi="Calibri" w:cs="Calibri"/>
      <w:b/>
      <w:bCs/>
      <w:sz w:val="24"/>
      <w:szCs w:val="24"/>
      <w:lang w:eastAsia="en-US"/>
    </w:rPr>
  </w:style>
  <w:style w:type="character" w:customStyle="1" w:styleId="Heading5Char">
    <w:name w:val="Heading 5 Char"/>
    <w:link w:val="Heading5"/>
    <w:uiPriority w:val="99"/>
    <w:semiHidden/>
    <w:rsid w:val="00A63B9C"/>
    <w:rPr>
      <w:rFonts w:ascii="Arial" w:hAnsi="Arial" w:cs="Arial"/>
      <w:i/>
      <w:iCs/>
      <w:sz w:val="22"/>
      <w:szCs w:val="22"/>
      <w:lang w:eastAsia="en-US"/>
    </w:rPr>
  </w:style>
  <w:style w:type="character" w:customStyle="1" w:styleId="Heading6Char">
    <w:name w:val="Heading 6 Char"/>
    <w:link w:val="Heading6"/>
    <w:uiPriority w:val="99"/>
    <w:semiHidden/>
    <w:rsid w:val="00A63B9C"/>
    <w:rPr>
      <w:rFonts w:ascii="Calibri" w:hAnsi="Calibri" w:cs="Calibri"/>
      <w:b/>
      <w:bCs/>
      <w:sz w:val="22"/>
      <w:szCs w:val="22"/>
      <w:lang w:eastAsia="en-US"/>
    </w:rPr>
  </w:style>
  <w:style w:type="character" w:customStyle="1" w:styleId="Heading7Char">
    <w:name w:val="Heading 7 Char"/>
    <w:link w:val="Heading7"/>
    <w:uiPriority w:val="99"/>
    <w:semiHidden/>
    <w:rsid w:val="00A63B9C"/>
    <w:rPr>
      <w:rFonts w:ascii="Calibri" w:hAnsi="Calibri" w:cs="Calibri"/>
      <w:sz w:val="24"/>
      <w:szCs w:val="24"/>
      <w:lang w:eastAsia="en-US"/>
    </w:rPr>
  </w:style>
  <w:style w:type="character" w:customStyle="1" w:styleId="Heading8Char">
    <w:name w:val="Heading 8 Char"/>
    <w:link w:val="Heading8"/>
    <w:uiPriority w:val="99"/>
    <w:semiHidden/>
    <w:rsid w:val="00A63B9C"/>
    <w:rPr>
      <w:rFonts w:ascii="Calibri" w:hAnsi="Calibri" w:cs="Calibri"/>
      <w:i/>
      <w:iCs/>
      <w:sz w:val="24"/>
      <w:szCs w:val="24"/>
      <w:lang w:eastAsia="en-US"/>
    </w:rPr>
  </w:style>
  <w:style w:type="character" w:customStyle="1" w:styleId="Heading9Char">
    <w:name w:val="Heading 9 Char"/>
    <w:link w:val="Heading9"/>
    <w:uiPriority w:val="99"/>
    <w:semiHidden/>
    <w:rsid w:val="00A63B9C"/>
    <w:rPr>
      <w:rFonts w:ascii="Arial" w:hAnsi="Arial" w:cs="Arial"/>
      <w:sz w:val="22"/>
      <w:szCs w:val="22"/>
      <w:lang w:eastAsia="en-US"/>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rsid w:val="00881B25"/>
  </w:style>
  <w:style w:type="character" w:customStyle="1" w:styleId="BodyTextChar">
    <w:name w:val="Body Text Char"/>
    <w:link w:val="BodyText"/>
    <w:rsid w:val="00881B25"/>
    <w:rPr>
      <w:rFonts w:ascii="Calibri" w:hAnsi="Calibri" w:cs="Calibri"/>
      <w:sz w:val="22"/>
      <w:szCs w:val="22"/>
      <w:lang w:eastAsia="en-US"/>
    </w:rPr>
  </w:style>
  <w:style w:type="table" w:styleId="TableGrid">
    <w:name w:val="Table Grid"/>
    <w:basedOn w:val="TableNormal"/>
    <w:uiPriority w:val="59"/>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BodyText"/>
    <w:link w:val="QuoteChar"/>
    <w:rsid w:val="00FF107D"/>
    <w:pPr>
      <w:ind w:left="397" w:right="397"/>
    </w:pPr>
    <w:rPr>
      <w:szCs w:val="21"/>
    </w:rPr>
  </w:style>
  <w:style w:type="character" w:customStyle="1" w:styleId="QuoteChar">
    <w:name w:val="Quote Char"/>
    <w:link w:val="Quote"/>
    <w:rsid w:val="00FF107D"/>
    <w:rPr>
      <w:rFonts w:ascii="Calibri" w:hAnsi="Calibri" w:cs="Calibri"/>
      <w:sz w:val="22"/>
      <w:szCs w:val="21"/>
      <w:lang w:eastAsia="en-US"/>
    </w:rPr>
  </w:style>
  <w:style w:type="paragraph" w:customStyle="1" w:styleId="Box">
    <w:name w:val="Box"/>
    <w:basedOn w:val="Normal"/>
    <w:next w:val="BodyText"/>
    <w:rsid w:val="003458F0"/>
    <w:pPr>
      <w:pBdr>
        <w:top w:val="single" w:sz="6" w:space="15" w:color="CCDEE6"/>
        <w:left w:val="single" w:sz="6" w:space="15" w:color="CCDEE6"/>
        <w:bottom w:val="single" w:sz="6" w:space="15" w:color="CCDEE6"/>
        <w:right w:val="single" w:sz="6" w:space="15" w:color="CCDEE6"/>
      </w:pBdr>
      <w:shd w:val="clear" w:color="auto" w:fill="CCDEE6"/>
      <w:ind w:left="284" w:right="284"/>
    </w:pPr>
    <w:rPr>
      <w:sz w:val="20"/>
      <w:szCs w:val="20"/>
    </w:rPr>
  </w:style>
  <w:style w:type="paragraph" w:customStyle="1" w:styleId="Boxbullet">
    <w:name w:val="Box bullet"/>
    <w:basedOn w:val="Box"/>
    <w:rsid w:val="00F06A07"/>
    <w:pPr>
      <w:numPr>
        <w:numId w:val="1"/>
      </w:numPr>
      <w:spacing w:before="80"/>
    </w:pPr>
  </w:style>
  <w:style w:type="paragraph" w:customStyle="1" w:styleId="Boxheading">
    <w:name w:val="Box heading"/>
    <w:basedOn w:val="Box"/>
    <w:next w:val="Box"/>
    <w:rsid w:val="00BE0D3C"/>
    <w:pPr>
      <w:spacing w:after="200"/>
    </w:pPr>
    <w:rPr>
      <w:b/>
      <w:bCs/>
      <w:sz w:val="22"/>
      <w:szCs w:val="22"/>
    </w:rPr>
  </w:style>
  <w:style w:type="paragraph" w:customStyle="1" w:styleId="Bullet">
    <w:name w:val="Bullet"/>
    <w:basedOn w:val="Normal"/>
    <w:qFormat/>
    <w:rsid w:val="00C30EA3"/>
    <w:pPr>
      <w:numPr>
        <w:numId w:val="2"/>
      </w:numPr>
      <w:spacing w:before="0"/>
    </w:pPr>
  </w:style>
  <w:style w:type="paragraph" w:customStyle="1" w:styleId="Heading">
    <w:name w:val="Heading"/>
    <w:basedOn w:val="Heading1"/>
    <w:next w:val="Normal"/>
    <w:uiPriority w:val="99"/>
    <w:semiHidden/>
    <w:rsid w:val="00B5432F"/>
    <w:pPr>
      <w:outlineLvl w:val="9"/>
    </w:pPr>
    <w:rPr>
      <w:sz w:val="40"/>
      <w:szCs w:val="40"/>
    </w:rPr>
  </w:style>
  <w:style w:type="paragraph" w:styleId="Footer">
    <w:name w:val="footer"/>
    <w:basedOn w:val="Normal"/>
    <w:link w:val="FooterChar"/>
    <w:uiPriority w:val="99"/>
    <w:semiHidden/>
    <w:rsid w:val="004D28BA"/>
    <w:pPr>
      <w:tabs>
        <w:tab w:val="center" w:pos="4153"/>
        <w:tab w:val="right" w:pos="8306"/>
      </w:tabs>
    </w:pPr>
  </w:style>
  <w:style w:type="character" w:customStyle="1" w:styleId="FooterChar">
    <w:name w:val="Footer Char"/>
    <w:link w:val="Footer"/>
    <w:uiPriority w:val="99"/>
    <w:semiHidden/>
    <w:rsid w:val="00B92A85"/>
    <w:rPr>
      <w:rFonts w:ascii="Calibri" w:hAnsi="Calibri" w:cs="Calibri"/>
      <w:lang w:eastAsia="en-US"/>
    </w:rPr>
  </w:style>
  <w:style w:type="paragraph" w:customStyle="1" w:styleId="Sub-list">
    <w:name w:val="Sub-list"/>
    <w:basedOn w:val="Normal"/>
    <w:uiPriority w:val="99"/>
    <w:rsid w:val="004A142C"/>
    <w:pPr>
      <w:numPr>
        <w:numId w:val="3"/>
      </w:numPr>
      <w:tabs>
        <w:tab w:val="clear" w:pos="397"/>
        <w:tab w:val="left" w:pos="794"/>
      </w:tabs>
      <w:ind w:left="794" w:hanging="397"/>
    </w:pPr>
  </w:style>
  <w:style w:type="paragraph" w:customStyle="1" w:styleId="Figureheading">
    <w:name w:val="Figure heading"/>
    <w:basedOn w:val="Normal"/>
    <w:next w:val="Normal"/>
    <w:rsid w:val="003A01B7"/>
    <w:pPr>
      <w:keepNext/>
      <w:ind w:left="1134" w:hanging="1134"/>
    </w:pPr>
    <w:rPr>
      <w:b/>
      <w:bCs/>
      <w:sz w:val="20"/>
      <w:szCs w:val="20"/>
    </w:rPr>
  </w:style>
  <w:style w:type="character" w:styleId="FootnoteReference">
    <w:name w:val="footnote reference"/>
    <w:uiPriority w:val="99"/>
    <w:semiHidden/>
    <w:rsid w:val="00844476"/>
    <w:rPr>
      <w:rFonts w:ascii="Arial" w:hAnsi="Arial" w:cs="Arial"/>
      <w:sz w:val="18"/>
      <w:szCs w:val="18"/>
      <w:vertAlign w:val="superscript"/>
    </w:rPr>
  </w:style>
  <w:style w:type="paragraph" w:styleId="Title">
    <w:name w:val="Title"/>
    <w:basedOn w:val="Normal"/>
    <w:next w:val="Subtitle"/>
    <w:link w:val="TitleChar"/>
    <w:uiPriority w:val="99"/>
    <w:rsid w:val="00EF1DCE"/>
    <w:pPr>
      <w:spacing w:after="240"/>
      <w:outlineLvl w:val="0"/>
    </w:pPr>
    <w:rPr>
      <w:b/>
      <w:bCs/>
      <w:color w:val="005984"/>
      <w:spacing w:val="10"/>
      <w:sz w:val="56"/>
      <w:szCs w:val="56"/>
    </w:rPr>
  </w:style>
  <w:style w:type="character" w:customStyle="1" w:styleId="TitleChar">
    <w:name w:val="Title Char"/>
    <w:link w:val="Title"/>
    <w:uiPriority w:val="99"/>
    <w:rsid w:val="00B92A85"/>
    <w:rPr>
      <w:rFonts w:ascii="Cambria" w:hAnsi="Cambria" w:cs="Cambria"/>
      <w:b/>
      <w:bCs/>
      <w:kern w:val="28"/>
      <w:sz w:val="32"/>
      <w:szCs w:val="32"/>
      <w:lang w:eastAsia="en-US"/>
    </w:rPr>
  </w:style>
  <w:style w:type="paragraph" w:customStyle="1" w:styleId="Imprint">
    <w:name w:val="Imprint"/>
    <w:basedOn w:val="Normal"/>
    <w:uiPriority w:val="99"/>
    <w:rsid w:val="00B5432F"/>
  </w:style>
  <w:style w:type="paragraph" w:customStyle="1" w:styleId="Note">
    <w:name w:val="Note"/>
    <w:basedOn w:val="Normal"/>
    <w:next w:val="Normal"/>
    <w:uiPriority w:val="99"/>
    <w:rsid w:val="00BE0D3C"/>
    <w:pPr>
      <w:tabs>
        <w:tab w:val="left" w:pos="680"/>
      </w:tabs>
      <w:ind w:left="680" w:hanging="680"/>
    </w:pPr>
    <w:rPr>
      <w:sz w:val="18"/>
      <w:szCs w:val="18"/>
    </w:rPr>
  </w:style>
  <w:style w:type="character" w:styleId="PageNumber">
    <w:name w:val="page number"/>
    <w:uiPriority w:val="99"/>
    <w:semiHidden/>
    <w:rsid w:val="009E4F97"/>
    <w:rPr>
      <w:rFonts w:ascii="Calibri" w:hAnsi="Calibri" w:cs="Calibri"/>
      <w:b/>
      <w:bCs/>
      <w:sz w:val="20"/>
      <w:szCs w:val="20"/>
      <w:lang w:val="en-NZ"/>
    </w:rPr>
  </w:style>
  <w:style w:type="paragraph" w:customStyle="1" w:styleId="References">
    <w:name w:val="References"/>
    <w:basedOn w:val="Normal"/>
    <w:uiPriority w:val="99"/>
    <w:semiHidden/>
    <w:rsid w:val="00BE0D3C"/>
    <w:rPr>
      <w:sz w:val="21"/>
      <w:szCs w:val="21"/>
    </w:rPr>
  </w:style>
  <w:style w:type="paragraph" w:customStyle="1" w:styleId="Source">
    <w:name w:val="Source"/>
    <w:basedOn w:val="Normal"/>
    <w:next w:val="Normal"/>
    <w:uiPriority w:val="99"/>
    <w:semiHidden/>
    <w:rsid w:val="00BE0D3C"/>
    <w:pPr>
      <w:tabs>
        <w:tab w:val="left" w:pos="680"/>
      </w:tabs>
    </w:pPr>
    <w:rPr>
      <w:sz w:val="18"/>
      <w:szCs w:val="18"/>
    </w:rPr>
  </w:style>
  <w:style w:type="paragraph" w:styleId="FootnoteText">
    <w:name w:val="footnote text"/>
    <w:basedOn w:val="Normal"/>
    <w:link w:val="FootnoteTextChar"/>
    <w:uiPriority w:val="99"/>
    <w:rsid w:val="00C30EA3"/>
    <w:pPr>
      <w:spacing w:before="0" w:after="60"/>
      <w:ind w:left="284" w:hanging="284"/>
    </w:pPr>
    <w:rPr>
      <w:sz w:val="19"/>
      <w:szCs w:val="20"/>
    </w:rPr>
  </w:style>
  <w:style w:type="character" w:customStyle="1" w:styleId="FootnoteTextChar">
    <w:name w:val="Footnote Text Char"/>
    <w:link w:val="FootnoteText"/>
    <w:uiPriority w:val="99"/>
    <w:rsid w:val="00C30EA3"/>
    <w:rPr>
      <w:rFonts w:ascii="Calibri" w:hAnsi="Calibri" w:cs="Calibri"/>
      <w:sz w:val="19"/>
      <w:lang w:eastAsia="en-US"/>
    </w:rPr>
  </w:style>
  <w:style w:type="paragraph" w:styleId="Subtitle">
    <w:name w:val="Subtitle"/>
    <w:basedOn w:val="Normal"/>
    <w:link w:val="SubtitleChar"/>
    <w:semiHidden/>
    <w:qFormat/>
    <w:rsid w:val="000D0A5C"/>
    <w:pPr>
      <w:outlineLvl w:val="1"/>
    </w:pPr>
    <w:rPr>
      <w:b/>
      <w:bCs/>
      <w:caps/>
      <w:color w:val="005984"/>
      <w:spacing w:val="10"/>
      <w:sz w:val="28"/>
      <w:szCs w:val="28"/>
    </w:rPr>
  </w:style>
  <w:style w:type="character" w:customStyle="1" w:styleId="SubtitleChar">
    <w:name w:val="Subtitle Char"/>
    <w:link w:val="Subtitle"/>
    <w:semiHidden/>
    <w:rsid w:val="00582F5E"/>
    <w:rPr>
      <w:rFonts w:ascii="Calibri" w:hAnsi="Calibri" w:cs="Calibri"/>
      <w:b/>
      <w:bCs/>
      <w:caps/>
      <w:color w:val="005984"/>
      <w:spacing w:val="10"/>
      <w:sz w:val="28"/>
      <w:szCs w:val="28"/>
      <w:lang w:eastAsia="en-US"/>
    </w:rPr>
  </w:style>
  <w:style w:type="paragraph" w:customStyle="1" w:styleId="Tableheading">
    <w:name w:val="Table heading"/>
    <w:basedOn w:val="Normal"/>
    <w:next w:val="Normal"/>
    <w:rsid w:val="003A01B7"/>
    <w:pPr>
      <w:keepNext/>
      <w:ind w:left="1134" w:hanging="1134"/>
    </w:pPr>
    <w:rPr>
      <w:b/>
      <w:bCs/>
      <w:sz w:val="20"/>
      <w:szCs w:val="20"/>
    </w:rPr>
  </w:style>
  <w:style w:type="paragraph" w:customStyle="1" w:styleId="TableText">
    <w:name w:val="TableText"/>
    <w:basedOn w:val="Normal"/>
    <w:rsid w:val="003A01B7"/>
    <w:pPr>
      <w:spacing w:before="60" w:after="60"/>
    </w:pPr>
    <w:rPr>
      <w:sz w:val="18"/>
      <w:szCs w:val="18"/>
    </w:rPr>
  </w:style>
  <w:style w:type="paragraph" w:customStyle="1" w:styleId="TableTextbold">
    <w:name w:val="TableText bold"/>
    <w:basedOn w:val="TableText"/>
    <w:rsid w:val="00E97D65"/>
    <w:rPr>
      <w:b/>
      <w:bCs/>
    </w:rPr>
  </w:style>
  <w:style w:type="paragraph" w:styleId="TOC1">
    <w:name w:val="toc 1"/>
    <w:basedOn w:val="Normal"/>
    <w:next w:val="Normal"/>
    <w:uiPriority w:val="39"/>
    <w:rsid w:val="00592E08"/>
    <w:pPr>
      <w:tabs>
        <w:tab w:val="right" w:pos="8505"/>
      </w:tabs>
      <w:spacing w:before="280"/>
      <w:ind w:left="567" w:right="567" w:hanging="567"/>
    </w:pPr>
    <w:rPr>
      <w:sz w:val="28"/>
      <w:szCs w:val="28"/>
    </w:rPr>
  </w:style>
  <w:style w:type="paragraph" w:styleId="TOC2">
    <w:name w:val="toc 2"/>
    <w:basedOn w:val="Normal"/>
    <w:next w:val="Normal"/>
    <w:uiPriority w:val="39"/>
    <w:rsid w:val="00592E08"/>
    <w:pPr>
      <w:tabs>
        <w:tab w:val="right" w:pos="8505"/>
      </w:tabs>
      <w:spacing w:before="60" w:after="60"/>
      <w:ind w:left="1134" w:right="567" w:hanging="567"/>
    </w:pPr>
  </w:style>
  <w:style w:type="paragraph" w:customStyle="1" w:styleId="Captions">
    <w:name w:val="Captions"/>
    <w:basedOn w:val="Note"/>
    <w:next w:val="Normal"/>
    <w:uiPriority w:val="99"/>
    <w:semiHidden/>
    <w:rsid w:val="00B440A7"/>
    <w:pPr>
      <w:tabs>
        <w:tab w:val="clear" w:pos="680"/>
        <w:tab w:val="left" w:pos="851"/>
      </w:tabs>
      <w:ind w:left="0" w:firstLine="0"/>
    </w:pPr>
  </w:style>
  <w:style w:type="paragraph" w:customStyle="1" w:styleId="Glossary">
    <w:name w:val="Glossary"/>
    <w:basedOn w:val="Normal"/>
    <w:uiPriority w:val="99"/>
    <w:semiHidden/>
    <w:rsid w:val="005600B7"/>
    <w:pPr>
      <w:tabs>
        <w:tab w:val="left" w:pos="2835"/>
      </w:tabs>
      <w:ind w:left="2835" w:hanging="2835"/>
    </w:pPr>
  </w:style>
  <w:style w:type="paragraph" w:customStyle="1" w:styleId="Footerodd">
    <w:name w:val="Footer odd"/>
    <w:basedOn w:val="Normal"/>
    <w:uiPriority w:val="99"/>
    <w:rsid w:val="00C36B7F"/>
    <w:pPr>
      <w:pBdr>
        <w:top w:val="single" w:sz="4" w:space="4" w:color="auto"/>
      </w:pBdr>
      <w:tabs>
        <w:tab w:val="right" w:pos="7655"/>
        <w:tab w:val="right" w:pos="8505"/>
      </w:tabs>
    </w:pPr>
    <w:rPr>
      <w:sz w:val="17"/>
      <w:szCs w:val="17"/>
    </w:rPr>
  </w:style>
  <w:style w:type="paragraph" w:customStyle="1" w:styleId="Footereven">
    <w:name w:val="Footer even"/>
    <w:basedOn w:val="Normal"/>
    <w:uiPriority w:val="99"/>
    <w:rsid w:val="00C36B7F"/>
    <w:pPr>
      <w:pBdr>
        <w:top w:val="single" w:sz="4" w:space="4" w:color="auto"/>
      </w:pBdr>
      <w:tabs>
        <w:tab w:val="left" w:pos="851"/>
      </w:tabs>
    </w:pPr>
    <w:rPr>
      <w:sz w:val="17"/>
      <w:szCs w:val="17"/>
    </w:rPr>
  </w:style>
  <w:style w:type="paragraph" w:customStyle="1" w:styleId="Numberedparagraph">
    <w:name w:val="Numbered paragraph"/>
    <w:basedOn w:val="Normal"/>
    <w:uiPriority w:val="99"/>
    <w:rsid w:val="00C03393"/>
    <w:pPr>
      <w:numPr>
        <w:numId w:val="8"/>
      </w:numPr>
    </w:pPr>
  </w:style>
  <w:style w:type="paragraph" w:customStyle="1" w:styleId="Sub-lista">
    <w:name w:val="Sub-list a"/>
    <w:aliases w:val="b"/>
    <w:basedOn w:val="Normal"/>
    <w:uiPriority w:val="99"/>
    <w:rsid w:val="00DD355E"/>
    <w:pPr>
      <w:numPr>
        <w:numId w:val="4"/>
      </w:numPr>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Normal"/>
    <w:next w:val="Normal"/>
    <w:autoRedefine/>
    <w:uiPriority w:val="99"/>
    <w:semiHidden/>
    <w:rsid w:val="005D3DC5"/>
    <w:pPr>
      <w:ind w:left="440"/>
    </w:pPr>
  </w:style>
  <w:style w:type="paragraph" w:styleId="TableofFigures">
    <w:name w:val="table of figures"/>
    <w:basedOn w:val="Normal"/>
    <w:next w:val="Normal"/>
    <w:uiPriority w:val="99"/>
    <w:rsid w:val="00E30E95"/>
    <w:pPr>
      <w:spacing w:before="80"/>
      <w:ind w:left="1134" w:right="567" w:hanging="1134"/>
    </w:pPr>
    <w:rPr>
      <w:rFonts w:cs="Arial"/>
      <w:sz w:val="20"/>
      <w:szCs w:val="20"/>
    </w:rPr>
  </w:style>
  <w:style w:type="paragraph" w:customStyle="1" w:styleId="Sub-listi">
    <w:name w:val="Sub-list i"/>
    <w:aliases w:val="ii"/>
    <w:basedOn w:val="BodyText"/>
    <w:uiPriority w:val="99"/>
    <w:rsid w:val="00DD355E"/>
    <w:pPr>
      <w:numPr>
        <w:numId w:val="5"/>
      </w:numPr>
      <w:spacing w:before="0"/>
    </w:pPr>
  </w:style>
  <w:style w:type="paragraph" w:customStyle="1" w:styleId="TableBullet">
    <w:name w:val="TableBullet"/>
    <w:basedOn w:val="Normal"/>
    <w:rsid w:val="003A01B7"/>
    <w:pPr>
      <w:numPr>
        <w:numId w:val="7"/>
      </w:numPr>
      <w:spacing w:before="40" w:after="40"/>
    </w:pPr>
    <w:rPr>
      <w:sz w:val="18"/>
      <w:szCs w:val="18"/>
    </w:rPr>
  </w:style>
  <w:style w:type="paragraph" w:customStyle="1" w:styleId="TableDash">
    <w:name w:val="TableDash"/>
    <w:basedOn w:val="TableBullet"/>
    <w:rsid w:val="0026762A"/>
    <w:pPr>
      <w:numPr>
        <w:numId w:val="6"/>
      </w:numPr>
      <w:spacing w:before="0"/>
      <w:ind w:left="568" w:hanging="284"/>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ind w:left="1440" w:right="1440"/>
    </w:pPr>
  </w:style>
  <w:style w:type="paragraph" w:styleId="BodyText2">
    <w:name w:val="Body Text 2"/>
    <w:basedOn w:val="Normal"/>
    <w:link w:val="BodyText2Char1"/>
    <w:uiPriority w:val="99"/>
    <w:semiHidden/>
    <w:rsid w:val="00B92A85"/>
    <w:pPr>
      <w:ind w:left="283"/>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ind w:firstLine="210"/>
    </w:pPr>
  </w:style>
  <w:style w:type="character" w:customStyle="1" w:styleId="BodyTextFirstIndentChar">
    <w:name w:val="Body Text First Indent Char"/>
    <w:link w:val="BodyTextFirstIndent"/>
    <w:uiPriority w:val="99"/>
    <w:semiHidden/>
    <w:rsid w:val="00B92A85"/>
    <w:rPr>
      <w:rFonts w:ascii="Calibri" w:hAnsi="Calibri" w:cs="Calibri"/>
      <w:sz w:val="22"/>
      <w:szCs w:val="22"/>
      <w:lang w:eastAsia="en-US"/>
    </w:rPr>
  </w:style>
  <w:style w:type="character" w:customStyle="1" w:styleId="BodyText2Char1">
    <w:name w:val="Body Text 2 Char1"/>
    <w:link w:val="BodyText2"/>
    <w:uiPriority w:val="99"/>
    <w:semiHidden/>
    <w:rsid w:val="00B92A85"/>
    <w:rPr>
      <w:rFonts w:ascii="Calibri" w:hAnsi="Calibri" w:cs="Calibri"/>
      <w:lang w:eastAsia="en-US"/>
    </w:rPr>
  </w:style>
  <w:style w:type="paragraph" w:styleId="BodyTextIndent">
    <w:name w:val="Body Text Indent"/>
    <w:basedOn w:val="Normal"/>
    <w:link w:val="BodyTextIndentChar"/>
    <w:uiPriority w:val="99"/>
    <w:semiHidden/>
    <w:unhideWhenUsed/>
    <w:rsid w:val="00F0249F"/>
    <w:pPr>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character" w:styleId="Emphasis">
    <w:name w:val="Emphasis"/>
    <w:uiPriority w:val="99"/>
    <w:semiHidden/>
    <w:qFormat/>
    <w:rsid w:val="00AC7BAA"/>
    <w:rPr>
      <w:i/>
      <w:iC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AC7BAA"/>
    <w:rPr>
      <w:color w:val="800080"/>
      <w:u w:val="singl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CD59FE"/>
    <w:rPr>
      <w:rFonts w:ascii="Calibri" w:hAnsi="Calibri"/>
      <w:color w:val="005984"/>
      <w:sz w:val="22"/>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Normal"/>
    <w:autoRedefine/>
    <w:uiPriority w:val="99"/>
    <w:semiHidden/>
    <w:rsid w:val="00AC7BAA"/>
    <w:pPr>
      <w:tabs>
        <w:tab w:val="num" w:pos="360"/>
      </w:tabs>
      <w:ind w:left="360" w:hanging="360"/>
    </w:pPr>
  </w:style>
  <w:style w:type="paragraph" w:styleId="ListBullet2">
    <w:name w:val="List Bullet 2"/>
    <w:basedOn w:val="Normal"/>
    <w:autoRedefine/>
    <w:uiPriority w:val="99"/>
    <w:semiHidden/>
    <w:rsid w:val="00AC7BAA"/>
    <w:pPr>
      <w:tabs>
        <w:tab w:val="num" w:pos="643"/>
      </w:tabs>
      <w:ind w:left="643" w:hanging="360"/>
    </w:pPr>
  </w:style>
  <w:style w:type="paragraph" w:styleId="ListBullet3">
    <w:name w:val="List Bullet 3"/>
    <w:basedOn w:val="Normal"/>
    <w:autoRedefine/>
    <w:uiPriority w:val="99"/>
    <w:semiHidden/>
    <w:rsid w:val="00AC7BAA"/>
    <w:pPr>
      <w:tabs>
        <w:tab w:val="num" w:pos="926"/>
      </w:tabs>
      <w:ind w:left="926" w:hanging="360"/>
    </w:pPr>
  </w:style>
  <w:style w:type="paragraph" w:styleId="ListBullet4">
    <w:name w:val="List Bullet 4"/>
    <w:basedOn w:val="Normal"/>
    <w:autoRedefine/>
    <w:uiPriority w:val="99"/>
    <w:semiHidden/>
    <w:rsid w:val="00AC7BAA"/>
    <w:pPr>
      <w:tabs>
        <w:tab w:val="num" w:pos="1209"/>
      </w:tabs>
      <w:ind w:left="1209" w:hanging="360"/>
    </w:pPr>
  </w:style>
  <w:style w:type="paragraph" w:styleId="ListBullet5">
    <w:name w:val="List Bullet 5"/>
    <w:basedOn w:val="Normal"/>
    <w:autoRedefine/>
    <w:uiPriority w:val="99"/>
    <w:semiHidden/>
    <w:rsid w:val="00AC7BAA"/>
    <w:pPr>
      <w:tabs>
        <w:tab w:val="num" w:pos="1492"/>
      </w:tabs>
      <w:ind w:left="1492" w:hanging="360"/>
    </w:pPr>
  </w:style>
  <w:style w:type="paragraph" w:styleId="ListContinue">
    <w:name w:val="List Continue"/>
    <w:basedOn w:val="Normal"/>
    <w:uiPriority w:val="99"/>
    <w:semiHidden/>
    <w:rsid w:val="00AC7BAA"/>
    <w:pPr>
      <w:ind w:left="283"/>
    </w:pPr>
  </w:style>
  <w:style w:type="paragraph" w:styleId="ListContinue2">
    <w:name w:val="List Continue 2"/>
    <w:basedOn w:val="Normal"/>
    <w:uiPriority w:val="99"/>
    <w:semiHidden/>
    <w:rsid w:val="00AC7BAA"/>
    <w:pPr>
      <w:ind w:left="566"/>
    </w:pPr>
  </w:style>
  <w:style w:type="paragraph" w:styleId="ListContinue3">
    <w:name w:val="List Continue 3"/>
    <w:basedOn w:val="Normal"/>
    <w:uiPriority w:val="99"/>
    <w:semiHidden/>
    <w:rsid w:val="00AC7BAA"/>
    <w:pPr>
      <w:ind w:left="849"/>
    </w:pPr>
  </w:style>
  <w:style w:type="paragraph" w:styleId="ListContinue4">
    <w:name w:val="List Continue 4"/>
    <w:basedOn w:val="Normal"/>
    <w:uiPriority w:val="99"/>
    <w:semiHidden/>
    <w:rsid w:val="00AC7BAA"/>
    <w:pPr>
      <w:ind w:left="1132"/>
    </w:pPr>
  </w:style>
  <w:style w:type="paragraph" w:styleId="ListContinue5">
    <w:name w:val="List Continue 5"/>
    <w:basedOn w:val="Normal"/>
    <w:uiPriority w:val="99"/>
    <w:semiHidden/>
    <w:rsid w:val="00AC7BAA"/>
    <w:pPr>
      <w:ind w:left="1415"/>
    </w:pPr>
  </w:style>
  <w:style w:type="paragraph" w:styleId="ListNumber">
    <w:name w:val="List Number"/>
    <w:basedOn w:val="Normal"/>
    <w:uiPriority w:val="99"/>
    <w:semiHidden/>
    <w:rsid w:val="00AC7BAA"/>
    <w:pPr>
      <w:tabs>
        <w:tab w:val="num" w:pos="360"/>
      </w:tabs>
      <w:ind w:left="360" w:hanging="360"/>
    </w:pPr>
  </w:style>
  <w:style w:type="paragraph" w:styleId="ListNumber2">
    <w:name w:val="List Number 2"/>
    <w:basedOn w:val="Normal"/>
    <w:uiPriority w:val="99"/>
    <w:semiHidden/>
    <w:rsid w:val="00AC7BAA"/>
    <w:pPr>
      <w:tabs>
        <w:tab w:val="num" w:pos="643"/>
      </w:tabs>
      <w:ind w:left="643" w:hanging="360"/>
    </w:pPr>
  </w:style>
  <w:style w:type="paragraph" w:styleId="ListNumber3">
    <w:name w:val="List Number 3"/>
    <w:basedOn w:val="Normal"/>
    <w:uiPriority w:val="99"/>
    <w:semiHidden/>
    <w:rsid w:val="00AC7BAA"/>
    <w:pPr>
      <w:tabs>
        <w:tab w:val="num" w:pos="926"/>
      </w:tabs>
      <w:ind w:left="926" w:hanging="360"/>
    </w:pPr>
  </w:style>
  <w:style w:type="paragraph" w:styleId="ListNumber4">
    <w:name w:val="List Number 4"/>
    <w:basedOn w:val="Normal"/>
    <w:uiPriority w:val="99"/>
    <w:semiHidden/>
    <w:rsid w:val="00AC7BAA"/>
    <w:pPr>
      <w:tabs>
        <w:tab w:val="num" w:pos="1209"/>
      </w:tabs>
      <w:ind w:left="1209" w:hanging="360"/>
    </w:pPr>
  </w:style>
  <w:style w:type="paragraph" w:styleId="ListNumber5">
    <w:name w:val="List Number 5"/>
    <w:basedOn w:val="Normal"/>
    <w:uiPriority w:val="99"/>
    <w:semiHidden/>
    <w:rsid w:val="00AC7BAA"/>
    <w:pPr>
      <w:tabs>
        <w:tab w:val="num" w:pos="1492"/>
      </w:tabs>
      <w:ind w:left="1492" w:hanging="360"/>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semiHidden/>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character" w:styleId="Strong">
    <w:name w:val="Strong"/>
    <w:uiPriority w:val="99"/>
    <w:semiHidden/>
    <w:qFormat/>
    <w:rsid w:val="00AC7BAA"/>
    <w:rPr>
      <w:b/>
      <w:bCs/>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basedOn w:val="Normal"/>
    <w:link w:val="HeaderChar"/>
    <w:uiPriority w:val="99"/>
    <w:semiHidden/>
    <w:rsid w:val="00592E08"/>
    <w:pPr>
      <w:spacing w:before="0" w:after="0"/>
    </w:pPr>
  </w:style>
  <w:style w:type="character" w:customStyle="1" w:styleId="HeaderChar">
    <w:name w:val="Header Char"/>
    <w:link w:val="Header"/>
    <w:uiPriority w:val="99"/>
    <w:semiHidden/>
    <w:rsid w:val="00582F5E"/>
    <w:rPr>
      <w:rFonts w:ascii="Calibri" w:hAnsi="Calibri" w:cs="Calibri"/>
      <w:sz w:val="22"/>
      <w:szCs w:val="22"/>
      <w:lang w:eastAsia="en-US"/>
    </w:rPr>
  </w:style>
  <w:style w:type="character" w:styleId="CommentReference">
    <w:name w:val="annotation reference"/>
    <w:uiPriority w:val="99"/>
    <w:semiHidden/>
    <w:rsid w:val="00844476"/>
    <w:rPr>
      <w:sz w:val="16"/>
      <w:szCs w:val="16"/>
    </w:rPr>
  </w:style>
  <w:style w:type="paragraph" w:styleId="CommentText">
    <w:name w:val="annotation text"/>
    <w:basedOn w:val="Normal"/>
    <w:link w:val="CommentTextChar"/>
    <w:uiPriority w:val="99"/>
    <w:semiHidden/>
    <w:rsid w:val="00EF1DCE"/>
    <w:rPr>
      <w:sz w:val="20"/>
      <w:szCs w:val="20"/>
    </w:rPr>
  </w:style>
  <w:style w:type="character" w:customStyle="1" w:styleId="CommentTextChar">
    <w:name w:val="Comment Text Char"/>
    <w:link w:val="CommentText"/>
    <w:uiPriority w:val="99"/>
    <w:semiHidden/>
    <w:rsid w:val="00BE3155"/>
    <w:rPr>
      <w:rFonts w:ascii="Calibri" w:hAnsi="Calibri" w:cs="Calibri"/>
      <w:lang w:eastAsia="en-US"/>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customStyle="1" w:styleId="TitleGreen">
    <w:name w:val="Title Green"/>
    <w:basedOn w:val="Normal"/>
    <w:uiPriority w:val="99"/>
    <w:semiHidden/>
    <w:rsid w:val="00137082"/>
    <w:pPr>
      <w:ind w:left="1134"/>
    </w:pPr>
    <w:rPr>
      <w:b/>
      <w:bCs/>
      <w:i/>
      <w:iCs/>
      <w:color w:val="84A02C"/>
      <w:sz w:val="44"/>
      <w:szCs w:val="44"/>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10"/>
      </w:numPr>
    </w:pPr>
  </w:style>
  <w:style w:type="numbering" w:styleId="111111">
    <w:name w:val="Outline List 2"/>
    <w:basedOn w:val="NoList"/>
    <w:uiPriority w:val="99"/>
    <w:semiHidden/>
    <w:unhideWhenUsed/>
    <w:rsid w:val="00F0249F"/>
    <w:pPr>
      <w:numPr>
        <w:numId w:val="9"/>
      </w:numPr>
    </w:pPr>
  </w:style>
  <w:style w:type="numbering" w:styleId="ArticleSection">
    <w:name w:val="Outline List 3"/>
    <w:basedOn w:val="NoList"/>
    <w:uiPriority w:val="99"/>
    <w:semiHidden/>
    <w:unhideWhenUsed/>
    <w:rsid w:val="00F0249F"/>
    <w:pPr>
      <w:numPr>
        <w:numId w:val="11"/>
      </w:numPr>
    </w:pPr>
  </w:style>
  <w:style w:type="character" w:styleId="IntenseEmphasis">
    <w:name w:val="Intense Emphasis"/>
    <w:uiPriority w:val="21"/>
    <w:qFormat/>
    <w:rsid w:val="00A63B9C"/>
    <w:rPr>
      <w:b/>
      <w:bCs/>
      <w:i/>
      <w:iCs/>
      <w:color w:val="4F81BD"/>
    </w:rPr>
  </w:style>
  <w:style w:type="paragraph" w:styleId="ListParagraph">
    <w:name w:val="List Paragraph"/>
    <w:basedOn w:val="Normal"/>
    <w:uiPriority w:val="34"/>
    <w:qFormat/>
    <w:rsid w:val="00FB1BA1"/>
    <w:pPr>
      <w:ind w:left="720"/>
    </w:pPr>
  </w:style>
  <w:style w:type="table" w:styleId="MediumGrid2-Accent5">
    <w:name w:val="Medium Grid 2 Accent 5"/>
    <w:basedOn w:val="TableNormal"/>
    <w:uiPriority w:val="68"/>
    <w:rsid w:val="009115CF"/>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Revision">
    <w:name w:val="Revision"/>
    <w:hidden/>
    <w:uiPriority w:val="99"/>
    <w:semiHidden/>
    <w:rsid w:val="00FB37DB"/>
    <w:rPr>
      <w:rFonts w:ascii="Calibri" w:hAnsi="Calibri" w:cs="Calibri"/>
      <w:sz w:val="22"/>
      <w:szCs w:val="22"/>
    </w:rPr>
  </w:style>
  <w:style w:type="table" w:styleId="LightList-Accent1">
    <w:name w:val="Light List Accent 1"/>
    <w:basedOn w:val="TableNormal"/>
    <w:uiPriority w:val="61"/>
    <w:rsid w:val="00422081"/>
    <w:rPr>
      <w:rFonts w:ascii="Calibri" w:eastAsia="Calibri" w:hAnsi="Calibri"/>
      <w:sz w:val="22"/>
      <w:szCs w:val="22"/>
    </w:rPr>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paragraph" w:customStyle="1" w:styleId="xl65">
    <w:name w:val="xl65"/>
    <w:basedOn w:val="Normal"/>
    <w:rsid w:val="009B64C4"/>
    <w:pPr>
      <w:spacing w:before="100" w:beforeAutospacing="1" w:after="100" w:afterAutospacing="1"/>
      <w:jc w:val="center"/>
      <w:textAlignment w:val="center"/>
    </w:pPr>
    <w:rPr>
      <w:rFonts w:ascii="Times New Roman" w:hAnsi="Times New Roman" w:cs="Times New Roman"/>
      <w:sz w:val="24"/>
      <w:szCs w:val="24"/>
      <w:lang w:eastAsia="en-NZ"/>
    </w:rPr>
  </w:style>
  <w:style w:type="paragraph" w:customStyle="1" w:styleId="xl66">
    <w:name w:val="xl66"/>
    <w:basedOn w:val="Normal"/>
    <w:rsid w:val="009B64C4"/>
    <w:pPr>
      <w:pBdr>
        <w:top w:val="single" w:sz="8" w:space="0" w:color="005984"/>
        <w:left w:val="single" w:sz="8" w:space="0" w:color="005984"/>
        <w:bottom w:val="single" w:sz="8" w:space="0" w:color="005984"/>
        <w:right w:val="single" w:sz="8" w:space="0" w:color="005984"/>
      </w:pBdr>
      <w:shd w:val="clear" w:color="000000" w:fill="005984"/>
      <w:spacing w:before="100" w:beforeAutospacing="1" w:after="100" w:afterAutospacing="1"/>
      <w:textAlignment w:val="center"/>
    </w:pPr>
    <w:rPr>
      <w:rFonts w:ascii="Times New Roman" w:hAnsi="Times New Roman" w:cs="Times New Roman"/>
      <w:b/>
      <w:bCs/>
      <w:color w:val="FFFFFF"/>
      <w:sz w:val="18"/>
      <w:szCs w:val="18"/>
      <w:lang w:eastAsia="en-NZ"/>
    </w:rPr>
  </w:style>
  <w:style w:type="paragraph" w:customStyle="1" w:styleId="xl67">
    <w:name w:val="xl67"/>
    <w:basedOn w:val="Normal"/>
    <w:rsid w:val="009B64C4"/>
    <w:pPr>
      <w:pBdr>
        <w:top w:val="single" w:sz="8" w:space="0" w:color="005984"/>
        <w:left w:val="single" w:sz="8" w:space="0" w:color="005984"/>
        <w:bottom w:val="single" w:sz="8" w:space="0" w:color="005984"/>
        <w:right w:val="single" w:sz="8" w:space="0" w:color="005984"/>
      </w:pBdr>
      <w:shd w:val="clear" w:color="000000" w:fill="005984"/>
      <w:spacing w:before="100" w:beforeAutospacing="1" w:after="100" w:afterAutospacing="1"/>
      <w:jc w:val="center"/>
      <w:textAlignment w:val="center"/>
    </w:pPr>
    <w:rPr>
      <w:rFonts w:ascii="Times New Roman" w:hAnsi="Times New Roman" w:cs="Times New Roman"/>
      <w:b/>
      <w:bCs/>
      <w:color w:val="FFFFFF"/>
      <w:sz w:val="18"/>
      <w:szCs w:val="18"/>
      <w:lang w:eastAsia="en-NZ"/>
    </w:rPr>
  </w:style>
  <w:style w:type="paragraph" w:customStyle="1" w:styleId="xl68">
    <w:name w:val="xl68"/>
    <w:basedOn w:val="Normal"/>
    <w:rsid w:val="009B64C4"/>
    <w:pPr>
      <w:pBdr>
        <w:top w:val="single" w:sz="8" w:space="0" w:color="005984"/>
        <w:left w:val="single" w:sz="8" w:space="0" w:color="005984"/>
        <w:bottom w:val="single" w:sz="8" w:space="0" w:color="005984"/>
        <w:right w:val="single" w:sz="8" w:space="0" w:color="005984"/>
      </w:pBdr>
      <w:spacing w:before="100" w:beforeAutospacing="1" w:after="100" w:afterAutospacing="1"/>
    </w:pPr>
    <w:rPr>
      <w:rFonts w:ascii="Times New Roman" w:hAnsi="Times New Roman" w:cs="Times New Roman"/>
      <w:sz w:val="18"/>
      <w:szCs w:val="18"/>
      <w:lang w:eastAsia="en-NZ"/>
    </w:rPr>
  </w:style>
  <w:style w:type="paragraph" w:customStyle="1" w:styleId="xl69">
    <w:name w:val="xl69"/>
    <w:basedOn w:val="Normal"/>
    <w:rsid w:val="009B64C4"/>
    <w:pPr>
      <w:pBdr>
        <w:top w:val="single" w:sz="8" w:space="0" w:color="005984"/>
        <w:left w:val="single" w:sz="8" w:space="0" w:color="005984"/>
        <w:bottom w:val="single" w:sz="8" w:space="0" w:color="005984"/>
        <w:right w:val="single" w:sz="8" w:space="0" w:color="005984"/>
      </w:pBdr>
      <w:spacing w:before="100" w:beforeAutospacing="1" w:after="100" w:afterAutospacing="1"/>
      <w:jc w:val="center"/>
      <w:textAlignment w:val="center"/>
    </w:pPr>
    <w:rPr>
      <w:rFonts w:ascii="Times New Roman" w:hAnsi="Times New Roman" w:cs="Times New Roman"/>
      <w:sz w:val="18"/>
      <w:szCs w:val="18"/>
      <w:lang w:eastAsia="en-NZ"/>
    </w:rPr>
  </w:style>
  <w:style w:type="paragraph" w:customStyle="1" w:styleId="xl70">
    <w:name w:val="xl70"/>
    <w:basedOn w:val="Normal"/>
    <w:rsid w:val="009B64C4"/>
    <w:pPr>
      <w:pBdr>
        <w:top w:val="single" w:sz="8" w:space="0" w:color="005984"/>
        <w:left w:val="single" w:sz="8" w:space="0" w:color="005984"/>
        <w:bottom w:val="single" w:sz="8" w:space="0" w:color="005984"/>
        <w:right w:val="single" w:sz="8" w:space="0" w:color="005984"/>
      </w:pBdr>
      <w:spacing w:before="100" w:beforeAutospacing="1" w:after="100" w:afterAutospacing="1"/>
      <w:textAlignment w:val="center"/>
    </w:pPr>
    <w:rPr>
      <w:rFonts w:ascii="Times New Roman" w:hAnsi="Times New Roman" w:cs="Times New Roman"/>
      <w:color w:val="333333"/>
      <w:sz w:val="18"/>
      <w:szCs w:val="18"/>
      <w:lang w:eastAsia="en-NZ"/>
    </w:rPr>
  </w:style>
  <w:style w:type="paragraph" w:customStyle="1" w:styleId="xl71">
    <w:name w:val="xl71"/>
    <w:basedOn w:val="Normal"/>
    <w:rsid w:val="009B64C4"/>
    <w:pPr>
      <w:pBdr>
        <w:top w:val="single" w:sz="8" w:space="0" w:color="005984"/>
        <w:left w:val="single" w:sz="8" w:space="0" w:color="005984"/>
        <w:bottom w:val="single" w:sz="8" w:space="0" w:color="005984"/>
        <w:right w:val="single" w:sz="8" w:space="0" w:color="005984"/>
      </w:pBdr>
      <w:spacing w:before="100" w:beforeAutospacing="1" w:after="100" w:afterAutospacing="1"/>
      <w:jc w:val="center"/>
      <w:textAlignment w:val="center"/>
    </w:pPr>
    <w:rPr>
      <w:rFonts w:ascii="Times New Roman" w:hAnsi="Times New Roman" w:cs="Times New Roman"/>
      <w:color w:val="333333"/>
      <w:sz w:val="18"/>
      <w:szCs w:val="18"/>
      <w:lang w:eastAsia="en-NZ"/>
    </w:rPr>
  </w:style>
  <w:style w:type="paragraph" w:customStyle="1" w:styleId="xl72">
    <w:name w:val="xl72"/>
    <w:basedOn w:val="Normal"/>
    <w:rsid w:val="00C63402"/>
    <w:pPr>
      <w:pBdr>
        <w:top w:val="single" w:sz="8" w:space="0" w:color="005984"/>
        <w:left w:val="single" w:sz="8" w:space="0" w:color="005984"/>
        <w:bottom w:val="single" w:sz="8" w:space="0" w:color="005984"/>
      </w:pBdr>
      <w:spacing w:before="100" w:beforeAutospacing="1" w:after="100" w:afterAutospacing="1"/>
      <w:jc w:val="center"/>
      <w:textAlignment w:val="center"/>
    </w:pPr>
    <w:rPr>
      <w:rFonts w:ascii="Times New Roman" w:hAnsi="Times New Roman" w:cs="Times New Roman"/>
      <w:sz w:val="18"/>
      <w:szCs w:val="18"/>
      <w:lang w:eastAsia="en-NZ"/>
    </w:rPr>
  </w:style>
  <w:style w:type="paragraph" w:customStyle="1" w:styleId="tag">
    <w:name w:val="tag"/>
    <w:basedOn w:val="Normal"/>
    <w:rsid w:val="00352FB6"/>
    <w:pPr>
      <w:shd w:val="clear" w:color="auto" w:fill="F0F8FF"/>
      <w:spacing w:before="0" w:after="150"/>
    </w:pPr>
    <w:rPr>
      <w:rFonts w:ascii="Times New Roman" w:hAnsi="Times New Roman" w:cs="Times New Roman"/>
      <w:sz w:val="24"/>
      <w:szCs w:val="24"/>
      <w:lang w:eastAsia="en-NZ"/>
    </w:rPr>
  </w:style>
  <w:style w:type="character" w:customStyle="1" w:styleId="gq1">
    <w:name w:val="gq1"/>
    <w:basedOn w:val="DefaultParagraphFont"/>
    <w:rsid w:val="00037804"/>
    <w:rPr>
      <w:b w:val="0"/>
      <w:bCs w:val="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nhideWhenUsed="0"/>
    <w:lsdException w:name="List 4" w:unhideWhenUsed="0"/>
    <w:lsdException w:name="List 5" w:unhideWhenUsed="0"/>
    <w:lsdException w:name="Title" w:semiHidden="0" w:unhideWhenUsed="0"/>
    <w:lsdException w:name="Body Text" w:uiPriority="0"/>
    <w:lsdException w:name="Subtitle" w:semiHidden="0" w:uiPriority="0" w:unhideWhenUsed="0" w:qFormat="1"/>
    <w:lsdException w:name="Salutation" w:unhideWhenUsed="0"/>
    <w:lsdException w:name="Date" w:unhideWhenUsed="0"/>
    <w:lsdException w:name="Body Text First Indent"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3655FF"/>
    <w:pPr>
      <w:spacing w:before="120" w:after="120"/>
    </w:pPr>
    <w:rPr>
      <w:rFonts w:ascii="Calibri" w:hAnsi="Calibri" w:cs="Calibri"/>
      <w:sz w:val="22"/>
      <w:szCs w:val="22"/>
    </w:rPr>
  </w:style>
  <w:style w:type="paragraph" w:styleId="Heading1">
    <w:name w:val="heading 1"/>
    <w:basedOn w:val="Normal"/>
    <w:next w:val="BodyText"/>
    <w:link w:val="Heading1Char"/>
    <w:qFormat/>
    <w:rsid w:val="007C2B68"/>
    <w:pPr>
      <w:tabs>
        <w:tab w:val="left" w:pos="851"/>
      </w:tabs>
      <w:spacing w:before="0" w:after="240"/>
      <w:ind w:left="851" w:hanging="851"/>
      <w:outlineLvl w:val="0"/>
    </w:pPr>
    <w:rPr>
      <w:b/>
      <w:bCs/>
      <w:color w:val="005984"/>
      <w:sz w:val="36"/>
      <w:szCs w:val="36"/>
    </w:rPr>
  </w:style>
  <w:style w:type="paragraph" w:styleId="Heading2">
    <w:name w:val="heading 2"/>
    <w:basedOn w:val="Normal"/>
    <w:next w:val="BodyText"/>
    <w:link w:val="Heading2Char"/>
    <w:qFormat/>
    <w:rsid w:val="006E332F"/>
    <w:pPr>
      <w:keepNext/>
      <w:tabs>
        <w:tab w:val="left" w:pos="851"/>
      </w:tabs>
      <w:spacing w:before="320" w:after="0"/>
      <w:ind w:left="851" w:hanging="851"/>
      <w:outlineLvl w:val="1"/>
    </w:pPr>
    <w:rPr>
      <w:b/>
      <w:bCs/>
      <w:color w:val="387C2B"/>
      <w:sz w:val="32"/>
      <w:szCs w:val="32"/>
    </w:rPr>
  </w:style>
  <w:style w:type="paragraph" w:styleId="Heading3">
    <w:name w:val="heading 3"/>
    <w:basedOn w:val="Normal"/>
    <w:next w:val="BodyText"/>
    <w:link w:val="Heading3Char"/>
    <w:qFormat/>
    <w:rsid w:val="00C30EA3"/>
    <w:pPr>
      <w:keepNext/>
      <w:spacing w:before="240" w:after="0"/>
      <w:outlineLvl w:val="2"/>
    </w:pPr>
    <w:rPr>
      <w:b/>
      <w:bCs/>
      <w:color w:val="387C2B"/>
      <w:sz w:val="28"/>
      <w:szCs w:val="28"/>
    </w:rPr>
  </w:style>
  <w:style w:type="paragraph" w:styleId="Heading4">
    <w:name w:val="heading 4"/>
    <w:basedOn w:val="Normal"/>
    <w:next w:val="BodyText"/>
    <w:link w:val="Heading4Char"/>
    <w:qFormat/>
    <w:rsid w:val="008631AF"/>
    <w:pPr>
      <w:keepNext/>
      <w:spacing w:before="240" w:after="0"/>
      <w:outlineLvl w:val="3"/>
    </w:pPr>
    <w:rPr>
      <w:b/>
      <w:bCs/>
      <w:sz w:val="24"/>
      <w:szCs w:val="24"/>
    </w:rPr>
  </w:style>
  <w:style w:type="paragraph" w:styleId="Heading5">
    <w:name w:val="heading 5"/>
    <w:basedOn w:val="Normal"/>
    <w:next w:val="BodyText"/>
    <w:link w:val="Heading5Char"/>
    <w:uiPriority w:val="99"/>
    <w:semiHidden/>
    <w:qFormat/>
    <w:rsid w:val="00AC7BAA"/>
    <w:pPr>
      <w:keepNext/>
      <w:numPr>
        <w:ilvl w:val="4"/>
        <w:numId w:val="11"/>
      </w:numPr>
      <w:spacing w:before="240" w:after="60"/>
      <w:outlineLvl w:val="4"/>
    </w:pPr>
    <w:rPr>
      <w:rFonts w:ascii="Arial" w:hAnsi="Arial" w:cs="Arial"/>
      <w:i/>
      <w:iCs/>
    </w:rPr>
  </w:style>
  <w:style w:type="paragraph" w:styleId="Heading6">
    <w:name w:val="heading 6"/>
    <w:basedOn w:val="Normal"/>
    <w:next w:val="Normal"/>
    <w:link w:val="Heading6Char"/>
    <w:uiPriority w:val="99"/>
    <w:semiHidden/>
    <w:qFormat/>
    <w:rsid w:val="00AC7BAA"/>
    <w:pPr>
      <w:numPr>
        <w:ilvl w:val="5"/>
        <w:numId w:val="11"/>
      </w:numPr>
      <w:spacing w:before="240" w:after="60"/>
      <w:outlineLvl w:val="5"/>
    </w:pPr>
    <w:rPr>
      <w:b/>
      <w:bCs/>
    </w:rPr>
  </w:style>
  <w:style w:type="paragraph" w:styleId="Heading7">
    <w:name w:val="heading 7"/>
    <w:basedOn w:val="Normal"/>
    <w:next w:val="Normal"/>
    <w:link w:val="Heading7Char"/>
    <w:uiPriority w:val="99"/>
    <w:semiHidden/>
    <w:qFormat/>
    <w:rsid w:val="00AC7BAA"/>
    <w:pPr>
      <w:numPr>
        <w:ilvl w:val="6"/>
        <w:numId w:val="11"/>
      </w:numPr>
      <w:spacing w:before="240" w:after="60"/>
      <w:outlineLvl w:val="6"/>
    </w:pPr>
    <w:rPr>
      <w:sz w:val="24"/>
      <w:szCs w:val="24"/>
    </w:rPr>
  </w:style>
  <w:style w:type="paragraph" w:styleId="Heading8">
    <w:name w:val="heading 8"/>
    <w:basedOn w:val="Normal"/>
    <w:next w:val="Normal"/>
    <w:link w:val="Heading8Char"/>
    <w:uiPriority w:val="99"/>
    <w:semiHidden/>
    <w:qFormat/>
    <w:rsid w:val="00AC7BAA"/>
    <w:pPr>
      <w:numPr>
        <w:ilvl w:val="7"/>
        <w:numId w:val="11"/>
      </w:numPr>
      <w:spacing w:before="240" w:after="60"/>
      <w:outlineLvl w:val="7"/>
    </w:pPr>
    <w:rPr>
      <w:i/>
      <w:iCs/>
      <w:sz w:val="24"/>
      <w:szCs w:val="24"/>
    </w:rPr>
  </w:style>
  <w:style w:type="paragraph" w:styleId="Heading9">
    <w:name w:val="heading 9"/>
    <w:basedOn w:val="Normal"/>
    <w:next w:val="Normal"/>
    <w:link w:val="Heading9Char"/>
    <w:uiPriority w:val="99"/>
    <w:semiHidden/>
    <w:qFormat/>
    <w:rsid w:val="00AC7BAA"/>
    <w:pPr>
      <w:numPr>
        <w:ilvl w:val="8"/>
        <w:numId w:val="1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C2B68"/>
    <w:rPr>
      <w:rFonts w:ascii="Calibri" w:hAnsi="Calibri" w:cs="Calibri"/>
      <w:b/>
      <w:bCs/>
      <w:color w:val="005984"/>
      <w:sz w:val="36"/>
      <w:szCs w:val="36"/>
      <w:lang w:eastAsia="en-US"/>
    </w:rPr>
  </w:style>
  <w:style w:type="character" w:customStyle="1" w:styleId="Heading2Char">
    <w:name w:val="Heading 2 Char"/>
    <w:link w:val="Heading2"/>
    <w:rsid w:val="006E332F"/>
    <w:rPr>
      <w:rFonts w:ascii="Calibri" w:hAnsi="Calibri" w:cs="Calibri"/>
      <w:b/>
      <w:bCs/>
      <w:color w:val="387C2B"/>
      <w:sz w:val="32"/>
      <w:szCs w:val="32"/>
      <w:lang w:eastAsia="en-US"/>
    </w:rPr>
  </w:style>
  <w:style w:type="character" w:customStyle="1" w:styleId="Heading3Char">
    <w:name w:val="Heading 3 Char"/>
    <w:link w:val="Heading3"/>
    <w:rsid w:val="00C30EA3"/>
    <w:rPr>
      <w:rFonts w:ascii="Calibri" w:hAnsi="Calibri" w:cs="Calibri"/>
      <w:b/>
      <w:bCs/>
      <w:color w:val="387C2B"/>
      <w:sz w:val="28"/>
      <w:szCs w:val="28"/>
      <w:lang w:eastAsia="en-US"/>
    </w:rPr>
  </w:style>
  <w:style w:type="character" w:customStyle="1" w:styleId="Heading4Char">
    <w:name w:val="Heading 4 Char"/>
    <w:link w:val="Heading4"/>
    <w:rsid w:val="008631AF"/>
    <w:rPr>
      <w:rFonts w:ascii="Calibri" w:hAnsi="Calibri" w:cs="Calibri"/>
      <w:b/>
      <w:bCs/>
      <w:sz w:val="24"/>
      <w:szCs w:val="24"/>
      <w:lang w:eastAsia="en-US"/>
    </w:rPr>
  </w:style>
  <w:style w:type="character" w:customStyle="1" w:styleId="Heading5Char">
    <w:name w:val="Heading 5 Char"/>
    <w:link w:val="Heading5"/>
    <w:uiPriority w:val="99"/>
    <w:semiHidden/>
    <w:rsid w:val="00A63B9C"/>
    <w:rPr>
      <w:rFonts w:ascii="Arial" w:hAnsi="Arial" w:cs="Arial"/>
      <w:i/>
      <w:iCs/>
      <w:sz w:val="22"/>
      <w:szCs w:val="22"/>
      <w:lang w:eastAsia="en-US"/>
    </w:rPr>
  </w:style>
  <w:style w:type="character" w:customStyle="1" w:styleId="Heading6Char">
    <w:name w:val="Heading 6 Char"/>
    <w:link w:val="Heading6"/>
    <w:uiPriority w:val="99"/>
    <w:semiHidden/>
    <w:rsid w:val="00A63B9C"/>
    <w:rPr>
      <w:rFonts w:ascii="Calibri" w:hAnsi="Calibri" w:cs="Calibri"/>
      <w:b/>
      <w:bCs/>
      <w:sz w:val="22"/>
      <w:szCs w:val="22"/>
      <w:lang w:eastAsia="en-US"/>
    </w:rPr>
  </w:style>
  <w:style w:type="character" w:customStyle="1" w:styleId="Heading7Char">
    <w:name w:val="Heading 7 Char"/>
    <w:link w:val="Heading7"/>
    <w:uiPriority w:val="99"/>
    <w:semiHidden/>
    <w:rsid w:val="00A63B9C"/>
    <w:rPr>
      <w:rFonts w:ascii="Calibri" w:hAnsi="Calibri" w:cs="Calibri"/>
      <w:sz w:val="24"/>
      <w:szCs w:val="24"/>
      <w:lang w:eastAsia="en-US"/>
    </w:rPr>
  </w:style>
  <w:style w:type="character" w:customStyle="1" w:styleId="Heading8Char">
    <w:name w:val="Heading 8 Char"/>
    <w:link w:val="Heading8"/>
    <w:uiPriority w:val="99"/>
    <w:semiHidden/>
    <w:rsid w:val="00A63B9C"/>
    <w:rPr>
      <w:rFonts w:ascii="Calibri" w:hAnsi="Calibri" w:cs="Calibri"/>
      <w:i/>
      <w:iCs/>
      <w:sz w:val="24"/>
      <w:szCs w:val="24"/>
      <w:lang w:eastAsia="en-US"/>
    </w:rPr>
  </w:style>
  <w:style w:type="character" w:customStyle="1" w:styleId="Heading9Char">
    <w:name w:val="Heading 9 Char"/>
    <w:link w:val="Heading9"/>
    <w:uiPriority w:val="99"/>
    <w:semiHidden/>
    <w:rsid w:val="00A63B9C"/>
    <w:rPr>
      <w:rFonts w:ascii="Arial" w:hAnsi="Arial" w:cs="Arial"/>
      <w:sz w:val="22"/>
      <w:szCs w:val="22"/>
      <w:lang w:eastAsia="en-US"/>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rsid w:val="00881B25"/>
  </w:style>
  <w:style w:type="character" w:customStyle="1" w:styleId="BodyTextChar">
    <w:name w:val="Body Text Char"/>
    <w:link w:val="BodyText"/>
    <w:rsid w:val="00881B25"/>
    <w:rPr>
      <w:rFonts w:ascii="Calibri" w:hAnsi="Calibri" w:cs="Calibri"/>
      <w:sz w:val="22"/>
      <w:szCs w:val="22"/>
      <w:lang w:eastAsia="en-US"/>
    </w:rPr>
  </w:style>
  <w:style w:type="table" w:styleId="TableGrid">
    <w:name w:val="Table Grid"/>
    <w:basedOn w:val="TableNormal"/>
    <w:uiPriority w:val="59"/>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BodyText"/>
    <w:link w:val="QuoteChar"/>
    <w:rsid w:val="00FF107D"/>
    <w:pPr>
      <w:ind w:left="397" w:right="397"/>
    </w:pPr>
    <w:rPr>
      <w:szCs w:val="21"/>
    </w:rPr>
  </w:style>
  <w:style w:type="character" w:customStyle="1" w:styleId="QuoteChar">
    <w:name w:val="Quote Char"/>
    <w:link w:val="Quote"/>
    <w:rsid w:val="00FF107D"/>
    <w:rPr>
      <w:rFonts w:ascii="Calibri" w:hAnsi="Calibri" w:cs="Calibri"/>
      <w:sz w:val="22"/>
      <w:szCs w:val="21"/>
      <w:lang w:eastAsia="en-US"/>
    </w:rPr>
  </w:style>
  <w:style w:type="paragraph" w:customStyle="1" w:styleId="Box">
    <w:name w:val="Box"/>
    <w:basedOn w:val="Normal"/>
    <w:next w:val="BodyText"/>
    <w:rsid w:val="003458F0"/>
    <w:pPr>
      <w:pBdr>
        <w:top w:val="single" w:sz="6" w:space="15" w:color="CCDEE6"/>
        <w:left w:val="single" w:sz="6" w:space="15" w:color="CCDEE6"/>
        <w:bottom w:val="single" w:sz="6" w:space="15" w:color="CCDEE6"/>
        <w:right w:val="single" w:sz="6" w:space="15" w:color="CCDEE6"/>
      </w:pBdr>
      <w:shd w:val="clear" w:color="auto" w:fill="CCDEE6"/>
      <w:ind w:left="284" w:right="284"/>
    </w:pPr>
    <w:rPr>
      <w:sz w:val="20"/>
      <w:szCs w:val="20"/>
    </w:rPr>
  </w:style>
  <w:style w:type="paragraph" w:customStyle="1" w:styleId="Boxbullet">
    <w:name w:val="Box bullet"/>
    <w:basedOn w:val="Box"/>
    <w:rsid w:val="00F06A07"/>
    <w:pPr>
      <w:numPr>
        <w:numId w:val="1"/>
      </w:numPr>
      <w:spacing w:before="80"/>
    </w:pPr>
  </w:style>
  <w:style w:type="paragraph" w:customStyle="1" w:styleId="Boxheading">
    <w:name w:val="Box heading"/>
    <w:basedOn w:val="Box"/>
    <w:next w:val="Box"/>
    <w:rsid w:val="00BE0D3C"/>
    <w:pPr>
      <w:spacing w:after="200"/>
    </w:pPr>
    <w:rPr>
      <w:b/>
      <w:bCs/>
      <w:sz w:val="22"/>
      <w:szCs w:val="22"/>
    </w:rPr>
  </w:style>
  <w:style w:type="paragraph" w:customStyle="1" w:styleId="Bullet">
    <w:name w:val="Bullet"/>
    <w:basedOn w:val="Normal"/>
    <w:qFormat/>
    <w:rsid w:val="00C30EA3"/>
    <w:pPr>
      <w:numPr>
        <w:numId w:val="2"/>
      </w:numPr>
      <w:spacing w:before="0"/>
    </w:pPr>
  </w:style>
  <w:style w:type="paragraph" w:customStyle="1" w:styleId="Heading">
    <w:name w:val="Heading"/>
    <w:basedOn w:val="Heading1"/>
    <w:next w:val="Normal"/>
    <w:uiPriority w:val="99"/>
    <w:semiHidden/>
    <w:rsid w:val="00B5432F"/>
    <w:pPr>
      <w:outlineLvl w:val="9"/>
    </w:pPr>
    <w:rPr>
      <w:sz w:val="40"/>
      <w:szCs w:val="40"/>
    </w:rPr>
  </w:style>
  <w:style w:type="paragraph" w:styleId="Footer">
    <w:name w:val="footer"/>
    <w:basedOn w:val="Normal"/>
    <w:link w:val="FooterChar"/>
    <w:uiPriority w:val="99"/>
    <w:semiHidden/>
    <w:rsid w:val="004D28BA"/>
    <w:pPr>
      <w:tabs>
        <w:tab w:val="center" w:pos="4153"/>
        <w:tab w:val="right" w:pos="8306"/>
      </w:tabs>
    </w:pPr>
  </w:style>
  <w:style w:type="character" w:customStyle="1" w:styleId="FooterChar">
    <w:name w:val="Footer Char"/>
    <w:link w:val="Footer"/>
    <w:uiPriority w:val="99"/>
    <w:semiHidden/>
    <w:rsid w:val="00B92A85"/>
    <w:rPr>
      <w:rFonts w:ascii="Calibri" w:hAnsi="Calibri" w:cs="Calibri"/>
      <w:lang w:eastAsia="en-US"/>
    </w:rPr>
  </w:style>
  <w:style w:type="paragraph" w:customStyle="1" w:styleId="Sub-list">
    <w:name w:val="Sub-list"/>
    <w:basedOn w:val="Normal"/>
    <w:uiPriority w:val="99"/>
    <w:rsid w:val="004A142C"/>
    <w:pPr>
      <w:numPr>
        <w:numId w:val="3"/>
      </w:numPr>
      <w:tabs>
        <w:tab w:val="clear" w:pos="397"/>
        <w:tab w:val="left" w:pos="794"/>
      </w:tabs>
      <w:ind w:left="794" w:hanging="397"/>
    </w:pPr>
  </w:style>
  <w:style w:type="paragraph" w:customStyle="1" w:styleId="Figureheading">
    <w:name w:val="Figure heading"/>
    <w:basedOn w:val="Normal"/>
    <w:next w:val="Normal"/>
    <w:rsid w:val="003A01B7"/>
    <w:pPr>
      <w:keepNext/>
      <w:ind w:left="1134" w:hanging="1134"/>
    </w:pPr>
    <w:rPr>
      <w:b/>
      <w:bCs/>
      <w:sz w:val="20"/>
      <w:szCs w:val="20"/>
    </w:rPr>
  </w:style>
  <w:style w:type="character" w:styleId="FootnoteReference">
    <w:name w:val="footnote reference"/>
    <w:uiPriority w:val="99"/>
    <w:semiHidden/>
    <w:rsid w:val="00844476"/>
    <w:rPr>
      <w:rFonts w:ascii="Arial" w:hAnsi="Arial" w:cs="Arial"/>
      <w:sz w:val="18"/>
      <w:szCs w:val="18"/>
      <w:vertAlign w:val="superscript"/>
    </w:rPr>
  </w:style>
  <w:style w:type="paragraph" w:styleId="Title">
    <w:name w:val="Title"/>
    <w:basedOn w:val="Normal"/>
    <w:next w:val="Subtitle"/>
    <w:link w:val="TitleChar"/>
    <w:uiPriority w:val="99"/>
    <w:rsid w:val="00EF1DCE"/>
    <w:pPr>
      <w:spacing w:after="240"/>
      <w:outlineLvl w:val="0"/>
    </w:pPr>
    <w:rPr>
      <w:b/>
      <w:bCs/>
      <w:color w:val="005984"/>
      <w:spacing w:val="10"/>
      <w:sz w:val="56"/>
      <w:szCs w:val="56"/>
    </w:rPr>
  </w:style>
  <w:style w:type="character" w:customStyle="1" w:styleId="TitleChar">
    <w:name w:val="Title Char"/>
    <w:link w:val="Title"/>
    <w:uiPriority w:val="99"/>
    <w:rsid w:val="00B92A85"/>
    <w:rPr>
      <w:rFonts w:ascii="Cambria" w:hAnsi="Cambria" w:cs="Cambria"/>
      <w:b/>
      <w:bCs/>
      <w:kern w:val="28"/>
      <w:sz w:val="32"/>
      <w:szCs w:val="32"/>
      <w:lang w:eastAsia="en-US"/>
    </w:rPr>
  </w:style>
  <w:style w:type="paragraph" w:customStyle="1" w:styleId="Imprint">
    <w:name w:val="Imprint"/>
    <w:basedOn w:val="Normal"/>
    <w:uiPriority w:val="99"/>
    <w:rsid w:val="00B5432F"/>
  </w:style>
  <w:style w:type="paragraph" w:customStyle="1" w:styleId="Note">
    <w:name w:val="Note"/>
    <w:basedOn w:val="Normal"/>
    <w:next w:val="Normal"/>
    <w:uiPriority w:val="99"/>
    <w:rsid w:val="00BE0D3C"/>
    <w:pPr>
      <w:tabs>
        <w:tab w:val="left" w:pos="680"/>
      </w:tabs>
      <w:ind w:left="680" w:hanging="680"/>
    </w:pPr>
    <w:rPr>
      <w:sz w:val="18"/>
      <w:szCs w:val="18"/>
    </w:rPr>
  </w:style>
  <w:style w:type="character" w:styleId="PageNumber">
    <w:name w:val="page number"/>
    <w:uiPriority w:val="99"/>
    <w:semiHidden/>
    <w:rsid w:val="009E4F97"/>
    <w:rPr>
      <w:rFonts w:ascii="Calibri" w:hAnsi="Calibri" w:cs="Calibri"/>
      <w:b/>
      <w:bCs/>
      <w:sz w:val="20"/>
      <w:szCs w:val="20"/>
      <w:lang w:val="en-NZ"/>
    </w:rPr>
  </w:style>
  <w:style w:type="paragraph" w:customStyle="1" w:styleId="References">
    <w:name w:val="References"/>
    <w:basedOn w:val="Normal"/>
    <w:uiPriority w:val="99"/>
    <w:semiHidden/>
    <w:rsid w:val="00BE0D3C"/>
    <w:rPr>
      <w:sz w:val="21"/>
      <w:szCs w:val="21"/>
    </w:rPr>
  </w:style>
  <w:style w:type="paragraph" w:customStyle="1" w:styleId="Source">
    <w:name w:val="Source"/>
    <w:basedOn w:val="Normal"/>
    <w:next w:val="Normal"/>
    <w:uiPriority w:val="99"/>
    <w:semiHidden/>
    <w:rsid w:val="00BE0D3C"/>
    <w:pPr>
      <w:tabs>
        <w:tab w:val="left" w:pos="680"/>
      </w:tabs>
    </w:pPr>
    <w:rPr>
      <w:sz w:val="18"/>
      <w:szCs w:val="18"/>
    </w:rPr>
  </w:style>
  <w:style w:type="paragraph" w:styleId="FootnoteText">
    <w:name w:val="footnote text"/>
    <w:basedOn w:val="Normal"/>
    <w:link w:val="FootnoteTextChar"/>
    <w:uiPriority w:val="99"/>
    <w:rsid w:val="00C30EA3"/>
    <w:pPr>
      <w:spacing w:before="0" w:after="60"/>
      <w:ind w:left="284" w:hanging="284"/>
    </w:pPr>
    <w:rPr>
      <w:sz w:val="19"/>
      <w:szCs w:val="20"/>
    </w:rPr>
  </w:style>
  <w:style w:type="character" w:customStyle="1" w:styleId="FootnoteTextChar">
    <w:name w:val="Footnote Text Char"/>
    <w:link w:val="FootnoteText"/>
    <w:uiPriority w:val="99"/>
    <w:rsid w:val="00C30EA3"/>
    <w:rPr>
      <w:rFonts w:ascii="Calibri" w:hAnsi="Calibri" w:cs="Calibri"/>
      <w:sz w:val="19"/>
      <w:lang w:eastAsia="en-US"/>
    </w:rPr>
  </w:style>
  <w:style w:type="paragraph" w:styleId="Subtitle">
    <w:name w:val="Subtitle"/>
    <w:basedOn w:val="Normal"/>
    <w:link w:val="SubtitleChar"/>
    <w:semiHidden/>
    <w:qFormat/>
    <w:rsid w:val="000D0A5C"/>
    <w:pPr>
      <w:outlineLvl w:val="1"/>
    </w:pPr>
    <w:rPr>
      <w:b/>
      <w:bCs/>
      <w:caps/>
      <w:color w:val="005984"/>
      <w:spacing w:val="10"/>
      <w:sz w:val="28"/>
      <w:szCs w:val="28"/>
    </w:rPr>
  </w:style>
  <w:style w:type="character" w:customStyle="1" w:styleId="SubtitleChar">
    <w:name w:val="Subtitle Char"/>
    <w:link w:val="Subtitle"/>
    <w:semiHidden/>
    <w:rsid w:val="00582F5E"/>
    <w:rPr>
      <w:rFonts w:ascii="Calibri" w:hAnsi="Calibri" w:cs="Calibri"/>
      <w:b/>
      <w:bCs/>
      <w:caps/>
      <w:color w:val="005984"/>
      <w:spacing w:val="10"/>
      <w:sz w:val="28"/>
      <w:szCs w:val="28"/>
      <w:lang w:eastAsia="en-US"/>
    </w:rPr>
  </w:style>
  <w:style w:type="paragraph" w:customStyle="1" w:styleId="Tableheading">
    <w:name w:val="Table heading"/>
    <w:basedOn w:val="Normal"/>
    <w:next w:val="Normal"/>
    <w:rsid w:val="003A01B7"/>
    <w:pPr>
      <w:keepNext/>
      <w:ind w:left="1134" w:hanging="1134"/>
    </w:pPr>
    <w:rPr>
      <w:b/>
      <w:bCs/>
      <w:sz w:val="20"/>
      <w:szCs w:val="20"/>
    </w:rPr>
  </w:style>
  <w:style w:type="paragraph" w:customStyle="1" w:styleId="TableText">
    <w:name w:val="TableText"/>
    <w:basedOn w:val="Normal"/>
    <w:rsid w:val="003A01B7"/>
    <w:pPr>
      <w:spacing w:before="60" w:after="60"/>
    </w:pPr>
    <w:rPr>
      <w:sz w:val="18"/>
      <w:szCs w:val="18"/>
    </w:rPr>
  </w:style>
  <w:style w:type="paragraph" w:customStyle="1" w:styleId="TableTextbold">
    <w:name w:val="TableText bold"/>
    <w:basedOn w:val="TableText"/>
    <w:rsid w:val="00E97D65"/>
    <w:rPr>
      <w:b/>
      <w:bCs/>
    </w:rPr>
  </w:style>
  <w:style w:type="paragraph" w:styleId="TOC1">
    <w:name w:val="toc 1"/>
    <w:basedOn w:val="Normal"/>
    <w:next w:val="Normal"/>
    <w:uiPriority w:val="39"/>
    <w:rsid w:val="00592E08"/>
    <w:pPr>
      <w:tabs>
        <w:tab w:val="right" w:pos="8505"/>
      </w:tabs>
      <w:spacing w:before="280"/>
      <w:ind w:left="567" w:right="567" w:hanging="567"/>
    </w:pPr>
    <w:rPr>
      <w:sz w:val="28"/>
      <w:szCs w:val="28"/>
    </w:rPr>
  </w:style>
  <w:style w:type="paragraph" w:styleId="TOC2">
    <w:name w:val="toc 2"/>
    <w:basedOn w:val="Normal"/>
    <w:next w:val="Normal"/>
    <w:uiPriority w:val="39"/>
    <w:rsid w:val="00592E08"/>
    <w:pPr>
      <w:tabs>
        <w:tab w:val="right" w:pos="8505"/>
      </w:tabs>
      <w:spacing w:before="60" w:after="60"/>
      <w:ind w:left="1134" w:right="567" w:hanging="567"/>
    </w:pPr>
  </w:style>
  <w:style w:type="paragraph" w:customStyle="1" w:styleId="Captions">
    <w:name w:val="Captions"/>
    <w:basedOn w:val="Note"/>
    <w:next w:val="Normal"/>
    <w:uiPriority w:val="99"/>
    <w:semiHidden/>
    <w:rsid w:val="00B440A7"/>
    <w:pPr>
      <w:tabs>
        <w:tab w:val="clear" w:pos="680"/>
        <w:tab w:val="left" w:pos="851"/>
      </w:tabs>
      <w:ind w:left="0" w:firstLine="0"/>
    </w:pPr>
  </w:style>
  <w:style w:type="paragraph" w:customStyle="1" w:styleId="Glossary">
    <w:name w:val="Glossary"/>
    <w:basedOn w:val="Normal"/>
    <w:uiPriority w:val="99"/>
    <w:semiHidden/>
    <w:rsid w:val="005600B7"/>
    <w:pPr>
      <w:tabs>
        <w:tab w:val="left" w:pos="2835"/>
      </w:tabs>
      <w:ind w:left="2835" w:hanging="2835"/>
    </w:pPr>
  </w:style>
  <w:style w:type="paragraph" w:customStyle="1" w:styleId="Footerodd">
    <w:name w:val="Footer odd"/>
    <w:basedOn w:val="Normal"/>
    <w:uiPriority w:val="99"/>
    <w:rsid w:val="00C36B7F"/>
    <w:pPr>
      <w:pBdr>
        <w:top w:val="single" w:sz="4" w:space="4" w:color="auto"/>
      </w:pBdr>
      <w:tabs>
        <w:tab w:val="right" w:pos="7655"/>
        <w:tab w:val="right" w:pos="8505"/>
      </w:tabs>
    </w:pPr>
    <w:rPr>
      <w:sz w:val="17"/>
      <w:szCs w:val="17"/>
    </w:rPr>
  </w:style>
  <w:style w:type="paragraph" w:customStyle="1" w:styleId="Footereven">
    <w:name w:val="Footer even"/>
    <w:basedOn w:val="Normal"/>
    <w:uiPriority w:val="99"/>
    <w:rsid w:val="00C36B7F"/>
    <w:pPr>
      <w:pBdr>
        <w:top w:val="single" w:sz="4" w:space="4" w:color="auto"/>
      </w:pBdr>
      <w:tabs>
        <w:tab w:val="left" w:pos="851"/>
      </w:tabs>
    </w:pPr>
    <w:rPr>
      <w:sz w:val="17"/>
      <w:szCs w:val="17"/>
    </w:rPr>
  </w:style>
  <w:style w:type="paragraph" w:customStyle="1" w:styleId="Numberedparagraph">
    <w:name w:val="Numbered paragraph"/>
    <w:basedOn w:val="Normal"/>
    <w:uiPriority w:val="99"/>
    <w:rsid w:val="00C03393"/>
    <w:pPr>
      <w:numPr>
        <w:numId w:val="8"/>
      </w:numPr>
    </w:pPr>
  </w:style>
  <w:style w:type="paragraph" w:customStyle="1" w:styleId="Sub-lista">
    <w:name w:val="Sub-list a"/>
    <w:aliases w:val="b"/>
    <w:basedOn w:val="Normal"/>
    <w:uiPriority w:val="99"/>
    <w:rsid w:val="00DD355E"/>
    <w:pPr>
      <w:numPr>
        <w:numId w:val="4"/>
      </w:numPr>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Normal"/>
    <w:next w:val="Normal"/>
    <w:autoRedefine/>
    <w:uiPriority w:val="99"/>
    <w:semiHidden/>
    <w:rsid w:val="005D3DC5"/>
    <w:pPr>
      <w:ind w:left="440"/>
    </w:pPr>
  </w:style>
  <w:style w:type="paragraph" w:styleId="TableofFigures">
    <w:name w:val="table of figures"/>
    <w:basedOn w:val="Normal"/>
    <w:next w:val="Normal"/>
    <w:uiPriority w:val="99"/>
    <w:rsid w:val="00E30E95"/>
    <w:pPr>
      <w:spacing w:before="80"/>
      <w:ind w:left="1134" w:right="567" w:hanging="1134"/>
    </w:pPr>
    <w:rPr>
      <w:rFonts w:cs="Arial"/>
      <w:sz w:val="20"/>
      <w:szCs w:val="20"/>
    </w:rPr>
  </w:style>
  <w:style w:type="paragraph" w:customStyle="1" w:styleId="Sub-listi">
    <w:name w:val="Sub-list i"/>
    <w:aliases w:val="ii"/>
    <w:basedOn w:val="BodyText"/>
    <w:uiPriority w:val="99"/>
    <w:rsid w:val="00DD355E"/>
    <w:pPr>
      <w:numPr>
        <w:numId w:val="5"/>
      </w:numPr>
      <w:spacing w:before="0"/>
    </w:pPr>
  </w:style>
  <w:style w:type="paragraph" w:customStyle="1" w:styleId="TableBullet">
    <w:name w:val="TableBullet"/>
    <w:basedOn w:val="Normal"/>
    <w:rsid w:val="003A01B7"/>
    <w:pPr>
      <w:numPr>
        <w:numId w:val="7"/>
      </w:numPr>
      <w:spacing w:before="40" w:after="40"/>
    </w:pPr>
    <w:rPr>
      <w:sz w:val="18"/>
      <w:szCs w:val="18"/>
    </w:rPr>
  </w:style>
  <w:style w:type="paragraph" w:customStyle="1" w:styleId="TableDash">
    <w:name w:val="TableDash"/>
    <w:basedOn w:val="TableBullet"/>
    <w:rsid w:val="0026762A"/>
    <w:pPr>
      <w:numPr>
        <w:numId w:val="6"/>
      </w:numPr>
      <w:spacing w:before="0"/>
      <w:ind w:left="568" w:hanging="284"/>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ind w:left="1440" w:right="1440"/>
    </w:pPr>
  </w:style>
  <w:style w:type="paragraph" w:styleId="BodyText2">
    <w:name w:val="Body Text 2"/>
    <w:basedOn w:val="Normal"/>
    <w:link w:val="BodyText2Char1"/>
    <w:uiPriority w:val="99"/>
    <w:semiHidden/>
    <w:rsid w:val="00B92A85"/>
    <w:pPr>
      <w:ind w:left="283"/>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ind w:firstLine="210"/>
    </w:pPr>
  </w:style>
  <w:style w:type="character" w:customStyle="1" w:styleId="BodyTextFirstIndentChar">
    <w:name w:val="Body Text First Indent Char"/>
    <w:link w:val="BodyTextFirstIndent"/>
    <w:uiPriority w:val="99"/>
    <w:semiHidden/>
    <w:rsid w:val="00B92A85"/>
    <w:rPr>
      <w:rFonts w:ascii="Calibri" w:hAnsi="Calibri" w:cs="Calibri"/>
      <w:sz w:val="22"/>
      <w:szCs w:val="22"/>
      <w:lang w:eastAsia="en-US"/>
    </w:rPr>
  </w:style>
  <w:style w:type="character" w:customStyle="1" w:styleId="BodyText2Char1">
    <w:name w:val="Body Text 2 Char1"/>
    <w:link w:val="BodyText2"/>
    <w:uiPriority w:val="99"/>
    <w:semiHidden/>
    <w:rsid w:val="00B92A85"/>
    <w:rPr>
      <w:rFonts w:ascii="Calibri" w:hAnsi="Calibri" w:cs="Calibri"/>
      <w:lang w:eastAsia="en-US"/>
    </w:rPr>
  </w:style>
  <w:style w:type="paragraph" w:styleId="BodyTextIndent">
    <w:name w:val="Body Text Indent"/>
    <w:basedOn w:val="Normal"/>
    <w:link w:val="BodyTextIndentChar"/>
    <w:uiPriority w:val="99"/>
    <w:semiHidden/>
    <w:unhideWhenUsed/>
    <w:rsid w:val="00F0249F"/>
    <w:pPr>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character" w:styleId="Emphasis">
    <w:name w:val="Emphasis"/>
    <w:uiPriority w:val="99"/>
    <w:semiHidden/>
    <w:qFormat/>
    <w:rsid w:val="00AC7BAA"/>
    <w:rPr>
      <w:i/>
      <w:iC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AC7BAA"/>
    <w:rPr>
      <w:color w:val="800080"/>
      <w:u w:val="singl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CD59FE"/>
    <w:rPr>
      <w:rFonts w:ascii="Calibri" w:hAnsi="Calibri"/>
      <w:color w:val="005984"/>
      <w:sz w:val="22"/>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Normal"/>
    <w:autoRedefine/>
    <w:uiPriority w:val="99"/>
    <w:semiHidden/>
    <w:rsid w:val="00AC7BAA"/>
    <w:pPr>
      <w:tabs>
        <w:tab w:val="num" w:pos="360"/>
      </w:tabs>
      <w:ind w:left="360" w:hanging="360"/>
    </w:pPr>
  </w:style>
  <w:style w:type="paragraph" w:styleId="ListBullet2">
    <w:name w:val="List Bullet 2"/>
    <w:basedOn w:val="Normal"/>
    <w:autoRedefine/>
    <w:uiPriority w:val="99"/>
    <w:semiHidden/>
    <w:rsid w:val="00AC7BAA"/>
    <w:pPr>
      <w:tabs>
        <w:tab w:val="num" w:pos="643"/>
      </w:tabs>
      <w:ind w:left="643" w:hanging="360"/>
    </w:pPr>
  </w:style>
  <w:style w:type="paragraph" w:styleId="ListBullet3">
    <w:name w:val="List Bullet 3"/>
    <w:basedOn w:val="Normal"/>
    <w:autoRedefine/>
    <w:uiPriority w:val="99"/>
    <w:semiHidden/>
    <w:rsid w:val="00AC7BAA"/>
    <w:pPr>
      <w:tabs>
        <w:tab w:val="num" w:pos="926"/>
      </w:tabs>
      <w:ind w:left="926" w:hanging="360"/>
    </w:pPr>
  </w:style>
  <w:style w:type="paragraph" w:styleId="ListBullet4">
    <w:name w:val="List Bullet 4"/>
    <w:basedOn w:val="Normal"/>
    <w:autoRedefine/>
    <w:uiPriority w:val="99"/>
    <w:semiHidden/>
    <w:rsid w:val="00AC7BAA"/>
    <w:pPr>
      <w:tabs>
        <w:tab w:val="num" w:pos="1209"/>
      </w:tabs>
      <w:ind w:left="1209" w:hanging="360"/>
    </w:pPr>
  </w:style>
  <w:style w:type="paragraph" w:styleId="ListBullet5">
    <w:name w:val="List Bullet 5"/>
    <w:basedOn w:val="Normal"/>
    <w:autoRedefine/>
    <w:uiPriority w:val="99"/>
    <w:semiHidden/>
    <w:rsid w:val="00AC7BAA"/>
    <w:pPr>
      <w:tabs>
        <w:tab w:val="num" w:pos="1492"/>
      </w:tabs>
      <w:ind w:left="1492" w:hanging="360"/>
    </w:pPr>
  </w:style>
  <w:style w:type="paragraph" w:styleId="ListContinue">
    <w:name w:val="List Continue"/>
    <w:basedOn w:val="Normal"/>
    <w:uiPriority w:val="99"/>
    <w:semiHidden/>
    <w:rsid w:val="00AC7BAA"/>
    <w:pPr>
      <w:ind w:left="283"/>
    </w:pPr>
  </w:style>
  <w:style w:type="paragraph" w:styleId="ListContinue2">
    <w:name w:val="List Continue 2"/>
    <w:basedOn w:val="Normal"/>
    <w:uiPriority w:val="99"/>
    <w:semiHidden/>
    <w:rsid w:val="00AC7BAA"/>
    <w:pPr>
      <w:ind w:left="566"/>
    </w:pPr>
  </w:style>
  <w:style w:type="paragraph" w:styleId="ListContinue3">
    <w:name w:val="List Continue 3"/>
    <w:basedOn w:val="Normal"/>
    <w:uiPriority w:val="99"/>
    <w:semiHidden/>
    <w:rsid w:val="00AC7BAA"/>
    <w:pPr>
      <w:ind w:left="849"/>
    </w:pPr>
  </w:style>
  <w:style w:type="paragraph" w:styleId="ListContinue4">
    <w:name w:val="List Continue 4"/>
    <w:basedOn w:val="Normal"/>
    <w:uiPriority w:val="99"/>
    <w:semiHidden/>
    <w:rsid w:val="00AC7BAA"/>
    <w:pPr>
      <w:ind w:left="1132"/>
    </w:pPr>
  </w:style>
  <w:style w:type="paragraph" w:styleId="ListContinue5">
    <w:name w:val="List Continue 5"/>
    <w:basedOn w:val="Normal"/>
    <w:uiPriority w:val="99"/>
    <w:semiHidden/>
    <w:rsid w:val="00AC7BAA"/>
    <w:pPr>
      <w:ind w:left="1415"/>
    </w:pPr>
  </w:style>
  <w:style w:type="paragraph" w:styleId="ListNumber">
    <w:name w:val="List Number"/>
    <w:basedOn w:val="Normal"/>
    <w:uiPriority w:val="99"/>
    <w:semiHidden/>
    <w:rsid w:val="00AC7BAA"/>
    <w:pPr>
      <w:tabs>
        <w:tab w:val="num" w:pos="360"/>
      </w:tabs>
      <w:ind w:left="360" w:hanging="360"/>
    </w:pPr>
  </w:style>
  <w:style w:type="paragraph" w:styleId="ListNumber2">
    <w:name w:val="List Number 2"/>
    <w:basedOn w:val="Normal"/>
    <w:uiPriority w:val="99"/>
    <w:semiHidden/>
    <w:rsid w:val="00AC7BAA"/>
    <w:pPr>
      <w:tabs>
        <w:tab w:val="num" w:pos="643"/>
      </w:tabs>
      <w:ind w:left="643" w:hanging="360"/>
    </w:pPr>
  </w:style>
  <w:style w:type="paragraph" w:styleId="ListNumber3">
    <w:name w:val="List Number 3"/>
    <w:basedOn w:val="Normal"/>
    <w:uiPriority w:val="99"/>
    <w:semiHidden/>
    <w:rsid w:val="00AC7BAA"/>
    <w:pPr>
      <w:tabs>
        <w:tab w:val="num" w:pos="926"/>
      </w:tabs>
      <w:ind w:left="926" w:hanging="360"/>
    </w:pPr>
  </w:style>
  <w:style w:type="paragraph" w:styleId="ListNumber4">
    <w:name w:val="List Number 4"/>
    <w:basedOn w:val="Normal"/>
    <w:uiPriority w:val="99"/>
    <w:semiHidden/>
    <w:rsid w:val="00AC7BAA"/>
    <w:pPr>
      <w:tabs>
        <w:tab w:val="num" w:pos="1209"/>
      </w:tabs>
      <w:ind w:left="1209" w:hanging="360"/>
    </w:pPr>
  </w:style>
  <w:style w:type="paragraph" w:styleId="ListNumber5">
    <w:name w:val="List Number 5"/>
    <w:basedOn w:val="Normal"/>
    <w:uiPriority w:val="99"/>
    <w:semiHidden/>
    <w:rsid w:val="00AC7BAA"/>
    <w:pPr>
      <w:tabs>
        <w:tab w:val="num" w:pos="1492"/>
      </w:tabs>
      <w:ind w:left="1492" w:hanging="360"/>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semiHidden/>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character" w:styleId="Strong">
    <w:name w:val="Strong"/>
    <w:uiPriority w:val="99"/>
    <w:semiHidden/>
    <w:qFormat/>
    <w:rsid w:val="00AC7BAA"/>
    <w:rPr>
      <w:b/>
      <w:bCs/>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basedOn w:val="Normal"/>
    <w:link w:val="HeaderChar"/>
    <w:uiPriority w:val="99"/>
    <w:semiHidden/>
    <w:rsid w:val="00592E08"/>
    <w:pPr>
      <w:spacing w:before="0" w:after="0"/>
    </w:pPr>
  </w:style>
  <w:style w:type="character" w:customStyle="1" w:styleId="HeaderChar">
    <w:name w:val="Header Char"/>
    <w:link w:val="Header"/>
    <w:uiPriority w:val="99"/>
    <w:semiHidden/>
    <w:rsid w:val="00582F5E"/>
    <w:rPr>
      <w:rFonts w:ascii="Calibri" w:hAnsi="Calibri" w:cs="Calibri"/>
      <w:sz w:val="22"/>
      <w:szCs w:val="22"/>
      <w:lang w:eastAsia="en-US"/>
    </w:rPr>
  </w:style>
  <w:style w:type="character" w:styleId="CommentReference">
    <w:name w:val="annotation reference"/>
    <w:uiPriority w:val="99"/>
    <w:semiHidden/>
    <w:rsid w:val="00844476"/>
    <w:rPr>
      <w:sz w:val="16"/>
      <w:szCs w:val="16"/>
    </w:rPr>
  </w:style>
  <w:style w:type="paragraph" w:styleId="CommentText">
    <w:name w:val="annotation text"/>
    <w:basedOn w:val="Normal"/>
    <w:link w:val="CommentTextChar"/>
    <w:uiPriority w:val="99"/>
    <w:semiHidden/>
    <w:rsid w:val="00EF1DCE"/>
    <w:rPr>
      <w:sz w:val="20"/>
      <w:szCs w:val="20"/>
    </w:rPr>
  </w:style>
  <w:style w:type="character" w:customStyle="1" w:styleId="CommentTextChar">
    <w:name w:val="Comment Text Char"/>
    <w:link w:val="CommentText"/>
    <w:uiPriority w:val="99"/>
    <w:semiHidden/>
    <w:rsid w:val="00BE3155"/>
    <w:rPr>
      <w:rFonts w:ascii="Calibri" w:hAnsi="Calibri" w:cs="Calibri"/>
      <w:lang w:eastAsia="en-US"/>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customStyle="1" w:styleId="TitleGreen">
    <w:name w:val="Title Green"/>
    <w:basedOn w:val="Normal"/>
    <w:uiPriority w:val="99"/>
    <w:semiHidden/>
    <w:rsid w:val="00137082"/>
    <w:pPr>
      <w:ind w:left="1134"/>
    </w:pPr>
    <w:rPr>
      <w:b/>
      <w:bCs/>
      <w:i/>
      <w:iCs/>
      <w:color w:val="84A02C"/>
      <w:sz w:val="44"/>
      <w:szCs w:val="44"/>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10"/>
      </w:numPr>
    </w:pPr>
  </w:style>
  <w:style w:type="numbering" w:styleId="111111">
    <w:name w:val="Outline List 2"/>
    <w:basedOn w:val="NoList"/>
    <w:uiPriority w:val="99"/>
    <w:semiHidden/>
    <w:unhideWhenUsed/>
    <w:rsid w:val="00F0249F"/>
    <w:pPr>
      <w:numPr>
        <w:numId w:val="9"/>
      </w:numPr>
    </w:pPr>
  </w:style>
  <w:style w:type="numbering" w:styleId="ArticleSection">
    <w:name w:val="Outline List 3"/>
    <w:basedOn w:val="NoList"/>
    <w:uiPriority w:val="99"/>
    <w:semiHidden/>
    <w:unhideWhenUsed/>
    <w:rsid w:val="00F0249F"/>
    <w:pPr>
      <w:numPr>
        <w:numId w:val="11"/>
      </w:numPr>
    </w:pPr>
  </w:style>
  <w:style w:type="character" w:styleId="IntenseEmphasis">
    <w:name w:val="Intense Emphasis"/>
    <w:uiPriority w:val="21"/>
    <w:qFormat/>
    <w:rsid w:val="00A63B9C"/>
    <w:rPr>
      <w:b/>
      <w:bCs/>
      <w:i/>
      <w:iCs/>
      <w:color w:val="4F81BD"/>
    </w:rPr>
  </w:style>
  <w:style w:type="paragraph" w:styleId="ListParagraph">
    <w:name w:val="List Paragraph"/>
    <w:basedOn w:val="Normal"/>
    <w:uiPriority w:val="34"/>
    <w:qFormat/>
    <w:rsid w:val="00FB1BA1"/>
    <w:pPr>
      <w:ind w:left="720"/>
    </w:pPr>
  </w:style>
  <w:style w:type="table" w:styleId="MediumGrid2-Accent5">
    <w:name w:val="Medium Grid 2 Accent 5"/>
    <w:basedOn w:val="TableNormal"/>
    <w:uiPriority w:val="68"/>
    <w:rsid w:val="009115CF"/>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Revision">
    <w:name w:val="Revision"/>
    <w:hidden/>
    <w:uiPriority w:val="99"/>
    <w:semiHidden/>
    <w:rsid w:val="00FB37DB"/>
    <w:rPr>
      <w:rFonts w:ascii="Calibri" w:hAnsi="Calibri" w:cs="Calibri"/>
      <w:sz w:val="22"/>
      <w:szCs w:val="22"/>
    </w:rPr>
  </w:style>
  <w:style w:type="table" w:styleId="LightList-Accent1">
    <w:name w:val="Light List Accent 1"/>
    <w:basedOn w:val="TableNormal"/>
    <w:uiPriority w:val="61"/>
    <w:rsid w:val="00422081"/>
    <w:rPr>
      <w:rFonts w:ascii="Calibri" w:eastAsia="Calibri" w:hAnsi="Calibri"/>
      <w:sz w:val="22"/>
      <w:szCs w:val="22"/>
    </w:rPr>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paragraph" w:customStyle="1" w:styleId="xl65">
    <w:name w:val="xl65"/>
    <w:basedOn w:val="Normal"/>
    <w:rsid w:val="009B64C4"/>
    <w:pPr>
      <w:spacing w:before="100" w:beforeAutospacing="1" w:after="100" w:afterAutospacing="1"/>
      <w:jc w:val="center"/>
      <w:textAlignment w:val="center"/>
    </w:pPr>
    <w:rPr>
      <w:rFonts w:ascii="Times New Roman" w:hAnsi="Times New Roman" w:cs="Times New Roman"/>
      <w:sz w:val="24"/>
      <w:szCs w:val="24"/>
      <w:lang w:eastAsia="en-NZ"/>
    </w:rPr>
  </w:style>
  <w:style w:type="paragraph" w:customStyle="1" w:styleId="xl66">
    <w:name w:val="xl66"/>
    <w:basedOn w:val="Normal"/>
    <w:rsid w:val="009B64C4"/>
    <w:pPr>
      <w:pBdr>
        <w:top w:val="single" w:sz="8" w:space="0" w:color="005984"/>
        <w:left w:val="single" w:sz="8" w:space="0" w:color="005984"/>
        <w:bottom w:val="single" w:sz="8" w:space="0" w:color="005984"/>
        <w:right w:val="single" w:sz="8" w:space="0" w:color="005984"/>
      </w:pBdr>
      <w:shd w:val="clear" w:color="000000" w:fill="005984"/>
      <w:spacing w:before="100" w:beforeAutospacing="1" w:after="100" w:afterAutospacing="1"/>
      <w:textAlignment w:val="center"/>
    </w:pPr>
    <w:rPr>
      <w:rFonts w:ascii="Times New Roman" w:hAnsi="Times New Roman" w:cs="Times New Roman"/>
      <w:b/>
      <w:bCs/>
      <w:color w:val="FFFFFF"/>
      <w:sz w:val="18"/>
      <w:szCs w:val="18"/>
      <w:lang w:eastAsia="en-NZ"/>
    </w:rPr>
  </w:style>
  <w:style w:type="paragraph" w:customStyle="1" w:styleId="xl67">
    <w:name w:val="xl67"/>
    <w:basedOn w:val="Normal"/>
    <w:rsid w:val="009B64C4"/>
    <w:pPr>
      <w:pBdr>
        <w:top w:val="single" w:sz="8" w:space="0" w:color="005984"/>
        <w:left w:val="single" w:sz="8" w:space="0" w:color="005984"/>
        <w:bottom w:val="single" w:sz="8" w:space="0" w:color="005984"/>
        <w:right w:val="single" w:sz="8" w:space="0" w:color="005984"/>
      </w:pBdr>
      <w:shd w:val="clear" w:color="000000" w:fill="005984"/>
      <w:spacing w:before="100" w:beforeAutospacing="1" w:after="100" w:afterAutospacing="1"/>
      <w:jc w:val="center"/>
      <w:textAlignment w:val="center"/>
    </w:pPr>
    <w:rPr>
      <w:rFonts w:ascii="Times New Roman" w:hAnsi="Times New Roman" w:cs="Times New Roman"/>
      <w:b/>
      <w:bCs/>
      <w:color w:val="FFFFFF"/>
      <w:sz w:val="18"/>
      <w:szCs w:val="18"/>
      <w:lang w:eastAsia="en-NZ"/>
    </w:rPr>
  </w:style>
  <w:style w:type="paragraph" w:customStyle="1" w:styleId="xl68">
    <w:name w:val="xl68"/>
    <w:basedOn w:val="Normal"/>
    <w:rsid w:val="009B64C4"/>
    <w:pPr>
      <w:pBdr>
        <w:top w:val="single" w:sz="8" w:space="0" w:color="005984"/>
        <w:left w:val="single" w:sz="8" w:space="0" w:color="005984"/>
        <w:bottom w:val="single" w:sz="8" w:space="0" w:color="005984"/>
        <w:right w:val="single" w:sz="8" w:space="0" w:color="005984"/>
      </w:pBdr>
      <w:spacing w:before="100" w:beforeAutospacing="1" w:after="100" w:afterAutospacing="1"/>
    </w:pPr>
    <w:rPr>
      <w:rFonts w:ascii="Times New Roman" w:hAnsi="Times New Roman" w:cs="Times New Roman"/>
      <w:sz w:val="18"/>
      <w:szCs w:val="18"/>
      <w:lang w:eastAsia="en-NZ"/>
    </w:rPr>
  </w:style>
  <w:style w:type="paragraph" w:customStyle="1" w:styleId="xl69">
    <w:name w:val="xl69"/>
    <w:basedOn w:val="Normal"/>
    <w:rsid w:val="009B64C4"/>
    <w:pPr>
      <w:pBdr>
        <w:top w:val="single" w:sz="8" w:space="0" w:color="005984"/>
        <w:left w:val="single" w:sz="8" w:space="0" w:color="005984"/>
        <w:bottom w:val="single" w:sz="8" w:space="0" w:color="005984"/>
        <w:right w:val="single" w:sz="8" w:space="0" w:color="005984"/>
      </w:pBdr>
      <w:spacing w:before="100" w:beforeAutospacing="1" w:after="100" w:afterAutospacing="1"/>
      <w:jc w:val="center"/>
      <w:textAlignment w:val="center"/>
    </w:pPr>
    <w:rPr>
      <w:rFonts w:ascii="Times New Roman" w:hAnsi="Times New Roman" w:cs="Times New Roman"/>
      <w:sz w:val="18"/>
      <w:szCs w:val="18"/>
      <w:lang w:eastAsia="en-NZ"/>
    </w:rPr>
  </w:style>
  <w:style w:type="paragraph" w:customStyle="1" w:styleId="xl70">
    <w:name w:val="xl70"/>
    <w:basedOn w:val="Normal"/>
    <w:rsid w:val="009B64C4"/>
    <w:pPr>
      <w:pBdr>
        <w:top w:val="single" w:sz="8" w:space="0" w:color="005984"/>
        <w:left w:val="single" w:sz="8" w:space="0" w:color="005984"/>
        <w:bottom w:val="single" w:sz="8" w:space="0" w:color="005984"/>
        <w:right w:val="single" w:sz="8" w:space="0" w:color="005984"/>
      </w:pBdr>
      <w:spacing w:before="100" w:beforeAutospacing="1" w:after="100" w:afterAutospacing="1"/>
      <w:textAlignment w:val="center"/>
    </w:pPr>
    <w:rPr>
      <w:rFonts w:ascii="Times New Roman" w:hAnsi="Times New Roman" w:cs="Times New Roman"/>
      <w:color w:val="333333"/>
      <w:sz w:val="18"/>
      <w:szCs w:val="18"/>
      <w:lang w:eastAsia="en-NZ"/>
    </w:rPr>
  </w:style>
  <w:style w:type="paragraph" w:customStyle="1" w:styleId="xl71">
    <w:name w:val="xl71"/>
    <w:basedOn w:val="Normal"/>
    <w:rsid w:val="009B64C4"/>
    <w:pPr>
      <w:pBdr>
        <w:top w:val="single" w:sz="8" w:space="0" w:color="005984"/>
        <w:left w:val="single" w:sz="8" w:space="0" w:color="005984"/>
        <w:bottom w:val="single" w:sz="8" w:space="0" w:color="005984"/>
        <w:right w:val="single" w:sz="8" w:space="0" w:color="005984"/>
      </w:pBdr>
      <w:spacing w:before="100" w:beforeAutospacing="1" w:after="100" w:afterAutospacing="1"/>
      <w:jc w:val="center"/>
      <w:textAlignment w:val="center"/>
    </w:pPr>
    <w:rPr>
      <w:rFonts w:ascii="Times New Roman" w:hAnsi="Times New Roman" w:cs="Times New Roman"/>
      <w:color w:val="333333"/>
      <w:sz w:val="18"/>
      <w:szCs w:val="18"/>
      <w:lang w:eastAsia="en-NZ"/>
    </w:rPr>
  </w:style>
  <w:style w:type="paragraph" w:customStyle="1" w:styleId="xl72">
    <w:name w:val="xl72"/>
    <w:basedOn w:val="Normal"/>
    <w:rsid w:val="00C63402"/>
    <w:pPr>
      <w:pBdr>
        <w:top w:val="single" w:sz="8" w:space="0" w:color="005984"/>
        <w:left w:val="single" w:sz="8" w:space="0" w:color="005984"/>
        <w:bottom w:val="single" w:sz="8" w:space="0" w:color="005984"/>
      </w:pBdr>
      <w:spacing w:before="100" w:beforeAutospacing="1" w:after="100" w:afterAutospacing="1"/>
      <w:jc w:val="center"/>
      <w:textAlignment w:val="center"/>
    </w:pPr>
    <w:rPr>
      <w:rFonts w:ascii="Times New Roman" w:hAnsi="Times New Roman" w:cs="Times New Roman"/>
      <w:sz w:val="18"/>
      <w:szCs w:val="18"/>
      <w:lang w:eastAsia="en-NZ"/>
    </w:rPr>
  </w:style>
  <w:style w:type="paragraph" w:customStyle="1" w:styleId="tag">
    <w:name w:val="tag"/>
    <w:basedOn w:val="Normal"/>
    <w:rsid w:val="00352FB6"/>
    <w:pPr>
      <w:shd w:val="clear" w:color="auto" w:fill="F0F8FF"/>
      <w:spacing w:before="0" w:after="150"/>
    </w:pPr>
    <w:rPr>
      <w:rFonts w:ascii="Times New Roman" w:hAnsi="Times New Roman" w:cs="Times New Roman"/>
      <w:sz w:val="24"/>
      <w:szCs w:val="24"/>
      <w:lang w:eastAsia="en-NZ"/>
    </w:rPr>
  </w:style>
  <w:style w:type="character" w:customStyle="1" w:styleId="gq1">
    <w:name w:val="gq1"/>
    <w:basedOn w:val="DefaultParagraphFont"/>
    <w:rsid w:val="00037804"/>
    <w:rPr>
      <w:b w:val="0"/>
      <w:bCs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7084">
      <w:bodyDiv w:val="1"/>
      <w:marLeft w:val="0"/>
      <w:marRight w:val="0"/>
      <w:marTop w:val="0"/>
      <w:marBottom w:val="0"/>
      <w:divBdr>
        <w:top w:val="none" w:sz="0" w:space="0" w:color="auto"/>
        <w:left w:val="none" w:sz="0" w:space="0" w:color="auto"/>
        <w:bottom w:val="none" w:sz="0" w:space="0" w:color="auto"/>
        <w:right w:val="none" w:sz="0" w:space="0" w:color="auto"/>
      </w:divBdr>
    </w:div>
    <w:div w:id="109328475">
      <w:bodyDiv w:val="1"/>
      <w:marLeft w:val="0"/>
      <w:marRight w:val="0"/>
      <w:marTop w:val="0"/>
      <w:marBottom w:val="0"/>
      <w:divBdr>
        <w:top w:val="none" w:sz="0" w:space="0" w:color="auto"/>
        <w:left w:val="none" w:sz="0" w:space="0" w:color="auto"/>
        <w:bottom w:val="none" w:sz="0" w:space="0" w:color="auto"/>
        <w:right w:val="none" w:sz="0" w:space="0" w:color="auto"/>
      </w:divBdr>
    </w:div>
    <w:div w:id="118841256">
      <w:marLeft w:val="0"/>
      <w:marRight w:val="0"/>
      <w:marTop w:val="0"/>
      <w:marBottom w:val="0"/>
      <w:divBdr>
        <w:top w:val="none" w:sz="0" w:space="0" w:color="auto"/>
        <w:left w:val="none" w:sz="0" w:space="0" w:color="auto"/>
        <w:bottom w:val="none" w:sz="0" w:space="0" w:color="auto"/>
        <w:right w:val="none" w:sz="0" w:space="0" w:color="auto"/>
      </w:divBdr>
      <w:divsChild>
        <w:div w:id="1184511674">
          <w:marLeft w:val="0"/>
          <w:marRight w:val="0"/>
          <w:marTop w:val="0"/>
          <w:marBottom w:val="0"/>
          <w:divBdr>
            <w:top w:val="none" w:sz="0" w:space="0" w:color="auto"/>
            <w:left w:val="none" w:sz="0" w:space="0" w:color="auto"/>
            <w:bottom w:val="none" w:sz="0" w:space="0" w:color="auto"/>
            <w:right w:val="none" w:sz="0" w:space="0" w:color="auto"/>
          </w:divBdr>
        </w:div>
      </w:divsChild>
    </w:div>
    <w:div w:id="123282168">
      <w:bodyDiv w:val="1"/>
      <w:marLeft w:val="0"/>
      <w:marRight w:val="0"/>
      <w:marTop w:val="0"/>
      <w:marBottom w:val="0"/>
      <w:divBdr>
        <w:top w:val="none" w:sz="0" w:space="0" w:color="auto"/>
        <w:left w:val="none" w:sz="0" w:space="0" w:color="auto"/>
        <w:bottom w:val="none" w:sz="0" w:space="0" w:color="auto"/>
        <w:right w:val="none" w:sz="0" w:space="0" w:color="auto"/>
      </w:divBdr>
    </w:div>
    <w:div w:id="131948507">
      <w:marLeft w:val="0"/>
      <w:marRight w:val="0"/>
      <w:marTop w:val="0"/>
      <w:marBottom w:val="0"/>
      <w:divBdr>
        <w:top w:val="none" w:sz="0" w:space="0" w:color="auto"/>
        <w:left w:val="none" w:sz="0" w:space="0" w:color="auto"/>
        <w:bottom w:val="none" w:sz="0" w:space="0" w:color="auto"/>
        <w:right w:val="none" w:sz="0" w:space="0" w:color="auto"/>
      </w:divBdr>
      <w:divsChild>
        <w:div w:id="1155142637">
          <w:marLeft w:val="0"/>
          <w:marRight w:val="0"/>
          <w:marTop w:val="0"/>
          <w:marBottom w:val="0"/>
          <w:divBdr>
            <w:top w:val="none" w:sz="0" w:space="0" w:color="auto"/>
            <w:left w:val="none" w:sz="0" w:space="0" w:color="auto"/>
            <w:bottom w:val="none" w:sz="0" w:space="0" w:color="auto"/>
            <w:right w:val="none" w:sz="0" w:space="0" w:color="auto"/>
          </w:divBdr>
        </w:div>
      </w:divsChild>
    </w:div>
    <w:div w:id="141242023">
      <w:bodyDiv w:val="1"/>
      <w:marLeft w:val="0"/>
      <w:marRight w:val="0"/>
      <w:marTop w:val="0"/>
      <w:marBottom w:val="0"/>
      <w:divBdr>
        <w:top w:val="none" w:sz="0" w:space="0" w:color="auto"/>
        <w:left w:val="none" w:sz="0" w:space="0" w:color="auto"/>
        <w:bottom w:val="none" w:sz="0" w:space="0" w:color="auto"/>
        <w:right w:val="none" w:sz="0" w:space="0" w:color="auto"/>
      </w:divBdr>
    </w:div>
    <w:div w:id="161550449">
      <w:bodyDiv w:val="1"/>
      <w:marLeft w:val="0"/>
      <w:marRight w:val="0"/>
      <w:marTop w:val="0"/>
      <w:marBottom w:val="0"/>
      <w:divBdr>
        <w:top w:val="none" w:sz="0" w:space="0" w:color="auto"/>
        <w:left w:val="none" w:sz="0" w:space="0" w:color="auto"/>
        <w:bottom w:val="none" w:sz="0" w:space="0" w:color="auto"/>
        <w:right w:val="none" w:sz="0" w:space="0" w:color="auto"/>
      </w:divBdr>
    </w:div>
    <w:div w:id="166361228">
      <w:marLeft w:val="0"/>
      <w:marRight w:val="0"/>
      <w:marTop w:val="0"/>
      <w:marBottom w:val="0"/>
      <w:divBdr>
        <w:top w:val="none" w:sz="0" w:space="0" w:color="auto"/>
        <w:left w:val="none" w:sz="0" w:space="0" w:color="auto"/>
        <w:bottom w:val="none" w:sz="0" w:space="0" w:color="auto"/>
        <w:right w:val="none" w:sz="0" w:space="0" w:color="auto"/>
      </w:divBdr>
      <w:divsChild>
        <w:div w:id="430929108">
          <w:marLeft w:val="0"/>
          <w:marRight w:val="0"/>
          <w:marTop w:val="0"/>
          <w:marBottom w:val="0"/>
          <w:divBdr>
            <w:top w:val="none" w:sz="0" w:space="0" w:color="auto"/>
            <w:left w:val="none" w:sz="0" w:space="0" w:color="auto"/>
            <w:bottom w:val="none" w:sz="0" w:space="0" w:color="auto"/>
            <w:right w:val="none" w:sz="0" w:space="0" w:color="auto"/>
          </w:divBdr>
        </w:div>
      </w:divsChild>
    </w:div>
    <w:div w:id="241065739">
      <w:marLeft w:val="0"/>
      <w:marRight w:val="0"/>
      <w:marTop w:val="0"/>
      <w:marBottom w:val="0"/>
      <w:divBdr>
        <w:top w:val="none" w:sz="0" w:space="0" w:color="auto"/>
        <w:left w:val="none" w:sz="0" w:space="0" w:color="auto"/>
        <w:bottom w:val="none" w:sz="0" w:space="0" w:color="auto"/>
        <w:right w:val="none" w:sz="0" w:space="0" w:color="auto"/>
      </w:divBdr>
      <w:divsChild>
        <w:div w:id="1508329697">
          <w:marLeft w:val="0"/>
          <w:marRight w:val="0"/>
          <w:marTop w:val="0"/>
          <w:marBottom w:val="0"/>
          <w:divBdr>
            <w:top w:val="none" w:sz="0" w:space="0" w:color="auto"/>
            <w:left w:val="none" w:sz="0" w:space="0" w:color="auto"/>
            <w:bottom w:val="none" w:sz="0" w:space="0" w:color="auto"/>
            <w:right w:val="none" w:sz="0" w:space="0" w:color="auto"/>
          </w:divBdr>
        </w:div>
      </w:divsChild>
    </w:div>
    <w:div w:id="249049757">
      <w:marLeft w:val="0"/>
      <w:marRight w:val="0"/>
      <w:marTop w:val="0"/>
      <w:marBottom w:val="0"/>
      <w:divBdr>
        <w:top w:val="none" w:sz="0" w:space="0" w:color="auto"/>
        <w:left w:val="none" w:sz="0" w:space="0" w:color="auto"/>
        <w:bottom w:val="none" w:sz="0" w:space="0" w:color="auto"/>
        <w:right w:val="none" w:sz="0" w:space="0" w:color="auto"/>
      </w:divBdr>
      <w:divsChild>
        <w:div w:id="366877268">
          <w:marLeft w:val="0"/>
          <w:marRight w:val="0"/>
          <w:marTop w:val="0"/>
          <w:marBottom w:val="0"/>
          <w:divBdr>
            <w:top w:val="none" w:sz="0" w:space="0" w:color="auto"/>
            <w:left w:val="none" w:sz="0" w:space="0" w:color="auto"/>
            <w:bottom w:val="none" w:sz="0" w:space="0" w:color="auto"/>
            <w:right w:val="none" w:sz="0" w:space="0" w:color="auto"/>
          </w:divBdr>
        </w:div>
      </w:divsChild>
    </w:div>
    <w:div w:id="276451435">
      <w:bodyDiv w:val="1"/>
      <w:marLeft w:val="0"/>
      <w:marRight w:val="0"/>
      <w:marTop w:val="0"/>
      <w:marBottom w:val="0"/>
      <w:divBdr>
        <w:top w:val="none" w:sz="0" w:space="0" w:color="auto"/>
        <w:left w:val="none" w:sz="0" w:space="0" w:color="auto"/>
        <w:bottom w:val="none" w:sz="0" w:space="0" w:color="auto"/>
        <w:right w:val="none" w:sz="0" w:space="0" w:color="auto"/>
      </w:divBdr>
    </w:div>
    <w:div w:id="311108271">
      <w:bodyDiv w:val="1"/>
      <w:marLeft w:val="0"/>
      <w:marRight w:val="0"/>
      <w:marTop w:val="0"/>
      <w:marBottom w:val="0"/>
      <w:divBdr>
        <w:top w:val="none" w:sz="0" w:space="0" w:color="auto"/>
        <w:left w:val="none" w:sz="0" w:space="0" w:color="auto"/>
        <w:bottom w:val="none" w:sz="0" w:space="0" w:color="auto"/>
        <w:right w:val="none" w:sz="0" w:space="0" w:color="auto"/>
      </w:divBdr>
    </w:div>
    <w:div w:id="353267022">
      <w:bodyDiv w:val="1"/>
      <w:marLeft w:val="0"/>
      <w:marRight w:val="0"/>
      <w:marTop w:val="0"/>
      <w:marBottom w:val="0"/>
      <w:divBdr>
        <w:top w:val="none" w:sz="0" w:space="0" w:color="auto"/>
        <w:left w:val="none" w:sz="0" w:space="0" w:color="auto"/>
        <w:bottom w:val="none" w:sz="0" w:space="0" w:color="auto"/>
        <w:right w:val="none" w:sz="0" w:space="0" w:color="auto"/>
      </w:divBdr>
    </w:div>
    <w:div w:id="382363419">
      <w:marLeft w:val="0"/>
      <w:marRight w:val="0"/>
      <w:marTop w:val="0"/>
      <w:marBottom w:val="0"/>
      <w:divBdr>
        <w:top w:val="none" w:sz="0" w:space="0" w:color="auto"/>
        <w:left w:val="none" w:sz="0" w:space="0" w:color="auto"/>
        <w:bottom w:val="none" w:sz="0" w:space="0" w:color="auto"/>
        <w:right w:val="none" w:sz="0" w:space="0" w:color="auto"/>
      </w:divBdr>
      <w:divsChild>
        <w:div w:id="1024786713">
          <w:marLeft w:val="0"/>
          <w:marRight w:val="0"/>
          <w:marTop w:val="0"/>
          <w:marBottom w:val="0"/>
          <w:divBdr>
            <w:top w:val="none" w:sz="0" w:space="0" w:color="auto"/>
            <w:left w:val="none" w:sz="0" w:space="0" w:color="auto"/>
            <w:bottom w:val="none" w:sz="0" w:space="0" w:color="auto"/>
            <w:right w:val="none" w:sz="0" w:space="0" w:color="auto"/>
          </w:divBdr>
        </w:div>
      </w:divsChild>
    </w:div>
    <w:div w:id="400830978">
      <w:marLeft w:val="0"/>
      <w:marRight w:val="0"/>
      <w:marTop w:val="0"/>
      <w:marBottom w:val="0"/>
      <w:divBdr>
        <w:top w:val="none" w:sz="0" w:space="0" w:color="auto"/>
        <w:left w:val="none" w:sz="0" w:space="0" w:color="auto"/>
        <w:bottom w:val="none" w:sz="0" w:space="0" w:color="auto"/>
        <w:right w:val="none" w:sz="0" w:space="0" w:color="auto"/>
      </w:divBdr>
      <w:divsChild>
        <w:div w:id="1035696898">
          <w:marLeft w:val="0"/>
          <w:marRight w:val="0"/>
          <w:marTop w:val="0"/>
          <w:marBottom w:val="0"/>
          <w:divBdr>
            <w:top w:val="none" w:sz="0" w:space="0" w:color="auto"/>
            <w:left w:val="none" w:sz="0" w:space="0" w:color="auto"/>
            <w:bottom w:val="none" w:sz="0" w:space="0" w:color="auto"/>
            <w:right w:val="none" w:sz="0" w:space="0" w:color="auto"/>
          </w:divBdr>
        </w:div>
      </w:divsChild>
    </w:div>
    <w:div w:id="406196119">
      <w:bodyDiv w:val="1"/>
      <w:marLeft w:val="0"/>
      <w:marRight w:val="0"/>
      <w:marTop w:val="0"/>
      <w:marBottom w:val="0"/>
      <w:divBdr>
        <w:top w:val="none" w:sz="0" w:space="0" w:color="auto"/>
        <w:left w:val="none" w:sz="0" w:space="0" w:color="auto"/>
        <w:bottom w:val="none" w:sz="0" w:space="0" w:color="auto"/>
        <w:right w:val="none" w:sz="0" w:space="0" w:color="auto"/>
      </w:divBdr>
    </w:div>
    <w:div w:id="406997508">
      <w:marLeft w:val="0"/>
      <w:marRight w:val="0"/>
      <w:marTop w:val="0"/>
      <w:marBottom w:val="0"/>
      <w:divBdr>
        <w:top w:val="none" w:sz="0" w:space="0" w:color="auto"/>
        <w:left w:val="none" w:sz="0" w:space="0" w:color="auto"/>
        <w:bottom w:val="none" w:sz="0" w:space="0" w:color="auto"/>
        <w:right w:val="none" w:sz="0" w:space="0" w:color="auto"/>
      </w:divBdr>
      <w:divsChild>
        <w:div w:id="1524899739">
          <w:marLeft w:val="0"/>
          <w:marRight w:val="0"/>
          <w:marTop w:val="0"/>
          <w:marBottom w:val="0"/>
          <w:divBdr>
            <w:top w:val="none" w:sz="0" w:space="0" w:color="auto"/>
            <w:left w:val="none" w:sz="0" w:space="0" w:color="auto"/>
            <w:bottom w:val="none" w:sz="0" w:space="0" w:color="auto"/>
            <w:right w:val="none" w:sz="0" w:space="0" w:color="auto"/>
          </w:divBdr>
        </w:div>
      </w:divsChild>
    </w:div>
    <w:div w:id="421143327">
      <w:bodyDiv w:val="1"/>
      <w:marLeft w:val="0"/>
      <w:marRight w:val="0"/>
      <w:marTop w:val="0"/>
      <w:marBottom w:val="0"/>
      <w:divBdr>
        <w:top w:val="none" w:sz="0" w:space="0" w:color="auto"/>
        <w:left w:val="none" w:sz="0" w:space="0" w:color="auto"/>
        <w:bottom w:val="none" w:sz="0" w:space="0" w:color="auto"/>
        <w:right w:val="none" w:sz="0" w:space="0" w:color="auto"/>
      </w:divBdr>
    </w:div>
    <w:div w:id="426391771">
      <w:marLeft w:val="0"/>
      <w:marRight w:val="0"/>
      <w:marTop w:val="0"/>
      <w:marBottom w:val="0"/>
      <w:divBdr>
        <w:top w:val="none" w:sz="0" w:space="0" w:color="auto"/>
        <w:left w:val="none" w:sz="0" w:space="0" w:color="auto"/>
        <w:bottom w:val="none" w:sz="0" w:space="0" w:color="auto"/>
        <w:right w:val="none" w:sz="0" w:space="0" w:color="auto"/>
      </w:divBdr>
      <w:divsChild>
        <w:div w:id="1715153039">
          <w:marLeft w:val="0"/>
          <w:marRight w:val="0"/>
          <w:marTop w:val="0"/>
          <w:marBottom w:val="0"/>
          <w:divBdr>
            <w:top w:val="none" w:sz="0" w:space="0" w:color="auto"/>
            <w:left w:val="none" w:sz="0" w:space="0" w:color="auto"/>
            <w:bottom w:val="none" w:sz="0" w:space="0" w:color="auto"/>
            <w:right w:val="none" w:sz="0" w:space="0" w:color="auto"/>
          </w:divBdr>
        </w:div>
      </w:divsChild>
    </w:div>
    <w:div w:id="431512726">
      <w:marLeft w:val="0"/>
      <w:marRight w:val="0"/>
      <w:marTop w:val="0"/>
      <w:marBottom w:val="0"/>
      <w:divBdr>
        <w:top w:val="none" w:sz="0" w:space="0" w:color="auto"/>
        <w:left w:val="none" w:sz="0" w:space="0" w:color="auto"/>
        <w:bottom w:val="none" w:sz="0" w:space="0" w:color="auto"/>
        <w:right w:val="none" w:sz="0" w:space="0" w:color="auto"/>
      </w:divBdr>
      <w:divsChild>
        <w:div w:id="1429497247">
          <w:marLeft w:val="0"/>
          <w:marRight w:val="0"/>
          <w:marTop w:val="0"/>
          <w:marBottom w:val="0"/>
          <w:divBdr>
            <w:top w:val="none" w:sz="0" w:space="0" w:color="auto"/>
            <w:left w:val="none" w:sz="0" w:space="0" w:color="auto"/>
            <w:bottom w:val="none" w:sz="0" w:space="0" w:color="auto"/>
            <w:right w:val="none" w:sz="0" w:space="0" w:color="auto"/>
          </w:divBdr>
        </w:div>
      </w:divsChild>
    </w:div>
    <w:div w:id="446894669">
      <w:marLeft w:val="0"/>
      <w:marRight w:val="0"/>
      <w:marTop w:val="0"/>
      <w:marBottom w:val="0"/>
      <w:divBdr>
        <w:top w:val="none" w:sz="0" w:space="0" w:color="auto"/>
        <w:left w:val="none" w:sz="0" w:space="0" w:color="auto"/>
        <w:bottom w:val="none" w:sz="0" w:space="0" w:color="auto"/>
        <w:right w:val="none" w:sz="0" w:space="0" w:color="auto"/>
      </w:divBdr>
      <w:divsChild>
        <w:div w:id="131796183">
          <w:marLeft w:val="0"/>
          <w:marRight w:val="0"/>
          <w:marTop w:val="0"/>
          <w:marBottom w:val="0"/>
          <w:divBdr>
            <w:top w:val="none" w:sz="0" w:space="0" w:color="auto"/>
            <w:left w:val="none" w:sz="0" w:space="0" w:color="auto"/>
            <w:bottom w:val="none" w:sz="0" w:space="0" w:color="auto"/>
            <w:right w:val="none" w:sz="0" w:space="0" w:color="auto"/>
          </w:divBdr>
        </w:div>
      </w:divsChild>
    </w:div>
    <w:div w:id="484782206">
      <w:marLeft w:val="0"/>
      <w:marRight w:val="0"/>
      <w:marTop w:val="0"/>
      <w:marBottom w:val="0"/>
      <w:divBdr>
        <w:top w:val="none" w:sz="0" w:space="0" w:color="auto"/>
        <w:left w:val="none" w:sz="0" w:space="0" w:color="auto"/>
        <w:bottom w:val="none" w:sz="0" w:space="0" w:color="auto"/>
        <w:right w:val="none" w:sz="0" w:space="0" w:color="auto"/>
      </w:divBdr>
      <w:divsChild>
        <w:div w:id="895245059">
          <w:marLeft w:val="0"/>
          <w:marRight w:val="0"/>
          <w:marTop w:val="0"/>
          <w:marBottom w:val="0"/>
          <w:divBdr>
            <w:top w:val="none" w:sz="0" w:space="0" w:color="auto"/>
            <w:left w:val="none" w:sz="0" w:space="0" w:color="auto"/>
            <w:bottom w:val="none" w:sz="0" w:space="0" w:color="auto"/>
            <w:right w:val="none" w:sz="0" w:space="0" w:color="auto"/>
          </w:divBdr>
        </w:div>
      </w:divsChild>
    </w:div>
    <w:div w:id="507910285">
      <w:marLeft w:val="0"/>
      <w:marRight w:val="0"/>
      <w:marTop w:val="0"/>
      <w:marBottom w:val="0"/>
      <w:divBdr>
        <w:top w:val="none" w:sz="0" w:space="0" w:color="auto"/>
        <w:left w:val="none" w:sz="0" w:space="0" w:color="auto"/>
        <w:bottom w:val="none" w:sz="0" w:space="0" w:color="auto"/>
        <w:right w:val="none" w:sz="0" w:space="0" w:color="auto"/>
      </w:divBdr>
      <w:divsChild>
        <w:div w:id="245190926">
          <w:marLeft w:val="0"/>
          <w:marRight w:val="0"/>
          <w:marTop w:val="0"/>
          <w:marBottom w:val="0"/>
          <w:divBdr>
            <w:top w:val="none" w:sz="0" w:space="0" w:color="auto"/>
            <w:left w:val="none" w:sz="0" w:space="0" w:color="auto"/>
            <w:bottom w:val="none" w:sz="0" w:space="0" w:color="auto"/>
            <w:right w:val="none" w:sz="0" w:space="0" w:color="auto"/>
          </w:divBdr>
        </w:div>
      </w:divsChild>
    </w:div>
    <w:div w:id="534856330">
      <w:marLeft w:val="0"/>
      <w:marRight w:val="0"/>
      <w:marTop w:val="0"/>
      <w:marBottom w:val="0"/>
      <w:divBdr>
        <w:top w:val="none" w:sz="0" w:space="0" w:color="auto"/>
        <w:left w:val="none" w:sz="0" w:space="0" w:color="auto"/>
        <w:bottom w:val="none" w:sz="0" w:space="0" w:color="auto"/>
        <w:right w:val="none" w:sz="0" w:space="0" w:color="auto"/>
      </w:divBdr>
      <w:divsChild>
        <w:div w:id="366486107">
          <w:marLeft w:val="0"/>
          <w:marRight w:val="0"/>
          <w:marTop w:val="0"/>
          <w:marBottom w:val="0"/>
          <w:divBdr>
            <w:top w:val="none" w:sz="0" w:space="0" w:color="auto"/>
            <w:left w:val="none" w:sz="0" w:space="0" w:color="auto"/>
            <w:bottom w:val="none" w:sz="0" w:space="0" w:color="auto"/>
            <w:right w:val="none" w:sz="0" w:space="0" w:color="auto"/>
          </w:divBdr>
        </w:div>
      </w:divsChild>
    </w:div>
    <w:div w:id="536897180">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557323609">
      <w:marLeft w:val="0"/>
      <w:marRight w:val="0"/>
      <w:marTop w:val="0"/>
      <w:marBottom w:val="0"/>
      <w:divBdr>
        <w:top w:val="none" w:sz="0" w:space="0" w:color="auto"/>
        <w:left w:val="none" w:sz="0" w:space="0" w:color="auto"/>
        <w:bottom w:val="none" w:sz="0" w:space="0" w:color="auto"/>
        <w:right w:val="none" w:sz="0" w:space="0" w:color="auto"/>
      </w:divBdr>
      <w:divsChild>
        <w:div w:id="343941733">
          <w:marLeft w:val="0"/>
          <w:marRight w:val="0"/>
          <w:marTop w:val="0"/>
          <w:marBottom w:val="0"/>
          <w:divBdr>
            <w:top w:val="none" w:sz="0" w:space="0" w:color="auto"/>
            <w:left w:val="none" w:sz="0" w:space="0" w:color="auto"/>
            <w:bottom w:val="none" w:sz="0" w:space="0" w:color="auto"/>
            <w:right w:val="none" w:sz="0" w:space="0" w:color="auto"/>
          </w:divBdr>
        </w:div>
      </w:divsChild>
    </w:div>
    <w:div w:id="578252360">
      <w:bodyDiv w:val="1"/>
      <w:marLeft w:val="0"/>
      <w:marRight w:val="0"/>
      <w:marTop w:val="0"/>
      <w:marBottom w:val="0"/>
      <w:divBdr>
        <w:top w:val="none" w:sz="0" w:space="0" w:color="auto"/>
        <w:left w:val="none" w:sz="0" w:space="0" w:color="auto"/>
        <w:bottom w:val="none" w:sz="0" w:space="0" w:color="auto"/>
        <w:right w:val="none" w:sz="0" w:space="0" w:color="auto"/>
      </w:divBdr>
    </w:div>
    <w:div w:id="587538241">
      <w:marLeft w:val="0"/>
      <w:marRight w:val="0"/>
      <w:marTop w:val="0"/>
      <w:marBottom w:val="0"/>
      <w:divBdr>
        <w:top w:val="none" w:sz="0" w:space="0" w:color="auto"/>
        <w:left w:val="none" w:sz="0" w:space="0" w:color="auto"/>
        <w:bottom w:val="none" w:sz="0" w:space="0" w:color="auto"/>
        <w:right w:val="none" w:sz="0" w:space="0" w:color="auto"/>
      </w:divBdr>
      <w:divsChild>
        <w:div w:id="781147927">
          <w:marLeft w:val="0"/>
          <w:marRight w:val="0"/>
          <w:marTop w:val="0"/>
          <w:marBottom w:val="0"/>
          <w:divBdr>
            <w:top w:val="none" w:sz="0" w:space="0" w:color="auto"/>
            <w:left w:val="none" w:sz="0" w:space="0" w:color="auto"/>
            <w:bottom w:val="none" w:sz="0" w:space="0" w:color="auto"/>
            <w:right w:val="none" w:sz="0" w:space="0" w:color="auto"/>
          </w:divBdr>
        </w:div>
      </w:divsChild>
    </w:div>
    <w:div w:id="597107023">
      <w:bodyDiv w:val="1"/>
      <w:marLeft w:val="0"/>
      <w:marRight w:val="0"/>
      <w:marTop w:val="0"/>
      <w:marBottom w:val="0"/>
      <w:divBdr>
        <w:top w:val="none" w:sz="0" w:space="0" w:color="auto"/>
        <w:left w:val="none" w:sz="0" w:space="0" w:color="auto"/>
        <w:bottom w:val="none" w:sz="0" w:space="0" w:color="auto"/>
        <w:right w:val="none" w:sz="0" w:space="0" w:color="auto"/>
      </w:divBdr>
    </w:div>
    <w:div w:id="607205133">
      <w:marLeft w:val="0"/>
      <w:marRight w:val="0"/>
      <w:marTop w:val="0"/>
      <w:marBottom w:val="0"/>
      <w:divBdr>
        <w:top w:val="none" w:sz="0" w:space="0" w:color="auto"/>
        <w:left w:val="none" w:sz="0" w:space="0" w:color="auto"/>
        <w:bottom w:val="none" w:sz="0" w:space="0" w:color="auto"/>
        <w:right w:val="none" w:sz="0" w:space="0" w:color="auto"/>
      </w:divBdr>
      <w:divsChild>
        <w:div w:id="2015840872">
          <w:marLeft w:val="0"/>
          <w:marRight w:val="0"/>
          <w:marTop w:val="0"/>
          <w:marBottom w:val="0"/>
          <w:divBdr>
            <w:top w:val="none" w:sz="0" w:space="0" w:color="auto"/>
            <w:left w:val="none" w:sz="0" w:space="0" w:color="auto"/>
            <w:bottom w:val="none" w:sz="0" w:space="0" w:color="auto"/>
            <w:right w:val="none" w:sz="0" w:space="0" w:color="auto"/>
          </w:divBdr>
        </w:div>
      </w:divsChild>
    </w:div>
    <w:div w:id="608271467">
      <w:marLeft w:val="0"/>
      <w:marRight w:val="0"/>
      <w:marTop w:val="0"/>
      <w:marBottom w:val="0"/>
      <w:divBdr>
        <w:top w:val="none" w:sz="0" w:space="0" w:color="auto"/>
        <w:left w:val="none" w:sz="0" w:space="0" w:color="auto"/>
        <w:bottom w:val="none" w:sz="0" w:space="0" w:color="auto"/>
        <w:right w:val="none" w:sz="0" w:space="0" w:color="auto"/>
      </w:divBdr>
      <w:divsChild>
        <w:div w:id="800264034">
          <w:marLeft w:val="0"/>
          <w:marRight w:val="0"/>
          <w:marTop w:val="0"/>
          <w:marBottom w:val="0"/>
          <w:divBdr>
            <w:top w:val="none" w:sz="0" w:space="0" w:color="auto"/>
            <w:left w:val="none" w:sz="0" w:space="0" w:color="auto"/>
            <w:bottom w:val="none" w:sz="0" w:space="0" w:color="auto"/>
            <w:right w:val="none" w:sz="0" w:space="0" w:color="auto"/>
          </w:divBdr>
        </w:div>
      </w:divsChild>
    </w:div>
    <w:div w:id="622150569">
      <w:bodyDiv w:val="1"/>
      <w:marLeft w:val="0"/>
      <w:marRight w:val="0"/>
      <w:marTop w:val="0"/>
      <w:marBottom w:val="0"/>
      <w:divBdr>
        <w:top w:val="none" w:sz="0" w:space="0" w:color="auto"/>
        <w:left w:val="none" w:sz="0" w:space="0" w:color="auto"/>
        <w:bottom w:val="none" w:sz="0" w:space="0" w:color="auto"/>
        <w:right w:val="none" w:sz="0" w:space="0" w:color="auto"/>
      </w:divBdr>
      <w:divsChild>
        <w:div w:id="1025711053">
          <w:marLeft w:val="0"/>
          <w:marRight w:val="0"/>
          <w:marTop w:val="0"/>
          <w:marBottom w:val="0"/>
          <w:divBdr>
            <w:top w:val="none" w:sz="0" w:space="0" w:color="auto"/>
            <w:left w:val="none" w:sz="0" w:space="0" w:color="auto"/>
            <w:bottom w:val="none" w:sz="0" w:space="0" w:color="auto"/>
            <w:right w:val="none" w:sz="0" w:space="0" w:color="auto"/>
          </w:divBdr>
          <w:divsChild>
            <w:div w:id="1528636321">
              <w:marLeft w:val="0"/>
              <w:marRight w:val="0"/>
              <w:marTop w:val="0"/>
              <w:marBottom w:val="0"/>
              <w:divBdr>
                <w:top w:val="none" w:sz="0" w:space="0" w:color="auto"/>
                <w:left w:val="none" w:sz="0" w:space="0" w:color="auto"/>
                <w:bottom w:val="none" w:sz="0" w:space="0" w:color="auto"/>
                <w:right w:val="none" w:sz="0" w:space="0" w:color="auto"/>
              </w:divBdr>
              <w:divsChild>
                <w:div w:id="16140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47611">
      <w:bodyDiv w:val="1"/>
      <w:marLeft w:val="0"/>
      <w:marRight w:val="0"/>
      <w:marTop w:val="0"/>
      <w:marBottom w:val="0"/>
      <w:divBdr>
        <w:top w:val="none" w:sz="0" w:space="0" w:color="auto"/>
        <w:left w:val="none" w:sz="0" w:space="0" w:color="auto"/>
        <w:bottom w:val="none" w:sz="0" w:space="0" w:color="auto"/>
        <w:right w:val="none" w:sz="0" w:space="0" w:color="auto"/>
      </w:divBdr>
    </w:div>
    <w:div w:id="652292452">
      <w:marLeft w:val="0"/>
      <w:marRight w:val="0"/>
      <w:marTop w:val="0"/>
      <w:marBottom w:val="0"/>
      <w:divBdr>
        <w:top w:val="none" w:sz="0" w:space="0" w:color="auto"/>
        <w:left w:val="none" w:sz="0" w:space="0" w:color="auto"/>
        <w:bottom w:val="none" w:sz="0" w:space="0" w:color="auto"/>
        <w:right w:val="none" w:sz="0" w:space="0" w:color="auto"/>
      </w:divBdr>
      <w:divsChild>
        <w:div w:id="273442003">
          <w:marLeft w:val="0"/>
          <w:marRight w:val="0"/>
          <w:marTop w:val="0"/>
          <w:marBottom w:val="0"/>
          <w:divBdr>
            <w:top w:val="none" w:sz="0" w:space="0" w:color="auto"/>
            <w:left w:val="none" w:sz="0" w:space="0" w:color="auto"/>
            <w:bottom w:val="none" w:sz="0" w:space="0" w:color="auto"/>
            <w:right w:val="none" w:sz="0" w:space="0" w:color="auto"/>
          </w:divBdr>
        </w:div>
      </w:divsChild>
    </w:div>
    <w:div w:id="655232348">
      <w:bodyDiv w:val="1"/>
      <w:marLeft w:val="0"/>
      <w:marRight w:val="0"/>
      <w:marTop w:val="0"/>
      <w:marBottom w:val="0"/>
      <w:divBdr>
        <w:top w:val="none" w:sz="0" w:space="0" w:color="auto"/>
        <w:left w:val="none" w:sz="0" w:space="0" w:color="auto"/>
        <w:bottom w:val="none" w:sz="0" w:space="0" w:color="auto"/>
        <w:right w:val="none" w:sz="0" w:space="0" w:color="auto"/>
      </w:divBdr>
    </w:div>
    <w:div w:id="659893466">
      <w:marLeft w:val="0"/>
      <w:marRight w:val="0"/>
      <w:marTop w:val="0"/>
      <w:marBottom w:val="0"/>
      <w:divBdr>
        <w:top w:val="none" w:sz="0" w:space="0" w:color="auto"/>
        <w:left w:val="none" w:sz="0" w:space="0" w:color="auto"/>
        <w:bottom w:val="none" w:sz="0" w:space="0" w:color="auto"/>
        <w:right w:val="none" w:sz="0" w:space="0" w:color="auto"/>
      </w:divBdr>
    </w:div>
    <w:div w:id="659893470">
      <w:marLeft w:val="0"/>
      <w:marRight w:val="0"/>
      <w:marTop w:val="0"/>
      <w:marBottom w:val="0"/>
      <w:divBdr>
        <w:top w:val="none" w:sz="0" w:space="0" w:color="auto"/>
        <w:left w:val="none" w:sz="0" w:space="0" w:color="auto"/>
        <w:bottom w:val="none" w:sz="0" w:space="0" w:color="auto"/>
        <w:right w:val="none" w:sz="0" w:space="0" w:color="auto"/>
      </w:divBdr>
      <w:divsChild>
        <w:div w:id="659893463">
          <w:marLeft w:val="0"/>
          <w:marRight w:val="0"/>
          <w:marTop w:val="0"/>
          <w:marBottom w:val="0"/>
          <w:divBdr>
            <w:top w:val="none" w:sz="0" w:space="0" w:color="auto"/>
            <w:left w:val="none" w:sz="0" w:space="0" w:color="auto"/>
            <w:bottom w:val="none" w:sz="0" w:space="0" w:color="auto"/>
            <w:right w:val="none" w:sz="0" w:space="0" w:color="auto"/>
          </w:divBdr>
        </w:div>
        <w:div w:id="659893464">
          <w:marLeft w:val="0"/>
          <w:marRight w:val="0"/>
          <w:marTop w:val="0"/>
          <w:marBottom w:val="0"/>
          <w:divBdr>
            <w:top w:val="none" w:sz="0" w:space="0" w:color="auto"/>
            <w:left w:val="none" w:sz="0" w:space="0" w:color="auto"/>
            <w:bottom w:val="none" w:sz="0" w:space="0" w:color="auto"/>
            <w:right w:val="none" w:sz="0" w:space="0" w:color="auto"/>
          </w:divBdr>
        </w:div>
        <w:div w:id="659893465">
          <w:marLeft w:val="0"/>
          <w:marRight w:val="0"/>
          <w:marTop w:val="0"/>
          <w:marBottom w:val="0"/>
          <w:divBdr>
            <w:top w:val="none" w:sz="0" w:space="0" w:color="auto"/>
            <w:left w:val="none" w:sz="0" w:space="0" w:color="auto"/>
            <w:bottom w:val="none" w:sz="0" w:space="0" w:color="auto"/>
            <w:right w:val="none" w:sz="0" w:space="0" w:color="auto"/>
          </w:divBdr>
        </w:div>
        <w:div w:id="659893467">
          <w:marLeft w:val="0"/>
          <w:marRight w:val="0"/>
          <w:marTop w:val="0"/>
          <w:marBottom w:val="0"/>
          <w:divBdr>
            <w:top w:val="none" w:sz="0" w:space="0" w:color="auto"/>
            <w:left w:val="none" w:sz="0" w:space="0" w:color="auto"/>
            <w:bottom w:val="none" w:sz="0" w:space="0" w:color="auto"/>
            <w:right w:val="none" w:sz="0" w:space="0" w:color="auto"/>
          </w:divBdr>
        </w:div>
        <w:div w:id="659893468">
          <w:marLeft w:val="0"/>
          <w:marRight w:val="0"/>
          <w:marTop w:val="0"/>
          <w:marBottom w:val="0"/>
          <w:divBdr>
            <w:top w:val="none" w:sz="0" w:space="0" w:color="auto"/>
            <w:left w:val="none" w:sz="0" w:space="0" w:color="auto"/>
            <w:bottom w:val="none" w:sz="0" w:space="0" w:color="auto"/>
            <w:right w:val="none" w:sz="0" w:space="0" w:color="auto"/>
          </w:divBdr>
        </w:div>
        <w:div w:id="659893469">
          <w:marLeft w:val="0"/>
          <w:marRight w:val="0"/>
          <w:marTop w:val="0"/>
          <w:marBottom w:val="0"/>
          <w:divBdr>
            <w:top w:val="none" w:sz="0" w:space="0" w:color="auto"/>
            <w:left w:val="none" w:sz="0" w:space="0" w:color="auto"/>
            <w:bottom w:val="none" w:sz="0" w:space="0" w:color="auto"/>
            <w:right w:val="none" w:sz="0" w:space="0" w:color="auto"/>
          </w:divBdr>
        </w:div>
      </w:divsChild>
    </w:div>
    <w:div w:id="659893471">
      <w:marLeft w:val="0"/>
      <w:marRight w:val="0"/>
      <w:marTop w:val="0"/>
      <w:marBottom w:val="0"/>
      <w:divBdr>
        <w:top w:val="none" w:sz="0" w:space="0" w:color="auto"/>
        <w:left w:val="none" w:sz="0" w:space="0" w:color="auto"/>
        <w:bottom w:val="none" w:sz="0" w:space="0" w:color="auto"/>
        <w:right w:val="none" w:sz="0" w:space="0" w:color="auto"/>
      </w:divBdr>
    </w:div>
    <w:div w:id="721296148">
      <w:marLeft w:val="0"/>
      <w:marRight w:val="0"/>
      <w:marTop w:val="0"/>
      <w:marBottom w:val="0"/>
      <w:divBdr>
        <w:top w:val="none" w:sz="0" w:space="0" w:color="auto"/>
        <w:left w:val="none" w:sz="0" w:space="0" w:color="auto"/>
        <w:bottom w:val="none" w:sz="0" w:space="0" w:color="auto"/>
        <w:right w:val="none" w:sz="0" w:space="0" w:color="auto"/>
      </w:divBdr>
      <w:divsChild>
        <w:div w:id="547184014">
          <w:marLeft w:val="0"/>
          <w:marRight w:val="0"/>
          <w:marTop w:val="0"/>
          <w:marBottom w:val="0"/>
          <w:divBdr>
            <w:top w:val="none" w:sz="0" w:space="0" w:color="auto"/>
            <w:left w:val="none" w:sz="0" w:space="0" w:color="auto"/>
            <w:bottom w:val="none" w:sz="0" w:space="0" w:color="auto"/>
            <w:right w:val="none" w:sz="0" w:space="0" w:color="auto"/>
          </w:divBdr>
        </w:div>
      </w:divsChild>
    </w:div>
    <w:div w:id="755394856">
      <w:marLeft w:val="0"/>
      <w:marRight w:val="0"/>
      <w:marTop w:val="0"/>
      <w:marBottom w:val="0"/>
      <w:divBdr>
        <w:top w:val="none" w:sz="0" w:space="0" w:color="auto"/>
        <w:left w:val="none" w:sz="0" w:space="0" w:color="auto"/>
        <w:bottom w:val="none" w:sz="0" w:space="0" w:color="auto"/>
        <w:right w:val="none" w:sz="0" w:space="0" w:color="auto"/>
      </w:divBdr>
      <w:divsChild>
        <w:div w:id="678585806">
          <w:marLeft w:val="0"/>
          <w:marRight w:val="0"/>
          <w:marTop w:val="0"/>
          <w:marBottom w:val="0"/>
          <w:divBdr>
            <w:top w:val="none" w:sz="0" w:space="0" w:color="auto"/>
            <w:left w:val="none" w:sz="0" w:space="0" w:color="auto"/>
            <w:bottom w:val="none" w:sz="0" w:space="0" w:color="auto"/>
            <w:right w:val="none" w:sz="0" w:space="0" w:color="auto"/>
          </w:divBdr>
        </w:div>
      </w:divsChild>
    </w:div>
    <w:div w:id="768501003">
      <w:bodyDiv w:val="1"/>
      <w:marLeft w:val="0"/>
      <w:marRight w:val="0"/>
      <w:marTop w:val="0"/>
      <w:marBottom w:val="0"/>
      <w:divBdr>
        <w:top w:val="none" w:sz="0" w:space="0" w:color="auto"/>
        <w:left w:val="none" w:sz="0" w:space="0" w:color="auto"/>
        <w:bottom w:val="none" w:sz="0" w:space="0" w:color="auto"/>
        <w:right w:val="none" w:sz="0" w:space="0" w:color="auto"/>
      </w:divBdr>
    </w:div>
    <w:div w:id="769619003">
      <w:bodyDiv w:val="1"/>
      <w:marLeft w:val="0"/>
      <w:marRight w:val="0"/>
      <w:marTop w:val="0"/>
      <w:marBottom w:val="0"/>
      <w:divBdr>
        <w:top w:val="none" w:sz="0" w:space="0" w:color="auto"/>
        <w:left w:val="none" w:sz="0" w:space="0" w:color="auto"/>
        <w:bottom w:val="none" w:sz="0" w:space="0" w:color="auto"/>
        <w:right w:val="none" w:sz="0" w:space="0" w:color="auto"/>
      </w:divBdr>
    </w:div>
    <w:div w:id="778182736">
      <w:marLeft w:val="0"/>
      <w:marRight w:val="0"/>
      <w:marTop w:val="0"/>
      <w:marBottom w:val="0"/>
      <w:divBdr>
        <w:top w:val="none" w:sz="0" w:space="0" w:color="auto"/>
        <w:left w:val="none" w:sz="0" w:space="0" w:color="auto"/>
        <w:bottom w:val="none" w:sz="0" w:space="0" w:color="auto"/>
        <w:right w:val="none" w:sz="0" w:space="0" w:color="auto"/>
      </w:divBdr>
      <w:divsChild>
        <w:div w:id="1241646145">
          <w:marLeft w:val="0"/>
          <w:marRight w:val="0"/>
          <w:marTop w:val="0"/>
          <w:marBottom w:val="0"/>
          <w:divBdr>
            <w:top w:val="none" w:sz="0" w:space="0" w:color="auto"/>
            <w:left w:val="none" w:sz="0" w:space="0" w:color="auto"/>
            <w:bottom w:val="none" w:sz="0" w:space="0" w:color="auto"/>
            <w:right w:val="none" w:sz="0" w:space="0" w:color="auto"/>
          </w:divBdr>
        </w:div>
      </w:divsChild>
    </w:div>
    <w:div w:id="802888948">
      <w:marLeft w:val="0"/>
      <w:marRight w:val="0"/>
      <w:marTop w:val="0"/>
      <w:marBottom w:val="0"/>
      <w:divBdr>
        <w:top w:val="none" w:sz="0" w:space="0" w:color="auto"/>
        <w:left w:val="none" w:sz="0" w:space="0" w:color="auto"/>
        <w:bottom w:val="none" w:sz="0" w:space="0" w:color="auto"/>
        <w:right w:val="none" w:sz="0" w:space="0" w:color="auto"/>
      </w:divBdr>
      <w:divsChild>
        <w:div w:id="933056515">
          <w:marLeft w:val="0"/>
          <w:marRight w:val="0"/>
          <w:marTop w:val="0"/>
          <w:marBottom w:val="0"/>
          <w:divBdr>
            <w:top w:val="none" w:sz="0" w:space="0" w:color="auto"/>
            <w:left w:val="none" w:sz="0" w:space="0" w:color="auto"/>
            <w:bottom w:val="none" w:sz="0" w:space="0" w:color="auto"/>
            <w:right w:val="none" w:sz="0" w:space="0" w:color="auto"/>
          </w:divBdr>
        </w:div>
      </w:divsChild>
    </w:div>
    <w:div w:id="805048530">
      <w:bodyDiv w:val="1"/>
      <w:marLeft w:val="0"/>
      <w:marRight w:val="0"/>
      <w:marTop w:val="0"/>
      <w:marBottom w:val="0"/>
      <w:divBdr>
        <w:top w:val="none" w:sz="0" w:space="0" w:color="auto"/>
        <w:left w:val="none" w:sz="0" w:space="0" w:color="auto"/>
        <w:bottom w:val="none" w:sz="0" w:space="0" w:color="auto"/>
        <w:right w:val="none" w:sz="0" w:space="0" w:color="auto"/>
      </w:divBdr>
    </w:div>
    <w:div w:id="809516815">
      <w:marLeft w:val="0"/>
      <w:marRight w:val="0"/>
      <w:marTop w:val="0"/>
      <w:marBottom w:val="0"/>
      <w:divBdr>
        <w:top w:val="none" w:sz="0" w:space="0" w:color="auto"/>
        <w:left w:val="none" w:sz="0" w:space="0" w:color="auto"/>
        <w:bottom w:val="none" w:sz="0" w:space="0" w:color="auto"/>
        <w:right w:val="none" w:sz="0" w:space="0" w:color="auto"/>
      </w:divBdr>
      <w:divsChild>
        <w:div w:id="606497921">
          <w:marLeft w:val="0"/>
          <w:marRight w:val="0"/>
          <w:marTop w:val="0"/>
          <w:marBottom w:val="0"/>
          <w:divBdr>
            <w:top w:val="none" w:sz="0" w:space="0" w:color="auto"/>
            <w:left w:val="none" w:sz="0" w:space="0" w:color="auto"/>
            <w:bottom w:val="none" w:sz="0" w:space="0" w:color="auto"/>
            <w:right w:val="none" w:sz="0" w:space="0" w:color="auto"/>
          </w:divBdr>
        </w:div>
      </w:divsChild>
    </w:div>
    <w:div w:id="827669550">
      <w:bodyDiv w:val="1"/>
      <w:marLeft w:val="0"/>
      <w:marRight w:val="0"/>
      <w:marTop w:val="0"/>
      <w:marBottom w:val="0"/>
      <w:divBdr>
        <w:top w:val="none" w:sz="0" w:space="0" w:color="auto"/>
        <w:left w:val="none" w:sz="0" w:space="0" w:color="auto"/>
        <w:bottom w:val="none" w:sz="0" w:space="0" w:color="auto"/>
        <w:right w:val="none" w:sz="0" w:space="0" w:color="auto"/>
      </w:divBdr>
    </w:div>
    <w:div w:id="872691118">
      <w:marLeft w:val="0"/>
      <w:marRight w:val="0"/>
      <w:marTop w:val="0"/>
      <w:marBottom w:val="0"/>
      <w:divBdr>
        <w:top w:val="none" w:sz="0" w:space="0" w:color="auto"/>
        <w:left w:val="none" w:sz="0" w:space="0" w:color="auto"/>
        <w:bottom w:val="none" w:sz="0" w:space="0" w:color="auto"/>
        <w:right w:val="none" w:sz="0" w:space="0" w:color="auto"/>
      </w:divBdr>
      <w:divsChild>
        <w:div w:id="623659448">
          <w:marLeft w:val="0"/>
          <w:marRight w:val="0"/>
          <w:marTop w:val="0"/>
          <w:marBottom w:val="0"/>
          <w:divBdr>
            <w:top w:val="none" w:sz="0" w:space="0" w:color="auto"/>
            <w:left w:val="none" w:sz="0" w:space="0" w:color="auto"/>
            <w:bottom w:val="none" w:sz="0" w:space="0" w:color="auto"/>
            <w:right w:val="none" w:sz="0" w:space="0" w:color="auto"/>
          </w:divBdr>
        </w:div>
      </w:divsChild>
    </w:div>
    <w:div w:id="873736471">
      <w:bodyDiv w:val="1"/>
      <w:marLeft w:val="0"/>
      <w:marRight w:val="0"/>
      <w:marTop w:val="0"/>
      <w:marBottom w:val="0"/>
      <w:divBdr>
        <w:top w:val="none" w:sz="0" w:space="0" w:color="auto"/>
        <w:left w:val="none" w:sz="0" w:space="0" w:color="auto"/>
        <w:bottom w:val="none" w:sz="0" w:space="0" w:color="auto"/>
        <w:right w:val="none" w:sz="0" w:space="0" w:color="auto"/>
      </w:divBdr>
    </w:div>
    <w:div w:id="918320708">
      <w:bodyDiv w:val="1"/>
      <w:marLeft w:val="0"/>
      <w:marRight w:val="0"/>
      <w:marTop w:val="0"/>
      <w:marBottom w:val="0"/>
      <w:divBdr>
        <w:top w:val="none" w:sz="0" w:space="0" w:color="auto"/>
        <w:left w:val="none" w:sz="0" w:space="0" w:color="auto"/>
        <w:bottom w:val="none" w:sz="0" w:space="0" w:color="auto"/>
        <w:right w:val="none" w:sz="0" w:space="0" w:color="auto"/>
      </w:divBdr>
    </w:div>
    <w:div w:id="964114999">
      <w:bodyDiv w:val="1"/>
      <w:marLeft w:val="0"/>
      <w:marRight w:val="0"/>
      <w:marTop w:val="0"/>
      <w:marBottom w:val="0"/>
      <w:divBdr>
        <w:top w:val="none" w:sz="0" w:space="0" w:color="auto"/>
        <w:left w:val="none" w:sz="0" w:space="0" w:color="auto"/>
        <w:bottom w:val="none" w:sz="0" w:space="0" w:color="auto"/>
        <w:right w:val="none" w:sz="0" w:space="0" w:color="auto"/>
      </w:divBdr>
    </w:div>
    <w:div w:id="967124692">
      <w:marLeft w:val="0"/>
      <w:marRight w:val="0"/>
      <w:marTop w:val="0"/>
      <w:marBottom w:val="0"/>
      <w:divBdr>
        <w:top w:val="none" w:sz="0" w:space="0" w:color="auto"/>
        <w:left w:val="none" w:sz="0" w:space="0" w:color="auto"/>
        <w:bottom w:val="none" w:sz="0" w:space="0" w:color="auto"/>
        <w:right w:val="none" w:sz="0" w:space="0" w:color="auto"/>
      </w:divBdr>
      <w:divsChild>
        <w:div w:id="20011226">
          <w:marLeft w:val="0"/>
          <w:marRight w:val="0"/>
          <w:marTop w:val="0"/>
          <w:marBottom w:val="0"/>
          <w:divBdr>
            <w:top w:val="none" w:sz="0" w:space="0" w:color="auto"/>
            <w:left w:val="none" w:sz="0" w:space="0" w:color="auto"/>
            <w:bottom w:val="none" w:sz="0" w:space="0" w:color="auto"/>
            <w:right w:val="none" w:sz="0" w:space="0" w:color="auto"/>
          </w:divBdr>
        </w:div>
      </w:divsChild>
    </w:div>
    <w:div w:id="1078287452">
      <w:bodyDiv w:val="1"/>
      <w:marLeft w:val="0"/>
      <w:marRight w:val="0"/>
      <w:marTop w:val="0"/>
      <w:marBottom w:val="0"/>
      <w:divBdr>
        <w:top w:val="none" w:sz="0" w:space="0" w:color="auto"/>
        <w:left w:val="none" w:sz="0" w:space="0" w:color="auto"/>
        <w:bottom w:val="none" w:sz="0" w:space="0" w:color="auto"/>
        <w:right w:val="none" w:sz="0" w:space="0" w:color="auto"/>
      </w:divBdr>
    </w:div>
    <w:div w:id="1079256662">
      <w:bodyDiv w:val="1"/>
      <w:marLeft w:val="0"/>
      <w:marRight w:val="0"/>
      <w:marTop w:val="0"/>
      <w:marBottom w:val="0"/>
      <w:divBdr>
        <w:top w:val="none" w:sz="0" w:space="0" w:color="auto"/>
        <w:left w:val="none" w:sz="0" w:space="0" w:color="auto"/>
        <w:bottom w:val="none" w:sz="0" w:space="0" w:color="auto"/>
        <w:right w:val="none" w:sz="0" w:space="0" w:color="auto"/>
      </w:divBdr>
      <w:divsChild>
        <w:div w:id="544487853">
          <w:marLeft w:val="0"/>
          <w:marRight w:val="0"/>
          <w:marTop w:val="0"/>
          <w:marBottom w:val="0"/>
          <w:divBdr>
            <w:top w:val="none" w:sz="0" w:space="0" w:color="auto"/>
            <w:left w:val="none" w:sz="0" w:space="0" w:color="auto"/>
            <w:bottom w:val="none" w:sz="0" w:space="0" w:color="auto"/>
            <w:right w:val="none" w:sz="0" w:space="0" w:color="auto"/>
          </w:divBdr>
          <w:divsChild>
            <w:div w:id="219901299">
              <w:marLeft w:val="0"/>
              <w:marRight w:val="0"/>
              <w:marTop w:val="0"/>
              <w:marBottom w:val="0"/>
              <w:divBdr>
                <w:top w:val="none" w:sz="0" w:space="0" w:color="auto"/>
                <w:left w:val="none" w:sz="0" w:space="0" w:color="auto"/>
                <w:bottom w:val="none" w:sz="0" w:space="0" w:color="auto"/>
                <w:right w:val="none" w:sz="0" w:space="0" w:color="auto"/>
              </w:divBdr>
              <w:divsChild>
                <w:div w:id="1416046834">
                  <w:marLeft w:val="0"/>
                  <w:marRight w:val="0"/>
                  <w:marTop w:val="0"/>
                  <w:marBottom w:val="0"/>
                  <w:divBdr>
                    <w:top w:val="none" w:sz="0" w:space="0" w:color="auto"/>
                    <w:left w:val="none" w:sz="0" w:space="0" w:color="auto"/>
                    <w:bottom w:val="none" w:sz="0" w:space="0" w:color="auto"/>
                    <w:right w:val="none" w:sz="0" w:space="0" w:color="auto"/>
                  </w:divBdr>
                </w:div>
                <w:div w:id="14517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86186">
      <w:bodyDiv w:val="1"/>
      <w:marLeft w:val="0"/>
      <w:marRight w:val="0"/>
      <w:marTop w:val="0"/>
      <w:marBottom w:val="0"/>
      <w:divBdr>
        <w:top w:val="none" w:sz="0" w:space="0" w:color="auto"/>
        <w:left w:val="none" w:sz="0" w:space="0" w:color="auto"/>
        <w:bottom w:val="none" w:sz="0" w:space="0" w:color="auto"/>
        <w:right w:val="none" w:sz="0" w:space="0" w:color="auto"/>
      </w:divBdr>
    </w:div>
    <w:div w:id="1104375382">
      <w:marLeft w:val="0"/>
      <w:marRight w:val="0"/>
      <w:marTop w:val="0"/>
      <w:marBottom w:val="0"/>
      <w:divBdr>
        <w:top w:val="none" w:sz="0" w:space="0" w:color="auto"/>
        <w:left w:val="none" w:sz="0" w:space="0" w:color="auto"/>
        <w:bottom w:val="none" w:sz="0" w:space="0" w:color="auto"/>
        <w:right w:val="none" w:sz="0" w:space="0" w:color="auto"/>
      </w:divBdr>
      <w:divsChild>
        <w:div w:id="648482145">
          <w:marLeft w:val="0"/>
          <w:marRight w:val="0"/>
          <w:marTop w:val="0"/>
          <w:marBottom w:val="0"/>
          <w:divBdr>
            <w:top w:val="none" w:sz="0" w:space="0" w:color="auto"/>
            <w:left w:val="none" w:sz="0" w:space="0" w:color="auto"/>
            <w:bottom w:val="none" w:sz="0" w:space="0" w:color="auto"/>
            <w:right w:val="none" w:sz="0" w:space="0" w:color="auto"/>
          </w:divBdr>
        </w:div>
      </w:divsChild>
    </w:div>
    <w:div w:id="1129203501">
      <w:marLeft w:val="0"/>
      <w:marRight w:val="0"/>
      <w:marTop w:val="0"/>
      <w:marBottom w:val="0"/>
      <w:divBdr>
        <w:top w:val="none" w:sz="0" w:space="0" w:color="auto"/>
        <w:left w:val="none" w:sz="0" w:space="0" w:color="auto"/>
        <w:bottom w:val="none" w:sz="0" w:space="0" w:color="auto"/>
        <w:right w:val="none" w:sz="0" w:space="0" w:color="auto"/>
      </w:divBdr>
      <w:divsChild>
        <w:div w:id="224487103">
          <w:marLeft w:val="0"/>
          <w:marRight w:val="0"/>
          <w:marTop w:val="0"/>
          <w:marBottom w:val="0"/>
          <w:divBdr>
            <w:top w:val="none" w:sz="0" w:space="0" w:color="auto"/>
            <w:left w:val="none" w:sz="0" w:space="0" w:color="auto"/>
            <w:bottom w:val="none" w:sz="0" w:space="0" w:color="auto"/>
            <w:right w:val="none" w:sz="0" w:space="0" w:color="auto"/>
          </w:divBdr>
        </w:div>
      </w:divsChild>
    </w:div>
    <w:div w:id="1129860294">
      <w:marLeft w:val="0"/>
      <w:marRight w:val="0"/>
      <w:marTop w:val="0"/>
      <w:marBottom w:val="0"/>
      <w:divBdr>
        <w:top w:val="none" w:sz="0" w:space="0" w:color="auto"/>
        <w:left w:val="none" w:sz="0" w:space="0" w:color="auto"/>
        <w:bottom w:val="none" w:sz="0" w:space="0" w:color="auto"/>
        <w:right w:val="none" w:sz="0" w:space="0" w:color="auto"/>
      </w:divBdr>
      <w:divsChild>
        <w:div w:id="873153059">
          <w:marLeft w:val="0"/>
          <w:marRight w:val="0"/>
          <w:marTop w:val="0"/>
          <w:marBottom w:val="0"/>
          <w:divBdr>
            <w:top w:val="none" w:sz="0" w:space="0" w:color="auto"/>
            <w:left w:val="none" w:sz="0" w:space="0" w:color="auto"/>
            <w:bottom w:val="none" w:sz="0" w:space="0" w:color="auto"/>
            <w:right w:val="none" w:sz="0" w:space="0" w:color="auto"/>
          </w:divBdr>
        </w:div>
      </w:divsChild>
    </w:div>
    <w:div w:id="1149709615">
      <w:bodyDiv w:val="1"/>
      <w:marLeft w:val="0"/>
      <w:marRight w:val="0"/>
      <w:marTop w:val="0"/>
      <w:marBottom w:val="0"/>
      <w:divBdr>
        <w:top w:val="none" w:sz="0" w:space="0" w:color="auto"/>
        <w:left w:val="none" w:sz="0" w:space="0" w:color="auto"/>
        <w:bottom w:val="none" w:sz="0" w:space="0" w:color="auto"/>
        <w:right w:val="none" w:sz="0" w:space="0" w:color="auto"/>
      </w:divBdr>
    </w:div>
    <w:div w:id="1150636625">
      <w:marLeft w:val="0"/>
      <w:marRight w:val="0"/>
      <w:marTop w:val="0"/>
      <w:marBottom w:val="0"/>
      <w:divBdr>
        <w:top w:val="none" w:sz="0" w:space="0" w:color="auto"/>
        <w:left w:val="none" w:sz="0" w:space="0" w:color="auto"/>
        <w:bottom w:val="none" w:sz="0" w:space="0" w:color="auto"/>
        <w:right w:val="none" w:sz="0" w:space="0" w:color="auto"/>
      </w:divBdr>
      <w:divsChild>
        <w:div w:id="718361681">
          <w:marLeft w:val="0"/>
          <w:marRight w:val="0"/>
          <w:marTop w:val="0"/>
          <w:marBottom w:val="0"/>
          <w:divBdr>
            <w:top w:val="none" w:sz="0" w:space="0" w:color="auto"/>
            <w:left w:val="none" w:sz="0" w:space="0" w:color="auto"/>
            <w:bottom w:val="none" w:sz="0" w:space="0" w:color="auto"/>
            <w:right w:val="none" w:sz="0" w:space="0" w:color="auto"/>
          </w:divBdr>
        </w:div>
      </w:divsChild>
    </w:div>
    <w:div w:id="1160347589">
      <w:bodyDiv w:val="1"/>
      <w:marLeft w:val="0"/>
      <w:marRight w:val="0"/>
      <w:marTop w:val="0"/>
      <w:marBottom w:val="0"/>
      <w:divBdr>
        <w:top w:val="none" w:sz="0" w:space="0" w:color="auto"/>
        <w:left w:val="none" w:sz="0" w:space="0" w:color="auto"/>
        <w:bottom w:val="none" w:sz="0" w:space="0" w:color="auto"/>
        <w:right w:val="none" w:sz="0" w:space="0" w:color="auto"/>
      </w:divBdr>
    </w:div>
    <w:div w:id="1161701545">
      <w:marLeft w:val="0"/>
      <w:marRight w:val="0"/>
      <w:marTop w:val="0"/>
      <w:marBottom w:val="0"/>
      <w:divBdr>
        <w:top w:val="none" w:sz="0" w:space="0" w:color="auto"/>
        <w:left w:val="none" w:sz="0" w:space="0" w:color="auto"/>
        <w:bottom w:val="none" w:sz="0" w:space="0" w:color="auto"/>
        <w:right w:val="none" w:sz="0" w:space="0" w:color="auto"/>
      </w:divBdr>
      <w:divsChild>
        <w:div w:id="1409379791">
          <w:marLeft w:val="0"/>
          <w:marRight w:val="0"/>
          <w:marTop w:val="0"/>
          <w:marBottom w:val="0"/>
          <w:divBdr>
            <w:top w:val="none" w:sz="0" w:space="0" w:color="auto"/>
            <w:left w:val="none" w:sz="0" w:space="0" w:color="auto"/>
            <w:bottom w:val="none" w:sz="0" w:space="0" w:color="auto"/>
            <w:right w:val="none" w:sz="0" w:space="0" w:color="auto"/>
          </w:divBdr>
        </w:div>
      </w:divsChild>
    </w:div>
    <w:div w:id="1169833207">
      <w:marLeft w:val="0"/>
      <w:marRight w:val="0"/>
      <w:marTop w:val="0"/>
      <w:marBottom w:val="0"/>
      <w:divBdr>
        <w:top w:val="none" w:sz="0" w:space="0" w:color="auto"/>
        <w:left w:val="none" w:sz="0" w:space="0" w:color="auto"/>
        <w:bottom w:val="none" w:sz="0" w:space="0" w:color="auto"/>
        <w:right w:val="none" w:sz="0" w:space="0" w:color="auto"/>
      </w:divBdr>
      <w:divsChild>
        <w:div w:id="643774810">
          <w:marLeft w:val="0"/>
          <w:marRight w:val="0"/>
          <w:marTop w:val="0"/>
          <w:marBottom w:val="0"/>
          <w:divBdr>
            <w:top w:val="none" w:sz="0" w:space="0" w:color="auto"/>
            <w:left w:val="none" w:sz="0" w:space="0" w:color="auto"/>
            <w:bottom w:val="none" w:sz="0" w:space="0" w:color="auto"/>
            <w:right w:val="none" w:sz="0" w:space="0" w:color="auto"/>
          </w:divBdr>
        </w:div>
      </w:divsChild>
    </w:div>
    <w:div w:id="1207329714">
      <w:bodyDiv w:val="1"/>
      <w:marLeft w:val="0"/>
      <w:marRight w:val="0"/>
      <w:marTop w:val="0"/>
      <w:marBottom w:val="0"/>
      <w:divBdr>
        <w:top w:val="none" w:sz="0" w:space="0" w:color="auto"/>
        <w:left w:val="none" w:sz="0" w:space="0" w:color="auto"/>
        <w:bottom w:val="none" w:sz="0" w:space="0" w:color="auto"/>
        <w:right w:val="none" w:sz="0" w:space="0" w:color="auto"/>
      </w:divBdr>
    </w:div>
    <w:div w:id="1216236003">
      <w:marLeft w:val="0"/>
      <w:marRight w:val="0"/>
      <w:marTop w:val="0"/>
      <w:marBottom w:val="0"/>
      <w:divBdr>
        <w:top w:val="none" w:sz="0" w:space="0" w:color="auto"/>
        <w:left w:val="none" w:sz="0" w:space="0" w:color="auto"/>
        <w:bottom w:val="none" w:sz="0" w:space="0" w:color="auto"/>
        <w:right w:val="none" w:sz="0" w:space="0" w:color="auto"/>
      </w:divBdr>
      <w:divsChild>
        <w:div w:id="2104917416">
          <w:marLeft w:val="0"/>
          <w:marRight w:val="0"/>
          <w:marTop w:val="0"/>
          <w:marBottom w:val="0"/>
          <w:divBdr>
            <w:top w:val="none" w:sz="0" w:space="0" w:color="auto"/>
            <w:left w:val="none" w:sz="0" w:space="0" w:color="auto"/>
            <w:bottom w:val="none" w:sz="0" w:space="0" w:color="auto"/>
            <w:right w:val="none" w:sz="0" w:space="0" w:color="auto"/>
          </w:divBdr>
        </w:div>
      </w:divsChild>
    </w:div>
    <w:div w:id="1232230426">
      <w:bodyDiv w:val="1"/>
      <w:marLeft w:val="0"/>
      <w:marRight w:val="0"/>
      <w:marTop w:val="0"/>
      <w:marBottom w:val="0"/>
      <w:divBdr>
        <w:top w:val="none" w:sz="0" w:space="0" w:color="auto"/>
        <w:left w:val="none" w:sz="0" w:space="0" w:color="auto"/>
        <w:bottom w:val="none" w:sz="0" w:space="0" w:color="auto"/>
        <w:right w:val="none" w:sz="0" w:space="0" w:color="auto"/>
      </w:divBdr>
      <w:divsChild>
        <w:div w:id="1361971806">
          <w:marLeft w:val="0"/>
          <w:marRight w:val="0"/>
          <w:marTop w:val="0"/>
          <w:marBottom w:val="0"/>
          <w:divBdr>
            <w:top w:val="none" w:sz="0" w:space="0" w:color="auto"/>
            <w:left w:val="none" w:sz="0" w:space="0" w:color="auto"/>
            <w:bottom w:val="none" w:sz="0" w:space="0" w:color="auto"/>
            <w:right w:val="none" w:sz="0" w:space="0" w:color="auto"/>
          </w:divBdr>
          <w:divsChild>
            <w:div w:id="1773012486">
              <w:marLeft w:val="0"/>
              <w:marRight w:val="0"/>
              <w:marTop w:val="0"/>
              <w:marBottom w:val="0"/>
              <w:divBdr>
                <w:top w:val="none" w:sz="0" w:space="0" w:color="auto"/>
                <w:left w:val="none" w:sz="0" w:space="0" w:color="auto"/>
                <w:bottom w:val="none" w:sz="0" w:space="0" w:color="auto"/>
                <w:right w:val="none" w:sz="0" w:space="0" w:color="auto"/>
              </w:divBdr>
              <w:divsChild>
                <w:div w:id="195882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04109">
      <w:marLeft w:val="0"/>
      <w:marRight w:val="0"/>
      <w:marTop w:val="0"/>
      <w:marBottom w:val="0"/>
      <w:divBdr>
        <w:top w:val="none" w:sz="0" w:space="0" w:color="auto"/>
        <w:left w:val="none" w:sz="0" w:space="0" w:color="auto"/>
        <w:bottom w:val="none" w:sz="0" w:space="0" w:color="auto"/>
        <w:right w:val="none" w:sz="0" w:space="0" w:color="auto"/>
      </w:divBdr>
      <w:divsChild>
        <w:div w:id="1970893630">
          <w:marLeft w:val="0"/>
          <w:marRight w:val="0"/>
          <w:marTop w:val="0"/>
          <w:marBottom w:val="0"/>
          <w:divBdr>
            <w:top w:val="none" w:sz="0" w:space="0" w:color="auto"/>
            <w:left w:val="none" w:sz="0" w:space="0" w:color="auto"/>
            <w:bottom w:val="none" w:sz="0" w:space="0" w:color="auto"/>
            <w:right w:val="none" w:sz="0" w:space="0" w:color="auto"/>
          </w:divBdr>
        </w:div>
      </w:divsChild>
    </w:div>
    <w:div w:id="1247378789">
      <w:bodyDiv w:val="1"/>
      <w:marLeft w:val="0"/>
      <w:marRight w:val="0"/>
      <w:marTop w:val="0"/>
      <w:marBottom w:val="0"/>
      <w:divBdr>
        <w:top w:val="none" w:sz="0" w:space="0" w:color="auto"/>
        <w:left w:val="none" w:sz="0" w:space="0" w:color="auto"/>
        <w:bottom w:val="none" w:sz="0" w:space="0" w:color="auto"/>
        <w:right w:val="none" w:sz="0" w:space="0" w:color="auto"/>
      </w:divBdr>
    </w:div>
    <w:div w:id="1264724966">
      <w:bodyDiv w:val="1"/>
      <w:marLeft w:val="0"/>
      <w:marRight w:val="0"/>
      <w:marTop w:val="0"/>
      <w:marBottom w:val="0"/>
      <w:divBdr>
        <w:top w:val="none" w:sz="0" w:space="0" w:color="auto"/>
        <w:left w:val="none" w:sz="0" w:space="0" w:color="auto"/>
        <w:bottom w:val="none" w:sz="0" w:space="0" w:color="auto"/>
        <w:right w:val="none" w:sz="0" w:space="0" w:color="auto"/>
      </w:divBdr>
    </w:div>
    <w:div w:id="1279220618">
      <w:marLeft w:val="0"/>
      <w:marRight w:val="0"/>
      <w:marTop w:val="0"/>
      <w:marBottom w:val="0"/>
      <w:divBdr>
        <w:top w:val="none" w:sz="0" w:space="0" w:color="auto"/>
        <w:left w:val="none" w:sz="0" w:space="0" w:color="auto"/>
        <w:bottom w:val="none" w:sz="0" w:space="0" w:color="auto"/>
        <w:right w:val="none" w:sz="0" w:space="0" w:color="auto"/>
      </w:divBdr>
      <w:divsChild>
        <w:div w:id="532769388">
          <w:marLeft w:val="0"/>
          <w:marRight w:val="0"/>
          <w:marTop w:val="0"/>
          <w:marBottom w:val="0"/>
          <w:divBdr>
            <w:top w:val="none" w:sz="0" w:space="0" w:color="auto"/>
            <w:left w:val="none" w:sz="0" w:space="0" w:color="auto"/>
            <w:bottom w:val="none" w:sz="0" w:space="0" w:color="auto"/>
            <w:right w:val="none" w:sz="0" w:space="0" w:color="auto"/>
          </w:divBdr>
        </w:div>
      </w:divsChild>
    </w:div>
    <w:div w:id="1280793763">
      <w:marLeft w:val="0"/>
      <w:marRight w:val="0"/>
      <w:marTop w:val="0"/>
      <w:marBottom w:val="0"/>
      <w:divBdr>
        <w:top w:val="none" w:sz="0" w:space="0" w:color="auto"/>
        <w:left w:val="none" w:sz="0" w:space="0" w:color="auto"/>
        <w:bottom w:val="none" w:sz="0" w:space="0" w:color="auto"/>
        <w:right w:val="none" w:sz="0" w:space="0" w:color="auto"/>
      </w:divBdr>
      <w:divsChild>
        <w:div w:id="1292979124">
          <w:marLeft w:val="0"/>
          <w:marRight w:val="0"/>
          <w:marTop w:val="0"/>
          <w:marBottom w:val="0"/>
          <w:divBdr>
            <w:top w:val="none" w:sz="0" w:space="0" w:color="auto"/>
            <w:left w:val="none" w:sz="0" w:space="0" w:color="auto"/>
            <w:bottom w:val="none" w:sz="0" w:space="0" w:color="auto"/>
            <w:right w:val="none" w:sz="0" w:space="0" w:color="auto"/>
          </w:divBdr>
        </w:div>
      </w:divsChild>
    </w:div>
    <w:div w:id="1320184125">
      <w:bodyDiv w:val="1"/>
      <w:marLeft w:val="0"/>
      <w:marRight w:val="0"/>
      <w:marTop w:val="0"/>
      <w:marBottom w:val="0"/>
      <w:divBdr>
        <w:top w:val="none" w:sz="0" w:space="0" w:color="auto"/>
        <w:left w:val="none" w:sz="0" w:space="0" w:color="auto"/>
        <w:bottom w:val="none" w:sz="0" w:space="0" w:color="auto"/>
        <w:right w:val="none" w:sz="0" w:space="0" w:color="auto"/>
      </w:divBdr>
    </w:div>
    <w:div w:id="1337347914">
      <w:marLeft w:val="0"/>
      <w:marRight w:val="0"/>
      <w:marTop w:val="0"/>
      <w:marBottom w:val="0"/>
      <w:divBdr>
        <w:top w:val="none" w:sz="0" w:space="0" w:color="auto"/>
        <w:left w:val="none" w:sz="0" w:space="0" w:color="auto"/>
        <w:bottom w:val="none" w:sz="0" w:space="0" w:color="auto"/>
        <w:right w:val="none" w:sz="0" w:space="0" w:color="auto"/>
      </w:divBdr>
      <w:divsChild>
        <w:div w:id="1719161343">
          <w:marLeft w:val="0"/>
          <w:marRight w:val="0"/>
          <w:marTop w:val="0"/>
          <w:marBottom w:val="0"/>
          <w:divBdr>
            <w:top w:val="none" w:sz="0" w:space="0" w:color="auto"/>
            <w:left w:val="none" w:sz="0" w:space="0" w:color="auto"/>
            <w:bottom w:val="none" w:sz="0" w:space="0" w:color="auto"/>
            <w:right w:val="none" w:sz="0" w:space="0" w:color="auto"/>
          </w:divBdr>
        </w:div>
      </w:divsChild>
    </w:div>
    <w:div w:id="1343433514">
      <w:marLeft w:val="0"/>
      <w:marRight w:val="0"/>
      <w:marTop w:val="0"/>
      <w:marBottom w:val="0"/>
      <w:divBdr>
        <w:top w:val="none" w:sz="0" w:space="0" w:color="auto"/>
        <w:left w:val="none" w:sz="0" w:space="0" w:color="auto"/>
        <w:bottom w:val="none" w:sz="0" w:space="0" w:color="auto"/>
        <w:right w:val="none" w:sz="0" w:space="0" w:color="auto"/>
      </w:divBdr>
      <w:divsChild>
        <w:div w:id="1175077247">
          <w:marLeft w:val="0"/>
          <w:marRight w:val="0"/>
          <w:marTop w:val="0"/>
          <w:marBottom w:val="0"/>
          <w:divBdr>
            <w:top w:val="none" w:sz="0" w:space="0" w:color="auto"/>
            <w:left w:val="none" w:sz="0" w:space="0" w:color="auto"/>
            <w:bottom w:val="none" w:sz="0" w:space="0" w:color="auto"/>
            <w:right w:val="none" w:sz="0" w:space="0" w:color="auto"/>
          </w:divBdr>
        </w:div>
      </w:divsChild>
    </w:div>
    <w:div w:id="1357081183">
      <w:bodyDiv w:val="1"/>
      <w:marLeft w:val="0"/>
      <w:marRight w:val="0"/>
      <w:marTop w:val="0"/>
      <w:marBottom w:val="0"/>
      <w:divBdr>
        <w:top w:val="none" w:sz="0" w:space="0" w:color="auto"/>
        <w:left w:val="none" w:sz="0" w:space="0" w:color="auto"/>
        <w:bottom w:val="none" w:sz="0" w:space="0" w:color="auto"/>
        <w:right w:val="none" w:sz="0" w:space="0" w:color="auto"/>
      </w:divBdr>
    </w:div>
    <w:div w:id="1375350123">
      <w:bodyDiv w:val="1"/>
      <w:marLeft w:val="0"/>
      <w:marRight w:val="0"/>
      <w:marTop w:val="0"/>
      <w:marBottom w:val="0"/>
      <w:divBdr>
        <w:top w:val="none" w:sz="0" w:space="0" w:color="auto"/>
        <w:left w:val="none" w:sz="0" w:space="0" w:color="auto"/>
        <w:bottom w:val="none" w:sz="0" w:space="0" w:color="auto"/>
        <w:right w:val="none" w:sz="0" w:space="0" w:color="auto"/>
      </w:divBdr>
    </w:div>
    <w:div w:id="1388995254">
      <w:bodyDiv w:val="1"/>
      <w:marLeft w:val="0"/>
      <w:marRight w:val="0"/>
      <w:marTop w:val="0"/>
      <w:marBottom w:val="0"/>
      <w:divBdr>
        <w:top w:val="none" w:sz="0" w:space="0" w:color="auto"/>
        <w:left w:val="none" w:sz="0" w:space="0" w:color="auto"/>
        <w:bottom w:val="none" w:sz="0" w:space="0" w:color="auto"/>
        <w:right w:val="none" w:sz="0" w:space="0" w:color="auto"/>
      </w:divBdr>
    </w:div>
    <w:div w:id="1391537336">
      <w:bodyDiv w:val="1"/>
      <w:marLeft w:val="0"/>
      <w:marRight w:val="0"/>
      <w:marTop w:val="0"/>
      <w:marBottom w:val="0"/>
      <w:divBdr>
        <w:top w:val="none" w:sz="0" w:space="0" w:color="auto"/>
        <w:left w:val="none" w:sz="0" w:space="0" w:color="auto"/>
        <w:bottom w:val="none" w:sz="0" w:space="0" w:color="auto"/>
        <w:right w:val="none" w:sz="0" w:space="0" w:color="auto"/>
      </w:divBdr>
    </w:div>
    <w:div w:id="1400863574">
      <w:bodyDiv w:val="1"/>
      <w:marLeft w:val="0"/>
      <w:marRight w:val="0"/>
      <w:marTop w:val="0"/>
      <w:marBottom w:val="0"/>
      <w:divBdr>
        <w:top w:val="none" w:sz="0" w:space="0" w:color="auto"/>
        <w:left w:val="none" w:sz="0" w:space="0" w:color="auto"/>
        <w:bottom w:val="none" w:sz="0" w:space="0" w:color="auto"/>
        <w:right w:val="none" w:sz="0" w:space="0" w:color="auto"/>
      </w:divBdr>
    </w:div>
    <w:div w:id="1409302896">
      <w:marLeft w:val="0"/>
      <w:marRight w:val="0"/>
      <w:marTop w:val="0"/>
      <w:marBottom w:val="0"/>
      <w:divBdr>
        <w:top w:val="none" w:sz="0" w:space="0" w:color="auto"/>
        <w:left w:val="none" w:sz="0" w:space="0" w:color="auto"/>
        <w:bottom w:val="none" w:sz="0" w:space="0" w:color="auto"/>
        <w:right w:val="none" w:sz="0" w:space="0" w:color="auto"/>
      </w:divBdr>
      <w:divsChild>
        <w:div w:id="96291634">
          <w:marLeft w:val="0"/>
          <w:marRight w:val="0"/>
          <w:marTop w:val="0"/>
          <w:marBottom w:val="0"/>
          <w:divBdr>
            <w:top w:val="none" w:sz="0" w:space="0" w:color="auto"/>
            <w:left w:val="none" w:sz="0" w:space="0" w:color="auto"/>
            <w:bottom w:val="none" w:sz="0" w:space="0" w:color="auto"/>
            <w:right w:val="none" w:sz="0" w:space="0" w:color="auto"/>
          </w:divBdr>
        </w:div>
      </w:divsChild>
    </w:div>
    <w:div w:id="1415473952">
      <w:marLeft w:val="0"/>
      <w:marRight w:val="0"/>
      <w:marTop w:val="0"/>
      <w:marBottom w:val="0"/>
      <w:divBdr>
        <w:top w:val="none" w:sz="0" w:space="0" w:color="auto"/>
        <w:left w:val="none" w:sz="0" w:space="0" w:color="auto"/>
        <w:bottom w:val="none" w:sz="0" w:space="0" w:color="auto"/>
        <w:right w:val="none" w:sz="0" w:space="0" w:color="auto"/>
      </w:divBdr>
      <w:divsChild>
        <w:div w:id="416558439">
          <w:marLeft w:val="0"/>
          <w:marRight w:val="0"/>
          <w:marTop w:val="0"/>
          <w:marBottom w:val="0"/>
          <w:divBdr>
            <w:top w:val="none" w:sz="0" w:space="0" w:color="auto"/>
            <w:left w:val="none" w:sz="0" w:space="0" w:color="auto"/>
            <w:bottom w:val="none" w:sz="0" w:space="0" w:color="auto"/>
            <w:right w:val="none" w:sz="0" w:space="0" w:color="auto"/>
          </w:divBdr>
        </w:div>
      </w:divsChild>
    </w:div>
    <w:div w:id="1427261720">
      <w:bodyDiv w:val="1"/>
      <w:marLeft w:val="0"/>
      <w:marRight w:val="0"/>
      <w:marTop w:val="0"/>
      <w:marBottom w:val="0"/>
      <w:divBdr>
        <w:top w:val="none" w:sz="0" w:space="0" w:color="auto"/>
        <w:left w:val="none" w:sz="0" w:space="0" w:color="auto"/>
        <w:bottom w:val="none" w:sz="0" w:space="0" w:color="auto"/>
        <w:right w:val="none" w:sz="0" w:space="0" w:color="auto"/>
      </w:divBdr>
    </w:div>
    <w:div w:id="1432244090">
      <w:bodyDiv w:val="1"/>
      <w:marLeft w:val="0"/>
      <w:marRight w:val="0"/>
      <w:marTop w:val="0"/>
      <w:marBottom w:val="0"/>
      <w:divBdr>
        <w:top w:val="none" w:sz="0" w:space="0" w:color="auto"/>
        <w:left w:val="none" w:sz="0" w:space="0" w:color="auto"/>
        <w:bottom w:val="none" w:sz="0" w:space="0" w:color="auto"/>
        <w:right w:val="none" w:sz="0" w:space="0" w:color="auto"/>
      </w:divBdr>
    </w:div>
    <w:div w:id="1445879175">
      <w:bodyDiv w:val="1"/>
      <w:marLeft w:val="0"/>
      <w:marRight w:val="0"/>
      <w:marTop w:val="0"/>
      <w:marBottom w:val="0"/>
      <w:divBdr>
        <w:top w:val="none" w:sz="0" w:space="0" w:color="auto"/>
        <w:left w:val="none" w:sz="0" w:space="0" w:color="auto"/>
        <w:bottom w:val="none" w:sz="0" w:space="0" w:color="auto"/>
        <w:right w:val="none" w:sz="0" w:space="0" w:color="auto"/>
      </w:divBdr>
    </w:div>
    <w:div w:id="1458330811">
      <w:bodyDiv w:val="1"/>
      <w:marLeft w:val="0"/>
      <w:marRight w:val="0"/>
      <w:marTop w:val="0"/>
      <w:marBottom w:val="0"/>
      <w:divBdr>
        <w:top w:val="none" w:sz="0" w:space="0" w:color="auto"/>
        <w:left w:val="none" w:sz="0" w:space="0" w:color="auto"/>
        <w:bottom w:val="none" w:sz="0" w:space="0" w:color="auto"/>
        <w:right w:val="none" w:sz="0" w:space="0" w:color="auto"/>
      </w:divBdr>
    </w:div>
    <w:div w:id="1462961920">
      <w:bodyDiv w:val="1"/>
      <w:marLeft w:val="0"/>
      <w:marRight w:val="0"/>
      <w:marTop w:val="0"/>
      <w:marBottom w:val="0"/>
      <w:divBdr>
        <w:top w:val="none" w:sz="0" w:space="0" w:color="auto"/>
        <w:left w:val="none" w:sz="0" w:space="0" w:color="auto"/>
        <w:bottom w:val="none" w:sz="0" w:space="0" w:color="auto"/>
        <w:right w:val="none" w:sz="0" w:space="0" w:color="auto"/>
      </w:divBdr>
      <w:divsChild>
        <w:div w:id="1860436534">
          <w:marLeft w:val="0"/>
          <w:marRight w:val="0"/>
          <w:marTop w:val="0"/>
          <w:marBottom w:val="0"/>
          <w:divBdr>
            <w:top w:val="none" w:sz="0" w:space="0" w:color="auto"/>
            <w:left w:val="none" w:sz="0" w:space="0" w:color="auto"/>
            <w:bottom w:val="none" w:sz="0" w:space="0" w:color="auto"/>
            <w:right w:val="none" w:sz="0" w:space="0" w:color="auto"/>
          </w:divBdr>
          <w:divsChild>
            <w:div w:id="334845703">
              <w:marLeft w:val="0"/>
              <w:marRight w:val="0"/>
              <w:marTop w:val="0"/>
              <w:marBottom w:val="0"/>
              <w:divBdr>
                <w:top w:val="none" w:sz="0" w:space="0" w:color="auto"/>
                <w:left w:val="none" w:sz="0" w:space="0" w:color="auto"/>
                <w:bottom w:val="none" w:sz="0" w:space="0" w:color="auto"/>
                <w:right w:val="none" w:sz="0" w:space="0" w:color="auto"/>
              </w:divBdr>
              <w:divsChild>
                <w:div w:id="5483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963536">
      <w:marLeft w:val="0"/>
      <w:marRight w:val="0"/>
      <w:marTop w:val="0"/>
      <w:marBottom w:val="0"/>
      <w:divBdr>
        <w:top w:val="none" w:sz="0" w:space="0" w:color="auto"/>
        <w:left w:val="none" w:sz="0" w:space="0" w:color="auto"/>
        <w:bottom w:val="none" w:sz="0" w:space="0" w:color="auto"/>
        <w:right w:val="none" w:sz="0" w:space="0" w:color="auto"/>
      </w:divBdr>
      <w:divsChild>
        <w:div w:id="407384406">
          <w:marLeft w:val="0"/>
          <w:marRight w:val="0"/>
          <w:marTop w:val="0"/>
          <w:marBottom w:val="0"/>
          <w:divBdr>
            <w:top w:val="none" w:sz="0" w:space="0" w:color="auto"/>
            <w:left w:val="none" w:sz="0" w:space="0" w:color="auto"/>
            <w:bottom w:val="none" w:sz="0" w:space="0" w:color="auto"/>
            <w:right w:val="none" w:sz="0" w:space="0" w:color="auto"/>
          </w:divBdr>
        </w:div>
      </w:divsChild>
    </w:div>
    <w:div w:id="1513912655">
      <w:bodyDiv w:val="1"/>
      <w:marLeft w:val="0"/>
      <w:marRight w:val="0"/>
      <w:marTop w:val="0"/>
      <w:marBottom w:val="0"/>
      <w:divBdr>
        <w:top w:val="none" w:sz="0" w:space="0" w:color="auto"/>
        <w:left w:val="none" w:sz="0" w:space="0" w:color="auto"/>
        <w:bottom w:val="none" w:sz="0" w:space="0" w:color="auto"/>
        <w:right w:val="none" w:sz="0" w:space="0" w:color="auto"/>
      </w:divBdr>
    </w:div>
    <w:div w:id="1543247827">
      <w:marLeft w:val="0"/>
      <w:marRight w:val="0"/>
      <w:marTop w:val="0"/>
      <w:marBottom w:val="0"/>
      <w:divBdr>
        <w:top w:val="none" w:sz="0" w:space="0" w:color="auto"/>
        <w:left w:val="none" w:sz="0" w:space="0" w:color="auto"/>
        <w:bottom w:val="none" w:sz="0" w:space="0" w:color="auto"/>
        <w:right w:val="none" w:sz="0" w:space="0" w:color="auto"/>
      </w:divBdr>
      <w:divsChild>
        <w:div w:id="1029335343">
          <w:marLeft w:val="0"/>
          <w:marRight w:val="0"/>
          <w:marTop w:val="0"/>
          <w:marBottom w:val="0"/>
          <w:divBdr>
            <w:top w:val="none" w:sz="0" w:space="0" w:color="auto"/>
            <w:left w:val="none" w:sz="0" w:space="0" w:color="auto"/>
            <w:bottom w:val="none" w:sz="0" w:space="0" w:color="auto"/>
            <w:right w:val="none" w:sz="0" w:space="0" w:color="auto"/>
          </w:divBdr>
        </w:div>
      </w:divsChild>
    </w:div>
    <w:div w:id="1545095238">
      <w:bodyDiv w:val="1"/>
      <w:marLeft w:val="0"/>
      <w:marRight w:val="0"/>
      <w:marTop w:val="0"/>
      <w:marBottom w:val="0"/>
      <w:divBdr>
        <w:top w:val="none" w:sz="0" w:space="0" w:color="auto"/>
        <w:left w:val="none" w:sz="0" w:space="0" w:color="auto"/>
        <w:bottom w:val="none" w:sz="0" w:space="0" w:color="auto"/>
        <w:right w:val="none" w:sz="0" w:space="0" w:color="auto"/>
      </w:divBdr>
      <w:divsChild>
        <w:div w:id="750084512">
          <w:marLeft w:val="0"/>
          <w:marRight w:val="0"/>
          <w:marTop w:val="0"/>
          <w:marBottom w:val="0"/>
          <w:divBdr>
            <w:top w:val="none" w:sz="0" w:space="0" w:color="auto"/>
            <w:left w:val="none" w:sz="0" w:space="0" w:color="auto"/>
            <w:bottom w:val="none" w:sz="0" w:space="0" w:color="auto"/>
            <w:right w:val="none" w:sz="0" w:space="0" w:color="auto"/>
          </w:divBdr>
          <w:divsChild>
            <w:div w:id="842085451">
              <w:marLeft w:val="0"/>
              <w:marRight w:val="0"/>
              <w:marTop w:val="0"/>
              <w:marBottom w:val="0"/>
              <w:divBdr>
                <w:top w:val="none" w:sz="0" w:space="0" w:color="auto"/>
                <w:left w:val="none" w:sz="0" w:space="0" w:color="auto"/>
                <w:bottom w:val="none" w:sz="0" w:space="0" w:color="auto"/>
                <w:right w:val="none" w:sz="0" w:space="0" w:color="auto"/>
              </w:divBdr>
              <w:divsChild>
                <w:div w:id="669868904">
                  <w:marLeft w:val="0"/>
                  <w:marRight w:val="0"/>
                  <w:marTop w:val="0"/>
                  <w:marBottom w:val="0"/>
                  <w:divBdr>
                    <w:top w:val="none" w:sz="0" w:space="0" w:color="auto"/>
                    <w:left w:val="none" w:sz="0" w:space="0" w:color="auto"/>
                    <w:bottom w:val="none" w:sz="0" w:space="0" w:color="auto"/>
                    <w:right w:val="none" w:sz="0" w:space="0" w:color="auto"/>
                  </w:divBdr>
                  <w:divsChild>
                    <w:div w:id="154612971">
                      <w:marLeft w:val="150"/>
                      <w:marRight w:val="150"/>
                      <w:marTop w:val="0"/>
                      <w:marBottom w:val="0"/>
                      <w:divBdr>
                        <w:top w:val="none" w:sz="0" w:space="0" w:color="auto"/>
                        <w:left w:val="none" w:sz="0" w:space="0" w:color="auto"/>
                        <w:bottom w:val="none" w:sz="0" w:space="0" w:color="auto"/>
                        <w:right w:val="none" w:sz="0" w:space="0" w:color="auto"/>
                      </w:divBdr>
                      <w:divsChild>
                        <w:div w:id="76447319">
                          <w:marLeft w:val="0"/>
                          <w:marRight w:val="0"/>
                          <w:marTop w:val="0"/>
                          <w:marBottom w:val="0"/>
                          <w:divBdr>
                            <w:top w:val="none" w:sz="0" w:space="0" w:color="auto"/>
                            <w:left w:val="none" w:sz="0" w:space="0" w:color="auto"/>
                            <w:bottom w:val="none" w:sz="0" w:space="0" w:color="auto"/>
                            <w:right w:val="none" w:sz="0" w:space="0" w:color="auto"/>
                          </w:divBdr>
                          <w:divsChild>
                            <w:div w:id="1496534318">
                              <w:marLeft w:val="0"/>
                              <w:marRight w:val="0"/>
                              <w:marTop w:val="0"/>
                              <w:marBottom w:val="0"/>
                              <w:divBdr>
                                <w:top w:val="none" w:sz="0" w:space="0" w:color="auto"/>
                                <w:left w:val="none" w:sz="0" w:space="0" w:color="auto"/>
                                <w:bottom w:val="none" w:sz="0" w:space="0" w:color="auto"/>
                                <w:right w:val="none" w:sz="0" w:space="0" w:color="auto"/>
                              </w:divBdr>
                              <w:divsChild>
                                <w:div w:id="646013210">
                                  <w:marLeft w:val="0"/>
                                  <w:marRight w:val="0"/>
                                  <w:marTop w:val="0"/>
                                  <w:marBottom w:val="0"/>
                                  <w:divBdr>
                                    <w:top w:val="none" w:sz="0" w:space="0" w:color="auto"/>
                                    <w:left w:val="none" w:sz="0" w:space="0" w:color="auto"/>
                                    <w:bottom w:val="none" w:sz="0" w:space="0" w:color="auto"/>
                                    <w:right w:val="none" w:sz="0" w:space="0" w:color="auto"/>
                                  </w:divBdr>
                                  <w:divsChild>
                                    <w:div w:id="74517636">
                                      <w:marLeft w:val="0"/>
                                      <w:marRight w:val="0"/>
                                      <w:marTop w:val="0"/>
                                      <w:marBottom w:val="0"/>
                                      <w:divBdr>
                                        <w:top w:val="none" w:sz="0" w:space="0" w:color="auto"/>
                                        <w:left w:val="none" w:sz="0" w:space="0" w:color="auto"/>
                                        <w:bottom w:val="none" w:sz="0" w:space="0" w:color="auto"/>
                                        <w:right w:val="none" w:sz="0" w:space="0" w:color="auto"/>
                                      </w:divBdr>
                                      <w:divsChild>
                                        <w:div w:id="142893610">
                                          <w:marLeft w:val="0"/>
                                          <w:marRight w:val="0"/>
                                          <w:marTop w:val="0"/>
                                          <w:marBottom w:val="0"/>
                                          <w:divBdr>
                                            <w:top w:val="none" w:sz="0" w:space="0" w:color="auto"/>
                                            <w:left w:val="none" w:sz="0" w:space="0" w:color="auto"/>
                                            <w:bottom w:val="none" w:sz="0" w:space="0" w:color="auto"/>
                                            <w:right w:val="none" w:sz="0" w:space="0" w:color="auto"/>
                                          </w:divBdr>
                                          <w:divsChild>
                                            <w:div w:id="237522055">
                                              <w:marLeft w:val="0"/>
                                              <w:marRight w:val="0"/>
                                              <w:marTop w:val="0"/>
                                              <w:marBottom w:val="0"/>
                                              <w:divBdr>
                                                <w:top w:val="none" w:sz="0" w:space="0" w:color="auto"/>
                                                <w:left w:val="none" w:sz="0" w:space="0" w:color="auto"/>
                                                <w:bottom w:val="none" w:sz="0" w:space="0" w:color="auto"/>
                                                <w:right w:val="none" w:sz="0" w:space="0" w:color="auto"/>
                                              </w:divBdr>
                                              <w:divsChild>
                                                <w:div w:id="1882790370">
                                                  <w:marLeft w:val="0"/>
                                                  <w:marRight w:val="0"/>
                                                  <w:marTop w:val="0"/>
                                                  <w:marBottom w:val="0"/>
                                                  <w:divBdr>
                                                    <w:top w:val="none" w:sz="0" w:space="0" w:color="auto"/>
                                                    <w:left w:val="none" w:sz="0" w:space="0" w:color="auto"/>
                                                    <w:bottom w:val="none" w:sz="0" w:space="0" w:color="auto"/>
                                                    <w:right w:val="none" w:sz="0" w:space="0" w:color="auto"/>
                                                  </w:divBdr>
                                                  <w:divsChild>
                                                    <w:div w:id="18313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8130035">
      <w:bodyDiv w:val="1"/>
      <w:marLeft w:val="0"/>
      <w:marRight w:val="0"/>
      <w:marTop w:val="0"/>
      <w:marBottom w:val="0"/>
      <w:divBdr>
        <w:top w:val="none" w:sz="0" w:space="0" w:color="auto"/>
        <w:left w:val="none" w:sz="0" w:space="0" w:color="auto"/>
        <w:bottom w:val="none" w:sz="0" w:space="0" w:color="auto"/>
        <w:right w:val="none" w:sz="0" w:space="0" w:color="auto"/>
      </w:divBdr>
    </w:div>
    <w:div w:id="1579754731">
      <w:bodyDiv w:val="1"/>
      <w:marLeft w:val="0"/>
      <w:marRight w:val="0"/>
      <w:marTop w:val="0"/>
      <w:marBottom w:val="0"/>
      <w:divBdr>
        <w:top w:val="none" w:sz="0" w:space="0" w:color="auto"/>
        <w:left w:val="none" w:sz="0" w:space="0" w:color="auto"/>
        <w:bottom w:val="none" w:sz="0" w:space="0" w:color="auto"/>
        <w:right w:val="none" w:sz="0" w:space="0" w:color="auto"/>
      </w:divBdr>
    </w:div>
    <w:div w:id="1593009710">
      <w:bodyDiv w:val="1"/>
      <w:marLeft w:val="0"/>
      <w:marRight w:val="0"/>
      <w:marTop w:val="0"/>
      <w:marBottom w:val="0"/>
      <w:divBdr>
        <w:top w:val="none" w:sz="0" w:space="0" w:color="auto"/>
        <w:left w:val="none" w:sz="0" w:space="0" w:color="auto"/>
        <w:bottom w:val="none" w:sz="0" w:space="0" w:color="auto"/>
        <w:right w:val="none" w:sz="0" w:space="0" w:color="auto"/>
      </w:divBdr>
    </w:div>
    <w:div w:id="1609772211">
      <w:bodyDiv w:val="1"/>
      <w:marLeft w:val="0"/>
      <w:marRight w:val="0"/>
      <w:marTop w:val="0"/>
      <w:marBottom w:val="0"/>
      <w:divBdr>
        <w:top w:val="none" w:sz="0" w:space="0" w:color="auto"/>
        <w:left w:val="none" w:sz="0" w:space="0" w:color="auto"/>
        <w:bottom w:val="none" w:sz="0" w:space="0" w:color="auto"/>
        <w:right w:val="none" w:sz="0" w:space="0" w:color="auto"/>
      </w:divBdr>
    </w:div>
    <w:div w:id="1622302735">
      <w:bodyDiv w:val="1"/>
      <w:marLeft w:val="0"/>
      <w:marRight w:val="0"/>
      <w:marTop w:val="0"/>
      <w:marBottom w:val="0"/>
      <w:divBdr>
        <w:top w:val="none" w:sz="0" w:space="0" w:color="auto"/>
        <w:left w:val="none" w:sz="0" w:space="0" w:color="auto"/>
        <w:bottom w:val="none" w:sz="0" w:space="0" w:color="auto"/>
        <w:right w:val="none" w:sz="0" w:space="0" w:color="auto"/>
      </w:divBdr>
    </w:div>
    <w:div w:id="1633827885">
      <w:bodyDiv w:val="1"/>
      <w:marLeft w:val="0"/>
      <w:marRight w:val="0"/>
      <w:marTop w:val="0"/>
      <w:marBottom w:val="0"/>
      <w:divBdr>
        <w:top w:val="none" w:sz="0" w:space="0" w:color="auto"/>
        <w:left w:val="none" w:sz="0" w:space="0" w:color="auto"/>
        <w:bottom w:val="none" w:sz="0" w:space="0" w:color="auto"/>
        <w:right w:val="none" w:sz="0" w:space="0" w:color="auto"/>
      </w:divBdr>
    </w:div>
    <w:div w:id="1654916940">
      <w:marLeft w:val="0"/>
      <w:marRight w:val="0"/>
      <w:marTop w:val="0"/>
      <w:marBottom w:val="0"/>
      <w:divBdr>
        <w:top w:val="none" w:sz="0" w:space="0" w:color="auto"/>
        <w:left w:val="none" w:sz="0" w:space="0" w:color="auto"/>
        <w:bottom w:val="none" w:sz="0" w:space="0" w:color="auto"/>
        <w:right w:val="none" w:sz="0" w:space="0" w:color="auto"/>
      </w:divBdr>
      <w:divsChild>
        <w:div w:id="1673600979">
          <w:marLeft w:val="0"/>
          <w:marRight w:val="0"/>
          <w:marTop w:val="0"/>
          <w:marBottom w:val="0"/>
          <w:divBdr>
            <w:top w:val="none" w:sz="0" w:space="0" w:color="auto"/>
            <w:left w:val="none" w:sz="0" w:space="0" w:color="auto"/>
            <w:bottom w:val="none" w:sz="0" w:space="0" w:color="auto"/>
            <w:right w:val="none" w:sz="0" w:space="0" w:color="auto"/>
          </w:divBdr>
        </w:div>
      </w:divsChild>
    </w:div>
    <w:div w:id="1686905423">
      <w:marLeft w:val="0"/>
      <w:marRight w:val="0"/>
      <w:marTop w:val="0"/>
      <w:marBottom w:val="0"/>
      <w:divBdr>
        <w:top w:val="none" w:sz="0" w:space="0" w:color="auto"/>
        <w:left w:val="none" w:sz="0" w:space="0" w:color="auto"/>
        <w:bottom w:val="none" w:sz="0" w:space="0" w:color="auto"/>
        <w:right w:val="none" w:sz="0" w:space="0" w:color="auto"/>
      </w:divBdr>
      <w:divsChild>
        <w:div w:id="1929339490">
          <w:marLeft w:val="0"/>
          <w:marRight w:val="0"/>
          <w:marTop w:val="0"/>
          <w:marBottom w:val="0"/>
          <w:divBdr>
            <w:top w:val="none" w:sz="0" w:space="0" w:color="auto"/>
            <w:left w:val="none" w:sz="0" w:space="0" w:color="auto"/>
            <w:bottom w:val="none" w:sz="0" w:space="0" w:color="auto"/>
            <w:right w:val="none" w:sz="0" w:space="0" w:color="auto"/>
          </w:divBdr>
        </w:div>
      </w:divsChild>
    </w:div>
    <w:div w:id="1715888101">
      <w:marLeft w:val="0"/>
      <w:marRight w:val="0"/>
      <w:marTop w:val="0"/>
      <w:marBottom w:val="0"/>
      <w:divBdr>
        <w:top w:val="none" w:sz="0" w:space="0" w:color="auto"/>
        <w:left w:val="none" w:sz="0" w:space="0" w:color="auto"/>
        <w:bottom w:val="none" w:sz="0" w:space="0" w:color="auto"/>
        <w:right w:val="none" w:sz="0" w:space="0" w:color="auto"/>
      </w:divBdr>
      <w:divsChild>
        <w:div w:id="1521629210">
          <w:marLeft w:val="0"/>
          <w:marRight w:val="0"/>
          <w:marTop w:val="0"/>
          <w:marBottom w:val="0"/>
          <w:divBdr>
            <w:top w:val="none" w:sz="0" w:space="0" w:color="auto"/>
            <w:left w:val="none" w:sz="0" w:space="0" w:color="auto"/>
            <w:bottom w:val="none" w:sz="0" w:space="0" w:color="auto"/>
            <w:right w:val="none" w:sz="0" w:space="0" w:color="auto"/>
          </w:divBdr>
        </w:div>
      </w:divsChild>
    </w:div>
    <w:div w:id="1721588030">
      <w:marLeft w:val="0"/>
      <w:marRight w:val="0"/>
      <w:marTop w:val="0"/>
      <w:marBottom w:val="0"/>
      <w:divBdr>
        <w:top w:val="none" w:sz="0" w:space="0" w:color="auto"/>
        <w:left w:val="none" w:sz="0" w:space="0" w:color="auto"/>
        <w:bottom w:val="none" w:sz="0" w:space="0" w:color="auto"/>
        <w:right w:val="none" w:sz="0" w:space="0" w:color="auto"/>
      </w:divBdr>
      <w:divsChild>
        <w:div w:id="1595698993">
          <w:marLeft w:val="0"/>
          <w:marRight w:val="0"/>
          <w:marTop w:val="0"/>
          <w:marBottom w:val="0"/>
          <w:divBdr>
            <w:top w:val="none" w:sz="0" w:space="0" w:color="auto"/>
            <w:left w:val="none" w:sz="0" w:space="0" w:color="auto"/>
            <w:bottom w:val="none" w:sz="0" w:space="0" w:color="auto"/>
            <w:right w:val="none" w:sz="0" w:space="0" w:color="auto"/>
          </w:divBdr>
        </w:div>
      </w:divsChild>
    </w:div>
    <w:div w:id="1777870541">
      <w:bodyDiv w:val="1"/>
      <w:marLeft w:val="0"/>
      <w:marRight w:val="0"/>
      <w:marTop w:val="0"/>
      <w:marBottom w:val="0"/>
      <w:divBdr>
        <w:top w:val="none" w:sz="0" w:space="0" w:color="auto"/>
        <w:left w:val="none" w:sz="0" w:space="0" w:color="auto"/>
        <w:bottom w:val="none" w:sz="0" w:space="0" w:color="auto"/>
        <w:right w:val="none" w:sz="0" w:space="0" w:color="auto"/>
      </w:divBdr>
    </w:div>
    <w:div w:id="1783451149">
      <w:marLeft w:val="0"/>
      <w:marRight w:val="0"/>
      <w:marTop w:val="0"/>
      <w:marBottom w:val="0"/>
      <w:divBdr>
        <w:top w:val="none" w:sz="0" w:space="0" w:color="auto"/>
        <w:left w:val="none" w:sz="0" w:space="0" w:color="auto"/>
        <w:bottom w:val="none" w:sz="0" w:space="0" w:color="auto"/>
        <w:right w:val="none" w:sz="0" w:space="0" w:color="auto"/>
      </w:divBdr>
      <w:divsChild>
        <w:div w:id="1858346019">
          <w:marLeft w:val="0"/>
          <w:marRight w:val="0"/>
          <w:marTop w:val="0"/>
          <w:marBottom w:val="0"/>
          <w:divBdr>
            <w:top w:val="none" w:sz="0" w:space="0" w:color="auto"/>
            <w:left w:val="none" w:sz="0" w:space="0" w:color="auto"/>
            <w:bottom w:val="none" w:sz="0" w:space="0" w:color="auto"/>
            <w:right w:val="none" w:sz="0" w:space="0" w:color="auto"/>
          </w:divBdr>
        </w:div>
      </w:divsChild>
    </w:div>
    <w:div w:id="1803500530">
      <w:marLeft w:val="0"/>
      <w:marRight w:val="0"/>
      <w:marTop w:val="0"/>
      <w:marBottom w:val="0"/>
      <w:divBdr>
        <w:top w:val="none" w:sz="0" w:space="0" w:color="auto"/>
        <w:left w:val="none" w:sz="0" w:space="0" w:color="auto"/>
        <w:bottom w:val="none" w:sz="0" w:space="0" w:color="auto"/>
        <w:right w:val="none" w:sz="0" w:space="0" w:color="auto"/>
      </w:divBdr>
      <w:divsChild>
        <w:div w:id="41904335">
          <w:marLeft w:val="0"/>
          <w:marRight w:val="0"/>
          <w:marTop w:val="0"/>
          <w:marBottom w:val="0"/>
          <w:divBdr>
            <w:top w:val="none" w:sz="0" w:space="0" w:color="auto"/>
            <w:left w:val="none" w:sz="0" w:space="0" w:color="auto"/>
            <w:bottom w:val="none" w:sz="0" w:space="0" w:color="auto"/>
            <w:right w:val="none" w:sz="0" w:space="0" w:color="auto"/>
          </w:divBdr>
        </w:div>
      </w:divsChild>
    </w:div>
    <w:div w:id="1817527116">
      <w:marLeft w:val="0"/>
      <w:marRight w:val="0"/>
      <w:marTop w:val="0"/>
      <w:marBottom w:val="0"/>
      <w:divBdr>
        <w:top w:val="none" w:sz="0" w:space="0" w:color="auto"/>
        <w:left w:val="none" w:sz="0" w:space="0" w:color="auto"/>
        <w:bottom w:val="none" w:sz="0" w:space="0" w:color="auto"/>
        <w:right w:val="none" w:sz="0" w:space="0" w:color="auto"/>
      </w:divBdr>
      <w:divsChild>
        <w:div w:id="1084306548">
          <w:marLeft w:val="0"/>
          <w:marRight w:val="0"/>
          <w:marTop w:val="0"/>
          <w:marBottom w:val="0"/>
          <w:divBdr>
            <w:top w:val="none" w:sz="0" w:space="0" w:color="auto"/>
            <w:left w:val="none" w:sz="0" w:space="0" w:color="auto"/>
            <w:bottom w:val="none" w:sz="0" w:space="0" w:color="auto"/>
            <w:right w:val="none" w:sz="0" w:space="0" w:color="auto"/>
          </w:divBdr>
        </w:div>
      </w:divsChild>
    </w:div>
    <w:div w:id="1821917466">
      <w:marLeft w:val="0"/>
      <w:marRight w:val="0"/>
      <w:marTop w:val="0"/>
      <w:marBottom w:val="0"/>
      <w:divBdr>
        <w:top w:val="none" w:sz="0" w:space="0" w:color="auto"/>
        <w:left w:val="none" w:sz="0" w:space="0" w:color="auto"/>
        <w:bottom w:val="none" w:sz="0" w:space="0" w:color="auto"/>
        <w:right w:val="none" w:sz="0" w:space="0" w:color="auto"/>
      </w:divBdr>
      <w:divsChild>
        <w:div w:id="546255922">
          <w:marLeft w:val="0"/>
          <w:marRight w:val="0"/>
          <w:marTop w:val="0"/>
          <w:marBottom w:val="0"/>
          <w:divBdr>
            <w:top w:val="none" w:sz="0" w:space="0" w:color="auto"/>
            <w:left w:val="none" w:sz="0" w:space="0" w:color="auto"/>
            <w:bottom w:val="none" w:sz="0" w:space="0" w:color="auto"/>
            <w:right w:val="none" w:sz="0" w:space="0" w:color="auto"/>
          </w:divBdr>
        </w:div>
      </w:divsChild>
    </w:div>
    <w:div w:id="1827210910">
      <w:marLeft w:val="0"/>
      <w:marRight w:val="0"/>
      <w:marTop w:val="0"/>
      <w:marBottom w:val="0"/>
      <w:divBdr>
        <w:top w:val="none" w:sz="0" w:space="0" w:color="auto"/>
        <w:left w:val="none" w:sz="0" w:space="0" w:color="auto"/>
        <w:bottom w:val="none" w:sz="0" w:space="0" w:color="auto"/>
        <w:right w:val="none" w:sz="0" w:space="0" w:color="auto"/>
      </w:divBdr>
      <w:divsChild>
        <w:div w:id="1159156845">
          <w:marLeft w:val="0"/>
          <w:marRight w:val="0"/>
          <w:marTop w:val="0"/>
          <w:marBottom w:val="0"/>
          <w:divBdr>
            <w:top w:val="none" w:sz="0" w:space="0" w:color="auto"/>
            <w:left w:val="none" w:sz="0" w:space="0" w:color="auto"/>
            <w:bottom w:val="none" w:sz="0" w:space="0" w:color="auto"/>
            <w:right w:val="none" w:sz="0" w:space="0" w:color="auto"/>
          </w:divBdr>
        </w:div>
      </w:divsChild>
    </w:div>
    <w:div w:id="1832598661">
      <w:bodyDiv w:val="1"/>
      <w:marLeft w:val="0"/>
      <w:marRight w:val="0"/>
      <w:marTop w:val="0"/>
      <w:marBottom w:val="0"/>
      <w:divBdr>
        <w:top w:val="none" w:sz="0" w:space="0" w:color="auto"/>
        <w:left w:val="none" w:sz="0" w:space="0" w:color="auto"/>
        <w:bottom w:val="none" w:sz="0" w:space="0" w:color="auto"/>
        <w:right w:val="none" w:sz="0" w:space="0" w:color="auto"/>
      </w:divBdr>
      <w:divsChild>
        <w:div w:id="1888911028">
          <w:marLeft w:val="0"/>
          <w:marRight w:val="0"/>
          <w:marTop w:val="0"/>
          <w:marBottom w:val="0"/>
          <w:divBdr>
            <w:top w:val="none" w:sz="0" w:space="0" w:color="auto"/>
            <w:left w:val="none" w:sz="0" w:space="0" w:color="auto"/>
            <w:bottom w:val="none" w:sz="0" w:space="0" w:color="auto"/>
            <w:right w:val="none" w:sz="0" w:space="0" w:color="auto"/>
          </w:divBdr>
          <w:divsChild>
            <w:div w:id="196891032">
              <w:marLeft w:val="0"/>
              <w:marRight w:val="0"/>
              <w:marTop w:val="0"/>
              <w:marBottom w:val="0"/>
              <w:divBdr>
                <w:top w:val="none" w:sz="0" w:space="0" w:color="auto"/>
                <w:left w:val="none" w:sz="0" w:space="0" w:color="auto"/>
                <w:bottom w:val="none" w:sz="0" w:space="0" w:color="auto"/>
                <w:right w:val="none" w:sz="0" w:space="0" w:color="auto"/>
              </w:divBdr>
              <w:divsChild>
                <w:div w:id="857694651">
                  <w:marLeft w:val="0"/>
                  <w:marRight w:val="0"/>
                  <w:marTop w:val="0"/>
                  <w:marBottom w:val="0"/>
                  <w:divBdr>
                    <w:top w:val="none" w:sz="0" w:space="0" w:color="auto"/>
                    <w:left w:val="none" w:sz="0" w:space="0" w:color="auto"/>
                    <w:bottom w:val="none" w:sz="0" w:space="0" w:color="auto"/>
                    <w:right w:val="none" w:sz="0" w:space="0" w:color="auto"/>
                  </w:divBdr>
                </w:div>
                <w:div w:id="1650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5503">
      <w:marLeft w:val="0"/>
      <w:marRight w:val="0"/>
      <w:marTop w:val="0"/>
      <w:marBottom w:val="0"/>
      <w:divBdr>
        <w:top w:val="none" w:sz="0" w:space="0" w:color="auto"/>
        <w:left w:val="none" w:sz="0" w:space="0" w:color="auto"/>
        <w:bottom w:val="none" w:sz="0" w:space="0" w:color="auto"/>
        <w:right w:val="none" w:sz="0" w:space="0" w:color="auto"/>
      </w:divBdr>
      <w:divsChild>
        <w:div w:id="742290947">
          <w:marLeft w:val="0"/>
          <w:marRight w:val="0"/>
          <w:marTop w:val="0"/>
          <w:marBottom w:val="0"/>
          <w:divBdr>
            <w:top w:val="none" w:sz="0" w:space="0" w:color="auto"/>
            <w:left w:val="none" w:sz="0" w:space="0" w:color="auto"/>
            <w:bottom w:val="none" w:sz="0" w:space="0" w:color="auto"/>
            <w:right w:val="none" w:sz="0" w:space="0" w:color="auto"/>
          </w:divBdr>
        </w:div>
      </w:divsChild>
    </w:div>
    <w:div w:id="1868249120">
      <w:bodyDiv w:val="1"/>
      <w:marLeft w:val="0"/>
      <w:marRight w:val="0"/>
      <w:marTop w:val="0"/>
      <w:marBottom w:val="0"/>
      <w:divBdr>
        <w:top w:val="none" w:sz="0" w:space="0" w:color="auto"/>
        <w:left w:val="none" w:sz="0" w:space="0" w:color="auto"/>
        <w:bottom w:val="none" w:sz="0" w:space="0" w:color="auto"/>
        <w:right w:val="none" w:sz="0" w:space="0" w:color="auto"/>
      </w:divBdr>
    </w:div>
    <w:div w:id="1882210622">
      <w:bodyDiv w:val="1"/>
      <w:marLeft w:val="0"/>
      <w:marRight w:val="0"/>
      <w:marTop w:val="0"/>
      <w:marBottom w:val="0"/>
      <w:divBdr>
        <w:top w:val="none" w:sz="0" w:space="0" w:color="auto"/>
        <w:left w:val="none" w:sz="0" w:space="0" w:color="auto"/>
        <w:bottom w:val="none" w:sz="0" w:space="0" w:color="auto"/>
        <w:right w:val="none" w:sz="0" w:space="0" w:color="auto"/>
      </w:divBdr>
      <w:divsChild>
        <w:div w:id="887036446">
          <w:marLeft w:val="0"/>
          <w:marRight w:val="0"/>
          <w:marTop w:val="0"/>
          <w:marBottom w:val="0"/>
          <w:divBdr>
            <w:top w:val="none" w:sz="0" w:space="0" w:color="auto"/>
            <w:left w:val="none" w:sz="0" w:space="0" w:color="auto"/>
            <w:bottom w:val="none" w:sz="0" w:space="0" w:color="auto"/>
            <w:right w:val="none" w:sz="0" w:space="0" w:color="auto"/>
          </w:divBdr>
          <w:divsChild>
            <w:div w:id="2106798778">
              <w:marLeft w:val="0"/>
              <w:marRight w:val="0"/>
              <w:marTop w:val="0"/>
              <w:marBottom w:val="0"/>
              <w:divBdr>
                <w:top w:val="none" w:sz="0" w:space="0" w:color="auto"/>
                <w:left w:val="none" w:sz="0" w:space="0" w:color="auto"/>
                <w:bottom w:val="none" w:sz="0" w:space="0" w:color="auto"/>
                <w:right w:val="none" w:sz="0" w:space="0" w:color="auto"/>
              </w:divBdr>
              <w:divsChild>
                <w:div w:id="36112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23378">
      <w:marLeft w:val="0"/>
      <w:marRight w:val="0"/>
      <w:marTop w:val="0"/>
      <w:marBottom w:val="0"/>
      <w:divBdr>
        <w:top w:val="none" w:sz="0" w:space="0" w:color="auto"/>
        <w:left w:val="none" w:sz="0" w:space="0" w:color="auto"/>
        <w:bottom w:val="none" w:sz="0" w:space="0" w:color="auto"/>
        <w:right w:val="none" w:sz="0" w:space="0" w:color="auto"/>
      </w:divBdr>
      <w:divsChild>
        <w:div w:id="1070536648">
          <w:marLeft w:val="0"/>
          <w:marRight w:val="0"/>
          <w:marTop w:val="0"/>
          <w:marBottom w:val="0"/>
          <w:divBdr>
            <w:top w:val="none" w:sz="0" w:space="0" w:color="auto"/>
            <w:left w:val="none" w:sz="0" w:space="0" w:color="auto"/>
            <w:bottom w:val="none" w:sz="0" w:space="0" w:color="auto"/>
            <w:right w:val="none" w:sz="0" w:space="0" w:color="auto"/>
          </w:divBdr>
        </w:div>
      </w:divsChild>
    </w:div>
    <w:div w:id="1885629470">
      <w:marLeft w:val="0"/>
      <w:marRight w:val="0"/>
      <w:marTop w:val="0"/>
      <w:marBottom w:val="0"/>
      <w:divBdr>
        <w:top w:val="none" w:sz="0" w:space="0" w:color="auto"/>
        <w:left w:val="none" w:sz="0" w:space="0" w:color="auto"/>
        <w:bottom w:val="none" w:sz="0" w:space="0" w:color="auto"/>
        <w:right w:val="none" w:sz="0" w:space="0" w:color="auto"/>
      </w:divBdr>
      <w:divsChild>
        <w:div w:id="1173647938">
          <w:marLeft w:val="0"/>
          <w:marRight w:val="0"/>
          <w:marTop w:val="0"/>
          <w:marBottom w:val="0"/>
          <w:divBdr>
            <w:top w:val="none" w:sz="0" w:space="0" w:color="auto"/>
            <w:left w:val="none" w:sz="0" w:space="0" w:color="auto"/>
            <w:bottom w:val="none" w:sz="0" w:space="0" w:color="auto"/>
            <w:right w:val="none" w:sz="0" w:space="0" w:color="auto"/>
          </w:divBdr>
        </w:div>
      </w:divsChild>
    </w:div>
    <w:div w:id="1886018319">
      <w:bodyDiv w:val="1"/>
      <w:marLeft w:val="0"/>
      <w:marRight w:val="0"/>
      <w:marTop w:val="0"/>
      <w:marBottom w:val="0"/>
      <w:divBdr>
        <w:top w:val="none" w:sz="0" w:space="0" w:color="auto"/>
        <w:left w:val="none" w:sz="0" w:space="0" w:color="auto"/>
        <w:bottom w:val="none" w:sz="0" w:space="0" w:color="auto"/>
        <w:right w:val="none" w:sz="0" w:space="0" w:color="auto"/>
      </w:divBdr>
    </w:div>
    <w:div w:id="1903757740">
      <w:bodyDiv w:val="1"/>
      <w:marLeft w:val="0"/>
      <w:marRight w:val="0"/>
      <w:marTop w:val="0"/>
      <w:marBottom w:val="0"/>
      <w:divBdr>
        <w:top w:val="none" w:sz="0" w:space="0" w:color="auto"/>
        <w:left w:val="none" w:sz="0" w:space="0" w:color="auto"/>
        <w:bottom w:val="none" w:sz="0" w:space="0" w:color="auto"/>
        <w:right w:val="none" w:sz="0" w:space="0" w:color="auto"/>
      </w:divBdr>
    </w:div>
    <w:div w:id="1925914795">
      <w:marLeft w:val="0"/>
      <w:marRight w:val="0"/>
      <w:marTop w:val="0"/>
      <w:marBottom w:val="0"/>
      <w:divBdr>
        <w:top w:val="none" w:sz="0" w:space="0" w:color="auto"/>
        <w:left w:val="none" w:sz="0" w:space="0" w:color="auto"/>
        <w:bottom w:val="none" w:sz="0" w:space="0" w:color="auto"/>
        <w:right w:val="none" w:sz="0" w:space="0" w:color="auto"/>
      </w:divBdr>
      <w:divsChild>
        <w:div w:id="1062213473">
          <w:marLeft w:val="0"/>
          <w:marRight w:val="0"/>
          <w:marTop w:val="0"/>
          <w:marBottom w:val="0"/>
          <w:divBdr>
            <w:top w:val="none" w:sz="0" w:space="0" w:color="auto"/>
            <w:left w:val="none" w:sz="0" w:space="0" w:color="auto"/>
            <w:bottom w:val="none" w:sz="0" w:space="0" w:color="auto"/>
            <w:right w:val="none" w:sz="0" w:space="0" w:color="auto"/>
          </w:divBdr>
        </w:div>
      </w:divsChild>
    </w:div>
    <w:div w:id="1927571454">
      <w:bodyDiv w:val="1"/>
      <w:marLeft w:val="0"/>
      <w:marRight w:val="0"/>
      <w:marTop w:val="0"/>
      <w:marBottom w:val="0"/>
      <w:divBdr>
        <w:top w:val="none" w:sz="0" w:space="0" w:color="auto"/>
        <w:left w:val="none" w:sz="0" w:space="0" w:color="auto"/>
        <w:bottom w:val="none" w:sz="0" w:space="0" w:color="auto"/>
        <w:right w:val="none" w:sz="0" w:space="0" w:color="auto"/>
      </w:divBdr>
    </w:div>
    <w:div w:id="1933396444">
      <w:marLeft w:val="0"/>
      <w:marRight w:val="0"/>
      <w:marTop w:val="0"/>
      <w:marBottom w:val="0"/>
      <w:divBdr>
        <w:top w:val="none" w:sz="0" w:space="0" w:color="auto"/>
        <w:left w:val="none" w:sz="0" w:space="0" w:color="auto"/>
        <w:bottom w:val="none" w:sz="0" w:space="0" w:color="auto"/>
        <w:right w:val="none" w:sz="0" w:space="0" w:color="auto"/>
      </w:divBdr>
      <w:divsChild>
        <w:div w:id="318119601">
          <w:marLeft w:val="0"/>
          <w:marRight w:val="0"/>
          <w:marTop w:val="0"/>
          <w:marBottom w:val="0"/>
          <w:divBdr>
            <w:top w:val="none" w:sz="0" w:space="0" w:color="auto"/>
            <w:left w:val="none" w:sz="0" w:space="0" w:color="auto"/>
            <w:bottom w:val="none" w:sz="0" w:space="0" w:color="auto"/>
            <w:right w:val="none" w:sz="0" w:space="0" w:color="auto"/>
          </w:divBdr>
        </w:div>
      </w:divsChild>
    </w:div>
    <w:div w:id="1968587158">
      <w:bodyDiv w:val="1"/>
      <w:marLeft w:val="0"/>
      <w:marRight w:val="0"/>
      <w:marTop w:val="0"/>
      <w:marBottom w:val="0"/>
      <w:divBdr>
        <w:top w:val="none" w:sz="0" w:space="0" w:color="auto"/>
        <w:left w:val="none" w:sz="0" w:space="0" w:color="auto"/>
        <w:bottom w:val="none" w:sz="0" w:space="0" w:color="auto"/>
        <w:right w:val="none" w:sz="0" w:space="0" w:color="auto"/>
      </w:divBdr>
    </w:div>
    <w:div w:id="1975986937">
      <w:bodyDiv w:val="1"/>
      <w:marLeft w:val="0"/>
      <w:marRight w:val="0"/>
      <w:marTop w:val="0"/>
      <w:marBottom w:val="0"/>
      <w:divBdr>
        <w:top w:val="none" w:sz="0" w:space="0" w:color="auto"/>
        <w:left w:val="none" w:sz="0" w:space="0" w:color="auto"/>
        <w:bottom w:val="none" w:sz="0" w:space="0" w:color="auto"/>
        <w:right w:val="none" w:sz="0" w:space="0" w:color="auto"/>
      </w:divBdr>
    </w:div>
    <w:div w:id="2020541180">
      <w:bodyDiv w:val="1"/>
      <w:marLeft w:val="0"/>
      <w:marRight w:val="0"/>
      <w:marTop w:val="0"/>
      <w:marBottom w:val="0"/>
      <w:divBdr>
        <w:top w:val="none" w:sz="0" w:space="0" w:color="auto"/>
        <w:left w:val="none" w:sz="0" w:space="0" w:color="auto"/>
        <w:bottom w:val="none" w:sz="0" w:space="0" w:color="auto"/>
        <w:right w:val="none" w:sz="0" w:space="0" w:color="auto"/>
      </w:divBdr>
    </w:div>
    <w:div w:id="2025281464">
      <w:marLeft w:val="0"/>
      <w:marRight w:val="0"/>
      <w:marTop w:val="0"/>
      <w:marBottom w:val="0"/>
      <w:divBdr>
        <w:top w:val="none" w:sz="0" w:space="0" w:color="auto"/>
        <w:left w:val="none" w:sz="0" w:space="0" w:color="auto"/>
        <w:bottom w:val="none" w:sz="0" w:space="0" w:color="auto"/>
        <w:right w:val="none" w:sz="0" w:space="0" w:color="auto"/>
      </w:divBdr>
      <w:divsChild>
        <w:div w:id="394856748">
          <w:marLeft w:val="0"/>
          <w:marRight w:val="0"/>
          <w:marTop w:val="0"/>
          <w:marBottom w:val="0"/>
          <w:divBdr>
            <w:top w:val="none" w:sz="0" w:space="0" w:color="auto"/>
            <w:left w:val="none" w:sz="0" w:space="0" w:color="auto"/>
            <w:bottom w:val="none" w:sz="0" w:space="0" w:color="auto"/>
            <w:right w:val="none" w:sz="0" w:space="0" w:color="auto"/>
          </w:divBdr>
        </w:div>
      </w:divsChild>
    </w:div>
    <w:div w:id="2035836627">
      <w:bodyDiv w:val="1"/>
      <w:marLeft w:val="0"/>
      <w:marRight w:val="0"/>
      <w:marTop w:val="0"/>
      <w:marBottom w:val="0"/>
      <w:divBdr>
        <w:top w:val="none" w:sz="0" w:space="0" w:color="auto"/>
        <w:left w:val="none" w:sz="0" w:space="0" w:color="auto"/>
        <w:bottom w:val="none" w:sz="0" w:space="0" w:color="auto"/>
        <w:right w:val="none" w:sz="0" w:space="0" w:color="auto"/>
      </w:divBdr>
    </w:div>
    <w:div w:id="2052995023">
      <w:bodyDiv w:val="1"/>
      <w:marLeft w:val="0"/>
      <w:marRight w:val="0"/>
      <w:marTop w:val="0"/>
      <w:marBottom w:val="0"/>
      <w:divBdr>
        <w:top w:val="none" w:sz="0" w:space="0" w:color="auto"/>
        <w:left w:val="none" w:sz="0" w:space="0" w:color="auto"/>
        <w:bottom w:val="none" w:sz="0" w:space="0" w:color="auto"/>
        <w:right w:val="none" w:sz="0" w:space="0" w:color="auto"/>
      </w:divBdr>
    </w:div>
    <w:div w:id="2120680639">
      <w:marLeft w:val="0"/>
      <w:marRight w:val="0"/>
      <w:marTop w:val="0"/>
      <w:marBottom w:val="0"/>
      <w:divBdr>
        <w:top w:val="none" w:sz="0" w:space="0" w:color="auto"/>
        <w:left w:val="none" w:sz="0" w:space="0" w:color="auto"/>
        <w:bottom w:val="none" w:sz="0" w:space="0" w:color="auto"/>
        <w:right w:val="none" w:sz="0" w:space="0" w:color="auto"/>
      </w:divBdr>
      <w:divsChild>
        <w:div w:id="1253734065">
          <w:marLeft w:val="0"/>
          <w:marRight w:val="0"/>
          <w:marTop w:val="0"/>
          <w:marBottom w:val="0"/>
          <w:divBdr>
            <w:top w:val="none" w:sz="0" w:space="0" w:color="auto"/>
            <w:left w:val="none" w:sz="0" w:space="0" w:color="auto"/>
            <w:bottom w:val="none" w:sz="0" w:space="0" w:color="auto"/>
            <w:right w:val="none" w:sz="0" w:space="0" w:color="auto"/>
          </w:divBdr>
        </w:div>
      </w:divsChild>
    </w:div>
    <w:div w:id="21359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www.beehive.govt.nz/release/second-phase-ets-review-documents-released" TargetMode="External"/><Relationship Id="rId39" Type="http://schemas.openxmlformats.org/officeDocument/2006/relationships/footer" Target="footer9.xml"/><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8.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fe.govt.nz" TargetMode="Externa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oter" Target="footer10.xml"/><Relationship Id="rId45" Type="http://schemas.openxmlformats.org/officeDocument/2006/relationships/hyperlink" Target="http://www.beehive.govt.nz/release/second-phase-ets-review-documents-released"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hyperlink" Target="http://www.mfe.govt.nz/publications/climate-change/new-zealand-emissions-trading-scheme-review-2015-16-discussion-document" TargetMode="External"/><Relationship Id="rId36"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hyperlink" Target="http://www.beehive.govt.nz/release/government-begins-review-e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yperlink" Target="http://www.beehive.govt.nz/release/government-begins-review-ets"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1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21877</Words>
  <Characters>124700</Characters>
  <Application>Microsoft Office Word</Application>
  <DocSecurity>4</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146285</CharactersWithSpaces>
  <SharedDoc>false</SharedDoc>
  <HLinks>
    <vt:vector size="6" baseType="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2016-10-10T02:56:00Z</dcterms:created>
  <dcterms:modified xsi:type="dcterms:W3CDTF">2016-10-10T02:56:00Z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-655288072</vt:i4>
  </property>
  <property fmtid="{D5CDD505-2E9C-101B-9397-08002B2CF9AE}" pid="3" name="_NewReviewCycle">
    <vt:lpwstr/>
  </property>
  <property fmtid="{D5CDD505-2E9C-101B-9397-08002B2CF9AE}" pid="4" name="_ReviewingToolsShownOnce">
    <vt:lpwstr/>
  </property>
</Properties>
</file>