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D6E" w:rsidRPr="00AF297A" w:rsidRDefault="00191EF0" w:rsidP="002E02FB">
      <w:pPr>
        <w:pStyle w:val="Title"/>
      </w:pPr>
      <w:r>
        <w:rPr>
          <w:lang w:eastAsia="en-NZ"/>
        </w:rPr>
        <w:pict w14:anchorId="75625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9.7pt;margin-top:10.45pt;width:9.9pt;height:13.05pt;z-index:251656704;mso-wrap-edited:f;mso-position-horizontal-relative:page" wrapcoords="0 1270 -1542 19058 12342 19058 20057 12705 20057 8894 10800 1270 0 1270">
            <v:imagedata r:id="rId9" o:title="ETS_3DotArroweps_Transparent"/>
            <o:lock v:ext="edit" aspectratio="f"/>
            <w10:wrap type="tight" anchorx="page"/>
          </v:shape>
        </w:pict>
      </w:r>
      <w:r w:rsidR="001155FD" w:rsidRPr="00AF297A">
        <w:rPr>
          <w:lang w:eastAsia="en-NZ"/>
        </w:rPr>
        <w:t>New Zealand Emissions Trading Scheme Review 2015</w:t>
      </w:r>
      <w:r w:rsidR="008505B5">
        <w:rPr>
          <w:lang w:eastAsia="en-NZ"/>
        </w:rPr>
        <w:t>/</w:t>
      </w:r>
      <w:r w:rsidR="001155FD" w:rsidRPr="00AF297A">
        <w:rPr>
          <w:lang w:eastAsia="en-NZ"/>
        </w:rPr>
        <w:t>16</w:t>
      </w:r>
    </w:p>
    <w:p w:rsidR="008B7D6E" w:rsidRPr="00AF297A" w:rsidRDefault="001155FD" w:rsidP="00415FED">
      <w:pPr>
        <w:pStyle w:val="Subtitle"/>
        <w:jc w:val="both"/>
      </w:pPr>
      <w:r w:rsidRPr="00AF297A">
        <w:t>Discussion document and call for written submissions</w:t>
      </w:r>
    </w:p>
    <w:p w:rsidR="008B7D6E" w:rsidRPr="00AF297A" w:rsidRDefault="008B7D6E" w:rsidP="00415FED">
      <w:pPr>
        <w:pStyle w:val="BodyText"/>
        <w:jc w:val="both"/>
      </w:pPr>
    </w:p>
    <w:p w:rsidR="008B7D6E" w:rsidRPr="00AF297A" w:rsidRDefault="008B7D6E" w:rsidP="00415FED">
      <w:pPr>
        <w:pStyle w:val="BodyText"/>
        <w:jc w:val="both"/>
      </w:pPr>
    </w:p>
    <w:p w:rsidR="008B7D6E" w:rsidRPr="00AF297A" w:rsidRDefault="008B7D6E" w:rsidP="00415FED">
      <w:pPr>
        <w:pStyle w:val="BodyText"/>
        <w:jc w:val="both"/>
      </w:pPr>
    </w:p>
    <w:p w:rsidR="001155FD" w:rsidRPr="00AF297A" w:rsidRDefault="00C50D6E" w:rsidP="00415FED">
      <w:pPr>
        <w:pStyle w:val="Subtitle"/>
        <w:jc w:val="both"/>
      </w:pPr>
      <w:r>
        <w:t>2</w:t>
      </w:r>
      <w:r w:rsidR="00912B1C">
        <w:t>4</w:t>
      </w:r>
      <w:r w:rsidR="001155FD" w:rsidRPr="00AF297A">
        <w:t xml:space="preserve"> </w:t>
      </w:r>
      <w:r>
        <w:t>November</w:t>
      </w:r>
      <w:r w:rsidR="001155FD" w:rsidRPr="00AF297A">
        <w:t xml:space="preserve"> 2015</w:t>
      </w:r>
    </w:p>
    <w:p w:rsidR="008B7D6E" w:rsidRPr="00AF297A" w:rsidRDefault="00191EF0" w:rsidP="00415FED">
      <w:pPr>
        <w:jc w:val="both"/>
        <w:sectPr w:rsidR="008B7D6E" w:rsidRPr="00AF297A" w:rsidSect="000D0A5C">
          <w:headerReference w:type="default" r:id="rId10"/>
          <w:pgSz w:w="11907" w:h="16840" w:code="9"/>
          <w:pgMar w:top="6067" w:right="1418" w:bottom="1701" w:left="1134" w:header="340" w:footer="340" w:gutter="0"/>
          <w:cols w:space="720"/>
        </w:sectPr>
      </w:pPr>
      <w:r>
        <w:rPr>
          <w:lang w:eastAsia="en-NZ"/>
        </w:rPr>
        <w:pict w14:anchorId="59A80979">
          <v:shape id="_x0000_s1027" type="#_x0000_t75" style="position:absolute;left:0;text-align:left;margin-left:0;margin-top:765.45pt;width:156.55pt;height:42.3pt;z-index:-251658752;mso-position-horizontal:left;mso-position-horizontal-relative:margin;mso-position-vertical-relative:page">
            <v:imagedata r:id="rId11" o:title="Logo_MFE_Transparent"/>
            <w10:wrap anchorx="margin" anchory="page"/>
          </v:shape>
        </w:pict>
      </w:r>
    </w:p>
    <w:p w:rsidR="008B7D6E" w:rsidRPr="00AF297A" w:rsidRDefault="008B7D6E" w:rsidP="002E02FB">
      <w:pPr>
        <w:pStyle w:val="Imprint"/>
      </w:pPr>
      <w:r w:rsidRPr="00AF297A">
        <w:lastRenderedPageBreak/>
        <w:t>This report may be cited as:</w:t>
      </w:r>
    </w:p>
    <w:p w:rsidR="008B7D6E" w:rsidRPr="00AF297A" w:rsidRDefault="00A01095" w:rsidP="002E02FB">
      <w:pPr>
        <w:pStyle w:val="Imprint"/>
      </w:pPr>
      <w:r>
        <w:t>Ministry for the Environment. 201</w:t>
      </w:r>
      <w:r w:rsidR="001D3AE3">
        <w:t>5</w:t>
      </w:r>
      <w:r>
        <w:t xml:space="preserve">.  New Zealand Emissions Trading Scheme Review 2015/16: </w:t>
      </w:r>
      <w:r w:rsidR="001D3AE3">
        <w:t xml:space="preserve">Discussion document and call for written submissions. </w:t>
      </w:r>
      <w:r w:rsidR="008B7D6E" w:rsidRPr="00AF297A">
        <w:t xml:space="preserve"> Wellington: Ministry for the</w:t>
      </w:r>
      <w:r w:rsidR="00474DBA">
        <w:t xml:space="preserve"> </w:t>
      </w:r>
      <w:r w:rsidR="008B7D6E" w:rsidRPr="00AF297A">
        <w:t>Environment.</w:t>
      </w: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415FED">
      <w:pPr>
        <w:pStyle w:val="Imprint"/>
        <w:jc w:val="both"/>
      </w:pPr>
    </w:p>
    <w:p w:rsidR="008B7D6E" w:rsidRPr="00AF297A" w:rsidRDefault="008B7D6E" w:rsidP="002E3BE1">
      <w:pPr>
        <w:pStyle w:val="Imprint"/>
      </w:pPr>
      <w:r w:rsidRPr="00AF297A">
        <w:t xml:space="preserve">Published in </w:t>
      </w:r>
      <w:r w:rsidR="009555F5">
        <w:t xml:space="preserve">November </w:t>
      </w:r>
      <w:r w:rsidRPr="00AF297A">
        <w:t>201</w:t>
      </w:r>
      <w:r w:rsidR="001155FD" w:rsidRPr="00AF297A">
        <w:t>5</w:t>
      </w:r>
      <w:r w:rsidRPr="00AF297A">
        <w:t xml:space="preserve"> by the</w:t>
      </w:r>
      <w:r w:rsidRPr="00AF297A">
        <w:br/>
        <w:t xml:space="preserve">Ministry for the Environment </w:t>
      </w:r>
      <w:r w:rsidRPr="00AF297A">
        <w:br/>
        <w:t>Manatū Mō Te Taiao</w:t>
      </w:r>
      <w:r w:rsidRPr="00AF297A">
        <w:br/>
        <w:t>PO Box 10362, Wellington 6143, New Zealand</w:t>
      </w:r>
    </w:p>
    <w:p w:rsidR="008B7D6E" w:rsidRPr="00AF297A" w:rsidRDefault="008B7D6E" w:rsidP="00415FED">
      <w:pPr>
        <w:pStyle w:val="Imprint"/>
        <w:jc w:val="both"/>
      </w:pPr>
    </w:p>
    <w:p w:rsidR="009055D6" w:rsidRPr="00AF297A" w:rsidRDefault="009055D6" w:rsidP="00415FED">
      <w:pPr>
        <w:pStyle w:val="Imprint"/>
        <w:tabs>
          <w:tab w:val="left" w:pos="561"/>
        </w:tabs>
        <w:jc w:val="both"/>
      </w:pPr>
      <w:r w:rsidRPr="00AF297A">
        <w:t xml:space="preserve">ISBN: </w:t>
      </w:r>
      <w:r w:rsidRPr="00AF297A">
        <w:tab/>
      </w:r>
      <w:r w:rsidRPr="00D7196B">
        <w:t>978-0-908339-10-5 (electronic)</w:t>
      </w:r>
    </w:p>
    <w:p w:rsidR="009055D6" w:rsidRPr="00AF297A" w:rsidRDefault="009055D6" w:rsidP="00415FED">
      <w:pPr>
        <w:pStyle w:val="Imprint"/>
        <w:jc w:val="both"/>
      </w:pPr>
    </w:p>
    <w:p w:rsidR="009055D6" w:rsidRPr="00AF297A" w:rsidRDefault="009055D6" w:rsidP="00415FED">
      <w:pPr>
        <w:pStyle w:val="Imprint"/>
        <w:jc w:val="both"/>
      </w:pPr>
      <w:r w:rsidRPr="00AF297A">
        <w:t xml:space="preserve">Publication number: </w:t>
      </w:r>
      <w:r w:rsidRPr="00D7196B">
        <w:t>ME 1219</w:t>
      </w:r>
    </w:p>
    <w:p w:rsidR="009055D6" w:rsidRPr="00AF297A" w:rsidRDefault="009055D6" w:rsidP="00415FED">
      <w:pPr>
        <w:pStyle w:val="Imprint"/>
        <w:jc w:val="both"/>
      </w:pPr>
    </w:p>
    <w:p w:rsidR="009055D6" w:rsidRPr="00AF297A" w:rsidRDefault="009055D6" w:rsidP="00415FED">
      <w:pPr>
        <w:pStyle w:val="Imprint"/>
        <w:jc w:val="both"/>
      </w:pPr>
      <w:r w:rsidRPr="00AF297A">
        <w:t>© Crown copyright New Zealand 2015</w:t>
      </w:r>
    </w:p>
    <w:p w:rsidR="009055D6" w:rsidRPr="00AF297A" w:rsidRDefault="009055D6" w:rsidP="00415FED">
      <w:pPr>
        <w:pStyle w:val="Imprint"/>
        <w:jc w:val="both"/>
      </w:pPr>
    </w:p>
    <w:p w:rsidR="009055D6" w:rsidRPr="00AF297A" w:rsidRDefault="009055D6" w:rsidP="002E02FB">
      <w:pPr>
        <w:pStyle w:val="Imprint"/>
      </w:pPr>
      <w:r w:rsidRPr="00AF297A">
        <w:t>This document is available on the Ministry for the Environment’s website:</w:t>
      </w:r>
      <w:r w:rsidRPr="00AF297A">
        <w:br/>
      </w:r>
      <w:hyperlink r:id="rId12" w:history="1">
        <w:r w:rsidRPr="00AF297A">
          <w:t>www.mfe.govt.nz</w:t>
        </w:r>
      </w:hyperlink>
    </w:p>
    <w:p w:rsidR="009055D6" w:rsidRPr="00AF297A" w:rsidRDefault="009055D6" w:rsidP="00415FED">
      <w:pPr>
        <w:pStyle w:val="Imprint"/>
        <w:jc w:val="both"/>
      </w:pPr>
    </w:p>
    <w:p w:rsidR="009055D6" w:rsidRPr="00AF297A" w:rsidRDefault="00191EF0" w:rsidP="00415FED">
      <w:pPr>
        <w:pStyle w:val="Imprint"/>
        <w:jc w:val="both"/>
      </w:pPr>
      <w:r>
        <w:pict w14:anchorId="66DC3F3C">
          <v:shape id="_x0000_i1025" type="#_x0000_t75" style="width:155.65pt;height:46.6pt" fillcolor="window">
            <v:imagedata r:id="rId13" o:title=""/>
          </v:shape>
        </w:pict>
      </w:r>
    </w:p>
    <w:p w:rsidR="008B7D6E" w:rsidRPr="00AF297A" w:rsidRDefault="008B7D6E" w:rsidP="00415FED">
      <w:pPr>
        <w:jc w:val="both"/>
        <w:sectPr w:rsidR="008B7D6E" w:rsidRPr="00AF297A" w:rsidSect="00CE3725">
          <w:headerReference w:type="even" r:id="rId14"/>
          <w:headerReference w:type="default" r:id="rId15"/>
          <w:footerReference w:type="even" r:id="rId16"/>
          <w:footerReference w:type="default" r:id="rId17"/>
          <w:headerReference w:type="first" r:id="rId18"/>
          <w:pgSz w:w="11907" w:h="16840" w:code="9"/>
          <w:pgMar w:top="1701" w:right="1418" w:bottom="1701" w:left="1418" w:header="567" w:footer="567" w:gutter="567"/>
          <w:pgNumType w:fmt="lowerRoman"/>
          <w:cols w:space="720"/>
        </w:sectPr>
      </w:pPr>
    </w:p>
    <w:p w:rsidR="008B7D6E" w:rsidRPr="00AF297A" w:rsidRDefault="008B7D6E" w:rsidP="00415FED">
      <w:pPr>
        <w:pStyle w:val="Heading"/>
        <w:jc w:val="both"/>
      </w:pPr>
      <w:r w:rsidRPr="00AF297A">
        <w:lastRenderedPageBreak/>
        <w:t>Contents</w:t>
      </w:r>
    </w:p>
    <w:p w:rsidR="00593237" w:rsidRDefault="00B92A85">
      <w:pPr>
        <w:pStyle w:val="TOC1"/>
        <w:rPr>
          <w:rFonts w:asciiTheme="minorHAnsi" w:eastAsiaTheme="minorEastAsia" w:hAnsiTheme="minorHAnsi" w:cstheme="minorBidi"/>
          <w:noProof/>
          <w:sz w:val="22"/>
          <w:szCs w:val="22"/>
          <w:lang w:eastAsia="en-NZ"/>
        </w:rPr>
      </w:pPr>
      <w:r w:rsidRPr="00AF297A">
        <w:fldChar w:fldCharType="begin"/>
      </w:r>
      <w:r w:rsidR="008B7D6E" w:rsidRPr="00AF297A">
        <w:instrText xml:space="preserve"> TOC \t "Heading 1,1,Heading 2,2" </w:instrText>
      </w:r>
      <w:r w:rsidRPr="00AF297A">
        <w:fldChar w:fldCharType="separate"/>
      </w:r>
      <w:r w:rsidR="00593237">
        <w:rPr>
          <w:noProof/>
        </w:rPr>
        <w:t>Foreword</w:t>
      </w:r>
      <w:r w:rsidR="00593237">
        <w:rPr>
          <w:noProof/>
        </w:rPr>
        <w:tab/>
      </w:r>
      <w:r w:rsidR="00593237">
        <w:rPr>
          <w:noProof/>
        </w:rPr>
        <w:fldChar w:fldCharType="begin"/>
      </w:r>
      <w:r w:rsidR="00593237">
        <w:rPr>
          <w:noProof/>
        </w:rPr>
        <w:instrText xml:space="preserve"> PAGEREF _Toc435798374 \h </w:instrText>
      </w:r>
      <w:r w:rsidR="00593237">
        <w:rPr>
          <w:noProof/>
        </w:rPr>
      </w:r>
      <w:r w:rsidR="00593237">
        <w:rPr>
          <w:noProof/>
        </w:rPr>
        <w:fldChar w:fldCharType="separate"/>
      </w:r>
      <w:r w:rsidR="00D44574">
        <w:rPr>
          <w:noProof/>
        </w:rPr>
        <w:t>1</w:t>
      </w:r>
      <w:r w:rsidR="00593237">
        <w:rPr>
          <w:noProof/>
        </w:rPr>
        <w:fldChar w:fldCharType="end"/>
      </w:r>
    </w:p>
    <w:p w:rsidR="00593237" w:rsidRDefault="00593237">
      <w:pPr>
        <w:pStyle w:val="TOC1"/>
        <w:rPr>
          <w:rFonts w:asciiTheme="minorHAnsi" w:eastAsiaTheme="minorEastAsia" w:hAnsiTheme="minorHAnsi" w:cstheme="minorBidi"/>
          <w:noProof/>
          <w:sz w:val="22"/>
          <w:szCs w:val="22"/>
          <w:lang w:eastAsia="en-NZ"/>
        </w:rPr>
      </w:pPr>
      <w:r>
        <w:rPr>
          <w:noProof/>
        </w:rPr>
        <w:t>1</w:t>
      </w:r>
      <w:r>
        <w:rPr>
          <w:rFonts w:asciiTheme="minorHAnsi" w:eastAsiaTheme="minorEastAsia" w:hAnsiTheme="minorHAnsi" w:cstheme="minorBidi"/>
          <w:noProof/>
          <w:sz w:val="22"/>
          <w:szCs w:val="22"/>
          <w:lang w:eastAsia="en-NZ"/>
        </w:rPr>
        <w:tab/>
      </w:r>
      <w:r>
        <w:rPr>
          <w:noProof/>
        </w:rPr>
        <w:t>Introduction to the New Zealand Emissions Trading Scheme Review</w:t>
      </w:r>
      <w:r>
        <w:rPr>
          <w:noProof/>
        </w:rPr>
        <w:tab/>
      </w:r>
      <w:r>
        <w:rPr>
          <w:noProof/>
        </w:rPr>
        <w:fldChar w:fldCharType="begin"/>
      </w:r>
      <w:r>
        <w:rPr>
          <w:noProof/>
        </w:rPr>
        <w:instrText xml:space="preserve"> PAGEREF _Toc435798375 \h </w:instrText>
      </w:r>
      <w:r>
        <w:rPr>
          <w:noProof/>
        </w:rPr>
      </w:r>
      <w:r>
        <w:rPr>
          <w:noProof/>
        </w:rPr>
        <w:fldChar w:fldCharType="separate"/>
      </w:r>
      <w:r w:rsidR="00D44574">
        <w:rPr>
          <w:noProof/>
        </w:rPr>
        <w:t>3</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1.1</w:t>
      </w:r>
      <w:r>
        <w:rPr>
          <w:rFonts w:asciiTheme="minorHAnsi" w:eastAsiaTheme="minorEastAsia" w:hAnsiTheme="minorHAnsi" w:cstheme="minorBidi"/>
          <w:noProof/>
          <w:lang w:eastAsia="en-NZ"/>
        </w:rPr>
        <w:tab/>
      </w:r>
      <w:r>
        <w:rPr>
          <w:noProof/>
        </w:rPr>
        <w:t>Background to the New Zealand Emissions Trading Scheme</w:t>
      </w:r>
      <w:r>
        <w:rPr>
          <w:noProof/>
        </w:rPr>
        <w:tab/>
      </w:r>
      <w:r>
        <w:rPr>
          <w:noProof/>
        </w:rPr>
        <w:fldChar w:fldCharType="begin"/>
      </w:r>
      <w:r>
        <w:rPr>
          <w:noProof/>
        </w:rPr>
        <w:instrText xml:space="preserve"> PAGEREF _Toc435798376 \h </w:instrText>
      </w:r>
      <w:r>
        <w:rPr>
          <w:noProof/>
        </w:rPr>
      </w:r>
      <w:r>
        <w:rPr>
          <w:noProof/>
        </w:rPr>
        <w:fldChar w:fldCharType="separate"/>
      </w:r>
      <w:r w:rsidR="00D44574">
        <w:rPr>
          <w:noProof/>
        </w:rPr>
        <w:t>3</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1.2</w:t>
      </w:r>
      <w:r>
        <w:rPr>
          <w:rFonts w:asciiTheme="minorHAnsi" w:eastAsiaTheme="minorEastAsia" w:hAnsiTheme="minorHAnsi" w:cstheme="minorBidi"/>
          <w:noProof/>
          <w:lang w:eastAsia="en-NZ"/>
        </w:rPr>
        <w:tab/>
      </w:r>
      <w:r>
        <w:rPr>
          <w:noProof/>
        </w:rPr>
        <w:t>The 2015/16 NZ ETS review</w:t>
      </w:r>
      <w:r>
        <w:rPr>
          <w:noProof/>
        </w:rPr>
        <w:tab/>
      </w:r>
      <w:r>
        <w:rPr>
          <w:noProof/>
        </w:rPr>
        <w:fldChar w:fldCharType="begin"/>
      </w:r>
      <w:r>
        <w:rPr>
          <w:noProof/>
        </w:rPr>
        <w:instrText xml:space="preserve"> PAGEREF _Toc435798377 \h </w:instrText>
      </w:r>
      <w:r>
        <w:rPr>
          <w:noProof/>
        </w:rPr>
      </w:r>
      <w:r>
        <w:rPr>
          <w:noProof/>
        </w:rPr>
        <w:fldChar w:fldCharType="separate"/>
      </w:r>
      <w:r w:rsidR="00D44574">
        <w:rPr>
          <w:noProof/>
        </w:rPr>
        <w:t>4</w:t>
      </w:r>
      <w:r>
        <w:rPr>
          <w:noProof/>
        </w:rPr>
        <w:fldChar w:fldCharType="end"/>
      </w:r>
    </w:p>
    <w:p w:rsidR="00593237" w:rsidRDefault="00593237">
      <w:pPr>
        <w:pStyle w:val="TOC1"/>
        <w:rPr>
          <w:rFonts w:asciiTheme="minorHAnsi" w:eastAsiaTheme="minorEastAsia" w:hAnsiTheme="minorHAnsi" w:cstheme="minorBidi"/>
          <w:noProof/>
          <w:sz w:val="22"/>
          <w:szCs w:val="22"/>
          <w:lang w:eastAsia="en-NZ"/>
        </w:rPr>
      </w:pPr>
      <w:r>
        <w:rPr>
          <w:noProof/>
        </w:rPr>
        <w:t>2</w:t>
      </w:r>
      <w:r>
        <w:rPr>
          <w:rFonts w:asciiTheme="minorHAnsi" w:eastAsiaTheme="minorEastAsia" w:hAnsiTheme="minorHAnsi" w:cstheme="minorBidi"/>
          <w:noProof/>
          <w:sz w:val="22"/>
          <w:szCs w:val="22"/>
          <w:lang w:eastAsia="en-NZ"/>
        </w:rPr>
        <w:tab/>
      </w:r>
      <w:r>
        <w:rPr>
          <w:noProof/>
        </w:rPr>
        <w:t>Context and drivers for the review</w:t>
      </w:r>
      <w:r>
        <w:rPr>
          <w:noProof/>
        </w:rPr>
        <w:tab/>
      </w:r>
      <w:r>
        <w:rPr>
          <w:noProof/>
        </w:rPr>
        <w:fldChar w:fldCharType="begin"/>
      </w:r>
      <w:r>
        <w:rPr>
          <w:noProof/>
        </w:rPr>
        <w:instrText xml:space="preserve"> PAGEREF _Toc435798378 \h </w:instrText>
      </w:r>
      <w:r>
        <w:rPr>
          <w:noProof/>
        </w:rPr>
      </w:r>
      <w:r>
        <w:rPr>
          <w:noProof/>
        </w:rPr>
        <w:fldChar w:fldCharType="separate"/>
      </w:r>
      <w:r w:rsidR="00D44574">
        <w:rPr>
          <w:noProof/>
        </w:rPr>
        <w:t>8</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2.1</w:t>
      </w:r>
      <w:r>
        <w:rPr>
          <w:rFonts w:asciiTheme="minorHAnsi" w:eastAsiaTheme="minorEastAsia" w:hAnsiTheme="minorHAnsi" w:cstheme="minorBidi"/>
          <w:noProof/>
          <w:lang w:eastAsia="en-NZ"/>
        </w:rPr>
        <w:tab/>
      </w:r>
      <w:r>
        <w:rPr>
          <w:noProof/>
        </w:rPr>
        <w:t>NZ ETS performance against objectives</w:t>
      </w:r>
      <w:r>
        <w:rPr>
          <w:noProof/>
        </w:rPr>
        <w:tab/>
      </w:r>
      <w:r>
        <w:rPr>
          <w:noProof/>
        </w:rPr>
        <w:fldChar w:fldCharType="begin"/>
      </w:r>
      <w:r>
        <w:rPr>
          <w:noProof/>
        </w:rPr>
        <w:instrText xml:space="preserve"> PAGEREF _Toc435798379 \h </w:instrText>
      </w:r>
      <w:r>
        <w:rPr>
          <w:noProof/>
        </w:rPr>
      </w:r>
      <w:r>
        <w:rPr>
          <w:noProof/>
        </w:rPr>
        <w:fldChar w:fldCharType="separate"/>
      </w:r>
      <w:r w:rsidR="00D44574">
        <w:rPr>
          <w:noProof/>
        </w:rPr>
        <w:t>8</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2.2</w:t>
      </w:r>
      <w:r>
        <w:rPr>
          <w:rFonts w:asciiTheme="minorHAnsi" w:eastAsiaTheme="minorEastAsia" w:hAnsiTheme="minorHAnsi" w:cstheme="minorBidi"/>
          <w:noProof/>
          <w:lang w:eastAsia="en-NZ"/>
        </w:rPr>
        <w:tab/>
      </w:r>
      <w:r>
        <w:rPr>
          <w:noProof/>
        </w:rPr>
        <w:t>Preparing for a more carbon-constrained future</w:t>
      </w:r>
      <w:r>
        <w:rPr>
          <w:noProof/>
        </w:rPr>
        <w:tab/>
      </w:r>
      <w:r>
        <w:rPr>
          <w:noProof/>
        </w:rPr>
        <w:fldChar w:fldCharType="begin"/>
      </w:r>
      <w:r>
        <w:rPr>
          <w:noProof/>
        </w:rPr>
        <w:instrText xml:space="preserve"> PAGEREF _Toc435798380 \h </w:instrText>
      </w:r>
      <w:r>
        <w:rPr>
          <w:noProof/>
        </w:rPr>
      </w:r>
      <w:r>
        <w:rPr>
          <w:noProof/>
        </w:rPr>
        <w:fldChar w:fldCharType="separate"/>
      </w:r>
      <w:r w:rsidR="00D44574">
        <w:rPr>
          <w:noProof/>
        </w:rPr>
        <w:t>9</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2.3</w:t>
      </w:r>
      <w:r>
        <w:rPr>
          <w:rFonts w:asciiTheme="minorHAnsi" w:eastAsiaTheme="minorEastAsia" w:hAnsiTheme="minorHAnsi" w:cstheme="minorBidi"/>
          <w:noProof/>
          <w:lang w:eastAsia="en-NZ"/>
        </w:rPr>
        <w:tab/>
      </w:r>
      <w:r>
        <w:rPr>
          <w:noProof/>
        </w:rPr>
        <w:t>Increasing certainty about future policy settings</w:t>
      </w:r>
      <w:r>
        <w:rPr>
          <w:noProof/>
        </w:rPr>
        <w:tab/>
      </w:r>
      <w:r>
        <w:rPr>
          <w:noProof/>
        </w:rPr>
        <w:fldChar w:fldCharType="begin"/>
      </w:r>
      <w:r>
        <w:rPr>
          <w:noProof/>
        </w:rPr>
        <w:instrText xml:space="preserve"> PAGEREF _Toc435798381 \h </w:instrText>
      </w:r>
      <w:r>
        <w:rPr>
          <w:noProof/>
        </w:rPr>
      </w:r>
      <w:r>
        <w:rPr>
          <w:noProof/>
        </w:rPr>
        <w:fldChar w:fldCharType="separate"/>
      </w:r>
      <w:r w:rsidR="00D44574">
        <w:rPr>
          <w:noProof/>
        </w:rPr>
        <w:t>10</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2.4</w:t>
      </w:r>
      <w:r>
        <w:rPr>
          <w:rFonts w:asciiTheme="minorHAnsi" w:eastAsiaTheme="minorEastAsia" w:hAnsiTheme="minorHAnsi" w:cstheme="minorBidi"/>
          <w:noProof/>
          <w:lang w:eastAsia="en-NZ"/>
        </w:rPr>
        <w:tab/>
      </w:r>
      <w:r>
        <w:rPr>
          <w:noProof/>
        </w:rPr>
        <w:t>Managing banked emission units</w:t>
      </w:r>
      <w:r>
        <w:rPr>
          <w:noProof/>
        </w:rPr>
        <w:tab/>
      </w:r>
      <w:r>
        <w:rPr>
          <w:noProof/>
        </w:rPr>
        <w:fldChar w:fldCharType="begin"/>
      </w:r>
      <w:r>
        <w:rPr>
          <w:noProof/>
        </w:rPr>
        <w:instrText xml:space="preserve"> PAGEREF _Toc435798382 \h </w:instrText>
      </w:r>
      <w:r>
        <w:rPr>
          <w:noProof/>
        </w:rPr>
      </w:r>
      <w:r>
        <w:rPr>
          <w:noProof/>
        </w:rPr>
        <w:fldChar w:fldCharType="separate"/>
      </w:r>
      <w:r w:rsidR="00D44574">
        <w:rPr>
          <w:noProof/>
        </w:rPr>
        <w:t>10</w:t>
      </w:r>
      <w:r>
        <w:rPr>
          <w:noProof/>
        </w:rPr>
        <w:fldChar w:fldCharType="end"/>
      </w:r>
    </w:p>
    <w:p w:rsidR="00593237" w:rsidRDefault="00593237">
      <w:pPr>
        <w:pStyle w:val="TOC1"/>
        <w:rPr>
          <w:rFonts w:asciiTheme="minorHAnsi" w:eastAsiaTheme="minorEastAsia" w:hAnsiTheme="minorHAnsi" w:cstheme="minorBidi"/>
          <w:noProof/>
          <w:sz w:val="22"/>
          <w:szCs w:val="22"/>
          <w:lang w:eastAsia="en-NZ"/>
        </w:rPr>
      </w:pPr>
      <w:r>
        <w:rPr>
          <w:noProof/>
        </w:rPr>
        <w:t>3</w:t>
      </w:r>
      <w:r>
        <w:rPr>
          <w:rFonts w:asciiTheme="minorHAnsi" w:eastAsiaTheme="minorEastAsia" w:hAnsiTheme="minorHAnsi" w:cstheme="minorBidi"/>
          <w:noProof/>
          <w:sz w:val="22"/>
          <w:szCs w:val="22"/>
          <w:lang w:eastAsia="en-NZ"/>
        </w:rPr>
        <w:tab/>
      </w:r>
      <w:r>
        <w:rPr>
          <w:noProof/>
        </w:rPr>
        <w:t>Priority issues</w:t>
      </w:r>
      <w:r>
        <w:rPr>
          <w:noProof/>
        </w:rPr>
        <w:tab/>
      </w:r>
      <w:r>
        <w:rPr>
          <w:noProof/>
        </w:rPr>
        <w:fldChar w:fldCharType="begin"/>
      </w:r>
      <w:r>
        <w:rPr>
          <w:noProof/>
        </w:rPr>
        <w:instrText xml:space="preserve"> PAGEREF _Toc435798383 \h </w:instrText>
      </w:r>
      <w:r>
        <w:rPr>
          <w:noProof/>
        </w:rPr>
      </w:r>
      <w:r>
        <w:rPr>
          <w:noProof/>
        </w:rPr>
        <w:fldChar w:fldCharType="separate"/>
      </w:r>
      <w:r w:rsidR="00D44574">
        <w:rPr>
          <w:noProof/>
        </w:rPr>
        <w:t>12</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3.1</w:t>
      </w:r>
      <w:r>
        <w:rPr>
          <w:rFonts w:asciiTheme="minorHAnsi" w:eastAsiaTheme="minorEastAsia" w:hAnsiTheme="minorHAnsi" w:cstheme="minorBidi"/>
          <w:noProof/>
          <w:lang w:eastAsia="en-NZ"/>
        </w:rPr>
        <w:tab/>
      </w:r>
      <w:r>
        <w:rPr>
          <w:noProof/>
        </w:rPr>
        <w:t>Moving to full surrender obligations</w:t>
      </w:r>
      <w:r>
        <w:rPr>
          <w:noProof/>
        </w:rPr>
        <w:tab/>
      </w:r>
      <w:r>
        <w:rPr>
          <w:noProof/>
        </w:rPr>
        <w:fldChar w:fldCharType="begin"/>
      </w:r>
      <w:r>
        <w:rPr>
          <w:noProof/>
        </w:rPr>
        <w:instrText xml:space="preserve"> PAGEREF _Toc435798384 \h </w:instrText>
      </w:r>
      <w:r>
        <w:rPr>
          <w:noProof/>
        </w:rPr>
      </w:r>
      <w:r>
        <w:rPr>
          <w:noProof/>
        </w:rPr>
        <w:fldChar w:fldCharType="separate"/>
      </w:r>
      <w:r w:rsidR="00D44574">
        <w:rPr>
          <w:noProof/>
        </w:rPr>
        <w:t>12</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3.2</w:t>
      </w:r>
      <w:r>
        <w:rPr>
          <w:rFonts w:asciiTheme="minorHAnsi" w:eastAsiaTheme="minorEastAsia" w:hAnsiTheme="minorHAnsi" w:cstheme="minorBidi"/>
          <w:noProof/>
          <w:lang w:eastAsia="en-NZ"/>
        </w:rPr>
        <w:tab/>
      </w:r>
      <w:r>
        <w:rPr>
          <w:noProof/>
        </w:rPr>
        <w:t>Managing the costs of full surrender obligations</w:t>
      </w:r>
      <w:r>
        <w:rPr>
          <w:noProof/>
        </w:rPr>
        <w:tab/>
      </w:r>
      <w:r>
        <w:rPr>
          <w:noProof/>
        </w:rPr>
        <w:fldChar w:fldCharType="begin"/>
      </w:r>
      <w:r>
        <w:rPr>
          <w:noProof/>
        </w:rPr>
        <w:instrText xml:space="preserve"> PAGEREF _Toc435798385 \h </w:instrText>
      </w:r>
      <w:r>
        <w:rPr>
          <w:noProof/>
        </w:rPr>
      </w:r>
      <w:r>
        <w:rPr>
          <w:noProof/>
        </w:rPr>
        <w:fldChar w:fldCharType="separate"/>
      </w:r>
      <w:r w:rsidR="00D44574">
        <w:rPr>
          <w:noProof/>
        </w:rPr>
        <w:t>14</w:t>
      </w:r>
      <w:r>
        <w:rPr>
          <w:noProof/>
        </w:rPr>
        <w:fldChar w:fldCharType="end"/>
      </w:r>
    </w:p>
    <w:p w:rsidR="00593237" w:rsidRDefault="00593237">
      <w:pPr>
        <w:pStyle w:val="TOC1"/>
        <w:rPr>
          <w:rFonts w:asciiTheme="minorHAnsi" w:eastAsiaTheme="minorEastAsia" w:hAnsiTheme="minorHAnsi" w:cstheme="minorBidi"/>
          <w:noProof/>
          <w:sz w:val="22"/>
          <w:szCs w:val="22"/>
          <w:lang w:eastAsia="en-NZ"/>
        </w:rPr>
      </w:pPr>
      <w:r>
        <w:rPr>
          <w:noProof/>
        </w:rPr>
        <w:t>4</w:t>
      </w:r>
      <w:r>
        <w:rPr>
          <w:rFonts w:asciiTheme="minorHAnsi" w:eastAsiaTheme="minorEastAsia" w:hAnsiTheme="minorHAnsi" w:cstheme="minorBidi"/>
          <w:noProof/>
          <w:sz w:val="22"/>
          <w:szCs w:val="22"/>
          <w:lang w:eastAsia="en-NZ"/>
        </w:rPr>
        <w:tab/>
      </w:r>
      <w:r>
        <w:rPr>
          <w:noProof/>
        </w:rPr>
        <w:t>Other issues</w:t>
      </w:r>
      <w:r>
        <w:rPr>
          <w:noProof/>
        </w:rPr>
        <w:tab/>
      </w:r>
      <w:r>
        <w:rPr>
          <w:noProof/>
        </w:rPr>
        <w:fldChar w:fldCharType="begin"/>
      </w:r>
      <w:r>
        <w:rPr>
          <w:noProof/>
        </w:rPr>
        <w:instrText xml:space="preserve"> PAGEREF _Toc435798386 \h </w:instrText>
      </w:r>
      <w:r>
        <w:rPr>
          <w:noProof/>
        </w:rPr>
      </w:r>
      <w:r>
        <w:rPr>
          <w:noProof/>
        </w:rPr>
        <w:fldChar w:fldCharType="separate"/>
      </w:r>
      <w:r w:rsidR="00D44574">
        <w:rPr>
          <w:noProof/>
        </w:rPr>
        <w:t>17</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4.1</w:t>
      </w:r>
      <w:r>
        <w:rPr>
          <w:rFonts w:asciiTheme="minorHAnsi" w:eastAsiaTheme="minorEastAsia" w:hAnsiTheme="minorHAnsi" w:cstheme="minorBidi"/>
          <w:noProof/>
          <w:lang w:eastAsia="en-NZ"/>
        </w:rPr>
        <w:tab/>
      </w:r>
      <w:r>
        <w:rPr>
          <w:noProof/>
        </w:rPr>
        <w:t>Business responses to the NZ ETS</w:t>
      </w:r>
      <w:r>
        <w:rPr>
          <w:noProof/>
        </w:rPr>
        <w:tab/>
      </w:r>
      <w:r>
        <w:rPr>
          <w:noProof/>
        </w:rPr>
        <w:fldChar w:fldCharType="begin"/>
      </w:r>
      <w:r>
        <w:rPr>
          <w:noProof/>
        </w:rPr>
        <w:instrText xml:space="preserve"> PAGEREF _Toc435798387 \h </w:instrText>
      </w:r>
      <w:r>
        <w:rPr>
          <w:noProof/>
        </w:rPr>
      </w:r>
      <w:r>
        <w:rPr>
          <w:noProof/>
        </w:rPr>
        <w:fldChar w:fldCharType="separate"/>
      </w:r>
      <w:r w:rsidR="00D44574">
        <w:rPr>
          <w:noProof/>
        </w:rPr>
        <w:t>17</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4.2</w:t>
      </w:r>
      <w:r>
        <w:rPr>
          <w:rFonts w:asciiTheme="minorHAnsi" w:eastAsiaTheme="minorEastAsia" w:hAnsiTheme="minorHAnsi" w:cstheme="minorBidi"/>
          <w:noProof/>
          <w:lang w:eastAsia="en-NZ"/>
        </w:rPr>
        <w:tab/>
      </w:r>
      <w:r>
        <w:rPr>
          <w:noProof/>
        </w:rPr>
        <w:t>Protecting competitiveness through free allocation</w:t>
      </w:r>
      <w:r>
        <w:rPr>
          <w:noProof/>
        </w:rPr>
        <w:tab/>
      </w:r>
      <w:r>
        <w:rPr>
          <w:noProof/>
        </w:rPr>
        <w:fldChar w:fldCharType="begin"/>
      </w:r>
      <w:r>
        <w:rPr>
          <w:noProof/>
        </w:rPr>
        <w:instrText xml:space="preserve"> PAGEREF _Toc435798388 \h </w:instrText>
      </w:r>
      <w:r>
        <w:rPr>
          <w:noProof/>
        </w:rPr>
      </w:r>
      <w:r>
        <w:rPr>
          <w:noProof/>
        </w:rPr>
        <w:fldChar w:fldCharType="separate"/>
      </w:r>
      <w:r w:rsidR="00D44574">
        <w:rPr>
          <w:noProof/>
        </w:rPr>
        <w:t>18</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4.3</w:t>
      </w:r>
      <w:r>
        <w:rPr>
          <w:rFonts w:asciiTheme="minorHAnsi" w:eastAsiaTheme="minorEastAsia" w:hAnsiTheme="minorHAnsi" w:cstheme="minorBidi"/>
          <w:noProof/>
          <w:lang w:eastAsia="en-NZ"/>
        </w:rPr>
        <w:tab/>
      </w:r>
      <w:r>
        <w:rPr>
          <w:noProof/>
        </w:rPr>
        <w:t>Managing unit supply</w:t>
      </w:r>
      <w:r>
        <w:rPr>
          <w:noProof/>
        </w:rPr>
        <w:tab/>
      </w:r>
      <w:r>
        <w:rPr>
          <w:noProof/>
        </w:rPr>
        <w:fldChar w:fldCharType="begin"/>
      </w:r>
      <w:r>
        <w:rPr>
          <w:noProof/>
        </w:rPr>
        <w:instrText xml:space="preserve"> PAGEREF _Toc435798389 \h </w:instrText>
      </w:r>
      <w:r>
        <w:rPr>
          <w:noProof/>
        </w:rPr>
      </w:r>
      <w:r>
        <w:rPr>
          <w:noProof/>
        </w:rPr>
        <w:fldChar w:fldCharType="separate"/>
      </w:r>
      <w:r w:rsidR="00D44574">
        <w:rPr>
          <w:noProof/>
        </w:rPr>
        <w:t>19</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4.4</w:t>
      </w:r>
      <w:r>
        <w:rPr>
          <w:rFonts w:asciiTheme="minorHAnsi" w:eastAsiaTheme="minorEastAsia" w:hAnsiTheme="minorHAnsi" w:cstheme="minorBidi"/>
          <w:noProof/>
          <w:lang w:eastAsia="en-NZ"/>
        </w:rPr>
        <w:tab/>
      </w:r>
      <w:r>
        <w:rPr>
          <w:noProof/>
        </w:rPr>
        <w:t>Managing price stability</w:t>
      </w:r>
      <w:r>
        <w:rPr>
          <w:noProof/>
        </w:rPr>
        <w:tab/>
      </w:r>
      <w:r>
        <w:rPr>
          <w:noProof/>
        </w:rPr>
        <w:fldChar w:fldCharType="begin"/>
      </w:r>
      <w:r>
        <w:rPr>
          <w:noProof/>
        </w:rPr>
        <w:instrText xml:space="preserve"> PAGEREF _Toc435798390 \h </w:instrText>
      </w:r>
      <w:r>
        <w:rPr>
          <w:noProof/>
        </w:rPr>
      </w:r>
      <w:r>
        <w:rPr>
          <w:noProof/>
        </w:rPr>
        <w:fldChar w:fldCharType="separate"/>
      </w:r>
      <w:r w:rsidR="00D44574">
        <w:rPr>
          <w:noProof/>
        </w:rPr>
        <w:t>23</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4.5</w:t>
      </w:r>
      <w:r>
        <w:rPr>
          <w:rFonts w:asciiTheme="minorHAnsi" w:eastAsiaTheme="minorEastAsia" w:hAnsiTheme="minorHAnsi" w:cstheme="minorBidi"/>
          <w:noProof/>
          <w:lang w:eastAsia="en-NZ"/>
        </w:rPr>
        <w:tab/>
      </w:r>
      <w:r>
        <w:rPr>
          <w:noProof/>
        </w:rPr>
        <w:t>Operational and technical matters</w:t>
      </w:r>
      <w:r>
        <w:rPr>
          <w:noProof/>
        </w:rPr>
        <w:tab/>
      </w:r>
      <w:r>
        <w:rPr>
          <w:noProof/>
        </w:rPr>
        <w:fldChar w:fldCharType="begin"/>
      </w:r>
      <w:r>
        <w:rPr>
          <w:noProof/>
        </w:rPr>
        <w:instrText xml:space="preserve"> PAGEREF _Toc435798391 \h </w:instrText>
      </w:r>
      <w:r>
        <w:rPr>
          <w:noProof/>
        </w:rPr>
      </w:r>
      <w:r>
        <w:rPr>
          <w:noProof/>
        </w:rPr>
        <w:fldChar w:fldCharType="separate"/>
      </w:r>
      <w:r w:rsidR="00D44574">
        <w:rPr>
          <w:noProof/>
        </w:rPr>
        <w:t>24</w:t>
      </w:r>
      <w:r>
        <w:rPr>
          <w:noProof/>
        </w:rPr>
        <w:fldChar w:fldCharType="end"/>
      </w:r>
    </w:p>
    <w:p w:rsidR="00593237" w:rsidRDefault="00593237">
      <w:pPr>
        <w:pStyle w:val="TOC2"/>
        <w:tabs>
          <w:tab w:val="left" w:pos="1134"/>
        </w:tabs>
        <w:rPr>
          <w:rFonts w:asciiTheme="minorHAnsi" w:eastAsiaTheme="minorEastAsia" w:hAnsiTheme="minorHAnsi" w:cstheme="minorBidi"/>
          <w:noProof/>
          <w:lang w:eastAsia="en-NZ"/>
        </w:rPr>
      </w:pPr>
      <w:r>
        <w:rPr>
          <w:noProof/>
        </w:rPr>
        <w:t>4.6</w:t>
      </w:r>
      <w:r>
        <w:rPr>
          <w:rFonts w:asciiTheme="minorHAnsi" w:eastAsiaTheme="minorEastAsia" w:hAnsiTheme="minorHAnsi" w:cstheme="minorBidi"/>
          <w:noProof/>
          <w:lang w:eastAsia="en-NZ"/>
        </w:rPr>
        <w:tab/>
      </w:r>
      <w:r>
        <w:rPr>
          <w:noProof/>
        </w:rPr>
        <w:t>Addressing barriers to the uptake of low emissions technologies</w:t>
      </w:r>
      <w:r>
        <w:rPr>
          <w:noProof/>
        </w:rPr>
        <w:tab/>
      </w:r>
      <w:r>
        <w:rPr>
          <w:noProof/>
        </w:rPr>
        <w:fldChar w:fldCharType="begin"/>
      </w:r>
      <w:r>
        <w:rPr>
          <w:noProof/>
        </w:rPr>
        <w:instrText xml:space="preserve"> PAGEREF _Toc435798392 \h </w:instrText>
      </w:r>
      <w:r>
        <w:rPr>
          <w:noProof/>
        </w:rPr>
      </w:r>
      <w:r>
        <w:rPr>
          <w:noProof/>
        </w:rPr>
        <w:fldChar w:fldCharType="separate"/>
      </w:r>
      <w:r w:rsidR="00D44574">
        <w:rPr>
          <w:noProof/>
        </w:rPr>
        <w:t>24</w:t>
      </w:r>
      <w:r>
        <w:rPr>
          <w:noProof/>
        </w:rPr>
        <w:fldChar w:fldCharType="end"/>
      </w:r>
    </w:p>
    <w:p w:rsidR="00593237" w:rsidRDefault="00593237">
      <w:pPr>
        <w:pStyle w:val="TOC1"/>
        <w:rPr>
          <w:rFonts w:asciiTheme="minorHAnsi" w:eastAsiaTheme="minorEastAsia" w:hAnsiTheme="minorHAnsi" w:cstheme="minorBidi"/>
          <w:noProof/>
          <w:sz w:val="22"/>
          <w:szCs w:val="22"/>
          <w:lang w:eastAsia="en-NZ"/>
        </w:rPr>
      </w:pPr>
      <w:r>
        <w:rPr>
          <w:noProof/>
        </w:rPr>
        <w:t>5</w:t>
      </w:r>
      <w:r>
        <w:rPr>
          <w:rFonts w:asciiTheme="minorHAnsi" w:eastAsiaTheme="minorEastAsia" w:hAnsiTheme="minorHAnsi" w:cstheme="minorBidi"/>
          <w:noProof/>
          <w:sz w:val="22"/>
          <w:szCs w:val="22"/>
          <w:lang w:eastAsia="en-NZ"/>
        </w:rPr>
        <w:tab/>
      </w:r>
      <w:r>
        <w:rPr>
          <w:noProof/>
        </w:rPr>
        <w:t>How to make a submission</w:t>
      </w:r>
      <w:r>
        <w:rPr>
          <w:noProof/>
        </w:rPr>
        <w:tab/>
      </w:r>
      <w:r>
        <w:rPr>
          <w:noProof/>
        </w:rPr>
        <w:fldChar w:fldCharType="begin"/>
      </w:r>
      <w:r>
        <w:rPr>
          <w:noProof/>
        </w:rPr>
        <w:instrText xml:space="preserve"> PAGEREF _Toc435798393 \h </w:instrText>
      </w:r>
      <w:r>
        <w:rPr>
          <w:noProof/>
        </w:rPr>
      </w:r>
      <w:r>
        <w:rPr>
          <w:noProof/>
        </w:rPr>
        <w:fldChar w:fldCharType="separate"/>
      </w:r>
      <w:r w:rsidR="00D44574">
        <w:rPr>
          <w:noProof/>
        </w:rPr>
        <w:t>26</w:t>
      </w:r>
      <w:r>
        <w:rPr>
          <w:noProof/>
        </w:rPr>
        <w:fldChar w:fldCharType="end"/>
      </w:r>
    </w:p>
    <w:p w:rsidR="00593237" w:rsidRDefault="00593237">
      <w:pPr>
        <w:pStyle w:val="TOC1"/>
        <w:rPr>
          <w:rFonts w:asciiTheme="minorHAnsi" w:eastAsiaTheme="minorEastAsia" w:hAnsiTheme="minorHAnsi" w:cstheme="minorBidi"/>
          <w:noProof/>
          <w:sz w:val="22"/>
          <w:szCs w:val="22"/>
          <w:lang w:eastAsia="en-NZ"/>
        </w:rPr>
      </w:pPr>
      <w:r>
        <w:rPr>
          <w:noProof/>
        </w:rPr>
        <w:t>6</w:t>
      </w:r>
      <w:r>
        <w:rPr>
          <w:rFonts w:asciiTheme="minorHAnsi" w:eastAsiaTheme="minorEastAsia" w:hAnsiTheme="minorHAnsi" w:cstheme="minorBidi"/>
          <w:noProof/>
          <w:sz w:val="22"/>
          <w:szCs w:val="22"/>
          <w:lang w:eastAsia="en-NZ"/>
        </w:rPr>
        <w:tab/>
      </w:r>
      <w:r>
        <w:rPr>
          <w:noProof/>
        </w:rPr>
        <w:t>Summary of consultation questions</w:t>
      </w:r>
      <w:r>
        <w:rPr>
          <w:noProof/>
        </w:rPr>
        <w:tab/>
      </w:r>
      <w:r>
        <w:rPr>
          <w:noProof/>
        </w:rPr>
        <w:fldChar w:fldCharType="begin"/>
      </w:r>
      <w:r>
        <w:rPr>
          <w:noProof/>
        </w:rPr>
        <w:instrText xml:space="preserve"> PAGEREF _Toc435798394 \h </w:instrText>
      </w:r>
      <w:r>
        <w:rPr>
          <w:noProof/>
        </w:rPr>
      </w:r>
      <w:r>
        <w:rPr>
          <w:noProof/>
        </w:rPr>
        <w:fldChar w:fldCharType="separate"/>
      </w:r>
      <w:r w:rsidR="00D44574">
        <w:rPr>
          <w:noProof/>
        </w:rPr>
        <w:t>28</w:t>
      </w:r>
      <w:r>
        <w:rPr>
          <w:noProof/>
        </w:rPr>
        <w:fldChar w:fldCharType="end"/>
      </w:r>
    </w:p>
    <w:p w:rsidR="00593237" w:rsidRDefault="00593237">
      <w:pPr>
        <w:pStyle w:val="TOC1"/>
        <w:rPr>
          <w:rFonts w:asciiTheme="minorHAnsi" w:eastAsiaTheme="minorEastAsia" w:hAnsiTheme="minorHAnsi" w:cstheme="minorBidi"/>
          <w:noProof/>
          <w:sz w:val="22"/>
          <w:szCs w:val="22"/>
          <w:lang w:eastAsia="en-NZ"/>
        </w:rPr>
      </w:pPr>
      <w:r>
        <w:rPr>
          <w:noProof/>
        </w:rPr>
        <w:t>Appendix 1: Terms of Reference – New Zealand Emissions Trading Scheme Review 2015/16</w:t>
      </w:r>
      <w:r>
        <w:rPr>
          <w:noProof/>
        </w:rPr>
        <w:tab/>
      </w:r>
      <w:r>
        <w:rPr>
          <w:noProof/>
        </w:rPr>
        <w:fldChar w:fldCharType="begin"/>
      </w:r>
      <w:r>
        <w:rPr>
          <w:noProof/>
        </w:rPr>
        <w:instrText xml:space="preserve"> PAGEREF _Toc435798395 \h </w:instrText>
      </w:r>
      <w:r>
        <w:rPr>
          <w:noProof/>
        </w:rPr>
      </w:r>
      <w:r>
        <w:rPr>
          <w:noProof/>
        </w:rPr>
        <w:fldChar w:fldCharType="separate"/>
      </w:r>
      <w:r w:rsidR="00D44574">
        <w:rPr>
          <w:noProof/>
        </w:rPr>
        <w:t>31</w:t>
      </w:r>
      <w:r>
        <w:rPr>
          <w:noProof/>
        </w:rPr>
        <w:fldChar w:fldCharType="end"/>
      </w:r>
    </w:p>
    <w:p w:rsidR="00593237" w:rsidRDefault="00593237">
      <w:pPr>
        <w:pStyle w:val="TOC1"/>
        <w:rPr>
          <w:rFonts w:asciiTheme="minorHAnsi" w:eastAsiaTheme="minorEastAsia" w:hAnsiTheme="minorHAnsi" w:cstheme="minorBidi"/>
          <w:noProof/>
          <w:sz w:val="22"/>
          <w:szCs w:val="22"/>
          <w:lang w:eastAsia="en-NZ"/>
        </w:rPr>
      </w:pPr>
      <w:r>
        <w:rPr>
          <w:noProof/>
        </w:rPr>
        <w:t>Appendix 2: Potential impacts of moving to full surrender obligations</w:t>
      </w:r>
      <w:r>
        <w:rPr>
          <w:noProof/>
        </w:rPr>
        <w:tab/>
      </w:r>
      <w:r>
        <w:rPr>
          <w:noProof/>
        </w:rPr>
        <w:fldChar w:fldCharType="begin"/>
      </w:r>
      <w:r>
        <w:rPr>
          <w:noProof/>
        </w:rPr>
        <w:instrText xml:space="preserve"> PAGEREF _Toc435798396 \h </w:instrText>
      </w:r>
      <w:r>
        <w:rPr>
          <w:noProof/>
        </w:rPr>
      </w:r>
      <w:r>
        <w:rPr>
          <w:noProof/>
        </w:rPr>
        <w:fldChar w:fldCharType="separate"/>
      </w:r>
      <w:r w:rsidR="00D44574">
        <w:rPr>
          <w:noProof/>
        </w:rPr>
        <w:t>35</w:t>
      </w:r>
      <w:r>
        <w:rPr>
          <w:noProof/>
        </w:rPr>
        <w:fldChar w:fldCharType="end"/>
      </w:r>
    </w:p>
    <w:p w:rsidR="00E30E95" w:rsidRPr="00AF297A" w:rsidRDefault="00B92A85" w:rsidP="002E02FB">
      <w:r w:rsidRPr="00AF297A">
        <w:fldChar w:fldCharType="end"/>
      </w:r>
    </w:p>
    <w:p w:rsidR="008B7D6E" w:rsidRPr="00AF297A" w:rsidRDefault="00E30E95" w:rsidP="002E02FB">
      <w:pPr>
        <w:pStyle w:val="Heading"/>
      </w:pPr>
      <w:r w:rsidRPr="00AF297A">
        <w:br w:type="page"/>
      </w:r>
      <w:r w:rsidRPr="00AF297A">
        <w:lastRenderedPageBreak/>
        <w:t>Tables</w:t>
      </w:r>
    </w:p>
    <w:p w:rsidR="00644443" w:rsidRPr="00C83717" w:rsidRDefault="00E30E95" w:rsidP="002E02FB">
      <w:pPr>
        <w:pStyle w:val="TableofFigures"/>
        <w:tabs>
          <w:tab w:val="right" w:pos="8494"/>
        </w:tabs>
        <w:rPr>
          <w:rFonts w:cs="Times New Roman"/>
          <w:noProof/>
          <w:sz w:val="22"/>
          <w:szCs w:val="22"/>
          <w:lang w:eastAsia="en-NZ"/>
        </w:rPr>
      </w:pPr>
      <w:r w:rsidRPr="00C83717">
        <w:rPr>
          <w:sz w:val="22"/>
          <w:szCs w:val="22"/>
        </w:rPr>
        <w:fldChar w:fldCharType="begin"/>
      </w:r>
      <w:r w:rsidRPr="00C83717">
        <w:rPr>
          <w:sz w:val="22"/>
          <w:szCs w:val="22"/>
        </w:rPr>
        <w:instrText xml:space="preserve"> TOC \t "Table heading" \c </w:instrText>
      </w:r>
      <w:r w:rsidRPr="00C83717">
        <w:rPr>
          <w:sz w:val="22"/>
          <w:szCs w:val="22"/>
        </w:rPr>
        <w:fldChar w:fldCharType="separate"/>
      </w:r>
      <w:r w:rsidR="00644443" w:rsidRPr="00C83717">
        <w:rPr>
          <w:noProof/>
          <w:sz w:val="22"/>
          <w:szCs w:val="22"/>
        </w:rPr>
        <w:t xml:space="preserve">Table 1: </w:t>
      </w:r>
      <w:r w:rsidR="00644443" w:rsidRPr="00C83717">
        <w:rPr>
          <w:rFonts w:cs="Times New Roman"/>
          <w:noProof/>
          <w:sz w:val="22"/>
          <w:szCs w:val="22"/>
          <w:lang w:eastAsia="en-NZ"/>
        </w:rPr>
        <w:tab/>
      </w:r>
      <w:r w:rsidR="00644443" w:rsidRPr="00C83717">
        <w:rPr>
          <w:noProof/>
          <w:sz w:val="22"/>
          <w:szCs w:val="22"/>
        </w:rPr>
        <w:t>Price impacts on participants with varying surrender obligation sizes</w:t>
      </w:r>
      <w:r w:rsidR="00644443" w:rsidRPr="00C83717">
        <w:rPr>
          <w:noProof/>
          <w:sz w:val="22"/>
          <w:szCs w:val="22"/>
        </w:rPr>
        <w:tab/>
      </w:r>
      <w:r w:rsidR="00644443" w:rsidRPr="00C83717">
        <w:rPr>
          <w:noProof/>
          <w:sz w:val="22"/>
          <w:szCs w:val="22"/>
        </w:rPr>
        <w:fldChar w:fldCharType="begin"/>
      </w:r>
      <w:r w:rsidR="00644443" w:rsidRPr="00C83717">
        <w:rPr>
          <w:noProof/>
          <w:sz w:val="22"/>
          <w:szCs w:val="22"/>
        </w:rPr>
        <w:instrText xml:space="preserve"> PAGEREF _Toc433981618 \h </w:instrText>
      </w:r>
      <w:r w:rsidR="00644443" w:rsidRPr="00C83717">
        <w:rPr>
          <w:noProof/>
          <w:sz w:val="22"/>
          <w:szCs w:val="22"/>
        </w:rPr>
      </w:r>
      <w:r w:rsidR="00644443" w:rsidRPr="00C83717">
        <w:rPr>
          <w:noProof/>
          <w:sz w:val="22"/>
          <w:szCs w:val="22"/>
        </w:rPr>
        <w:fldChar w:fldCharType="separate"/>
      </w:r>
      <w:r w:rsidR="00D44574">
        <w:rPr>
          <w:noProof/>
          <w:sz w:val="22"/>
          <w:szCs w:val="22"/>
        </w:rPr>
        <w:t>35</w:t>
      </w:r>
      <w:r w:rsidR="00644443" w:rsidRPr="00C83717">
        <w:rPr>
          <w:noProof/>
          <w:sz w:val="22"/>
          <w:szCs w:val="22"/>
        </w:rPr>
        <w:fldChar w:fldCharType="end"/>
      </w:r>
    </w:p>
    <w:p w:rsidR="00644443" w:rsidRPr="00C83717" w:rsidRDefault="00644443" w:rsidP="002E02FB">
      <w:pPr>
        <w:pStyle w:val="TableofFigures"/>
        <w:tabs>
          <w:tab w:val="right" w:pos="8494"/>
        </w:tabs>
        <w:rPr>
          <w:rFonts w:cs="Times New Roman"/>
          <w:noProof/>
          <w:sz w:val="22"/>
          <w:szCs w:val="22"/>
          <w:lang w:eastAsia="en-NZ"/>
        </w:rPr>
      </w:pPr>
      <w:r w:rsidRPr="00C83717">
        <w:rPr>
          <w:noProof/>
          <w:sz w:val="22"/>
          <w:szCs w:val="22"/>
        </w:rPr>
        <w:t xml:space="preserve">Table 2: </w:t>
      </w:r>
      <w:r w:rsidRPr="00C83717">
        <w:rPr>
          <w:rFonts w:cs="Times New Roman"/>
          <w:noProof/>
          <w:sz w:val="22"/>
          <w:szCs w:val="22"/>
          <w:lang w:eastAsia="en-NZ"/>
        </w:rPr>
        <w:tab/>
      </w:r>
      <w:r w:rsidRPr="00C83717">
        <w:rPr>
          <w:noProof/>
          <w:sz w:val="22"/>
          <w:szCs w:val="22"/>
        </w:rPr>
        <w:t>Estimated NZ ETS costs passed through to energy users</w:t>
      </w:r>
      <w:r w:rsidRPr="00C83717">
        <w:rPr>
          <w:noProof/>
          <w:sz w:val="22"/>
          <w:szCs w:val="22"/>
        </w:rPr>
        <w:tab/>
      </w:r>
      <w:r w:rsidRPr="00C83717">
        <w:rPr>
          <w:noProof/>
          <w:sz w:val="22"/>
          <w:szCs w:val="22"/>
        </w:rPr>
        <w:fldChar w:fldCharType="begin"/>
      </w:r>
      <w:r w:rsidRPr="00C83717">
        <w:rPr>
          <w:noProof/>
          <w:sz w:val="22"/>
          <w:szCs w:val="22"/>
        </w:rPr>
        <w:instrText xml:space="preserve"> PAGEREF _Toc433981619 \h </w:instrText>
      </w:r>
      <w:r w:rsidRPr="00C83717">
        <w:rPr>
          <w:noProof/>
          <w:sz w:val="22"/>
          <w:szCs w:val="22"/>
        </w:rPr>
      </w:r>
      <w:r w:rsidRPr="00C83717">
        <w:rPr>
          <w:noProof/>
          <w:sz w:val="22"/>
          <w:szCs w:val="22"/>
        </w:rPr>
        <w:fldChar w:fldCharType="separate"/>
      </w:r>
      <w:r w:rsidR="00D44574">
        <w:rPr>
          <w:noProof/>
          <w:sz w:val="22"/>
          <w:szCs w:val="22"/>
        </w:rPr>
        <w:t>36</w:t>
      </w:r>
      <w:r w:rsidRPr="00C83717">
        <w:rPr>
          <w:noProof/>
          <w:sz w:val="22"/>
          <w:szCs w:val="22"/>
        </w:rPr>
        <w:fldChar w:fldCharType="end"/>
      </w:r>
    </w:p>
    <w:p w:rsidR="00644443" w:rsidRPr="00C83717" w:rsidRDefault="00644443" w:rsidP="002E02FB">
      <w:pPr>
        <w:pStyle w:val="TableofFigures"/>
        <w:tabs>
          <w:tab w:val="right" w:pos="8494"/>
        </w:tabs>
        <w:rPr>
          <w:rFonts w:cs="Times New Roman"/>
          <w:noProof/>
          <w:sz w:val="22"/>
          <w:szCs w:val="22"/>
          <w:lang w:eastAsia="en-NZ"/>
        </w:rPr>
      </w:pPr>
      <w:r w:rsidRPr="00C83717">
        <w:rPr>
          <w:noProof/>
          <w:sz w:val="22"/>
          <w:szCs w:val="22"/>
        </w:rPr>
        <w:t xml:space="preserve">Table 3: </w:t>
      </w:r>
      <w:r w:rsidRPr="00C83717">
        <w:rPr>
          <w:rFonts w:cs="Times New Roman"/>
          <w:noProof/>
          <w:sz w:val="22"/>
          <w:szCs w:val="22"/>
          <w:lang w:eastAsia="en-NZ"/>
        </w:rPr>
        <w:tab/>
      </w:r>
      <w:r w:rsidRPr="00C83717">
        <w:rPr>
          <w:noProof/>
          <w:sz w:val="22"/>
          <w:szCs w:val="22"/>
        </w:rPr>
        <w:t>Estimated annual NZ ETS costs passed through to households</w:t>
      </w:r>
      <w:r w:rsidRPr="00C83717">
        <w:rPr>
          <w:noProof/>
          <w:sz w:val="22"/>
          <w:szCs w:val="22"/>
        </w:rPr>
        <w:tab/>
      </w:r>
      <w:r w:rsidRPr="00C83717">
        <w:rPr>
          <w:noProof/>
          <w:sz w:val="22"/>
          <w:szCs w:val="22"/>
        </w:rPr>
        <w:fldChar w:fldCharType="begin"/>
      </w:r>
      <w:r w:rsidRPr="00C83717">
        <w:rPr>
          <w:noProof/>
          <w:sz w:val="22"/>
          <w:szCs w:val="22"/>
        </w:rPr>
        <w:instrText xml:space="preserve"> PAGEREF _Toc433981620 \h </w:instrText>
      </w:r>
      <w:r w:rsidRPr="00C83717">
        <w:rPr>
          <w:noProof/>
          <w:sz w:val="22"/>
          <w:szCs w:val="22"/>
        </w:rPr>
      </w:r>
      <w:r w:rsidRPr="00C83717">
        <w:rPr>
          <w:noProof/>
          <w:sz w:val="22"/>
          <w:szCs w:val="22"/>
        </w:rPr>
        <w:fldChar w:fldCharType="separate"/>
      </w:r>
      <w:r w:rsidR="00D44574">
        <w:rPr>
          <w:noProof/>
          <w:sz w:val="22"/>
          <w:szCs w:val="22"/>
        </w:rPr>
        <w:t>37</w:t>
      </w:r>
      <w:r w:rsidRPr="00C83717">
        <w:rPr>
          <w:noProof/>
          <w:sz w:val="22"/>
          <w:szCs w:val="22"/>
        </w:rPr>
        <w:fldChar w:fldCharType="end"/>
      </w:r>
    </w:p>
    <w:p w:rsidR="00644443" w:rsidRPr="00C83717" w:rsidRDefault="00644443" w:rsidP="002E02FB">
      <w:pPr>
        <w:pStyle w:val="TableofFigures"/>
        <w:tabs>
          <w:tab w:val="right" w:pos="8494"/>
        </w:tabs>
        <w:rPr>
          <w:rFonts w:cs="Times New Roman"/>
          <w:noProof/>
          <w:sz w:val="22"/>
          <w:szCs w:val="22"/>
          <w:lang w:eastAsia="en-NZ"/>
        </w:rPr>
      </w:pPr>
      <w:r w:rsidRPr="00C83717">
        <w:rPr>
          <w:noProof/>
          <w:sz w:val="22"/>
          <w:szCs w:val="22"/>
        </w:rPr>
        <w:t xml:space="preserve">Table 4: </w:t>
      </w:r>
      <w:r w:rsidRPr="00C83717">
        <w:rPr>
          <w:rFonts w:cs="Times New Roman"/>
          <w:noProof/>
          <w:sz w:val="22"/>
          <w:szCs w:val="22"/>
          <w:lang w:eastAsia="en-NZ"/>
        </w:rPr>
        <w:tab/>
      </w:r>
      <w:r w:rsidRPr="00C83717">
        <w:rPr>
          <w:noProof/>
          <w:sz w:val="22"/>
          <w:szCs w:val="22"/>
        </w:rPr>
        <w:t>Illustrative effects of surrender obligations scenarios on NZ ETS supply, demand and banked NZUs</w:t>
      </w:r>
      <w:r w:rsidRPr="00C83717">
        <w:rPr>
          <w:noProof/>
          <w:sz w:val="22"/>
          <w:szCs w:val="22"/>
        </w:rPr>
        <w:tab/>
      </w:r>
      <w:r w:rsidRPr="00C83717">
        <w:rPr>
          <w:noProof/>
          <w:sz w:val="22"/>
          <w:szCs w:val="22"/>
        </w:rPr>
        <w:fldChar w:fldCharType="begin"/>
      </w:r>
      <w:r w:rsidRPr="00C83717">
        <w:rPr>
          <w:noProof/>
          <w:sz w:val="22"/>
          <w:szCs w:val="22"/>
        </w:rPr>
        <w:instrText xml:space="preserve"> PAGEREF _Toc433981621 \h </w:instrText>
      </w:r>
      <w:r w:rsidRPr="00C83717">
        <w:rPr>
          <w:noProof/>
          <w:sz w:val="22"/>
          <w:szCs w:val="22"/>
        </w:rPr>
      </w:r>
      <w:r w:rsidRPr="00C83717">
        <w:rPr>
          <w:noProof/>
          <w:sz w:val="22"/>
          <w:szCs w:val="22"/>
        </w:rPr>
        <w:fldChar w:fldCharType="separate"/>
      </w:r>
      <w:r w:rsidR="00D44574">
        <w:rPr>
          <w:noProof/>
          <w:sz w:val="22"/>
          <w:szCs w:val="22"/>
        </w:rPr>
        <w:t>38</w:t>
      </w:r>
      <w:r w:rsidRPr="00C83717">
        <w:rPr>
          <w:noProof/>
          <w:sz w:val="22"/>
          <w:szCs w:val="22"/>
        </w:rPr>
        <w:fldChar w:fldCharType="end"/>
      </w:r>
    </w:p>
    <w:p w:rsidR="00E30E95" w:rsidRPr="00AF297A" w:rsidRDefault="00E30E95" w:rsidP="002E02FB">
      <w:pPr>
        <w:pStyle w:val="BodyText"/>
      </w:pPr>
      <w:r w:rsidRPr="00C83717">
        <w:fldChar w:fldCharType="end"/>
      </w:r>
    </w:p>
    <w:p w:rsidR="008B7D6E" w:rsidRPr="00AF297A" w:rsidRDefault="008B7D6E" w:rsidP="00415FED">
      <w:pPr>
        <w:pStyle w:val="BodyText"/>
        <w:jc w:val="both"/>
      </w:pPr>
    </w:p>
    <w:p w:rsidR="008B7D6E" w:rsidRPr="00AF297A" w:rsidRDefault="008B7D6E" w:rsidP="00415FED">
      <w:pPr>
        <w:jc w:val="both"/>
        <w:sectPr w:rsidR="008B7D6E" w:rsidRPr="00AF297A" w:rsidSect="00B53DD3">
          <w:headerReference w:type="even" r:id="rId19"/>
          <w:headerReference w:type="default" r:id="rId20"/>
          <w:footerReference w:type="even" r:id="rId21"/>
          <w:footerReference w:type="default" r:id="rId22"/>
          <w:headerReference w:type="first" r:id="rId23"/>
          <w:pgSz w:w="11907" w:h="16840" w:code="9"/>
          <w:pgMar w:top="1701" w:right="1418" w:bottom="1701" w:left="1418" w:header="567" w:footer="567" w:gutter="567"/>
          <w:pgNumType w:fmt="lowerRoman"/>
          <w:cols w:space="720"/>
        </w:sectPr>
      </w:pPr>
    </w:p>
    <w:p w:rsidR="000A0A24" w:rsidRPr="00AF297A" w:rsidRDefault="00191EF0" w:rsidP="00415FED">
      <w:pPr>
        <w:pStyle w:val="Heading1"/>
        <w:jc w:val="both"/>
        <w:rPr>
          <w:rStyle w:val="IntenseEmphasis"/>
          <w:b/>
          <w:bCs/>
          <w:i w:val="0"/>
          <w:iCs w:val="0"/>
          <w:color w:val="005984"/>
        </w:rPr>
      </w:pPr>
      <w:bookmarkStart w:id="0" w:name="_Toc433883441"/>
      <w:bookmarkStart w:id="1" w:name="_Toc435798374"/>
      <w:r>
        <w:rPr>
          <w:noProof/>
        </w:rPr>
        <w:lastRenderedPageBreak/>
        <w:pict w14:anchorId="1C80B931">
          <v:shape id="_x0000_s1031" type="#_x0000_t75" style="position:absolute;left:0;text-align:left;margin-left:275.6pt;margin-top:24.05pt;width:156.7pt;height:185.4pt;z-index:-251657728;mso-position-horizontal-relative:text;mso-position-vertical-relative:text;mso-width-relative:page;mso-height-relative:page" wrapcoords="-90 0 -90 21523 21600 21523 21600 0 -90 0">
            <v:imagedata r:id="rId24" o:title="tg-1"/>
            <w10:wrap type="square"/>
          </v:shape>
        </w:pict>
      </w:r>
      <w:r w:rsidR="000A0A24" w:rsidRPr="00AF297A">
        <w:rPr>
          <w:rStyle w:val="IntenseEmphasis"/>
          <w:b/>
          <w:bCs/>
          <w:i w:val="0"/>
          <w:iCs w:val="0"/>
          <w:color w:val="005984"/>
        </w:rPr>
        <w:t>Foreword</w:t>
      </w:r>
      <w:bookmarkEnd w:id="0"/>
      <w:bookmarkEnd w:id="1"/>
      <w:r w:rsidR="000A0A24" w:rsidRPr="00493BB4">
        <w:t xml:space="preserve"> </w:t>
      </w:r>
    </w:p>
    <w:p w:rsidR="000A0A24" w:rsidRPr="00AF297A" w:rsidRDefault="000A0A24" w:rsidP="00C83717">
      <w:pPr>
        <w:pStyle w:val="BodyText"/>
        <w:rPr>
          <w:rStyle w:val="IntenseEmphasis"/>
          <w:b w:val="0"/>
          <w:bCs w:val="0"/>
          <w:i w:val="0"/>
          <w:iCs w:val="0"/>
          <w:color w:val="auto"/>
        </w:rPr>
      </w:pPr>
      <w:r w:rsidRPr="00AF297A">
        <w:rPr>
          <w:rStyle w:val="IntenseEmphasis"/>
          <w:b w:val="0"/>
          <w:bCs w:val="0"/>
          <w:i w:val="0"/>
          <w:iCs w:val="0"/>
          <w:color w:val="auto"/>
        </w:rPr>
        <w:t xml:space="preserve">Countries are meeting in Paris in December 2015 to establish a new international climate change agreement </w:t>
      </w:r>
      <w:r>
        <w:rPr>
          <w:rStyle w:val="IntenseEmphasis"/>
          <w:b w:val="0"/>
          <w:bCs w:val="0"/>
          <w:i w:val="0"/>
          <w:iCs w:val="0"/>
          <w:color w:val="auto"/>
        </w:rPr>
        <w:t>to</w:t>
      </w:r>
      <w:r w:rsidRPr="00AF297A">
        <w:rPr>
          <w:rStyle w:val="IntenseEmphasis"/>
          <w:b w:val="0"/>
          <w:bCs w:val="0"/>
          <w:i w:val="0"/>
          <w:iCs w:val="0"/>
          <w:color w:val="auto"/>
        </w:rPr>
        <w:t xml:space="preserve"> apply to all countries after 2020. Several of our key trading partners are taking, or have announced plans to take, increased domestic action on climate change. </w:t>
      </w:r>
    </w:p>
    <w:p w:rsidR="000A0A24" w:rsidRPr="00AF297A" w:rsidRDefault="000A0A24" w:rsidP="00C83717">
      <w:pPr>
        <w:pStyle w:val="BodyText"/>
        <w:rPr>
          <w:rStyle w:val="IntenseEmphasis"/>
          <w:b w:val="0"/>
          <w:bCs w:val="0"/>
          <w:i w:val="0"/>
          <w:iCs w:val="0"/>
          <w:color w:val="auto"/>
        </w:rPr>
      </w:pPr>
      <w:r w:rsidRPr="00AF297A">
        <w:rPr>
          <w:rStyle w:val="IntenseEmphasis"/>
          <w:b w:val="0"/>
          <w:bCs w:val="0"/>
          <w:i w:val="0"/>
          <w:iCs w:val="0"/>
          <w:color w:val="auto"/>
        </w:rPr>
        <w:t>New Zealand is also playing its part. In July 2015 the New Zealand Government announced that our new climate change target is to reduce greenhouse gas emissions to 30 per cent below 2005 levels by 2030. This new, more ambitious climate change target will apply from 2021 to 2030, and will be more challenging to achieve than past</w:t>
      </w:r>
      <w:r w:rsidR="00123280">
        <w:rPr>
          <w:rStyle w:val="IntenseEmphasis"/>
          <w:b w:val="0"/>
          <w:bCs w:val="0"/>
          <w:i w:val="0"/>
          <w:iCs w:val="0"/>
          <w:color w:val="auto"/>
        </w:rPr>
        <w:t xml:space="preserve"> </w:t>
      </w:r>
      <w:r w:rsidRPr="00AF297A">
        <w:rPr>
          <w:rStyle w:val="IntenseEmphasis"/>
          <w:b w:val="0"/>
          <w:bCs w:val="0"/>
          <w:i w:val="0"/>
          <w:iCs w:val="0"/>
          <w:color w:val="auto"/>
        </w:rPr>
        <w:t>emission reduction obligations.</w:t>
      </w:r>
    </w:p>
    <w:p w:rsidR="000A0A24" w:rsidRPr="00AF297A" w:rsidRDefault="000A0A24" w:rsidP="00C83717">
      <w:pPr>
        <w:pStyle w:val="BodyText"/>
        <w:rPr>
          <w:rStyle w:val="IntenseEmphasis"/>
          <w:b w:val="0"/>
          <w:bCs w:val="0"/>
          <w:i w:val="0"/>
          <w:iCs w:val="0"/>
          <w:color w:val="auto"/>
        </w:rPr>
      </w:pPr>
      <w:r w:rsidRPr="00AF297A">
        <w:rPr>
          <w:rStyle w:val="IntenseEmphasis"/>
          <w:b w:val="0"/>
          <w:bCs w:val="0"/>
          <w:i w:val="0"/>
          <w:iCs w:val="0"/>
          <w:color w:val="auto"/>
        </w:rPr>
        <w:t>The strengthening international response to climate change is likely to increas</w:t>
      </w:r>
      <w:r>
        <w:rPr>
          <w:rStyle w:val="IntenseEmphasis"/>
          <w:b w:val="0"/>
          <w:bCs w:val="0"/>
          <w:i w:val="0"/>
          <w:iCs w:val="0"/>
          <w:color w:val="auto"/>
        </w:rPr>
        <w:t>e</w:t>
      </w:r>
      <w:r w:rsidRPr="00AF297A">
        <w:rPr>
          <w:rStyle w:val="IntenseEmphasis"/>
          <w:b w:val="0"/>
          <w:bCs w:val="0"/>
          <w:i w:val="0"/>
          <w:iCs w:val="0"/>
          <w:color w:val="auto"/>
        </w:rPr>
        <w:t xml:space="preserve"> constraints on emissions, making emissions</w:t>
      </w:r>
      <w:r>
        <w:rPr>
          <w:rStyle w:val="IntenseEmphasis"/>
          <w:b w:val="0"/>
          <w:bCs w:val="0"/>
          <w:i w:val="0"/>
          <w:iCs w:val="0"/>
          <w:color w:val="auto"/>
        </w:rPr>
        <w:t>-</w:t>
      </w:r>
      <w:r w:rsidRPr="00AF297A">
        <w:rPr>
          <w:rStyle w:val="IntenseEmphasis"/>
          <w:b w:val="0"/>
          <w:bCs w:val="0"/>
          <w:i w:val="0"/>
          <w:iCs w:val="0"/>
          <w:color w:val="auto"/>
        </w:rPr>
        <w:t xml:space="preserve">intensive practices more expensive. Gradually transitioning to a low emissions economy will ensure that we can seek competitive advantages and manage costs from these changes. Reducing our dependence on imported fossil fuels and vulnerability to potentially high future carbon prices will build resilience in our economy. This will support producers to meet changing consumer preferences for goods with smaller environmental footprints. </w:t>
      </w:r>
    </w:p>
    <w:p w:rsidR="000A0A24" w:rsidRPr="00AF297A" w:rsidRDefault="000A0A24" w:rsidP="00C83717">
      <w:pPr>
        <w:pStyle w:val="BodyText"/>
        <w:rPr>
          <w:rStyle w:val="IntenseEmphasis"/>
          <w:b w:val="0"/>
          <w:bCs w:val="0"/>
          <w:i w:val="0"/>
          <w:iCs w:val="0"/>
          <w:color w:val="auto"/>
        </w:rPr>
      </w:pPr>
      <w:r w:rsidRPr="00AF297A">
        <w:rPr>
          <w:rStyle w:val="IntenseEmphasis"/>
          <w:b w:val="0"/>
          <w:bCs w:val="0"/>
          <w:i w:val="0"/>
          <w:iCs w:val="0"/>
          <w:color w:val="auto"/>
        </w:rPr>
        <w:t>In this context, the New Zealand economy needs to continue the transition to a low emissions economy. The New Zealand Emissions Trading Scheme (NZ ETS)</w:t>
      </w:r>
      <w:r>
        <w:rPr>
          <w:rStyle w:val="IntenseEmphasis"/>
          <w:b w:val="0"/>
          <w:bCs w:val="0"/>
          <w:i w:val="0"/>
          <w:iCs w:val="0"/>
          <w:color w:val="auto"/>
        </w:rPr>
        <w:t xml:space="preserve"> </w:t>
      </w:r>
      <w:r w:rsidRPr="00AF297A">
        <w:rPr>
          <w:rStyle w:val="IntenseEmphasis"/>
          <w:b w:val="0"/>
          <w:bCs w:val="0"/>
          <w:i w:val="0"/>
          <w:iCs w:val="0"/>
          <w:color w:val="auto"/>
        </w:rPr>
        <w:t>is New Zealand’s main tool for reducing emissions and will play an important role in this, although other measures will also be needed. The Government is already heavily investing in research and development and assessing what other policies will be needed.</w:t>
      </w:r>
    </w:p>
    <w:p w:rsidR="000A0A24" w:rsidRPr="00AF297A" w:rsidRDefault="000A0A24" w:rsidP="00C83717">
      <w:pPr>
        <w:pStyle w:val="BodyText"/>
        <w:rPr>
          <w:rStyle w:val="IntenseEmphasis"/>
          <w:b w:val="0"/>
          <w:bCs w:val="0"/>
          <w:i w:val="0"/>
          <w:iCs w:val="0"/>
          <w:color w:val="auto"/>
        </w:rPr>
      </w:pPr>
      <w:r>
        <w:rPr>
          <w:rStyle w:val="IntenseEmphasis"/>
          <w:b w:val="0"/>
          <w:bCs w:val="0"/>
          <w:i w:val="0"/>
          <w:iCs w:val="0"/>
          <w:color w:val="auto"/>
        </w:rPr>
        <w:t>R</w:t>
      </w:r>
      <w:r w:rsidRPr="00AF297A">
        <w:rPr>
          <w:rStyle w:val="IntenseEmphasis"/>
          <w:b w:val="0"/>
          <w:bCs w:val="0"/>
          <w:i w:val="0"/>
          <w:iCs w:val="0"/>
          <w:color w:val="auto"/>
        </w:rPr>
        <w:t>eview</w:t>
      </w:r>
      <w:r>
        <w:rPr>
          <w:rStyle w:val="IntenseEmphasis"/>
          <w:b w:val="0"/>
          <w:bCs w:val="0"/>
          <w:i w:val="0"/>
          <w:iCs w:val="0"/>
          <w:color w:val="auto"/>
        </w:rPr>
        <w:t>ing</w:t>
      </w:r>
      <w:r w:rsidRPr="00AF297A">
        <w:rPr>
          <w:rStyle w:val="IntenseEmphasis"/>
          <w:b w:val="0"/>
          <w:bCs w:val="0"/>
          <w:i w:val="0"/>
          <w:iCs w:val="0"/>
          <w:color w:val="auto"/>
        </w:rPr>
        <w:t xml:space="preserve"> the NZ ETS </w:t>
      </w:r>
      <w:r>
        <w:rPr>
          <w:rStyle w:val="IntenseEmphasis"/>
          <w:b w:val="0"/>
          <w:bCs w:val="0"/>
          <w:i w:val="0"/>
          <w:iCs w:val="0"/>
          <w:color w:val="auto"/>
        </w:rPr>
        <w:t>means we can</w:t>
      </w:r>
      <w:r w:rsidRPr="00AF297A">
        <w:rPr>
          <w:rStyle w:val="IntenseEmphasis"/>
          <w:b w:val="0"/>
          <w:bCs w:val="0"/>
          <w:i w:val="0"/>
          <w:iCs w:val="0"/>
          <w:color w:val="auto"/>
        </w:rPr>
        <w:t xml:space="preserve"> ensure the scheme is well placed to </w:t>
      </w:r>
      <w:r>
        <w:rPr>
          <w:rStyle w:val="IntenseEmphasis"/>
          <w:b w:val="0"/>
          <w:bCs w:val="0"/>
          <w:i w:val="0"/>
          <w:iCs w:val="0"/>
          <w:color w:val="auto"/>
        </w:rPr>
        <w:t>support</w:t>
      </w:r>
      <w:r w:rsidRPr="00AF297A">
        <w:rPr>
          <w:rStyle w:val="IntenseEmphasis"/>
          <w:b w:val="0"/>
          <w:bCs w:val="0"/>
          <w:i w:val="0"/>
          <w:iCs w:val="0"/>
          <w:color w:val="auto"/>
        </w:rPr>
        <w:t xml:space="preserve"> this transition and that</w:t>
      </w:r>
      <w:r>
        <w:rPr>
          <w:rStyle w:val="IntenseEmphasis"/>
          <w:b w:val="0"/>
          <w:bCs w:val="0"/>
          <w:i w:val="0"/>
          <w:iCs w:val="0"/>
          <w:color w:val="auto"/>
        </w:rPr>
        <w:t>,</w:t>
      </w:r>
      <w:r w:rsidRPr="00AF297A">
        <w:rPr>
          <w:rStyle w:val="IntenseEmphasis"/>
          <w:b w:val="0"/>
          <w:bCs w:val="0"/>
          <w:i w:val="0"/>
          <w:iCs w:val="0"/>
          <w:color w:val="auto"/>
        </w:rPr>
        <w:t xml:space="preserve"> as far as practicable, costs of emissions are borne by polluters. The NZ ETS has successfully assisted New Zealand to meet previous obligations, and we are on track to meet our 2020 target. A more ambitious 2030 target</w:t>
      </w:r>
      <w:r>
        <w:rPr>
          <w:rStyle w:val="IntenseEmphasis"/>
          <w:b w:val="0"/>
          <w:bCs w:val="0"/>
          <w:i w:val="0"/>
          <w:iCs w:val="0"/>
          <w:color w:val="auto"/>
        </w:rPr>
        <w:t>,</w:t>
      </w:r>
      <w:r w:rsidRPr="00AF297A">
        <w:rPr>
          <w:rStyle w:val="IntenseEmphasis"/>
          <w:b w:val="0"/>
          <w:bCs w:val="0"/>
          <w:i w:val="0"/>
          <w:iCs w:val="0"/>
          <w:color w:val="auto"/>
        </w:rPr>
        <w:t xml:space="preserve"> and a carbon</w:t>
      </w:r>
      <w:r>
        <w:rPr>
          <w:rStyle w:val="IntenseEmphasis"/>
          <w:b w:val="0"/>
          <w:bCs w:val="0"/>
          <w:i w:val="0"/>
          <w:iCs w:val="0"/>
          <w:color w:val="auto"/>
        </w:rPr>
        <w:t>-</w:t>
      </w:r>
      <w:r w:rsidRPr="00AF297A">
        <w:rPr>
          <w:rStyle w:val="IntenseEmphasis"/>
          <w:b w:val="0"/>
          <w:bCs w:val="0"/>
          <w:i w:val="0"/>
          <w:iCs w:val="0"/>
          <w:color w:val="auto"/>
        </w:rPr>
        <w:t>constrained future</w:t>
      </w:r>
      <w:r>
        <w:rPr>
          <w:rStyle w:val="IntenseEmphasis"/>
          <w:b w:val="0"/>
          <w:bCs w:val="0"/>
          <w:i w:val="0"/>
          <w:iCs w:val="0"/>
          <w:color w:val="auto"/>
        </w:rPr>
        <w:t>,</w:t>
      </w:r>
      <w:r w:rsidRPr="00AF297A">
        <w:rPr>
          <w:rStyle w:val="IntenseEmphasis"/>
          <w:b w:val="0"/>
          <w:bCs w:val="0"/>
          <w:i w:val="0"/>
          <w:iCs w:val="0"/>
          <w:color w:val="auto"/>
        </w:rPr>
        <w:t xml:space="preserve"> mean </w:t>
      </w:r>
      <w:r>
        <w:rPr>
          <w:rStyle w:val="IntenseEmphasis"/>
          <w:b w:val="0"/>
          <w:bCs w:val="0"/>
          <w:i w:val="0"/>
          <w:iCs w:val="0"/>
          <w:color w:val="auto"/>
        </w:rPr>
        <w:t xml:space="preserve">the </w:t>
      </w:r>
      <w:r w:rsidRPr="00AF297A">
        <w:rPr>
          <w:rStyle w:val="IntenseEmphasis"/>
          <w:b w:val="0"/>
          <w:bCs w:val="0"/>
          <w:i w:val="0"/>
          <w:iCs w:val="0"/>
          <w:color w:val="auto"/>
        </w:rPr>
        <w:t xml:space="preserve">investment decisions we make today need to take into account the costs and benefits that will apply to these investments in five or ten years’ time. </w:t>
      </w:r>
    </w:p>
    <w:p w:rsidR="000A0A24" w:rsidRPr="00AF297A" w:rsidRDefault="000A0A24" w:rsidP="00C83717">
      <w:pPr>
        <w:pStyle w:val="BodyText"/>
        <w:rPr>
          <w:rStyle w:val="IntenseEmphasis"/>
          <w:b w:val="0"/>
          <w:bCs w:val="0"/>
          <w:i w:val="0"/>
          <w:iCs w:val="0"/>
          <w:color w:val="auto"/>
        </w:rPr>
      </w:pPr>
      <w:r w:rsidRPr="00AF297A">
        <w:rPr>
          <w:rStyle w:val="IntenseEmphasis"/>
          <w:b w:val="0"/>
          <w:bCs w:val="0"/>
          <w:i w:val="0"/>
          <w:iCs w:val="0"/>
          <w:color w:val="auto"/>
        </w:rPr>
        <w:t xml:space="preserve">To </w:t>
      </w:r>
      <w:r>
        <w:rPr>
          <w:rStyle w:val="IntenseEmphasis"/>
          <w:b w:val="0"/>
          <w:bCs w:val="0"/>
          <w:i w:val="0"/>
          <w:iCs w:val="0"/>
          <w:color w:val="auto"/>
        </w:rPr>
        <w:t>do</w:t>
      </w:r>
      <w:r w:rsidRPr="00AF297A">
        <w:rPr>
          <w:rStyle w:val="IntenseEmphasis"/>
          <w:b w:val="0"/>
          <w:bCs w:val="0"/>
          <w:i w:val="0"/>
          <w:iCs w:val="0"/>
          <w:color w:val="auto"/>
        </w:rPr>
        <w:t xml:space="preserve"> this, New Zealand firms and households need to have greater confidence in NZ ETS policy settings now and in the future. Households should be able to assess what future fuel and electricity costs may be when purchasing a new car or home heating, while firms should be able to assess what the future cost of emissions may be before investing in equipment or deciding whether to plant trees. A key role for this review is to help build this confidence. </w:t>
      </w:r>
    </w:p>
    <w:p w:rsidR="000A0A24" w:rsidRPr="00AF297A" w:rsidRDefault="000A0A24" w:rsidP="00C83717">
      <w:pPr>
        <w:pStyle w:val="BodyText"/>
        <w:rPr>
          <w:rStyle w:val="IntenseEmphasis"/>
          <w:b w:val="0"/>
          <w:bCs w:val="0"/>
          <w:i w:val="0"/>
          <w:iCs w:val="0"/>
          <w:color w:val="auto"/>
        </w:rPr>
      </w:pPr>
      <w:r w:rsidRPr="00AF297A">
        <w:rPr>
          <w:rStyle w:val="IntenseEmphasis"/>
          <w:b w:val="0"/>
          <w:bCs w:val="0"/>
          <w:i w:val="0"/>
          <w:iCs w:val="0"/>
          <w:color w:val="auto"/>
        </w:rPr>
        <w:t>As an economy-wide tool, decisions to improve the effectiveness of the NZ ETS must take account of our economic, social, environmental and cultural needs. Through this review we want to hear from a range of New Zealand businesses and sector interests</w:t>
      </w:r>
      <w:r>
        <w:rPr>
          <w:rStyle w:val="IntenseEmphasis"/>
          <w:b w:val="0"/>
          <w:bCs w:val="0"/>
          <w:i w:val="0"/>
          <w:iCs w:val="0"/>
          <w:color w:val="auto"/>
        </w:rPr>
        <w:t>,</w:t>
      </w:r>
      <w:r w:rsidRPr="00AF297A">
        <w:rPr>
          <w:rStyle w:val="IntenseEmphasis"/>
          <w:b w:val="0"/>
          <w:bCs w:val="0"/>
          <w:i w:val="0"/>
          <w:iCs w:val="0"/>
          <w:color w:val="auto"/>
        </w:rPr>
        <w:t xml:space="preserve"> because we recognise that many organisations, including iwi and Māori entities, hold interests across multiple sectors, and are impacted in different ways. </w:t>
      </w:r>
    </w:p>
    <w:p w:rsidR="000A0A24" w:rsidRPr="00AF297A" w:rsidRDefault="000A0A24" w:rsidP="00C83717">
      <w:pPr>
        <w:pStyle w:val="BodyText"/>
        <w:rPr>
          <w:rStyle w:val="IntenseEmphasis"/>
          <w:b w:val="0"/>
          <w:bCs w:val="0"/>
          <w:i w:val="0"/>
          <w:iCs w:val="0"/>
          <w:color w:val="auto"/>
        </w:rPr>
      </w:pPr>
      <w:r w:rsidRPr="00AF297A">
        <w:rPr>
          <w:rStyle w:val="IntenseEmphasis"/>
          <w:b w:val="0"/>
          <w:bCs w:val="0"/>
          <w:i w:val="0"/>
          <w:iCs w:val="0"/>
          <w:color w:val="auto"/>
        </w:rPr>
        <w:lastRenderedPageBreak/>
        <w:t xml:space="preserve">Consultation is critical to shaping the evolution of the NZ ETS. The nature of the NZ ETS means a wide range of businesses and firms participate in the scheme, and the impacts of any changes will extend to non-participating businesses and households. The questions in this document ask you to consider your needs now and in the future, and provide us with evidence to help inform decisions. </w:t>
      </w:r>
    </w:p>
    <w:p w:rsidR="000A0A24" w:rsidRPr="00AF297A" w:rsidRDefault="000A0A24" w:rsidP="00C83717">
      <w:pPr>
        <w:pStyle w:val="BodyText"/>
        <w:rPr>
          <w:rStyle w:val="IntenseEmphasis"/>
          <w:b w:val="0"/>
          <w:bCs w:val="0"/>
          <w:i w:val="0"/>
          <w:iCs w:val="0"/>
          <w:color w:val="auto"/>
        </w:rPr>
      </w:pPr>
      <w:r w:rsidRPr="00AF297A">
        <w:rPr>
          <w:rStyle w:val="IntenseEmphasis"/>
          <w:b w:val="0"/>
          <w:bCs w:val="0"/>
          <w:i w:val="0"/>
          <w:iCs w:val="0"/>
          <w:color w:val="auto"/>
        </w:rPr>
        <w:t>I urge you to carefully consider the issues raised and provide your input. It is in all of our interests that the NZ ETS helps New Zealand achieve our climate change goals, while strengthening the competitiveness of our economy.</w:t>
      </w:r>
    </w:p>
    <w:p w:rsidR="000A0A24" w:rsidRPr="00AF297A" w:rsidRDefault="000A0A24" w:rsidP="00C83717">
      <w:pPr>
        <w:rPr>
          <w:rStyle w:val="IntenseEmphasis"/>
          <w:b w:val="0"/>
          <w:bCs w:val="0"/>
          <w:i w:val="0"/>
          <w:iCs w:val="0"/>
          <w:color w:val="auto"/>
        </w:rPr>
      </w:pPr>
    </w:p>
    <w:p w:rsidR="000A0A24" w:rsidRPr="00AF297A" w:rsidRDefault="000A0A24" w:rsidP="00C83717">
      <w:pPr>
        <w:rPr>
          <w:rStyle w:val="IntenseEmphasis"/>
          <w:b w:val="0"/>
          <w:bCs w:val="0"/>
          <w:i w:val="0"/>
          <w:iCs w:val="0"/>
          <w:color w:val="auto"/>
        </w:rPr>
      </w:pPr>
    </w:p>
    <w:p w:rsidR="000A0A24" w:rsidRPr="00AF297A" w:rsidRDefault="000A0A24" w:rsidP="00C83717">
      <w:pPr>
        <w:rPr>
          <w:rStyle w:val="IntenseEmphasis"/>
          <w:b w:val="0"/>
          <w:bCs w:val="0"/>
          <w:i w:val="0"/>
          <w:iCs w:val="0"/>
          <w:color w:val="auto"/>
        </w:rPr>
      </w:pPr>
    </w:p>
    <w:p w:rsidR="000A0A24" w:rsidRPr="00AF297A" w:rsidRDefault="00191EF0" w:rsidP="00C83717">
      <w:pPr>
        <w:rPr>
          <w:rStyle w:val="IntenseEmphasis"/>
          <w:b w:val="0"/>
          <w:bCs w:val="0"/>
          <w:i w:val="0"/>
          <w:iCs w:val="0"/>
          <w:color w:val="auto"/>
        </w:rPr>
      </w:pPr>
      <w:r>
        <w:rPr>
          <w:rStyle w:val="IntenseEmphasis"/>
          <w:b w:val="0"/>
          <w:bCs w:val="0"/>
          <w:i w:val="0"/>
          <w:iCs w:val="0"/>
          <w:color w:val="auto"/>
        </w:rPr>
        <w:pict w14:anchorId="114D5543">
          <v:shape id="_x0000_i1026" type="#_x0000_t75" style="width:150.35pt;height:64.6pt">
            <v:imagedata r:id="rId25" o:title="tg"/>
          </v:shape>
        </w:pict>
      </w:r>
    </w:p>
    <w:p w:rsidR="000A0A24" w:rsidRPr="00AF297A" w:rsidRDefault="000A0A24" w:rsidP="00C83717">
      <w:pPr>
        <w:rPr>
          <w:rStyle w:val="IntenseEmphasis"/>
          <w:b w:val="0"/>
          <w:bCs w:val="0"/>
          <w:i w:val="0"/>
          <w:iCs w:val="0"/>
          <w:color w:val="auto"/>
        </w:rPr>
      </w:pPr>
    </w:p>
    <w:p w:rsidR="000A0A24" w:rsidRPr="00AF297A" w:rsidRDefault="000A0A24" w:rsidP="00C83717">
      <w:pPr>
        <w:rPr>
          <w:rStyle w:val="IntenseEmphasis"/>
          <w:b w:val="0"/>
          <w:bCs w:val="0"/>
          <w:i w:val="0"/>
          <w:iCs w:val="0"/>
          <w:color w:val="auto"/>
        </w:rPr>
      </w:pPr>
    </w:p>
    <w:p w:rsidR="000A0A24" w:rsidRPr="00AF297A" w:rsidRDefault="000A0A24" w:rsidP="00C83717">
      <w:pPr>
        <w:rPr>
          <w:rStyle w:val="IntenseEmphasis"/>
          <w:b w:val="0"/>
          <w:bCs w:val="0"/>
          <w:i w:val="0"/>
          <w:iCs w:val="0"/>
          <w:color w:val="auto"/>
        </w:rPr>
      </w:pPr>
      <w:r w:rsidRPr="00AF297A">
        <w:rPr>
          <w:rStyle w:val="IntenseEmphasis"/>
          <w:b w:val="0"/>
          <w:bCs w:val="0"/>
          <w:i w:val="0"/>
          <w:iCs w:val="0"/>
          <w:color w:val="auto"/>
        </w:rPr>
        <w:t xml:space="preserve">The Honourable Tim Groser </w:t>
      </w:r>
    </w:p>
    <w:p w:rsidR="000A0A24" w:rsidRPr="00AF297A" w:rsidRDefault="000A0A24" w:rsidP="00C83717">
      <w:pPr>
        <w:rPr>
          <w:rStyle w:val="IntenseEmphasis"/>
          <w:b w:val="0"/>
          <w:bCs w:val="0"/>
          <w:i w:val="0"/>
          <w:iCs w:val="0"/>
          <w:color w:val="auto"/>
        </w:rPr>
      </w:pPr>
      <w:r w:rsidRPr="00AF297A">
        <w:rPr>
          <w:rStyle w:val="IntenseEmphasis"/>
          <w:b w:val="0"/>
          <w:bCs w:val="0"/>
          <w:i w:val="0"/>
          <w:iCs w:val="0"/>
          <w:color w:val="auto"/>
        </w:rPr>
        <w:t>Minister for Climate Change Issues</w:t>
      </w:r>
    </w:p>
    <w:p w:rsidR="00D8361D" w:rsidRPr="00AF297A" w:rsidRDefault="0092790B" w:rsidP="00C83717">
      <w:pPr>
        <w:pStyle w:val="Heading1"/>
        <w:rPr>
          <w:rStyle w:val="IntenseEmphasis"/>
          <w:b/>
          <w:bCs/>
          <w:i w:val="0"/>
          <w:iCs w:val="0"/>
          <w:color w:val="005984"/>
        </w:rPr>
      </w:pPr>
      <w:r w:rsidRPr="00AF297A">
        <w:rPr>
          <w:rStyle w:val="IntenseEmphasis"/>
          <w:b/>
          <w:bCs/>
          <w:i w:val="0"/>
          <w:iCs w:val="0"/>
          <w:color w:val="auto"/>
        </w:rPr>
        <w:br w:type="page"/>
      </w:r>
      <w:bookmarkStart w:id="2" w:name="_Toc435798375"/>
      <w:r w:rsidR="00D8361D" w:rsidRPr="00AF297A">
        <w:lastRenderedPageBreak/>
        <w:t>1</w:t>
      </w:r>
      <w:r w:rsidR="00D8361D" w:rsidRPr="00AF297A">
        <w:tab/>
        <w:t>Introduction to the New Zealand Emissions Trading</w:t>
      </w:r>
      <w:r w:rsidR="005568B0" w:rsidRPr="00AF297A">
        <w:rPr>
          <w:rStyle w:val="IntenseEmphasis"/>
          <w:b/>
          <w:bCs/>
          <w:i w:val="0"/>
          <w:iCs w:val="0"/>
          <w:color w:val="005984"/>
        </w:rPr>
        <w:t> </w:t>
      </w:r>
      <w:r w:rsidR="00D8361D" w:rsidRPr="00AF297A">
        <w:rPr>
          <w:rStyle w:val="IntenseEmphasis"/>
          <w:b/>
          <w:bCs/>
          <w:i w:val="0"/>
          <w:iCs w:val="0"/>
          <w:color w:val="005984"/>
        </w:rPr>
        <w:t>Scheme</w:t>
      </w:r>
      <w:r w:rsidR="00982849" w:rsidRPr="00AF297A">
        <w:rPr>
          <w:rStyle w:val="IntenseEmphasis"/>
          <w:b/>
          <w:bCs/>
          <w:i w:val="0"/>
          <w:iCs w:val="0"/>
          <w:color w:val="005984"/>
        </w:rPr>
        <w:t> </w:t>
      </w:r>
      <w:r w:rsidR="00D8361D" w:rsidRPr="00AF297A">
        <w:rPr>
          <w:rStyle w:val="IntenseEmphasis"/>
          <w:b/>
          <w:bCs/>
          <w:i w:val="0"/>
          <w:iCs w:val="0"/>
          <w:color w:val="005984"/>
        </w:rPr>
        <w:t>Review</w:t>
      </w:r>
      <w:bookmarkEnd w:id="2"/>
    </w:p>
    <w:p w:rsidR="00D8361D" w:rsidRPr="00AF297A" w:rsidRDefault="00982849" w:rsidP="00C83717">
      <w:pPr>
        <w:pStyle w:val="Heading2"/>
        <w:tabs>
          <w:tab w:val="left" w:pos="709"/>
        </w:tabs>
        <w:rPr>
          <w:rStyle w:val="IntenseEmphasis"/>
          <w:b/>
          <w:bCs/>
          <w:i w:val="0"/>
          <w:iCs w:val="0"/>
          <w:color w:val="387C2B"/>
        </w:rPr>
      </w:pPr>
      <w:bookmarkStart w:id="3" w:name="_Toc435798376"/>
      <w:r w:rsidRPr="00AF297A">
        <w:rPr>
          <w:rStyle w:val="IntenseEmphasis"/>
          <w:b/>
          <w:bCs/>
          <w:i w:val="0"/>
          <w:iCs w:val="0"/>
          <w:color w:val="387C2B"/>
        </w:rPr>
        <w:t>1.1</w:t>
      </w:r>
      <w:r w:rsidRPr="00AF297A">
        <w:rPr>
          <w:rStyle w:val="IntenseEmphasis"/>
          <w:b/>
          <w:bCs/>
          <w:i w:val="0"/>
          <w:iCs w:val="0"/>
          <w:color w:val="387C2B"/>
        </w:rPr>
        <w:tab/>
      </w:r>
      <w:r w:rsidR="00D8361D" w:rsidRPr="00AF297A">
        <w:rPr>
          <w:rStyle w:val="IntenseEmphasis"/>
          <w:b/>
          <w:bCs/>
          <w:i w:val="0"/>
          <w:iCs w:val="0"/>
          <w:color w:val="387C2B"/>
        </w:rPr>
        <w:t>Background to the New Zealand Emissions Trading Scheme</w:t>
      </w:r>
      <w:bookmarkEnd w:id="3"/>
    </w:p>
    <w:p w:rsidR="00D8361D" w:rsidRPr="00AF297A" w:rsidRDefault="00D8361D" w:rsidP="00C83717">
      <w:pPr>
        <w:pStyle w:val="BodyText"/>
        <w:rPr>
          <w:rStyle w:val="IntenseEmphasis"/>
          <w:b w:val="0"/>
          <w:bCs w:val="0"/>
          <w:i w:val="0"/>
          <w:iCs w:val="0"/>
          <w:color w:val="auto"/>
        </w:rPr>
      </w:pPr>
      <w:r w:rsidRPr="00AF297A">
        <w:rPr>
          <w:rStyle w:val="IntenseEmphasis"/>
          <w:b w:val="0"/>
          <w:bCs w:val="0"/>
          <w:i w:val="0"/>
          <w:iCs w:val="0"/>
          <w:color w:val="auto"/>
        </w:rPr>
        <w:t>The</w:t>
      </w:r>
      <w:r w:rsidR="00447F71" w:rsidRPr="00447F71">
        <w:rPr>
          <w:rStyle w:val="IntenseEmphasis"/>
          <w:b w:val="0"/>
          <w:bCs w:val="0"/>
          <w:i w:val="0"/>
          <w:iCs w:val="0"/>
          <w:color w:val="auto"/>
        </w:rPr>
        <w:t xml:space="preserve"> </w:t>
      </w:r>
      <w:r w:rsidR="00447F71" w:rsidRPr="00AF297A">
        <w:rPr>
          <w:rStyle w:val="IntenseEmphasis"/>
          <w:b w:val="0"/>
          <w:bCs w:val="0"/>
          <w:i w:val="0"/>
          <w:iCs w:val="0"/>
          <w:color w:val="auto"/>
        </w:rPr>
        <w:t>New Zealand Emissions Trading Scheme (NZ ETS)</w:t>
      </w:r>
      <w:r w:rsidRPr="00AF297A">
        <w:rPr>
          <w:rStyle w:val="IntenseEmphasis"/>
          <w:b w:val="0"/>
          <w:bCs w:val="0"/>
          <w:i w:val="0"/>
          <w:iCs w:val="0"/>
          <w:color w:val="auto"/>
        </w:rPr>
        <w:t xml:space="preserve"> is the Government</w:t>
      </w:r>
      <w:r w:rsidR="007B5588" w:rsidRPr="00AF297A">
        <w:rPr>
          <w:rStyle w:val="IntenseEmphasis"/>
          <w:b w:val="0"/>
          <w:bCs w:val="0"/>
          <w:i w:val="0"/>
          <w:iCs w:val="0"/>
          <w:color w:val="auto"/>
        </w:rPr>
        <w:t>’</w:t>
      </w:r>
      <w:r w:rsidRPr="00AF297A">
        <w:rPr>
          <w:rStyle w:val="IntenseEmphasis"/>
          <w:b w:val="0"/>
          <w:bCs w:val="0"/>
          <w:i w:val="0"/>
          <w:iCs w:val="0"/>
          <w:color w:val="auto"/>
        </w:rPr>
        <w:t>s principal policy response to climate change. Its objective is to support and encourage global efforts to reduce greenhouse gas emissions by:</w:t>
      </w:r>
    </w:p>
    <w:p w:rsidR="00D8361D" w:rsidRPr="00AF297A" w:rsidRDefault="00D8361D" w:rsidP="00C83717">
      <w:pPr>
        <w:pStyle w:val="Bullet"/>
        <w:rPr>
          <w:rStyle w:val="IntenseEmphasis"/>
          <w:b w:val="0"/>
          <w:bCs w:val="0"/>
          <w:i w:val="0"/>
          <w:iCs w:val="0"/>
          <w:color w:val="auto"/>
        </w:rPr>
      </w:pPr>
      <w:r w:rsidRPr="00AF297A">
        <w:rPr>
          <w:rStyle w:val="IntenseEmphasis"/>
          <w:b w:val="0"/>
          <w:bCs w:val="0"/>
          <w:i w:val="0"/>
          <w:iCs w:val="0"/>
          <w:color w:val="auto"/>
        </w:rPr>
        <w:t>assisting New Zealand to meet its international obligations</w:t>
      </w:r>
    </w:p>
    <w:p w:rsidR="00D8361D" w:rsidRPr="00AF297A" w:rsidRDefault="00D8361D" w:rsidP="00C83717">
      <w:pPr>
        <w:pStyle w:val="Bullet"/>
        <w:rPr>
          <w:rStyle w:val="IntenseEmphasis"/>
          <w:b w:val="0"/>
          <w:bCs w:val="0"/>
          <w:i w:val="0"/>
          <w:iCs w:val="0"/>
          <w:color w:val="auto"/>
        </w:rPr>
      </w:pPr>
      <w:r w:rsidRPr="00AF297A">
        <w:rPr>
          <w:rStyle w:val="IntenseEmphasis"/>
          <w:b w:val="0"/>
          <w:bCs w:val="0"/>
          <w:i w:val="0"/>
          <w:iCs w:val="0"/>
          <w:color w:val="auto"/>
        </w:rPr>
        <w:t>reducing New Zealand</w:t>
      </w:r>
      <w:r w:rsidR="007B5588" w:rsidRPr="00AF297A">
        <w:rPr>
          <w:rStyle w:val="IntenseEmphasis"/>
          <w:b w:val="0"/>
          <w:bCs w:val="0"/>
          <w:i w:val="0"/>
          <w:iCs w:val="0"/>
          <w:color w:val="auto"/>
        </w:rPr>
        <w:t>’</w:t>
      </w:r>
      <w:r w:rsidRPr="00AF297A">
        <w:rPr>
          <w:rStyle w:val="IntenseEmphasis"/>
          <w:b w:val="0"/>
          <w:bCs w:val="0"/>
          <w:i w:val="0"/>
          <w:iCs w:val="0"/>
          <w:color w:val="auto"/>
        </w:rPr>
        <w:t>s net emissions below business as usual levels.</w:t>
      </w:r>
    </w:p>
    <w:p w:rsidR="00D8361D" w:rsidRDefault="00D8361D" w:rsidP="00C83717">
      <w:pPr>
        <w:pStyle w:val="BodyText"/>
        <w:rPr>
          <w:rStyle w:val="IntenseEmphasis"/>
          <w:b w:val="0"/>
          <w:bCs w:val="0"/>
          <w:i w:val="0"/>
          <w:iCs w:val="0"/>
          <w:color w:val="auto"/>
        </w:rPr>
      </w:pPr>
      <w:r w:rsidRPr="00AF297A">
        <w:rPr>
          <w:rStyle w:val="IntenseEmphasis"/>
          <w:b w:val="0"/>
          <w:bCs w:val="0"/>
          <w:i w:val="0"/>
          <w:iCs w:val="0"/>
          <w:color w:val="auto"/>
        </w:rPr>
        <w:t>The NZ ETS requires all sectors of New Zealand</w:t>
      </w:r>
      <w:r w:rsidR="007B5588" w:rsidRPr="00AF297A">
        <w:rPr>
          <w:rStyle w:val="IntenseEmphasis"/>
          <w:b w:val="0"/>
          <w:bCs w:val="0"/>
          <w:i w:val="0"/>
          <w:iCs w:val="0"/>
          <w:color w:val="auto"/>
        </w:rPr>
        <w:t>’</w:t>
      </w:r>
      <w:r w:rsidRPr="00AF297A">
        <w:rPr>
          <w:rStyle w:val="IntenseEmphasis"/>
          <w:b w:val="0"/>
          <w:bCs w:val="0"/>
          <w:i w:val="0"/>
          <w:iCs w:val="0"/>
          <w:color w:val="auto"/>
        </w:rPr>
        <w:t>s economy to report on their emissions and, with the exception of agriculture, purchase and surrender emission units to the Government for those emissions. This price on emissions is intended to create a financial incentive for investment in technologies or practices that reduce emissions, and for carbon removals from forestry by allowing eligible foresters to earn New Zealand Units (NZUs) as their trees grow and absorb carbon.</w:t>
      </w:r>
      <w:r w:rsidR="007B5588" w:rsidRPr="00AF297A">
        <w:rPr>
          <w:rStyle w:val="IntenseEmphasis"/>
          <w:b w:val="0"/>
          <w:bCs w:val="0"/>
          <w:i w:val="0"/>
          <w:iCs w:val="0"/>
          <w:color w:val="auto"/>
        </w:rPr>
        <w:t xml:space="preserve"> </w:t>
      </w:r>
      <w:r w:rsidRPr="00AF297A">
        <w:rPr>
          <w:rStyle w:val="IntenseEmphasis"/>
          <w:b w:val="0"/>
          <w:bCs w:val="0"/>
          <w:i w:val="0"/>
          <w:iCs w:val="0"/>
          <w:color w:val="auto"/>
        </w:rPr>
        <w:t>Just over half of New Zealand</w:t>
      </w:r>
      <w:r w:rsidR="007B5588" w:rsidRPr="00AF297A">
        <w:rPr>
          <w:rStyle w:val="IntenseEmphasis"/>
          <w:b w:val="0"/>
          <w:bCs w:val="0"/>
          <w:i w:val="0"/>
          <w:iCs w:val="0"/>
          <w:color w:val="auto"/>
        </w:rPr>
        <w:t>’</w:t>
      </w:r>
      <w:r w:rsidRPr="00AF297A">
        <w:rPr>
          <w:rStyle w:val="IntenseEmphasis"/>
          <w:b w:val="0"/>
          <w:bCs w:val="0"/>
          <w:i w:val="0"/>
          <w:iCs w:val="0"/>
          <w:color w:val="auto"/>
        </w:rPr>
        <w:t>s greenhouse gas emissions are now covered by NZ ETS surrender obligations.</w:t>
      </w:r>
      <w:r w:rsidR="007B5588" w:rsidRPr="00AF297A">
        <w:rPr>
          <w:rStyle w:val="IntenseEmphasis"/>
          <w:b w:val="0"/>
          <w:bCs w:val="0"/>
          <w:i w:val="0"/>
          <w:iCs w:val="0"/>
          <w:color w:val="auto"/>
        </w:rPr>
        <w:t xml:space="preserve"> </w:t>
      </w:r>
      <w:r w:rsidRPr="00AF297A">
        <w:rPr>
          <w:rStyle w:val="IntenseEmphasis"/>
          <w:b w:val="0"/>
          <w:bCs w:val="0"/>
          <w:i w:val="0"/>
          <w:iCs w:val="0"/>
          <w:color w:val="auto"/>
        </w:rPr>
        <w:t>Further detail on how the NZ ETS prices</w:t>
      </w:r>
      <w:r w:rsidR="00FB37DB">
        <w:rPr>
          <w:rStyle w:val="IntenseEmphasis"/>
          <w:b w:val="0"/>
          <w:bCs w:val="0"/>
          <w:i w:val="0"/>
          <w:iCs w:val="0"/>
          <w:color w:val="auto"/>
        </w:rPr>
        <w:t xml:space="preserve"> emissions</w:t>
      </w:r>
      <w:r w:rsidRPr="00AF297A">
        <w:rPr>
          <w:rStyle w:val="IntenseEmphasis"/>
          <w:b w:val="0"/>
          <w:bCs w:val="0"/>
          <w:i w:val="0"/>
          <w:iCs w:val="0"/>
          <w:color w:val="auto"/>
        </w:rPr>
        <w:t xml:space="preserve"> and creates a market for </w:t>
      </w:r>
      <w:r w:rsidR="00FB37DB">
        <w:rPr>
          <w:rStyle w:val="IntenseEmphasis"/>
          <w:b w:val="0"/>
          <w:bCs w:val="0"/>
          <w:i w:val="0"/>
          <w:iCs w:val="0"/>
          <w:color w:val="auto"/>
        </w:rPr>
        <w:t>them</w:t>
      </w:r>
      <w:r w:rsidR="00FB37DB" w:rsidRPr="00AF297A">
        <w:rPr>
          <w:rStyle w:val="IntenseEmphasis"/>
          <w:b w:val="0"/>
          <w:bCs w:val="0"/>
          <w:i w:val="0"/>
          <w:iCs w:val="0"/>
          <w:color w:val="auto"/>
        </w:rPr>
        <w:t xml:space="preserve"> </w:t>
      </w:r>
      <w:r w:rsidRPr="00AF297A">
        <w:rPr>
          <w:rStyle w:val="IntenseEmphasis"/>
          <w:b w:val="0"/>
          <w:bCs w:val="0"/>
          <w:i w:val="0"/>
          <w:iCs w:val="0"/>
          <w:color w:val="auto"/>
        </w:rPr>
        <w:t xml:space="preserve">can be found at </w:t>
      </w:r>
      <w:hyperlink r:id="rId26" w:history="1">
        <w:r w:rsidR="00CD59FE" w:rsidRPr="00AF297A">
          <w:rPr>
            <w:rStyle w:val="Hyperlink"/>
          </w:rPr>
          <w:t>www.climatechange.govt.nz</w:t>
        </w:r>
      </w:hyperlink>
      <w:r w:rsidRPr="00AF297A">
        <w:rPr>
          <w:rStyle w:val="IntenseEmphasis"/>
          <w:b w:val="0"/>
          <w:bCs w:val="0"/>
          <w:i w:val="0"/>
          <w:iCs w:val="0"/>
          <w:color w:val="auto"/>
        </w:rPr>
        <w:t xml:space="preserve">. </w:t>
      </w:r>
    </w:p>
    <w:p w:rsidR="00C35F68" w:rsidRDefault="00C35F68" w:rsidP="00415FED">
      <w:pPr>
        <w:pStyle w:val="BodyText"/>
        <w:jc w:val="both"/>
        <w:rPr>
          <w:rStyle w:val="IntenseEmphasis"/>
          <w:bCs w:val="0"/>
          <w:i w:val="0"/>
          <w:iCs w:val="0"/>
          <w:color w:val="auto"/>
          <w:sz w:val="20"/>
          <w:szCs w:val="20"/>
        </w:rPr>
      </w:pPr>
      <w:r w:rsidRPr="00C35F68">
        <w:rPr>
          <w:rStyle w:val="IntenseEmphasis"/>
          <w:bCs w:val="0"/>
          <w:i w:val="0"/>
          <w:iCs w:val="0"/>
          <w:color w:val="auto"/>
          <w:sz w:val="20"/>
          <w:szCs w:val="20"/>
        </w:rPr>
        <w:t xml:space="preserve">Figure 1: </w:t>
      </w:r>
      <w:r w:rsidRPr="00C35F68">
        <w:rPr>
          <w:rStyle w:val="IntenseEmphasis"/>
          <w:bCs w:val="0"/>
          <w:i w:val="0"/>
          <w:iCs w:val="0"/>
          <w:color w:val="auto"/>
          <w:sz w:val="20"/>
          <w:szCs w:val="20"/>
        </w:rPr>
        <w:tab/>
        <w:t xml:space="preserve">The basic concept of the NZ ETS </w:t>
      </w:r>
    </w:p>
    <w:p w:rsidR="00482805" w:rsidRPr="00C35F68" w:rsidRDefault="00191EF0" w:rsidP="00415FED">
      <w:pPr>
        <w:pStyle w:val="BodyText"/>
        <w:jc w:val="both"/>
        <w:rPr>
          <w:rStyle w:val="IntenseEmphasis"/>
          <w:bCs w:val="0"/>
          <w:i w:val="0"/>
          <w:iCs w:val="0"/>
          <w:color w:val="auto"/>
          <w:sz w:val="20"/>
          <w:szCs w:val="20"/>
        </w:rPr>
      </w:pPr>
      <w:r>
        <w:pict w14:anchorId="27F4A21D">
          <v:shape id="_x0000_i1027" type="#_x0000_t75" style="width:419.3pt;height:244.6pt">
            <v:imagedata r:id="rId27" o:title="ETS Discussion Document Figure rvsd"/>
          </v:shape>
        </w:pict>
      </w:r>
    </w:p>
    <w:p w:rsidR="00B17EA9" w:rsidRDefault="00D8361D" w:rsidP="00C83717">
      <w:pPr>
        <w:pStyle w:val="BodyText"/>
        <w:rPr>
          <w:rStyle w:val="IntenseEmphasis"/>
          <w:b w:val="0"/>
          <w:bCs w:val="0"/>
          <w:i w:val="0"/>
          <w:iCs w:val="0"/>
          <w:color w:val="auto"/>
        </w:rPr>
      </w:pPr>
      <w:r w:rsidRPr="00AF297A">
        <w:rPr>
          <w:rStyle w:val="IntenseEmphasis"/>
          <w:b w:val="0"/>
          <w:bCs w:val="0"/>
          <w:i w:val="0"/>
          <w:iCs w:val="0"/>
          <w:color w:val="auto"/>
        </w:rPr>
        <w:t xml:space="preserve">Since the NZ ETS came into </w:t>
      </w:r>
      <w:r w:rsidR="00FB37DB">
        <w:rPr>
          <w:rStyle w:val="IntenseEmphasis"/>
          <w:b w:val="0"/>
          <w:bCs w:val="0"/>
          <w:i w:val="0"/>
          <w:iCs w:val="0"/>
          <w:color w:val="auto"/>
        </w:rPr>
        <w:t>effect</w:t>
      </w:r>
      <w:r w:rsidR="00FB37DB" w:rsidRPr="00AF297A">
        <w:rPr>
          <w:rStyle w:val="IntenseEmphasis"/>
          <w:b w:val="0"/>
          <w:bCs w:val="0"/>
          <w:i w:val="0"/>
          <w:iCs w:val="0"/>
          <w:color w:val="auto"/>
        </w:rPr>
        <w:t xml:space="preserve"> </w:t>
      </w:r>
      <w:r w:rsidRPr="00AF297A">
        <w:rPr>
          <w:rStyle w:val="IntenseEmphasis"/>
          <w:b w:val="0"/>
          <w:bCs w:val="0"/>
          <w:i w:val="0"/>
          <w:iCs w:val="0"/>
          <w:color w:val="auto"/>
        </w:rPr>
        <w:t xml:space="preserve">in 2008, several adjustments have been made to its operation. Through formal reviews undertaken in 2009 and 2011, a transitional phase to moderate the initial impacts of the NZ ETS during the worldwide economic downturn was implemented and then extended. </w:t>
      </w:r>
    </w:p>
    <w:p w:rsidR="00D8361D" w:rsidRPr="00AF297A" w:rsidRDefault="00D8361D" w:rsidP="00C83717">
      <w:pPr>
        <w:pStyle w:val="BodyText"/>
        <w:rPr>
          <w:rStyle w:val="IntenseEmphasis"/>
          <w:b w:val="0"/>
          <w:bCs w:val="0"/>
          <w:i w:val="0"/>
          <w:iCs w:val="0"/>
          <w:color w:val="auto"/>
        </w:rPr>
      </w:pPr>
      <w:r w:rsidRPr="00AF297A">
        <w:rPr>
          <w:rStyle w:val="IntenseEmphasis"/>
          <w:b w:val="0"/>
          <w:bCs w:val="0"/>
          <w:i w:val="0"/>
          <w:iCs w:val="0"/>
          <w:color w:val="auto"/>
        </w:rPr>
        <w:lastRenderedPageBreak/>
        <w:t xml:space="preserve">Due to this transitional phase, measures are in place that: </w:t>
      </w:r>
    </w:p>
    <w:p w:rsidR="00D8361D" w:rsidRPr="00AF297A" w:rsidRDefault="00D8361D" w:rsidP="00C83717">
      <w:pPr>
        <w:pStyle w:val="Bullet"/>
        <w:rPr>
          <w:rStyle w:val="IntenseEmphasis"/>
          <w:b w:val="0"/>
          <w:bCs w:val="0"/>
          <w:i w:val="0"/>
          <w:iCs w:val="0"/>
          <w:color w:val="auto"/>
        </w:rPr>
      </w:pPr>
      <w:r w:rsidRPr="00AF297A">
        <w:rPr>
          <w:rStyle w:val="IntenseEmphasis"/>
          <w:b w:val="0"/>
          <w:bCs w:val="0"/>
          <w:i w:val="0"/>
          <w:iCs w:val="0"/>
          <w:color w:val="auto"/>
        </w:rPr>
        <w:t xml:space="preserve">allow non-forestry participants to surrender only one emission unit for every two tonnes of emissions </w:t>
      </w:r>
    </w:p>
    <w:p w:rsidR="00D8361D" w:rsidRPr="00AF297A" w:rsidRDefault="00D8361D" w:rsidP="00C83717">
      <w:pPr>
        <w:pStyle w:val="Bullet"/>
        <w:rPr>
          <w:rStyle w:val="IntenseEmphasis"/>
          <w:b w:val="0"/>
          <w:bCs w:val="0"/>
          <w:i w:val="0"/>
          <w:iCs w:val="0"/>
          <w:color w:val="auto"/>
        </w:rPr>
      </w:pPr>
      <w:r w:rsidRPr="00AF297A">
        <w:rPr>
          <w:rStyle w:val="IntenseEmphasis"/>
          <w:b w:val="0"/>
          <w:bCs w:val="0"/>
          <w:i w:val="0"/>
          <w:iCs w:val="0"/>
          <w:color w:val="auto"/>
        </w:rPr>
        <w:t>provide participants with the option to buy NZUs from the Government for a fixed price of $25, limiting the potential costs faced by emitters</w:t>
      </w:r>
    </w:p>
    <w:p w:rsidR="00D8361D" w:rsidRPr="00AF297A" w:rsidRDefault="00D8361D" w:rsidP="00C83717">
      <w:pPr>
        <w:pStyle w:val="Bullet"/>
        <w:rPr>
          <w:rStyle w:val="IntenseEmphasis"/>
          <w:b w:val="0"/>
          <w:bCs w:val="0"/>
          <w:i w:val="0"/>
          <w:iCs w:val="0"/>
          <w:color w:val="auto"/>
        </w:rPr>
      </w:pPr>
      <w:r w:rsidRPr="00AF297A">
        <w:rPr>
          <w:rStyle w:val="IntenseEmphasis"/>
          <w:b w:val="0"/>
          <w:bCs w:val="0"/>
          <w:i w:val="0"/>
          <w:iCs w:val="0"/>
          <w:color w:val="auto"/>
        </w:rPr>
        <w:t>indefinitely delay the introduction of surrender obligations for the agriculture sector</w:t>
      </w:r>
    </w:p>
    <w:p w:rsidR="00D8361D" w:rsidRPr="00AF297A" w:rsidRDefault="00D8361D" w:rsidP="00C83717">
      <w:pPr>
        <w:pStyle w:val="Bullet"/>
        <w:rPr>
          <w:rStyle w:val="IntenseEmphasis"/>
          <w:b w:val="0"/>
          <w:bCs w:val="0"/>
          <w:i w:val="0"/>
          <w:iCs w:val="0"/>
          <w:color w:val="auto"/>
        </w:rPr>
      </w:pPr>
      <w:r w:rsidRPr="00AF297A">
        <w:rPr>
          <w:rStyle w:val="IntenseEmphasis"/>
          <w:b w:val="0"/>
          <w:bCs w:val="0"/>
          <w:i w:val="0"/>
          <w:iCs w:val="0"/>
          <w:color w:val="auto"/>
        </w:rPr>
        <w:t>indefinitely delay reductions in the level of free allocation of NZUs to protect the competitiveness of businesses involved in emissions</w:t>
      </w:r>
      <w:r w:rsidR="00FB37DB">
        <w:rPr>
          <w:rStyle w:val="IntenseEmphasis"/>
          <w:b w:val="0"/>
          <w:bCs w:val="0"/>
          <w:i w:val="0"/>
          <w:iCs w:val="0"/>
          <w:color w:val="auto"/>
        </w:rPr>
        <w:t>-</w:t>
      </w:r>
      <w:r w:rsidRPr="00AF297A">
        <w:rPr>
          <w:rStyle w:val="IntenseEmphasis"/>
          <w:b w:val="0"/>
          <w:bCs w:val="0"/>
          <w:i w:val="0"/>
          <w:iCs w:val="0"/>
          <w:color w:val="auto"/>
        </w:rPr>
        <w:t>intensive and trade</w:t>
      </w:r>
      <w:r w:rsidR="00FB37DB">
        <w:rPr>
          <w:rStyle w:val="IntenseEmphasis"/>
          <w:b w:val="0"/>
          <w:bCs w:val="0"/>
          <w:i w:val="0"/>
          <w:iCs w:val="0"/>
          <w:color w:val="auto"/>
        </w:rPr>
        <w:t>-</w:t>
      </w:r>
      <w:r w:rsidRPr="00AF297A">
        <w:rPr>
          <w:rStyle w:val="IntenseEmphasis"/>
          <w:b w:val="0"/>
          <w:bCs w:val="0"/>
          <w:i w:val="0"/>
          <w:iCs w:val="0"/>
          <w:color w:val="auto"/>
        </w:rPr>
        <w:t xml:space="preserve">exposed activities. </w:t>
      </w:r>
    </w:p>
    <w:p w:rsidR="00D8361D" w:rsidRPr="00AF297A" w:rsidRDefault="00D8361D" w:rsidP="00C83717">
      <w:pPr>
        <w:pStyle w:val="BodyText"/>
        <w:rPr>
          <w:rStyle w:val="IntenseEmphasis"/>
          <w:b w:val="0"/>
          <w:bCs w:val="0"/>
          <w:i w:val="0"/>
          <w:iCs w:val="0"/>
          <w:color w:val="auto"/>
        </w:rPr>
      </w:pPr>
      <w:r w:rsidRPr="00AF297A">
        <w:rPr>
          <w:rStyle w:val="IntenseEmphasis"/>
          <w:b w:val="0"/>
          <w:bCs w:val="0"/>
          <w:i w:val="0"/>
          <w:iCs w:val="0"/>
          <w:color w:val="auto"/>
        </w:rPr>
        <w:t xml:space="preserve">More recently, the NZ ETS moved to being a domestic-only scheme in June 2015. This change was announced in 2013, when the Government decided that international units would no longer be accepted for surrender. </w:t>
      </w:r>
    </w:p>
    <w:p w:rsidR="00D8361D" w:rsidRPr="00AF297A" w:rsidRDefault="00982849" w:rsidP="00C83717">
      <w:pPr>
        <w:pStyle w:val="Heading2"/>
        <w:rPr>
          <w:rStyle w:val="IntenseEmphasis"/>
          <w:b/>
          <w:bCs/>
          <w:i w:val="0"/>
          <w:iCs w:val="0"/>
          <w:color w:val="387C2B"/>
        </w:rPr>
      </w:pPr>
      <w:bookmarkStart w:id="4" w:name="_Toc435798377"/>
      <w:r w:rsidRPr="00AF297A">
        <w:rPr>
          <w:rStyle w:val="IntenseEmphasis"/>
          <w:b/>
          <w:bCs/>
          <w:i w:val="0"/>
          <w:iCs w:val="0"/>
          <w:color w:val="387C2B"/>
        </w:rPr>
        <w:t>1.2</w:t>
      </w:r>
      <w:r w:rsidRPr="00AF297A">
        <w:rPr>
          <w:rStyle w:val="IntenseEmphasis"/>
          <w:b/>
          <w:bCs/>
          <w:i w:val="0"/>
          <w:iCs w:val="0"/>
          <w:color w:val="387C2B"/>
        </w:rPr>
        <w:tab/>
      </w:r>
      <w:r w:rsidR="00FB1BA1" w:rsidRPr="00AF297A">
        <w:rPr>
          <w:rStyle w:val="IntenseEmphasis"/>
          <w:b/>
          <w:bCs/>
          <w:i w:val="0"/>
          <w:iCs w:val="0"/>
          <w:color w:val="387C2B"/>
        </w:rPr>
        <w:t>The 2015</w:t>
      </w:r>
      <w:r w:rsidR="006806EA">
        <w:rPr>
          <w:rStyle w:val="IntenseEmphasis"/>
          <w:b/>
          <w:bCs/>
          <w:i w:val="0"/>
          <w:iCs w:val="0"/>
          <w:color w:val="387C2B"/>
        </w:rPr>
        <w:t>/</w:t>
      </w:r>
      <w:r w:rsidR="00D8361D" w:rsidRPr="00AF297A">
        <w:rPr>
          <w:rStyle w:val="IntenseEmphasis"/>
          <w:b/>
          <w:bCs/>
          <w:i w:val="0"/>
          <w:iCs w:val="0"/>
          <w:color w:val="387C2B"/>
        </w:rPr>
        <w:t xml:space="preserve">16 </w:t>
      </w:r>
      <w:r w:rsidR="006806EA">
        <w:rPr>
          <w:rStyle w:val="IntenseEmphasis"/>
          <w:b/>
          <w:bCs/>
          <w:i w:val="0"/>
          <w:iCs w:val="0"/>
          <w:color w:val="387C2B"/>
        </w:rPr>
        <w:t>NZ ETS r</w:t>
      </w:r>
      <w:r w:rsidR="00D8361D" w:rsidRPr="00AF297A">
        <w:rPr>
          <w:rStyle w:val="IntenseEmphasis"/>
          <w:b/>
          <w:bCs/>
          <w:i w:val="0"/>
          <w:iCs w:val="0"/>
          <w:color w:val="387C2B"/>
        </w:rPr>
        <w:t>eview</w:t>
      </w:r>
      <w:bookmarkEnd w:id="4"/>
      <w:r w:rsidR="00D8361D" w:rsidRPr="00AF297A">
        <w:rPr>
          <w:rStyle w:val="IntenseEmphasis"/>
          <w:b/>
          <w:bCs/>
          <w:i w:val="0"/>
          <w:iCs w:val="0"/>
          <w:color w:val="387C2B"/>
        </w:rPr>
        <w:t xml:space="preserve"> </w:t>
      </w:r>
    </w:p>
    <w:p w:rsidR="00D8361D" w:rsidRPr="00AF297A" w:rsidRDefault="00D8361D" w:rsidP="00C83717">
      <w:pPr>
        <w:pStyle w:val="BodyText"/>
        <w:rPr>
          <w:rStyle w:val="IntenseEmphasis"/>
          <w:b w:val="0"/>
          <w:bCs w:val="0"/>
          <w:i w:val="0"/>
          <w:iCs w:val="0"/>
          <w:color w:val="auto"/>
        </w:rPr>
      </w:pPr>
      <w:r w:rsidRPr="00AF297A">
        <w:rPr>
          <w:rStyle w:val="IntenseEmphasis"/>
          <w:b w:val="0"/>
          <w:bCs w:val="0"/>
          <w:i w:val="0"/>
          <w:iCs w:val="0"/>
          <w:color w:val="auto"/>
        </w:rPr>
        <w:t xml:space="preserve">This review of the NZ ETS is being </w:t>
      </w:r>
      <w:r w:rsidR="006806EA">
        <w:rPr>
          <w:rStyle w:val="IntenseEmphasis"/>
          <w:b w:val="0"/>
          <w:bCs w:val="0"/>
          <w:i w:val="0"/>
          <w:iCs w:val="0"/>
          <w:color w:val="auto"/>
        </w:rPr>
        <w:t>carried out</w:t>
      </w:r>
      <w:r w:rsidR="006806EA" w:rsidRPr="00AF297A">
        <w:rPr>
          <w:rStyle w:val="IntenseEmphasis"/>
          <w:b w:val="0"/>
          <w:bCs w:val="0"/>
          <w:i w:val="0"/>
          <w:iCs w:val="0"/>
          <w:color w:val="auto"/>
        </w:rPr>
        <w:t xml:space="preserve"> </w:t>
      </w:r>
      <w:r w:rsidR="006806EA">
        <w:rPr>
          <w:rStyle w:val="IntenseEmphasis"/>
          <w:b w:val="0"/>
          <w:bCs w:val="0"/>
          <w:i w:val="0"/>
          <w:iCs w:val="0"/>
          <w:color w:val="auto"/>
        </w:rPr>
        <w:t>to</w:t>
      </w:r>
      <w:r w:rsidRPr="00AF297A">
        <w:rPr>
          <w:rStyle w:val="IntenseEmphasis"/>
          <w:b w:val="0"/>
          <w:bCs w:val="0"/>
          <w:i w:val="0"/>
          <w:iCs w:val="0"/>
          <w:color w:val="auto"/>
        </w:rPr>
        <w:t xml:space="preserve"> assess the operation and effectiveness of the NZ ETS to 2020 and beyond</w:t>
      </w:r>
      <w:r w:rsidR="006806EA">
        <w:rPr>
          <w:rStyle w:val="IntenseEmphasis"/>
          <w:b w:val="0"/>
          <w:bCs w:val="0"/>
          <w:i w:val="0"/>
          <w:iCs w:val="0"/>
          <w:color w:val="auto"/>
        </w:rPr>
        <w:t>,</w:t>
      </w:r>
      <w:r w:rsidRPr="00AF297A">
        <w:rPr>
          <w:rStyle w:val="IntenseEmphasis"/>
          <w:b w:val="0"/>
          <w:bCs w:val="0"/>
          <w:i w:val="0"/>
          <w:iCs w:val="0"/>
          <w:color w:val="auto"/>
        </w:rPr>
        <w:t xml:space="preserve"> to: </w:t>
      </w:r>
    </w:p>
    <w:p w:rsidR="00FB1BA1" w:rsidRPr="00AF297A" w:rsidRDefault="00FB1BA1" w:rsidP="00C83717">
      <w:pPr>
        <w:pStyle w:val="ListParagraph"/>
        <w:numPr>
          <w:ilvl w:val="0"/>
          <w:numId w:val="12"/>
        </w:numPr>
        <w:spacing w:after="120"/>
        <w:ind w:left="397" w:hanging="397"/>
        <w:rPr>
          <w:rStyle w:val="IntenseEmphasis"/>
          <w:b w:val="0"/>
          <w:bCs w:val="0"/>
          <w:i w:val="0"/>
          <w:iCs w:val="0"/>
          <w:color w:val="auto"/>
        </w:rPr>
      </w:pPr>
      <w:r w:rsidRPr="00AF297A">
        <w:rPr>
          <w:rStyle w:val="IntenseEmphasis"/>
          <w:b w:val="0"/>
          <w:bCs w:val="0"/>
          <w:i w:val="0"/>
          <w:iCs w:val="0"/>
          <w:color w:val="auto"/>
        </w:rPr>
        <w:t>ensure that the NZ ETS helps New Zealand to meet its international obligations cost effectively</w:t>
      </w:r>
    </w:p>
    <w:p w:rsidR="00FB1BA1" w:rsidRPr="00AF297A" w:rsidRDefault="00FB1BA1" w:rsidP="00C83717">
      <w:pPr>
        <w:pStyle w:val="ListParagraph"/>
        <w:numPr>
          <w:ilvl w:val="0"/>
          <w:numId w:val="12"/>
        </w:numPr>
        <w:spacing w:after="120"/>
        <w:ind w:left="397" w:hanging="397"/>
        <w:rPr>
          <w:rStyle w:val="IntenseEmphasis"/>
          <w:b w:val="0"/>
          <w:bCs w:val="0"/>
          <w:i w:val="0"/>
          <w:iCs w:val="0"/>
          <w:color w:val="auto"/>
        </w:rPr>
      </w:pPr>
      <w:r w:rsidRPr="00AF297A">
        <w:rPr>
          <w:rStyle w:val="IntenseEmphasis"/>
          <w:b w:val="0"/>
          <w:bCs w:val="0"/>
          <w:i w:val="0"/>
          <w:iCs w:val="0"/>
          <w:color w:val="auto"/>
        </w:rPr>
        <w:t>ensure the New Zealand economy is well-prepared for a strengthening international response to climate change</w:t>
      </w:r>
      <w:r w:rsidR="006806EA">
        <w:rPr>
          <w:rStyle w:val="IntenseEmphasis"/>
          <w:b w:val="0"/>
          <w:bCs w:val="0"/>
          <w:i w:val="0"/>
          <w:iCs w:val="0"/>
          <w:color w:val="auto"/>
        </w:rPr>
        <w:t>,</w:t>
      </w:r>
      <w:r w:rsidRPr="00AF297A">
        <w:rPr>
          <w:rStyle w:val="IntenseEmphasis"/>
          <w:b w:val="0"/>
          <w:bCs w:val="0"/>
          <w:i w:val="0"/>
          <w:iCs w:val="0"/>
          <w:color w:val="auto"/>
        </w:rPr>
        <w:t xml:space="preserve"> and potentially higher carbon prices</w:t>
      </w:r>
    </w:p>
    <w:p w:rsidR="00FB1BA1" w:rsidRPr="00AF297A" w:rsidRDefault="00FB1BA1" w:rsidP="00C83717">
      <w:pPr>
        <w:pStyle w:val="ListParagraph"/>
        <w:numPr>
          <w:ilvl w:val="0"/>
          <w:numId w:val="12"/>
        </w:numPr>
        <w:spacing w:after="120"/>
        <w:ind w:left="397" w:hanging="397"/>
        <w:rPr>
          <w:rStyle w:val="IntenseEmphasis"/>
          <w:b w:val="0"/>
          <w:bCs w:val="0"/>
          <w:i w:val="0"/>
          <w:iCs w:val="0"/>
          <w:color w:val="auto"/>
        </w:rPr>
      </w:pPr>
      <w:r w:rsidRPr="00AF297A">
        <w:rPr>
          <w:rStyle w:val="IntenseEmphasis"/>
          <w:b w:val="0"/>
          <w:bCs w:val="0"/>
          <w:i w:val="0"/>
          <w:iCs w:val="0"/>
          <w:color w:val="auto"/>
        </w:rPr>
        <w:t xml:space="preserve">allow the NZ ETS to evolve with these changing circumstances, and particularly with respect to the framework provided by the new climate change agreement. </w:t>
      </w:r>
    </w:p>
    <w:p w:rsidR="001C7462" w:rsidRPr="00AF297A" w:rsidRDefault="001C7462" w:rsidP="00C83717">
      <w:pPr>
        <w:pStyle w:val="BodyText"/>
        <w:rPr>
          <w:rStyle w:val="IntenseEmphasis"/>
          <w:b w:val="0"/>
          <w:bCs w:val="0"/>
          <w:i w:val="0"/>
          <w:iCs w:val="0"/>
          <w:color w:val="auto"/>
        </w:rPr>
      </w:pPr>
      <w:r w:rsidRPr="00AF297A">
        <w:rPr>
          <w:rStyle w:val="IntenseEmphasis"/>
          <w:b w:val="0"/>
          <w:bCs w:val="0"/>
          <w:i w:val="0"/>
          <w:iCs w:val="0"/>
          <w:color w:val="auto"/>
        </w:rPr>
        <w:t xml:space="preserve">To </w:t>
      </w:r>
      <w:r w:rsidR="006806EA">
        <w:rPr>
          <w:rStyle w:val="IntenseEmphasis"/>
          <w:b w:val="0"/>
          <w:bCs w:val="0"/>
          <w:i w:val="0"/>
          <w:iCs w:val="0"/>
          <w:color w:val="auto"/>
        </w:rPr>
        <w:t>do</w:t>
      </w:r>
      <w:r w:rsidRPr="00AF297A">
        <w:rPr>
          <w:rStyle w:val="IntenseEmphasis"/>
          <w:b w:val="0"/>
          <w:bCs w:val="0"/>
          <w:i w:val="0"/>
          <w:iCs w:val="0"/>
          <w:color w:val="auto"/>
        </w:rPr>
        <w:t xml:space="preserve"> this, the review will focus on three key areas: </w:t>
      </w:r>
    </w:p>
    <w:p w:rsidR="001C7462" w:rsidRPr="00AF297A" w:rsidRDefault="001C7462" w:rsidP="00C83717">
      <w:pPr>
        <w:pStyle w:val="Bullet"/>
        <w:rPr>
          <w:rStyle w:val="IntenseEmphasis"/>
          <w:b w:val="0"/>
          <w:bCs w:val="0"/>
          <w:i w:val="0"/>
          <w:iCs w:val="0"/>
          <w:color w:val="auto"/>
        </w:rPr>
      </w:pPr>
      <w:r w:rsidRPr="00AF297A">
        <w:rPr>
          <w:rStyle w:val="IntenseEmphasis"/>
          <w:b w:val="0"/>
          <w:bCs w:val="0"/>
          <w:i w:val="0"/>
          <w:iCs w:val="0"/>
          <w:color w:val="auto"/>
        </w:rPr>
        <w:t>the transition measures, with the exception of surrender obligations for biological emissions from agriculture</w:t>
      </w:r>
    </w:p>
    <w:p w:rsidR="001C7462" w:rsidRPr="00AF297A" w:rsidRDefault="001C7462" w:rsidP="00C83717">
      <w:pPr>
        <w:pStyle w:val="Bullet"/>
        <w:rPr>
          <w:rStyle w:val="IntenseEmphasis"/>
          <w:b w:val="0"/>
          <w:bCs w:val="0"/>
          <w:i w:val="0"/>
          <w:iCs w:val="0"/>
          <w:color w:val="auto"/>
        </w:rPr>
      </w:pPr>
      <w:r w:rsidRPr="00AF297A">
        <w:rPr>
          <w:rStyle w:val="IntenseEmphasis"/>
          <w:b w:val="0"/>
          <w:bCs w:val="0"/>
          <w:i w:val="0"/>
          <w:iCs w:val="0"/>
          <w:color w:val="auto"/>
        </w:rPr>
        <w:t>the evolution of the NZ ETS design, taking into account the changing conditions in which it operates</w:t>
      </w:r>
      <w:r w:rsidR="007B5588" w:rsidRPr="00AF297A">
        <w:rPr>
          <w:rStyle w:val="IntenseEmphasis"/>
          <w:b w:val="0"/>
          <w:bCs w:val="0"/>
          <w:i w:val="0"/>
          <w:iCs w:val="0"/>
          <w:color w:val="auto"/>
        </w:rPr>
        <w:t xml:space="preserve"> </w:t>
      </w:r>
    </w:p>
    <w:p w:rsidR="001C7462" w:rsidRPr="00AF297A" w:rsidRDefault="001C7462" w:rsidP="00C83717">
      <w:pPr>
        <w:pStyle w:val="Bullet"/>
        <w:rPr>
          <w:rStyle w:val="IntenseEmphasis"/>
          <w:b w:val="0"/>
          <w:bCs w:val="0"/>
          <w:i w:val="0"/>
          <w:iCs w:val="0"/>
          <w:color w:val="auto"/>
        </w:rPr>
      </w:pPr>
      <w:r w:rsidRPr="00AF297A">
        <w:rPr>
          <w:rStyle w:val="IntenseEmphasis"/>
          <w:b w:val="0"/>
          <w:bCs w:val="0"/>
          <w:i w:val="0"/>
          <w:iCs w:val="0"/>
          <w:color w:val="auto"/>
        </w:rPr>
        <w:t xml:space="preserve">operational and technical improvements. </w:t>
      </w:r>
    </w:p>
    <w:p w:rsidR="001C7462" w:rsidRPr="00AF297A" w:rsidRDefault="001C7462" w:rsidP="00C83717">
      <w:pPr>
        <w:pStyle w:val="BodyText"/>
        <w:spacing w:after="0"/>
        <w:rPr>
          <w:rStyle w:val="IntenseEmphasis"/>
          <w:b w:val="0"/>
          <w:bCs w:val="0"/>
          <w:i w:val="0"/>
          <w:iCs w:val="0"/>
          <w:color w:val="auto"/>
        </w:rPr>
      </w:pPr>
      <w:r w:rsidRPr="00AF297A">
        <w:rPr>
          <w:rStyle w:val="IntenseEmphasis"/>
          <w:b w:val="0"/>
          <w:bCs w:val="0"/>
          <w:i w:val="0"/>
          <w:iCs w:val="0"/>
          <w:color w:val="auto"/>
        </w:rPr>
        <w:t>The review</w:t>
      </w:r>
      <w:r w:rsidR="007B5588" w:rsidRPr="00AF297A">
        <w:rPr>
          <w:rStyle w:val="IntenseEmphasis"/>
          <w:b w:val="0"/>
          <w:bCs w:val="0"/>
          <w:i w:val="0"/>
          <w:iCs w:val="0"/>
          <w:color w:val="auto"/>
        </w:rPr>
        <w:t>’</w:t>
      </w:r>
      <w:r w:rsidRPr="00AF297A">
        <w:rPr>
          <w:rStyle w:val="IntenseEmphasis"/>
          <w:b w:val="0"/>
          <w:bCs w:val="0"/>
          <w:i w:val="0"/>
          <w:iCs w:val="0"/>
          <w:color w:val="auto"/>
        </w:rPr>
        <w:t>s Terms of Reference sets out its scope, timeframes approach to consultation, and factors that will have to be balanced in making any conclusions or recommendations.</w:t>
      </w:r>
      <w:r w:rsidR="007B5588" w:rsidRPr="00AF297A">
        <w:rPr>
          <w:rStyle w:val="IntenseEmphasis"/>
          <w:b w:val="0"/>
          <w:bCs w:val="0"/>
          <w:i w:val="0"/>
          <w:iCs w:val="0"/>
          <w:color w:val="auto"/>
        </w:rPr>
        <w:t xml:space="preserve"> </w:t>
      </w:r>
      <w:r w:rsidRPr="00AF297A">
        <w:rPr>
          <w:rStyle w:val="IntenseEmphasis"/>
          <w:b w:val="0"/>
          <w:bCs w:val="0"/>
          <w:i w:val="0"/>
          <w:iCs w:val="0"/>
          <w:color w:val="auto"/>
        </w:rPr>
        <w:t xml:space="preserve">The Terms of Reference is attached at </w:t>
      </w:r>
      <w:r w:rsidRPr="00730C6D">
        <w:rPr>
          <w:rStyle w:val="IntenseEmphasis"/>
          <w:b w:val="0"/>
          <w:bCs w:val="0"/>
          <w:i w:val="0"/>
          <w:iCs w:val="0"/>
          <w:color w:val="auto"/>
        </w:rPr>
        <w:t xml:space="preserve">Appendix </w:t>
      </w:r>
      <w:r w:rsidR="00730C6D">
        <w:rPr>
          <w:rStyle w:val="IntenseEmphasis"/>
          <w:b w:val="0"/>
          <w:bCs w:val="0"/>
          <w:i w:val="0"/>
          <w:iCs w:val="0"/>
          <w:color w:val="auto"/>
        </w:rPr>
        <w:t>1</w:t>
      </w:r>
      <w:r w:rsidRPr="00730C6D">
        <w:rPr>
          <w:rStyle w:val="IntenseEmphasis"/>
          <w:b w:val="0"/>
          <w:bCs w:val="0"/>
          <w:i w:val="0"/>
          <w:iCs w:val="0"/>
          <w:color w:val="auto"/>
        </w:rPr>
        <w:t>. The review</w:t>
      </w:r>
      <w:r w:rsidRPr="00AF297A">
        <w:rPr>
          <w:rStyle w:val="IntenseEmphasis"/>
          <w:b w:val="0"/>
          <w:bCs w:val="0"/>
          <w:i w:val="0"/>
          <w:iCs w:val="0"/>
          <w:color w:val="auto"/>
        </w:rPr>
        <w:t xml:space="preserve"> will be led by the Ministry for the Environment, supported by other government agencies</w:t>
      </w:r>
      <w:r w:rsidR="002525FE">
        <w:rPr>
          <w:rStyle w:val="IntenseEmphasis"/>
          <w:b w:val="0"/>
          <w:bCs w:val="0"/>
          <w:i w:val="0"/>
          <w:iCs w:val="0"/>
          <w:color w:val="auto"/>
        </w:rPr>
        <w:t>, and</w:t>
      </w:r>
      <w:r w:rsidRPr="00AF297A">
        <w:rPr>
          <w:rStyle w:val="IntenseEmphasis"/>
          <w:b w:val="0"/>
          <w:bCs w:val="0"/>
          <w:i w:val="0"/>
          <w:iCs w:val="0"/>
          <w:color w:val="auto"/>
        </w:rPr>
        <w:t xml:space="preserve"> the results</w:t>
      </w:r>
      <w:r w:rsidR="00726103">
        <w:rPr>
          <w:rStyle w:val="IntenseEmphasis"/>
          <w:b w:val="0"/>
          <w:bCs w:val="0"/>
          <w:i w:val="0"/>
          <w:iCs w:val="0"/>
          <w:color w:val="auto"/>
        </w:rPr>
        <w:t xml:space="preserve"> of the review</w:t>
      </w:r>
      <w:r w:rsidRPr="00AF297A">
        <w:rPr>
          <w:rStyle w:val="IntenseEmphasis"/>
          <w:b w:val="0"/>
          <w:bCs w:val="0"/>
          <w:i w:val="0"/>
          <w:iCs w:val="0"/>
          <w:color w:val="auto"/>
        </w:rPr>
        <w:t xml:space="preserve"> will be incorporated into advice to Ministers on recommended changes to the operation of the NZ ETS.</w:t>
      </w:r>
      <w:r w:rsidR="007B5588" w:rsidRPr="00AF297A">
        <w:rPr>
          <w:rStyle w:val="IntenseEmphasis"/>
          <w:b w:val="0"/>
          <w:bCs w:val="0"/>
          <w:i w:val="0"/>
          <w:iCs w:val="0"/>
          <w:color w:val="auto"/>
        </w:rPr>
        <w:t xml:space="preserve"> </w:t>
      </w:r>
      <w:r w:rsidRPr="00AF297A">
        <w:rPr>
          <w:rStyle w:val="IntenseEmphasis"/>
          <w:b w:val="0"/>
          <w:bCs w:val="0"/>
          <w:i w:val="0"/>
          <w:iCs w:val="0"/>
          <w:color w:val="auto"/>
        </w:rPr>
        <w:t>The Government may also publish a report on the review</w:t>
      </w:r>
      <w:r w:rsidR="007B5588" w:rsidRPr="00AF297A">
        <w:rPr>
          <w:rStyle w:val="IntenseEmphasis"/>
          <w:b w:val="0"/>
          <w:bCs w:val="0"/>
          <w:i w:val="0"/>
          <w:iCs w:val="0"/>
          <w:color w:val="auto"/>
        </w:rPr>
        <w:t>’</w:t>
      </w:r>
      <w:r w:rsidRPr="00AF297A">
        <w:rPr>
          <w:rStyle w:val="IntenseEmphasis"/>
          <w:b w:val="0"/>
          <w:bCs w:val="0"/>
          <w:i w:val="0"/>
          <w:iCs w:val="0"/>
          <w:color w:val="auto"/>
        </w:rPr>
        <w:t>s key findings and the future direction of the NZ ETS.</w:t>
      </w:r>
      <w:r w:rsidR="007B5588" w:rsidRPr="00AF297A">
        <w:rPr>
          <w:rStyle w:val="IntenseEmphasis"/>
          <w:b w:val="0"/>
          <w:bCs w:val="0"/>
          <w:i w:val="0"/>
          <w:iCs w:val="0"/>
          <w:color w:val="auto"/>
        </w:rPr>
        <w:t xml:space="preserve"> </w:t>
      </w:r>
    </w:p>
    <w:p w:rsidR="00AC7E33" w:rsidRPr="007F2DDC" w:rsidRDefault="00AC7E33" w:rsidP="00C83717">
      <w:pPr>
        <w:keepNext/>
        <w:spacing w:before="320"/>
        <w:outlineLvl w:val="2"/>
        <w:rPr>
          <w:b/>
          <w:bCs/>
          <w:color w:val="387C2B"/>
          <w:sz w:val="28"/>
          <w:szCs w:val="28"/>
        </w:rPr>
      </w:pPr>
      <w:r w:rsidRPr="007F2DDC">
        <w:rPr>
          <w:b/>
          <w:bCs/>
          <w:color w:val="387C2B"/>
          <w:sz w:val="28"/>
          <w:szCs w:val="28"/>
        </w:rPr>
        <w:t>Biological emissions from agriculture</w:t>
      </w:r>
    </w:p>
    <w:p w:rsidR="00AC7E33" w:rsidRPr="007F2DDC" w:rsidRDefault="00AC7E33" w:rsidP="00C83717">
      <w:pPr>
        <w:spacing w:before="120" w:after="120"/>
      </w:pPr>
      <w:r w:rsidRPr="007F2DDC">
        <w:t>Biological emissions from agriculture make up almost half of New Zealand’s total emissions</w:t>
      </w:r>
      <w:r w:rsidR="005F756C" w:rsidRPr="007F2DDC">
        <w:t xml:space="preserve">. </w:t>
      </w:r>
      <w:r w:rsidRPr="007F2DDC">
        <w:t xml:space="preserve">The Government considered whether to introduce surrender obligations for the agriculture </w:t>
      </w:r>
      <w:r w:rsidRPr="007F2DDC">
        <w:lastRenderedPageBreak/>
        <w:t>sector as part of the last review of the NZ ETS in 2011, and at that time it indicated that the sector would have surrender obligations in the NZ ETS only if:</w:t>
      </w:r>
    </w:p>
    <w:p w:rsidR="00AC7E33" w:rsidRPr="007F2DDC" w:rsidRDefault="00AC7E33" w:rsidP="00C83717">
      <w:pPr>
        <w:spacing w:after="120"/>
      </w:pPr>
      <w:r w:rsidRPr="007F2DDC">
        <w:t>•</w:t>
      </w:r>
      <w:r w:rsidRPr="007F2DDC">
        <w:tab/>
        <w:t>there are economically viable and practical technologies available to reduce emissions</w:t>
      </w:r>
    </w:p>
    <w:p w:rsidR="00AC7E33" w:rsidRPr="007F2DDC" w:rsidRDefault="00AC7E33" w:rsidP="00C83717">
      <w:pPr>
        <w:spacing w:after="120"/>
      </w:pPr>
      <w:r w:rsidRPr="007F2DDC">
        <w:t>•</w:t>
      </w:r>
      <w:r w:rsidRPr="007F2DDC">
        <w:tab/>
        <w:t>our trading partners make more progress on tackling their emissions in general.</w:t>
      </w:r>
    </w:p>
    <w:p w:rsidR="00AC7E33" w:rsidRPr="007F2DDC" w:rsidRDefault="00AC7E33" w:rsidP="00C83717">
      <w:pPr>
        <w:spacing w:before="120" w:after="120"/>
      </w:pPr>
      <w:r w:rsidRPr="007F2DDC">
        <w:t xml:space="preserve">While there has been some progress towards meeting these conditions, they have not yet been met and therefore the issue is not being considered as part of this review. </w:t>
      </w:r>
    </w:p>
    <w:p w:rsidR="00AC7E33" w:rsidRPr="007F2DDC" w:rsidRDefault="00AC7E33" w:rsidP="00C83717">
      <w:pPr>
        <w:spacing w:before="120" w:after="120"/>
      </w:pPr>
      <w:r w:rsidRPr="007F2DDC">
        <w:t>The Government, however, continues to invest in research and development to identify new options to reduce agricultural emissions. Our key initiatives include:</w:t>
      </w:r>
    </w:p>
    <w:p w:rsidR="005A25C9" w:rsidRPr="007F2DDC" w:rsidRDefault="00AC7E33" w:rsidP="00C83717">
      <w:pPr>
        <w:pStyle w:val="ListParagraph"/>
        <w:numPr>
          <w:ilvl w:val="0"/>
          <w:numId w:val="22"/>
        </w:numPr>
        <w:spacing w:after="120"/>
      </w:pPr>
      <w:r w:rsidRPr="007F2DDC">
        <w:t>establishing the New Zealand Agricultural Greenhouse Gas Research Centre</w:t>
      </w:r>
    </w:p>
    <w:p w:rsidR="005A25C9" w:rsidRPr="007F2DDC" w:rsidRDefault="00AC7E33" w:rsidP="00C83717">
      <w:pPr>
        <w:pStyle w:val="ListParagraph"/>
        <w:numPr>
          <w:ilvl w:val="0"/>
          <w:numId w:val="22"/>
        </w:numPr>
        <w:spacing w:after="120"/>
      </w:pPr>
      <w:r w:rsidRPr="007F2DDC">
        <w:t>leading international efforts to help all countries redu</w:t>
      </w:r>
      <w:r w:rsidR="00540207" w:rsidRPr="007F2DDC">
        <w:t xml:space="preserve">ce their agricultural emissions </w:t>
      </w:r>
      <w:r w:rsidRPr="007F2DDC">
        <w:t xml:space="preserve">through the Global Research Alliance on Agricultural Greenhouse Gases </w:t>
      </w:r>
    </w:p>
    <w:p w:rsidR="00AC7E33" w:rsidRPr="007F2DDC" w:rsidRDefault="00AC7E33" w:rsidP="00C83717">
      <w:pPr>
        <w:pStyle w:val="ListParagraph"/>
        <w:numPr>
          <w:ilvl w:val="0"/>
          <w:numId w:val="22"/>
        </w:numPr>
        <w:spacing w:after="120"/>
      </w:pPr>
      <w:r w:rsidRPr="007F2DDC">
        <w:t>ongoing collaboration with the agricultural sector through the Pastoral Greenhouse Gas Research Consortium</w:t>
      </w:r>
      <w:r w:rsidR="00312ACD" w:rsidRPr="007F2DDC">
        <w:t>.</w:t>
      </w:r>
    </w:p>
    <w:p w:rsidR="00DD735D" w:rsidRPr="007F2DDC" w:rsidRDefault="00DD735D" w:rsidP="00C83717">
      <w:pPr>
        <w:spacing w:after="120"/>
      </w:pPr>
      <w:r w:rsidRPr="007F2DDC">
        <w:t>This investment has identified a number of possible practical solutions including:</w:t>
      </w:r>
    </w:p>
    <w:p w:rsidR="00DD735D" w:rsidRPr="007F2DDC" w:rsidRDefault="00DD735D" w:rsidP="00C83717">
      <w:pPr>
        <w:pStyle w:val="ListParagraph"/>
        <w:numPr>
          <w:ilvl w:val="0"/>
          <w:numId w:val="22"/>
        </w:numPr>
        <w:spacing w:after="120"/>
      </w:pPr>
      <w:r w:rsidRPr="007F2DDC">
        <w:t>identifying sheep and cattle that emit less methane due to their genetic makeup</w:t>
      </w:r>
    </w:p>
    <w:p w:rsidR="009D717F" w:rsidRPr="007F2DDC" w:rsidRDefault="00DD735D" w:rsidP="00C83717">
      <w:pPr>
        <w:pStyle w:val="ListParagraph"/>
        <w:numPr>
          <w:ilvl w:val="0"/>
          <w:numId w:val="22"/>
        </w:numPr>
        <w:spacing w:after="120"/>
      </w:pPr>
      <w:r w:rsidRPr="007F2DDC">
        <w:t>improved feed that results in fewer emissions</w:t>
      </w:r>
    </w:p>
    <w:p w:rsidR="009D717F" w:rsidRPr="007F2DDC" w:rsidRDefault="00AC7E33" w:rsidP="00C83717">
      <w:pPr>
        <w:pStyle w:val="ListParagraph"/>
        <w:numPr>
          <w:ilvl w:val="0"/>
          <w:numId w:val="22"/>
        </w:numPr>
        <w:spacing w:after="120"/>
      </w:pPr>
      <w:r w:rsidRPr="007F2DDC">
        <w:t>a vaccine or inhibitor to reduce methane emissions from animals</w:t>
      </w:r>
    </w:p>
    <w:p w:rsidR="009D717F" w:rsidRPr="007F2DDC" w:rsidRDefault="00AC7E33" w:rsidP="00C83717">
      <w:pPr>
        <w:pStyle w:val="ListParagraph"/>
        <w:numPr>
          <w:ilvl w:val="0"/>
          <w:numId w:val="22"/>
        </w:numPr>
        <w:spacing w:after="120"/>
      </w:pPr>
      <w:r w:rsidRPr="007F2DDC">
        <w:t>better nitrogen management including nitrogen inhibitors</w:t>
      </w:r>
    </w:p>
    <w:p w:rsidR="00AC7E33" w:rsidRPr="007F2DDC" w:rsidRDefault="00AC7E33" w:rsidP="00C83717">
      <w:pPr>
        <w:pStyle w:val="ListParagraph"/>
        <w:numPr>
          <w:ilvl w:val="0"/>
          <w:numId w:val="22"/>
        </w:numPr>
        <w:spacing w:after="120"/>
      </w:pPr>
      <w:r w:rsidRPr="007F2DDC">
        <w:t>increasing the amount of carbon stored in soils.</w:t>
      </w:r>
    </w:p>
    <w:p w:rsidR="00AC7E33" w:rsidRPr="007F2DDC" w:rsidRDefault="00AC7E33" w:rsidP="00C83717">
      <w:pPr>
        <w:spacing w:before="120" w:after="120"/>
      </w:pPr>
      <w:r w:rsidRPr="007F2DDC">
        <w:t>These solutions have potential, but require further research and investigation before they can deliver results on New Zealand farms. For example, while a vaccine to reduce methane emissions is being developed, significant further work is required before it could be ready for market. Scientists estimate that some of these technologies may become commercially available over the next 10 to 20 years. As this occurs, the Government and the sector will need to consider how best to facilitate their adoption, for example through voluntary action, pricing emissions, or through setting standards or regulation.</w:t>
      </w:r>
    </w:p>
    <w:p w:rsidR="001C7462" w:rsidRPr="007F2DDC" w:rsidRDefault="001C7462" w:rsidP="00C83717">
      <w:pPr>
        <w:pStyle w:val="Heading3"/>
        <w:spacing w:before="240"/>
        <w:rPr>
          <w:rStyle w:val="IntenseEmphasis"/>
          <w:b/>
          <w:bCs/>
          <w:i w:val="0"/>
          <w:iCs w:val="0"/>
          <w:color w:val="387C2B"/>
        </w:rPr>
      </w:pPr>
      <w:r w:rsidRPr="007F2DDC">
        <w:rPr>
          <w:rStyle w:val="IntenseEmphasis"/>
          <w:b/>
          <w:bCs/>
          <w:i w:val="0"/>
          <w:iCs w:val="0"/>
          <w:color w:val="387C2B"/>
        </w:rPr>
        <w:t xml:space="preserve">This </w:t>
      </w:r>
      <w:r w:rsidR="002525FE" w:rsidRPr="007F2DDC">
        <w:rPr>
          <w:rStyle w:val="IntenseEmphasis"/>
          <w:b/>
          <w:bCs/>
          <w:i w:val="0"/>
          <w:iCs w:val="0"/>
          <w:color w:val="387C2B"/>
        </w:rPr>
        <w:t>d</w:t>
      </w:r>
      <w:r w:rsidRPr="007F2DDC">
        <w:rPr>
          <w:rStyle w:val="IntenseEmphasis"/>
          <w:b/>
          <w:bCs/>
          <w:i w:val="0"/>
          <w:iCs w:val="0"/>
          <w:color w:val="387C2B"/>
        </w:rPr>
        <w:t xml:space="preserve">iscussion </w:t>
      </w:r>
      <w:r w:rsidR="002525FE" w:rsidRPr="007F2DDC">
        <w:rPr>
          <w:rStyle w:val="IntenseEmphasis"/>
          <w:b/>
          <w:bCs/>
          <w:i w:val="0"/>
          <w:iCs w:val="0"/>
          <w:color w:val="387C2B"/>
        </w:rPr>
        <w:t>d</w:t>
      </w:r>
      <w:r w:rsidRPr="007F2DDC">
        <w:rPr>
          <w:rStyle w:val="IntenseEmphasis"/>
          <w:b/>
          <w:bCs/>
          <w:i w:val="0"/>
          <w:iCs w:val="0"/>
          <w:color w:val="387C2B"/>
        </w:rPr>
        <w:t>ocument</w:t>
      </w:r>
    </w:p>
    <w:p w:rsidR="001C7462" w:rsidRPr="007F2DDC" w:rsidRDefault="001C7462" w:rsidP="00C83717">
      <w:pPr>
        <w:pStyle w:val="BodyText"/>
        <w:rPr>
          <w:rStyle w:val="IntenseEmphasis"/>
          <w:b w:val="0"/>
          <w:bCs w:val="0"/>
          <w:i w:val="0"/>
          <w:iCs w:val="0"/>
          <w:color w:val="auto"/>
        </w:rPr>
      </w:pPr>
      <w:r w:rsidRPr="007F2DDC">
        <w:rPr>
          <w:rStyle w:val="IntenseEmphasis"/>
          <w:b w:val="0"/>
          <w:bCs w:val="0"/>
          <w:i w:val="0"/>
          <w:iCs w:val="0"/>
          <w:color w:val="auto"/>
        </w:rPr>
        <w:t>This discussion document sets out the issues on which the Government wishes to consult with stakeholders as follows:</w:t>
      </w:r>
    </w:p>
    <w:p w:rsidR="001C7462" w:rsidRPr="007F2DDC" w:rsidRDefault="001C7462" w:rsidP="00C83717">
      <w:pPr>
        <w:pStyle w:val="Bullet"/>
        <w:spacing w:after="75"/>
        <w:ind w:left="405" w:hanging="405"/>
        <w:rPr>
          <w:rStyle w:val="IntenseEmphasis"/>
          <w:b w:val="0"/>
          <w:bCs w:val="0"/>
          <w:i w:val="0"/>
          <w:iCs w:val="0"/>
          <w:color w:val="auto"/>
        </w:rPr>
      </w:pPr>
      <w:r w:rsidRPr="007F2DDC">
        <w:rPr>
          <w:rStyle w:val="IntenseEmphasis"/>
          <w:b w:val="0"/>
          <w:bCs w:val="0"/>
          <w:i w:val="0"/>
          <w:iCs w:val="0"/>
          <w:color w:val="auto"/>
        </w:rPr>
        <w:t>Section 1 outlines the NZ ETS and the objective of this review</w:t>
      </w:r>
    </w:p>
    <w:p w:rsidR="001C7462" w:rsidRPr="007F2DDC" w:rsidRDefault="001C7462" w:rsidP="00C83717">
      <w:pPr>
        <w:pStyle w:val="Bullet"/>
        <w:spacing w:after="75"/>
        <w:ind w:left="405" w:hanging="405"/>
        <w:rPr>
          <w:rStyle w:val="IntenseEmphasis"/>
          <w:b w:val="0"/>
          <w:bCs w:val="0"/>
          <w:i w:val="0"/>
          <w:iCs w:val="0"/>
          <w:color w:val="auto"/>
        </w:rPr>
      </w:pPr>
      <w:r w:rsidRPr="007F2DDC">
        <w:rPr>
          <w:rStyle w:val="IntenseEmphasis"/>
          <w:b w:val="0"/>
          <w:bCs w:val="0"/>
          <w:i w:val="0"/>
          <w:iCs w:val="0"/>
          <w:color w:val="auto"/>
        </w:rPr>
        <w:t xml:space="preserve">Section 2 describes the context and drivers for the review </w:t>
      </w:r>
    </w:p>
    <w:p w:rsidR="001C7462" w:rsidRPr="007F2DDC" w:rsidRDefault="001C7462" w:rsidP="00C83717">
      <w:pPr>
        <w:pStyle w:val="Bullet"/>
        <w:spacing w:after="75"/>
        <w:ind w:left="405" w:hanging="405"/>
        <w:rPr>
          <w:rStyle w:val="IntenseEmphasis"/>
          <w:b w:val="0"/>
          <w:bCs w:val="0"/>
          <w:i w:val="0"/>
          <w:iCs w:val="0"/>
          <w:color w:val="auto"/>
        </w:rPr>
      </w:pPr>
      <w:r w:rsidRPr="007F2DDC">
        <w:rPr>
          <w:rStyle w:val="IntenseEmphasis"/>
          <w:b w:val="0"/>
          <w:bCs w:val="0"/>
          <w:i w:val="0"/>
          <w:iCs w:val="0"/>
          <w:color w:val="auto"/>
        </w:rPr>
        <w:t>Section 3 identifies the priority issues for consideration in the short</w:t>
      </w:r>
      <w:r w:rsidR="002525FE" w:rsidRPr="007F2DDC">
        <w:rPr>
          <w:rStyle w:val="IntenseEmphasis"/>
          <w:b w:val="0"/>
          <w:bCs w:val="0"/>
          <w:i w:val="0"/>
          <w:iCs w:val="0"/>
          <w:color w:val="auto"/>
        </w:rPr>
        <w:t xml:space="preserve"> </w:t>
      </w:r>
      <w:r w:rsidRPr="007F2DDC">
        <w:rPr>
          <w:rStyle w:val="IntenseEmphasis"/>
          <w:b w:val="0"/>
          <w:bCs w:val="0"/>
          <w:i w:val="0"/>
          <w:iCs w:val="0"/>
          <w:color w:val="auto"/>
        </w:rPr>
        <w:t xml:space="preserve">term </w:t>
      </w:r>
    </w:p>
    <w:p w:rsidR="001C7462" w:rsidRPr="007F2DDC" w:rsidRDefault="001C7462" w:rsidP="00C83717">
      <w:pPr>
        <w:pStyle w:val="Bullet"/>
        <w:spacing w:after="75"/>
        <w:ind w:left="405" w:hanging="405"/>
        <w:rPr>
          <w:rStyle w:val="IntenseEmphasis"/>
          <w:b w:val="0"/>
          <w:bCs w:val="0"/>
          <w:i w:val="0"/>
          <w:iCs w:val="0"/>
          <w:color w:val="auto"/>
        </w:rPr>
      </w:pPr>
      <w:r w:rsidRPr="007F2DDC">
        <w:rPr>
          <w:rStyle w:val="IntenseEmphasis"/>
          <w:b w:val="0"/>
          <w:bCs w:val="0"/>
          <w:i w:val="0"/>
          <w:iCs w:val="0"/>
          <w:color w:val="auto"/>
        </w:rPr>
        <w:t xml:space="preserve">Section 4 outlines the other issues for consideration over the medium term </w:t>
      </w:r>
    </w:p>
    <w:p w:rsidR="001C7462" w:rsidRPr="007F2DDC" w:rsidRDefault="001C7462" w:rsidP="00C83717">
      <w:pPr>
        <w:pStyle w:val="Bullet"/>
        <w:spacing w:after="75"/>
        <w:ind w:left="405" w:hanging="405"/>
        <w:rPr>
          <w:rStyle w:val="IntenseEmphasis"/>
          <w:b w:val="0"/>
          <w:bCs w:val="0"/>
          <w:i w:val="0"/>
          <w:iCs w:val="0"/>
          <w:color w:val="auto"/>
        </w:rPr>
      </w:pPr>
      <w:r w:rsidRPr="007F2DDC">
        <w:rPr>
          <w:rStyle w:val="IntenseEmphasis"/>
          <w:b w:val="0"/>
          <w:bCs w:val="0"/>
          <w:i w:val="0"/>
          <w:iCs w:val="0"/>
          <w:color w:val="auto"/>
        </w:rPr>
        <w:t>Section 5 provides information on the process for stakeholders to provide their written submissions</w:t>
      </w:r>
    </w:p>
    <w:p w:rsidR="001C7462" w:rsidRPr="007F2DDC" w:rsidRDefault="001C7462" w:rsidP="00C83717">
      <w:pPr>
        <w:pStyle w:val="Bullet"/>
        <w:spacing w:after="75"/>
        <w:ind w:left="405" w:hanging="405"/>
        <w:rPr>
          <w:rStyle w:val="IntenseEmphasis"/>
          <w:b w:val="0"/>
          <w:bCs w:val="0"/>
          <w:i w:val="0"/>
          <w:iCs w:val="0"/>
          <w:color w:val="auto"/>
        </w:rPr>
      </w:pPr>
      <w:r w:rsidRPr="007F2DDC">
        <w:rPr>
          <w:rStyle w:val="IntenseEmphasis"/>
          <w:b w:val="0"/>
          <w:bCs w:val="0"/>
          <w:i w:val="0"/>
          <w:iCs w:val="0"/>
          <w:color w:val="auto"/>
        </w:rPr>
        <w:t>Section 6 summarises the consultation questions</w:t>
      </w:r>
    </w:p>
    <w:p w:rsidR="001C7462" w:rsidRPr="007F2DDC" w:rsidRDefault="001C7462" w:rsidP="00C83717">
      <w:pPr>
        <w:pStyle w:val="Bullet"/>
        <w:spacing w:after="75"/>
        <w:ind w:left="405" w:hanging="405"/>
        <w:rPr>
          <w:rStyle w:val="IntenseEmphasis"/>
          <w:b w:val="0"/>
          <w:bCs w:val="0"/>
          <w:i w:val="0"/>
          <w:iCs w:val="0"/>
          <w:color w:val="auto"/>
        </w:rPr>
      </w:pPr>
      <w:r w:rsidRPr="007F2DDC">
        <w:rPr>
          <w:rStyle w:val="IntenseEmphasis"/>
          <w:b w:val="0"/>
          <w:bCs w:val="0"/>
          <w:i w:val="0"/>
          <w:iCs w:val="0"/>
          <w:color w:val="auto"/>
        </w:rPr>
        <w:lastRenderedPageBreak/>
        <w:t xml:space="preserve">Appendix 1 provides the Terms of Reference for the review, setting out its scope, timeframes and approach to consultation </w:t>
      </w:r>
    </w:p>
    <w:p w:rsidR="001C7462" w:rsidRPr="007F2DDC" w:rsidRDefault="001C7462" w:rsidP="00C83717">
      <w:pPr>
        <w:pStyle w:val="Bullet"/>
        <w:spacing w:after="75"/>
        <w:ind w:left="405" w:hanging="405"/>
        <w:rPr>
          <w:rStyle w:val="IntenseEmphasis"/>
          <w:b w:val="0"/>
          <w:bCs w:val="0"/>
          <w:i w:val="0"/>
          <w:iCs w:val="0"/>
          <w:color w:val="auto"/>
        </w:rPr>
      </w:pPr>
      <w:r w:rsidRPr="007F2DDC">
        <w:rPr>
          <w:rStyle w:val="IntenseEmphasis"/>
          <w:b w:val="0"/>
          <w:bCs w:val="0"/>
          <w:i w:val="0"/>
          <w:iCs w:val="0"/>
          <w:color w:val="auto"/>
        </w:rPr>
        <w:t>Appendix 2 provides further information on the potential impacts of moving to full surrender obligations</w:t>
      </w:r>
      <w:r w:rsidR="002525FE" w:rsidRPr="007F2DDC">
        <w:rPr>
          <w:rStyle w:val="IntenseEmphasis"/>
          <w:b w:val="0"/>
          <w:bCs w:val="0"/>
          <w:i w:val="0"/>
          <w:iCs w:val="0"/>
          <w:color w:val="auto"/>
        </w:rPr>
        <w:t>.</w:t>
      </w:r>
      <w:r w:rsidRPr="007F2DDC">
        <w:rPr>
          <w:rStyle w:val="IntenseEmphasis"/>
          <w:b w:val="0"/>
          <w:bCs w:val="0"/>
          <w:i w:val="0"/>
          <w:iCs w:val="0"/>
          <w:color w:val="auto"/>
        </w:rPr>
        <w:t xml:space="preserve"> </w:t>
      </w:r>
    </w:p>
    <w:p w:rsidR="001C7462" w:rsidRPr="007F2DDC" w:rsidRDefault="001C7462" w:rsidP="00C83717">
      <w:pPr>
        <w:pStyle w:val="Heading3"/>
        <w:rPr>
          <w:rStyle w:val="IntenseEmphasis"/>
          <w:b/>
          <w:bCs/>
          <w:i w:val="0"/>
          <w:iCs w:val="0"/>
          <w:color w:val="387C2B"/>
        </w:rPr>
      </w:pPr>
      <w:r w:rsidRPr="007F2DDC">
        <w:rPr>
          <w:rStyle w:val="IntenseEmphasis"/>
          <w:b/>
          <w:bCs/>
          <w:i w:val="0"/>
          <w:iCs w:val="0"/>
          <w:color w:val="387C2B"/>
        </w:rPr>
        <w:t>Further technical material and other opportunities to provide input</w:t>
      </w:r>
    </w:p>
    <w:p w:rsidR="001C7462" w:rsidRPr="007F2DDC" w:rsidRDefault="001C7462" w:rsidP="00C83717">
      <w:pPr>
        <w:pStyle w:val="BodyText"/>
        <w:rPr>
          <w:rStyle w:val="IntenseEmphasis"/>
          <w:b w:val="0"/>
          <w:bCs w:val="0"/>
          <w:i w:val="0"/>
          <w:iCs w:val="0"/>
          <w:color w:val="auto"/>
        </w:rPr>
      </w:pPr>
      <w:r w:rsidRPr="007F2DDC">
        <w:rPr>
          <w:rStyle w:val="IntenseEmphasis"/>
          <w:b w:val="0"/>
          <w:bCs w:val="0"/>
          <w:i w:val="0"/>
          <w:iCs w:val="0"/>
          <w:color w:val="auto"/>
        </w:rPr>
        <w:t xml:space="preserve">We will also be releasing technical notes on specific matters. These will provide further detail and analysis to help inform your input into the review. At this stage we anticipate that technical notes will cover the following issues, although further issues </w:t>
      </w:r>
      <w:r w:rsidR="002525FE" w:rsidRPr="007F2DDC">
        <w:rPr>
          <w:rStyle w:val="IntenseEmphasis"/>
          <w:b w:val="0"/>
          <w:bCs w:val="0"/>
          <w:i w:val="0"/>
          <w:iCs w:val="0"/>
          <w:color w:val="auto"/>
        </w:rPr>
        <w:t xml:space="preserve">needing </w:t>
      </w:r>
      <w:r w:rsidRPr="007F2DDC">
        <w:rPr>
          <w:rStyle w:val="IntenseEmphasis"/>
          <w:b w:val="0"/>
          <w:bCs w:val="0"/>
          <w:i w:val="0"/>
          <w:iCs w:val="0"/>
          <w:color w:val="auto"/>
        </w:rPr>
        <w:t>technical exploration may be identified as the review progresses:</w:t>
      </w:r>
    </w:p>
    <w:p w:rsidR="001C7462" w:rsidRDefault="002525FE" w:rsidP="00C83717">
      <w:pPr>
        <w:pStyle w:val="Bullet"/>
        <w:rPr>
          <w:rStyle w:val="IntenseEmphasis"/>
          <w:b w:val="0"/>
          <w:bCs w:val="0"/>
          <w:i w:val="0"/>
          <w:iCs w:val="0"/>
          <w:color w:val="auto"/>
        </w:rPr>
      </w:pPr>
      <w:r w:rsidRPr="007F2DDC">
        <w:rPr>
          <w:rStyle w:val="IntenseEmphasis"/>
          <w:b w:val="0"/>
          <w:bCs w:val="0"/>
          <w:i w:val="0"/>
          <w:iCs w:val="0"/>
          <w:color w:val="auto"/>
        </w:rPr>
        <w:t>m</w:t>
      </w:r>
      <w:r w:rsidR="001C7462" w:rsidRPr="007F2DDC">
        <w:rPr>
          <w:rStyle w:val="IntenseEmphasis"/>
          <w:b w:val="0"/>
          <w:bCs w:val="0"/>
          <w:i w:val="0"/>
          <w:iCs w:val="0"/>
          <w:color w:val="auto"/>
        </w:rPr>
        <w:t>odelling the impacts of the priority issues outlined in the document</w:t>
      </w:r>
    </w:p>
    <w:p w:rsidR="00F570F5" w:rsidRPr="00F570F5" w:rsidRDefault="00BC1781" w:rsidP="00F570F5">
      <w:pPr>
        <w:pStyle w:val="Bullet"/>
        <w:rPr>
          <w:rStyle w:val="IntenseEmphasis"/>
          <w:b w:val="0"/>
          <w:bCs w:val="0"/>
          <w:i w:val="0"/>
          <w:iCs w:val="0"/>
          <w:color w:val="auto"/>
        </w:rPr>
      </w:pPr>
      <w:r>
        <w:t>f</w:t>
      </w:r>
      <w:r w:rsidR="00F570F5">
        <w:t>orestry sector matters, including accounting methodologies for post-1989 foresters</w:t>
      </w:r>
    </w:p>
    <w:p w:rsidR="001C7462" w:rsidRPr="007F2DDC" w:rsidRDefault="002525FE" w:rsidP="00C83717">
      <w:pPr>
        <w:pStyle w:val="Bullet"/>
        <w:rPr>
          <w:rStyle w:val="IntenseEmphasis"/>
          <w:b w:val="0"/>
          <w:bCs w:val="0"/>
          <w:i w:val="0"/>
          <w:iCs w:val="0"/>
          <w:color w:val="auto"/>
        </w:rPr>
      </w:pPr>
      <w:r w:rsidRPr="007F2DDC">
        <w:rPr>
          <w:rStyle w:val="IntenseEmphasis"/>
          <w:b w:val="0"/>
          <w:bCs w:val="0"/>
          <w:i w:val="0"/>
          <w:iCs w:val="0"/>
          <w:color w:val="auto"/>
        </w:rPr>
        <w:t>o</w:t>
      </w:r>
      <w:r w:rsidR="001C7462" w:rsidRPr="007F2DDC">
        <w:rPr>
          <w:rStyle w:val="IntenseEmphasis"/>
          <w:b w:val="0"/>
          <w:bCs w:val="0"/>
          <w:i w:val="0"/>
          <w:iCs w:val="0"/>
          <w:color w:val="auto"/>
        </w:rPr>
        <w:t xml:space="preserve">perational and </w:t>
      </w:r>
      <w:r w:rsidR="00BC1781">
        <w:rPr>
          <w:rStyle w:val="IntenseEmphasis"/>
          <w:b w:val="0"/>
          <w:bCs w:val="0"/>
          <w:i w:val="0"/>
          <w:iCs w:val="0"/>
          <w:color w:val="auto"/>
        </w:rPr>
        <w:t xml:space="preserve">other </w:t>
      </w:r>
      <w:r w:rsidR="001C7462" w:rsidRPr="007F2DDC">
        <w:rPr>
          <w:rStyle w:val="IntenseEmphasis"/>
          <w:b w:val="0"/>
          <w:bCs w:val="0"/>
          <w:i w:val="0"/>
          <w:iCs w:val="0"/>
          <w:color w:val="auto"/>
        </w:rPr>
        <w:t>technical matters</w:t>
      </w:r>
      <w:r w:rsidRPr="007F2DDC">
        <w:rPr>
          <w:rStyle w:val="IntenseEmphasis"/>
          <w:b w:val="0"/>
          <w:bCs w:val="0"/>
          <w:i w:val="0"/>
          <w:iCs w:val="0"/>
          <w:color w:val="auto"/>
        </w:rPr>
        <w:t>.</w:t>
      </w:r>
    </w:p>
    <w:p w:rsidR="001C7462" w:rsidRPr="007F2DDC" w:rsidRDefault="00F05DE2" w:rsidP="00C83717">
      <w:pPr>
        <w:pStyle w:val="BodyText"/>
        <w:rPr>
          <w:rStyle w:val="IntenseEmphasis"/>
          <w:b w:val="0"/>
          <w:bCs w:val="0"/>
          <w:i w:val="0"/>
          <w:iCs w:val="0"/>
          <w:color w:val="auto"/>
        </w:rPr>
      </w:pPr>
      <w:r w:rsidRPr="007F2DDC">
        <w:rPr>
          <w:rStyle w:val="IntenseEmphasis"/>
          <w:b w:val="0"/>
          <w:bCs w:val="0"/>
          <w:i w:val="0"/>
          <w:iCs w:val="0"/>
          <w:color w:val="auto"/>
        </w:rPr>
        <w:t>Officials carrying out the review also intend to meet with stakeholders representing a range of interests, such as iwi, the forestry sector, energy users, businesses, and non-govern</w:t>
      </w:r>
      <w:r w:rsidR="005E489B" w:rsidRPr="007F2DDC">
        <w:rPr>
          <w:rStyle w:val="IntenseEmphasis"/>
          <w:b w:val="0"/>
          <w:bCs w:val="0"/>
          <w:i w:val="0"/>
          <w:iCs w:val="0"/>
          <w:color w:val="auto"/>
        </w:rPr>
        <w:t xml:space="preserve">mental organisations </w:t>
      </w:r>
      <w:r w:rsidR="001C7462" w:rsidRPr="007F2DDC">
        <w:rPr>
          <w:rStyle w:val="IntenseEmphasis"/>
          <w:b w:val="0"/>
          <w:bCs w:val="0"/>
          <w:i w:val="0"/>
          <w:iCs w:val="0"/>
          <w:color w:val="auto"/>
        </w:rPr>
        <w:t>(see section</w:t>
      </w:r>
      <w:r w:rsidRPr="007F2DDC">
        <w:rPr>
          <w:rStyle w:val="IntenseEmphasis"/>
          <w:b w:val="0"/>
          <w:bCs w:val="0"/>
          <w:i w:val="0"/>
          <w:iCs w:val="0"/>
          <w:color w:val="auto"/>
        </w:rPr>
        <w:t xml:space="preserve"> </w:t>
      </w:r>
      <w:r w:rsidR="001C7462" w:rsidRPr="007F2DDC">
        <w:rPr>
          <w:rStyle w:val="IntenseEmphasis"/>
          <w:b w:val="0"/>
          <w:bCs w:val="0"/>
          <w:i w:val="0"/>
          <w:iCs w:val="0"/>
          <w:color w:val="auto"/>
        </w:rPr>
        <w:t xml:space="preserve">5 on how to make your submission for further information). </w:t>
      </w:r>
    </w:p>
    <w:p w:rsidR="001C7462" w:rsidRPr="007F2DDC" w:rsidRDefault="001C7462" w:rsidP="00C83717">
      <w:pPr>
        <w:pStyle w:val="Heading3"/>
        <w:spacing w:before="270"/>
        <w:rPr>
          <w:rStyle w:val="IntenseEmphasis"/>
          <w:b/>
          <w:bCs/>
          <w:i w:val="0"/>
          <w:iCs w:val="0"/>
          <w:color w:val="387C2B"/>
        </w:rPr>
      </w:pPr>
      <w:r w:rsidRPr="007F2DDC">
        <w:rPr>
          <w:rStyle w:val="IntenseEmphasis"/>
          <w:b/>
          <w:bCs/>
          <w:i w:val="0"/>
          <w:iCs w:val="0"/>
          <w:color w:val="387C2B"/>
        </w:rPr>
        <w:t>Have your say</w:t>
      </w:r>
    </w:p>
    <w:p w:rsidR="001C7462" w:rsidRPr="007F2DDC" w:rsidRDefault="001C7462" w:rsidP="00C83717">
      <w:pPr>
        <w:pStyle w:val="BodyText"/>
        <w:rPr>
          <w:rStyle w:val="IntenseEmphasis"/>
          <w:b w:val="0"/>
          <w:bCs w:val="0"/>
          <w:i w:val="0"/>
          <w:iCs w:val="0"/>
          <w:color w:val="auto"/>
        </w:rPr>
      </w:pPr>
      <w:r w:rsidRPr="007F2DDC">
        <w:rPr>
          <w:rStyle w:val="IntenseEmphasis"/>
          <w:b w:val="0"/>
          <w:bCs w:val="0"/>
          <w:i w:val="0"/>
          <w:iCs w:val="0"/>
          <w:color w:val="auto"/>
        </w:rPr>
        <w:t>We are seeking written submissions on the questions asked in this document. There are two timeframes for submissions on the issues</w:t>
      </w:r>
      <w:r w:rsidR="002525FE" w:rsidRPr="007F2DDC">
        <w:rPr>
          <w:rStyle w:val="IntenseEmphasis"/>
          <w:b w:val="0"/>
          <w:bCs w:val="0"/>
          <w:i w:val="0"/>
          <w:iCs w:val="0"/>
          <w:color w:val="auto"/>
        </w:rPr>
        <w:t xml:space="preserve"> outlined</w:t>
      </w:r>
      <w:r w:rsidRPr="007F2DDC">
        <w:rPr>
          <w:rStyle w:val="IntenseEmphasis"/>
          <w:b w:val="0"/>
          <w:bCs w:val="0"/>
          <w:i w:val="0"/>
          <w:iCs w:val="0"/>
          <w:color w:val="auto"/>
        </w:rPr>
        <w:t xml:space="preserve"> in this document:</w:t>
      </w:r>
    </w:p>
    <w:p w:rsidR="001C7462" w:rsidRPr="007F2DDC" w:rsidRDefault="00254BAB" w:rsidP="00C83717">
      <w:pPr>
        <w:pStyle w:val="Heading4"/>
        <w:spacing w:before="210"/>
        <w:rPr>
          <w:rStyle w:val="IntenseEmphasis"/>
          <w:b/>
          <w:bCs/>
          <w:i w:val="0"/>
          <w:iCs w:val="0"/>
          <w:color w:val="auto"/>
        </w:rPr>
      </w:pPr>
      <w:r w:rsidRPr="007F2DDC">
        <w:rPr>
          <w:rStyle w:val="IntenseEmphasis"/>
          <w:b/>
          <w:bCs/>
          <w:i w:val="0"/>
          <w:iCs w:val="0"/>
          <w:color w:val="auto"/>
        </w:rPr>
        <w:t>Priority issues –</w:t>
      </w:r>
      <w:r w:rsidR="001C7462" w:rsidRPr="007F2DDC">
        <w:rPr>
          <w:rStyle w:val="IntenseEmphasis"/>
          <w:b/>
          <w:bCs/>
          <w:i w:val="0"/>
          <w:iCs w:val="0"/>
          <w:color w:val="auto"/>
        </w:rPr>
        <w:t xml:space="preserve"> submissions close 1</w:t>
      </w:r>
      <w:r w:rsidR="00AC6399" w:rsidRPr="007F2DDC">
        <w:rPr>
          <w:rStyle w:val="IntenseEmphasis"/>
          <w:b/>
          <w:bCs/>
          <w:i w:val="0"/>
          <w:iCs w:val="0"/>
          <w:color w:val="auto"/>
        </w:rPr>
        <w:t>9</w:t>
      </w:r>
      <w:r w:rsidR="001C7462" w:rsidRPr="007F2DDC">
        <w:rPr>
          <w:rStyle w:val="IntenseEmphasis"/>
          <w:b/>
          <w:bCs/>
          <w:i w:val="0"/>
          <w:iCs w:val="0"/>
          <w:color w:val="auto"/>
        </w:rPr>
        <w:t xml:space="preserve"> February 2016 </w:t>
      </w:r>
    </w:p>
    <w:p w:rsidR="001C7462" w:rsidRPr="007F2DDC" w:rsidRDefault="001C7462" w:rsidP="00C83717">
      <w:pPr>
        <w:pStyle w:val="BodyText"/>
        <w:rPr>
          <w:rStyle w:val="IntenseEmphasis"/>
          <w:b w:val="0"/>
          <w:bCs w:val="0"/>
          <w:i w:val="0"/>
          <w:iCs w:val="0"/>
          <w:color w:val="auto"/>
        </w:rPr>
      </w:pPr>
      <w:r w:rsidRPr="007F2DDC">
        <w:rPr>
          <w:rStyle w:val="IntenseEmphasis"/>
          <w:b w:val="0"/>
          <w:bCs w:val="0"/>
          <w:i w:val="0"/>
          <w:iCs w:val="0"/>
          <w:color w:val="auto"/>
        </w:rPr>
        <w:t xml:space="preserve">There are two linked priority issues </w:t>
      </w:r>
      <w:r w:rsidR="002525FE" w:rsidRPr="007F2DDC">
        <w:rPr>
          <w:rStyle w:val="IntenseEmphasis"/>
          <w:b w:val="0"/>
          <w:bCs w:val="0"/>
          <w:i w:val="0"/>
          <w:iCs w:val="0"/>
          <w:color w:val="auto"/>
        </w:rPr>
        <w:t>to be considered</w:t>
      </w:r>
      <w:r w:rsidRPr="007F2DDC">
        <w:rPr>
          <w:rStyle w:val="IntenseEmphasis"/>
          <w:b w:val="0"/>
          <w:bCs w:val="0"/>
          <w:i w:val="0"/>
          <w:iCs w:val="0"/>
          <w:color w:val="auto"/>
        </w:rPr>
        <w:t>. These are both associated with transitional measures</w:t>
      </w:r>
      <w:r w:rsidR="002525FE" w:rsidRPr="007F2DDC">
        <w:rPr>
          <w:rStyle w:val="IntenseEmphasis"/>
          <w:b w:val="0"/>
          <w:bCs w:val="0"/>
          <w:i w:val="0"/>
          <w:iCs w:val="0"/>
          <w:color w:val="auto"/>
        </w:rPr>
        <w:t>,</w:t>
      </w:r>
      <w:r w:rsidRPr="007F2DDC">
        <w:rPr>
          <w:rStyle w:val="IntenseEmphasis"/>
          <w:b w:val="0"/>
          <w:bCs w:val="0"/>
          <w:i w:val="0"/>
          <w:iCs w:val="0"/>
          <w:color w:val="auto"/>
        </w:rPr>
        <w:t xml:space="preserve"> introduced to moderate NZ ETS costs while the scheme was new and the economy recovered from the global financial crisis. These issues have an earlier deadline</w:t>
      </w:r>
      <w:r w:rsidR="002525FE" w:rsidRPr="007F2DDC">
        <w:rPr>
          <w:rStyle w:val="IntenseEmphasis"/>
          <w:b w:val="0"/>
          <w:bCs w:val="0"/>
          <w:i w:val="0"/>
          <w:iCs w:val="0"/>
          <w:color w:val="auto"/>
        </w:rPr>
        <w:t>,</w:t>
      </w:r>
      <w:r w:rsidRPr="007F2DDC">
        <w:rPr>
          <w:rStyle w:val="IntenseEmphasis"/>
          <w:b w:val="0"/>
          <w:bCs w:val="0"/>
          <w:i w:val="0"/>
          <w:iCs w:val="0"/>
          <w:color w:val="auto"/>
        </w:rPr>
        <w:t xml:space="preserve"> as they may be candidates for legislative change in 2016. </w:t>
      </w:r>
    </w:p>
    <w:p w:rsidR="001C7462" w:rsidRPr="007F2DDC" w:rsidRDefault="002525FE" w:rsidP="00C83717">
      <w:pPr>
        <w:pStyle w:val="Bullet"/>
        <w:rPr>
          <w:rStyle w:val="IntenseEmphasis"/>
          <w:b w:val="0"/>
          <w:bCs w:val="0"/>
          <w:i w:val="0"/>
          <w:iCs w:val="0"/>
          <w:color w:val="auto"/>
        </w:rPr>
      </w:pPr>
      <w:r w:rsidRPr="007F2DDC">
        <w:rPr>
          <w:rStyle w:val="IntenseEmphasis"/>
          <w:b w:val="0"/>
          <w:bCs w:val="0"/>
          <w:i w:val="0"/>
          <w:iCs w:val="0"/>
          <w:color w:val="auto"/>
        </w:rPr>
        <w:t>m</w:t>
      </w:r>
      <w:r w:rsidR="001C7462" w:rsidRPr="007F2DDC">
        <w:rPr>
          <w:rStyle w:val="IntenseEmphasis"/>
          <w:b w:val="0"/>
          <w:bCs w:val="0"/>
          <w:i w:val="0"/>
          <w:iCs w:val="0"/>
          <w:color w:val="auto"/>
        </w:rPr>
        <w:t xml:space="preserve">oving to full surrender obligations </w:t>
      </w:r>
    </w:p>
    <w:p w:rsidR="001C7462" w:rsidRPr="007F2DDC" w:rsidRDefault="002525FE" w:rsidP="00C83717">
      <w:pPr>
        <w:pStyle w:val="Bullet"/>
        <w:rPr>
          <w:rStyle w:val="IntenseEmphasis"/>
          <w:b w:val="0"/>
          <w:bCs w:val="0"/>
          <w:i w:val="0"/>
          <w:iCs w:val="0"/>
          <w:color w:val="auto"/>
        </w:rPr>
      </w:pPr>
      <w:r w:rsidRPr="007F2DDC">
        <w:rPr>
          <w:rStyle w:val="IntenseEmphasis"/>
          <w:b w:val="0"/>
          <w:bCs w:val="0"/>
          <w:i w:val="0"/>
          <w:iCs w:val="0"/>
          <w:color w:val="auto"/>
        </w:rPr>
        <w:t>m</w:t>
      </w:r>
      <w:r w:rsidR="001C7462" w:rsidRPr="007F2DDC">
        <w:rPr>
          <w:rStyle w:val="IntenseEmphasis"/>
          <w:b w:val="0"/>
          <w:bCs w:val="0"/>
          <w:i w:val="0"/>
          <w:iCs w:val="0"/>
          <w:color w:val="auto"/>
        </w:rPr>
        <w:t>anaging the costs of moving to full surrender obligations</w:t>
      </w:r>
      <w:r w:rsidRPr="007F2DDC">
        <w:rPr>
          <w:rStyle w:val="IntenseEmphasis"/>
          <w:b w:val="0"/>
          <w:bCs w:val="0"/>
          <w:i w:val="0"/>
          <w:iCs w:val="0"/>
          <w:color w:val="auto"/>
        </w:rPr>
        <w:t>.</w:t>
      </w:r>
    </w:p>
    <w:p w:rsidR="001C7462" w:rsidRPr="007F2DDC" w:rsidRDefault="00254BAB" w:rsidP="00C83717">
      <w:pPr>
        <w:pStyle w:val="Heading4"/>
        <w:spacing w:before="210"/>
        <w:rPr>
          <w:rStyle w:val="IntenseEmphasis"/>
          <w:b/>
          <w:bCs/>
          <w:i w:val="0"/>
          <w:iCs w:val="0"/>
          <w:color w:val="auto"/>
        </w:rPr>
      </w:pPr>
      <w:r w:rsidRPr="007F2DDC">
        <w:rPr>
          <w:rStyle w:val="IntenseEmphasis"/>
          <w:b/>
          <w:bCs/>
          <w:i w:val="0"/>
          <w:iCs w:val="0"/>
          <w:color w:val="auto"/>
        </w:rPr>
        <w:t>Other matters –</w:t>
      </w:r>
      <w:r w:rsidR="001C7462" w:rsidRPr="007F2DDC">
        <w:rPr>
          <w:rStyle w:val="IntenseEmphasis"/>
          <w:b/>
          <w:bCs/>
          <w:i w:val="0"/>
          <w:iCs w:val="0"/>
          <w:color w:val="auto"/>
        </w:rPr>
        <w:t xml:space="preserve"> submissions close </w:t>
      </w:r>
      <w:r w:rsidR="00EC152F" w:rsidRPr="007F2DDC">
        <w:rPr>
          <w:rStyle w:val="IntenseEmphasis"/>
          <w:b/>
          <w:bCs/>
          <w:i w:val="0"/>
          <w:iCs w:val="0"/>
          <w:color w:val="auto"/>
        </w:rPr>
        <w:t>30</w:t>
      </w:r>
      <w:r w:rsidR="001C7462" w:rsidRPr="007F2DDC">
        <w:rPr>
          <w:rStyle w:val="IntenseEmphasis"/>
          <w:b/>
          <w:bCs/>
          <w:i w:val="0"/>
          <w:iCs w:val="0"/>
          <w:color w:val="auto"/>
        </w:rPr>
        <w:t xml:space="preserve"> </w:t>
      </w:r>
      <w:r w:rsidR="00AC6399" w:rsidRPr="007F2DDC">
        <w:rPr>
          <w:rStyle w:val="IntenseEmphasis"/>
          <w:b/>
          <w:bCs/>
          <w:i w:val="0"/>
          <w:iCs w:val="0"/>
          <w:color w:val="auto"/>
        </w:rPr>
        <w:t>April</w:t>
      </w:r>
      <w:r w:rsidR="001C7462" w:rsidRPr="007F2DDC">
        <w:rPr>
          <w:rStyle w:val="IntenseEmphasis"/>
          <w:b/>
          <w:bCs/>
          <w:i w:val="0"/>
          <w:iCs w:val="0"/>
          <w:color w:val="auto"/>
        </w:rPr>
        <w:t xml:space="preserve"> 2016</w:t>
      </w:r>
      <w:r w:rsidR="007B5588" w:rsidRPr="007F2DDC">
        <w:rPr>
          <w:rStyle w:val="IntenseEmphasis"/>
          <w:b/>
          <w:bCs/>
          <w:i w:val="0"/>
          <w:iCs w:val="0"/>
          <w:color w:val="auto"/>
        </w:rPr>
        <w:t xml:space="preserve"> </w:t>
      </w:r>
    </w:p>
    <w:p w:rsidR="001C7462" w:rsidRPr="00AF297A" w:rsidRDefault="001C7462" w:rsidP="00C83717">
      <w:pPr>
        <w:pStyle w:val="BodyText"/>
        <w:rPr>
          <w:rStyle w:val="IntenseEmphasis"/>
          <w:b w:val="0"/>
          <w:bCs w:val="0"/>
          <w:i w:val="0"/>
          <w:iCs w:val="0"/>
          <w:color w:val="auto"/>
        </w:rPr>
      </w:pPr>
      <w:r w:rsidRPr="007F2DDC">
        <w:rPr>
          <w:rStyle w:val="IntenseEmphasis"/>
          <w:b w:val="0"/>
          <w:bCs w:val="0"/>
          <w:i w:val="0"/>
          <w:iCs w:val="0"/>
          <w:color w:val="auto"/>
        </w:rPr>
        <w:t xml:space="preserve">We have identified a number of other matters on which input from NZ ETS participants, other stakeholders and the public will </w:t>
      </w:r>
      <w:r w:rsidR="002525FE" w:rsidRPr="007F2DDC">
        <w:rPr>
          <w:rStyle w:val="IntenseEmphasis"/>
          <w:b w:val="0"/>
          <w:bCs w:val="0"/>
          <w:i w:val="0"/>
          <w:iCs w:val="0"/>
          <w:color w:val="auto"/>
        </w:rPr>
        <w:t xml:space="preserve">help </w:t>
      </w:r>
      <w:r w:rsidRPr="007F2DDC">
        <w:rPr>
          <w:rStyle w:val="IntenseEmphasis"/>
          <w:b w:val="0"/>
          <w:bCs w:val="0"/>
          <w:i w:val="0"/>
          <w:iCs w:val="0"/>
          <w:color w:val="auto"/>
        </w:rPr>
        <w:t>with consideration of the future direction of the NZ ETS, including:</w:t>
      </w:r>
      <w:r w:rsidRPr="00AF297A">
        <w:rPr>
          <w:rStyle w:val="IntenseEmphasis"/>
          <w:b w:val="0"/>
          <w:bCs w:val="0"/>
          <w:i w:val="0"/>
          <w:iCs w:val="0"/>
          <w:color w:val="auto"/>
        </w:rPr>
        <w:t xml:space="preserve"> </w:t>
      </w:r>
    </w:p>
    <w:p w:rsidR="001C7462" w:rsidRPr="00AF297A" w:rsidRDefault="001C7462" w:rsidP="00C83717">
      <w:pPr>
        <w:pStyle w:val="Bullet"/>
        <w:rPr>
          <w:rStyle w:val="IntenseEmphasis"/>
          <w:b w:val="0"/>
          <w:bCs w:val="0"/>
          <w:i w:val="0"/>
          <w:iCs w:val="0"/>
          <w:color w:val="auto"/>
        </w:rPr>
      </w:pPr>
      <w:r w:rsidRPr="00AF297A">
        <w:rPr>
          <w:rStyle w:val="IntenseEmphasis"/>
          <w:b w:val="0"/>
          <w:bCs w:val="0"/>
          <w:i w:val="0"/>
          <w:iCs w:val="0"/>
          <w:color w:val="auto"/>
        </w:rPr>
        <w:t>business responses to the NZ ETS</w:t>
      </w:r>
    </w:p>
    <w:p w:rsidR="001C7462" w:rsidRPr="00AF297A" w:rsidRDefault="001C7462" w:rsidP="00C83717">
      <w:pPr>
        <w:pStyle w:val="Bullet"/>
        <w:rPr>
          <w:rStyle w:val="IntenseEmphasis"/>
          <w:b w:val="0"/>
          <w:bCs w:val="0"/>
          <w:i w:val="0"/>
          <w:iCs w:val="0"/>
          <w:color w:val="auto"/>
        </w:rPr>
      </w:pPr>
      <w:r w:rsidRPr="00AF297A">
        <w:rPr>
          <w:rStyle w:val="IntenseEmphasis"/>
          <w:b w:val="0"/>
          <w:bCs w:val="0"/>
          <w:i w:val="0"/>
          <w:iCs w:val="0"/>
          <w:color w:val="auto"/>
        </w:rPr>
        <w:t>protecting competitiveness through free allocation</w:t>
      </w:r>
    </w:p>
    <w:p w:rsidR="001C7462" w:rsidRPr="00AF297A" w:rsidRDefault="001C7462" w:rsidP="00C83717">
      <w:pPr>
        <w:pStyle w:val="Bullet"/>
        <w:rPr>
          <w:rStyle w:val="IntenseEmphasis"/>
          <w:b w:val="0"/>
          <w:bCs w:val="0"/>
          <w:i w:val="0"/>
          <w:iCs w:val="0"/>
          <w:color w:val="auto"/>
        </w:rPr>
      </w:pPr>
      <w:r w:rsidRPr="00AF297A">
        <w:rPr>
          <w:rStyle w:val="IntenseEmphasis"/>
          <w:b w:val="0"/>
          <w:bCs w:val="0"/>
          <w:i w:val="0"/>
          <w:iCs w:val="0"/>
          <w:color w:val="auto"/>
        </w:rPr>
        <w:t>managing unit supply, including issues related to forestry, international units and selling NZUs by auction</w:t>
      </w:r>
    </w:p>
    <w:p w:rsidR="001C7462" w:rsidRPr="00AF297A" w:rsidRDefault="001C7462" w:rsidP="00C83717">
      <w:pPr>
        <w:pStyle w:val="Bullet"/>
        <w:rPr>
          <w:rStyle w:val="IntenseEmphasis"/>
          <w:b w:val="0"/>
          <w:bCs w:val="0"/>
          <w:i w:val="0"/>
          <w:iCs w:val="0"/>
          <w:color w:val="auto"/>
        </w:rPr>
      </w:pPr>
      <w:r w:rsidRPr="00AF297A">
        <w:rPr>
          <w:rStyle w:val="IntenseEmphasis"/>
          <w:b w:val="0"/>
          <w:bCs w:val="0"/>
          <w:i w:val="0"/>
          <w:iCs w:val="0"/>
          <w:color w:val="auto"/>
        </w:rPr>
        <w:t>managing price stability</w:t>
      </w:r>
    </w:p>
    <w:p w:rsidR="001C7462" w:rsidRPr="00AF297A" w:rsidRDefault="001C7462" w:rsidP="00C83717">
      <w:pPr>
        <w:pStyle w:val="Bullet"/>
        <w:rPr>
          <w:rStyle w:val="IntenseEmphasis"/>
          <w:b w:val="0"/>
          <w:bCs w:val="0"/>
          <w:i w:val="0"/>
          <w:iCs w:val="0"/>
          <w:color w:val="auto"/>
        </w:rPr>
      </w:pPr>
      <w:r w:rsidRPr="00AF297A">
        <w:rPr>
          <w:rStyle w:val="IntenseEmphasis"/>
          <w:b w:val="0"/>
          <w:bCs w:val="0"/>
          <w:i w:val="0"/>
          <w:iCs w:val="0"/>
          <w:color w:val="auto"/>
        </w:rPr>
        <w:t>operational and technical matters</w:t>
      </w:r>
    </w:p>
    <w:p w:rsidR="001C7462" w:rsidRPr="00AF297A" w:rsidRDefault="006F61A2" w:rsidP="00C83717">
      <w:pPr>
        <w:pStyle w:val="Bullet"/>
        <w:rPr>
          <w:rStyle w:val="IntenseEmphasis"/>
          <w:b w:val="0"/>
          <w:bCs w:val="0"/>
          <w:i w:val="0"/>
          <w:iCs w:val="0"/>
          <w:color w:val="auto"/>
        </w:rPr>
      </w:pPr>
      <w:r>
        <w:rPr>
          <w:rStyle w:val="IntenseEmphasis"/>
          <w:b w:val="0"/>
          <w:bCs w:val="0"/>
          <w:i w:val="0"/>
          <w:iCs w:val="0"/>
          <w:color w:val="auto"/>
        </w:rPr>
        <w:lastRenderedPageBreak/>
        <w:t>addressing barriers to the uptake of low emissions technologies</w:t>
      </w:r>
      <w:r w:rsidR="001C7462" w:rsidRPr="00AF297A">
        <w:rPr>
          <w:rStyle w:val="IntenseEmphasis"/>
          <w:b w:val="0"/>
          <w:bCs w:val="0"/>
          <w:i w:val="0"/>
          <w:iCs w:val="0"/>
          <w:color w:val="auto"/>
        </w:rPr>
        <w:t>.</w:t>
      </w:r>
    </w:p>
    <w:p w:rsidR="001C7462" w:rsidRPr="00AF297A" w:rsidRDefault="001C7462" w:rsidP="00C83717">
      <w:pPr>
        <w:pStyle w:val="BodyText"/>
        <w:rPr>
          <w:rStyle w:val="IntenseEmphasis"/>
          <w:b w:val="0"/>
          <w:bCs w:val="0"/>
          <w:i w:val="0"/>
          <w:iCs w:val="0"/>
          <w:color w:val="auto"/>
        </w:rPr>
      </w:pPr>
      <w:r w:rsidRPr="00AF297A">
        <w:rPr>
          <w:rStyle w:val="IntenseEmphasis"/>
          <w:b w:val="0"/>
          <w:bCs w:val="0"/>
          <w:i w:val="0"/>
          <w:iCs w:val="0"/>
          <w:color w:val="auto"/>
        </w:rPr>
        <w:t xml:space="preserve">These issues require further analysis before potential solutions or approaches can be identified and considered. On some issues, the review may need to take into account developments connected with the new climate change agreement. </w:t>
      </w:r>
    </w:p>
    <w:p w:rsidR="001C7462" w:rsidRPr="00AF297A" w:rsidRDefault="001C7462" w:rsidP="00C83717">
      <w:pPr>
        <w:pStyle w:val="BodyText"/>
        <w:rPr>
          <w:rStyle w:val="IntenseEmphasis"/>
          <w:b w:val="0"/>
          <w:bCs w:val="0"/>
          <w:i w:val="0"/>
          <w:iCs w:val="0"/>
          <w:color w:val="auto"/>
        </w:rPr>
      </w:pPr>
      <w:r w:rsidRPr="00AF297A">
        <w:rPr>
          <w:rStyle w:val="IntenseEmphasis"/>
          <w:b w:val="0"/>
          <w:bCs w:val="0"/>
          <w:i w:val="0"/>
          <w:iCs w:val="0"/>
          <w:color w:val="auto"/>
        </w:rPr>
        <w:t>For all of the issues outlined in this document, your feedback is critical. Where possible, please provide additional comment and/or evidence to support your responses.</w:t>
      </w:r>
    </w:p>
    <w:p w:rsidR="001E7F06" w:rsidRPr="00AF297A" w:rsidRDefault="00254BAB" w:rsidP="00C83717">
      <w:pPr>
        <w:pStyle w:val="Heading1"/>
        <w:rPr>
          <w:rStyle w:val="IntenseEmphasis"/>
          <w:b/>
          <w:bCs/>
          <w:i w:val="0"/>
          <w:iCs w:val="0"/>
          <w:color w:val="005984"/>
        </w:rPr>
      </w:pPr>
      <w:r w:rsidRPr="00AF297A">
        <w:rPr>
          <w:rStyle w:val="IntenseEmphasis"/>
          <w:b/>
          <w:bCs/>
          <w:i w:val="0"/>
          <w:iCs w:val="0"/>
          <w:color w:val="auto"/>
        </w:rPr>
        <w:br w:type="page"/>
      </w:r>
      <w:bookmarkStart w:id="5" w:name="_Toc435798378"/>
      <w:r w:rsidR="001E7F06" w:rsidRPr="00AF297A">
        <w:rPr>
          <w:rStyle w:val="IntenseEmphasis"/>
          <w:b/>
          <w:bCs/>
          <w:i w:val="0"/>
          <w:iCs w:val="0"/>
          <w:color w:val="005984"/>
        </w:rPr>
        <w:lastRenderedPageBreak/>
        <w:t>2</w:t>
      </w:r>
      <w:r w:rsidR="001E7F06" w:rsidRPr="00AF297A">
        <w:rPr>
          <w:rStyle w:val="IntenseEmphasis"/>
          <w:b/>
          <w:bCs/>
          <w:i w:val="0"/>
          <w:iCs w:val="0"/>
          <w:color w:val="005984"/>
        </w:rPr>
        <w:tab/>
        <w:t>Context an</w:t>
      </w:r>
      <w:r w:rsidR="0003570B" w:rsidRPr="00AF297A">
        <w:rPr>
          <w:rStyle w:val="IntenseEmphasis"/>
          <w:b/>
          <w:bCs/>
          <w:i w:val="0"/>
          <w:iCs w:val="0"/>
          <w:color w:val="005984"/>
        </w:rPr>
        <w:t xml:space="preserve">d drivers for the </w:t>
      </w:r>
      <w:r w:rsidR="0061133D">
        <w:rPr>
          <w:rStyle w:val="IntenseEmphasis"/>
          <w:b/>
          <w:bCs/>
          <w:i w:val="0"/>
          <w:iCs w:val="0"/>
          <w:color w:val="005984"/>
        </w:rPr>
        <w:t>r</w:t>
      </w:r>
      <w:r w:rsidR="0003570B" w:rsidRPr="00AF297A">
        <w:rPr>
          <w:rStyle w:val="IntenseEmphasis"/>
          <w:b/>
          <w:bCs/>
          <w:i w:val="0"/>
          <w:iCs w:val="0"/>
          <w:color w:val="005984"/>
        </w:rPr>
        <w:t>eview</w:t>
      </w:r>
      <w:bookmarkEnd w:id="5"/>
    </w:p>
    <w:p w:rsidR="001E7F06" w:rsidRPr="00AF297A" w:rsidRDefault="001E7F06" w:rsidP="00C83717">
      <w:pPr>
        <w:pStyle w:val="BodyText"/>
        <w:rPr>
          <w:rStyle w:val="IntenseEmphasis"/>
          <w:b w:val="0"/>
          <w:bCs w:val="0"/>
          <w:i w:val="0"/>
          <w:iCs w:val="0"/>
          <w:color w:val="auto"/>
        </w:rPr>
      </w:pPr>
      <w:r w:rsidRPr="00AF297A">
        <w:rPr>
          <w:rStyle w:val="IntenseEmphasis"/>
          <w:b w:val="0"/>
          <w:bCs w:val="0"/>
          <w:i w:val="0"/>
          <w:iCs w:val="0"/>
          <w:color w:val="auto"/>
        </w:rPr>
        <w:t xml:space="preserve">The Government sees four key drivers for reviewing the </w:t>
      </w:r>
      <w:r w:rsidR="0061133D" w:rsidRPr="00AF297A">
        <w:rPr>
          <w:rStyle w:val="IntenseEmphasis"/>
          <w:b w:val="0"/>
          <w:bCs w:val="0"/>
          <w:i w:val="0"/>
          <w:iCs w:val="0"/>
          <w:color w:val="auto"/>
        </w:rPr>
        <w:t>New Zealand Emissions Trading Scheme (NZ ETS)</w:t>
      </w:r>
      <w:r w:rsidRPr="00AF297A">
        <w:rPr>
          <w:rStyle w:val="IntenseEmphasis"/>
          <w:b w:val="0"/>
          <w:bCs w:val="0"/>
          <w:i w:val="0"/>
          <w:iCs w:val="0"/>
          <w:color w:val="auto"/>
        </w:rPr>
        <w:t xml:space="preserve">: </w:t>
      </w:r>
    </w:p>
    <w:p w:rsidR="001E7F06" w:rsidRPr="00AF297A" w:rsidRDefault="001E7F06" w:rsidP="00C83717">
      <w:pPr>
        <w:pStyle w:val="Bullet"/>
        <w:rPr>
          <w:rStyle w:val="IntenseEmphasis"/>
          <w:b w:val="0"/>
          <w:bCs w:val="0"/>
          <w:i w:val="0"/>
          <w:iCs w:val="0"/>
          <w:color w:val="auto"/>
        </w:rPr>
      </w:pPr>
      <w:r w:rsidRPr="00AF297A">
        <w:rPr>
          <w:rStyle w:val="IntenseEmphasis"/>
          <w:b w:val="0"/>
          <w:bCs w:val="0"/>
          <w:i w:val="0"/>
          <w:iCs w:val="0"/>
          <w:color w:val="auto"/>
        </w:rPr>
        <w:t>improving performance of the NZ ETS against its objectives</w:t>
      </w:r>
    </w:p>
    <w:p w:rsidR="001E7F06" w:rsidRPr="00AF297A" w:rsidRDefault="001E7F06" w:rsidP="00C83717">
      <w:pPr>
        <w:pStyle w:val="Bullet"/>
        <w:rPr>
          <w:rStyle w:val="IntenseEmphasis"/>
          <w:b w:val="0"/>
          <w:bCs w:val="0"/>
          <w:i w:val="0"/>
          <w:iCs w:val="0"/>
          <w:color w:val="auto"/>
        </w:rPr>
      </w:pPr>
      <w:r w:rsidRPr="00AF297A">
        <w:rPr>
          <w:rStyle w:val="IntenseEmphasis"/>
          <w:b w:val="0"/>
          <w:bCs w:val="0"/>
          <w:i w:val="0"/>
          <w:iCs w:val="0"/>
          <w:color w:val="auto"/>
        </w:rPr>
        <w:t>preparing for a more carbon</w:t>
      </w:r>
      <w:r w:rsidR="00B40EC0">
        <w:rPr>
          <w:rStyle w:val="IntenseEmphasis"/>
          <w:b w:val="0"/>
          <w:bCs w:val="0"/>
          <w:i w:val="0"/>
          <w:iCs w:val="0"/>
          <w:color w:val="auto"/>
        </w:rPr>
        <w:t>-</w:t>
      </w:r>
      <w:r w:rsidRPr="00AF297A">
        <w:rPr>
          <w:rStyle w:val="IntenseEmphasis"/>
          <w:b w:val="0"/>
          <w:bCs w:val="0"/>
          <w:i w:val="0"/>
          <w:iCs w:val="0"/>
          <w:color w:val="auto"/>
        </w:rPr>
        <w:t>constrained future</w:t>
      </w:r>
    </w:p>
    <w:p w:rsidR="001E7F06" w:rsidRPr="00AF297A" w:rsidRDefault="001E7F06" w:rsidP="00C83717">
      <w:pPr>
        <w:pStyle w:val="Bullet"/>
        <w:rPr>
          <w:rStyle w:val="IntenseEmphasis"/>
          <w:b w:val="0"/>
          <w:bCs w:val="0"/>
          <w:i w:val="0"/>
          <w:iCs w:val="0"/>
          <w:color w:val="auto"/>
        </w:rPr>
      </w:pPr>
      <w:r w:rsidRPr="00AF297A">
        <w:rPr>
          <w:rStyle w:val="IntenseEmphasis"/>
          <w:b w:val="0"/>
          <w:bCs w:val="0"/>
          <w:i w:val="0"/>
          <w:iCs w:val="0"/>
          <w:color w:val="auto"/>
        </w:rPr>
        <w:t>increasing certainty about future policy settings</w:t>
      </w:r>
    </w:p>
    <w:p w:rsidR="001E7F06" w:rsidRPr="00AF297A" w:rsidRDefault="001E7F06" w:rsidP="00C83717">
      <w:pPr>
        <w:pStyle w:val="Bullet"/>
        <w:rPr>
          <w:rStyle w:val="IntenseEmphasis"/>
          <w:b w:val="0"/>
          <w:bCs w:val="0"/>
          <w:i w:val="0"/>
          <w:iCs w:val="0"/>
          <w:color w:val="auto"/>
        </w:rPr>
      </w:pPr>
      <w:r w:rsidRPr="00AF297A">
        <w:rPr>
          <w:rStyle w:val="IntenseEmphasis"/>
          <w:b w:val="0"/>
          <w:bCs w:val="0"/>
          <w:i w:val="0"/>
          <w:iCs w:val="0"/>
          <w:color w:val="auto"/>
        </w:rPr>
        <w:t xml:space="preserve">managing banked emissions units. </w:t>
      </w:r>
    </w:p>
    <w:p w:rsidR="001E7F06" w:rsidRPr="00AF297A" w:rsidRDefault="001E7F06" w:rsidP="00C83717">
      <w:pPr>
        <w:pStyle w:val="Heading2"/>
      </w:pPr>
      <w:bookmarkStart w:id="6" w:name="_Toc433883444"/>
      <w:bookmarkStart w:id="7" w:name="_Toc435798379"/>
      <w:r w:rsidRPr="00AF297A">
        <w:t>2.1</w:t>
      </w:r>
      <w:r w:rsidRPr="00AF297A">
        <w:tab/>
      </w:r>
      <w:r w:rsidR="00DF35DB" w:rsidRPr="00AF297A">
        <w:t xml:space="preserve">NZ ETS </w:t>
      </w:r>
      <w:r w:rsidR="00DF35DB">
        <w:t>p</w:t>
      </w:r>
      <w:r w:rsidRPr="00AF297A">
        <w:t>erformance against objectives</w:t>
      </w:r>
      <w:bookmarkEnd w:id="6"/>
      <w:bookmarkEnd w:id="7"/>
    </w:p>
    <w:p w:rsidR="001E7F06" w:rsidRPr="00AF297A" w:rsidRDefault="001E7F06" w:rsidP="00C83717">
      <w:pPr>
        <w:pStyle w:val="BodyText"/>
        <w:rPr>
          <w:rStyle w:val="IntenseEmphasis"/>
          <w:b w:val="0"/>
          <w:bCs w:val="0"/>
          <w:i w:val="0"/>
          <w:iCs w:val="0"/>
          <w:color w:val="auto"/>
        </w:rPr>
      </w:pPr>
      <w:r w:rsidRPr="00AF297A">
        <w:rPr>
          <w:rStyle w:val="IntenseEmphasis"/>
          <w:b w:val="0"/>
          <w:bCs w:val="0"/>
          <w:i w:val="0"/>
          <w:iCs w:val="0"/>
          <w:color w:val="auto"/>
        </w:rPr>
        <w:t xml:space="preserve">The </w:t>
      </w:r>
      <w:r w:rsidR="00F6445E">
        <w:rPr>
          <w:rStyle w:val="IntenseEmphasis"/>
          <w:b w:val="0"/>
          <w:bCs w:val="0"/>
          <w:i w:val="0"/>
          <w:iCs w:val="0"/>
          <w:color w:val="auto"/>
        </w:rPr>
        <w:t xml:space="preserve">statutory </w:t>
      </w:r>
      <w:r w:rsidRPr="00AF297A">
        <w:rPr>
          <w:rStyle w:val="IntenseEmphasis"/>
          <w:b w:val="0"/>
          <w:bCs w:val="0"/>
          <w:i w:val="0"/>
          <w:iCs w:val="0"/>
          <w:color w:val="auto"/>
        </w:rPr>
        <w:t>purpose of the NZ ETS is to support and encourage global efforts to reduce greenhouse gas emissions by:</w:t>
      </w:r>
    </w:p>
    <w:p w:rsidR="001E7F06" w:rsidRPr="00AF297A" w:rsidRDefault="001E7F06" w:rsidP="00C83717">
      <w:pPr>
        <w:pStyle w:val="Bullet"/>
        <w:rPr>
          <w:rStyle w:val="IntenseEmphasis"/>
          <w:b w:val="0"/>
          <w:bCs w:val="0"/>
          <w:i w:val="0"/>
          <w:iCs w:val="0"/>
          <w:color w:val="auto"/>
        </w:rPr>
      </w:pPr>
      <w:r w:rsidRPr="00AF297A">
        <w:rPr>
          <w:rStyle w:val="IntenseEmphasis"/>
          <w:b w:val="0"/>
          <w:bCs w:val="0"/>
          <w:i w:val="0"/>
          <w:iCs w:val="0"/>
          <w:color w:val="auto"/>
        </w:rPr>
        <w:t>assisting New Zealand to meet its international obligations</w:t>
      </w:r>
    </w:p>
    <w:p w:rsidR="001E7F06" w:rsidRPr="00AF297A" w:rsidRDefault="001E7F06" w:rsidP="00C83717">
      <w:pPr>
        <w:pStyle w:val="Bullet"/>
        <w:rPr>
          <w:rStyle w:val="IntenseEmphasis"/>
          <w:b w:val="0"/>
          <w:bCs w:val="0"/>
          <w:i w:val="0"/>
          <w:iCs w:val="0"/>
          <w:color w:val="auto"/>
        </w:rPr>
      </w:pPr>
      <w:r w:rsidRPr="00AF297A">
        <w:rPr>
          <w:rStyle w:val="IntenseEmphasis"/>
          <w:b w:val="0"/>
          <w:bCs w:val="0"/>
          <w:i w:val="0"/>
          <w:iCs w:val="0"/>
          <w:color w:val="auto"/>
        </w:rPr>
        <w:t>reducing New Zealand</w:t>
      </w:r>
      <w:r w:rsidR="007B5588" w:rsidRPr="00AF297A">
        <w:rPr>
          <w:rStyle w:val="IntenseEmphasis"/>
          <w:b w:val="0"/>
          <w:bCs w:val="0"/>
          <w:i w:val="0"/>
          <w:iCs w:val="0"/>
          <w:color w:val="auto"/>
        </w:rPr>
        <w:t>’</w:t>
      </w:r>
      <w:r w:rsidRPr="00AF297A">
        <w:rPr>
          <w:rStyle w:val="IntenseEmphasis"/>
          <w:b w:val="0"/>
          <w:bCs w:val="0"/>
          <w:i w:val="0"/>
          <w:iCs w:val="0"/>
          <w:color w:val="auto"/>
        </w:rPr>
        <w:t>s net emissions below business as usual levels.</w:t>
      </w:r>
    </w:p>
    <w:p w:rsidR="006F61A2" w:rsidRDefault="006F61A2" w:rsidP="00C83717">
      <w:pPr>
        <w:pStyle w:val="BodyText"/>
        <w:rPr>
          <w:rStyle w:val="IntenseEmphasis"/>
          <w:b w:val="0"/>
          <w:bCs w:val="0"/>
          <w:i w:val="0"/>
          <w:iCs w:val="0"/>
          <w:color w:val="auto"/>
        </w:rPr>
      </w:pPr>
      <w:r w:rsidRPr="006F61A2">
        <w:rPr>
          <w:rStyle w:val="IntenseEmphasis"/>
          <w:b w:val="0"/>
          <w:bCs w:val="0"/>
          <w:i w:val="0"/>
          <w:iCs w:val="0"/>
          <w:color w:val="auto"/>
        </w:rPr>
        <w:t>T</w:t>
      </w:r>
      <w:r w:rsidR="00DF35DB">
        <w:rPr>
          <w:rStyle w:val="IntenseEmphasis"/>
          <w:b w:val="0"/>
          <w:bCs w:val="0"/>
          <w:i w:val="0"/>
          <w:iCs w:val="0"/>
          <w:color w:val="auto"/>
        </w:rPr>
        <w:t>o date, t</w:t>
      </w:r>
      <w:r w:rsidRPr="006F61A2">
        <w:rPr>
          <w:rStyle w:val="IntenseEmphasis"/>
          <w:b w:val="0"/>
          <w:bCs w:val="0"/>
          <w:i w:val="0"/>
          <w:iCs w:val="0"/>
          <w:color w:val="auto"/>
        </w:rPr>
        <w:t xml:space="preserve">he NZ ETS has met the first objective. </w:t>
      </w:r>
      <w:r w:rsidR="00DF35DB">
        <w:rPr>
          <w:rStyle w:val="IntenseEmphasis"/>
          <w:b w:val="0"/>
          <w:bCs w:val="0"/>
          <w:i w:val="0"/>
          <w:iCs w:val="0"/>
          <w:color w:val="auto"/>
        </w:rPr>
        <w:t>It has</w:t>
      </w:r>
      <w:r w:rsidRPr="006F61A2">
        <w:rPr>
          <w:rStyle w:val="IntenseEmphasis"/>
          <w:b w:val="0"/>
          <w:bCs w:val="0"/>
          <w:i w:val="0"/>
          <w:iCs w:val="0"/>
          <w:color w:val="auto"/>
        </w:rPr>
        <w:t xml:space="preserve"> successfully </w:t>
      </w:r>
      <w:r w:rsidR="00DF35DB">
        <w:rPr>
          <w:rStyle w:val="IntenseEmphasis"/>
          <w:b w:val="0"/>
          <w:bCs w:val="0"/>
          <w:i w:val="0"/>
          <w:iCs w:val="0"/>
          <w:color w:val="auto"/>
        </w:rPr>
        <w:t>helped</w:t>
      </w:r>
      <w:r w:rsidR="00DF35DB" w:rsidRPr="006F61A2">
        <w:rPr>
          <w:rStyle w:val="IntenseEmphasis"/>
          <w:b w:val="0"/>
          <w:bCs w:val="0"/>
          <w:i w:val="0"/>
          <w:iCs w:val="0"/>
          <w:color w:val="auto"/>
        </w:rPr>
        <w:t xml:space="preserve"> </w:t>
      </w:r>
      <w:r w:rsidRPr="006F61A2">
        <w:rPr>
          <w:rStyle w:val="IntenseEmphasis"/>
          <w:b w:val="0"/>
          <w:bCs w:val="0"/>
          <w:i w:val="0"/>
          <w:iCs w:val="0"/>
          <w:color w:val="auto"/>
        </w:rPr>
        <w:t>New Zealand to meet its first commitment period target under the Kyoto Protocol</w:t>
      </w:r>
      <w:r w:rsidR="00DF35DB">
        <w:rPr>
          <w:rStyle w:val="IntenseEmphasis"/>
          <w:b w:val="0"/>
          <w:bCs w:val="0"/>
          <w:i w:val="0"/>
          <w:iCs w:val="0"/>
          <w:color w:val="auto"/>
        </w:rPr>
        <w:t>,</w:t>
      </w:r>
      <w:r w:rsidRPr="006F61A2">
        <w:rPr>
          <w:rStyle w:val="IntenseEmphasis"/>
          <w:b w:val="0"/>
          <w:bCs w:val="0"/>
          <w:i w:val="0"/>
          <w:iCs w:val="0"/>
          <w:color w:val="auto"/>
        </w:rPr>
        <w:t xml:space="preserve"> and has put us on track to meet our current emission reduction target to 2020. This was achieved at</w:t>
      </w:r>
      <w:r w:rsidR="00DF35DB">
        <w:rPr>
          <w:rStyle w:val="IntenseEmphasis"/>
          <w:b w:val="0"/>
          <w:bCs w:val="0"/>
          <w:i w:val="0"/>
          <w:iCs w:val="0"/>
          <w:color w:val="auto"/>
        </w:rPr>
        <w:t xml:space="preserve"> a</w:t>
      </w:r>
      <w:r w:rsidRPr="006F61A2">
        <w:rPr>
          <w:rStyle w:val="IntenseEmphasis"/>
          <w:b w:val="0"/>
          <w:bCs w:val="0"/>
          <w:i w:val="0"/>
          <w:iCs w:val="0"/>
          <w:color w:val="auto"/>
        </w:rPr>
        <w:t xml:space="preserve"> low cost</w:t>
      </w:r>
      <w:r w:rsidR="00DF35DB">
        <w:rPr>
          <w:rStyle w:val="IntenseEmphasis"/>
          <w:b w:val="0"/>
          <w:bCs w:val="0"/>
          <w:i w:val="0"/>
          <w:iCs w:val="0"/>
          <w:color w:val="auto"/>
        </w:rPr>
        <w:t>,</w:t>
      </w:r>
      <w:r w:rsidRPr="006F61A2">
        <w:rPr>
          <w:rStyle w:val="IntenseEmphasis"/>
          <w:b w:val="0"/>
          <w:bCs w:val="0"/>
          <w:i w:val="0"/>
          <w:iCs w:val="0"/>
          <w:color w:val="auto"/>
        </w:rPr>
        <w:t xml:space="preserve"> in part because many participants purchased international units to meet their obligations. These units have </w:t>
      </w:r>
      <w:r w:rsidR="00DF35DB">
        <w:rPr>
          <w:rStyle w:val="IntenseEmphasis"/>
          <w:b w:val="0"/>
          <w:bCs w:val="0"/>
          <w:i w:val="0"/>
          <w:iCs w:val="0"/>
          <w:color w:val="auto"/>
        </w:rPr>
        <w:t>helped</w:t>
      </w:r>
      <w:r w:rsidR="00DF35DB" w:rsidRPr="006F61A2">
        <w:rPr>
          <w:rStyle w:val="IntenseEmphasis"/>
          <w:b w:val="0"/>
          <w:bCs w:val="0"/>
          <w:i w:val="0"/>
          <w:iCs w:val="0"/>
          <w:color w:val="auto"/>
        </w:rPr>
        <w:t xml:space="preserve"> </w:t>
      </w:r>
      <w:r w:rsidRPr="006F61A2">
        <w:rPr>
          <w:rStyle w:val="IntenseEmphasis"/>
          <w:b w:val="0"/>
          <w:bCs w:val="0"/>
          <w:i w:val="0"/>
          <w:iCs w:val="0"/>
          <w:color w:val="auto"/>
        </w:rPr>
        <w:t xml:space="preserve">the Government to meet our international emission reduction targets. </w:t>
      </w:r>
    </w:p>
    <w:p w:rsidR="001E7F06" w:rsidRPr="00AF297A" w:rsidRDefault="00DF35DB" w:rsidP="00C83717">
      <w:pPr>
        <w:pStyle w:val="BodyText"/>
      </w:pPr>
      <w:r>
        <w:t>T</w:t>
      </w:r>
      <w:r w:rsidR="006F61A2" w:rsidRPr="006F61A2">
        <w:t>he second objective will be</w:t>
      </w:r>
      <w:r w:rsidR="00F653BD">
        <w:t>come</w:t>
      </w:r>
      <w:r w:rsidR="006F61A2" w:rsidRPr="006F61A2">
        <w:t xml:space="preserve"> increasingly important </w:t>
      </w:r>
      <w:r w:rsidR="00F653BD">
        <w:t xml:space="preserve">for </w:t>
      </w:r>
      <w:r w:rsidR="006F61A2" w:rsidRPr="006F61A2">
        <w:t>New Zealand’s transition to a low emissions economy</w:t>
      </w:r>
      <w:r>
        <w:t>. It</w:t>
      </w:r>
      <w:r w:rsidR="006F61A2" w:rsidRPr="006F61A2">
        <w:t xml:space="preserve"> reinforces progress on the first objective</w:t>
      </w:r>
      <w:r w:rsidR="003A2723">
        <w:t>,</w:t>
      </w:r>
      <w:r w:rsidR="006F61A2" w:rsidRPr="006F61A2">
        <w:t xml:space="preserve"> as domestic action will </w:t>
      </w:r>
      <w:r w:rsidR="003A2723">
        <w:t>help</w:t>
      </w:r>
      <w:r w:rsidR="003A2723" w:rsidRPr="006F61A2">
        <w:t xml:space="preserve"> </w:t>
      </w:r>
      <w:r w:rsidR="006F61A2" w:rsidRPr="006F61A2">
        <w:t xml:space="preserve">New Zealand to meet its international obligations. </w:t>
      </w:r>
      <w:r w:rsidR="003A2723">
        <w:t>It is difficult to determine whether</w:t>
      </w:r>
      <w:r w:rsidR="003A2723" w:rsidRPr="006F61A2">
        <w:t xml:space="preserve"> </w:t>
      </w:r>
      <w:r w:rsidR="006F61A2" w:rsidRPr="006F61A2">
        <w:t xml:space="preserve">past emissions reductions </w:t>
      </w:r>
      <w:r w:rsidR="003A2723">
        <w:t xml:space="preserve">were due </w:t>
      </w:r>
      <w:r w:rsidR="006F61A2" w:rsidRPr="006F61A2">
        <w:t>to the NZ ETS</w:t>
      </w:r>
      <w:r w:rsidR="003A2723">
        <w:t xml:space="preserve">, or </w:t>
      </w:r>
      <w:r w:rsidR="006F61A2" w:rsidRPr="006F61A2">
        <w:t xml:space="preserve">to other factors such as the global financial crisis or drought.  What is clear is that the impact of the NZ ETS on New Zealand’s emissions has varied over time as prices have fluctuated. </w:t>
      </w:r>
      <w:r w:rsidR="001E7F06" w:rsidRPr="00AF297A">
        <w:t>While price changes are expected in a trading scheme, they have been greater than many expected.</w:t>
      </w:r>
      <w:r w:rsidR="001E7F06" w:rsidRPr="00AF297A">
        <w:rPr>
          <w:rStyle w:val="FootnoteReference"/>
          <w:rFonts w:ascii="Calibri" w:hAnsi="Calibri"/>
          <w:sz w:val="22"/>
          <w:szCs w:val="22"/>
        </w:rPr>
        <w:footnoteReference w:id="1"/>
      </w:r>
      <w:r w:rsidR="001E7F06" w:rsidRPr="00AF297A">
        <w:t xml:space="preserve"> </w:t>
      </w:r>
    </w:p>
    <w:p w:rsidR="001E7F06" w:rsidRPr="00AF297A" w:rsidRDefault="001E7F06" w:rsidP="00C83717">
      <w:pPr>
        <w:pStyle w:val="BodyText"/>
        <w:rPr>
          <w:rStyle w:val="IntenseEmphasis"/>
          <w:b w:val="0"/>
          <w:bCs w:val="0"/>
          <w:i w:val="0"/>
          <w:iCs w:val="0"/>
          <w:color w:val="auto"/>
        </w:rPr>
      </w:pPr>
      <w:r w:rsidRPr="00AF297A">
        <w:rPr>
          <w:rStyle w:val="IntenseEmphasis"/>
          <w:b w:val="0"/>
          <w:bCs w:val="0"/>
          <w:i w:val="0"/>
          <w:iCs w:val="0"/>
          <w:color w:val="auto"/>
        </w:rPr>
        <w:t>From 2011, the very low price of international units reduced the price incentive for businesses to invest to reduce their emissions in New Zealand. When prices were higher however, the price incentive did impact decision</w:t>
      </w:r>
      <w:r w:rsidR="0061402C">
        <w:rPr>
          <w:rStyle w:val="IntenseEmphasis"/>
          <w:b w:val="0"/>
          <w:bCs w:val="0"/>
          <w:i w:val="0"/>
          <w:iCs w:val="0"/>
          <w:color w:val="auto"/>
        </w:rPr>
        <w:t>-</w:t>
      </w:r>
      <w:r w:rsidRPr="00AF297A">
        <w:rPr>
          <w:rStyle w:val="IntenseEmphasis"/>
          <w:b w:val="0"/>
          <w:bCs w:val="0"/>
          <w:i w:val="0"/>
          <w:iCs w:val="0"/>
          <w:color w:val="auto"/>
        </w:rPr>
        <w:t>making. In the forestry sector, decisions on deforestation</w:t>
      </w:r>
      <w:r w:rsidR="00B86FDE">
        <w:rPr>
          <w:rStyle w:val="IntenseEmphasis"/>
          <w:b w:val="0"/>
          <w:bCs w:val="0"/>
          <w:i w:val="0"/>
          <w:iCs w:val="0"/>
          <w:color w:val="auto"/>
        </w:rPr>
        <w:t>,</w:t>
      </w:r>
      <w:r w:rsidRPr="00AF297A">
        <w:rPr>
          <w:rStyle w:val="IntenseEmphasis"/>
          <w:b w:val="0"/>
          <w:bCs w:val="0"/>
          <w:i w:val="0"/>
          <w:iCs w:val="0"/>
          <w:color w:val="auto"/>
        </w:rPr>
        <w:t xml:space="preserve"> and to a lesser extent new planting, have corresponded </w:t>
      </w:r>
      <w:r w:rsidR="0061402C">
        <w:rPr>
          <w:rStyle w:val="IntenseEmphasis"/>
          <w:b w:val="0"/>
          <w:bCs w:val="0"/>
          <w:i w:val="0"/>
          <w:iCs w:val="0"/>
          <w:color w:val="auto"/>
        </w:rPr>
        <w:t>to</w:t>
      </w:r>
      <w:r w:rsidR="0061402C" w:rsidRPr="00AF297A">
        <w:rPr>
          <w:rStyle w:val="IntenseEmphasis"/>
          <w:b w:val="0"/>
          <w:bCs w:val="0"/>
          <w:i w:val="0"/>
          <w:iCs w:val="0"/>
          <w:color w:val="auto"/>
        </w:rPr>
        <w:t xml:space="preserve"> </w:t>
      </w:r>
      <w:r w:rsidRPr="00AF297A">
        <w:rPr>
          <w:rStyle w:val="IntenseEmphasis"/>
          <w:b w:val="0"/>
          <w:bCs w:val="0"/>
          <w:i w:val="0"/>
          <w:iCs w:val="0"/>
          <w:color w:val="auto"/>
        </w:rPr>
        <w:t>price</w:t>
      </w:r>
      <w:r w:rsidR="0061402C">
        <w:rPr>
          <w:rStyle w:val="IntenseEmphasis"/>
          <w:b w:val="0"/>
          <w:bCs w:val="0"/>
          <w:i w:val="0"/>
          <w:iCs w:val="0"/>
          <w:color w:val="auto"/>
        </w:rPr>
        <w:t xml:space="preserve"> fluctuations</w:t>
      </w:r>
      <w:r w:rsidRPr="00AF297A">
        <w:rPr>
          <w:rStyle w:val="IntenseEmphasis"/>
          <w:b w:val="0"/>
          <w:bCs w:val="0"/>
          <w:i w:val="0"/>
          <w:iCs w:val="0"/>
          <w:color w:val="auto"/>
        </w:rPr>
        <w:t>.</w:t>
      </w:r>
      <w:r w:rsidR="007B5588" w:rsidRPr="00AF297A">
        <w:rPr>
          <w:rStyle w:val="IntenseEmphasis"/>
          <w:b w:val="0"/>
          <w:bCs w:val="0"/>
          <w:i w:val="0"/>
          <w:iCs w:val="0"/>
          <w:color w:val="auto"/>
        </w:rPr>
        <w:t xml:space="preserve"> </w:t>
      </w:r>
      <w:r w:rsidR="00355BC4">
        <w:rPr>
          <w:rStyle w:val="IntenseEmphasis"/>
          <w:b w:val="0"/>
          <w:bCs w:val="0"/>
          <w:i w:val="0"/>
          <w:iCs w:val="0"/>
          <w:color w:val="auto"/>
        </w:rPr>
        <w:t>Some p</w:t>
      </w:r>
      <w:r w:rsidR="00B86FDE" w:rsidRPr="00B86FDE">
        <w:rPr>
          <w:rStyle w:val="IntenseEmphasis"/>
          <w:b w:val="0"/>
          <w:bCs w:val="0"/>
          <w:i w:val="0"/>
          <w:iCs w:val="0"/>
          <w:color w:val="auto"/>
        </w:rPr>
        <w:t>articipants ha</w:t>
      </w:r>
      <w:r w:rsidR="0061402C">
        <w:rPr>
          <w:rStyle w:val="IntenseEmphasis"/>
          <w:b w:val="0"/>
          <w:bCs w:val="0"/>
          <w:i w:val="0"/>
          <w:iCs w:val="0"/>
          <w:color w:val="auto"/>
        </w:rPr>
        <w:t>ve recently indicated</w:t>
      </w:r>
      <w:r w:rsidR="00B86FDE" w:rsidRPr="00B86FDE">
        <w:rPr>
          <w:rStyle w:val="IntenseEmphasis"/>
          <w:b w:val="0"/>
          <w:bCs w:val="0"/>
          <w:i w:val="0"/>
          <w:iCs w:val="0"/>
          <w:color w:val="auto"/>
        </w:rPr>
        <w:t xml:space="preserve"> that the NZ ETS is not affecting </w:t>
      </w:r>
      <w:r w:rsidR="00355BC4">
        <w:rPr>
          <w:rStyle w:val="IntenseEmphasis"/>
          <w:b w:val="0"/>
          <w:bCs w:val="0"/>
          <w:i w:val="0"/>
          <w:iCs w:val="0"/>
          <w:color w:val="auto"/>
        </w:rPr>
        <w:t xml:space="preserve">their </w:t>
      </w:r>
      <w:r w:rsidR="00B86FDE" w:rsidRPr="00B86FDE">
        <w:rPr>
          <w:rStyle w:val="IntenseEmphasis"/>
          <w:b w:val="0"/>
          <w:bCs w:val="0"/>
          <w:i w:val="0"/>
          <w:iCs w:val="0"/>
          <w:color w:val="auto"/>
        </w:rPr>
        <w:t>investment decisions, due to current low carbon prices and the effect of the transitional measures. In some cases, these firms could be relying on continued protection from full NZ ETS emissions obligations in the medium-to-long term.</w:t>
      </w:r>
      <w:r w:rsidR="00CE3474">
        <w:rPr>
          <w:rStyle w:val="IntenseEmphasis"/>
          <w:b w:val="0"/>
          <w:bCs w:val="0"/>
          <w:i w:val="0"/>
          <w:iCs w:val="0"/>
          <w:color w:val="auto"/>
        </w:rPr>
        <w:t xml:space="preserve"> </w:t>
      </w:r>
      <w:r w:rsidR="0061402C">
        <w:rPr>
          <w:rStyle w:val="IntenseEmphasis"/>
          <w:b w:val="0"/>
          <w:bCs w:val="0"/>
          <w:i w:val="0"/>
          <w:iCs w:val="0"/>
          <w:color w:val="auto"/>
        </w:rPr>
        <w:t xml:space="preserve"> P</w:t>
      </w:r>
      <w:r w:rsidRPr="00AF297A">
        <w:rPr>
          <w:rStyle w:val="IntenseEmphasis"/>
          <w:b w:val="0"/>
          <w:bCs w:val="0"/>
          <w:i w:val="0"/>
          <w:iCs w:val="0"/>
          <w:color w:val="auto"/>
        </w:rPr>
        <w:t>rojections indicate that New Zealand</w:t>
      </w:r>
      <w:r w:rsidR="007B5588" w:rsidRPr="00AF297A">
        <w:rPr>
          <w:rStyle w:val="IntenseEmphasis"/>
          <w:b w:val="0"/>
          <w:bCs w:val="0"/>
          <w:i w:val="0"/>
          <w:iCs w:val="0"/>
          <w:color w:val="auto"/>
        </w:rPr>
        <w:t>’</w:t>
      </w:r>
      <w:r w:rsidRPr="00AF297A">
        <w:rPr>
          <w:rStyle w:val="IntenseEmphasis"/>
          <w:b w:val="0"/>
          <w:bCs w:val="0"/>
          <w:i w:val="0"/>
          <w:iCs w:val="0"/>
          <w:color w:val="auto"/>
        </w:rPr>
        <w:t>s current policy measures, of which the NZ ETS is the main instrument, will have little impact on gross emissions in the future if current settings continue.</w:t>
      </w:r>
    </w:p>
    <w:p w:rsidR="00844476" w:rsidRPr="00AF297A" w:rsidRDefault="00844476" w:rsidP="00C83717">
      <w:pPr>
        <w:pStyle w:val="Heading2"/>
        <w:rPr>
          <w:rStyle w:val="IntenseEmphasis"/>
          <w:b/>
          <w:bCs/>
          <w:i w:val="0"/>
          <w:iCs w:val="0"/>
          <w:color w:val="387C2B"/>
        </w:rPr>
      </w:pPr>
      <w:bookmarkStart w:id="8" w:name="_Toc435798380"/>
      <w:r w:rsidRPr="00AF297A">
        <w:rPr>
          <w:rStyle w:val="IntenseEmphasis"/>
          <w:b/>
          <w:bCs/>
          <w:i w:val="0"/>
          <w:iCs w:val="0"/>
          <w:color w:val="387C2B"/>
        </w:rPr>
        <w:lastRenderedPageBreak/>
        <w:t>2.2</w:t>
      </w:r>
      <w:r w:rsidRPr="00AF297A">
        <w:rPr>
          <w:rStyle w:val="IntenseEmphasis"/>
          <w:b/>
          <w:bCs/>
          <w:i w:val="0"/>
          <w:iCs w:val="0"/>
          <w:color w:val="387C2B"/>
        </w:rPr>
        <w:tab/>
        <w:t>Preparing for a more carbon</w:t>
      </w:r>
      <w:r w:rsidR="0061402C">
        <w:rPr>
          <w:rStyle w:val="IntenseEmphasis"/>
          <w:b/>
          <w:bCs/>
          <w:i w:val="0"/>
          <w:iCs w:val="0"/>
          <w:color w:val="387C2B"/>
        </w:rPr>
        <w:t>-</w:t>
      </w:r>
      <w:r w:rsidRPr="00AF297A">
        <w:rPr>
          <w:rStyle w:val="IntenseEmphasis"/>
          <w:b/>
          <w:bCs/>
          <w:i w:val="0"/>
          <w:iCs w:val="0"/>
          <w:color w:val="387C2B"/>
        </w:rPr>
        <w:t>constrained future</w:t>
      </w:r>
      <w:bookmarkEnd w:id="8"/>
    </w:p>
    <w:p w:rsidR="00844476" w:rsidRPr="00AF297A" w:rsidRDefault="00844476" w:rsidP="00C83717">
      <w:pPr>
        <w:pStyle w:val="BodyText"/>
        <w:rPr>
          <w:rStyle w:val="IntenseEmphasis"/>
          <w:b w:val="0"/>
          <w:bCs w:val="0"/>
          <w:i w:val="0"/>
          <w:iCs w:val="0"/>
          <w:color w:val="auto"/>
        </w:rPr>
      </w:pPr>
      <w:r w:rsidRPr="00AF297A">
        <w:rPr>
          <w:rStyle w:val="IntenseEmphasis"/>
          <w:b w:val="0"/>
          <w:bCs w:val="0"/>
          <w:i w:val="0"/>
          <w:iCs w:val="0"/>
          <w:color w:val="auto"/>
        </w:rPr>
        <w:t xml:space="preserve">The Government considers the NZ ETS should help firms prepare for the future by </w:t>
      </w:r>
      <w:r w:rsidR="005319EC">
        <w:rPr>
          <w:rStyle w:val="IntenseEmphasis"/>
          <w:b w:val="0"/>
          <w:bCs w:val="0"/>
          <w:i w:val="0"/>
          <w:iCs w:val="0"/>
          <w:color w:val="auto"/>
        </w:rPr>
        <w:t xml:space="preserve">encouraging </w:t>
      </w:r>
      <w:r w:rsidRPr="00AF297A">
        <w:rPr>
          <w:rStyle w:val="IntenseEmphasis"/>
          <w:b w:val="0"/>
          <w:bCs w:val="0"/>
          <w:i w:val="0"/>
          <w:iCs w:val="0"/>
          <w:color w:val="auto"/>
        </w:rPr>
        <w:t>long</w:t>
      </w:r>
      <w:r w:rsidR="00772273">
        <w:rPr>
          <w:rStyle w:val="IntenseEmphasis"/>
          <w:b w:val="0"/>
          <w:bCs w:val="0"/>
          <w:i w:val="0"/>
          <w:iCs w:val="0"/>
          <w:color w:val="auto"/>
        </w:rPr>
        <w:t>-</w:t>
      </w:r>
      <w:r w:rsidRPr="00AF297A">
        <w:rPr>
          <w:rStyle w:val="IntenseEmphasis"/>
          <w:b w:val="0"/>
          <w:bCs w:val="0"/>
          <w:i w:val="0"/>
          <w:iCs w:val="0"/>
          <w:color w:val="auto"/>
        </w:rPr>
        <w:t xml:space="preserve">term plans that take into account full responsibility for emissions and potentially higher future carbon prices. </w:t>
      </w:r>
    </w:p>
    <w:p w:rsidR="00844476" w:rsidRPr="00AF297A" w:rsidRDefault="00844476" w:rsidP="00C83717">
      <w:pPr>
        <w:pStyle w:val="BodyText"/>
        <w:rPr>
          <w:rStyle w:val="IntenseEmphasis"/>
          <w:b w:val="0"/>
          <w:bCs w:val="0"/>
          <w:i w:val="0"/>
          <w:iCs w:val="0"/>
          <w:color w:val="auto"/>
        </w:rPr>
      </w:pPr>
      <w:r w:rsidRPr="00AF297A">
        <w:rPr>
          <w:rStyle w:val="IntenseEmphasis"/>
          <w:b w:val="0"/>
          <w:bCs w:val="0"/>
          <w:i w:val="0"/>
          <w:iCs w:val="0"/>
          <w:color w:val="auto"/>
        </w:rPr>
        <w:t>New Zealand</w:t>
      </w:r>
      <w:r w:rsidR="007B5588" w:rsidRPr="00AF297A">
        <w:rPr>
          <w:rStyle w:val="IntenseEmphasis"/>
          <w:b w:val="0"/>
          <w:bCs w:val="0"/>
          <w:i w:val="0"/>
          <w:iCs w:val="0"/>
          <w:color w:val="auto"/>
        </w:rPr>
        <w:t>’</w:t>
      </w:r>
      <w:r w:rsidRPr="00AF297A">
        <w:rPr>
          <w:rStyle w:val="IntenseEmphasis"/>
          <w:b w:val="0"/>
          <w:bCs w:val="0"/>
          <w:i w:val="0"/>
          <w:iCs w:val="0"/>
          <w:color w:val="auto"/>
        </w:rPr>
        <w:t xml:space="preserve">s new 2030 target is more ambitious than previous obligations. There will be costs achieving it, and as far as possible, these costs should fall on those responsible for the emissions rather than the general taxpayer. A key role of the NZ ETS is to transfer these costs to emitters. </w:t>
      </w:r>
    </w:p>
    <w:p w:rsidR="00844476" w:rsidRPr="00AF297A" w:rsidRDefault="00844476" w:rsidP="00C83717">
      <w:pPr>
        <w:pStyle w:val="BodyText"/>
        <w:rPr>
          <w:rStyle w:val="IntenseEmphasis"/>
          <w:b w:val="0"/>
          <w:bCs w:val="0"/>
          <w:i w:val="0"/>
          <w:iCs w:val="0"/>
          <w:color w:val="auto"/>
        </w:rPr>
      </w:pPr>
      <w:r w:rsidRPr="00AF297A">
        <w:rPr>
          <w:rStyle w:val="IntenseEmphasis"/>
          <w:b w:val="0"/>
          <w:bCs w:val="0"/>
          <w:i w:val="0"/>
          <w:iCs w:val="0"/>
          <w:color w:val="auto"/>
        </w:rPr>
        <w:t>Meeting the 2030 target will require a mixture of domestic emissions reductions, carbon removals from existing and new forests, and the purchase of international carbon credits. Given New Zealand</w:t>
      </w:r>
      <w:r w:rsidR="007B5588" w:rsidRPr="00AF297A">
        <w:rPr>
          <w:rStyle w:val="IntenseEmphasis"/>
          <w:b w:val="0"/>
          <w:bCs w:val="0"/>
          <w:i w:val="0"/>
          <w:iCs w:val="0"/>
          <w:color w:val="auto"/>
        </w:rPr>
        <w:t>’</w:t>
      </w:r>
      <w:r w:rsidRPr="00AF297A">
        <w:rPr>
          <w:rStyle w:val="IntenseEmphasis"/>
          <w:b w:val="0"/>
          <w:bCs w:val="0"/>
          <w:i w:val="0"/>
          <w:iCs w:val="0"/>
          <w:color w:val="auto"/>
        </w:rPr>
        <w:t>s relatively costly domestic abatement options, international carbon credits are likely to play an important role, and it is likely that the NZ ETS will re-open to international units in the 2020s.</w:t>
      </w:r>
      <w:r w:rsidR="007B5588" w:rsidRPr="00AF297A">
        <w:rPr>
          <w:rStyle w:val="IntenseEmphasis"/>
          <w:b w:val="0"/>
          <w:bCs w:val="0"/>
          <w:i w:val="0"/>
          <w:iCs w:val="0"/>
          <w:color w:val="auto"/>
        </w:rPr>
        <w:t xml:space="preserve"> </w:t>
      </w:r>
    </w:p>
    <w:p w:rsidR="00844476" w:rsidRPr="007F2DDC" w:rsidRDefault="00844476" w:rsidP="00C83717">
      <w:pPr>
        <w:pStyle w:val="BodyText"/>
        <w:rPr>
          <w:rStyle w:val="IntenseEmphasis"/>
          <w:b w:val="0"/>
          <w:bCs w:val="0"/>
          <w:i w:val="0"/>
          <w:iCs w:val="0"/>
          <w:color w:val="auto"/>
        </w:rPr>
      </w:pPr>
      <w:r w:rsidRPr="00AF297A">
        <w:rPr>
          <w:rStyle w:val="IntenseEmphasis"/>
          <w:b w:val="0"/>
          <w:bCs w:val="0"/>
          <w:i w:val="0"/>
          <w:iCs w:val="0"/>
          <w:color w:val="auto"/>
        </w:rPr>
        <w:t xml:space="preserve">The nature and stability of international carbon markets in the future </w:t>
      </w:r>
      <w:r w:rsidR="00772273">
        <w:rPr>
          <w:rStyle w:val="IntenseEmphasis"/>
          <w:b w:val="0"/>
          <w:bCs w:val="0"/>
          <w:i w:val="0"/>
          <w:iCs w:val="0"/>
          <w:color w:val="auto"/>
        </w:rPr>
        <w:t>is</w:t>
      </w:r>
      <w:r w:rsidR="00772273" w:rsidRPr="00AF297A">
        <w:rPr>
          <w:rStyle w:val="IntenseEmphasis"/>
          <w:b w:val="0"/>
          <w:bCs w:val="0"/>
          <w:i w:val="0"/>
          <w:iCs w:val="0"/>
          <w:color w:val="auto"/>
        </w:rPr>
        <w:t xml:space="preserve"> </w:t>
      </w:r>
      <w:r w:rsidRPr="00AF297A">
        <w:rPr>
          <w:rStyle w:val="IntenseEmphasis"/>
          <w:b w:val="0"/>
          <w:bCs w:val="0"/>
          <w:i w:val="0"/>
          <w:iCs w:val="0"/>
          <w:color w:val="auto"/>
        </w:rPr>
        <w:t xml:space="preserve">uncertain. </w:t>
      </w:r>
      <w:r w:rsidR="00772273">
        <w:rPr>
          <w:rStyle w:val="IntenseEmphasis"/>
          <w:b w:val="0"/>
          <w:bCs w:val="0"/>
          <w:i w:val="0"/>
          <w:iCs w:val="0"/>
          <w:color w:val="auto"/>
        </w:rPr>
        <w:t>P</w:t>
      </w:r>
      <w:r w:rsidRPr="00AF297A">
        <w:rPr>
          <w:rStyle w:val="IntenseEmphasis"/>
          <w:b w:val="0"/>
          <w:bCs w:val="0"/>
          <w:i w:val="0"/>
          <w:iCs w:val="0"/>
          <w:color w:val="auto"/>
        </w:rPr>
        <w:t xml:space="preserve">rices </w:t>
      </w:r>
      <w:r w:rsidR="00772273">
        <w:rPr>
          <w:rStyle w:val="IntenseEmphasis"/>
          <w:b w:val="0"/>
          <w:bCs w:val="0"/>
          <w:i w:val="0"/>
          <w:iCs w:val="0"/>
          <w:color w:val="auto"/>
        </w:rPr>
        <w:t>may</w:t>
      </w:r>
      <w:r w:rsidR="00772273" w:rsidRPr="00AF297A">
        <w:rPr>
          <w:rStyle w:val="IntenseEmphasis"/>
          <w:b w:val="0"/>
          <w:bCs w:val="0"/>
          <w:i w:val="0"/>
          <w:iCs w:val="0"/>
          <w:color w:val="auto"/>
        </w:rPr>
        <w:t xml:space="preserve"> </w:t>
      </w:r>
      <w:r w:rsidRPr="00AF297A">
        <w:rPr>
          <w:rStyle w:val="IntenseEmphasis"/>
          <w:b w:val="0"/>
          <w:bCs w:val="0"/>
          <w:i w:val="0"/>
          <w:iCs w:val="0"/>
          <w:color w:val="auto"/>
        </w:rPr>
        <w:t xml:space="preserve">remain low if technological developments and broad international participation promote stable, well-functioning carbon markets with relatively low priced and liquid units. </w:t>
      </w:r>
      <w:r w:rsidR="00772273">
        <w:rPr>
          <w:rStyle w:val="IntenseEmphasis"/>
          <w:b w:val="0"/>
          <w:bCs w:val="0"/>
          <w:i w:val="0"/>
          <w:iCs w:val="0"/>
          <w:color w:val="auto"/>
        </w:rPr>
        <w:t>I</w:t>
      </w:r>
      <w:r w:rsidRPr="00AF297A">
        <w:rPr>
          <w:rStyle w:val="IntenseEmphasis"/>
          <w:b w:val="0"/>
          <w:bCs w:val="0"/>
          <w:i w:val="0"/>
          <w:iCs w:val="0"/>
          <w:color w:val="auto"/>
        </w:rPr>
        <w:t xml:space="preserve">t </w:t>
      </w:r>
      <w:r w:rsidR="005319EC">
        <w:rPr>
          <w:rStyle w:val="IntenseEmphasis"/>
          <w:b w:val="0"/>
          <w:bCs w:val="0"/>
          <w:i w:val="0"/>
          <w:iCs w:val="0"/>
          <w:color w:val="auto"/>
        </w:rPr>
        <w:t xml:space="preserve">appears </w:t>
      </w:r>
      <w:r w:rsidRPr="00AF297A">
        <w:rPr>
          <w:rStyle w:val="IntenseEmphasis"/>
          <w:b w:val="0"/>
          <w:bCs w:val="0"/>
          <w:i w:val="0"/>
          <w:iCs w:val="0"/>
          <w:color w:val="auto"/>
        </w:rPr>
        <w:t>more likely that prices for international emission reduction units will be higher than to date.</w:t>
      </w:r>
      <w:r w:rsidR="007B5588" w:rsidRPr="00AF297A">
        <w:rPr>
          <w:rStyle w:val="IntenseEmphasis"/>
          <w:b w:val="0"/>
          <w:bCs w:val="0"/>
          <w:i w:val="0"/>
          <w:iCs w:val="0"/>
          <w:color w:val="auto"/>
        </w:rPr>
        <w:t xml:space="preserve"> </w:t>
      </w:r>
      <w:r w:rsidRPr="00AF297A">
        <w:rPr>
          <w:rStyle w:val="IntenseEmphasis"/>
          <w:b w:val="0"/>
          <w:bCs w:val="0"/>
          <w:i w:val="0"/>
          <w:iCs w:val="0"/>
          <w:color w:val="auto"/>
        </w:rPr>
        <w:t>Increased global ambition</w:t>
      </w:r>
      <w:r w:rsidR="00772273">
        <w:rPr>
          <w:rStyle w:val="IntenseEmphasis"/>
          <w:b w:val="0"/>
          <w:bCs w:val="0"/>
          <w:i w:val="0"/>
          <w:iCs w:val="0"/>
          <w:color w:val="auto"/>
        </w:rPr>
        <w:t>,</w:t>
      </w:r>
      <w:r w:rsidRPr="00AF297A">
        <w:rPr>
          <w:rStyle w:val="IntenseEmphasis"/>
          <w:b w:val="0"/>
          <w:bCs w:val="0"/>
          <w:i w:val="0"/>
          <w:iCs w:val="0"/>
          <w:color w:val="auto"/>
        </w:rPr>
        <w:t xml:space="preserve"> with all countries taking action on climate change</w:t>
      </w:r>
      <w:r w:rsidR="00772273">
        <w:rPr>
          <w:rStyle w:val="IntenseEmphasis"/>
          <w:b w:val="0"/>
          <w:bCs w:val="0"/>
          <w:i w:val="0"/>
          <w:iCs w:val="0"/>
          <w:color w:val="auto"/>
        </w:rPr>
        <w:t>,</w:t>
      </w:r>
      <w:r w:rsidRPr="00AF297A">
        <w:rPr>
          <w:rStyle w:val="IntenseEmphasis"/>
          <w:b w:val="0"/>
          <w:bCs w:val="0"/>
          <w:i w:val="0"/>
          <w:iCs w:val="0"/>
          <w:color w:val="auto"/>
        </w:rPr>
        <w:t xml:space="preserve"> </w:t>
      </w:r>
      <w:r w:rsidR="00772273">
        <w:rPr>
          <w:rStyle w:val="IntenseEmphasis"/>
          <w:b w:val="0"/>
          <w:bCs w:val="0"/>
          <w:i w:val="0"/>
          <w:iCs w:val="0"/>
          <w:color w:val="auto"/>
        </w:rPr>
        <w:t>is</w:t>
      </w:r>
      <w:r w:rsidR="00772273" w:rsidRPr="00AF297A">
        <w:rPr>
          <w:rStyle w:val="IntenseEmphasis"/>
          <w:b w:val="0"/>
          <w:bCs w:val="0"/>
          <w:i w:val="0"/>
          <w:iCs w:val="0"/>
          <w:color w:val="auto"/>
        </w:rPr>
        <w:t xml:space="preserve"> </w:t>
      </w:r>
      <w:r w:rsidRPr="00AF297A">
        <w:rPr>
          <w:rStyle w:val="IntenseEmphasis"/>
          <w:b w:val="0"/>
          <w:bCs w:val="0"/>
          <w:i w:val="0"/>
          <w:iCs w:val="0"/>
          <w:color w:val="auto"/>
        </w:rPr>
        <w:t xml:space="preserve">likely </w:t>
      </w:r>
      <w:r w:rsidR="00772273">
        <w:rPr>
          <w:rStyle w:val="IntenseEmphasis"/>
          <w:b w:val="0"/>
          <w:bCs w:val="0"/>
          <w:i w:val="0"/>
          <w:iCs w:val="0"/>
          <w:color w:val="auto"/>
        </w:rPr>
        <w:t xml:space="preserve">to </w:t>
      </w:r>
      <w:r w:rsidRPr="00AF297A">
        <w:rPr>
          <w:rStyle w:val="IntenseEmphasis"/>
          <w:b w:val="0"/>
          <w:bCs w:val="0"/>
          <w:i w:val="0"/>
          <w:iCs w:val="0"/>
          <w:color w:val="auto"/>
        </w:rPr>
        <w:t xml:space="preserve">increase demand for these units, and could exhaust the cheaper abatement options. A third possibility is that if most countries prioritise domestic efforts to reduce emissions, international carbon markets could suffer from limited buyers and sellers, resulting in a thin, </w:t>
      </w:r>
      <w:r w:rsidRPr="007F2DDC">
        <w:rPr>
          <w:rStyle w:val="IntenseEmphasis"/>
          <w:b w:val="0"/>
          <w:bCs w:val="0"/>
          <w:i w:val="0"/>
          <w:iCs w:val="0"/>
          <w:color w:val="auto"/>
        </w:rPr>
        <w:t xml:space="preserve">illiquid market with volatile prices. </w:t>
      </w:r>
    </w:p>
    <w:p w:rsidR="00D9026D" w:rsidRPr="00AF297A" w:rsidRDefault="00844476" w:rsidP="00C83717">
      <w:pPr>
        <w:pStyle w:val="BodyText"/>
      </w:pPr>
      <w:r w:rsidRPr="007F2DDC">
        <w:t xml:space="preserve">It is very difficult to predict by how much and at what rate international carbon prices might increase in future, and it is likely that carbon prices will continue to </w:t>
      </w:r>
      <w:r w:rsidR="00772273" w:rsidRPr="007F2DDC">
        <w:t>vary by</w:t>
      </w:r>
      <w:r w:rsidRPr="007F2DDC">
        <w:t xml:space="preserve"> countr</w:t>
      </w:r>
      <w:r w:rsidR="00772273" w:rsidRPr="007F2DDC">
        <w:t>y,</w:t>
      </w:r>
      <w:r w:rsidRPr="007F2DDC">
        <w:t xml:space="preserve"> due to different abatement opportunities and policies.</w:t>
      </w:r>
      <w:r w:rsidR="007B5588" w:rsidRPr="007F2DDC">
        <w:t xml:space="preserve"> </w:t>
      </w:r>
      <w:r w:rsidRPr="007F2DDC">
        <w:t>Nevertheless, market commentators and experts are expecting carbon prices to increase up to and throughout the 2020s.</w:t>
      </w:r>
      <w:r w:rsidRPr="007F2DDC">
        <w:rPr>
          <w:rStyle w:val="FootnoteReference"/>
          <w:rFonts w:ascii="Calibri" w:hAnsi="Calibri" w:cs="Calibri"/>
          <w:sz w:val="22"/>
          <w:szCs w:val="22"/>
        </w:rPr>
        <w:footnoteReference w:id="2"/>
      </w:r>
      <w:r w:rsidRPr="007F2DDC">
        <w:rPr>
          <w:vertAlign w:val="superscript"/>
        </w:rPr>
        <w:t xml:space="preserve"> </w:t>
      </w:r>
      <w:r w:rsidRPr="007F2DDC">
        <w:t>For example, Thomson Reuters estimates that the price of carbon in the European Union (EU) will reach around NZ$2</w:t>
      </w:r>
      <w:r w:rsidR="00C679D9" w:rsidRPr="007F2DDC">
        <w:t>5</w:t>
      </w:r>
      <w:r w:rsidRPr="007F2DDC">
        <w:t xml:space="preserve"> per tonne by the end of 2020.</w:t>
      </w:r>
      <w:r w:rsidRPr="007F2DDC">
        <w:rPr>
          <w:rStyle w:val="FootnoteReference"/>
          <w:rFonts w:ascii="Calibri" w:hAnsi="Calibri"/>
          <w:sz w:val="22"/>
          <w:szCs w:val="22"/>
        </w:rPr>
        <w:footnoteReference w:id="3"/>
      </w:r>
      <w:r w:rsidRPr="007F2DDC">
        <w:t xml:space="preserve"> The International Energy Agency is using increased carbon prices of NZ$</w:t>
      </w:r>
      <w:r w:rsidR="00C679D9" w:rsidRPr="007F2DDC">
        <w:t>57</w:t>
      </w:r>
      <w:r w:rsidRPr="007F2DDC">
        <w:t xml:space="preserve"> per tonne for the EU in 2030 and NZ$3</w:t>
      </w:r>
      <w:r w:rsidR="00C679D9" w:rsidRPr="007F2DDC">
        <w:t>5</w:t>
      </w:r>
      <w:r w:rsidRPr="007F2DDC">
        <w:t xml:space="preserve"> per tonne for China in 2030 in its most recent scenarios of energy markets and climate policies based on countries</w:t>
      </w:r>
      <w:r w:rsidR="007B5588" w:rsidRPr="007F2DDC">
        <w:t>’</w:t>
      </w:r>
      <w:r w:rsidRPr="007F2DDC">
        <w:t xml:space="preserve"> </w:t>
      </w:r>
      <w:r w:rsidR="00C679D9" w:rsidRPr="007F2DDC">
        <w:t xml:space="preserve">current and announced policies, including </w:t>
      </w:r>
      <w:r w:rsidRPr="007F2DDC">
        <w:t>intended post-2020 targets.</w:t>
      </w:r>
      <w:r w:rsidRPr="007F2DDC">
        <w:rPr>
          <w:rStyle w:val="FootnoteReference"/>
          <w:rFonts w:ascii="Calibri" w:hAnsi="Calibri"/>
          <w:sz w:val="22"/>
          <w:szCs w:val="22"/>
        </w:rPr>
        <w:footnoteReference w:id="4"/>
      </w:r>
      <w:r w:rsidRPr="007F2DDC">
        <w:t xml:space="preserve"> </w:t>
      </w:r>
      <w:r w:rsidR="00772273" w:rsidRPr="007F2DDC">
        <w:t>M</w:t>
      </w:r>
      <w:r w:rsidRPr="007F2DDC">
        <w:t>odelling collated by the Intergovernmental Panel on Climate Change</w:t>
      </w:r>
      <w:r w:rsidR="00772273" w:rsidRPr="007F2DDC">
        <w:t xml:space="preserve"> (IPCC) also</w:t>
      </w:r>
      <w:r w:rsidRPr="007F2DDC">
        <w:t xml:space="preserve"> estimates that to meet the global goal of limiting </w:t>
      </w:r>
      <w:r w:rsidRPr="007F2DDC">
        <w:rPr>
          <w:szCs w:val="20"/>
        </w:rPr>
        <w:t xml:space="preserve">temperature increases to within 2 degrees, </w:t>
      </w:r>
      <w:r w:rsidRPr="007F2DDC">
        <w:t xml:space="preserve">average global carbon prices are required to be </w:t>
      </w:r>
      <w:r w:rsidRPr="007F2DDC">
        <w:rPr>
          <w:szCs w:val="20"/>
        </w:rPr>
        <w:t xml:space="preserve">in </w:t>
      </w:r>
      <w:r w:rsidRPr="007F2DDC">
        <w:t>the range of around NZ$</w:t>
      </w:r>
      <w:r w:rsidR="00C679D9" w:rsidRPr="007F2DDC">
        <w:t>90</w:t>
      </w:r>
      <w:r w:rsidR="00843793" w:rsidRPr="007F2DDC">
        <w:t>–</w:t>
      </w:r>
      <w:r w:rsidRPr="007F2DDC">
        <w:t>$17</w:t>
      </w:r>
      <w:r w:rsidR="00C679D9" w:rsidRPr="007F2DDC">
        <w:t>8</w:t>
      </w:r>
      <w:r w:rsidRPr="007F2DDC">
        <w:t xml:space="preserve"> per tonne over the 2020s.</w:t>
      </w:r>
      <w:r w:rsidRPr="007F2DDC">
        <w:rPr>
          <w:rStyle w:val="FootnoteReference"/>
          <w:rFonts w:ascii="Calibri" w:hAnsi="Calibri"/>
          <w:sz w:val="22"/>
          <w:szCs w:val="22"/>
        </w:rPr>
        <w:footnoteReference w:id="5"/>
      </w:r>
    </w:p>
    <w:p w:rsidR="00FA7E72" w:rsidRPr="00AF297A" w:rsidRDefault="00FA7E72" w:rsidP="00C83717">
      <w:pPr>
        <w:pStyle w:val="BodyText"/>
        <w:rPr>
          <w:rStyle w:val="IntenseEmphasis"/>
          <w:b w:val="0"/>
          <w:bCs w:val="0"/>
          <w:i w:val="0"/>
          <w:iCs w:val="0"/>
          <w:color w:val="auto"/>
        </w:rPr>
      </w:pPr>
      <w:r w:rsidRPr="00AF297A">
        <w:rPr>
          <w:rStyle w:val="IntenseEmphasis"/>
          <w:b w:val="0"/>
          <w:bCs w:val="0"/>
          <w:i w:val="0"/>
          <w:iCs w:val="0"/>
          <w:color w:val="auto"/>
        </w:rPr>
        <w:lastRenderedPageBreak/>
        <w:t>Firms and households need to prepare for the possibility of these increasing prices, especially when making decisions that will be affected by the cost of emissions far into the future. For instance, the pros and cons for planting forests or investing in some types of electricity generation depend on the cost of emissions after 2020.</w:t>
      </w:r>
      <w:r w:rsidR="007B5588" w:rsidRPr="00AF297A">
        <w:rPr>
          <w:rStyle w:val="IntenseEmphasis"/>
          <w:b w:val="0"/>
          <w:bCs w:val="0"/>
          <w:i w:val="0"/>
          <w:iCs w:val="0"/>
          <w:color w:val="auto"/>
        </w:rPr>
        <w:t xml:space="preserve"> </w:t>
      </w:r>
      <w:r w:rsidRPr="00AF297A">
        <w:rPr>
          <w:rStyle w:val="IntenseEmphasis"/>
          <w:b w:val="0"/>
          <w:bCs w:val="0"/>
          <w:i w:val="0"/>
          <w:iCs w:val="0"/>
          <w:color w:val="auto"/>
        </w:rPr>
        <w:t xml:space="preserve">If these decisions are made without taking into account reasonable predictions about the future cost of emissions, firms and households may face unexpectedly high costs in the 2020s. </w:t>
      </w:r>
    </w:p>
    <w:p w:rsidR="00FA7E72" w:rsidRPr="00AF297A" w:rsidRDefault="00FA7E72" w:rsidP="00C83717">
      <w:pPr>
        <w:pStyle w:val="BodyText"/>
        <w:rPr>
          <w:rStyle w:val="IntenseEmphasis"/>
          <w:b w:val="0"/>
          <w:bCs w:val="0"/>
          <w:i w:val="0"/>
          <w:iCs w:val="0"/>
          <w:color w:val="auto"/>
        </w:rPr>
      </w:pPr>
      <w:r w:rsidRPr="00AF297A">
        <w:rPr>
          <w:rStyle w:val="IntenseEmphasis"/>
          <w:b w:val="0"/>
          <w:bCs w:val="0"/>
          <w:i w:val="0"/>
          <w:iCs w:val="0"/>
          <w:color w:val="auto"/>
        </w:rPr>
        <w:t>Firms should already be planning for this future. Some firms certainly have robust plans to manage carbon risks in their businesses. For example, some companies have set emissions reduction goals and actively identify opportunities to use less carbon-intensive fuels. It is also</w:t>
      </w:r>
      <w:r w:rsidR="004157E9" w:rsidRPr="00AF297A">
        <w:rPr>
          <w:rStyle w:val="IntenseEmphasis"/>
          <w:b w:val="0"/>
          <w:bCs w:val="0"/>
          <w:i w:val="0"/>
          <w:iCs w:val="0"/>
          <w:color w:val="auto"/>
        </w:rPr>
        <w:t> </w:t>
      </w:r>
      <w:r w:rsidRPr="00AF297A">
        <w:rPr>
          <w:rStyle w:val="IntenseEmphasis"/>
          <w:b w:val="0"/>
          <w:bCs w:val="0"/>
          <w:i w:val="0"/>
          <w:iCs w:val="0"/>
          <w:color w:val="auto"/>
        </w:rPr>
        <w:t>encouraging that no new fossil fuel electricity generation is currently planned</w:t>
      </w:r>
      <w:r w:rsidR="00495F6E">
        <w:rPr>
          <w:rStyle w:val="IntenseEmphasis"/>
          <w:b w:val="0"/>
          <w:bCs w:val="0"/>
          <w:i w:val="0"/>
          <w:iCs w:val="0"/>
          <w:color w:val="auto"/>
        </w:rPr>
        <w:t>.</w:t>
      </w:r>
      <w:r w:rsidRPr="00AF297A">
        <w:rPr>
          <w:rStyle w:val="IntenseEmphasis"/>
          <w:b w:val="0"/>
          <w:bCs w:val="0"/>
          <w:i w:val="0"/>
          <w:iCs w:val="0"/>
          <w:color w:val="auto"/>
        </w:rPr>
        <w:t xml:space="preserve"> </w:t>
      </w:r>
    </w:p>
    <w:p w:rsidR="00FA7E72" w:rsidRPr="00AF297A" w:rsidRDefault="000A373F" w:rsidP="00C83717">
      <w:pPr>
        <w:pStyle w:val="BodyText"/>
        <w:rPr>
          <w:rStyle w:val="IntenseEmphasis"/>
          <w:b w:val="0"/>
          <w:bCs w:val="0"/>
          <w:i w:val="0"/>
          <w:iCs w:val="0"/>
          <w:color w:val="auto"/>
        </w:rPr>
      </w:pPr>
      <w:r>
        <w:rPr>
          <w:rStyle w:val="IntenseEmphasis"/>
          <w:b w:val="0"/>
          <w:bCs w:val="0"/>
          <w:i w:val="0"/>
          <w:iCs w:val="0"/>
          <w:color w:val="auto"/>
        </w:rPr>
        <w:t>On the other hand</w:t>
      </w:r>
      <w:r w:rsidR="00FA7E72" w:rsidRPr="00AF297A">
        <w:rPr>
          <w:rStyle w:val="IntenseEmphasis"/>
          <w:b w:val="0"/>
          <w:bCs w:val="0"/>
          <w:i w:val="0"/>
          <w:iCs w:val="0"/>
          <w:color w:val="auto"/>
        </w:rPr>
        <w:t>, there are indications that some other businesses are investing in emission</w:t>
      </w:r>
      <w:r>
        <w:rPr>
          <w:rStyle w:val="IntenseEmphasis"/>
          <w:b w:val="0"/>
          <w:bCs w:val="0"/>
          <w:i w:val="0"/>
          <w:iCs w:val="0"/>
          <w:color w:val="auto"/>
        </w:rPr>
        <w:t>-</w:t>
      </w:r>
      <w:r w:rsidR="00FA7E72" w:rsidRPr="00AF297A">
        <w:rPr>
          <w:rStyle w:val="IntenseEmphasis"/>
          <w:b w:val="0"/>
          <w:bCs w:val="0"/>
          <w:i w:val="0"/>
          <w:iCs w:val="0"/>
          <w:color w:val="auto"/>
        </w:rPr>
        <w:t>intensive assets that will be more vulnerable to increasing carbon prices. This could be because firms and households are not able to make informed choices about long</w:t>
      </w:r>
      <w:r>
        <w:rPr>
          <w:rStyle w:val="IntenseEmphasis"/>
          <w:b w:val="0"/>
          <w:bCs w:val="0"/>
          <w:i w:val="0"/>
          <w:iCs w:val="0"/>
          <w:color w:val="auto"/>
        </w:rPr>
        <w:t>-</w:t>
      </w:r>
      <w:r w:rsidR="00FA7E72" w:rsidRPr="00AF297A">
        <w:rPr>
          <w:rStyle w:val="IntenseEmphasis"/>
          <w:b w:val="0"/>
          <w:bCs w:val="0"/>
          <w:i w:val="0"/>
          <w:iCs w:val="0"/>
          <w:color w:val="auto"/>
        </w:rPr>
        <w:t>term issues due to the uncertainty of future carbon prices, or of what their future emissions obligations may be.</w:t>
      </w:r>
      <w:r w:rsidR="007B5588" w:rsidRPr="00AF297A">
        <w:rPr>
          <w:rStyle w:val="IntenseEmphasis"/>
          <w:b w:val="0"/>
          <w:bCs w:val="0"/>
          <w:i w:val="0"/>
          <w:iCs w:val="0"/>
          <w:color w:val="auto"/>
        </w:rPr>
        <w:t xml:space="preserve"> </w:t>
      </w:r>
      <w:r w:rsidR="00FA7E72" w:rsidRPr="00AF297A">
        <w:rPr>
          <w:rStyle w:val="IntenseEmphasis"/>
          <w:b w:val="0"/>
          <w:bCs w:val="0"/>
          <w:i w:val="0"/>
          <w:iCs w:val="0"/>
          <w:color w:val="auto"/>
        </w:rPr>
        <w:t>It could also be that people are unclear or lack confidence in the Government</w:t>
      </w:r>
      <w:r w:rsidR="007B5588" w:rsidRPr="00AF297A">
        <w:rPr>
          <w:rStyle w:val="IntenseEmphasis"/>
          <w:b w:val="0"/>
          <w:bCs w:val="0"/>
          <w:i w:val="0"/>
          <w:iCs w:val="0"/>
          <w:color w:val="auto"/>
        </w:rPr>
        <w:t>’</w:t>
      </w:r>
      <w:r w:rsidR="00FA7E72" w:rsidRPr="00AF297A">
        <w:rPr>
          <w:rStyle w:val="IntenseEmphasis"/>
          <w:b w:val="0"/>
          <w:bCs w:val="0"/>
          <w:i w:val="0"/>
          <w:iCs w:val="0"/>
          <w:color w:val="auto"/>
        </w:rPr>
        <w:t xml:space="preserve">s intentions for distributing the costs of future emissions liabilities to emitters. </w:t>
      </w:r>
    </w:p>
    <w:p w:rsidR="00FA7E72" w:rsidRPr="00AF297A" w:rsidRDefault="00FA7E72" w:rsidP="00C83717">
      <w:pPr>
        <w:pStyle w:val="Heading2"/>
        <w:rPr>
          <w:rStyle w:val="IntenseEmphasis"/>
          <w:b/>
          <w:bCs/>
          <w:i w:val="0"/>
          <w:iCs w:val="0"/>
          <w:color w:val="387C2B"/>
        </w:rPr>
      </w:pPr>
      <w:bookmarkStart w:id="9" w:name="_Toc435798381"/>
      <w:r w:rsidRPr="00AF297A">
        <w:rPr>
          <w:rStyle w:val="IntenseEmphasis"/>
          <w:b/>
          <w:bCs/>
          <w:i w:val="0"/>
          <w:iCs w:val="0"/>
          <w:color w:val="387C2B"/>
        </w:rPr>
        <w:t>2.3</w:t>
      </w:r>
      <w:r w:rsidRPr="00AF297A">
        <w:rPr>
          <w:rStyle w:val="IntenseEmphasis"/>
          <w:b/>
          <w:bCs/>
          <w:i w:val="0"/>
          <w:iCs w:val="0"/>
          <w:color w:val="387C2B"/>
        </w:rPr>
        <w:tab/>
        <w:t>Increasing certainty about future policy settings</w:t>
      </w:r>
      <w:bookmarkEnd w:id="9"/>
    </w:p>
    <w:p w:rsidR="00BE3155" w:rsidRPr="00AF297A" w:rsidRDefault="00BE3155" w:rsidP="00C83717">
      <w:pPr>
        <w:pStyle w:val="BodyText"/>
        <w:rPr>
          <w:rStyle w:val="IntenseEmphasis"/>
          <w:b w:val="0"/>
          <w:bCs w:val="0"/>
          <w:i w:val="0"/>
          <w:iCs w:val="0"/>
          <w:color w:val="auto"/>
        </w:rPr>
      </w:pPr>
      <w:r w:rsidRPr="00AF297A">
        <w:rPr>
          <w:rStyle w:val="IntenseEmphasis"/>
          <w:b w:val="0"/>
          <w:bCs w:val="0"/>
          <w:i w:val="0"/>
          <w:iCs w:val="0"/>
          <w:color w:val="auto"/>
        </w:rPr>
        <w:t xml:space="preserve">Increasing certainty around future policy settings in the NZ ETS could make it easier for firms and households to plan for the future. In the short term, the most important thing that the Government can do to improve certainty around the NZ ETS is to make clear decisions on if, when, and how, transitional measures will be phased out, and whether selling </w:t>
      </w:r>
      <w:r w:rsidR="00CC67E2">
        <w:rPr>
          <w:rStyle w:val="IntenseEmphasis"/>
          <w:b w:val="0"/>
          <w:bCs w:val="0"/>
          <w:i w:val="0"/>
          <w:iCs w:val="0"/>
          <w:color w:val="auto"/>
        </w:rPr>
        <w:t>New Zealand Units (</w:t>
      </w:r>
      <w:r w:rsidRPr="00AF297A">
        <w:rPr>
          <w:rStyle w:val="IntenseEmphasis"/>
          <w:b w:val="0"/>
          <w:bCs w:val="0"/>
          <w:i w:val="0"/>
          <w:iCs w:val="0"/>
          <w:color w:val="auto"/>
        </w:rPr>
        <w:t>NZUs</w:t>
      </w:r>
      <w:r w:rsidR="00CC67E2">
        <w:rPr>
          <w:rStyle w:val="IntenseEmphasis"/>
          <w:b w:val="0"/>
          <w:bCs w:val="0"/>
          <w:i w:val="0"/>
          <w:iCs w:val="0"/>
          <w:color w:val="auto"/>
        </w:rPr>
        <w:t>)</w:t>
      </w:r>
      <w:r w:rsidRPr="00AF297A">
        <w:rPr>
          <w:rStyle w:val="IntenseEmphasis"/>
          <w:b w:val="0"/>
          <w:bCs w:val="0"/>
          <w:i w:val="0"/>
          <w:iCs w:val="0"/>
          <w:color w:val="auto"/>
        </w:rPr>
        <w:t xml:space="preserve"> by auctioning will be introduced. </w:t>
      </w:r>
    </w:p>
    <w:p w:rsidR="00BE3155" w:rsidRPr="00AF297A" w:rsidRDefault="00BE3155" w:rsidP="00C83717">
      <w:pPr>
        <w:pStyle w:val="BodyText"/>
        <w:rPr>
          <w:rStyle w:val="IntenseEmphasis"/>
          <w:b w:val="0"/>
          <w:bCs w:val="0"/>
          <w:i w:val="0"/>
          <w:iCs w:val="0"/>
          <w:color w:val="auto"/>
        </w:rPr>
      </w:pPr>
      <w:r w:rsidRPr="00AF297A">
        <w:rPr>
          <w:rStyle w:val="IntenseEmphasis"/>
          <w:b w:val="0"/>
          <w:bCs w:val="0"/>
          <w:i w:val="0"/>
          <w:iCs w:val="0"/>
          <w:color w:val="auto"/>
        </w:rPr>
        <w:t>Over the medium</w:t>
      </w:r>
      <w:r w:rsidR="004678DB">
        <w:rPr>
          <w:rStyle w:val="IntenseEmphasis"/>
          <w:b w:val="0"/>
          <w:bCs w:val="0"/>
          <w:i w:val="0"/>
          <w:iCs w:val="0"/>
          <w:color w:val="auto"/>
        </w:rPr>
        <w:t>-</w:t>
      </w:r>
      <w:r w:rsidRPr="00AF297A">
        <w:rPr>
          <w:rStyle w:val="IntenseEmphasis"/>
          <w:b w:val="0"/>
          <w:bCs w:val="0"/>
          <w:i w:val="0"/>
          <w:iCs w:val="0"/>
          <w:color w:val="auto"/>
        </w:rPr>
        <w:t>to</w:t>
      </w:r>
      <w:r w:rsidR="004678DB">
        <w:rPr>
          <w:rStyle w:val="IntenseEmphasis"/>
          <w:b w:val="0"/>
          <w:bCs w:val="0"/>
          <w:i w:val="0"/>
          <w:iCs w:val="0"/>
          <w:color w:val="auto"/>
        </w:rPr>
        <w:t>-</w:t>
      </w:r>
      <w:r w:rsidRPr="00AF297A">
        <w:rPr>
          <w:rStyle w:val="IntenseEmphasis"/>
          <w:b w:val="0"/>
          <w:bCs w:val="0"/>
          <w:i w:val="0"/>
          <w:iCs w:val="0"/>
          <w:color w:val="auto"/>
        </w:rPr>
        <w:t>long term, decisions on a number of other NZ ETS policy settings may be needed once the rules of the new climate change agreement have been agreed. While the agreement is expected to be signed this year, much of the detail underpinning it may be agreed over the next few years. This is especially the case for the land sector, where</w:t>
      </w:r>
      <w:r w:rsidR="00FB2FF4">
        <w:rPr>
          <w:rStyle w:val="IntenseEmphasis"/>
          <w:b w:val="0"/>
          <w:bCs w:val="0"/>
          <w:i w:val="0"/>
          <w:iCs w:val="0"/>
          <w:color w:val="auto"/>
        </w:rPr>
        <w:t xml:space="preserve"> different rules may apply </w:t>
      </w:r>
      <w:r w:rsidR="0041044C">
        <w:rPr>
          <w:rStyle w:val="IntenseEmphasis"/>
          <w:b w:val="0"/>
          <w:bCs w:val="0"/>
          <w:i w:val="0"/>
          <w:iCs w:val="0"/>
          <w:color w:val="auto"/>
        </w:rPr>
        <w:t xml:space="preserve">forestry emissions </w:t>
      </w:r>
      <w:r w:rsidRPr="00AF297A">
        <w:rPr>
          <w:rStyle w:val="IntenseEmphasis"/>
          <w:b w:val="0"/>
          <w:bCs w:val="0"/>
          <w:i w:val="0"/>
          <w:iCs w:val="0"/>
          <w:color w:val="auto"/>
        </w:rPr>
        <w:t>account</w:t>
      </w:r>
      <w:r w:rsidR="00FB2FF4">
        <w:rPr>
          <w:rStyle w:val="IntenseEmphasis"/>
          <w:b w:val="0"/>
          <w:bCs w:val="0"/>
          <w:i w:val="0"/>
          <w:iCs w:val="0"/>
          <w:color w:val="auto"/>
        </w:rPr>
        <w:t>ing</w:t>
      </w:r>
      <w:r w:rsidRPr="00AF297A">
        <w:rPr>
          <w:rStyle w:val="IntenseEmphasis"/>
          <w:b w:val="0"/>
          <w:bCs w:val="0"/>
          <w:i w:val="0"/>
          <w:iCs w:val="0"/>
          <w:color w:val="auto"/>
        </w:rPr>
        <w:t>. If the rules after 2020 are different to those in place currently, whether to devolve the</w:t>
      </w:r>
      <w:r w:rsidR="00166821">
        <w:rPr>
          <w:rStyle w:val="IntenseEmphasis"/>
          <w:b w:val="0"/>
          <w:bCs w:val="0"/>
          <w:i w:val="0"/>
          <w:iCs w:val="0"/>
          <w:color w:val="auto"/>
        </w:rPr>
        <w:t xml:space="preserve">m into </w:t>
      </w:r>
      <w:r w:rsidRPr="00AF297A">
        <w:rPr>
          <w:rStyle w:val="IntenseEmphasis"/>
          <w:b w:val="0"/>
          <w:bCs w:val="0"/>
          <w:i w:val="0"/>
          <w:iCs w:val="0"/>
          <w:color w:val="auto"/>
        </w:rPr>
        <w:t>the NZ ETS</w:t>
      </w:r>
      <w:r w:rsidR="0041044C">
        <w:rPr>
          <w:rStyle w:val="IntenseEmphasis"/>
          <w:b w:val="0"/>
          <w:bCs w:val="0"/>
          <w:i w:val="0"/>
          <w:iCs w:val="0"/>
          <w:color w:val="auto"/>
        </w:rPr>
        <w:t xml:space="preserve"> </w:t>
      </w:r>
      <w:r w:rsidR="00D609ED">
        <w:rPr>
          <w:rStyle w:val="IntenseEmphasis"/>
          <w:b w:val="0"/>
          <w:bCs w:val="0"/>
          <w:i w:val="0"/>
          <w:iCs w:val="0"/>
          <w:color w:val="auto"/>
        </w:rPr>
        <w:t xml:space="preserve">would </w:t>
      </w:r>
      <w:r w:rsidR="0041044C">
        <w:rPr>
          <w:rStyle w:val="IntenseEmphasis"/>
          <w:b w:val="0"/>
          <w:bCs w:val="0"/>
          <w:i w:val="0"/>
          <w:iCs w:val="0"/>
          <w:color w:val="auto"/>
        </w:rPr>
        <w:t>need to be carefully considered and assessed</w:t>
      </w:r>
      <w:r w:rsidRPr="00AF297A">
        <w:rPr>
          <w:rStyle w:val="IntenseEmphasis"/>
          <w:b w:val="0"/>
          <w:bCs w:val="0"/>
          <w:i w:val="0"/>
          <w:iCs w:val="0"/>
          <w:color w:val="auto"/>
        </w:rPr>
        <w:t>. Developing a plan for how to do this over the coming years will be important.</w:t>
      </w:r>
      <w:r w:rsidR="007B5588" w:rsidRPr="00AF297A">
        <w:rPr>
          <w:rStyle w:val="IntenseEmphasis"/>
          <w:b w:val="0"/>
          <w:bCs w:val="0"/>
          <w:i w:val="0"/>
          <w:iCs w:val="0"/>
          <w:color w:val="auto"/>
        </w:rPr>
        <w:t xml:space="preserve"> </w:t>
      </w:r>
    </w:p>
    <w:p w:rsidR="00BE3155" w:rsidRPr="00AF297A" w:rsidRDefault="00BE3155" w:rsidP="00C83717">
      <w:pPr>
        <w:pStyle w:val="Heading2"/>
        <w:rPr>
          <w:rStyle w:val="IntenseEmphasis"/>
          <w:b/>
          <w:bCs/>
          <w:i w:val="0"/>
          <w:iCs w:val="0"/>
          <w:color w:val="387C2B"/>
        </w:rPr>
      </w:pPr>
      <w:bookmarkStart w:id="10" w:name="_Toc435798382"/>
      <w:r w:rsidRPr="00AF297A">
        <w:rPr>
          <w:rStyle w:val="IntenseEmphasis"/>
          <w:b/>
          <w:bCs/>
          <w:i w:val="0"/>
          <w:iCs w:val="0"/>
          <w:color w:val="387C2B"/>
        </w:rPr>
        <w:t>2.4</w:t>
      </w:r>
      <w:r w:rsidRPr="00AF297A">
        <w:rPr>
          <w:rStyle w:val="IntenseEmphasis"/>
          <w:b/>
          <w:bCs/>
          <w:i w:val="0"/>
          <w:iCs w:val="0"/>
          <w:color w:val="387C2B"/>
        </w:rPr>
        <w:tab/>
        <w:t>Managing banked emission units</w:t>
      </w:r>
      <w:bookmarkEnd w:id="10"/>
      <w:r w:rsidRPr="00AF297A">
        <w:rPr>
          <w:rStyle w:val="IntenseEmphasis"/>
          <w:b/>
          <w:bCs/>
          <w:i w:val="0"/>
          <w:iCs w:val="0"/>
          <w:color w:val="387C2B"/>
        </w:rPr>
        <w:t xml:space="preserve"> </w:t>
      </w:r>
    </w:p>
    <w:p w:rsidR="003458F0" w:rsidRPr="00AF297A" w:rsidRDefault="003458F0" w:rsidP="00C83717">
      <w:pPr>
        <w:pStyle w:val="BodyText"/>
        <w:rPr>
          <w:rStyle w:val="IntenseEmphasis"/>
          <w:b w:val="0"/>
          <w:bCs w:val="0"/>
          <w:i w:val="0"/>
          <w:iCs w:val="0"/>
          <w:color w:val="auto"/>
        </w:rPr>
      </w:pPr>
      <w:r w:rsidRPr="00AF297A">
        <w:rPr>
          <w:rStyle w:val="IntenseEmphasis"/>
          <w:b w:val="0"/>
          <w:bCs w:val="0"/>
          <w:i w:val="0"/>
          <w:iCs w:val="0"/>
          <w:color w:val="auto"/>
        </w:rPr>
        <w:t>There is a substantial number of banked NZUs owned by market participants, which combine with current ETS settings</w:t>
      </w:r>
      <w:r w:rsidR="006B0825">
        <w:rPr>
          <w:rStyle w:val="IntenseEmphasis"/>
          <w:b w:val="0"/>
          <w:bCs w:val="0"/>
          <w:i w:val="0"/>
          <w:iCs w:val="0"/>
          <w:color w:val="auto"/>
        </w:rPr>
        <w:t xml:space="preserve"> to</w:t>
      </w:r>
      <w:r w:rsidRPr="00AF297A">
        <w:rPr>
          <w:rStyle w:val="IntenseEmphasis"/>
          <w:b w:val="0"/>
          <w:bCs w:val="0"/>
          <w:i w:val="0"/>
          <w:iCs w:val="0"/>
          <w:color w:val="auto"/>
        </w:rPr>
        <w:t xml:space="preserve"> weaken the effectiveness of the NZ ETS </w:t>
      </w:r>
      <w:r w:rsidR="00A46FD3">
        <w:rPr>
          <w:rStyle w:val="IntenseEmphasis"/>
          <w:b w:val="0"/>
          <w:bCs w:val="0"/>
          <w:i w:val="0"/>
          <w:iCs w:val="0"/>
          <w:color w:val="auto"/>
        </w:rPr>
        <w:t xml:space="preserve">to assist New Zealand </w:t>
      </w:r>
      <w:r w:rsidR="00971D85">
        <w:rPr>
          <w:rStyle w:val="IntenseEmphasis"/>
          <w:b w:val="0"/>
          <w:bCs w:val="0"/>
          <w:i w:val="0"/>
          <w:iCs w:val="0"/>
          <w:color w:val="auto"/>
        </w:rPr>
        <w:t xml:space="preserve">to </w:t>
      </w:r>
      <w:r w:rsidRPr="00AF297A">
        <w:rPr>
          <w:rStyle w:val="IntenseEmphasis"/>
          <w:b w:val="0"/>
          <w:bCs w:val="0"/>
          <w:i w:val="0"/>
          <w:iCs w:val="0"/>
          <w:color w:val="auto"/>
        </w:rPr>
        <w:t>meet</w:t>
      </w:r>
      <w:r w:rsidR="00971D85">
        <w:rPr>
          <w:rStyle w:val="IntenseEmphasis"/>
          <w:b w:val="0"/>
          <w:bCs w:val="0"/>
          <w:i w:val="0"/>
          <w:iCs w:val="0"/>
          <w:color w:val="auto"/>
        </w:rPr>
        <w:t xml:space="preserve"> its</w:t>
      </w:r>
      <w:r w:rsidRPr="00AF297A">
        <w:rPr>
          <w:rStyle w:val="IntenseEmphasis"/>
          <w:b w:val="0"/>
          <w:bCs w:val="0"/>
          <w:i w:val="0"/>
          <w:iCs w:val="0"/>
          <w:color w:val="auto"/>
        </w:rPr>
        <w:t xml:space="preserve"> international obligations. It also presents a fiscal risk that the Government wants to mitigate</w:t>
      </w:r>
      <w:r w:rsidR="00A5771B">
        <w:rPr>
          <w:rStyle w:val="IntenseEmphasis"/>
          <w:b w:val="0"/>
          <w:bCs w:val="0"/>
          <w:i w:val="0"/>
          <w:iCs w:val="0"/>
          <w:color w:val="auto"/>
        </w:rPr>
        <w:t>, as</w:t>
      </w:r>
      <w:r w:rsidRPr="00AF297A">
        <w:rPr>
          <w:rStyle w:val="IntenseEmphasis"/>
          <w:b w:val="0"/>
          <w:bCs w:val="0"/>
          <w:i w:val="0"/>
          <w:iCs w:val="0"/>
          <w:color w:val="auto"/>
        </w:rPr>
        <w:t xml:space="preserve"> units carried forward by participants into the 2020s </w:t>
      </w:r>
      <w:r w:rsidR="00971D85">
        <w:rPr>
          <w:rStyle w:val="IntenseEmphasis"/>
          <w:b w:val="0"/>
          <w:bCs w:val="0"/>
          <w:i w:val="0"/>
          <w:iCs w:val="0"/>
          <w:color w:val="auto"/>
        </w:rPr>
        <w:t xml:space="preserve">will be eligible for use </w:t>
      </w:r>
      <w:r w:rsidRPr="00AF297A">
        <w:rPr>
          <w:rStyle w:val="IntenseEmphasis"/>
          <w:b w:val="0"/>
          <w:bCs w:val="0"/>
          <w:i w:val="0"/>
          <w:iCs w:val="0"/>
          <w:color w:val="auto"/>
        </w:rPr>
        <w:t>in the NZ ETS, but will not count towards meeting New Zealand</w:t>
      </w:r>
      <w:r w:rsidR="007B5588" w:rsidRPr="00AF297A">
        <w:rPr>
          <w:rStyle w:val="IntenseEmphasis"/>
          <w:b w:val="0"/>
          <w:bCs w:val="0"/>
          <w:i w:val="0"/>
          <w:iCs w:val="0"/>
          <w:color w:val="auto"/>
        </w:rPr>
        <w:t>’</w:t>
      </w:r>
      <w:r w:rsidRPr="00AF297A">
        <w:rPr>
          <w:rStyle w:val="IntenseEmphasis"/>
          <w:b w:val="0"/>
          <w:bCs w:val="0"/>
          <w:i w:val="0"/>
          <w:iCs w:val="0"/>
          <w:color w:val="auto"/>
        </w:rPr>
        <w:t>s 2030 target. This presents a fiscal risk as the Government and taxpayers may have to bear the cost of purchasing international units to meet the target, rather than emitters.</w:t>
      </w:r>
      <w:r w:rsidR="007B5588" w:rsidRPr="00AF297A">
        <w:rPr>
          <w:rStyle w:val="IntenseEmphasis"/>
          <w:b w:val="0"/>
          <w:bCs w:val="0"/>
          <w:i w:val="0"/>
          <w:iCs w:val="0"/>
          <w:color w:val="auto"/>
        </w:rPr>
        <w:t xml:space="preserve"> </w:t>
      </w:r>
    </w:p>
    <w:p w:rsidR="003458F0" w:rsidRPr="00AF297A" w:rsidRDefault="003458F0" w:rsidP="00C83717">
      <w:pPr>
        <w:pStyle w:val="BodyText"/>
        <w:rPr>
          <w:rStyle w:val="IntenseEmphasis"/>
          <w:b w:val="0"/>
          <w:bCs w:val="0"/>
          <w:i w:val="0"/>
          <w:iCs w:val="0"/>
          <w:color w:val="auto"/>
        </w:rPr>
      </w:pPr>
      <w:r w:rsidRPr="00AF297A">
        <w:rPr>
          <w:rStyle w:val="IntenseEmphasis"/>
          <w:b w:val="0"/>
          <w:bCs w:val="0"/>
          <w:i w:val="0"/>
          <w:iCs w:val="0"/>
          <w:color w:val="auto"/>
        </w:rPr>
        <w:t xml:space="preserve">This stockpile of banked NZUs amounts to around 140 million units. This is several times the total number of units surrendered under current NZ ETS settings each year, which typically </w:t>
      </w:r>
      <w:r w:rsidRPr="00AF297A">
        <w:rPr>
          <w:rStyle w:val="IntenseEmphasis"/>
          <w:b w:val="0"/>
          <w:bCs w:val="0"/>
          <w:i w:val="0"/>
          <w:iCs w:val="0"/>
          <w:color w:val="auto"/>
        </w:rPr>
        <w:lastRenderedPageBreak/>
        <w:t>amounts to less than 30 million units.</w:t>
      </w:r>
      <w:r w:rsidR="007B5588" w:rsidRPr="00AF297A">
        <w:rPr>
          <w:rStyle w:val="IntenseEmphasis"/>
          <w:b w:val="0"/>
          <w:bCs w:val="0"/>
          <w:i w:val="0"/>
          <w:iCs w:val="0"/>
          <w:color w:val="auto"/>
        </w:rPr>
        <w:t xml:space="preserve"> </w:t>
      </w:r>
      <w:r w:rsidRPr="00AF297A">
        <w:rPr>
          <w:rStyle w:val="IntenseEmphasis"/>
          <w:b w:val="0"/>
          <w:bCs w:val="0"/>
          <w:i w:val="0"/>
          <w:iCs w:val="0"/>
          <w:color w:val="auto"/>
        </w:rPr>
        <w:t>Some of these units are held by foresters, who banked the NZUs they received as their trees grew. Other participants banked units they received via one</w:t>
      </w:r>
      <w:r w:rsidR="008B279F">
        <w:rPr>
          <w:rStyle w:val="IntenseEmphasis"/>
          <w:b w:val="0"/>
          <w:bCs w:val="0"/>
          <w:i w:val="0"/>
          <w:iCs w:val="0"/>
          <w:color w:val="auto"/>
        </w:rPr>
        <w:t>-</w:t>
      </w:r>
      <w:r w:rsidRPr="00AF297A">
        <w:rPr>
          <w:rStyle w:val="IntenseEmphasis"/>
          <w:b w:val="0"/>
          <w:bCs w:val="0"/>
          <w:i w:val="0"/>
          <w:iCs w:val="0"/>
          <w:color w:val="auto"/>
        </w:rPr>
        <w:t>off allocations when the NZ ETS was first put in place</w:t>
      </w:r>
      <w:r w:rsidR="00FD5D69">
        <w:rPr>
          <w:rStyle w:val="IntenseEmphasis"/>
          <w:b w:val="0"/>
          <w:bCs w:val="0"/>
          <w:i w:val="0"/>
          <w:iCs w:val="0"/>
          <w:color w:val="auto"/>
        </w:rPr>
        <w:t xml:space="preserve">, or </w:t>
      </w:r>
      <w:r w:rsidRPr="00AF297A">
        <w:rPr>
          <w:rStyle w:val="IntenseEmphasis"/>
          <w:b w:val="0"/>
          <w:bCs w:val="0"/>
          <w:i w:val="0"/>
          <w:iCs w:val="0"/>
          <w:color w:val="auto"/>
        </w:rPr>
        <w:t xml:space="preserve">accumulated NZUs by surrendering cheaper international units to meet their obligations and banking NZUs they purchased or received from the Government. </w:t>
      </w:r>
    </w:p>
    <w:p w:rsidR="008B279F" w:rsidRDefault="003458F0" w:rsidP="00C83717">
      <w:pPr>
        <w:pStyle w:val="BodyText"/>
        <w:rPr>
          <w:rStyle w:val="IntenseEmphasis"/>
          <w:b w:val="0"/>
          <w:bCs w:val="0"/>
          <w:i w:val="0"/>
          <w:iCs w:val="0"/>
          <w:color w:val="auto"/>
        </w:rPr>
      </w:pPr>
      <w:r w:rsidRPr="00AF297A">
        <w:rPr>
          <w:rStyle w:val="IntenseEmphasis"/>
          <w:b w:val="0"/>
          <w:bCs w:val="0"/>
          <w:i w:val="0"/>
          <w:iCs w:val="0"/>
          <w:color w:val="auto"/>
        </w:rPr>
        <w:t xml:space="preserve">These banked units will </w:t>
      </w:r>
      <w:r w:rsidR="00FD5D69">
        <w:rPr>
          <w:rStyle w:val="IntenseEmphasis"/>
          <w:b w:val="0"/>
          <w:bCs w:val="0"/>
          <w:i w:val="0"/>
          <w:iCs w:val="0"/>
          <w:color w:val="auto"/>
        </w:rPr>
        <w:t xml:space="preserve">be a source of </w:t>
      </w:r>
      <w:r w:rsidRPr="00AF297A">
        <w:rPr>
          <w:rStyle w:val="IntenseEmphasis"/>
          <w:b w:val="0"/>
          <w:bCs w:val="0"/>
          <w:i w:val="0"/>
          <w:iCs w:val="0"/>
          <w:color w:val="auto"/>
        </w:rPr>
        <w:t>supply</w:t>
      </w:r>
      <w:r w:rsidR="00FD5D69">
        <w:rPr>
          <w:rStyle w:val="IntenseEmphasis"/>
          <w:b w:val="0"/>
          <w:bCs w:val="0"/>
          <w:i w:val="0"/>
          <w:iCs w:val="0"/>
          <w:color w:val="auto"/>
        </w:rPr>
        <w:t xml:space="preserve"> for</w:t>
      </w:r>
      <w:r w:rsidRPr="00AF297A">
        <w:rPr>
          <w:rStyle w:val="IntenseEmphasis"/>
          <w:b w:val="0"/>
          <w:bCs w:val="0"/>
          <w:i w:val="0"/>
          <w:iCs w:val="0"/>
          <w:color w:val="auto"/>
        </w:rPr>
        <w:t xml:space="preserve"> participants over the next few years, given</w:t>
      </w:r>
      <w:r w:rsidR="008B279F">
        <w:rPr>
          <w:rStyle w:val="IntenseEmphasis"/>
          <w:b w:val="0"/>
          <w:bCs w:val="0"/>
          <w:i w:val="0"/>
          <w:iCs w:val="0"/>
          <w:color w:val="auto"/>
        </w:rPr>
        <w:t>:</w:t>
      </w:r>
    </w:p>
    <w:p w:rsidR="002C2B45" w:rsidRDefault="003458F0" w:rsidP="00C83717">
      <w:pPr>
        <w:pStyle w:val="Bullet"/>
        <w:rPr>
          <w:rStyle w:val="IntenseEmphasis"/>
          <w:b w:val="0"/>
          <w:bCs w:val="0"/>
          <w:i w:val="0"/>
          <w:iCs w:val="0"/>
          <w:color w:val="auto"/>
        </w:rPr>
      </w:pPr>
      <w:r w:rsidRPr="00AF297A">
        <w:rPr>
          <w:rStyle w:val="IntenseEmphasis"/>
          <w:b w:val="0"/>
          <w:bCs w:val="0"/>
          <w:i w:val="0"/>
          <w:iCs w:val="0"/>
          <w:color w:val="auto"/>
        </w:rPr>
        <w:t xml:space="preserve">international units are no longer accepted for surrender </w:t>
      </w:r>
    </w:p>
    <w:p w:rsidR="002C2B45" w:rsidRDefault="003458F0" w:rsidP="00C83717">
      <w:pPr>
        <w:pStyle w:val="Bullet"/>
        <w:rPr>
          <w:rStyle w:val="IntenseEmphasis"/>
          <w:b w:val="0"/>
          <w:bCs w:val="0"/>
          <w:i w:val="0"/>
          <w:iCs w:val="0"/>
          <w:color w:val="auto"/>
        </w:rPr>
      </w:pPr>
      <w:r w:rsidRPr="00AF297A">
        <w:rPr>
          <w:rStyle w:val="IntenseEmphasis"/>
          <w:b w:val="0"/>
          <w:bCs w:val="0"/>
          <w:i w:val="0"/>
          <w:iCs w:val="0"/>
          <w:color w:val="auto"/>
        </w:rPr>
        <w:t>the annual supply of new NZUs from removal activities (such as forestry) and freely allocated NZUs is smaller than participants</w:t>
      </w:r>
      <w:r w:rsidR="007B5588" w:rsidRPr="00AF297A">
        <w:rPr>
          <w:rStyle w:val="IntenseEmphasis"/>
          <w:b w:val="0"/>
          <w:bCs w:val="0"/>
          <w:i w:val="0"/>
          <w:iCs w:val="0"/>
          <w:color w:val="auto"/>
        </w:rPr>
        <w:t>’</w:t>
      </w:r>
      <w:r w:rsidRPr="00AF297A">
        <w:rPr>
          <w:rStyle w:val="IntenseEmphasis"/>
          <w:b w:val="0"/>
          <w:bCs w:val="0"/>
          <w:i w:val="0"/>
          <w:iCs w:val="0"/>
          <w:color w:val="auto"/>
        </w:rPr>
        <w:t xml:space="preserve"> annual demand for units. </w:t>
      </w:r>
    </w:p>
    <w:p w:rsidR="003458F0" w:rsidRPr="00AF297A" w:rsidRDefault="003458F0" w:rsidP="00C83717">
      <w:pPr>
        <w:pStyle w:val="BodyText"/>
        <w:rPr>
          <w:rStyle w:val="IntenseEmphasis"/>
          <w:b w:val="0"/>
          <w:bCs w:val="0"/>
          <w:i w:val="0"/>
          <w:iCs w:val="0"/>
          <w:color w:val="auto"/>
        </w:rPr>
      </w:pPr>
      <w:r w:rsidRPr="00AF297A">
        <w:rPr>
          <w:rStyle w:val="IntenseEmphasis"/>
          <w:b w:val="0"/>
          <w:bCs w:val="0"/>
          <w:i w:val="0"/>
          <w:iCs w:val="0"/>
          <w:color w:val="auto"/>
        </w:rPr>
        <w:t>Given the large volume of these units in the market, they may also reduce market volatility.</w:t>
      </w:r>
    </w:p>
    <w:p w:rsidR="003458F0" w:rsidRPr="00AF297A" w:rsidRDefault="003458F0" w:rsidP="00C83717">
      <w:pPr>
        <w:pStyle w:val="BodyText"/>
        <w:rPr>
          <w:rStyle w:val="IntenseEmphasis"/>
          <w:b w:val="0"/>
          <w:bCs w:val="0"/>
          <w:i w:val="0"/>
          <w:iCs w:val="0"/>
          <w:color w:val="auto"/>
        </w:rPr>
      </w:pPr>
      <w:r w:rsidRPr="00AF297A">
        <w:rPr>
          <w:rStyle w:val="IntenseEmphasis"/>
          <w:b w:val="0"/>
          <w:bCs w:val="0"/>
          <w:i w:val="0"/>
          <w:iCs w:val="0"/>
          <w:color w:val="auto"/>
        </w:rPr>
        <w:t>Carrying forward some banked units is necessary and to be expected, given foresters</w:t>
      </w:r>
      <w:r w:rsidR="007B5588" w:rsidRPr="00AF297A">
        <w:rPr>
          <w:rStyle w:val="IntenseEmphasis"/>
          <w:b w:val="0"/>
          <w:bCs w:val="0"/>
          <w:i w:val="0"/>
          <w:iCs w:val="0"/>
          <w:color w:val="auto"/>
        </w:rPr>
        <w:t>’</w:t>
      </w:r>
      <w:r w:rsidRPr="00AF297A">
        <w:rPr>
          <w:rStyle w:val="IntenseEmphasis"/>
          <w:b w:val="0"/>
          <w:bCs w:val="0"/>
          <w:i w:val="0"/>
          <w:iCs w:val="0"/>
          <w:color w:val="auto"/>
        </w:rPr>
        <w:t xml:space="preserve"> need to manage NZ ETS obligations over long forestry harvest cycles. However, if too many of these units remain in circulation and current NZ ETS settings continue, they will hinder the ability of the NZ ETS to pass on the responsibility for reducing emissions or purchasing international credits to the firms or individuals generating the emissions.</w:t>
      </w:r>
      <w:r w:rsidR="007B5588" w:rsidRPr="00AF297A">
        <w:rPr>
          <w:rStyle w:val="IntenseEmphasis"/>
          <w:b w:val="0"/>
          <w:bCs w:val="0"/>
          <w:i w:val="0"/>
          <w:iCs w:val="0"/>
          <w:color w:val="auto"/>
        </w:rPr>
        <w:t xml:space="preserve"> </w:t>
      </w:r>
    </w:p>
    <w:p w:rsidR="00844476" w:rsidRPr="00AF297A" w:rsidRDefault="00191EF0" w:rsidP="00415FED">
      <w:pPr>
        <w:pStyle w:val="Heading3"/>
        <w:spacing w:after="240"/>
        <w:jc w:val="both"/>
        <w:rPr>
          <w:rStyle w:val="IntenseEmphasis"/>
          <w:b/>
          <w:bCs/>
          <w:i w:val="0"/>
          <w:iCs w:val="0"/>
          <w:color w:val="387C2B"/>
        </w:rPr>
      </w:pPr>
      <w:r>
        <w:rPr>
          <w:noProof/>
          <w:lang w:eastAsia="en-NZ"/>
        </w:rPr>
        <w:pict w14:anchorId="6DD34664">
          <v:rect id="_x0000_s1043" style="position:absolute;left:0;text-align:left;margin-left:-2.25pt;margin-top:38.55pt;width:426.6pt;height:43.2pt;z-index:-25165260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3458F0" w:rsidRPr="00AF297A">
        <w:rPr>
          <w:rStyle w:val="IntenseEmphasis"/>
          <w:b/>
          <w:bCs/>
          <w:i w:val="0"/>
          <w:iCs w:val="0"/>
          <w:color w:val="387C2B"/>
        </w:rPr>
        <w:t>Questions</w:t>
      </w:r>
    </w:p>
    <w:p w:rsidR="007A66FB" w:rsidRPr="00AF297A" w:rsidRDefault="007A66FB" w:rsidP="00CC45CF">
      <w:pPr>
        <w:pStyle w:val="Box"/>
        <w:numPr>
          <w:ilvl w:val="0"/>
          <w:numId w:val="34"/>
        </w:numPr>
        <w:pBdr>
          <w:top w:val="none" w:sz="0" w:space="0" w:color="auto"/>
          <w:left w:val="none" w:sz="0" w:space="0" w:color="auto"/>
          <w:bottom w:val="none" w:sz="0" w:space="0" w:color="auto"/>
          <w:right w:val="none" w:sz="0" w:space="0" w:color="auto"/>
        </w:pBdr>
        <w:shd w:val="clear" w:color="auto" w:fill="auto"/>
        <w:spacing w:after="120"/>
        <w:ind w:hanging="644"/>
        <w:jc w:val="both"/>
      </w:pPr>
      <w:r w:rsidRPr="00AF297A">
        <w:t xml:space="preserve">Do you agree with the drivers for the review? </w:t>
      </w:r>
      <w:r w:rsidRPr="00375D55">
        <w:rPr>
          <w:b/>
        </w:rPr>
        <w:t>Yes/No/Unsure</w:t>
      </w:r>
    </w:p>
    <w:p w:rsidR="007A66FB" w:rsidRPr="00AF297A" w:rsidRDefault="007A66FB" w:rsidP="00CC45CF">
      <w:pPr>
        <w:pStyle w:val="Box"/>
        <w:numPr>
          <w:ilvl w:val="0"/>
          <w:numId w:val="34"/>
        </w:numPr>
        <w:pBdr>
          <w:top w:val="none" w:sz="0" w:space="0" w:color="auto"/>
          <w:left w:val="none" w:sz="0" w:space="0" w:color="auto"/>
          <w:bottom w:val="none" w:sz="0" w:space="0" w:color="auto"/>
          <w:right w:val="none" w:sz="0" w:space="0" w:color="auto"/>
        </w:pBdr>
        <w:shd w:val="clear" w:color="auto" w:fill="auto"/>
        <w:spacing w:after="120"/>
        <w:ind w:hanging="644"/>
        <w:jc w:val="both"/>
      </w:pPr>
      <w:r w:rsidRPr="00AF297A">
        <w:t>What other factors should the Government be considering in this NZ ETS review?</w:t>
      </w:r>
    </w:p>
    <w:p w:rsidR="006535FA" w:rsidRPr="00AF297A" w:rsidRDefault="006535FA" w:rsidP="00415FED">
      <w:pPr>
        <w:jc w:val="both"/>
      </w:pPr>
    </w:p>
    <w:p w:rsidR="005946EE" w:rsidRPr="00AF297A" w:rsidRDefault="005946EE" w:rsidP="00C83717">
      <w:pPr>
        <w:pStyle w:val="Heading1"/>
      </w:pPr>
      <w:r w:rsidRPr="00AF297A">
        <w:br w:type="page"/>
      </w:r>
      <w:bookmarkStart w:id="11" w:name="_Toc435798383"/>
      <w:r w:rsidRPr="00AF297A">
        <w:lastRenderedPageBreak/>
        <w:t>3</w:t>
      </w:r>
      <w:r w:rsidRPr="00AF297A">
        <w:tab/>
        <w:t>Priority issues</w:t>
      </w:r>
      <w:bookmarkEnd w:id="11"/>
    </w:p>
    <w:p w:rsidR="005946EE" w:rsidRPr="00AF297A" w:rsidRDefault="005946EE" w:rsidP="00C83717">
      <w:pPr>
        <w:pStyle w:val="BodyText"/>
      </w:pPr>
      <w:r w:rsidRPr="00AF297A">
        <w:t xml:space="preserve">This section covers two linked issues </w:t>
      </w:r>
      <w:r w:rsidR="00A05D40">
        <w:t>that</w:t>
      </w:r>
      <w:r w:rsidR="00A05D40" w:rsidRPr="00AF297A">
        <w:t xml:space="preserve"> </w:t>
      </w:r>
      <w:r w:rsidRPr="00AF297A">
        <w:t xml:space="preserve">we have identified as priorities for consideration: </w:t>
      </w:r>
    </w:p>
    <w:p w:rsidR="005946EE" w:rsidRPr="00AF297A" w:rsidRDefault="00A05D40" w:rsidP="00C83717">
      <w:pPr>
        <w:pStyle w:val="Bullet"/>
      </w:pPr>
      <w:r>
        <w:t>m</w:t>
      </w:r>
      <w:r w:rsidR="005946EE" w:rsidRPr="00AF297A">
        <w:t xml:space="preserve">oving </w:t>
      </w:r>
      <w:r w:rsidR="006535FA" w:rsidRPr="00AF297A">
        <w:t>to full surrender obligations</w:t>
      </w:r>
    </w:p>
    <w:p w:rsidR="005946EE" w:rsidRPr="00AF297A" w:rsidRDefault="00A05D40" w:rsidP="00C83717">
      <w:pPr>
        <w:pStyle w:val="Bullet"/>
      </w:pPr>
      <w:r>
        <w:t>m</w:t>
      </w:r>
      <w:r w:rsidR="005946EE" w:rsidRPr="00AF297A">
        <w:t>anaging the costs of moving</w:t>
      </w:r>
      <w:r w:rsidR="006535FA" w:rsidRPr="00AF297A">
        <w:t xml:space="preserve"> to full surrender obligations.</w:t>
      </w:r>
    </w:p>
    <w:p w:rsidR="005946EE" w:rsidRPr="00AF297A" w:rsidRDefault="005946EE" w:rsidP="00C83717">
      <w:pPr>
        <w:pStyle w:val="BodyText"/>
      </w:pPr>
      <w:r w:rsidRPr="00AF297A">
        <w:t xml:space="preserve">Submissions on these matters close on </w:t>
      </w:r>
      <w:r w:rsidR="005061AA" w:rsidRPr="00EC152F">
        <w:t>19</w:t>
      </w:r>
      <w:r w:rsidRPr="00EC152F">
        <w:t xml:space="preserve"> February 2016.</w:t>
      </w:r>
      <w:r w:rsidRPr="00AF297A">
        <w:t xml:space="preserve"> </w:t>
      </w:r>
    </w:p>
    <w:p w:rsidR="005946EE" w:rsidRPr="00AF297A" w:rsidRDefault="005946EE" w:rsidP="00C83717">
      <w:pPr>
        <w:pStyle w:val="BodyText"/>
      </w:pPr>
      <w:r w:rsidRPr="00AF297A">
        <w:t xml:space="preserve">These issues have an earlier deadline as they may be candidates for legislative change in 2016. </w:t>
      </w:r>
    </w:p>
    <w:p w:rsidR="00F550E0" w:rsidRPr="00AF297A" w:rsidRDefault="00F550E0" w:rsidP="00C83717">
      <w:pPr>
        <w:pStyle w:val="Heading2"/>
      </w:pPr>
      <w:bookmarkStart w:id="12" w:name="_Toc435798384"/>
      <w:r w:rsidRPr="00AF297A">
        <w:t>3.1</w:t>
      </w:r>
      <w:r w:rsidRPr="00AF297A">
        <w:tab/>
        <w:t>Moving to full surrender obligations</w:t>
      </w:r>
      <w:bookmarkEnd w:id="12"/>
      <w:r w:rsidRPr="00AF297A">
        <w:t xml:space="preserve"> </w:t>
      </w:r>
    </w:p>
    <w:p w:rsidR="00F550E0" w:rsidRPr="00AF297A" w:rsidRDefault="00F550E0" w:rsidP="00C83717">
      <w:pPr>
        <w:pStyle w:val="BodyText"/>
      </w:pPr>
      <w:r w:rsidRPr="00AF297A">
        <w:t>The one-for-two surrender obligation allows participants from the liquid fossil fuels, industrial processes, stationary energy and waste sectors to surrender one unit for every two tonnes of emissions (ie, a 50</w:t>
      </w:r>
      <w:r w:rsidR="00A05D40">
        <w:t xml:space="preserve"> per cent</w:t>
      </w:r>
      <w:r w:rsidRPr="00AF297A">
        <w:t xml:space="preserve"> surrender obligation). This means that these participants do not face a full obligation for their emissions. As a result, the effective carbon price they pay is half the unit price. For example, with a</w:t>
      </w:r>
      <w:r w:rsidR="003E3744">
        <w:t xml:space="preserve"> New Zealand Unit</w:t>
      </w:r>
      <w:r w:rsidRPr="00AF297A">
        <w:t xml:space="preserve"> </w:t>
      </w:r>
      <w:r w:rsidR="003E3744">
        <w:t>(</w:t>
      </w:r>
      <w:r w:rsidRPr="00AF297A">
        <w:t>NZU</w:t>
      </w:r>
      <w:r w:rsidR="003E3744">
        <w:t>)</w:t>
      </w:r>
      <w:r w:rsidRPr="00AF297A">
        <w:t xml:space="preserve"> price of $7</w:t>
      </w:r>
      <w:r w:rsidR="00D80A7E">
        <w:t>,</w:t>
      </w:r>
      <w:r w:rsidRPr="00AF297A">
        <w:t xml:space="preserve"> these emitters pay an effective carbon price of $3.50 for each tonne of emissions, with a maximum effective carbon price set at $12.50 due to the $25 fixed price surrender option. </w:t>
      </w:r>
    </w:p>
    <w:p w:rsidR="00F550E0" w:rsidRPr="00AF297A" w:rsidRDefault="00F550E0" w:rsidP="00C83717">
      <w:pPr>
        <w:pStyle w:val="BodyText"/>
      </w:pPr>
      <w:r w:rsidRPr="00AF297A">
        <w:t>The one-for-two surrender obligation was introduced in 2009</w:t>
      </w:r>
      <w:r w:rsidR="00D80A7E">
        <w:t>. It was designed</w:t>
      </w:r>
      <w:r w:rsidRPr="00AF297A">
        <w:t xml:space="preserve"> as a transitional measure</w:t>
      </w:r>
      <w:r w:rsidR="00D80A7E">
        <w:t>,</w:t>
      </w:r>
      <w:r w:rsidRPr="00AF297A">
        <w:t xml:space="preserve"> to moderate the initial impacts of the </w:t>
      </w:r>
      <w:r w:rsidR="0026598D">
        <w:t>New Zealand Emissions Trading Scheme (</w:t>
      </w:r>
      <w:r w:rsidRPr="00AF297A">
        <w:t>NZ ETS</w:t>
      </w:r>
      <w:r w:rsidR="0026598D">
        <w:t>)</w:t>
      </w:r>
      <w:r w:rsidRPr="00AF297A">
        <w:t xml:space="preserve"> on businesses and households during </w:t>
      </w:r>
      <w:r w:rsidR="00D80A7E">
        <w:t xml:space="preserve">the </w:t>
      </w:r>
      <w:r w:rsidRPr="00AF297A">
        <w:t>economic downturn in New Zealand. In 2011, the one-for-two surrender obligation was considered as part of the NZ ETS Review, and the Review Panel recommended that it be phased</w:t>
      </w:r>
      <w:r w:rsidR="00D80A7E">
        <w:t xml:space="preserve"> </w:t>
      </w:r>
      <w:r w:rsidRPr="00AF297A">
        <w:t>out over three years. However, the Government chose to maintain the one-for-two surrender obligation</w:t>
      </w:r>
      <w:r w:rsidR="00D80A7E">
        <w:t>,</w:t>
      </w:r>
      <w:r w:rsidRPr="00AF297A">
        <w:t xml:space="preserve"> due to the ongoing impacts of the global financial crisis on New Zealand businesses and households.</w:t>
      </w:r>
    </w:p>
    <w:p w:rsidR="00C03393" w:rsidRPr="00AF297A" w:rsidRDefault="00C03393" w:rsidP="00C83717">
      <w:pPr>
        <w:pStyle w:val="Heading3"/>
      </w:pPr>
      <w:r w:rsidRPr="00AF297A">
        <w:t>Why is change being considered?</w:t>
      </w:r>
    </w:p>
    <w:p w:rsidR="00C03393" w:rsidRPr="00AF297A" w:rsidRDefault="00B810E1" w:rsidP="00C83717">
      <w:pPr>
        <w:pStyle w:val="BodyText"/>
      </w:pPr>
      <w:r>
        <w:t>T</w:t>
      </w:r>
      <w:r w:rsidR="00C03393" w:rsidRPr="00AF297A">
        <w:t>here is now a strong rationale for participants from the liquid fossil fuels, industrial processes, stationary energy and waste sectors to take full responsibility for their emissions</w:t>
      </w:r>
      <w:r>
        <w:t>,</w:t>
      </w:r>
      <w:r w:rsidR="00C03393" w:rsidRPr="00AF297A">
        <w:t xml:space="preserve"> as circumstances have now changed. The NZ ETS has been in place since 2008 and most sectors have been in the scheme since 2010. The New Zealand economy has made a solid recovery since the 2008/09 recession, which was shallow compared to other advanced economies, </w:t>
      </w:r>
      <w:r>
        <w:t>and there has been</w:t>
      </w:r>
      <w:r w:rsidRPr="00AF297A">
        <w:t xml:space="preserve"> </w:t>
      </w:r>
      <w:r w:rsidR="00C03393" w:rsidRPr="00AF297A">
        <w:t>moderate but sus</w:t>
      </w:r>
      <w:r w:rsidR="00F7166D" w:rsidRPr="00AF297A">
        <w:t>tained growth over recent years</w:t>
      </w:r>
      <w:r w:rsidR="00C03393" w:rsidRPr="00AF297A">
        <w:t>.</w:t>
      </w:r>
      <w:r w:rsidR="00F7166D" w:rsidRPr="00AF297A">
        <w:rPr>
          <w:rStyle w:val="FootnoteReference"/>
        </w:rPr>
        <w:footnoteReference w:id="6"/>
      </w:r>
    </w:p>
    <w:p w:rsidR="00C03393" w:rsidRPr="00AF297A" w:rsidRDefault="00C03393" w:rsidP="00C83717">
      <w:pPr>
        <w:pStyle w:val="BodyText"/>
      </w:pPr>
      <w:r w:rsidRPr="00AF297A">
        <w:t xml:space="preserve">Moving to full surrender obligations would </w:t>
      </w:r>
      <w:r w:rsidR="00B966A7">
        <w:t>increase the</w:t>
      </w:r>
      <w:r w:rsidR="00B966A7" w:rsidRPr="00AF297A">
        <w:t xml:space="preserve"> </w:t>
      </w:r>
      <w:r w:rsidRPr="00AF297A">
        <w:t xml:space="preserve">incentive to reduce emissions, and </w:t>
      </w:r>
      <w:r w:rsidR="00B966A7">
        <w:t>give</w:t>
      </w:r>
      <w:r w:rsidR="00B966A7" w:rsidRPr="00AF297A">
        <w:t xml:space="preserve"> </w:t>
      </w:r>
      <w:r w:rsidRPr="00AF297A">
        <w:t xml:space="preserve">businesses greater certainty </w:t>
      </w:r>
      <w:r w:rsidR="00B966A7">
        <w:t>when</w:t>
      </w:r>
      <w:r w:rsidR="00B966A7" w:rsidRPr="00AF297A">
        <w:t xml:space="preserve"> </w:t>
      </w:r>
      <w:r w:rsidRPr="00AF297A">
        <w:t>making investment decisions. This could promote better planning</w:t>
      </w:r>
      <w:r w:rsidR="008343DE">
        <w:t>,</w:t>
      </w:r>
      <w:r w:rsidRPr="00AF297A">
        <w:t xml:space="preserve"> especially for decisions related to long-lived assets that will be affected by potentially higher cost</w:t>
      </w:r>
      <w:r w:rsidR="008343DE">
        <w:t>s</w:t>
      </w:r>
      <w:r w:rsidRPr="00AF297A">
        <w:t xml:space="preserve"> of emissions in future. It would also improve the scheme</w:t>
      </w:r>
      <w:r w:rsidR="007B5588" w:rsidRPr="00AF297A">
        <w:t>’</w:t>
      </w:r>
      <w:r w:rsidRPr="00AF297A">
        <w:t xml:space="preserve">s ability to transfer costs to emitters and help New Zealand efficiently meet its international obligations in the 2020s by increasing demand for banked units. </w:t>
      </w:r>
    </w:p>
    <w:p w:rsidR="00C03393" w:rsidRPr="00AF297A" w:rsidRDefault="00C03393" w:rsidP="00C83717">
      <w:pPr>
        <w:pStyle w:val="Heading3"/>
      </w:pPr>
      <w:r w:rsidRPr="00AF297A">
        <w:lastRenderedPageBreak/>
        <w:t>Options</w:t>
      </w:r>
      <w:r w:rsidR="007B5588" w:rsidRPr="00AF297A">
        <w:t xml:space="preserve"> </w:t>
      </w:r>
    </w:p>
    <w:p w:rsidR="00E0184E" w:rsidRPr="00AF297A" w:rsidRDefault="00C03393" w:rsidP="00C83717">
      <w:pPr>
        <w:pStyle w:val="BodyText"/>
      </w:pPr>
      <w:r w:rsidRPr="00AF297A">
        <w:t>We want to assess whether the liquid fossil fuels, industrial processes, stationary energy and waste sectors should move to full surrender obligations. There are two broad options when considering the one-for-two measure:</w:t>
      </w:r>
    </w:p>
    <w:p w:rsidR="00C03393" w:rsidRPr="00AF297A" w:rsidRDefault="00C03393" w:rsidP="00C83717">
      <w:pPr>
        <w:pStyle w:val="Numberedparagraph"/>
      </w:pPr>
      <w:r w:rsidRPr="00AF297A">
        <w:t>maintaining a 50</w:t>
      </w:r>
      <w:r w:rsidR="008343DE">
        <w:t xml:space="preserve"> per cent</w:t>
      </w:r>
      <w:r w:rsidRPr="00AF297A">
        <w:t xml:space="preserve"> surrender obligation indefinitely</w:t>
      </w:r>
      <w:r w:rsidR="008343DE">
        <w:t>,</w:t>
      </w:r>
      <w:r w:rsidRPr="00AF297A">
        <w:t xml:space="preserve"> or until a specified future time when it will be reviewed</w:t>
      </w:r>
    </w:p>
    <w:p w:rsidR="00C03393" w:rsidRPr="00AF297A" w:rsidRDefault="00C03393" w:rsidP="00C83717">
      <w:pPr>
        <w:pStyle w:val="Numberedparagraph"/>
      </w:pPr>
      <w:r w:rsidRPr="00AF297A">
        <w:t>moving to full surrender obligations by removing the one-for-two transitional measure. The timing for this would have to be considered, and at the earliest could occur from mid-2016.</w:t>
      </w:r>
      <w:r w:rsidR="007B5588" w:rsidRPr="00AF297A">
        <w:t xml:space="preserve"> </w:t>
      </w:r>
    </w:p>
    <w:p w:rsidR="00C03393" w:rsidRPr="00AF297A" w:rsidRDefault="00C03393" w:rsidP="00C83717">
      <w:pPr>
        <w:pStyle w:val="Heading3"/>
      </w:pPr>
      <w:r w:rsidRPr="00AF297A">
        <w:t>Implications</w:t>
      </w:r>
    </w:p>
    <w:p w:rsidR="00C03393" w:rsidRPr="00AF297A" w:rsidRDefault="00C03393" w:rsidP="00C83717">
      <w:pPr>
        <w:pStyle w:val="BodyText"/>
      </w:pPr>
      <w:r w:rsidRPr="00AF297A">
        <w:t>If the status quo is maintained</w:t>
      </w:r>
      <w:r w:rsidR="008343DE">
        <w:t>,</w:t>
      </w:r>
      <w:r w:rsidRPr="00AF297A">
        <w:t xml:space="preserve"> the one-for-two surrender obligation will continue to protect firms from facing obligations for all their emissions. The effective carbon price would continue to be half the NZU price, and demand for units within the NZ ETS would remain relatively unchanged. The NZU price would be likely to increase gradually over time as the amount of banked units reduces to a maximum effective carbon price of $12.50.</w:t>
      </w:r>
      <w:r w:rsidR="007B5588" w:rsidRPr="00AF297A">
        <w:t xml:space="preserve"> </w:t>
      </w:r>
    </w:p>
    <w:p w:rsidR="00C03393" w:rsidRPr="00AF297A" w:rsidRDefault="00C03393" w:rsidP="00C83717">
      <w:pPr>
        <w:pStyle w:val="BodyText"/>
      </w:pPr>
      <w:r w:rsidRPr="00AF297A">
        <w:t>If the NZ ETS moved to a full surrender obligation, demand for units would double. Costs to NZ ETS participants would increase through two effects:</w:t>
      </w:r>
    </w:p>
    <w:p w:rsidR="00C03393" w:rsidRPr="00AF297A" w:rsidRDefault="00C03393" w:rsidP="00C83717">
      <w:pPr>
        <w:pStyle w:val="Numberedparagraph"/>
        <w:numPr>
          <w:ilvl w:val="0"/>
          <w:numId w:val="13"/>
        </w:numPr>
      </w:pPr>
      <w:r w:rsidRPr="00AF297A">
        <w:t>The effective carbon price faced by non-forestry participants would double as a result of a doubling of their surrender obligations</w:t>
      </w:r>
    </w:p>
    <w:p w:rsidR="00C03393" w:rsidRPr="00AF297A" w:rsidRDefault="00C03393" w:rsidP="00C83717">
      <w:pPr>
        <w:pStyle w:val="Numberedparagraph"/>
      </w:pPr>
      <w:r w:rsidRPr="00AF297A">
        <w:t>NZU prices would rise more quickly than they would otherwise, because increased demand for units would use up the stockpile of banked NZUs more quickly.</w:t>
      </w:r>
    </w:p>
    <w:p w:rsidR="00C03393" w:rsidRPr="00AF297A" w:rsidRDefault="00C03393" w:rsidP="00C83717">
      <w:pPr>
        <w:pStyle w:val="BodyText"/>
      </w:pPr>
      <w:r w:rsidRPr="00AF297A">
        <w:t>This would result in:</w:t>
      </w:r>
    </w:p>
    <w:p w:rsidR="00C03393" w:rsidRPr="00AF297A" w:rsidRDefault="00C03393" w:rsidP="00C83717">
      <w:pPr>
        <w:pStyle w:val="Bullet"/>
      </w:pPr>
      <w:r w:rsidRPr="00AF297A">
        <w:t>increased incentives to reduce emissions now and in the future</w:t>
      </w:r>
    </w:p>
    <w:p w:rsidR="00C03393" w:rsidRPr="00AF297A" w:rsidRDefault="0073718B" w:rsidP="00C83717">
      <w:pPr>
        <w:pStyle w:val="Bullet"/>
      </w:pPr>
      <w:r>
        <w:t>greater</w:t>
      </w:r>
      <w:r w:rsidRPr="00AF297A">
        <w:t xml:space="preserve"> </w:t>
      </w:r>
      <w:r w:rsidR="00C03393" w:rsidRPr="00AF297A">
        <w:t>incentives to invest in removals from forestry</w:t>
      </w:r>
    </w:p>
    <w:p w:rsidR="00C03393" w:rsidRPr="00AF297A" w:rsidRDefault="00C03393" w:rsidP="00C83717">
      <w:pPr>
        <w:pStyle w:val="Bullet"/>
      </w:pPr>
      <w:r w:rsidRPr="00AF297A">
        <w:t>increased costs to participants, with flow</w:t>
      </w:r>
      <w:r w:rsidR="0073718B">
        <w:t>-</w:t>
      </w:r>
      <w:r w:rsidRPr="00AF297A">
        <w:t>on implications for non-participating firms, households and the wider economy</w:t>
      </w:r>
    </w:p>
    <w:p w:rsidR="00C03393" w:rsidRPr="00AF297A" w:rsidRDefault="00C03393" w:rsidP="00C83717">
      <w:pPr>
        <w:pStyle w:val="Bullet"/>
      </w:pPr>
      <w:r w:rsidRPr="00AF297A">
        <w:t xml:space="preserve">a </w:t>
      </w:r>
      <w:r w:rsidR="0073718B">
        <w:t>faster</w:t>
      </w:r>
      <w:r w:rsidR="0073718B" w:rsidRPr="00AF297A">
        <w:t xml:space="preserve"> </w:t>
      </w:r>
      <w:r w:rsidRPr="00AF297A">
        <w:t>decrease in the number of banked NZUs, mitigating the Government</w:t>
      </w:r>
      <w:r w:rsidR="007B5588" w:rsidRPr="00AF297A">
        <w:t>’</w:t>
      </w:r>
      <w:r w:rsidRPr="00AF297A">
        <w:t>s potential fiscal risk in the 2020s.</w:t>
      </w:r>
    </w:p>
    <w:p w:rsidR="00C03393" w:rsidRPr="007F2DDC" w:rsidRDefault="00C03393" w:rsidP="00C83717">
      <w:pPr>
        <w:pStyle w:val="BodyText"/>
      </w:pPr>
      <w:r w:rsidRPr="00AF297A">
        <w:t>The scale of these impacts</w:t>
      </w:r>
      <w:r w:rsidR="00495EF4">
        <w:t xml:space="preserve"> </w:t>
      </w:r>
      <w:r w:rsidR="00495EF4" w:rsidRPr="00AF297A">
        <w:t>depend</w:t>
      </w:r>
      <w:r w:rsidR="00495EF4">
        <w:t>s</w:t>
      </w:r>
      <w:r w:rsidRPr="00AF297A">
        <w:t xml:space="preserve"> partly on the carbon price, but it is very difficult to predict future carbon prices. A sense of potential impacts on participants and households is provided in Appendix 2. </w:t>
      </w:r>
      <w:r w:rsidRPr="007F2DDC">
        <w:t>Modelling is also being undertaken to assess impacts on emissions and on the wider economy.</w:t>
      </w:r>
      <w:r w:rsidR="007B5588" w:rsidRPr="007F2DDC">
        <w:t xml:space="preserve"> </w:t>
      </w:r>
      <w:r w:rsidR="009A1CF9" w:rsidRPr="007F2DDC">
        <w:t xml:space="preserve">We expect this modelling to be completed and released in </w:t>
      </w:r>
      <w:r w:rsidR="00F570F5">
        <w:t>early</w:t>
      </w:r>
      <w:r w:rsidR="00707CB0">
        <w:t xml:space="preserve"> </w:t>
      </w:r>
      <w:r w:rsidR="00F570F5">
        <w:t>2016</w:t>
      </w:r>
      <w:r w:rsidR="009A1CF9" w:rsidRPr="007F2DDC">
        <w:t>.</w:t>
      </w:r>
    </w:p>
    <w:p w:rsidR="00C03393" w:rsidRPr="00AF297A" w:rsidRDefault="00C03393" w:rsidP="00C83717">
      <w:pPr>
        <w:pStyle w:val="BodyText"/>
      </w:pPr>
      <w:r w:rsidRPr="007F2DDC">
        <w:t>It should be noted that if the one-for-two surrender obligation is removed, the amount of free allocation provided to emissions</w:t>
      </w:r>
      <w:r w:rsidR="00546B70" w:rsidRPr="007F2DDC">
        <w:t>-</w:t>
      </w:r>
      <w:r w:rsidRPr="007F2DDC">
        <w:t>intensive and trade</w:t>
      </w:r>
      <w:r w:rsidR="00546B70" w:rsidRPr="007F2DDC">
        <w:t>-</w:t>
      </w:r>
      <w:r w:rsidRPr="007F2DDC">
        <w:t>exposed activities will automatically be increased to correspond with the increased surrender obligation.</w:t>
      </w:r>
      <w:r w:rsidRPr="00AF297A">
        <w:t xml:space="preserve"> </w:t>
      </w:r>
    </w:p>
    <w:p w:rsidR="00C03393" w:rsidRPr="00AF297A" w:rsidRDefault="00C03393" w:rsidP="00C83717">
      <w:pPr>
        <w:pStyle w:val="Heading2"/>
      </w:pPr>
      <w:bookmarkStart w:id="13" w:name="_Toc435798385"/>
      <w:r w:rsidRPr="00AF297A">
        <w:lastRenderedPageBreak/>
        <w:t>3.2</w:t>
      </w:r>
      <w:r w:rsidRPr="00AF297A">
        <w:tab/>
        <w:t xml:space="preserve">Managing </w:t>
      </w:r>
      <w:r w:rsidR="00546B70">
        <w:t xml:space="preserve">the </w:t>
      </w:r>
      <w:r w:rsidRPr="00AF297A">
        <w:t xml:space="preserve">costs </w:t>
      </w:r>
      <w:r w:rsidR="00546B70">
        <w:t>of</w:t>
      </w:r>
      <w:r w:rsidRPr="00AF297A">
        <w:t xml:space="preserve"> full surrender obligations</w:t>
      </w:r>
      <w:bookmarkEnd w:id="13"/>
    </w:p>
    <w:p w:rsidR="00087C4A" w:rsidRPr="00AF297A" w:rsidRDefault="00087C4A" w:rsidP="00C83717">
      <w:pPr>
        <w:pStyle w:val="BodyText"/>
      </w:pPr>
      <w:r w:rsidRPr="00AF297A">
        <w:t>If the liquid fossil fuels, industrial processes, stationary energy and waste sectors move to full surrender obligation</w:t>
      </w:r>
      <w:r w:rsidR="000116BA">
        <w:t>s</w:t>
      </w:r>
      <w:r w:rsidRPr="00AF297A">
        <w:t>, there will be increased costs to participants and the wider economy</w:t>
      </w:r>
      <w:r w:rsidR="00683C89" w:rsidRPr="00AF297A">
        <w:t>.</w:t>
      </w:r>
      <w:r w:rsidR="007B5588" w:rsidRPr="00AF297A">
        <w:t xml:space="preserve"> </w:t>
      </w:r>
    </w:p>
    <w:p w:rsidR="00C93F45" w:rsidRDefault="00087C4A" w:rsidP="00C83717">
      <w:pPr>
        <w:pStyle w:val="BodyText"/>
      </w:pPr>
      <w:r w:rsidRPr="00AF297A">
        <w:t xml:space="preserve">The Government wants to ensure the benefits from moving to a full surrender obligation are balanced with keeping the costs from this change manageable in the short term. There are two avenues to manage costs: </w:t>
      </w:r>
    </w:p>
    <w:p w:rsidR="00C93F45" w:rsidRDefault="00087C4A" w:rsidP="00C83717">
      <w:pPr>
        <w:pStyle w:val="Bullet"/>
      </w:pPr>
      <w:r w:rsidRPr="00AF297A">
        <w:t>gradually moving to a full surrender obligation</w:t>
      </w:r>
    </w:p>
    <w:p w:rsidR="00087C4A" w:rsidRPr="00AF297A" w:rsidRDefault="00087C4A" w:rsidP="00C83717">
      <w:pPr>
        <w:pStyle w:val="Bullet"/>
      </w:pPr>
      <w:r w:rsidRPr="00AF297A">
        <w:t xml:space="preserve">adjusting the existing $25 fixed price surrender option. </w:t>
      </w:r>
    </w:p>
    <w:p w:rsidR="00087C4A" w:rsidRPr="00AF297A" w:rsidRDefault="00087C4A" w:rsidP="00C83717">
      <w:pPr>
        <w:pStyle w:val="BodyText"/>
      </w:pPr>
      <w:r w:rsidRPr="00AF297A">
        <w:t xml:space="preserve">The $25 fixed price surrender option allows businesses to surrender an NZU by paying the Government $25 per unit. It was established as a transition measure in 2009 to protect firms and the economy from price spikes or excessive costs. It acts to cap the maximum carbon price in the NZ ETS, and in combination with the one-for-two surrender obligation, it currently ensures that the maximum effective carbon price any non-forestry participant will face is $12.50 per tonne. </w:t>
      </w:r>
    </w:p>
    <w:p w:rsidR="00087C4A" w:rsidRPr="00AF297A" w:rsidRDefault="00087C4A" w:rsidP="00C83717">
      <w:pPr>
        <w:pStyle w:val="BodyText"/>
      </w:pPr>
      <w:r w:rsidRPr="00AF297A">
        <w:t>The $25 fixed price surrender option was considered in the last review of the NZ ETS in 2011.</w:t>
      </w:r>
      <w:r w:rsidR="007B5588" w:rsidRPr="00AF297A">
        <w:t xml:space="preserve"> </w:t>
      </w:r>
      <w:r w:rsidRPr="00AF297A">
        <w:t>At that time the Review Panel recommended that it be retained, but increased in steps up to $50 by 2017 to incentivise emissions reductions. Given uncertainties about the future of international carbon markets, the Government decided in 2012 to keep the fixed price surrender option at $25.</w:t>
      </w:r>
    </w:p>
    <w:p w:rsidR="00087C4A" w:rsidRPr="00AF297A" w:rsidRDefault="00087C4A" w:rsidP="00C83717">
      <w:pPr>
        <w:pStyle w:val="BodyText"/>
      </w:pPr>
      <w:r w:rsidRPr="00AF297A">
        <w:t>Managing price stability over the medium</w:t>
      </w:r>
      <w:r w:rsidR="004678DB">
        <w:t>-</w:t>
      </w:r>
      <w:r w:rsidRPr="00AF297A">
        <w:t>to</w:t>
      </w:r>
      <w:r w:rsidR="004678DB">
        <w:t>-</w:t>
      </w:r>
      <w:r w:rsidRPr="00AF297A">
        <w:t xml:space="preserve">long term is also important. See section 4.4 for further discussion of this issue. </w:t>
      </w:r>
    </w:p>
    <w:p w:rsidR="00087C4A" w:rsidRPr="00AF297A" w:rsidRDefault="00087C4A" w:rsidP="00C83717">
      <w:pPr>
        <w:pStyle w:val="Heading3"/>
      </w:pPr>
      <w:r w:rsidRPr="00AF297A">
        <w:t xml:space="preserve">Options </w:t>
      </w:r>
    </w:p>
    <w:p w:rsidR="00087C4A" w:rsidRPr="00AF297A" w:rsidRDefault="00087C4A" w:rsidP="00C83717">
      <w:pPr>
        <w:pStyle w:val="BodyText"/>
      </w:pPr>
      <w:r w:rsidRPr="00AF297A">
        <w:t xml:space="preserve">There are three broad options when considering how to manage costs if the NZ ETS moves to </w:t>
      </w:r>
      <w:r w:rsidR="006B02A2">
        <w:t xml:space="preserve">the </w:t>
      </w:r>
      <w:r w:rsidRPr="00AF297A">
        <w:t xml:space="preserve">full surrender obligations for the liquid fossil fuels, industrial processes, stationary energy and waste sectors: </w:t>
      </w:r>
    </w:p>
    <w:p w:rsidR="00087C4A" w:rsidRPr="00AF297A" w:rsidRDefault="00087C4A" w:rsidP="00C83717">
      <w:pPr>
        <w:pStyle w:val="Numberedparagraph"/>
        <w:numPr>
          <w:ilvl w:val="0"/>
          <w:numId w:val="14"/>
        </w:numPr>
      </w:pPr>
      <w:r w:rsidRPr="00AF297A">
        <w:t>maintain the $25 fixed price surrender option, which limits the extent of possible NZU price rises from removing one-for-two surrender obligation</w:t>
      </w:r>
    </w:p>
    <w:p w:rsidR="00087C4A" w:rsidRPr="00AF297A" w:rsidRDefault="00087C4A" w:rsidP="00C83717">
      <w:pPr>
        <w:pStyle w:val="Numberedparagraph"/>
      </w:pPr>
      <w:r w:rsidRPr="00AF297A">
        <w:t>lower the $25 value if the potential costs of keeping it at $25 are considered too high</w:t>
      </w:r>
      <w:r w:rsidR="007B5588" w:rsidRPr="00AF297A">
        <w:t xml:space="preserve"> </w:t>
      </w:r>
    </w:p>
    <w:p w:rsidR="00087C4A" w:rsidRPr="00AF297A" w:rsidRDefault="00087C4A" w:rsidP="00C83717">
      <w:pPr>
        <w:pStyle w:val="Numberedparagraph"/>
      </w:pPr>
      <w:r w:rsidRPr="00AF297A">
        <w:t>gradually move to full surrender obligations, whereby the surrender obligation faced by participants increases incrementally over time.</w:t>
      </w:r>
      <w:r w:rsidR="0095458D" w:rsidRPr="00AF297A">
        <w:rPr>
          <w:rStyle w:val="FootnoteReference"/>
        </w:rPr>
        <w:footnoteReference w:id="7"/>
      </w:r>
    </w:p>
    <w:p w:rsidR="00087C4A" w:rsidRPr="00AF297A" w:rsidRDefault="00087C4A" w:rsidP="00C83717">
      <w:pPr>
        <w:pStyle w:val="BodyText"/>
      </w:pPr>
      <w:r w:rsidRPr="00AF297A">
        <w:t>Any option related to the $25 fixed price surrender option could be combined with a plan to increase the fixed price value in future.</w:t>
      </w:r>
    </w:p>
    <w:p w:rsidR="00087C4A" w:rsidRPr="00AF297A" w:rsidRDefault="00087C4A" w:rsidP="00C83717">
      <w:pPr>
        <w:pStyle w:val="Heading3"/>
      </w:pPr>
      <w:r w:rsidRPr="00AF297A">
        <w:lastRenderedPageBreak/>
        <w:t>Implications</w:t>
      </w:r>
    </w:p>
    <w:p w:rsidR="00087C4A" w:rsidRPr="00AF297A" w:rsidRDefault="00087C4A" w:rsidP="00C83717">
      <w:pPr>
        <w:pStyle w:val="BodyText"/>
        <w:keepNext/>
      </w:pPr>
      <w:r w:rsidRPr="00AF297A">
        <w:t xml:space="preserve">When considering these options, the following factors will need to be taken into account: </w:t>
      </w:r>
    </w:p>
    <w:p w:rsidR="00087C4A" w:rsidRPr="00AF297A" w:rsidRDefault="00087C4A" w:rsidP="00C83717">
      <w:pPr>
        <w:pStyle w:val="Bullet"/>
      </w:pPr>
      <w:r w:rsidRPr="00AF297A">
        <w:t>the increased cost of emissions from moving to full surrender obligations would increase incentives to invest in emissions reductions</w:t>
      </w:r>
    </w:p>
    <w:p w:rsidR="00087C4A" w:rsidRPr="00AF297A" w:rsidRDefault="00087C4A" w:rsidP="00C83717">
      <w:pPr>
        <w:pStyle w:val="Bullet"/>
      </w:pPr>
      <w:r w:rsidRPr="00AF297A">
        <w:t>the increased NZ ETS costs to firms, households and the wider economy resulting from the doubling of surrender obligations and increasing NZU prices</w:t>
      </w:r>
    </w:p>
    <w:p w:rsidR="00087C4A" w:rsidRPr="00AF297A" w:rsidRDefault="00087C4A" w:rsidP="00C83717">
      <w:pPr>
        <w:pStyle w:val="Bullet"/>
      </w:pPr>
      <w:r w:rsidRPr="00AF297A">
        <w:t xml:space="preserve">whether and to what extent lowering the $25 fixed price surrender option may: </w:t>
      </w:r>
    </w:p>
    <w:p w:rsidR="00087C4A" w:rsidRPr="007F2DDC" w:rsidRDefault="00087C4A" w:rsidP="00C83717">
      <w:pPr>
        <w:pStyle w:val="Sub-list"/>
      </w:pPr>
      <w:r w:rsidRPr="00AF297A">
        <w:t xml:space="preserve">decrease incentives to invest in </w:t>
      </w:r>
      <w:r w:rsidRPr="007F2DDC">
        <w:t>removals from forestry and emissions reductions</w:t>
      </w:r>
    </w:p>
    <w:p w:rsidR="00087C4A" w:rsidRPr="007F2DDC" w:rsidRDefault="00087C4A" w:rsidP="00C83717">
      <w:pPr>
        <w:pStyle w:val="Sub-list"/>
      </w:pPr>
      <w:r w:rsidRPr="007F2DDC">
        <w:t>decrease demand for banked NZUs</w:t>
      </w:r>
    </w:p>
    <w:p w:rsidR="00087C4A" w:rsidRPr="007F2DDC" w:rsidRDefault="00087C4A" w:rsidP="00C83717">
      <w:pPr>
        <w:pStyle w:val="Sub-list"/>
      </w:pPr>
      <w:r w:rsidRPr="007F2DDC">
        <w:t>align carbon prices in New Zealand towards international carbon prices in the 2020s.</w:t>
      </w:r>
    </w:p>
    <w:p w:rsidR="00087C4A" w:rsidRPr="007F2DDC" w:rsidRDefault="00087C4A" w:rsidP="00C83717">
      <w:pPr>
        <w:pStyle w:val="BodyText"/>
      </w:pPr>
      <w:r w:rsidRPr="007F2DDC">
        <w:t xml:space="preserve">Appendix 2 contains information on the potential impacts </w:t>
      </w:r>
      <w:r w:rsidR="006E5E0C" w:rsidRPr="007F2DDC">
        <w:t xml:space="preserve">on participants and households </w:t>
      </w:r>
      <w:r w:rsidRPr="007F2DDC">
        <w:t>of increasing carbon prices. Modelling is also being undertaken to assess impacts on emissions and on the wider economy.</w:t>
      </w:r>
      <w:r w:rsidR="007B5588" w:rsidRPr="007F2DDC">
        <w:t xml:space="preserve"> </w:t>
      </w:r>
      <w:r w:rsidR="00CE1A36" w:rsidRPr="007F2DDC">
        <w:t xml:space="preserve">We expect this modelling to be completed and released in </w:t>
      </w:r>
      <w:r w:rsidR="001E4B84">
        <w:t>early 2016</w:t>
      </w:r>
      <w:r w:rsidR="00707CB0">
        <w:t>.</w:t>
      </w:r>
    </w:p>
    <w:p w:rsidR="00C03393" w:rsidRPr="00AF297A" w:rsidRDefault="00683C89" w:rsidP="00415FED">
      <w:pPr>
        <w:pStyle w:val="Heading3"/>
        <w:spacing w:after="120"/>
        <w:jc w:val="both"/>
      </w:pPr>
      <w:r w:rsidRPr="007F2DDC">
        <w:t>Questions</w:t>
      </w:r>
    </w:p>
    <w:p w:rsidR="00AA76B4" w:rsidRPr="00AF297A" w:rsidRDefault="00191EF0" w:rsidP="00AA76B4">
      <w:pPr>
        <w:pStyle w:val="Boxheading"/>
        <w:pBdr>
          <w:top w:val="none" w:sz="0" w:space="0" w:color="auto"/>
          <w:left w:val="none" w:sz="0" w:space="0" w:color="auto"/>
          <w:bottom w:val="none" w:sz="0" w:space="0" w:color="auto"/>
          <w:right w:val="none" w:sz="0" w:space="0" w:color="auto"/>
        </w:pBdr>
        <w:shd w:val="clear" w:color="auto" w:fill="auto"/>
        <w:spacing w:before="240" w:after="120"/>
        <w:ind w:hanging="284"/>
        <w:jc w:val="both"/>
      </w:pPr>
      <w:r>
        <w:rPr>
          <w:noProof/>
          <w:lang w:eastAsia="en-NZ"/>
        </w:rPr>
        <w:pict w14:anchorId="6DD34664">
          <v:rect id="_x0000_s1044" style="position:absolute;left:0;text-align:left;margin-left:-2.9pt;margin-top:4.35pt;width:416.85pt;height:339.25pt;z-index:-25165158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AA76B4" w:rsidRPr="00AF297A">
        <w:t xml:space="preserve">Moving to full surrender obligations </w:t>
      </w:r>
    </w:p>
    <w:p w:rsidR="00AA76B4" w:rsidRPr="00AF297A" w:rsidRDefault="00AA76B4" w:rsidP="00563431">
      <w:pPr>
        <w:pStyle w:val="Box"/>
        <w:numPr>
          <w:ilvl w:val="0"/>
          <w:numId w:val="36"/>
        </w:numPr>
        <w:pBdr>
          <w:top w:val="none" w:sz="0" w:space="0" w:color="auto"/>
          <w:left w:val="none" w:sz="0" w:space="0" w:color="auto"/>
          <w:bottom w:val="none" w:sz="0" w:space="0" w:color="auto"/>
          <w:right w:val="none" w:sz="0" w:space="0" w:color="auto"/>
        </w:pBdr>
        <w:shd w:val="clear" w:color="auto" w:fill="auto"/>
        <w:spacing w:after="120"/>
      </w:pPr>
      <w:r w:rsidRPr="00AF297A">
        <w:t>Should the NZ ETS move to a full surrender obligation for the liquid fossil fuels, industrial processes, stationary energy and waste sectors?</w:t>
      </w:r>
      <w:r w:rsidRPr="00E507B5">
        <w:rPr>
          <w:b/>
        </w:rPr>
        <w:t xml:space="preserve"> Yes/No/Unsure</w:t>
      </w:r>
    </w:p>
    <w:p w:rsidR="00AA76B4" w:rsidRPr="00AF297A" w:rsidRDefault="00AA76B4" w:rsidP="00563431">
      <w:pPr>
        <w:pStyle w:val="Box"/>
        <w:numPr>
          <w:ilvl w:val="0"/>
          <w:numId w:val="36"/>
        </w:numPr>
        <w:pBdr>
          <w:top w:val="none" w:sz="0" w:space="0" w:color="auto"/>
          <w:left w:val="none" w:sz="0" w:space="0" w:color="auto"/>
          <w:bottom w:val="none" w:sz="0" w:space="0" w:color="auto"/>
          <w:right w:val="none" w:sz="0" w:space="0" w:color="auto"/>
        </w:pBdr>
        <w:shd w:val="clear" w:color="auto" w:fill="auto"/>
      </w:pPr>
      <w:r w:rsidRPr="00AF297A">
        <w:t xml:space="preserve">What impact will moving to full surrender obligations have on you or your business? </w:t>
      </w:r>
      <w:r w:rsidR="00F164D0">
        <w:br/>
      </w:r>
      <w:r>
        <w:t>Please in</w:t>
      </w:r>
      <w:r w:rsidRPr="00AF297A">
        <w:t>clud</w:t>
      </w:r>
      <w:r>
        <w:t xml:space="preserve">e specific examples or evidence of the impacts </w:t>
      </w:r>
      <w:r w:rsidRPr="00AF297A">
        <w:t>on you or your business</w:t>
      </w:r>
      <w:r>
        <w:t xml:space="preserve"> of</w:t>
      </w:r>
      <w:r w:rsidRPr="00AF297A">
        <w:t>:</w:t>
      </w:r>
    </w:p>
    <w:p w:rsidR="00AA76B4" w:rsidRPr="00AF297A" w:rsidRDefault="00AA76B4" w:rsidP="00563431">
      <w:pPr>
        <w:pStyle w:val="Boxbullet"/>
        <w:numPr>
          <w:ilvl w:val="0"/>
          <w:numId w:val="24"/>
        </w:numPr>
        <w:pBdr>
          <w:top w:val="none" w:sz="0" w:space="0" w:color="auto"/>
          <w:left w:val="none" w:sz="0" w:space="0" w:color="auto"/>
          <w:bottom w:val="none" w:sz="0" w:space="0" w:color="auto"/>
          <w:right w:val="none" w:sz="0" w:space="0" w:color="auto"/>
        </w:pBdr>
        <w:shd w:val="clear" w:color="auto" w:fill="auto"/>
        <w:ind w:left="1134" w:hanging="425"/>
      </w:pPr>
      <w:r w:rsidRPr="00AF297A">
        <w:t>increased carbon prices, including actions to reduce emissions and future investment decisions. Please comment on effects that may occur at carbon prices ranging from $5 to $50, including any evidence of actions taken previously when carbon prices were higher</w:t>
      </w:r>
    </w:p>
    <w:p w:rsidR="00AA76B4" w:rsidRPr="00AF297A" w:rsidRDefault="00AA76B4" w:rsidP="00563431">
      <w:pPr>
        <w:pStyle w:val="Boxbullet"/>
        <w:numPr>
          <w:ilvl w:val="0"/>
          <w:numId w:val="24"/>
        </w:numPr>
        <w:pBdr>
          <w:top w:val="none" w:sz="0" w:space="0" w:color="auto"/>
          <w:left w:val="none" w:sz="0" w:space="0" w:color="auto"/>
          <w:bottom w:val="none" w:sz="0" w:space="0" w:color="auto"/>
          <w:right w:val="none" w:sz="0" w:space="0" w:color="auto"/>
        </w:pBdr>
        <w:shd w:val="clear" w:color="auto" w:fill="auto"/>
        <w:ind w:left="1134" w:hanging="425"/>
      </w:pPr>
      <w:r>
        <w:t>a</w:t>
      </w:r>
      <w:r w:rsidRPr="00AF297A">
        <w:t xml:space="preserve">ny NZ ETS administrative or operational issues, for example the option for participants to apply for a unique emissions factor. </w:t>
      </w:r>
    </w:p>
    <w:p w:rsidR="00AA76B4" w:rsidRPr="00AF297A" w:rsidRDefault="00AA76B4" w:rsidP="00AA76B4">
      <w:pPr>
        <w:pStyle w:val="Box"/>
        <w:pBdr>
          <w:top w:val="none" w:sz="0" w:space="0" w:color="auto"/>
          <w:left w:val="none" w:sz="0" w:space="0" w:color="auto"/>
          <w:bottom w:val="none" w:sz="0" w:space="0" w:color="auto"/>
          <w:right w:val="none" w:sz="0" w:space="0" w:color="auto"/>
        </w:pBdr>
        <w:shd w:val="clear" w:color="auto" w:fill="auto"/>
        <w:jc w:val="both"/>
      </w:pPr>
    </w:p>
    <w:p w:rsidR="00AA76B4" w:rsidRPr="00AF297A" w:rsidRDefault="00AA76B4" w:rsidP="00563431">
      <w:pPr>
        <w:pStyle w:val="Box"/>
        <w:numPr>
          <w:ilvl w:val="0"/>
          <w:numId w:val="36"/>
        </w:numPr>
        <w:pBdr>
          <w:top w:val="none" w:sz="0" w:space="0" w:color="auto"/>
          <w:left w:val="none" w:sz="0" w:space="0" w:color="auto"/>
          <w:bottom w:val="none" w:sz="0" w:space="0" w:color="auto"/>
          <w:right w:val="none" w:sz="0" w:space="0" w:color="auto"/>
        </w:pBdr>
        <w:shd w:val="clear" w:color="auto" w:fill="auto"/>
      </w:pPr>
      <w:r w:rsidRPr="00AF297A">
        <w:t xml:space="preserve">If full surrender obligations are applied, when should this be implemented? </w:t>
      </w:r>
    </w:p>
    <w:p w:rsidR="00AA76B4" w:rsidRPr="00AF297A" w:rsidRDefault="00AA76B4" w:rsidP="00CC45CF">
      <w:pPr>
        <w:pStyle w:val="Boxbullet"/>
        <w:numPr>
          <w:ilvl w:val="0"/>
          <w:numId w:val="26"/>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 xml:space="preserve">2016 </w:t>
      </w:r>
    </w:p>
    <w:p w:rsidR="00AA76B4" w:rsidRDefault="00AA76B4" w:rsidP="00CC45CF">
      <w:pPr>
        <w:pStyle w:val="Boxbullet"/>
        <w:numPr>
          <w:ilvl w:val="0"/>
          <w:numId w:val="26"/>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 xml:space="preserve">2017 </w:t>
      </w:r>
    </w:p>
    <w:p w:rsidR="00AA76B4" w:rsidRDefault="00AA76B4" w:rsidP="00CC45CF">
      <w:pPr>
        <w:pStyle w:val="Boxbullet"/>
        <w:numPr>
          <w:ilvl w:val="0"/>
          <w:numId w:val="26"/>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 xml:space="preserve">2018 </w:t>
      </w:r>
    </w:p>
    <w:p w:rsidR="00AA76B4" w:rsidRPr="00AF297A" w:rsidRDefault="00AA76B4" w:rsidP="00CC45CF">
      <w:pPr>
        <w:pStyle w:val="Boxbullet"/>
        <w:numPr>
          <w:ilvl w:val="0"/>
          <w:numId w:val="26"/>
        </w:numPr>
        <w:pBdr>
          <w:top w:val="none" w:sz="0" w:space="0" w:color="auto"/>
          <w:left w:val="none" w:sz="0" w:space="0" w:color="auto"/>
          <w:bottom w:val="none" w:sz="0" w:space="0" w:color="auto"/>
          <w:right w:val="none" w:sz="0" w:space="0" w:color="auto"/>
        </w:pBdr>
        <w:shd w:val="clear" w:color="auto" w:fill="auto"/>
        <w:ind w:left="1134" w:hanging="425"/>
        <w:jc w:val="both"/>
      </w:pPr>
      <w:r>
        <w:t>o</w:t>
      </w:r>
      <w:r w:rsidRPr="00AF297A">
        <w:t>ther – please specify</w:t>
      </w:r>
      <w:r w:rsidR="00F164D0">
        <w:t>.</w:t>
      </w:r>
    </w:p>
    <w:p w:rsidR="00AA76B4" w:rsidRPr="00AF297A" w:rsidRDefault="00AA76B4" w:rsidP="00563431">
      <w:pPr>
        <w:pStyle w:val="Box"/>
        <w:pBdr>
          <w:top w:val="none" w:sz="0" w:space="0" w:color="auto"/>
          <w:left w:val="none" w:sz="0" w:space="0" w:color="auto"/>
          <w:bottom w:val="none" w:sz="0" w:space="0" w:color="auto"/>
          <w:right w:val="none" w:sz="0" w:space="0" w:color="auto"/>
        </w:pBdr>
        <w:shd w:val="clear" w:color="auto" w:fill="auto"/>
        <w:spacing w:before="120"/>
        <w:ind w:firstLine="284"/>
      </w:pPr>
      <w:r>
        <w:t>O</w:t>
      </w:r>
      <w:r w:rsidRPr="00AF297A">
        <w:t xml:space="preserve">utline the reasons for your answer, and include any comments on the pros and cons of </w:t>
      </w:r>
      <w:r>
        <w:br/>
        <w:t xml:space="preserve">      </w:t>
      </w:r>
      <w:r w:rsidRPr="00AF297A">
        <w:t xml:space="preserve">applying an increased surrender obligation to a partial </w:t>
      </w:r>
      <w:r>
        <w:t>or</w:t>
      </w:r>
      <w:r w:rsidRPr="00AF297A">
        <w:t xml:space="preserve"> a full NZ ETS reporting year. </w:t>
      </w:r>
    </w:p>
    <w:p w:rsidR="00AA76B4" w:rsidRPr="00AF297A" w:rsidRDefault="00AA76B4" w:rsidP="00AA76B4">
      <w:pPr>
        <w:pStyle w:val="Boxheading"/>
        <w:pBdr>
          <w:top w:val="none" w:sz="0" w:space="0" w:color="auto"/>
          <w:left w:val="none" w:sz="0" w:space="0" w:color="auto"/>
          <w:bottom w:val="none" w:sz="0" w:space="0" w:color="auto"/>
          <w:right w:val="none" w:sz="0" w:space="0" w:color="auto"/>
        </w:pBdr>
        <w:shd w:val="clear" w:color="auto" w:fill="auto"/>
        <w:spacing w:before="240" w:after="120"/>
        <w:ind w:hanging="284"/>
        <w:jc w:val="both"/>
      </w:pPr>
      <w:r w:rsidRPr="00AF297A">
        <w:t>Managing the costs of moving to full surrender obligations</w:t>
      </w:r>
    </w:p>
    <w:p w:rsidR="00AA76B4" w:rsidRPr="00AF297A" w:rsidRDefault="00AA76B4" w:rsidP="00563431">
      <w:pPr>
        <w:pStyle w:val="Box"/>
        <w:numPr>
          <w:ilvl w:val="0"/>
          <w:numId w:val="36"/>
        </w:numPr>
        <w:pBdr>
          <w:top w:val="none" w:sz="0" w:space="0" w:color="auto"/>
          <w:left w:val="none" w:sz="0" w:space="0" w:color="auto"/>
          <w:bottom w:val="none" w:sz="0" w:space="0" w:color="auto"/>
          <w:right w:val="none" w:sz="0" w:space="0" w:color="auto"/>
        </w:pBdr>
        <w:shd w:val="clear" w:color="auto" w:fill="auto"/>
        <w:spacing w:after="120"/>
        <w:ind w:left="357" w:hanging="357"/>
        <w:jc w:val="both"/>
      </w:pPr>
      <w:r w:rsidRPr="00AF297A">
        <w:t xml:space="preserve">If the NZ ETS moves to full surrender obligations, should potential price shocks be managed? </w:t>
      </w:r>
      <w:r w:rsidRPr="00E507B5">
        <w:rPr>
          <w:b/>
        </w:rPr>
        <w:t>Yes/No/Unsure</w:t>
      </w:r>
      <w:r>
        <w:br/>
      </w:r>
    </w:p>
    <w:p w:rsidR="00AA76B4" w:rsidRPr="00AF297A" w:rsidRDefault="00191EF0" w:rsidP="00563431">
      <w:pPr>
        <w:pStyle w:val="Box"/>
        <w:keepNext/>
        <w:numPr>
          <w:ilvl w:val="0"/>
          <w:numId w:val="36"/>
        </w:numPr>
        <w:pBdr>
          <w:top w:val="none" w:sz="0" w:space="0" w:color="auto"/>
          <w:left w:val="none" w:sz="0" w:space="0" w:color="auto"/>
          <w:bottom w:val="none" w:sz="0" w:space="0" w:color="auto"/>
          <w:right w:val="none" w:sz="0" w:space="0" w:color="auto"/>
        </w:pBdr>
        <w:shd w:val="clear" w:color="auto" w:fill="auto"/>
      </w:pPr>
      <w:r>
        <w:rPr>
          <w:noProof/>
          <w:lang w:eastAsia="en-NZ"/>
        </w:rPr>
        <w:lastRenderedPageBreak/>
        <w:pict w14:anchorId="6DD34664">
          <v:rect id="_x0000_s1045" style="position:absolute;left:0;text-align:left;margin-left:-2.75pt;margin-top:-4.45pt;width:416.85pt;height:134.8pt;z-index:-25165056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AA76B4" w:rsidRPr="00AF297A">
        <w:t xml:space="preserve">If potential price shocks associated with moving to full surrender obligations should be managed, how should this be done? </w:t>
      </w:r>
    </w:p>
    <w:p w:rsidR="00AA76B4" w:rsidRPr="00AF297A" w:rsidRDefault="00AA76B4" w:rsidP="00CC45CF">
      <w:pPr>
        <w:pStyle w:val="Boxbullet"/>
        <w:numPr>
          <w:ilvl w:val="0"/>
          <w:numId w:val="25"/>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maintain the fixed price option at $25</w:t>
      </w:r>
    </w:p>
    <w:p w:rsidR="00AA76B4" w:rsidRPr="00AF297A" w:rsidRDefault="00AA76B4" w:rsidP="00CC45CF">
      <w:pPr>
        <w:pStyle w:val="Boxbullet"/>
        <w:numPr>
          <w:ilvl w:val="0"/>
          <w:numId w:val="25"/>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 xml:space="preserve">lower the fixed price option </w:t>
      </w:r>
    </w:p>
    <w:p w:rsidR="00AA76B4" w:rsidRPr="00AF297A" w:rsidRDefault="00AA76B4" w:rsidP="00CC45CF">
      <w:pPr>
        <w:pStyle w:val="Boxbullet"/>
        <w:numPr>
          <w:ilvl w:val="0"/>
          <w:numId w:val="25"/>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 xml:space="preserve">gradually move to full surrender obligation </w:t>
      </w:r>
    </w:p>
    <w:p w:rsidR="00AA76B4" w:rsidRPr="00AF297A" w:rsidRDefault="00AA76B4" w:rsidP="00CC45CF">
      <w:pPr>
        <w:pStyle w:val="Boxbullet"/>
        <w:numPr>
          <w:ilvl w:val="0"/>
          <w:numId w:val="25"/>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other</w:t>
      </w:r>
      <w:r>
        <w:t xml:space="preserve"> methods.</w:t>
      </w:r>
    </w:p>
    <w:p w:rsidR="00AA76B4" w:rsidRPr="00AF297A" w:rsidRDefault="00AA76B4" w:rsidP="00AA76B4">
      <w:pPr>
        <w:pStyle w:val="Box"/>
        <w:pBdr>
          <w:top w:val="none" w:sz="0" w:space="0" w:color="auto"/>
          <w:left w:val="none" w:sz="0" w:space="0" w:color="auto"/>
          <w:bottom w:val="none" w:sz="0" w:space="0" w:color="auto"/>
          <w:right w:val="none" w:sz="0" w:space="0" w:color="auto"/>
        </w:pBdr>
        <w:shd w:val="clear" w:color="auto" w:fill="auto"/>
        <w:jc w:val="both"/>
      </w:pPr>
    </w:p>
    <w:p w:rsidR="00AA76B4" w:rsidRDefault="00AA76B4" w:rsidP="00563431">
      <w:pPr>
        <w:pStyle w:val="Box"/>
        <w:numPr>
          <w:ilvl w:val="0"/>
          <w:numId w:val="36"/>
        </w:numPr>
        <w:pBdr>
          <w:top w:val="none" w:sz="0" w:space="0" w:color="auto"/>
          <w:left w:val="none" w:sz="0" w:space="0" w:color="auto"/>
          <w:bottom w:val="none" w:sz="0" w:space="0" w:color="auto"/>
          <w:right w:val="none" w:sz="0" w:space="0" w:color="auto"/>
        </w:pBdr>
        <w:shd w:val="clear" w:color="auto" w:fill="auto"/>
      </w:pPr>
      <w:r w:rsidRPr="00AF297A">
        <w:t xml:space="preserve">If the $25 fixed price surrender </w:t>
      </w:r>
      <w:r w:rsidR="00191EF0">
        <w:t>option</w:t>
      </w:r>
      <w:bookmarkStart w:id="14" w:name="_GoBack"/>
      <w:bookmarkEnd w:id="14"/>
      <w:r w:rsidRPr="00AF297A">
        <w:t xml:space="preserve"> value should change, what should it change to and why?</w:t>
      </w:r>
    </w:p>
    <w:p w:rsidR="0062583C" w:rsidRPr="00AF297A" w:rsidRDefault="0062583C" w:rsidP="00415FED">
      <w:pPr>
        <w:pStyle w:val="BodyText"/>
        <w:jc w:val="both"/>
      </w:pPr>
    </w:p>
    <w:p w:rsidR="0062583C" w:rsidRPr="00AF297A" w:rsidRDefault="0062583C" w:rsidP="00563431">
      <w:pPr>
        <w:pStyle w:val="Heading1"/>
      </w:pPr>
      <w:r w:rsidRPr="00AF297A">
        <w:br w:type="page"/>
      </w:r>
      <w:bookmarkStart w:id="15" w:name="_Toc435798386"/>
      <w:r w:rsidRPr="00AF297A">
        <w:lastRenderedPageBreak/>
        <w:t>4</w:t>
      </w:r>
      <w:r w:rsidRPr="00AF297A">
        <w:tab/>
        <w:t>Other issues</w:t>
      </w:r>
      <w:bookmarkEnd w:id="15"/>
    </w:p>
    <w:p w:rsidR="0062583C" w:rsidRPr="00AF297A" w:rsidRDefault="00C17C39" w:rsidP="00563431">
      <w:pPr>
        <w:pStyle w:val="BodyText"/>
      </w:pPr>
      <w:r>
        <w:t>I</w:t>
      </w:r>
      <w:r w:rsidR="0062583C" w:rsidRPr="00AF297A">
        <w:t xml:space="preserve">nput from </w:t>
      </w:r>
      <w:r w:rsidR="00CE66B1">
        <w:t>New Zealand Emissions Trading Scheme (</w:t>
      </w:r>
      <w:r w:rsidR="0062583C" w:rsidRPr="00AF297A">
        <w:t>NZ ETS</w:t>
      </w:r>
      <w:r w:rsidR="00CE66B1">
        <w:t>)</w:t>
      </w:r>
      <w:r w:rsidR="0062583C" w:rsidRPr="00AF297A">
        <w:t xml:space="preserve"> participants, other stakeholders and the public </w:t>
      </w:r>
      <w:r>
        <w:t xml:space="preserve">on the matters in this section </w:t>
      </w:r>
      <w:r w:rsidR="0062583C" w:rsidRPr="00AF297A">
        <w:t xml:space="preserve">will </w:t>
      </w:r>
      <w:r>
        <w:t>help determine the</w:t>
      </w:r>
      <w:r w:rsidR="0062583C" w:rsidRPr="00AF297A">
        <w:t xml:space="preserve"> future direction of the NZ ETS</w:t>
      </w:r>
      <w:r>
        <w:t xml:space="preserve">. These matters </w:t>
      </w:r>
      <w:r w:rsidR="0062583C" w:rsidRPr="00AF297A">
        <w:t>includ</w:t>
      </w:r>
      <w:r>
        <w:t>e</w:t>
      </w:r>
      <w:r w:rsidR="0062583C" w:rsidRPr="00AF297A">
        <w:t xml:space="preserve">: </w:t>
      </w:r>
    </w:p>
    <w:p w:rsidR="0062583C" w:rsidRPr="00AF297A" w:rsidRDefault="0062583C" w:rsidP="00563431">
      <w:pPr>
        <w:pStyle w:val="Bullet"/>
      </w:pPr>
      <w:r w:rsidRPr="00AF297A">
        <w:t>business responses to the NZ ETS</w:t>
      </w:r>
    </w:p>
    <w:p w:rsidR="0062583C" w:rsidRPr="00AF297A" w:rsidRDefault="0062583C" w:rsidP="00563431">
      <w:pPr>
        <w:pStyle w:val="Bullet"/>
      </w:pPr>
      <w:r w:rsidRPr="00AF297A">
        <w:t>protecting competitiveness through free allocation</w:t>
      </w:r>
    </w:p>
    <w:p w:rsidR="0062583C" w:rsidRPr="00AF297A" w:rsidRDefault="0062583C" w:rsidP="00563431">
      <w:pPr>
        <w:pStyle w:val="Bullet"/>
      </w:pPr>
      <w:r w:rsidRPr="00AF297A">
        <w:t xml:space="preserve">managing unit supply, including issues related to forestry, international units and selling </w:t>
      </w:r>
      <w:r w:rsidR="00C17C39">
        <w:t>New Zealand Units (</w:t>
      </w:r>
      <w:r w:rsidRPr="00AF297A">
        <w:t>NZUs</w:t>
      </w:r>
      <w:r w:rsidR="00C17C39">
        <w:t>)</w:t>
      </w:r>
      <w:r w:rsidRPr="00AF297A">
        <w:t xml:space="preserve"> by auction</w:t>
      </w:r>
    </w:p>
    <w:p w:rsidR="0062583C" w:rsidRPr="00AF297A" w:rsidRDefault="0062583C" w:rsidP="00563431">
      <w:pPr>
        <w:pStyle w:val="Bullet"/>
      </w:pPr>
      <w:r w:rsidRPr="00AF297A">
        <w:t>managing price stability</w:t>
      </w:r>
    </w:p>
    <w:p w:rsidR="0062583C" w:rsidRPr="00AF297A" w:rsidRDefault="0062583C" w:rsidP="00563431">
      <w:pPr>
        <w:pStyle w:val="Bullet"/>
      </w:pPr>
      <w:r w:rsidRPr="00AF297A">
        <w:t>operational and technical matters</w:t>
      </w:r>
    </w:p>
    <w:p w:rsidR="0062583C" w:rsidRPr="00AF297A" w:rsidRDefault="00E427F2" w:rsidP="00563431">
      <w:pPr>
        <w:pStyle w:val="Bullet"/>
      </w:pPr>
      <w:r w:rsidRPr="00E427F2">
        <w:t>addressing barriers to the uptake of low emissions technologies</w:t>
      </w:r>
      <w:r w:rsidR="0062583C" w:rsidRPr="00AF297A">
        <w:t>.</w:t>
      </w:r>
    </w:p>
    <w:p w:rsidR="0062583C" w:rsidRPr="007F2DDC" w:rsidRDefault="0062583C" w:rsidP="00563431">
      <w:pPr>
        <w:pStyle w:val="BodyText"/>
      </w:pPr>
      <w:r w:rsidRPr="00AF297A">
        <w:t xml:space="preserve">These issues </w:t>
      </w:r>
      <w:r w:rsidR="00CE66B1">
        <w:t>need</w:t>
      </w:r>
      <w:r w:rsidR="00CE66B1" w:rsidRPr="00AF297A">
        <w:t xml:space="preserve"> </w:t>
      </w:r>
      <w:r w:rsidRPr="00AF297A">
        <w:t xml:space="preserve">further analysis </w:t>
      </w:r>
      <w:r w:rsidR="00CE66B1">
        <w:t>to identify</w:t>
      </w:r>
      <w:r w:rsidR="00CE66B1" w:rsidRPr="00AF297A">
        <w:t xml:space="preserve"> </w:t>
      </w:r>
      <w:r w:rsidRPr="00AF297A">
        <w:t>potential solutions or approaches</w:t>
      </w:r>
      <w:r w:rsidR="00CE66B1">
        <w:t xml:space="preserve"> for</w:t>
      </w:r>
      <w:r w:rsidRPr="00AF297A">
        <w:t xml:space="preserve"> consider</w:t>
      </w:r>
      <w:r w:rsidR="00CE66B1">
        <w:t>ation</w:t>
      </w:r>
      <w:r w:rsidRPr="00AF297A">
        <w:t>.</w:t>
      </w:r>
      <w:r w:rsidR="007B5588" w:rsidRPr="00AF297A">
        <w:t xml:space="preserve"> </w:t>
      </w:r>
      <w:r w:rsidRPr="00AF297A">
        <w:t xml:space="preserve">On some issues, the review may need to </w:t>
      </w:r>
      <w:r w:rsidR="00CE66B1">
        <w:t xml:space="preserve">consider </w:t>
      </w:r>
      <w:r w:rsidRPr="00AF297A">
        <w:t xml:space="preserve">developments connected with the new </w:t>
      </w:r>
      <w:r w:rsidRPr="007F2DDC">
        <w:t xml:space="preserve">international climate change agreement. </w:t>
      </w:r>
    </w:p>
    <w:p w:rsidR="0062583C" w:rsidRPr="007F2DDC" w:rsidRDefault="0062583C" w:rsidP="00563431">
      <w:pPr>
        <w:pStyle w:val="BodyText"/>
      </w:pPr>
      <w:r w:rsidRPr="007F2DDC">
        <w:t xml:space="preserve">Submissions on these matters close on </w:t>
      </w:r>
      <w:r w:rsidR="003F570F" w:rsidRPr="007F2DDC">
        <w:t>30</w:t>
      </w:r>
      <w:r w:rsidR="00E427F2" w:rsidRPr="007F2DDC">
        <w:t xml:space="preserve"> April </w:t>
      </w:r>
      <w:r w:rsidRPr="007F2DDC">
        <w:t>2016.</w:t>
      </w:r>
    </w:p>
    <w:p w:rsidR="0062583C" w:rsidRPr="007F2DDC" w:rsidRDefault="0062583C" w:rsidP="00563431">
      <w:pPr>
        <w:pStyle w:val="Heading2"/>
      </w:pPr>
      <w:bookmarkStart w:id="16" w:name="_Toc435798387"/>
      <w:r w:rsidRPr="007F2DDC">
        <w:t>4.1</w:t>
      </w:r>
      <w:r w:rsidRPr="007F2DDC">
        <w:tab/>
        <w:t>Business responses to the NZ ETS</w:t>
      </w:r>
      <w:bookmarkEnd w:id="16"/>
      <w:r w:rsidRPr="007F2DDC">
        <w:t xml:space="preserve"> </w:t>
      </w:r>
    </w:p>
    <w:p w:rsidR="0062583C" w:rsidRPr="00AF297A" w:rsidRDefault="0062583C" w:rsidP="00563431">
      <w:pPr>
        <w:pStyle w:val="BodyText"/>
      </w:pPr>
      <w:r w:rsidRPr="007F2DDC">
        <w:t xml:space="preserve">As outlined in section two on the context and drivers for this review, the NZ ETS may not be encouraging businesses </w:t>
      </w:r>
      <w:r w:rsidR="00CC6A3C" w:rsidRPr="007F2DDC">
        <w:t xml:space="preserve">enough </w:t>
      </w:r>
      <w:r w:rsidRPr="007F2DDC">
        <w:t>to plan for a more carbon</w:t>
      </w:r>
      <w:r w:rsidR="00CC6A3C" w:rsidRPr="007F2DDC">
        <w:t>-</w:t>
      </w:r>
      <w:r w:rsidRPr="007F2DDC">
        <w:t>constrained future.</w:t>
      </w:r>
      <w:r w:rsidR="007B5588" w:rsidRPr="007F2DDC">
        <w:t xml:space="preserve"> </w:t>
      </w:r>
      <w:r w:rsidRPr="007F2DDC">
        <w:t xml:space="preserve">Uncertainty about future carbon prices and about NZ ETS policy settings may </w:t>
      </w:r>
      <w:r w:rsidR="00CC6A3C" w:rsidRPr="007F2DDC">
        <w:t xml:space="preserve">also be </w:t>
      </w:r>
      <w:r w:rsidRPr="007F2DDC">
        <w:t xml:space="preserve">contributing to this. </w:t>
      </w:r>
      <w:r w:rsidR="00CC6A3C" w:rsidRPr="007F2DDC">
        <w:t>T</w:t>
      </w:r>
      <w:r w:rsidRPr="007F2DDC">
        <w:t>here is</w:t>
      </w:r>
      <w:r w:rsidR="00CC6A3C" w:rsidRPr="007F2DDC">
        <w:t xml:space="preserve"> currently</w:t>
      </w:r>
      <w:r w:rsidRPr="007F2DDC">
        <w:t xml:space="preserve"> limited information available to the Government on how businesses are</w:t>
      </w:r>
      <w:r w:rsidRPr="00AF297A">
        <w:t xml:space="preserve"> making plans and decisions.</w:t>
      </w:r>
      <w:r w:rsidR="007B5588" w:rsidRPr="00AF297A">
        <w:t xml:space="preserve"> </w:t>
      </w:r>
    </w:p>
    <w:p w:rsidR="0062583C" w:rsidRPr="00AF297A" w:rsidRDefault="0062583C" w:rsidP="00563431">
      <w:pPr>
        <w:pStyle w:val="BodyText"/>
      </w:pPr>
      <w:r w:rsidRPr="00AF297A">
        <w:t>Many businesses and groups have interests across NZ ETS sectors</w:t>
      </w:r>
      <w:r w:rsidR="00CC6A3C">
        <w:t>,</w:t>
      </w:r>
      <w:r w:rsidRPr="00AF297A">
        <w:t xml:space="preserve"> and are also </w:t>
      </w:r>
      <w:r w:rsidR="00CC6A3C">
        <w:t>affected</w:t>
      </w:r>
      <w:r w:rsidRPr="00AF297A">
        <w:t xml:space="preserve"> by pass-through costs. For example, an iwi organisation may have to balance a forestry portfolio with other business interests, while still considering the impacts the NZ ETS will have on households and individual iwi members. </w:t>
      </w:r>
      <w:r w:rsidR="00CC6A3C">
        <w:t>These</w:t>
      </w:r>
      <w:r w:rsidR="00CC6A3C" w:rsidRPr="00AF297A">
        <w:t xml:space="preserve"> </w:t>
      </w:r>
      <w:r w:rsidRPr="00AF297A">
        <w:t>groups must make trade-offs between their different needs and</w:t>
      </w:r>
      <w:r w:rsidR="00CC6A3C">
        <w:t xml:space="preserve"> the</w:t>
      </w:r>
      <w:r w:rsidRPr="00AF297A">
        <w:t xml:space="preserve"> desired economic, environmental, social and cultural outcomes when planning. </w:t>
      </w:r>
    </w:p>
    <w:p w:rsidR="0062583C" w:rsidRPr="00AF297A" w:rsidRDefault="00CC6A3C" w:rsidP="00563431">
      <w:pPr>
        <w:pStyle w:val="BodyText"/>
      </w:pPr>
      <w:r>
        <w:t>Because of this, we are</w:t>
      </w:r>
      <w:r w:rsidR="0062583C" w:rsidRPr="00AF297A">
        <w:t xml:space="preserve"> seek</w:t>
      </w:r>
      <w:r>
        <w:t>ing</w:t>
      </w:r>
      <w:r w:rsidR="0062583C" w:rsidRPr="00AF297A">
        <w:t xml:space="preserve"> views from a range of New Zealand businesses and sector interests, including iwi and M</w:t>
      </w:r>
      <w:r w:rsidR="00FC5DBF" w:rsidRPr="00AF297A">
        <w:t>ā</w:t>
      </w:r>
      <w:r w:rsidR="0062583C" w:rsidRPr="00AF297A">
        <w:t xml:space="preserve">ori organisations. We are interested in your thoughts on how businesses incorporate the NZ ETS and carbon prices into their planning, </w:t>
      </w:r>
      <w:r>
        <w:t xml:space="preserve">and will use this information </w:t>
      </w:r>
      <w:r w:rsidR="0062583C" w:rsidRPr="00AF297A">
        <w:t>to inform the Government</w:t>
      </w:r>
      <w:r w:rsidR="007B5588" w:rsidRPr="00AF297A">
        <w:t>’</w:t>
      </w:r>
      <w:r w:rsidR="0062583C" w:rsidRPr="00AF297A">
        <w:t>s thinking on the future direction for the NZ ETS.</w:t>
      </w:r>
    </w:p>
    <w:p w:rsidR="0062583C" w:rsidRPr="00AF297A" w:rsidRDefault="00EC765F" w:rsidP="00563431">
      <w:pPr>
        <w:pStyle w:val="Heading3"/>
        <w:spacing w:after="120"/>
      </w:pPr>
      <w:r>
        <w:br w:type="page"/>
      </w:r>
      <w:r w:rsidR="0062583C" w:rsidRPr="00AF297A">
        <w:lastRenderedPageBreak/>
        <w:t>Questions</w:t>
      </w:r>
    </w:p>
    <w:p w:rsidR="00AA76B4" w:rsidRPr="00AF297A" w:rsidRDefault="00191EF0" w:rsidP="00CC45CF">
      <w:pPr>
        <w:pStyle w:val="Box"/>
        <w:keepNext/>
        <w:numPr>
          <w:ilvl w:val="0"/>
          <w:numId w:val="36"/>
        </w:numPr>
        <w:pBdr>
          <w:top w:val="none" w:sz="0" w:space="0" w:color="auto"/>
          <w:left w:val="none" w:sz="0" w:space="0" w:color="auto"/>
          <w:bottom w:val="none" w:sz="0" w:space="0" w:color="auto"/>
          <w:right w:val="none" w:sz="0" w:space="0" w:color="auto"/>
        </w:pBdr>
        <w:shd w:val="clear" w:color="auto" w:fill="auto"/>
        <w:jc w:val="both"/>
      </w:pPr>
      <w:r>
        <w:rPr>
          <w:noProof/>
          <w:lang w:eastAsia="en-NZ"/>
        </w:rPr>
        <w:pict w14:anchorId="6DD34664">
          <v:rect id="_x0000_s1046" style="position:absolute;left:0;text-align:left;margin-left:-1.7pt;margin-top:-1.6pt;width:416.85pt;height:69pt;z-index:-25164953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AA76B4" w:rsidRPr="00AF297A">
        <w:t xml:space="preserve">Do you consider the future cost of emissions in your business planning? </w:t>
      </w:r>
      <w:r w:rsidR="00AA76B4" w:rsidRPr="00293F91">
        <w:rPr>
          <w:b/>
        </w:rPr>
        <w:t>Yes/No</w:t>
      </w:r>
    </w:p>
    <w:p w:rsidR="00AA76B4" w:rsidRDefault="00AA76B4" w:rsidP="00AA76B4">
      <w:pPr>
        <w:pStyle w:val="Box"/>
        <w:keepNext/>
        <w:pBdr>
          <w:top w:val="none" w:sz="0" w:space="0" w:color="auto"/>
          <w:left w:val="none" w:sz="0" w:space="0" w:color="auto"/>
          <w:bottom w:val="none" w:sz="0" w:space="0" w:color="auto"/>
          <w:right w:val="none" w:sz="0" w:space="0" w:color="auto"/>
        </w:pBdr>
        <w:shd w:val="clear" w:color="auto" w:fill="auto"/>
        <w:ind w:left="644" w:hanging="247"/>
        <w:jc w:val="both"/>
      </w:pPr>
      <w:r w:rsidRPr="00AF297A">
        <w:t>If yes, how do you do this?</w:t>
      </w:r>
    </w:p>
    <w:p w:rsidR="00AA76B4" w:rsidRPr="000844CA" w:rsidRDefault="00AA76B4" w:rsidP="00AA76B4">
      <w:pPr>
        <w:pStyle w:val="Box"/>
        <w:pBdr>
          <w:top w:val="none" w:sz="0" w:space="0" w:color="auto"/>
          <w:left w:val="none" w:sz="0" w:space="0" w:color="auto"/>
          <w:bottom w:val="none" w:sz="0" w:space="0" w:color="auto"/>
          <w:right w:val="none" w:sz="0" w:space="0" w:color="auto"/>
        </w:pBdr>
        <w:shd w:val="clear" w:color="auto" w:fill="auto"/>
        <w:ind w:hanging="644"/>
        <w:jc w:val="both"/>
      </w:pPr>
    </w:p>
    <w:p w:rsidR="00AA76B4" w:rsidRPr="00AF297A" w:rsidRDefault="00AA76B4" w:rsidP="00563431">
      <w:pPr>
        <w:pStyle w:val="Box"/>
        <w:keepNext/>
        <w:numPr>
          <w:ilvl w:val="0"/>
          <w:numId w:val="36"/>
        </w:numPr>
        <w:pBdr>
          <w:top w:val="none" w:sz="0" w:space="0" w:color="auto"/>
          <w:left w:val="none" w:sz="0" w:space="0" w:color="auto"/>
          <w:bottom w:val="none" w:sz="0" w:space="0" w:color="auto"/>
          <w:right w:val="none" w:sz="0" w:space="0" w:color="auto"/>
        </w:pBdr>
        <w:shd w:val="clear" w:color="auto" w:fill="auto"/>
      </w:pPr>
      <w:r w:rsidRPr="00AF297A">
        <w:t>What would improve your ability to take into account the f</w:t>
      </w:r>
      <w:r>
        <w:t xml:space="preserve">uture cost of emissions in your </w:t>
      </w:r>
      <w:r w:rsidRPr="00AF297A">
        <w:t>business planning?</w:t>
      </w:r>
    </w:p>
    <w:p w:rsidR="0062583C" w:rsidRPr="00AF297A" w:rsidRDefault="0062583C" w:rsidP="00563431">
      <w:pPr>
        <w:pStyle w:val="Heading2"/>
        <w:spacing w:before="480"/>
      </w:pPr>
      <w:bookmarkStart w:id="17" w:name="_Toc435798388"/>
      <w:r w:rsidRPr="00AF297A">
        <w:t>4.2</w:t>
      </w:r>
      <w:r w:rsidRPr="00AF297A">
        <w:tab/>
        <w:t>Protecting competitiveness through free allocation</w:t>
      </w:r>
      <w:bookmarkEnd w:id="17"/>
    </w:p>
    <w:p w:rsidR="006B49DF" w:rsidRDefault="0062583C" w:rsidP="00563431">
      <w:pPr>
        <w:pStyle w:val="BodyText"/>
      </w:pPr>
      <w:r w:rsidRPr="00AF297A">
        <w:t xml:space="preserve">The Government allocates NZUs to particular activities to prevent NZ ETS costs from </w:t>
      </w:r>
      <w:r w:rsidR="00CC6A3C">
        <w:t>affect</w:t>
      </w:r>
      <w:r w:rsidRPr="00AF297A">
        <w:t>ing international competitiveness</w:t>
      </w:r>
      <w:r w:rsidR="00CC6A3C">
        <w:t>,</w:t>
      </w:r>
      <w:r w:rsidRPr="00AF297A">
        <w:t xml:space="preserve"> and</w:t>
      </w:r>
      <w:r w:rsidR="00CC6A3C">
        <w:t xml:space="preserve"> to</w:t>
      </w:r>
      <w:r w:rsidRPr="00AF297A">
        <w:t xml:space="preserve"> prevent the relocation of production to countries that do not have carbon pricing (this is sometimes </w:t>
      </w:r>
      <w:r w:rsidR="00CC6A3C">
        <w:t>called</w:t>
      </w:r>
      <w:r w:rsidR="00CC6A3C" w:rsidRPr="00AF297A">
        <w:t xml:space="preserve"> </w:t>
      </w:r>
      <w:r w:rsidR="00F73456">
        <w:t>‘</w:t>
      </w:r>
      <w:r w:rsidRPr="00AF297A">
        <w:t>carbon leakage</w:t>
      </w:r>
      <w:r w:rsidR="00F73456">
        <w:t>’</w:t>
      </w:r>
      <w:r w:rsidRPr="00AF297A">
        <w:t xml:space="preserve">). The Government supports keeping the free allocation regime in place until at least 2020. Carbon pricing is still not widely applied in economies that New Zealand competes </w:t>
      </w:r>
      <w:r w:rsidR="00CC6A3C">
        <w:t>with</w:t>
      </w:r>
      <w:r w:rsidR="00CC6A3C" w:rsidRPr="00AF297A">
        <w:t xml:space="preserve"> </w:t>
      </w:r>
      <w:r w:rsidRPr="00AF297A">
        <w:t xml:space="preserve">internationally, so some competitiveness risks may remain. </w:t>
      </w:r>
      <w:r w:rsidR="0007222A">
        <w:t>However, a</w:t>
      </w:r>
      <w:r w:rsidR="00CC6A3C">
        <w:t xml:space="preserve"> </w:t>
      </w:r>
      <w:r w:rsidRPr="00AF297A">
        <w:t xml:space="preserve">lack of clarity about the future of the free allocation regime may be a source of regulatory uncertainty. </w:t>
      </w:r>
      <w:r w:rsidR="006B49DF">
        <w:t>As a result,</w:t>
      </w:r>
      <w:r w:rsidR="006B49DF" w:rsidRPr="00AF297A">
        <w:t xml:space="preserve"> </w:t>
      </w:r>
      <w:r w:rsidRPr="00AF297A">
        <w:t xml:space="preserve">we are </w:t>
      </w:r>
      <w:r w:rsidR="006B49DF">
        <w:t>interested in</w:t>
      </w:r>
      <w:r w:rsidR="006B49DF" w:rsidRPr="00AF297A">
        <w:t xml:space="preserve"> </w:t>
      </w:r>
      <w:r w:rsidRPr="00AF297A">
        <w:t>views on</w:t>
      </w:r>
      <w:r w:rsidR="006B49DF">
        <w:t>:</w:t>
      </w:r>
      <w:r w:rsidRPr="00AF297A">
        <w:t xml:space="preserve"> </w:t>
      </w:r>
    </w:p>
    <w:p w:rsidR="006B49DF" w:rsidRDefault="0062583C" w:rsidP="00563431">
      <w:pPr>
        <w:pStyle w:val="Bullet"/>
      </w:pPr>
      <w:r w:rsidRPr="00AF297A">
        <w:t xml:space="preserve">what future conditions would warrant reducing </w:t>
      </w:r>
      <w:r w:rsidR="006B49DF">
        <w:t xml:space="preserve">the </w:t>
      </w:r>
      <w:r w:rsidRPr="00AF297A">
        <w:t>rates of free allocation</w:t>
      </w:r>
    </w:p>
    <w:p w:rsidR="0062583C" w:rsidRPr="00AF297A" w:rsidRDefault="0062583C" w:rsidP="00563431">
      <w:pPr>
        <w:pStyle w:val="Bullet"/>
      </w:pPr>
      <w:r w:rsidRPr="00AF297A">
        <w:t xml:space="preserve">when these circumstances are likely to arise. </w:t>
      </w:r>
    </w:p>
    <w:p w:rsidR="0062583C" w:rsidRPr="00AF297A" w:rsidRDefault="0062583C" w:rsidP="00563431">
      <w:pPr>
        <w:pStyle w:val="BodyText"/>
      </w:pPr>
      <w:r w:rsidRPr="00AF297A">
        <w:t>The free allocation of NZUs is designed to protect the competitiveness of firms engaged in activities that are both emissions intensive and trade exposed (EITE). These firms faced cost increases as a result of the introduction of the NZ ETS, but are unable to pass those costs on without risking their international competitiveness. Examples of highly EITE activities</w:t>
      </w:r>
      <w:r w:rsidR="006B49DF">
        <w:t xml:space="preserve"> that</w:t>
      </w:r>
      <w:r w:rsidRPr="00AF297A">
        <w:t xml:space="preserve"> qualify for free allocation include the production of lime, aluminium, iron and steel. Moderately EITE activities also receive an allocation, such as production of capsicums, cucumbers, protein meal and whey powder. Allocation rates are set to compensate firms for most, but not all, of their expected costs from the NZ ETS.</w:t>
      </w:r>
      <w:r w:rsidRPr="00AF297A">
        <w:rPr>
          <w:rStyle w:val="FootnoteReference"/>
          <w:rFonts w:ascii="Calibri" w:hAnsi="Calibri" w:cs="Calibri"/>
          <w:sz w:val="22"/>
          <w:szCs w:val="22"/>
        </w:rPr>
        <w:footnoteReference w:id="8"/>
      </w:r>
      <w:r w:rsidRPr="00AF297A">
        <w:t xml:space="preserve"> </w:t>
      </w:r>
    </w:p>
    <w:p w:rsidR="002834CC" w:rsidRPr="00AF297A" w:rsidRDefault="002834CC" w:rsidP="00563431">
      <w:pPr>
        <w:pStyle w:val="BodyText"/>
      </w:pPr>
      <w:r w:rsidRPr="00AF297A">
        <w:t>Firms receiving</w:t>
      </w:r>
      <w:r w:rsidR="005B7266">
        <w:t xml:space="preserve"> a</w:t>
      </w:r>
      <w:r w:rsidRPr="00AF297A">
        <w:t xml:space="preserve"> free allocation still face an incentive to reduce their emissions. They still </w:t>
      </w:r>
      <w:r w:rsidR="005B7266">
        <w:t>have</w:t>
      </w:r>
      <w:r w:rsidR="005B7266" w:rsidRPr="00AF297A">
        <w:t xml:space="preserve"> </w:t>
      </w:r>
      <w:r w:rsidRPr="00AF297A">
        <w:t>NZ ETS costs for a proportion of the emissions stemming from the EITE activities, and reducing their emissions may allow them to benefit from selling NZUs allocated to them.</w:t>
      </w:r>
      <w:r w:rsidRPr="00AF297A">
        <w:rPr>
          <w:rStyle w:val="FootnoteReference"/>
          <w:rFonts w:ascii="Calibri" w:hAnsi="Calibri" w:cs="Calibri"/>
          <w:sz w:val="22"/>
          <w:szCs w:val="22"/>
        </w:rPr>
        <w:footnoteReference w:id="9"/>
      </w:r>
      <w:r w:rsidR="007B5588" w:rsidRPr="00AF297A">
        <w:t xml:space="preserve"> </w:t>
      </w:r>
    </w:p>
    <w:p w:rsidR="00880E1A" w:rsidRPr="00AF297A" w:rsidRDefault="00880E1A" w:rsidP="00563431">
      <w:pPr>
        <w:pStyle w:val="BodyText"/>
      </w:pPr>
      <w:r w:rsidRPr="00AF297A">
        <w:t>Allocation rates are tied to the one-for</w:t>
      </w:r>
      <w:r w:rsidR="00C506B7">
        <w:t>-</w:t>
      </w:r>
      <w:r w:rsidRPr="00AF297A">
        <w:t xml:space="preserve">two surrender obligation, so the number of units recipients receive would increase proportionately if this was removed or phased out. Free allocation each year amounts to around </w:t>
      </w:r>
      <w:r w:rsidR="00C506B7">
        <w:t>five</w:t>
      </w:r>
      <w:r w:rsidRPr="00AF297A">
        <w:t xml:space="preserve"> million NZUs, which is relatively low compared to total annual unit surrenders (which are typically around 30 million) and to the amount of free allocation in some overseas emissions trading schemes</w:t>
      </w:r>
      <w:r w:rsidR="00E37BB3">
        <w:rPr>
          <w:rStyle w:val="FootnoteReference"/>
        </w:rPr>
        <w:footnoteReference w:id="10"/>
      </w:r>
      <w:r w:rsidRPr="00AF297A">
        <w:t>.</w:t>
      </w:r>
      <w:r w:rsidR="00716C37">
        <w:t xml:space="preserve"> </w:t>
      </w:r>
    </w:p>
    <w:p w:rsidR="0062583C" w:rsidRPr="00AF297A" w:rsidRDefault="00191EF0" w:rsidP="00415FED">
      <w:pPr>
        <w:pStyle w:val="Heading3"/>
        <w:spacing w:after="120"/>
        <w:jc w:val="both"/>
      </w:pPr>
      <w:r>
        <w:rPr>
          <w:noProof/>
          <w:lang w:eastAsia="en-NZ"/>
        </w:rPr>
        <w:lastRenderedPageBreak/>
        <w:pict w14:anchorId="6DD34664">
          <v:rect id="_x0000_s1047" style="position:absolute;left:0;text-align:left;margin-left:-.65pt;margin-top:20.4pt;width:416.85pt;height:53.55pt;z-index:-25164851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880E1A" w:rsidRPr="00AF297A">
        <w:t>Questions</w:t>
      </w:r>
    </w:p>
    <w:p w:rsidR="005A5801" w:rsidRPr="00AF297A" w:rsidRDefault="005A5801" w:rsidP="00A87313">
      <w:pPr>
        <w:pStyle w:val="Box"/>
        <w:keepNext/>
        <w:numPr>
          <w:ilvl w:val="0"/>
          <w:numId w:val="36"/>
        </w:numPr>
        <w:pBdr>
          <w:top w:val="none" w:sz="0" w:space="0" w:color="auto"/>
          <w:left w:val="none" w:sz="0" w:space="0" w:color="auto"/>
          <w:bottom w:val="none" w:sz="0" w:space="0" w:color="auto"/>
          <w:right w:val="none" w:sz="0" w:space="0" w:color="auto"/>
        </w:pBdr>
        <w:shd w:val="clear" w:color="auto" w:fill="auto"/>
      </w:pPr>
      <w:r w:rsidRPr="00AF297A">
        <w:t>Under what conditions should free allocation rates start to be reduced after 2020?</w:t>
      </w:r>
    </w:p>
    <w:p w:rsidR="005A5801" w:rsidRPr="00AF297A" w:rsidRDefault="005A5801" w:rsidP="00A87313">
      <w:pPr>
        <w:pStyle w:val="Box"/>
        <w:keepNext/>
        <w:pBdr>
          <w:top w:val="none" w:sz="0" w:space="0" w:color="auto"/>
          <w:left w:val="none" w:sz="0" w:space="0" w:color="auto"/>
          <w:bottom w:val="none" w:sz="0" w:space="0" w:color="auto"/>
          <w:right w:val="none" w:sz="0" w:space="0" w:color="auto"/>
        </w:pBdr>
        <w:shd w:val="clear" w:color="auto" w:fill="auto"/>
        <w:ind w:hanging="644"/>
      </w:pPr>
    </w:p>
    <w:p w:rsidR="005A5801" w:rsidRPr="00AF297A" w:rsidRDefault="005A5801" w:rsidP="00A87313">
      <w:pPr>
        <w:pStyle w:val="Box"/>
        <w:numPr>
          <w:ilvl w:val="0"/>
          <w:numId w:val="36"/>
        </w:numPr>
        <w:pBdr>
          <w:top w:val="none" w:sz="0" w:space="0" w:color="auto"/>
          <w:left w:val="none" w:sz="0" w:space="0" w:color="auto"/>
          <w:bottom w:val="none" w:sz="0" w:space="0" w:color="auto"/>
          <w:right w:val="none" w:sz="0" w:space="0" w:color="auto"/>
        </w:pBdr>
        <w:shd w:val="clear" w:color="auto" w:fill="auto"/>
      </w:pPr>
      <w:r w:rsidRPr="00AF297A">
        <w:t>What impact would</w:t>
      </w:r>
      <w:r>
        <w:t xml:space="preserve"> it have </w:t>
      </w:r>
      <w:r w:rsidRPr="00AF297A">
        <w:t>on your investment decisions over the next few years</w:t>
      </w:r>
      <w:r>
        <w:t xml:space="preserve"> if there was</w:t>
      </w:r>
      <w:r w:rsidRPr="00AF297A">
        <w:t xml:space="preserve"> a clear pathway or criteria for </w:t>
      </w:r>
      <w:r>
        <w:t>phasing out of</w:t>
      </w:r>
      <w:r w:rsidRPr="00AF297A">
        <w:t xml:space="preserve"> free allocation after 2020? </w:t>
      </w:r>
    </w:p>
    <w:p w:rsidR="00880E1A" w:rsidRPr="00AF297A" w:rsidRDefault="004B1C4C" w:rsidP="00A87313">
      <w:pPr>
        <w:pStyle w:val="Heading2"/>
        <w:spacing w:before="480"/>
      </w:pPr>
      <w:bookmarkStart w:id="18" w:name="_Toc435798389"/>
      <w:r w:rsidRPr="00AF297A">
        <w:t>4.3</w:t>
      </w:r>
      <w:r w:rsidRPr="00AF297A">
        <w:tab/>
      </w:r>
      <w:r w:rsidR="00880E1A" w:rsidRPr="00AF297A">
        <w:t>Managing unit supply</w:t>
      </w:r>
      <w:bookmarkEnd w:id="18"/>
    </w:p>
    <w:p w:rsidR="00880E1A" w:rsidRPr="00AF297A" w:rsidRDefault="00880E1A" w:rsidP="00A87313">
      <w:pPr>
        <w:pStyle w:val="BodyText"/>
      </w:pPr>
      <w:r w:rsidRPr="00AF297A">
        <w:t>We seek your views on how the supply of units into the NZ ETS should be managed up to and beyond 2020.</w:t>
      </w:r>
    </w:p>
    <w:p w:rsidR="00880E1A" w:rsidRPr="00AF297A" w:rsidRDefault="00880E1A" w:rsidP="00A87313">
      <w:pPr>
        <w:pStyle w:val="BodyText"/>
      </w:pPr>
      <w:r w:rsidRPr="00AF297A">
        <w:t>The NZ ETS was designed to be linked to international carbon markets, particularly to the Kyoto Protocol flexibility mechanisms.</w:t>
      </w:r>
      <w:r w:rsidR="007B5588" w:rsidRPr="00AF297A">
        <w:t xml:space="preserve"> </w:t>
      </w:r>
      <w:r w:rsidRPr="00AF297A">
        <w:t xml:space="preserve">However, </w:t>
      </w:r>
      <w:r w:rsidR="00C506B7">
        <w:t>T</w:t>
      </w:r>
      <w:r w:rsidRPr="00AF297A">
        <w:t>he NZ ETS stopped accepting international units</w:t>
      </w:r>
      <w:r w:rsidR="00C506B7">
        <w:t xml:space="preserve"> f</w:t>
      </w:r>
      <w:r w:rsidR="00C506B7" w:rsidRPr="00AF297A">
        <w:t>rom June 2015</w:t>
      </w:r>
      <w:r w:rsidRPr="00AF297A">
        <w:t>, transitioning it to a domestic</w:t>
      </w:r>
      <w:r w:rsidR="00F3748E">
        <w:t>-</w:t>
      </w:r>
      <w:r w:rsidRPr="00AF297A">
        <w:t>only scheme.</w:t>
      </w:r>
      <w:r w:rsidR="007B5588" w:rsidRPr="00AF297A">
        <w:t xml:space="preserve"> </w:t>
      </w:r>
    </w:p>
    <w:p w:rsidR="00EC1657" w:rsidRDefault="00880E1A" w:rsidP="00A87313">
      <w:pPr>
        <w:pStyle w:val="BodyText"/>
      </w:pPr>
      <w:r w:rsidRPr="00AF297A">
        <w:t xml:space="preserve">This means that new unit supply to the NZ ETS comes from two main sources: </w:t>
      </w:r>
    </w:p>
    <w:p w:rsidR="00EC1657" w:rsidRDefault="00880E1A" w:rsidP="00A87313">
      <w:pPr>
        <w:pStyle w:val="Bullet"/>
      </w:pPr>
      <w:r w:rsidRPr="00AF297A">
        <w:t>NZUs transferred to forest owners for carbon removal activities</w:t>
      </w:r>
    </w:p>
    <w:p w:rsidR="00EC1657" w:rsidRDefault="00880E1A" w:rsidP="00A87313">
      <w:pPr>
        <w:pStyle w:val="Bullet"/>
      </w:pPr>
      <w:r w:rsidRPr="00AF297A">
        <w:t>the Government</w:t>
      </w:r>
      <w:r w:rsidR="007B5588" w:rsidRPr="00AF297A">
        <w:t>’</w:t>
      </w:r>
      <w:r w:rsidRPr="00AF297A">
        <w:t xml:space="preserve">s annual free allocations for EITE industry activities. </w:t>
      </w:r>
    </w:p>
    <w:p w:rsidR="00880E1A" w:rsidRPr="00AF297A" w:rsidRDefault="00880E1A" w:rsidP="00A87313">
      <w:pPr>
        <w:pStyle w:val="BodyText"/>
      </w:pPr>
      <w:r w:rsidRPr="00AF297A">
        <w:t xml:space="preserve">The quantity of NZUs provided </w:t>
      </w:r>
      <w:r w:rsidR="004678DB">
        <w:t>each year</w:t>
      </w:r>
      <w:r w:rsidR="004678DB" w:rsidRPr="00AF297A">
        <w:t xml:space="preserve"> </w:t>
      </w:r>
      <w:r w:rsidRPr="00AF297A">
        <w:t>through these sources is less than the amount participants</w:t>
      </w:r>
      <w:r w:rsidR="00186F1B">
        <w:t xml:space="preserve"> need</w:t>
      </w:r>
      <w:r w:rsidRPr="00AF297A">
        <w:t xml:space="preserve"> to meet emissions obligations each year. </w:t>
      </w:r>
      <w:r w:rsidR="004678DB">
        <w:t>A</w:t>
      </w:r>
      <w:r w:rsidRPr="00AF297A">
        <w:t xml:space="preserve">s discussed </w:t>
      </w:r>
      <w:r w:rsidR="004678DB">
        <w:t>earlier,</w:t>
      </w:r>
      <w:r w:rsidR="004678DB" w:rsidRPr="00AF297A">
        <w:t xml:space="preserve"> </w:t>
      </w:r>
      <w:r w:rsidRPr="00AF297A">
        <w:t xml:space="preserve">there </w:t>
      </w:r>
      <w:r w:rsidR="00186F1B">
        <w:t>are</w:t>
      </w:r>
      <w:r w:rsidR="00186F1B" w:rsidRPr="00AF297A">
        <w:t xml:space="preserve"> </w:t>
      </w:r>
      <w:r w:rsidRPr="00AF297A">
        <w:t xml:space="preserve">a large number of NZUs banked in private accounts </w:t>
      </w:r>
      <w:r w:rsidR="004678DB">
        <w:t>that</w:t>
      </w:r>
      <w:r w:rsidR="004678DB" w:rsidRPr="00AF297A">
        <w:t xml:space="preserve"> </w:t>
      </w:r>
      <w:r w:rsidRPr="00AF297A">
        <w:t>can make up the shortfall, at least in the short term.</w:t>
      </w:r>
      <w:r w:rsidR="007B5588" w:rsidRPr="00AF297A">
        <w:t xml:space="preserve"> </w:t>
      </w:r>
      <w:r w:rsidRPr="00AF297A">
        <w:t>These banked units will eventually deplete, particularly if the one-for-two surrender obligation is removed.</w:t>
      </w:r>
      <w:r w:rsidR="007B5588" w:rsidRPr="00AF297A">
        <w:t xml:space="preserve"> </w:t>
      </w:r>
      <w:r w:rsidRPr="00AF297A">
        <w:t>This means that how the NZ ETS should be supplied with units in the medium</w:t>
      </w:r>
      <w:r w:rsidR="004678DB">
        <w:t>-</w:t>
      </w:r>
      <w:r w:rsidRPr="00AF297A">
        <w:t>to</w:t>
      </w:r>
      <w:r w:rsidR="004678DB">
        <w:t>-</w:t>
      </w:r>
      <w:r w:rsidRPr="00AF297A">
        <w:t>long term</w:t>
      </w:r>
      <w:r w:rsidR="004678DB">
        <w:t xml:space="preserve"> needs to be considered</w:t>
      </w:r>
      <w:r w:rsidRPr="00AF297A">
        <w:t>, including the relationship among potential sources of supply such as forestry, international units, and selling NZUs by auction.</w:t>
      </w:r>
      <w:r w:rsidR="007B5588" w:rsidRPr="00AF297A">
        <w:t xml:space="preserve"> </w:t>
      </w:r>
    </w:p>
    <w:p w:rsidR="00880E1A" w:rsidRPr="00AF297A" w:rsidRDefault="00880E1A" w:rsidP="00A87313">
      <w:pPr>
        <w:pStyle w:val="Heading3"/>
      </w:pPr>
      <w:r w:rsidRPr="00AF297A">
        <w:t>Forestry</w:t>
      </w:r>
    </w:p>
    <w:p w:rsidR="00880E1A" w:rsidRPr="00AF297A" w:rsidRDefault="00880E1A" w:rsidP="00A87313">
      <w:pPr>
        <w:pStyle w:val="BodyText"/>
      </w:pPr>
      <w:r w:rsidRPr="00AF297A">
        <w:t>Carbon removals from forestry are one of New Zealand</w:t>
      </w:r>
      <w:r w:rsidR="007B5588" w:rsidRPr="00AF297A">
        <w:t>’</w:t>
      </w:r>
      <w:r w:rsidRPr="00AF297A">
        <w:t>s largest and most cost</w:t>
      </w:r>
      <w:r w:rsidR="00186F1B">
        <w:t>-</w:t>
      </w:r>
      <w:r w:rsidRPr="00AF297A">
        <w:t xml:space="preserve">effective domestic abatement options. The Government wants to identify any changes to the NZ ETS that could help increase the rate of forest planting. </w:t>
      </w:r>
    </w:p>
    <w:p w:rsidR="00880E1A" w:rsidRPr="00AF297A" w:rsidRDefault="00880E1A" w:rsidP="00A87313">
      <w:pPr>
        <w:pStyle w:val="BodyText"/>
      </w:pPr>
      <w:r w:rsidRPr="00AF297A">
        <w:t>Forestry is a significant industry in New Zealand</w:t>
      </w:r>
      <w:r w:rsidR="00186F1B">
        <w:t>,</w:t>
      </w:r>
      <w:r w:rsidR="004B1C4C" w:rsidRPr="00AF297A">
        <w:t xml:space="preserve"> and an important part of the Mā</w:t>
      </w:r>
      <w:r w:rsidRPr="00AF297A">
        <w:t xml:space="preserve">ori economy. The NZ ETS is intended to encourage carbon removals through forestry by incentivising afforestation and re-planting, and discouraging deforestation. The forestry sector has played a key role in New Zealand meeting its past international obligations, and will continue to do so into the future. </w:t>
      </w:r>
    </w:p>
    <w:p w:rsidR="004B1C4C" w:rsidRPr="00AF297A" w:rsidRDefault="004B1C4C" w:rsidP="00A87313">
      <w:pPr>
        <w:pStyle w:val="BodyText"/>
      </w:pPr>
      <w:r w:rsidRPr="00AF297A">
        <w:t>Forests are classified differently under the NZ ETS depending on when they were first established. Owners of forests established after 1989 can voluntarily choose to participate in the NZ ETS and receive NZUs for the carbon removed by their trees. Owners of forests established prior to 1990, on the other hand, must participate in the NZ ETS and surrender emission units, but only if they deforest their land.</w:t>
      </w:r>
      <w:r w:rsidRPr="00AF297A">
        <w:rPr>
          <w:rStyle w:val="FootnoteReference"/>
          <w:rFonts w:ascii="Calibri" w:hAnsi="Calibri"/>
          <w:sz w:val="22"/>
          <w:szCs w:val="22"/>
        </w:rPr>
        <w:footnoteReference w:id="11"/>
      </w:r>
      <w:r w:rsidRPr="00AF297A">
        <w:t xml:space="preserve"> </w:t>
      </w:r>
    </w:p>
    <w:p w:rsidR="00FE5262" w:rsidRPr="00AF297A" w:rsidRDefault="00FE5262" w:rsidP="00A87313">
      <w:pPr>
        <w:pStyle w:val="BodyText"/>
      </w:pPr>
      <w:r w:rsidRPr="00AF297A">
        <w:lastRenderedPageBreak/>
        <w:t>The impact of the NZ ETS on the forestry sector has varied over time. Between 2008 and 2011, when NZU prices were higher (in the range of $15</w:t>
      </w:r>
      <w:r w:rsidR="00186F1B">
        <w:t>–$</w:t>
      </w:r>
      <w:r w:rsidRPr="00AF297A">
        <w:t>20), post-1989 forestry participation in the NZ ETS reached a high of around 60</w:t>
      </w:r>
      <w:r w:rsidR="00186F1B">
        <w:t xml:space="preserve"> per cent</w:t>
      </w:r>
      <w:r w:rsidRPr="00AF297A">
        <w:t xml:space="preserve"> of the estimated area of eligible forest. Participation is currently lower, at about 45</w:t>
      </w:r>
      <w:r w:rsidR="00186F1B">
        <w:t xml:space="preserve"> per cent</w:t>
      </w:r>
      <w:r w:rsidRPr="00AF297A">
        <w:t xml:space="preserve">. This reduced participation rate is likely to be due to a fall in NZU prices, regulatory uncertainty and, until May 2014, a number of participants choosing to deregister from the NZ ETS using low cost international units. </w:t>
      </w:r>
    </w:p>
    <w:p w:rsidR="00FE5262" w:rsidRPr="00AF297A" w:rsidRDefault="00FE5262" w:rsidP="00A87313">
      <w:pPr>
        <w:pStyle w:val="BodyText"/>
      </w:pPr>
      <w:r w:rsidRPr="00AF297A">
        <w:t>Afforestation in New Zealand peak</w:t>
      </w:r>
      <w:r w:rsidR="00186F1B">
        <w:t>ed</w:t>
      </w:r>
      <w:r w:rsidRPr="00AF297A">
        <w:t xml:space="preserve"> in the 1990s</w:t>
      </w:r>
      <w:r w:rsidR="00186F1B">
        <w:t>, and then declined</w:t>
      </w:r>
      <w:r w:rsidRPr="00AF297A">
        <w:t xml:space="preserve"> to 2008 due to perceptions of low forestry profitability, the cost of purchasing land, and returns from competing land uses. The introduction of the NZ ETS and an NZU price of $15</w:t>
      </w:r>
      <w:r w:rsidR="00A1443B">
        <w:t>–$</w:t>
      </w:r>
      <w:r w:rsidRPr="00AF297A">
        <w:t xml:space="preserve">20 temporarily (until 2012) created an increased incentive for afforestation. </w:t>
      </w:r>
      <w:r w:rsidR="00D44364">
        <w:t>However, t</w:t>
      </w:r>
      <w:r w:rsidRPr="00AF297A">
        <w:t>he carbon price has since fallen</w:t>
      </w:r>
      <w:r w:rsidR="00A1443B">
        <w:t xml:space="preserve"> </w:t>
      </w:r>
      <w:r w:rsidRPr="00AF297A">
        <w:t>and present afforestation rates are lower.</w:t>
      </w:r>
      <w:r w:rsidRPr="00AF297A">
        <w:rPr>
          <w:rStyle w:val="FootnoteReference"/>
          <w:rFonts w:ascii="Calibri" w:hAnsi="Calibri"/>
          <w:sz w:val="22"/>
          <w:szCs w:val="22"/>
        </w:rPr>
        <w:footnoteReference w:id="12"/>
      </w:r>
      <w:r w:rsidRPr="00AF297A">
        <w:t xml:space="preserve"> For pre-1990 forests, ongoing deforestation of approximately 3000–5000 hectares per year is expected to continue if the carbon price remains at current levels, all other things being equal.</w:t>
      </w:r>
      <w:r w:rsidRPr="00AF297A">
        <w:rPr>
          <w:rStyle w:val="FootnoteReference"/>
          <w:rFonts w:ascii="Calibri" w:hAnsi="Calibri"/>
          <w:sz w:val="22"/>
          <w:szCs w:val="22"/>
        </w:rPr>
        <w:footnoteReference w:id="13"/>
      </w:r>
      <w:r w:rsidRPr="00AF297A">
        <w:t xml:space="preserve"> </w:t>
      </w:r>
    </w:p>
    <w:p w:rsidR="008C0D86" w:rsidRPr="00AF297A" w:rsidRDefault="008C0D86" w:rsidP="00A87313">
      <w:pPr>
        <w:pStyle w:val="BodyText"/>
      </w:pPr>
      <w:r w:rsidRPr="00AF297A">
        <w:t>NZ ETS incentives to afforest or to avoid deforestation are partially linked to the price of emission units. Any changes to demand in the NZ ETS will affect NZU prices. Aspects of the NZ ETS other than NZU prices are also important in incentivising forestry activities and encouraging foresters</w:t>
      </w:r>
      <w:r w:rsidR="007B5588" w:rsidRPr="00AF297A">
        <w:t>’</w:t>
      </w:r>
      <w:r w:rsidRPr="00AF297A">
        <w:t xml:space="preserve"> participation in the scheme. These include regulatory certainty and confidence in the stability of the NZ ETS. </w:t>
      </w:r>
    </w:p>
    <w:p w:rsidR="00CC45CF" w:rsidRPr="00CC45CF" w:rsidRDefault="008C0D86" w:rsidP="00CC45CF">
      <w:pPr>
        <w:pStyle w:val="Heading3"/>
        <w:jc w:val="both"/>
      </w:pPr>
      <w:r w:rsidRPr="00AF297A">
        <w:t>Questions</w:t>
      </w:r>
    </w:p>
    <w:p w:rsidR="005A36F8" w:rsidRPr="00AF297A" w:rsidRDefault="00191EF0" w:rsidP="00CC45CF">
      <w:pPr>
        <w:pStyle w:val="Box"/>
        <w:numPr>
          <w:ilvl w:val="0"/>
          <w:numId w:val="36"/>
        </w:numPr>
        <w:pBdr>
          <w:top w:val="none" w:sz="0" w:space="0" w:color="auto"/>
          <w:left w:val="none" w:sz="0" w:space="0" w:color="auto"/>
          <w:bottom w:val="none" w:sz="0" w:space="0" w:color="auto"/>
          <w:right w:val="none" w:sz="0" w:space="0" w:color="auto"/>
        </w:pBdr>
        <w:shd w:val="clear" w:color="auto" w:fill="auto"/>
        <w:spacing w:before="120"/>
        <w:ind w:left="357" w:hanging="357"/>
        <w:jc w:val="both"/>
      </w:pPr>
      <w:r>
        <w:rPr>
          <w:noProof/>
          <w:lang w:eastAsia="en-NZ"/>
        </w:rPr>
        <w:pict w14:anchorId="6DD34664">
          <v:rect id="_x0000_s1048" style="position:absolute;left:0;text-align:left;margin-left:-4.1pt;margin-top:.7pt;width:416.85pt;height:177.4pt;z-index:-25164748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5A36F8" w:rsidRPr="00AF297A">
        <w:t>How does the carbon price impact your forestry investment decision</w:t>
      </w:r>
      <w:r w:rsidR="005A36F8">
        <w:t>-</w:t>
      </w:r>
      <w:r w:rsidR="005A36F8" w:rsidRPr="00AF297A">
        <w:t xml:space="preserve">making? </w:t>
      </w:r>
    </w:p>
    <w:p w:rsidR="005A36F8" w:rsidRPr="00AF297A" w:rsidRDefault="005A36F8" w:rsidP="005A36F8">
      <w:pPr>
        <w:pStyle w:val="Box"/>
        <w:pBdr>
          <w:top w:val="none" w:sz="0" w:space="0" w:color="auto"/>
          <w:left w:val="none" w:sz="0" w:space="0" w:color="auto"/>
          <w:bottom w:val="none" w:sz="0" w:space="0" w:color="auto"/>
          <w:right w:val="none" w:sz="0" w:space="0" w:color="auto"/>
        </w:pBdr>
        <w:shd w:val="clear" w:color="auto" w:fill="auto"/>
        <w:spacing w:before="120"/>
        <w:ind w:left="533" w:hanging="136"/>
        <w:jc w:val="both"/>
      </w:pPr>
      <w:r w:rsidRPr="00AF297A">
        <w:t>In your answer, we are interested in</w:t>
      </w:r>
      <w:r>
        <w:t xml:space="preserve"> the</w:t>
      </w:r>
      <w:r w:rsidRPr="00AF297A">
        <w:t>:</w:t>
      </w:r>
    </w:p>
    <w:p w:rsidR="005A36F8" w:rsidRPr="00AF297A" w:rsidRDefault="005A36F8" w:rsidP="00CC45CF">
      <w:pPr>
        <w:pStyle w:val="Boxbullet"/>
        <w:numPr>
          <w:ilvl w:val="0"/>
          <w:numId w:val="27"/>
        </w:numPr>
        <w:pBdr>
          <w:top w:val="none" w:sz="0" w:space="0" w:color="auto"/>
          <w:left w:val="none" w:sz="0" w:space="0" w:color="auto"/>
          <w:bottom w:val="none" w:sz="0" w:space="0" w:color="auto"/>
          <w:right w:val="none" w:sz="0" w:space="0" w:color="auto"/>
        </w:pBdr>
        <w:shd w:val="clear" w:color="auto" w:fill="auto"/>
        <w:ind w:left="1134" w:hanging="644"/>
        <w:jc w:val="both"/>
      </w:pPr>
      <w:r w:rsidRPr="00AF297A">
        <w:t>extent to which the NZU price impacts decisions, compared to other factors</w:t>
      </w:r>
    </w:p>
    <w:p w:rsidR="005A36F8" w:rsidRPr="00AF297A" w:rsidRDefault="005A36F8" w:rsidP="00CC45CF">
      <w:pPr>
        <w:pStyle w:val="Boxbullet"/>
        <w:numPr>
          <w:ilvl w:val="0"/>
          <w:numId w:val="27"/>
        </w:numPr>
        <w:pBdr>
          <w:top w:val="none" w:sz="0" w:space="0" w:color="auto"/>
          <w:left w:val="none" w:sz="0" w:space="0" w:color="auto"/>
          <w:bottom w:val="none" w:sz="0" w:space="0" w:color="auto"/>
          <w:right w:val="none" w:sz="0" w:space="0" w:color="auto"/>
        </w:pBdr>
        <w:shd w:val="clear" w:color="auto" w:fill="auto"/>
        <w:ind w:left="1134" w:hanging="644"/>
        <w:jc w:val="both"/>
      </w:pPr>
      <w:r w:rsidRPr="00AF297A">
        <w:t>impacts of the current price</w:t>
      </w:r>
      <w:r>
        <w:t>,</w:t>
      </w:r>
      <w:r w:rsidRPr="00AF297A">
        <w:t xml:space="preserve"> and of your expectations for future prices.</w:t>
      </w:r>
    </w:p>
    <w:p w:rsidR="005A36F8" w:rsidRPr="00AF297A" w:rsidRDefault="005A36F8" w:rsidP="005A36F8">
      <w:pPr>
        <w:pStyle w:val="Box"/>
        <w:pBdr>
          <w:top w:val="none" w:sz="0" w:space="0" w:color="auto"/>
          <w:left w:val="none" w:sz="0" w:space="0" w:color="auto"/>
          <w:bottom w:val="none" w:sz="0" w:space="0" w:color="auto"/>
          <w:right w:val="none" w:sz="0" w:space="0" w:color="auto"/>
        </w:pBdr>
        <w:shd w:val="clear" w:color="auto" w:fill="auto"/>
        <w:ind w:hanging="644"/>
        <w:jc w:val="both"/>
      </w:pPr>
    </w:p>
    <w:p w:rsidR="005A36F8" w:rsidRPr="00AF297A" w:rsidRDefault="005A36F8" w:rsidP="00A87313">
      <w:pPr>
        <w:pStyle w:val="Box"/>
        <w:numPr>
          <w:ilvl w:val="0"/>
          <w:numId w:val="36"/>
        </w:numPr>
        <w:pBdr>
          <w:top w:val="none" w:sz="0" w:space="0" w:color="auto"/>
          <w:left w:val="none" w:sz="0" w:space="0" w:color="auto"/>
          <w:bottom w:val="none" w:sz="0" w:space="0" w:color="auto"/>
          <w:right w:val="none" w:sz="0" w:space="0" w:color="auto"/>
        </w:pBdr>
        <w:shd w:val="clear" w:color="auto" w:fill="auto"/>
      </w:pPr>
      <w:r w:rsidRPr="00AF297A">
        <w:t>Are there opportunities for the NZ ETS to increase incentives fo</w:t>
      </w:r>
      <w:r>
        <w:t xml:space="preserve">r forestry investments, outside </w:t>
      </w:r>
      <w:r w:rsidRPr="00AF297A">
        <w:t xml:space="preserve">of NZU price? </w:t>
      </w:r>
      <w:r w:rsidRPr="00141E53">
        <w:rPr>
          <w:b/>
        </w:rPr>
        <w:t>Yes/No/Unsure</w:t>
      </w:r>
    </w:p>
    <w:p w:rsidR="005A36F8" w:rsidRPr="00AF297A" w:rsidRDefault="005A36F8" w:rsidP="005A36F8">
      <w:pPr>
        <w:pStyle w:val="Box"/>
        <w:pBdr>
          <w:top w:val="none" w:sz="0" w:space="0" w:color="auto"/>
          <w:left w:val="none" w:sz="0" w:space="0" w:color="auto"/>
          <w:bottom w:val="none" w:sz="0" w:space="0" w:color="auto"/>
          <w:right w:val="none" w:sz="0" w:space="0" w:color="auto"/>
        </w:pBdr>
        <w:shd w:val="clear" w:color="auto" w:fill="auto"/>
        <w:ind w:hanging="644"/>
        <w:jc w:val="both"/>
      </w:pPr>
    </w:p>
    <w:p w:rsidR="005A36F8" w:rsidRPr="00AF297A" w:rsidRDefault="005A36F8" w:rsidP="00A87313">
      <w:pPr>
        <w:pStyle w:val="Box"/>
        <w:pBdr>
          <w:top w:val="none" w:sz="0" w:space="0" w:color="auto"/>
          <w:left w:val="none" w:sz="0" w:space="0" w:color="auto"/>
          <w:bottom w:val="none" w:sz="0" w:space="0" w:color="auto"/>
          <w:right w:val="none" w:sz="0" w:space="0" w:color="auto"/>
        </w:pBdr>
        <w:shd w:val="clear" w:color="auto" w:fill="auto"/>
        <w:tabs>
          <w:tab w:val="left" w:pos="426"/>
        </w:tabs>
        <w:ind w:left="426" w:hanging="426"/>
      </w:pPr>
      <w:r>
        <w:t xml:space="preserve">15.  </w:t>
      </w:r>
      <w:r w:rsidRPr="00AF297A">
        <w:t xml:space="preserve">What are your reasons for the above answer? If you answered yes, we would be interested </w:t>
      </w:r>
      <w:r w:rsidR="001A4A79" w:rsidRPr="00AF297A">
        <w:t xml:space="preserve">in </w:t>
      </w:r>
      <w:r w:rsidR="001A4A79">
        <w:t>comments</w:t>
      </w:r>
      <w:r w:rsidRPr="00AF297A">
        <w:t xml:space="preserve"> on:</w:t>
      </w:r>
    </w:p>
    <w:p w:rsidR="005A36F8" w:rsidRPr="00AF297A" w:rsidRDefault="005A36F8" w:rsidP="00CC45CF">
      <w:pPr>
        <w:pStyle w:val="Boxbullet"/>
        <w:numPr>
          <w:ilvl w:val="0"/>
          <w:numId w:val="28"/>
        </w:numPr>
        <w:pBdr>
          <w:top w:val="none" w:sz="0" w:space="0" w:color="auto"/>
          <w:left w:val="none" w:sz="0" w:space="0" w:color="auto"/>
          <w:bottom w:val="none" w:sz="0" w:space="0" w:color="auto"/>
          <w:right w:val="none" w:sz="0" w:space="0" w:color="auto"/>
        </w:pBdr>
        <w:shd w:val="clear" w:color="auto" w:fill="auto"/>
        <w:ind w:left="1134" w:hanging="644"/>
        <w:jc w:val="both"/>
      </w:pPr>
      <w:r w:rsidRPr="00AF297A">
        <w:t>any barriers to participating in the NZ ETS that could be reduced</w:t>
      </w:r>
    </w:p>
    <w:p w:rsidR="005A36F8" w:rsidRDefault="005A36F8" w:rsidP="00CC45CF">
      <w:pPr>
        <w:pStyle w:val="Boxbullet"/>
        <w:numPr>
          <w:ilvl w:val="0"/>
          <w:numId w:val="28"/>
        </w:numPr>
        <w:pBdr>
          <w:top w:val="none" w:sz="0" w:space="0" w:color="auto"/>
          <w:left w:val="none" w:sz="0" w:space="0" w:color="auto"/>
          <w:bottom w:val="none" w:sz="0" w:space="0" w:color="auto"/>
          <w:right w:val="none" w:sz="0" w:space="0" w:color="auto"/>
        </w:pBdr>
        <w:shd w:val="clear" w:color="auto" w:fill="auto"/>
        <w:ind w:left="1134" w:hanging="644"/>
        <w:jc w:val="both"/>
      </w:pPr>
      <w:r w:rsidRPr="00AF297A">
        <w:t xml:space="preserve">other factors. </w:t>
      </w:r>
    </w:p>
    <w:p w:rsidR="008B0B09" w:rsidRPr="00AF297A" w:rsidRDefault="008B0B09" w:rsidP="00A87313">
      <w:pPr>
        <w:pStyle w:val="Heading3"/>
      </w:pPr>
      <w:r w:rsidRPr="00AF297A">
        <w:lastRenderedPageBreak/>
        <w:t>International units</w:t>
      </w:r>
    </w:p>
    <w:p w:rsidR="008B0B09" w:rsidRPr="00AF297A" w:rsidRDefault="008B0B09" w:rsidP="00A87313">
      <w:pPr>
        <w:pStyle w:val="BodyText"/>
        <w:keepLines/>
      </w:pPr>
      <w:r w:rsidRPr="00AF297A">
        <w:t xml:space="preserve">Due to our national circumstances, New Zealand has fewer low-cost options to reduce our domestic emissions compared with other developed countries. Access to international abatement </w:t>
      </w:r>
      <w:r w:rsidR="007320CD">
        <w:t xml:space="preserve">through the opportunity </w:t>
      </w:r>
      <w:r w:rsidRPr="00AF297A">
        <w:t>purchas</w:t>
      </w:r>
      <w:r w:rsidR="002330EA">
        <w:t>ing</w:t>
      </w:r>
      <w:r w:rsidRPr="00AF297A">
        <w:t xml:space="preserve"> international emission reduction units and count</w:t>
      </w:r>
      <w:r w:rsidR="002330EA">
        <w:t>ing</w:t>
      </w:r>
      <w:r w:rsidRPr="00AF297A">
        <w:t xml:space="preserve"> them towards our target allows New Zealand to take more ambitious emission reduction targets. From the perspective of mitigating climate change, emission reductions achieved anywhere in the world will ultimately benefit all countries. Linking the NZ ETS with international carbon markets means New Zealand businesses face similar costs for emission reductions to those faced in other countries. This is why the NZ ETS has accepted international units in the past, and will likely accept international units in future.</w:t>
      </w:r>
      <w:r w:rsidR="007B5588" w:rsidRPr="00AF297A">
        <w:t xml:space="preserve"> </w:t>
      </w:r>
    </w:p>
    <w:p w:rsidR="008B0B09" w:rsidRPr="00AF297A" w:rsidRDefault="008B0B09" w:rsidP="00A87313">
      <w:pPr>
        <w:pStyle w:val="BodyText"/>
      </w:pPr>
      <w:r w:rsidRPr="00AF297A">
        <w:t>While international units are of critical importance for New Zealand meeting its international climate targets, they have also contributed to challenges in the NZ ETS.</w:t>
      </w:r>
      <w:r w:rsidR="007B5588" w:rsidRPr="00AF297A">
        <w:t xml:space="preserve"> </w:t>
      </w:r>
      <w:r w:rsidRPr="00AF297A">
        <w:t>Until June 2015, NZ ETS participants had no limit on the number of international units they could import and surrender. This contributed to a significant drop in the value of NZUs</w:t>
      </w:r>
      <w:r w:rsidR="002330EA">
        <w:t>,</w:t>
      </w:r>
      <w:r w:rsidRPr="00AF297A">
        <w:t xml:space="preserve"> as the majority of units available on the international market were available at much lower cost, and reduced incentives for carbon abatement in New Zealand. The high number of international unit surrenders contributed to the creation of the stockpile of banked NZUs, and was one of the reasons why the Government decided that from June 2015 the NZ ETS would only accept NZUs for surrender, becoming a domestic</w:t>
      </w:r>
      <w:r w:rsidR="002330EA">
        <w:t>-</w:t>
      </w:r>
      <w:r w:rsidRPr="00AF297A">
        <w:t xml:space="preserve">only scheme. </w:t>
      </w:r>
    </w:p>
    <w:p w:rsidR="008B0B09" w:rsidRPr="00AF297A" w:rsidRDefault="008B0B09" w:rsidP="00A87313">
      <w:pPr>
        <w:pStyle w:val="BodyText"/>
      </w:pPr>
      <w:r w:rsidRPr="00AF297A">
        <w:t>Given the importance of international abatement for meeting our 2030 target, the Government is likely to consider making international units eligible in the NZ ETS once again.</w:t>
      </w:r>
      <w:r w:rsidR="007B5588" w:rsidRPr="00AF297A">
        <w:t xml:space="preserve"> </w:t>
      </w:r>
      <w:r w:rsidRPr="00AF297A">
        <w:t xml:space="preserve">This will require assessment of whether to place any limits on the use of international units, and of whether and how to balance the tension between providing access to lower cost abatement while promoting stable development of the carbon market in New Zealand, particularly given </w:t>
      </w:r>
      <w:r w:rsidR="00007339">
        <w:t xml:space="preserve">that </w:t>
      </w:r>
      <w:r w:rsidRPr="00AF297A">
        <w:t xml:space="preserve">international carbon markets may </w:t>
      </w:r>
      <w:r w:rsidR="00007339">
        <w:t>remain volatile</w:t>
      </w:r>
      <w:r w:rsidR="00007339" w:rsidRPr="00AF297A">
        <w:t xml:space="preserve"> </w:t>
      </w:r>
      <w:r w:rsidRPr="00AF297A">
        <w:t>for some time.</w:t>
      </w:r>
      <w:r w:rsidR="007B5588" w:rsidRPr="00AF297A">
        <w:t xml:space="preserve"> </w:t>
      </w:r>
    </w:p>
    <w:p w:rsidR="00880E1A" w:rsidRPr="00AF297A" w:rsidRDefault="00191EF0" w:rsidP="00415FED">
      <w:pPr>
        <w:pStyle w:val="Heading3"/>
        <w:spacing w:after="120"/>
        <w:jc w:val="both"/>
      </w:pPr>
      <w:r>
        <w:rPr>
          <w:noProof/>
          <w:lang w:eastAsia="en-NZ"/>
        </w:rPr>
        <w:pict w14:anchorId="6DD34664">
          <v:rect id="_x0000_s1049" style="position:absolute;left:0;text-align:left;margin-left:-2.35pt;margin-top:34.9pt;width:416.85pt;height:80.7pt;z-index:-25164646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8B0B09" w:rsidRPr="00AF297A">
        <w:t>Question</w:t>
      </w:r>
    </w:p>
    <w:p w:rsidR="003C1381" w:rsidRPr="00AF297A" w:rsidRDefault="003C1381" w:rsidP="00A87313">
      <w:pPr>
        <w:pStyle w:val="Box"/>
        <w:numPr>
          <w:ilvl w:val="0"/>
          <w:numId w:val="23"/>
        </w:numPr>
        <w:pBdr>
          <w:top w:val="none" w:sz="0" w:space="0" w:color="auto"/>
          <w:left w:val="none" w:sz="0" w:space="0" w:color="auto"/>
          <w:bottom w:val="none" w:sz="0" w:space="0" w:color="auto"/>
          <w:right w:val="none" w:sz="0" w:space="0" w:color="auto"/>
        </w:pBdr>
        <w:shd w:val="clear" w:color="auto" w:fill="auto"/>
        <w:ind w:left="426" w:hanging="426"/>
      </w:pPr>
      <w:r w:rsidRPr="00AF297A">
        <w:t>If international units are eligible for NZ ETS compliance in the 202</w:t>
      </w:r>
      <w:r>
        <w:t xml:space="preserve">0s, should any of the following </w:t>
      </w:r>
      <w:r w:rsidRPr="00AF297A">
        <w:t>restrictions be placed on their use?</w:t>
      </w:r>
    </w:p>
    <w:p w:rsidR="003C1381" w:rsidRPr="00AF297A" w:rsidRDefault="003C1381" w:rsidP="00CC45CF">
      <w:pPr>
        <w:pStyle w:val="Boxbullet"/>
        <w:numPr>
          <w:ilvl w:val="0"/>
          <w:numId w:val="29"/>
        </w:numPr>
        <w:pBdr>
          <w:top w:val="none" w:sz="0" w:space="0" w:color="auto"/>
          <w:left w:val="none" w:sz="0" w:space="0" w:color="auto"/>
          <w:bottom w:val="none" w:sz="0" w:space="0" w:color="auto"/>
          <w:right w:val="none" w:sz="0" w:space="0" w:color="auto"/>
        </w:pBdr>
        <w:shd w:val="clear" w:color="auto" w:fill="auto"/>
        <w:ind w:left="1134" w:hanging="644"/>
        <w:jc w:val="both"/>
      </w:pPr>
      <w:r>
        <w:t>r</w:t>
      </w:r>
      <w:r w:rsidRPr="00AF297A">
        <w:t xml:space="preserve">estrictions on where units can be sourced from (location of and/or types of projects) </w:t>
      </w:r>
    </w:p>
    <w:p w:rsidR="003C1381" w:rsidRPr="00AF297A" w:rsidRDefault="003C1381" w:rsidP="00CC45CF">
      <w:pPr>
        <w:pStyle w:val="Boxbullet"/>
        <w:numPr>
          <w:ilvl w:val="0"/>
          <w:numId w:val="29"/>
        </w:numPr>
        <w:pBdr>
          <w:top w:val="none" w:sz="0" w:space="0" w:color="auto"/>
          <w:left w:val="none" w:sz="0" w:space="0" w:color="auto"/>
          <w:bottom w:val="none" w:sz="0" w:space="0" w:color="auto"/>
          <w:right w:val="none" w:sz="0" w:space="0" w:color="auto"/>
        </w:pBdr>
        <w:shd w:val="clear" w:color="auto" w:fill="auto"/>
        <w:ind w:left="1134" w:hanging="644"/>
        <w:jc w:val="both"/>
      </w:pPr>
      <w:r>
        <w:t>r</w:t>
      </w:r>
      <w:r w:rsidRPr="00AF297A">
        <w:t>estrictions on how many units can be surrendered</w:t>
      </w:r>
    </w:p>
    <w:p w:rsidR="003C1381" w:rsidRDefault="003C1381" w:rsidP="00CC45CF">
      <w:pPr>
        <w:pStyle w:val="Boxbullet"/>
        <w:keepNext/>
        <w:numPr>
          <w:ilvl w:val="0"/>
          <w:numId w:val="29"/>
        </w:numPr>
        <w:pBdr>
          <w:top w:val="none" w:sz="0" w:space="0" w:color="auto"/>
          <w:left w:val="none" w:sz="0" w:space="0" w:color="auto"/>
          <w:bottom w:val="none" w:sz="0" w:space="0" w:color="auto"/>
          <w:right w:val="none" w:sz="0" w:space="0" w:color="auto"/>
        </w:pBdr>
        <w:shd w:val="clear" w:color="auto" w:fill="auto"/>
        <w:spacing w:after="120"/>
        <w:ind w:left="1134" w:hanging="644"/>
        <w:jc w:val="both"/>
      </w:pPr>
      <w:r>
        <w:t>o</w:t>
      </w:r>
      <w:r w:rsidRPr="00AF297A">
        <w:t>thers</w:t>
      </w:r>
      <w:r>
        <w:t xml:space="preserve"> (p</w:t>
      </w:r>
      <w:r w:rsidRPr="00AF297A">
        <w:t>lease explain</w:t>
      </w:r>
      <w:r>
        <w:t>).</w:t>
      </w:r>
    </w:p>
    <w:p w:rsidR="00780709" w:rsidRPr="00AF297A" w:rsidRDefault="00780709" w:rsidP="00A87313">
      <w:pPr>
        <w:pStyle w:val="Heading3"/>
        <w:spacing w:before="360"/>
      </w:pPr>
      <w:r w:rsidRPr="00AF297A">
        <w:t>Auctioning</w:t>
      </w:r>
    </w:p>
    <w:p w:rsidR="00780709" w:rsidRPr="00AF297A" w:rsidRDefault="00780709" w:rsidP="00A87313">
      <w:pPr>
        <w:pStyle w:val="BodyText"/>
      </w:pPr>
      <w:r w:rsidRPr="00AF297A">
        <w:t xml:space="preserve">We are interested in your views on whether </w:t>
      </w:r>
      <w:r w:rsidR="004A3D08">
        <w:t xml:space="preserve">selling NZUs by </w:t>
      </w:r>
      <w:r w:rsidRPr="00AF297A">
        <w:t>auction should be introduced and what the role or purpose of auctioning should be. Auctioning mechanisms are part of several overseas emissions trading schemes, and there are provisions in the NZ ETS legislation that allow for the introduction of an auctioning mechanism.</w:t>
      </w:r>
      <w:r w:rsidR="007B5588" w:rsidRPr="00AF297A">
        <w:t xml:space="preserve"> </w:t>
      </w:r>
    </w:p>
    <w:p w:rsidR="00780709" w:rsidRPr="00AF297A" w:rsidRDefault="00780709" w:rsidP="00A87313">
      <w:pPr>
        <w:pStyle w:val="BodyText"/>
      </w:pPr>
      <w:r w:rsidRPr="00AF297A">
        <w:t xml:space="preserve">In emissions trading schemes overseas, auctioning mechanisms are primarily used as a way to efficiently distribute units to participants and ensure the number of units circulating reflects the emissions cap on the scheme and/or the national emissions reduction target. They can also be used to influence unit prices by controlling the supply of units. </w:t>
      </w:r>
    </w:p>
    <w:p w:rsidR="00780709" w:rsidRPr="00AF297A" w:rsidRDefault="00780709" w:rsidP="00A87313">
      <w:pPr>
        <w:pStyle w:val="BodyText"/>
      </w:pPr>
      <w:r w:rsidRPr="00AF297A">
        <w:lastRenderedPageBreak/>
        <w:t>Auctioning was not part of the original NZ ETS design. In 2012 the</w:t>
      </w:r>
      <w:r w:rsidR="007320CD">
        <w:t xml:space="preserve"> NZ ETS legislation</w:t>
      </w:r>
      <w:r w:rsidRPr="00AF297A">
        <w:t xml:space="preserve"> was amended to </w:t>
      </w:r>
      <w:r w:rsidR="00982CF0">
        <w:t>allow</w:t>
      </w:r>
      <w:r w:rsidR="00982CF0" w:rsidRPr="00AF297A">
        <w:t xml:space="preserve"> </w:t>
      </w:r>
      <w:r w:rsidRPr="00AF297A">
        <w:t xml:space="preserve">the Government to make regulations to sell NZUs by auction, within an overall limit on NZUs that would determine how many units could be auctioned each year. This limit could be used to align the supply of non-forestry NZUs in the NZ ETS more closely with our international target. Auctioning could also be used to influence NZU prices, by providing more units to the market or through </w:t>
      </w:r>
      <w:r w:rsidR="00982CF0">
        <w:t>using</w:t>
      </w:r>
      <w:r w:rsidRPr="00AF297A">
        <w:t xml:space="preserve"> features such as reserve prices. </w:t>
      </w:r>
    </w:p>
    <w:p w:rsidR="00780709" w:rsidRPr="00AF297A" w:rsidRDefault="00780709" w:rsidP="00A87313">
      <w:pPr>
        <w:pStyle w:val="BodyText"/>
      </w:pPr>
      <w:r w:rsidRPr="00AF297A">
        <w:t xml:space="preserve">The large number of banked NZUs means that </w:t>
      </w:r>
      <w:r w:rsidR="00A1015B">
        <w:t>the</w:t>
      </w:r>
      <w:r w:rsidR="005877D6">
        <w:t xml:space="preserve">re is enough </w:t>
      </w:r>
      <w:r w:rsidRPr="00AF297A">
        <w:t>unit supply</w:t>
      </w:r>
      <w:r w:rsidR="00A1015B">
        <w:t xml:space="preserve"> </w:t>
      </w:r>
      <w:r w:rsidRPr="00AF297A">
        <w:t>to allow participants to meet NZ ETS surrender obligations in the near future.</w:t>
      </w:r>
      <w:r w:rsidR="007B5588" w:rsidRPr="00AF297A">
        <w:t xml:space="preserve"> </w:t>
      </w:r>
      <w:r w:rsidRPr="00AF297A">
        <w:t>This weakens the case for the Government selling NZUs by auction in the short term, particularly as it could risk increasing the stockpile of banked units.</w:t>
      </w:r>
      <w:r w:rsidR="00A7212B">
        <w:t xml:space="preserve"> </w:t>
      </w:r>
      <w:r w:rsidRPr="00AF297A">
        <w:t>However, in the medium</w:t>
      </w:r>
      <w:r w:rsidR="004678DB">
        <w:t>-</w:t>
      </w:r>
      <w:r w:rsidRPr="00AF297A">
        <w:t>to</w:t>
      </w:r>
      <w:r w:rsidR="004678DB">
        <w:t>-</w:t>
      </w:r>
      <w:r w:rsidRPr="00AF297A">
        <w:t>long term it could be used to better align the NZ ETS with our climate change targets.</w:t>
      </w:r>
    </w:p>
    <w:p w:rsidR="00780709" w:rsidRPr="00AF297A" w:rsidRDefault="00A7212B" w:rsidP="00A87313">
      <w:pPr>
        <w:pStyle w:val="BodyText"/>
      </w:pPr>
      <w:r>
        <w:t xml:space="preserve">Implementing a mechanism to sell NZUs by auction </w:t>
      </w:r>
      <w:r w:rsidR="00780709" w:rsidRPr="00AF297A">
        <w:t>would be a major design change to the NZ ETS.</w:t>
      </w:r>
      <w:r w:rsidR="007B5588" w:rsidRPr="00AF297A">
        <w:t xml:space="preserve"> </w:t>
      </w:r>
      <w:r w:rsidR="00F905A8">
        <w:t>Determining</w:t>
      </w:r>
      <w:r w:rsidR="00780709" w:rsidRPr="00AF297A">
        <w:t xml:space="preserve"> the role or purpose of auctioning is the first step for deciding whether</w:t>
      </w:r>
      <w:r w:rsidR="00F905A8">
        <w:t>,</w:t>
      </w:r>
      <w:r w:rsidR="00780709" w:rsidRPr="00AF297A">
        <w:t xml:space="preserve"> and how</w:t>
      </w:r>
      <w:r w:rsidR="00F905A8">
        <w:t>,</w:t>
      </w:r>
      <w:r w:rsidR="00780709" w:rsidRPr="00AF297A">
        <w:t xml:space="preserve"> to introduce auctioning</w:t>
      </w:r>
      <w:r>
        <w:t xml:space="preserve"> of NZUs</w:t>
      </w:r>
      <w:r w:rsidR="00780709" w:rsidRPr="00AF297A">
        <w:t xml:space="preserve"> to the NZ ETS. This includes clarifying the role of auction</w:t>
      </w:r>
      <w:r w:rsidR="0059614C">
        <w:t>ing NZUs as a source of units</w:t>
      </w:r>
      <w:r w:rsidR="00F905A8">
        <w:t xml:space="preserve">, </w:t>
      </w:r>
      <w:r w:rsidR="00780709" w:rsidRPr="00AF297A">
        <w:t xml:space="preserve">taking into account other sources such as forestry, banked units, and international units, both now and post-2020. </w:t>
      </w:r>
    </w:p>
    <w:p w:rsidR="00780709" w:rsidRPr="00AF297A" w:rsidRDefault="00F905A8" w:rsidP="00A87313">
      <w:pPr>
        <w:pStyle w:val="BodyText"/>
      </w:pPr>
      <w:r>
        <w:t>T</w:t>
      </w:r>
      <w:r w:rsidR="00780709" w:rsidRPr="00AF297A">
        <w:t xml:space="preserve">here are </w:t>
      </w:r>
      <w:r>
        <w:t>other</w:t>
      </w:r>
      <w:r w:rsidRPr="00AF297A">
        <w:t xml:space="preserve"> </w:t>
      </w:r>
      <w:r w:rsidR="00780709" w:rsidRPr="00AF297A">
        <w:t xml:space="preserve">issues that </w:t>
      </w:r>
      <w:r>
        <w:t>also</w:t>
      </w:r>
      <w:r w:rsidRPr="00AF297A">
        <w:t xml:space="preserve"> </w:t>
      </w:r>
      <w:r>
        <w:t>need to be</w:t>
      </w:r>
      <w:r w:rsidRPr="00AF297A">
        <w:t xml:space="preserve"> </w:t>
      </w:r>
      <w:r w:rsidR="00780709" w:rsidRPr="00AF297A">
        <w:t>consider</w:t>
      </w:r>
      <w:r>
        <w:t>ed, including</w:t>
      </w:r>
      <w:r w:rsidR="00780709" w:rsidRPr="00AF297A">
        <w:t xml:space="preserve"> how to set the NZU limit that determines the amount of units that can be auctioned each year, and detailed auction design settings. If a decision to introduce auctioning is made, we would consult on these issues before implementation. Developing an auctioning mechanism would take at least 18 months, meaning that it is a medium- to-long term prospect</w:t>
      </w:r>
      <w:r>
        <w:t>,</w:t>
      </w:r>
      <w:r w:rsidR="00780709" w:rsidRPr="00AF297A">
        <w:t xml:space="preserve"> rather than a short</w:t>
      </w:r>
      <w:r>
        <w:t>-</w:t>
      </w:r>
      <w:r w:rsidR="00780709" w:rsidRPr="00AF297A">
        <w:t>term option.</w:t>
      </w:r>
      <w:r w:rsidR="007B5588" w:rsidRPr="00AF297A">
        <w:t xml:space="preserve"> </w:t>
      </w:r>
    </w:p>
    <w:p w:rsidR="00A81967" w:rsidRPr="00AF297A" w:rsidRDefault="00191EF0" w:rsidP="00415FED">
      <w:pPr>
        <w:pStyle w:val="Heading3"/>
        <w:spacing w:after="120"/>
        <w:jc w:val="both"/>
      </w:pPr>
      <w:r>
        <w:rPr>
          <w:noProof/>
          <w:lang w:eastAsia="en-NZ"/>
        </w:rPr>
        <w:pict w14:anchorId="6DD34664">
          <v:rect id="_x0000_s1050" style="position:absolute;left:0;text-align:left;margin-left:-.65pt;margin-top:36.75pt;width:416.85pt;height:206.25pt;z-index:-25164544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780709" w:rsidRPr="00AF297A">
        <w:t>Questions</w:t>
      </w:r>
    </w:p>
    <w:p w:rsidR="003C1381" w:rsidRPr="00AF297A" w:rsidRDefault="003C1381" w:rsidP="00CC45CF">
      <w:pPr>
        <w:pStyle w:val="Box"/>
        <w:numPr>
          <w:ilvl w:val="0"/>
          <w:numId w:val="23"/>
        </w:numPr>
        <w:pBdr>
          <w:top w:val="none" w:sz="0" w:space="0" w:color="auto"/>
          <w:left w:val="none" w:sz="0" w:space="0" w:color="auto"/>
          <w:bottom w:val="none" w:sz="0" w:space="0" w:color="auto"/>
          <w:right w:val="none" w:sz="0" w:space="0" w:color="auto"/>
        </w:pBdr>
        <w:shd w:val="clear" w:color="auto" w:fill="auto"/>
        <w:ind w:left="426" w:hanging="426"/>
        <w:jc w:val="both"/>
      </w:pPr>
      <w:r w:rsidRPr="00AF297A">
        <w:t xml:space="preserve">Should auctioning be introduced in the NZ ETS? </w:t>
      </w:r>
      <w:r w:rsidRPr="00141E53">
        <w:rPr>
          <w:b/>
        </w:rPr>
        <w:t>Yes/No/Unsure</w:t>
      </w:r>
    </w:p>
    <w:p w:rsidR="003C1381" w:rsidRPr="00AF297A" w:rsidRDefault="003C1381" w:rsidP="003C1381">
      <w:pPr>
        <w:pStyle w:val="Box"/>
        <w:pBdr>
          <w:top w:val="none" w:sz="0" w:space="0" w:color="auto"/>
          <w:left w:val="none" w:sz="0" w:space="0" w:color="auto"/>
          <w:bottom w:val="none" w:sz="0" w:space="0" w:color="auto"/>
          <w:right w:val="none" w:sz="0" w:space="0" w:color="auto"/>
        </w:pBdr>
        <w:shd w:val="clear" w:color="auto" w:fill="auto"/>
        <w:spacing w:before="120"/>
        <w:ind w:left="426" w:hanging="29"/>
        <w:jc w:val="both"/>
      </w:pPr>
      <w:r w:rsidRPr="00AF297A">
        <w:t>If yes, when?</w:t>
      </w:r>
    </w:p>
    <w:p w:rsidR="003C1381" w:rsidRPr="00AF297A" w:rsidRDefault="003C1381" w:rsidP="00CC45CF">
      <w:pPr>
        <w:pStyle w:val="Boxbullet"/>
        <w:numPr>
          <w:ilvl w:val="0"/>
          <w:numId w:val="30"/>
        </w:numPr>
        <w:pBdr>
          <w:top w:val="none" w:sz="0" w:space="0" w:color="auto"/>
          <w:left w:val="none" w:sz="0" w:space="0" w:color="auto"/>
          <w:bottom w:val="none" w:sz="0" w:space="0" w:color="auto"/>
          <w:right w:val="none" w:sz="0" w:space="0" w:color="auto"/>
        </w:pBdr>
        <w:shd w:val="clear" w:color="auto" w:fill="auto"/>
        <w:ind w:left="567" w:hanging="141"/>
        <w:jc w:val="both"/>
      </w:pPr>
      <w:r>
        <w:t>i</w:t>
      </w:r>
      <w:r w:rsidRPr="00AF297A">
        <w:t xml:space="preserve">n the next </w:t>
      </w:r>
      <w:r>
        <w:t>two</w:t>
      </w:r>
      <w:r w:rsidRPr="00AF297A">
        <w:t xml:space="preserve"> to </w:t>
      </w:r>
      <w:r>
        <w:t>three</w:t>
      </w:r>
      <w:r w:rsidRPr="00AF297A">
        <w:t xml:space="preserve"> years </w:t>
      </w:r>
    </w:p>
    <w:p w:rsidR="003C1381" w:rsidRPr="00AF297A" w:rsidRDefault="003C1381" w:rsidP="00CC45CF">
      <w:pPr>
        <w:pStyle w:val="Boxbullet"/>
        <w:numPr>
          <w:ilvl w:val="0"/>
          <w:numId w:val="30"/>
        </w:numPr>
        <w:pBdr>
          <w:top w:val="none" w:sz="0" w:space="0" w:color="auto"/>
          <w:left w:val="none" w:sz="0" w:space="0" w:color="auto"/>
          <w:bottom w:val="none" w:sz="0" w:space="0" w:color="auto"/>
          <w:right w:val="none" w:sz="0" w:space="0" w:color="auto"/>
        </w:pBdr>
        <w:shd w:val="clear" w:color="auto" w:fill="auto"/>
        <w:ind w:left="567" w:hanging="141"/>
        <w:jc w:val="both"/>
      </w:pPr>
      <w:r>
        <w:t>w</w:t>
      </w:r>
      <w:r w:rsidRPr="00AF297A">
        <w:t xml:space="preserve">ithin </w:t>
      </w:r>
      <w:r>
        <w:t>five</w:t>
      </w:r>
      <w:r w:rsidRPr="00AF297A">
        <w:t xml:space="preserve"> years (before 2020) </w:t>
      </w:r>
    </w:p>
    <w:p w:rsidR="003C1381" w:rsidRPr="00AF297A" w:rsidRDefault="003C1381" w:rsidP="00CC45CF">
      <w:pPr>
        <w:pStyle w:val="Boxbullet"/>
        <w:numPr>
          <w:ilvl w:val="0"/>
          <w:numId w:val="30"/>
        </w:numPr>
        <w:pBdr>
          <w:top w:val="none" w:sz="0" w:space="0" w:color="auto"/>
          <w:left w:val="none" w:sz="0" w:space="0" w:color="auto"/>
          <w:bottom w:val="none" w:sz="0" w:space="0" w:color="auto"/>
          <w:right w:val="none" w:sz="0" w:space="0" w:color="auto"/>
        </w:pBdr>
        <w:shd w:val="clear" w:color="auto" w:fill="auto"/>
        <w:ind w:left="567" w:hanging="141"/>
        <w:jc w:val="both"/>
      </w:pPr>
      <w:r>
        <w:t>a</w:t>
      </w:r>
      <w:r w:rsidRPr="00AF297A">
        <w:t xml:space="preserve">fter </w:t>
      </w:r>
      <w:r>
        <w:t>five</w:t>
      </w:r>
      <w:r w:rsidRPr="00AF297A">
        <w:t xml:space="preserve"> years (</w:t>
      </w:r>
      <w:r>
        <w:t>post</w:t>
      </w:r>
      <w:r w:rsidRPr="00AF297A">
        <w:t xml:space="preserve"> 2020)</w:t>
      </w:r>
      <w:r>
        <w:t>.</w:t>
      </w:r>
    </w:p>
    <w:p w:rsidR="003C1381" w:rsidRPr="00AF297A" w:rsidRDefault="003C1381" w:rsidP="003C1381">
      <w:pPr>
        <w:pStyle w:val="Box"/>
        <w:pBdr>
          <w:top w:val="none" w:sz="0" w:space="0" w:color="auto"/>
          <w:left w:val="none" w:sz="0" w:space="0" w:color="auto"/>
          <w:bottom w:val="none" w:sz="0" w:space="0" w:color="auto"/>
          <w:right w:val="none" w:sz="0" w:space="0" w:color="auto"/>
        </w:pBdr>
        <w:shd w:val="clear" w:color="auto" w:fill="auto"/>
        <w:ind w:left="426" w:hanging="426"/>
        <w:jc w:val="both"/>
      </w:pPr>
    </w:p>
    <w:p w:rsidR="003C1381" w:rsidRPr="00AF297A" w:rsidRDefault="003C1381" w:rsidP="00A87313">
      <w:pPr>
        <w:pStyle w:val="Box"/>
        <w:numPr>
          <w:ilvl w:val="0"/>
          <w:numId w:val="23"/>
        </w:numPr>
        <w:pBdr>
          <w:top w:val="none" w:sz="0" w:space="0" w:color="auto"/>
          <w:left w:val="none" w:sz="0" w:space="0" w:color="auto"/>
          <w:bottom w:val="none" w:sz="0" w:space="0" w:color="auto"/>
          <w:right w:val="none" w:sz="0" w:space="0" w:color="auto"/>
        </w:pBdr>
        <w:shd w:val="clear" w:color="auto" w:fill="auto"/>
        <w:ind w:left="426" w:hanging="426"/>
      </w:pPr>
      <w:r w:rsidRPr="00AF297A">
        <w:t>What should be the role or purpose of an auctioning function in the NZ ETS, if one were introduced?</w:t>
      </w:r>
    </w:p>
    <w:p w:rsidR="003C1381" w:rsidRPr="00AF297A" w:rsidRDefault="003C1381" w:rsidP="00CC45CF">
      <w:pPr>
        <w:pStyle w:val="Boxbullet"/>
        <w:numPr>
          <w:ilvl w:val="0"/>
          <w:numId w:val="31"/>
        </w:numPr>
        <w:pBdr>
          <w:top w:val="none" w:sz="0" w:space="0" w:color="auto"/>
          <w:left w:val="none" w:sz="0" w:space="0" w:color="auto"/>
          <w:bottom w:val="none" w:sz="0" w:space="0" w:color="auto"/>
          <w:right w:val="none" w:sz="0" w:space="0" w:color="auto"/>
        </w:pBdr>
        <w:shd w:val="clear" w:color="auto" w:fill="auto"/>
        <w:ind w:left="851" w:hanging="425"/>
        <w:jc w:val="both"/>
      </w:pPr>
      <w:r>
        <w:t>t</w:t>
      </w:r>
      <w:r w:rsidRPr="00AF297A">
        <w:t>o align supply in the NZ ETS more closely with our international target</w:t>
      </w:r>
    </w:p>
    <w:p w:rsidR="003C1381" w:rsidRPr="00AF297A" w:rsidRDefault="003C1381" w:rsidP="00CC45CF">
      <w:pPr>
        <w:pStyle w:val="Boxbullet"/>
        <w:numPr>
          <w:ilvl w:val="0"/>
          <w:numId w:val="31"/>
        </w:numPr>
        <w:pBdr>
          <w:top w:val="none" w:sz="0" w:space="0" w:color="auto"/>
          <w:left w:val="none" w:sz="0" w:space="0" w:color="auto"/>
          <w:bottom w:val="none" w:sz="0" w:space="0" w:color="auto"/>
          <w:right w:val="none" w:sz="0" w:space="0" w:color="auto"/>
        </w:pBdr>
        <w:shd w:val="clear" w:color="auto" w:fill="auto"/>
        <w:ind w:left="851" w:hanging="425"/>
        <w:jc w:val="both"/>
      </w:pPr>
      <w:r>
        <w:t>t</w:t>
      </w:r>
      <w:r w:rsidRPr="00AF297A">
        <w:t>o more actively manage NZU prices</w:t>
      </w:r>
    </w:p>
    <w:p w:rsidR="003C1381" w:rsidRPr="00AF297A" w:rsidRDefault="003C1381" w:rsidP="00CC45CF">
      <w:pPr>
        <w:pStyle w:val="Boxbullet"/>
        <w:numPr>
          <w:ilvl w:val="0"/>
          <w:numId w:val="31"/>
        </w:numPr>
        <w:pBdr>
          <w:top w:val="none" w:sz="0" w:space="0" w:color="auto"/>
          <w:left w:val="none" w:sz="0" w:space="0" w:color="auto"/>
          <w:bottom w:val="none" w:sz="0" w:space="0" w:color="auto"/>
          <w:right w:val="none" w:sz="0" w:space="0" w:color="auto"/>
        </w:pBdr>
        <w:shd w:val="clear" w:color="auto" w:fill="auto"/>
        <w:ind w:left="851" w:hanging="425"/>
        <w:jc w:val="both"/>
      </w:pPr>
      <w:r>
        <w:t>o</w:t>
      </w:r>
      <w:r w:rsidRPr="00AF297A">
        <w:t>ther</w:t>
      </w:r>
      <w:r>
        <w:t xml:space="preserve"> (p</w:t>
      </w:r>
      <w:r w:rsidRPr="00AF297A">
        <w:t>lease explain</w:t>
      </w:r>
      <w:r>
        <w:t>).</w:t>
      </w:r>
    </w:p>
    <w:p w:rsidR="003C1381" w:rsidRPr="00AF297A" w:rsidRDefault="003C1381" w:rsidP="003C1381">
      <w:pPr>
        <w:pStyle w:val="Box"/>
        <w:pBdr>
          <w:top w:val="none" w:sz="0" w:space="0" w:color="auto"/>
          <w:left w:val="none" w:sz="0" w:space="0" w:color="auto"/>
          <w:bottom w:val="none" w:sz="0" w:space="0" w:color="auto"/>
          <w:right w:val="none" w:sz="0" w:space="0" w:color="auto"/>
        </w:pBdr>
        <w:shd w:val="clear" w:color="auto" w:fill="auto"/>
        <w:ind w:left="426" w:hanging="426"/>
        <w:jc w:val="both"/>
      </w:pPr>
    </w:p>
    <w:p w:rsidR="003C1381" w:rsidRPr="00AF297A" w:rsidRDefault="003C1381" w:rsidP="00A87313">
      <w:pPr>
        <w:pStyle w:val="Box"/>
        <w:numPr>
          <w:ilvl w:val="0"/>
          <w:numId w:val="23"/>
        </w:numPr>
        <w:pBdr>
          <w:top w:val="none" w:sz="0" w:space="0" w:color="auto"/>
          <w:left w:val="none" w:sz="0" w:space="0" w:color="auto"/>
          <w:bottom w:val="none" w:sz="0" w:space="0" w:color="auto"/>
          <w:right w:val="none" w:sz="0" w:space="0" w:color="auto"/>
        </w:pBdr>
        <w:shd w:val="clear" w:color="auto" w:fill="auto"/>
        <w:ind w:left="426" w:hanging="426"/>
      </w:pPr>
      <w:r w:rsidRPr="00AF297A">
        <w:t>How should auctioned NZUs relate to other sources of unit supply in the NZ ETS, especially NZUs generated through forestry removals and/or international units?</w:t>
      </w:r>
    </w:p>
    <w:p w:rsidR="00E0091A" w:rsidRPr="00AF297A" w:rsidRDefault="0023117F" w:rsidP="00A87313">
      <w:pPr>
        <w:pStyle w:val="Heading2"/>
      </w:pPr>
      <w:r>
        <w:br w:type="page"/>
      </w:r>
      <w:bookmarkStart w:id="19" w:name="_Toc435798390"/>
      <w:r w:rsidR="008A4D98" w:rsidRPr="00AF297A">
        <w:lastRenderedPageBreak/>
        <w:t>4.4</w:t>
      </w:r>
      <w:r w:rsidR="008A4D98" w:rsidRPr="00AF297A">
        <w:tab/>
      </w:r>
      <w:r w:rsidR="00E0091A" w:rsidRPr="00AF297A">
        <w:t>Managing price stability</w:t>
      </w:r>
      <w:bookmarkEnd w:id="19"/>
    </w:p>
    <w:p w:rsidR="00E0091A" w:rsidRPr="00AF297A" w:rsidRDefault="00E0091A" w:rsidP="00A87313">
      <w:pPr>
        <w:pStyle w:val="BodyText"/>
      </w:pPr>
      <w:r w:rsidRPr="00AF297A">
        <w:t>We are interested in views on whether and how the Government should influence carbon prices in the NZ ETS over the medium</w:t>
      </w:r>
      <w:r w:rsidR="004678DB">
        <w:t>-</w:t>
      </w:r>
      <w:r w:rsidRPr="00AF297A">
        <w:t>to</w:t>
      </w:r>
      <w:r w:rsidR="004678DB">
        <w:t>-</w:t>
      </w:r>
      <w:r w:rsidRPr="00AF297A">
        <w:t>long term.</w:t>
      </w:r>
      <w:r w:rsidR="007B5588" w:rsidRPr="00AF297A">
        <w:t xml:space="preserve"> </w:t>
      </w:r>
    </w:p>
    <w:p w:rsidR="00A91CAA" w:rsidRDefault="00E0091A" w:rsidP="00A87313">
      <w:pPr>
        <w:pStyle w:val="BodyText"/>
      </w:pPr>
      <w:r w:rsidRPr="00AF297A">
        <w:t>To limit price increases or spikes, the NZ ETS has a $25 fixed price surrender option but it does not have a mechanism to limit price decreases.</w:t>
      </w:r>
      <w:r w:rsidR="007B5588" w:rsidRPr="00AF297A">
        <w:t xml:space="preserve"> </w:t>
      </w:r>
      <w:r w:rsidRPr="00AF297A">
        <w:t>However, as seen since 2012 significant price drops are possible. This potential for price instability may reduce the effectiveness of the NZ</w:t>
      </w:r>
      <w:r w:rsidR="00FC5DBF" w:rsidRPr="00AF297A">
        <w:t> </w:t>
      </w:r>
      <w:r w:rsidRPr="00AF297A">
        <w:t>ETS in driving investment decisions to reduce or remove emissions.</w:t>
      </w:r>
      <w:r w:rsidR="007B5588" w:rsidRPr="00AF297A">
        <w:t xml:space="preserve"> </w:t>
      </w:r>
      <w:r w:rsidRPr="00AF297A">
        <w:t xml:space="preserve">An NZU price floor would protect against significant price drops, and provide businesses with </w:t>
      </w:r>
      <w:r w:rsidR="00A91CAA">
        <w:t xml:space="preserve">more </w:t>
      </w:r>
      <w:r w:rsidRPr="00AF297A">
        <w:t>clarity on the carbon prices they may face in future. It could also</w:t>
      </w:r>
      <w:r w:rsidR="00A91CAA">
        <w:t>:</w:t>
      </w:r>
      <w:r w:rsidRPr="00AF297A">
        <w:t xml:space="preserve"> </w:t>
      </w:r>
    </w:p>
    <w:p w:rsidR="00A91CAA" w:rsidRDefault="00E0091A" w:rsidP="00A87313">
      <w:pPr>
        <w:pStyle w:val="Bullet"/>
      </w:pPr>
      <w:r w:rsidRPr="00AF297A">
        <w:t>provide benefits to foresters</w:t>
      </w:r>
      <w:r w:rsidR="00A91CAA">
        <w:t>,</w:t>
      </w:r>
      <w:r w:rsidRPr="00AF297A">
        <w:t xml:space="preserve"> if it provides a minimum guaranteed price for forestry units at a level that incentivises afforestation</w:t>
      </w:r>
    </w:p>
    <w:p w:rsidR="00E0091A" w:rsidRPr="00AF297A" w:rsidRDefault="00E0091A" w:rsidP="00A87313">
      <w:pPr>
        <w:pStyle w:val="Bullet"/>
      </w:pPr>
      <w:r w:rsidRPr="00AF297A">
        <w:t>increase the costs of participants</w:t>
      </w:r>
      <w:r w:rsidR="007B5588" w:rsidRPr="00AF297A">
        <w:t>’</w:t>
      </w:r>
      <w:r w:rsidRPr="00AF297A">
        <w:t xml:space="preserve"> surrender obligations by keeping carbon prices above a certain level.</w:t>
      </w:r>
      <w:r w:rsidR="007B5588" w:rsidRPr="00AF297A">
        <w:t xml:space="preserve"> </w:t>
      </w:r>
    </w:p>
    <w:p w:rsidR="00E0091A" w:rsidRPr="00AF297A" w:rsidRDefault="00E0091A" w:rsidP="00A87313">
      <w:pPr>
        <w:pStyle w:val="BodyText"/>
      </w:pPr>
      <w:r w:rsidRPr="00AF297A">
        <w:t xml:space="preserve">With the current design of the NZ ETS, implementing a price floor would be challenging and expensive for the Government. The simplest way to establish a price floor would be for the Government to have a standing offer to buy NZUs at the floor price. This would require the Government to purchase units. </w:t>
      </w:r>
    </w:p>
    <w:p w:rsidR="00E0091A" w:rsidRPr="00AF297A" w:rsidRDefault="00E0091A" w:rsidP="00A87313">
      <w:pPr>
        <w:pStyle w:val="BodyText"/>
      </w:pPr>
      <w:r w:rsidRPr="00AF297A">
        <w:t>If the Government decides to take a more active role in managing the supply of NZUs through auctioning, it may have more scope to influence the price of units.</w:t>
      </w:r>
      <w:r w:rsidR="007B5588" w:rsidRPr="00AF297A">
        <w:t xml:space="preserve"> </w:t>
      </w:r>
      <w:r w:rsidRPr="00AF297A">
        <w:t>Some other emissions trading schemes have price floors implemented through reserve prices for units auctioned into the market.</w:t>
      </w:r>
      <w:r w:rsidR="007B5588" w:rsidRPr="00AF297A">
        <w:t xml:space="preserve"> </w:t>
      </w:r>
      <w:r w:rsidRPr="00AF297A">
        <w:t>In New Zealand, this approach would not provide a fixed price floor for all NZUs</w:t>
      </w:r>
      <w:r w:rsidR="008743C8">
        <w:t>,</w:t>
      </w:r>
      <w:r w:rsidRPr="00AF297A">
        <w:t xml:space="preserve"> </w:t>
      </w:r>
      <w:r w:rsidR="008743C8">
        <w:t>as</w:t>
      </w:r>
      <w:r w:rsidR="008743C8" w:rsidRPr="00AF297A">
        <w:t xml:space="preserve"> </w:t>
      </w:r>
      <w:r w:rsidRPr="00AF297A">
        <w:t xml:space="preserve">there are other sources of NZU supply such as forestry, but it would ensure no auctioned NZUs are provided to the market below a certain price. It could be combined with a price cap to provide a </w:t>
      </w:r>
      <w:r w:rsidR="00F73456">
        <w:t>‘</w:t>
      </w:r>
      <w:r w:rsidRPr="00AF297A">
        <w:t>price corridor</w:t>
      </w:r>
      <w:r w:rsidR="00F73456">
        <w:t>’</w:t>
      </w:r>
      <w:r w:rsidRPr="00AF297A">
        <w:t xml:space="preserve"> to help limit price volatility in both directions. In some other </w:t>
      </w:r>
      <w:r w:rsidR="00E012B7">
        <w:t>emission trading schemes</w:t>
      </w:r>
      <w:r w:rsidRPr="00AF297A">
        <w:t xml:space="preserve">, these price caps and floors are scheduled to step up over time to provide a gradually increasing range of carbon prices. </w:t>
      </w:r>
    </w:p>
    <w:p w:rsidR="00780709" w:rsidRPr="00AF297A" w:rsidRDefault="00191EF0" w:rsidP="00415FED">
      <w:pPr>
        <w:pStyle w:val="Heading3"/>
        <w:spacing w:after="120"/>
        <w:jc w:val="both"/>
      </w:pPr>
      <w:r>
        <w:rPr>
          <w:noProof/>
          <w:lang w:eastAsia="en-NZ"/>
        </w:rPr>
        <w:pict w14:anchorId="6DD34664">
          <v:rect id="_x0000_s1051" style="position:absolute;left:0;text-align:left;margin-left:-1.9pt;margin-top:37.6pt;width:416.85pt;height:199.9pt;z-index:-251644416;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E0091A" w:rsidRPr="00AF297A">
        <w:t>Questions</w:t>
      </w:r>
    </w:p>
    <w:p w:rsidR="003C1381" w:rsidRPr="00AF297A" w:rsidRDefault="003C1381" w:rsidP="00CC45CF">
      <w:pPr>
        <w:pStyle w:val="Box"/>
        <w:numPr>
          <w:ilvl w:val="0"/>
          <w:numId w:val="23"/>
        </w:numPr>
        <w:pBdr>
          <w:top w:val="none" w:sz="0" w:space="0" w:color="auto"/>
          <w:left w:val="none" w:sz="0" w:space="0" w:color="auto"/>
          <w:bottom w:val="none" w:sz="0" w:space="0" w:color="auto"/>
          <w:right w:val="none" w:sz="0" w:space="0" w:color="auto"/>
        </w:pBdr>
        <w:shd w:val="clear" w:color="auto" w:fill="auto"/>
        <w:ind w:hanging="644"/>
        <w:jc w:val="both"/>
      </w:pPr>
      <w:r w:rsidRPr="00AF297A">
        <w:t>What impact has carbon price volatility in the NZ ETS had on your business?</w:t>
      </w:r>
    </w:p>
    <w:p w:rsidR="003C1381" w:rsidRPr="00AF297A" w:rsidRDefault="003C1381" w:rsidP="00CC45CF">
      <w:pPr>
        <w:pStyle w:val="Boxbullet"/>
        <w:numPr>
          <w:ilvl w:val="0"/>
          <w:numId w:val="32"/>
        </w:numPr>
        <w:pBdr>
          <w:top w:val="none" w:sz="0" w:space="0" w:color="auto"/>
          <w:left w:val="none" w:sz="0" w:space="0" w:color="auto"/>
          <w:bottom w:val="none" w:sz="0" w:space="0" w:color="auto"/>
          <w:right w:val="none" w:sz="0" w:space="0" w:color="auto"/>
        </w:pBdr>
        <w:shd w:val="clear" w:color="auto" w:fill="auto"/>
        <w:ind w:left="709" w:hanging="283"/>
        <w:jc w:val="both"/>
      </w:pPr>
      <w:r>
        <w:t>m</w:t>
      </w:r>
      <w:r w:rsidRPr="00AF297A">
        <w:t>inor</w:t>
      </w:r>
    </w:p>
    <w:p w:rsidR="003C1381" w:rsidRPr="00AF297A" w:rsidRDefault="003C1381" w:rsidP="00CC45CF">
      <w:pPr>
        <w:pStyle w:val="Boxbullet"/>
        <w:numPr>
          <w:ilvl w:val="0"/>
          <w:numId w:val="32"/>
        </w:numPr>
        <w:pBdr>
          <w:top w:val="none" w:sz="0" w:space="0" w:color="auto"/>
          <w:left w:val="none" w:sz="0" w:space="0" w:color="auto"/>
          <w:bottom w:val="none" w:sz="0" w:space="0" w:color="auto"/>
          <w:right w:val="none" w:sz="0" w:space="0" w:color="auto"/>
        </w:pBdr>
        <w:shd w:val="clear" w:color="auto" w:fill="auto"/>
        <w:ind w:left="709" w:hanging="283"/>
        <w:jc w:val="both"/>
      </w:pPr>
      <w:r>
        <w:t>m</w:t>
      </w:r>
      <w:r w:rsidRPr="00AF297A">
        <w:t>oderate</w:t>
      </w:r>
    </w:p>
    <w:p w:rsidR="003C1381" w:rsidRPr="00AF297A" w:rsidRDefault="003C1381" w:rsidP="00CC45CF">
      <w:pPr>
        <w:pStyle w:val="Boxbullet"/>
        <w:numPr>
          <w:ilvl w:val="0"/>
          <w:numId w:val="32"/>
        </w:numPr>
        <w:pBdr>
          <w:top w:val="none" w:sz="0" w:space="0" w:color="auto"/>
          <w:left w:val="none" w:sz="0" w:space="0" w:color="auto"/>
          <w:bottom w:val="none" w:sz="0" w:space="0" w:color="auto"/>
          <w:right w:val="none" w:sz="0" w:space="0" w:color="auto"/>
        </w:pBdr>
        <w:shd w:val="clear" w:color="auto" w:fill="auto"/>
        <w:ind w:left="709" w:hanging="283"/>
        <w:jc w:val="both"/>
      </w:pPr>
      <w:r>
        <w:t>s</w:t>
      </w:r>
      <w:r w:rsidRPr="00AF297A">
        <w:t>ignificant</w:t>
      </w:r>
      <w:r>
        <w:t>.</w:t>
      </w:r>
    </w:p>
    <w:p w:rsidR="003C1381" w:rsidRPr="00AF297A" w:rsidRDefault="003C1381" w:rsidP="003C1381">
      <w:pPr>
        <w:pStyle w:val="Box"/>
        <w:pBdr>
          <w:top w:val="none" w:sz="0" w:space="0" w:color="auto"/>
          <w:left w:val="none" w:sz="0" w:space="0" w:color="auto"/>
          <w:bottom w:val="none" w:sz="0" w:space="0" w:color="auto"/>
          <w:right w:val="none" w:sz="0" w:space="0" w:color="auto"/>
        </w:pBdr>
        <w:shd w:val="clear" w:color="auto" w:fill="auto"/>
        <w:ind w:hanging="644"/>
        <w:jc w:val="both"/>
      </w:pPr>
    </w:p>
    <w:p w:rsidR="003C1381" w:rsidRPr="00AF297A" w:rsidRDefault="003C1381" w:rsidP="00CC45CF">
      <w:pPr>
        <w:pStyle w:val="Box"/>
        <w:numPr>
          <w:ilvl w:val="0"/>
          <w:numId w:val="23"/>
        </w:numPr>
        <w:pBdr>
          <w:top w:val="none" w:sz="0" w:space="0" w:color="auto"/>
          <w:left w:val="none" w:sz="0" w:space="0" w:color="auto"/>
          <w:bottom w:val="none" w:sz="0" w:space="0" w:color="auto"/>
          <w:right w:val="none" w:sz="0" w:space="0" w:color="auto"/>
        </w:pBdr>
        <w:shd w:val="clear" w:color="auto" w:fill="auto"/>
        <w:ind w:hanging="644"/>
        <w:jc w:val="both"/>
      </w:pPr>
      <w:r w:rsidRPr="00AF297A">
        <w:t xml:space="preserve">Do you think measures should be in place to manage price stability? </w:t>
      </w:r>
      <w:r w:rsidRPr="007731B9">
        <w:rPr>
          <w:b/>
        </w:rPr>
        <w:t>Yes/No/Unsure</w:t>
      </w:r>
    </w:p>
    <w:p w:rsidR="003C1381" w:rsidRPr="00AF297A" w:rsidRDefault="003C1381" w:rsidP="003C1381">
      <w:pPr>
        <w:pStyle w:val="Box"/>
        <w:pBdr>
          <w:top w:val="none" w:sz="0" w:space="0" w:color="auto"/>
          <w:left w:val="none" w:sz="0" w:space="0" w:color="auto"/>
          <w:bottom w:val="none" w:sz="0" w:space="0" w:color="auto"/>
          <w:right w:val="none" w:sz="0" w:space="0" w:color="auto"/>
        </w:pBdr>
        <w:shd w:val="clear" w:color="auto" w:fill="auto"/>
        <w:ind w:hanging="644"/>
        <w:jc w:val="both"/>
      </w:pPr>
    </w:p>
    <w:p w:rsidR="003C1381" w:rsidRPr="00AF297A" w:rsidRDefault="003C1381" w:rsidP="00CC45CF">
      <w:pPr>
        <w:pStyle w:val="Box"/>
        <w:numPr>
          <w:ilvl w:val="0"/>
          <w:numId w:val="23"/>
        </w:numPr>
        <w:pBdr>
          <w:top w:val="none" w:sz="0" w:space="0" w:color="auto"/>
          <w:left w:val="none" w:sz="0" w:space="0" w:color="auto"/>
          <w:bottom w:val="none" w:sz="0" w:space="0" w:color="auto"/>
          <w:right w:val="none" w:sz="0" w:space="0" w:color="auto"/>
        </w:pBdr>
        <w:shd w:val="clear" w:color="auto" w:fill="auto"/>
        <w:ind w:hanging="644"/>
        <w:jc w:val="both"/>
      </w:pPr>
      <w:r w:rsidRPr="00AF297A">
        <w:t xml:space="preserve">What do you consider are important factors for managing price stability? </w:t>
      </w:r>
    </w:p>
    <w:p w:rsidR="003C1381" w:rsidRPr="00AF297A" w:rsidRDefault="003C1381" w:rsidP="00A87313">
      <w:pPr>
        <w:pStyle w:val="Boxbullet"/>
        <w:numPr>
          <w:ilvl w:val="0"/>
          <w:numId w:val="49"/>
        </w:numPr>
        <w:pBdr>
          <w:top w:val="none" w:sz="0" w:space="0" w:color="auto"/>
          <w:left w:val="none" w:sz="0" w:space="0" w:color="auto"/>
          <w:bottom w:val="none" w:sz="0" w:space="0" w:color="auto"/>
          <w:right w:val="none" w:sz="0" w:space="0" w:color="auto"/>
        </w:pBdr>
        <w:shd w:val="clear" w:color="auto" w:fill="auto"/>
        <w:ind w:left="709" w:hanging="283"/>
      </w:pPr>
      <w:r>
        <w:t>u</w:t>
      </w:r>
      <w:r w:rsidRPr="00AF297A">
        <w:t>pper price limits (eg</w:t>
      </w:r>
      <w:r>
        <w:t>,</w:t>
      </w:r>
      <w:r w:rsidRPr="00AF297A">
        <w:t xml:space="preserve"> fixed price option</w:t>
      </w:r>
      <w:r>
        <w:t>,</w:t>
      </w:r>
      <w:r w:rsidRPr="00AF297A">
        <w:t xml:space="preserve"> or a price ceiling implemented through an auctioning mechanism)</w:t>
      </w:r>
    </w:p>
    <w:p w:rsidR="003C1381" w:rsidRPr="00AF297A" w:rsidRDefault="003C1381" w:rsidP="00CC45CF">
      <w:pPr>
        <w:pStyle w:val="Boxbullet"/>
        <w:numPr>
          <w:ilvl w:val="0"/>
          <w:numId w:val="49"/>
        </w:numPr>
        <w:pBdr>
          <w:top w:val="none" w:sz="0" w:space="0" w:color="auto"/>
          <w:left w:val="none" w:sz="0" w:space="0" w:color="auto"/>
          <w:bottom w:val="none" w:sz="0" w:space="0" w:color="auto"/>
          <w:right w:val="none" w:sz="0" w:space="0" w:color="auto"/>
        </w:pBdr>
        <w:shd w:val="clear" w:color="auto" w:fill="auto"/>
        <w:ind w:left="709" w:hanging="283"/>
        <w:jc w:val="both"/>
      </w:pPr>
      <w:r>
        <w:t>l</w:t>
      </w:r>
      <w:r w:rsidRPr="00AF297A">
        <w:t>ower price limits (eg</w:t>
      </w:r>
      <w:r>
        <w:t>,</w:t>
      </w:r>
      <w:r w:rsidRPr="00AF297A">
        <w:t xml:space="preserve"> price floor)</w:t>
      </w:r>
    </w:p>
    <w:p w:rsidR="003C1381" w:rsidRPr="00AF297A" w:rsidRDefault="003C1381" w:rsidP="00CC45CF">
      <w:pPr>
        <w:pStyle w:val="Boxbullet"/>
        <w:numPr>
          <w:ilvl w:val="0"/>
          <w:numId w:val="49"/>
        </w:numPr>
        <w:pBdr>
          <w:top w:val="none" w:sz="0" w:space="0" w:color="auto"/>
          <w:left w:val="none" w:sz="0" w:space="0" w:color="auto"/>
          <w:bottom w:val="none" w:sz="0" w:space="0" w:color="auto"/>
          <w:right w:val="none" w:sz="0" w:space="0" w:color="auto"/>
        </w:pBdr>
        <w:shd w:val="clear" w:color="auto" w:fill="auto"/>
        <w:ind w:left="709" w:hanging="283"/>
        <w:jc w:val="both"/>
      </w:pPr>
      <w:r>
        <w:t>o</w:t>
      </w:r>
      <w:r w:rsidRPr="00AF297A">
        <w:t xml:space="preserve">ther </w:t>
      </w:r>
      <w:r>
        <w:t>(p</w:t>
      </w:r>
      <w:r w:rsidRPr="00AF297A">
        <w:t>lease explain</w:t>
      </w:r>
      <w:r>
        <w:t>).</w:t>
      </w:r>
    </w:p>
    <w:p w:rsidR="003C1381" w:rsidRPr="00AF297A" w:rsidRDefault="003C1381" w:rsidP="003C1381">
      <w:pPr>
        <w:pStyle w:val="Box"/>
        <w:pBdr>
          <w:top w:val="none" w:sz="0" w:space="0" w:color="auto"/>
          <w:left w:val="none" w:sz="0" w:space="0" w:color="auto"/>
          <w:bottom w:val="none" w:sz="0" w:space="0" w:color="auto"/>
          <w:right w:val="none" w:sz="0" w:space="0" w:color="auto"/>
        </w:pBdr>
        <w:shd w:val="clear" w:color="auto" w:fill="auto"/>
        <w:ind w:hanging="644"/>
        <w:jc w:val="both"/>
      </w:pPr>
    </w:p>
    <w:p w:rsidR="003C1381" w:rsidRPr="00AF297A" w:rsidRDefault="003C1381" w:rsidP="00CC45CF">
      <w:pPr>
        <w:pStyle w:val="Box"/>
        <w:numPr>
          <w:ilvl w:val="0"/>
          <w:numId w:val="23"/>
        </w:numPr>
        <w:pBdr>
          <w:top w:val="none" w:sz="0" w:space="0" w:color="auto"/>
          <w:left w:val="none" w:sz="0" w:space="0" w:color="auto"/>
          <w:bottom w:val="none" w:sz="0" w:space="0" w:color="auto"/>
          <w:right w:val="none" w:sz="0" w:space="0" w:color="auto"/>
        </w:pBdr>
        <w:shd w:val="clear" w:color="auto" w:fill="auto"/>
        <w:ind w:hanging="644"/>
        <w:jc w:val="both"/>
      </w:pPr>
      <w:r w:rsidRPr="00AF297A">
        <w:t>What should the Government consider when managing price stability?</w:t>
      </w:r>
    </w:p>
    <w:p w:rsidR="001C2B00" w:rsidRPr="00AF297A" w:rsidRDefault="001C2B00" w:rsidP="00A87313">
      <w:pPr>
        <w:pStyle w:val="Heading2"/>
      </w:pPr>
      <w:bookmarkStart w:id="20" w:name="_Toc435798391"/>
      <w:r w:rsidRPr="00AF297A">
        <w:lastRenderedPageBreak/>
        <w:t>4.5</w:t>
      </w:r>
      <w:r w:rsidRPr="00AF297A">
        <w:tab/>
        <w:t>Operational and technical matters</w:t>
      </w:r>
      <w:bookmarkEnd w:id="20"/>
    </w:p>
    <w:p w:rsidR="001C2B00" w:rsidRPr="00AF297A" w:rsidRDefault="001C2B00" w:rsidP="00A87313">
      <w:pPr>
        <w:pStyle w:val="BodyText"/>
      </w:pPr>
      <w:r w:rsidRPr="00AF297A">
        <w:t>The NZ ETS has now been in operation since 2008</w:t>
      </w:r>
      <w:r w:rsidR="00631911">
        <w:t>,</w:t>
      </w:r>
      <w:r w:rsidRPr="00AF297A">
        <w:t xml:space="preserve"> and we continue to identify areas for improvement from an operational and technical perspective. </w:t>
      </w:r>
      <w:r w:rsidR="00631911">
        <w:t>P</w:t>
      </w:r>
      <w:r w:rsidRPr="00AF297A">
        <w:t xml:space="preserve">articipants </w:t>
      </w:r>
      <w:r w:rsidR="00631911">
        <w:t xml:space="preserve">are asked to give their views </w:t>
      </w:r>
      <w:r w:rsidRPr="00AF297A">
        <w:t>on how the operational and administrative efficiency of the NZ ETS could be improved. We anticipate providing a technical note at a later stage that describes operational and technical issues that have been identified through the operation of the NZ ETS to date.</w:t>
      </w:r>
    </w:p>
    <w:p w:rsidR="008A4D98" w:rsidRPr="00AF297A" w:rsidRDefault="00191EF0" w:rsidP="00415FED">
      <w:pPr>
        <w:pStyle w:val="Heading3"/>
        <w:spacing w:after="240"/>
        <w:jc w:val="both"/>
      </w:pPr>
      <w:r>
        <w:rPr>
          <w:noProof/>
          <w:lang w:eastAsia="en-NZ"/>
        </w:rPr>
        <w:pict w14:anchorId="6DD34664">
          <v:rect id="_x0000_s1053" style="position:absolute;left:0;text-align:left;margin-left:-2.45pt;margin-top:37.85pt;width:416.85pt;height:132.55pt;z-index:-251642368;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1C2B00" w:rsidRPr="00AF297A">
        <w:t>Questions</w:t>
      </w:r>
    </w:p>
    <w:p w:rsidR="00FF3BD0" w:rsidRPr="00AF297A" w:rsidRDefault="00FF3BD0" w:rsidP="00A87313">
      <w:pPr>
        <w:pStyle w:val="Box"/>
        <w:numPr>
          <w:ilvl w:val="0"/>
          <w:numId w:val="23"/>
        </w:numPr>
        <w:pBdr>
          <w:top w:val="none" w:sz="0" w:space="0" w:color="auto"/>
          <w:left w:val="none" w:sz="0" w:space="0" w:color="auto"/>
          <w:bottom w:val="none" w:sz="0" w:space="0" w:color="auto"/>
          <w:right w:val="none" w:sz="0" w:space="0" w:color="auto"/>
        </w:pBdr>
        <w:shd w:val="clear" w:color="auto" w:fill="auto"/>
        <w:ind w:left="426" w:hanging="426"/>
      </w:pPr>
      <w:r w:rsidRPr="00AF297A">
        <w:t xml:space="preserve">Are you aware of ways the administrative efficiency of the NZ ETS could be improved? </w:t>
      </w:r>
      <w:r w:rsidRPr="00F4148B">
        <w:rPr>
          <w:b/>
        </w:rPr>
        <w:t>Yes/No/Unsure</w:t>
      </w:r>
      <w:r w:rsidRPr="00AF297A">
        <w:t xml:space="preserve"> </w:t>
      </w:r>
    </w:p>
    <w:p w:rsidR="00FF3BD0" w:rsidRPr="00AF297A" w:rsidRDefault="00FF3BD0" w:rsidP="00FF3BD0">
      <w:pPr>
        <w:pStyle w:val="Box"/>
        <w:pBdr>
          <w:top w:val="none" w:sz="0" w:space="0" w:color="auto"/>
          <w:left w:val="none" w:sz="0" w:space="0" w:color="auto"/>
          <w:bottom w:val="none" w:sz="0" w:space="0" w:color="auto"/>
          <w:right w:val="none" w:sz="0" w:space="0" w:color="auto"/>
        </w:pBdr>
        <w:shd w:val="clear" w:color="auto" w:fill="auto"/>
        <w:ind w:hanging="644"/>
        <w:jc w:val="both"/>
      </w:pPr>
    </w:p>
    <w:p w:rsidR="00FF3BD0" w:rsidRPr="00AF297A" w:rsidRDefault="00FF3BD0" w:rsidP="00A87313">
      <w:pPr>
        <w:pStyle w:val="Box"/>
        <w:numPr>
          <w:ilvl w:val="0"/>
          <w:numId w:val="23"/>
        </w:numPr>
        <w:pBdr>
          <w:top w:val="none" w:sz="0" w:space="0" w:color="auto"/>
          <w:left w:val="none" w:sz="0" w:space="0" w:color="auto"/>
          <w:bottom w:val="none" w:sz="0" w:space="0" w:color="auto"/>
          <w:right w:val="none" w:sz="0" w:space="0" w:color="auto"/>
        </w:pBdr>
        <w:shd w:val="clear" w:color="auto" w:fill="auto"/>
        <w:ind w:left="426" w:hanging="426"/>
      </w:pPr>
      <w:r w:rsidRPr="00AF297A">
        <w:t xml:space="preserve">Can you provide further information to support your answer? We would be interested in comments on: </w:t>
      </w:r>
    </w:p>
    <w:p w:rsidR="00FF3BD0" w:rsidRPr="00AF297A" w:rsidRDefault="00FF3BD0" w:rsidP="00CC45CF">
      <w:pPr>
        <w:pStyle w:val="Boxbullet"/>
        <w:numPr>
          <w:ilvl w:val="0"/>
          <w:numId w:val="33"/>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complexities involved in NZ ETS participation</w:t>
      </w:r>
    </w:p>
    <w:p w:rsidR="00FF3BD0" w:rsidRPr="00AF297A" w:rsidRDefault="00FF3BD0" w:rsidP="00CC45CF">
      <w:pPr>
        <w:pStyle w:val="Boxbullet"/>
        <w:numPr>
          <w:ilvl w:val="0"/>
          <w:numId w:val="33"/>
        </w:numPr>
        <w:pBdr>
          <w:top w:val="none" w:sz="0" w:space="0" w:color="auto"/>
          <w:left w:val="none" w:sz="0" w:space="0" w:color="auto"/>
          <w:bottom w:val="none" w:sz="0" w:space="0" w:color="auto"/>
          <w:right w:val="none" w:sz="0" w:space="0" w:color="auto"/>
        </w:pBdr>
        <w:shd w:val="clear" w:color="auto" w:fill="auto"/>
        <w:ind w:left="1134" w:hanging="425"/>
        <w:jc w:val="both"/>
      </w:pPr>
      <w:r w:rsidRPr="00AF297A">
        <w:t xml:space="preserve">penalties for breaching NZ ETS obligations </w:t>
      </w:r>
    </w:p>
    <w:p w:rsidR="00FF3BD0" w:rsidRPr="00AF297A" w:rsidRDefault="00FF3BD0" w:rsidP="00A87313">
      <w:pPr>
        <w:pStyle w:val="Boxbullet"/>
        <w:numPr>
          <w:ilvl w:val="0"/>
          <w:numId w:val="33"/>
        </w:numPr>
        <w:pBdr>
          <w:top w:val="none" w:sz="0" w:space="0" w:color="auto"/>
          <w:left w:val="none" w:sz="0" w:space="0" w:color="auto"/>
          <w:bottom w:val="none" w:sz="0" w:space="0" w:color="auto"/>
          <w:right w:val="none" w:sz="0" w:space="0" w:color="auto"/>
        </w:pBdr>
        <w:shd w:val="clear" w:color="auto" w:fill="auto"/>
        <w:ind w:left="1134" w:hanging="425"/>
      </w:pPr>
      <w:r w:rsidRPr="00AF297A">
        <w:t>any technical or operational changes that could be made to the NZ ETS to improve efficiency.</w:t>
      </w:r>
    </w:p>
    <w:p w:rsidR="00597A74" w:rsidRPr="00AF297A" w:rsidRDefault="00597A74" w:rsidP="00A87313">
      <w:pPr>
        <w:pStyle w:val="Heading2"/>
        <w:spacing w:before="480"/>
      </w:pPr>
      <w:bookmarkStart w:id="21" w:name="_Toc435798392"/>
      <w:r w:rsidRPr="00AF297A">
        <w:t>4.6</w:t>
      </w:r>
      <w:r w:rsidRPr="00AF297A">
        <w:tab/>
      </w:r>
      <w:r w:rsidR="00467715">
        <w:t>Addressing barriers to the uptake of low emissions technologies</w:t>
      </w:r>
      <w:bookmarkEnd w:id="21"/>
      <w:r w:rsidRPr="00AF297A">
        <w:t xml:space="preserve"> </w:t>
      </w:r>
    </w:p>
    <w:p w:rsidR="00597A74" w:rsidRPr="00AF297A" w:rsidRDefault="00597A74" w:rsidP="00A87313">
      <w:pPr>
        <w:pStyle w:val="BodyText"/>
      </w:pPr>
      <w:r w:rsidRPr="00AF297A">
        <w:t>The Government</w:t>
      </w:r>
      <w:r w:rsidR="007B5588" w:rsidRPr="00AF297A">
        <w:t>’</w:t>
      </w:r>
      <w:r w:rsidRPr="00AF297A">
        <w:t>s main policy response to reducing emissions is the NZ ETS. However the NZ</w:t>
      </w:r>
      <w:r w:rsidR="00FC5DBF" w:rsidRPr="00AF297A">
        <w:t> </w:t>
      </w:r>
      <w:r w:rsidRPr="00AF297A">
        <w:t>ETS alone will not drive New Zealand towards a low emissions economy. The carbon price incentive from the NZ ETS will generally encourage the efficient uptake of opportunities and technologies for reducing emissions.</w:t>
      </w:r>
      <w:r w:rsidR="007B5588" w:rsidRPr="00AF297A">
        <w:t xml:space="preserve"> </w:t>
      </w:r>
      <w:r w:rsidRPr="00AF297A">
        <w:t>However in some sectors or cases, there may be other barriers or market failures that also need to be addressed. For example:</w:t>
      </w:r>
    </w:p>
    <w:p w:rsidR="00597A74" w:rsidRPr="00AF297A" w:rsidRDefault="00597A74" w:rsidP="00A87313">
      <w:pPr>
        <w:pStyle w:val="Bullet"/>
      </w:pPr>
      <w:r w:rsidRPr="00AF297A">
        <w:t>lack of information</w:t>
      </w:r>
    </w:p>
    <w:p w:rsidR="00597A74" w:rsidRPr="00AF297A" w:rsidRDefault="00597A74" w:rsidP="00A87313">
      <w:pPr>
        <w:pStyle w:val="Bullet"/>
      </w:pPr>
      <w:r w:rsidRPr="00AF297A">
        <w:t>high upfront costs of new technologies</w:t>
      </w:r>
    </w:p>
    <w:p w:rsidR="00597A74" w:rsidRPr="00AF297A" w:rsidRDefault="00597A74" w:rsidP="00A87313">
      <w:pPr>
        <w:pStyle w:val="Bullet"/>
      </w:pPr>
      <w:r w:rsidRPr="00AF297A">
        <w:t>lack of infrastructure to support new technologies</w:t>
      </w:r>
    </w:p>
    <w:p w:rsidR="00597A74" w:rsidRPr="00AF297A" w:rsidRDefault="00597A74" w:rsidP="00A87313">
      <w:pPr>
        <w:pStyle w:val="Bullet"/>
      </w:pPr>
      <w:r w:rsidRPr="00AF297A">
        <w:t>unnecessary regulatory barriers to new technologies</w:t>
      </w:r>
      <w:r w:rsidR="00AB3A4F">
        <w:t xml:space="preserve">. </w:t>
      </w:r>
    </w:p>
    <w:p w:rsidR="00597A74" w:rsidRPr="00AF297A" w:rsidRDefault="00597A74" w:rsidP="00A87313">
      <w:pPr>
        <w:pStyle w:val="BodyText"/>
      </w:pPr>
      <w:r w:rsidRPr="00AF297A">
        <w:t>Ultimately the transition to a low emissions economy will require changes that come from all sectors of the economy. Where the Government can play a useful role it has implemented policies, targets and programmes outside of the NZ ETS that will contribute to reducing emissions. These other policies are needed where there are additional barriers to adopting low carbon technology, or where the Government has a role in encouraging innovation. Key initiatives include:</w:t>
      </w:r>
    </w:p>
    <w:p w:rsidR="00597A74" w:rsidRPr="00AF297A" w:rsidRDefault="00597A74" w:rsidP="00A87313">
      <w:pPr>
        <w:pStyle w:val="Bullet"/>
      </w:pPr>
      <w:r w:rsidRPr="00AF297A">
        <w:rPr>
          <w:b/>
        </w:rPr>
        <w:t>Energy efficiency</w:t>
      </w:r>
      <w:r w:rsidRPr="00AF297A">
        <w:t>, through investment in programmes run by the Energy Efficiency and Conservation Authority aimed at improving energy and fuel efficiency in industry</w:t>
      </w:r>
      <w:r w:rsidR="00467715">
        <w:t xml:space="preserve"> and households</w:t>
      </w:r>
      <w:r w:rsidRPr="00AF297A">
        <w:t>.</w:t>
      </w:r>
    </w:p>
    <w:p w:rsidR="00597A74" w:rsidRPr="00AF297A" w:rsidRDefault="00597A74" w:rsidP="00A87313">
      <w:pPr>
        <w:pStyle w:val="Bullet"/>
      </w:pPr>
      <w:r w:rsidRPr="00AF297A">
        <w:rPr>
          <w:b/>
        </w:rPr>
        <w:t>Public and active transport</w:t>
      </w:r>
      <w:r w:rsidRPr="00AF297A">
        <w:t>, with over $1 billion allocated to public transport through the National Land Transport Fund, and $100 million for cycling through the Urban Cycleways Fund.</w:t>
      </w:r>
    </w:p>
    <w:p w:rsidR="00597A74" w:rsidRPr="00AF297A" w:rsidRDefault="00597A74" w:rsidP="00A87313">
      <w:pPr>
        <w:pStyle w:val="Bullet"/>
      </w:pPr>
      <w:r w:rsidRPr="00AF297A">
        <w:rPr>
          <w:b/>
        </w:rPr>
        <w:lastRenderedPageBreak/>
        <w:t>Electric vehicles</w:t>
      </w:r>
      <w:r w:rsidRPr="00AF297A">
        <w:t xml:space="preserve">, by exempting electric vehicles from road user charges until 2020. </w:t>
      </w:r>
    </w:p>
    <w:p w:rsidR="00597A74" w:rsidRPr="00AF297A" w:rsidRDefault="00597A74" w:rsidP="00A87313">
      <w:pPr>
        <w:pStyle w:val="Bullet"/>
      </w:pPr>
      <w:r w:rsidRPr="00AF297A">
        <w:rPr>
          <w:b/>
        </w:rPr>
        <w:t>Science and research</w:t>
      </w:r>
      <w:r w:rsidRPr="00AF297A">
        <w:t>, for example, investing approximately $10</w:t>
      </w:r>
      <w:r w:rsidR="00AB3A4F">
        <w:t xml:space="preserve"> million</w:t>
      </w:r>
      <w:r w:rsidRPr="00AF297A">
        <w:t xml:space="preserve"> annually in research for new agricultural mitigation technologies through the Pastoral Greenhouse Gas Research Consortium and the New Zealand Agricultural Greenhouse Gas Research Centre.</w:t>
      </w:r>
    </w:p>
    <w:p w:rsidR="00597A74" w:rsidRPr="00AF297A" w:rsidRDefault="00597A74" w:rsidP="00A87313">
      <w:pPr>
        <w:pStyle w:val="Bullet"/>
      </w:pPr>
      <w:r w:rsidRPr="00AF297A">
        <w:rPr>
          <w:b/>
        </w:rPr>
        <w:t>Renewable energy</w:t>
      </w:r>
      <w:r w:rsidRPr="00AF297A">
        <w:t>, through the New Zealand Energy Strategy 2011</w:t>
      </w:r>
      <w:r w:rsidR="00C8196F">
        <w:t>–</w:t>
      </w:r>
      <w:r w:rsidRPr="00AF297A">
        <w:t>21 and target for 90</w:t>
      </w:r>
      <w:r w:rsidR="00C8196F">
        <w:t> per cent</w:t>
      </w:r>
      <w:r w:rsidRPr="00AF297A">
        <w:t xml:space="preserve"> of our electricity to be from renewable resources by 2025.</w:t>
      </w:r>
    </w:p>
    <w:p w:rsidR="00597A74" w:rsidRPr="00AF297A" w:rsidRDefault="00597A74" w:rsidP="00A87313">
      <w:pPr>
        <w:pStyle w:val="Bullet"/>
      </w:pPr>
      <w:r w:rsidRPr="00AF297A">
        <w:rPr>
          <w:b/>
        </w:rPr>
        <w:t>New forest planting</w:t>
      </w:r>
      <w:r w:rsidRPr="00AF297A">
        <w:t>, through the Government</w:t>
      </w:r>
      <w:r w:rsidR="007B5588" w:rsidRPr="00AF297A">
        <w:t>’</w:t>
      </w:r>
      <w:r w:rsidRPr="00AF297A">
        <w:t>s afforestation grant initiatives, such as the Afforestation Grant Scheme and the Erosion Control Funding Programme in the Gisborne District.</w:t>
      </w:r>
    </w:p>
    <w:p w:rsidR="00597A74" w:rsidRPr="00AF297A" w:rsidRDefault="00C8196F" w:rsidP="00A87313">
      <w:pPr>
        <w:pStyle w:val="BodyText"/>
      </w:pPr>
      <w:r>
        <w:t>T</w:t>
      </w:r>
      <w:r w:rsidR="00597A74" w:rsidRPr="00AF297A">
        <w:t>here may</w:t>
      </w:r>
      <w:r>
        <w:t xml:space="preserve"> still</w:t>
      </w:r>
      <w:r w:rsidR="00597A74" w:rsidRPr="00AF297A">
        <w:t xml:space="preserve"> be other areas where the NZ ETS will not drive the uptake of emissions reduction opportunities, even if carbon prices increase significantly. We </w:t>
      </w:r>
      <w:r>
        <w:t>would like your help</w:t>
      </w:r>
      <w:r w:rsidR="00597A74" w:rsidRPr="00AF297A">
        <w:t xml:space="preserve"> to identify these, and on whether there is a role for Government in addressing any barriers that exist.</w:t>
      </w:r>
    </w:p>
    <w:p w:rsidR="00597A74" w:rsidRPr="00AF297A" w:rsidRDefault="00597A74" w:rsidP="00A87313">
      <w:pPr>
        <w:pStyle w:val="BodyText"/>
      </w:pPr>
      <w:r w:rsidRPr="00AF297A">
        <w:t xml:space="preserve">Please note that while this NZ ETS review may identify issues or opportunities to support emissions reductions in sectors where the impact of the NZ ETS is limited, </w:t>
      </w:r>
      <w:r w:rsidR="00883777">
        <w:t xml:space="preserve">they may need to be </w:t>
      </w:r>
      <w:r w:rsidRPr="00AF297A">
        <w:t>address</w:t>
      </w:r>
      <w:r w:rsidR="00883777">
        <w:t>ed</w:t>
      </w:r>
      <w:r w:rsidRPr="00AF297A">
        <w:t xml:space="preserve"> through other processes.</w:t>
      </w:r>
      <w:r w:rsidR="007B5588" w:rsidRPr="00AF297A">
        <w:t xml:space="preserve"> </w:t>
      </w:r>
    </w:p>
    <w:p w:rsidR="001C2B00" w:rsidRPr="00AF297A" w:rsidRDefault="00191EF0" w:rsidP="00415FED">
      <w:pPr>
        <w:pStyle w:val="Heading3"/>
        <w:spacing w:after="240"/>
        <w:jc w:val="both"/>
      </w:pPr>
      <w:r>
        <w:rPr>
          <w:noProof/>
          <w:lang w:eastAsia="en-NZ"/>
        </w:rPr>
        <w:pict w14:anchorId="6DD34664">
          <v:rect id="_x0000_s1052" style="position:absolute;left:0;text-align:left;margin-left:-1.4pt;margin-top:41.2pt;width:416.85pt;height:76.15pt;z-index:-25164339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597A74" w:rsidRPr="00AF297A">
        <w:t>Questions</w:t>
      </w:r>
    </w:p>
    <w:p w:rsidR="00FF3BD0" w:rsidRPr="00AF297A" w:rsidRDefault="00FF3BD0" w:rsidP="0067171B">
      <w:pPr>
        <w:pStyle w:val="Box"/>
        <w:numPr>
          <w:ilvl w:val="0"/>
          <w:numId w:val="23"/>
        </w:numPr>
        <w:pBdr>
          <w:top w:val="none" w:sz="0" w:space="0" w:color="auto"/>
          <w:left w:val="none" w:sz="0" w:space="0" w:color="auto"/>
          <w:bottom w:val="none" w:sz="0" w:space="0" w:color="auto"/>
          <w:right w:val="none" w:sz="0" w:space="0" w:color="auto"/>
        </w:pBdr>
        <w:shd w:val="clear" w:color="auto" w:fill="auto"/>
        <w:ind w:left="426" w:hanging="426"/>
      </w:pPr>
      <w:r w:rsidRPr="00AF297A">
        <w:t>Are there any barriers or market failures that will prevent the eff</w:t>
      </w:r>
      <w:r w:rsidR="00CD15D0">
        <w:t xml:space="preserve">icient uptake of opportunities </w:t>
      </w:r>
      <w:r w:rsidRPr="00AF297A">
        <w:t xml:space="preserve">and technologies for reducing emissions? </w:t>
      </w:r>
    </w:p>
    <w:p w:rsidR="00FF3BD0" w:rsidRPr="00AF297A" w:rsidRDefault="00FF3BD0" w:rsidP="0067171B">
      <w:pPr>
        <w:pStyle w:val="Box"/>
        <w:pBdr>
          <w:top w:val="none" w:sz="0" w:space="0" w:color="auto"/>
          <w:left w:val="none" w:sz="0" w:space="0" w:color="auto"/>
          <w:bottom w:val="none" w:sz="0" w:space="0" w:color="auto"/>
          <w:right w:val="none" w:sz="0" w:space="0" w:color="auto"/>
        </w:pBdr>
        <w:shd w:val="clear" w:color="auto" w:fill="auto"/>
        <w:ind w:left="644" w:hanging="644"/>
      </w:pPr>
    </w:p>
    <w:p w:rsidR="00FF3BD0" w:rsidRPr="00AF297A" w:rsidRDefault="00FF3BD0" w:rsidP="0067171B">
      <w:pPr>
        <w:pStyle w:val="Box"/>
        <w:numPr>
          <w:ilvl w:val="0"/>
          <w:numId w:val="23"/>
        </w:numPr>
        <w:pBdr>
          <w:top w:val="none" w:sz="0" w:space="0" w:color="auto"/>
          <w:left w:val="none" w:sz="0" w:space="0" w:color="auto"/>
          <w:bottom w:val="none" w:sz="0" w:space="0" w:color="auto"/>
          <w:right w:val="none" w:sz="0" w:space="0" w:color="auto"/>
        </w:pBdr>
        <w:shd w:val="clear" w:color="auto" w:fill="auto"/>
        <w:ind w:left="426" w:hanging="426"/>
      </w:pPr>
      <w:r w:rsidRPr="00AF297A">
        <w:t xml:space="preserve">If so, is there a role for the Government in addressing these barriers or market failures and </w:t>
      </w:r>
      <w:r>
        <w:t>how</w:t>
      </w:r>
      <w:r w:rsidRPr="00AF297A">
        <w:t xml:space="preserve"> should it do this?</w:t>
      </w:r>
    </w:p>
    <w:p w:rsidR="00EF3030" w:rsidRPr="00AF297A" w:rsidRDefault="00EF3030" w:rsidP="0067171B">
      <w:pPr>
        <w:pStyle w:val="Heading1"/>
      </w:pPr>
      <w:r w:rsidRPr="00AF297A">
        <w:br w:type="page"/>
      </w:r>
      <w:bookmarkStart w:id="22" w:name="_Toc435798393"/>
      <w:r w:rsidRPr="00AF297A">
        <w:lastRenderedPageBreak/>
        <w:t>5</w:t>
      </w:r>
      <w:r w:rsidRPr="00AF297A">
        <w:tab/>
        <w:t>How to make a submission</w:t>
      </w:r>
      <w:bookmarkEnd w:id="22"/>
    </w:p>
    <w:p w:rsidR="00EF3030" w:rsidRPr="00AF297A" w:rsidRDefault="00E146F0" w:rsidP="0067171B">
      <w:pPr>
        <w:pStyle w:val="Heading3"/>
        <w:spacing w:before="240"/>
      </w:pPr>
      <w:r w:rsidRPr="00AF297A">
        <w:t>Preparing your submission</w:t>
      </w:r>
    </w:p>
    <w:p w:rsidR="00EF3030" w:rsidRPr="00AF297A" w:rsidRDefault="00EF3030" w:rsidP="0067171B">
      <w:pPr>
        <w:pStyle w:val="BodyText"/>
      </w:pPr>
      <w:r w:rsidRPr="00AF297A">
        <w:t xml:space="preserve">The Government welcomes your feedback </w:t>
      </w:r>
      <w:r w:rsidR="007804D2">
        <w:t xml:space="preserve">on how the NZ ETS is working, and how it might work better in future. </w:t>
      </w:r>
      <w:r w:rsidRPr="00AF297A">
        <w:t>Your submissions may address any aspect of th</w:t>
      </w:r>
      <w:r w:rsidR="00437C33">
        <w:t>e questions outlined in this</w:t>
      </w:r>
      <w:r w:rsidRPr="00AF297A">
        <w:t xml:space="preserve"> document, and you may answer some or all of the questions. To ensure your point of view is clearly understood, you should explain your rationale and provide supporting evidence where appropriate. </w:t>
      </w:r>
    </w:p>
    <w:p w:rsidR="00EF3030" w:rsidRPr="00AF297A" w:rsidRDefault="00EF3030" w:rsidP="0067171B">
      <w:pPr>
        <w:pStyle w:val="BodyText"/>
      </w:pPr>
      <w:r w:rsidRPr="00AF297A">
        <w:t>There are three ways you can make a submission:</w:t>
      </w:r>
    </w:p>
    <w:p w:rsidR="00EF3030" w:rsidRPr="00AF297A" w:rsidRDefault="00437C33" w:rsidP="0067171B">
      <w:pPr>
        <w:pStyle w:val="Bullet"/>
      </w:pPr>
      <w:r>
        <w:t>u</w:t>
      </w:r>
      <w:r w:rsidR="00EF3030" w:rsidRPr="00AF297A">
        <w:t xml:space="preserve">se our online submission tool, available at </w:t>
      </w:r>
      <w:hyperlink r:id="rId28" w:history="1">
        <w:r w:rsidR="00397A7C" w:rsidRPr="00BD4D00">
          <w:rPr>
            <w:rStyle w:val="Hyperlink"/>
          </w:rPr>
          <w:t>www.mfe.govt.nz/more/consultations</w:t>
        </w:r>
      </w:hyperlink>
      <w:r w:rsidR="00397A7C">
        <w:t xml:space="preserve">. </w:t>
      </w:r>
    </w:p>
    <w:p w:rsidR="00EF3030" w:rsidRDefault="00437C33" w:rsidP="0067171B">
      <w:pPr>
        <w:pStyle w:val="Bullet"/>
      </w:pPr>
      <w:r>
        <w:t>d</w:t>
      </w:r>
      <w:r w:rsidR="00EF3030" w:rsidRPr="00AF297A">
        <w:t>ownload a copy of the submission form to complete and return to us. This is available at www.mfe.govt.nz. If you do not have access to a computer we can post a copy of the submission form to you.</w:t>
      </w:r>
    </w:p>
    <w:p w:rsidR="00EF3030" w:rsidRPr="00AF297A" w:rsidRDefault="00397A7C" w:rsidP="0067171B">
      <w:pPr>
        <w:pStyle w:val="Bullet"/>
      </w:pPr>
      <w:r>
        <w:t>t</w:t>
      </w:r>
      <w:r w:rsidR="00EF3030" w:rsidRPr="00AF297A">
        <w:t>ype up or write out your own submission. With this option, we would appreciate you paying attention to the questions posed throughout this document</w:t>
      </w:r>
      <w:r w:rsidR="00437C33">
        <w:t>,</w:t>
      </w:r>
      <w:r w:rsidR="00EF3030" w:rsidRPr="00AF297A">
        <w:t xml:space="preserve"> and clearly indicate which questions your response addresses. </w:t>
      </w:r>
    </w:p>
    <w:p w:rsidR="00EF3030" w:rsidRPr="007F2DDC" w:rsidRDefault="00EF3030" w:rsidP="0067171B">
      <w:pPr>
        <w:pStyle w:val="BodyText"/>
      </w:pPr>
      <w:r w:rsidRPr="00AF297A">
        <w:t xml:space="preserve">Please ensure your submission addresses those questions from this document </w:t>
      </w:r>
      <w:r w:rsidR="00437C33">
        <w:t>that</w:t>
      </w:r>
      <w:r w:rsidR="00437C33" w:rsidRPr="00AF297A">
        <w:t xml:space="preserve"> </w:t>
      </w:r>
      <w:r w:rsidRPr="00AF297A">
        <w:t xml:space="preserve">are relevant </w:t>
      </w:r>
      <w:r w:rsidRPr="007F2DDC">
        <w:t>to you</w:t>
      </w:r>
      <w:r w:rsidR="00437C33" w:rsidRPr="007F2DDC">
        <w:t>,</w:t>
      </w:r>
      <w:r w:rsidRPr="007F2DDC">
        <w:t xml:space="preserve"> and that it contains the following contact details:</w:t>
      </w:r>
    </w:p>
    <w:p w:rsidR="00EF3030" w:rsidRPr="007F2DDC" w:rsidRDefault="00EF3030" w:rsidP="0067171B">
      <w:pPr>
        <w:pStyle w:val="Sub-lista"/>
        <w:numPr>
          <w:ilvl w:val="0"/>
          <w:numId w:val="15"/>
        </w:numPr>
        <w:ind w:left="397"/>
      </w:pPr>
      <w:r w:rsidRPr="007F2DDC">
        <w:t>the title of the consultation NZ ETS Review Consultation</w:t>
      </w:r>
    </w:p>
    <w:p w:rsidR="00EF3030" w:rsidRPr="007F2DDC" w:rsidRDefault="00EF3030" w:rsidP="0067171B">
      <w:pPr>
        <w:pStyle w:val="Sub-lista"/>
        <w:numPr>
          <w:ilvl w:val="0"/>
          <w:numId w:val="15"/>
        </w:numPr>
        <w:ind w:left="397"/>
      </w:pPr>
      <w:r w:rsidRPr="007F2DDC">
        <w:t>your name or organisation name</w:t>
      </w:r>
    </w:p>
    <w:p w:rsidR="00EF3030" w:rsidRPr="007F2DDC" w:rsidRDefault="00437C33" w:rsidP="0067171B">
      <w:pPr>
        <w:pStyle w:val="Sub-lista"/>
        <w:numPr>
          <w:ilvl w:val="0"/>
          <w:numId w:val="15"/>
        </w:numPr>
        <w:ind w:left="397"/>
      </w:pPr>
      <w:r w:rsidRPr="007F2DDC">
        <w:t xml:space="preserve">your </w:t>
      </w:r>
      <w:r w:rsidR="00EF3030" w:rsidRPr="007F2DDC">
        <w:t>postal address</w:t>
      </w:r>
    </w:p>
    <w:p w:rsidR="00EF3030" w:rsidRPr="007F2DDC" w:rsidRDefault="00437C33" w:rsidP="0067171B">
      <w:pPr>
        <w:pStyle w:val="Sub-lista"/>
        <w:numPr>
          <w:ilvl w:val="0"/>
          <w:numId w:val="15"/>
        </w:numPr>
        <w:ind w:left="397"/>
      </w:pPr>
      <w:r w:rsidRPr="007F2DDC">
        <w:t xml:space="preserve">your </w:t>
      </w:r>
      <w:r w:rsidR="00EF3030" w:rsidRPr="007F2DDC">
        <w:t xml:space="preserve">telephone number </w:t>
      </w:r>
    </w:p>
    <w:p w:rsidR="00EF3030" w:rsidRPr="007F2DDC" w:rsidRDefault="00437C33" w:rsidP="0067171B">
      <w:pPr>
        <w:pStyle w:val="Sub-lista"/>
        <w:numPr>
          <w:ilvl w:val="0"/>
          <w:numId w:val="15"/>
        </w:numPr>
        <w:ind w:left="397"/>
      </w:pPr>
      <w:r w:rsidRPr="007F2DDC">
        <w:t xml:space="preserve">your </w:t>
      </w:r>
      <w:r w:rsidR="00EF3030" w:rsidRPr="007F2DDC">
        <w:t>email address.</w:t>
      </w:r>
    </w:p>
    <w:p w:rsidR="00EF3030" w:rsidRPr="007F2DDC" w:rsidRDefault="00EF3030" w:rsidP="0067171B">
      <w:pPr>
        <w:pStyle w:val="BodyText"/>
      </w:pPr>
      <w:r w:rsidRPr="007F2DDC">
        <w:t xml:space="preserve">If you are emailing your submission, please send it to </w:t>
      </w:r>
      <w:r w:rsidR="009555F5" w:rsidRPr="007F2DDC">
        <w:t xml:space="preserve">nzetsreview@mfe.govt.nz </w:t>
      </w:r>
      <w:r w:rsidRPr="007F2DDC">
        <w:t>as a:</w:t>
      </w:r>
    </w:p>
    <w:p w:rsidR="00EF3030" w:rsidRPr="007F2DDC" w:rsidRDefault="00EF3030" w:rsidP="0067171B">
      <w:pPr>
        <w:pStyle w:val="Bullet"/>
      </w:pPr>
      <w:r w:rsidRPr="007F2DDC">
        <w:t>PDF</w:t>
      </w:r>
      <w:r w:rsidR="00397A7C" w:rsidRPr="007F2DDC">
        <w:t xml:space="preserve"> </w:t>
      </w:r>
      <w:r w:rsidR="00437C33" w:rsidRPr="007F2DDC">
        <w:t xml:space="preserve">or </w:t>
      </w:r>
    </w:p>
    <w:p w:rsidR="00EF3030" w:rsidRPr="007F2DDC" w:rsidRDefault="00EF3030" w:rsidP="0067171B">
      <w:pPr>
        <w:pStyle w:val="Bullet"/>
      </w:pPr>
      <w:r w:rsidRPr="007F2DDC">
        <w:t>Microsoft Word document (2003 or later version).</w:t>
      </w:r>
    </w:p>
    <w:p w:rsidR="00EF3030" w:rsidRPr="007F2DDC" w:rsidRDefault="00EF3030" w:rsidP="0067171B">
      <w:pPr>
        <w:pStyle w:val="BodyText"/>
      </w:pPr>
      <w:r w:rsidRPr="007F2DDC">
        <w:t>If you are posting your submission, please send it to NZ ETS Review Consultation, Ministry for the Environment, PO Box 10362, Wellington 6143.</w:t>
      </w:r>
    </w:p>
    <w:p w:rsidR="00EF3030" w:rsidRPr="007F2DDC" w:rsidRDefault="00EF3030" w:rsidP="0067171B">
      <w:pPr>
        <w:pStyle w:val="BodyText"/>
      </w:pPr>
      <w:r w:rsidRPr="007F2DDC">
        <w:t>There are two timeframes for submissions on the issues in this document.</w:t>
      </w:r>
      <w:r w:rsidR="00457E7A" w:rsidRPr="007F2DDC">
        <w:t xml:space="preserve"> Submissions on priority issues close </w:t>
      </w:r>
      <w:r w:rsidR="00680AC0" w:rsidRPr="007F2DDC">
        <w:t>on 19 February 2016</w:t>
      </w:r>
      <w:r w:rsidR="00437C33" w:rsidRPr="007F2DDC">
        <w:t>,</w:t>
      </w:r>
      <w:r w:rsidR="00680AC0" w:rsidRPr="007F2DDC">
        <w:t xml:space="preserve"> </w:t>
      </w:r>
      <w:r w:rsidR="00457E7A" w:rsidRPr="007F2DDC">
        <w:t>as they may be candidates for legislative change in 2016.</w:t>
      </w:r>
      <w:r w:rsidRPr="007F2DDC">
        <w:t xml:space="preserve"> You are welcome to make a separate submission for each of the timeframes</w:t>
      </w:r>
      <w:r w:rsidR="00680AC0" w:rsidRPr="007F2DDC">
        <w:t xml:space="preserve"> provided</w:t>
      </w:r>
      <w:r w:rsidRPr="007F2DDC">
        <w:t>. If you prefer, you may make only one submission covering both priority issues and other matters</w:t>
      </w:r>
      <w:r w:rsidR="00467715" w:rsidRPr="007F2DDC">
        <w:t>, h</w:t>
      </w:r>
      <w:r w:rsidRPr="007F2DDC">
        <w:t>owever</w:t>
      </w:r>
      <w:r w:rsidR="00467715" w:rsidRPr="007F2DDC">
        <w:t>,</w:t>
      </w:r>
      <w:r w:rsidRPr="007F2DDC">
        <w:t xml:space="preserve"> for questions relating to the priority issues to be considered your submission must be received by 1</w:t>
      </w:r>
      <w:r w:rsidR="00467715" w:rsidRPr="007F2DDC">
        <w:t>9</w:t>
      </w:r>
      <w:r w:rsidRPr="007F2DDC">
        <w:t xml:space="preserve"> February 2016.</w:t>
      </w:r>
      <w:r w:rsidR="007B5588" w:rsidRPr="007F2DDC">
        <w:t xml:space="preserve"> </w:t>
      </w:r>
    </w:p>
    <w:p w:rsidR="00EF3030" w:rsidRPr="007F2DDC" w:rsidRDefault="00EF3030" w:rsidP="0067171B">
      <w:pPr>
        <w:pStyle w:val="BodyText"/>
      </w:pPr>
      <w:r w:rsidRPr="007F2DDC">
        <w:t xml:space="preserve">Submissions on </w:t>
      </w:r>
      <w:r w:rsidRPr="007F2DDC">
        <w:rPr>
          <w:b/>
        </w:rPr>
        <w:t>Priority issues</w:t>
      </w:r>
      <w:r w:rsidRPr="007F2DDC">
        <w:t xml:space="preserve"> close 5.00</w:t>
      </w:r>
      <w:r w:rsidR="00437C33" w:rsidRPr="007F2DDC">
        <w:t xml:space="preserve"> </w:t>
      </w:r>
      <w:r w:rsidRPr="007F2DDC">
        <w:t xml:space="preserve">pm </w:t>
      </w:r>
      <w:r w:rsidR="00467715" w:rsidRPr="007F2DDC">
        <w:t>19</w:t>
      </w:r>
      <w:r w:rsidRPr="007F2DDC">
        <w:t xml:space="preserve"> February 2016</w:t>
      </w:r>
    </w:p>
    <w:p w:rsidR="00EF3030" w:rsidRPr="00AF297A" w:rsidRDefault="00EF3030" w:rsidP="0067171B">
      <w:r w:rsidRPr="007F2DDC">
        <w:t xml:space="preserve">Submissions on </w:t>
      </w:r>
      <w:r w:rsidRPr="007F2DDC">
        <w:rPr>
          <w:b/>
        </w:rPr>
        <w:t>Other matters</w:t>
      </w:r>
      <w:r w:rsidRPr="007F2DDC">
        <w:t xml:space="preserve"> close 5.00</w:t>
      </w:r>
      <w:r w:rsidR="00437C33" w:rsidRPr="007F2DDC">
        <w:t xml:space="preserve"> </w:t>
      </w:r>
      <w:r w:rsidRPr="007F2DDC">
        <w:t xml:space="preserve">pm </w:t>
      </w:r>
      <w:r w:rsidR="009555F5" w:rsidRPr="007F2DDC">
        <w:t>30</w:t>
      </w:r>
      <w:r w:rsidRPr="007F2DDC">
        <w:t xml:space="preserve"> </w:t>
      </w:r>
      <w:r w:rsidR="00467715" w:rsidRPr="007F2DDC">
        <w:t>April</w:t>
      </w:r>
      <w:r w:rsidRPr="007F2DDC">
        <w:t xml:space="preserve"> 2016</w:t>
      </w:r>
    </w:p>
    <w:p w:rsidR="00E146F0" w:rsidRPr="00AF297A" w:rsidRDefault="00E146F0" w:rsidP="0067171B">
      <w:pPr>
        <w:pStyle w:val="Heading3"/>
      </w:pPr>
      <w:r w:rsidRPr="00AF297A">
        <w:lastRenderedPageBreak/>
        <w:t>Request for evidence‐based submissions</w:t>
      </w:r>
    </w:p>
    <w:p w:rsidR="00E146F0" w:rsidRPr="00AF297A" w:rsidRDefault="00E146F0" w:rsidP="0067171B">
      <w:pPr>
        <w:pStyle w:val="BodyText"/>
        <w:spacing w:before="80"/>
      </w:pPr>
      <w:r w:rsidRPr="00AF297A">
        <w:t xml:space="preserve">Advice to the Government on any policy change will be based on the evidence available. Please provide evidence, analysis or data to support the points made in your submission. More weight </w:t>
      </w:r>
      <w:r w:rsidR="00A52C37">
        <w:t>is</w:t>
      </w:r>
      <w:r w:rsidR="00A52C37" w:rsidRPr="00AF297A">
        <w:t xml:space="preserve"> </w:t>
      </w:r>
      <w:r w:rsidRPr="00AF297A">
        <w:t>likely</w:t>
      </w:r>
      <w:r w:rsidR="00A52C37">
        <w:t xml:space="preserve"> to</w:t>
      </w:r>
      <w:r w:rsidRPr="00AF297A">
        <w:t xml:space="preserve"> be </w:t>
      </w:r>
      <w:r w:rsidR="00A52C37">
        <w:t>given</w:t>
      </w:r>
      <w:r w:rsidR="00A52C37" w:rsidRPr="00AF297A">
        <w:t xml:space="preserve"> </w:t>
      </w:r>
      <w:r w:rsidRPr="00AF297A">
        <w:t>to submissions that provide evidence.</w:t>
      </w:r>
    </w:p>
    <w:p w:rsidR="00E146F0" w:rsidRPr="00AF297A" w:rsidRDefault="00E146F0" w:rsidP="0067171B">
      <w:pPr>
        <w:pStyle w:val="Heading3"/>
        <w:spacing w:before="280"/>
      </w:pPr>
      <w:r w:rsidRPr="00AF297A">
        <w:t>Meetings with stakeholders</w:t>
      </w:r>
    </w:p>
    <w:p w:rsidR="00F05DE2" w:rsidRPr="00DA7A3D" w:rsidRDefault="00F05DE2" w:rsidP="0067171B">
      <w:pPr>
        <w:pStyle w:val="BodyText"/>
        <w:spacing w:before="80"/>
      </w:pPr>
      <w:r w:rsidRPr="00DA7A3D">
        <w:t>Officials intend to meet with stakeholders</w:t>
      </w:r>
      <w:r w:rsidRPr="00DA7A3D">
        <w:rPr>
          <w:rStyle w:val="IntenseEmphasis"/>
          <w:b w:val="0"/>
          <w:bCs w:val="0"/>
          <w:i w:val="0"/>
          <w:iCs w:val="0"/>
          <w:color w:val="auto"/>
        </w:rPr>
        <w:t xml:space="preserve"> representing a range of interests (such as iwi, the forestry sector, energy users, businesses, and non-governmental organisations), </w:t>
      </w:r>
      <w:r w:rsidRPr="00DA7A3D">
        <w:t xml:space="preserve">both during the consultation period and after the deadline for written submissions. Officials will </w:t>
      </w:r>
      <w:r w:rsidR="005337B5" w:rsidRPr="00DA7A3D">
        <w:t xml:space="preserve">notify relevant </w:t>
      </w:r>
      <w:r w:rsidRPr="00DA7A3D">
        <w:t>stakeholders</w:t>
      </w:r>
      <w:r w:rsidR="005337B5" w:rsidRPr="00DA7A3D">
        <w:t xml:space="preserve"> about the meeting programme directly.</w:t>
      </w:r>
    </w:p>
    <w:p w:rsidR="00E146F0" w:rsidRPr="00AF297A" w:rsidRDefault="00E146F0" w:rsidP="0067171B">
      <w:pPr>
        <w:pStyle w:val="Heading3"/>
        <w:spacing w:before="280"/>
      </w:pPr>
      <w:r w:rsidRPr="00AF297A">
        <w:t xml:space="preserve">Contact for queries </w:t>
      </w:r>
    </w:p>
    <w:p w:rsidR="00E146F0" w:rsidRPr="00AF297A" w:rsidRDefault="00E146F0" w:rsidP="0067171B">
      <w:pPr>
        <w:pStyle w:val="BodyText"/>
        <w:spacing w:before="80" w:after="80"/>
      </w:pPr>
      <w:r w:rsidRPr="00AF297A">
        <w:t>Please direct any queries to:</w:t>
      </w:r>
    </w:p>
    <w:p w:rsidR="00E146F0" w:rsidRPr="00AF297A" w:rsidRDefault="00E146F0" w:rsidP="0067171B">
      <w:r w:rsidRPr="00AF297A">
        <w:t xml:space="preserve">Phone: </w:t>
      </w:r>
      <w:r w:rsidR="009555F5">
        <w:t>+64 4 4397400</w:t>
      </w:r>
    </w:p>
    <w:p w:rsidR="00E146F0" w:rsidRPr="00AF297A" w:rsidRDefault="00E146F0" w:rsidP="0067171B">
      <w:r w:rsidRPr="00AF297A">
        <w:t xml:space="preserve">Email: </w:t>
      </w:r>
      <w:r w:rsidR="009A1CF9">
        <w:t>nzetsreview@mfe.govt.nz</w:t>
      </w:r>
    </w:p>
    <w:p w:rsidR="00AF4B7D" w:rsidRPr="00AF297A" w:rsidRDefault="00E146F0" w:rsidP="0067171B">
      <w:pPr>
        <w:spacing w:after="120"/>
      </w:pPr>
      <w:r w:rsidRPr="00AF297A">
        <w:t xml:space="preserve">Postal: </w:t>
      </w:r>
      <w:r w:rsidR="009A1CF9" w:rsidRPr="0059146A">
        <w:t>NZ ETS Review Consultation</w:t>
      </w:r>
      <w:r w:rsidR="009A1CF9" w:rsidRPr="00AF297A">
        <w:t xml:space="preserve">, Ministry </w:t>
      </w:r>
      <w:r w:rsidRPr="00AF297A">
        <w:t>for the Environment, PO Box 10362, Wellington 6143</w:t>
      </w:r>
    </w:p>
    <w:p w:rsidR="00E146F0" w:rsidRPr="00AF297A" w:rsidRDefault="00E146F0" w:rsidP="0067171B">
      <w:pPr>
        <w:pStyle w:val="Heading3"/>
        <w:spacing w:before="280"/>
      </w:pPr>
      <w:r w:rsidRPr="00AF297A">
        <w:t>Publishing and releasing submissions</w:t>
      </w:r>
    </w:p>
    <w:p w:rsidR="00E146F0" w:rsidRPr="00AF297A" w:rsidRDefault="00E146F0" w:rsidP="0067171B">
      <w:pPr>
        <w:pStyle w:val="BodyText"/>
        <w:spacing w:before="80"/>
      </w:pPr>
      <w:r w:rsidRPr="00AF297A">
        <w:t>All or part of any written submission (including names of submitters), may be published on the Ministry for the Environment</w:t>
      </w:r>
      <w:r w:rsidR="007B5588" w:rsidRPr="00AF297A">
        <w:t>’</w:t>
      </w:r>
      <w:r w:rsidRPr="00AF297A">
        <w:t>s website, www.mfe.govt.nz. Unless you clearly specify otherwise in your submission, the Ministry will consider that you have consented to website posting of both your submission and your name.</w:t>
      </w:r>
    </w:p>
    <w:p w:rsidR="00E146F0" w:rsidRPr="00AF297A" w:rsidRDefault="00E146F0" w:rsidP="0067171B">
      <w:pPr>
        <w:pStyle w:val="BodyText"/>
      </w:pPr>
      <w:r w:rsidRPr="00AF297A">
        <w:t>Contents of submissions may be released to the public under the Official Information Act 1982 following requests to the Ministry for the Environment (including via email). Please advise if you have any objection to the release of any information</w:t>
      </w:r>
      <w:r w:rsidR="00003546">
        <w:t xml:space="preserve"> </w:t>
      </w:r>
      <w:r w:rsidR="00003546" w:rsidRPr="00AF297A">
        <w:t>contained in a submission</w:t>
      </w:r>
      <w:r w:rsidRPr="00AF297A">
        <w:t xml:space="preserve">, including commercially sensitive information, and in particular which part(s) you consider should be withheld, together with the reason(s) for withholding the information. </w:t>
      </w:r>
    </w:p>
    <w:p w:rsidR="00E146F0" w:rsidRPr="00AF297A" w:rsidRDefault="00E146F0" w:rsidP="0067171B">
      <w:pPr>
        <w:pStyle w:val="BodyText"/>
      </w:pPr>
      <w:r w:rsidRPr="00AF297A">
        <w:t xml:space="preserve">We will take into account all such objections when responding to requests for copies of, and information on, submissions to this document under the Official Information Act. </w:t>
      </w:r>
    </w:p>
    <w:p w:rsidR="00E146F0" w:rsidRPr="00AF297A" w:rsidRDefault="00E146F0" w:rsidP="0067171B">
      <w:pPr>
        <w:pStyle w:val="BodyText"/>
      </w:pPr>
      <w:r w:rsidRPr="00AF297A">
        <w:t>The Privacy Act 1993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p>
    <w:p w:rsidR="00E146F0" w:rsidRPr="00AF297A" w:rsidRDefault="00E146F0" w:rsidP="0067171B">
      <w:pPr>
        <w:pStyle w:val="Heading3"/>
        <w:keepNext w:val="0"/>
        <w:spacing w:before="280"/>
      </w:pPr>
      <w:r w:rsidRPr="00AF297A">
        <w:t>What happens next?</w:t>
      </w:r>
    </w:p>
    <w:p w:rsidR="00E146F0" w:rsidRPr="00AF297A" w:rsidRDefault="00E146F0" w:rsidP="0067171B">
      <w:pPr>
        <w:pStyle w:val="BodyText"/>
        <w:spacing w:before="80"/>
      </w:pPr>
      <w:r w:rsidRPr="00AF297A">
        <w:t>After receiving submissions, the Ministry will evaluate them and may, where necessary, seek further comments. Your submission will contribute to advice to Ministers.</w:t>
      </w:r>
    </w:p>
    <w:p w:rsidR="00E146F0" w:rsidRPr="00AF297A" w:rsidRDefault="00E146F0" w:rsidP="0067171B">
      <w:pPr>
        <w:pStyle w:val="Heading1"/>
      </w:pPr>
      <w:r w:rsidRPr="00AF297A">
        <w:br w:type="page"/>
      </w:r>
      <w:bookmarkStart w:id="23" w:name="_Toc435798394"/>
      <w:r w:rsidRPr="00AF297A">
        <w:lastRenderedPageBreak/>
        <w:t>6</w:t>
      </w:r>
      <w:r w:rsidRPr="00AF297A">
        <w:tab/>
        <w:t>Summary of consultation questions</w:t>
      </w:r>
      <w:bookmarkEnd w:id="23"/>
    </w:p>
    <w:p w:rsidR="00CA21A4" w:rsidRPr="00AF297A" w:rsidRDefault="00191EF0" w:rsidP="0067171B">
      <w:pPr>
        <w:pStyle w:val="Boxheading"/>
        <w:pBdr>
          <w:top w:val="none" w:sz="0" w:space="0" w:color="auto"/>
          <w:left w:val="none" w:sz="0" w:space="0" w:color="auto"/>
          <w:bottom w:val="none" w:sz="0" w:space="0" w:color="auto"/>
          <w:right w:val="none" w:sz="0" w:space="0" w:color="auto"/>
        </w:pBdr>
        <w:shd w:val="clear" w:color="auto" w:fill="auto"/>
        <w:spacing w:after="120"/>
      </w:pPr>
      <w:r>
        <w:rPr>
          <w:noProof/>
        </w:rPr>
        <w:pict w14:anchorId="008B0BD6">
          <v:rect id="Rectangle 3" o:spid="_x0000_s1041" style="position:absolute;left:0;text-align:left;margin-left:11.9pt;margin-top:-3.2pt;width:401.6pt;height:60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" fillcolor="#e5ebf7" strokecolor="#deebf7"/>
        </w:pict>
      </w:r>
      <w:r w:rsidR="00CA21A4">
        <w:t>Context and drivers for the review</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spacing w:after="240"/>
        <w:ind w:left="641" w:hanging="357"/>
      </w:pPr>
      <w:r w:rsidRPr="00AF297A">
        <w:t xml:space="preserve">Do you agree with the drivers for the review? </w:t>
      </w:r>
      <w:r w:rsidRPr="001A4A79">
        <w:rPr>
          <w:b/>
        </w:rPr>
        <w:t>Yes/No/Unsure</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spacing w:after="120"/>
        <w:ind w:left="641" w:hanging="357"/>
      </w:pPr>
      <w:r w:rsidRPr="00AF297A">
        <w:t>What other factors should the Government be considering in this NZ ETS review?</w:t>
      </w:r>
    </w:p>
    <w:p w:rsidR="00CA21A4" w:rsidRPr="00AF297A"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rsidRPr="00AF297A">
        <w:t xml:space="preserve">Moving to full surrender obligations </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spacing w:after="240"/>
        <w:ind w:left="641" w:hanging="357"/>
      </w:pPr>
      <w:r w:rsidRPr="00AF297A">
        <w:t>Should the NZ ETS move to a full surrender obligation for the liquid fossil fuels, industrial processes, stationary energy and waste sectors?</w:t>
      </w:r>
      <w:r w:rsidRPr="00E507B5">
        <w:rPr>
          <w:b/>
        </w:rPr>
        <w:t xml:space="preserve"> Yes/No/Unsure</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pPr>
      <w:r w:rsidRPr="00AF297A">
        <w:t xml:space="preserve">What impact will moving to full surrender obligations have on you or your business? </w:t>
      </w:r>
      <w:r>
        <w:t>Please in</w:t>
      </w:r>
      <w:r w:rsidRPr="00AF297A">
        <w:t>clud</w:t>
      </w:r>
      <w:r>
        <w:t xml:space="preserve">e specific examples or evidence of the impacts </w:t>
      </w:r>
      <w:r w:rsidRPr="00AF297A">
        <w:t>on you or your business</w:t>
      </w:r>
      <w:r>
        <w:t xml:space="preserve"> of</w:t>
      </w:r>
      <w:r w:rsidRPr="00AF297A">
        <w:t>:</w:t>
      </w:r>
    </w:p>
    <w:p w:rsidR="00CA21A4" w:rsidRPr="00AF297A" w:rsidRDefault="00CA21A4" w:rsidP="0067171B">
      <w:pPr>
        <w:pStyle w:val="Boxbullet"/>
        <w:numPr>
          <w:ilvl w:val="0"/>
          <w:numId w:val="37"/>
        </w:numPr>
        <w:pBdr>
          <w:top w:val="none" w:sz="0" w:space="0" w:color="auto"/>
          <w:left w:val="none" w:sz="0" w:space="0" w:color="auto"/>
          <w:bottom w:val="none" w:sz="0" w:space="0" w:color="auto"/>
          <w:right w:val="none" w:sz="0" w:space="0" w:color="auto"/>
        </w:pBdr>
        <w:shd w:val="clear" w:color="auto" w:fill="auto"/>
        <w:ind w:left="1134" w:hanging="425"/>
      </w:pPr>
      <w:r w:rsidRPr="00AF297A">
        <w:t xml:space="preserve">increased carbon prices, including actions to reduce emissions and future investment decisions. Please comment on effects that may occur at carbon prices ranging from $5 to $50, including any evidence of actions taken previously when carbon prices were higher. </w:t>
      </w:r>
    </w:p>
    <w:p w:rsidR="00CA21A4" w:rsidRPr="00AF297A" w:rsidRDefault="00CA21A4" w:rsidP="0067171B">
      <w:pPr>
        <w:pStyle w:val="Boxbullet"/>
        <w:numPr>
          <w:ilvl w:val="0"/>
          <w:numId w:val="37"/>
        </w:numPr>
        <w:pBdr>
          <w:top w:val="none" w:sz="0" w:space="0" w:color="auto"/>
          <w:left w:val="none" w:sz="0" w:space="0" w:color="auto"/>
          <w:bottom w:val="none" w:sz="0" w:space="0" w:color="auto"/>
          <w:right w:val="none" w:sz="0" w:space="0" w:color="auto"/>
        </w:pBdr>
        <w:shd w:val="clear" w:color="auto" w:fill="auto"/>
        <w:spacing w:after="240"/>
        <w:ind w:left="1134" w:hanging="425"/>
      </w:pPr>
      <w:r>
        <w:t>a</w:t>
      </w:r>
      <w:r w:rsidRPr="00AF297A">
        <w:t xml:space="preserve">ny NZ ETS administrative or operational issues, for example the option for participants to apply for a unique emissions factor. </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pPr>
      <w:r w:rsidRPr="00AF297A">
        <w:t xml:space="preserve">If full surrender obligations are applied, when should this be implemented? </w:t>
      </w:r>
    </w:p>
    <w:p w:rsidR="00CA21A4" w:rsidRPr="00AF297A" w:rsidRDefault="00CA21A4" w:rsidP="0067171B">
      <w:pPr>
        <w:pStyle w:val="Boxbullet"/>
        <w:numPr>
          <w:ilvl w:val="0"/>
          <w:numId w:val="47"/>
        </w:numPr>
        <w:pBdr>
          <w:top w:val="none" w:sz="0" w:space="0" w:color="auto"/>
          <w:left w:val="none" w:sz="0" w:space="0" w:color="auto"/>
          <w:bottom w:val="none" w:sz="0" w:space="0" w:color="auto"/>
          <w:right w:val="none" w:sz="0" w:space="0" w:color="auto"/>
        </w:pBdr>
        <w:shd w:val="clear" w:color="auto" w:fill="auto"/>
        <w:ind w:left="1134" w:hanging="425"/>
      </w:pPr>
      <w:r w:rsidRPr="00AF297A">
        <w:t xml:space="preserve">2016 </w:t>
      </w:r>
    </w:p>
    <w:p w:rsidR="00CA21A4" w:rsidRDefault="00CA21A4" w:rsidP="0067171B">
      <w:pPr>
        <w:pStyle w:val="Boxbullet"/>
        <w:numPr>
          <w:ilvl w:val="0"/>
          <w:numId w:val="47"/>
        </w:numPr>
        <w:pBdr>
          <w:top w:val="none" w:sz="0" w:space="0" w:color="auto"/>
          <w:left w:val="none" w:sz="0" w:space="0" w:color="auto"/>
          <w:bottom w:val="none" w:sz="0" w:space="0" w:color="auto"/>
          <w:right w:val="none" w:sz="0" w:space="0" w:color="auto"/>
        </w:pBdr>
        <w:shd w:val="clear" w:color="auto" w:fill="auto"/>
        <w:ind w:left="1134" w:hanging="425"/>
      </w:pPr>
      <w:r w:rsidRPr="00AF297A">
        <w:t xml:space="preserve">2017 </w:t>
      </w:r>
    </w:p>
    <w:p w:rsidR="00CA21A4" w:rsidRDefault="00CA21A4" w:rsidP="0067171B">
      <w:pPr>
        <w:pStyle w:val="Boxbullet"/>
        <w:numPr>
          <w:ilvl w:val="0"/>
          <w:numId w:val="47"/>
        </w:numPr>
        <w:pBdr>
          <w:top w:val="none" w:sz="0" w:space="0" w:color="auto"/>
          <w:left w:val="none" w:sz="0" w:space="0" w:color="auto"/>
          <w:bottom w:val="none" w:sz="0" w:space="0" w:color="auto"/>
          <w:right w:val="none" w:sz="0" w:space="0" w:color="auto"/>
        </w:pBdr>
        <w:shd w:val="clear" w:color="auto" w:fill="auto"/>
        <w:ind w:left="1134" w:hanging="425"/>
      </w:pPr>
      <w:r w:rsidRPr="00AF297A">
        <w:t xml:space="preserve">2018 </w:t>
      </w:r>
    </w:p>
    <w:p w:rsidR="00CA21A4" w:rsidRPr="00AF297A" w:rsidRDefault="00CA21A4" w:rsidP="0067171B">
      <w:pPr>
        <w:pStyle w:val="Boxbullet"/>
        <w:numPr>
          <w:ilvl w:val="0"/>
          <w:numId w:val="47"/>
        </w:numPr>
        <w:pBdr>
          <w:top w:val="none" w:sz="0" w:space="0" w:color="auto"/>
          <w:left w:val="none" w:sz="0" w:space="0" w:color="auto"/>
          <w:bottom w:val="none" w:sz="0" w:space="0" w:color="auto"/>
          <w:right w:val="none" w:sz="0" w:space="0" w:color="auto"/>
        </w:pBdr>
        <w:shd w:val="clear" w:color="auto" w:fill="auto"/>
        <w:ind w:left="1134" w:hanging="425"/>
      </w:pPr>
      <w:r>
        <w:t>o</w:t>
      </w:r>
      <w:r w:rsidRPr="00AF297A">
        <w:t>ther – please specify</w:t>
      </w:r>
    </w:p>
    <w:p w:rsidR="00CA21A4" w:rsidRPr="00AF297A" w:rsidRDefault="00CA21A4" w:rsidP="0067171B">
      <w:pPr>
        <w:pStyle w:val="Box"/>
        <w:pBdr>
          <w:top w:val="none" w:sz="0" w:space="0" w:color="auto"/>
          <w:left w:val="none" w:sz="0" w:space="0" w:color="auto"/>
          <w:bottom w:val="none" w:sz="0" w:space="0" w:color="auto"/>
          <w:right w:val="none" w:sz="0" w:space="0" w:color="auto"/>
        </w:pBdr>
        <w:shd w:val="clear" w:color="auto" w:fill="auto"/>
        <w:spacing w:before="120"/>
        <w:ind w:firstLine="284"/>
      </w:pPr>
      <w:r>
        <w:t>O</w:t>
      </w:r>
      <w:r w:rsidRPr="00AF297A">
        <w:t xml:space="preserve">utline the reasons for your answer, and include any comments on the pros and cons of </w:t>
      </w:r>
      <w:r>
        <w:br/>
        <w:t xml:space="preserve">      </w:t>
      </w:r>
      <w:r w:rsidRPr="00AF297A">
        <w:t xml:space="preserve">applying an increased surrender obligation to a partial </w:t>
      </w:r>
      <w:r>
        <w:t>or</w:t>
      </w:r>
      <w:r w:rsidRPr="00AF297A">
        <w:t xml:space="preserve"> a full NZ ETS reporting year. </w:t>
      </w:r>
    </w:p>
    <w:p w:rsidR="00CA21A4" w:rsidRPr="00AF297A"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rsidRPr="00AF297A">
        <w:t>Managing the costs of moving to full surrender obligations</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spacing w:after="240"/>
        <w:ind w:left="641" w:hanging="357"/>
      </w:pPr>
      <w:r w:rsidRPr="00AF297A">
        <w:t xml:space="preserve">If the NZ ETS moves to full surrender obligations, should potential price shocks be managed? </w:t>
      </w:r>
      <w:r w:rsidRPr="00E507B5">
        <w:rPr>
          <w:b/>
        </w:rPr>
        <w:t>Yes/No/Unsure</w:t>
      </w:r>
    </w:p>
    <w:p w:rsidR="00CA21A4" w:rsidRPr="00AF297A" w:rsidRDefault="00CA21A4" w:rsidP="0067171B">
      <w:pPr>
        <w:pStyle w:val="Box"/>
        <w:keepNext/>
        <w:numPr>
          <w:ilvl w:val="0"/>
          <w:numId w:val="35"/>
        </w:numPr>
        <w:pBdr>
          <w:top w:val="none" w:sz="0" w:space="0" w:color="auto"/>
          <w:left w:val="none" w:sz="0" w:space="0" w:color="auto"/>
          <w:bottom w:val="none" w:sz="0" w:space="0" w:color="auto"/>
          <w:right w:val="none" w:sz="0" w:space="0" w:color="auto"/>
        </w:pBdr>
        <w:shd w:val="clear" w:color="auto" w:fill="auto"/>
      </w:pPr>
      <w:r w:rsidRPr="00AF297A">
        <w:t xml:space="preserve">If potential price shocks associated with moving to full surrender obligations should be managed, how should this be done? </w:t>
      </w:r>
    </w:p>
    <w:p w:rsidR="00CA21A4" w:rsidRPr="00AF297A" w:rsidRDefault="00CA21A4" w:rsidP="0067171B">
      <w:pPr>
        <w:pStyle w:val="Boxbullet"/>
        <w:numPr>
          <w:ilvl w:val="0"/>
          <w:numId w:val="48"/>
        </w:numPr>
        <w:pBdr>
          <w:top w:val="none" w:sz="0" w:space="0" w:color="auto"/>
          <w:left w:val="none" w:sz="0" w:space="0" w:color="auto"/>
          <w:bottom w:val="none" w:sz="0" w:space="0" w:color="auto"/>
          <w:right w:val="none" w:sz="0" w:space="0" w:color="auto"/>
        </w:pBdr>
        <w:shd w:val="clear" w:color="auto" w:fill="auto"/>
        <w:ind w:left="1134" w:hanging="425"/>
      </w:pPr>
      <w:r w:rsidRPr="00AF297A">
        <w:t>maintain the fixed price option at $25</w:t>
      </w:r>
    </w:p>
    <w:p w:rsidR="00CA21A4" w:rsidRPr="00AF297A" w:rsidRDefault="00CA21A4" w:rsidP="0067171B">
      <w:pPr>
        <w:pStyle w:val="Boxbullet"/>
        <w:numPr>
          <w:ilvl w:val="0"/>
          <w:numId w:val="48"/>
        </w:numPr>
        <w:pBdr>
          <w:top w:val="none" w:sz="0" w:space="0" w:color="auto"/>
          <w:left w:val="none" w:sz="0" w:space="0" w:color="auto"/>
          <w:bottom w:val="none" w:sz="0" w:space="0" w:color="auto"/>
          <w:right w:val="none" w:sz="0" w:space="0" w:color="auto"/>
        </w:pBdr>
        <w:shd w:val="clear" w:color="auto" w:fill="auto"/>
        <w:ind w:left="1134" w:hanging="425"/>
      </w:pPr>
      <w:r w:rsidRPr="00AF297A">
        <w:t xml:space="preserve">lower the fixed price option </w:t>
      </w:r>
    </w:p>
    <w:p w:rsidR="00CA21A4" w:rsidRPr="00AF297A" w:rsidRDefault="00CA21A4" w:rsidP="0067171B">
      <w:pPr>
        <w:pStyle w:val="Boxbullet"/>
        <w:numPr>
          <w:ilvl w:val="0"/>
          <w:numId w:val="48"/>
        </w:numPr>
        <w:pBdr>
          <w:top w:val="none" w:sz="0" w:space="0" w:color="auto"/>
          <w:left w:val="none" w:sz="0" w:space="0" w:color="auto"/>
          <w:bottom w:val="none" w:sz="0" w:space="0" w:color="auto"/>
          <w:right w:val="none" w:sz="0" w:space="0" w:color="auto"/>
        </w:pBdr>
        <w:shd w:val="clear" w:color="auto" w:fill="auto"/>
        <w:ind w:left="1134" w:hanging="425"/>
      </w:pPr>
      <w:r w:rsidRPr="00AF297A">
        <w:t xml:space="preserve">gradually move to full surrender obligation </w:t>
      </w:r>
    </w:p>
    <w:p w:rsidR="00CA21A4" w:rsidRPr="00AF297A" w:rsidRDefault="00CA21A4" w:rsidP="0067171B">
      <w:pPr>
        <w:pStyle w:val="Boxbullet"/>
        <w:numPr>
          <w:ilvl w:val="0"/>
          <w:numId w:val="48"/>
        </w:numPr>
        <w:pBdr>
          <w:top w:val="none" w:sz="0" w:space="0" w:color="auto"/>
          <w:left w:val="none" w:sz="0" w:space="0" w:color="auto"/>
          <w:bottom w:val="none" w:sz="0" w:space="0" w:color="auto"/>
          <w:right w:val="none" w:sz="0" w:space="0" w:color="auto"/>
        </w:pBdr>
        <w:shd w:val="clear" w:color="auto" w:fill="auto"/>
        <w:spacing w:after="240"/>
        <w:ind w:left="1134" w:hanging="425"/>
      </w:pPr>
      <w:r w:rsidRPr="00AF297A">
        <w:t>other</w:t>
      </w:r>
      <w:r>
        <w:t xml:space="preserve"> methods.</w:t>
      </w:r>
    </w:p>
    <w:p w:rsidR="00CA21A4"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pPr>
      <w:r w:rsidRPr="00AF297A">
        <w:t xml:space="preserve">If the $25 fixed price surrender </w:t>
      </w:r>
      <w:r w:rsidR="00191EF0">
        <w:t>option</w:t>
      </w:r>
      <w:r w:rsidRPr="00AF297A">
        <w:t xml:space="preserve"> value should change, what should it change to and why?</w:t>
      </w:r>
    </w:p>
    <w:p w:rsidR="00CA21A4"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t>Other issues: business responses to the NZ ETS</w:t>
      </w:r>
    </w:p>
    <w:p w:rsidR="00CA21A4" w:rsidRPr="00AF297A" w:rsidRDefault="00CA21A4" w:rsidP="0067171B">
      <w:pPr>
        <w:pStyle w:val="Box"/>
        <w:keepNext/>
        <w:numPr>
          <w:ilvl w:val="0"/>
          <w:numId w:val="35"/>
        </w:numPr>
        <w:pBdr>
          <w:top w:val="none" w:sz="0" w:space="0" w:color="auto"/>
          <w:left w:val="none" w:sz="0" w:space="0" w:color="auto"/>
          <w:bottom w:val="none" w:sz="0" w:space="0" w:color="auto"/>
          <w:right w:val="none" w:sz="0" w:space="0" w:color="auto"/>
        </w:pBdr>
        <w:shd w:val="clear" w:color="auto" w:fill="auto"/>
      </w:pPr>
      <w:r w:rsidRPr="00AF297A">
        <w:t xml:space="preserve">Do you consider the future cost of emissions in your business planning? </w:t>
      </w:r>
      <w:r w:rsidRPr="00293F91">
        <w:rPr>
          <w:b/>
        </w:rPr>
        <w:t>Yes/No</w:t>
      </w:r>
    </w:p>
    <w:p w:rsidR="00CA21A4" w:rsidRDefault="00CA21A4" w:rsidP="0067171B">
      <w:pPr>
        <w:pStyle w:val="Box"/>
        <w:keepNext/>
        <w:pBdr>
          <w:top w:val="none" w:sz="0" w:space="0" w:color="auto"/>
          <w:left w:val="none" w:sz="0" w:space="0" w:color="auto"/>
          <w:bottom w:val="none" w:sz="0" w:space="0" w:color="auto"/>
          <w:right w:val="none" w:sz="0" w:space="0" w:color="auto"/>
        </w:pBdr>
        <w:shd w:val="clear" w:color="auto" w:fill="auto"/>
        <w:ind w:left="644"/>
      </w:pPr>
      <w:r w:rsidRPr="00AF297A">
        <w:t>If yes, how do you do this?</w:t>
      </w:r>
    </w:p>
    <w:p w:rsidR="00CA21A4" w:rsidRPr="000844CA" w:rsidRDefault="00CA21A4" w:rsidP="00CA21A4">
      <w:pPr>
        <w:pStyle w:val="Box"/>
        <w:pBdr>
          <w:top w:val="none" w:sz="0" w:space="0" w:color="auto"/>
          <w:left w:val="none" w:sz="0" w:space="0" w:color="auto"/>
          <w:bottom w:val="none" w:sz="0" w:space="0" w:color="auto"/>
          <w:right w:val="none" w:sz="0" w:space="0" w:color="auto"/>
        </w:pBdr>
        <w:shd w:val="clear" w:color="auto" w:fill="auto"/>
        <w:jc w:val="both"/>
      </w:pPr>
    </w:p>
    <w:p w:rsidR="00CA21A4" w:rsidRPr="00AF297A" w:rsidRDefault="00191EF0" w:rsidP="0067171B">
      <w:pPr>
        <w:pStyle w:val="Box"/>
        <w:keepNext/>
        <w:numPr>
          <w:ilvl w:val="0"/>
          <w:numId w:val="35"/>
        </w:numPr>
        <w:pBdr>
          <w:top w:val="none" w:sz="0" w:space="0" w:color="auto"/>
          <w:left w:val="none" w:sz="0" w:space="0" w:color="auto"/>
          <w:bottom w:val="none" w:sz="0" w:space="0" w:color="auto"/>
          <w:right w:val="none" w:sz="0" w:space="0" w:color="auto"/>
        </w:pBdr>
        <w:shd w:val="clear" w:color="auto" w:fill="auto"/>
      </w:pPr>
      <w:r>
        <w:rPr>
          <w:noProof/>
          <w:lang w:eastAsia="en-NZ"/>
        </w:rPr>
        <w:lastRenderedPageBreak/>
        <w:pict w14:anchorId="6DD34664">
          <v:rect id="_x0000_s1042" style="position:absolute;left:0;text-align:left;margin-left:12.35pt;margin-top:-5.15pt;width:401.6pt;height:660.85pt;z-index:-25165363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CA21A4" w:rsidRPr="00AF297A">
        <w:t>What would improve your ability to take into account the future cost of emissions in your business planning?</w:t>
      </w:r>
    </w:p>
    <w:p w:rsidR="00CA21A4" w:rsidRPr="00AF297A"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t>Other issues: protecting competitiveness through free allocation</w:t>
      </w:r>
    </w:p>
    <w:p w:rsidR="00CA21A4" w:rsidRPr="00AF297A" w:rsidRDefault="00CA21A4" w:rsidP="0067171B">
      <w:pPr>
        <w:pStyle w:val="Box"/>
        <w:keepNext/>
        <w:numPr>
          <w:ilvl w:val="0"/>
          <w:numId w:val="35"/>
        </w:numPr>
        <w:pBdr>
          <w:top w:val="none" w:sz="0" w:space="0" w:color="auto"/>
          <w:left w:val="none" w:sz="0" w:space="0" w:color="auto"/>
          <w:bottom w:val="none" w:sz="0" w:space="0" w:color="auto"/>
          <w:right w:val="none" w:sz="0" w:space="0" w:color="auto"/>
        </w:pBdr>
        <w:shd w:val="clear" w:color="auto" w:fill="auto"/>
        <w:spacing w:after="240"/>
        <w:ind w:left="641" w:hanging="357"/>
      </w:pPr>
      <w:r w:rsidRPr="00AF297A">
        <w:t>Under what conditions should free allocation rates start to be reduced after 2020?</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pPr>
      <w:r w:rsidRPr="00AF297A">
        <w:t>What impact would</w:t>
      </w:r>
      <w:r>
        <w:t xml:space="preserve"> it have </w:t>
      </w:r>
      <w:r w:rsidRPr="00AF297A">
        <w:t>on your investment decisions over the next few years</w:t>
      </w:r>
      <w:r>
        <w:t xml:space="preserve"> if there was</w:t>
      </w:r>
      <w:r w:rsidRPr="00AF297A">
        <w:t xml:space="preserve"> a clear pathway or criteria for </w:t>
      </w:r>
      <w:r>
        <w:t>phasing out of</w:t>
      </w:r>
      <w:r w:rsidRPr="00AF297A">
        <w:t xml:space="preserve"> free allocation after 2020? </w:t>
      </w:r>
    </w:p>
    <w:p w:rsidR="00CA21A4"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t>Other issues: managing unit supply - forestry</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pPr>
      <w:r w:rsidRPr="00AF297A">
        <w:t>How does the carbon price impact your forestry investment decision</w:t>
      </w:r>
      <w:r>
        <w:t>-</w:t>
      </w:r>
      <w:r w:rsidRPr="00AF297A">
        <w:t xml:space="preserve">making? </w:t>
      </w:r>
    </w:p>
    <w:p w:rsidR="00CA21A4" w:rsidRPr="00AF297A" w:rsidRDefault="00CA21A4" w:rsidP="0067171B">
      <w:pPr>
        <w:pStyle w:val="Box"/>
        <w:pBdr>
          <w:top w:val="none" w:sz="0" w:space="0" w:color="auto"/>
          <w:left w:val="none" w:sz="0" w:space="0" w:color="auto"/>
          <w:bottom w:val="none" w:sz="0" w:space="0" w:color="auto"/>
          <w:right w:val="none" w:sz="0" w:space="0" w:color="auto"/>
        </w:pBdr>
        <w:shd w:val="clear" w:color="auto" w:fill="auto"/>
        <w:spacing w:before="120"/>
        <w:ind w:left="533" w:firstLine="113"/>
      </w:pPr>
      <w:r w:rsidRPr="00AF297A">
        <w:t>In your answer, we are interested in</w:t>
      </w:r>
      <w:r>
        <w:t xml:space="preserve"> the</w:t>
      </w:r>
      <w:r w:rsidRPr="00AF297A">
        <w:t>:</w:t>
      </w:r>
    </w:p>
    <w:p w:rsidR="00CA21A4" w:rsidRPr="00AF297A" w:rsidRDefault="00CA21A4" w:rsidP="0067171B">
      <w:pPr>
        <w:pStyle w:val="Boxbullet"/>
        <w:numPr>
          <w:ilvl w:val="0"/>
          <w:numId w:val="38"/>
        </w:numPr>
        <w:pBdr>
          <w:top w:val="none" w:sz="0" w:space="0" w:color="auto"/>
          <w:left w:val="none" w:sz="0" w:space="0" w:color="auto"/>
          <w:bottom w:val="none" w:sz="0" w:space="0" w:color="auto"/>
          <w:right w:val="none" w:sz="0" w:space="0" w:color="auto"/>
        </w:pBdr>
        <w:shd w:val="clear" w:color="auto" w:fill="auto"/>
        <w:ind w:left="1134" w:hanging="425"/>
      </w:pPr>
      <w:r w:rsidRPr="00AF297A">
        <w:t>extent to which the NZU price impacts decisions, compared to other factors</w:t>
      </w:r>
    </w:p>
    <w:p w:rsidR="00CA21A4" w:rsidRPr="00AF297A" w:rsidRDefault="00CA21A4" w:rsidP="0067171B">
      <w:pPr>
        <w:pStyle w:val="Boxbullet"/>
        <w:numPr>
          <w:ilvl w:val="0"/>
          <w:numId w:val="38"/>
        </w:numPr>
        <w:pBdr>
          <w:top w:val="none" w:sz="0" w:space="0" w:color="auto"/>
          <w:left w:val="none" w:sz="0" w:space="0" w:color="auto"/>
          <w:bottom w:val="none" w:sz="0" w:space="0" w:color="auto"/>
          <w:right w:val="none" w:sz="0" w:space="0" w:color="auto"/>
        </w:pBdr>
        <w:shd w:val="clear" w:color="auto" w:fill="auto"/>
        <w:spacing w:after="240"/>
        <w:ind w:left="1134" w:hanging="425"/>
      </w:pPr>
      <w:r w:rsidRPr="00AF297A">
        <w:t>impacts of the current price</w:t>
      </w:r>
      <w:r>
        <w:t>,</w:t>
      </w:r>
      <w:r w:rsidRPr="00AF297A">
        <w:t xml:space="preserve"> and of your expectations for future prices.</w:t>
      </w:r>
    </w:p>
    <w:p w:rsidR="00CA21A4" w:rsidRPr="00AF297A" w:rsidRDefault="00CA21A4" w:rsidP="0067171B">
      <w:pPr>
        <w:pStyle w:val="Box"/>
        <w:numPr>
          <w:ilvl w:val="0"/>
          <w:numId w:val="35"/>
        </w:numPr>
        <w:pBdr>
          <w:top w:val="none" w:sz="0" w:space="0" w:color="auto"/>
          <w:left w:val="none" w:sz="0" w:space="0" w:color="auto"/>
          <w:bottom w:val="none" w:sz="0" w:space="0" w:color="auto"/>
          <w:right w:val="none" w:sz="0" w:space="0" w:color="auto"/>
        </w:pBdr>
        <w:shd w:val="clear" w:color="auto" w:fill="auto"/>
        <w:spacing w:after="240"/>
        <w:ind w:left="641" w:hanging="357"/>
      </w:pPr>
      <w:r w:rsidRPr="00AF297A">
        <w:t xml:space="preserve">Are there opportunities for the NZ ETS to increase incentives for forestry investments, outside of NZU price? </w:t>
      </w:r>
      <w:r w:rsidRPr="00784E7E">
        <w:rPr>
          <w:b/>
        </w:rPr>
        <w:t>Yes/No/Unsure</w:t>
      </w:r>
    </w:p>
    <w:p w:rsidR="00CA21A4" w:rsidRPr="00AF297A" w:rsidRDefault="00CA21A4" w:rsidP="0067171B">
      <w:pPr>
        <w:pStyle w:val="Box"/>
        <w:pBdr>
          <w:top w:val="none" w:sz="0" w:space="0" w:color="auto"/>
          <w:left w:val="none" w:sz="0" w:space="0" w:color="auto"/>
          <w:bottom w:val="none" w:sz="0" w:space="0" w:color="auto"/>
          <w:right w:val="none" w:sz="0" w:space="0" w:color="auto"/>
        </w:pBdr>
        <w:shd w:val="clear" w:color="auto" w:fill="auto"/>
      </w:pPr>
      <w:r>
        <w:t xml:space="preserve">15.  </w:t>
      </w:r>
      <w:r w:rsidRPr="00AF297A">
        <w:t xml:space="preserve">What are your reasons for the above answer? If you answered yes, we would be interested in </w:t>
      </w:r>
      <w:r>
        <w:t xml:space="preserve"> </w:t>
      </w:r>
      <w:r>
        <w:br/>
        <w:t xml:space="preserve">        </w:t>
      </w:r>
      <w:r w:rsidRPr="00AF297A">
        <w:t>comments on:</w:t>
      </w:r>
    </w:p>
    <w:p w:rsidR="00CA21A4" w:rsidRPr="00AF297A" w:rsidRDefault="00CA21A4" w:rsidP="0067171B">
      <w:pPr>
        <w:pStyle w:val="Boxbullet"/>
        <w:numPr>
          <w:ilvl w:val="0"/>
          <w:numId w:val="39"/>
        </w:numPr>
        <w:pBdr>
          <w:top w:val="none" w:sz="0" w:space="0" w:color="auto"/>
          <w:left w:val="none" w:sz="0" w:space="0" w:color="auto"/>
          <w:bottom w:val="none" w:sz="0" w:space="0" w:color="auto"/>
          <w:right w:val="none" w:sz="0" w:space="0" w:color="auto"/>
        </w:pBdr>
        <w:shd w:val="clear" w:color="auto" w:fill="auto"/>
        <w:ind w:left="1134" w:hanging="425"/>
      </w:pPr>
      <w:r w:rsidRPr="00AF297A">
        <w:t>any barriers to participating in the NZ ETS that could be reduced</w:t>
      </w:r>
    </w:p>
    <w:p w:rsidR="00CA21A4" w:rsidRDefault="00CA21A4" w:rsidP="0067171B">
      <w:pPr>
        <w:pStyle w:val="Boxbullet"/>
        <w:keepNext/>
        <w:numPr>
          <w:ilvl w:val="0"/>
          <w:numId w:val="39"/>
        </w:numPr>
        <w:pBdr>
          <w:top w:val="none" w:sz="0" w:space="0" w:color="auto"/>
          <w:left w:val="none" w:sz="0" w:space="0" w:color="auto"/>
          <w:bottom w:val="none" w:sz="0" w:space="0" w:color="auto"/>
          <w:right w:val="none" w:sz="0" w:space="0" w:color="auto"/>
        </w:pBdr>
        <w:shd w:val="clear" w:color="auto" w:fill="auto"/>
        <w:spacing w:after="120"/>
        <w:ind w:left="1134" w:hanging="425"/>
      </w:pPr>
      <w:r w:rsidRPr="00AF297A">
        <w:t xml:space="preserve">other factors. </w:t>
      </w:r>
    </w:p>
    <w:p w:rsidR="00CA21A4"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t>Other issues: managing unit supply – international units</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pPr>
      <w:r w:rsidRPr="00AF297A">
        <w:t>If international units are eligible for NZ ETS compliance in the 2020s, should any of the following restrictions be placed on their use?</w:t>
      </w:r>
    </w:p>
    <w:p w:rsidR="00CA21A4" w:rsidRPr="00AF297A" w:rsidRDefault="00CA21A4" w:rsidP="0067171B">
      <w:pPr>
        <w:pStyle w:val="Boxbullet"/>
        <w:numPr>
          <w:ilvl w:val="0"/>
          <w:numId w:val="40"/>
        </w:numPr>
        <w:pBdr>
          <w:top w:val="none" w:sz="0" w:space="0" w:color="auto"/>
          <w:left w:val="none" w:sz="0" w:space="0" w:color="auto"/>
          <w:bottom w:val="none" w:sz="0" w:space="0" w:color="auto"/>
          <w:right w:val="none" w:sz="0" w:space="0" w:color="auto"/>
        </w:pBdr>
        <w:shd w:val="clear" w:color="auto" w:fill="auto"/>
        <w:ind w:left="1134"/>
      </w:pPr>
      <w:r>
        <w:t>r</w:t>
      </w:r>
      <w:r w:rsidRPr="00AF297A">
        <w:t xml:space="preserve">estrictions on where units can be sourced from (location of and/or types of projects) </w:t>
      </w:r>
    </w:p>
    <w:p w:rsidR="00CA21A4" w:rsidRPr="00AF297A" w:rsidRDefault="00CA21A4" w:rsidP="0067171B">
      <w:pPr>
        <w:pStyle w:val="Boxbullet"/>
        <w:numPr>
          <w:ilvl w:val="0"/>
          <w:numId w:val="40"/>
        </w:numPr>
        <w:pBdr>
          <w:top w:val="none" w:sz="0" w:space="0" w:color="auto"/>
          <w:left w:val="none" w:sz="0" w:space="0" w:color="auto"/>
          <w:bottom w:val="none" w:sz="0" w:space="0" w:color="auto"/>
          <w:right w:val="none" w:sz="0" w:space="0" w:color="auto"/>
        </w:pBdr>
        <w:shd w:val="clear" w:color="auto" w:fill="auto"/>
        <w:ind w:left="1134"/>
      </w:pPr>
      <w:r>
        <w:t>r</w:t>
      </w:r>
      <w:r w:rsidRPr="00AF297A">
        <w:t>estrictions on how many units can be surrendered</w:t>
      </w:r>
    </w:p>
    <w:p w:rsidR="00CA21A4" w:rsidRDefault="00CA21A4" w:rsidP="0067171B">
      <w:pPr>
        <w:pStyle w:val="Boxbullet"/>
        <w:keepNext/>
        <w:numPr>
          <w:ilvl w:val="0"/>
          <w:numId w:val="40"/>
        </w:numPr>
        <w:pBdr>
          <w:top w:val="none" w:sz="0" w:space="0" w:color="auto"/>
          <w:left w:val="none" w:sz="0" w:space="0" w:color="auto"/>
          <w:bottom w:val="none" w:sz="0" w:space="0" w:color="auto"/>
          <w:right w:val="none" w:sz="0" w:space="0" w:color="auto"/>
        </w:pBdr>
        <w:shd w:val="clear" w:color="auto" w:fill="auto"/>
        <w:spacing w:after="120"/>
        <w:ind w:left="1134"/>
      </w:pPr>
      <w:r>
        <w:t>o</w:t>
      </w:r>
      <w:r w:rsidRPr="00AF297A">
        <w:t>thers</w:t>
      </w:r>
      <w:r>
        <w:t xml:space="preserve"> (p</w:t>
      </w:r>
      <w:r w:rsidRPr="00AF297A">
        <w:t>lease explain</w:t>
      </w:r>
      <w:r>
        <w:t>).</w:t>
      </w:r>
    </w:p>
    <w:p w:rsidR="00CA21A4"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t>Other issues: managing unit supply – auctioning</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pPr>
      <w:r w:rsidRPr="00AF297A">
        <w:t xml:space="preserve">Should auctioning be introduced in the NZ ETS? </w:t>
      </w:r>
      <w:r w:rsidRPr="00141E53">
        <w:rPr>
          <w:b/>
        </w:rPr>
        <w:t>Yes/No/Unsure</w:t>
      </w:r>
    </w:p>
    <w:p w:rsidR="00CA21A4" w:rsidRPr="00AF297A" w:rsidRDefault="00CA21A4" w:rsidP="0067171B">
      <w:pPr>
        <w:pStyle w:val="Box"/>
        <w:pBdr>
          <w:top w:val="none" w:sz="0" w:space="0" w:color="auto"/>
          <w:left w:val="none" w:sz="0" w:space="0" w:color="auto"/>
          <w:bottom w:val="none" w:sz="0" w:space="0" w:color="auto"/>
          <w:right w:val="none" w:sz="0" w:space="0" w:color="auto"/>
        </w:pBdr>
        <w:shd w:val="clear" w:color="auto" w:fill="auto"/>
        <w:spacing w:before="120"/>
        <w:ind w:left="533" w:firstLine="113"/>
      </w:pPr>
      <w:r w:rsidRPr="00AF297A">
        <w:t>If yes, when?</w:t>
      </w:r>
    </w:p>
    <w:p w:rsidR="00CA21A4" w:rsidRPr="00AF297A" w:rsidRDefault="00CA21A4" w:rsidP="0067171B">
      <w:pPr>
        <w:pStyle w:val="Boxbullet"/>
        <w:numPr>
          <w:ilvl w:val="0"/>
          <w:numId w:val="42"/>
        </w:numPr>
        <w:pBdr>
          <w:top w:val="none" w:sz="0" w:space="0" w:color="auto"/>
          <w:left w:val="none" w:sz="0" w:space="0" w:color="auto"/>
          <w:bottom w:val="none" w:sz="0" w:space="0" w:color="auto"/>
          <w:right w:val="none" w:sz="0" w:space="0" w:color="auto"/>
        </w:pBdr>
        <w:shd w:val="clear" w:color="auto" w:fill="auto"/>
        <w:ind w:left="1134"/>
      </w:pPr>
      <w:r>
        <w:t>i</w:t>
      </w:r>
      <w:r w:rsidRPr="00AF297A">
        <w:t xml:space="preserve">n the next </w:t>
      </w:r>
      <w:r>
        <w:t>two</w:t>
      </w:r>
      <w:r w:rsidRPr="00AF297A">
        <w:t xml:space="preserve"> to </w:t>
      </w:r>
      <w:r>
        <w:t>three</w:t>
      </w:r>
      <w:r w:rsidRPr="00AF297A">
        <w:t xml:space="preserve"> years </w:t>
      </w:r>
    </w:p>
    <w:p w:rsidR="00CA21A4" w:rsidRPr="00AF297A" w:rsidRDefault="00CA21A4" w:rsidP="0067171B">
      <w:pPr>
        <w:pStyle w:val="Boxbullet"/>
        <w:numPr>
          <w:ilvl w:val="0"/>
          <w:numId w:val="42"/>
        </w:numPr>
        <w:pBdr>
          <w:top w:val="none" w:sz="0" w:space="0" w:color="auto"/>
          <w:left w:val="none" w:sz="0" w:space="0" w:color="auto"/>
          <w:bottom w:val="none" w:sz="0" w:space="0" w:color="auto"/>
          <w:right w:val="none" w:sz="0" w:space="0" w:color="auto"/>
        </w:pBdr>
        <w:shd w:val="clear" w:color="auto" w:fill="auto"/>
        <w:ind w:left="1134"/>
      </w:pPr>
      <w:r>
        <w:t>w</w:t>
      </w:r>
      <w:r w:rsidRPr="00AF297A">
        <w:t xml:space="preserve">ithin </w:t>
      </w:r>
      <w:r>
        <w:t>five</w:t>
      </w:r>
      <w:r w:rsidRPr="00AF297A">
        <w:t xml:space="preserve"> years (before 2020) </w:t>
      </w:r>
    </w:p>
    <w:p w:rsidR="00CA21A4" w:rsidRPr="00AF297A" w:rsidRDefault="00CA21A4" w:rsidP="0067171B">
      <w:pPr>
        <w:pStyle w:val="Boxbullet"/>
        <w:numPr>
          <w:ilvl w:val="0"/>
          <w:numId w:val="42"/>
        </w:numPr>
        <w:pBdr>
          <w:top w:val="none" w:sz="0" w:space="0" w:color="auto"/>
          <w:left w:val="none" w:sz="0" w:space="0" w:color="auto"/>
          <w:bottom w:val="none" w:sz="0" w:space="0" w:color="auto"/>
          <w:right w:val="none" w:sz="0" w:space="0" w:color="auto"/>
        </w:pBdr>
        <w:shd w:val="clear" w:color="auto" w:fill="auto"/>
        <w:spacing w:after="240"/>
        <w:ind w:left="1134" w:hanging="357"/>
      </w:pPr>
      <w:r>
        <w:t>a</w:t>
      </w:r>
      <w:r w:rsidRPr="00AF297A">
        <w:t xml:space="preserve">fter </w:t>
      </w:r>
      <w:r>
        <w:t>five</w:t>
      </w:r>
      <w:r w:rsidRPr="00AF297A">
        <w:t xml:space="preserve"> years (</w:t>
      </w:r>
      <w:r>
        <w:t>post</w:t>
      </w:r>
      <w:r w:rsidRPr="00AF297A">
        <w:t xml:space="preserve"> 2020)</w:t>
      </w:r>
      <w:r>
        <w:t>.</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pPr>
      <w:r w:rsidRPr="00AF297A">
        <w:t>What should be the role or purpose of an auctioning function in the NZ ETS, if one were introduced?</w:t>
      </w:r>
    </w:p>
    <w:p w:rsidR="00CA21A4" w:rsidRPr="00AF297A" w:rsidRDefault="00CA21A4" w:rsidP="0067171B">
      <w:pPr>
        <w:pStyle w:val="Boxbullet"/>
        <w:numPr>
          <w:ilvl w:val="0"/>
          <w:numId w:val="43"/>
        </w:numPr>
        <w:pBdr>
          <w:top w:val="none" w:sz="0" w:space="0" w:color="auto"/>
          <w:left w:val="none" w:sz="0" w:space="0" w:color="auto"/>
          <w:bottom w:val="none" w:sz="0" w:space="0" w:color="auto"/>
          <w:right w:val="none" w:sz="0" w:space="0" w:color="auto"/>
        </w:pBdr>
        <w:shd w:val="clear" w:color="auto" w:fill="auto"/>
        <w:ind w:left="1134"/>
      </w:pPr>
      <w:r>
        <w:t>t</w:t>
      </w:r>
      <w:r w:rsidRPr="00AF297A">
        <w:t>o align supply in the NZ ETS more closely with our international target</w:t>
      </w:r>
    </w:p>
    <w:p w:rsidR="00CA21A4" w:rsidRPr="00AF297A" w:rsidRDefault="00CA21A4" w:rsidP="0067171B">
      <w:pPr>
        <w:pStyle w:val="Boxbullet"/>
        <w:numPr>
          <w:ilvl w:val="0"/>
          <w:numId w:val="43"/>
        </w:numPr>
        <w:pBdr>
          <w:top w:val="none" w:sz="0" w:space="0" w:color="auto"/>
          <w:left w:val="none" w:sz="0" w:space="0" w:color="auto"/>
          <w:bottom w:val="none" w:sz="0" w:space="0" w:color="auto"/>
          <w:right w:val="none" w:sz="0" w:space="0" w:color="auto"/>
        </w:pBdr>
        <w:shd w:val="clear" w:color="auto" w:fill="auto"/>
        <w:ind w:left="1134"/>
      </w:pPr>
      <w:r>
        <w:t>t</w:t>
      </w:r>
      <w:r w:rsidRPr="00AF297A">
        <w:t>o more actively manage NZU prices</w:t>
      </w:r>
    </w:p>
    <w:p w:rsidR="00CA21A4" w:rsidRPr="00AF297A" w:rsidRDefault="00CA21A4" w:rsidP="0067171B">
      <w:pPr>
        <w:pStyle w:val="Boxbullet"/>
        <w:numPr>
          <w:ilvl w:val="0"/>
          <w:numId w:val="43"/>
        </w:numPr>
        <w:pBdr>
          <w:top w:val="none" w:sz="0" w:space="0" w:color="auto"/>
          <w:left w:val="none" w:sz="0" w:space="0" w:color="auto"/>
          <w:bottom w:val="none" w:sz="0" w:space="0" w:color="auto"/>
          <w:right w:val="none" w:sz="0" w:space="0" w:color="auto"/>
        </w:pBdr>
        <w:shd w:val="clear" w:color="auto" w:fill="auto"/>
        <w:spacing w:after="240"/>
        <w:ind w:left="1134" w:hanging="357"/>
      </w:pPr>
      <w:r>
        <w:t>o</w:t>
      </w:r>
      <w:r w:rsidRPr="00AF297A">
        <w:t>ther</w:t>
      </w:r>
      <w:r>
        <w:t xml:space="preserve"> (p</w:t>
      </w:r>
      <w:r w:rsidRPr="00AF297A">
        <w:t>lease explain</w:t>
      </w:r>
      <w:r>
        <w:t>).</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pPr>
      <w:r w:rsidRPr="00AF297A">
        <w:t>How should auctioned NZUs relate to other sources of unit supply in the NZ ETS, especially NZUs generated through forestry removals and/or international units?</w:t>
      </w:r>
    </w:p>
    <w:p w:rsidR="00CA21A4" w:rsidRDefault="00191EF0"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rPr>
          <w:noProof/>
        </w:rPr>
        <w:lastRenderedPageBreak/>
        <w:pict w14:anchorId="6DD34664">
          <v:rect id="Rectangle 1" o:spid="_x0000_s1040" style="position:absolute;left:0;text-align:left;margin-left:10.65pt;margin-top:-2.75pt;width:401.6pt;height:483.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" fillcolor="#e5ebf7" strokecolor="#deeaf6"/>
        </w:pict>
      </w:r>
      <w:r w:rsidR="00CA21A4">
        <w:t>Other issues: managing price stability</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pPr>
      <w:r w:rsidRPr="00AF297A">
        <w:t>What impact has carbon price volatility in the NZ ETS had on your business?</w:t>
      </w:r>
    </w:p>
    <w:p w:rsidR="00CA21A4" w:rsidRPr="00AF297A" w:rsidRDefault="00CA21A4" w:rsidP="0067171B">
      <w:pPr>
        <w:pStyle w:val="Boxbullet"/>
        <w:numPr>
          <w:ilvl w:val="0"/>
          <w:numId w:val="44"/>
        </w:numPr>
        <w:pBdr>
          <w:top w:val="none" w:sz="0" w:space="0" w:color="auto"/>
          <w:left w:val="none" w:sz="0" w:space="0" w:color="auto"/>
          <w:bottom w:val="none" w:sz="0" w:space="0" w:color="auto"/>
          <w:right w:val="none" w:sz="0" w:space="0" w:color="auto"/>
        </w:pBdr>
        <w:shd w:val="clear" w:color="auto" w:fill="auto"/>
        <w:ind w:left="1134" w:hanging="425"/>
      </w:pPr>
      <w:r>
        <w:t>m</w:t>
      </w:r>
      <w:r w:rsidRPr="00AF297A">
        <w:t>inor</w:t>
      </w:r>
    </w:p>
    <w:p w:rsidR="00CA21A4" w:rsidRPr="00AF297A" w:rsidRDefault="00CA21A4" w:rsidP="0067171B">
      <w:pPr>
        <w:pStyle w:val="Boxbullet"/>
        <w:numPr>
          <w:ilvl w:val="0"/>
          <w:numId w:val="44"/>
        </w:numPr>
        <w:pBdr>
          <w:top w:val="none" w:sz="0" w:space="0" w:color="auto"/>
          <w:left w:val="none" w:sz="0" w:space="0" w:color="auto"/>
          <w:bottom w:val="none" w:sz="0" w:space="0" w:color="auto"/>
          <w:right w:val="none" w:sz="0" w:space="0" w:color="auto"/>
        </w:pBdr>
        <w:shd w:val="clear" w:color="auto" w:fill="auto"/>
        <w:ind w:left="1134" w:hanging="425"/>
      </w:pPr>
      <w:r>
        <w:t>m</w:t>
      </w:r>
      <w:r w:rsidRPr="00AF297A">
        <w:t>oderate</w:t>
      </w:r>
    </w:p>
    <w:p w:rsidR="00CA21A4" w:rsidRPr="00AF297A" w:rsidRDefault="00CA21A4" w:rsidP="0067171B">
      <w:pPr>
        <w:pStyle w:val="Boxbullet"/>
        <w:numPr>
          <w:ilvl w:val="0"/>
          <w:numId w:val="44"/>
        </w:numPr>
        <w:pBdr>
          <w:top w:val="none" w:sz="0" w:space="0" w:color="auto"/>
          <w:left w:val="none" w:sz="0" w:space="0" w:color="auto"/>
          <w:bottom w:val="none" w:sz="0" w:space="0" w:color="auto"/>
          <w:right w:val="none" w:sz="0" w:space="0" w:color="auto"/>
        </w:pBdr>
        <w:shd w:val="clear" w:color="auto" w:fill="auto"/>
        <w:ind w:left="1134" w:hanging="425"/>
      </w:pPr>
      <w:r>
        <w:t>s</w:t>
      </w:r>
      <w:r w:rsidRPr="00AF297A">
        <w:t>ignificant</w:t>
      </w:r>
      <w:r>
        <w:t>.</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spacing w:before="240" w:after="240"/>
        <w:ind w:left="641" w:hanging="357"/>
      </w:pPr>
      <w:r w:rsidRPr="00AF297A">
        <w:t xml:space="preserve">Do you think measures should be in place to manage price stability? </w:t>
      </w:r>
      <w:r w:rsidRPr="007731B9">
        <w:rPr>
          <w:b/>
        </w:rPr>
        <w:t>Yes/No/Unsure</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pPr>
      <w:r w:rsidRPr="00CF76B1">
        <w:t>What do you consider are important factors for managing price stability?</w:t>
      </w:r>
      <w:r w:rsidRPr="00AF297A">
        <w:t xml:space="preserve"> </w:t>
      </w:r>
    </w:p>
    <w:p w:rsidR="00CA21A4" w:rsidRPr="00AF297A" w:rsidRDefault="00CA21A4" w:rsidP="0067171B">
      <w:pPr>
        <w:pStyle w:val="Boxbullet"/>
        <w:numPr>
          <w:ilvl w:val="0"/>
          <w:numId w:val="45"/>
        </w:numPr>
        <w:pBdr>
          <w:top w:val="none" w:sz="0" w:space="0" w:color="auto"/>
          <w:left w:val="none" w:sz="0" w:space="0" w:color="auto"/>
          <w:bottom w:val="none" w:sz="0" w:space="0" w:color="auto"/>
          <w:right w:val="none" w:sz="0" w:space="0" w:color="auto"/>
        </w:pBdr>
        <w:shd w:val="clear" w:color="auto" w:fill="auto"/>
        <w:ind w:left="1134" w:hanging="425"/>
      </w:pPr>
      <w:r>
        <w:t>u</w:t>
      </w:r>
      <w:r w:rsidRPr="00AF297A">
        <w:t>pper price limits (eg</w:t>
      </w:r>
      <w:r>
        <w:t>,</w:t>
      </w:r>
      <w:r w:rsidRPr="00AF297A">
        <w:t xml:space="preserve"> fixed price option</w:t>
      </w:r>
      <w:r>
        <w:t>,</w:t>
      </w:r>
      <w:r w:rsidRPr="00AF297A">
        <w:t xml:space="preserve"> or a price ceiling implemented through an auctioning mechanism)</w:t>
      </w:r>
    </w:p>
    <w:p w:rsidR="00CA21A4" w:rsidRPr="00AF297A" w:rsidRDefault="00CA21A4" w:rsidP="0067171B">
      <w:pPr>
        <w:pStyle w:val="Boxbullet"/>
        <w:numPr>
          <w:ilvl w:val="0"/>
          <w:numId w:val="45"/>
        </w:numPr>
        <w:pBdr>
          <w:top w:val="none" w:sz="0" w:space="0" w:color="auto"/>
          <w:left w:val="none" w:sz="0" w:space="0" w:color="auto"/>
          <w:bottom w:val="none" w:sz="0" w:space="0" w:color="auto"/>
          <w:right w:val="none" w:sz="0" w:space="0" w:color="auto"/>
        </w:pBdr>
        <w:shd w:val="clear" w:color="auto" w:fill="auto"/>
        <w:ind w:left="1134" w:hanging="425"/>
      </w:pPr>
      <w:r>
        <w:t>l</w:t>
      </w:r>
      <w:r w:rsidRPr="00AF297A">
        <w:t>ower price limits (eg</w:t>
      </w:r>
      <w:r>
        <w:t>,</w:t>
      </w:r>
      <w:r w:rsidRPr="00AF297A">
        <w:t xml:space="preserve"> price floor)</w:t>
      </w:r>
    </w:p>
    <w:p w:rsidR="00CA21A4" w:rsidRPr="00AF297A" w:rsidRDefault="00CA21A4" w:rsidP="0067171B">
      <w:pPr>
        <w:pStyle w:val="Boxbullet"/>
        <w:numPr>
          <w:ilvl w:val="0"/>
          <w:numId w:val="45"/>
        </w:numPr>
        <w:pBdr>
          <w:top w:val="none" w:sz="0" w:space="0" w:color="auto"/>
          <w:left w:val="none" w:sz="0" w:space="0" w:color="auto"/>
          <w:bottom w:val="none" w:sz="0" w:space="0" w:color="auto"/>
          <w:right w:val="none" w:sz="0" w:space="0" w:color="auto"/>
        </w:pBdr>
        <w:shd w:val="clear" w:color="auto" w:fill="auto"/>
        <w:ind w:left="1134" w:hanging="425"/>
      </w:pPr>
      <w:r>
        <w:t>o</w:t>
      </w:r>
      <w:r w:rsidRPr="00AF297A">
        <w:t xml:space="preserve">ther </w:t>
      </w:r>
      <w:r>
        <w:t>(p</w:t>
      </w:r>
      <w:r w:rsidRPr="00AF297A">
        <w:t>lease explain</w:t>
      </w:r>
      <w:r>
        <w:t>).</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spacing w:before="240"/>
        <w:ind w:left="641" w:hanging="357"/>
      </w:pPr>
      <w:r w:rsidRPr="00AF297A">
        <w:t>What should the Government consider when managing price stability?</w:t>
      </w:r>
    </w:p>
    <w:p w:rsidR="00CA21A4"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t>Other issues: operational and technical matters</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spacing w:after="240"/>
        <w:ind w:left="641" w:hanging="357"/>
      </w:pPr>
      <w:r w:rsidRPr="00AF297A">
        <w:t xml:space="preserve">Are you aware of ways the administrative efficiency of the NZ ETS could be improved? </w:t>
      </w:r>
      <w:r w:rsidRPr="00F4148B">
        <w:rPr>
          <w:b/>
        </w:rPr>
        <w:t>Yes/No/Unsure</w:t>
      </w:r>
      <w:r w:rsidRPr="00AF297A">
        <w:t xml:space="preserve"> </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pPr>
      <w:r w:rsidRPr="00AF297A">
        <w:t xml:space="preserve">Can you provide further information to support your answer? We would be interested in comments on: </w:t>
      </w:r>
    </w:p>
    <w:p w:rsidR="00CA21A4" w:rsidRPr="00AF297A" w:rsidRDefault="00CA21A4" w:rsidP="0067171B">
      <w:pPr>
        <w:pStyle w:val="Boxbullet"/>
        <w:numPr>
          <w:ilvl w:val="0"/>
          <w:numId w:val="46"/>
        </w:numPr>
        <w:pBdr>
          <w:top w:val="none" w:sz="0" w:space="0" w:color="auto"/>
          <w:left w:val="none" w:sz="0" w:space="0" w:color="auto"/>
          <w:bottom w:val="none" w:sz="0" w:space="0" w:color="auto"/>
          <w:right w:val="none" w:sz="0" w:space="0" w:color="auto"/>
        </w:pBdr>
        <w:shd w:val="clear" w:color="auto" w:fill="auto"/>
        <w:ind w:left="1134" w:hanging="425"/>
      </w:pPr>
      <w:r w:rsidRPr="00AF297A">
        <w:t>complexities involved in NZ ETS participation</w:t>
      </w:r>
    </w:p>
    <w:p w:rsidR="00CA21A4" w:rsidRPr="00AF297A" w:rsidRDefault="00CA21A4" w:rsidP="0067171B">
      <w:pPr>
        <w:pStyle w:val="Boxbullet"/>
        <w:numPr>
          <w:ilvl w:val="0"/>
          <w:numId w:val="46"/>
        </w:numPr>
        <w:pBdr>
          <w:top w:val="none" w:sz="0" w:space="0" w:color="auto"/>
          <w:left w:val="none" w:sz="0" w:space="0" w:color="auto"/>
          <w:bottom w:val="none" w:sz="0" w:space="0" w:color="auto"/>
          <w:right w:val="none" w:sz="0" w:space="0" w:color="auto"/>
        </w:pBdr>
        <w:shd w:val="clear" w:color="auto" w:fill="auto"/>
        <w:ind w:left="1134" w:hanging="425"/>
      </w:pPr>
      <w:r w:rsidRPr="00AF297A">
        <w:t xml:space="preserve">penalties for breaching NZ ETS obligations </w:t>
      </w:r>
    </w:p>
    <w:p w:rsidR="00CA21A4" w:rsidRPr="00AF297A" w:rsidRDefault="00CA21A4" w:rsidP="0067171B">
      <w:pPr>
        <w:pStyle w:val="Boxbullet"/>
        <w:numPr>
          <w:ilvl w:val="0"/>
          <w:numId w:val="46"/>
        </w:numPr>
        <w:pBdr>
          <w:top w:val="none" w:sz="0" w:space="0" w:color="auto"/>
          <w:left w:val="none" w:sz="0" w:space="0" w:color="auto"/>
          <w:bottom w:val="none" w:sz="0" w:space="0" w:color="auto"/>
          <w:right w:val="none" w:sz="0" w:space="0" w:color="auto"/>
        </w:pBdr>
        <w:shd w:val="clear" w:color="auto" w:fill="auto"/>
        <w:ind w:left="1134" w:hanging="425"/>
      </w:pPr>
      <w:r w:rsidRPr="00AF297A">
        <w:t>any technical or operational changes that could be made to the NZ ETS to improve efficiency.</w:t>
      </w:r>
    </w:p>
    <w:p w:rsidR="00CA21A4" w:rsidRDefault="00CA21A4" w:rsidP="0067171B">
      <w:pPr>
        <w:pStyle w:val="Boxheading"/>
        <w:pBdr>
          <w:top w:val="none" w:sz="0" w:space="0" w:color="auto"/>
          <w:left w:val="none" w:sz="0" w:space="0" w:color="auto"/>
          <w:bottom w:val="none" w:sz="0" w:space="0" w:color="auto"/>
          <w:right w:val="none" w:sz="0" w:space="0" w:color="auto"/>
        </w:pBdr>
        <w:shd w:val="clear" w:color="auto" w:fill="auto"/>
        <w:spacing w:before="240" w:after="120"/>
      </w:pPr>
      <w:r>
        <w:t>Other issues: addressing barriers to the uptake of low emissions technologies</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spacing w:after="240"/>
        <w:ind w:left="641" w:hanging="357"/>
      </w:pPr>
      <w:r w:rsidRPr="00AF297A">
        <w:t xml:space="preserve">Are there any barriers or market failures that will prevent the efficient uptake of opportunities and technologies for reducing emissions? </w:t>
      </w:r>
    </w:p>
    <w:p w:rsidR="00CA21A4" w:rsidRPr="00AF297A" w:rsidRDefault="00CA21A4" w:rsidP="0067171B">
      <w:pPr>
        <w:pStyle w:val="Box"/>
        <w:numPr>
          <w:ilvl w:val="0"/>
          <w:numId w:val="41"/>
        </w:numPr>
        <w:pBdr>
          <w:top w:val="none" w:sz="0" w:space="0" w:color="auto"/>
          <w:left w:val="none" w:sz="0" w:space="0" w:color="auto"/>
          <w:bottom w:val="none" w:sz="0" w:space="0" w:color="auto"/>
          <w:right w:val="none" w:sz="0" w:space="0" w:color="auto"/>
        </w:pBdr>
        <w:shd w:val="clear" w:color="auto" w:fill="auto"/>
      </w:pPr>
      <w:r w:rsidRPr="00AF297A">
        <w:t xml:space="preserve">If so, is there a role for the Government in addressing these barriers or market failures and </w:t>
      </w:r>
      <w:r>
        <w:t>how</w:t>
      </w:r>
      <w:r w:rsidRPr="00AF297A">
        <w:t xml:space="preserve"> should it do this?</w:t>
      </w:r>
    </w:p>
    <w:p w:rsidR="00E146F0" w:rsidRPr="00AF297A" w:rsidRDefault="00C81C46" w:rsidP="0067171B">
      <w:pPr>
        <w:pStyle w:val="Heading1"/>
        <w:ind w:left="0" w:firstLine="0"/>
      </w:pPr>
      <w:r>
        <w:br w:type="page"/>
      </w:r>
      <w:bookmarkStart w:id="24" w:name="_Toc435798395"/>
      <w:r w:rsidR="00E146F0" w:rsidRPr="00AF297A">
        <w:lastRenderedPageBreak/>
        <w:t>Appendix 1: Terms of Reference – New Zealand Emissions Trading Scheme Review 2015</w:t>
      </w:r>
      <w:r w:rsidR="00003546">
        <w:t>/</w:t>
      </w:r>
      <w:r w:rsidR="00E146F0" w:rsidRPr="00AF297A">
        <w:t>16</w:t>
      </w:r>
      <w:bookmarkEnd w:id="24"/>
      <w:r w:rsidR="00E146F0" w:rsidRPr="00AF297A">
        <w:t xml:space="preserve"> </w:t>
      </w:r>
    </w:p>
    <w:p w:rsidR="00E146F0" w:rsidRPr="00AF297A" w:rsidRDefault="00E146F0" w:rsidP="0067171B">
      <w:pPr>
        <w:pStyle w:val="Heading3"/>
        <w:spacing w:after="120"/>
      </w:pPr>
      <w:r w:rsidRPr="00AF297A">
        <w:t>Context</w:t>
      </w:r>
    </w:p>
    <w:p w:rsidR="00FA2A96" w:rsidRPr="00AF297A" w:rsidRDefault="00FA2A96" w:rsidP="0067171B">
      <w:pPr>
        <w:pStyle w:val="Numberedparagraph"/>
        <w:numPr>
          <w:ilvl w:val="0"/>
          <w:numId w:val="16"/>
        </w:numPr>
      </w:pPr>
      <w:r w:rsidRPr="00AF297A">
        <w:t xml:space="preserve">The Climate Change Response Act 2002 (the Act) allows the Minister for Climate Change Issues (the Minister) to initiate a review of the </w:t>
      </w:r>
      <w:r w:rsidR="00F8327D">
        <w:t>New Zealand Emission Trading Scheme (</w:t>
      </w:r>
      <w:r w:rsidRPr="00AF297A">
        <w:t>NZ ETS</w:t>
      </w:r>
      <w:r w:rsidR="00F8327D">
        <w:t>)</w:t>
      </w:r>
      <w:r w:rsidRPr="00AF297A">
        <w:t>. In 2012 Cabinet agreed that the first discretionary review will occur in 2015. The Act requires the Minister to specify the terms of reference for the review.</w:t>
      </w:r>
    </w:p>
    <w:p w:rsidR="00FA2A96" w:rsidRPr="00AF297A" w:rsidRDefault="00FA2A96" w:rsidP="0067171B">
      <w:pPr>
        <w:pStyle w:val="Numberedparagraph"/>
      </w:pPr>
      <w:r w:rsidRPr="00AF297A">
        <w:t>The context for New Zealand</w:t>
      </w:r>
      <w:r w:rsidR="007B5588" w:rsidRPr="00AF297A">
        <w:t>’</w:t>
      </w:r>
      <w:r w:rsidRPr="00AF297A">
        <w:t>s climate policies is changing. Several key trading partners are taking, or have announced plans to take, increased domestic action on climate change. Countries are meeting in Paris in December 2015 to establish a new international climate change agreement, under which New Zealand will be required to meet an emissions reduction target set for the period 2021-2030. New Zealand has committed to an emissions reduction target that is more stringent than past obligations. As New Zealand</w:t>
      </w:r>
      <w:r w:rsidR="007B5588" w:rsidRPr="00AF297A">
        <w:t>’</w:t>
      </w:r>
      <w:r w:rsidRPr="00AF297A">
        <w:t xml:space="preserve">s main policy tool for reducing emissions, the NZ ETS will play a key part in achieving this new target. </w:t>
      </w:r>
    </w:p>
    <w:p w:rsidR="00FA2A96" w:rsidRPr="00AF297A" w:rsidRDefault="00FA2A96" w:rsidP="0067171B">
      <w:pPr>
        <w:pStyle w:val="Numberedparagraph"/>
      </w:pPr>
      <w:r w:rsidRPr="00AF297A">
        <w:t>Alongside this, the Government</w:t>
      </w:r>
      <w:r w:rsidR="007B5588" w:rsidRPr="00AF297A">
        <w:t>’</w:t>
      </w:r>
      <w:r w:rsidRPr="00AF297A">
        <w:t>s Business Growth Agenda includes a commitment to improve over the next 12 months energy efficiency and use of renewable energy to raise productivity, reduce carbon emissions and promote consumer choice.</w:t>
      </w:r>
    </w:p>
    <w:p w:rsidR="00FA2A96" w:rsidRPr="00AF297A" w:rsidRDefault="00FA2A96" w:rsidP="0067171B">
      <w:pPr>
        <w:pStyle w:val="Numberedparagraph"/>
      </w:pPr>
      <w:r w:rsidRPr="00AF297A">
        <w:t xml:space="preserve">The review provides an opportunity to engage with and seek comment from the public and stakeholders to assess the performance of the NZ ETS, and consider steps necessary to ensure the scheme is fit-for-purpose. For the review to be successful, the review process will need to be robust, transparent and credible. </w:t>
      </w:r>
    </w:p>
    <w:p w:rsidR="00FA2A96" w:rsidRPr="00AF297A" w:rsidRDefault="00FA2A96" w:rsidP="0067171B">
      <w:pPr>
        <w:pStyle w:val="Heading3"/>
      </w:pPr>
      <w:r w:rsidRPr="00AF297A">
        <w:t>Objective of review</w:t>
      </w:r>
    </w:p>
    <w:p w:rsidR="00FA2A96" w:rsidRPr="00AF297A" w:rsidRDefault="00FA2A96" w:rsidP="0067171B">
      <w:pPr>
        <w:pStyle w:val="Numberedparagraph"/>
        <w:spacing w:before="120"/>
      </w:pPr>
      <w:r w:rsidRPr="00AF297A">
        <w:t xml:space="preserve">The review will assess the operation and effectiveness of the NZ ETS to 2020 and beyond to: </w:t>
      </w:r>
    </w:p>
    <w:p w:rsidR="00FA2A96" w:rsidRPr="00AF297A" w:rsidRDefault="00F8327D" w:rsidP="0067171B">
      <w:pPr>
        <w:pStyle w:val="Sub-lista"/>
        <w:numPr>
          <w:ilvl w:val="0"/>
          <w:numId w:val="17"/>
        </w:numPr>
      </w:pPr>
      <w:r>
        <w:t>e</w:t>
      </w:r>
      <w:r w:rsidR="00FA2A96" w:rsidRPr="00AF297A">
        <w:t xml:space="preserve">nsure that the NZ ETS helps New Zealand to meet its international obligations cost effectively in the 2020s </w:t>
      </w:r>
    </w:p>
    <w:p w:rsidR="00FA2A96" w:rsidRPr="00AF297A" w:rsidRDefault="00F8327D" w:rsidP="0067171B">
      <w:pPr>
        <w:pStyle w:val="Sub-lista"/>
        <w:numPr>
          <w:ilvl w:val="0"/>
          <w:numId w:val="17"/>
        </w:numPr>
      </w:pPr>
      <w:r>
        <w:t>e</w:t>
      </w:r>
      <w:r w:rsidR="00FA2A96" w:rsidRPr="00AF297A">
        <w:t>nsure the New Zealand economy is well-prepared in the context of a strengthening international response to climate change and potentially higher carbon prices in the 2020s</w:t>
      </w:r>
    </w:p>
    <w:p w:rsidR="00FA2A96" w:rsidRPr="00AF297A" w:rsidRDefault="00F8327D" w:rsidP="0067171B">
      <w:pPr>
        <w:pStyle w:val="Sub-lista"/>
        <w:numPr>
          <w:ilvl w:val="0"/>
          <w:numId w:val="17"/>
        </w:numPr>
      </w:pPr>
      <w:r>
        <w:t>a</w:t>
      </w:r>
      <w:r w:rsidR="00FA2A96" w:rsidRPr="00AF297A">
        <w:t>llow the NZ ETS to evolve with changing circumstances, particularly with respect to the framework provided by the new climate agreement that will apply after 2020.</w:t>
      </w:r>
    </w:p>
    <w:p w:rsidR="00FA2A96" w:rsidRPr="00AF297A" w:rsidRDefault="00FA2A96" w:rsidP="0067171B">
      <w:pPr>
        <w:pStyle w:val="Heading3"/>
        <w:rPr>
          <w:rStyle w:val="IntenseEmphasis"/>
          <w:b/>
          <w:bCs/>
          <w:i w:val="0"/>
          <w:iCs w:val="0"/>
          <w:color w:val="387C2B"/>
        </w:rPr>
      </w:pPr>
      <w:r w:rsidRPr="00AF297A">
        <w:rPr>
          <w:rStyle w:val="IntenseEmphasis"/>
          <w:b/>
          <w:bCs/>
          <w:i w:val="0"/>
          <w:iCs w:val="0"/>
          <w:color w:val="387C2B"/>
        </w:rPr>
        <w:t xml:space="preserve">Scope </w:t>
      </w:r>
    </w:p>
    <w:p w:rsidR="00FA2A96" w:rsidRPr="00AF297A" w:rsidRDefault="00FA2A96"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The review will focus on the operation and design of the NZ ETS, giving particular attention to the following issues:</w:t>
      </w:r>
    </w:p>
    <w:p w:rsidR="00FA2A96" w:rsidRPr="00AF297A" w:rsidRDefault="00FA2A96" w:rsidP="0067171B">
      <w:pPr>
        <w:pStyle w:val="Sub-lista"/>
        <w:rPr>
          <w:rStyle w:val="IntenseEmphasis"/>
          <w:b w:val="0"/>
          <w:bCs w:val="0"/>
          <w:i w:val="0"/>
          <w:iCs w:val="0"/>
          <w:color w:val="auto"/>
        </w:rPr>
      </w:pPr>
      <w:r w:rsidRPr="00AF297A">
        <w:rPr>
          <w:rStyle w:val="IntenseEmphasis"/>
          <w:b w:val="0"/>
          <w:bCs w:val="0"/>
          <w:i w:val="0"/>
          <w:iCs w:val="0"/>
          <w:color w:val="auto"/>
        </w:rPr>
        <w:t xml:space="preserve">Transitional arrangements: </w:t>
      </w:r>
    </w:p>
    <w:p w:rsidR="00FA2A96" w:rsidRPr="00AF297A" w:rsidRDefault="00FA2A96" w:rsidP="0067171B">
      <w:pPr>
        <w:pStyle w:val="Sub-listi"/>
        <w:rPr>
          <w:rStyle w:val="IntenseEmphasis"/>
          <w:b w:val="0"/>
          <w:bCs w:val="0"/>
          <w:i w:val="0"/>
          <w:iCs w:val="0"/>
          <w:color w:val="auto"/>
        </w:rPr>
      </w:pPr>
      <w:r w:rsidRPr="00AF297A">
        <w:rPr>
          <w:rStyle w:val="IntenseEmphasis"/>
          <w:b w:val="0"/>
          <w:bCs w:val="0"/>
          <w:i w:val="0"/>
          <w:iCs w:val="0"/>
          <w:color w:val="auto"/>
        </w:rPr>
        <w:lastRenderedPageBreak/>
        <w:t xml:space="preserve">Whether to maintain or adjust the </w:t>
      </w:r>
      <w:r w:rsidR="007B5588" w:rsidRPr="00AF297A">
        <w:rPr>
          <w:rStyle w:val="IntenseEmphasis"/>
          <w:b w:val="0"/>
          <w:bCs w:val="0"/>
          <w:i w:val="0"/>
          <w:iCs w:val="0"/>
          <w:color w:val="auto"/>
        </w:rPr>
        <w:t>‘</w:t>
      </w:r>
      <w:r w:rsidR="00680AC0">
        <w:rPr>
          <w:rStyle w:val="IntenseEmphasis"/>
          <w:b w:val="0"/>
          <w:bCs w:val="0"/>
          <w:i w:val="0"/>
          <w:iCs w:val="0"/>
          <w:color w:val="auto"/>
        </w:rPr>
        <w:t>one-for-</w:t>
      </w:r>
      <w:r w:rsidRPr="00AF297A">
        <w:rPr>
          <w:rStyle w:val="IntenseEmphasis"/>
          <w:b w:val="0"/>
          <w:bCs w:val="0"/>
          <w:i w:val="0"/>
          <w:iCs w:val="0"/>
          <w:color w:val="auto"/>
        </w:rPr>
        <w:t>two</w:t>
      </w:r>
      <w:r w:rsidR="007B5588" w:rsidRPr="00AF297A">
        <w:rPr>
          <w:rStyle w:val="IntenseEmphasis"/>
          <w:b w:val="0"/>
          <w:bCs w:val="0"/>
          <w:i w:val="0"/>
          <w:iCs w:val="0"/>
          <w:color w:val="auto"/>
        </w:rPr>
        <w:t>’</w:t>
      </w:r>
      <w:r w:rsidRPr="00AF297A">
        <w:rPr>
          <w:rStyle w:val="IntenseEmphasis"/>
          <w:b w:val="0"/>
          <w:bCs w:val="0"/>
          <w:i w:val="0"/>
          <w:iCs w:val="0"/>
          <w:color w:val="auto"/>
        </w:rPr>
        <w:t xml:space="preserve"> surrender obligation.</w:t>
      </w:r>
      <w:r w:rsidR="00432E6B" w:rsidRPr="00AF297A">
        <w:rPr>
          <w:rStyle w:val="FootnoteReference"/>
        </w:rPr>
        <w:footnoteReference w:id="14"/>
      </w:r>
    </w:p>
    <w:p w:rsidR="00FA2A96" w:rsidRPr="00AF297A" w:rsidRDefault="00FA2A96" w:rsidP="0067171B">
      <w:pPr>
        <w:pStyle w:val="Sub-listi"/>
        <w:rPr>
          <w:rStyle w:val="IntenseEmphasis"/>
          <w:b w:val="0"/>
          <w:bCs w:val="0"/>
          <w:i w:val="0"/>
          <w:iCs w:val="0"/>
          <w:color w:val="auto"/>
        </w:rPr>
      </w:pPr>
      <w:r w:rsidRPr="00AF297A">
        <w:rPr>
          <w:rStyle w:val="IntenseEmphasis"/>
          <w:b w:val="0"/>
          <w:bCs w:val="0"/>
          <w:i w:val="0"/>
          <w:iCs w:val="0"/>
          <w:color w:val="auto"/>
        </w:rPr>
        <w:t>Whether to maintain or adjust the $25 fixed price option.</w:t>
      </w:r>
    </w:p>
    <w:p w:rsidR="00FA2A96" w:rsidRPr="00AF297A" w:rsidRDefault="00FA2A96" w:rsidP="0067171B">
      <w:pPr>
        <w:pStyle w:val="Sub-listi"/>
        <w:rPr>
          <w:rStyle w:val="IntenseEmphasis"/>
          <w:b w:val="0"/>
          <w:bCs w:val="0"/>
          <w:i w:val="0"/>
          <w:iCs w:val="0"/>
          <w:color w:val="auto"/>
        </w:rPr>
      </w:pPr>
      <w:r w:rsidRPr="00AF297A">
        <w:rPr>
          <w:rStyle w:val="IntenseEmphasis"/>
          <w:b w:val="0"/>
          <w:bCs w:val="0"/>
          <w:i w:val="0"/>
          <w:iCs w:val="0"/>
          <w:color w:val="auto"/>
        </w:rPr>
        <w:t>Conditions and timeframes for the continuation of free allocation of NZUs to emissions intensive and trade exposed activities.</w:t>
      </w:r>
    </w:p>
    <w:p w:rsidR="00FA2A96" w:rsidRPr="00AF297A" w:rsidRDefault="00FA2A96" w:rsidP="0067171B">
      <w:pPr>
        <w:pStyle w:val="Sub-lista"/>
        <w:spacing w:before="120"/>
        <w:rPr>
          <w:rStyle w:val="IntenseEmphasis"/>
          <w:b w:val="0"/>
          <w:bCs w:val="0"/>
          <w:i w:val="0"/>
          <w:iCs w:val="0"/>
          <w:color w:val="auto"/>
        </w:rPr>
      </w:pPr>
      <w:r w:rsidRPr="00AF297A">
        <w:rPr>
          <w:rStyle w:val="IntenseEmphasis"/>
          <w:b w:val="0"/>
          <w:bCs w:val="0"/>
          <w:i w:val="0"/>
          <w:iCs w:val="0"/>
          <w:color w:val="auto"/>
        </w:rPr>
        <w:t>Evolution of the NZ ETS:</w:t>
      </w:r>
    </w:p>
    <w:p w:rsidR="00FA2A96" w:rsidRPr="00AF297A" w:rsidRDefault="00FA2A96" w:rsidP="0067171B">
      <w:pPr>
        <w:pStyle w:val="Sub-listi"/>
        <w:numPr>
          <w:ilvl w:val="0"/>
          <w:numId w:val="18"/>
        </w:numPr>
        <w:rPr>
          <w:rStyle w:val="IntenseEmphasis"/>
          <w:b w:val="0"/>
          <w:bCs w:val="0"/>
          <w:i w:val="0"/>
          <w:iCs w:val="0"/>
          <w:color w:val="auto"/>
        </w:rPr>
      </w:pPr>
      <w:r w:rsidRPr="00AF297A">
        <w:rPr>
          <w:rStyle w:val="IntenseEmphasis"/>
          <w:b w:val="0"/>
          <w:bCs w:val="0"/>
          <w:i w:val="0"/>
          <w:iCs w:val="0"/>
          <w:color w:val="auto"/>
        </w:rPr>
        <w:t>Whether and how the supply of units should be managed up to and beyond 2020, including the role of forestry, auctioned and international units, as well as consideration of price stability mechanisms such as price ceilings or floors.</w:t>
      </w:r>
      <w:r w:rsidR="007B5588" w:rsidRPr="00AF297A">
        <w:rPr>
          <w:rStyle w:val="IntenseEmphasis"/>
          <w:b w:val="0"/>
          <w:bCs w:val="0"/>
          <w:i w:val="0"/>
          <w:iCs w:val="0"/>
          <w:color w:val="auto"/>
        </w:rPr>
        <w:t xml:space="preserve"> </w:t>
      </w:r>
    </w:p>
    <w:p w:rsidR="00FA2A96" w:rsidRPr="00AF297A" w:rsidRDefault="00FA2A96" w:rsidP="0067171B">
      <w:pPr>
        <w:pStyle w:val="Sub-listi"/>
        <w:rPr>
          <w:rStyle w:val="IntenseEmphasis"/>
          <w:b w:val="0"/>
          <w:bCs w:val="0"/>
          <w:i w:val="0"/>
          <w:iCs w:val="0"/>
          <w:color w:val="auto"/>
        </w:rPr>
      </w:pPr>
      <w:r w:rsidRPr="00AF297A">
        <w:rPr>
          <w:rStyle w:val="IntenseEmphasis"/>
          <w:b w:val="0"/>
          <w:bCs w:val="0"/>
          <w:i w:val="0"/>
          <w:iCs w:val="0"/>
          <w:color w:val="auto"/>
        </w:rPr>
        <w:t>How the NZ ETS should adjust to the changing international framework and operating environment, including with respect to accounting approaches and international carbon markets.</w:t>
      </w:r>
      <w:r w:rsidR="007B5588" w:rsidRPr="00AF297A">
        <w:rPr>
          <w:rStyle w:val="IntenseEmphasis"/>
          <w:b w:val="0"/>
          <w:bCs w:val="0"/>
          <w:i w:val="0"/>
          <w:iCs w:val="0"/>
          <w:color w:val="auto"/>
        </w:rPr>
        <w:t xml:space="preserve"> </w:t>
      </w:r>
    </w:p>
    <w:p w:rsidR="00FA2A96" w:rsidRPr="00AF297A" w:rsidRDefault="00FA2A96" w:rsidP="0067171B">
      <w:pPr>
        <w:pStyle w:val="Sub-lista"/>
        <w:spacing w:before="120"/>
        <w:rPr>
          <w:rStyle w:val="IntenseEmphasis"/>
          <w:b w:val="0"/>
          <w:bCs w:val="0"/>
          <w:i w:val="0"/>
          <w:iCs w:val="0"/>
          <w:color w:val="auto"/>
        </w:rPr>
      </w:pPr>
      <w:r w:rsidRPr="00AF297A">
        <w:rPr>
          <w:rStyle w:val="IntenseEmphasis"/>
          <w:b w:val="0"/>
          <w:bCs w:val="0"/>
          <w:i w:val="0"/>
          <w:iCs w:val="0"/>
          <w:color w:val="auto"/>
        </w:rPr>
        <w:t>Operational and technical changes to improve NZ ETS effectiveness.</w:t>
      </w:r>
    </w:p>
    <w:p w:rsidR="00FA2A96" w:rsidRPr="00AF297A" w:rsidRDefault="00FA2A96"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The review may identify issues or opportunities that would support emissions reductions in sectors where the impact of the NZ ETS is limited.</w:t>
      </w:r>
      <w:r w:rsidR="007B5588" w:rsidRPr="00AF297A">
        <w:rPr>
          <w:rStyle w:val="IntenseEmphasis"/>
          <w:b w:val="0"/>
          <w:bCs w:val="0"/>
          <w:i w:val="0"/>
          <w:iCs w:val="0"/>
          <w:color w:val="auto"/>
        </w:rPr>
        <w:t xml:space="preserve"> </w:t>
      </w:r>
      <w:r w:rsidRPr="00AF297A">
        <w:rPr>
          <w:rStyle w:val="IntenseEmphasis"/>
          <w:b w:val="0"/>
          <w:bCs w:val="0"/>
          <w:i w:val="0"/>
          <w:iCs w:val="0"/>
          <w:color w:val="auto"/>
        </w:rPr>
        <w:t>In these cases, the review may highlight other policy measures or solutions that could support the climate change mitigation potential of the NZ ETS.</w:t>
      </w:r>
      <w:r w:rsidR="007B5588" w:rsidRPr="00AF297A">
        <w:rPr>
          <w:rStyle w:val="IntenseEmphasis"/>
          <w:b w:val="0"/>
          <w:bCs w:val="0"/>
          <w:i w:val="0"/>
          <w:iCs w:val="0"/>
          <w:color w:val="auto"/>
        </w:rPr>
        <w:t xml:space="preserve"> </w:t>
      </w:r>
      <w:r w:rsidRPr="00AF297A">
        <w:rPr>
          <w:rStyle w:val="IntenseEmphasis"/>
          <w:b w:val="0"/>
          <w:bCs w:val="0"/>
          <w:i w:val="0"/>
          <w:iCs w:val="0"/>
          <w:color w:val="auto"/>
        </w:rPr>
        <w:t>These measures may need to be progressed through other processes.</w:t>
      </w:r>
      <w:r w:rsidR="007B5588" w:rsidRPr="00AF297A">
        <w:rPr>
          <w:rStyle w:val="IntenseEmphasis"/>
          <w:b w:val="0"/>
          <w:bCs w:val="0"/>
          <w:i w:val="0"/>
          <w:iCs w:val="0"/>
          <w:color w:val="auto"/>
        </w:rPr>
        <w:t xml:space="preserve"> </w:t>
      </w:r>
    </w:p>
    <w:p w:rsidR="00FA2A96" w:rsidRPr="00AF297A" w:rsidRDefault="00FA2A96"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The review will not focus on:</w:t>
      </w:r>
    </w:p>
    <w:p w:rsidR="00FA2A96" w:rsidRPr="00AF297A" w:rsidRDefault="00FA2A96" w:rsidP="0067171B">
      <w:pPr>
        <w:pStyle w:val="Sub-lista"/>
        <w:numPr>
          <w:ilvl w:val="0"/>
          <w:numId w:val="19"/>
        </w:numPr>
        <w:rPr>
          <w:rStyle w:val="IntenseEmphasis"/>
          <w:b w:val="0"/>
          <w:bCs w:val="0"/>
          <w:i w:val="0"/>
          <w:iCs w:val="0"/>
          <w:color w:val="auto"/>
        </w:rPr>
      </w:pPr>
      <w:r w:rsidRPr="00AF297A">
        <w:rPr>
          <w:rStyle w:val="IntenseEmphasis"/>
          <w:b w:val="0"/>
          <w:bCs w:val="0"/>
          <w:i w:val="0"/>
          <w:iCs w:val="0"/>
          <w:color w:val="auto"/>
        </w:rPr>
        <w:t>whether an emissions trading scheme is the most appropriate response to climate change for New Zealand</w:t>
      </w:r>
    </w:p>
    <w:p w:rsidR="00FA2A96" w:rsidRPr="00AF297A" w:rsidRDefault="00FA2A96" w:rsidP="0067171B">
      <w:pPr>
        <w:pStyle w:val="Sub-lista"/>
        <w:rPr>
          <w:rStyle w:val="IntenseEmphasis"/>
          <w:b w:val="0"/>
          <w:bCs w:val="0"/>
          <w:i w:val="0"/>
          <w:iCs w:val="0"/>
          <w:color w:val="auto"/>
        </w:rPr>
      </w:pPr>
      <w:r w:rsidRPr="00AF297A">
        <w:rPr>
          <w:rStyle w:val="IntenseEmphasis"/>
          <w:b w:val="0"/>
          <w:bCs w:val="0"/>
          <w:i w:val="0"/>
          <w:iCs w:val="0"/>
          <w:color w:val="auto"/>
        </w:rPr>
        <w:t>whether New Zealand should be taking action on climate change.</w:t>
      </w:r>
    </w:p>
    <w:p w:rsidR="00FA2A96" w:rsidRPr="00AF297A" w:rsidRDefault="00FA2A96"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While there has been progress, the Government</w:t>
      </w:r>
      <w:r w:rsidR="007B5588" w:rsidRPr="00AF297A">
        <w:rPr>
          <w:rStyle w:val="IntenseEmphasis"/>
          <w:b w:val="0"/>
          <w:bCs w:val="0"/>
          <w:i w:val="0"/>
          <w:iCs w:val="0"/>
          <w:color w:val="auto"/>
        </w:rPr>
        <w:t>’</w:t>
      </w:r>
      <w:r w:rsidRPr="00AF297A">
        <w:rPr>
          <w:rStyle w:val="IntenseEmphasis"/>
          <w:b w:val="0"/>
          <w:bCs w:val="0"/>
          <w:i w:val="0"/>
          <w:iCs w:val="0"/>
          <w:color w:val="auto"/>
        </w:rPr>
        <w:t>s two conditions</w:t>
      </w:r>
      <w:r w:rsidR="00432E6B" w:rsidRPr="00AF297A">
        <w:rPr>
          <w:rStyle w:val="FootnoteReference"/>
        </w:rPr>
        <w:footnoteReference w:id="15"/>
      </w:r>
      <w:r w:rsidR="007B5588" w:rsidRPr="00AF297A">
        <w:rPr>
          <w:rStyle w:val="IntenseEmphasis"/>
          <w:b w:val="0"/>
          <w:bCs w:val="0"/>
          <w:i w:val="0"/>
          <w:iCs w:val="0"/>
          <w:color w:val="auto"/>
        </w:rPr>
        <w:t xml:space="preserve"> </w:t>
      </w:r>
      <w:r w:rsidRPr="00AF297A">
        <w:rPr>
          <w:rStyle w:val="IntenseEmphasis"/>
          <w:b w:val="0"/>
          <w:bCs w:val="0"/>
          <w:i w:val="0"/>
          <w:iCs w:val="0"/>
          <w:color w:val="auto"/>
        </w:rPr>
        <w:t>for the inclusion of surrender obligations for biological emission from agriculture have not yet been met. Therefore this issue will not be considered as part of this review of the NZ ETS. The Government continues to explore ways to enable and incentivise the agricultural sector to reduce its emissions, including by researching and developing new mitigation technologies.</w:t>
      </w:r>
    </w:p>
    <w:p w:rsidR="006B7C18" w:rsidRPr="00AF297A" w:rsidRDefault="006B7C18" w:rsidP="0067171B">
      <w:pPr>
        <w:pStyle w:val="Heading3"/>
        <w:rPr>
          <w:rStyle w:val="IntenseEmphasis"/>
          <w:b/>
          <w:bCs/>
          <w:i w:val="0"/>
          <w:iCs w:val="0"/>
          <w:color w:val="387C2B"/>
        </w:rPr>
      </w:pPr>
      <w:r w:rsidRPr="00AF297A">
        <w:rPr>
          <w:rStyle w:val="IntenseEmphasis"/>
          <w:b/>
          <w:bCs/>
          <w:i w:val="0"/>
          <w:iCs w:val="0"/>
          <w:color w:val="387C2B"/>
        </w:rPr>
        <w:t>Factors to be considered</w:t>
      </w:r>
    </w:p>
    <w:p w:rsidR="006B7C18" w:rsidRPr="00AF297A" w:rsidRDefault="006B7C18"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In assessing the NZ ETS,</w:t>
      </w:r>
      <w:r w:rsidR="007B5588" w:rsidRPr="00AF297A">
        <w:rPr>
          <w:rStyle w:val="IntenseEmphasis"/>
          <w:b w:val="0"/>
          <w:bCs w:val="0"/>
          <w:i w:val="0"/>
          <w:iCs w:val="0"/>
          <w:color w:val="auto"/>
        </w:rPr>
        <w:t xml:space="preserve"> </w:t>
      </w:r>
      <w:r w:rsidRPr="00AF297A">
        <w:rPr>
          <w:rStyle w:val="IntenseEmphasis"/>
          <w:b w:val="0"/>
          <w:bCs w:val="0"/>
          <w:i w:val="0"/>
          <w:iCs w:val="0"/>
          <w:color w:val="auto"/>
        </w:rPr>
        <w:t>the review will take into account the need to balance trade-offs associated with the following factors:</w:t>
      </w:r>
    </w:p>
    <w:p w:rsidR="006B7C18" w:rsidRPr="00AF297A" w:rsidRDefault="006B7C18" w:rsidP="0067171B">
      <w:pPr>
        <w:pStyle w:val="Sub-lista"/>
        <w:numPr>
          <w:ilvl w:val="0"/>
          <w:numId w:val="20"/>
        </w:numPr>
        <w:rPr>
          <w:rStyle w:val="IntenseEmphasis"/>
          <w:b w:val="0"/>
          <w:bCs w:val="0"/>
          <w:i w:val="0"/>
          <w:iCs w:val="0"/>
          <w:color w:val="auto"/>
        </w:rPr>
      </w:pPr>
      <w:r w:rsidRPr="00AF297A">
        <w:rPr>
          <w:rStyle w:val="IntenseEmphasis"/>
          <w:b w:val="0"/>
          <w:bCs w:val="0"/>
          <w:i w:val="0"/>
          <w:iCs w:val="0"/>
          <w:color w:val="auto"/>
        </w:rPr>
        <w:t>achieving legislated objectives, while managing costs including competitiveness and fiscal risks</w:t>
      </w:r>
    </w:p>
    <w:p w:rsidR="006B7C18" w:rsidRPr="00AF297A" w:rsidRDefault="006B7C18" w:rsidP="0067171B">
      <w:pPr>
        <w:pStyle w:val="Sub-lista"/>
        <w:rPr>
          <w:rStyle w:val="IntenseEmphasis"/>
          <w:b w:val="0"/>
          <w:bCs w:val="0"/>
          <w:i w:val="0"/>
          <w:iCs w:val="0"/>
          <w:color w:val="auto"/>
        </w:rPr>
      </w:pPr>
      <w:r w:rsidRPr="00AF297A">
        <w:rPr>
          <w:rStyle w:val="IntenseEmphasis"/>
          <w:b w:val="0"/>
          <w:bCs w:val="0"/>
          <w:i w:val="0"/>
          <w:iCs w:val="0"/>
          <w:color w:val="auto"/>
        </w:rPr>
        <w:lastRenderedPageBreak/>
        <w:t>ensuring the NZ ETS drives real emissions reductions domestically and/or internationally</w:t>
      </w:r>
    </w:p>
    <w:p w:rsidR="006B7C18" w:rsidRPr="00AF297A" w:rsidRDefault="006B7C18" w:rsidP="0067171B">
      <w:pPr>
        <w:pStyle w:val="Sub-lista"/>
        <w:rPr>
          <w:rStyle w:val="IntenseEmphasis"/>
          <w:b w:val="0"/>
          <w:bCs w:val="0"/>
          <w:i w:val="0"/>
          <w:iCs w:val="0"/>
          <w:color w:val="auto"/>
        </w:rPr>
      </w:pPr>
      <w:r w:rsidRPr="00AF297A">
        <w:rPr>
          <w:rStyle w:val="IntenseEmphasis"/>
          <w:b w:val="0"/>
          <w:bCs w:val="0"/>
          <w:i w:val="0"/>
          <w:iCs w:val="0"/>
          <w:color w:val="auto"/>
        </w:rPr>
        <w:t>the long-term risks and opportunities for New Zealand</w:t>
      </w:r>
      <w:r w:rsidR="007B5588" w:rsidRPr="00AF297A">
        <w:rPr>
          <w:rStyle w:val="IntenseEmphasis"/>
          <w:b w:val="0"/>
          <w:bCs w:val="0"/>
          <w:i w:val="0"/>
          <w:iCs w:val="0"/>
          <w:color w:val="auto"/>
        </w:rPr>
        <w:t>’</w:t>
      </w:r>
      <w:r w:rsidRPr="00AF297A">
        <w:rPr>
          <w:rStyle w:val="IntenseEmphasis"/>
          <w:b w:val="0"/>
          <w:bCs w:val="0"/>
          <w:i w:val="0"/>
          <w:iCs w:val="0"/>
          <w:color w:val="auto"/>
        </w:rPr>
        <w:t>s economic resilience</w:t>
      </w:r>
    </w:p>
    <w:p w:rsidR="006B7C18" w:rsidRPr="00AF297A" w:rsidRDefault="006B7C18" w:rsidP="0067171B">
      <w:pPr>
        <w:pStyle w:val="Sub-lista"/>
        <w:rPr>
          <w:rStyle w:val="IntenseEmphasis"/>
          <w:b w:val="0"/>
          <w:bCs w:val="0"/>
          <w:i w:val="0"/>
          <w:iCs w:val="0"/>
          <w:color w:val="auto"/>
        </w:rPr>
      </w:pPr>
      <w:r w:rsidRPr="00AF297A">
        <w:rPr>
          <w:rStyle w:val="IntenseEmphasis"/>
          <w:b w:val="0"/>
          <w:bCs w:val="0"/>
          <w:i w:val="0"/>
          <w:iCs w:val="0"/>
          <w:color w:val="auto"/>
        </w:rPr>
        <w:t>the need to balance the efficient design of the NZ ETS with the potential for it to be connected to international carbon markets;</w:t>
      </w:r>
    </w:p>
    <w:p w:rsidR="006B7C18" w:rsidRPr="00AF297A" w:rsidRDefault="006B7C18" w:rsidP="0067171B">
      <w:pPr>
        <w:pStyle w:val="Sub-lista"/>
        <w:rPr>
          <w:rStyle w:val="IntenseEmphasis"/>
          <w:b w:val="0"/>
          <w:bCs w:val="0"/>
          <w:i w:val="0"/>
          <w:iCs w:val="0"/>
          <w:color w:val="auto"/>
        </w:rPr>
      </w:pPr>
      <w:r w:rsidRPr="00AF297A">
        <w:rPr>
          <w:rStyle w:val="IntenseEmphasis"/>
          <w:b w:val="0"/>
          <w:bCs w:val="0"/>
          <w:i w:val="0"/>
          <w:iCs w:val="0"/>
          <w:color w:val="auto"/>
        </w:rPr>
        <w:t>the distribution of impacts (both positive and negative) within and between sect</w:t>
      </w:r>
      <w:r w:rsidR="00432E6B" w:rsidRPr="00AF297A">
        <w:rPr>
          <w:rStyle w:val="IntenseEmphasis"/>
          <w:b w:val="0"/>
          <w:bCs w:val="0"/>
          <w:i w:val="0"/>
          <w:iCs w:val="0"/>
          <w:color w:val="auto"/>
        </w:rPr>
        <w:t>ors and groups, including Iwi/Mā</w:t>
      </w:r>
      <w:r w:rsidRPr="00AF297A">
        <w:rPr>
          <w:rStyle w:val="IntenseEmphasis"/>
          <w:b w:val="0"/>
          <w:bCs w:val="0"/>
          <w:i w:val="0"/>
          <w:iCs w:val="0"/>
          <w:color w:val="auto"/>
        </w:rPr>
        <w:t>ori</w:t>
      </w:r>
    </w:p>
    <w:p w:rsidR="006B7C18" w:rsidRPr="00AF297A" w:rsidRDefault="006B7C18" w:rsidP="0067171B">
      <w:pPr>
        <w:pStyle w:val="Sub-lista"/>
        <w:rPr>
          <w:rStyle w:val="IntenseEmphasis"/>
          <w:b w:val="0"/>
          <w:bCs w:val="0"/>
          <w:i w:val="0"/>
          <w:iCs w:val="0"/>
          <w:color w:val="auto"/>
        </w:rPr>
      </w:pPr>
      <w:r w:rsidRPr="00AF297A">
        <w:rPr>
          <w:rStyle w:val="IntenseEmphasis"/>
          <w:b w:val="0"/>
          <w:bCs w:val="0"/>
          <w:i w:val="0"/>
          <w:iCs w:val="0"/>
          <w:color w:val="auto"/>
        </w:rPr>
        <w:t>administrative efficiency including transaction costs;</w:t>
      </w:r>
    </w:p>
    <w:p w:rsidR="006B7C18" w:rsidRPr="00AF297A" w:rsidRDefault="006B7C18" w:rsidP="0067171B">
      <w:pPr>
        <w:pStyle w:val="Sub-lista"/>
        <w:rPr>
          <w:rStyle w:val="IntenseEmphasis"/>
          <w:b w:val="0"/>
          <w:bCs w:val="0"/>
          <w:i w:val="0"/>
          <w:iCs w:val="0"/>
          <w:color w:val="auto"/>
        </w:rPr>
      </w:pPr>
      <w:r w:rsidRPr="00AF297A">
        <w:rPr>
          <w:rStyle w:val="IntenseEmphasis"/>
          <w:b w:val="0"/>
          <w:bCs w:val="0"/>
          <w:i w:val="0"/>
          <w:iCs w:val="0"/>
          <w:color w:val="auto"/>
        </w:rPr>
        <w:t>providing increased regulatory certainty to assist with businesses</w:t>
      </w:r>
      <w:r w:rsidR="007B5588" w:rsidRPr="00AF297A">
        <w:rPr>
          <w:rStyle w:val="IntenseEmphasis"/>
          <w:b w:val="0"/>
          <w:bCs w:val="0"/>
          <w:i w:val="0"/>
          <w:iCs w:val="0"/>
          <w:color w:val="auto"/>
        </w:rPr>
        <w:t>’</w:t>
      </w:r>
      <w:r w:rsidRPr="00AF297A">
        <w:rPr>
          <w:rStyle w:val="IntenseEmphasis"/>
          <w:b w:val="0"/>
          <w:bCs w:val="0"/>
          <w:i w:val="0"/>
          <w:iCs w:val="0"/>
          <w:color w:val="auto"/>
        </w:rPr>
        <w:t xml:space="preserve"> short- and long-term decision making</w:t>
      </w:r>
    </w:p>
    <w:p w:rsidR="006B7C18" w:rsidRPr="00AF297A" w:rsidRDefault="006B7C18" w:rsidP="0067171B">
      <w:pPr>
        <w:pStyle w:val="Sub-lista"/>
        <w:rPr>
          <w:rStyle w:val="IntenseEmphasis"/>
          <w:b w:val="0"/>
          <w:bCs w:val="0"/>
          <w:i w:val="0"/>
          <w:iCs w:val="0"/>
          <w:color w:val="auto"/>
        </w:rPr>
      </w:pPr>
      <w:r w:rsidRPr="00AF297A">
        <w:rPr>
          <w:rStyle w:val="IntenseEmphasis"/>
          <w:b w:val="0"/>
          <w:bCs w:val="0"/>
          <w:i w:val="0"/>
          <w:iCs w:val="0"/>
          <w:color w:val="auto"/>
        </w:rPr>
        <w:t>coherence with the intent and objectives of existing New Zealand climate change policy (including the NZ ETS), and with New Zealand</w:t>
      </w:r>
      <w:r w:rsidR="007B5588" w:rsidRPr="00AF297A">
        <w:rPr>
          <w:rStyle w:val="IntenseEmphasis"/>
          <w:b w:val="0"/>
          <w:bCs w:val="0"/>
          <w:i w:val="0"/>
          <w:iCs w:val="0"/>
          <w:color w:val="auto"/>
        </w:rPr>
        <w:t>’</w:t>
      </w:r>
      <w:r w:rsidRPr="00AF297A">
        <w:rPr>
          <w:rStyle w:val="IntenseEmphasis"/>
          <w:b w:val="0"/>
          <w:bCs w:val="0"/>
          <w:i w:val="0"/>
          <w:iCs w:val="0"/>
          <w:color w:val="auto"/>
        </w:rPr>
        <w:t>s international obligations.</w:t>
      </w:r>
    </w:p>
    <w:p w:rsidR="00CC299A" w:rsidRPr="00AF297A" w:rsidRDefault="00CC299A" w:rsidP="0067171B">
      <w:pPr>
        <w:pStyle w:val="Heading3"/>
        <w:rPr>
          <w:rStyle w:val="IntenseEmphasis"/>
          <w:b/>
          <w:bCs/>
          <w:i w:val="0"/>
          <w:iCs w:val="0"/>
          <w:color w:val="387C2B"/>
        </w:rPr>
      </w:pPr>
      <w:r w:rsidRPr="00AF297A">
        <w:rPr>
          <w:rStyle w:val="IntenseEmphasis"/>
          <w:b/>
          <w:bCs/>
          <w:i w:val="0"/>
          <w:iCs w:val="0"/>
          <w:color w:val="387C2B"/>
        </w:rPr>
        <w:t>Method</w:t>
      </w:r>
    </w:p>
    <w:p w:rsidR="00CC299A" w:rsidRPr="00AF297A" w:rsidRDefault="00CC299A"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The review will be undertaken by officials from the Ministry for the Environment, with assistance from other departments, and especially the Ministry for Primary Industries; The Treasury; the Ministry of Foreign Affairs and Trade; and the Ministry of Business, Innovation and Employment. This will be underpinned by appropriate research, analysis and stakeholder engagement.</w:t>
      </w:r>
    </w:p>
    <w:p w:rsidR="00CC299A" w:rsidRPr="00AF297A" w:rsidRDefault="00CC299A" w:rsidP="0067171B">
      <w:pPr>
        <w:pStyle w:val="Heading3"/>
        <w:rPr>
          <w:rStyle w:val="IntenseEmphasis"/>
          <w:b/>
          <w:bCs/>
          <w:i w:val="0"/>
          <w:iCs w:val="0"/>
          <w:color w:val="387C2B"/>
        </w:rPr>
      </w:pPr>
      <w:r w:rsidRPr="00AF297A">
        <w:rPr>
          <w:rStyle w:val="IntenseEmphasis"/>
          <w:b/>
          <w:bCs/>
          <w:i w:val="0"/>
          <w:iCs w:val="0"/>
          <w:color w:val="387C2B"/>
        </w:rPr>
        <w:t>Procedure and timing for the Review</w:t>
      </w:r>
    </w:p>
    <w:p w:rsidR="00CC299A" w:rsidRPr="00AF297A" w:rsidRDefault="00CC299A"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The review will begin following the announcement of these Terms of Reference.</w:t>
      </w:r>
      <w:r w:rsidR="007B5588" w:rsidRPr="00AF297A">
        <w:rPr>
          <w:rStyle w:val="IntenseEmphasis"/>
          <w:b w:val="0"/>
          <w:bCs w:val="0"/>
          <w:i w:val="0"/>
          <w:iCs w:val="0"/>
          <w:color w:val="auto"/>
        </w:rPr>
        <w:t xml:space="preserve"> </w:t>
      </w:r>
      <w:r w:rsidRPr="00AF297A">
        <w:rPr>
          <w:rStyle w:val="IntenseEmphasis"/>
          <w:b w:val="0"/>
          <w:bCs w:val="0"/>
          <w:i w:val="0"/>
          <w:iCs w:val="0"/>
          <w:color w:val="auto"/>
        </w:rPr>
        <w:t xml:space="preserve">As part of the review, a public discussion document will be released </w:t>
      </w:r>
      <w:r w:rsidR="001E4B84">
        <w:rPr>
          <w:rStyle w:val="IntenseEmphasis"/>
          <w:b w:val="0"/>
          <w:bCs w:val="0"/>
          <w:i w:val="0"/>
          <w:iCs w:val="0"/>
          <w:color w:val="auto"/>
        </w:rPr>
        <w:t>on 24 November 2015</w:t>
      </w:r>
      <w:r w:rsidRPr="00AF297A">
        <w:rPr>
          <w:rStyle w:val="IntenseEmphasis"/>
          <w:b w:val="0"/>
          <w:bCs w:val="0"/>
          <w:i w:val="0"/>
          <w:iCs w:val="0"/>
          <w:color w:val="auto"/>
        </w:rPr>
        <w:t>.</w:t>
      </w:r>
      <w:r w:rsidR="007B5588" w:rsidRPr="00AF297A">
        <w:rPr>
          <w:rStyle w:val="IntenseEmphasis"/>
          <w:b w:val="0"/>
          <w:bCs w:val="0"/>
          <w:i w:val="0"/>
          <w:iCs w:val="0"/>
          <w:color w:val="auto"/>
        </w:rPr>
        <w:t xml:space="preserve"> </w:t>
      </w:r>
      <w:r w:rsidRPr="00AF297A">
        <w:rPr>
          <w:rStyle w:val="IntenseEmphasis"/>
          <w:b w:val="0"/>
          <w:bCs w:val="0"/>
          <w:i w:val="0"/>
          <w:iCs w:val="0"/>
          <w:color w:val="auto"/>
        </w:rPr>
        <w:t>The consultation process will be conducted in two stages.</w:t>
      </w:r>
      <w:r w:rsidR="007B5588" w:rsidRPr="00AF297A">
        <w:rPr>
          <w:rStyle w:val="IntenseEmphasis"/>
          <w:b w:val="0"/>
          <w:bCs w:val="0"/>
          <w:i w:val="0"/>
          <w:iCs w:val="0"/>
          <w:color w:val="auto"/>
        </w:rPr>
        <w:t xml:space="preserve"> </w:t>
      </w:r>
      <w:r w:rsidRPr="00AF297A">
        <w:rPr>
          <w:rStyle w:val="IntenseEmphasis"/>
          <w:b w:val="0"/>
          <w:bCs w:val="0"/>
          <w:i w:val="0"/>
          <w:iCs w:val="0"/>
          <w:color w:val="auto"/>
        </w:rPr>
        <w:t>Prioritised policy issues, such as the transitional arrangements, will be considered first, followed by consideration of other matters. The review will ensure that there are strong linkages between any potential short term and long term changes.</w:t>
      </w:r>
      <w:r w:rsidR="007B5588" w:rsidRPr="00AF297A">
        <w:rPr>
          <w:rStyle w:val="IntenseEmphasis"/>
          <w:b w:val="0"/>
          <w:bCs w:val="0"/>
          <w:i w:val="0"/>
          <w:iCs w:val="0"/>
          <w:color w:val="auto"/>
        </w:rPr>
        <w:t xml:space="preserve"> </w:t>
      </w:r>
    </w:p>
    <w:p w:rsidR="00CC299A" w:rsidRPr="00AF297A" w:rsidRDefault="00CC299A" w:rsidP="0067171B">
      <w:pPr>
        <w:pStyle w:val="Numberedparagraph"/>
        <w:rPr>
          <w:rStyle w:val="IntenseEmphasis"/>
          <w:b w:val="0"/>
          <w:bCs w:val="0"/>
          <w:i w:val="0"/>
          <w:iCs w:val="0"/>
          <w:color w:val="auto"/>
        </w:rPr>
      </w:pPr>
      <w:r w:rsidRPr="00AF297A">
        <w:rPr>
          <w:rStyle w:val="IntenseEmphasis"/>
          <w:b w:val="0"/>
          <w:bCs w:val="0"/>
          <w:i w:val="0"/>
          <w:iCs w:val="0"/>
          <w:color w:val="auto"/>
        </w:rPr>
        <w:t xml:space="preserve">The consultation process for priority issues will run until </w:t>
      </w:r>
      <w:r w:rsidRPr="001E4B84">
        <w:rPr>
          <w:rStyle w:val="IntenseEmphasis"/>
          <w:b w:val="0"/>
          <w:bCs w:val="0"/>
          <w:i w:val="0"/>
          <w:iCs w:val="0"/>
          <w:color w:val="auto"/>
        </w:rPr>
        <w:t>19 February 2016.</w:t>
      </w:r>
      <w:r w:rsidRPr="00AF297A">
        <w:rPr>
          <w:rStyle w:val="IntenseEmphasis"/>
          <w:b w:val="0"/>
          <w:bCs w:val="0"/>
          <w:i w:val="0"/>
          <w:iCs w:val="0"/>
          <w:color w:val="auto"/>
        </w:rPr>
        <w:t xml:space="preserve"> Taking into account submissions received, initial advice will be provided to Ministers in the first half of 2016 on any short-term policy changes. </w:t>
      </w:r>
    </w:p>
    <w:p w:rsidR="00CC299A" w:rsidRPr="00AF297A" w:rsidRDefault="00CC299A" w:rsidP="0067171B">
      <w:pPr>
        <w:pStyle w:val="Numberedparagraph"/>
        <w:rPr>
          <w:rStyle w:val="IntenseEmphasis"/>
          <w:b w:val="0"/>
          <w:bCs w:val="0"/>
          <w:i w:val="0"/>
          <w:iCs w:val="0"/>
          <w:color w:val="auto"/>
        </w:rPr>
      </w:pPr>
      <w:r w:rsidRPr="00AF297A">
        <w:rPr>
          <w:rStyle w:val="IntenseEmphasis"/>
          <w:b w:val="0"/>
          <w:bCs w:val="0"/>
          <w:i w:val="0"/>
          <w:iCs w:val="0"/>
          <w:color w:val="auto"/>
        </w:rPr>
        <w:t xml:space="preserve">The consultation process for other issues will run until </w:t>
      </w:r>
      <w:r w:rsidR="001E4B84">
        <w:rPr>
          <w:rStyle w:val="IntenseEmphasis"/>
          <w:b w:val="0"/>
          <w:bCs w:val="0"/>
          <w:i w:val="0"/>
          <w:iCs w:val="0"/>
          <w:color w:val="auto"/>
        </w:rPr>
        <w:t>30 April 2016</w:t>
      </w:r>
      <w:r w:rsidRPr="00AF297A">
        <w:rPr>
          <w:rStyle w:val="IntenseEmphasis"/>
          <w:b w:val="0"/>
          <w:bCs w:val="0"/>
          <w:i w:val="0"/>
          <w:iCs w:val="0"/>
          <w:color w:val="auto"/>
        </w:rPr>
        <w:t>.</w:t>
      </w:r>
      <w:r w:rsidR="007B5588" w:rsidRPr="00AF297A">
        <w:rPr>
          <w:rStyle w:val="IntenseEmphasis"/>
          <w:b w:val="0"/>
          <w:bCs w:val="0"/>
          <w:i w:val="0"/>
          <w:iCs w:val="0"/>
          <w:color w:val="auto"/>
        </w:rPr>
        <w:t xml:space="preserve"> </w:t>
      </w:r>
      <w:r w:rsidRPr="00AF297A">
        <w:rPr>
          <w:rStyle w:val="IntenseEmphasis"/>
          <w:b w:val="0"/>
          <w:bCs w:val="0"/>
          <w:i w:val="0"/>
          <w:iCs w:val="0"/>
          <w:color w:val="auto"/>
        </w:rPr>
        <w:t>Analysis of these issues will incorporate any NZ ETS policy matters arising from the new international climate change agreement.</w:t>
      </w:r>
      <w:r w:rsidR="007B5588" w:rsidRPr="00AF297A">
        <w:rPr>
          <w:rStyle w:val="IntenseEmphasis"/>
          <w:b w:val="0"/>
          <w:bCs w:val="0"/>
          <w:i w:val="0"/>
          <w:iCs w:val="0"/>
          <w:color w:val="auto"/>
        </w:rPr>
        <w:t xml:space="preserve"> </w:t>
      </w:r>
      <w:r w:rsidRPr="00AF297A">
        <w:rPr>
          <w:rStyle w:val="IntenseEmphasis"/>
          <w:b w:val="0"/>
          <w:bCs w:val="0"/>
          <w:i w:val="0"/>
          <w:iCs w:val="0"/>
          <w:color w:val="auto"/>
        </w:rPr>
        <w:t>Technical notes on specific issues may be developed and published as the review consultation progresses. Advice on these issues will be provided to Ministers in the second half of 2016, concluding the review.</w:t>
      </w:r>
      <w:r w:rsidR="007B5588" w:rsidRPr="00AF297A">
        <w:rPr>
          <w:rStyle w:val="IntenseEmphasis"/>
          <w:b w:val="0"/>
          <w:bCs w:val="0"/>
          <w:i w:val="0"/>
          <w:iCs w:val="0"/>
          <w:color w:val="auto"/>
        </w:rPr>
        <w:t xml:space="preserve"> </w:t>
      </w:r>
    </w:p>
    <w:p w:rsidR="00CC299A" w:rsidRPr="00AF297A" w:rsidRDefault="00CC299A" w:rsidP="0067171B">
      <w:pPr>
        <w:pStyle w:val="Numberedparagraph"/>
        <w:rPr>
          <w:rStyle w:val="IntenseEmphasis"/>
          <w:b w:val="0"/>
          <w:bCs w:val="0"/>
          <w:i w:val="0"/>
          <w:iCs w:val="0"/>
          <w:color w:val="auto"/>
        </w:rPr>
      </w:pPr>
      <w:r w:rsidRPr="00AF297A">
        <w:rPr>
          <w:rStyle w:val="IntenseEmphasis"/>
          <w:b w:val="0"/>
          <w:bCs w:val="0"/>
          <w:i w:val="0"/>
          <w:iCs w:val="0"/>
          <w:color w:val="auto"/>
        </w:rPr>
        <w:t>The procedure and timing for the review can be varied by the Minister if the Minister is satisfied that it is appropriate, fair in the circumstances, and in accordance with these Terms of Reference.</w:t>
      </w:r>
    </w:p>
    <w:p w:rsidR="00CC299A" w:rsidRPr="00AF297A" w:rsidRDefault="00CC299A" w:rsidP="0067171B">
      <w:pPr>
        <w:pStyle w:val="Heading3"/>
        <w:rPr>
          <w:rStyle w:val="IntenseEmphasis"/>
          <w:b/>
          <w:bCs/>
          <w:i w:val="0"/>
          <w:iCs w:val="0"/>
          <w:color w:val="387C2B"/>
        </w:rPr>
      </w:pPr>
      <w:r w:rsidRPr="00AF297A">
        <w:rPr>
          <w:rStyle w:val="IntenseEmphasis"/>
          <w:b/>
          <w:bCs/>
          <w:i w:val="0"/>
          <w:iCs w:val="0"/>
          <w:color w:val="387C2B"/>
        </w:rPr>
        <w:lastRenderedPageBreak/>
        <w:t>Consultation</w:t>
      </w:r>
    </w:p>
    <w:p w:rsidR="00CC299A" w:rsidRPr="00AF297A" w:rsidRDefault="00CC299A"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The input of stakeholders is important for the review</w:t>
      </w:r>
      <w:r w:rsidR="007B5588" w:rsidRPr="00AF297A">
        <w:rPr>
          <w:rStyle w:val="IntenseEmphasis"/>
          <w:b w:val="0"/>
          <w:bCs w:val="0"/>
          <w:i w:val="0"/>
          <w:iCs w:val="0"/>
          <w:color w:val="auto"/>
        </w:rPr>
        <w:t>’</w:t>
      </w:r>
      <w:r w:rsidRPr="00AF297A">
        <w:rPr>
          <w:rStyle w:val="IntenseEmphasis"/>
          <w:b w:val="0"/>
          <w:bCs w:val="0"/>
          <w:i w:val="0"/>
          <w:iCs w:val="0"/>
          <w:color w:val="auto"/>
        </w:rPr>
        <w:t xml:space="preserve">s success. Public consultation will occur over </w:t>
      </w:r>
      <w:r w:rsidRPr="00BC1781">
        <w:rPr>
          <w:rStyle w:val="IntenseEmphasis"/>
          <w:b w:val="0"/>
          <w:bCs w:val="0"/>
          <w:i w:val="0"/>
          <w:iCs w:val="0"/>
          <w:color w:val="auto"/>
        </w:rPr>
        <w:t xml:space="preserve">December 2015 to </w:t>
      </w:r>
      <w:r w:rsidR="00BC1781">
        <w:rPr>
          <w:rStyle w:val="IntenseEmphasis"/>
          <w:b w:val="0"/>
          <w:bCs w:val="0"/>
          <w:i w:val="0"/>
          <w:iCs w:val="0"/>
          <w:color w:val="auto"/>
        </w:rPr>
        <w:t>30</w:t>
      </w:r>
      <w:r w:rsidR="00BC1781" w:rsidRPr="00BC1781">
        <w:rPr>
          <w:rStyle w:val="IntenseEmphasis"/>
          <w:b w:val="0"/>
          <w:bCs w:val="0"/>
          <w:i w:val="0"/>
          <w:iCs w:val="0"/>
          <w:color w:val="auto"/>
        </w:rPr>
        <w:t xml:space="preserve"> </w:t>
      </w:r>
      <w:r w:rsidR="00644443" w:rsidRPr="00BC1781">
        <w:rPr>
          <w:rStyle w:val="IntenseEmphasis"/>
          <w:b w:val="0"/>
          <w:bCs w:val="0"/>
          <w:i w:val="0"/>
          <w:iCs w:val="0"/>
          <w:color w:val="auto"/>
        </w:rPr>
        <w:t>April</w:t>
      </w:r>
      <w:r w:rsidRPr="00BC1781">
        <w:rPr>
          <w:rStyle w:val="IntenseEmphasis"/>
          <w:b w:val="0"/>
          <w:bCs w:val="0"/>
          <w:i w:val="0"/>
          <w:iCs w:val="0"/>
          <w:color w:val="auto"/>
        </w:rPr>
        <w:t xml:space="preserve"> 2016.</w:t>
      </w:r>
      <w:r w:rsidRPr="00AF297A">
        <w:rPr>
          <w:rStyle w:val="IntenseEmphasis"/>
          <w:b w:val="0"/>
          <w:bCs w:val="0"/>
          <w:i w:val="0"/>
          <w:iCs w:val="0"/>
          <w:color w:val="auto"/>
        </w:rPr>
        <w:t xml:space="preserve"> Consultation will entail both general and targeted processes. In addition, officials will identify and involve relevant stakeholders including: iwi/Māori, local authorities, the business community, environmental groups, and the forestry and agricultural sectors. </w:t>
      </w:r>
    </w:p>
    <w:p w:rsidR="00CC299A" w:rsidRPr="00AF297A" w:rsidRDefault="00CC299A" w:rsidP="0067171B">
      <w:pPr>
        <w:pStyle w:val="Numberedparagraph"/>
        <w:spacing w:before="120"/>
        <w:rPr>
          <w:rStyle w:val="IntenseEmphasis"/>
          <w:b w:val="0"/>
          <w:bCs w:val="0"/>
          <w:i w:val="0"/>
          <w:iCs w:val="0"/>
          <w:color w:val="auto"/>
        </w:rPr>
      </w:pPr>
      <w:r w:rsidRPr="00AF297A">
        <w:rPr>
          <w:rStyle w:val="IntenseEmphasis"/>
          <w:b w:val="0"/>
          <w:bCs w:val="0"/>
          <w:i w:val="0"/>
          <w:iCs w:val="0"/>
          <w:color w:val="auto"/>
        </w:rPr>
        <w:t>Consultation processes will be centred on a discussion document published at the beginning of the review and technical notes published as the review progresses.</w:t>
      </w:r>
      <w:r w:rsidR="007B5588" w:rsidRPr="00AF297A">
        <w:rPr>
          <w:rStyle w:val="IntenseEmphasis"/>
          <w:b w:val="0"/>
          <w:bCs w:val="0"/>
          <w:i w:val="0"/>
          <w:iCs w:val="0"/>
          <w:color w:val="auto"/>
        </w:rPr>
        <w:t xml:space="preserve"> </w:t>
      </w:r>
    </w:p>
    <w:p w:rsidR="00CC299A" w:rsidRPr="00AF297A" w:rsidRDefault="00CC299A" w:rsidP="0067171B">
      <w:pPr>
        <w:pStyle w:val="Heading3"/>
        <w:spacing w:after="120"/>
        <w:rPr>
          <w:rStyle w:val="IntenseEmphasis"/>
          <w:b/>
          <w:bCs/>
          <w:i w:val="0"/>
          <w:iCs w:val="0"/>
          <w:color w:val="387C2B"/>
        </w:rPr>
      </w:pPr>
      <w:r w:rsidRPr="00AF297A">
        <w:rPr>
          <w:rStyle w:val="IntenseEmphasis"/>
          <w:b/>
          <w:bCs/>
          <w:i w:val="0"/>
          <w:iCs w:val="0"/>
          <w:color w:val="387C2B"/>
        </w:rPr>
        <w:t>Reporting</w:t>
      </w:r>
    </w:p>
    <w:p w:rsidR="00CC299A" w:rsidRPr="00AF297A" w:rsidRDefault="00CC299A" w:rsidP="0067171B">
      <w:pPr>
        <w:pStyle w:val="Numberedparagraph"/>
        <w:rPr>
          <w:rStyle w:val="IntenseEmphasis"/>
          <w:b w:val="0"/>
          <w:bCs w:val="0"/>
          <w:i w:val="0"/>
          <w:iCs w:val="0"/>
          <w:color w:val="auto"/>
        </w:rPr>
      </w:pPr>
      <w:r w:rsidRPr="00AF297A">
        <w:rPr>
          <w:rStyle w:val="IntenseEmphasis"/>
          <w:b w:val="0"/>
          <w:bCs w:val="0"/>
          <w:i w:val="0"/>
          <w:iCs w:val="0"/>
          <w:color w:val="auto"/>
        </w:rPr>
        <w:t>Officials will report at appropriate intervals to the Minister on the progress of the review.</w:t>
      </w:r>
      <w:r w:rsidR="007B5588" w:rsidRPr="00AF297A">
        <w:rPr>
          <w:rStyle w:val="IntenseEmphasis"/>
          <w:b w:val="0"/>
          <w:bCs w:val="0"/>
          <w:i w:val="0"/>
          <w:iCs w:val="0"/>
          <w:color w:val="auto"/>
        </w:rPr>
        <w:t xml:space="preserve"> </w:t>
      </w:r>
      <w:r w:rsidRPr="00AF297A">
        <w:rPr>
          <w:rStyle w:val="IntenseEmphasis"/>
          <w:b w:val="0"/>
          <w:bCs w:val="0"/>
          <w:i w:val="0"/>
          <w:iCs w:val="0"/>
          <w:color w:val="auto"/>
        </w:rPr>
        <w:t>The feedback from the stakeholder consultation process, and analysis produced by officials, will form the basis of advice to the Minister</w:t>
      </w:r>
      <w:r w:rsidR="00BC1781">
        <w:rPr>
          <w:rStyle w:val="IntenseEmphasis"/>
          <w:b w:val="0"/>
          <w:bCs w:val="0"/>
          <w:i w:val="0"/>
          <w:iCs w:val="0"/>
          <w:color w:val="auto"/>
        </w:rPr>
        <w:t xml:space="preserve"> in the second half of 2016</w:t>
      </w:r>
      <w:r w:rsidRPr="00AF297A">
        <w:rPr>
          <w:rStyle w:val="IntenseEmphasis"/>
          <w:b w:val="0"/>
          <w:bCs w:val="0"/>
          <w:i w:val="0"/>
          <w:iCs w:val="0"/>
          <w:color w:val="auto"/>
        </w:rPr>
        <w:t>.</w:t>
      </w:r>
    </w:p>
    <w:p w:rsidR="00CC299A" w:rsidRPr="00AF297A" w:rsidRDefault="00CC299A" w:rsidP="0067171B">
      <w:pPr>
        <w:pStyle w:val="Numberedparagraph"/>
        <w:rPr>
          <w:rStyle w:val="IntenseEmphasis"/>
          <w:b w:val="0"/>
          <w:bCs w:val="0"/>
          <w:i w:val="0"/>
          <w:iCs w:val="0"/>
          <w:color w:val="auto"/>
        </w:rPr>
      </w:pPr>
      <w:r w:rsidRPr="00AF297A">
        <w:rPr>
          <w:rStyle w:val="IntenseEmphasis"/>
          <w:b w:val="0"/>
          <w:bCs w:val="0"/>
          <w:i w:val="0"/>
          <w:iCs w:val="0"/>
          <w:color w:val="auto"/>
        </w:rPr>
        <w:t>The Government may publish a report on key findings of the review and the future direction of the NZ ETS.</w:t>
      </w:r>
      <w:r w:rsidR="007B5588" w:rsidRPr="00AF297A">
        <w:rPr>
          <w:rStyle w:val="IntenseEmphasis"/>
          <w:b w:val="0"/>
          <w:bCs w:val="0"/>
          <w:i w:val="0"/>
          <w:iCs w:val="0"/>
          <w:color w:val="auto"/>
        </w:rPr>
        <w:t xml:space="preserve"> </w:t>
      </w:r>
    </w:p>
    <w:p w:rsidR="00CC299A" w:rsidRPr="00AF297A" w:rsidRDefault="00CC299A" w:rsidP="0067171B">
      <w:pPr>
        <w:pStyle w:val="Heading3"/>
        <w:rPr>
          <w:rStyle w:val="IntenseEmphasis"/>
          <w:b/>
          <w:bCs/>
          <w:i w:val="0"/>
          <w:iCs w:val="0"/>
          <w:color w:val="387C2B"/>
        </w:rPr>
      </w:pPr>
      <w:r w:rsidRPr="00AF297A">
        <w:rPr>
          <w:rStyle w:val="IntenseEmphasis"/>
          <w:b/>
          <w:bCs/>
          <w:i w:val="0"/>
          <w:iCs w:val="0"/>
          <w:color w:val="387C2B"/>
        </w:rPr>
        <w:t>Alignment with other Government work</w:t>
      </w:r>
    </w:p>
    <w:p w:rsidR="00E146F0" w:rsidRPr="00AF297A" w:rsidRDefault="00CC299A" w:rsidP="0067171B">
      <w:pPr>
        <w:pStyle w:val="BodyText"/>
        <w:rPr>
          <w:rStyle w:val="IntenseEmphasis"/>
          <w:b w:val="0"/>
          <w:bCs w:val="0"/>
          <w:i w:val="0"/>
          <w:iCs w:val="0"/>
          <w:color w:val="auto"/>
        </w:rPr>
      </w:pPr>
      <w:r w:rsidRPr="00AF297A">
        <w:rPr>
          <w:rStyle w:val="IntenseEmphasis"/>
          <w:b w:val="0"/>
          <w:bCs w:val="0"/>
          <w:i w:val="0"/>
          <w:iCs w:val="0"/>
          <w:color w:val="auto"/>
        </w:rPr>
        <w:t>The review will be aligned with other Government work programmes, particularly the Business Growth Agenda priorities for the natural resources sector, and will take account of developments in respect of the new international climate change agreement.</w:t>
      </w:r>
    </w:p>
    <w:p w:rsidR="009115CF" w:rsidRPr="00AF297A" w:rsidRDefault="009115CF" w:rsidP="0067171B">
      <w:pPr>
        <w:pStyle w:val="Heading1"/>
        <w:spacing w:after="120"/>
        <w:ind w:left="0" w:firstLine="0"/>
        <w:rPr>
          <w:rStyle w:val="IntenseEmphasis"/>
          <w:b/>
          <w:bCs/>
          <w:i w:val="0"/>
          <w:iCs w:val="0"/>
          <w:color w:val="005984"/>
        </w:rPr>
      </w:pPr>
      <w:r w:rsidRPr="00AF297A">
        <w:rPr>
          <w:rStyle w:val="IntenseEmphasis"/>
          <w:b/>
          <w:bCs/>
          <w:i w:val="0"/>
          <w:iCs w:val="0"/>
          <w:color w:val="auto"/>
        </w:rPr>
        <w:br w:type="page"/>
      </w:r>
      <w:bookmarkStart w:id="25" w:name="_Toc435798396"/>
      <w:r w:rsidRPr="00AF297A">
        <w:rPr>
          <w:rStyle w:val="IntenseEmphasis"/>
          <w:b/>
          <w:bCs/>
          <w:i w:val="0"/>
          <w:iCs w:val="0"/>
          <w:color w:val="005984"/>
        </w:rPr>
        <w:lastRenderedPageBreak/>
        <w:t>Appendix 2: Potential impacts of moving to full surrender obligations</w:t>
      </w:r>
      <w:bookmarkEnd w:id="25"/>
    </w:p>
    <w:p w:rsidR="009115CF" w:rsidRPr="00AF297A" w:rsidRDefault="005C6A61" w:rsidP="0067171B">
      <w:pPr>
        <w:pStyle w:val="BodyText"/>
        <w:rPr>
          <w:rStyle w:val="IntenseEmphasis"/>
          <w:b w:val="0"/>
          <w:bCs w:val="0"/>
          <w:i w:val="0"/>
          <w:iCs w:val="0"/>
          <w:color w:val="auto"/>
        </w:rPr>
      </w:pPr>
      <w:r w:rsidRPr="005C6A61">
        <w:rPr>
          <w:rStyle w:val="IntenseEmphasis"/>
          <w:b w:val="0"/>
          <w:bCs w:val="0"/>
          <w:i w:val="0"/>
          <w:iCs w:val="0"/>
          <w:color w:val="auto"/>
        </w:rPr>
        <w:t xml:space="preserve">This appendix provides information </w:t>
      </w:r>
      <w:r w:rsidR="00A6296E">
        <w:rPr>
          <w:rStyle w:val="IntenseEmphasis"/>
          <w:b w:val="0"/>
          <w:bCs w:val="0"/>
          <w:i w:val="0"/>
          <w:iCs w:val="0"/>
          <w:color w:val="auto"/>
        </w:rPr>
        <w:t>about the</w:t>
      </w:r>
      <w:r w:rsidRPr="005C6A61">
        <w:rPr>
          <w:rStyle w:val="IntenseEmphasis"/>
          <w:b w:val="0"/>
          <w:bCs w:val="0"/>
          <w:i w:val="0"/>
          <w:iCs w:val="0"/>
          <w:color w:val="auto"/>
        </w:rPr>
        <w:t xml:space="preserve"> possible impacts of moving to full surrender obligations for the liquid fossil fuels, industrial processes, stationary energy and waste sectors</w:t>
      </w:r>
      <w:r w:rsidR="00A6296E">
        <w:rPr>
          <w:rStyle w:val="IntenseEmphasis"/>
          <w:b w:val="0"/>
          <w:bCs w:val="0"/>
          <w:i w:val="0"/>
          <w:iCs w:val="0"/>
          <w:color w:val="auto"/>
        </w:rPr>
        <w:t>. It is designed</w:t>
      </w:r>
      <w:r w:rsidRPr="005C6A61">
        <w:rPr>
          <w:rStyle w:val="IntenseEmphasis"/>
          <w:b w:val="0"/>
          <w:bCs w:val="0"/>
          <w:i w:val="0"/>
          <w:iCs w:val="0"/>
          <w:color w:val="auto"/>
        </w:rPr>
        <w:t xml:space="preserve"> to inform your feedback on the review’s priority issues. It provides estimates of the impacts of increasing surrender obligations and </w:t>
      </w:r>
      <w:r w:rsidR="00A6296E">
        <w:rPr>
          <w:rStyle w:val="IntenseEmphasis"/>
          <w:b w:val="0"/>
          <w:bCs w:val="0"/>
          <w:i w:val="0"/>
          <w:iCs w:val="0"/>
          <w:color w:val="auto"/>
        </w:rPr>
        <w:t>New Zealand Unit (</w:t>
      </w:r>
      <w:r w:rsidRPr="005C6A61">
        <w:rPr>
          <w:rStyle w:val="IntenseEmphasis"/>
          <w:b w:val="0"/>
          <w:bCs w:val="0"/>
          <w:i w:val="0"/>
          <w:iCs w:val="0"/>
          <w:color w:val="auto"/>
        </w:rPr>
        <w:t>NZU</w:t>
      </w:r>
      <w:r w:rsidR="00A6296E">
        <w:rPr>
          <w:rStyle w:val="IntenseEmphasis"/>
          <w:b w:val="0"/>
          <w:bCs w:val="0"/>
          <w:i w:val="0"/>
          <w:iCs w:val="0"/>
          <w:color w:val="auto"/>
        </w:rPr>
        <w:t>)</w:t>
      </w:r>
      <w:r w:rsidRPr="005C6A61">
        <w:rPr>
          <w:rStyle w:val="IntenseEmphasis"/>
          <w:b w:val="0"/>
          <w:bCs w:val="0"/>
          <w:i w:val="0"/>
          <w:iCs w:val="0"/>
          <w:color w:val="auto"/>
        </w:rPr>
        <w:t xml:space="preserve"> prices on participants, firms and households. It also provides information to illustrate how the one-for-two surrender obligation could affect </w:t>
      </w:r>
      <w:r w:rsidR="009115CF" w:rsidRPr="00AF297A">
        <w:rPr>
          <w:rStyle w:val="IntenseEmphasis"/>
          <w:b w:val="0"/>
          <w:bCs w:val="0"/>
          <w:i w:val="0"/>
          <w:iCs w:val="0"/>
          <w:color w:val="auto"/>
        </w:rPr>
        <w:t xml:space="preserve">supply and demand in the </w:t>
      </w:r>
      <w:r w:rsidR="00A6296E">
        <w:rPr>
          <w:rStyle w:val="IntenseEmphasis"/>
          <w:b w:val="0"/>
          <w:bCs w:val="0"/>
          <w:i w:val="0"/>
          <w:iCs w:val="0"/>
          <w:color w:val="auto"/>
        </w:rPr>
        <w:t>New Zealand Emissions Trading Scheme (</w:t>
      </w:r>
      <w:r w:rsidR="009115CF" w:rsidRPr="00AF297A">
        <w:rPr>
          <w:rStyle w:val="IntenseEmphasis"/>
          <w:b w:val="0"/>
          <w:bCs w:val="0"/>
          <w:i w:val="0"/>
          <w:iCs w:val="0"/>
          <w:color w:val="auto"/>
        </w:rPr>
        <w:t>NZ ETS</w:t>
      </w:r>
      <w:r w:rsidR="00A6296E">
        <w:rPr>
          <w:rStyle w:val="IntenseEmphasis"/>
          <w:b w:val="0"/>
          <w:bCs w:val="0"/>
          <w:i w:val="0"/>
          <w:iCs w:val="0"/>
          <w:color w:val="auto"/>
        </w:rPr>
        <w:t>)</w:t>
      </w:r>
      <w:r w:rsidR="009115CF" w:rsidRPr="00AF297A">
        <w:rPr>
          <w:rStyle w:val="IntenseEmphasis"/>
          <w:b w:val="0"/>
          <w:bCs w:val="0"/>
          <w:i w:val="0"/>
          <w:iCs w:val="0"/>
          <w:color w:val="auto"/>
        </w:rPr>
        <w:t xml:space="preserve">. </w:t>
      </w:r>
    </w:p>
    <w:p w:rsidR="009115CF" w:rsidRPr="00AF297A" w:rsidRDefault="00534857" w:rsidP="0067171B">
      <w:pPr>
        <w:pStyle w:val="Heading3"/>
        <w:spacing w:before="200"/>
        <w:rPr>
          <w:rStyle w:val="IntenseEmphasis"/>
          <w:b/>
          <w:bCs/>
          <w:i w:val="0"/>
          <w:iCs w:val="0"/>
          <w:color w:val="387C2B"/>
        </w:rPr>
      </w:pPr>
      <w:r>
        <w:rPr>
          <w:rStyle w:val="IntenseEmphasis"/>
          <w:b/>
          <w:bCs/>
          <w:i w:val="0"/>
          <w:iCs w:val="0"/>
          <w:color w:val="387C2B"/>
        </w:rPr>
        <w:t xml:space="preserve">NZU price impacts on </w:t>
      </w:r>
      <w:r w:rsidR="009115CF" w:rsidRPr="00AF297A">
        <w:rPr>
          <w:rStyle w:val="IntenseEmphasis"/>
          <w:b/>
          <w:bCs/>
          <w:i w:val="0"/>
          <w:iCs w:val="0"/>
          <w:color w:val="387C2B"/>
        </w:rPr>
        <w:t>NZ ETS participant costs</w:t>
      </w:r>
    </w:p>
    <w:p w:rsidR="009115CF" w:rsidRPr="00AF297A" w:rsidRDefault="00395E84" w:rsidP="0067171B">
      <w:pPr>
        <w:pStyle w:val="BodyText"/>
        <w:rPr>
          <w:rStyle w:val="IntenseEmphasis"/>
          <w:b w:val="0"/>
          <w:bCs w:val="0"/>
          <w:i w:val="0"/>
          <w:iCs w:val="0"/>
          <w:color w:val="auto"/>
        </w:rPr>
      </w:pPr>
      <w:r w:rsidRPr="00395E84">
        <w:rPr>
          <w:rStyle w:val="IntenseEmphasis"/>
          <w:b w:val="0"/>
          <w:bCs w:val="0"/>
          <w:i w:val="0"/>
          <w:iCs w:val="0"/>
          <w:color w:val="auto"/>
        </w:rPr>
        <w:t>The price of NZUs directly impacts the NZ ETS cost</w:t>
      </w:r>
      <w:r w:rsidR="00A330AA">
        <w:rPr>
          <w:rStyle w:val="IntenseEmphasis"/>
          <w:b w:val="0"/>
          <w:bCs w:val="0"/>
          <w:i w:val="0"/>
          <w:iCs w:val="0"/>
          <w:color w:val="auto"/>
        </w:rPr>
        <w:t>s</w:t>
      </w:r>
      <w:r w:rsidRPr="00395E84">
        <w:rPr>
          <w:rStyle w:val="IntenseEmphasis"/>
          <w:b w:val="0"/>
          <w:bCs w:val="0"/>
          <w:i w:val="0"/>
          <w:iCs w:val="0"/>
          <w:color w:val="auto"/>
        </w:rPr>
        <w:t xml:space="preserve"> faced by participants. Increases in NZU prices impact participants differently, as participants have a range of obligation sizes and strategies for how they meet their obligations. Factors influencing how participants are impacted by NZU prices include</w:t>
      </w:r>
      <w:r w:rsidR="009115CF" w:rsidRPr="00AF297A">
        <w:rPr>
          <w:rStyle w:val="IntenseEmphasis"/>
          <w:b w:val="0"/>
          <w:bCs w:val="0"/>
          <w:i w:val="0"/>
          <w:iCs w:val="0"/>
          <w:color w:val="auto"/>
        </w:rPr>
        <w:t xml:space="preserve">: </w:t>
      </w:r>
    </w:p>
    <w:p w:rsidR="009115CF" w:rsidRPr="00AF297A" w:rsidRDefault="009115CF" w:rsidP="0067171B">
      <w:pPr>
        <w:pStyle w:val="Numberedparagraph"/>
        <w:numPr>
          <w:ilvl w:val="0"/>
          <w:numId w:val="21"/>
        </w:numPr>
        <w:rPr>
          <w:rStyle w:val="IntenseEmphasis"/>
          <w:b w:val="0"/>
          <w:bCs w:val="0"/>
          <w:i w:val="0"/>
          <w:iCs w:val="0"/>
          <w:color w:val="auto"/>
        </w:rPr>
      </w:pPr>
      <w:r w:rsidRPr="00AF297A">
        <w:rPr>
          <w:rStyle w:val="IntenseEmphasis"/>
          <w:b w:val="0"/>
          <w:bCs w:val="0"/>
          <w:i w:val="0"/>
          <w:iCs w:val="0"/>
          <w:color w:val="auto"/>
        </w:rPr>
        <w:t>the size and rate of increases in NZU prices</w:t>
      </w:r>
    </w:p>
    <w:p w:rsidR="009115CF" w:rsidRPr="00AF297A" w:rsidRDefault="009115CF" w:rsidP="0067171B">
      <w:pPr>
        <w:pStyle w:val="Numberedparagraph"/>
        <w:spacing w:before="60"/>
        <w:rPr>
          <w:rStyle w:val="IntenseEmphasis"/>
          <w:b w:val="0"/>
          <w:bCs w:val="0"/>
          <w:i w:val="0"/>
          <w:iCs w:val="0"/>
          <w:color w:val="auto"/>
        </w:rPr>
      </w:pPr>
      <w:r w:rsidRPr="00AF297A">
        <w:rPr>
          <w:rStyle w:val="IntenseEmphasis"/>
          <w:b w:val="0"/>
          <w:bCs w:val="0"/>
          <w:i w:val="0"/>
          <w:iCs w:val="0"/>
          <w:color w:val="auto"/>
        </w:rPr>
        <w:t>the size of a participant</w:t>
      </w:r>
      <w:r w:rsidR="007B5588" w:rsidRPr="00AF297A">
        <w:rPr>
          <w:rStyle w:val="IntenseEmphasis"/>
          <w:b w:val="0"/>
          <w:bCs w:val="0"/>
          <w:i w:val="0"/>
          <w:iCs w:val="0"/>
          <w:color w:val="auto"/>
        </w:rPr>
        <w:t>’</w:t>
      </w:r>
      <w:r w:rsidRPr="00AF297A">
        <w:rPr>
          <w:rStyle w:val="IntenseEmphasis"/>
          <w:b w:val="0"/>
          <w:bCs w:val="0"/>
          <w:i w:val="0"/>
          <w:iCs w:val="0"/>
          <w:color w:val="auto"/>
        </w:rPr>
        <w:t>s surrender obligation</w:t>
      </w:r>
    </w:p>
    <w:p w:rsidR="009115CF" w:rsidRPr="00AF297A" w:rsidRDefault="009115CF" w:rsidP="0067171B">
      <w:pPr>
        <w:pStyle w:val="Numberedparagraph"/>
        <w:spacing w:before="60"/>
        <w:rPr>
          <w:rStyle w:val="IntenseEmphasis"/>
          <w:b w:val="0"/>
          <w:bCs w:val="0"/>
          <w:i w:val="0"/>
          <w:iCs w:val="0"/>
          <w:color w:val="auto"/>
        </w:rPr>
      </w:pPr>
      <w:r w:rsidRPr="00AF297A">
        <w:rPr>
          <w:rStyle w:val="IntenseEmphasis"/>
          <w:b w:val="0"/>
          <w:bCs w:val="0"/>
          <w:i w:val="0"/>
          <w:iCs w:val="0"/>
          <w:color w:val="auto"/>
        </w:rPr>
        <w:t>a participant</w:t>
      </w:r>
      <w:r w:rsidR="007B5588" w:rsidRPr="00AF297A">
        <w:rPr>
          <w:rStyle w:val="IntenseEmphasis"/>
          <w:b w:val="0"/>
          <w:bCs w:val="0"/>
          <w:i w:val="0"/>
          <w:iCs w:val="0"/>
          <w:color w:val="auto"/>
        </w:rPr>
        <w:t>’</w:t>
      </w:r>
      <w:r w:rsidRPr="00AF297A">
        <w:rPr>
          <w:rStyle w:val="IntenseEmphasis"/>
          <w:b w:val="0"/>
          <w:bCs w:val="0"/>
          <w:i w:val="0"/>
          <w:iCs w:val="0"/>
          <w:color w:val="auto"/>
        </w:rPr>
        <w:t>s ability to pass costs on to consumers</w:t>
      </w:r>
    </w:p>
    <w:p w:rsidR="009115CF" w:rsidRPr="00AF297A" w:rsidRDefault="009115CF" w:rsidP="0067171B">
      <w:pPr>
        <w:pStyle w:val="Numberedparagraph"/>
        <w:spacing w:before="60"/>
        <w:rPr>
          <w:rStyle w:val="IntenseEmphasis"/>
          <w:b w:val="0"/>
          <w:bCs w:val="0"/>
          <w:i w:val="0"/>
          <w:iCs w:val="0"/>
          <w:color w:val="auto"/>
        </w:rPr>
      </w:pPr>
      <w:r w:rsidRPr="00AF297A">
        <w:rPr>
          <w:rStyle w:val="IntenseEmphasis"/>
          <w:b w:val="0"/>
          <w:bCs w:val="0"/>
          <w:i w:val="0"/>
          <w:iCs w:val="0"/>
          <w:color w:val="auto"/>
        </w:rPr>
        <w:t>whether a participant receive</w:t>
      </w:r>
      <w:r w:rsidR="003B4801">
        <w:rPr>
          <w:rStyle w:val="IntenseEmphasis"/>
          <w:b w:val="0"/>
          <w:bCs w:val="0"/>
          <w:i w:val="0"/>
          <w:iCs w:val="0"/>
          <w:color w:val="auto"/>
        </w:rPr>
        <w:t>s</w:t>
      </w:r>
      <w:r w:rsidRPr="00AF297A">
        <w:rPr>
          <w:rStyle w:val="IntenseEmphasis"/>
          <w:b w:val="0"/>
          <w:bCs w:val="0"/>
          <w:i w:val="0"/>
          <w:iCs w:val="0"/>
          <w:color w:val="auto"/>
        </w:rPr>
        <w:t xml:space="preserve"> a free allocation of NZUs</w:t>
      </w:r>
      <w:r w:rsidR="00A330AA">
        <w:rPr>
          <w:rStyle w:val="IntenseEmphasis"/>
          <w:b w:val="0"/>
          <w:bCs w:val="0"/>
          <w:i w:val="0"/>
          <w:iCs w:val="0"/>
          <w:color w:val="auto"/>
        </w:rPr>
        <w:t>,</w:t>
      </w:r>
      <w:r w:rsidRPr="00AF297A">
        <w:rPr>
          <w:rStyle w:val="IntenseEmphasis"/>
          <w:b w:val="0"/>
          <w:bCs w:val="0"/>
          <w:i w:val="0"/>
          <w:iCs w:val="0"/>
          <w:color w:val="auto"/>
        </w:rPr>
        <w:t xml:space="preserve"> and the size of </w:t>
      </w:r>
      <w:r w:rsidR="00A330AA">
        <w:rPr>
          <w:rStyle w:val="IntenseEmphasis"/>
          <w:b w:val="0"/>
          <w:bCs w:val="0"/>
          <w:i w:val="0"/>
          <w:iCs w:val="0"/>
          <w:color w:val="auto"/>
        </w:rPr>
        <w:t>any</w:t>
      </w:r>
      <w:r w:rsidR="00A330AA" w:rsidRPr="00AF297A">
        <w:rPr>
          <w:rStyle w:val="IntenseEmphasis"/>
          <w:b w:val="0"/>
          <w:bCs w:val="0"/>
          <w:i w:val="0"/>
          <w:iCs w:val="0"/>
          <w:color w:val="auto"/>
        </w:rPr>
        <w:t xml:space="preserve"> </w:t>
      </w:r>
      <w:r w:rsidRPr="00AF297A">
        <w:rPr>
          <w:rStyle w:val="IntenseEmphasis"/>
          <w:b w:val="0"/>
          <w:bCs w:val="0"/>
          <w:i w:val="0"/>
          <w:iCs w:val="0"/>
          <w:color w:val="auto"/>
        </w:rPr>
        <w:t>allocation</w:t>
      </w:r>
    </w:p>
    <w:p w:rsidR="009115CF" w:rsidRPr="00AF297A" w:rsidRDefault="009115CF" w:rsidP="0067171B">
      <w:pPr>
        <w:pStyle w:val="Numberedparagraph"/>
        <w:spacing w:before="60"/>
        <w:rPr>
          <w:rStyle w:val="IntenseEmphasis"/>
          <w:b w:val="0"/>
          <w:bCs w:val="0"/>
          <w:i w:val="0"/>
          <w:iCs w:val="0"/>
          <w:color w:val="auto"/>
        </w:rPr>
      </w:pPr>
      <w:r w:rsidRPr="00AF297A">
        <w:rPr>
          <w:rStyle w:val="IntenseEmphasis"/>
          <w:b w:val="0"/>
          <w:bCs w:val="0"/>
          <w:i w:val="0"/>
          <w:iCs w:val="0"/>
          <w:color w:val="auto"/>
        </w:rPr>
        <w:t>a participant</w:t>
      </w:r>
      <w:r w:rsidR="007B5588" w:rsidRPr="00AF297A">
        <w:rPr>
          <w:rStyle w:val="IntenseEmphasis"/>
          <w:b w:val="0"/>
          <w:bCs w:val="0"/>
          <w:i w:val="0"/>
          <w:iCs w:val="0"/>
          <w:color w:val="auto"/>
        </w:rPr>
        <w:t>’</w:t>
      </w:r>
      <w:r w:rsidRPr="00AF297A">
        <w:rPr>
          <w:rStyle w:val="IntenseEmphasis"/>
          <w:b w:val="0"/>
          <w:bCs w:val="0"/>
          <w:i w:val="0"/>
          <w:iCs w:val="0"/>
          <w:color w:val="auto"/>
        </w:rPr>
        <w:t xml:space="preserve">s emission reduction investments to date and </w:t>
      </w:r>
      <w:r w:rsidR="00395E84">
        <w:rPr>
          <w:rStyle w:val="IntenseEmphasis"/>
          <w:b w:val="0"/>
          <w:bCs w:val="0"/>
          <w:i w:val="0"/>
          <w:iCs w:val="0"/>
          <w:color w:val="auto"/>
        </w:rPr>
        <w:t>opportunities</w:t>
      </w:r>
      <w:r w:rsidRPr="00AF297A">
        <w:rPr>
          <w:rStyle w:val="IntenseEmphasis"/>
          <w:b w:val="0"/>
          <w:bCs w:val="0"/>
          <w:i w:val="0"/>
          <w:iCs w:val="0"/>
          <w:color w:val="auto"/>
        </w:rPr>
        <w:t xml:space="preserve"> for further emissions reductions.</w:t>
      </w:r>
    </w:p>
    <w:p w:rsidR="009115CF" w:rsidRPr="00AF297A" w:rsidRDefault="009115CF" w:rsidP="0067171B">
      <w:pPr>
        <w:pStyle w:val="BodyText"/>
        <w:rPr>
          <w:rStyle w:val="IntenseEmphasis"/>
          <w:b w:val="0"/>
          <w:bCs w:val="0"/>
          <w:i w:val="0"/>
          <w:iCs w:val="0"/>
          <w:color w:val="auto"/>
        </w:rPr>
      </w:pPr>
      <w:r w:rsidRPr="00AF297A">
        <w:rPr>
          <w:rStyle w:val="IntenseEmphasis"/>
          <w:b w:val="0"/>
          <w:bCs w:val="0"/>
          <w:i w:val="0"/>
          <w:iCs w:val="0"/>
          <w:color w:val="auto"/>
        </w:rPr>
        <w:t>Examp</w:t>
      </w:r>
      <w:r w:rsidRPr="00AF297A">
        <w:t>les of how NZU price impacts on the direct NZ ETS costs faced by participants are shown in Table 1. It is important to note that participants may also face indirect NZ ETS costs as pass-through co</w:t>
      </w:r>
      <w:r w:rsidRPr="00AF297A">
        <w:rPr>
          <w:rStyle w:val="IntenseEmphasis"/>
          <w:b w:val="0"/>
          <w:bCs w:val="0"/>
          <w:i w:val="0"/>
          <w:iCs w:val="0"/>
          <w:color w:val="auto"/>
        </w:rPr>
        <w:t>sts</w:t>
      </w:r>
      <w:r w:rsidR="00A330AA">
        <w:rPr>
          <w:rStyle w:val="IntenseEmphasis"/>
          <w:b w:val="0"/>
          <w:bCs w:val="0"/>
          <w:i w:val="0"/>
          <w:iCs w:val="0"/>
          <w:color w:val="auto"/>
        </w:rPr>
        <w:t>. T</w:t>
      </w:r>
      <w:r w:rsidRPr="00AF297A">
        <w:rPr>
          <w:rStyle w:val="IntenseEmphasis"/>
          <w:b w:val="0"/>
          <w:bCs w:val="0"/>
          <w:i w:val="0"/>
          <w:iCs w:val="0"/>
          <w:color w:val="auto"/>
        </w:rPr>
        <w:t xml:space="preserve">his is described </w:t>
      </w:r>
      <w:r w:rsidR="00395E84">
        <w:rPr>
          <w:rStyle w:val="IntenseEmphasis"/>
          <w:b w:val="0"/>
          <w:bCs w:val="0"/>
          <w:i w:val="0"/>
          <w:iCs w:val="0"/>
          <w:color w:val="auto"/>
        </w:rPr>
        <w:t>in the next section</w:t>
      </w:r>
      <w:r w:rsidRPr="00AF297A">
        <w:rPr>
          <w:rStyle w:val="IntenseEmphasis"/>
          <w:b w:val="0"/>
          <w:bCs w:val="0"/>
          <w:i w:val="0"/>
          <w:iCs w:val="0"/>
          <w:color w:val="auto"/>
        </w:rPr>
        <w:t>.</w:t>
      </w:r>
    </w:p>
    <w:p w:rsidR="009115CF" w:rsidRPr="00AF297A" w:rsidRDefault="009115CF" w:rsidP="00415FED">
      <w:pPr>
        <w:pStyle w:val="Tableheading"/>
        <w:spacing w:before="120"/>
        <w:jc w:val="both"/>
        <w:rPr>
          <w:rStyle w:val="IntenseEmphasis"/>
          <w:b/>
          <w:bCs/>
          <w:i w:val="0"/>
          <w:iCs w:val="0"/>
          <w:color w:val="auto"/>
        </w:rPr>
      </w:pPr>
      <w:bookmarkStart w:id="26" w:name="_Toc433981618"/>
      <w:r w:rsidRPr="00AF297A">
        <w:rPr>
          <w:rStyle w:val="IntenseEmphasis"/>
          <w:b/>
          <w:bCs/>
          <w:i w:val="0"/>
          <w:iCs w:val="0"/>
          <w:color w:val="auto"/>
        </w:rPr>
        <w:t xml:space="preserve">Table 1: </w:t>
      </w:r>
      <w:r w:rsidR="001331FC" w:rsidRPr="00AF297A">
        <w:rPr>
          <w:rStyle w:val="IntenseEmphasis"/>
          <w:b/>
          <w:bCs/>
          <w:i w:val="0"/>
          <w:iCs w:val="0"/>
          <w:color w:val="auto"/>
        </w:rPr>
        <w:tab/>
      </w:r>
      <w:r w:rsidRPr="00AF297A">
        <w:rPr>
          <w:rStyle w:val="IntenseEmphasis"/>
          <w:b/>
          <w:bCs/>
          <w:i w:val="0"/>
          <w:iCs w:val="0"/>
          <w:color w:val="auto"/>
        </w:rPr>
        <w:t xml:space="preserve">Price impacts on participants with </w:t>
      </w:r>
      <w:r w:rsidR="00395E84">
        <w:rPr>
          <w:rStyle w:val="IntenseEmphasis"/>
          <w:b/>
          <w:bCs/>
          <w:i w:val="0"/>
          <w:iCs w:val="0"/>
          <w:color w:val="auto"/>
        </w:rPr>
        <w:t>varying</w:t>
      </w:r>
      <w:r w:rsidRPr="00AF297A">
        <w:rPr>
          <w:rStyle w:val="IntenseEmphasis"/>
          <w:b/>
          <w:bCs/>
          <w:i w:val="0"/>
          <w:iCs w:val="0"/>
          <w:color w:val="auto"/>
        </w:rPr>
        <w:t xml:space="preserve"> surrender obligation</w:t>
      </w:r>
      <w:r w:rsidR="00395E84">
        <w:rPr>
          <w:rStyle w:val="IntenseEmphasis"/>
          <w:b/>
          <w:bCs/>
          <w:i w:val="0"/>
          <w:iCs w:val="0"/>
          <w:color w:val="auto"/>
        </w:rPr>
        <w:t xml:space="preserve"> </w:t>
      </w:r>
      <w:r w:rsidRPr="00AF297A">
        <w:rPr>
          <w:rStyle w:val="IntenseEmphasis"/>
          <w:b/>
          <w:bCs/>
          <w:i w:val="0"/>
          <w:iCs w:val="0"/>
          <w:color w:val="auto"/>
        </w:rPr>
        <w:t>s</w:t>
      </w:r>
      <w:r w:rsidR="00395E84">
        <w:rPr>
          <w:rStyle w:val="IntenseEmphasis"/>
          <w:b/>
          <w:bCs/>
          <w:i w:val="0"/>
          <w:iCs w:val="0"/>
          <w:color w:val="auto"/>
        </w:rPr>
        <w:t>izes</w:t>
      </w:r>
      <w:r w:rsidR="00395E84">
        <w:rPr>
          <w:rStyle w:val="FootnoteReference"/>
        </w:rPr>
        <w:footnoteReference w:id="16"/>
      </w:r>
      <w:bookmarkEnd w:id="26"/>
    </w:p>
    <w:tbl>
      <w:tblPr>
        <w:tblW w:w="8505" w:type="dxa"/>
        <w:tblInd w:w="85" w:type="dxa"/>
        <w:tblLayout w:type="fixed"/>
        <w:tblLook w:val="0280" w:firstRow="0" w:lastRow="0" w:firstColumn="1" w:lastColumn="0" w:noHBand="1" w:noVBand="0"/>
      </w:tblPr>
      <w:tblGrid>
        <w:gridCol w:w="2185"/>
        <w:gridCol w:w="1580"/>
        <w:gridCol w:w="1580"/>
        <w:gridCol w:w="1580"/>
        <w:gridCol w:w="1580"/>
      </w:tblGrid>
      <w:tr w:rsidR="003776E0" w:rsidRPr="003776E0" w:rsidTr="003776E0">
        <w:tc>
          <w:tcPr>
            <w:tcW w:w="2185" w:type="dxa"/>
            <w:tcBorders>
              <w:top w:val="single" w:sz="4" w:space="0" w:color="005984"/>
              <w:left w:val="nil"/>
              <w:bottom w:val="single" w:sz="4" w:space="0" w:color="005984"/>
              <w:right w:val="nil"/>
            </w:tcBorders>
            <w:shd w:val="clear" w:color="auto" w:fill="005984"/>
            <w:vAlign w:val="bottom"/>
          </w:tcPr>
          <w:p w:rsidR="009115CF" w:rsidRPr="003776E0" w:rsidRDefault="009115CF" w:rsidP="00415FED">
            <w:pPr>
              <w:pStyle w:val="TableTextbold"/>
              <w:jc w:val="both"/>
              <w:rPr>
                <w:color w:val="FFFFFF"/>
              </w:rPr>
            </w:pPr>
            <w:r w:rsidRPr="003776E0">
              <w:rPr>
                <w:color w:val="FFFFFF"/>
              </w:rPr>
              <w:t>Direct NZ ETS cost to participant reporting:</w:t>
            </w:r>
          </w:p>
        </w:tc>
        <w:tc>
          <w:tcPr>
            <w:tcW w:w="1580" w:type="dxa"/>
            <w:tcBorders>
              <w:top w:val="single" w:sz="4" w:space="0" w:color="005984"/>
              <w:bottom w:val="single" w:sz="4" w:space="0" w:color="005984"/>
            </w:tcBorders>
            <w:shd w:val="clear" w:color="auto" w:fill="005984"/>
            <w:vAlign w:val="bottom"/>
          </w:tcPr>
          <w:p w:rsidR="009115CF" w:rsidRPr="003776E0" w:rsidRDefault="009115CF" w:rsidP="00415FED">
            <w:pPr>
              <w:pStyle w:val="TableTextbold"/>
              <w:jc w:val="both"/>
              <w:rPr>
                <w:color w:val="FFFFFF"/>
              </w:rPr>
            </w:pPr>
            <w:r w:rsidRPr="003776E0">
              <w:rPr>
                <w:color w:val="FFFFFF"/>
              </w:rPr>
              <w:t>Effective carbon price</w:t>
            </w:r>
            <w:r w:rsidR="00000FB6" w:rsidRPr="003776E0">
              <w:rPr>
                <w:color w:val="FFFFFF"/>
              </w:rPr>
              <w:t xml:space="preserve"> </w:t>
            </w:r>
            <w:r w:rsidR="00000FB6" w:rsidRPr="003776E0">
              <w:rPr>
                <w:color w:val="FFFFFF"/>
              </w:rPr>
              <w:br/>
            </w:r>
            <w:r w:rsidRPr="003776E0">
              <w:rPr>
                <w:color w:val="FFFFFF"/>
              </w:rPr>
              <w:t>$5</w:t>
            </w:r>
          </w:p>
        </w:tc>
        <w:tc>
          <w:tcPr>
            <w:tcW w:w="1580" w:type="dxa"/>
            <w:tcBorders>
              <w:top w:val="single" w:sz="4" w:space="0" w:color="005984"/>
              <w:bottom w:val="single" w:sz="4" w:space="0" w:color="005984"/>
            </w:tcBorders>
            <w:shd w:val="clear" w:color="auto" w:fill="005984"/>
            <w:vAlign w:val="bottom"/>
          </w:tcPr>
          <w:p w:rsidR="009115CF" w:rsidRPr="003776E0" w:rsidRDefault="009115CF" w:rsidP="00415FED">
            <w:pPr>
              <w:pStyle w:val="TableTextbold"/>
              <w:jc w:val="both"/>
              <w:rPr>
                <w:color w:val="FFFFFF"/>
              </w:rPr>
            </w:pPr>
            <w:r w:rsidRPr="003776E0">
              <w:rPr>
                <w:color w:val="FFFFFF"/>
              </w:rPr>
              <w:t>Effective carbon price</w:t>
            </w:r>
            <w:r w:rsidR="00000FB6" w:rsidRPr="003776E0">
              <w:rPr>
                <w:color w:val="FFFFFF"/>
              </w:rPr>
              <w:br/>
            </w:r>
            <w:r w:rsidRPr="003776E0">
              <w:rPr>
                <w:color w:val="FFFFFF"/>
              </w:rPr>
              <w:t>$10</w:t>
            </w:r>
          </w:p>
        </w:tc>
        <w:tc>
          <w:tcPr>
            <w:tcW w:w="1580" w:type="dxa"/>
            <w:tcBorders>
              <w:top w:val="single" w:sz="4" w:space="0" w:color="005984"/>
              <w:bottom w:val="single" w:sz="4" w:space="0" w:color="005984"/>
            </w:tcBorders>
            <w:shd w:val="clear" w:color="auto" w:fill="005984"/>
            <w:vAlign w:val="bottom"/>
          </w:tcPr>
          <w:p w:rsidR="009115CF" w:rsidRPr="003776E0" w:rsidRDefault="009115CF" w:rsidP="00415FED">
            <w:pPr>
              <w:pStyle w:val="TableTextbold"/>
              <w:jc w:val="both"/>
              <w:rPr>
                <w:color w:val="FFFFFF"/>
              </w:rPr>
            </w:pPr>
            <w:r w:rsidRPr="003776E0">
              <w:rPr>
                <w:color w:val="FFFFFF"/>
              </w:rPr>
              <w:t>Effective carbon price</w:t>
            </w:r>
            <w:r w:rsidR="00000FB6" w:rsidRPr="003776E0">
              <w:rPr>
                <w:color w:val="FFFFFF"/>
              </w:rPr>
              <w:br/>
            </w:r>
            <w:r w:rsidRPr="003776E0">
              <w:rPr>
                <w:color w:val="FFFFFF"/>
              </w:rPr>
              <w:t>$20</w:t>
            </w:r>
          </w:p>
        </w:tc>
        <w:tc>
          <w:tcPr>
            <w:tcW w:w="1580" w:type="dxa"/>
            <w:tcBorders>
              <w:top w:val="single" w:sz="4" w:space="0" w:color="005984"/>
              <w:bottom w:val="single" w:sz="4" w:space="0" w:color="005984"/>
            </w:tcBorders>
            <w:shd w:val="clear" w:color="auto" w:fill="005984"/>
            <w:vAlign w:val="bottom"/>
          </w:tcPr>
          <w:p w:rsidR="009115CF" w:rsidRPr="003776E0" w:rsidRDefault="009115CF" w:rsidP="00415FED">
            <w:pPr>
              <w:pStyle w:val="TableTextbold"/>
              <w:jc w:val="both"/>
              <w:rPr>
                <w:color w:val="FFFFFF"/>
              </w:rPr>
            </w:pPr>
            <w:r w:rsidRPr="003776E0">
              <w:rPr>
                <w:color w:val="FFFFFF"/>
              </w:rPr>
              <w:t>Effective carbon price</w:t>
            </w:r>
            <w:r w:rsidR="00000FB6" w:rsidRPr="003776E0">
              <w:rPr>
                <w:color w:val="FFFFFF"/>
              </w:rPr>
              <w:br/>
            </w:r>
            <w:r w:rsidRPr="003776E0">
              <w:rPr>
                <w:color w:val="FFFFFF"/>
              </w:rPr>
              <w:t>$50</w:t>
            </w:r>
          </w:p>
        </w:tc>
      </w:tr>
      <w:tr w:rsidR="003776E0" w:rsidRPr="003776E0" w:rsidTr="003776E0">
        <w:trPr>
          <w:trHeight w:hRule="exact" w:val="567"/>
        </w:trPr>
        <w:tc>
          <w:tcPr>
            <w:tcW w:w="2185" w:type="dxa"/>
            <w:tcBorders>
              <w:top w:val="single" w:sz="4" w:space="0" w:color="005984"/>
            </w:tcBorders>
            <w:shd w:val="clear" w:color="auto" w:fill="FFFFFF"/>
          </w:tcPr>
          <w:p w:rsidR="009115CF" w:rsidRPr="003776E0" w:rsidRDefault="009115CF" w:rsidP="00415FED">
            <w:pPr>
              <w:pStyle w:val="TableTextbold"/>
              <w:spacing w:before="40" w:after="40"/>
              <w:jc w:val="both"/>
              <w:rPr>
                <w:color w:val="000000"/>
              </w:rPr>
            </w:pPr>
            <w:r w:rsidRPr="003776E0">
              <w:rPr>
                <w:color w:val="000000"/>
              </w:rPr>
              <w:t>10,000 tonnes of emissions</w:t>
            </w:r>
            <w:r w:rsidRPr="003776E0">
              <w:rPr>
                <w:rStyle w:val="FootnoteReference"/>
                <w:rFonts w:ascii="Calibri" w:hAnsi="Calibri"/>
                <w:color w:val="000000"/>
              </w:rPr>
              <w:footnoteReference w:id="17"/>
            </w:r>
          </w:p>
        </w:tc>
        <w:tc>
          <w:tcPr>
            <w:tcW w:w="1580" w:type="dxa"/>
            <w:tcBorders>
              <w:top w:val="single" w:sz="4" w:space="0" w:color="005984"/>
            </w:tcBorders>
            <w:shd w:val="clear" w:color="auto" w:fill="auto"/>
          </w:tcPr>
          <w:p w:rsidR="009115CF" w:rsidRPr="003776E0" w:rsidRDefault="009115CF" w:rsidP="00415FED">
            <w:pPr>
              <w:pStyle w:val="TableText"/>
              <w:spacing w:before="40" w:after="40"/>
              <w:jc w:val="both"/>
              <w:rPr>
                <w:color w:val="000000"/>
              </w:rPr>
            </w:pPr>
            <w:r w:rsidRPr="003776E0">
              <w:rPr>
                <w:color w:val="000000"/>
              </w:rPr>
              <w:t>$50,000</w:t>
            </w:r>
          </w:p>
        </w:tc>
        <w:tc>
          <w:tcPr>
            <w:tcW w:w="1580" w:type="dxa"/>
            <w:tcBorders>
              <w:top w:val="single" w:sz="4" w:space="0" w:color="005984"/>
            </w:tcBorders>
            <w:shd w:val="clear" w:color="auto" w:fill="CCDEE6"/>
          </w:tcPr>
          <w:p w:rsidR="009115CF" w:rsidRPr="003776E0" w:rsidRDefault="009115CF" w:rsidP="00415FED">
            <w:pPr>
              <w:pStyle w:val="TableText"/>
              <w:spacing w:before="40" w:after="40"/>
              <w:jc w:val="both"/>
              <w:rPr>
                <w:color w:val="000000"/>
              </w:rPr>
            </w:pPr>
            <w:r w:rsidRPr="003776E0">
              <w:rPr>
                <w:color w:val="000000"/>
              </w:rPr>
              <w:t>$100,000</w:t>
            </w:r>
          </w:p>
        </w:tc>
        <w:tc>
          <w:tcPr>
            <w:tcW w:w="1580" w:type="dxa"/>
            <w:tcBorders>
              <w:top w:val="single" w:sz="4" w:space="0" w:color="005984"/>
            </w:tcBorders>
            <w:shd w:val="clear" w:color="auto" w:fill="auto"/>
          </w:tcPr>
          <w:p w:rsidR="009115CF" w:rsidRPr="003776E0" w:rsidRDefault="009115CF" w:rsidP="00415FED">
            <w:pPr>
              <w:pStyle w:val="TableText"/>
              <w:spacing w:before="40" w:after="40"/>
              <w:jc w:val="both"/>
              <w:rPr>
                <w:color w:val="000000"/>
              </w:rPr>
            </w:pPr>
            <w:r w:rsidRPr="003776E0">
              <w:rPr>
                <w:color w:val="000000"/>
              </w:rPr>
              <w:t>$200,000</w:t>
            </w:r>
          </w:p>
        </w:tc>
        <w:tc>
          <w:tcPr>
            <w:tcW w:w="1580" w:type="dxa"/>
            <w:tcBorders>
              <w:top w:val="single" w:sz="4" w:space="0" w:color="005984"/>
            </w:tcBorders>
            <w:shd w:val="clear" w:color="auto" w:fill="CCDEE6"/>
          </w:tcPr>
          <w:p w:rsidR="009115CF" w:rsidRPr="003776E0" w:rsidRDefault="009115CF" w:rsidP="00415FED">
            <w:pPr>
              <w:pStyle w:val="TableText"/>
              <w:spacing w:before="40" w:after="40"/>
              <w:jc w:val="both"/>
              <w:rPr>
                <w:color w:val="000000"/>
              </w:rPr>
            </w:pPr>
            <w:r w:rsidRPr="003776E0">
              <w:rPr>
                <w:color w:val="000000"/>
              </w:rPr>
              <w:t>$500,000</w:t>
            </w:r>
          </w:p>
        </w:tc>
      </w:tr>
      <w:tr w:rsidR="003776E0" w:rsidRPr="003776E0" w:rsidTr="003776E0">
        <w:trPr>
          <w:trHeight w:hRule="exact" w:val="567"/>
        </w:trPr>
        <w:tc>
          <w:tcPr>
            <w:tcW w:w="2185" w:type="dxa"/>
            <w:shd w:val="clear" w:color="auto" w:fill="FFFFFF"/>
          </w:tcPr>
          <w:p w:rsidR="009115CF" w:rsidRPr="003776E0" w:rsidRDefault="009115CF" w:rsidP="00415FED">
            <w:pPr>
              <w:pStyle w:val="TableTextbold"/>
              <w:spacing w:before="40" w:after="40"/>
              <w:jc w:val="both"/>
              <w:rPr>
                <w:color w:val="000000"/>
              </w:rPr>
            </w:pPr>
            <w:r w:rsidRPr="003776E0">
              <w:rPr>
                <w:color w:val="000000"/>
              </w:rPr>
              <w:t>100,000 tonnes of emissions</w:t>
            </w:r>
            <w:r w:rsidRPr="003776E0">
              <w:rPr>
                <w:rStyle w:val="FootnoteReference"/>
                <w:rFonts w:ascii="Calibri" w:hAnsi="Calibri"/>
                <w:color w:val="000000"/>
              </w:rPr>
              <w:footnoteReference w:id="18"/>
            </w:r>
          </w:p>
        </w:tc>
        <w:tc>
          <w:tcPr>
            <w:tcW w:w="1580" w:type="dxa"/>
            <w:shd w:val="clear" w:color="auto" w:fill="auto"/>
          </w:tcPr>
          <w:p w:rsidR="009115CF" w:rsidRPr="003776E0" w:rsidRDefault="009115CF" w:rsidP="00415FED">
            <w:pPr>
              <w:pStyle w:val="TableText"/>
              <w:spacing w:before="40" w:after="40"/>
              <w:jc w:val="both"/>
              <w:rPr>
                <w:color w:val="000000"/>
              </w:rPr>
            </w:pPr>
            <w:r w:rsidRPr="003776E0">
              <w:rPr>
                <w:color w:val="000000"/>
              </w:rPr>
              <w:t>$500,000</w:t>
            </w:r>
          </w:p>
        </w:tc>
        <w:tc>
          <w:tcPr>
            <w:tcW w:w="1580" w:type="dxa"/>
            <w:shd w:val="clear" w:color="auto" w:fill="CCDEE6"/>
          </w:tcPr>
          <w:p w:rsidR="009115CF" w:rsidRPr="003776E0" w:rsidRDefault="009115CF" w:rsidP="00415FED">
            <w:pPr>
              <w:pStyle w:val="TableText"/>
              <w:spacing w:before="40" w:after="40"/>
              <w:jc w:val="both"/>
              <w:rPr>
                <w:color w:val="000000"/>
              </w:rPr>
            </w:pPr>
            <w:r w:rsidRPr="003776E0">
              <w:rPr>
                <w:color w:val="000000"/>
              </w:rPr>
              <w:t>$1,000,000</w:t>
            </w:r>
          </w:p>
        </w:tc>
        <w:tc>
          <w:tcPr>
            <w:tcW w:w="1580" w:type="dxa"/>
            <w:shd w:val="clear" w:color="auto" w:fill="auto"/>
          </w:tcPr>
          <w:p w:rsidR="009115CF" w:rsidRPr="003776E0" w:rsidRDefault="009115CF" w:rsidP="00415FED">
            <w:pPr>
              <w:pStyle w:val="TableText"/>
              <w:spacing w:before="40" w:after="40"/>
              <w:jc w:val="both"/>
              <w:rPr>
                <w:color w:val="000000"/>
              </w:rPr>
            </w:pPr>
            <w:r w:rsidRPr="003776E0">
              <w:rPr>
                <w:color w:val="000000"/>
              </w:rPr>
              <w:t>$2,000,000</w:t>
            </w:r>
          </w:p>
        </w:tc>
        <w:tc>
          <w:tcPr>
            <w:tcW w:w="1580" w:type="dxa"/>
            <w:shd w:val="clear" w:color="auto" w:fill="CCDEE6"/>
          </w:tcPr>
          <w:p w:rsidR="009115CF" w:rsidRPr="003776E0" w:rsidRDefault="009115CF" w:rsidP="00415FED">
            <w:pPr>
              <w:pStyle w:val="TableText"/>
              <w:spacing w:before="40" w:after="40"/>
              <w:jc w:val="both"/>
              <w:rPr>
                <w:color w:val="000000"/>
              </w:rPr>
            </w:pPr>
            <w:r w:rsidRPr="003776E0">
              <w:rPr>
                <w:color w:val="000000"/>
              </w:rPr>
              <w:t>$5,000,000</w:t>
            </w:r>
          </w:p>
        </w:tc>
      </w:tr>
      <w:tr w:rsidR="003776E0" w:rsidRPr="003776E0" w:rsidTr="003776E0">
        <w:trPr>
          <w:trHeight w:hRule="exact" w:val="567"/>
        </w:trPr>
        <w:tc>
          <w:tcPr>
            <w:tcW w:w="2185" w:type="dxa"/>
            <w:tcBorders>
              <w:bottom w:val="single" w:sz="4" w:space="0" w:color="005984"/>
            </w:tcBorders>
            <w:shd w:val="clear" w:color="auto" w:fill="FFFFFF"/>
          </w:tcPr>
          <w:p w:rsidR="009115CF" w:rsidRPr="003776E0" w:rsidRDefault="009115CF" w:rsidP="00415FED">
            <w:pPr>
              <w:pStyle w:val="TableTextbold"/>
              <w:spacing w:before="40" w:after="40"/>
              <w:jc w:val="both"/>
              <w:rPr>
                <w:color w:val="000000"/>
              </w:rPr>
            </w:pPr>
            <w:r w:rsidRPr="003776E0">
              <w:rPr>
                <w:color w:val="000000"/>
              </w:rPr>
              <w:t>1 million tonnes of emissions</w:t>
            </w:r>
            <w:r w:rsidRPr="003776E0">
              <w:rPr>
                <w:rStyle w:val="FootnoteReference"/>
                <w:rFonts w:ascii="Calibri" w:hAnsi="Calibri"/>
                <w:color w:val="000000"/>
              </w:rPr>
              <w:footnoteReference w:id="19"/>
            </w:r>
          </w:p>
        </w:tc>
        <w:tc>
          <w:tcPr>
            <w:tcW w:w="1580" w:type="dxa"/>
            <w:tcBorders>
              <w:bottom w:val="single" w:sz="4" w:space="0" w:color="005984"/>
            </w:tcBorders>
            <w:shd w:val="clear" w:color="auto" w:fill="auto"/>
          </w:tcPr>
          <w:p w:rsidR="009115CF" w:rsidRPr="003776E0" w:rsidRDefault="009115CF" w:rsidP="00415FED">
            <w:pPr>
              <w:pStyle w:val="TableText"/>
              <w:spacing w:before="40" w:after="40"/>
              <w:jc w:val="both"/>
              <w:rPr>
                <w:color w:val="000000"/>
              </w:rPr>
            </w:pPr>
            <w:r w:rsidRPr="003776E0">
              <w:rPr>
                <w:color w:val="000000"/>
              </w:rPr>
              <w:t>$5,000,000</w:t>
            </w:r>
          </w:p>
        </w:tc>
        <w:tc>
          <w:tcPr>
            <w:tcW w:w="1580" w:type="dxa"/>
            <w:tcBorders>
              <w:bottom w:val="single" w:sz="4" w:space="0" w:color="005984"/>
            </w:tcBorders>
            <w:shd w:val="clear" w:color="auto" w:fill="CCDEE6"/>
          </w:tcPr>
          <w:p w:rsidR="009115CF" w:rsidRPr="003776E0" w:rsidRDefault="009115CF" w:rsidP="00415FED">
            <w:pPr>
              <w:pStyle w:val="TableText"/>
              <w:spacing w:before="40" w:after="40"/>
              <w:jc w:val="both"/>
              <w:rPr>
                <w:color w:val="000000"/>
              </w:rPr>
            </w:pPr>
            <w:r w:rsidRPr="003776E0">
              <w:rPr>
                <w:color w:val="000000"/>
              </w:rPr>
              <w:t>$10,000,000</w:t>
            </w:r>
          </w:p>
        </w:tc>
        <w:tc>
          <w:tcPr>
            <w:tcW w:w="1580" w:type="dxa"/>
            <w:tcBorders>
              <w:bottom w:val="single" w:sz="4" w:space="0" w:color="005984"/>
            </w:tcBorders>
            <w:shd w:val="clear" w:color="auto" w:fill="auto"/>
          </w:tcPr>
          <w:p w:rsidR="009115CF" w:rsidRPr="003776E0" w:rsidRDefault="009115CF" w:rsidP="00415FED">
            <w:pPr>
              <w:pStyle w:val="TableText"/>
              <w:spacing w:before="40" w:after="40"/>
              <w:jc w:val="both"/>
              <w:rPr>
                <w:color w:val="000000"/>
              </w:rPr>
            </w:pPr>
            <w:r w:rsidRPr="003776E0">
              <w:rPr>
                <w:color w:val="000000"/>
              </w:rPr>
              <w:t>$20,000,000</w:t>
            </w:r>
          </w:p>
        </w:tc>
        <w:tc>
          <w:tcPr>
            <w:tcW w:w="1580" w:type="dxa"/>
            <w:tcBorders>
              <w:bottom w:val="single" w:sz="4" w:space="0" w:color="005984"/>
            </w:tcBorders>
            <w:shd w:val="clear" w:color="auto" w:fill="CCDEE6"/>
          </w:tcPr>
          <w:p w:rsidR="009115CF" w:rsidRPr="003776E0" w:rsidRDefault="009115CF" w:rsidP="00415FED">
            <w:pPr>
              <w:pStyle w:val="TableText"/>
              <w:spacing w:before="40" w:after="40"/>
              <w:jc w:val="both"/>
              <w:rPr>
                <w:color w:val="000000"/>
              </w:rPr>
            </w:pPr>
            <w:r w:rsidRPr="003776E0">
              <w:rPr>
                <w:color w:val="000000"/>
              </w:rPr>
              <w:t>$50,000,000</w:t>
            </w:r>
          </w:p>
        </w:tc>
      </w:tr>
    </w:tbl>
    <w:p w:rsidR="001331FC" w:rsidRPr="00AF297A" w:rsidRDefault="001331FC" w:rsidP="00400885">
      <w:pPr>
        <w:pStyle w:val="Heading3"/>
      </w:pPr>
      <w:r w:rsidRPr="00AF297A">
        <w:lastRenderedPageBreak/>
        <w:t>NZ</w:t>
      </w:r>
      <w:r w:rsidR="008A6113">
        <w:t>U price impacts on</w:t>
      </w:r>
      <w:r w:rsidRPr="00AF297A">
        <w:t xml:space="preserve"> </w:t>
      </w:r>
      <w:r w:rsidR="00907EA6">
        <w:t xml:space="preserve">NZ </w:t>
      </w:r>
      <w:r w:rsidRPr="00AF297A">
        <w:t xml:space="preserve">ETS pass-through costs </w:t>
      </w:r>
    </w:p>
    <w:p w:rsidR="001331FC" w:rsidRPr="00AF297A" w:rsidRDefault="008A6113" w:rsidP="00400885">
      <w:pPr>
        <w:pStyle w:val="BodyText"/>
      </w:pPr>
      <w:r w:rsidRPr="008A6113">
        <w:t xml:space="preserve">NZ ETS participants may pass their emissions costs on to consumers. This is primarily seen as an increased NZ ETS cost for fuel, electricity, natural gas and coal. This indirect NZ ETS cost is referred to as a </w:t>
      </w:r>
      <w:r w:rsidR="007B5588" w:rsidRPr="00AF297A">
        <w:t>‘</w:t>
      </w:r>
      <w:r w:rsidR="001331FC" w:rsidRPr="00AF297A">
        <w:t>pass-through cost</w:t>
      </w:r>
      <w:r w:rsidR="007B5588" w:rsidRPr="00AF297A">
        <w:t>’</w:t>
      </w:r>
      <w:r w:rsidR="001331FC" w:rsidRPr="00AF297A">
        <w:t xml:space="preserve">. </w:t>
      </w:r>
    </w:p>
    <w:p w:rsidR="00F73456" w:rsidRDefault="008A6113" w:rsidP="00400885">
      <w:pPr>
        <w:pStyle w:val="BodyText"/>
      </w:pPr>
      <w:r w:rsidRPr="008A6113">
        <w:t>Actual NZ ETS pass-through costs depend on several factors</w:t>
      </w:r>
      <w:r w:rsidR="00F73456">
        <w:t>,</w:t>
      </w:r>
      <w:r w:rsidRPr="008A6113">
        <w:t xml:space="preserve"> including</w:t>
      </w:r>
      <w:r w:rsidR="00F73456">
        <w:t>:</w:t>
      </w:r>
    </w:p>
    <w:p w:rsidR="00F73456" w:rsidRDefault="008A6113" w:rsidP="00400885">
      <w:pPr>
        <w:pStyle w:val="Bullet"/>
      </w:pPr>
      <w:r w:rsidRPr="008A6113">
        <w:t>contracts between firms</w:t>
      </w:r>
    </w:p>
    <w:p w:rsidR="00F73456" w:rsidRDefault="008A6113" w:rsidP="00400885">
      <w:pPr>
        <w:pStyle w:val="Bullet"/>
      </w:pPr>
      <w:r w:rsidRPr="008A6113">
        <w:t xml:space="preserve">the specific type of energy consumed </w:t>
      </w:r>
    </w:p>
    <w:p w:rsidR="004F0074" w:rsidRDefault="008A6113" w:rsidP="00400885">
      <w:pPr>
        <w:pStyle w:val="Bullet"/>
      </w:pPr>
      <w:r w:rsidRPr="008A6113">
        <w:t>the choices of the energy producer for passing costs onto households and consumers</w:t>
      </w:r>
    </w:p>
    <w:p w:rsidR="001331FC" w:rsidRPr="00AF297A" w:rsidRDefault="008A6113" w:rsidP="00400885">
      <w:pPr>
        <w:pStyle w:val="Bullet"/>
      </w:pPr>
      <w:r w:rsidRPr="008A6113">
        <w:t>whether a firm receives an allocation for emissions-intensive trade-exposed (EITE) activities</w:t>
      </w:r>
      <w:r w:rsidR="001331FC" w:rsidRPr="00AF297A">
        <w:t>.</w:t>
      </w:r>
      <w:r>
        <w:rPr>
          <w:rStyle w:val="FootnoteReference"/>
        </w:rPr>
        <w:footnoteReference w:id="20"/>
      </w:r>
    </w:p>
    <w:p w:rsidR="001331FC" w:rsidRPr="00AF297A" w:rsidRDefault="001331FC" w:rsidP="00400885">
      <w:pPr>
        <w:pStyle w:val="BodyText"/>
      </w:pPr>
      <w:r w:rsidRPr="00AF297A">
        <w:t xml:space="preserve">Table 2 outlines </w:t>
      </w:r>
      <w:r w:rsidR="000231EE">
        <w:t xml:space="preserve">estimated </w:t>
      </w:r>
      <w:r w:rsidRPr="00AF297A">
        <w:t xml:space="preserve">NZ ETS pass-through costs at </w:t>
      </w:r>
      <w:r w:rsidR="000231EE">
        <w:t>effective carbon</w:t>
      </w:r>
      <w:r w:rsidRPr="00AF297A">
        <w:t xml:space="preserve"> prices per unit of fuel, electricity, natural gas or coal used. </w:t>
      </w:r>
    </w:p>
    <w:p w:rsidR="009115CF" w:rsidRPr="00AF297A" w:rsidRDefault="001331FC" w:rsidP="0067171B">
      <w:pPr>
        <w:pStyle w:val="Tableheading"/>
        <w:spacing w:before="120"/>
      </w:pPr>
      <w:bookmarkStart w:id="27" w:name="_Toc433981619"/>
      <w:r w:rsidRPr="00AF297A">
        <w:t xml:space="preserve">Table 2: </w:t>
      </w:r>
      <w:r w:rsidRPr="00AF297A">
        <w:tab/>
        <w:t>Estimated NZ ETS costs passed through to energy users</w:t>
      </w:r>
      <w:bookmarkEnd w:id="27"/>
    </w:p>
    <w:tbl>
      <w:tblPr>
        <w:tblW w:w="8505" w:type="dxa"/>
        <w:tblInd w:w="8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280" w:firstRow="0" w:lastRow="0" w:firstColumn="1" w:lastColumn="0" w:noHBand="1" w:noVBand="0"/>
      </w:tblPr>
      <w:tblGrid>
        <w:gridCol w:w="2063"/>
        <w:gridCol w:w="1610"/>
        <w:gridCol w:w="60"/>
        <w:gridCol w:w="1551"/>
        <w:gridCol w:w="1610"/>
        <w:gridCol w:w="1611"/>
      </w:tblGrid>
      <w:tr w:rsidR="001D5C92" w:rsidRPr="00AF297A" w:rsidTr="003776E0">
        <w:tc>
          <w:tcPr>
            <w:tcW w:w="8505" w:type="dxa"/>
            <w:gridSpan w:val="6"/>
            <w:tcBorders>
              <w:top w:val="nil"/>
              <w:left w:val="nil"/>
              <w:bottom w:val="single" w:sz="8" w:space="0" w:color="005984"/>
              <w:right w:val="nil"/>
            </w:tcBorders>
            <w:shd w:val="clear" w:color="auto" w:fill="auto"/>
          </w:tcPr>
          <w:p w:rsidR="001D5C92" w:rsidRPr="003776E0" w:rsidRDefault="001D5C92" w:rsidP="00415FED">
            <w:pPr>
              <w:pStyle w:val="TableTextbold"/>
              <w:jc w:val="both"/>
              <w:rPr>
                <w:color w:val="000000"/>
              </w:rPr>
            </w:pPr>
            <w:r w:rsidRPr="003776E0">
              <w:rPr>
                <w:color w:val="000000"/>
              </w:rPr>
              <w:t>Vehicle fuel users, including household consumers</w:t>
            </w:r>
          </w:p>
        </w:tc>
      </w:tr>
      <w:tr w:rsidR="003776E0" w:rsidRPr="003776E0" w:rsidTr="003776E0">
        <w:tc>
          <w:tcPr>
            <w:tcW w:w="2063"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NZ ETS cost</w:t>
            </w:r>
          </w:p>
        </w:tc>
        <w:tc>
          <w:tcPr>
            <w:tcW w:w="1670" w:type="dxa"/>
            <w:gridSpan w:val="2"/>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301D01" w:rsidRPr="003776E0">
              <w:rPr>
                <w:color w:val="FFFFFF"/>
              </w:rPr>
              <w:br/>
            </w:r>
            <w:r w:rsidRPr="003776E0">
              <w:rPr>
                <w:color w:val="FFFFFF"/>
              </w:rPr>
              <w:t>$5</w:t>
            </w:r>
          </w:p>
        </w:tc>
        <w:tc>
          <w:tcPr>
            <w:tcW w:w="1551"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301D01" w:rsidRPr="003776E0">
              <w:rPr>
                <w:color w:val="FFFFFF"/>
              </w:rPr>
              <w:br/>
            </w:r>
            <w:r w:rsidRPr="003776E0">
              <w:rPr>
                <w:color w:val="FFFFFF"/>
              </w:rPr>
              <w:t>$10</w:t>
            </w:r>
          </w:p>
        </w:tc>
        <w:tc>
          <w:tcPr>
            <w:tcW w:w="1610"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301D01" w:rsidRPr="003776E0">
              <w:rPr>
                <w:color w:val="FFFFFF"/>
              </w:rPr>
              <w:br/>
            </w:r>
            <w:r w:rsidRPr="003776E0">
              <w:rPr>
                <w:color w:val="FFFFFF"/>
              </w:rPr>
              <w:t>$20</w:t>
            </w:r>
          </w:p>
        </w:tc>
        <w:tc>
          <w:tcPr>
            <w:tcW w:w="1611"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301D01" w:rsidRPr="003776E0">
              <w:rPr>
                <w:color w:val="FFFFFF"/>
              </w:rPr>
              <w:br/>
            </w:r>
            <w:r w:rsidRPr="003776E0">
              <w:rPr>
                <w:color w:val="FFFFFF"/>
              </w:rPr>
              <w:t>$50</w:t>
            </w:r>
          </w:p>
        </w:tc>
      </w:tr>
      <w:tr w:rsidR="003776E0" w:rsidRPr="00AF297A" w:rsidTr="003776E0">
        <w:tc>
          <w:tcPr>
            <w:tcW w:w="2063" w:type="dxa"/>
            <w:tcBorders>
              <w:top w:val="nil"/>
              <w:left w:val="nil"/>
              <w:bottom w:val="nil"/>
              <w:right w:val="nil"/>
            </w:tcBorders>
            <w:shd w:val="clear" w:color="auto" w:fill="auto"/>
          </w:tcPr>
          <w:p w:rsidR="001D5C92" w:rsidRPr="003776E0" w:rsidRDefault="001D5C92" w:rsidP="00400885">
            <w:pPr>
              <w:pStyle w:val="TableTextbold"/>
              <w:rPr>
                <w:color w:val="000000"/>
              </w:rPr>
            </w:pPr>
            <w:r w:rsidRPr="003776E0">
              <w:rPr>
                <w:color w:val="000000"/>
              </w:rPr>
              <w:t>per litre of premium 95</w:t>
            </w:r>
            <w:r w:rsidR="008248E5" w:rsidRPr="003776E0">
              <w:rPr>
                <w:color w:val="000000"/>
              </w:rPr>
              <w:t> </w:t>
            </w:r>
            <w:r w:rsidRPr="003776E0">
              <w:rPr>
                <w:color w:val="000000"/>
              </w:rPr>
              <w:t>fuel</w:t>
            </w:r>
          </w:p>
        </w:tc>
        <w:tc>
          <w:tcPr>
            <w:tcW w:w="1670" w:type="dxa"/>
            <w:gridSpan w:val="2"/>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$0.01</w:t>
            </w:r>
          </w:p>
        </w:tc>
        <w:tc>
          <w:tcPr>
            <w:tcW w:w="1551"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$0.02</w:t>
            </w:r>
          </w:p>
        </w:tc>
        <w:tc>
          <w:tcPr>
            <w:tcW w:w="1610"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$0.05</w:t>
            </w:r>
          </w:p>
        </w:tc>
        <w:tc>
          <w:tcPr>
            <w:tcW w:w="1611"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$0.12</w:t>
            </w:r>
          </w:p>
        </w:tc>
      </w:tr>
      <w:tr w:rsidR="003776E0" w:rsidRPr="00AF297A" w:rsidTr="003776E0">
        <w:tc>
          <w:tcPr>
            <w:tcW w:w="2063" w:type="dxa"/>
            <w:tcBorders>
              <w:top w:val="nil"/>
              <w:left w:val="nil"/>
              <w:bottom w:val="nil"/>
              <w:right w:val="nil"/>
            </w:tcBorders>
            <w:shd w:val="clear" w:color="auto" w:fill="auto"/>
          </w:tcPr>
          <w:p w:rsidR="001D5C92" w:rsidRPr="003776E0" w:rsidRDefault="001D5C92" w:rsidP="00400885">
            <w:pPr>
              <w:pStyle w:val="TableTextbold"/>
              <w:rPr>
                <w:color w:val="000000"/>
              </w:rPr>
            </w:pPr>
            <w:r w:rsidRPr="003776E0">
              <w:rPr>
                <w:color w:val="000000"/>
              </w:rPr>
              <w:t>per litre of regular 91</w:t>
            </w:r>
            <w:r w:rsidR="008248E5" w:rsidRPr="003776E0">
              <w:rPr>
                <w:color w:val="000000"/>
              </w:rPr>
              <w:t> </w:t>
            </w:r>
            <w:r w:rsidRPr="003776E0">
              <w:rPr>
                <w:color w:val="000000"/>
              </w:rPr>
              <w:t>fuel</w:t>
            </w:r>
          </w:p>
        </w:tc>
        <w:tc>
          <w:tcPr>
            <w:tcW w:w="1670" w:type="dxa"/>
            <w:gridSpan w:val="2"/>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$0.01</w:t>
            </w:r>
          </w:p>
        </w:tc>
        <w:tc>
          <w:tcPr>
            <w:tcW w:w="1551"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$0.02</w:t>
            </w:r>
          </w:p>
        </w:tc>
        <w:tc>
          <w:tcPr>
            <w:tcW w:w="1610"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$0.05</w:t>
            </w:r>
          </w:p>
        </w:tc>
        <w:tc>
          <w:tcPr>
            <w:tcW w:w="1611"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$0.12</w:t>
            </w:r>
          </w:p>
        </w:tc>
      </w:tr>
      <w:tr w:rsidR="003776E0" w:rsidRPr="00AF297A" w:rsidTr="003776E0">
        <w:tc>
          <w:tcPr>
            <w:tcW w:w="2063" w:type="dxa"/>
            <w:tcBorders>
              <w:top w:val="nil"/>
              <w:left w:val="nil"/>
              <w:bottom w:val="single" w:sz="8" w:space="0" w:color="005984"/>
              <w:right w:val="nil"/>
            </w:tcBorders>
            <w:shd w:val="clear" w:color="auto" w:fill="auto"/>
          </w:tcPr>
          <w:p w:rsidR="001D5C92" w:rsidRPr="003776E0" w:rsidRDefault="001D5C92" w:rsidP="00400885">
            <w:pPr>
              <w:pStyle w:val="TableTextbold"/>
              <w:rPr>
                <w:color w:val="000000"/>
              </w:rPr>
            </w:pPr>
            <w:r w:rsidRPr="003776E0">
              <w:rPr>
                <w:color w:val="000000"/>
              </w:rPr>
              <w:t>per litre of diesel fuel</w:t>
            </w:r>
          </w:p>
        </w:tc>
        <w:tc>
          <w:tcPr>
            <w:tcW w:w="1670" w:type="dxa"/>
            <w:gridSpan w:val="2"/>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$0.01</w:t>
            </w:r>
          </w:p>
        </w:tc>
        <w:tc>
          <w:tcPr>
            <w:tcW w:w="1551"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$0.03</w:t>
            </w:r>
          </w:p>
        </w:tc>
        <w:tc>
          <w:tcPr>
            <w:tcW w:w="1610"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$0.05</w:t>
            </w:r>
          </w:p>
        </w:tc>
        <w:tc>
          <w:tcPr>
            <w:tcW w:w="1611"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$0.13</w:t>
            </w:r>
          </w:p>
        </w:tc>
      </w:tr>
      <w:tr w:rsidR="001D5C92" w:rsidRPr="00AF297A" w:rsidTr="003776E0">
        <w:tc>
          <w:tcPr>
            <w:tcW w:w="8505" w:type="dxa"/>
            <w:gridSpan w:val="6"/>
            <w:tcBorders>
              <w:top w:val="single" w:sz="8" w:space="0" w:color="005984"/>
              <w:left w:val="nil"/>
              <w:bottom w:val="single" w:sz="8" w:space="0" w:color="005984"/>
              <w:right w:val="nil"/>
            </w:tcBorders>
            <w:shd w:val="clear" w:color="auto" w:fill="auto"/>
          </w:tcPr>
          <w:p w:rsidR="001D5C92" w:rsidRPr="003776E0" w:rsidRDefault="001D5C92" w:rsidP="00415FED">
            <w:pPr>
              <w:pStyle w:val="TableTextbold"/>
              <w:spacing w:before="120"/>
              <w:jc w:val="both"/>
              <w:rPr>
                <w:color w:val="000000"/>
                <w:highlight w:val="yellow"/>
              </w:rPr>
            </w:pPr>
            <w:r w:rsidRPr="003776E0">
              <w:rPr>
                <w:color w:val="000000"/>
              </w:rPr>
              <w:t>Consumers, including households</w:t>
            </w:r>
          </w:p>
        </w:tc>
      </w:tr>
      <w:tr w:rsidR="003776E0" w:rsidRPr="003776E0" w:rsidTr="003776E0">
        <w:tc>
          <w:tcPr>
            <w:tcW w:w="2063"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NZ ETS cost</w:t>
            </w:r>
          </w:p>
        </w:tc>
        <w:tc>
          <w:tcPr>
            <w:tcW w:w="1610"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341E34" w:rsidRPr="003776E0">
              <w:rPr>
                <w:color w:val="FFFFFF"/>
              </w:rPr>
              <w:br/>
            </w:r>
            <w:r w:rsidRPr="003776E0">
              <w:rPr>
                <w:color w:val="FFFFFF"/>
              </w:rPr>
              <w:t>$5</w:t>
            </w:r>
          </w:p>
        </w:tc>
        <w:tc>
          <w:tcPr>
            <w:tcW w:w="1611" w:type="dxa"/>
            <w:gridSpan w:val="2"/>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341E34" w:rsidRPr="003776E0">
              <w:rPr>
                <w:color w:val="FFFFFF"/>
              </w:rPr>
              <w:br/>
            </w:r>
            <w:r w:rsidRPr="003776E0">
              <w:rPr>
                <w:color w:val="FFFFFF"/>
              </w:rPr>
              <w:t>$10</w:t>
            </w:r>
          </w:p>
        </w:tc>
        <w:tc>
          <w:tcPr>
            <w:tcW w:w="1610"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341E34" w:rsidRPr="003776E0">
              <w:rPr>
                <w:color w:val="FFFFFF"/>
              </w:rPr>
              <w:br/>
            </w:r>
            <w:r w:rsidRPr="003776E0">
              <w:rPr>
                <w:color w:val="FFFFFF"/>
              </w:rPr>
              <w:t>$20</w:t>
            </w:r>
          </w:p>
        </w:tc>
        <w:tc>
          <w:tcPr>
            <w:tcW w:w="1611"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341E34" w:rsidRPr="003776E0">
              <w:rPr>
                <w:color w:val="FFFFFF"/>
              </w:rPr>
              <w:br/>
            </w:r>
            <w:r w:rsidRPr="003776E0">
              <w:rPr>
                <w:color w:val="FFFFFF"/>
              </w:rPr>
              <w:t>$50</w:t>
            </w:r>
          </w:p>
        </w:tc>
      </w:tr>
      <w:tr w:rsidR="003776E0" w:rsidRPr="00AF297A" w:rsidTr="003776E0">
        <w:tc>
          <w:tcPr>
            <w:tcW w:w="2063" w:type="dxa"/>
            <w:tcBorders>
              <w:top w:val="nil"/>
              <w:left w:val="nil"/>
              <w:bottom w:val="nil"/>
              <w:right w:val="nil"/>
            </w:tcBorders>
            <w:shd w:val="clear" w:color="auto" w:fill="auto"/>
          </w:tcPr>
          <w:p w:rsidR="001D5C92" w:rsidRPr="003B4801" w:rsidRDefault="001D5C92" w:rsidP="00415FED">
            <w:pPr>
              <w:pStyle w:val="TableTextbold"/>
              <w:jc w:val="both"/>
              <w:rPr>
                <w:rFonts w:ascii="Arial" w:hAnsi="Arial" w:cs="Arial"/>
                <w:color w:val="000000"/>
                <w:sz w:val="16"/>
                <w:szCs w:val="16"/>
              </w:rPr>
            </w:pPr>
            <w:r w:rsidRPr="003B4801">
              <w:rPr>
                <w:rFonts w:ascii="Arial" w:hAnsi="Arial" w:cs="Arial"/>
                <w:color w:val="000000"/>
                <w:sz w:val="16"/>
                <w:szCs w:val="16"/>
              </w:rPr>
              <w:t>per kWh of electricity</w:t>
            </w:r>
            <w:r w:rsidRPr="003B4801">
              <w:rPr>
                <w:rStyle w:val="FootnoteReference"/>
                <w:color w:val="000000"/>
                <w:sz w:val="16"/>
                <w:szCs w:val="16"/>
              </w:rPr>
              <w:footnoteReference w:id="21"/>
            </w:r>
          </w:p>
        </w:tc>
        <w:tc>
          <w:tcPr>
            <w:tcW w:w="1610" w:type="dxa"/>
            <w:tcBorders>
              <w:top w:val="nil"/>
              <w:left w:val="nil"/>
              <w:bottom w:val="nil"/>
              <w:right w:val="nil"/>
            </w:tcBorders>
            <w:shd w:val="clear" w:color="auto" w:fill="auto"/>
          </w:tcPr>
          <w:p w:rsidR="001D5C92" w:rsidRPr="003B4801" w:rsidRDefault="001D5C92" w:rsidP="00415FED">
            <w:pPr>
              <w:pStyle w:val="TableText"/>
              <w:jc w:val="both"/>
              <w:rPr>
                <w:color w:val="000000"/>
              </w:rPr>
            </w:pPr>
            <w:r w:rsidRPr="003B4801">
              <w:rPr>
                <w:color w:val="000000"/>
              </w:rPr>
              <w:t>$0.00</w:t>
            </w:r>
            <w:r w:rsidRPr="003B4801">
              <w:rPr>
                <w:color w:val="000000"/>
              </w:rPr>
              <w:br/>
              <w:t>(&lt; 1 cent)</w:t>
            </w:r>
          </w:p>
        </w:tc>
        <w:tc>
          <w:tcPr>
            <w:tcW w:w="1611" w:type="dxa"/>
            <w:gridSpan w:val="2"/>
            <w:tcBorders>
              <w:top w:val="nil"/>
              <w:left w:val="nil"/>
              <w:bottom w:val="nil"/>
              <w:right w:val="nil"/>
            </w:tcBorders>
            <w:shd w:val="clear" w:color="auto" w:fill="auto"/>
          </w:tcPr>
          <w:p w:rsidR="001D5C92" w:rsidRPr="003776E0" w:rsidRDefault="001D5C92" w:rsidP="00415FED">
            <w:pPr>
              <w:pStyle w:val="TableText"/>
              <w:jc w:val="both"/>
              <w:rPr>
                <w:color w:val="000000"/>
                <w:highlight w:val="yellow"/>
              </w:rPr>
            </w:pPr>
            <w:r w:rsidRPr="003776E0">
              <w:rPr>
                <w:color w:val="000000"/>
              </w:rPr>
              <w:t>$0.00</w:t>
            </w:r>
            <w:r w:rsidRPr="003776E0">
              <w:rPr>
                <w:color w:val="000000"/>
              </w:rPr>
              <w:br/>
              <w:t>(&lt; 1 cent)</w:t>
            </w:r>
          </w:p>
        </w:tc>
        <w:tc>
          <w:tcPr>
            <w:tcW w:w="1610" w:type="dxa"/>
            <w:tcBorders>
              <w:top w:val="nil"/>
              <w:left w:val="nil"/>
              <w:bottom w:val="nil"/>
              <w:right w:val="nil"/>
            </w:tcBorders>
            <w:shd w:val="clear" w:color="auto" w:fill="auto"/>
          </w:tcPr>
          <w:p w:rsidR="001D5C92" w:rsidRPr="003776E0" w:rsidRDefault="001D5C92" w:rsidP="00415FED">
            <w:pPr>
              <w:pStyle w:val="TableText"/>
              <w:jc w:val="both"/>
              <w:rPr>
                <w:color w:val="000000"/>
                <w:highlight w:val="yellow"/>
              </w:rPr>
            </w:pPr>
            <w:r w:rsidRPr="003776E0">
              <w:rPr>
                <w:color w:val="000000"/>
              </w:rPr>
              <w:t>$0.01</w:t>
            </w:r>
          </w:p>
        </w:tc>
        <w:tc>
          <w:tcPr>
            <w:tcW w:w="1611" w:type="dxa"/>
            <w:tcBorders>
              <w:top w:val="nil"/>
              <w:left w:val="nil"/>
              <w:bottom w:val="nil"/>
              <w:right w:val="nil"/>
            </w:tcBorders>
            <w:shd w:val="clear" w:color="auto" w:fill="auto"/>
          </w:tcPr>
          <w:p w:rsidR="001D5C92" w:rsidRPr="003776E0" w:rsidRDefault="001D5C92" w:rsidP="00415FED">
            <w:pPr>
              <w:pStyle w:val="TableText"/>
              <w:jc w:val="both"/>
              <w:rPr>
                <w:color w:val="000000"/>
                <w:highlight w:val="yellow"/>
              </w:rPr>
            </w:pPr>
            <w:r w:rsidRPr="003776E0">
              <w:rPr>
                <w:color w:val="000000"/>
              </w:rPr>
              <w:t>$0.02</w:t>
            </w:r>
          </w:p>
        </w:tc>
      </w:tr>
      <w:tr w:rsidR="003776E0" w:rsidRPr="00AF297A" w:rsidTr="003776E0">
        <w:tc>
          <w:tcPr>
            <w:tcW w:w="2063" w:type="dxa"/>
            <w:tcBorders>
              <w:top w:val="nil"/>
              <w:left w:val="nil"/>
              <w:bottom w:val="single" w:sz="8" w:space="0" w:color="005984"/>
              <w:right w:val="nil"/>
            </w:tcBorders>
            <w:shd w:val="clear" w:color="auto" w:fill="auto"/>
          </w:tcPr>
          <w:p w:rsidR="001D5C92" w:rsidRPr="003776E0" w:rsidRDefault="001D5C92" w:rsidP="00415FED">
            <w:pPr>
              <w:pStyle w:val="TableTextbold"/>
              <w:jc w:val="both"/>
              <w:rPr>
                <w:rFonts w:ascii="Arial" w:hAnsi="Arial" w:cs="Arial"/>
                <w:color w:val="000000"/>
                <w:sz w:val="16"/>
                <w:szCs w:val="16"/>
              </w:rPr>
            </w:pPr>
            <w:r w:rsidRPr="003776E0">
              <w:rPr>
                <w:rFonts w:ascii="Arial" w:hAnsi="Arial" w:cs="Arial"/>
                <w:color w:val="000000"/>
                <w:sz w:val="16"/>
                <w:szCs w:val="16"/>
              </w:rPr>
              <w:t>per kWh of natural gas</w:t>
            </w:r>
          </w:p>
        </w:tc>
        <w:tc>
          <w:tcPr>
            <w:tcW w:w="1610"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$0.00</w:t>
            </w:r>
            <w:r w:rsidRPr="003776E0">
              <w:rPr>
                <w:color w:val="000000"/>
              </w:rPr>
              <w:br/>
              <w:t>(&lt; 1 cent)</w:t>
            </w:r>
          </w:p>
        </w:tc>
        <w:tc>
          <w:tcPr>
            <w:tcW w:w="1611" w:type="dxa"/>
            <w:gridSpan w:val="2"/>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$0.00</w:t>
            </w:r>
            <w:r w:rsidRPr="003776E0">
              <w:rPr>
                <w:color w:val="000000"/>
              </w:rPr>
              <w:br/>
              <w:t>(&lt; 1 cent)</w:t>
            </w:r>
          </w:p>
        </w:tc>
        <w:tc>
          <w:tcPr>
            <w:tcW w:w="1610"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$0.00</w:t>
            </w:r>
            <w:r w:rsidRPr="003776E0">
              <w:rPr>
                <w:color w:val="000000"/>
              </w:rPr>
              <w:br/>
              <w:t>(&lt; 1 cent)</w:t>
            </w:r>
          </w:p>
        </w:tc>
        <w:tc>
          <w:tcPr>
            <w:tcW w:w="1611"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$0.01</w:t>
            </w:r>
          </w:p>
        </w:tc>
      </w:tr>
      <w:tr w:rsidR="003776E0" w:rsidRPr="00AF297A" w:rsidTr="003776E0">
        <w:tc>
          <w:tcPr>
            <w:tcW w:w="2063" w:type="dxa"/>
            <w:tcBorders>
              <w:top w:val="single" w:sz="8" w:space="0" w:color="005984"/>
              <w:left w:val="nil"/>
              <w:bottom w:val="nil"/>
              <w:right w:val="nil"/>
            </w:tcBorders>
            <w:shd w:val="clear" w:color="auto" w:fill="auto"/>
          </w:tcPr>
          <w:p w:rsidR="00534857" w:rsidRDefault="00534857" w:rsidP="00415FED">
            <w:pPr>
              <w:pStyle w:val="TableText"/>
              <w:jc w:val="both"/>
              <w:rPr>
                <w:sz w:val="22"/>
                <w:szCs w:val="22"/>
              </w:rPr>
            </w:pPr>
            <w:r>
              <w:rPr>
                <w:sz w:val="22"/>
                <w:szCs w:val="22"/>
              </w:rPr>
              <w:br w:type="page"/>
            </w:r>
          </w:p>
          <w:p w:rsidR="00B57854" w:rsidRPr="003776E0" w:rsidRDefault="00534857" w:rsidP="00415FED">
            <w:pPr>
              <w:pStyle w:val="TableText"/>
              <w:jc w:val="both"/>
              <w:rPr>
                <w:b/>
                <w:bCs/>
                <w:color w:val="000000"/>
              </w:rPr>
            </w:pPr>
            <w:r>
              <w:rPr>
                <w:sz w:val="22"/>
                <w:szCs w:val="22"/>
              </w:rPr>
              <w:br w:type="page"/>
            </w:r>
          </w:p>
        </w:tc>
        <w:tc>
          <w:tcPr>
            <w:tcW w:w="1610" w:type="dxa"/>
            <w:tcBorders>
              <w:top w:val="single" w:sz="8" w:space="0" w:color="005984"/>
              <w:left w:val="nil"/>
              <w:bottom w:val="nil"/>
              <w:right w:val="nil"/>
            </w:tcBorders>
            <w:shd w:val="clear" w:color="auto" w:fill="auto"/>
          </w:tcPr>
          <w:p w:rsidR="00B57854" w:rsidRPr="003776E0" w:rsidRDefault="00B57854" w:rsidP="00415FED">
            <w:pPr>
              <w:pStyle w:val="TableText"/>
              <w:jc w:val="both"/>
              <w:rPr>
                <w:color w:val="000000"/>
              </w:rPr>
            </w:pPr>
          </w:p>
        </w:tc>
        <w:tc>
          <w:tcPr>
            <w:tcW w:w="1611" w:type="dxa"/>
            <w:gridSpan w:val="2"/>
            <w:tcBorders>
              <w:top w:val="single" w:sz="8" w:space="0" w:color="005984"/>
              <w:left w:val="nil"/>
              <w:bottom w:val="nil"/>
              <w:right w:val="nil"/>
            </w:tcBorders>
            <w:shd w:val="clear" w:color="auto" w:fill="auto"/>
          </w:tcPr>
          <w:p w:rsidR="00B57854" w:rsidRPr="003776E0" w:rsidRDefault="00B57854" w:rsidP="00415FED">
            <w:pPr>
              <w:pStyle w:val="TableText"/>
              <w:jc w:val="both"/>
              <w:rPr>
                <w:color w:val="000000"/>
              </w:rPr>
            </w:pPr>
          </w:p>
        </w:tc>
        <w:tc>
          <w:tcPr>
            <w:tcW w:w="1610" w:type="dxa"/>
            <w:tcBorders>
              <w:top w:val="single" w:sz="8" w:space="0" w:color="005984"/>
              <w:left w:val="nil"/>
              <w:bottom w:val="nil"/>
              <w:right w:val="nil"/>
            </w:tcBorders>
            <w:shd w:val="clear" w:color="auto" w:fill="auto"/>
          </w:tcPr>
          <w:p w:rsidR="00B57854" w:rsidRPr="003776E0" w:rsidRDefault="00B57854" w:rsidP="00415FED">
            <w:pPr>
              <w:pStyle w:val="TableText"/>
              <w:jc w:val="both"/>
              <w:rPr>
                <w:color w:val="000000"/>
              </w:rPr>
            </w:pPr>
          </w:p>
        </w:tc>
        <w:tc>
          <w:tcPr>
            <w:tcW w:w="1611" w:type="dxa"/>
            <w:tcBorders>
              <w:top w:val="single" w:sz="8" w:space="0" w:color="005984"/>
              <w:left w:val="nil"/>
              <w:bottom w:val="nil"/>
              <w:right w:val="nil"/>
            </w:tcBorders>
            <w:shd w:val="clear" w:color="auto" w:fill="auto"/>
          </w:tcPr>
          <w:p w:rsidR="00B57854" w:rsidRPr="003776E0" w:rsidRDefault="00B57854" w:rsidP="00415FED">
            <w:pPr>
              <w:pStyle w:val="TableText"/>
              <w:jc w:val="both"/>
              <w:rPr>
                <w:color w:val="000000"/>
              </w:rPr>
            </w:pPr>
          </w:p>
        </w:tc>
      </w:tr>
      <w:tr w:rsidR="001D5C92" w:rsidRPr="00AF297A" w:rsidTr="003776E0">
        <w:tc>
          <w:tcPr>
            <w:tcW w:w="8505" w:type="dxa"/>
            <w:gridSpan w:val="6"/>
            <w:tcBorders>
              <w:top w:val="nil"/>
              <w:left w:val="nil"/>
              <w:bottom w:val="single" w:sz="8" w:space="0" w:color="005984"/>
              <w:right w:val="nil"/>
            </w:tcBorders>
            <w:shd w:val="clear" w:color="auto" w:fill="auto"/>
          </w:tcPr>
          <w:p w:rsidR="001D5C92" w:rsidRPr="003776E0" w:rsidRDefault="001D5C92" w:rsidP="00415FED">
            <w:pPr>
              <w:pStyle w:val="TableTextbold"/>
              <w:keepNext/>
              <w:spacing w:before="120"/>
              <w:jc w:val="both"/>
              <w:rPr>
                <w:color w:val="000000"/>
              </w:rPr>
            </w:pPr>
            <w:r w:rsidRPr="003776E0">
              <w:rPr>
                <w:color w:val="000000"/>
              </w:rPr>
              <w:lastRenderedPageBreak/>
              <w:t>Industrial users</w:t>
            </w:r>
          </w:p>
        </w:tc>
      </w:tr>
      <w:tr w:rsidR="003776E0" w:rsidRPr="003776E0" w:rsidTr="003776E0">
        <w:tc>
          <w:tcPr>
            <w:tcW w:w="2063"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keepNext/>
              <w:jc w:val="both"/>
              <w:rPr>
                <w:color w:val="FFFFFF"/>
              </w:rPr>
            </w:pPr>
            <w:r w:rsidRPr="003776E0">
              <w:rPr>
                <w:color w:val="FFFFFF"/>
              </w:rPr>
              <w:t>NZ ETS cost</w:t>
            </w:r>
          </w:p>
        </w:tc>
        <w:tc>
          <w:tcPr>
            <w:tcW w:w="1610"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B57854" w:rsidRPr="003776E0">
              <w:rPr>
                <w:color w:val="FFFFFF"/>
              </w:rPr>
              <w:br/>
            </w:r>
            <w:r w:rsidRPr="003776E0">
              <w:rPr>
                <w:color w:val="FFFFFF"/>
              </w:rPr>
              <w:t>$5</w:t>
            </w:r>
          </w:p>
        </w:tc>
        <w:tc>
          <w:tcPr>
            <w:tcW w:w="1611" w:type="dxa"/>
            <w:gridSpan w:val="2"/>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B57854" w:rsidRPr="003776E0">
              <w:rPr>
                <w:color w:val="FFFFFF"/>
              </w:rPr>
              <w:br/>
            </w:r>
            <w:r w:rsidRPr="003776E0">
              <w:rPr>
                <w:color w:val="FFFFFF"/>
              </w:rPr>
              <w:t>$10</w:t>
            </w:r>
          </w:p>
        </w:tc>
        <w:tc>
          <w:tcPr>
            <w:tcW w:w="1610"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keepNext/>
              <w:jc w:val="both"/>
              <w:rPr>
                <w:color w:val="FFFFFF"/>
              </w:rPr>
            </w:pPr>
            <w:r w:rsidRPr="003776E0">
              <w:rPr>
                <w:color w:val="FFFFFF"/>
              </w:rPr>
              <w:t>Effective carbon price</w:t>
            </w:r>
            <w:r w:rsidR="00B57854" w:rsidRPr="003776E0">
              <w:rPr>
                <w:color w:val="FFFFFF"/>
              </w:rPr>
              <w:br/>
            </w:r>
            <w:r w:rsidRPr="003776E0">
              <w:rPr>
                <w:color w:val="FFFFFF"/>
              </w:rPr>
              <w:t>$20</w:t>
            </w:r>
          </w:p>
        </w:tc>
        <w:tc>
          <w:tcPr>
            <w:tcW w:w="1611" w:type="dxa"/>
            <w:tcBorders>
              <w:top w:val="single" w:sz="8" w:space="0" w:color="005984"/>
              <w:left w:val="nil"/>
              <w:bottom w:val="nil"/>
              <w:right w:val="nil"/>
            </w:tcBorders>
            <w:shd w:val="clear" w:color="auto" w:fill="005984"/>
            <w:vAlign w:val="bottom"/>
          </w:tcPr>
          <w:p w:rsidR="001D5C92" w:rsidRPr="003776E0" w:rsidRDefault="001D5C92" w:rsidP="00415FED">
            <w:pPr>
              <w:pStyle w:val="TableTextbold"/>
              <w:jc w:val="both"/>
              <w:rPr>
                <w:color w:val="FFFFFF"/>
              </w:rPr>
            </w:pPr>
            <w:r w:rsidRPr="003776E0">
              <w:rPr>
                <w:color w:val="FFFFFF"/>
              </w:rPr>
              <w:t>Effective carbon price</w:t>
            </w:r>
            <w:r w:rsidR="00114374" w:rsidRPr="003776E0">
              <w:rPr>
                <w:color w:val="FFFFFF"/>
              </w:rPr>
              <w:br/>
            </w:r>
            <w:r w:rsidRPr="003776E0">
              <w:rPr>
                <w:color w:val="FFFFFF"/>
              </w:rPr>
              <w:t>$50</w:t>
            </w:r>
          </w:p>
        </w:tc>
      </w:tr>
      <w:tr w:rsidR="003776E0" w:rsidRPr="00AF297A" w:rsidTr="003776E0">
        <w:tc>
          <w:tcPr>
            <w:tcW w:w="2063" w:type="dxa"/>
            <w:tcBorders>
              <w:top w:val="nil"/>
              <w:left w:val="nil"/>
              <w:bottom w:val="nil"/>
              <w:right w:val="nil"/>
            </w:tcBorders>
            <w:shd w:val="clear" w:color="auto" w:fill="auto"/>
          </w:tcPr>
          <w:p w:rsidR="001D5C92" w:rsidRPr="003776E0" w:rsidRDefault="001D5C92" w:rsidP="00400885">
            <w:pPr>
              <w:pStyle w:val="TableTextbold"/>
              <w:rPr>
                <w:color w:val="000000"/>
              </w:rPr>
            </w:pPr>
            <w:r w:rsidRPr="003776E0">
              <w:rPr>
                <w:color w:val="000000"/>
              </w:rPr>
              <w:t>per GJ of natural gas</w:t>
            </w:r>
          </w:p>
        </w:tc>
        <w:tc>
          <w:tcPr>
            <w:tcW w:w="1610"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$0.27</w:t>
            </w:r>
          </w:p>
        </w:tc>
        <w:tc>
          <w:tcPr>
            <w:tcW w:w="1611" w:type="dxa"/>
            <w:gridSpan w:val="2"/>
            <w:tcBorders>
              <w:top w:val="nil"/>
              <w:left w:val="nil"/>
              <w:bottom w:val="nil"/>
              <w:right w:val="nil"/>
            </w:tcBorders>
            <w:shd w:val="clear" w:color="auto" w:fill="auto"/>
          </w:tcPr>
          <w:p w:rsidR="001D5C92" w:rsidRPr="003776E0" w:rsidRDefault="00B76D01" w:rsidP="00415FED">
            <w:pPr>
              <w:pStyle w:val="TableText"/>
              <w:jc w:val="both"/>
              <w:rPr>
                <w:color w:val="000000"/>
              </w:rPr>
            </w:pPr>
            <w:r>
              <w:rPr>
                <w:color w:val="000000"/>
              </w:rPr>
              <w:t>$0.54</w:t>
            </w:r>
          </w:p>
        </w:tc>
        <w:tc>
          <w:tcPr>
            <w:tcW w:w="1610"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$1.07</w:t>
            </w:r>
          </w:p>
        </w:tc>
        <w:tc>
          <w:tcPr>
            <w:tcW w:w="1611"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$2.6</w:t>
            </w:r>
            <w:r w:rsidR="00B76D01">
              <w:rPr>
                <w:color w:val="000000"/>
              </w:rPr>
              <w:t>8</w:t>
            </w:r>
          </w:p>
        </w:tc>
      </w:tr>
      <w:tr w:rsidR="003776E0" w:rsidRPr="00AF297A" w:rsidTr="003776E0">
        <w:tc>
          <w:tcPr>
            <w:tcW w:w="2063" w:type="dxa"/>
            <w:tcBorders>
              <w:top w:val="nil"/>
              <w:left w:val="nil"/>
              <w:bottom w:val="nil"/>
              <w:right w:val="nil"/>
            </w:tcBorders>
            <w:shd w:val="clear" w:color="auto" w:fill="auto"/>
          </w:tcPr>
          <w:p w:rsidR="001D5C92" w:rsidRPr="003776E0" w:rsidRDefault="001D5C92" w:rsidP="00400885">
            <w:pPr>
              <w:pStyle w:val="TableTextbold"/>
              <w:rPr>
                <w:color w:val="000000"/>
              </w:rPr>
            </w:pPr>
            <w:r w:rsidRPr="003776E0">
              <w:rPr>
                <w:color w:val="000000"/>
              </w:rPr>
              <w:t>per GJ of sub-bituminous coal</w:t>
            </w:r>
          </w:p>
        </w:tc>
        <w:tc>
          <w:tcPr>
            <w:tcW w:w="1610"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$0.45</w:t>
            </w:r>
          </w:p>
        </w:tc>
        <w:tc>
          <w:tcPr>
            <w:tcW w:w="1611" w:type="dxa"/>
            <w:gridSpan w:val="2"/>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$0.90</w:t>
            </w:r>
          </w:p>
        </w:tc>
        <w:tc>
          <w:tcPr>
            <w:tcW w:w="1610"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$1.81</w:t>
            </w:r>
          </w:p>
        </w:tc>
        <w:tc>
          <w:tcPr>
            <w:tcW w:w="1611" w:type="dxa"/>
            <w:tcBorders>
              <w:top w:val="nil"/>
              <w:left w:val="nil"/>
              <w:bottom w:val="nil"/>
              <w:right w:val="nil"/>
            </w:tcBorders>
            <w:shd w:val="clear" w:color="auto" w:fill="auto"/>
          </w:tcPr>
          <w:p w:rsidR="001D5C92" w:rsidRPr="003776E0" w:rsidRDefault="001D5C92" w:rsidP="00415FED">
            <w:pPr>
              <w:pStyle w:val="TableText"/>
              <w:jc w:val="both"/>
              <w:rPr>
                <w:color w:val="000000"/>
              </w:rPr>
            </w:pPr>
            <w:r w:rsidRPr="003776E0">
              <w:rPr>
                <w:color w:val="000000"/>
              </w:rPr>
              <w:t>$4.52</w:t>
            </w:r>
          </w:p>
        </w:tc>
      </w:tr>
      <w:tr w:rsidR="003776E0" w:rsidRPr="00AF297A" w:rsidTr="003776E0">
        <w:tc>
          <w:tcPr>
            <w:tcW w:w="2063" w:type="dxa"/>
            <w:tcBorders>
              <w:top w:val="nil"/>
              <w:left w:val="nil"/>
              <w:bottom w:val="single" w:sz="8" w:space="0" w:color="005984"/>
              <w:right w:val="nil"/>
            </w:tcBorders>
            <w:shd w:val="clear" w:color="auto" w:fill="auto"/>
          </w:tcPr>
          <w:p w:rsidR="001D5C92" w:rsidRPr="003776E0" w:rsidRDefault="001D5C92" w:rsidP="00400885">
            <w:pPr>
              <w:pStyle w:val="TableTextbold"/>
              <w:rPr>
                <w:color w:val="000000"/>
              </w:rPr>
            </w:pPr>
            <w:r w:rsidRPr="003776E0">
              <w:rPr>
                <w:color w:val="000000"/>
              </w:rPr>
              <w:t>per GJ of lignite</w:t>
            </w:r>
          </w:p>
        </w:tc>
        <w:tc>
          <w:tcPr>
            <w:tcW w:w="1610"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$0.46</w:t>
            </w:r>
          </w:p>
        </w:tc>
        <w:tc>
          <w:tcPr>
            <w:tcW w:w="1611" w:type="dxa"/>
            <w:gridSpan w:val="2"/>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$0.92</w:t>
            </w:r>
          </w:p>
        </w:tc>
        <w:tc>
          <w:tcPr>
            <w:tcW w:w="1610"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$1.83</w:t>
            </w:r>
          </w:p>
        </w:tc>
        <w:tc>
          <w:tcPr>
            <w:tcW w:w="1611" w:type="dxa"/>
            <w:tcBorders>
              <w:top w:val="nil"/>
              <w:left w:val="nil"/>
              <w:bottom w:val="single" w:sz="8" w:space="0" w:color="005984"/>
              <w:right w:val="nil"/>
            </w:tcBorders>
            <w:shd w:val="clear" w:color="auto" w:fill="auto"/>
          </w:tcPr>
          <w:p w:rsidR="001D5C92" w:rsidRPr="003776E0" w:rsidRDefault="001D5C92" w:rsidP="00415FED">
            <w:pPr>
              <w:pStyle w:val="TableText"/>
              <w:jc w:val="both"/>
              <w:rPr>
                <w:color w:val="000000"/>
              </w:rPr>
            </w:pPr>
            <w:r w:rsidRPr="003776E0">
              <w:rPr>
                <w:color w:val="000000"/>
              </w:rPr>
              <w:t>$4.58</w:t>
            </w:r>
          </w:p>
        </w:tc>
      </w:tr>
    </w:tbl>
    <w:p w:rsidR="009115CF" w:rsidRPr="00AF297A" w:rsidRDefault="009115CF" w:rsidP="00415FED">
      <w:pPr>
        <w:jc w:val="both"/>
      </w:pPr>
    </w:p>
    <w:p w:rsidR="00FB5A28" w:rsidRPr="00AF297A" w:rsidRDefault="00FB5A28" w:rsidP="00400885">
      <w:pPr>
        <w:pStyle w:val="BodyText"/>
      </w:pPr>
      <w:r w:rsidRPr="00AF297A">
        <w:t xml:space="preserve">Table 3 provides estimates of the annual NZ ETS costs passed through to New Zealand households. The estimates are based on the annual amount of petrol, electricity and natural gas an average New Zealand household uses each year. </w:t>
      </w:r>
    </w:p>
    <w:p w:rsidR="00AC7C69" w:rsidRPr="00AF297A" w:rsidRDefault="00FB5A28" w:rsidP="00415FED">
      <w:pPr>
        <w:pStyle w:val="Tableheading"/>
        <w:spacing w:before="120"/>
        <w:jc w:val="both"/>
      </w:pPr>
      <w:bookmarkStart w:id="28" w:name="_Toc433981620"/>
      <w:r w:rsidRPr="00AF297A">
        <w:t xml:space="preserve">Table 3: </w:t>
      </w:r>
      <w:r w:rsidRPr="00AF297A">
        <w:tab/>
        <w:t>Estimated annual NZ ETS costs passed through to households</w:t>
      </w:r>
      <w:bookmarkEnd w:id="28"/>
    </w:p>
    <w:tbl>
      <w:tblPr>
        <w:tblW w:w="8505" w:type="dxa"/>
        <w:tblInd w:w="85" w:type="dxa"/>
        <w:tblLayout w:type="fixed"/>
        <w:tblLook w:val="0280" w:firstRow="0" w:lastRow="0" w:firstColumn="1" w:lastColumn="0" w:noHBand="1" w:noVBand="0"/>
      </w:tblPr>
      <w:tblGrid>
        <w:gridCol w:w="2065"/>
        <w:gridCol w:w="1610"/>
        <w:gridCol w:w="1610"/>
        <w:gridCol w:w="1610"/>
        <w:gridCol w:w="1610"/>
      </w:tblGrid>
      <w:tr w:rsidR="003776E0" w:rsidRPr="003776E0" w:rsidTr="003776E0">
        <w:tc>
          <w:tcPr>
            <w:tcW w:w="2518" w:type="dxa"/>
            <w:tcBorders>
              <w:top w:val="single" w:sz="8" w:space="0" w:color="005984"/>
              <w:left w:val="nil"/>
              <w:right w:val="nil"/>
            </w:tcBorders>
            <w:shd w:val="clear" w:color="auto" w:fill="005984"/>
            <w:vAlign w:val="bottom"/>
          </w:tcPr>
          <w:p w:rsidR="00994C4E" w:rsidRPr="003776E0" w:rsidRDefault="00994C4E" w:rsidP="00415FED">
            <w:pPr>
              <w:pStyle w:val="TableTextbold"/>
              <w:jc w:val="both"/>
              <w:rPr>
                <w:color w:val="FFFFFF"/>
              </w:rPr>
            </w:pPr>
            <w:r w:rsidRPr="003776E0">
              <w:rPr>
                <w:color w:val="FFFFFF"/>
              </w:rPr>
              <w:t>Annual NZ ETS cost for an average NZ household:</w:t>
            </w:r>
          </w:p>
        </w:tc>
        <w:tc>
          <w:tcPr>
            <w:tcW w:w="1949" w:type="dxa"/>
            <w:tcBorders>
              <w:top w:val="single" w:sz="8" w:space="0" w:color="005984"/>
            </w:tcBorders>
            <w:shd w:val="clear" w:color="auto" w:fill="005984"/>
            <w:vAlign w:val="bottom"/>
          </w:tcPr>
          <w:p w:rsidR="00994C4E" w:rsidRPr="003776E0" w:rsidRDefault="00994C4E" w:rsidP="00415FED">
            <w:pPr>
              <w:pStyle w:val="TableTextbold"/>
              <w:jc w:val="both"/>
              <w:rPr>
                <w:color w:val="FFFFFF"/>
              </w:rPr>
            </w:pPr>
            <w:r w:rsidRPr="003776E0">
              <w:rPr>
                <w:color w:val="FFFFFF"/>
              </w:rPr>
              <w:t>Effective carbon price</w:t>
            </w:r>
            <w:r w:rsidR="00A329AD" w:rsidRPr="003776E0">
              <w:rPr>
                <w:color w:val="FFFFFF"/>
              </w:rPr>
              <w:br/>
            </w:r>
            <w:r w:rsidRPr="003776E0">
              <w:rPr>
                <w:color w:val="FFFFFF"/>
              </w:rPr>
              <w:t>$5</w:t>
            </w:r>
          </w:p>
        </w:tc>
        <w:tc>
          <w:tcPr>
            <w:tcW w:w="1949" w:type="dxa"/>
            <w:tcBorders>
              <w:top w:val="single" w:sz="8" w:space="0" w:color="005984"/>
            </w:tcBorders>
            <w:shd w:val="clear" w:color="auto" w:fill="005984"/>
            <w:vAlign w:val="bottom"/>
          </w:tcPr>
          <w:p w:rsidR="00994C4E" w:rsidRPr="003776E0" w:rsidRDefault="00994C4E" w:rsidP="00415FED">
            <w:pPr>
              <w:pStyle w:val="TableTextbold"/>
              <w:jc w:val="both"/>
              <w:rPr>
                <w:color w:val="FFFFFF"/>
              </w:rPr>
            </w:pPr>
            <w:r w:rsidRPr="003776E0">
              <w:rPr>
                <w:color w:val="FFFFFF"/>
              </w:rPr>
              <w:t>Effective carbon price</w:t>
            </w:r>
            <w:r w:rsidR="00A329AD" w:rsidRPr="003776E0">
              <w:rPr>
                <w:color w:val="FFFFFF"/>
              </w:rPr>
              <w:br/>
            </w:r>
            <w:r w:rsidRPr="003776E0">
              <w:rPr>
                <w:color w:val="FFFFFF"/>
              </w:rPr>
              <w:t>$10</w:t>
            </w:r>
          </w:p>
        </w:tc>
        <w:tc>
          <w:tcPr>
            <w:tcW w:w="1949" w:type="dxa"/>
            <w:tcBorders>
              <w:top w:val="single" w:sz="8" w:space="0" w:color="005984"/>
            </w:tcBorders>
            <w:shd w:val="clear" w:color="auto" w:fill="005984"/>
            <w:vAlign w:val="bottom"/>
          </w:tcPr>
          <w:p w:rsidR="00994C4E" w:rsidRPr="003776E0" w:rsidRDefault="00994C4E" w:rsidP="00415FED">
            <w:pPr>
              <w:pStyle w:val="TableTextbold"/>
              <w:jc w:val="both"/>
              <w:rPr>
                <w:color w:val="FFFFFF"/>
              </w:rPr>
            </w:pPr>
            <w:r w:rsidRPr="003776E0">
              <w:rPr>
                <w:color w:val="FFFFFF"/>
              </w:rPr>
              <w:t>Effective carbon price</w:t>
            </w:r>
            <w:r w:rsidR="00A329AD" w:rsidRPr="003776E0">
              <w:rPr>
                <w:color w:val="FFFFFF"/>
              </w:rPr>
              <w:br/>
            </w:r>
            <w:r w:rsidRPr="003776E0">
              <w:rPr>
                <w:color w:val="FFFFFF"/>
              </w:rPr>
              <w:t>$20</w:t>
            </w:r>
          </w:p>
        </w:tc>
        <w:tc>
          <w:tcPr>
            <w:tcW w:w="1949" w:type="dxa"/>
            <w:tcBorders>
              <w:top w:val="single" w:sz="8" w:space="0" w:color="005984"/>
            </w:tcBorders>
            <w:shd w:val="clear" w:color="auto" w:fill="005984"/>
            <w:vAlign w:val="bottom"/>
          </w:tcPr>
          <w:p w:rsidR="00994C4E" w:rsidRPr="003776E0" w:rsidRDefault="00994C4E" w:rsidP="00415FED">
            <w:pPr>
              <w:pStyle w:val="TableTextbold"/>
              <w:jc w:val="both"/>
              <w:rPr>
                <w:color w:val="FFFFFF"/>
              </w:rPr>
            </w:pPr>
            <w:r w:rsidRPr="003776E0">
              <w:rPr>
                <w:color w:val="FFFFFF"/>
              </w:rPr>
              <w:t>Effective carbon price</w:t>
            </w:r>
            <w:r w:rsidR="00A329AD" w:rsidRPr="003776E0">
              <w:rPr>
                <w:color w:val="FFFFFF"/>
              </w:rPr>
              <w:br/>
            </w:r>
            <w:r w:rsidRPr="003776E0">
              <w:rPr>
                <w:color w:val="FFFFFF"/>
              </w:rPr>
              <w:t>$50</w:t>
            </w:r>
          </w:p>
        </w:tc>
      </w:tr>
      <w:tr w:rsidR="003776E0" w:rsidRPr="003776E0" w:rsidTr="003776E0">
        <w:tc>
          <w:tcPr>
            <w:tcW w:w="2518" w:type="dxa"/>
            <w:shd w:val="clear" w:color="auto" w:fill="FFFFFF"/>
          </w:tcPr>
          <w:p w:rsidR="00994C4E" w:rsidRPr="003776E0" w:rsidRDefault="00994C4E" w:rsidP="00415FED">
            <w:pPr>
              <w:pStyle w:val="TableTextbold"/>
              <w:jc w:val="both"/>
              <w:rPr>
                <w:color w:val="000000"/>
                <w:vertAlign w:val="superscript"/>
              </w:rPr>
            </w:pPr>
            <w:r w:rsidRPr="003776E0">
              <w:rPr>
                <w:color w:val="000000"/>
              </w:rPr>
              <w:t>Petrol</w:t>
            </w:r>
            <w:r w:rsidRPr="003776E0">
              <w:rPr>
                <w:rStyle w:val="FootnoteReference"/>
                <w:rFonts w:ascii="Calibri" w:hAnsi="Calibri"/>
                <w:color w:val="000000"/>
              </w:rPr>
              <w:footnoteReference w:id="22"/>
            </w:r>
          </w:p>
        </w:tc>
        <w:tc>
          <w:tcPr>
            <w:tcW w:w="1949" w:type="dxa"/>
            <w:shd w:val="clear" w:color="auto" w:fill="auto"/>
          </w:tcPr>
          <w:p w:rsidR="00994C4E" w:rsidRPr="003776E0" w:rsidRDefault="00994C4E" w:rsidP="00415FED">
            <w:pPr>
              <w:pStyle w:val="TableText"/>
              <w:jc w:val="both"/>
              <w:rPr>
                <w:color w:val="000000"/>
              </w:rPr>
            </w:pPr>
            <w:r w:rsidRPr="003776E0">
              <w:rPr>
                <w:color w:val="000000"/>
              </w:rPr>
              <w:t>$14</w:t>
            </w:r>
          </w:p>
        </w:tc>
        <w:tc>
          <w:tcPr>
            <w:tcW w:w="1949" w:type="dxa"/>
            <w:shd w:val="clear" w:color="auto" w:fill="D2EAF1"/>
          </w:tcPr>
          <w:p w:rsidR="00994C4E" w:rsidRPr="003776E0" w:rsidRDefault="00994C4E" w:rsidP="00415FED">
            <w:pPr>
              <w:pStyle w:val="TableText"/>
              <w:jc w:val="both"/>
              <w:rPr>
                <w:color w:val="000000"/>
              </w:rPr>
            </w:pPr>
            <w:r w:rsidRPr="003776E0">
              <w:rPr>
                <w:color w:val="000000"/>
              </w:rPr>
              <w:t>$29</w:t>
            </w:r>
          </w:p>
        </w:tc>
        <w:tc>
          <w:tcPr>
            <w:tcW w:w="1949" w:type="dxa"/>
            <w:shd w:val="clear" w:color="auto" w:fill="auto"/>
          </w:tcPr>
          <w:p w:rsidR="00994C4E" w:rsidRPr="003776E0" w:rsidRDefault="00994C4E" w:rsidP="00415FED">
            <w:pPr>
              <w:pStyle w:val="TableText"/>
              <w:jc w:val="both"/>
              <w:rPr>
                <w:color w:val="000000"/>
              </w:rPr>
            </w:pPr>
            <w:r w:rsidRPr="003776E0">
              <w:rPr>
                <w:color w:val="000000"/>
              </w:rPr>
              <w:t>$58</w:t>
            </w:r>
          </w:p>
        </w:tc>
        <w:tc>
          <w:tcPr>
            <w:tcW w:w="1949" w:type="dxa"/>
            <w:shd w:val="clear" w:color="auto" w:fill="D2EAF1"/>
          </w:tcPr>
          <w:p w:rsidR="00994C4E" w:rsidRPr="003776E0" w:rsidRDefault="00994C4E" w:rsidP="00415FED">
            <w:pPr>
              <w:pStyle w:val="TableText"/>
              <w:jc w:val="both"/>
              <w:rPr>
                <w:color w:val="000000"/>
              </w:rPr>
            </w:pPr>
            <w:r w:rsidRPr="003776E0">
              <w:rPr>
                <w:color w:val="000000"/>
              </w:rPr>
              <w:t>$145</w:t>
            </w:r>
          </w:p>
        </w:tc>
      </w:tr>
      <w:tr w:rsidR="003776E0" w:rsidRPr="003776E0" w:rsidTr="003776E0">
        <w:tc>
          <w:tcPr>
            <w:tcW w:w="2518" w:type="dxa"/>
            <w:shd w:val="clear" w:color="auto" w:fill="FFFFFF"/>
          </w:tcPr>
          <w:p w:rsidR="00994C4E" w:rsidRPr="003776E0" w:rsidRDefault="00994C4E" w:rsidP="00415FED">
            <w:pPr>
              <w:pStyle w:val="TableTextbold"/>
              <w:jc w:val="both"/>
              <w:rPr>
                <w:color w:val="000000"/>
                <w:highlight w:val="yellow"/>
                <w:vertAlign w:val="superscript"/>
              </w:rPr>
            </w:pPr>
            <w:r w:rsidRPr="003776E0">
              <w:rPr>
                <w:color w:val="000000"/>
              </w:rPr>
              <w:t>Electricity</w:t>
            </w:r>
            <w:r w:rsidRPr="003776E0">
              <w:rPr>
                <w:rStyle w:val="FootnoteReference"/>
                <w:rFonts w:ascii="Calibri" w:hAnsi="Calibri"/>
                <w:color w:val="000000"/>
              </w:rPr>
              <w:footnoteReference w:id="23"/>
            </w:r>
          </w:p>
        </w:tc>
        <w:tc>
          <w:tcPr>
            <w:tcW w:w="1949" w:type="dxa"/>
            <w:shd w:val="clear" w:color="auto" w:fill="auto"/>
          </w:tcPr>
          <w:p w:rsidR="00994C4E" w:rsidRPr="003776E0" w:rsidRDefault="00994C4E" w:rsidP="00415FED">
            <w:pPr>
              <w:pStyle w:val="TableText"/>
              <w:jc w:val="both"/>
              <w:rPr>
                <w:color w:val="000000"/>
              </w:rPr>
            </w:pPr>
            <w:r w:rsidRPr="003776E0">
              <w:rPr>
                <w:color w:val="000000"/>
              </w:rPr>
              <w:t>$16</w:t>
            </w:r>
          </w:p>
        </w:tc>
        <w:tc>
          <w:tcPr>
            <w:tcW w:w="1949" w:type="dxa"/>
            <w:shd w:val="clear" w:color="auto" w:fill="D2EAF1"/>
          </w:tcPr>
          <w:p w:rsidR="00994C4E" w:rsidRPr="003776E0" w:rsidRDefault="00994C4E" w:rsidP="00415FED">
            <w:pPr>
              <w:pStyle w:val="TableText"/>
              <w:jc w:val="both"/>
              <w:rPr>
                <w:color w:val="000000"/>
              </w:rPr>
            </w:pPr>
            <w:r w:rsidRPr="003776E0">
              <w:rPr>
                <w:color w:val="000000"/>
              </w:rPr>
              <w:t>$32</w:t>
            </w:r>
          </w:p>
        </w:tc>
        <w:tc>
          <w:tcPr>
            <w:tcW w:w="1949" w:type="dxa"/>
            <w:shd w:val="clear" w:color="auto" w:fill="auto"/>
          </w:tcPr>
          <w:p w:rsidR="00994C4E" w:rsidRPr="003776E0" w:rsidRDefault="00994C4E" w:rsidP="00415FED">
            <w:pPr>
              <w:pStyle w:val="TableText"/>
              <w:jc w:val="both"/>
              <w:rPr>
                <w:color w:val="000000"/>
              </w:rPr>
            </w:pPr>
            <w:r w:rsidRPr="003776E0">
              <w:rPr>
                <w:color w:val="000000"/>
              </w:rPr>
              <w:t>$64</w:t>
            </w:r>
          </w:p>
        </w:tc>
        <w:tc>
          <w:tcPr>
            <w:tcW w:w="1949" w:type="dxa"/>
            <w:shd w:val="clear" w:color="auto" w:fill="D2EAF1"/>
          </w:tcPr>
          <w:p w:rsidR="00994C4E" w:rsidRPr="003776E0" w:rsidRDefault="00994C4E" w:rsidP="00415FED">
            <w:pPr>
              <w:pStyle w:val="TableText"/>
              <w:jc w:val="both"/>
              <w:rPr>
                <w:color w:val="000000"/>
              </w:rPr>
            </w:pPr>
            <w:r w:rsidRPr="003776E0">
              <w:rPr>
                <w:color w:val="000000"/>
              </w:rPr>
              <w:t>$161</w:t>
            </w:r>
          </w:p>
        </w:tc>
      </w:tr>
      <w:tr w:rsidR="003776E0" w:rsidRPr="003776E0" w:rsidTr="003776E0">
        <w:tc>
          <w:tcPr>
            <w:tcW w:w="2518" w:type="dxa"/>
            <w:tcBorders>
              <w:bottom w:val="single" w:sz="8" w:space="0" w:color="005984"/>
            </w:tcBorders>
            <w:shd w:val="clear" w:color="auto" w:fill="FFFFFF"/>
          </w:tcPr>
          <w:p w:rsidR="00994C4E" w:rsidRPr="003776E0" w:rsidRDefault="00994C4E" w:rsidP="00415FED">
            <w:pPr>
              <w:pStyle w:val="TableTextbold"/>
              <w:jc w:val="both"/>
              <w:rPr>
                <w:color w:val="000000"/>
                <w:vertAlign w:val="superscript"/>
              </w:rPr>
            </w:pPr>
            <w:r w:rsidRPr="003776E0">
              <w:rPr>
                <w:color w:val="000000"/>
              </w:rPr>
              <w:t>Natural gas</w:t>
            </w:r>
            <w:r w:rsidRPr="003776E0">
              <w:rPr>
                <w:rStyle w:val="FootnoteReference"/>
                <w:rFonts w:ascii="Calibri" w:hAnsi="Calibri"/>
                <w:color w:val="000000"/>
              </w:rPr>
              <w:footnoteReference w:id="24"/>
            </w:r>
            <w:r w:rsidR="000E720B" w:rsidRPr="003776E0">
              <w:rPr>
                <w:color w:val="000000"/>
              </w:rPr>
              <w:t xml:space="preserve"> </w:t>
            </w:r>
            <w:r w:rsidRPr="003776E0">
              <w:rPr>
                <w:color w:val="000000"/>
              </w:rPr>
              <w:t>(if used)</w:t>
            </w:r>
          </w:p>
        </w:tc>
        <w:tc>
          <w:tcPr>
            <w:tcW w:w="1949" w:type="dxa"/>
            <w:tcBorders>
              <w:bottom w:val="single" w:sz="8" w:space="0" w:color="005984"/>
            </w:tcBorders>
            <w:shd w:val="clear" w:color="auto" w:fill="auto"/>
          </w:tcPr>
          <w:p w:rsidR="00994C4E" w:rsidRPr="003776E0" w:rsidRDefault="00994C4E" w:rsidP="00415FED">
            <w:pPr>
              <w:pStyle w:val="TableText"/>
              <w:jc w:val="both"/>
              <w:rPr>
                <w:color w:val="000000"/>
              </w:rPr>
            </w:pPr>
            <w:r w:rsidRPr="003776E0">
              <w:rPr>
                <w:color w:val="000000"/>
              </w:rPr>
              <w:t>$7</w:t>
            </w:r>
          </w:p>
        </w:tc>
        <w:tc>
          <w:tcPr>
            <w:tcW w:w="1949" w:type="dxa"/>
            <w:tcBorders>
              <w:bottom w:val="single" w:sz="8" w:space="0" w:color="005984"/>
            </w:tcBorders>
            <w:shd w:val="clear" w:color="auto" w:fill="D2EAF1"/>
          </w:tcPr>
          <w:p w:rsidR="00994C4E" w:rsidRPr="003776E0" w:rsidRDefault="00994C4E" w:rsidP="00415FED">
            <w:pPr>
              <w:pStyle w:val="TableText"/>
              <w:jc w:val="both"/>
              <w:rPr>
                <w:color w:val="000000"/>
              </w:rPr>
            </w:pPr>
            <w:r w:rsidRPr="003776E0">
              <w:rPr>
                <w:color w:val="000000"/>
              </w:rPr>
              <w:t>$14</w:t>
            </w:r>
          </w:p>
        </w:tc>
        <w:tc>
          <w:tcPr>
            <w:tcW w:w="1949" w:type="dxa"/>
            <w:tcBorders>
              <w:bottom w:val="single" w:sz="8" w:space="0" w:color="005984"/>
            </w:tcBorders>
            <w:shd w:val="clear" w:color="auto" w:fill="auto"/>
          </w:tcPr>
          <w:p w:rsidR="00994C4E" w:rsidRPr="003776E0" w:rsidRDefault="00994C4E" w:rsidP="00415FED">
            <w:pPr>
              <w:pStyle w:val="TableText"/>
              <w:jc w:val="both"/>
              <w:rPr>
                <w:color w:val="000000"/>
              </w:rPr>
            </w:pPr>
            <w:r w:rsidRPr="003776E0">
              <w:rPr>
                <w:color w:val="000000"/>
              </w:rPr>
              <w:t>$28</w:t>
            </w:r>
          </w:p>
        </w:tc>
        <w:tc>
          <w:tcPr>
            <w:tcW w:w="1949" w:type="dxa"/>
            <w:tcBorders>
              <w:bottom w:val="single" w:sz="8" w:space="0" w:color="005984"/>
            </w:tcBorders>
            <w:shd w:val="clear" w:color="auto" w:fill="D2EAF1"/>
          </w:tcPr>
          <w:p w:rsidR="00994C4E" w:rsidRPr="003776E0" w:rsidRDefault="00994C4E" w:rsidP="00415FED">
            <w:pPr>
              <w:pStyle w:val="TableText"/>
              <w:jc w:val="both"/>
              <w:rPr>
                <w:color w:val="000000"/>
              </w:rPr>
            </w:pPr>
            <w:r w:rsidRPr="003776E0">
              <w:rPr>
                <w:color w:val="000000"/>
              </w:rPr>
              <w:t>$70</w:t>
            </w:r>
          </w:p>
        </w:tc>
      </w:tr>
    </w:tbl>
    <w:p w:rsidR="00FB5A28" w:rsidRDefault="00FB5A28" w:rsidP="00415FED">
      <w:pPr>
        <w:jc w:val="both"/>
      </w:pPr>
    </w:p>
    <w:p w:rsidR="006033FD" w:rsidRPr="00D30653" w:rsidRDefault="008D498C" w:rsidP="00400885">
      <w:pPr>
        <w:pStyle w:val="BodyText"/>
      </w:pPr>
      <w:r w:rsidRPr="00495F6E">
        <w:t>To provide</w:t>
      </w:r>
      <w:r w:rsidR="006033FD" w:rsidRPr="00495F6E">
        <w:t xml:space="preserve"> context to the figures in Table 3, the NZ ETS currently has an effect</w:t>
      </w:r>
      <w:r w:rsidR="007665D8" w:rsidRPr="00495F6E">
        <w:t>ive carbon price of around $3.50</w:t>
      </w:r>
      <w:r w:rsidR="00D30653" w:rsidRPr="00495F6E">
        <w:t xml:space="preserve"> per tonne</w:t>
      </w:r>
      <w:r w:rsidR="00383708" w:rsidRPr="00495F6E">
        <w:t xml:space="preserve"> of emissions</w:t>
      </w:r>
      <w:r w:rsidR="00D30653" w:rsidRPr="00495F6E">
        <w:t xml:space="preserve">. </w:t>
      </w:r>
      <w:r w:rsidR="00E366DE" w:rsidRPr="00495F6E">
        <w:t>For the average New Zealand household t</w:t>
      </w:r>
      <w:r w:rsidR="00D30653" w:rsidRPr="00495F6E">
        <w:t>his</w:t>
      </w:r>
      <w:r w:rsidR="00156DB6" w:rsidRPr="00495F6E">
        <w:t xml:space="preserve"> imposes</w:t>
      </w:r>
      <w:r w:rsidR="0037655F" w:rsidRPr="00495F6E">
        <w:t xml:space="preserve"> an</w:t>
      </w:r>
      <w:r w:rsidR="00156DB6" w:rsidRPr="00495F6E">
        <w:t xml:space="preserve"> </w:t>
      </w:r>
      <w:r w:rsidR="00CB2DE6" w:rsidRPr="00495F6E">
        <w:t xml:space="preserve">estimated </w:t>
      </w:r>
      <w:r w:rsidR="0037655F" w:rsidRPr="00495F6E">
        <w:t xml:space="preserve">annual </w:t>
      </w:r>
      <w:r w:rsidR="00156DB6" w:rsidRPr="00495F6E">
        <w:t xml:space="preserve">cost </w:t>
      </w:r>
      <w:r w:rsidR="0037655F" w:rsidRPr="00495F6E">
        <w:t>of</w:t>
      </w:r>
      <w:r w:rsidR="006033FD" w:rsidRPr="00495F6E">
        <w:t xml:space="preserve"> </w:t>
      </w:r>
      <w:r w:rsidR="0037655F" w:rsidRPr="00495F6E">
        <w:t xml:space="preserve">$10 for </w:t>
      </w:r>
      <w:r w:rsidR="006033FD" w:rsidRPr="00495F6E">
        <w:t xml:space="preserve">petrol </w:t>
      </w:r>
      <w:r w:rsidR="00156DB6" w:rsidRPr="00495F6E">
        <w:t>and</w:t>
      </w:r>
      <w:r w:rsidR="0037655F" w:rsidRPr="00495F6E">
        <w:t xml:space="preserve"> $11 for</w:t>
      </w:r>
      <w:r w:rsidR="00156DB6" w:rsidRPr="00495F6E">
        <w:t xml:space="preserve"> electricity</w:t>
      </w:r>
      <w:r w:rsidR="00D30653" w:rsidRPr="00495F6E">
        <w:t>.</w:t>
      </w:r>
    </w:p>
    <w:p w:rsidR="00693395" w:rsidRPr="00AF297A" w:rsidRDefault="00693395" w:rsidP="00400885">
      <w:pPr>
        <w:pStyle w:val="Heading3"/>
      </w:pPr>
      <w:r w:rsidRPr="00AF297A">
        <w:t>The impacts of full surrender obligations on supply and demand in the NZ ETS</w:t>
      </w:r>
    </w:p>
    <w:p w:rsidR="00693395" w:rsidRPr="00AF297A" w:rsidRDefault="007D7186" w:rsidP="00400885">
      <w:pPr>
        <w:pStyle w:val="BodyText"/>
      </w:pPr>
      <w:r w:rsidRPr="007D7186">
        <w:t>Removing the one-for-two surrender obligation will impact on the supply and demand of NZUs, depleting the stockpile more quickly than under current settings. Table 4 provides estimates of the number of banked NZUs remaining at the end of 2020 under two scenarios. Scenario 1 is based on 50</w:t>
      </w:r>
      <w:r w:rsidR="00804536">
        <w:t xml:space="preserve"> per cent</w:t>
      </w:r>
      <w:r w:rsidRPr="007D7186">
        <w:t xml:space="preserve"> surrender obligations continuing for liquid fossil fuels, industrial processes, stationary energy and waste sector participants. Scenario 2 is based on the introduction of full surrender obligations for these sectors from 1 January 2017.</w:t>
      </w:r>
      <w:r>
        <w:t xml:space="preserve"> </w:t>
      </w:r>
      <w:r w:rsidR="00693395" w:rsidRPr="00AF297A">
        <w:t xml:space="preserve">To show the impacts on future supply and demand, the figures include financial year forecasts of participant surrenders and allocations or entitlements. </w:t>
      </w:r>
    </w:p>
    <w:p w:rsidR="00693395" w:rsidRPr="00AF297A" w:rsidRDefault="00693395" w:rsidP="00400885">
      <w:pPr>
        <w:pStyle w:val="BodyText"/>
      </w:pPr>
      <w:r w:rsidRPr="00AF297A">
        <w:t xml:space="preserve">This information is illustrative only, because it could be significantly affected by </w:t>
      </w:r>
      <w:r w:rsidR="007D7186">
        <w:t>several</w:t>
      </w:r>
      <w:r w:rsidRPr="00AF297A">
        <w:t xml:space="preserve"> factors</w:t>
      </w:r>
      <w:r w:rsidR="00804536">
        <w:t>,</w:t>
      </w:r>
      <w:r w:rsidRPr="00AF297A">
        <w:t xml:space="preserve"> including </w:t>
      </w:r>
      <w:r w:rsidR="007D7186">
        <w:t xml:space="preserve">the level of </w:t>
      </w:r>
      <w:r w:rsidRPr="00AF297A">
        <w:t xml:space="preserve">forestry participation in the </w:t>
      </w:r>
      <w:r w:rsidR="007D7186">
        <w:t>NZ ETS</w:t>
      </w:r>
      <w:r w:rsidRPr="00AF297A">
        <w:t>, changes in surrender and allocation volumes, and the willingness of market participants to sell banked NZUs.</w:t>
      </w:r>
    </w:p>
    <w:p w:rsidR="00693395" w:rsidRPr="00AF297A" w:rsidRDefault="00693395" w:rsidP="00415FED">
      <w:pPr>
        <w:pStyle w:val="Tableheading"/>
        <w:jc w:val="both"/>
      </w:pPr>
      <w:bookmarkStart w:id="29" w:name="_Toc433981621"/>
      <w:r w:rsidRPr="00AF297A">
        <w:lastRenderedPageBreak/>
        <w:t xml:space="preserve">Table 4: </w:t>
      </w:r>
      <w:r w:rsidRPr="00AF297A">
        <w:tab/>
        <w:t xml:space="preserve">Illustrative </w:t>
      </w:r>
      <w:r w:rsidR="004E47B9">
        <w:t xml:space="preserve">impacts on </w:t>
      </w:r>
      <w:r w:rsidRPr="00AF297A">
        <w:t>NZ ETS supply demand and</w:t>
      </w:r>
      <w:r w:rsidR="00225443" w:rsidRPr="00AF297A">
        <w:t> </w:t>
      </w:r>
      <w:r w:rsidRPr="00AF297A">
        <w:t>banked NZUs</w:t>
      </w:r>
      <w:bookmarkEnd w:id="29"/>
    </w:p>
    <w:tbl>
      <w:tblPr>
        <w:tblW w:w="8505" w:type="dxa"/>
        <w:tblInd w:w="8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2E0" w:firstRow="1" w:lastRow="1" w:firstColumn="1" w:lastColumn="0" w:noHBand="1" w:noVBand="0"/>
      </w:tblPr>
      <w:tblGrid>
        <w:gridCol w:w="3232"/>
        <w:gridCol w:w="2681"/>
        <w:gridCol w:w="2592"/>
      </w:tblGrid>
      <w:tr w:rsidR="003776E0" w:rsidRPr="003776E0" w:rsidTr="003776E0">
        <w:tc>
          <w:tcPr>
            <w:tcW w:w="0" w:type="auto"/>
            <w:vMerge w:val="restart"/>
            <w:tcBorders>
              <w:top w:val="single" w:sz="8" w:space="0" w:color="005984"/>
              <w:left w:val="nil"/>
              <w:bottom w:val="nil"/>
              <w:right w:val="nil"/>
            </w:tcBorders>
            <w:shd w:val="clear" w:color="auto" w:fill="005984"/>
          </w:tcPr>
          <w:p w:rsidR="00225443" w:rsidRPr="003776E0" w:rsidRDefault="00225443" w:rsidP="00415FED">
            <w:pPr>
              <w:pStyle w:val="TableText"/>
              <w:keepNext/>
              <w:spacing w:after="0"/>
              <w:jc w:val="both"/>
              <w:rPr>
                <w:b/>
                <w:bCs/>
                <w:color w:val="FFFFFF"/>
              </w:rPr>
            </w:pPr>
          </w:p>
        </w:tc>
        <w:tc>
          <w:tcPr>
            <w:tcW w:w="0" w:type="auto"/>
            <w:tcBorders>
              <w:top w:val="single" w:sz="8" w:space="0" w:color="005984"/>
              <w:left w:val="nil"/>
              <w:bottom w:val="nil"/>
              <w:right w:val="nil"/>
            </w:tcBorders>
            <w:shd w:val="clear" w:color="auto" w:fill="005984"/>
          </w:tcPr>
          <w:p w:rsidR="00225443" w:rsidRPr="003776E0" w:rsidRDefault="00225443" w:rsidP="00415FED">
            <w:pPr>
              <w:pStyle w:val="TableTextbold"/>
              <w:keepNext/>
              <w:spacing w:after="0"/>
              <w:jc w:val="both"/>
              <w:rPr>
                <w:color w:val="FFFFFF"/>
              </w:rPr>
            </w:pPr>
            <w:r w:rsidRPr="003776E0">
              <w:rPr>
                <w:color w:val="FFFFFF"/>
              </w:rPr>
              <w:t>Scenario 1</w:t>
            </w:r>
          </w:p>
        </w:tc>
        <w:tc>
          <w:tcPr>
            <w:tcW w:w="0" w:type="auto"/>
            <w:tcBorders>
              <w:top w:val="single" w:sz="8" w:space="0" w:color="005984"/>
              <w:left w:val="nil"/>
              <w:bottom w:val="nil"/>
              <w:right w:val="nil"/>
            </w:tcBorders>
            <w:shd w:val="clear" w:color="auto" w:fill="005984"/>
          </w:tcPr>
          <w:p w:rsidR="00225443" w:rsidRPr="003776E0" w:rsidRDefault="00225443" w:rsidP="00415FED">
            <w:pPr>
              <w:pStyle w:val="TableTextbold"/>
              <w:keepNext/>
              <w:spacing w:after="0"/>
              <w:jc w:val="both"/>
              <w:rPr>
                <w:color w:val="FFFFFF"/>
              </w:rPr>
            </w:pPr>
            <w:r w:rsidRPr="003776E0">
              <w:rPr>
                <w:color w:val="FFFFFF"/>
              </w:rPr>
              <w:t>Scenario 2</w:t>
            </w:r>
          </w:p>
        </w:tc>
      </w:tr>
      <w:tr w:rsidR="00225443" w:rsidRPr="003776E0" w:rsidTr="003776E0">
        <w:tc>
          <w:tcPr>
            <w:tcW w:w="0" w:type="auto"/>
            <w:vMerge/>
            <w:tcBorders>
              <w:top w:val="nil"/>
              <w:left w:val="nil"/>
              <w:bottom w:val="nil"/>
              <w:right w:val="nil"/>
            </w:tcBorders>
            <w:shd w:val="clear" w:color="auto" w:fill="FFFFFF"/>
          </w:tcPr>
          <w:p w:rsidR="00225443" w:rsidRPr="003776E0" w:rsidRDefault="00225443" w:rsidP="00415FED">
            <w:pPr>
              <w:pStyle w:val="TableText"/>
              <w:keepNext/>
              <w:jc w:val="both"/>
              <w:rPr>
                <w:b/>
                <w:bCs/>
                <w:color w:val="000000"/>
              </w:rPr>
            </w:pPr>
          </w:p>
        </w:tc>
        <w:tc>
          <w:tcPr>
            <w:tcW w:w="0" w:type="auto"/>
            <w:tcBorders>
              <w:top w:val="nil"/>
              <w:left w:val="nil"/>
              <w:bottom w:val="nil"/>
              <w:right w:val="nil"/>
            </w:tcBorders>
            <w:shd w:val="clear" w:color="auto" w:fill="005984"/>
          </w:tcPr>
          <w:p w:rsidR="00225443" w:rsidRPr="003776E0" w:rsidDel="00E36D37" w:rsidRDefault="00225443" w:rsidP="00415FED">
            <w:pPr>
              <w:pStyle w:val="TableTextbold"/>
              <w:keepNext/>
              <w:jc w:val="both"/>
              <w:rPr>
                <w:color w:val="FFFFFF"/>
              </w:rPr>
            </w:pPr>
            <w:r w:rsidRPr="003776E0">
              <w:rPr>
                <w:color w:val="FFFFFF"/>
              </w:rPr>
              <w:t>Continuation of 50% surrender obligation</w:t>
            </w:r>
          </w:p>
        </w:tc>
        <w:tc>
          <w:tcPr>
            <w:tcW w:w="0" w:type="auto"/>
            <w:tcBorders>
              <w:top w:val="nil"/>
              <w:left w:val="nil"/>
              <w:bottom w:val="nil"/>
              <w:right w:val="nil"/>
            </w:tcBorders>
            <w:shd w:val="clear" w:color="auto" w:fill="005984"/>
          </w:tcPr>
          <w:p w:rsidR="00225443" w:rsidRPr="003776E0" w:rsidDel="00E36D37" w:rsidRDefault="00225443" w:rsidP="00415FED">
            <w:pPr>
              <w:pStyle w:val="TableTextbold"/>
              <w:keepNext/>
              <w:jc w:val="both"/>
              <w:rPr>
                <w:color w:val="FFFFFF"/>
              </w:rPr>
            </w:pPr>
            <w:r w:rsidRPr="003776E0">
              <w:rPr>
                <w:color w:val="FFFFFF"/>
              </w:rPr>
              <w:t>Full surrender obligation from 1</w:t>
            </w:r>
            <w:r w:rsidR="00446FC5" w:rsidRPr="003776E0">
              <w:rPr>
                <w:color w:val="FFFFFF"/>
              </w:rPr>
              <w:t> </w:t>
            </w:r>
            <w:r w:rsidRPr="003776E0">
              <w:rPr>
                <w:color w:val="FFFFFF"/>
              </w:rPr>
              <w:t>Jan 2017</w:t>
            </w:r>
          </w:p>
        </w:tc>
      </w:tr>
      <w:tr w:rsidR="003776E0" w:rsidRPr="003776E0" w:rsidTr="003776E0">
        <w:tc>
          <w:tcPr>
            <w:tcW w:w="0" w:type="auto"/>
            <w:tcBorders>
              <w:top w:val="nil"/>
              <w:left w:val="nil"/>
              <w:bottom w:val="nil"/>
              <w:right w:val="nil"/>
            </w:tcBorders>
            <w:shd w:val="clear" w:color="auto" w:fill="FFFFFF"/>
          </w:tcPr>
          <w:p w:rsidR="00225443" w:rsidRPr="003776E0" w:rsidRDefault="00225443" w:rsidP="00400885">
            <w:pPr>
              <w:pStyle w:val="TableText"/>
              <w:rPr>
                <w:b/>
                <w:bCs/>
                <w:color w:val="000000"/>
              </w:rPr>
            </w:pPr>
            <w:r w:rsidRPr="003776E0">
              <w:rPr>
                <w:b/>
                <w:bCs/>
                <w:color w:val="000000"/>
              </w:rPr>
              <w:t>Banked NZUs as of 1 July 2015</w:t>
            </w:r>
          </w:p>
        </w:tc>
        <w:tc>
          <w:tcPr>
            <w:tcW w:w="0" w:type="auto"/>
            <w:tcBorders>
              <w:top w:val="nil"/>
              <w:left w:val="nil"/>
              <w:bottom w:val="nil"/>
              <w:right w:val="nil"/>
            </w:tcBorders>
            <w:shd w:val="clear" w:color="auto" w:fill="FFFFFF"/>
          </w:tcPr>
          <w:p w:rsidR="00225443" w:rsidRPr="003776E0" w:rsidRDefault="00225443" w:rsidP="00415FED">
            <w:pPr>
              <w:pStyle w:val="TableText"/>
              <w:jc w:val="both"/>
              <w:rPr>
                <w:color w:val="000000"/>
              </w:rPr>
            </w:pPr>
            <w:r w:rsidRPr="003776E0">
              <w:rPr>
                <w:color w:val="000000"/>
              </w:rPr>
              <w:t>140 million NZUs</w:t>
            </w:r>
          </w:p>
        </w:tc>
        <w:tc>
          <w:tcPr>
            <w:tcW w:w="0" w:type="auto"/>
            <w:tcBorders>
              <w:top w:val="nil"/>
              <w:left w:val="nil"/>
              <w:bottom w:val="nil"/>
              <w:right w:val="nil"/>
            </w:tcBorders>
            <w:shd w:val="clear" w:color="auto" w:fill="D2EAF1"/>
          </w:tcPr>
          <w:p w:rsidR="00225443" w:rsidRPr="003776E0" w:rsidRDefault="00225443" w:rsidP="00415FED">
            <w:pPr>
              <w:pStyle w:val="TableText"/>
              <w:jc w:val="both"/>
              <w:rPr>
                <w:color w:val="000000"/>
              </w:rPr>
            </w:pPr>
            <w:r w:rsidRPr="003776E0">
              <w:rPr>
                <w:color w:val="000000"/>
              </w:rPr>
              <w:t>140 million NZUs</w:t>
            </w:r>
          </w:p>
        </w:tc>
      </w:tr>
      <w:tr w:rsidR="003776E0" w:rsidRPr="003776E0" w:rsidTr="003776E0">
        <w:tc>
          <w:tcPr>
            <w:tcW w:w="0" w:type="auto"/>
            <w:tcBorders>
              <w:top w:val="nil"/>
              <w:left w:val="nil"/>
              <w:bottom w:val="nil"/>
              <w:right w:val="nil"/>
            </w:tcBorders>
            <w:shd w:val="clear" w:color="auto" w:fill="FFFFFF"/>
          </w:tcPr>
          <w:p w:rsidR="00225443" w:rsidRPr="003776E0" w:rsidRDefault="00225443" w:rsidP="00400885">
            <w:pPr>
              <w:pStyle w:val="TableText"/>
              <w:rPr>
                <w:b/>
                <w:bCs/>
                <w:color w:val="000000"/>
              </w:rPr>
            </w:pPr>
            <w:r w:rsidRPr="003776E0">
              <w:rPr>
                <w:b/>
                <w:bCs/>
                <w:color w:val="000000"/>
              </w:rPr>
              <w:t>Forecasted allocations and entitlements (2015–20)</w:t>
            </w:r>
            <w:r w:rsidRPr="003776E0">
              <w:rPr>
                <w:rStyle w:val="FootnoteReference"/>
                <w:b/>
                <w:bCs/>
                <w:color w:val="000000"/>
                <w:sz w:val="16"/>
                <w:szCs w:val="16"/>
              </w:rPr>
              <w:footnoteReference w:id="25"/>
            </w:r>
          </w:p>
        </w:tc>
        <w:tc>
          <w:tcPr>
            <w:tcW w:w="0" w:type="auto"/>
            <w:tcBorders>
              <w:top w:val="nil"/>
              <w:left w:val="nil"/>
              <w:bottom w:val="nil"/>
              <w:right w:val="nil"/>
            </w:tcBorders>
            <w:shd w:val="clear" w:color="auto" w:fill="FFFFFF"/>
          </w:tcPr>
          <w:p w:rsidR="00225443" w:rsidRPr="003776E0" w:rsidRDefault="00225443" w:rsidP="00415FED">
            <w:pPr>
              <w:pStyle w:val="TableText"/>
              <w:jc w:val="both"/>
              <w:rPr>
                <w:color w:val="000000"/>
              </w:rPr>
            </w:pPr>
            <w:r w:rsidRPr="003776E0">
              <w:rPr>
                <w:color w:val="000000"/>
              </w:rPr>
              <w:t>115 million NZUs</w:t>
            </w:r>
          </w:p>
        </w:tc>
        <w:tc>
          <w:tcPr>
            <w:tcW w:w="0" w:type="auto"/>
            <w:tcBorders>
              <w:top w:val="nil"/>
              <w:left w:val="nil"/>
              <w:bottom w:val="nil"/>
              <w:right w:val="nil"/>
            </w:tcBorders>
            <w:shd w:val="clear" w:color="auto" w:fill="D2EAF1"/>
          </w:tcPr>
          <w:p w:rsidR="00225443" w:rsidRPr="003776E0" w:rsidRDefault="00225443" w:rsidP="00415FED">
            <w:pPr>
              <w:pStyle w:val="TableText"/>
              <w:jc w:val="both"/>
              <w:rPr>
                <w:color w:val="000000"/>
              </w:rPr>
            </w:pPr>
            <w:r w:rsidRPr="003776E0">
              <w:rPr>
                <w:color w:val="000000"/>
              </w:rPr>
              <w:t>145 million NZUs</w:t>
            </w:r>
          </w:p>
        </w:tc>
      </w:tr>
      <w:tr w:rsidR="003776E0" w:rsidRPr="003776E0" w:rsidTr="003776E0">
        <w:tc>
          <w:tcPr>
            <w:tcW w:w="0" w:type="auto"/>
            <w:tcBorders>
              <w:top w:val="nil"/>
              <w:left w:val="nil"/>
              <w:bottom w:val="single" w:sz="12" w:space="0" w:color="005984"/>
              <w:right w:val="nil"/>
            </w:tcBorders>
            <w:shd w:val="clear" w:color="auto" w:fill="FFFFFF"/>
          </w:tcPr>
          <w:p w:rsidR="00225443" w:rsidRPr="003776E0" w:rsidRDefault="00225443" w:rsidP="00400885">
            <w:pPr>
              <w:pStyle w:val="TableText"/>
              <w:rPr>
                <w:b/>
                <w:bCs/>
                <w:color w:val="000000"/>
              </w:rPr>
            </w:pPr>
            <w:r w:rsidRPr="003776E0">
              <w:rPr>
                <w:b/>
                <w:bCs/>
                <w:color w:val="000000"/>
              </w:rPr>
              <w:t>Forecasted surrenders</w:t>
            </w:r>
            <w:r w:rsidRPr="003776E0">
              <w:rPr>
                <w:b/>
                <w:bCs/>
                <w:color w:val="000000"/>
              </w:rPr>
              <w:br/>
              <w:t>(2015–20)</w:t>
            </w:r>
            <w:r w:rsidRPr="003776E0">
              <w:rPr>
                <w:rStyle w:val="FootnoteReference"/>
                <w:b/>
                <w:bCs/>
                <w:color w:val="000000"/>
                <w:sz w:val="16"/>
                <w:szCs w:val="16"/>
              </w:rPr>
              <w:footnoteReference w:id="26"/>
            </w:r>
          </w:p>
        </w:tc>
        <w:tc>
          <w:tcPr>
            <w:tcW w:w="0" w:type="auto"/>
            <w:tcBorders>
              <w:top w:val="nil"/>
              <w:left w:val="nil"/>
              <w:bottom w:val="single" w:sz="12" w:space="0" w:color="005984"/>
              <w:right w:val="nil"/>
            </w:tcBorders>
            <w:shd w:val="clear" w:color="auto" w:fill="FFFFFF"/>
          </w:tcPr>
          <w:p w:rsidR="00225443" w:rsidRPr="003776E0" w:rsidRDefault="00446FC5" w:rsidP="00415FED">
            <w:pPr>
              <w:pStyle w:val="TableText"/>
              <w:jc w:val="both"/>
              <w:rPr>
                <w:color w:val="000000"/>
              </w:rPr>
            </w:pPr>
            <w:r w:rsidRPr="003776E0">
              <w:rPr>
                <w:color w:val="000000"/>
              </w:rPr>
              <w:t>–</w:t>
            </w:r>
            <w:r w:rsidR="00225443" w:rsidRPr="003776E0">
              <w:rPr>
                <w:color w:val="000000"/>
              </w:rPr>
              <w:t xml:space="preserve"> 155 million NZUs</w:t>
            </w:r>
          </w:p>
        </w:tc>
        <w:tc>
          <w:tcPr>
            <w:tcW w:w="0" w:type="auto"/>
            <w:tcBorders>
              <w:top w:val="nil"/>
              <w:left w:val="nil"/>
              <w:bottom w:val="single" w:sz="12" w:space="0" w:color="005984"/>
              <w:right w:val="nil"/>
            </w:tcBorders>
            <w:shd w:val="clear" w:color="auto" w:fill="D2EAF1"/>
          </w:tcPr>
          <w:p w:rsidR="00225443" w:rsidRPr="003776E0" w:rsidRDefault="00446FC5" w:rsidP="00415FED">
            <w:pPr>
              <w:pStyle w:val="TableText"/>
              <w:jc w:val="both"/>
              <w:rPr>
                <w:color w:val="000000"/>
              </w:rPr>
            </w:pPr>
            <w:r w:rsidRPr="003776E0">
              <w:rPr>
                <w:color w:val="000000"/>
              </w:rPr>
              <w:t>–</w:t>
            </w:r>
            <w:r w:rsidR="00225443" w:rsidRPr="003776E0">
              <w:rPr>
                <w:color w:val="000000"/>
              </w:rPr>
              <w:t xml:space="preserve"> 240 million NZUs</w:t>
            </w:r>
          </w:p>
        </w:tc>
      </w:tr>
      <w:tr w:rsidR="00225443" w:rsidRPr="003776E0" w:rsidTr="003776E0">
        <w:tc>
          <w:tcPr>
            <w:tcW w:w="0" w:type="auto"/>
            <w:tcBorders>
              <w:top w:val="single" w:sz="12" w:space="0" w:color="005984"/>
              <w:left w:val="nil"/>
              <w:bottom w:val="nil"/>
              <w:right w:val="nil"/>
            </w:tcBorders>
            <w:shd w:val="clear" w:color="auto" w:fill="FFFFFF"/>
          </w:tcPr>
          <w:p w:rsidR="00225443" w:rsidRPr="003776E0" w:rsidRDefault="00225443" w:rsidP="00415FED">
            <w:pPr>
              <w:pStyle w:val="TableText"/>
              <w:jc w:val="both"/>
              <w:rPr>
                <w:b/>
                <w:bCs/>
                <w:color w:val="000000"/>
              </w:rPr>
            </w:pPr>
            <w:r w:rsidRPr="003776E0">
              <w:rPr>
                <w:b/>
                <w:bCs/>
                <w:color w:val="000000"/>
              </w:rPr>
              <w:t xml:space="preserve">Banked units remaining end of 2020 </w:t>
            </w:r>
          </w:p>
        </w:tc>
        <w:tc>
          <w:tcPr>
            <w:tcW w:w="0" w:type="auto"/>
            <w:tcBorders>
              <w:top w:val="single" w:sz="12" w:space="0" w:color="005984"/>
              <w:left w:val="nil"/>
              <w:bottom w:val="nil"/>
              <w:right w:val="nil"/>
            </w:tcBorders>
            <w:shd w:val="clear" w:color="auto" w:fill="FFFFFF"/>
          </w:tcPr>
          <w:p w:rsidR="00225443" w:rsidRPr="003776E0" w:rsidRDefault="00225443" w:rsidP="00415FED">
            <w:pPr>
              <w:pStyle w:val="TableText"/>
              <w:jc w:val="both"/>
              <w:rPr>
                <w:b/>
                <w:bCs/>
                <w:color w:val="000000"/>
              </w:rPr>
            </w:pPr>
            <w:r w:rsidRPr="003776E0">
              <w:rPr>
                <w:b/>
                <w:bCs/>
                <w:color w:val="000000"/>
              </w:rPr>
              <w:t>100 million NZUs</w:t>
            </w:r>
          </w:p>
        </w:tc>
        <w:tc>
          <w:tcPr>
            <w:tcW w:w="0" w:type="auto"/>
            <w:tcBorders>
              <w:top w:val="single" w:sz="12" w:space="0" w:color="005984"/>
              <w:left w:val="nil"/>
              <w:bottom w:val="nil"/>
              <w:right w:val="nil"/>
            </w:tcBorders>
            <w:shd w:val="clear" w:color="auto" w:fill="FFFFFF"/>
          </w:tcPr>
          <w:p w:rsidR="00225443" w:rsidRPr="003776E0" w:rsidRDefault="00225443" w:rsidP="00415FED">
            <w:pPr>
              <w:pStyle w:val="TableText"/>
              <w:jc w:val="both"/>
              <w:rPr>
                <w:b/>
                <w:bCs/>
                <w:color w:val="000000"/>
              </w:rPr>
            </w:pPr>
            <w:r w:rsidRPr="003776E0">
              <w:rPr>
                <w:b/>
                <w:bCs/>
                <w:color w:val="000000"/>
              </w:rPr>
              <w:t>45 million NZUs</w:t>
            </w:r>
          </w:p>
        </w:tc>
      </w:tr>
    </w:tbl>
    <w:p w:rsidR="00225443" w:rsidRPr="00AF297A" w:rsidRDefault="00225443" w:rsidP="00415FED">
      <w:pPr>
        <w:jc w:val="both"/>
      </w:pPr>
    </w:p>
    <w:p w:rsidR="00816866" w:rsidRPr="00AF297A" w:rsidRDefault="00816866" w:rsidP="00415FED">
      <w:pPr>
        <w:pStyle w:val="Heading1"/>
        <w:ind w:left="0" w:firstLine="0"/>
        <w:jc w:val="both"/>
      </w:pPr>
    </w:p>
    <w:p w:rsidR="00816866" w:rsidRDefault="00816866" w:rsidP="00415FED">
      <w:pPr>
        <w:jc w:val="both"/>
        <w:rPr>
          <w:rStyle w:val="IntenseEmphasis"/>
          <w:i w:val="0"/>
          <w:iCs w:val="0"/>
          <w:color w:val="005984"/>
          <w:sz w:val="36"/>
          <w:szCs w:val="36"/>
        </w:rPr>
      </w:pPr>
    </w:p>
    <w:p w:rsidR="005B53CF" w:rsidRDefault="005B53CF" w:rsidP="00415FED">
      <w:pPr>
        <w:jc w:val="both"/>
        <w:rPr>
          <w:rStyle w:val="IntenseEmphasis"/>
          <w:i w:val="0"/>
          <w:iCs w:val="0"/>
          <w:color w:val="005984"/>
          <w:sz w:val="36"/>
          <w:szCs w:val="36"/>
        </w:rPr>
      </w:pPr>
    </w:p>
    <w:p w:rsidR="005B53CF" w:rsidRPr="00BA2F56" w:rsidRDefault="005B53CF" w:rsidP="00415FED">
      <w:pPr>
        <w:jc w:val="both"/>
        <w:rPr>
          <w:i/>
          <w:sz w:val="36"/>
          <w:szCs w:val="36"/>
        </w:rPr>
      </w:pPr>
    </w:p>
    <w:sectPr w:rsidR="005B53CF" w:rsidRPr="00BA2F56" w:rsidSect="00254BAB">
      <w:headerReference w:type="even" r:id="rId29"/>
      <w:headerReference w:type="default" r:id="rId30"/>
      <w:footerReference w:type="even" r:id="rId31"/>
      <w:footerReference w:type="default" r:id="rId32"/>
      <w:headerReference w:type="first" r:id="rId33"/>
      <w:footerReference w:type="first" r:id="rId34"/>
      <w:pgSz w:w="11907" w:h="16840" w:code="9"/>
      <w:pgMar w:top="1701" w:right="1418" w:bottom="1701" w:left="1418" w:header="567" w:footer="567" w:gutter="567"/>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66D08D" w15:done="0"/>
  <w15:commentEx w15:paraId="1A7F64A4" w15:done="0"/>
  <w15:commentEx w15:paraId="2444A1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574" w:rsidRDefault="00D44574">
      <w:r>
        <w:separator/>
      </w:r>
    </w:p>
    <w:p w:rsidR="00D44574" w:rsidRDefault="00D44574"/>
    <w:p w:rsidR="00D44574" w:rsidRDefault="00D44574"/>
    <w:p w:rsidR="00D44574" w:rsidRDefault="00D44574"/>
    <w:p w:rsidR="00D44574" w:rsidRDefault="00D44574"/>
  </w:endnote>
  <w:endnote w:type="continuationSeparator" w:id="0">
    <w:p w:rsidR="00D44574" w:rsidRDefault="00D44574">
      <w:r>
        <w:continuationSeparator/>
      </w:r>
    </w:p>
    <w:p w:rsidR="00D44574" w:rsidRDefault="00D44574"/>
    <w:p w:rsidR="00D44574" w:rsidRDefault="00D44574"/>
    <w:p w:rsidR="00D44574" w:rsidRDefault="00D44574"/>
    <w:p w:rsidR="00D44574" w:rsidRDefault="00D44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rsidP="00D74237">
    <w:pPr>
      <w:pStyle w:val="Footereven"/>
    </w:pP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191EF0">
      <w:rPr>
        <w:rStyle w:val="PageNumber"/>
        <w:noProof/>
      </w:rPr>
      <w:t>iv</w:t>
    </w:r>
    <w:r w:rsidRPr="009116D7">
      <w:rPr>
        <w:rStyle w:val="PageNumber"/>
      </w:rPr>
      <w:fldChar w:fldCharType="end"/>
    </w:r>
    <w:r>
      <w:tab/>
    </w:r>
    <w:r w:rsidRPr="00E30E95">
      <w:t>New Zealand Emissions Trading Scheme Review 2015–16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rsidP="002C7191">
    <w:pPr>
      <w:pStyle w:val="Footerodd"/>
      <w:rPr>
        <w:rStyle w:val="PageNumber"/>
        <w:b w:val="0"/>
        <w:bCs w:val="0"/>
      </w:rPr>
    </w:pPr>
    <w:r>
      <w:tab/>
    </w:r>
    <w:r w:rsidRPr="00E30E95">
      <w:t>New Zealand Emissions Trading Scheme Review 2015–16</w:t>
    </w:r>
    <w:r>
      <w:tab/>
    </w:r>
    <w:r>
      <w:rPr>
        <w:rStyle w:val="PageNumber"/>
      </w:rPr>
      <w:fldChar w:fldCharType="begin"/>
    </w:r>
    <w:r>
      <w:rPr>
        <w:rStyle w:val="PageNumber"/>
      </w:rPr>
      <w:instrText xml:space="preserve"> PAGE </w:instrText>
    </w:r>
    <w:r>
      <w:rPr>
        <w:rStyle w:val="PageNumber"/>
      </w:rPr>
      <w:fldChar w:fldCharType="separate"/>
    </w:r>
    <w:r w:rsidR="00191EF0">
      <w:rPr>
        <w:rStyle w:val="PageNumber"/>
        <w:noProof/>
      </w:rPr>
      <w:t>iii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rsidP="007415BE">
    <w:pPr>
      <w:pStyle w:val="Footereven"/>
    </w:pPr>
    <w:r>
      <w:rPr>
        <w:rStyle w:val="PageNumber"/>
      </w:rPr>
      <w:fldChar w:fldCharType="begin"/>
    </w:r>
    <w:r>
      <w:rPr>
        <w:rStyle w:val="PageNumber"/>
      </w:rPr>
      <w:instrText xml:space="preserve"> PAGE </w:instrText>
    </w:r>
    <w:r>
      <w:rPr>
        <w:rStyle w:val="PageNumber"/>
      </w:rPr>
      <w:fldChar w:fldCharType="separate"/>
    </w:r>
    <w:r w:rsidR="00191EF0">
      <w:rPr>
        <w:rStyle w:val="PageNumber"/>
        <w:noProof/>
      </w:rPr>
      <w:t>18</w:t>
    </w:r>
    <w:r>
      <w:rPr>
        <w:rStyle w:val="PageNumber"/>
      </w:rPr>
      <w:fldChar w:fldCharType="end"/>
    </w:r>
    <w:r>
      <w:rPr>
        <w:rStyle w:val="PageNumber"/>
      </w:rPr>
      <w:tab/>
    </w:r>
    <w:r w:rsidRPr="00E30E95">
      <w:t>New Zealand Emissions Trading Scheme Review 2015–16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rsidP="00254BAB">
    <w:pPr>
      <w:pStyle w:val="Footerodd"/>
      <w:tabs>
        <w:tab w:val="clear" w:pos="8505"/>
        <w:tab w:val="right" w:pos="8504"/>
      </w:tabs>
    </w:pPr>
    <w:r>
      <w:tab/>
    </w:r>
    <w:r w:rsidRPr="00E30E95">
      <w:t>New Zealand Emissions Trading Scheme Review 2015–16</w:t>
    </w:r>
    <w:r>
      <w:tab/>
    </w:r>
    <w:r w:rsidRPr="009116D7">
      <w:rPr>
        <w:rStyle w:val="PageNumber"/>
      </w:rPr>
      <w:fldChar w:fldCharType="begin"/>
    </w:r>
    <w:r w:rsidRPr="009116D7">
      <w:rPr>
        <w:rStyle w:val="PageNumber"/>
      </w:rPr>
      <w:instrText xml:space="preserve"> PAGE </w:instrText>
    </w:r>
    <w:r w:rsidRPr="009116D7">
      <w:rPr>
        <w:rStyle w:val="PageNumber"/>
      </w:rPr>
      <w:fldChar w:fldCharType="separate"/>
    </w:r>
    <w:r w:rsidR="00191EF0">
      <w:rPr>
        <w:rStyle w:val="PageNumber"/>
        <w:noProof/>
      </w:rPr>
      <w:t>17</w:t>
    </w:r>
    <w:r w:rsidRPr="009116D7">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rsidP="00F62310">
    <w:pPr>
      <w:pStyle w:val="Footerodd"/>
    </w:pPr>
    <w:r>
      <w:tab/>
    </w:r>
    <w:r w:rsidRPr="00E30E95">
      <w:t>New Zealand Emissions Trading Scheme Review 2015–16</w:t>
    </w:r>
    <w:r>
      <w:tab/>
    </w:r>
    <w:r>
      <w:rPr>
        <w:rStyle w:val="PageNumber"/>
      </w:rPr>
      <w:fldChar w:fldCharType="begin"/>
    </w:r>
    <w:r>
      <w:rPr>
        <w:rStyle w:val="PageNumber"/>
      </w:rPr>
      <w:instrText xml:space="preserve"> PAGE </w:instrText>
    </w:r>
    <w:r>
      <w:rPr>
        <w:rStyle w:val="PageNumber"/>
      </w:rPr>
      <w:fldChar w:fldCharType="separate"/>
    </w:r>
    <w:r w:rsidR="00191EF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574" w:rsidRDefault="00D44574" w:rsidP="00BF2618">
      <w:pPr>
        <w:spacing w:after="60"/>
      </w:pPr>
      <w:r>
        <w:separator/>
      </w:r>
    </w:p>
  </w:footnote>
  <w:footnote w:type="continuationSeparator" w:id="0">
    <w:p w:rsidR="00D44574" w:rsidRDefault="00D44574">
      <w:r>
        <w:continuationSeparator/>
      </w:r>
    </w:p>
    <w:p w:rsidR="00D44574" w:rsidRDefault="00D44574"/>
    <w:p w:rsidR="00D44574" w:rsidRDefault="00D44574"/>
    <w:p w:rsidR="00D44574" w:rsidRDefault="00D44574"/>
    <w:p w:rsidR="00D44574" w:rsidRDefault="00D44574"/>
  </w:footnote>
  <w:footnote w:id="1">
    <w:p w:rsidR="00D44574" w:rsidRPr="0003570B" w:rsidRDefault="00D44574" w:rsidP="001E7F06">
      <w:pPr>
        <w:pStyle w:val="FootnoteText"/>
        <w:rPr>
          <w:szCs w:val="19"/>
        </w:rPr>
      </w:pPr>
      <w:r w:rsidRPr="0003570B">
        <w:rPr>
          <w:rStyle w:val="FootnoteReference"/>
          <w:rFonts w:ascii="Calibri" w:hAnsi="Calibri"/>
          <w:sz w:val="19"/>
          <w:szCs w:val="19"/>
        </w:rPr>
        <w:footnoteRef/>
      </w:r>
      <w:r w:rsidRPr="0003570B">
        <w:rPr>
          <w:szCs w:val="19"/>
        </w:rPr>
        <w:t xml:space="preserve"> </w:t>
      </w:r>
      <w:r w:rsidRPr="0003570B">
        <w:rPr>
          <w:szCs w:val="19"/>
        </w:rPr>
        <w:tab/>
        <w:t xml:space="preserve">Carbon prices in the NZ ETS were as high as $20 in 2010/11, dropped to around $0.20 in 2013/14, and are now around $7. </w:t>
      </w:r>
    </w:p>
  </w:footnote>
  <w:footnote w:id="2">
    <w:p w:rsidR="00D44574" w:rsidRPr="007F2DDC" w:rsidRDefault="00D44574" w:rsidP="00844476">
      <w:pPr>
        <w:pStyle w:val="FootnoteText"/>
        <w:rPr>
          <w:szCs w:val="19"/>
        </w:rPr>
      </w:pPr>
      <w:r w:rsidRPr="0003570B">
        <w:rPr>
          <w:rStyle w:val="FootnoteReference"/>
          <w:rFonts w:ascii="Calibri" w:hAnsi="Calibri"/>
          <w:sz w:val="19"/>
          <w:szCs w:val="19"/>
        </w:rPr>
        <w:footnoteRef/>
      </w:r>
      <w:r w:rsidRPr="0003570B">
        <w:rPr>
          <w:szCs w:val="19"/>
        </w:rPr>
        <w:t xml:space="preserve"> </w:t>
      </w:r>
      <w:r w:rsidRPr="0003570B">
        <w:rPr>
          <w:szCs w:val="19"/>
        </w:rPr>
        <w:tab/>
        <w:t xml:space="preserve">All figures have </w:t>
      </w:r>
      <w:r w:rsidRPr="007F2DDC">
        <w:rPr>
          <w:szCs w:val="19"/>
        </w:rPr>
        <w:t>been converted to year-2014 New Zealand dollars.</w:t>
      </w:r>
    </w:p>
  </w:footnote>
  <w:footnote w:id="3">
    <w:p w:rsidR="00D44574" w:rsidRPr="007F2DDC" w:rsidRDefault="00D44574" w:rsidP="00844476">
      <w:pPr>
        <w:pStyle w:val="FootnoteText"/>
        <w:rPr>
          <w:szCs w:val="19"/>
        </w:rPr>
      </w:pPr>
      <w:r w:rsidRPr="007F2DDC">
        <w:rPr>
          <w:rStyle w:val="FootnoteReference"/>
          <w:rFonts w:ascii="Calibri" w:hAnsi="Calibri"/>
          <w:sz w:val="19"/>
          <w:szCs w:val="19"/>
        </w:rPr>
        <w:footnoteRef/>
      </w:r>
      <w:r w:rsidRPr="007F2DDC">
        <w:rPr>
          <w:szCs w:val="19"/>
        </w:rPr>
        <w:tab/>
        <w:t>Estimate sourced from Carbon Pulse</w:t>
      </w:r>
      <w:hyperlink w:history="1"/>
      <w:r w:rsidRPr="007F2DDC">
        <w:rPr>
          <w:szCs w:val="19"/>
        </w:rPr>
        <w:t xml:space="preserve">. Retrieved from  </w:t>
      </w:r>
      <w:hyperlink r:id="rId1" w:history="1">
        <w:r w:rsidRPr="007F2DDC">
          <w:rPr>
            <w:rStyle w:val="Hyperlink"/>
            <w:sz w:val="19"/>
            <w:szCs w:val="19"/>
          </w:rPr>
          <w:t>www.carbon-pulse.com/poll-analysts-raise-eu-carbon-price-estimates-big-jump-for-2018-2020/</w:t>
        </w:r>
      </w:hyperlink>
      <w:r w:rsidRPr="007F2DDC">
        <w:rPr>
          <w:szCs w:val="19"/>
        </w:rPr>
        <w:t xml:space="preserve"> (26 October 2015).  </w:t>
      </w:r>
    </w:p>
  </w:footnote>
  <w:footnote w:id="4">
    <w:p w:rsidR="00D44574" w:rsidRPr="0003570B" w:rsidRDefault="00D44574" w:rsidP="00844476">
      <w:pPr>
        <w:pStyle w:val="FootnoteText"/>
        <w:rPr>
          <w:szCs w:val="19"/>
        </w:rPr>
      </w:pPr>
      <w:r w:rsidRPr="007F2DDC">
        <w:rPr>
          <w:rStyle w:val="FootnoteReference"/>
          <w:rFonts w:ascii="Calibri" w:hAnsi="Calibri"/>
          <w:sz w:val="19"/>
          <w:szCs w:val="19"/>
        </w:rPr>
        <w:footnoteRef/>
      </w:r>
      <w:r w:rsidRPr="007F2DDC">
        <w:rPr>
          <w:szCs w:val="19"/>
        </w:rPr>
        <w:t xml:space="preserve"> </w:t>
      </w:r>
      <w:r w:rsidRPr="007F2DDC">
        <w:rPr>
          <w:szCs w:val="19"/>
        </w:rPr>
        <w:tab/>
        <w:t xml:space="preserve">IEA. 2015. </w:t>
      </w:r>
      <w:r w:rsidRPr="007F2DDC">
        <w:rPr>
          <w:i/>
          <w:szCs w:val="19"/>
        </w:rPr>
        <w:t xml:space="preserve">World Energy Outlook 2015. </w:t>
      </w:r>
      <w:r w:rsidRPr="007F2DDC">
        <w:rPr>
          <w:szCs w:val="19"/>
        </w:rPr>
        <w:t>Retrieved from</w:t>
      </w:r>
      <w:r w:rsidRPr="007F2DDC">
        <w:rPr>
          <w:i/>
          <w:szCs w:val="19"/>
        </w:rPr>
        <w:t xml:space="preserve"> </w:t>
      </w:r>
      <w:hyperlink r:id="rId2" w:history="1">
        <w:r w:rsidRPr="007F2DDC">
          <w:rPr>
            <w:rStyle w:val="Hyperlink"/>
            <w:sz w:val="19"/>
            <w:szCs w:val="19"/>
          </w:rPr>
          <w:t>www.worldenergyoutlook.org/</w:t>
        </w:r>
      </w:hyperlink>
      <w:r w:rsidRPr="007F2DDC">
        <w:rPr>
          <w:szCs w:val="19"/>
        </w:rPr>
        <w:t xml:space="preserve"> (13 November 2015).</w:t>
      </w:r>
      <w:r>
        <w:rPr>
          <w:szCs w:val="19"/>
        </w:rPr>
        <w:t xml:space="preserve">   </w:t>
      </w:r>
    </w:p>
  </w:footnote>
  <w:footnote w:id="5">
    <w:p w:rsidR="00D44574" w:rsidRPr="00CC559E" w:rsidRDefault="00D44574" w:rsidP="00BE3155">
      <w:pPr>
        <w:pStyle w:val="FootnoteText"/>
        <w:rPr>
          <w:highlight w:val="yellow"/>
        </w:rPr>
      </w:pPr>
      <w:r w:rsidRPr="0003570B">
        <w:rPr>
          <w:rStyle w:val="FootnoteReference"/>
          <w:rFonts w:ascii="Calibri" w:hAnsi="Calibri"/>
          <w:sz w:val="19"/>
          <w:szCs w:val="19"/>
        </w:rPr>
        <w:footnoteRef/>
      </w:r>
      <w:r w:rsidRPr="0003570B">
        <w:rPr>
          <w:szCs w:val="19"/>
        </w:rPr>
        <w:tab/>
        <w:t>IPCC</w:t>
      </w:r>
      <w:r>
        <w:rPr>
          <w:szCs w:val="19"/>
        </w:rPr>
        <w:t>.</w:t>
      </w:r>
      <w:r w:rsidRPr="0003570B">
        <w:rPr>
          <w:szCs w:val="19"/>
        </w:rPr>
        <w:t xml:space="preserve"> 2014</w:t>
      </w:r>
      <w:r>
        <w:rPr>
          <w:szCs w:val="19"/>
        </w:rPr>
        <w:t>.</w:t>
      </w:r>
      <w:r w:rsidRPr="0003570B">
        <w:rPr>
          <w:szCs w:val="19"/>
        </w:rPr>
        <w:t xml:space="preserve"> </w:t>
      </w:r>
      <w:r w:rsidRPr="0003570B">
        <w:rPr>
          <w:i/>
          <w:szCs w:val="19"/>
        </w:rPr>
        <w:t>Climate Change 2014: Mitigation of Climate Change. Contribution of Working Group III to the</w:t>
      </w:r>
      <w:r w:rsidRPr="00E3671D">
        <w:rPr>
          <w:i/>
        </w:rPr>
        <w:t xml:space="preserve"> Fifth Assessment Report of the Intergovernmental Panel on Climate Change</w:t>
      </w:r>
      <w:r>
        <w:rPr>
          <w:i/>
        </w:rPr>
        <w:t xml:space="preserve">. </w:t>
      </w:r>
      <w:r w:rsidRPr="00994B88">
        <w:t>Retrieved from</w:t>
      </w:r>
      <w:r>
        <w:rPr>
          <w:i/>
        </w:rPr>
        <w:t xml:space="preserve"> </w:t>
      </w:r>
      <w:r>
        <w:t xml:space="preserve"> </w:t>
      </w:r>
      <w:r w:rsidRPr="00E71EF2">
        <w:t xml:space="preserve"> </w:t>
      </w:r>
      <w:hyperlink r:id="rId3" w:history="1">
        <w:r w:rsidRPr="00291DDC">
          <w:rPr>
            <w:rStyle w:val="Hyperlink"/>
            <w:sz w:val="19"/>
          </w:rPr>
          <w:t>www.ipcc.ch/report/ar5/</w:t>
        </w:r>
      </w:hyperlink>
      <w:r>
        <w:t xml:space="preserve"> (26 October 2015). </w:t>
      </w:r>
    </w:p>
  </w:footnote>
  <w:footnote w:id="6">
    <w:p w:rsidR="00D44574" w:rsidRPr="00F7166D" w:rsidRDefault="00D44574" w:rsidP="00F7166D">
      <w:pPr>
        <w:pStyle w:val="FootnoteText"/>
        <w:rPr>
          <w:szCs w:val="19"/>
        </w:rPr>
      </w:pPr>
      <w:r w:rsidRPr="00F7166D">
        <w:rPr>
          <w:rStyle w:val="FootnoteReference"/>
          <w:rFonts w:ascii="Calibri" w:hAnsi="Calibri"/>
          <w:sz w:val="19"/>
          <w:szCs w:val="19"/>
        </w:rPr>
        <w:footnoteRef/>
      </w:r>
      <w:r w:rsidRPr="00F7166D">
        <w:rPr>
          <w:szCs w:val="19"/>
        </w:rPr>
        <w:t xml:space="preserve"> </w:t>
      </w:r>
      <w:r w:rsidRPr="00F7166D">
        <w:rPr>
          <w:szCs w:val="19"/>
        </w:rPr>
        <w:tab/>
      </w:r>
      <w:r w:rsidRPr="00F7166D">
        <w:rPr>
          <w:rFonts w:cs="Arial"/>
          <w:szCs w:val="19"/>
        </w:rPr>
        <w:t xml:space="preserve">As noted in the </w:t>
      </w:r>
      <w:r w:rsidRPr="00F7166D">
        <w:rPr>
          <w:rFonts w:cs="Arial"/>
          <w:szCs w:val="19"/>
          <w:lang w:val="en"/>
        </w:rPr>
        <w:t>Treasury</w:t>
      </w:r>
      <w:r>
        <w:rPr>
          <w:rFonts w:cs="Arial"/>
          <w:szCs w:val="19"/>
          <w:lang w:val="en"/>
        </w:rPr>
        <w:t>’</w:t>
      </w:r>
      <w:r w:rsidRPr="00F7166D">
        <w:rPr>
          <w:rFonts w:cs="Arial"/>
          <w:szCs w:val="19"/>
          <w:lang w:val="en"/>
        </w:rPr>
        <w:t xml:space="preserve">s </w:t>
      </w:r>
      <w:hyperlink r:id="rId4" w:history="1">
        <w:r w:rsidRPr="00F7166D">
          <w:rPr>
            <w:rStyle w:val="Hyperlink"/>
            <w:rFonts w:cs="Arial"/>
            <w:sz w:val="19"/>
            <w:szCs w:val="19"/>
            <w:lang w:val="en"/>
          </w:rPr>
          <w:t>New Zealand Economic and Financial Overview 2015</w:t>
        </w:r>
      </w:hyperlink>
      <w:r w:rsidRPr="00F7166D">
        <w:rPr>
          <w:rFonts w:cs="Arial"/>
          <w:szCs w:val="19"/>
          <w:lang w:val="en"/>
        </w:rPr>
        <w:t xml:space="preserve"> (published in April 2015), </w:t>
      </w:r>
      <w:hyperlink r:id="rId5" w:history="1">
        <w:r w:rsidRPr="00281943">
          <w:rPr>
            <w:rStyle w:val="Hyperlink"/>
            <w:rFonts w:cs="Arial"/>
            <w:sz w:val="19"/>
            <w:szCs w:val="19"/>
            <w:lang w:val="en"/>
          </w:rPr>
          <w:t>www.treasury.govt.nz/economy/overview/2015</w:t>
        </w:r>
      </w:hyperlink>
    </w:p>
  </w:footnote>
  <w:footnote w:id="7">
    <w:p w:rsidR="00D44574" w:rsidRDefault="00D44574">
      <w:pPr>
        <w:pStyle w:val="FootnoteText"/>
      </w:pPr>
      <w:r>
        <w:rPr>
          <w:rStyle w:val="FootnoteReference"/>
        </w:rPr>
        <w:footnoteRef/>
      </w:r>
      <w:r>
        <w:t xml:space="preserve"> </w:t>
      </w:r>
      <w:r>
        <w:tab/>
      </w:r>
      <w:r w:rsidRPr="0095458D">
        <w:t>The 2011 Review Panel recommended scale up to full surrender obligation</w:t>
      </w:r>
      <w:r>
        <w:t>s</w:t>
      </w:r>
      <w:r w:rsidRPr="0095458D">
        <w:t xml:space="preserve"> progressively over three years,</w:t>
      </w:r>
      <w:r>
        <w:t xml:space="preserve"> increasing at equal intervals per annum.  The recommended increases were to </w:t>
      </w:r>
      <w:r w:rsidRPr="0095458D">
        <w:t>67</w:t>
      </w:r>
      <w:r>
        <w:t xml:space="preserve"> per cent</w:t>
      </w:r>
      <w:r w:rsidRPr="0095458D">
        <w:t xml:space="preserve"> in year one</w:t>
      </w:r>
      <w:r>
        <w:t xml:space="preserve">, which would require participants to surrender two eligible emission units for every three tonnes of emissions; then to </w:t>
      </w:r>
      <w:r w:rsidRPr="0095458D">
        <w:t>83</w:t>
      </w:r>
      <w:r>
        <w:t xml:space="preserve"> per cent</w:t>
      </w:r>
      <w:r w:rsidRPr="0095458D">
        <w:t xml:space="preserve"> </w:t>
      </w:r>
      <w:r>
        <w:t xml:space="preserve">or five eligible emission units for every six tonnes of emission </w:t>
      </w:r>
      <w:r w:rsidRPr="0095458D">
        <w:t>in year two</w:t>
      </w:r>
      <w:r>
        <w:t xml:space="preserve">; </w:t>
      </w:r>
      <w:r w:rsidRPr="0095458D">
        <w:t xml:space="preserve">and </w:t>
      </w:r>
      <w:r>
        <w:t xml:space="preserve">to </w:t>
      </w:r>
      <w:r w:rsidRPr="0095458D">
        <w:t>100</w:t>
      </w:r>
      <w:r>
        <w:t xml:space="preserve"> per cent</w:t>
      </w:r>
      <w:r w:rsidRPr="0095458D">
        <w:t xml:space="preserve"> in year three.</w:t>
      </w:r>
    </w:p>
  </w:footnote>
  <w:footnote w:id="8">
    <w:p w:rsidR="00D44574" w:rsidRPr="00FC5DBF" w:rsidRDefault="00D44574" w:rsidP="00FC5DBF">
      <w:pPr>
        <w:pStyle w:val="FootnoteText"/>
      </w:pPr>
      <w:r w:rsidRPr="00FC5DBF">
        <w:rPr>
          <w:rStyle w:val="FootnoteReference"/>
          <w:rFonts w:ascii="Calibri" w:hAnsi="Calibri"/>
          <w:sz w:val="19"/>
          <w:szCs w:val="19"/>
        </w:rPr>
        <w:footnoteRef/>
      </w:r>
      <w:r w:rsidRPr="00FC5DBF">
        <w:t xml:space="preserve"> </w:t>
      </w:r>
      <w:r w:rsidRPr="00FC5DBF">
        <w:tab/>
        <w:t>Current allocation rates are 90 per</w:t>
      </w:r>
      <w:r>
        <w:t xml:space="preserve"> </w:t>
      </w:r>
      <w:r w:rsidRPr="00FC5DBF">
        <w:t>cent for highly EITE activities and 60 per</w:t>
      </w:r>
      <w:r>
        <w:t xml:space="preserve"> </w:t>
      </w:r>
      <w:r w:rsidRPr="00FC5DBF">
        <w:t xml:space="preserve">cent for moderately EITE activities. </w:t>
      </w:r>
    </w:p>
  </w:footnote>
  <w:footnote w:id="9">
    <w:p w:rsidR="00D44574" w:rsidRPr="00FC5DBF" w:rsidRDefault="00D44574" w:rsidP="00FC5DBF">
      <w:pPr>
        <w:pStyle w:val="FootnoteText"/>
      </w:pPr>
      <w:r w:rsidRPr="00FC5DBF">
        <w:rPr>
          <w:rStyle w:val="FootnoteReference"/>
          <w:rFonts w:ascii="Calibri" w:hAnsi="Calibri"/>
          <w:sz w:val="19"/>
          <w:szCs w:val="19"/>
        </w:rPr>
        <w:footnoteRef/>
      </w:r>
      <w:r w:rsidRPr="00FC5DBF">
        <w:t xml:space="preserve"> </w:t>
      </w:r>
      <w:r w:rsidRPr="00FC5DBF">
        <w:tab/>
        <w:t xml:space="preserve">The number of NZUs allocated is calculated on production rates, with recipients allocated a fixed number of NZUs based on average levels of emissions for an activity. If these firms reduce their emissions while maintaining production levels, they will have </w:t>
      </w:r>
      <w:r>
        <w:t>extra</w:t>
      </w:r>
      <w:r w:rsidRPr="00FC5DBF">
        <w:t xml:space="preserve"> NZUs</w:t>
      </w:r>
      <w:r>
        <w:t>, which they can</w:t>
      </w:r>
      <w:r w:rsidRPr="00FC5DBF">
        <w:t xml:space="preserve"> sell.</w:t>
      </w:r>
    </w:p>
  </w:footnote>
  <w:footnote w:id="10">
    <w:p w:rsidR="00D44574" w:rsidRDefault="00D44574">
      <w:pPr>
        <w:pStyle w:val="FootnoteText"/>
      </w:pPr>
      <w:r>
        <w:rPr>
          <w:rStyle w:val="FootnoteReference"/>
        </w:rPr>
        <w:footnoteRef/>
      </w:r>
      <w:r>
        <w:t xml:space="preserve"> </w:t>
      </w:r>
      <w:r>
        <w:tab/>
        <w:t>For example, as of 2013 around 60 per cent of units in the EU ETS were allocated, and the Korean ETS provides 100 per cent free allocation to all participants in its first implementation phase over 2015-2017.</w:t>
      </w:r>
    </w:p>
  </w:footnote>
  <w:footnote w:id="11">
    <w:p w:rsidR="00D44574" w:rsidRPr="00FC5DBF" w:rsidRDefault="00D44574" w:rsidP="004B1C4C">
      <w:pPr>
        <w:pStyle w:val="FootnoteText"/>
        <w:rPr>
          <w:szCs w:val="19"/>
        </w:rPr>
      </w:pPr>
      <w:r w:rsidRPr="00FC5DBF">
        <w:rPr>
          <w:rStyle w:val="FootnoteReference"/>
          <w:rFonts w:ascii="Calibri" w:hAnsi="Calibri"/>
          <w:sz w:val="19"/>
          <w:szCs w:val="19"/>
        </w:rPr>
        <w:footnoteRef/>
      </w:r>
      <w:r w:rsidRPr="00FC5DBF">
        <w:rPr>
          <w:szCs w:val="19"/>
        </w:rPr>
        <w:t xml:space="preserve"> </w:t>
      </w:r>
      <w:r w:rsidRPr="00FC5DBF">
        <w:rPr>
          <w:szCs w:val="19"/>
        </w:rPr>
        <w:tab/>
        <w:t>For more information on how forestry works in the NZ ETS, visit www.climatechange.govt.nz</w:t>
      </w:r>
    </w:p>
  </w:footnote>
  <w:footnote w:id="12">
    <w:p w:rsidR="00D44574" w:rsidRPr="00FC5DBF" w:rsidRDefault="00D44574" w:rsidP="008B0B09">
      <w:pPr>
        <w:pStyle w:val="FootnoteText"/>
        <w:rPr>
          <w:szCs w:val="19"/>
        </w:rPr>
      </w:pPr>
      <w:r w:rsidRPr="00FC5DBF">
        <w:rPr>
          <w:rStyle w:val="FootnoteReference"/>
          <w:rFonts w:ascii="Calibri" w:hAnsi="Calibri"/>
          <w:sz w:val="19"/>
          <w:szCs w:val="19"/>
        </w:rPr>
        <w:footnoteRef/>
      </w:r>
      <w:r w:rsidRPr="00FC5DBF">
        <w:rPr>
          <w:szCs w:val="19"/>
        </w:rPr>
        <w:t xml:space="preserve"> </w:t>
      </w:r>
      <w:r w:rsidRPr="00FC5DBF">
        <w:rPr>
          <w:szCs w:val="19"/>
        </w:rPr>
        <w:tab/>
        <w:t xml:space="preserve">Afforestation was 4,500 hectares in 2013, as reported in New Zealand’s Greenhouse Gas Inventory 1990–2013 www.mfe.govt.nz/climate-change/reporting-greenhouse-gas-emissions/nzs-greenhouse-gas-inventory </w:t>
      </w:r>
    </w:p>
  </w:footnote>
  <w:footnote w:id="13">
    <w:p w:rsidR="00D44574" w:rsidRPr="00FC5DBF" w:rsidRDefault="00D44574" w:rsidP="008B0B09">
      <w:pPr>
        <w:pStyle w:val="FootnoteText"/>
        <w:rPr>
          <w:szCs w:val="19"/>
        </w:rPr>
      </w:pPr>
      <w:r w:rsidRPr="00FC5DBF">
        <w:rPr>
          <w:rStyle w:val="FootnoteReference"/>
          <w:rFonts w:ascii="Calibri" w:hAnsi="Calibri"/>
          <w:sz w:val="19"/>
          <w:szCs w:val="19"/>
        </w:rPr>
        <w:footnoteRef/>
      </w:r>
      <w:r w:rsidRPr="00FC5DBF">
        <w:rPr>
          <w:szCs w:val="19"/>
        </w:rPr>
        <w:t xml:space="preserve"> </w:t>
      </w:r>
      <w:r w:rsidRPr="00FC5DBF">
        <w:rPr>
          <w:szCs w:val="19"/>
        </w:rPr>
        <w:tab/>
        <w:t>From MPI’s 2013 and 2014 Deforestation Surveys www.mpi.govt.nz/news-and-resources/statistics-and-forecasting/forestry</w:t>
      </w:r>
    </w:p>
  </w:footnote>
  <w:footnote w:id="14">
    <w:p w:rsidR="00D44574" w:rsidRDefault="00D44574">
      <w:pPr>
        <w:pStyle w:val="FootnoteText"/>
      </w:pPr>
      <w:r>
        <w:rPr>
          <w:rStyle w:val="FootnoteReference"/>
        </w:rPr>
        <w:footnoteRef/>
      </w:r>
      <w:r>
        <w:t xml:space="preserve"> </w:t>
      </w:r>
      <w:r>
        <w:tab/>
      </w:r>
      <w:r w:rsidRPr="00432E6B">
        <w:t>Under current transitional arrangements, for sectors other than forestry a full obligation does not apply as only one unit needs to be surrendered in respect of each two tonnes of emissions.</w:t>
      </w:r>
    </w:p>
  </w:footnote>
  <w:footnote w:id="15">
    <w:p w:rsidR="00D44574" w:rsidRDefault="00D44574" w:rsidP="00432E6B">
      <w:pPr>
        <w:pStyle w:val="FootnoteText"/>
      </w:pPr>
      <w:r>
        <w:rPr>
          <w:rStyle w:val="FootnoteReference"/>
        </w:rPr>
        <w:footnoteRef/>
      </w:r>
      <w:r>
        <w:t xml:space="preserve"> </w:t>
      </w:r>
      <w:r>
        <w:tab/>
        <w:t xml:space="preserve">The Government has indicated that biological emissions from agriculture will have surrender obligations in the NZ ETS only if </w:t>
      </w:r>
    </w:p>
    <w:p w:rsidR="00D44574" w:rsidRDefault="00D44574" w:rsidP="00432E6B">
      <w:pPr>
        <w:pStyle w:val="FootnoteText"/>
        <w:ind w:left="794"/>
      </w:pPr>
      <w:r>
        <w:t>•</w:t>
      </w:r>
      <w:r>
        <w:tab/>
        <w:t xml:space="preserve">there are economically viable and practical technologies available to reduce emissions </w:t>
      </w:r>
    </w:p>
    <w:p w:rsidR="00D44574" w:rsidRDefault="00D44574" w:rsidP="00432E6B">
      <w:pPr>
        <w:pStyle w:val="FootnoteText"/>
        <w:ind w:left="794"/>
      </w:pPr>
      <w:r>
        <w:t>•</w:t>
      </w:r>
      <w:r>
        <w:tab/>
        <w:t>New Zealand’s trading partners make more progress on tackling their emissions in general.</w:t>
      </w:r>
    </w:p>
  </w:footnote>
  <w:footnote w:id="16">
    <w:p w:rsidR="00D44574" w:rsidRPr="008A6113" w:rsidRDefault="00D44574">
      <w:pPr>
        <w:pStyle w:val="FootnoteText"/>
        <w:rPr>
          <w:szCs w:val="19"/>
        </w:rPr>
      </w:pPr>
      <w:r>
        <w:rPr>
          <w:rStyle w:val="FootnoteReference"/>
        </w:rPr>
        <w:footnoteRef/>
      </w:r>
      <w:r>
        <w:t xml:space="preserve"> </w:t>
      </w:r>
      <w:r>
        <w:tab/>
      </w:r>
      <w:r w:rsidRPr="008A6113">
        <w:rPr>
          <w:szCs w:val="19"/>
        </w:rPr>
        <w:t xml:space="preserve">In 2014, there </w:t>
      </w:r>
      <w:r w:rsidRPr="008A6113">
        <w:t>were</w:t>
      </w:r>
      <w:r w:rsidRPr="008A6113">
        <w:rPr>
          <w:szCs w:val="19"/>
        </w:rPr>
        <w:t xml:space="preserve"> 119 non-forestry participants that faced surrender obligations.</w:t>
      </w:r>
    </w:p>
  </w:footnote>
  <w:footnote w:id="17">
    <w:p w:rsidR="00D44574" w:rsidRPr="00345821" w:rsidRDefault="00D44574" w:rsidP="00463333">
      <w:pPr>
        <w:pStyle w:val="FootnoteText"/>
        <w:rPr>
          <w:szCs w:val="19"/>
        </w:rPr>
      </w:pPr>
      <w:r w:rsidRPr="00345821">
        <w:rPr>
          <w:rStyle w:val="FootnoteReference"/>
          <w:rFonts w:ascii="Calibri" w:hAnsi="Calibri"/>
          <w:sz w:val="19"/>
          <w:szCs w:val="19"/>
        </w:rPr>
        <w:footnoteRef/>
      </w:r>
      <w:r w:rsidRPr="00345821">
        <w:rPr>
          <w:szCs w:val="19"/>
        </w:rPr>
        <w:t xml:space="preserve"> </w:t>
      </w:r>
      <w:r w:rsidRPr="00345821">
        <w:rPr>
          <w:szCs w:val="19"/>
        </w:rPr>
        <w:tab/>
        <w:t>Around 30</w:t>
      </w:r>
      <w:r>
        <w:rPr>
          <w:szCs w:val="19"/>
        </w:rPr>
        <w:t xml:space="preserve"> per cent</w:t>
      </w:r>
      <w:r w:rsidRPr="00345821">
        <w:rPr>
          <w:szCs w:val="19"/>
        </w:rPr>
        <w:t xml:space="preserve"> of non-forestry participants report less than 10,000 tonnes of emissions.</w:t>
      </w:r>
    </w:p>
  </w:footnote>
  <w:footnote w:id="18">
    <w:p w:rsidR="00D44574" w:rsidRPr="00345821" w:rsidRDefault="00D44574" w:rsidP="00463333">
      <w:pPr>
        <w:pStyle w:val="FootnoteText"/>
        <w:rPr>
          <w:szCs w:val="19"/>
        </w:rPr>
      </w:pPr>
      <w:r w:rsidRPr="00345821">
        <w:rPr>
          <w:rStyle w:val="FootnoteReference"/>
          <w:rFonts w:ascii="Calibri" w:hAnsi="Calibri"/>
          <w:sz w:val="19"/>
          <w:szCs w:val="19"/>
        </w:rPr>
        <w:footnoteRef/>
      </w:r>
      <w:r w:rsidRPr="00345821">
        <w:rPr>
          <w:szCs w:val="19"/>
        </w:rPr>
        <w:t xml:space="preserve"> </w:t>
      </w:r>
      <w:r w:rsidRPr="00345821">
        <w:rPr>
          <w:szCs w:val="19"/>
        </w:rPr>
        <w:tab/>
        <w:t>Around 40</w:t>
      </w:r>
      <w:r>
        <w:rPr>
          <w:szCs w:val="19"/>
        </w:rPr>
        <w:t xml:space="preserve"> per cent</w:t>
      </w:r>
      <w:r w:rsidRPr="00345821">
        <w:rPr>
          <w:szCs w:val="19"/>
        </w:rPr>
        <w:t xml:space="preserve"> of non-forestry participants report between 10,000 and 100,000 tonnes of emissions. Around 30</w:t>
      </w:r>
      <w:r>
        <w:rPr>
          <w:szCs w:val="19"/>
        </w:rPr>
        <w:t xml:space="preserve"> per cent</w:t>
      </w:r>
      <w:r w:rsidRPr="00345821">
        <w:rPr>
          <w:szCs w:val="19"/>
        </w:rPr>
        <w:t xml:space="preserve"> of non-forestry participants report more than 100,000 tonnes of emissions. </w:t>
      </w:r>
    </w:p>
  </w:footnote>
  <w:footnote w:id="19">
    <w:p w:rsidR="00D44574" w:rsidRPr="00345821" w:rsidRDefault="00D44574" w:rsidP="00463333">
      <w:pPr>
        <w:pStyle w:val="FootnoteText"/>
        <w:rPr>
          <w:szCs w:val="19"/>
        </w:rPr>
      </w:pPr>
      <w:r w:rsidRPr="00345821">
        <w:rPr>
          <w:rStyle w:val="FootnoteReference"/>
          <w:rFonts w:ascii="Calibri" w:hAnsi="Calibri"/>
          <w:sz w:val="19"/>
          <w:szCs w:val="19"/>
        </w:rPr>
        <w:footnoteRef/>
      </w:r>
      <w:r w:rsidRPr="00345821">
        <w:rPr>
          <w:szCs w:val="19"/>
        </w:rPr>
        <w:t xml:space="preserve"> </w:t>
      </w:r>
      <w:r w:rsidRPr="00345821">
        <w:rPr>
          <w:szCs w:val="19"/>
        </w:rPr>
        <w:tab/>
        <w:t>Almost 10</w:t>
      </w:r>
      <w:r>
        <w:rPr>
          <w:szCs w:val="19"/>
        </w:rPr>
        <w:t xml:space="preserve"> per cent</w:t>
      </w:r>
      <w:r w:rsidRPr="00345821">
        <w:rPr>
          <w:szCs w:val="19"/>
        </w:rPr>
        <w:t xml:space="preserve"> of non-forestry participants report more than 1 million tonnes of emissions.</w:t>
      </w:r>
    </w:p>
  </w:footnote>
  <w:footnote w:id="20">
    <w:p w:rsidR="00D44574" w:rsidRDefault="00D44574">
      <w:pPr>
        <w:pStyle w:val="FootnoteText"/>
      </w:pPr>
      <w:r>
        <w:rPr>
          <w:rStyle w:val="FootnoteReference"/>
        </w:rPr>
        <w:footnoteRef/>
      </w:r>
      <w:r>
        <w:t xml:space="preserve"> </w:t>
      </w:r>
      <w:r>
        <w:tab/>
      </w:r>
      <w:r w:rsidRPr="008A6113">
        <w:t xml:space="preserve">Firms undertaking </w:t>
      </w:r>
      <w:r>
        <w:t>EITE</w:t>
      </w:r>
      <w:r w:rsidRPr="008A6113">
        <w:t xml:space="preserve"> activities are protected from some of the direct and indirect NZ ETS costs. Activities </w:t>
      </w:r>
      <w:r>
        <w:t>that</w:t>
      </w:r>
      <w:r w:rsidRPr="008A6113">
        <w:t xml:space="preserve"> are highly EITE are protected from 90</w:t>
      </w:r>
      <w:r>
        <w:t xml:space="preserve"> per cent</w:t>
      </w:r>
      <w:r w:rsidRPr="008A6113">
        <w:t xml:space="preserve"> of these NZ ETS costs, while activities that are moderately EITE are protected from 60</w:t>
      </w:r>
      <w:r>
        <w:t xml:space="preserve"> per cent</w:t>
      </w:r>
      <w:r w:rsidRPr="008A6113">
        <w:t xml:space="preserve"> of the NZ ETS costs.</w:t>
      </w:r>
    </w:p>
  </w:footnote>
  <w:footnote w:id="21">
    <w:p w:rsidR="00D44574" w:rsidRPr="00BA65EF" w:rsidRDefault="00D44574" w:rsidP="00B57854">
      <w:pPr>
        <w:pStyle w:val="FootnoteText"/>
      </w:pPr>
      <w:r w:rsidRPr="00345821">
        <w:rPr>
          <w:rStyle w:val="FootnoteReference"/>
          <w:rFonts w:ascii="Calibri" w:hAnsi="Calibri"/>
          <w:sz w:val="19"/>
          <w:szCs w:val="19"/>
        </w:rPr>
        <w:footnoteRef/>
      </w:r>
      <w:r w:rsidRPr="00345821">
        <w:rPr>
          <w:szCs w:val="19"/>
        </w:rPr>
        <w:t xml:space="preserve"> </w:t>
      </w:r>
      <w:r w:rsidRPr="00345821">
        <w:rPr>
          <w:szCs w:val="19"/>
        </w:rPr>
        <w:tab/>
      </w:r>
      <w:r w:rsidRPr="000231EE">
        <w:rPr>
          <w:szCs w:val="19"/>
        </w:rPr>
        <w:t>The NZ ETS pass-through cost for electricity is based on an emissions factor of 0.44t CO2-e/MWh, which is a modification of an electricity factor included in allocation regulations. The modification is based on an assumption of short run marginal costs being fully reflected in electricity prices, reflecting changes in electricity supply expected by the Ministry of Business, Innovation and Employment and the Ministry for the Environment.</w:t>
      </w:r>
    </w:p>
  </w:footnote>
  <w:footnote w:id="22">
    <w:p w:rsidR="00D44574" w:rsidRPr="00693395" w:rsidRDefault="00D44574" w:rsidP="00693395">
      <w:pPr>
        <w:pStyle w:val="FootnoteText"/>
        <w:rPr>
          <w:szCs w:val="19"/>
        </w:rPr>
      </w:pPr>
      <w:r w:rsidRPr="00693395">
        <w:rPr>
          <w:rStyle w:val="FootnoteReference"/>
          <w:rFonts w:ascii="Calibri" w:hAnsi="Calibri"/>
          <w:sz w:val="19"/>
          <w:szCs w:val="19"/>
        </w:rPr>
        <w:footnoteRef/>
      </w:r>
      <w:r w:rsidRPr="00693395">
        <w:rPr>
          <w:szCs w:val="19"/>
        </w:rPr>
        <w:t xml:space="preserve"> </w:t>
      </w:r>
      <w:r w:rsidRPr="00693395">
        <w:rPr>
          <w:szCs w:val="19"/>
        </w:rPr>
        <w:tab/>
        <w:t xml:space="preserve">The annual NZ ETS costs for petrol for an average New Zealand household is based on a travel distance of 14,000km per year in </w:t>
      </w:r>
      <w:r>
        <w:rPr>
          <w:szCs w:val="19"/>
        </w:rPr>
        <w:t>a medium-s</w:t>
      </w:r>
      <w:r w:rsidRPr="00345821">
        <w:t>ized car (2000</w:t>
      </w:r>
      <w:r>
        <w:t>–</w:t>
      </w:r>
      <w:r w:rsidRPr="00345821">
        <w:t>3500cc engine)</w:t>
      </w:r>
      <w:r>
        <w:t>,</w:t>
      </w:r>
      <w:r w:rsidRPr="00345821">
        <w:t xml:space="preserve"> us</w:t>
      </w:r>
      <w:r>
        <w:t>ing</w:t>
      </w:r>
      <w:r w:rsidRPr="00345821">
        <w:t xml:space="preserve"> Regular 91 petro</w:t>
      </w:r>
      <w:r w:rsidRPr="00693395">
        <w:rPr>
          <w:szCs w:val="19"/>
        </w:rPr>
        <w:t>l.</w:t>
      </w:r>
      <w:r>
        <w:rPr>
          <w:szCs w:val="19"/>
        </w:rPr>
        <w:t xml:space="preserve"> </w:t>
      </w:r>
    </w:p>
  </w:footnote>
  <w:footnote w:id="23">
    <w:p w:rsidR="00D44574" w:rsidRPr="00693395" w:rsidRDefault="00D44574" w:rsidP="00693395">
      <w:pPr>
        <w:pStyle w:val="FootnoteText"/>
        <w:rPr>
          <w:szCs w:val="19"/>
        </w:rPr>
      </w:pPr>
      <w:r w:rsidRPr="00693395">
        <w:rPr>
          <w:rStyle w:val="FootnoteReference"/>
          <w:rFonts w:ascii="Calibri" w:hAnsi="Calibri"/>
          <w:sz w:val="19"/>
          <w:szCs w:val="19"/>
        </w:rPr>
        <w:footnoteRef/>
      </w:r>
      <w:r w:rsidRPr="00693395">
        <w:rPr>
          <w:szCs w:val="19"/>
        </w:rPr>
        <w:t xml:space="preserve"> </w:t>
      </w:r>
      <w:r w:rsidRPr="00693395">
        <w:rPr>
          <w:szCs w:val="19"/>
        </w:rPr>
        <w:tab/>
        <w:t>The annual NZ ETS costs for electricity are based on a medium</w:t>
      </w:r>
      <w:r>
        <w:rPr>
          <w:szCs w:val="19"/>
        </w:rPr>
        <w:t>-</w:t>
      </w:r>
      <w:r w:rsidRPr="00693395">
        <w:rPr>
          <w:szCs w:val="19"/>
        </w:rPr>
        <w:t>sized household using 7,300kWh per year.</w:t>
      </w:r>
    </w:p>
  </w:footnote>
  <w:footnote w:id="24">
    <w:p w:rsidR="00D44574" w:rsidRPr="006D1748" w:rsidRDefault="00D44574" w:rsidP="00693395">
      <w:pPr>
        <w:pStyle w:val="FootnoteText"/>
      </w:pPr>
      <w:r w:rsidRPr="00693395">
        <w:rPr>
          <w:rStyle w:val="FootnoteReference"/>
          <w:rFonts w:ascii="Calibri" w:hAnsi="Calibri"/>
          <w:sz w:val="19"/>
          <w:szCs w:val="19"/>
        </w:rPr>
        <w:footnoteRef/>
      </w:r>
      <w:r w:rsidRPr="00693395">
        <w:rPr>
          <w:szCs w:val="19"/>
        </w:rPr>
        <w:t xml:space="preserve"> </w:t>
      </w:r>
      <w:r w:rsidRPr="00693395">
        <w:rPr>
          <w:szCs w:val="19"/>
        </w:rPr>
        <w:tab/>
        <w:t>The an</w:t>
      </w:r>
      <w:r w:rsidRPr="00C6799C">
        <w:t>nual NZ ETS cost</w:t>
      </w:r>
      <w:r>
        <w:t>s</w:t>
      </w:r>
      <w:r w:rsidRPr="00C6799C">
        <w:t xml:space="preserve"> for natural gas are based on</w:t>
      </w:r>
      <w:r>
        <w:t xml:space="preserve"> average household use of 7,300</w:t>
      </w:r>
      <w:r w:rsidRPr="00C6799C">
        <w:t>kWh per year.</w:t>
      </w:r>
      <w:r>
        <w:t xml:space="preserve"> </w:t>
      </w:r>
    </w:p>
  </w:footnote>
  <w:footnote w:id="25">
    <w:p w:rsidR="00D44574" w:rsidRPr="00244133" w:rsidRDefault="00D44574" w:rsidP="00816866">
      <w:pPr>
        <w:pStyle w:val="FootnoteText"/>
        <w:rPr>
          <w:szCs w:val="19"/>
        </w:rPr>
      </w:pPr>
      <w:r w:rsidRPr="00244133">
        <w:rPr>
          <w:rStyle w:val="FootnoteReference"/>
          <w:rFonts w:ascii="Calibri" w:hAnsi="Calibri"/>
          <w:sz w:val="19"/>
          <w:szCs w:val="19"/>
        </w:rPr>
        <w:footnoteRef/>
      </w:r>
      <w:r w:rsidRPr="00244133">
        <w:rPr>
          <w:szCs w:val="19"/>
        </w:rPr>
        <w:t xml:space="preserve"> </w:t>
      </w:r>
      <w:r w:rsidRPr="00244133">
        <w:rPr>
          <w:szCs w:val="19"/>
        </w:rPr>
        <w:tab/>
        <w:t>This is the sum of forecasted allocations and entitlements made between the 2015/16 and 2020/21 financial years.</w:t>
      </w:r>
      <w:r>
        <w:rPr>
          <w:szCs w:val="19"/>
        </w:rPr>
        <w:t xml:space="preserve"> </w:t>
      </w:r>
      <w:r w:rsidRPr="00846E92">
        <w:rPr>
          <w:szCs w:val="19"/>
        </w:rPr>
        <w:t>Allocations and entitlements are added to the bank of NZUs as they are supplied to the market.</w:t>
      </w:r>
    </w:p>
  </w:footnote>
  <w:footnote w:id="26">
    <w:p w:rsidR="00D44574" w:rsidRPr="00244133" w:rsidRDefault="00D44574" w:rsidP="00816866">
      <w:pPr>
        <w:pStyle w:val="FootnoteText"/>
        <w:rPr>
          <w:szCs w:val="19"/>
        </w:rPr>
      </w:pPr>
      <w:r w:rsidRPr="00244133">
        <w:rPr>
          <w:rStyle w:val="FootnoteReference"/>
          <w:rFonts w:ascii="Calibri" w:hAnsi="Calibri"/>
          <w:sz w:val="19"/>
          <w:szCs w:val="19"/>
        </w:rPr>
        <w:footnoteRef/>
      </w:r>
      <w:r w:rsidRPr="00244133">
        <w:rPr>
          <w:szCs w:val="19"/>
        </w:rPr>
        <w:t xml:space="preserve"> </w:t>
      </w:r>
      <w:r w:rsidRPr="00244133">
        <w:rPr>
          <w:szCs w:val="19"/>
        </w:rPr>
        <w:tab/>
        <w:t>This is the sum of forecasted surrenders between the 2015/16 and 2020/21 financial years.</w:t>
      </w:r>
      <w:r w:rsidRPr="00846E92">
        <w:t xml:space="preserve"> </w:t>
      </w:r>
      <w:r w:rsidRPr="00846E92">
        <w:rPr>
          <w:szCs w:val="19"/>
        </w:rPr>
        <w:t>This is the expected demand for NZUs over this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191EF0" w:rsidP="00F51F59">
    <w:pPr>
      <w:ind w:left="-57"/>
    </w:pPr>
    <w:r>
      <w:rPr>
        <w:noProof/>
        <w:lang w:eastAsia="en-NZ"/>
      </w:rPr>
      <w:pict w14:anchorId="3AD6CC2D">
        <v:rect id="_x0000_s2052" style="position:absolute;left:0;text-align:left;margin-left:16.85pt;margin-top:286.35pt;width:561.25pt;height:535.75pt;z-index:-251658240;mso-wrap-edited:f;mso-position-horizontal-relative:page;mso-position-vertical-relative:page" fillcolor="#e1e4dd" stroked="f" strokecolor="#4a7ebb" strokeweight="1.5pt">
          <v:fill o:detectmouseclick="t"/>
          <v:shadow opacity="22938f" offset="0"/>
          <v:textbox inset=",7.2pt,,7.2pt"/>
          <w10:wrap anchorx="page" anchory="page"/>
        </v:rect>
      </w:pict>
    </w:r>
    <w:r>
      <w:rPr>
        <w:noProof/>
        <w:lang w:eastAsia="en-NZ"/>
      </w:rPr>
      <w:pict w14:anchorId="5D63B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8.8pt;margin-top:2.8pt;width:562.4pt;height:257.45pt;z-index:251657216">
          <v:imagedata r:id="rId1" o:titl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Pr="00F62310" w:rsidRDefault="00D44574" w:rsidP="00F623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Pr="000A1488" w:rsidRDefault="00D44574" w:rsidP="005875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rsidP="0058752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rsidP="0058752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574" w:rsidRDefault="00D445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1EB"/>
    <w:multiLevelType w:val="hybridMultilevel"/>
    <w:tmpl w:val="2C504A1E"/>
    <w:lvl w:ilvl="0" w:tplc="7D2430AE">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2D84807"/>
    <w:multiLevelType w:val="hybridMultilevel"/>
    <w:tmpl w:val="119E587A"/>
    <w:lvl w:ilvl="0" w:tplc="79E255B2">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58E5480"/>
    <w:multiLevelType w:val="hybridMultilevel"/>
    <w:tmpl w:val="DD06CB68"/>
    <w:lvl w:ilvl="0" w:tplc="4EFEFFDA">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8320C7D"/>
    <w:multiLevelType w:val="hybridMultilevel"/>
    <w:tmpl w:val="742AEC1E"/>
    <w:lvl w:ilvl="0" w:tplc="05468DA2">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AE369E9"/>
    <w:multiLevelType w:val="hybridMultilevel"/>
    <w:tmpl w:val="E03E47F0"/>
    <w:lvl w:ilvl="0" w:tplc="AD16A106">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F4043F2"/>
    <w:multiLevelType w:val="hybridMultilevel"/>
    <w:tmpl w:val="AFC25A70"/>
    <w:lvl w:ilvl="0" w:tplc="7A44091A">
      <w:start w:val="1"/>
      <w:numFmt w:val="upp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51338C5"/>
    <w:multiLevelType w:val="hybridMultilevel"/>
    <w:tmpl w:val="2B048490"/>
    <w:lvl w:ilvl="0" w:tplc="0004F132">
      <w:start w:val="1"/>
      <w:numFmt w:val="lowerLetter"/>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nsid w:val="1844306A"/>
    <w:multiLevelType w:val="hybridMultilevel"/>
    <w:tmpl w:val="FCB8DF36"/>
    <w:lvl w:ilvl="0" w:tplc="DEFAD5E4">
      <w:start w:val="1"/>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A751F0F"/>
    <w:multiLevelType w:val="hybridMultilevel"/>
    <w:tmpl w:val="8C726594"/>
    <w:lvl w:ilvl="0" w:tplc="61E2B66E">
      <w:start w:val="16"/>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1C68017B"/>
    <w:multiLevelType w:val="hybridMultilevel"/>
    <w:tmpl w:val="E9EA63C6"/>
    <w:lvl w:ilvl="0" w:tplc="DCF41732">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208C5CF5"/>
    <w:multiLevelType w:val="hybridMultilevel"/>
    <w:tmpl w:val="C0D685A2"/>
    <w:lvl w:ilvl="0" w:tplc="17A45124">
      <w:start w:val="1"/>
      <w:numFmt w:val="lowerLetter"/>
      <w:pStyle w:val="Sub-lista"/>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nsid w:val="21125C51"/>
    <w:multiLevelType w:val="hybridMultilevel"/>
    <w:tmpl w:val="33A010EE"/>
    <w:lvl w:ilvl="0" w:tplc="CEF8A38E">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
    <w:nsid w:val="2161339A"/>
    <w:multiLevelType w:val="hybridMultilevel"/>
    <w:tmpl w:val="AF1692B4"/>
    <w:lvl w:ilvl="0" w:tplc="8AC649BC">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272A3434"/>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B84F4A"/>
    <w:multiLevelType w:val="hybridMultilevel"/>
    <w:tmpl w:val="4170F05C"/>
    <w:lvl w:ilvl="0" w:tplc="96ACB74C">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2A20489C"/>
    <w:multiLevelType w:val="hybridMultilevel"/>
    <w:tmpl w:val="949EFD0A"/>
    <w:lvl w:ilvl="0" w:tplc="46C2F22E">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2B940584"/>
    <w:multiLevelType w:val="hybridMultilevel"/>
    <w:tmpl w:val="82DEDC58"/>
    <w:lvl w:ilvl="0" w:tplc="0E60B7C4">
      <w:start w:val="1"/>
      <w:numFmt w:val="decimal"/>
      <w:pStyle w:val="Numberedparagraph"/>
      <w:lvlText w:val="%1"/>
      <w:lvlJc w:val="left"/>
      <w:pPr>
        <w:tabs>
          <w:tab w:val="num" w:pos="397"/>
        </w:tabs>
        <w:ind w:left="397" w:hanging="397"/>
      </w:pPr>
      <w:rPr>
        <w:rFonts w:ascii="Calibri" w:hAnsi="Calibri" w:cs="Calibri"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nsid w:val="2DD46A70"/>
    <w:multiLevelType w:val="hybridMultilevel"/>
    <w:tmpl w:val="34B43B12"/>
    <w:lvl w:ilvl="0" w:tplc="00529422">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2F103C89"/>
    <w:multiLevelType w:val="hybridMultilevel"/>
    <w:tmpl w:val="39840DFC"/>
    <w:lvl w:ilvl="0" w:tplc="2D6CCE1A">
      <w:start w:val="16"/>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5B3530D"/>
    <w:multiLevelType w:val="hybridMultilevel"/>
    <w:tmpl w:val="9CC485F2"/>
    <w:lvl w:ilvl="0" w:tplc="0004F132">
      <w:start w:val="1"/>
      <w:numFmt w:val="lowerLetter"/>
      <w:lvlText w:val="%1)"/>
      <w:lvlJc w:val="left"/>
      <w:pPr>
        <w:tabs>
          <w:tab w:val="num" w:pos="794"/>
        </w:tabs>
        <w:ind w:left="794" w:hanging="397"/>
      </w:pPr>
      <w:rPr>
        <w:rFonts w:hint="default"/>
        <w:b w:val="0"/>
        <w:bCs w:val="0"/>
        <w:i w:val="0"/>
        <w:iCs w:val="0"/>
        <w:color w:val="auto"/>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0">
    <w:nsid w:val="37B37C1C"/>
    <w:multiLevelType w:val="hybridMultilevel"/>
    <w:tmpl w:val="2B4C7988"/>
    <w:lvl w:ilvl="0" w:tplc="84C27B2A">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3E4B0C2A"/>
    <w:multiLevelType w:val="hybridMultilevel"/>
    <w:tmpl w:val="51B26DFE"/>
    <w:lvl w:ilvl="0" w:tplc="3DEE684C">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40D8667F"/>
    <w:multiLevelType w:val="hybridMultilevel"/>
    <w:tmpl w:val="FA9017E4"/>
    <w:lvl w:ilvl="0" w:tplc="E60E3C6C">
      <w:start w:val="3"/>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116280E"/>
    <w:multiLevelType w:val="hybridMultilevel"/>
    <w:tmpl w:val="B7585D34"/>
    <w:lvl w:ilvl="0" w:tplc="588C8AC8">
      <w:start w:val="1"/>
      <w:numFmt w:val="decimal"/>
      <w:lvlText w:val="%1."/>
      <w:lvlJc w:val="left"/>
      <w:pPr>
        <w:ind w:left="64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427701FB"/>
    <w:multiLevelType w:val="hybridMultilevel"/>
    <w:tmpl w:val="87A07910"/>
    <w:lvl w:ilvl="0" w:tplc="C04A679E">
      <w:start w:val="1"/>
      <w:numFmt w:val="bullet"/>
      <w:pStyle w:val="Sub-list"/>
      <w:lvlText w:val=""/>
      <w:lvlJc w:val="left"/>
      <w:pPr>
        <w:tabs>
          <w:tab w:val="num" w:pos="397"/>
        </w:tabs>
        <w:ind w:left="397"/>
      </w:pPr>
      <w:rPr>
        <w:rFonts w:ascii="Symbol" w:hAnsi="Symbol" w:cs="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cs="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cs="Wingdings" w:hint="default"/>
      </w:rPr>
    </w:lvl>
    <w:lvl w:ilvl="3" w:tplc="14090001" w:tentative="1">
      <w:start w:val="1"/>
      <w:numFmt w:val="bullet"/>
      <w:lvlText w:val=""/>
      <w:lvlJc w:val="left"/>
      <w:pPr>
        <w:tabs>
          <w:tab w:val="num" w:pos="2880"/>
        </w:tabs>
        <w:ind w:left="2880" w:hanging="360"/>
      </w:pPr>
      <w:rPr>
        <w:rFonts w:ascii="Symbol" w:hAnsi="Symbol" w:cs="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cs="Wingdings" w:hint="default"/>
      </w:rPr>
    </w:lvl>
    <w:lvl w:ilvl="6" w:tplc="14090001" w:tentative="1">
      <w:start w:val="1"/>
      <w:numFmt w:val="bullet"/>
      <w:lvlText w:val=""/>
      <w:lvlJc w:val="left"/>
      <w:pPr>
        <w:tabs>
          <w:tab w:val="num" w:pos="5040"/>
        </w:tabs>
        <w:ind w:left="5040" w:hanging="360"/>
      </w:pPr>
      <w:rPr>
        <w:rFonts w:ascii="Symbol" w:hAnsi="Symbol" w:cs="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cs="Wingdings" w:hint="default"/>
      </w:rPr>
    </w:lvl>
  </w:abstractNum>
  <w:abstractNum w:abstractNumId="26">
    <w:nsid w:val="463D6104"/>
    <w:multiLevelType w:val="hybridMultilevel"/>
    <w:tmpl w:val="F89C2DEC"/>
    <w:lvl w:ilvl="0" w:tplc="FBF6B1A2">
      <w:start w:val="1"/>
      <w:numFmt w:val="lowerRoman"/>
      <w:pStyle w:val="Sub-listi"/>
      <w:lvlText w:val="%1."/>
      <w:lvlJc w:val="left"/>
      <w:pPr>
        <w:tabs>
          <w:tab w:val="num" w:pos="1191"/>
        </w:tabs>
        <w:ind w:left="1191" w:hanging="397"/>
      </w:pPr>
      <w:rPr>
        <w:rFonts w:ascii="Calibri" w:hAnsi="Calibri" w:cs="Calibri" w:hint="default"/>
        <w:b w:val="0"/>
        <w:bCs w:val="0"/>
        <w:i w:val="0"/>
        <w:iCs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7">
    <w:nsid w:val="48A76EB4"/>
    <w:multiLevelType w:val="hybridMultilevel"/>
    <w:tmpl w:val="BFDAB47E"/>
    <w:lvl w:ilvl="0" w:tplc="C9EE2F74">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4E8E6EF1"/>
    <w:multiLevelType w:val="hybridMultilevel"/>
    <w:tmpl w:val="07768E24"/>
    <w:lvl w:ilvl="0" w:tplc="921E3316">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52794025"/>
    <w:multiLevelType w:val="hybridMultilevel"/>
    <w:tmpl w:val="3B0205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nsid w:val="53535234"/>
    <w:multiLevelType w:val="singleLevel"/>
    <w:tmpl w:val="3024397C"/>
    <w:lvl w:ilvl="0">
      <w:start w:val="1"/>
      <w:numFmt w:val="bullet"/>
      <w:pStyle w:val="Boxbullet"/>
      <w:lvlText w:val=""/>
      <w:lvlJc w:val="left"/>
      <w:pPr>
        <w:tabs>
          <w:tab w:val="num" w:pos="851"/>
        </w:tabs>
        <w:ind w:left="851" w:hanging="567"/>
      </w:pPr>
      <w:rPr>
        <w:rFonts w:ascii="Symbol" w:hAnsi="Symbol" w:cs="Symbol" w:hint="default"/>
        <w:sz w:val="16"/>
        <w:szCs w:val="16"/>
      </w:rPr>
    </w:lvl>
  </w:abstractNum>
  <w:abstractNum w:abstractNumId="31">
    <w:nsid w:val="559616D5"/>
    <w:multiLevelType w:val="hybridMultilevel"/>
    <w:tmpl w:val="315E6F80"/>
    <w:lvl w:ilvl="0" w:tplc="E45AEDAE">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58591A0E"/>
    <w:multiLevelType w:val="hybridMultilevel"/>
    <w:tmpl w:val="7598CD76"/>
    <w:lvl w:ilvl="0" w:tplc="25BE468A">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5B230A02"/>
    <w:multiLevelType w:val="hybridMultilevel"/>
    <w:tmpl w:val="4446AB8A"/>
    <w:lvl w:ilvl="0" w:tplc="668203EC">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5FC25F5B"/>
    <w:multiLevelType w:val="hybridMultilevel"/>
    <w:tmpl w:val="D48EC704"/>
    <w:lvl w:ilvl="0" w:tplc="FA9A6B74">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61537B14"/>
    <w:multiLevelType w:val="hybridMultilevel"/>
    <w:tmpl w:val="E9CCBCEA"/>
    <w:lvl w:ilvl="0" w:tplc="24FADE38">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85B3CAF"/>
    <w:multiLevelType w:val="hybridMultilevel"/>
    <w:tmpl w:val="8070ECEE"/>
    <w:lvl w:ilvl="0" w:tplc="45EE1194">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6EC25427"/>
    <w:multiLevelType w:val="hybridMultilevel"/>
    <w:tmpl w:val="67A4907E"/>
    <w:lvl w:ilvl="0" w:tplc="CC4E7D14">
      <w:start w:val="1"/>
      <w:numFmt w:val="lowerLetter"/>
      <w:lvlText w:val="%1)"/>
      <w:lvlJc w:val="left"/>
      <w:pPr>
        <w:ind w:left="1440" w:hanging="360"/>
      </w:pPr>
      <w:rPr>
        <w:rFonts w:hint="default"/>
        <w:b w:val="0"/>
        <w:bCs w:val="0"/>
        <w:i w:val="0"/>
        <w:iCs w:val="0"/>
        <w:color w:val="auto"/>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717E2C8C"/>
    <w:multiLevelType w:val="multilevel"/>
    <w:tmpl w:val="1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73F00CFF"/>
    <w:multiLevelType w:val="hybridMultilevel"/>
    <w:tmpl w:val="AC6416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75811DDE"/>
    <w:multiLevelType w:val="hybridMultilevel"/>
    <w:tmpl w:val="5784BADA"/>
    <w:lvl w:ilvl="0" w:tplc="1EC27450">
      <w:start w:val="1"/>
      <w:numFmt w:val="bullet"/>
      <w:pStyle w:val="TableDash"/>
      <w:lvlText w:val=""/>
      <w:lvlJc w:val="left"/>
      <w:pPr>
        <w:tabs>
          <w:tab w:val="num" w:pos="567"/>
        </w:tabs>
        <w:ind w:left="567" w:hanging="283"/>
      </w:pPr>
      <w:rPr>
        <w:rFonts w:ascii="Symbol" w:hAnsi="Symbol" w:cs="Symbol" w:hint="default"/>
        <w:color w:val="auto"/>
        <w:sz w:val="16"/>
        <w:szCs w:val="16"/>
      </w:rPr>
    </w:lvl>
    <w:lvl w:ilvl="1" w:tplc="A1DE5D40">
      <w:start w:val="1"/>
      <w:numFmt w:val="bullet"/>
      <w:lvlText w:val="o"/>
      <w:lvlJc w:val="left"/>
      <w:pPr>
        <w:tabs>
          <w:tab w:val="num" w:pos="1440"/>
        </w:tabs>
        <w:ind w:left="1440" w:hanging="360"/>
      </w:pPr>
      <w:rPr>
        <w:rFonts w:ascii="Courier New" w:hAnsi="Courier New" w:cs="Courier New" w:hint="default"/>
      </w:rPr>
    </w:lvl>
    <w:lvl w:ilvl="2" w:tplc="EBAEF034" w:tentative="1">
      <w:start w:val="1"/>
      <w:numFmt w:val="bullet"/>
      <w:lvlText w:val=""/>
      <w:lvlJc w:val="left"/>
      <w:pPr>
        <w:tabs>
          <w:tab w:val="num" w:pos="2160"/>
        </w:tabs>
        <w:ind w:left="2160" w:hanging="360"/>
      </w:pPr>
      <w:rPr>
        <w:rFonts w:ascii="Wingdings" w:hAnsi="Wingdings" w:cs="Wingdings" w:hint="default"/>
      </w:rPr>
    </w:lvl>
    <w:lvl w:ilvl="3" w:tplc="8B1C3BD6" w:tentative="1">
      <w:start w:val="1"/>
      <w:numFmt w:val="bullet"/>
      <w:lvlText w:val=""/>
      <w:lvlJc w:val="left"/>
      <w:pPr>
        <w:tabs>
          <w:tab w:val="num" w:pos="2880"/>
        </w:tabs>
        <w:ind w:left="2880" w:hanging="360"/>
      </w:pPr>
      <w:rPr>
        <w:rFonts w:ascii="Symbol" w:hAnsi="Symbol" w:cs="Symbol" w:hint="default"/>
      </w:rPr>
    </w:lvl>
    <w:lvl w:ilvl="4" w:tplc="D2104BBA" w:tentative="1">
      <w:start w:val="1"/>
      <w:numFmt w:val="bullet"/>
      <w:lvlText w:val="o"/>
      <w:lvlJc w:val="left"/>
      <w:pPr>
        <w:tabs>
          <w:tab w:val="num" w:pos="3600"/>
        </w:tabs>
        <w:ind w:left="3600" w:hanging="360"/>
      </w:pPr>
      <w:rPr>
        <w:rFonts w:ascii="Courier New" w:hAnsi="Courier New" w:cs="Courier New" w:hint="default"/>
      </w:rPr>
    </w:lvl>
    <w:lvl w:ilvl="5" w:tplc="A7829BE0" w:tentative="1">
      <w:start w:val="1"/>
      <w:numFmt w:val="bullet"/>
      <w:lvlText w:val=""/>
      <w:lvlJc w:val="left"/>
      <w:pPr>
        <w:tabs>
          <w:tab w:val="num" w:pos="4320"/>
        </w:tabs>
        <w:ind w:left="4320" w:hanging="360"/>
      </w:pPr>
      <w:rPr>
        <w:rFonts w:ascii="Wingdings" w:hAnsi="Wingdings" w:cs="Wingdings" w:hint="default"/>
      </w:rPr>
    </w:lvl>
    <w:lvl w:ilvl="6" w:tplc="7C80C2D2" w:tentative="1">
      <w:start w:val="1"/>
      <w:numFmt w:val="bullet"/>
      <w:lvlText w:val=""/>
      <w:lvlJc w:val="left"/>
      <w:pPr>
        <w:tabs>
          <w:tab w:val="num" w:pos="5040"/>
        </w:tabs>
        <w:ind w:left="5040" w:hanging="360"/>
      </w:pPr>
      <w:rPr>
        <w:rFonts w:ascii="Symbol" w:hAnsi="Symbol" w:cs="Symbol" w:hint="default"/>
      </w:rPr>
    </w:lvl>
    <w:lvl w:ilvl="7" w:tplc="A4502342" w:tentative="1">
      <w:start w:val="1"/>
      <w:numFmt w:val="bullet"/>
      <w:lvlText w:val="o"/>
      <w:lvlJc w:val="left"/>
      <w:pPr>
        <w:tabs>
          <w:tab w:val="num" w:pos="5760"/>
        </w:tabs>
        <w:ind w:left="5760" w:hanging="360"/>
      </w:pPr>
      <w:rPr>
        <w:rFonts w:ascii="Courier New" w:hAnsi="Courier New" w:cs="Courier New" w:hint="default"/>
      </w:rPr>
    </w:lvl>
    <w:lvl w:ilvl="8" w:tplc="DEC27688" w:tentative="1">
      <w:start w:val="1"/>
      <w:numFmt w:val="bullet"/>
      <w:lvlText w:val=""/>
      <w:lvlJc w:val="left"/>
      <w:pPr>
        <w:tabs>
          <w:tab w:val="num" w:pos="6480"/>
        </w:tabs>
        <w:ind w:left="6480" w:hanging="360"/>
      </w:pPr>
      <w:rPr>
        <w:rFonts w:ascii="Wingdings" w:hAnsi="Wingdings" w:cs="Wingdings" w:hint="default"/>
      </w:rPr>
    </w:lvl>
  </w:abstractNum>
  <w:abstractNum w:abstractNumId="41">
    <w:nsid w:val="7E4D254A"/>
    <w:multiLevelType w:val="singleLevel"/>
    <w:tmpl w:val="3D7651AA"/>
    <w:lvl w:ilvl="0">
      <w:start w:val="1"/>
      <w:numFmt w:val="bullet"/>
      <w:pStyle w:val="Bullet"/>
      <w:lvlText w:val=""/>
      <w:lvlJc w:val="left"/>
      <w:pPr>
        <w:tabs>
          <w:tab w:val="num" w:pos="397"/>
        </w:tabs>
        <w:ind w:left="397" w:hanging="397"/>
      </w:pPr>
      <w:rPr>
        <w:rFonts w:ascii="Symbol" w:hAnsi="Symbol" w:cs="Symbol" w:hint="default"/>
        <w:sz w:val="20"/>
        <w:szCs w:val="20"/>
      </w:rPr>
    </w:lvl>
  </w:abstractNum>
  <w:abstractNum w:abstractNumId="42">
    <w:nsid w:val="7FBB6A67"/>
    <w:multiLevelType w:val="multilevel"/>
    <w:tmpl w:val="14090023"/>
    <w:styleLink w:val="ArticleSection"/>
    <w:lvl w:ilvl="0">
      <w:start w:val="1"/>
      <w:numFmt w:val="upperRoman"/>
      <w:lvlText w:val="Article %1."/>
      <w:lvlJc w:val="left"/>
      <w:pPr>
        <w:tabs>
          <w:tab w:val="num" w:pos="1440"/>
        </w:tabs>
      </w:pPr>
    </w:lvl>
    <w:lvl w:ilvl="1">
      <w:start w:val="1"/>
      <w:numFmt w:val="decimalZero"/>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0"/>
  </w:num>
  <w:num w:numId="2">
    <w:abstractNumId w:val="41"/>
  </w:num>
  <w:num w:numId="3">
    <w:abstractNumId w:val="24"/>
  </w:num>
  <w:num w:numId="4">
    <w:abstractNumId w:val="10"/>
  </w:num>
  <w:num w:numId="5">
    <w:abstractNumId w:val="26"/>
  </w:num>
  <w:num w:numId="6">
    <w:abstractNumId w:val="40"/>
  </w:num>
  <w:num w:numId="7">
    <w:abstractNumId w:val="25"/>
  </w:num>
  <w:num w:numId="8">
    <w:abstractNumId w:val="16"/>
  </w:num>
  <w:num w:numId="9">
    <w:abstractNumId w:val="38"/>
  </w:num>
  <w:num w:numId="10">
    <w:abstractNumId w:val="13"/>
  </w:num>
  <w:num w:numId="11">
    <w:abstractNumId w:val="42"/>
  </w:num>
  <w:num w:numId="12">
    <w:abstractNumId w:val="5"/>
  </w:num>
  <w:num w:numId="13">
    <w:abstractNumId w:val="16"/>
    <w:lvlOverride w:ilvl="0">
      <w:startOverride w:val="1"/>
    </w:lvlOverride>
  </w:num>
  <w:num w:numId="14">
    <w:abstractNumId w:val="16"/>
    <w:lvlOverride w:ilvl="0">
      <w:startOverride w:val="1"/>
    </w:lvlOverride>
  </w:num>
  <w:num w:numId="15">
    <w:abstractNumId w:val="19"/>
  </w:num>
  <w:num w:numId="16">
    <w:abstractNumId w:val="16"/>
    <w:lvlOverride w:ilvl="0">
      <w:startOverride w:val="1"/>
    </w:lvlOverride>
  </w:num>
  <w:num w:numId="17">
    <w:abstractNumId w:val="6"/>
  </w:num>
  <w:num w:numId="18">
    <w:abstractNumId w:val="26"/>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6"/>
    <w:lvlOverride w:ilvl="0">
      <w:startOverride w:val="1"/>
    </w:lvlOverride>
  </w:num>
  <w:num w:numId="22">
    <w:abstractNumId w:val="39"/>
  </w:num>
  <w:num w:numId="23">
    <w:abstractNumId w:val="18"/>
  </w:num>
  <w:num w:numId="24">
    <w:abstractNumId w:val="11"/>
  </w:num>
  <w:num w:numId="25">
    <w:abstractNumId w:val="21"/>
  </w:num>
  <w:num w:numId="26">
    <w:abstractNumId w:val="27"/>
  </w:num>
  <w:num w:numId="27">
    <w:abstractNumId w:val="28"/>
  </w:num>
  <w:num w:numId="28">
    <w:abstractNumId w:val="9"/>
  </w:num>
  <w:num w:numId="29">
    <w:abstractNumId w:val="33"/>
  </w:num>
  <w:num w:numId="30">
    <w:abstractNumId w:val="36"/>
  </w:num>
  <w:num w:numId="31">
    <w:abstractNumId w:val="0"/>
  </w:num>
  <w:num w:numId="32">
    <w:abstractNumId w:val="15"/>
  </w:num>
  <w:num w:numId="33">
    <w:abstractNumId w:val="20"/>
  </w:num>
  <w:num w:numId="34">
    <w:abstractNumId w:val="7"/>
  </w:num>
  <w:num w:numId="35">
    <w:abstractNumId w:val="23"/>
  </w:num>
  <w:num w:numId="36">
    <w:abstractNumId w:val="22"/>
  </w:num>
  <w:num w:numId="37">
    <w:abstractNumId w:val="32"/>
  </w:num>
  <w:num w:numId="38">
    <w:abstractNumId w:val="2"/>
  </w:num>
  <w:num w:numId="39">
    <w:abstractNumId w:val="12"/>
  </w:num>
  <w:num w:numId="40">
    <w:abstractNumId w:val="34"/>
  </w:num>
  <w:num w:numId="41">
    <w:abstractNumId w:val="8"/>
  </w:num>
  <w:num w:numId="42">
    <w:abstractNumId w:val="4"/>
  </w:num>
  <w:num w:numId="43">
    <w:abstractNumId w:val="17"/>
  </w:num>
  <w:num w:numId="44">
    <w:abstractNumId w:val="35"/>
  </w:num>
  <w:num w:numId="45">
    <w:abstractNumId w:val="3"/>
  </w:num>
  <w:num w:numId="46">
    <w:abstractNumId w:val="1"/>
  </w:num>
  <w:num w:numId="47">
    <w:abstractNumId w:val="14"/>
  </w:num>
  <w:num w:numId="48">
    <w:abstractNumId w:val="37"/>
  </w:num>
  <w:num w:numId="49">
    <w:abstractNumId w:val="31"/>
  </w:num>
  <w:num w:numId="50">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397"/>
  <w:evenAndOddHeaders/>
  <w:drawingGridHorizontalSpacing w:val="187"/>
  <w:displayVertic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1D33"/>
    <w:rsid w:val="00000FB6"/>
    <w:rsid w:val="00002886"/>
    <w:rsid w:val="00003546"/>
    <w:rsid w:val="000042BE"/>
    <w:rsid w:val="00006B0C"/>
    <w:rsid w:val="00006D93"/>
    <w:rsid w:val="00007339"/>
    <w:rsid w:val="00007ABB"/>
    <w:rsid w:val="000116BA"/>
    <w:rsid w:val="000128DF"/>
    <w:rsid w:val="00021538"/>
    <w:rsid w:val="00021ACF"/>
    <w:rsid w:val="00021B24"/>
    <w:rsid w:val="000231EE"/>
    <w:rsid w:val="00024EAF"/>
    <w:rsid w:val="00027A04"/>
    <w:rsid w:val="00030220"/>
    <w:rsid w:val="00032A28"/>
    <w:rsid w:val="00032FFC"/>
    <w:rsid w:val="000354E1"/>
    <w:rsid w:val="0003570B"/>
    <w:rsid w:val="00035AFF"/>
    <w:rsid w:val="00050008"/>
    <w:rsid w:val="00050CDB"/>
    <w:rsid w:val="0005256A"/>
    <w:rsid w:val="00055D1C"/>
    <w:rsid w:val="00061840"/>
    <w:rsid w:val="000703EB"/>
    <w:rsid w:val="000711AD"/>
    <w:rsid w:val="0007222A"/>
    <w:rsid w:val="000741A1"/>
    <w:rsid w:val="0007468D"/>
    <w:rsid w:val="00074F1D"/>
    <w:rsid w:val="0008036B"/>
    <w:rsid w:val="0008308A"/>
    <w:rsid w:val="000844CA"/>
    <w:rsid w:val="00087C4A"/>
    <w:rsid w:val="00090483"/>
    <w:rsid w:val="00092353"/>
    <w:rsid w:val="00092AC3"/>
    <w:rsid w:val="00094EFC"/>
    <w:rsid w:val="000A04AE"/>
    <w:rsid w:val="000A095E"/>
    <w:rsid w:val="000A0A24"/>
    <w:rsid w:val="000A1488"/>
    <w:rsid w:val="000A373F"/>
    <w:rsid w:val="000A37BB"/>
    <w:rsid w:val="000A47BC"/>
    <w:rsid w:val="000B5914"/>
    <w:rsid w:val="000C1686"/>
    <w:rsid w:val="000C20A6"/>
    <w:rsid w:val="000C5EB7"/>
    <w:rsid w:val="000C628C"/>
    <w:rsid w:val="000C6DCA"/>
    <w:rsid w:val="000C7936"/>
    <w:rsid w:val="000D0A5C"/>
    <w:rsid w:val="000D1AF4"/>
    <w:rsid w:val="000D459B"/>
    <w:rsid w:val="000D5C95"/>
    <w:rsid w:val="000D710D"/>
    <w:rsid w:val="000E1199"/>
    <w:rsid w:val="000E554E"/>
    <w:rsid w:val="000E720B"/>
    <w:rsid w:val="000F4DEF"/>
    <w:rsid w:val="000F600A"/>
    <w:rsid w:val="00100ED8"/>
    <w:rsid w:val="00100FC5"/>
    <w:rsid w:val="001032B5"/>
    <w:rsid w:val="00104B3A"/>
    <w:rsid w:val="00105616"/>
    <w:rsid w:val="001064C3"/>
    <w:rsid w:val="001118B8"/>
    <w:rsid w:val="00112450"/>
    <w:rsid w:val="00114374"/>
    <w:rsid w:val="001155FD"/>
    <w:rsid w:val="00116E1B"/>
    <w:rsid w:val="001211E2"/>
    <w:rsid w:val="001221C3"/>
    <w:rsid w:val="00123280"/>
    <w:rsid w:val="001320D0"/>
    <w:rsid w:val="00132349"/>
    <w:rsid w:val="00132591"/>
    <w:rsid w:val="001331FC"/>
    <w:rsid w:val="00137082"/>
    <w:rsid w:val="00141E53"/>
    <w:rsid w:val="00147BA4"/>
    <w:rsid w:val="00155439"/>
    <w:rsid w:val="00155A89"/>
    <w:rsid w:val="00156DB6"/>
    <w:rsid w:val="00161A27"/>
    <w:rsid w:val="0016253C"/>
    <w:rsid w:val="00163E6D"/>
    <w:rsid w:val="00166821"/>
    <w:rsid w:val="001841AB"/>
    <w:rsid w:val="00186B7D"/>
    <w:rsid w:val="00186F1B"/>
    <w:rsid w:val="00191EF0"/>
    <w:rsid w:val="00194508"/>
    <w:rsid w:val="001947FE"/>
    <w:rsid w:val="001958E8"/>
    <w:rsid w:val="001A10EC"/>
    <w:rsid w:val="001A1997"/>
    <w:rsid w:val="001A26E4"/>
    <w:rsid w:val="001A3004"/>
    <w:rsid w:val="001A490A"/>
    <w:rsid w:val="001A4A79"/>
    <w:rsid w:val="001A53D1"/>
    <w:rsid w:val="001B1738"/>
    <w:rsid w:val="001B2C97"/>
    <w:rsid w:val="001B7FC4"/>
    <w:rsid w:val="001C062C"/>
    <w:rsid w:val="001C19E1"/>
    <w:rsid w:val="001C2B00"/>
    <w:rsid w:val="001C5455"/>
    <w:rsid w:val="001C7462"/>
    <w:rsid w:val="001D3AE3"/>
    <w:rsid w:val="001D4DF3"/>
    <w:rsid w:val="001D5C92"/>
    <w:rsid w:val="001D6ACA"/>
    <w:rsid w:val="001E1D42"/>
    <w:rsid w:val="001E4B84"/>
    <w:rsid w:val="001E7312"/>
    <w:rsid w:val="001E7F06"/>
    <w:rsid w:val="001F0D30"/>
    <w:rsid w:val="002031CA"/>
    <w:rsid w:val="00207ABF"/>
    <w:rsid w:val="00210861"/>
    <w:rsid w:val="00220272"/>
    <w:rsid w:val="002215BB"/>
    <w:rsid w:val="00225443"/>
    <w:rsid w:val="00227394"/>
    <w:rsid w:val="00230826"/>
    <w:rsid w:val="0023117F"/>
    <w:rsid w:val="00231ADE"/>
    <w:rsid w:val="002330EA"/>
    <w:rsid w:val="00235A01"/>
    <w:rsid w:val="00237272"/>
    <w:rsid w:val="0024221E"/>
    <w:rsid w:val="0024273D"/>
    <w:rsid w:val="0024367F"/>
    <w:rsid w:val="00244133"/>
    <w:rsid w:val="00244802"/>
    <w:rsid w:val="0024593F"/>
    <w:rsid w:val="00245BEA"/>
    <w:rsid w:val="00250F0C"/>
    <w:rsid w:val="002525FE"/>
    <w:rsid w:val="00252CC3"/>
    <w:rsid w:val="002539FB"/>
    <w:rsid w:val="00253E20"/>
    <w:rsid w:val="00254BAB"/>
    <w:rsid w:val="00256A5F"/>
    <w:rsid w:val="00261088"/>
    <w:rsid w:val="00261572"/>
    <w:rsid w:val="00261B9C"/>
    <w:rsid w:val="0026598D"/>
    <w:rsid w:val="00266983"/>
    <w:rsid w:val="0026762A"/>
    <w:rsid w:val="00274A69"/>
    <w:rsid w:val="0027740A"/>
    <w:rsid w:val="00281943"/>
    <w:rsid w:val="002834CC"/>
    <w:rsid w:val="0028581A"/>
    <w:rsid w:val="00293F91"/>
    <w:rsid w:val="00294057"/>
    <w:rsid w:val="00295B2A"/>
    <w:rsid w:val="002A0216"/>
    <w:rsid w:val="002A29AA"/>
    <w:rsid w:val="002A3E78"/>
    <w:rsid w:val="002A7740"/>
    <w:rsid w:val="002A7A07"/>
    <w:rsid w:val="002B1C5A"/>
    <w:rsid w:val="002B2299"/>
    <w:rsid w:val="002B3284"/>
    <w:rsid w:val="002B6491"/>
    <w:rsid w:val="002C1537"/>
    <w:rsid w:val="002C2AC9"/>
    <w:rsid w:val="002C2B45"/>
    <w:rsid w:val="002C5E61"/>
    <w:rsid w:val="002C7191"/>
    <w:rsid w:val="002D2E1E"/>
    <w:rsid w:val="002D420A"/>
    <w:rsid w:val="002D43A7"/>
    <w:rsid w:val="002D60DB"/>
    <w:rsid w:val="002E02FB"/>
    <w:rsid w:val="002E0DD6"/>
    <w:rsid w:val="002E3BE1"/>
    <w:rsid w:val="002F134A"/>
    <w:rsid w:val="002F1D51"/>
    <w:rsid w:val="003018FD"/>
    <w:rsid w:val="00301D01"/>
    <w:rsid w:val="00302D84"/>
    <w:rsid w:val="003101DA"/>
    <w:rsid w:val="00312ACD"/>
    <w:rsid w:val="00315760"/>
    <w:rsid w:val="00320CDF"/>
    <w:rsid w:val="003335B0"/>
    <w:rsid w:val="0033695A"/>
    <w:rsid w:val="00341E34"/>
    <w:rsid w:val="00345821"/>
    <w:rsid w:val="003458F0"/>
    <w:rsid w:val="003463F6"/>
    <w:rsid w:val="00350B05"/>
    <w:rsid w:val="00351CE8"/>
    <w:rsid w:val="00355BC4"/>
    <w:rsid w:val="0035627A"/>
    <w:rsid w:val="003730BD"/>
    <w:rsid w:val="0037590E"/>
    <w:rsid w:val="00375D55"/>
    <w:rsid w:val="0037631F"/>
    <w:rsid w:val="0037655F"/>
    <w:rsid w:val="003776E0"/>
    <w:rsid w:val="00381940"/>
    <w:rsid w:val="00383207"/>
    <w:rsid w:val="00383379"/>
    <w:rsid w:val="00383708"/>
    <w:rsid w:val="00384192"/>
    <w:rsid w:val="00384249"/>
    <w:rsid w:val="00387A77"/>
    <w:rsid w:val="00390353"/>
    <w:rsid w:val="003927D6"/>
    <w:rsid w:val="00395E84"/>
    <w:rsid w:val="00397A7C"/>
    <w:rsid w:val="00397D2B"/>
    <w:rsid w:val="003A01B7"/>
    <w:rsid w:val="003A2723"/>
    <w:rsid w:val="003A52EC"/>
    <w:rsid w:val="003A7545"/>
    <w:rsid w:val="003B408B"/>
    <w:rsid w:val="003B4801"/>
    <w:rsid w:val="003C1381"/>
    <w:rsid w:val="003C2615"/>
    <w:rsid w:val="003C4184"/>
    <w:rsid w:val="003D1786"/>
    <w:rsid w:val="003D53A1"/>
    <w:rsid w:val="003D5682"/>
    <w:rsid w:val="003E0698"/>
    <w:rsid w:val="003E1ACD"/>
    <w:rsid w:val="003E3744"/>
    <w:rsid w:val="003E6315"/>
    <w:rsid w:val="003E7E7F"/>
    <w:rsid w:val="003F570F"/>
    <w:rsid w:val="00400885"/>
    <w:rsid w:val="00400F92"/>
    <w:rsid w:val="0041044C"/>
    <w:rsid w:val="00413172"/>
    <w:rsid w:val="004140A9"/>
    <w:rsid w:val="004157E9"/>
    <w:rsid w:val="00415FED"/>
    <w:rsid w:val="004213E1"/>
    <w:rsid w:val="004229F3"/>
    <w:rsid w:val="00422A4C"/>
    <w:rsid w:val="00422DDE"/>
    <w:rsid w:val="0042424B"/>
    <w:rsid w:val="004279C3"/>
    <w:rsid w:val="00432E6B"/>
    <w:rsid w:val="0043504C"/>
    <w:rsid w:val="00435156"/>
    <w:rsid w:val="00436FFC"/>
    <w:rsid w:val="00437C33"/>
    <w:rsid w:val="00441C23"/>
    <w:rsid w:val="0044357F"/>
    <w:rsid w:val="00446FC5"/>
    <w:rsid w:val="00447F71"/>
    <w:rsid w:val="00451CF0"/>
    <w:rsid w:val="00455ABA"/>
    <w:rsid w:val="0045652C"/>
    <w:rsid w:val="00457E7A"/>
    <w:rsid w:val="00463333"/>
    <w:rsid w:val="004669A4"/>
    <w:rsid w:val="00467715"/>
    <w:rsid w:val="004678DB"/>
    <w:rsid w:val="00474DBA"/>
    <w:rsid w:val="00475275"/>
    <w:rsid w:val="0047697D"/>
    <w:rsid w:val="004805A3"/>
    <w:rsid w:val="0048160B"/>
    <w:rsid w:val="00482805"/>
    <w:rsid w:val="00482AFB"/>
    <w:rsid w:val="00484DF4"/>
    <w:rsid w:val="00490EB0"/>
    <w:rsid w:val="00490EC0"/>
    <w:rsid w:val="004921B4"/>
    <w:rsid w:val="004922DB"/>
    <w:rsid w:val="00495EF4"/>
    <w:rsid w:val="00495F6E"/>
    <w:rsid w:val="00496377"/>
    <w:rsid w:val="004A142C"/>
    <w:rsid w:val="004A2EF7"/>
    <w:rsid w:val="004A3D08"/>
    <w:rsid w:val="004A5319"/>
    <w:rsid w:val="004A552F"/>
    <w:rsid w:val="004A618E"/>
    <w:rsid w:val="004B01DB"/>
    <w:rsid w:val="004B1C4C"/>
    <w:rsid w:val="004B1E17"/>
    <w:rsid w:val="004B4D53"/>
    <w:rsid w:val="004C1171"/>
    <w:rsid w:val="004C1762"/>
    <w:rsid w:val="004C1AF8"/>
    <w:rsid w:val="004C43E9"/>
    <w:rsid w:val="004C610F"/>
    <w:rsid w:val="004D28BA"/>
    <w:rsid w:val="004E070B"/>
    <w:rsid w:val="004E0B71"/>
    <w:rsid w:val="004E0BA1"/>
    <w:rsid w:val="004E0C15"/>
    <w:rsid w:val="004E0D0C"/>
    <w:rsid w:val="004E3B1C"/>
    <w:rsid w:val="004E47B9"/>
    <w:rsid w:val="004E4B2C"/>
    <w:rsid w:val="004F0074"/>
    <w:rsid w:val="005061AA"/>
    <w:rsid w:val="005122E3"/>
    <w:rsid w:val="005168B7"/>
    <w:rsid w:val="005175FD"/>
    <w:rsid w:val="00517FB2"/>
    <w:rsid w:val="005208EE"/>
    <w:rsid w:val="005267D4"/>
    <w:rsid w:val="005319EC"/>
    <w:rsid w:val="0053299F"/>
    <w:rsid w:val="005337B5"/>
    <w:rsid w:val="00534857"/>
    <w:rsid w:val="00535129"/>
    <w:rsid w:val="00540207"/>
    <w:rsid w:val="00540475"/>
    <w:rsid w:val="00546B70"/>
    <w:rsid w:val="005520AE"/>
    <w:rsid w:val="0055457D"/>
    <w:rsid w:val="005568B0"/>
    <w:rsid w:val="00557DCD"/>
    <w:rsid w:val="005600B7"/>
    <w:rsid w:val="00560688"/>
    <w:rsid w:val="005630B0"/>
    <w:rsid w:val="00563431"/>
    <w:rsid w:val="00567120"/>
    <w:rsid w:val="00571BBE"/>
    <w:rsid w:val="005720F2"/>
    <w:rsid w:val="0057678F"/>
    <w:rsid w:val="00582FD9"/>
    <w:rsid w:val="0058485B"/>
    <w:rsid w:val="00587528"/>
    <w:rsid w:val="005877D6"/>
    <w:rsid w:val="00587A84"/>
    <w:rsid w:val="00590CD9"/>
    <w:rsid w:val="00593237"/>
    <w:rsid w:val="005946EE"/>
    <w:rsid w:val="0059614C"/>
    <w:rsid w:val="00596603"/>
    <w:rsid w:val="0059724E"/>
    <w:rsid w:val="00597A74"/>
    <w:rsid w:val="005A0910"/>
    <w:rsid w:val="005A25C9"/>
    <w:rsid w:val="005A27B2"/>
    <w:rsid w:val="005A36F8"/>
    <w:rsid w:val="005A50F9"/>
    <w:rsid w:val="005A5801"/>
    <w:rsid w:val="005B53CF"/>
    <w:rsid w:val="005B7266"/>
    <w:rsid w:val="005C2898"/>
    <w:rsid w:val="005C3696"/>
    <w:rsid w:val="005C3CD0"/>
    <w:rsid w:val="005C416E"/>
    <w:rsid w:val="005C6A61"/>
    <w:rsid w:val="005C7527"/>
    <w:rsid w:val="005D1C3A"/>
    <w:rsid w:val="005D300B"/>
    <w:rsid w:val="005D3DC5"/>
    <w:rsid w:val="005D54C8"/>
    <w:rsid w:val="005E1D0D"/>
    <w:rsid w:val="005E43DD"/>
    <w:rsid w:val="005E489B"/>
    <w:rsid w:val="005E6A94"/>
    <w:rsid w:val="005F1D33"/>
    <w:rsid w:val="005F2AB8"/>
    <w:rsid w:val="005F4605"/>
    <w:rsid w:val="005F756C"/>
    <w:rsid w:val="005F790D"/>
    <w:rsid w:val="00602837"/>
    <w:rsid w:val="00603363"/>
    <w:rsid w:val="006033FD"/>
    <w:rsid w:val="00603FC0"/>
    <w:rsid w:val="0060680C"/>
    <w:rsid w:val="0061133D"/>
    <w:rsid w:val="0061402C"/>
    <w:rsid w:val="00620BF3"/>
    <w:rsid w:val="0062428A"/>
    <w:rsid w:val="006251D3"/>
    <w:rsid w:val="0062583C"/>
    <w:rsid w:val="00630C3A"/>
    <w:rsid w:val="00631911"/>
    <w:rsid w:val="00634B91"/>
    <w:rsid w:val="00636BF0"/>
    <w:rsid w:val="006410DD"/>
    <w:rsid w:val="00641FF3"/>
    <w:rsid w:val="00644443"/>
    <w:rsid w:val="00646DB2"/>
    <w:rsid w:val="00646F2A"/>
    <w:rsid w:val="00647F94"/>
    <w:rsid w:val="00652654"/>
    <w:rsid w:val="006535FA"/>
    <w:rsid w:val="006572F2"/>
    <w:rsid w:val="006603DC"/>
    <w:rsid w:val="00660D5D"/>
    <w:rsid w:val="006611D6"/>
    <w:rsid w:val="006619AA"/>
    <w:rsid w:val="006623B4"/>
    <w:rsid w:val="0066252A"/>
    <w:rsid w:val="00665768"/>
    <w:rsid w:val="0067171B"/>
    <w:rsid w:val="006717E7"/>
    <w:rsid w:val="00672043"/>
    <w:rsid w:val="006720A0"/>
    <w:rsid w:val="00672EF9"/>
    <w:rsid w:val="00673CBD"/>
    <w:rsid w:val="006806EA"/>
    <w:rsid w:val="00680AC0"/>
    <w:rsid w:val="00683C89"/>
    <w:rsid w:val="00686249"/>
    <w:rsid w:val="00687504"/>
    <w:rsid w:val="006929CD"/>
    <w:rsid w:val="00693395"/>
    <w:rsid w:val="0069375D"/>
    <w:rsid w:val="00694587"/>
    <w:rsid w:val="006A3C56"/>
    <w:rsid w:val="006A47B4"/>
    <w:rsid w:val="006A4E5F"/>
    <w:rsid w:val="006A6437"/>
    <w:rsid w:val="006B02A2"/>
    <w:rsid w:val="006B0825"/>
    <w:rsid w:val="006B49DF"/>
    <w:rsid w:val="006B7C18"/>
    <w:rsid w:val="006C36FF"/>
    <w:rsid w:val="006D0E10"/>
    <w:rsid w:val="006D4A86"/>
    <w:rsid w:val="006D5151"/>
    <w:rsid w:val="006D5A28"/>
    <w:rsid w:val="006E202B"/>
    <w:rsid w:val="006E3B0B"/>
    <w:rsid w:val="006E57B5"/>
    <w:rsid w:val="006E5E0C"/>
    <w:rsid w:val="006F4AA2"/>
    <w:rsid w:val="006F61A2"/>
    <w:rsid w:val="007001EE"/>
    <w:rsid w:val="00701219"/>
    <w:rsid w:val="00704607"/>
    <w:rsid w:val="007046A7"/>
    <w:rsid w:val="00707CB0"/>
    <w:rsid w:val="00714E90"/>
    <w:rsid w:val="00714FF5"/>
    <w:rsid w:val="00716C37"/>
    <w:rsid w:val="00725A18"/>
    <w:rsid w:val="00726103"/>
    <w:rsid w:val="00730C6D"/>
    <w:rsid w:val="00731D63"/>
    <w:rsid w:val="007320CD"/>
    <w:rsid w:val="007329DD"/>
    <w:rsid w:val="00734D7D"/>
    <w:rsid w:val="0073718B"/>
    <w:rsid w:val="00737E65"/>
    <w:rsid w:val="00737E8D"/>
    <w:rsid w:val="0074030A"/>
    <w:rsid w:val="00740A1B"/>
    <w:rsid w:val="007415BE"/>
    <w:rsid w:val="00742C44"/>
    <w:rsid w:val="00746962"/>
    <w:rsid w:val="0075191A"/>
    <w:rsid w:val="0075474D"/>
    <w:rsid w:val="007555D5"/>
    <w:rsid w:val="00760468"/>
    <w:rsid w:val="00761D87"/>
    <w:rsid w:val="0076320B"/>
    <w:rsid w:val="007633C2"/>
    <w:rsid w:val="00765A47"/>
    <w:rsid w:val="00765B41"/>
    <w:rsid w:val="007665D8"/>
    <w:rsid w:val="007671EA"/>
    <w:rsid w:val="00770E82"/>
    <w:rsid w:val="00772273"/>
    <w:rsid w:val="007722A4"/>
    <w:rsid w:val="00772E94"/>
    <w:rsid w:val="007731B9"/>
    <w:rsid w:val="00773FB7"/>
    <w:rsid w:val="007804D2"/>
    <w:rsid w:val="00780709"/>
    <w:rsid w:val="00780EBE"/>
    <w:rsid w:val="00782FAE"/>
    <w:rsid w:val="007844AB"/>
    <w:rsid w:val="00784E7E"/>
    <w:rsid w:val="00790F51"/>
    <w:rsid w:val="00793524"/>
    <w:rsid w:val="00794448"/>
    <w:rsid w:val="007A3D99"/>
    <w:rsid w:val="007A66FB"/>
    <w:rsid w:val="007B028B"/>
    <w:rsid w:val="007B1D71"/>
    <w:rsid w:val="007B1F32"/>
    <w:rsid w:val="007B38EB"/>
    <w:rsid w:val="007B5588"/>
    <w:rsid w:val="007B7222"/>
    <w:rsid w:val="007C13EF"/>
    <w:rsid w:val="007C2186"/>
    <w:rsid w:val="007C5B19"/>
    <w:rsid w:val="007C776F"/>
    <w:rsid w:val="007D5522"/>
    <w:rsid w:val="007D7186"/>
    <w:rsid w:val="007E6D50"/>
    <w:rsid w:val="007F1B6E"/>
    <w:rsid w:val="007F2233"/>
    <w:rsid w:val="007F2DDC"/>
    <w:rsid w:val="007F3E26"/>
    <w:rsid w:val="007F4B6D"/>
    <w:rsid w:val="00800F33"/>
    <w:rsid w:val="00804536"/>
    <w:rsid w:val="00804CF4"/>
    <w:rsid w:val="008127EE"/>
    <w:rsid w:val="0081328C"/>
    <w:rsid w:val="00816866"/>
    <w:rsid w:val="008222EA"/>
    <w:rsid w:val="0082301A"/>
    <w:rsid w:val="008248E5"/>
    <w:rsid w:val="00831D0D"/>
    <w:rsid w:val="008321C0"/>
    <w:rsid w:val="008333BD"/>
    <w:rsid w:val="008343DE"/>
    <w:rsid w:val="00840543"/>
    <w:rsid w:val="0084236A"/>
    <w:rsid w:val="00843793"/>
    <w:rsid w:val="00844476"/>
    <w:rsid w:val="00846E92"/>
    <w:rsid w:val="008505B5"/>
    <w:rsid w:val="008564F3"/>
    <w:rsid w:val="008575F2"/>
    <w:rsid w:val="008637B7"/>
    <w:rsid w:val="00864186"/>
    <w:rsid w:val="00871B73"/>
    <w:rsid w:val="008743C8"/>
    <w:rsid w:val="00874DBE"/>
    <w:rsid w:val="0087648E"/>
    <w:rsid w:val="008777CA"/>
    <w:rsid w:val="00880C42"/>
    <w:rsid w:val="00880E1A"/>
    <w:rsid w:val="00881A20"/>
    <w:rsid w:val="00881B25"/>
    <w:rsid w:val="00883777"/>
    <w:rsid w:val="0088526E"/>
    <w:rsid w:val="00885D2A"/>
    <w:rsid w:val="0088617A"/>
    <w:rsid w:val="00887A80"/>
    <w:rsid w:val="00894D0F"/>
    <w:rsid w:val="00897D18"/>
    <w:rsid w:val="008A11F1"/>
    <w:rsid w:val="008A4610"/>
    <w:rsid w:val="008A4D98"/>
    <w:rsid w:val="008A584E"/>
    <w:rsid w:val="008A6113"/>
    <w:rsid w:val="008B0B09"/>
    <w:rsid w:val="008B0CD3"/>
    <w:rsid w:val="008B171D"/>
    <w:rsid w:val="008B279F"/>
    <w:rsid w:val="008B3745"/>
    <w:rsid w:val="008B7D6E"/>
    <w:rsid w:val="008B7D75"/>
    <w:rsid w:val="008C0D86"/>
    <w:rsid w:val="008C4C90"/>
    <w:rsid w:val="008C5C3E"/>
    <w:rsid w:val="008C7D3D"/>
    <w:rsid w:val="008C7F68"/>
    <w:rsid w:val="008D2CB8"/>
    <w:rsid w:val="008D498C"/>
    <w:rsid w:val="008D4C30"/>
    <w:rsid w:val="008D5E56"/>
    <w:rsid w:val="008E0D56"/>
    <w:rsid w:val="008E380C"/>
    <w:rsid w:val="008E5041"/>
    <w:rsid w:val="008F25D2"/>
    <w:rsid w:val="00904221"/>
    <w:rsid w:val="00904786"/>
    <w:rsid w:val="009055D6"/>
    <w:rsid w:val="00905AC0"/>
    <w:rsid w:val="00907EA6"/>
    <w:rsid w:val="009115CF"/>
    <w:rsid w:val="009116D7"/>
    <w:rsid w:val="00912B1C"/>
    <w:rsid w:val="00914124"/>
    <w:rsid w:val="00914CC6"/>
    <w:rsid w:val="009203B7"/>
    <w:rsid w:val="009205B7"/>
    <w:rsid w:val="00923570"/>
    <w:rsid w:val="009253B8"/>
    <w:rsid w:val="00926D25"/>
    <w:rsid w:val="0092790B"/>
    <w:rsid w:val="00932067"/>
    <w:rsid w:val="009321F2"/>
    <w:rsid w:val="009364DA"/>
    <w:rsid w:val="00936D58"/>
    <w:rsid w:val="00940872"/>
    <w:rsid w:val="00940E11"/>
    <w:rsid w:val="0095169F"/>
    <w:rsid w:val="00951D9F"/>
    <w:rsid w:val="00953088"/>
    <w:rsid w:val="0095458D"/>
    <w:rsid w:val="009555F5"/>
    <w:rsid w:val="0095796D"/>
    <w:rsid w:val="0096540A"/>
    <w:rsid w:val="00971D85"/>
    <w:rsid w:val="00971F8A"/>
    <w:rsid w:val="00972FB5"/>
    <w:rsid w:val="009807B5"/>
    <w:rsid w:val="00982849"/>
    <w:rsid w:val="00982CF0"/>
    <w:rsid w:val="00987938"/>
    <w:rsid w:val="00987EAF"/>
    <w:rsid w:val="00993129"/>
    <w:rsid w:val="00994B88"/>
    <w:rsid w:val="00994C4E"/>
    <w:rsid w:val="00994FE8"/>
    <w:rsid w:val="009A0EBF"/>
    <w:rsid w:val="009A1CF9"/>
    <w:rsid w:val="009A4054"/>
    <w:rsid w:val="009A5F75"/>
    <w:rsid w:val="009B080C"/>
    <w:rsid w:val="009B2007"/>
    <w:rsid w:val="009B61D0"/>
    <w:rsid w:val="009C450D"/>
    <w:rsid w:val="009C5D2A"/>
    <w:rsid w:val="009D701C"/>
    <w:rsid w:val="009D717F"/>
    <w:rsid w:val="009E0E12"/>
    <w:rsid w:val="009E107F"/>
    <w:rsid w:val="009E4F97"/>
    <w:rsid w:val="009F1F1F"/>
    <w:rsid w:val="009F3727"/>
    <w:rsid w:val="009F7973"/>
    <w:rsid w:val="00A000B2"/>
    <w:rsid w:val="00A01095"/>
    <w:rsid w:val="00A028C4"/>
    <w:rsid w:val="00A05D40"/>
    <w:rsid w:val="00A1015B"/>
    <w:rsid w:val="00A106CD"/>
    <w:rsid w:val="00A10760"/>
    <w:rsid w:val="00A1443B"/>
    <w:rsid w:val="00A1575F"/>
    <w:rsid w:val="00A16A3A"/>
    <w:rsid w:val="00A16B6E"/>
    <w:rsid w:val="00A249E7"/>
    <w:rsid w:val="00A25847"/>
    <w:rsid w:val="00A31C88"/>
    <w:rsid w:val="00A3282A"/>
    <w:rsid w:val="00A329AD"/>
    <w:rsid w:val="00A330AA"/>
    <w:rsid w:val="00A331E7"/>
    <w:rsid w:val="00A334F5"/>
    <w:rsid w:val="00A36FFF"/>
    <w:rsid w:val="00A37830"/>
    <w:rsid w:val="00A419E5"/>
    <w:rsid w:val="00A41C3C"/>
    <w:rsid w:val="00A4218A"/>
    <w:rsid w:val="00A432B3"/>
    <w:rsid w:val="00A44F03"/>
    <w:rsid w:val="00A46ECA"/>
    <w:rsid w:val="00A46FD3"/>
    <w:rsid w:val="00A52C37"/>
    <w:rsid w:val="00A5514E"/>
    <w:rsid w:val="00A55F69"/>
    <w:rsid w:val="00A5771B"/>
    <w:rsid w:val="00A57D42"/>
    <w:rsid w:val="00A61835"/>
    <w:rsid w:val="00A6296E"/>
    <w:rsid w:val="00A63B9C"/>
    <w:rsid w:val="00A65756"/>
    <w:rsid w:val="00A65DF4"/>
    <w:rsid w:val="00A662BA"/>
    <w:rsid w:val="00A70033"/>
    <w:rsid w:val="00A70AAA"/>
    <w:rsid w:val="00A7212B"/>
    <w:rsid w:val="00A75690"/>
    <w:rsid w:val="00A7635D"/>
    <w:rsid w:val="00A775B4"/>
    <w:rsid w:val="00A81031"/>
    <w:rsid w:val="00A81967"/>
    <w:rsid w:val="00A82097"/>
    <w:rsid w:val="00A821D0"/>
    <w:rsid w:val="00A859FC"/>
    <w:rsid w:val="00A87313"/>
    <w:rsid w:val="00A91A5E"/>
    <w:rsid w:val="00A91CAA"/>
    <w:rsid w:val="00A94142"/>
    <w:rsid w:val="00A947F9"/>
    <w:rsid w:val="00A94BFF"/>
    <w:rsid w:val="00A95F74"/>
    <w:rsid w:val="00AA2ED8"/>
    <w:rsid w:val="00AA61E5"/>
    <w:rsid w:val="00AA76B4"/>
    <w:rsid w:val="00AB166D"/>
    <w:rsid w:val="00AB38CF"/>
    <w:rsid w:val="00AB3A4F"/>
    <w:rsid w:val="00AB4A1C"/>
    <w:rsid w:val="00AB6DEF"/>
    <w:rsid w:val="00AB77CA"/>
    <w:rsid w:val="00AC1B22"/>
    <w:rsid w:val="00AC2D6A"/>
    <w:rsid w:val="00AC5A5F"/>
    <w:rsid w:val="00AC6399"/>
    <w:rsid w:val="00AC7BAA"/>
    <w:rsid w:val="00AC7C69"/>
    <w:rsid w:val="00AC7E33"/>
    <w:rsid w:val="00AD213E"/>
    <w:rsid w:val="00AD51F5"/>
    <w:rsid w:val="00AE17C9"/>
    <w:rsid w:val="00AE3F9D"/>
    <w:rsid w:val="00AE555B"/>
    <w:rsid w:val="00AE632E"/>
    <w:rsid w:val="00AF297A"/>
    <w:rsid w:val="00AF4B7D"/>
    <w:rsid w:val="00B018ED"/>
    <w:rsid w:val="00B04505"/>
    <w:rsid w:val="00B0566D"/>
    <w:rsid w:val="00B07A0E"/>
    <w:rsid w:val="00B16CAC"/>
    <w:rsid w:val="00B17BD6"/>
    <w:rsid w:val="00B17CF6"/>
    <w:rsid w:val="00B17EA9"/>
    <w:rsid w:val="00B245D8"/>
    <w:rsid w:val="00B26DC1"/>
    <w:rsid w:val="00B34F0D"/>
    <w:rsid w:val="00B36903"/>
    <w:rsid w:val="00B37DE8"/>
    <w:rsid w:val="00B40EC0"/>
    <w:rsid w:val="00B41376"/>
    <w:rsid w:val="00B418D7"/>
    <w:rsid w:val="00B42D95"/>
    <w:rsid w:val="00B440A7"/>
    <w:rsid w:val="00B47A57"/>
    <w:rsid w:val="00B5259C"/>
    <w:rsid w:val="00B53DD3"/>
    <w:rsid w:val="00B5432F"/>
    <w:rsid w:val="00B56367"/>
    <w:rsid w:val="00B57854"/>
    <w:rsid w:val="00B63EE8"/>
    <w:rsid w:val="00B73813"/>
    <w:rsid w:val="00B742D8"/>
    <w:rsid w:val="00B742FD"/>
    <w:rsid w:val="00B76D01"/>
    <w:rsid w:val="00B80717"/>
    <w:rsid w:val="00B810E1"/>
    <w:rsid w:val="00B83F77"/>
    <w:rsid w:val="00B841CD"/>
    <w:rsid w:val="00B84D0B"/>
    <w:rsid w:val="00B86FDE"/>
    <w:rsid w:val="00B92A85"/>
    <w:rsid w:val="00B966A7"/>
    <w:rsid w:val="00BA2F56"/>
    <w:rsid w:val="00BA35DE"/>
    <w:rsid w:val="00BA5F7E"/>
    <w:rsid w:val="00BA66B9"/>
    <w:rsid w:val="00BB1EBC"/>
    <w:rsid w:val="00BC1781"/>
    <w:rsid w:val="00BC1D60"/>
    <w:rsid w:val="00BC3143"/>
    <w:rsid w:val="00BC6248"/>
    <w:rsid w:val="00BC6B2F"/>
    <w:rsid w:val="00BC6F12"/>
    <w:rsid w:val="00BC712B"/>
    <w:rsid w:val="00BD1FD2"/>
    <w:rsid w:val="00BD20E3"/>
    <w:rsid w:val="00BD212E"/>
    <w:rsid w:val="00BD7539"/>
    <w:rsid w:val="00BD7BEB"/>
    <w:rsid w:val="00BE0BA0"/>
    <w:rsid w:val="00BE0D3C"/>
    <w:rsid w:val="00BE2F50"/>
    <w:rsid w:val="00BE3155"/>
    <w:rsid w:val="00BE5BC0"/>
    <w:rsid w:val="00BF0DE3"/>
    <w:rsid w:val="00BF196C"/>
    <w:rsid w:val="00BF19CC"/>
    <w:rsid w:val="00BF2618"/>
    <w:rsid w:val="00BF308C"/>
    <w:rsid w:val="00BF4C03"/>
    <w:rsid w:val="00BF6F5D"/>
    <w:rsid w:val="00C00765"/>
    <w:rsid w:val="00C016FB"/>
    <w:rsid w:val="00C03393"/>
    <w:rsid w:val="00C05A42"/>
    <w:rsid w:val="00C063E1"/>
    <w:rsid w:val="00C10464"/>
    <w:rsid w:val="00C109CB"/>
    <w:rsid w:val="00C123DB"/>
    <w:rsid w:val="00C12B4A"/>
    <w:rsid w:val="00C17C39"/>
    <w:rsid w:val="00C20EB0"/>
    <w:rsid w:val="00C27D74"/>
    <w:rsid w:val="00C35F68"/>
    <w:rsid w:val="00C36B7F"/>
    <w:rsid w:val="00C40967"/>
    <w:rsid w:val="00C43F64"/>
    <w:rsid w:val="00C44FCF"/>
    <w:rsid w:val="00C506B7"/>
    <w:rsid w:val="00C50ADF"/>
    <w:rsid w:val="00C50D6E"/>
    <w:rsid w:val="00C57B4A"/>
    <w:rsid w:val="00C60E84"/>
    <w:rsid w:val="00C61EB1"/>
    <w:rsid w:val="00C63D43"/>
    <w:rsid w:val="00C679D9"/>
    <w:rsid w:val="00C7035F"/>
    <w:rsid w:val="00C70C4A"/>
    <w:rsid w:val="00C74134"/>
    <w:rsid w:val="00C8196F"/>
    <w:rsid w:val="00C81C46"/>
    <w:rsid w:val="00C81E0D"/>
    <w:rsid w:val="00C823B1"/>
    <w:rsid w:val="00C83717"/>
    <w:rsid w:val="00C861E2"/>
    <w:rsid w:val="00C86CC4"/>
    <w:rsid w:val="00C8740A"/>
    <w:rsid w:val="00C91514"/>
    <w:rsid w:val="00C93F45"/>
    <w:rsid w:val="00CA18D5"/>
    <w:rsid w:val="00CA21A4"/>
    <w:rsid w:val="00CA271E"/>
    <w:rsid w:val="00CA2BD6"/>
    <w:rsid w:val="00CA524B"/>
    <w:rsid w:val="00CB0059"/>
    <w:rsid w:val="00CB2DE6"/>
    <w:rsid w:val="00CB3EF3"/>
    <w:rsid w:val="00CB6CB7"/>
    <w:rsid w:val="00CB7414"/>
    <w:rsid w:val="00CC2903"/>
    <w:rsid w:val="00CC299A"/>
    <w:rsid w:val="00CC2B25"/>
    <w:rsid w:val="00CC45CF"/>
    <w:rsid w:val="00CC67E2"/>
    <w:rsid w:val="00CC6A3C"/>
    <w:rsid w:val="00CD0843"/>
    <w:rsid w:val="00CD15D0"/>
    <w:rsid w:val="00CD16EB"/>
    <w:rsid w:val="00CD441F"/>
    <w:rsid w:val="00CD59FE"/>
    <w:rsid w:val="00CE1A36"/>
    <w:rsid w:val="00CE3474"/>
    <w:rsid w:val="00CE3725"/>
    <w:rsid w:val="00CE4843"/>
    <w:rsid w:val="00CE4B43"/>
    <w:rsid w:val="00CE66B1"/>
    <w:rsid w:val="00CE76AD"/>
    <w:rsid w:val="00CF168A"/>
    <w:rsid w:val="00CF5F31"/>
    <w:rsid w:val="00CF6106"/>
    <w:rsid w:val="00CF76B1"/>
    <w:rsid w:val="00CF7A14"/>
    <w:rsid w:val="00D01CFE"/>
    <w:rsid w:val="00D01F81"/>
    <w:rsid w:val="00D025D1"/>
    <w:rsid w:val="00D03731"/>
    <w:rsid w:val="00D07C4B"/>
    <w:rsid w:val="00D11081"/>
    <w:rsid w:val="00D12A83"/>
    <w:rsid w:val="00D148E1"/>
    <w:rsid w:val="00D174B7"/>
    <w:rsid w:val="00D225D8"/>
    <w:rsid w:val="00D2610F"/>
    <w:rsid w:val="00D30653"/>
    <w:rsid w:val="00D33A2E"/>
    <w:rsid w:val="00D44364"/>
    <w:rsid w:val="00D44574"/>
    <w:rsid w:val="00D46EAA"/>
    <w:rsid w:val="00D5244D"/>
    <w:rsid w:val="00D54888"/>
    <w:rsid w:val="00D609ED"/>
    <w:rsid w:val="00D62E09"/>
    <w:rsid w:val="00D664DB"/>
    <w:rsid w:val="00D667DB"/>
    <w:rsid w:val="00D74237"/>
    <w:rsid w:val="00D76019"/>
    <w:rsid w:val="00D80A7E"/>
    <w:rsid w:val="00D8255E"/>
    <w:rsid w:val="00D8361D"/>
    <w:rsid w:val="00D8474E"/>
    <w:rsid w:val="00D872BF"/>
    <w:rsid w:val="00D9026D"/>
    <w:rsid w:val="00DA47AD"/>
    <w:rsid w:val="00DA7A3D"/>
    <w:rsid w:val="00DB1A88"/>
    <w:rsid w:val="00DB2A4E"/>
    <w:rsid w:val="00DB6502"/>
    <w:rsid w:val="00DC268C"/>
    <w:rsid w:val="00DC7E2E"/>
    <w:rsid w:val="00DD3509"/>
    <w:rsid w:val="00DD355E"/>
    <w:rsid w:val="00DD735D"/>
    <w:rsid w:val="00DE01F6"/>
    <w:rsid w:val="00DE3769"/>
    <w:rsid w:val="00DE4223"/>
    <w:rsid w:val="00DF35DB"/>
    <w:rsid w:val="00DF624F"/>
    <w:rsid w:val="00DF65A9"/>
    <w:rsid w:val="00DF6DF8"/>
    <w:rsid w:val="00E0091A"/>
    <w:rsid w:val="00E012B7"/>
    <w:rsid w:val="00E0184E"/>
    <w:rsid w:val="00E05DF1"/>
    <w:rsid w:val="00E06D10"/>
    <w:rsid w:val="00E146F0"/>
    <w:rsid w:val="00E20458"/>
    <w:rsid w:val="00E30E95"/>
    <w:rsid w:val="00E33795"/>
    <w:rsid w:val="00E366DE"/>
    <w:rsid w:val="00E3671D"/>
    <w:rsid w:val="00E37BB3"/>
    <w:rsid w:val="00E41828"/>
    <w:rsid w:val="00E427F2"/>
    <w:rsid w:val="00E45203"/>
    <w:rsid w:val="00E47849"/>
    <w:rsid w:val="00E478B3"/>
    <w:rsid w:val="00E47F2D"/>
    <w:rsid w:val="00E507B5"/>
    <w:rsid w:val="00E51EBA"/>
    <w:rsid w:val="00E56487"/>
    <w:rsid w:val="00E57816"/>
    <w:rsid w:val="00E609C0"/>
    <w:rsid w:val="00E62003"/>
    <w:rsid w:val="00E640B9"/>
    <w:rsid w:val="00E65024"/>
    <w:rsid w:val="00E66F00"/>
    <w:rsid w:val="00E70A2E"/>
    <w:rsid w:val="00E70BD7"/>
    <w:rsid w:val="00E70F06"/>
    <w:rsid w:val="00E74BA1"/>
    <w:rsid w:val="00E75FB8"/>
    <w:rsid w:val="00E7746C"/>
    <w:rsid w:val="00E87E41"/>
    <w:rsid w:val="00E90BBE"/>
    <w:rsid w:val="00E91D90"/>
    <w:rsid w:val="00E968EB"/>
    <w:rsid w:val="00E97816"/>
    <w:rsid w:val="00E97D65"/>
    <w:rsid w:val="00EA0817"/>
    <w:rsid w:val="00EB6EDA"/>
    <w:rsid w:val="00EC0277"/>
    <w:rsid w:val="00EC13CB"/>
    <w:rsid w:val="00EC152F"/>
    <w:rsid w:val="00EC1657"/>
    <w:rsid w:val="00EC40F5"/>
    <w:rsid w:val="00EC593F"/>
    <w:rsid w:val="00EC6A18"/>
    <w:rsid w:val="00EC765F"/>
    <w:rsid w:val="00ED574D"/>
    <w:rsid w:val="00ED74F6"/>
    <w:rsid w:val="00EE0272"/>
    <w:rsid w:val="00EF1DCE"/>
    <w:rsid w:val="00EF219D"/>
    <w:rsid w:val="00EF2494"/>
    <w:rsid w:val="00EF3030"/>
    <w:rsid w:val="00EF3B2B"/>
    <w:rsid w:val="00EF604A"/>
    <w:rsid w:val="00EF63F4"/>
    <w:rsid w:val="00EF6FE6"/>
    <w:rsid w:val="00EF7DA3"/>
    <w:rsid w:val="00F00EE9"/>
    <w:rsid w:val="00F028DB"/>
    <w:rsid w:val="00F04E31"/>
    <w:rsid w:val="00F05DE2"/>
    <w:rsid w:val="00F06A07"/>
    <w:rsid w:val="00F153FC"/>
    <w:rsid w:val="00F164D0"/>
    <w:rsid w:val="00F16508"/>
    <w:rsid w:val="00F2022B"/>
    <w:rsid w:val="00F21B49"/>
    <w:rsid w:val="00F22A24"/>
    <w:rsid w:val="00F23506"/>
    <w:rsid w:val="00F30A1B"/>
    <w:rsid w:val="00F325E9"/>
    <w:rsid w:val="00F32B57"/>
    <w:rsid w:val="00F32C35"/>
    <w:rsid w:val="00F363FD"/>
    <w:rsid w:val="00F36B3D"/>
    <w:rsid w:val="00F3708E"/>
    <w:rsid w:val="00F3748E"/>
    <w:rsid w:val="00F4003B"/>
    <w:rsid w:val="00F4148B"/>
    <w:rsid w:val="00F46E97"/>
    <w:rsid w:val="00F47244"/>
    <w:rsid w:val="00F50CB0"/>
    <w:rsid w:val="00F50FE5"/>
    <w:rsid w:val="00F51016"/>
    <w:rsid w:val="00F51F59"/>
    <w:rsid w:val="00F54961"/>
    <w:rsid w:val="00F550E0"/>
    <w:rsid w:val="00F570F5"/>
    <w:rsid w:val="00F613D7"/>
    <w:rsid w:val="00F62310"/>
    <w:rsid w:val="00F6445E"/>
    <w:rsid w:val="00F653BD"/>
    <w:rsid w:val="00F7166D"/>
    <w:rsid w:val="00F73456"/>
    <w:rsid w:val="00F73930"/>
    <w:rsid w:val="00F769F9"/>
    <w:rsid w:val="00F8295F"/>
    <w:rsid w:val="00F82F66"/>
    <w:rsid w:val="00F8327D"/>
    <w:rsid w:val="00F84CF5"/>
    <w:rsid w:val="00F85074"/>
    <w:rsid w:val="00F905A8"/>
    <w:rsid w:val="00F963D1"/>
    <w:rsid w:val="00FA2A96"/>
    <w:rsid w:val="00FA3A5E"/>
    <w:rsid w:val="00FA5F45"/>
    <w:rsid w:val="00FA78ED"/>
    <w:rsid w:val="00FA7E72"/>
    <w:rsid w:val="00FB1BA1"/>
    <w:rsid w:val="00FB21C5"/>
    <w:rsid w:val="00FB2FF4"/>
    <w:rsid w:val="00FB37DB"/>
    <w:rsid w:val="00FB38D3"/>
    <w:rsid w:val="00FB46A9"/>
    <w:rsid w:val="00FB5A28"/>
    <w:rsid w:val="00FC0345"/>
    <w:rsid w:val="00FC2C59"/>
    <w:rsid w:val="00FC4509"/>
    <w:rsid w:val="00FC4D5F"/>
    <w:rsid w:val="00FC5DBF"/>
    <w:rsid w:val="00FD178C"/>
    <w:rsid w:val="00FD3E0C"/>
    <w:rsid w:val="00FD5D69"/>
    <w:rsid w:val="00FD676B"/>
    <w:rsid w:val="00FE07B2"/>
    <w:rsid w:val="00FE1092"/>
    <w:rsid w:val="00FE10DC"/>
    <w:rsid w:val="00FE3776"/>
    <w:rsid w:val="00FE5262"/>
    <w:rsid w:val="00FF18D4"/>
    <w:rsid w:val="00FF3B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semiHidden="0" w:uiPriority="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index heading" w:unhideWhenUsed="1"/>
    <w:lsdException w:name="caption" w:uiPriority="35" w:unhideWhenUsed="1" w:qFormat="1"/>
    <w:lsdException w:name="table of authorities" w:unhideWhenUsed="1"/>
    <w:lsdException w:name="macro" w:unhideWhenUsed="1"/>
    <w:lsdException w:name="toa heading" w:unhideWhenUsed="1"/>
    <w:lsdException w:name="Title" w:semiHidden="0"/>
    <w:lsdException w:name="Body Text" w:uiPriority="0"/>
    <w:lsdException w:name="Body Text Indent" w:unhideWhenUsed="1"/>
    <w:lsdException w:name="Subtitle" w:semiHidden="0" w:uiPriority="0" w:qFormat="1"/>
    <w:lsdException w:name="Strong" w:semiHidden="0" w:qFormat="1"/>
    <w:lsdException w:name="Emphasis" w:semiHidden="0" w:qFormat="1"/>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Grid" w:semiHidden="0"/>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semiHidden="0"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qFormat/>
    <w:rsid w:val="00CD59FE"/>
    <w:rPr>
      <w:rFonts w:ascii="Calibri" w:hAnsi="Calibri" w:cs="Calibri"/>
      <w:sz w:val="22"/>
      <w:szCs w:val="22"/>
      <w:lang w:eastAsia="en-US"/>
    </w:rPr>
  </w:style>
  <w:style w:type="paragraph" w:styleId="Heading1">
    <w:name w:val="heading 1"/>
    <w:basedOn w:val="Normal"/>
    <w:next w:val="BodyText"/>
    <w:link w:val="Heading1Char"/>
    <w:qFormat/>
    <w:rsid w:val="0003570B"/>
    <w:pPr>
      <w:tabs>
        <w:tab w:val="left" w:pos="851"/>
      </w:tabs>
      <w:spacing w:after="240"/>
      <w:ind w:left="851" w:hanging="851"/>
      <w:outlineLvl w:val="0"/>
    </w:pPr>
    <w:rPr>
      <w:b/>
      <w:bCs/>
      <w:color w:val="005984"/>
      <w:sz w:val="36"/>
      <w:szCs w:val="36"/>
    </w:rPr>
  </w:style>
  <w:style w:type="paragraph" w:styleId="Heading2">
    <w:name w:val="heading 2"/>
    <w:basedOn w:val="Normal"/>
    <w:next w:val="BodyText"/>
    <w:link w:val="Heading2Char"/>
    <w:qFormat/>
    <w:rsid w:val="000D1AF4"/>
    <w:pPr>
      <w:keepNext/>
      <w:tabs>
        <w:tab w:val="left" w:pos="851"/>
      </w:tabs>
      <w:spacing w:before="320" w:after="60"/>
      <w:ind w:left="851" w:hanging="851"/>
      <w:outlineLvl w:val="1"/>
    </w:pPr>
    <w:rPr>
      <w:b/>
      <w:bCs/>
      <w:color w:val="387C2B"/>
      <w:sz w:val="32"/>
      <w:szCs w:val="32"/>
    </w:rPr>
  </w:style>
  <w:style w:type="paragraph" w:styleId="Heading3">
    <w:name w:val="heading 3"/>
    <w:basedOn w:val="Normal"/>
    <w:next w:val="BodyText"/>
    <w:link w:val="Heading3Char"/>
    <w:qFormat/>
    <w:rsid w:val="00871B73"/>
    <w:pPr>
      <w:keepNext/>
      <w:spacing w:before="320"/>
      <w:outlineLvl w:val="2"/>
    </w:pPr>
    <w:rPr>
      <w:b/>
      <w:bCs/>
      <w:color w:val="387C2B"/>
      <w:sz w:val="28"/>
      <w:szCs w:val="28"/>
    </w:rPr>
  </w:style>
  <w:style w:type="paragraph" w:styleId="Heading4">
    <w:name w:val="heading 4"/>
    <w:basedOn w:val="Normal"/>
    <w:next w:val="BodyText"/>
    <w:link w:val="Heading4Char"/>
    <w:qFormat/>
    <w:rsid w:val="00881A20"/>
    <w:pPr>
      <w:keepNext/>
      <w:spacing w:before="240" w:after="60"/>
      <w:outlineLvl w:val="3"/>
    </w:pPr>
    <w:rPr>
      <w:b/>
      <w:bCs/>
      <w:sz w:val="24"/>
      <w:szCs w:val="24"/>
    </w:rPr>
  </w:style>
  <w:style w:type="paragraph" w:styleId="Heading5">
    <w:name w:val="heading 5"/>
    <w:basedOn w:val="Normal"/>
    <w:next w:val="BodyText"/>
    <w:link w:val="Heading5Char"/>
    <w:uiPriority w:val="99"/>
    <w:semiHidden/>
    <w:qFormat/>
    <w:rsid w:val="00AC7BAA"/>
    <w:pPr>
      <w:keepNext/>
      <w:numPr>
        <w:ilvl w:val="4"/>
        <w:numId w:val="11"/>
      </w:numPr>
      <w:spacing w:before="240" w:after="60"/>
      <w:outlineLvl w:val="4"/>
    </w:pPr>
    <w:rPr>
      <w:rFonts w:ascii="Arial" w:hAnsi="Arial" w:cs="Arial"/>
      <w:i/>
      <w:iCs/>
    </w:rPr>
  </w:style>
  <w:style w:type="paragraph" w:styleId="Heading6">
    <w:name w:val="heading 6"/>
    <w:basedOn w:val="Normal"/>
    <w:next w:val="Normal"/>
    <w:link w:val="Heading6Char"/>
    <w:uiPriority w:val="99"/>
    <w:semiHidden/>
    <w:qFormat/>
    <w:rsid w:val="00AC7BAA"/>
    <w:pPr>
      <w:numPr>
        <w:ilvl w:val="5"/>
        <w:numId w:val="11"/>
      </w:numPr>
      <w:spacing w:before="240" w:after="60"/>
      <w:outlineLvl w:val="5"/>
    </w:pPr>
    <w:rPr>
      <w:b/>
      <w:bCs/>
    </w:rPr>
  </w:style>
  <w:style w:type="paragraph" w:styleId="Heading7">
    <w:name w:val="heading 7"/>
    <w:basedOn w:val="Normal"/>
    <w:next w:val="Normal"/>
    <w:link w:val="Heading7Char"/>
    <w:uiPriority w:val="99"/>
    <w:semiHidden/>
    <w:qFormat/>
    <w:rsid w:val="00AC7BAA"/>
    <w:pPr>
      <w:numPr>
        <w:ilvl w:val="6"/>
        <w:numId w:val="11"/>
      </w:numPr>
      <w:spacing w:before="240" w:after="60"/>
      <w:outlineLvl w:val="6"/>
    </w:pPr>
    <w:rPr>
      <w:sz w:val="24"/>
      <w:szCs w:val="24"/>
    </w:rPr>
  </w:style>
  <w:style w:type="paragraph" w:styleId="Heading8">
    <w:name w:val="heading 8"/>
    <w:basedOn w:val="Normal"/>
    <w:next w:val="Normal"/>
    <w:link w:val="Heading8Char"/>
    <w:uiPriority w:val="99"/>
    <w:semiHidden/>
    <w:qFormat/>
    <w:rsid w:val="00AC7BAA"/>
    <w:pPr>
      <w:numPr>
        <w:ilvl w:val="7"/>
        <w:numId w:val="11"/>
      </w:numPr>
      <w:spacing w:before="240" w:after="60"/>
      <w:outlineLvl w:val="7"/>
    </w:pPr>
    <w:rPr>
      <w:i/>
      <w:iCs/>
      <w:sz w:val="24"/>
      <w:szCs w:val="24"/>
    </w:rPr>
  </w:style>
  <w:style w:type="paragraph" w:styleId="Heading9">
    <w:name w:val="heading 9"/>
    <w:basedOn w:val="Normal"/>
    <w:next w:val="Normal"/>
    <w:link w:val="Heading9Char"/>
    <w:uiPriority w:val="99"/>
    <w:semiHidden/>
    <w:qFormat/>
    <w:rsid w:val="00AC7BAA"/>
    <w:pPr>
      <w:numPr>
        <w:ilvl w:val="8"/>
        <w:numId w:val="1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570B"/>
    <w:rPr>
      <w:rFonts w:ascii="Calibri" w:hAnsi="Calibri" w:cs="Calibri"/>
      <w:b/>
      <w:bCs/>
      <w:color w:val="005984"/>
      <w:sz w:val="36"/>
      <w:szCs w:val="36"/>
      <w:lang w:eastAsia="en-US"/>
    </w:rPr>
  </w:style>
  <w:style w:type="character" w:customStyle="1" w:styleId="Heading2Char">
    <w:name w:val="Heading 2 Char"/>
    <w:link w:val="Heading2"/>
    <w:rsid w:val="000D1AF4"/>
    <w:rPr>
      <w:rFonts w:ascii="Calibri" w:hAnsi="Calibri" w:cs="Calibri"/>
      <w:b/>
      <w:bCs/>
      <w:color w:val="387C2B"/>
      <w:sz w:val="32"/>
      <w:szCs w:val="32"/>
      <w:lang w:eastAsia="en-US"/>
    </w:rPr>
  </w:style>
  <w:style w:type="character" w:customStyle="1" w:styleId="Heading3Char">
    <w:name w:val="Heading 3 Char"/>
    <w:link w:val="Heading3"/>
    <w:rsid w:val="00871B73"/>
    <w:rPr>
      <w:rFonts w:ascii="Calibri" w:hAnsi="Calibri" w:cs="Calibri"/>
      <w:b/>
      <w:bCs/>
      <w:color w:val="387C2B"/>
      <w:sz w:val="28"/>
      <w:szCs w:val="28"/>
      <w:lang w:eastAsia="en-US"/>
    </w:rPr>
  </w:style>
  <w:style w:type="character" w:customStyle="1" w:styleId="Heading4Char">
    <w:name w:val="Heading 4 Char"/>
    <w:link w:val="Heading4"/>
    <w:rsid w:val="00A63B9C"/>
    <w:rPr>
      <w:rFonts w:ascii="Calibri" w:hAnsi="Calibri" w:cs="Calibri"/>
      <w:b/>
      <w:bCs/>
      <w:sz w:val="24"/>
      <w:szCs w:val="24"/>
      <w:lang w:eastAsia="en-US"/>
    </w:rPr>
  </w:style>
  <w:style w:type="character" w:customStyle="1" w:styleId="Heading5Char">
    <w:name w:val="Heading 5 Char"/>
    <w:link w:val="Heading5"/>
    <w:uiPriority w:val="99"/>
    <w:semiHidden/>
    <w:rsid w:val="00A63B9C"/>
    <w:rPr>
      <w:rFonts w:ascii="Arial" w:hAnsi="Arial" w:cs="Arial"/>
      <w:i/>
      <w:iCs/>
      <w:sz w:val="22"/>
      <w:szCs w:val="22"/>
      <w:lang w:eastAsia="en-US"/>
    </w:rPr>
  </w:style>
  <w:style w:type="character" w:customStyle="1" w:styleId="Heading6Char">
    <w:name w:val="Heading 6 Char"/>
    <w:link w:val="Heading6"/>
    <w:uiPriority w:val="99"/>
    <w:semiHidden/>
    <w:rsid w:val="00A63B9C"/>
    <w:rPr>
      <w:rFonts w:ascii="Calibri" w:hAnsi="Calibri" w:cs="Calibri"/>
      <w:b/>
      <w:bCs/>
      <w:sz w:val="22"/>
      <w:szCs w:val="22"/>
      <w:lang w:eastAsia="en-US"/>
    </w:rPr>
  </w:style>
  <w:style w:type="character" w:customStyle="1" w:styleId="Heading7Char">
    <w:name w:val="Heading 7 Char"/>
    <w:link w:val="Heading7"/>
    <w:uiPriority w:val="99"/>
    <w:semiHidden/>
    <w:rsid w:val="00A63B9C"/>
    <w:rPr>
      <w:rFonts w:ascii="Calibri" w:hAnsi="Calibri" w:cs="Calibri"/>
      <w:sz w:val="24"/>
      <w:szCs w:val="24"/>
      <w:lang w:eastAsia="en-US"/>
    </w:rPr>
  </w:style>
  <w:style w:type="character" w:customStyle="1" w:styleId="Heading8Char">
    <w:name w:val="Heading 8 Char"/>
    <w:link w:val="Heading8"/>
    <w:uiPriority w:val="99"/>
    <w:semiHidden/>
    <w:rsid w:val="00A63B9C"/>
    <w:rPr>
      <w:rFonts w:ascii="Calibri" w:hAnsi="Calibri" w:cs="Calibri"/>
      <w:i/>
      <w:iCs/>
      <w:sz w:val="24"/>
      <w:szCs w:val="24"/>
      <w:lang w:eastAsia="en-US"/>
    </w:rPr>
  </w:style>
  <w:style w:type="character" w:customStyle="1" w:styleId="Heading9Char">
    <w:name w:val="Heading 9 Char"/>
    <w:link w:val="Heading9"/>
    <w:uiPriority w:val="99"/>
    <w:semiHidden/>
    <w:rsid w:val="00A63B9C"/>
    <w:rPr>
      <w:rFonts w:ascii="Arial" w:hAnsi="Arial" w:cs="Arial"/>
      <w:sz w:val="22"/>
      <w:szCs w:val="22"/>
      <w:lang w:eastAsia="en-US"/>
    </w:rPr>
  </w:style>
  <w:style w:type="paragraph" w:styleId="BalloonText">
    <w:name w:val="Balloon Text"/>
    <w:basedOn w:val="Normal"/>
    <w:link w:val="BalloonTextChar"/>
    <w:uiPriority w:val="99"/>
    <w:semiHidden/>
    <w:rsid w:val="00EF1DCE"/>
    <w:rPr>
      <w:rFonts w:ascii="Tahoma" w:hAnsi="Tahoma" w:cs="Tahoma"/>
      <w:sz w:val="16"/>
      <w:szCs w:val="16"/>
    </w:rPr>
  </w:style>
  <w:style w:type="character" w:customStyle="1" w:styleId="BalloonTextChar">
    <w:name w:val="Balloon Text Char"/>
    <w:link w:val="BalloonText"/>
    <w:uiPriority w:val="99"/>
    <w:semiHidden/>
    <w:rsid w:val="00B92A85"/>
    <w:rPr>
      <w:sz w:val="2"/>
      <w:szCs w:val="2"/>
      <w:lang w:eastAsia="en-US"/>
    </w:rPr>
  </w:style>
  <w:style w:type="paragraph" w:styleId="BodyText">
    <w:name w:val="Body Text"/>
    <w:basedOn w:val="Normal"/>
    <w:link w:val="BodyTextChar"/>
    <w:rsid w:val="00881B25"/>
    <w:pPr>
      <w:spacing w:before="120" w:after="120"/>
    </w:pPr>
  </w:style>
  <w:style w:type="character" w:customStyle="1" w:styleId="BodyTextChar">
    <w:name w:val="Body Text Char"/>
    <w:link w:val="BodyText"/>
    <w:rsid w:val="00881B25"/>
    <w:rPr>
      <w:rFonts w:ascii="Calibri" w:hAnsi="Calibri" w:cs="Calibri"/>
      <w:sz w:val="22"/>
      <w:szCs w:val="22"/>
      <w:lang w:eastAsia="en-US"/>
    </w:rPr>
  </w:style>
  <w:style w:type="table" w:styleId="TableGrid">
    <w:name w:val="Table Grid"/>
    <w:basedOn w:val="TableNormal"/>
    <w:uiPriority w:val="99"/>
    <w:semiHidden/>
    <w:rsid w:val="002A7A07"/>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BodyText"/>
    <w:link w:val="QuoteChar"/>
    <w:uiPriority w:val="99"/>
    <w:rsid w:val="00BE0D3C"/>
    <w:pPr>
      <w:ind w:left="567" w:right="567"/>
    </w:pPr>
    <w:rPr>
      <w:sz w:val="21"/>
      <w:szCs w:val="21"/>
    </w:rPr>
  </w:style>
  <w:style w:type="character" w:customStyle="1" w:styleId="QuoteChar">
    <w:name w:val="Quote Char"/>
    <w:link w:val="Quote"/>
    <w:uiPriority w:val="99"/>
    <w:rsid w:val="00B92A85"/>
    <w:rPr>
      <w:rFonts w:ascii="Calibri" w:hAnsi="Calibri" w:cs="Calibri"/>
      <w:i/>
      <w:iCs/>
      <w:color w:val="000000"/>
      <w:lang w:eastAsia="en-US"/>
    </w:rPr>
  </w:style>
  <w:style w:type="paragraph" w:customStyle="1" w:styleId="Box">
    <w:name w:val="Box"/>
    <w:basedOn w:val="Normal"/>
    <w:next w:val="BodyText"/>
    <w:rsid w:val="003458F0"/>
    <w:pPr>
      <w:pBdr>
        <w:top w:val="single" w:sz="6" w:space="15" w:color="CCDEE6"/>
        <w:left w:val="single" w:sz="6" w:space="15" w:color="CCDEE6"/>
        <w:bottom w:val="single" w:sz="6" w:space="15" w:color="CCDEE6"/>
        <w:right w:val="single" w:sz="6" w:space="15" w:color="CCDEE6"/>
      </w:pBdr>
      <w:shd w:val="clear" w:color="auto" w:fill="CCDEE6"/>
      <w:ind w:left="284" w:right="284"/>
    </w:pPr>
    <w:rPr>
      <w:sz w:val="20"/>
      <w:szCs w:val="20"/>
    </w:rPr>
  </w:style>
  <w:style w:type="paragraph" w:customStyle="1" w:styleId="Boxbullet">
    <w:name w:val="Box bullet"/>
    <w:basedOn w:val="Box"/>
    <w:rsid w:val="00F06A07"/>
    <w:pPr>
      <w:numPr>
        <w:numId w:val="1"/>
      </w:numPr>
      <w:spacing w:before="80"/>
    </w:pPr>
  </w:style>
  <w:style w:type="paragraph" w:customStyle="1" w:styleId="Boxheading">
    <w:name w:val="Box heading"/>
    <w:basedOn w:val="Box"/>
    <w:next w:val="Box"/>
    <w:rsid w:val="00BE0D3C"/>
    <w:pPr>
      <w:spacing w:after="200"/>
    </w:pPr>
    <w:rPr>
      <w:b/>
      <w:bCs/>
      <w:sz w:val="22"/>
      <w:szCs w:val="22"/>
    </w:rPr>
  </w:style>
  <w:style w:type="paragraph" w:customStyle="1" w:styleId="Bullet">
    <w:name w:val="Bullet"/>
    <w:basedOn w:val="Normal"/>
    <w:qFormat/>
    <w:rsid w:val="00D8361D"/>
    <w:pPr>
      <w:numPr>
        <w:numId w:val="2"/>
      </w:numPr>
      <w:spacing w:after="120"/>
    </w:pPr>
  </w:style>
  <w:style w:type="paragraph" w:customStyle="1" w:styleId="Heading">
    <w:name w:val="Heading"/>
    <w:basedOn w:val="Heading1"/>
    <w:next w:val="Normal"/>
    <w:uiPriority w:val="99"/>
    <w:semiHidden/>
    <w:rsid w:val="00B5432F"/>
    <w:pPr>
      <w:outlineLvl w:val="9"/>
    </w:pPr>
    <w:rPr>
      <w:sz w:val="40"/>
      <w:szCs w:val="40"/>
    </w:rPr>
  </w:style>
  <w:style w:type="paragraph" w:styleId="Footer">
    <w:name w:val="footer"/>
    <w:basedOn w:val="Normal"/>
    <w:link w:val="FooterChar"/>
    <w:uiPriority w:val="99"/>
    <w:semiHidden/>
    <w:rsid w:val="004D28BA"/>
    <w:pPr>
      <w:tabs>
        <w:tab w:val="center" w:pos="4153"/>
        <w:tab w:val="right" w:pos="8306"/>
      </w:tabs>
    </w:pPr>
  </w:style>
  <w:style w:type="character" w:customStyle="1" w:styleId="FooterChar">
    <w:name w:val="Footer Char"/>
    <w:link w:val="Footer"/>
    <w:uiPriority w:val="99"/>
    <w:semiHidden/>
    <w:rsid w:val="00B92A85"/>
    <w:rPr>
      <w:rFonts w:ascii="Calibri" w:hAnsi="Calibri" w:cs="Calibri"/>
      <w:lang w:eastAsia="en-US"/>
    </w:rPr>
  </w:style>
  <w:style w:type="paragraph" w:customStyle="1" w:styleId="Sub-list">
    <w:name w:val="Sub-list"/>
    <w:basedOn w:val="Normal"/>
    <w:uiPriority w:val="99"/>
    <w:rsid w:val="004A142C"/>
    <w:pPr>
      <w:numPr>
        <w:numId w:val="3"/>
      </w:numPr>
      <w:tabs>
        <w:tab w:val="clear" w:pos="397"/>
        <w:tab w:val="left" w:pos="794"/>
      </w:tabs>
      <w:spacing w:after="120"/>
      <w:ind w:left="794" w:hanging="397"/>
    </w:pPr>
  </w:style>
  <w:style w:type="paragraph" w:customStyle="1" w:styleId="Figureheading">
    <w:name w:val="Figure heading"/>
    <w:basedOn w:val="Normal"/>
    <w:next w:val="Normal"/>
    <w:rsid w:val="003A01B7"/>
    <w:pPr>
      <w:keepNext/>
      <w:spacing w:after="120"/>
      <w:ind w:left="1134" w:hanging="1134"/>
    </w:pPr>
    <w:rPr>
      <w:b/>
      <w:bCs/>
      <w:sz w:val="20"/>
      <w:szCs w:val="20"/>
    </w:rPr>
  </w:style>
  <w:style w:type="character" w:styleId="FootnoteReference">
    <w:name w:val="footnote reference"/>
    <w:uiPriority w:val="99"/>
    <w:rsid w:val="00844476"/>
    <w:rPr>
      <w:rFonts w:ascii="Arial" w:hAnsi="Arial" w:cs="Arial"/>
      <w:sz w:val="18"/>
      <w:szCs w:val="18"/>
      <w:vertAlign w:val="superscript"/>
    </w:rPr>
  </w:style>
  <w:style w:type="paragraph" w:styleId="Title">
    <w:name w:val="Title"/>
    <w:basedOn w:val="Normal"/>
    <w:next w:val="Subtitle"/>
    <w:link w:val="TitleChar"/>
    <w:uiPriority w:val="99"/>
    <w:rsid w:val="00EF1DCE"/>
    <w:pPr>
      <w:spacing w:after="240"/>
      <w:outlineLvl w:val="0"/>
    </w:pPr>
    <w:rPr>
      <w:b/>
      <w:bCs/>
      <w:color w:val="005984"/>
      <w:spacing w:val="10"/>
      <w:sz w:val="56"/>
      <w:szCs w:val="56"/>
    </w:rPr>
  </w:style>
  <w:style w:type="character" w:customStyle="1" w:styleId="TitleChar">
    <w:name w:val="Title Char"/>
    <w:link w:val="Title"/>
    <w:uiPriority w:val="99"/>
    <w:rsid w:val="00B92A85"/>
    <w:rPr>
      <w:rFonts w:ascii="Cambria" w:hAnsi="Cambria" w:cs="Cambria"/>
      <w:b/>
      <w:bCs/>
      <w:kern w:val="28"/>
      <w:sz w:val="32"/>
      <w:szCs w:val="32"/>
      <w:lang w:eastAsia="en-US"/>
    </w:rPr>
  </w:style>
  <w:style w:type="paragraph" w:customStyle="1" w:styleId="Imprint">
    <w:name w:val="Imprint"/>
    <w:basedOn w:val="Normal"/>
    <w:uiPriority w:val="99"/>
    <w:rsid w:val="00B5432F"/>
  </w:style>
  <w:style w:type="paragraph" w:customStyle="1" w:styleId="Note">
    <w:name w:val="Note"/>
    <w:basedOn w:val="Normal"/>
    <w:next w:val="Normal"/>
    <w:uiPriority w:val="99"/>
    <w:rsid w:val="00BE0D3C"/>
    <w:pPr>
      <w:tabs>
        <w:tab w:val="left" w:pos="680"/>
      </w:tabs>
      <w:spacing w:before="120"/>
      <w:ind w:left="680" w:hanging="680"/>
    </w:pPr>
    <w:rPr>
      <w:sz w:val="18"/>
      <w:szCs w:val="18"/>
    </w:rPr>
  </w:style>
  <w:style w:type="character" w:styleId="PageNumber">
    <w:name w:val="page number"/>
    <w:uiPriority w:val="99"/>
    <w:semiHidden/>
    <w:rsid w:val="009E4F97"/>
    <w:rPr>
      <w:rFonts w:ascii="Calibri" w:hAnsi="Calibri" w:cs="Calibri"/>
      <w:b/>
      <w:bCs/>
      <w:sz w:val="20"/>
      <w:szCs w:val="20"/>
      <w:lang w:val="en-NZ"/>
    </w:rPr>
  </w:style>
  <w:style w:type="paragraph" w:customStyle="1" w:styleId="References">
    <w:name w:val="References"/>
    <w:basedOn w:val="Normal"/>
    <w:uiPriority w:val="99"/>
    <w:rsid w:val="00BE0D3C"/>
    <w:pPr>
      <w:spacing w:after="120"/>
    </w:pPr>
    <w:rPr>
      <w:sz w:val="21"/>
      <w:szCs w:val="21"/>
    </w:rPr>
  </w:style>
  <w:style w:type="paragraph" w:customStyle="1" w:styleId="Source">
    <w:name w:val="Source"/>
    <w:basedOn w:val="Normal"/>
    <w:next w:val="Normal"/>
    <w:uiPriority w:val="99"/>
    <w:semiHidden/>
    <w:rsid w:val="00BE0D3C"/>
    <w:pPr>
      <w:tabs>
        <w:tab w:val="left" w:pos="680"/>
      </w:tabs>
      <w:spacing w:before="120"/>
    </w:pPr>
    <w:rPr>
      <w:sz w:val="18"/>
      <w:szCs w:val="18"/>
    </w:rPr>
  </w:style>
  <w:style w:type="paragraph" w:styleId="FootnoteText">
    <w:name w:val="footnote text"/>
    <w:basedOn w:val="Normal"/>
    <w:link w:val="FootnoteTextChar"/>
    <w:uiPriority w:val="99"/>
    <w:rsid w:val="00844476"/>
    <w:pPr>
      <w:spacing w:after="60"/>
      <w:ind w:left="397" w:hanging="397"/>
    </w:pPr>
    <w:rPr>
      <w:sz w:val="19"/>
      <w:szCs w:val="20"/>
    </w:rPr>
  </w:style>
  <w:style w:type="character" w:customStyle="1" w:styleId="FootnoteTextChar">
    <w:name w:val="Footnote Text Char"/>
    <w:link w:val="FootnoteText"/>
    <w:uiPriority w:val="99"/>
    <w:rsid w:val="00844476"/>
    <w:rPr>
      <w:rFonts w:ascii="Calibri" w:hAnsi="Calibri" w:cs="Calibri"/>
      <w:sz w:val="19"/>
      <w:lang w:eastAsia="en-US"/>
    </w:rPr>
  </w:style>
  <w:style w:type="paragraph" w:styleId="Subtitle">
    <w:name w:val="Subtitle"/>
    <w:basedOn w:val="Normal"/>
    <w:link w:val="SubtitleChar"/>
    <w:qFormat/>
    <w:rsid w:val="000D0A5C"/>
    <w:pPr>
      <w:outlineLvl w:val="1"/>
    </w:pPr>
    <w:rPr>
      <w:b/>
      <w:bCs/>
      <w:caps/>
      <w:color w:val="005984"/>
      <w:spacing w:val="10"/>
      <w:sz w:val="28"/>
      <w:szCs w:val="28"/>
    </w:rPr>
  </w:style>
  <w:style w:type="character" w:customStyle="1" w:styleId="SubtitleChar">
    <w:name w:val="Subtitle Char"/>
    <w:link w:val="Subtitle"/>
    <w:rsid w:val="00B92A85"/>
    <w:rPr>
      <w:rFonts w:ascii="Cambria" w:hAnsi="Cambria" w:cs="Cambria"/>
      <w:sz w:val="24"/>
      <w:szCs w:val="24"/>
      <w:lang w:eastAsia="en-US"/>
    </w:rPr>
  </w:style>
  <w:style w:type="paragraph" w:customStyle="1" w:styleId="Tableheading">
    <w:name w:val="Table heading"/>
    <w:basedOn w:val="Normal"/>
    <w:next w:val="Normal"/>
    <w:rsid w:val="003A01B7"/>
    <w:pPr>
      <w:keepNext/>
      <w:spacing w:after="120"/>
      <w:ind w:left="1134" w:hanging="1134"/>
    </w:pPr>
    <w:rPr>
      <w:b/>
      <w:bCs/>
      <w:sz w:val="20"/>
      <w:szCs w:val="20"/>
    </w:rPr>
  </w:style>
  <w:style w:type="paragraph" w:customStyle="1" w:styleId="TableText">
    <w:name w:val="TableText"/>
    <w:basedOn w:val="Normal"/>
    <w:rsid w:val="003A01B7"/>
    <w:pPr>
      <w:spacing w:before="60" w:after="60"/>
    </w:pPr>
    <w:rPr>
      <w:sz w:val="18"/>
      <w:szCs w:val="18"/>
    </w:rPr>
  </w:style>
  <w:style w:type="paragraph" w:customStyle="1" w:styleId="TableTextbold">
    <w:name w:val="TableText bold"/>
    <w:basedOn w:val="TableText"/>
    <w:rsid w:val="00E97D65"/>
    <w:rPr>
      <w:b/>
      <w:bCs/>
    </w:rPr>
  </w:style>
  <w:style w:type="paragraph" w:styleId="TOC1">
    <w:name w:val="toc 1"/>
    <w:basedOn w:val="Normal"/>
    <w:next w:val="Normal"/>
    <w:uiPriority w:val="39"/>
    <w:rsid w:val="00237272"/>
    <w:pPr>
      <w:tabs>
        <w:tab w:val="right" w:pos="8505"/>
      </w:tabs>
      <w:spacing w:before="300"/>
      <w:ind w:left="567" w:right="567" w:hanging="567"/>
    </w:pPr>
    <w:rPr>
      <w:sz w:val="28"/>
      <w:szCs w:val="28"/>
    </w:rPr>
  </w:style>
  <w:style w:type="paragraph" w:styleId="TOC2">
    <w:name w:val="toc 2"/>
    <w:basedOn w:val="Normal"/>
    <w:next w:val="Normal"/>
    <w:uiPriority w:val="39"/>
    <w:rsid w:val="00237272"/>
    <w:pPr>
      <w:tabs>
        <w:tab w:val="right" w:pos="8505"/>
      </w:tabs>
      <w:spacing w:before="60"/>
      <w:ind w:left="1134" w:right="567" w:hanging="567"/>
    </w:pPr>
  </w:style>
  <w:style w:type="paragraph" w:customStyle="1" w:styleId="Captions">
    <w:name w:val="Captions"/>
    <w:basedOn w:val="Note"/>
    <w:next w:val="Normal"/>
    <w:uiPriority w:val="99"/>
    <w:semiHidden/>
    <w:rsid w:val="00B440A7"/>
    <w:pPr>
      <w:tabs>
        <w:tab w:val="clear" w:pos="680"/>
        <w:tab w:val="left" w:pos="851"/>
      </w:tabs>
      <w:ind w:left="0" w:firstLine="0"/>
    </w:pPr>
  </w:style>
  <w:style w:type="paragraph" w:customStyle="1" w:styleId="Glossary">
    <w:name w:val="Glossary"/>
    <w:basedOn w:val="Normal"/>
    <w:uiPriority w:val="99"/>
    <w:semiHidden/>
    <w:rsid w:val="005600B7"/>
    <w:pPr>
      <w:tabs>
        <w:tab w:val="left" w:pos="2835"/>
      </w:tabs>
      <w:ind w:left="2835" w:hanging="2835"/>
    </w:pPr>
  </w:style>
  <w:style w:type="paragraph" w:customStyle="1" w:styleId="Footerodd">
    <w:name w:val="Footer odd"/>
    <w:basedOn w:val="Normal"/>
    <w:uiPriority w:val="99"/>
    <w:rsid w:val="00C36B7F"/>
    <w:pPr>
      <w:pBdr>
        <w:top w:val="single" w:sz="4" w:space="4" w:color="auto"/>
      </w:pBdr>
      <w:tabs>
        <w:tab w:val="right" w:pos="7655"/>
        <w:tab w:val="right" w:pos="8505"/>
      </w:tabs>
    </w:pPr>
    <w:rPr>
      <w:sz w:val="17"/>
      <w:szCs w:val="17"/>
    </w:rPr>
  </w:style>
  <w:style w:type="paragraph" w:customStyle="1" w:styleId="Footereven">
    <w:name w:val="Footer even"/>
    <w:basedOn w:val="Normal"/>
    <w:uiPriority w:val="99"/>
    <w:rsid w:val="00C36B7F"/>
    <w:pPr>
      <w:pBdr>
        <w:top w:val="single" w:sz="4" w:space="4" w:color="auto"/>
      </w:pBdr>
      <w:tabs>
        <w:tab w:val="left" w:pos="851"/>
      </w:tabs>
    </w:pPr>
    <w:rPr>
      <w:sz w:val="17"/>
      <w:szCs w:val="17"/>
    </w:rPr>
  </w:style>
  <w:style w:type="paragraph" w:customStyle="1" w:styleId="Numberedparagraph">
    <w:name w:val="Numbered paragraph"/>
    <w:basedOn w:val="Normal"/>
    <w:uiPriority w:val="99"/>
    <w:rsid w:val="00C03393"/>
    <w:pPr>
      <w:numPr>
        <w:numId w:val="8"/>
      </w:numPr>
      <w:spacing w:after="120"/>
    </w:pPr>
  </w:style>
  <w:style w:type="paragraph" w:customStyle="1" w:styleId="Sub-lista">
    <w:name w:val="Sub-list a"/>
    <w:aliases w:val="b"/>
    <w:basedOn w:val="Normal"/>
    <w:uiPriority w:val="99"/>
    <w:rsid w:val="00DD355E"/>
    <w:pPr>
      <w:numPr>
        <w:numId w:val="4"/>
      </w:numPr>
      <w:spacing w:after="120"/>
    </w:pPr>
  </w:style>
  <w:style w:type="paragraph" w:styleId="EndnoteText">
    <w:name w:val="endnote text"/>
    <w:basedOn w:val="Normal"/>
    <w:link w:val="EndnoteTextChar"/>
    <w:uiPriority w:val="99"/>
    <w:semiHidden/>
    <w:rsid w:val="00E51EBA"/>
    <w:pPr>
      <w:spacing w:after="60"/>
    </w:pPr>
    <w:rPr>
      <w:sz w:val="20"/>
      <w:szCs w:val="20"/>
    </w:rPr>
  </w:style>
  <w:style w:type="character" w:customStyle="1" w:styleId="EndnoteTextChar">
    <w:name w:val="Endnote Text Char"/>
    <w:link w:val="EndnoteText"/>
    <w:uiPriority w:val="99"/>
    <w:semiHidden/>
    <w:rsid w:val="00B92A85"/>
    <w:rPr>
      <w:rFonts w:ascii="Calibri" w:hAnsi="Calibri" w:cs="Calibri"/>
      <w:sz w:val="20"/>
      <w:szCs w:val="20"/>
      <w:lang w:eastAsia="en-US"/>
    </w:rPr>
  </w:style>
  <w:style w:type="paragraph" w:styleId="TOC3">
    <w:name w:val="toc 3"/>
    <w:basedOn w:val="Normal"/>
    <w:next w:val="Normal"/>
    <w:autoRedefine/>
    <w:uiPriority w:val="99"/>
    <w:semiHidden/>
    <w:rsid w:val="005D3DC5"/>
    <w:pPr>
      <w:ind w:left="440"/>
    </w:pPr>
  </w:style>
  <w:style w:type="paragraph" w:styleId="TableofFigures">
    <w:name w:val="table of figures"/>
    <w:basedOn w:val="Normal"/>
    <w:next w:val="Normal"/>
    <w:uiPriority w:val="99"/>
    <w:rsid w:val="00E30E95"/>
    <w:pPr>
      <w:spacing w:before="80"/>
      <w:ind w:left="1134" w:right="567" w:hanging="1134"/>
    </w:pPr>
    <w:rPr>
      <w:rFonts w:cs="Arial"/>
      <w:sz w:val="20"/>
      <w:szCs w:val="20"/>
    </w:rPr>
  </w:style>
  <w:style w:type="paragraph" w:customStyle="1" w:styleId="Sub-listi">
    <w:name w:val="Sub-list i"/>
    <w:aliases w:val="ii"/>
    <w:basedOn w:val="BodyText"/>
    <w:uiPriority w:val="99"/>
    <w:rsid w:val="00DD355E"/>
    <w:pPr>
      <w:numPr>
        <w:numId w:val="5"/>
      </w:numPr>
      <w:spacing w:before="0"/>
    </w:pPr>
  </w:style>
  <w:style w:type="paragraph" w:customStyle="1" w:styleId="TableBullet">
    <w:name w:val="TableBullet"/>
    <w:basedOn w:val="Normal"/>
    <w:rsid w:val="003A01B7"/>
    <w:pPr>
      <w:numPr>
        <w:numId w:val="7"/>
      </w:numPr>
      <w:spacing w:before="40" w:after="40"/>
    </w:pPr>
    <w:rPr>
      <w:sz w:val="18"/>
      <w:szCs w:val="18"/>
    </w:rPr>
  </w:style>
  <w:style w:type="paragraph" w:customStyle="1" w:styleId="TableDash">
    <w:name w:val="TableDash"/>
    <w:basedOn w:val="TableBullet"/>
    <w:rsid w:val="0026762A"/>
    <w:pPr>
      <w:numPr>
        <w:numId w:val="6"/>
      </w:numPr>
      <w:spacing w:before="0"/>
      <w:ind w:left="568" w:hanging="284"/>
    </w:pPr>
  </w:style>
  <w:style w:type="character" w:styleId="EndnoteReference">
    <w:name w:val="endnote reference"/>
    <w:uiPriority w:val="99"/>
    <w:semiHidden/>
    <w:rsid w:val="00C8740A"/>
    <w:rPr>
      <w:rFonts w:ascii="Times New Roman" w:hAnsi="Times New Roman" w:cs="Times New Roman"/>
      <w:sz w:val="18"/>
      <w:szCs w:val="18"/>
      <w:vertAlign w:val="superscript"/>
    </w:rPr>
  </w:style>
  <w:style w:type="paragraph" w:styleId="BlockText">
    <w:name w:val="Block Text"/>
    <w:basedOn w:val="Normal"/>
    <w:uiPriority w:val="99"/>
    <w:semiHidden/>
    <w:rsid w:val="00AC7BAA"/>
    <w:pPr>
      <w:spacing w:after="120"/>
      <w:ind w:left="1440" w:right="1440"/>
    </w:pPr>
  </w:style>
  <w:style w:type="paragraph" w:styleId="BodyText2">
    <w:name w:val="Body Text 2"/>
    <w:basedOn w:val="Normal"/>
    <w:link w:val="BodyText2Char1"/>
    <w:uiPriority w:val="99"/>
    <w:semiHidden/>
    <w:rsid w:val="00B92A85"/>
    <w:pPr>
      <w:spacing w:after="120"/>
      <w:ind w:left="283"/>
    </w:pPr>
  </w:style>
  <w:style w:type="character" w:customStyle="1" w:styleId="BodyText2Char">
    <w:name w:val="Body Text 2 Char"/>
    <w:uiPriority w:val="99"/>
    <w:semiHidden/>
    <w:rsid w:val="00B92A85"/>
    <w:rPr>
      <w:rFonts w:ascii="Calibri" w:hAnsi="Calibri" w:cs="Calibri"/>
      <w:lang w:eastAsia="en-US"/>
    </w:rPr>
  </w:style>
  <w:style w:type="paragraph" w:styleId="BodyText3">
    <w:name w:val="Body Text 3"/>
    <w:basedOn w:val="Normal"/>
    <w:link w:val="BodyText3Char"/>
    <w:uiPriority w:val="99"/>
    <w:semiHidden/>
    <w:rsid w:val="00AC7BAA"/>
    <w:pPr>
      <w:spacing w:after="120"/>
    </w:pPr>
    <w:rPr>
      <w:sz w:val="16"/>
      <w:szCs w:val="16"/>
    </w:rPr>
  </w:style>
  <w:style w:type="character" w:customStyle="1" w:styleId="BodyText3Char">
    <w:name w:val="Body Text 3 Char"/>
    <w:link w:val="BodyText3"/>
    <w:uiPriority w:val="99"/>
    <w:semiHidden/>
    <w:rsid w:val="00B92A85"/>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rsid w:val="00AC7BAA"/>
    <w:pPr>
      <w:ind w:firstLine="210"/>
    </w:pPr>
  </w:style>
  <w:style w:type="character" w:customStyle="1" w:styleId="BodyTextFirstIndentChar">
    <w:name w:val="Body Text First Indent Char"/>
    <w:link w:val="BodyTextFirstIndent"/>
    <w:uiPriority w:val="99"/>
    <w:semiHidden/>
    <w:rsid w:val="00B92A85"/>
    <w:rPr>
      <w:rFonts w:ascii="Calibri" w:hAnsi="Calibri" w:cs="Calibri"/>
      <w:sz w:val="22"/>
      <w:szCs w:val="22"/>
      <w:lang w:eastAsia="en-US"/>
    </w:rPr>
  </w:style>
  <w:style w:type="character" w:customStyle="1" w:styleId="BodyText2Char1">
    <w:name w:val="Body Text 2 Char1"/>
    <w:link w:val="BodyText2"/>
    <w:uiPriority w:val="99"/>
    <w:semiHidden/>
    <w:rsid w:val="00B92A85"/>
    <w:rPr>
      <w:rFonts w:ascii="Calibri" w:hAnsi="Calibri" w:cs="Calibri"/>
      <w:lang w:eastAsia="en-US"/>
    </w:rPr>
  </w:style>
  <w:style w:type="paragraph" w:styleId="BodyTextIndent">
    <w:name w:val="Body Text Indent"/>
    <w:basedOn w:val="Normal"/>
    <w:link w:val="BodyTextIndentChar"/>
    <w:uiPriority w:val="99"/>
    <w:semiHidden/>
    <w:unhideWhenUsed/>
    <w:rsid w:val="00F0249F"/>
    <w:pPr>
      <w:spacing w:after="120"/>
      <w:ind w:left="283"/>
    </w:pPr>
  </w:style>
  <w:style w:type="character" w:customStyle="1" w:styleId="BodyTextIndentChar">
    <w:name w:val="Body Text Indent Char"/>
    <w:link w:val="BodyTextIndent"/>
    <w:uiPriority w:val="99"/>
    <w:semiHidden/>
    <w:rsid w:val="00F0249F"/>
    <w:rPr>
      <w:rFonts w:ascii="Calibri" w:hAnsi="Calibri" w:cs="Calibri"/>
      <w:lang w:eastAsia="en-US"/>
    </w:rPr>
  </w:style>
  <w:style w:type="paragraph" w:styleId="BodyTextFirstIndent2">
    <w:name w:val="Body Text First Indent 2"/>
    <w:basedOn w:val="BodyText2"/>
    <w:link w:val="BodyTextFirstIndent2Char"/>
    <w:uiPriority w:val="99"/>
    <w:semiHidden/>
    <w:rsid w:val="00AC7BAA"/>
    <w:pPr>
      <w:ind w:firstLine="210"/>
    </w:pPr>
  </w:style>
  <w:style w:type="character" w:customStyle="1" w:styleId="BodyTextFirstIndent2Char">
    <w:name w:val="Body Text First Indent 2 Char"/>
    <w:link w:val="BodyTextFirstIndent2"/>
    <w:uiPriority w:val="99"/>
    <w:semiHidden/>
    <w:rsid w:val="00B92A85"/>
    <w:rPr>
      <w:rFonts w:ascii="Calibri" w:hAnsi="Calibri" w:cs="Calibri"/>
      <w:lang w:eastAsia="en-US"/>
    </w:rPr>
  </w:style>
  <w:style w:type="paragraph" w:styleId="BodyTextIndent2">
    <w:name w:val="Body Text Indent 2"/>
    <w:basedOn w:val="Normal"/>
    <w:link w:val="BodyTextIndent2Char"/>
    <w:uiPriority w:val="99"/>
    <w:semiHidden/>
    <w:rsid w:val="00AC7BAA"/>
    <w:pPr>
      <w:spacing w:after="120" w:line="480" w:lineRule="auto"/>
      <w:ind w:left="283"/>
    </w:pPr>
  </w:style>
  <w:style w:type="character" w:customStyle="1" w:styleId="BodyTextIndent2Char">
    <w:name w:val="Body Text Indent 2 Char"/>
    <w:link w:val="BodyTextIndent2"/>
    <w:uiPriority w:val="99"/>
    <w:semiHidden/>
    <w:rsid w:val="00B92A85"/>
    <w:rPr>
      <w:rFonts w:ascii="Calibri" w:hAnsi="Calibri" w:cs="Calibri"/>
      <w:lang w:eastAsia="en-US"/>
    </w:rPr>
  </w:style>
  <w:style w:type="paragraph" w:styleId="BodyTextIndent3">
    <w:name w:val="Body Text Indent 3"/>
    <w:basedOn w:val="Normal"/>
    <w:link w:val="BodyTextIndent3Char"/>
    <w:uiPriority w:val="99"/>
    <w:semiHidden/>
    <w:rsid w:val="00AC7BAA"/>
    <w:pPr>
      <w:spacing w:after="120"/>
      <w:ind w:left="283"/>
    </w:pPr>
    <w:rPr>
      <w:sz w:val="16"/>
      <w:szCs w:val="16"/>
    </w:rPr>
  </w:style>
  <w:style w:type="character" w:customStyle="1" w:styleId="BodyTextIndent3Char">
    <w:name w:val="Body Text Indent 3 Char"/>
    <w:link w:val="BodyTextIndent3"/>
    <w:uiPriority w:val="99"/>
    <w:semiHidden/>
    <w:rsid w:val="00B92A85"/>
    <w:rPr>
      <w:rFonts w:ascii="Calibri" w:hAnsi="Calibri" w:cs="Calibri"/>
      <w:sz w:val="16"/>
      <w:szCs w:val="16"/>
      <w:lang w:eastAsia="en-US"/>
    </w:rPr>
  </w:style>
  <w:style w:type="paragraph" w:styleId="Date">
    <w:name w:val="Date"/>
    <w:basedOn w:val="Normal"/>
    <w:next w:val="Normal"/>
    <w:link w:val="DateChar"/>
    <w:uiPriority w:val="99"/>
    <w:semiHidden/>
    <w:rsid w:val="00AC7BAA"/>
  </w:style>
  <w:style w:type="character" w:customStyle="1" w:styleId="DateChar">
    <w:name w:val="Date Char"/>
    <w:link w:val="Date"/>
    <w:uiPriority w:val="99"/>
    <w:semiHidden/>
    <w:rsid w:val="00B92A85"/>
    <w:rPr>
      <w:rFonts w:ascii="Calibri" w:hAnsi="Calibri" w:cs="Calibri"/>
      <w:lang w:eastAsia="en-US"/>
    </w:rPr>
  </w:style>
  <w:style w:type="paragraph" w:styleId="E-mailSignature">
    <w:name w:val="E-mail Signature"/>
    <w:basedOn w:val="Normal"/>
    <w:link w:val="E-mailSignatureChar"/>
    <w:uiPriority w:val="99"/>
    <w:semiHidden/>
    <w:rsid w:val="00AC7BAA"/>
  </w:style>
  <w:style w:type="character" w:customStyle="1" w:styleId="E-mailSignatureChar">
    <w:name w:val="E-mail Signature Char"/>
    <w:link w:val="E-mailSignature"/>
    <w:uiPriority w:val="99"/>
    <w:semiHidden/>
    <w:rsid w:val="00B92A85"/>
    <w:rPr>
      <w:rFonts w:ascii="Calibri" w:hAnsi="Calibri" w:cs="Calibri"/>
      <w:lang w:eastAsia="en-US"/>
    </w:rPr>
  </w:style>
  <w:style w:type="character" w:styleId="Emphasis">
    <w:name w:val="Emphasis"/>
    <w:uiPriority w:val="99"/>
    <w:semiHidden/>
    <w:qFormat/>
    <w:rsid w:val="00AC7BAA"/>
    <w:rPr>
      <w:i/>
      <w:iCs/>
    </w:rPr>
  </w:style>
  <w:style w:type="paragraph" w:styleId="EnvelopeAddress">
    <w:name w:val="envelope address"/>
    <w:basedOn w:val="Normal"/>
    <w:uiPriority w:val="99"/>
    <w:semiHidden/>
    <w:rsid w:val="00AC7BAA"/>
    <w:pPr>
      <w:framePr w:w="7920" w:h="1980" w:hRule="exact" w:hSpace="180" w:wrap="auto" w:hAnchor="page" w:xAlign="center" w:yAlign="bottom"/>
      <w:ind w:left="2880"/>
    </w:pPr>
    <w:rPr>
      <w:rFonts w:ascii="Arial" w:hAnsi="Arial" w:cs="Arial"/>
      <w:sz w:val="24"/>
      <w:szCs w:val="24"/>
    </w:rPr>
  </w:style>
  <w:style w:type="character" w:styleId="FollowedHyperlink">
    <w:name w:val="FollowedHyperlink"/>
    <w:uiPriority w:val="99"/>
    <w:semiHidden/>
    <w:rsid w:val="00AC7BAA"/>
    <w:rPr>
      <w:color w:val="800080"/>
      <w:u w:val="single"/>
    </w:rPr>
  </w:style>
  <w:style w:type="character" w:styleId="HTMLAcronym">
    <w:name w:val="HTML Acronym"/>
    <w:basedOn w:val="DefaultParagraphFont"/>
    <w:uiPriority w:val="99"/>
    <w:semiHidden/>
    <w:rsid w:val="00AC7BAA"/>
  </w:style>
  <w:style w:type="paragraph" w:styleId="HTMLAddress">
    <w:name w:val="HTML Address"/>
    <w:basedOn w:val="Normal"/>
    <w:link w:val="HTMLAddressChar"/>
    <w:uiPriority w:val="99"/>
    <w:semiHidden/>
    <w:rsid w:val="00AC7BAA"/>
    <w:rPr>
      <w:i/>
      <w:iCs/>
    </w:rPr>
  </w:style>
  <w:style w:type="character" w:customStyle="1" w:styleId="HTMLAddressChar">
    <w:name w:val="HTML Address Char"/>
    <w:link w:val="HTMLAddress"/>
    <w:uiPriority w:val="99"/>
    <w:semiHidden/>
    <w:rsid w:val="00B92A85"/>
    <w:rPr>
      <w:rFonts w:ascii="Calibri" w:hAnsi="Calibri" w:cs="Calibri"/>
      <w:i/>
      <w:iCs/>
      <w:lang w:eastAsia="en-US"/>
    </w:rPr>
  </w:style>
  <w:style w:type="character" w:styleId="HTMLCite">
    <w:name w:val="HTML Cite"/>
    <w:uiPriority w:val="99"/>
    <w:semiHidden/>
    <w:rsid w:val="00AC7BAA"/>
    <w:rPr>
      <w:i/>
      <w:iCs/>
    </w:rPr>
  </w:style>
  <w:style w:type="character" w:styleId="HTMLCode">
    <w:name w:val="HTML Code"/>
    <w:uiPriority w:val="99"/>
    <w:semiHidden/>
    <w:rsid w:val="00AC7BAA"/>
    <w:rPr>
      <w:rFonts w:ascii="Courier New" w:hAnsi="Courier New" w:cs="Courier New"/>
      <w:sz w:val="20"/>
      <w:szCs w:val="20"/>
    </w:rPr>
  </w:style>
  <w:style w:type="character" w:styleId="HTMLDefinition">
    <w:name w:val="HTML Definition"/>
    <w:uiPriority w:val="99"/>
    <w:semiHidden/>
    <w:rsid w:val="00AC7BAA"/>
    <w:rPr>
      <w:i/>
      <w:iCs/>
    </w:rPr>
  </w:style>
  <w:style w:type="character" w:styleId="HTMLKeyboard">
    <w:name w:val="HTML Keyboard"/>
    <w:uiPriority w:val="99"/>
    <w:semiHidden/>
    <w:rsid w:val="00AC7BAA"/>
    <w:rPr>
      <w:rFonts w:ascii="Courier New" w:hAnsi="Courier New" w:cs="Courier New"/>
      <w:sz w:val="20"/>
      <w:szCs w:val="20"/>
    </w:rPr>
  </w:style>
  <w:style w:type="paragraph" w:styleId="HTMLPreformatted">
    <w:name w:val="HTML Preformatted"/>
    <w:basedOn w:val="Normal"/>
    <w:link w:val="HTMLPreformattedChar"/>
    <w:uiPriority w:val="99"/>
    <w:semiHidden/>
    <w:rsid w:val="00AC7BAA"/>
    <w:rPr>
      <w:rFonts w:ascii="Courier New" w:hAnsi="Courier New" w:cs="Courier New"/>
      <w:sz w:val="20"/>
      <w:szCs w:val="20"/>
    </w:rPr>
  </w:style>
  <w:style w:type="character" w:customStyle="1" w:styleId="HTMLPreformattedChar">
    <w:name w:val="HTML Preformatted Char"/>
    <w:link w:val="HTMLPreformatted"/>
    <w:uiPriority w:val="99"/>
    <w:semiHidden/>
    <w:rsid w:val="00B92A85"/>
    <w:rPr>
      <w:rFonts w:ascii="Courier New" w:hAnsi="Courier New" w:cs="Courier New"/>
      <w:sz w:val="20"/>
      <w:szCs w:val="20"/>
      <w:lang w:eastAsia="en-US"/>
    </w:rPr>
  </w:style>
  <w:style w:type="character" w:styleId="HTMLSample">
    <w:name w:val="HTML Sample"/>
    <w:uiPriority w:val="99"/>
    <w:semiHidden/>
    <w:rsid w:val="00AC7BAA"/>
    <w:rPr>
      <w:rFonts w:ascii="Courier New" w:hAnsi="Courier New" w:cs="Courier New"/>
    </w:rPr>
  </w:style>
  <w:style w:type="character" w:styleId="HTMLTypewriter">
    <w:name w:val="HTML Typewriter"/>
    <w:uiPriority w:val="99"/>
    <w:semiHidden/>
    <w:rsid w:val="00AC7BAA"/>
    <w:rPr>
      <w:rFonts w:ascii="Courier New" w:hAnsi="Courier New" w:cs="Courier New"/>
      <w:sz w:val="20"/>
      <w:szCs w:val="20"/>
    </w:rPr>
  </w:style>
  <w:style w:type="character" w:styleId="HTMLVariable">
    <w:name w:val="HTML Variable"/>
    <w:uiPriority w:val="99"/>
    <w:semiHidden/>
    <w:rsid w:val="00AC7BAA"/>
    <w:rPr>
      <w:i/>
      <w:iCs/>
    </w:rPr>
  </w:style>
  <w:style w:type="character" w:styleId="Hyperlink">
    <w:name w:val="Hyperlink"/>
    <w:uiPriority w:val="99"/>
    <w:rsid w:val="00CD59FE"/>
    <w:rPr>
      <w:rFonts w:ascii="Calibri" w:hAnsi="Calibri"/>
      <w:color w:val="005984"/>
      <w:sz w:val="22"/>
    </w:rPr>
  </w:style>
  <w:style w:type="character" w:styleId="LineNumber">
    <w:name w:val="line number"/>
    <w:basedOn w:val="DefaultParagraphFont"/>
    <w:uiPriority w:val="99"/>
    <w:semiHidden/>
    <w:rsid w:val="00AC7BAA"/>
  </w:style>
  <w:style w:type="paragraph" w:styleId="List">
    <w:name w:val="List"/>
    <w:basedOn w:val="Normal"/>
    <w:uiPriority w:val="99"/>
    <w:semiHidden/>
    <w:rsid w:val="00AC7BAA"/>
    <w:pPr>
      <w:ind w:left="283" w:hanging="283"/>
    </w:pPr>
  </w:style>
  <w:style w:type="paragraph" w:styleId="List2">
    <w:name w:val="List 2"/>
    <w:basedOn w:val="Normal"/>
    <w:uiPriority w:val="99"/>
    <w:semiHidden/>
    <w:rsid w:val="00AC7BAA"/>
    <w:pPr>
      <w:ind w:left="566" w:hanging="283"/>
    </w:pPr>
  </w:style>
  <w:style w:type="paragraph" w:styleId="List3">
    <w:name w:val="List 3"/>
    <w:basedOn w:val="Normal"/>
    <w:uiPriority w:val="99"/>
    <w:semiHidden/>
    <w:rsid w:val="00AC7BAA"/>
    <w:pPr>
      <w:ind w:left="849" w:hanging="283"/>
    </w:pPr>
  </w:style>
  <w:style w:type="paragraph" w:styleId="List4">
    <w:name w:val="List 4"/>
    <w:basedOn w:val="Normal"/>
    <w:uiPriority w:val="99"/>
    <w:semiHidden/>
    <w:rsid w:val="00AC7BAA"/>
    <w:pPr>
      <w:ind w:left="1132" w:hanging="283"/>
    </w:pPr>
  </w:style>
  <w:style w:type="paragraph" w:styleId="List5">
    <w:name w:val="List 5"/>
    <w:basedOn w:val="Normal"/>
    <w:uiPriority w:val="99"/>
    <w:semiHidden/>
    <w:rsid w:val="00AC7BAA"/>
    <w:pPr>
      <w:ind w:left="1415" w:hanging="283"/>
    </w:pPr>
  </w:style>
  <w:style w:type="paragraph" w:styleId="ListBullet">
    <w:name w:val="List Bullet"/>
    <w:basedOn w:val="Normal"/>
    <w:autoRedefine/>
    <w:uiPriority w:val="99"/>
    <w:semiHidden/>
    <w:rsid w:val="00AC7BAA"/>
    <w:pPr>
      <w:tabs>
        <w:tab w:val="num" w:pos="360"/>
      </w:tabs>
      <w:ind w:left="360" w:hanging="360"/>
    </w:pPr>
  </w:style>
  <w:style w:type="paragraph" w:styleId="ListBullet2">
    <w:name w:val="List Bullet 2"/>
    <w:basedOn w:val="Normal"/>
    <w:autoRedefine/>
    <w:uiPriority w:val="99"/>
    <w:semiHidden/>
    <w:rsid w:val="00AC7BAA"/>
    <w:pPr>
      <w:tabs>
        <w:tab w:val="num" w:pos="643"/>
      </w:tabs>
      <w:ind w:left="643" w:hanging="360"/>
    </w:pPr>
  </w:style>
  <w:style w:type="paragraph" w:styleId="ListBullet3">
    <w:name w:val="List Bullet 3"/>
    <w:basedOn w:val="Normal"/>
    <w:autoRedefine/>
    <w:uiPriority w:val="99"/>
    <w:semiHidden/>
    <w:rsid w:val="00AC7BAA"/>
    <w:pPr>
      <w:tabs>
        <w:tab w:val="num" w:pos="926"/>
      </w:tabs>
      <w:ind w:left="926" w:hanging="360"/>
    </w:pPr>
  </w:style>
  <w:style w:type="paragraph" w:styleId="ListBullet4">
    <w:name w:val="List Bullet 4"/>
    <w:basedOn w:val="Normal"/>
    <w:autoRedefine/>
    <w:uiPriority w:val="99"/>
    <w:semiHidden/>
    <w:rsid w:val="00AC7BAA"/>
    <w:pPr>
      <w:tabs>
        <w:tab w:val="num" w:pos="1209"/>
      </w:tabs>
      <w:ind w:left="1209" w:hanging="360"/>
    </w:pPr>
  </w:style>
  <w:style w:type="paragraph" w:styleId="ListBullet5">
    <w:name w:val="List Bullet 5"/>
    <w:basedOn w:val="Normal"/>
    <w:autoRedefine/>
    <w:uiPriority w:val="99"/>
    <w:semiHidden/>
    <w:rsid w:val="00AC7BAA"/>
    <w:pPr>
      <w:tabs>
        <w:tab w:val="num" w:pos="1492"/>
      </w:tabs>
      <w:ind w:left="1492" w:hanging="360"/>
    </w:pPr>
  </w:style>
  <w:style w:type="paragraph" w:styleId="ListContinue">
    <w:name w:val="List Continue"/>
    <w:basedOn w:val="Normal"/>
    <w:uiPriority w:val="99"/>
    <w:semiHidden/>
    <w:rsid w:val="00AC7BAA"/>
    <w:pPr>
      <w:spacing w:after="120"/>
      <w:ind w:left="283"/>
    </w:pPr>
  </w:style>
  <w:style w:type="paragraph" w:styleId="ListContinue2">
    <w:name w:val="List Continue 2"/>
    <w:basedOn w:val="Normal"/>
    <w:uiPriority w:val="99"/>
    <w:semiHidden/>
    <w:rsid w:val="00AC7BAA"/>
    <w:pPr>
      <w:spacing w:after="120"/>
      <w:ind w:left="566"/>
    </w:pPr>
  </w:style>
  <w:style w:type="paragraph" w:styleId="ListContinue3">
    <w:name w:val="List Continue 3"/>
    <w:basedOn w:val="Normal"/>
    <w:uiPriority w:val="99"/>
    <w:semiHidden/>
    <w:rsid w:val="00AC7BAA"/>
    <w:pPr>
      <w:spacing w:after="120"/>
      <w:ind w:left="849"/>
    </w:pPr>
  </w:style>
  <w:style w:type="paragraph" w:styleId="ListContinue4">
    <w:name w:val="List Continue 4"/>
    <w:basedOn w:val="Normal"/>
    <w:uiPriority w:val="99"/>
    <w:semiHidden/>
    <w:rsid w:val="00AC7BAA"/>
    <w:pPr>
      <w:spacing w:after="120"/>
      <w:ind w:left="1132"/>
    </w:pPr>
  </w:style>
  <w:style w:type="paragraph" w:styleId="ListContinue5">
    <w:name w:val="List Continue 5"/>
    <w:basedOn w:val="Normal"/>
    <w:uiPriority w:val="99"/>
    <w:semiHidden/>
    <w:rsid w:val="00AC7BAA"/>
    <w:pPr>
      <w:spacing w:after="120"/>
      <w:ind w:left="1415"/>
    </w:pPr>
  </w:style>
  <w:style w:type="paragraph" w:styleId="ListNumber">
    <w:name w:val="List Number"/>
    <w:basedOn w:val="Normal"/>
    <w:uiPriority w:val="99"/>
    <w:semiHidden/>
    <w:rsid w:val="00AC7BAA"/>
    <w:pPr>
      <w:tabs>
        <w:tab w:val="num" w:pos="360"/>
      </w:tabs>
      <w:ind w:left="360" w:hanging="360"/>
    </w:pPr>
  </w:style>
  <w:style w:type="paragraph" w:styleId="ListNumber2">
    <w:name w:val="List Number 2"/>
    <w:basedOn w:val="Normal"/>
    <w:uiPriority w:val="99"/>
    <w:semiHidden/>
    <w:rsid w:val="00AC7BAA"/>
    <w:pPr>
      <w:tabs>
        <w:tab w:val="num" w:pos="643"/>
      </w:tabs>
      <w:ind w:left="643" w:hanging="360"/>
    </w:pPr>
  </w:style>
  <w:style w:type="paragraph" w:styleId="ListNumber3">
    <w:name w:val="List Number 3"/>
    <w:basedOn w:val="Normal"/>
    <w:uiPriority w:val="99"/>
    <w:semiHidden/>
    <w:rsid w:val="00AC7BAA"/>
    <w:pPr>
      <w:tabs>
        <w:tab w:val="num" w:pos="926"/>
      </w:tabs>
      <w:ind w:left="926" w:hanging="360"/>
    </w:pPr>
  </w:style>
  <w:style w:type="paragraph" w:styleId="ListNumber4">
    <w:name w:val="List Number 4"/>
    <w:basedOn w:val="Normal"/>
    <w:uiPriority w:val="99"/>
    <w:semiHidden/>
    <w:rsid w:val="00AC7BAA"/>
    <w:pPr>
      <w:tabs>
        <w:tab w:val="num" w:pos="1209"/>
      </w:tabs>
      <w:ind w:left="1209" w:hanging="360"/>
    </w:pPr>
  </w:style>
  <w:style w:type="paragraph" w:styleId="ListNumber5">
    <w:name w:val="List Number 5"/>
    <w:basedOn w:val="Normal"/>
    <w:uiPriority w:val="99"/>
    <w:semiHidden/>
    <w:rsid w:val="00AC7BAA"/>
    <w:pPr>
      <w:tabs>
        <w:tab w:val="num" w:pos="1492"/>
      </w:tabs>
      <w:ind w:left="1492" w:hanging="360"/>
    </w:pPr>
  </w:style>
  <w:style w:type="paragraph" w:styleId="MessageHeader">
    <w:name w:val="Message Header"/>
    <w:basedOn w:val="Normal"/>
    <w:link w:val="MessageHeaderChar"/>
    <w:uiPriority w:val="99"/>
    <w:semiHidden/>
    <w:rsid w:val="00AC7B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rsid w:val="00B92A85"/>
    <w:rPr>
      <w:rFonts w:ascii="Cambria" w:hAnsi="Cambria" w:cs="Cambria"/>
      <w:sz w:val="24"/>
      <w:szCs w:val="24"/>
      <w:shd w:val="pct20" w:color="auto" w:fill="auto"/>
      <w:lang w:eastAsia="en-US"/>
    </w:rPr>
  </w:style>
  <w:style w:type="paragraph" w:styleId="NormalWeb">
    <w:name w:val="Normal (Web)"/>
    <w:basedOn w:val="Normal"/>
    <w:uiPriority w:val="99"/>
    <w:semiHidden/>
    <w:rsid w:val="00AC7BAA"/>
    <w:rPr>
      <w:sz w:val="24"/>
      <w:szCs w:val="24"/>
    </w:rPr>
  </w:style>
  <w:style w:type="paragraph" w:styleId="PlainText">
    <w:name w:val="Plain Text"/>
    <w:basedOn w:val="Normal"/>
    <w:link w:val="PlainTextChar"/>
    <w:uiPriority w:val="99"/>
    <w:semiHidden/>
    <w:rsid w:val="00AC7BAA"/>
    <w:rPr>
      <w:rFonts w:ascii="Courier New" w:hAnsi="Courier New" w:cs="Courier New"/>
      <w:sz w:val="20"/>
      <w:szCs w:val="20"/>
    </w:rPr>
  </w:style>
  <w:style w:type="character" w:customStyle="1" w:styleId="PlainTextChar">
    <w:name w:val="Plain Text Char"/>
    <w:link w:val="PlainText"/>
    <w:uiPriority w:val="99"/>
    <w:semiHidden/>
    <w:rsid w:val="00B92A85"/>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AC7BAA"/>
  </w:style>
  <w:style w:type="character" w:customStyle="1" w:styleId="SalutationChar">
    <w:name w:val="Salutation Char"/>
    <w:link w:val="Salutation"/>
    <w:uiPriority w:val="99"/>
    <w:semiHidden/>
    <w:rsid w:val="00B92A85"/>
    <w:rPr>
      <w:rFonts w:ascii="Calibri" w:hAnsi="Calibri" w:cs="Calibri"/>
      <w:lang w:eastAsia="en-US"/>
    </w:rPr>
  </w:style>
  <w:style w:type="paragraph" w:styleId="Signature">
    <w:name w:val="Signature"/>
    <w:basedOn w:val="Normal"/>
    <w:link w:val="SignatureChar"/>
    <w:uiPriority w:val="99"/>
    <w:semiHidden/>
    <w:rsid w:val="00AC7BAA"/>
    <w:pPr>
      <w:ind w:left="4252"/>
    </w:pPr>
  </w:style>
  <w:style w:type="character" w:customStyle="1" w:styleId="SignatureChar">
    <w:name w:val="Signature Char"/>
    <w:link w:val="Signature"/>
    <w:uiPriority w:val="99"/>
    <w:semiHidden/>
    <w:rsid w:val="00B92A85"/>
    <w:rPr>
      <w:rFonts w:ascii="Calibri" w:hAnsi="Calibri" w:cs="Calibri"/>
      <w:lang w:eastAsia="en-US"/>
    </w:rPr>
  </w:style>
  <w:style w:type="character" w:styleId="Strong">
    <w:name w:val="Strong"/>
    <w:uiPriority w:val="99"/>
    <w:semiHidden/>
    <w:qFormat/>
    <w:rsid w:val="00AC7BAA"/>
    <w:rPr>
      <w:b/>
      <w:bCs/>
    </w:rPr>
  </w:style>
  <w:style w:type="table" w:styleId="Table3Deffects1">
    <w:name w:val="Table 3D effects 1"/>
    <w:basedOn w:val="TableNormal"/>
    <w:uiPriority w:val="99"/>
    <w:semiHidden/>
    <w:rsid w:val="00AC7BAA"/>
    <w:rPr>
      <w:rFonts w:ascii="Calibri" w:hAnsi="Calibri" w:cs="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AC7BAA"/>
    <w:rPr>
      <w:rFonts w:ascii="Calibri" w:hAnsi="Calibri" w:cs="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AC7BAA"/>
    <w:rPr>
      <w:rFonts w:ascii="Calibri" w:hAnsi="Calibri" w:cs="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AC7BAA"/>
    <w:rPr>
      <w:rFonts w:ascii="Calibri" w:hAnsi="Calibri" w:cs="Calibri"/>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NormalIndent">
    <w:name w:val="Normal Indent"/>
    <w:basedOn w:val="Normal"/>
    <w:uiPriority w:val="99"/>
    <w:semiHidden/>
    <w:rsid w:val="00773FB7"/>
    <w:pPr>
      <w:ind w:left="720"/>
    </w:pPr>
  </w:style>
  <w:style w:type="table" w:styleId="TableClassic3">
    <w:name w:val="Table Classic 3"/>
    <w:basedOn w:val="TableNormal"/>
    <w:uiPriority w:val="99"/>
    <w:semiHidden/>
    <w:rsid w:val="00AC7BAA"/>
    <w:rPr>
      <w:rFonts w:ascii="Calibri" w:hAnsi="Calibri" w:cs="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AC7BAA"/>
    <w:rPr>
      <w:rFonts w:ascii="Calibri" w:hAnsi="Calibri" w:cs="Calibri"/>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AC7BAA"/>
    <w:rPr>
      <w:rFonts w:ascii="Calibri" w:hAnsi="Calibri" w:cs="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AC7BAA"/>
    <w:rPr>
      <w:rFonts w:ascii="Calibri" w:hAnsi="Calibri" w:cs="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AC7BAA"/>
    <w:rPr>
      <w:rFonts w:ascii="Calibri" w:hAnsi="Calibri" w:cs="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AC7BAA"/>
    <w:rPr>
      <w:rFonts w:ascii="Calibri" w:hAnsi="Calibri" w:cs="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AC7BAA"/>
    <w:rPr>
      <w:rFonts w:ascii="Calibri" w:hAnsi="Calibri" w:cs="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AC7BAA"/>
    <w:rPr>
      <w:rFonts w:ascii="Calibri" w:hAnsi="Calibri" w:cs="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AC7BAA"/>
    <w:rPr>
      <w:rFonts w:ascii="Calibri" w:hAnsi="Calibri" w:cs="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AC7BAA"/>
    <w:rPr>
      <w:rFonts w:ascii="Calibri" w:hAnsi="Calibri" w:cs="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AC7BAA"/>
    <w:rPr>
      <w:rFonts w:ascii="Calibri" w:hAnsi="Calibri" w:cs="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AC7BAA"/>
    <w:rPr>
      <w:rFonts w:ascii="Calibri" w:hAnsi="Calibri" w:cs="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AC7BAA"/>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AC7BAA"/>
    <w:rPr>
      <w:rFonts w:ascii="Calibri" w:hAnsi="Calibri" w:cs="Calibr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AC7BAA"/>
    <w:rPr>
      <w:rFonts w:ascii="Calibri" w:hAnsi="Calibri" w:cs="Calibri"/>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AC7BAA"/>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AC7BAA"/>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AC7BAA"/>
    <w:rPr>
      <w:rFonts w:ascii="Calibri" w:hAnsi="Calibri" w:cs="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AC7BAA"/>
    <w:rPr>
      <w:rFonts w:ascii="Calibri" w:hAnsi="Calibri" w:cs="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AC7BAA"/>
    <w:rPr>
      <w:rFonts w:ascii="Calibri" w:hAnsi="Calibri" w:cs="Calibri"/>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AC7BAA"/>
    <w:rPr>
      <w:rFonts w:ascii="Calibri" w:hAnsi="Calibri" w:cs="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AC7BAA"/>
    <w:rPr>
      <w:rFonts w:ascii="Calibri" w:hAnsi="Calibri"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AC7BAA"/>
    <w:rPr>
      <w:rFonts w:ascii="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AC7BAA"/>
    <w:rPr>
      <w:rFonts w:ascii="Calibri" w:hAnsi="Calibri" w:cs="Calibri"/>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AC7BAA"/>
    <w:rPr>
      <w:rFonts w:ascii="Calibri" w:hAnsi="Calibri" w:cs="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AC7BAA"/>
    <w:rPr>
      <w:rFonts w:ascii="Calibri" w:hAnsi="Calibri" w:cs="Calibri"/>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AC7BAA"/>
    <w:rPr>
      <w:rFonts w:ascii="Calibri" w:hAnsi="Calibri" w:cs="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AC7BAA"/>
    <w:rPr>
      <w:rFonts w:ascii="Calibri" w:hAnsi="Calibri" w:cs="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AC7BAA"/>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AC7BAA"/>
    <w:rPr>
      <w:rFonts w:ascii="Calibri" w:hAnsi="Calibri" w:cs="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AC7BAA"/>
    <w:rPr>
      <w:rFonts w:ascii="Calibri" w:hAnsi="Calibri" w:cs="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AC7BAA"/>
    <w:rPr>
      <w:rFonts w:ascii="Calibri" w:hAnsi="Calibri" w:cs="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uiPriority w:val="99"/>
    <w:semiHidden/>
    <w:rsid w:val="00D025D1"/>
    <w:pPr>
      <w:ind w:left="4252"/>
    </w:pPr>
  </w:style>
  <w:style w:type="character" w:customStyle="1" w:styleId="ClosingChar">
    <w:name w:val="Closing Char"/>
    <w:link w:val="Closing"/>
    <w:uiPriority w:val="99"/>
    <w:semiHidden/>
    <w:rsid w:val="00B92A85"/>
    <w:rPr>
      <w:rFonts w:ascii="Calibri" w:hAnsi="Calibri" w:cs="Calibri"/>
      <w:lang w:eastAsia="en-US"/>
    </w:rPr>
  </w:style>
  <w:style w:type="paragraph" w:styleId="EnvelopeReturn">
    <w:name w:val="envelope return"/>
    <w:basedOn w:val="Normal"/>
    <w:uiPriority w:val="99"/>
    <w:semiHidden/>
    <w:rsid w:val="0043504C"/>
    <w:rPr>
      <w:rFonts w:ascii="Arial" w:hAnsi="Arial" w:cs="Arial"/>
      <w:sz w:val="20"/>
      <w:szCs w:val="20"/>
    </w:rPr>
  </w:style>
  <w:style w:type="paragraph" w:styleId="Header">
    <w:name w:val="header"/>
    <w:basedOn w:val="Normal"/>
    <w:link w:val="HeaderChar"/>
    <w:uiPriority w:val="99"/>
    <w:semiHidden/>
    <w:rsid w:val="00F62310"/>
  </w:style>
  <w:style w:type="character" w:customStyle="1" w:styleId="HeaderChar">
    <w:name w:val="Header Char"/>
    <w:link w:val="Header"/>
    <w:uiPriority w:val="99"/>
    <w:semiHidden/>
    <w:rsid w:val="00B92A85"/>
    <w:rPr>
      <w:rFonts w:ascii="Calibri" w:hAnsi="Calibri" w:cs="Calibri"/>
      <w:lang w:eastAsia="en-US"/>
    </w:rPr>
  </w:style>
  <w:style w:type="character" w:styleId="CommentReference">
    <w:name w:val="annotation reference"/>
    <w:uiPriority w:val="99"/>
    <w:semiHidden/>
    <w:rsid w:val="00844476"/>
    <w:rPr>
      <w:sz w:val="16"/>
      <w:szCs w:val="16"/>
    </w:rPr>
  </w:style>
  <w:style w:type="paragraph" w:styleId="CommentText">
    <w:name w:val="annotation text"/>
    <w:basedOn w:val="Normal"/>
    <w:link w:val="CommentTextChar"/>
    <w:uiPriority w:val="99"/>
    <w:semiHidden/>
    <w:rsid w:val="00EF1DCE"/>
    <w:rPr>
      <w:sz w:val="20"/>
      <w:szCs w:val="20"/>
    </w:rPr>
  </w:style>
  <w:style w:type="character" w:customStyle="1" w:styleId="CommentTextChar">
    <w:name w:val="Comment Text Char"/>
    <w:link w:val="CommentText"/>
    <w:uiPriority w:val="99"/>
    <w:semiHidden/>
    <w:rsid w:val="00BE3155"/>
    <w:rPr>
      <w:rFonts w:ascii="Calibri" w:hAnsi="Calibri" w:cs="Calibri"/>
      <w:lang w:eastAsia="en-US"/>
    </w:rPr>
  </w:style>
  <w:style w:type="paragraph" w:styleId="CommentSubject">
    <w:name w:val="annotation subject"/>
    <w:basedOn w:val="CommentText"/>
    <w:next w:val="CommentText"/>
    <w:link w:val="CommentSubjectChar"/>
    <w:uiPriority w:val="99"/>
    <w:semiHidden/>
    <w:rsid w:val="00EF1DCE"/>
    <w:rPr>
      <w:b/>
      <w:bCs/>
    </w:rPr>
  </w:style>
  <w:style w:type="character" w:customStyle="1" w:styleId="CommentSubjectChar">
    <w:name w:val="Comment Subject Char"/>
    <w:link w:val="CommentSubject"/>
    <w:uiPriority w:val="99"/>
    <w:semiHidden/>
    <w:rsid w:val="00B92A85"/>
    <w:rPr>
      <w:rFonts w:ascii="Calibri" w:hAnsi="Calibri" w:cs="Calibri"/>
      <w:b/>
      <w:bCs/>
      <w:sz w:val="20"/>
      <w:szCs w:val="20"/>
      <w:lang w:eastAsia="en-US"/>
    </w:rPr>
  </w:style>
  <w:style w:type="paragraph" w:customStyle="1" w:styleId="TitleGreen">
    <w:name w:val="Title Green"/>
    <w:basedOn w:val="Normal"/>
    <w:uiPriority w:val="99"/>
    <w:semiHidden/>
    <w:rsid w:val="00137082"/>
    <w:pPr>
      <w:ind w:left="1134"/>
    </w:pPr>
    <w:rPr>
      <w:b/>
      <w:bCs/>
      <w:i/>
      <w:iCs/>
      <w:color w:val="84A02C"/>
      <w:sz w:val="44"/>
      <w:szCs w:val="44"/>
    </w:rPr>
  </w:style>
  <w:style w:type="paragraph" w:styleId="NoteHeading">
    <w:name w:val="Note Heading"/>
    <w:basedOn w:val="Normal"/>
    <w:next w:val="Normal"/>
    <w:link w:val="NoteHeadingChar"/>
    <w:uiPriority w:val="99"/>
    <w:semiHidden/>
    <w:rsid w:val="00704607"/>
  </w:style>
  <w:style w:type="character" w:customStyle="1" w:styleId="NoteHeadingChar">
    <w:name w:val="Note Heading Char"/>
    <w:link w:val="NoteHeading"/>
    <w:uiPriority w:val="99"/>
    <w:semiHidden/>
    <w:rsid w:val="00B92A85"/>
    <w:rPr>
      <w:rFonts w:ascii="Calibri" w:hAnsi="Calibri" w:cs="Calibri"/>
      <w:lang w:eastAsia="en-US"/>
    </w:rPr>
  </w:style>
  <w:style w:type="numbering" w:styleId="1ai">
    <w:name w:val="Outline List 1"/>
    <w:basedOn w:val="NoList"/>
    <w:uiPriority w:val="99"/>
    <w:semiHidden/>
    <w:unhideWhenUsed/>
    <w:rsid w:val="00F0249F"/>
    <w:pPr>
      <w:numPr>
        <w:numId w:val="10"/>
      </w:numPr>
    </w:pPr>
  </w:style>
  <w:style w:type="numbering" w:styleId="111111">
    <w:name w:val="Outline List 2"/>
    <w:basedOn w:val="NoList"/>
    <w:uiPriority w:val="99"/>
    <w:semiHidden/>
    <w:unhideWhenUsed/>
    <w:rsid w:val="00F0249F"/>
    <w:pPr>
      <w:numPr>
        <w:numId w:val="9"/>
      </w:numPr>
    </w:pPr>
  </w:style>
  <w:style w:type="numbering" w:styleId="ArticleSection">
    <w:name w:val="Outline List 3"/>
    <w:basedOn w:val="NoList"/>
    <w:uiPriority w:val="99"/>
    <w:semiHidden/>
    <w:unhideWhenUsed/>
    <w:rsid w:val="00F0249F"/>
    <w:pPr>
      <w:numPr>
        <w:numId w:val="11"/>
      </w:numPr>
    </w:pPr>
  </w:style>
  <w:style w:type="character" w:styleId="IntenseEmphasis">
    <w:name w:val="Intense Emphasis"/>
    <w:uiPriority w:val="21"/>
    <w:qFormat/>
    <w:rsid w:val="00A63B9C"/>
    <w:rPr>
      <w:b/>
      <w:bCs/>
      <w:i/>
      <w:iCs/>
      <w:color w:val="4F81BD"/>
    </w:rPr>
  </w:style>
  <w:style w:type="paragraph" w:styleId="ListParagraph">
    <w:name w:val="List Paragraph"/>
    <w:basedOn w:val="Normal"/>
    <w:uiPriority w:val="34"/>
    <w:qFormat/>
    <w:rsid w:val="00FB1BA1"/>
    <w:pPr>
      <w:ind w:left="720"/>
    </w:pPr>
  </w:style>
  <w:style w:type="table" w:styleId="MediumGrid2-Accent5">
    <w:name w:val="Medium Grid 2 Accent 5"/>
    <w:basedOn w:val="TableNormal"/>
    <w:uiPriority w:val="68"/>
    <w:rsid w:val="009115CF"/>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Revision">
    <w:name w:val="Revision"/>
    <w:hidden/>
    <w:uiPriority w:val="99"/>
    <w:semiHidden/>
    <w:rsid w:val="00FB37DB"/>
    <w:rPr>
      <w:rFonts w:ascii="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ai"/>
    <w:pPr>
      <w:numPr>
        <w:numId w:val="10"/>
      </w:numPr>
    </w:pPr>
  </w:style>
  <w:style w:type="numbering" w:customStyle="1" w:styleId="Heading2Char">
    <w:name w:val="111111"/>
    <w:pPr>
      <w:numPr>
        <w:numId w:val="9"/>
      </w:numPr>
    </w:pPr>
  </w:style>
  <w:style w:type="numbering" w:customStyle="1" w:styleId="Heading3Char">
    <w:name w:val="ArticleSection"/>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64152">
      <w:bodyDiv w:val="1"/>
      <w:marLeft w:val="0"/>
      <w:marRight w:val="0"/>
      <w:marTop w:val="0"/>
      <w:marBottom w:val="0"/>
      <w:divBdr>
        <w:top w:val="none" w:sz="0" w:space="0" w:color="auto"/>
        <w:left w:val="none" w:sz="0" w:space="0" w:color="auto"/>
        <w:bottom w:val="none" w:sz="0" w:space="0" w:color="auto"/>
        <w:right w:val="none" w:sz="0" w:space="0" w:color="auto"/>
      </w:divBdr>
    </w:div>
    <w:div w:id="659893466">
      <w:marLeft w:val="0"/>
      <w:marRight w:val="0"/>
      <w:marTop w:val="0"/>
      <w:marBottom w:val="0"/>
      <w:divBdr>
        <w:top w:val="none" w:sz="0" w:space="0" w:color="auto"/>
        <w:left w:val="none" w:sz="0" w:space="0" w:color="auto"/>
        <w:bottom w:val="none" w:sz="0" w:space="0" w:color="auto"/>
        <w:right w:val="none" w:sz="0" w:space="0" w:color="auto"/>
      </w:divBdr>
    </w:div>
    <w:div w:id="659893470">
      <w:marLeft w:val="0"/>
      <w:marRight w:val="0"/>
      <w:marTop w:val="0"/>
      <w:marBottom w:val="0"/>
      <w:divBdr>
        <w:top w:val="none" w:sz="0" w:space="0" w:color="auto"/>
        <w:left w:val="none" w:sz="0" w:space="0" w:color="auto"/>
        <w:bottom w:val="none" w:sz="0" w:space="0" w:color="auto"/>
        <w:right w:val="none" w:sz="0" w:space="0" w:color="auto"/>
      </w:divBdr>
      <w:divsChild>
        <w:div w:id="659893463">
          <w:marLeft w:val="0"/>
          <w:marRight w:val="0"/>
          <w:marTop w:val="0"/>
          <w:marBottom w:val="0"/>
          <w:divBdr>
            <w:top w:val="none" w:sz="0" w:space="0" w:color="auto"/>
            <w:left w:val="none" w:sz="0" w:space="0" w:color="auto"/>
            <w:bottom w:val="none" w:sz="0" w:space="0" w:color="auto"/>
            <w:right w:val="none" w:sz="0" w:space="0" w:color="auto"/>
          </w:divBdr>
        </w:div>
        <w:div w:id="659893464">
          <w:marLeft w:val="0"/>
          <w:marRight w:val="0"/>
          <w:marTop w:val="0"/>
          <w:marBottom w:val="0"/>
          <w:divBdr>
            <w:top w:val="none" w:sz="0" w:space="0" w:color="auto"/>
            <w:left w:val="none" w:sz="0" w:space="0" w:color="auto"/>
            <w:bottom w:val="none" w:sz="0" w:space="0" w:color="auto"/>
            <w:right w:val="none" w:sz="0" w:space="0" w:color="auto"/>
          </w:divBdr>
        </w:div>
        <w:div w:id="659893465">
          <w:marLeft w:val="0"/>
          <w:marRight w:val="0"/>
          <w:marTop w:val="0"/>
          <w:marBottom w:val="0"/>
          <w:divBdr>
            <w:top w:val="none" w:sz="0" w:space="0" w:color="auto"/>
            <w:left w:val="none" w:sz="0" w:space="0" w:color="auto"/>
            <w:bottom w:val="none" w:sz="0" w:space="0" w:color="auto"/>
            <w:right w:val="none" w:sz="0" w:space="0" w:color="auto"/>
          </w:divBdr>
        </w:div>
        <w:div w:id="659893467">
          <w:marLeft w:val="0"/>
          <w:marRight w:val="0"/>
          <w:marTop w:val="0"/>
          <w:marBottom w:val="0"/>
          <w:divBdr>
            <w:top w:val="none" w:sz="0" w:space="0" w:color="auto"/>
            <w:left w:val="none" w:sz="0" w:space="0" w:color="auto"/>
            <w:bottom w:val="none" w:sz="0" w:space="0" w:color="auto"/>
            <w:right w:val="none" w:sz="0" w:space="0" w:color="auto"/>
          </w:divBdr>
        </w:div>
        <w:div w:id="659893468">
          <w:marLeft w:val="0"/>
          <w:marRight w:val="0"/>
          <w:marTop w:val="0"/>
          <w:marBottom w:val="0"/>
          <w:divBdr>
            <w:top w:val="none" w:sz="0" w:space="0" w:color="auto"/>
            <w:left w:val="none" w:sz="0" w:space="0" w:color="auto"/>
            <w:bottom w:val="none" w:sz="0" w:space="0" w:color="auto"/>
            <w:right w:val="none" w:sz="0" w:space="0" w:color="auto"/>
          </w:divBdr>
        </w:div>
        <w:div w:id="659893469">
          <w:marLeft w:val="0"/>
          <w:marRight w:val="0"/>
          <w:marTop w:val="0"/>
          <w:marBottom w:val="0"/>
          <w:divBdr>
            <w:top w:val="none" w:sz="0" w:space="0" w:color="auto"/>
            <w:left w:val="none" w:sz="0" w:space="0" w:color="auto"/>
            <w:bottom w:val="none" w:sz="0" w:space="0" w:color="auto"/>
            <w:right w:val="none" w:sz="0" w:space="0" w:color="auto"/>
          </w:divBdr>
        </w:div>
      </w:divsChild>
    </w:div>
    <w:div w:id="659893471">
      <w:marLeft w:val="0"/>
      <w:marRight w:val="0"/>
      <w:marTop w:val="0"/>
      <w:marBottom w:val="0"/>
      <w:divBdr>
        <w:top w:val="none" w:sz="0" w:space="0" w:color="auto"/>
        <w:left w:val="none" w:sz="0" w:space="0" w:color="auto"/>
        <w:bottom w:val="none" w:sz="0" w:space="0" w:color="auto"/>
        <w:right w:val="none" w:sz="0" w:space="0" w:color="auto"/>
      </w:divBdr>
    </w:div>
    <w:div w:id="21359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yperlink" Target="http://www.climatechange.govt.nz"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header" Target="header10.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www.mfe.govt.nz/more/consultations"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header" Target="header9.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pcc.ch/report/ar5/" TargetMode="External"/><Relationship Id="rId2" Type="http://schemas.openxmlformats.org/officeDocument/2006/relationships/hyperlink" Target="http://www.worldenergyoutlook.org/" TargetMode="External"/><Relationship Id="rId1" Type="http://schemas.openxmlformats.org/officeDocument/2006/relationships/hyperlink" Target="http://www.carbon-pulse.com/poll-analysts-raise-eu-carbon-price-estimates-big-jump-for-2018-2020/" TargetMode="External"/><Relationship Id="rId5" Type="http://schemas.openxmlformats.org/officeDocument/2006/relationships/hyperlink" Target="http://www.treasury.govt.nz/economy/overview/2015" TargetMode="External"/><Relationship Id="rId4" Type="http://schemas.openxmlformats.org/officeDocument/2006/relationships/hyperlink" Target="http://www.treasury.govt.nz/economy/overview/20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ujad\Local%20Settings\Temporary%20Internet%20Files\Content.Outlook\7JQ215YN\ETS%20report%20template%2015%20July%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D8E92-03DB-4F85-BF9A-19982F102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 report template 15 July (2)</Template>
  <TotalTime>46</TotalTime>
  <Pages>42</Pages>
  <Words>12155</Words>
  <Characters>69284</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FORMATTED Gas guidance NZ ETSto formatter</vt:lpstr>
    </vt:vector>
  </TitlesOfParts>
  <Company>Ministry for the Environment</Company>
  <LinksUpToDate>false</LinksUpToDate>
  <CharactersWithSpaces>81277</CharactersWithSpaces>
  <SharedDoc>false</SharedDoc>
  <HLinks>
    <vt:vector size="6" baseType="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Gas guidance NZ ETSto formatter</dc:title>
  <dc:subject>Source:</dc:subject>
  <dc:creator>gujad</dc:creator>
  <cp:lastModifiedBy>Jeanette Manson</cp:lastModifiedBy>
  <cp:revision>5</cp:revision>
  <cp:lastPrinted>2015-11-20T03:10:00Z</cp:lastPrinted>
  <dcterms:created xsi:type="dcterms:W3CDTF">2015-11-20T02:21:00Z</dcterms:created>
  <dcterms:modified xsi:type="dcterms:W3CDTF">2015-11-25T23:42:00Z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000000717252</vt:lpwstr>
  </property>
  <property fmtid="{D5CDD505-2E9C-101B-9397-08002B2CF9AE}" pid="3" name="DisplayName">
    <vt:lpwstr>11 - Emissions Trading </vt:lpwstr>
  </property>
  <property fmtid="{D5CDD505-2E9C-101B-9397-08002B2CF9AE}" pid="4" name="Class">
    <vt:lpwstr>CM/CM_PD/CM_PD_Four/CM_PD_Four_Eleven</vt:lpwstr>
  </property>
  <property fmtid="{D5CDD505-2E9C-101B-9397-08002B2CF9AE}" pid="5" name="ClassComments">
    <vt:lpwstr/>
  </property>
  <property fmtid="{D5CDD505-2E9C-101B-9397-08002B2CF9AE}" pid="6" name="AddedBy">
    <vt:lpwstr>GujaD</vt:lpwstr>
  </property>
  <property fmtid="{D5CDD505-2E9C-101B-9397-08002B2CF9AE}" pid="7" name="FirstAddedBy">
    <vt:lpwstr>GujaD</vt:lpwstr>
  </property>
  <property fmtid="{D5CDD505-2E9C-101B-9397-08002B2CF9AE}" pid="8" name="LastModifiedBy">
    <vt:lpwstr>GujaD</vt:lpwstr>
  </property>
  <property fmtid="{D5CDD505-2E9C-101B-9397-08002B2CF9AE}" pid="9" name="IsCheckedOut">
    <vt:bool>true</vt:bool>
  </property>
  <property fmtid="{D5CDD505-2E9C-101B-9397-08002B2CF9AE}" pid="10" name="CheckedOutBy">
    <vt:lpwstr>GujaD</vt:lpwstr>
  </property>
  <property fmtid="{D5CDD505-2E9C-101B-9397-08002B2CF9AE}" pid="11" name="CheckOutComment">
    <vt:lpwstr/>
  </property>
  <property fmtid="{D5CDD505-2E9C-101B-9397-08002B2CF9AE}" pid="12" name="VersionStatus">
    <vt:i4>5</vt:i4>
  </property>
  <property fmtid="{D5CDD505-2E9C-101B-9397-08002B2CF9AE}" pid="13" name="ProtectMode">
    <vt:i4>4194336</vt:i4>
  </property>
  <property fmtid="{D5CDD505-2E9C-101B-9397-08002B2CF9AE}" pid="14" name="IndexMode">
    <vt:i4>0</vt:i4>
  </property>
  <property fmtid="{D5CDD505-2E9C-101B-9397-08002B2CF9AE}" pid="15" name="MaxVersionsOnline">
    <vt:i4>0</vt:i4>
  </property>
  <property fmtid="{D5CDD505-2E9C-101B-9397-08002B2CF9AE}" pid="16" name="Version">
    <vt:lpwstr>1.1</vt:lpwstr>
  </property>
  <property fmtid="{D5CDD505-2E9C-101B-9397-08002B2CF9AE}" pid="17" name="Versions">
    <vt:lpwstr>1.0 1.1</vt:lpwstr>
  </property>
  <property fmtid="{D5CDD505-2E9C-101B-9397-08002B2CF9AE}" pid="18" name="ContentVersion">
    <vt:lpwstr>1.1</vt:lpwstr>
  </property>
  <property fmtid="{D5CDD505-2E9C-101B-9397-08002B2CF9AE}" pid="19" name="ContentType">
    <vt:i4>0</vt:i4>
  </property>
  <property fmtid="{D5CDD505-2E9C-101B-9397-08002B2CF9AE}" pid="20" name="ContentSize">
    <vt:i4>235008</vt:i4>
  </property>
  <property fmtid="{D5CDD505-2E9C-101B-9397-08002B2CF9AE}" pid="21" name="ContentFormats">
    <vt:lpwstr>DOC</vt:lpwstr>
  </property>
  <property fmtid="{D5CDD505-2E9C-101B-9397-08002B2CF9AE}" pid="22" name="LocaleID">
    <vt:i4>0</vt:i4>
  </property>
  <property fmtid="{D5CDD505-2E9C-101B-9397-08002B2CF9AE}" pid="23" name="RequiredSignatures">
    <vt:lpwstr/>
  </property>
  <property fmtid="{D5CDD505-2E9C-101B-9397-08002B2CF9AE}" pid="24" name="SignaturesRequired">
    <vt:lpwstr/>
  </property>
  <property fmtid="{D5CDD505-2E9C-101B-9397-08002B2CF9AE}" pid="25" name="Signatures">
    <vt:lpwstr/>
  </property>
  <property fmtid="{D5CDD505-2E9C-101B-9397-08002B2CF9AE}" pid="26" name="RelativeDateExpires">
    <vt:lpwstr>Never</vt:lpwstr>
  </property>
  <property fmtid="{D5CDD505-2E9C-101B-9397-08002B2CF9AE}" pid="27" name="Parents">
    <vt:lpwstr>ffc6b8571d32784ee295ef17ff0e3700</vt:lpwstr>
  </property>
  <property fmtid="{D5CDD505-2E9C-101B-9397-08002B2CF9AE}" pid="28" name="Children">
    <vt:lpwstr/>
  </property>
  <property fmtid="{D5CDD505-2E9C-101B-9397-08002B2CF9AE}" pid="29" name="Master">
    <vt:lpwstr/>
  </property>
  <property fmtid="{D5CDD505-2E9C-101B-9397-08002B2CF9AE}" pid="30" name="Slaves">
    <vt:lpwstr/>
  </property>
  <property fmtid="{D5CDD505-2E9C-101B-9397-08002B2CF9AE}" pid="31" name="PublishPaths">
    <vt:lpwstr/>
  </property>
  <property fmtid="{D5CDD505-2E9C-101B-9397-08002B2CF9AE}" pid="32" name="SeeAlso">
    <vt:lpwstr/>
  </property>
  <property fmtid="{D5CDD505-2E9C-101B-9397-08002B2CF9AE}" pid="33" name="Folders">
    <vt:lpwstr/>
  </property>
  <property fmtid="{D5CDD505-2E9C-101B-9397-08002B2CF9AE}" pid="34" name="MetaPath">
    <vt:lpwstr>\CM\CM_PD\CM_PD_Four\CM_PD_Four_Eleven</vt:lpwstr>
  </property>
  <property fmtid="{D5CDD505-2E9C-101B-9397-08002B2CF9AE}" pid="35" name="ContentPath">
    <vt:lpwstr>\CM\CM_PD\CM_PD_Four\CM_PD_Four_Eleven</vt:lpwstr>
  </property>
  <property fmtid="{D5CDD505-2E9C-101B-9397-08002B2CF9AE}" pid="36" name="ArchiveMetaPath">
    <vt:lpwstr>\CM\CM_PD\CM_PD_Four\CM_PD_Four_Eleven</vt:lpwstr>
  </property>
  <property fmtid="{D5CDD505-2E9C-101B-9397-08002B2CF9AE}" pid="37" name="ArchiveContentPath">
    <vt:lpwstr>\CM\CM_PD\CM_PD_Four\CM_PD_Four_Eleven</vt:lpwstr>
  </property>
  <property fmtid="{D5CDD505-2E9C-101B-9397-08002B2CF9AE}" pid="38" name="ContentVPath">
    <vt:lpwstr>/CM/CM_PD/CM_PD_Four/CM_PD_Four_Eleven</vt:lpwstr>
  </property>
  <property fmtid="{D5CDD505-2E9C-101B-9397-08002B2CF9AE}" pid="39" name="Icon">
    <vt:lpwstr/>
  </property>
  <property fmtid="{D5CDD505-2E9C-101B-9397-08002B2CF9AE}" pid="40" name="DefaultContent">
    <vt:lpwstr/>
  </property>
  <property fmtid="{D5CDD505-2E9C-101B-9397-08002B2CF9AE}" pid="41" name="DefaultFormat">
    <vt:lpwstr>DOC</vt:lpwstr>
  </property>
  <property fmtid="{D5CDD505-2E9C-101B-9397-08002B2CF9AE}" pid="42" name="DefaultForm">
    <vt:lpwstr/>
  </property>
  <property fmtid="{D5CDD505-2E9C-101B-9397-08002B2CF9AE}" pid="43" name="DefaultUIHandler">
    <vt:lpwstr/>
  </property>
  <property fmtid="{D5CDD505-2E9C-101B-9397-08002B2CF9AE}" pid="44" name="Abstract">
    <vt:bool>false</vt:bool>
  </property>
  <property fmtid="{D5CDD505-2E9C-101B-9397-08002B2CF9AE}" pid="45" name="PossibleSuperiors">
    <vt:lpwstr>CM_PD_Four</vt:lpwstr>
  </property>
  <property fmtid="{D5CDD505-2E9C-101B-9397-08002B2CF9AE}" pid="46" name="HelpFileContext">
    <vt:i4>0</vt:i4>
  </property>
  <property fmtid="{D5CDD505-2E9C-101B-9397-08002B2CF9AE}" pid="47" name="HelpFileName">
    <vt:lpwstr/>
  </property>
  <property fmtid="{D5CDD505-2E9C-101B-9397-08002B2CF9AE}" pid="48" name="AMP__OriginalAuthor">
    <vt:lpwstr/>
  </property>
  <property fmtid="{D5CDD505-2E9C-101B-9397-08002B2CF9AE}" pid="49" name="Description">
    <vt:lpwstr/>
  </property>
  <property fmtid="{D5CDD505-2E9C-101B-9397-08002B2CF9AE}" pid="50" name="Doctype">
    <vt:lpwstr>Publication</vt:lpwstr>
  </property>
  <property fmtid="{D5CDD505-2E9C-101B-9397-08002B2CF9AE}" pid="51" name="To">
    <vt:lpwstr/>
  </property>
  <property fmtid="{D5CDD505-2E9C-101B-9397-08002B2CF9AE}" pid="52" name="From">
    <vt:lpwstr/>
  </property>
  <property fmtid="{D5CDD505-2E9C-101B-9397-08002B2CF9AE}" pid="53" name="Status">
    <vt:lpwstr>Draft</vt:lpwstr>
  </property>
  <property fmtid="{D5CDD505-2E9C-101B-9397-08002B2CF9AE}" pid="54" name="ContractNumber">
    <vt:lpwstr/>
  </property>
  <property fmtid="{D5CDD505-2E9C-101B-9397-08002B2CF9AE}" pid="55" name="Year">
    <vt:lpwstr>2009 - 2010</vt:lpwstr>
  </property>
  <property fmtid="{D5CDD505-2E9C-101B-9397-08002B2CF9AE}" pid="56" name="adspath">
    <vt:lpwstr>Amphora://DRAGON/CM/CM_PD/CM_PD_Four/CM_PD_Four_Eleven/000000717252</vt:lpwstr>
  </property>
  <property fmtid="{D5CDD505-2E9C-101B-9397-08002B2CF9AE}" pid="57" name="_AdHocReviewCycleID">
    <vt:i4>-1176849053</vt:i4>
  </property>
  <property fmtid="{D5CDD505-2E9C-101B-9397-08002B2CF9AE}" pid="58" name="_NewReviewCycle">
    <vt:lpwstr/>
  </property>
  <property fmtid="{D5CDD505-2E9C-101B-9397-08002B2CF9AE}" pid="59" name="_EmailSubject">
    <vt:lpwstr>Thank you and Final document to be sent to the editors please</vt:lpwstr>
  </property>
  <property fmtid="{D5CDD505-2E9C-101B-9397-08002B2CF9AE}" pid="60" name="_AuthorEmail">
    <vt:lpwstr>Emma.Corbett@mfe.govt.nz</vt:lpwstr>
  </property>
  <property fmtid="{D5CDD505-2E9C-101B-9397-08002B2CF9AE}" pid="61" name="_AuthorEmailDisplayName">
    <vt:lpwstr>Emma Corbett</vt:lpwstr>
  </property>
  <property fmtid="{D5CDD505-2E9C-101B-9397-08002B2CF9AE}" pid="62" name="_PreviousAdHocReviewCycleID">
    <vt:i4>368420036</vt:i4>
  </property>
  <property fmtid="{D5CDD505-2E9C-101B-9397-08002B2CF9AE}" pid="63" name="_ReviewingToolsShownOnce">
    <vt:lpwstr/>
  </property>
</Properties>
</file>